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82DFB" w14:textId="77777777" w:rsidR="002F7DE0" w:rsidRPr="00B64349" w:rsidRDefault="002F7DE0" w:rsidP="002F7DE0">
      <w:pPr>
        <w:spacing w:after="0" w:line="240" w:lineRule="auto"/>
        <w:rPr>
          <w:rFonts w:ascii="Verdana" w:eastAsia="Calibri" w:hAnsi="Verdana" w:cs="Arial"/>
          <w:b/>
          <w:bCs/>
          <w:lang w:val="es-ES" w:eastAsia="es-ES"/>
        </w:rPr>
      </w:pPr>
      <w:bookmarkStart w:id="0" w:name="_Hlk186494164"/>
      <w:bookmarkStart w:id="1" w:name="_Hlk143780582"/>
      <w:r w:rsidRPr="00B64349">
        <w:rPr>
          <w:rFonts w:ascii="Verdana" w:eastAsia="Calibri" w:hAnsi="Verdana" w:cs="Arial"/>
          <w:b/>
          <w:bCs/>
          <w:lang w:val="es-ES" w:eastAsia="es-ES"/>
        </w:rPr>
        <w:t xml:space="preserve">SISTEMA GENERAL DE REGALÍAS – Ley 2056 de 2020 – artículo 37 </w:t>
      </w:r>
    </w:p>
    <w:p w14:paraId="0718E5C1" w14:textId="77777777" w:rsidR="002F7DE0" w:rsidRPr="002F7DE0" w:rsidRDefault="002F7DE0" w:rsidP="002F7DE0">
      <w:pPr>
        <w:spacing w:after="0" w:line="240" w:lineRule="auto"/>
        <w:jc w:val="both"/>
        <w:rPr>
          <w:rFonts w:ascii="Verdana" w:hAnsi="Verdana" w:cs="Arial"/>
          <w:noProof/>
          <w:sz w:val="20"/>
          <w:szCs w:val="20"/>
          <w:lang w:val="es-ES_tradnl"/>
        </w:rPr>
      </w:pPr>
    </w:p>
    <w:p w14:paraId="6132E258" w14:textId="77777777" w:rsidR="002F7DE0" w:rsidRPr="002F7DE0" w:rsidRDefault="002F7DE0" w:rsidP="002F7DE0">
      <w:pPr>
        <w:spacing w:after="0" w:line="240" w:lineRule="auto"/>
        <w:jc w:val="both"/>
        <w:rPr>
          <w:rFonts w:ascii="Verdana" w:hAnsi="Verdana" w:cs="Arial"/>
          <w:noProof/>
          <w:sz w:val="20"/>
          <w:szCs w:val="20"/>
          <w:lang w:val="es-ES_tradnl"/>
        </w:rPr>
      </w:pPr>
      <w:r w:rsidRPr="002F7DE0">
        <w:rPr>
          <w:rFonts w:ascii="Verdana" w:hAnsi="Verdana" w:cs="Arial"/>
          <w:noProof/>
          <w:sz w:val="20"/>
          <w:szCs w:val="20"/>
          <w:lang w:val="es-ES_tradnl"/>
        </w:rPr>
        <w:t xml:space="preserve">En </w:t>
      </w:r>
      <w:r w:rsidRPr="002F7DE0">
        <w:rPr>
          <w:rFonts w:ascii="Verdana" w:hAnsi="Verdana" w:cs="Arial"/>
          <w:noProof/>
          <w:sz w:val="20"/>
          <w:szCs w:val="20"/>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782243E0" w14:textId="77777777" w:rsidR="002F7DE0" w:rsidRPr="002F7DE0" w:rsidRDefault="002F7DE0" w:rsidP="002F7DE0">
      <w:pPr>
        <w:spacing w:after="0" w:line="240" w:lineRule="auto"/>
        <w:jc w:val="both"/>
        <w:rPr>
          <w:rFonts w:ascii="Verdana" w:hAnsi="Verdana" w:cs="Arial"/>
          <w:noProof/>
          <w:sz w:val="20"/>
          <w:szCs w:val="20"/>
        </w:rPr>
      </w:pPr>
    </w:p>
    <w:p w14:paraId="5592D685" w14:textId="77777777" w:rsidR="002F7DE0" w:rsidRPr="002F7DE0" w:rsidRDefault="002F7DE0" w:rsidP="002F7DE0">
      <w:pPr>
        <w:spacing w:after="0" w:line="240" w:lineRule="auto"/>
        <w:jc w:val="both"/>
        <w:rPr>
          <w:rFonts w:ascii="Verdana" w:hAnsi="Verdana" w:cs="Arial"/>
          <w:noProof/>
          <w:sz w:val="20"/>
          <w:szCs w:val="20"/>
        </w:rPr>
      </w:pPr>
      <w:r w:rsidRPr="002F7DE0">
        <w:rPr>
          <w:rFonts w:ascii="Verdana" w:hAnsi="Verdana" w:cs="Arial"/>
          <w:noProof/>
          <w:sz w:val="20"/>
          <w:szCs w:val="20"/>
        </w:rPr>
        <w:t xml:space="preserve">Los parágrafos del señalado artículo 37 disponen reglas importantes frente a la designación de los ejecutores de los proyectos y el régimen de contratación que deberá regir su actuación. El parágrafo primero del artículo 37 ibidem dispone que “La ejecución de proyectos de que trata este artículo, se adelantará, con estricta sujeción al régimen presupuestal definido en esta ley, al de contratación pública y las demás normas legales vigentes” . Lo anterior implica que el ejecutor de los proyectos de inversión del SGR deberá someterse a las reglas de contratación pública, es decir, a lo establecido en el Estatuto General de Contratación Pública, así como las normas que lo modifiquen, sustituyan o reglamenten, cuando desarrolle proyectos en el marco de éste sistema. En efecto, el ejecutor debe someterse a las reglas generales de la contratación pública cuando desarrolle proyectos en el marco del Sistema General de Regalías. </w:t>
      </w:r>
    </w:p>
    <w:p w14:paraId="7D3C86C0" w14:textId="77777777" w:rsidR="002F7DE0" w:rsidRPr="002F7DE0" w:rsidRDefault="002F7DE0" w:rsidP="002F7DE0">
      <w:pPr>
        <w:spacing w:after="0" w:line="240" w:lineRule="auto"/>
        <w:jc w:val="both"/>
        <w:rPr>
          <w:rFonts w:ascii="Verdana" w:hAnsi="Verdana" w:cs="Arial"/>
          <w:noProof/>
          <w:sz w:val="20"/>
          <w:szCs w:val="20"/>
        </w:rPr>
      </w:pPr>
    </w:p>
    <w:p w14:paraId="160A7D2C" w14:textId="77777777" w:rsidR="002F7DE0" w:rsidRPr="002F7DE0" w:rsidRDefault="002F7DE0" w:rsidP="002F7DE0">
      <w:pPr>
        <w:spacing w:after="0" w:line="240" w:lineRule="auto"/>
        <w:jc w:val="both"/>
        <w:rPr>
          <w:rFonts w:ascii="Verdana" w:hAnsi="Verdana" w:cs="Arial"/>
          <w:noProof/>
          <w:sz w:val="20"/>
          <w:szCs w:val="20"/>
        </w:rPr>
      </w:pPr>
      <w:r w:rsidRPr="002F7DE0">
        <w:rPr>
          <w:rFonts w:ascii="Verdana" w:hAnsi="Verdana" w:cs="Arial"/>
          <w:noProof/>
          <w:sz w:val="20"/>
          <w:szCs w:val="20"/>
        </w:rPr>
        <w:t>Por tanto, conforme a esta previsión normativa en caso de que se realicen proyectos de inversión en el marco del Sistema General de Regalías los ejecutores designados para desarrollarlos deben sujetarse al Estatuto General de Contratación de la Administración Pública. En el evento en que determinados asuntos estén sometidos por norma especial al Estatuto General de Contratación Pública, la ejecución de los contratos deberá realizarse conforme a este régimen</w:t>
      </w:r>
    </w:p>
    <w:p w14:paraId="2B70B98F" w14:textId="77777777" w:rsidR="002F7DE0" w:rsidRPr="002F7DE0" w:rsidRDefault="002F7DE0" w:rsidP="002F7DE0">
      <w:pPr>
        <w:spacing w:after="0" w:line="240" w:lineRule="auto"/>
        <w:jc w:val="both"/>
        <w:rPr>
          <w:rFonts w:ascii="Verdana" w:hAnsi="Verdana" w:cs="Arial"/>
          <w:noProof/>
          <w:sz w:val="20"/>
          <w:szCs w:val="20"/>
        </w:rPr>
      </w:pPr>
    </w:p>
    <w:p w14:paraId="1E8B5BBF" w14:textId="77777777" w:rsidR="002F7DE0" w:rsidRPr="002F7DE0" w:rsidRDefault="002F7DE0" w:rsidP="002F7DE0">
      <w:pPr>
        <w:jc w:val="both"/>
        <w:rPr>
          <w:rFonts w:ascii="Verdana" w:eastAsia="Calibri" w:hAnsi="Verdana" w:cs="Arial"/>
          <w:b/>
          <w:bCs/>
          <w:lang w:val="es-ES" w:eastAsia="es-ES"/>
        </w:rPr>
      </w:pPr>
      <w:r w:rsidRPr="002F7DE0">
        <w:rPr>
          <w:rFonts w:ascii="Verdana" w:eastAsia="Calibri" w:hAnsi="Verdana" w:cs="Arial"/>
          <w:b/>
          <w:bCs/>
          <w:lang w:val="es-ES" w:eastAsia="es-ES"/>
        </w:rPr>
        <w:t xml:space="preserve">RÉGIMEN CONTRACTUAL – Entidades ejecutoras – Régimen especial – Aplicación del Estatuto General de Contratación de la Administración Pública         </w:t>
      </w:r>
    </w:p>
    <w:p w14:paraId="634B7C16" w14:textId="77777777" w:rsidR="002F7DE0" w:rsidRPr="002F7DE0" w:rsidRDefault="002F7DE0" w:rsidP="002F7DE0">
      <w:pPr>
        <w:spacing w:after="0" w:line="240" w:lineRule="auto"/>
        <w:jc w:val="both"/>
        <w:rPr>
          <w:rFonts w:ascii="Verdana" w:eastAsia="Calibri" w:hAnsi="Verdana" w:cs="Arial"/>
          <w:color w:val="000000"/>
          <w:sz w:val="20"/>
          <w:szCs w:val="20"/>
          <w:lang w:val="es-ES" w:eastAsia="es-ES"/>
        </w:rPr>
      </w:pPr>
    </w:p>
    <w:p w14:paraId="61E43FB1" w14:textId="77777777" w:rsidR="002F7DE0" w:rsidRPr="002F7DE0" w:rsidRDefault="002F7DE0" w:rsidP="002F7DE0">
      <w:pPr>
        <w:spacing w:after="0" w:line="240" w:lineRule="auto"/>
        <w:jc w:val="both"/>
        <w:rPr>
          <w:rFonts w:ascii="Verdana" w:eastAsia="Calibri" w:hAnsi="Verdana" w:cs="Arial"/>
          <w:color w:val="000000"/>
          <w:sz w:val="20"/>
          <w:szCs w:val="20"/>
          <w:lang w:val="es-ES" w:eastAsia="es-ES"/>
        </w:rPr>
      </w:pPr>
      <w:r w:rsidRPr="002F7DE0">
        <w:rPr>
          <w:rFonts w:ascii="Verdana" w:eastAsia="Calibri" w:hAnsi="Verdana" w:cs="Arial"/>
          <w:color w:val="000000"/>
          <w:sz w:val="20"/>
          <w:szCs w:val="20"/>
          <w:lang w:val="es-ES" w:eastAsia="es-ES"/>
        </w:rPr>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0C6C5221" w14:textId="77777777" w:rsidR="002F7DE0" w:rsidRPr="002F7DE0" w:rsidRDefault="002F7DE0" w:rsidP="002F7DE0">
      <w:pPr>
        <w:spacing w:after="0" w:line="240" w:lineRule="auto"/>
        <w:jc w:val="both"/>
        <w:rPr>
          <w:rFonts w:ascii="Verdana" w:eastAsia="Calibri" w:hAnsi="Verdana" w:cs="Arial"/>
          <w:color w:val="000000"/>
          <w:sz w:val="20"/>
          <w:szCs w:val="20"/>
          <w:lang w:val="es-ES" w:eastAsia="es-ES"/>
        </w:rPr>
      </w:pPr>
    </w:p>
    <w:p w14:paraId="329773E3" w14:textId="77777777" w:rsidR="002F7DE0" w:rsidRPr="002F7DE0" w:rsidRDefault="002F7DE0" w:rsidP="002F7DE0">
      <w:pPr>
        <w:spacing w:after="0" w:line="240" w:lineRule="auto"/>
        <w:jc w:val="both"/>
        <w:rPr>
          <w:rFonts w:ascii="Verdana" w:eastAsia="Calibri" w:hAnsi="Verdana" w:cs="Arial"/>
          <w:color w:val="000000"/>
          <w:sz w:val="20"/>
          <w:szCs w:val="20"/>
          <w:lang w:val="es-ES" w:eastAsia="es-ES"/>
        </w:rPr>
      </w:pPr>
      <w:r w:rsidRPr="002F7DE0">
        <w:rPr>
          <w:rFonts w:ascii="Verdana" w:eastAsia="Calibri" w:hAnsi="Verdana" w:cs="Arial"/>
          <w:color w:val="000000"/>
          <w:sz w:val="20"/>
          <w:szCs w:val="20"/>
          <w:lang w:val="es-ES" w:eastAsia="es-ES"/>
        </w:rPr>
        <w:t>Incluso, dicha posición es asumida por la Sala de Consulta y Servicio Civil del Consejo de Estado, pues en Concepto 2563 del 25 de junio de 2026 –con ponencia de la Consejera María del Pilar Bahamón Falla– estima que la expresión ‘estricta sujeción’ contenida en el parágrafo 1º del artículo 37 de la Ley 2056 de 2020 tiene un alcance normativo reforzado y no opera como una remisión subsidiaria al régimen interno de la entidad ejecutora, sino como un mandato especial de sometimiento al régimen público que gobierna la ejecución de los recursos de regalías dada su especialidad. Aunque el análisis de la Sala se realizó respecto de una Universidad Pública, sus consideraciones resultan aplicables, por analogía, a otras entidades estatales sometidas a regímenes especiales, como los Fondos Mixtos, cuando estas sean designadas ejecutoras de proyectos financiados con recursos del SGR.</w:t>
      </w:r>
    </w:p>
    <w:p w14:paraId="77459245" w14:textId="77777777" w:rsidR="002F7DE0" w:rsidRPr="002F7DE0" w:rsidRDefault="002F7DE0" w:rsidP="002F7DE0">
      <w:pPr>
        <w:spacing w:after="0" w:line="240" w:lineRule="auto"/>
        <w:jc w:val="both"/>
        <w:rPr>
          <w:rFonts w:ascii="Verdana" w:eastAsia="Calibri" w:hAnsi="Verdana" w:cs="Arial"/>
          <w:color w:val="000000"/>
          <w:sz w:val="20"/>
          <w:szCs w:val="20"/>
          <w:lang w:val="es-ES" w:eastAsia="es-ES"/>
        </w:rPr>
      </w:pPr>
    </w:p>
    <w:p w14:paraId="430953DB" w14:textId="77777777" w:rsidR="002F7DE0" w:rsidRPr="002F7DE0" w:rsidRDefault="002F7DE0" w:rsidP="002F7DE0">
      <w:pPr>
        <w:spacing w:after="0" w:line="240" w:lineRule="auto"/>
        <w:jc w:val="both"/>
        <w:rPr>
          <w:rFonts w:ascii="Verdana" w:eastAsia="Calibri" w:hAnsi="Verdana" w:cs="Arial"/>
          <w:b/>
          <w:bCs/>
          <w:color w:val="000000"/>
          <w:sz w:val="20"/>
          <w:szCs w:val="20"/>
          <w:lang w:val="es-ES" w:eastAsia="es-ES"/>
        </w:rPr>
      </w:pPr>
      <w:r w:rsidRPr="002F7DE0">
        <w:rPr>
          <w:rFonts w:ascii="Verdana" w:eastAsia="Calibri" w:hAnsi="Verdana" w:cs="Arial"/>
          <w:b/>
          <w:bCs/>
          <w:lang w:val="es-ES" w:eastAsia="es-ES"/>
        </w:rPr>
        <w:t>SGR – Aplicación documentos tipo</w:t>
      </w:r>
    </w:p>
    <w:p w14:paraId="57E2DCE3" w14:textId="77777777" w:rsidR="002F7DE0" w:rsidRPr="002F7DE0" w:rsidRDefault="002F7DE0" w:rsidP="002F7DE0">
      <w:pPr>
        <w:spacing w:after="0" w:line="240" w:lineRule="auto"/>
        <w:jc w:val="both"/>
        <w:rPr>
          <w:rFonts w:ascii="Verdana" w:eastAsia="Calibri" w:hAnsi="Verdana" w:cs="Arial"/>
          <w:color w:val="000000"/>
          <w:sz w:val="20"/>
          <w:szCs w:val="20"/>
          <w:lang w:val="es-ES" w:eastAsia="es-ES"/>
        </w:rPr>
      </w:pPr>
    </w:p>
    <w:p w14:paraId="3540D29F" w14:textId="77777777" w:rsidR="002F7DE0" w:rsidRPr="002F7DE0" w:rsidRDefault="002F7DE0" w:rsidP="002F7DE0">
      <w:pPr>
        <w:spacing w:after="0" w:line="240" w:lineRule="auto"/>
        <w:jc w:val="both"/>
        <w:rPr>
          <w:rFonts w:ascii="Verdana" w:hAnsi="Verdana" w:cs="Arial"/>
          <w:noProof/>
          <w:sz w:val="20"/>
          <w:szCs w:val="20"/>
        </w:rPr>
      </w:pPr>
      <w:r w:rsidRPr="002F7DE0">
        <w:rPr>
          <w:rFonts w:ascii="Verdana" w:hAnsi="Verdana" w:cs="Arial"/>
          <w:noProof/>
          <w:sz w:val="20"/>
          <w:szCs w:val="20"/>
        </w:rPr>
        <w:t xml:space="preserve">Si bien en principio las entidades con régimen de contratación especial no están obligadas a aplicar los documentos tipo, la remisión efectuada por el parágrafo primero del artículo 37 de la Ley 2056 de 2020 al EGCAP, conlleva a que las entidades designadas ejecutoras deban sujetarse a las reglas y principios establecidos en el Estatuto General de Contratación de la Administración Pública y sus disposiciones reglamentarias. En consecuencia, ello comprende la aplicación de los documentos tipo en la 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12DCF5A8" w14:textId="77777777" w:rsidR="002F7DE0" w:rsidRPr="002F7DE0" w:rsidRDefault="002F7DE0" w:rsidP="002F7DE0">
      <w:pPr>
        <w:spacing w:after="0" w:line="240" w:lineRule="auto"/>
        <w:jc w:val="both"/>
        <w:rPr>
          <w:rFonts w:ascii="Verdana" w:hAnsi="Verdana" w:cs="Arial"/>
          <w:noProof/>
          <w:sz w:val="20"/>
          <w:szCs w:val="20"/>
        </w:rPr>
      </w:pPr>
    </w:p>
    <w:p w14:paraId="41C8E3FB" w14:textId="77777777" w:rsidR="002F7DE0" w:rsidRPr="002F7DE0" w:rsidRDefault="002F7DE0" w:rsidP="002F7DE0">
      <w:pPr>
        <w:spacing w:after="0" w:line="240" w:lineRule="auto"/>
        <w:jc w:val="both"/>
        <w:rPr>
          <w:rFonts w:ascii="Verdana" w:hAnsi="Verdana" w:cs="Arial"/>
          <w:noProof/>
          <w:sz w:val="20"/>
          <w:szCs w:val="20"/>
        </w:rPr>
      </w:pPr>
      <w:r w:rsidRPr="002F7DE0">
        <w:rPr>
          <w:rFonts w:ascii="Verdana" w:hAnsi="Verdana" w:cs="Arial"/>
          <w:noProof/>
          <w:sz w:val="20"/>
          <w:szCs w:val="20"/>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estos documentos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De esta forma, las condiciones relativas a la experiencia, los factores de ponderación y los demás aspectos regulados por los documentos tipo deberán sujetarse estrictamente a lo allí establecido, sin que las entidades puedan apartarse de dichas reglas ni establecer condiciones diferentes mediante sus respectivos manuales de contratación</w:t>
      </w:r>
    </w:p>
    <w:p w14:paraId="52DEE5A1" w14:textId="77777777" w:rsidR="002F7DE0" w:rsidRPr="002F7DE0" w:rsidRDefault="002F7DE0" w:rsidP="002F7DE0">
      <w:pPr>
        <w:spacing w:after="0" w:line="240" w:lineRule="auto"/>
        <w:jc w:val="both"/>
        <w:rPr>
          <w:rFonts w:ascii="Verdana" w:eastAsia="Calibri" w:hAnsi="Verdana" w:cs="Arial"/>
          <w:color w:val="000000"/>
          <w:sz w:val="20"/>
          <w:szCs w:val="20"/>
          <w:lang w:val="es-ES" w:eastAsia="es-ES"/>
        </w:rPr>
      </w:pPr>
    </w:p>
    <w:p w14:paraId="4C1C3C56" w14:textId="77777777" w:rsidR="002F7DE0" w:rsidRPr="002F7DE0" w:rsidRDefault="002F7DE0" w:rsidP="002F7DE0">
      <w:pPr>
        <w:spacing w:after="0" w:line="240" w:lineRule="auto"/>
        <w:jc w:val="both"/>
        <w:rPr>
          <w:rFonts w:ascii="Verdana" w:eastAsia="Calibri" w:hAnsi="Verdana" w:cs="Arial"/>
          <w:b/>
          <w:bCs/>
          <w:color w:val="000000"/>
          <w:sz w:val="20"/>
          <w:szCs w:val="20"/>
          <w:lang w:val="es-ES" w:eastAsia="es-ES"/>
        </w:rPr>
      </w:pPr>
      <w:r w:rsidRPr="002F7DE0">
        <w:rPr>
          <w:rFonts w:ascii="Verdana" w:eastAsia="Calibri" w:hAnsi="Verdana" w:cs="Arial"/>
          <w:b/>
          <w:bCs/>
          <w:lang w:val="es-ES" w:eastAsia="es-ES"/>
        </w:rPr>
        <w:t>SGR – Artículo 56 de la Ley 2195 de 2022 – Diferencias</w:t>
      </w:r>
    </w:p>
    <w:p w14:paraId="724389D4" w14:textId="77777777" w:rsidR="002F7DE0" w:rsidRPr="002F7DE0" w:rsidRDefault="002F7DE0" w:rsidP="002F7DE0">
      <w:pPr>
        <w:spacing w:after="0" w:line="240" w:lineRule="auto"/>
        <w:rPr>
          <w:rFonts w:ascii="Verdana" w:eastAsia="Geomanist Light" w:hAnsi="Verdana" w:cs="Arial"/>
          <w:color w:val="000000" w:themeColor="text1"/>
        </w:rPr>
      </w:pPr>
    </w:p>
    <w:p w14:paraId="240B7B02" w14:textId="77777777" w:rsidR="002F7DE0" w:rsidRPr="002F7DE0" w:rsidRDefault="002F7DE0" w:rsidP="002F7DE0">
      <w:pPr>
        <w:spacing w:after="0" w:line="240" w:lineRule="auto"/>
        <w:jc w:val="both"/>
        <w:rPr>
          <w:rFonts w:ascii="Verdana" w:hAnsi="Verdana" w:cs="Arial"/>
          <w:noProof/>
          <w:sz w:val="20"/>
          <w:szCs w:val="20"/>
        </w:rPr>
      </w:pPr>
      <w:r w:rsidRPr="002F7DE0">
        <w:rPr>
          <w:rFonts w:ascii="Verdana" w:hAnsi="Verdana" w:cs="Arial"/>
          <w:noProof/>
          <w:sz w:val="20"/>
          <w:szCs w:val="20"/>
        </w:rPr>
        <w:t xml:space="preserve">El artículo 56 de la Ley 2195 de 2022 debe diferenciarse del artículo 37 de la Ley 2056 de 2020, pues, aunque ambas disposiciones pueden conducir a la aplicación de los documentos tipo, regulan supuestos de hecho distintos. El artículo 56 busca extender dicha obligatoriedad a los contratos, convenios interadministrativos o negocios de cualquier otra índole celebrados por entidades sometidas al EGCAP con entidades </w:t>
      </w:r>
      <w:r w:rsidRPr="002F7DE0">
        <w:rPr>
          <w:rFonts w:ascii="Verdana" w:hAnsi="Verdana" w:cs="Arial"/>
          <w:noProof/>
          <w:sz w:val="20"/>
          <w:szCs w:val="20"/>
        </w:rPr>
        <w:lastRenderedPageBreak/>
        <w:t>estatales de régimen especial, patrimonios autónomos o personas naturales o jurídicas de derecho privado. Adicionalmente, establece que los procedimientos de selección y contratos que se adelanten en desarrollo de estos negocios jurídicos se someten al EGCAP.</w:t>
      </w:r>
    </w:p>
    <w:p w14:paraId="677AD244" w14:textId="77777777" w:rsidR="002F7DE0" w:rsidRPr="002F7DE0" w:rsidRDefault="002F7DE0" w:rsidP="002F7DE0">
      <w:pPr>
        <w:spacing w:after="0" w:line="240" w:lineRule="auto"/>
        <w:jc w:val="both"/>
        <w:rPr>
          <w:rFonts w:ascii="Verdana" w:hAnsi="Verdana" w:cs="Arial"/>
          <w:noProof/>
          <w:sz w:val="20"/>
          <w:szCs w:val="20"/>
        </w:rPr>
      </w:pPr>
    </w:p>
    <w:p w14:paraId="6DE17309" w14:textId="77777777" w:rsidR="002F7DE0" w:rsidRPr="002F7DE0" w:rsidRDefault="002F7DE0" w:rsidP="002F7DE0">
      <w:pPr>
        <w:spacing w:after="0" w:line="240" w:lineRule="auto"/>
        <w:jc w:val="both"/>
        <w:rPr>
          <w:rFonts w:ascii="Verdana" w:hAnsi="Verdana" w:cs="Arial"/>
          <w:noProof/>
          <w:sz w:val="20"/>
          <w:szCs w:val="20"/>
        </w:rPr>
      </w:pPr>
      <w:r w:rsidRPr="002F7DE0">
        <w:rPr>
          <w:rFonts w:ascii="Verdana" w:hAnsi="Verdana" w:cs="Arial"/>
          <w:noProof/>
          <w:sz w:val="20"/>
          <w:szCs w:val="20"/>
        </w:rPr>
        <w:t>En este sentido, el artículo 56 de la Ley 2195 de 2022 opera cuando existe un negocio jurídico previo celebrado entre una entidad sometida al EGCAP y alguno de los sujetos expresamente señalados por la norma, del cual se deriva la necesidad de contratar bienes, obras o servicios. Por su parte, el artículo 37 de la Ley 2056 de 2020 establece la aplicación del EGCAP a la contratación requerida para la ejecución de los recursos del SGR, de manera que la aplicación de los documentos tipo se deriva del régimen jurídico aplicable a dichos recursos y de la calidad de ejecutora de la entidad. Así, mientras en el primer caso el presupuesto de aplicación es la celebración del negocio jurídico previsto en el artículo 56, en el segundo lo es la designación de la entidad como ejecutora del proyecto financiado con recursos del SGR.</w:t>
      </w:r>
    </w:p>
    <w:p w14:paraId="7D071587" w14:textId="77777777" w:rsidR="002F7DE0" w:rsidRPr="002F7DE0" w:rsidRDefault="002F7DE0" w:rsidP="002F7DE0">
      <w:pPr>
        <w:spacing w:after="0" w:line="240" w:lineRule="auto"/>
        <w:rPr>
          <w:rFonts w:ascii="Verdana" w:eastAsia="Geomanist Light" w:hAnsi="Verdana" w:cs="Arial"/>
          <w:color w:val="000000" w:themeColor="text1"/>
        </w:rPr>
      </w:pPr>
    </w:p>
    <w:p w14:paraId="13D1E697" w14:textId="77777777" w:rsidR="002F7DE0" w:rsidRPr="002F7DE0" w:rsidRDefault="002F7DE0" w:rsidP="002F7DE0">
      <w:pPr>
        <w:spacing w:after="0" w:line="240" w:lineRule="auto"/>
        <w:rPr>
          <w:rFonts w:ascii="Verdana" w:eastAsia="Geomanist Light" w:hAnsi="Verdana" w:cs="Arial"/>
          <w:color w:val="000000" w:themeColor="text1"/>
        </w:rPr>
      </w:pPr>
    </w:p>
    <w:p w14:paraId="7687DCC9" w14:textId="77777777" w:rsidR="002F7DE0" w:rsidRPr="002F7DE0" w:rsidRDefault="002F7DE0" w:rsidP="002F7DE0">
      <w:pPr>
        <w:spacing w:after="0" w:line="240" w:lineRule="auto"/>
        <w:rPr>
          <w:rFonts w:ascii="Verdana" w:eastAsia="Geomanist Light" w:hAnsi="Verdana" w:cs="Arial"/>
          <w:color w:val="000000" w:themeColor="text1"/>
        </w:rPr>
      </w:pPr>
    </w:p>
    <w:p w14:paraId="552DF21F" w14:textId="77777777" w:rsidR="002F7DE0" w:rsidRPr="002F7DE0" w:rsidRDefault="002F7DE0" w:rsidP="002F7DE0">
      <w:pPr>
        <w:spacing w:after="0" w:line="240" w:lineRule="auto"/>
        <w:rPr>
          <w:rFonts w:ascii="Verdana" w:eastAsia="Geomanist Light" w:hAnsi="Verdana" w:cs="Arial"/>
          <w:color w:val="000000" w:themeColor="text1"/>
        </w:rPr>
      </w:pPr>
    </w:p>
    <w:p w14:paraId="5EAE66B4" w14:textId="77777777" w:rsidR="002F7DE0" w:rsidRPr="002F7DE0" w:rsidRDefault="002F7DE0" w:rsidP="002F7DE0">
      <w:pPr>
        <w:spacing w:after="0" w:line="240" w:lineRule="auto"/>
        <w:rPr>
          <w:rFonts w:ascii="Verdana" w:eastAsia="Geomanist Light" w:hAnsi="Verdana" w:cs="Arial"/>
          <w:color w:val="000000" w:themeColor="text1"/>
        </w:rPr>
      </w:pPr>
    </w:p>
    <w:p w14:paraId="63A6E041" w14:textId="77777777" w:rsidR="002F7DE0" w:rsidRPr="002F7DE0" w:rsidRDefault="002F7DE0" w:rsidP="002F7DE0">
      <w:pPr>
        <w:spacing w:after="0" w:line="240" w:lineRule="auto"/>
        <w:rPr>
          <w:rFonts w:ascii="Verdana" w:eastAsia="Geomanist Light" w:hAnsi="Verdana" w:cs="Arial"/>
          <w:color w:val="000000" w:themeColor="text1"/>
        </w:rPr>
      </w:pPr>
    </w:p>
    <w:p w14:paraId="13F607CA" w14:textId="77777777" w:rsidR="002F7DE0" w:rsidRPr="002F7DE0" w:rsidRDefault="002F7DE0" w:rsidP="002F7DE0">
      <w:pPr>
        <w:spacing w:after="0" w:line="240" w:lineRule="auto"/>
        <w:rPr>
          <w:rFonts w:ascii="Verdana" w:eastAsia="Geomanist Light" w:hAnsi="Verdana" w:cs="Arial"/>
          <w:color w:val="000000" w:themeColor="text1"/>
        </w:rPr>
      </w:pPr>
    </w:p>
    <w:p w14:paraId="6095929E" w14:textId="77777777" w:rsidR="002F7DE0" w:rsidRPr="002F7DE0" w:rsidRDefault="002F7DE0" w:rsidP="002F7DE0">
      <w:pPr>
        <w:spacing w:after="0" w:line="240" w:lineRule="auto"/>
        <w:rPr>
          <w:rFonts w:ascii="Verdana" w:eastAsia="Geomanist Light" w:hAnsi="Verdana" w:cs="Arial"/>
          <w:color w:val="000000" w:themeColor="text1"/>
        </w:rPr>
      </w:pPr>
    </w:p>
    <w:p w14:paraId="6526A71D" w14:textId="77777777" w:rsidR="002F7DE0" w:rsidRPr="002F7DE0" w:rsidRDefault="002F7DE0" w:rsidP="002F7DE0">
      <w:pPr>
        <w:spacing w:after="0" w:line="240" w:lineRule="auto"/>
        <w:rPr>
          <w:rFonts w:ascii="Verdana" w:eastAsia="Geomanist Light" w:hAnsi="Verdana" w:cs="Arial"/>
          <w:color w:val="000000" w:themeColor="text1"/>
        </w:rPr>
      </w:pPr>
    </w:p>
    <w:p w14:paraId="16E5FD12" w14:textId="77777777" w:rsidR="002F7DE0" w:rsidRPr="002F7DE0" w:rsidRDefault="002F7DE0" w:rsidP="002F7DE0">
      <w:pPr>
        <w:spacing w:after="0" w:line="240" w:lineRule="auto"/>
        <w:rPr>
          <w:rFonts w:ascii="Verdana" w:eastAsia="Geomanist Light" w:hAnsi="Verdana" w:cs="Arial"/>
          <w:color w:val="000000" w:themeColor="text1"/>
        </w:rPr>
      </w:pPr>
    </w:p>
    <w:p w14:paraId="102A66D8" w14:textId="77777777" w:rsidR="002F7DE0" w:rsidRPr="002F7DE0" w:rsidRDefault="002F7DE0" w:rsidP="002F7DE0">
      <w:pPr>
        <w:spacing w:after="0" w:line="240" w:lineRule="auto"/>
        <w:rPr>
          <w:rFonts w:ascii="Verdana" w:eastAsia="Geomanist Light" w:hAnsi="Verdana" w:cs="Arial"/>
          <w:color w:val="000000" w:themeColor="text1"/>
        </w:rPr>
      </w:pPr>
    </w:p>
    <w:p w14:paraId="45B83500" w14:textId="77777777" w:rsidR="002F7DE0" w:rsidRPr="002F7DE0" w:rsidRDefault="002F7DE0" w:rsidP="002F7DE0">
      <w:pPr>
        <w:spacing w:after="0" w:line="240" w:lineRule="auto"/>
        <w:rPr>
          <w:rFonts w:ascii="Verdana" w:eastAsia="Geomanist Light" w:hAnsi="Verdana" w:cs="Arial"/>
          <w:color w:val="000000" w:themeColor="text1"/>
        </w:rPr>
      </w:pPr>
    </w:p>
    <w:p w14:paraId="46D6143F" w14:textId="77777777" w:rsidR="002F7DE0" w:rsidRPr="002F7DE0" w:rsidRDefault="002F7DE0" w:rsidP="002F7DE0">
      <w:pPr>
        <w:spacing w:after="0" w:line="240" w:lineRule="auto"/>
        <w:rPr>
          <w:rFonts w:ascii="Verdana" w:eastAsia="Geomanist Light" w:hAnsi="Verdana" w:cs="Arial"/>
          <w:color w:val="000000" w:themeColor="text1"/>
        </w:rPr>
      </w:pPr>
    </w:p>
    <w:p w14:paraId="1DD38729" w14:textId="77777777" w:rsidR="002F7DE0" w:rsidRPr="002F7DE0" w:rsidRDefault="002F7DE0" w:rsidP="002F7DE0">
      <w:pPr>
        <w:spacing w:after="0" w:line="240" w:lineRule="auto"/>
        <w:rPr>
          <w:rFonts w:ascii="Verdana" w:eastAsia="Geomanist Light" w:hAnsi="Verdana" w:cs="Arial"/>
          <w:color w:val="000000" w:themeColor="text1"/>
        </w:rPr>
      </w:pPr>
    </w:p>
    <w:p w14:paraId="56F4F44E" w14:textId="77777777" w:rsidR="002F7DE0" w:rsidRPr="002F7DE0" w:rsidRDefault="002F7DE0" w:rsidP="002F7DE0">
      <w:pPr>
        <w:spacing w:after="0" w:line="240" w:lineRule="auto"/>
        <w:rPr>
          <w:rFonts w:ascii="Verdana" w:eastAsia="Geomanist Light" w:hAnsi="Verdana" w:cs="Arial"/>
          <w:color w:val="000000" w:themeColor="text1"/>
        </w:rPr>
      </w:pPr>
    </w:p>
    <w:p w14:paraId="0E4D27F6" w14:textId="77777777" w:rsidR="002F7DE0" w:rsidRPr="002F7DE0" w:rsidRDefault="002F7DE0" w:rsidP="002F7DE0">
      <w:pPr>
        <w:spacing w:after="0" w:line="240" w:lineRule="auto"/>
        <w:rPr>
          <w:rFonts w:ascii="Verdana" w:eastAsia="Geomanist Light" w:hAnsi="Verdana" w:cs="Arial"/>
          <w:color w:val="000000" w:themeColor="text1"/>
        </w:rPr>
      </w:pPr>
    </w:p>
    <w:p w14:paraId="4102B0C1" w14:textId="77777777" w:rsidR="002F7DE0" w:rsidRPr="002F7DE0" w:rsidRDefault="002F7DE0" w:rsidP="002F7DE0">
      <w:pPr>
        <w:spacing w:after="0" w:line="240" w:lineRule="auto"/>
        <w:rPr>
          <w:rFonts w:ascii="Verdana" w:eastAsia="Geomanist Light" w:hAnsi="Verdana" w:cs="Arial"/>
          <w:color w:val="000000" w:themeColor="text1"/>
        </w:rPr>
      </w:pPr>
    </w:p>
    <w:p w14:paraId="1F43B248" w14:textId="77777777" w:rsidR="002F7DE0" w:rsidRPr="002F7DE0" w:rsidRDefault="002F7DE0" w:rsidP="002F7DE0">
      <w:pPr>
        <w:spacing w:after="0" w:line="240" w:lineRule="auto"/>
        <w:rPr>
          <w:rFonts w:ascii="Verdana" w:eastAsia="Geomanist Light" w:hAnsi="Verdana" w:cs="Arial"/>
          <w:color w:val="000000" w:themeColor="text1"/>
        </w:rPr>
      </w:pPr>
    </w:p>
    <w:p w14:paraId="031B49A7" w14:textId="77777777" w:rsidR="002F7DE0" w:rsidRPr="002F7DE0" w:rsidRDefault="002F7DE0" w:rsidP="002F7DE0">
      <w:pPr>
        <w:spacing w:after="0" w:line="240" w:lineRule="auto"/>
        <w:rPr>
          <w:rFonts w:ascii="Verdana" w:eastAsia="Geomanist Light" w:hAnsi="Verdana" w:cs="Arial"/>
          <w:color w:val="000000" w:themeColor="text1"/>
        </w:rPr>
      </w:pPr>
    </w:p>
    <w:p w14:paraId="48E548CF" w14:textId="77777777" w:rsidR="002F7DE0" w:rsidRPr="002F7DE0" w:rsidRDefault="002F7DE0" w:rsidP="002F7DE0">
      <w:pPr>
        <w:spacing w:after="0" w:line="240" w:lineRule="auto"/>
        <w:rPr>
          <w:rFonts w:ascii="Verdana" w:eastAsia="Geomanist Light" w:hAnsi="Verdana" w:cs="Arial"/>
          <w:color w:val="000000" w:themeColor="text1"/>
        </w:rPr>
      </w:pPr>
    </w:p>
    <w:p w14:paraId="1F270F6F" w14:textId="77777777" w:rsidR="002F7DE0" w:rsidRPr="002F7DE0" w:rsidRDefault="002F7DE0" w:rsidP="002F7DE0">
      <w:pPr>
        <w:spacing w:after="0" w:line="240" w:lineRule="auto"/>
        <w:rPr>
          <w:rFonts w:ascii="Verdana" w:eastAsia="Geomanist Light" w:hAnsi="Verdana" w:cs="Arial"/>
          <w:color w:val="000000" w:themeColor="text1"/>
        </w:rPr>
      </w:pPr>
    </w:p>
    <w:p w14:paraId="3887E4D3" w14:textId="77777777" w:rsidR="002F7DE0" w:rsidRPr="002F7DE0" w:rsidRDefault="002F7DE0" w:rsidP="002F7DE0">
      <w:pPr>
        <w:spacing w:after="0" w:line="240" w:lineRule="auto"/>
        <w:rPr>
          <w:rFonts w:ascii="Verdana" w:eastAsia="Geomanist Light" w:hAnsi="Verdana" w:cs="Arial"/>
          <w:color w:val="000000" w:themeColor="text1"/>
        </w:rPr>
      </w:pPr>
    </w:p>
    <w:p w14:paraId="506241C7" w14:textId="77777777" w:rsidR="002F7DE0" w:rsidRPr="002F7DE0" w:rsidRDefault="002F7DE0" w:rsidP="002F7DE0">
      <w:pPr>
        <w:spacing w:after="0" w:line="240" w:lineRule="auto"/>
        <w:rPr>
          <w:rFonts w:ascii="Verdana" w:eastAsia="Geomanist Light" w:hAnsi="Verdana" w:cs="Arial"/>
          <w:color w:val="000000" w:themeColor="text1"/>
        </w:rPr>
      </w:pPr>
    </w:p>
    <w:p w14:paraId="648241F0" w14:textId="77777777" w:rsidR="002F7DE0" w:rsidRPr="002F7DE0" w:rsidRDefault="002F7DE0" w:rsidP="002F7DE0">
      <w:pPr>
        <w:spacing w:after="0" w:line="240" w:lineRule="auto"/>
        <w:rPr>
          <w:rFonts w:ascii="Verdana" w:eastAsia="Geomanist Light" w:hAnsi="Verdana" w:cs="Arial"/>
          <w:color w:val="000000" w:themeColor="text1"/>
        </w:rPr>
      </w:pPr>
    </w:p>
    <w:p w14:paraId="74287B70" w14:textId="77777777" w:rsidR="002F7DE0" w:rsidRPr="002F7DE0" w:rsidRDefault="002F7DE0" w:rsidP="002F7DE0">
      <w:pPr>
        <w:spacing w:after="0" w:line="240" w:lineRule="auto"/>
        <w:rPr>
          <w:rFonts w:ascii="Verdana" w:eastAsia="Geomanist Light" w:hAnsi="Verdana" w:cs="Arial"/>
          <w:color w:val="000000" w:themeColor="text1"/>
        </w:rPr>
      </w:pPr>
    </w:p>
    <w:p w14:paraId="50145D11" w14:textId="77777777" w:rsidR="002F7DE0" w:rsidRPr="002F7DE0" w:rsidRDefault="002F7DE0" w:rsidP="002F7DE0">
      <w:pPr>
        <w:spacing w:after="0" w:line="240" w:lineRule="auto"/>
        <w:rPr>
          <w:rFonts w:ascii="Verdana" w:eastAsia="Geomanist Light" w:hAnsi="Verdana" w:cs="Arial"/>
          <w:color w:val="000000" w:themeColor="text1"/>
        </w:rPr>
      </w:pPr>
    </w:p>
    <w:p w14:paraId="384325E0" w14:textId="77777777" w:rsidR="002F7DE0" w:rsidRPr="002F7DE0" w:rsidRDefault="002F7DE0" w:rsidP="002F7DE0">
      <w:pPr>
        <w:spacing w:after="0" w:line="240" w:lineRule="auto"/>
        <w:rPr>
          <w:rFonts w:ascii="Verdana" w:eastAsia="Geomanist Light" w:hAnsi="Verdana" w:cs="Arial"/>
          <w:color w:val="000000" w:themeColor="text1"/>
        </w:rPr>
      </w:pPr>
    </w:p>
    <w:p w14:paraId="6C4EC0E4" w14:textId="77777777" w:rsidR="00B64349" w:rsidRDefault="00B64349" w:rsidP="002F7DE0">
      <w:pPr>
        <w:spacing w:after="0" w:line="240" w:lineRule="auto"/>
        <w:rPr>
          <w:rFonts w:ascii="Verdana" w:eastAsia="Geomanist Light" w:hAnsi="Verdana" w:cs="Arial"/>
          <w:color w:val="000000" w:themeColor="text1"/>
        </w:rPr>
      </w:pPr>
    </w:p>
    <w:p w14:paraId="4584016B" w14:textId="7B5AFAA7" w:rsidR="002F7DE0" w:rsidRDefault="002F7DE0" w:rsidP="002F7DE0">
      <w:pPr>
        <w:spacing w:after="0" w:line="240" w:lineRule="auto"/>
        <w:rPr>
          <w:rFonts w:ascii="Verdana" w:eastAsia="Geomanist Light" w:hAnsi="Verdana" w:cs="Arial"/>
          <w:color w:val="201F1E"/>
        </w:rPr>
      </w:pPr>
      <w:r w:rsidRPr="002F7DE0">
        <w:rPr>
          <w:rFonts w:ascii="Verdana" w:eastAsia="Geomanist Light" w:hAnsi="Verdana" w:cs="Arial"/>
          <w:color w:val="000000" w:themeColor="text1"/>
        </w:rPr>
        <w:lastRenderedPageBreak/>
        <w:t>Bogotá D.C., </w:t>
      </w:r>
      <w:r w:rsidR="003631CF">
        <w:rPr>
          <w:rFonts w:ascii="Verdana" w:eastAsia="Geomanist Light" w:hAnsi="Verdana" w:cs="Arial"/>
          <w:color w:val="201F1E"/>
        </w:rPr>
        <w:t>3 de septiembre de 2026</w:t>
      </w:r>
    </w:p>
    <w:p w14:paraId="36F365E5" w14:textId="0FE41654" w:rsidR="00C2018A" w:rsidRDefault="00B64349" w:rsidP="002F7DE0">
      <w:pPr>
        <w:spacing w:after="0" w:line="240" w:lineRule="auto"/>
        <w:rPr>
          <w:rFonts w:ascii="Verdana" w:eastAsia="Geomanist Light" w:hAnsi="Verdana" w:cs="Arial"/>
          <w:color w:val="201F1E"/>
        </w:rPr>
      </w:pPr>
      <w:r w:rsidRPr="00C2018A">
        <w:rPr>
          <w:rFonts w:ascii="Verdana" w:eastAsia="Geomanist Light" w:hAnsi="Verdana" w:cs="Arial"/>
          <w:noProof/>
          <w:color w:val="201F1E"/>
        </w:rPr>
        <w:drawing>
          <wp:anchor distT="0" distB="0" distL="114300" distR="114300" simplePos="0" relativeHeight="251658240" behindDoc="0" locked="0" layoutInCell="1" allowOverlap="1" wp14:anchorId="1F396D43" wp14:editId="3C39400D">
            <wp:simplePos x="0" y="0"/>
            <wp:positionH relativeFrom="margin">
              <wp:align>right</wp:align>
            </wp:positionH>
            <wp:positionV relativeFrom="paragraph">
              <wp:posOffset>166370</wp:posOffset>
            </wp:positionV>
            <wp:extent cx="2019300" cy="738505"/>
            <wp:effectExtent l="0" t="0" r="0" b="4445"/>
            <wp:wrapSquare wrapText="bothSides"/>
            <wp:docPr id="16483398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19300" cy="738505"/>
                    </a:xfrm>
                    <a:prstGeom prst="rect">
                      <a:avLst/>
                    </a:prstGeom>
                    <a:noFill/>
                    <a:ln>
                      <a:noFill/>
                    </a:ln>
                  </pic:spPr>
                </pic:pic>
              </a:graphicData>
            </a:graphic>
            <wp14:sizeRelH relativeFrom="margin">
              <wp14:pctWidth>0</wp14:pctWidth>
            </wp14:sizeRelH>
          </wp:anchor>
        </w:drawing>
      </w:r>
    </w:p>
    <w:p w14:paraId="2C6C1A05" w14:textId="67ADC178" w:rsidR="00C2018A" w:rsidRPr="002F7DE0" w:rsidRDefault="00C2018A" w:rsidP="00C2018A">
      <w:pPr>
        <w:spacing w:after="0" w:line="240" w:lineRule="auto"/>
        <w:jc w:val="right"/>
        <w:rPr>
          <w:rFonts w:ascii="Verdana" w:eastAsia="Geomanist Light" w:hAnsi="Verdana" w:cs="Arial"/>
          <w:color w:val="201F1E"/>
        </w:rPr>
      </w:pPr>
    </w:p>
    <w:p w14:paraId="08010A5E" w14:textId="77777777" w:rsidR="002F7DE0" w:rsidRPr="002F7DE0" w:rsidRDefault="002F7DE0" w:rsidP="002F7DE0">
      <w:pPr>
        <w:spacing w:after="0" w:line="240" w:lineRule="auto"/>
        <w:jc w:val="both"/>
        <w:rPr>
          <w:rFonts w:ascii="Verdana" w:eastAsia="Calibri" w:hAnsi="Verdana" w:cs="Arial"/>
          <w:color w:val="000000"/>
        </w:rPr>
      </w:pPr>
    </w:p>
    <w:p w14:paraId="2AF778F7" w14:textId="77777777" w:rsidR="002F7DE0" w:rsidRPr="002F7DE0" w:rsidRDefault="002F7DE0" w:rsidP="002F7DE0">
      <w:pPr>
        <w:spacing w:after="0" w:line="240" w:lineRule="auto"/>
        <w:jc w:val="both"/>
        <w:rPr>
          <w:rFonts w:ascii="Verdana" w:eastAsia="Calibri" w:hAnsi="Verdana" w:cs="Arial"/>
          <w:lang w:eastAsia="es-ES"/>
        </w:rPr>
      </w:pPr>
      <w:r w:rsidRPr="002F7DE0">
        <w:rPr>
          <w:rFonts w:ascii="Verdana" w:eastAsia="Calibri" w:hAnsi="Verdana" w:cs="Arial"/>
          <w:lang w:eastAsia="es-ES"/>
        </w:rPr>
        <w:t>Señor</w:t>
      </w:r>
    </w:p>
    <w:p w14:paraId="72E853C6" w14:textId="77777777" w:rsidR="002F7DE0" w:rsidRPr="002F7DE0" w:rsidRDefault="002F7DE0" w:rsidP="002F7DE0">
      <w:pPr>
        <w:spacing w:after="0" w:line="240" w:lineRule="auto"/>
        <w:jc w:val="both"/>
        <w:rPr>
          <w:rFonts w:ascii="Verdana" w:eastAsia="Calibri" w:hAnsi="Verdana" w:cs="Arial"/>
          <w:b/>
          <w:bCs/>
          <w:lang w:eastAsia="es-ES"/>
        </w:rPr>
      </w:pPr>
      <w:r w:rsidRPr="002F7DE0">
        <w:rPr>
          <w:rFonts w:ascii="Verdana" w:eastAsia="Calibri" w:hAnsi="Verdana" w:cs="Arial"/>
          <w:b/>
          <w:bCs/>
          <w:lang w:eastAsia="es-ES"/>
        </w:rPr>
        <w:t xml:space="preserve">Jake Steven Realpe Escobar </w:t>
      </w:r>
    </w:p>
    <w:p w14:paraId="55E2CE09" w14:textId="77777777" w:rsidR="002F7DE0" w:rsidRPr="002F7DE0" w:rsidRDefault="002F7DE0" w:rsidP="002F7DE0">
      <w:pPr>
        <w:spacing w:after="0" w:line="240" w:lineRule="auto"/>
        <w:jc w:val="both"/>
        <w:rPr>
          <w:rFonts w:ascii="Verdana" w:eastAsia="Calibri" w:hAnsi="Verdana" w:cs="Arial"/>
          <w:lang w:eastAsia="es-ES"/>
        </w:rPr>
      </w:pPr>
      <w:r w:rsidRPr="002F7DE0">
        <w:rPr>
          <w:rFonts w:ascii="Verdana" w:eastAsia="Calibri" w:hAnsi="Verdana" w:cs="Arial"/>
          <w:lang w:eastAsia="es-ES"/>
        </w:rPr>
        <w:t xml:space="preserve">Director ejecutivo y representante legal </w:t>
      </w:r>
    </w:p>
    <w:p w14:paraId="790719E4" w14:textId="77777777" w:rsidR="002F7DE0" w:rsidRPr="002F7DE0" w:rsidRDefault="002F7DE0" w:rsidP="002F7DE0">
      <w:pPr>
        <w:spacing w:after="0" w:line="240" w:lineRule="auto"/>
        <w:jc w:val="both"/>
        <w:rPr>
          <w:rFonts w:ascii="Verdana" w:eastAsia="Calibri" w:hAnsi="Verdana" w:cs="Arial"/>
          <w:lang w:eastAsia="es-ES"/>
        </w:rPr>
      </w:pPr>
      <w:r w:rsidRPr="002F7DE0">
        <w:rPr>
          <w:rFonts w:ascii="Verdana" w:eastAsia="Calibri" w:hAnsi="Verdana" w:cs="Arial"/>
          <w:lang w:eastAsia="es-ES"/>
        </w:rPr>
        <w:t xml:space="preserve">Fondo Mixto de Etnocultura y Desarrollo Social - FONPACÍFICO </w:t>
      </w:r>
    </w:p>
    <w:p w14:paraId="20792BE1" w14:textId="77777777" w:rsidR="002F7DE0" w:rsidRPr="002F7DE0" w:rsidRDefault="002F7DE0" w:rsidP="002F7DE0">
      <w:pPr>
        <w:spacing w:after="0" w:line="240" w:lineRule="auto"/>
        <w:rPr>
          <w:rFonts w:ascii="Verdana" w:eastAsia="Calibri" w:hAnsi="Verdana" w:cs="Arial"/>
          <w:lang w:val="pt-BR" w:eastAsia="es-ES"/>
        </w:rPr>
      </w:pPr>
      <w:hyperlink r:id="rId12" w:history="1">
        <w:r w:rsidRPr="002F7DE0">
          <w:rPr>
            <w:rFonts w:ascii="Verdana" w:eastAsia="Calibri" w:hAnsi="Verdana" w:cs="Arial"/>
            <w:color w:val="0563C1" w:themeColor="hyperlink"/>
            <w:u w:val="single"/>
            <w:lang w:val="pt-BR" w:eastAsia="es-ES"/>
          </w:rPr>
          <w:t>info@fonpacifico.org</w:t>
        </w:r>
      </w:hyperlink>
    </w:p>
    <w:p w14:paraId="63950784" w14:textId="77777777" w:rsidR="002F7DE0" w:rsidRPr="002F7DE0" w:rsidRDefault="002F7DE0" w:rsidP="002F7DE0">
      <w:pPr>
        <w:spacing w:after="0" w:line="240" w:lineRule="auto"/>
        <w:rPr>
          <w:rFonts w:ascii="Verdana" w:eastAsia="Calibri" w:hAnsi="Verdana" w:cs="Arial"/>
          <w:lang w:val="pt-BR" w:eastAsia="es-ES"/>
        </w:rPr>
      </w:pPr>
      <w:r w:rsidRPr="002F7DE0">
        <w:rPr>
          <w:rFonts w:ascii="Verdana" w:eastAsia="Calibri" w:hAnsi="Verdana" w:cs="Arial"/>
          <w:lang w:val="pt-BR" w:eastAsia="es-ES"/>
        </w:rPr>
        <w:t>Cartago, Valle del Cauca</w:t>
      </w:r>
    </w:p>
    <w:p w14:paraId="674E364E" w14:textId="77777777" w:rsidR="002F7DE0" w:rsidRPr="002F7DE0" w:rsidRDefault="002F7DE0" w:rsidP="002F7DE0">
      <w:pPr>
        <w:spacing w:after="0" w:line="240" w:lineRule="auto"/>
        <w:rPr>
          <w:rFonts w:ascii="Verdana" w:eastAsia="Calibri" w:hAnsi="Verdana" w:cs="Arial"/>
          <w:b/>
          <w:color w:val="000000"/>
          <w:lang w:val="pt-BR" w:eastAsia="es-ES_tradnl"/>
        </w:rPr>
      </w:pPr>
    </w:p>
    <w:p w14:paraId="3E8648FE" w14:textId="77777777" w:rsidR="002F7DE0" w:rsidRPr="002F7DE0" w:rsidRDefault="002F7DE0" w:rsidP="002F7DE0">
      <w:pPr>
        <w:spacing w:after="0" w:line="240" w:lineRule="auto"/>
        <w:rPr>
          <w:rFonts w:ascii="Verdana" w:eastAsia="Calibri" w:hAnsi="Verdana" w:cs="Arial"/>
          <w:b/>
          <w:color w:val="000000"/>
          <w:lang w:val="pt-BR" w:eastAsia="es-ES_tradnl"/>
        </w:rPr>
      </w:pPr>
    </w:p>
    <w:p w14:paraId="40AB1F60" w14:textId="242B8693" w:rsidR="002F7DE0" w:rsidRPr="002F7DE0" w:rsidRDefault="002F7DE0" w:rsidP="002F7DE0">
      <w:pPr>
        <w:spacing w:after="0" w:line="240" w:lineRule="auto"/>
        <w:jc w:val="center"/>
        <w:rPr>
          <w:rFonts w:ascii="Verdana" w:eastAsia="Calibri" w:hAnsi="Verdana" w:cs="Arial"/>
          <w:b/>
          <w:lang w:val="pt-BR" w:eastAsia="es-ES"/>
        </w:rPr>
      </w:pPr>
      <w:r w:rsidRPr="002F7DE0">
        <w:rPr>
          <w:rFonts w:ascii="Verdana" w:eastAsia="Calibri" w:hAnsi="Verdana" w:cs="Arial"/>
          <w:b/>
          <w:lang w:val="pt-BR" w:eastAsia="es-ES"/>
        </w:rPr>
        <w:t>Concepto C</w:t>
      </w:r>
      <w:r w:rsidR="00567B5D">
        <w:rPr>
          <w:rFonts w:ascii="Verdana" w:eastAsia="Calibri" w:hAnsi="Verdana" w:cs="Arial"/>
          <w:b/>
          <w:lang w:val="pt-BR" w:eastAsia="es-ES"/>
        </w:rPr>
        <w:t>-</w:t>
      </w:r>
      <w:r w:rsidRPr="002F7DE0">
        <w:rPr>
          <w:rFonts w:ascii="Verdana" w:eastAsia="Calibri" w:hAnsi="Verdana" w:cs="Arial"/>
          <w:b/>
          <w:lang w:val="pt-BR" w:eastAsia="es-ES"/>
        </w:rPr>
        <w:t>1272 de 2026</w:t>
      </w:r>
    </w:p>
    <w:p w14:paraId="7FDF7D50" w14:textId="77777777" w:rsidR="002F7DE0" w:rsidRPr="002F7DE0" w:rsidRDefault="002F7DE0" w:rsidP="002F7DE0">
      <w:pPr>
        <w:spacing w:after="0" w:line="240" w:lineRule="auto"/>
        <w:rPr>
          <w:rFonts w:ascii="Verdana" w:eastAsia="Calibri" w:hAnsi="Verdana" w:cs="Arial"/>
          <w:b/>
          <w:color w:val="000000"/>
          <w:lang w:val="pt-BR" w:eastAsia="es-ES_tradnl"/>
        </w:rPr>
      </w:pPr>
    </w:p>
    <w:p w14:paraId="3BD7654B" w14:textId="77777777" w:rsidR="002F7DE0" w:rsidRPr="002F7DE0" w:rsidRDefault="002F7DE0" w:rsidP="002F7DE0">
      <w:pPr>
        <w:spacing w:after="0" w:line="240" w:lineRule="auto"/>
        <w:rPr>
          <w:rFonts w:ascii="Verdana" w:eastAsia="Calibri" w:hAnsi="Verdana" w:cs="Arial"/>
          <w:b/>
          <w:color w:val="000000"/>
          <w:lang w:val="pt-BR"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F7DE0" w:rsidRPr="002F7DE0" w14:paraId="2041D8D3" w14:textId="77777777" w:rsidTr="001674EA">
        <w:trPr>
          <w:trHeight w:val="884"/>
        </w:trPr>
        <w:tc>
          <w:tcPr>
            <w:tcW w:w="2689" w:type="dxa"/>
          </w:tcPr>
          <w:p w14:paraId="5155B235" w14:textId="77777777" w:rsidR="002F7DE0" w:rsidRPr="002F7DE0" w:rsidRDefault="002F7DE0" w:rsidP="002F7DE0">
            <w:pPr>
              <w:jc w:val="both"/>
              <w:rPr>
                <w:rFonts w:ascii="Verdana" w:eastAsia="Calibri" w:hAnsi="Verdana" w:cs="Arial"/>
                <w:color w:val="000000"/>
                <w:lang w:eastAsia="es-ES_tradnl"/>
              </w:rPr>
            </w:pPr>
            <w:r w:rsidRPr="002F7DE0">
              <w:rPr>
                <w:rFonts w:ascii="Verdana" w:eastAsia="Calibri" w:hAnsi="Verdana" w:cs="Arial"/>
                <w:b/>
                <w:color w:val="000000"/>
                <w:lang w:eastAsia="es-ES_tradnl"/>
              </w:rPr>
              <w:t>Temas:</w:t>
            </w:r>
            <w:r w:rsidRPr="002F7DE0">
              <w:rPr>
                <w:rFonts w:ascii="Verdana" w:eastAsia="Calibri" w:hAnsi="Verdana" w:cs="Arial"/>
                <w:color w:val="000000"/>
                <w:lang w:eastAsia="es-ES_tradnl"/>
              </w:rPr>
              <w:t xml:space="preserve">                   </w:t>
            </w:r>
          </w:p>
        </w:tc>
        <w:tc>
          <w:tcPr>
            <w:tcW w:w="6100" w:type="dxa"/>
          </w:tcPr>
          <w:p w14:paraId="5FA26B6D" w14:textId="77777777" w:rsidR="002F7DE0" w:rsidRPr="002F7DE0" w:rsidRDefault="002F7DE0" w:rsidP="002F7DE0">
            <w:pPr>
              <w:spacing w:line="276" w:lineRule="auto"/>
              <w:jc w:val="both"/>
              <w:rPr>
                <w:rFonts w:ascii="Verdana" w:eastAsia="Calibri" w:hAnsi="Verdana" w:cs="Arial"/>
                <w:lang w:val="es-ES" w:eastAsia="es-ES"/>
              </w:rPr>
            </w:pPr>
            <w:r w:rsidRPr="002F7DE0">
              <w:rPr>
                <w:rFonts w:ascii="Verdana" w:eastAsia="Calibri" w:hAnsi="Verdana" w:cs="Arial"/>
                <w:lang w:val="es-ES" w:eastAsia="es-ES"/>
              </w:rPr>
              <w:t xml:space="preserve">SISTEMA GENERAL DE REGALÍAS – Ley 2056 de 2020 – artículo 37 / RÉGIMEN CONTRACTUAL – Entidades ejecutoras – Régimen especial – Aplicación del Estatuto General de Contratación de la Administración Pública / SGR – Aplicación documentos tipo / SGR – artículo 56 de la Ley 2195 de 2022 – Diferencias </w:t>
            </w:r>
          </w:p>
          <w:p w14:paraId="75001C12" w14:textId="77777777" w:rsidR="002F7DE0" w:rsidRPr="002F7DE0" w:rsidRDefault="002F7DE0" w:rsidP="002F7DE0">
            <w:pPr>
              <w:jc w:val="both"/>
              <w:rPr>
                <w:rFonts w:ascii="Verdana" w:eastAsia="Calibri" w:hAnsi="Verdana" w:cs="Arial"/>
                <w:lang w:eastAsia="es-ES"/>
              </w:rPr>
            </w:pPr>
          </w:p>
        </w:tc>
      </w:tr>
      <w:tr w:rsidR="002F7DE0" w:rsidRPr="002F7DE0" w14:paraId="6788454A" w14:textId="77777777" w:rsidTr="001674EA">
        <w:tc>
          <w:tcPr>
            <w:tcW w:w="2689" w:type="dxa"/>
          </w:tcPr>
          <w:p w14:paraId="1927DAEA" w14:textId="77777777" w:rsidR="002F7DE0" w:rsidRPr="002F7DE0" w:rsidRDefault="002F7DE0" w:rsidP="002F7DE0">
            <w:pPr>
              <w:jc w:val="both"/>
              <w:rPr>
                <w:rFonts w:ascii="Verdana" w:eastAsia="Calibri" w:hAnsi="Verdana" w:cs="Arial"/>
                <w:b/>
                <w:lang w:eastAsia="es-ES_tradnl"/>
              </w:rPr>
            </w:pPr>
            <w:r w:rsidRPr="002F7DE0">
              <w:rPr>
                <w:rFonts w:ascii="Verdana" w:eastAsia="Calibri" w:hAnsi="Verdana" w:cs="Arial"/>
                <w:b/>
                <w:lang w:eastAsia="es-ES_tradnl"/>
              </w:rPr>
              <w:t>Radicación:</w:t>
            </w:r>
            <w:r w:rsidRPr="002F7DE0">
              <w:rPr>
                <w:rFonts w:ascii="Verdana" w:eastAsia="Calibri" w:hAnsi="Verdana" w:cs="Arial"/>
                <w:lang w:eastAsia="es-ES_tradnl"/>
              </w:rPr>
              <w:t xml:space="preserve">               </w:t>
            </w:r>
          </w:p>
        </w:tc>
        <w:tc>
          <w:tcPr>
            <w:tcW w:w="6100" w:type="dxa"/>
          </w:tcPr>
          <w:p w14:paraId="290608B1" w14:textId="77777777" w:rsidR="002F7DE0" w:rsidRPr="002F7DE0" w:rsidRDefault="002F7DE0" w:rsidP="002F7DE0">
            <w:pPr>
              <w:spacing w:line="276" w:lineRule="auto"/>
              <w:jc w:val="both"/>
              <w:rPr>
                <w:rFonts w:ascii="Verdana" w:eastAsia="Calibri" w:hAnsi="Verdana" w:cs="Arial"/>
                <w:lang w:eastAsia="es-ES_tradnl"/>
              </w:rPr>
            </w:pPr>
            <w:r w:rsidRPr="002F7DE0">
              <w:rPr>
                <w:rFonts w:ascii="Verdana" w:eastAsia="Calibri" w:hAnsi="Verdana" w:cs="Arial"/>
                <w:lang w:eastAsia="es-ES_tradnl"/>
              </w:rPr>
              <w:t>Respuesta a las consultas con radicado Nos.</w:t>
            </w:r>
            <w:r w:rsidRPr="002F7DE0">
              <w:rPr>
                <w:rFonts w:ascii="Verdana" w:hAnsi="Verdana"/>
              </w:rPr>
              <w:t xml:space="preserve"> 1_2026_08_12_010700 y 1_2026_08_13_010763, 1_2026_08_21_011133, 1_2026_08_21_011134, 1_2026_08_21_011145 y 1_2026_08_21_011147  </w:t>
            </w:r>
          </w:p>
        </w:tc>
      </w:tr>
    </w:tbl>
    <w:p w14:paraId="71D723A9" w14:textId="77777777" w:rsidR="002F7DE0" w:rsidRPr="002F7DE0" w:rsidRDefault="002F7DE0" w:rsidP="002F7DE0">
      <w:pPr>
        <w:spacing w:after="0" w:line="240" w:lineRule="auto"/>
        <w:jc w:val="both"/>
        <w:rPr>
          <w:rFonts w:ascii="Verdana" w:eastAsia="Calibri" w:hAnsi="Verdana" w:cs="Arial"/>
          <w:color w:val="000000"/>
          <w:lang w:eastAsia="es-ES_tradnl"/>
        </w:rPr>
      </w:pPr>
    </w:p>
    <w:p w14:paraId="65800D4B" w14:textId="77777777" w:rsidR="002F7DE0" w:rsidRPr="002F7DE0" w:rsidRDefault="002F7DE0" w:rsidP="002F7DE0">
      <w:pPr>
        <w:spacing w:after="0" w:line="240" w:lineRule="auto"/>
        <w:jc w:val="both"/>
        <w:rPr>
          <w:rFonts w:ascii="Verdana" w:eastAsia="Calibri" w:hAnsi="Verdana" w:cs="Arial"/>
          <w:color w:val="000000"/>
          <w:lang w:eastAsia="es-ES_tradnl"/>
        </w:rPr>
      </w:pPr>
    </w:p>
    <w:p w14:paraId="7C8ADCAB" w14:textId="77777777" w:rsidR="002F7DE0" w:rsidRPr="002F7DE0" w:rsidRDefault="002F7DE0" w:rsidP="002F7DE0">
      <w:pPr>
        <w:spacing w:after="0" w:line="276" w:lineRule="auto"/>
        <w:jc w:val="both"/>
        <w:rPr>
          <w:rFonts w:ascii="Verdana" w:eastAsia="Calibri" w:hAnsi="Verdana" w:cs="Arial"/>
          <w:lang w:eastAsia="es-ES"/>
        </w:rPr>
      </w:pPr>
      <w:r w:rsidRPr="002F7DE0">
        <w:rPr>
          <w:rFonts w:ascii="Verdana" w:eastAsia="Calibri" w:hAnsi="Verdana" w:cs="Arial"/>
          <w:lang w:eastAsia="es-ES"/>
        </w:rPr>
        <w:t xml:space="preserve">Estimado señor Realpe: </w:t>
      </w:r>
    </w:p>
    <w:p w14:paraId="764097EF" w14:textId="77777777" w:rsidR="002F7DE0" w:rsidRPr="002F7DE0" w:rsidRDefault="002F7DE0" w:rsidP="002F7DE0">
      <w:pPr>
        <w:tabs>
          <w:tab w:val="left" w:pos="3768"/>
        </w:tabs>
        <w:spacing w:after="0" w:line="276" w:lineRule="auto"/>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ab/>
      </w:r>
    </w:p>
    <w:p w14:paraId="2711A9EE" w14:textId="77777777" w:rsidR="002F7DE0" w:rsidRPr="002F7DE0" w:rsidRDefault="002F7DE0" w:rsidP="002F7DE0">
      <w:pPr>
        <w:spacing w:after="0" w:line="276" w:lineRule="auto"/>
        <w:jc w:val="both"/>
        <w:rPr>
          <w:rFonts w:ascii="Verdana" w:eastAsia="Calibri" w:hAnsi="Verdana" w:cs="Arial"/>
          <w:i/>
          <w:iCs/>
          <w:lang w:eastAsia="es-ES"/>
        </w:rPr>
      </w:pPr>
      <w:r w:rsidRPr="002F7DE0">
        <w:rPr>
          <w:rFonts w:ascii="Verdana" w:eastAsia="Calibri" w:hAnsi="Verdana" w:cs="Arial"/>
          <w:color w:val="000000" w:themeColor="text1"/>
          <w:lang w:eastAsia="es-ES"/>
        </w:rPr>
        <w:t>En ejercicio de la competencia otorgada por los artículos 3, numeral 5º, y 11, numeral 8º, del Decreto Ley 4170 de 2011,</w:t>
      </w:r>
      <w:r w:rsidRPr="002F7DE0">
        <w:rPr>
          <w:rFonts w:ascii="Verdana" w:eastAsia="Arial MT" w:hAnsi="Verdana" w:cs="Arial MT"/>
          <w:lang w:eastAsia="es-ES"/>
        </w:rPr>
        <w:t xml:space="preserve"> </w:t>
      </w:r>
      <w:r w:rsidRPr="002F7DE0">
        <w:rPr>
          <w:rFonts w:ascii="Verdana" w:hAnsi="Verdana" w:cs="Arial"/>
        </w:rPr>
        <w:t xml:space="preserve">así como lo establecido en la Resolución 469 de 2025 expedida por esta Entidad, </w:t>
      </w:r>
      <w:r w:rsidRPr="002F7DE0">
        <w:rPr>
          <w:rFonts w:ascii="Verdana" w:eastAsia="Calibri" w:hAnsi="Verdana" w:cs="Arial"/>
          <w:color w:val="000000" w:themeColor="text1"/>
          <w:lang w:eastAsia="es-ES"/>
        </w:rPr>
        <w:t>la Agencia Nacional de Contratación Pública – Colombia Compra Eficiente responde sus solicitudes del 18 de agosto de 2026 y del 24 de agosto de 2026 remitidas por competencia por el Departamento Nacional de Planeación,</w:t>
      </w:r>
      <w:r w:rsidRPr="002F7DE0">
        <w:rPr>
          <w:rFonts w:ascii="Verdana" w:eastAsia="Calibri" w:hAnsi="Verdana" w:cs="Arial"/>
          <w:lang w:eastAsia="es-ES"/>
        </w:rPr>
        <w:t xml:space="preserve"> en la cual consulta sobre lo siguiente:</w:t>
      </w:r>
      <w:r w:rsidRPr="002F7DE0">
        <w:rPr>
          <w:rFonts w:ascii="Verdana" w:eastAsia="Calibri" w:hAnsi="Verdana" w:cs="Arial"/>
          <w:i/>
          <w:iCs/>
          <w:lang w:eastAsia="es-ES"/>
        </w:rPr>
        <w:t xml:space="preserve"> </w:t>
      </w:r>
      <w:bookmarkStart w:id="2" w:name="_Hlk95313578"/>
    </w:p>
    <w:p w14:paraId="6BB0DDE9" w14:textId="77777777" w:rsidR="002F7DE0" w:rsidRPr="002F7DE0" w:rsidRDefault="002F7DE0" w:rsidP="002F7DE0">
      <w:pPr>
        <w:spacing w:after="0" w:line="276" w:lineRule="auto"/>
        <w:jc w:val="both"/>
        <w:rPr>
          <w:rFonts w:ascii="Verdana" w:eastAsia="Calibri" w:hAnsi="Verdana" w:cs="Arial"/>
          <w:i/>
          <w:iCs/>
          <w:lang w:eastAsia="es-ES"/>
        </w:rPr>
      </w:pPr>
    </w:p>
    <w:p w14:paraId="7B3E144C" w14:textId="77777777" w:rsidR="002F7DE0" w:rsidRPr="002F7DE0" w:rsidRDefault="002F7DE0" w:rsidP="002F7DE0">
      <w:pPr>
        <w:spacing w:after="0" w:line="240" w:lineRule="auto"/>
        <w:ind w:left="709" w:right="709"/>
        <w:jc w:val="both"/>
        <w:rPr>
          <w:rFonts w:ascii="Verdana" w:hAnsi="Verdana"/>
          <w:sz w:val="20"/>
          <w:szCs w:val="20"/>
        </w:rPr>
      </w:pPr>
      <w:r w:rsidRPr="002F7DE0">
        <w:rPr>
          <w:rFonts w:ascii="Verdana" w:eastAsia="Arial" w:hAnsi="Verdana" w:cs="Arial"/>
          <w:iCs/>
          <w:color w:val="000000"/>
          <w:sz w:val="20"/>
          <w:szCs w:val="20"/>
        </w:rPr>
        <w:t>“</w:t>
      </w:r>
      <w:bookmarkEnd w:id="2"/>
      <w:r w:rsidRPr="002F7DE0">
        <w:rPr>
          <w:rFonts w:ascii="Verdana" w:hAnsi="Verdana"/>
          <w:sz w:val="20"/>
          <w:szCs w:val="20"/>
        </w:rPr>
        <w:t>(…)</w:t>
      </w:r>
    </w:p>
    <w:p w14:paraId="179DB41A" w14:textId="77777777" w:rsidR="002F7DE0" w:rsidRPr="002F7DE0" w:rsidRDefault="002F7DE0" w:rsidP="002F7DE0">
      <w:pPr>
        <w:spacing w:after="0" w:line="240" w:lineRule="auto"/>
        <w:ind w:left="709" w:right="709"/>
        <w:jc w:val="both"/>
        <w:rPr>
          <w:rFonts w:ascii="Verdana" w:hAnsi="Verdana"/>
          <w:sz w:val="20"/>
          <w:szCs w:val="20"/>
        </w:rPr>
      </w:pPr>
      <w:r w:rsidRPr="002F7DE0">
        <w:rPr>
          <w:rFonts w:ascii="Verdana" w:hAnsi="Verdana"/>
          <w:sz w:val="20"/>
          <w:szCs w:val="20"/>
        </w:rPr>
        <w:lastRenderedPageBreak/>
        <w:t xml:space="preserve">1. Se precise, de manera expresa, qué debe entenderse jurídicamente por la expresión “régimen de contratación pública” contenida en el parágrafo primero del artículo 37 de la Ley 2056 de 2020. </w:t>
      </w:r>
    </w:p>
    <w:p w14:paraId="1813131A" w14:textId="77777777" w:rsidR="002F7DE0" w:rsidRPr="002F7DE0" w:rsidRDefault="002F7DE0" w:rsidP="002F7DE0">
      <w:pPr>
        <w:spacing w:after="0" w:line="240" w:lineRule="auto"/>
        <w:ind w:left="709" w:right="709"/>
        <w:jc w:val="both"/>
        <w:rPr>
          <w:rFonts w:ascii="Verdana" w:hAnsi="Verdana"/>
          <w:sz w:val="20"/>
          <w:szCs w:val="20"/>
        </w:rPr>
      </w:pPr>
    </w:p>
    <w:p w14:paraId="2ED09521" w14:textId="77777777" w:rsidR="002F7DE0" w:rsidRPr="002F7DE0" w:rsidRDefault="002F7DE0" w:rsidP="002F7DE0">
      <w:pPr>
        <w:spacing w:after="0" w:line="240" w:lineRule="auto"/>
        <w:ind w:left="709" w:right="709"/>
        <w:jc w:val="both"/>
        <w:rPr>
          <w:rFonts w:ascii="Verdana" w:hAnsi="Verdana"/>
          <w:sz w:val="20"/>
          <w:szCs w:val="20"/>
        </w:rPr>
      </w:pPr>
      <w:r w:rsidRPr="002F7DE0">
        <w:rPr>
          <w:rFonts w:ascii="Verdana" w:hAnsi="Verdana"/>
          <w:sz w:val="20"/>
          <w:szCs w:val="20"/>
        </w:rPr>
        <w:t>2. Se indique cuál disposición legal establece que la expresión “régimen de contratación pública” del artículo 37 equivale necesariamente al sometimiento integral del EGCAP, y se identifique si esa conclusión proviene de una remisión normativa expresa, de una interpretación sistemática, del principio de especialidad o de otro criterio hermenéutico.</w:t>
      </w:r>
    </w:p>
    <w:p w14:paraId="12F5CDCF" w14:textId="77777777" w:rsidR="002F7DE0" w:rsidRPr="002F7DE0" w:rsidRDefault="002F7DE0" w:rsidP="002F7DE0">
      <w:pPr>
        <w:spacing w:after="0" w:line="240" w:lineRule="auto"/>
        <w:ind w:left="709" w:right="709"/>
        <w:jc w:val="both"/>
        <w:rPr>
          <w:rFonts w:ascii="Verdana" w:hAnsi="Verdana"/>
          <w:sz w:val="20"/>
          <w:szCs w:val="20"/>
        </w:rPr>
      </w:pPr>
    </w:p>
    <w:p w14:paraId="7AE5483A" w14:textId="77777777" w:rsidR="002F7DE0" w:rsidRPr="002F7DE0" w:rsidRDefault="002F7DE0" w:rsidP="002F7DE0">
      <w:pPr>
        <w:spacing w:after="0" w:line="240" w:lineRule="auto"/>
        <w:ind w:left="709" w:right="709"/>
        <w:jc w:val="both"/>
        <w:rPr>
          <w:rFonts w:ascii="Verdana" w:hAnsi="Verdana"/>
          <w:sz w:val="20"/>
          <w:szCs w:val="20"/>
        </w:rPr>
      </w:pPr>
      <w:r w:rsidRPr="002F7DE0">
        <w:rPr>
          <w:rFonts w:ascii="Verdana" w:hAnsi="Verdana"/>
          <w:sz w:val="20"/>
          <w:szCs w:val="20"/>
        </w:rPr>
        <w:t xml:space="preserve">3. Se explique por qué el artículo 13 de la Ley 1150 de 2007 no conduciría a que una entidad estatal legalmente exceptuada continúe desarrollando su actividad contractual acorde con su régimen legal especial cuando actúa como ejecutora del SGR, atendiendo a que dicha disposición se encuentra dentro del estatuto de la contratación pública. </w:t>
      </w:r>
    </w:p>
    <w:p w14:paraId="4910C498" w14:textId="77777777" w:rsidR="002F7DE0" w:rsidRPr="002F7DE0" w:rsidRDefault="002F7DE0" w:rsidP="002F7DE0">
      <w:pPr>
        <w:spacing w:after="0" w:line="240" w:lineRule="auto"/>
        <w:ind w:left="709" w:right="709"/>
        <w:jc w:val="both"/>
        <w:rPr>
          <w:rFonts w:ascii="Verdana" w:hAnsi="Verdana"/>
          <w:sz w:val="20"/>
          <w:szCs w:val="20"/>
        </w:rPr>
      </w:pPr>
    </w:p>
    <w:p w14:paraId="2352C7DF" w14:textId="77777777" w:rsidR="002F7DE0" w:rsidRPr="002F7DE0" w:rsidRDefault="002F7DE0" w:rsidP="002F7DE0">
      <w:pPr>
        <w:spacing w:after="0" w:line="240" w:lineRule="auto"/>
        <w:ind w:left="709" w:right="709"/>
        <w:jc w:val="both"/>
        <w:rPr>
          <w:rFonts w:ascii="Verdana" w:hAnsi="Verdana"/>
          <w:sz w:val="20"/>
          <w:szCs w:val="20"/>
        </w:rPr>
      </w:pPr>
      <w:r w:rsidRPr="002F7DE0">
        <w:rPr>
          <w:rFonts w:ascii="Verdana" w:hAnsi="Verdana"/>
          <w:sz w:val="20"/>
          <w:szCs w:val="20"/>
        </w:rPr>
        <w:t xml:space="preserve">4. Se precise si el artículo 37 de la Ley 2056 de 2020 produjo una derogación, modificación, suspensión temporal, desplazamiento por especialidad o simple inaplicación, para proyectos de inversión financiados con recursos del SGR, de las normas legales que atribuyen a determinadas entidades un régimen contractual especial o de derecho privado. En caso afirmativo, indicar el fundamento legal exacto y los efectos de cada figura. </w:t>
      </w:r>
    </w:p>
    <w:p w14:paraId="39CA88E2" w14:textId="77777777" w:rsidR="002F7DE0" w:rsidRPr="002F7DE0" w:rsidRDefault="002F7DE0" w:rsidP="002F7DE0">
      <w:pPr>
        <w:spacing w:after="0" w:line="240" w:lineRule="auto"/>
        <w:ind w:left="709" w:right="709"/>
        <w:jc w:val="both"/>
        <w:rPr>
          <w:rFonts w:ascii="Verdana" w:hAnsi="Verdana"/>
          <w:sz w:val="20"/>
          <w:szCs w:val="20"/>
        </w:rPr>
      </w:pPr>
    </w:p>
    <w:p w14:paraId="29F21BE5" w14:textId="77777777" w:rsidR="002F7DE0" w:rsidRPr="002F7DE0" w:rsidRDefault="002F7DE0" w:rsidP="002F7DE0">
      <w:pPr>
        <w:spacing w:after="0" w:line="240" w:lineRule="auto"/>
        <w:ind w:left="709" w:right="709"/>
        <w:jc w:val="both"/>
        <w:rPr>
          <w:rFonts w:ascii="Verdana" w:hAnsi="Verdana"/>
          <w:sz w:val="20"/>
          <w:szCs w:val="20"/>
        </w:rPr>
      </w:pPr>
      <w:r w:rsidRPr="002F7DE0">
        <w:rPr>
          <w:rFonts w:ascii="Verdana" w:hAnsi="Verdana"/>
          <w:sz w:val="20"/>
          <w:szCs w:val="20"/>
        </w:rPr>
        <w:t xml:space="preserve">5. Se aclare cómo se armoniza la tesis sostenida en los conceptos C-781 de 2024, C-958 de 2025, C417 de 2026, C-764 de 2026 y C-1030 de 2026 con el artículo 13 de la Ley 1150 de 2007. </w:t>
      </w:r>
    </w:p>
    <w:p w14:paraId="4824F935" w14:textId="77777777" w:rsidR="002F7DE0" w:rsidRPr="002F7DE0" w:rsidRDefault="002F7DE0" w:rsidP="002F7DE0">
      <w:pPr>
        <w:spacing w:after="0" w:line="240" w:lineRule="auto"/>
        <w:ind w:left="709" w:right="709"/>
        <w:jc w:val="both"/>
        <w:rPr>
          <w:rFonts w:ascii="Verdana" w:hAnsi="Verdana"/>
          <w:sz w:val="20"/>
          <w:szCs w:val="20"/>
        </w:rPr>
      </w:pPr>
    </w:p>
    <w:p w14:paraId="4D793800" w14:textId="77777777" w:rsidR="002F7DE0" w:rsidRPr="002F7DE0" w:rsidRDefault="002F7DE0" w:rsidP="002F7DE0">
      <w:pPr>
        <w:spacing w:after="0" w:line="240" w:lineRule="auto"/>
        <w:ind w:left="709" w:right="709"/>
        <w:jc w:val="both"/>
        <w:rPr>
          <w:rFonts w:ascii="Verdana" w:hAnsi="Verdana"/>
          <w:sz w:val="20"/>
          <w:szCs w:val="20"/>
        </w:rPr>
      </w:pPr>
      <w:r w:rsidRPr="002F7DE0">
        <w:rPr>
          <w:rFonts w:ascii="Verdana" w:hAnsi="Verdana"/>
          <w:sz w:val="20"/>
          <w:szCs w:val="20"/>
        </w:rPr>
        <w:t xml:space="preserve">6. Se explique la incidencia del artículo 56 de la Ley 2195 de 2022 en esta materia, especialmente considerando que es posterior a la Ley 2056 de 2020 y reconoce expresamente entidades cuyo régimen contractual es especial o de derecho privado. </w:t>
      </w:r>
    </w:p>
    <w:p w14:paraId="3E66385C" w14:textId="77777777" w:rsidR="002F7DE0" w:rsidRPr="002F7DE0" w:rsidRDefault="002F7DE0" w:rsidP="002F7DE0">
      <w:pPr>
        <w:spacing w:after="0" w:line="240" w:lineRule="auto"/>
        <w:ind w:left="709" w:right="709"/>
        <w:jc w:val="both"/>
        <w:rPr>
          <w:rFonts w:ascii="Verdana" w:hAnsi="Verdana"/>
          <w:sz w:val="20"/>
          <w:szCs w:val="20"/>
        </w:rPr>
      </w:pPr>
    </w:p>
    <w:p w14:paraId="728CEB86" w14:textId="77777777" w:rsidR="002F7DE0" w:rsidRPr="002F7DE0" w:rsidRDefault="002F7DE0" w:rsidP="002F7DE0">
      <w:pPr>
        <w:spacing w:after="0" w:line="240" w:lineRule="auto"/>
        <w:ind w:left="709" w:right="709"/>
        <w:jc w:val="both"/>
        <w:rPr>
          <w:rFonts w:ascii="Verdana" w:hAnsi="Verdana"/>
          <w:sz w:val="20"/>
          <w:szCs w:val="20"/>
        </w:rPr>
      </w:pPr>
      <w:r w:rsidRPr="002F7DE0">
        <w:rPr>
          <w:rFonts w:ascii="Verdana" w:hAnsi="Verdana"/>
          <w:sz w:val="20"/>
          <w:szCs w:val="20"/>
        </w:rPr>
        <w:t xml:space="preserve">7. Se precise si, a juicio de la Agencia, la obligación de aplicar documentos tipo a una entidad de régimen especial deriva directamente del artículo 37 de la Ley 2056 de 2020, o del artículo 56 de la Ley 2195 de 2022, y su parágrafo 7.º y del artículo 2 de la Ley 1150, o de la aplicación conjunta de estas normas; y se explique el supuesto de hecho de cada una. </w:t>
      </w:r>
    </w:p>
    <w:p w14:paraId="2334662C" w14:textId="77777777" w:rsidR="002F7DE0" w:rsidRPr="002F7DE0" w:rsidRDefault="002F7DE0" w:rsidP="002F7DE0">
      <w:pPr>
        <w:spacing w:after="0" w:line="240" w:lineRule="auto"/>
        <w:ind w:left="709" w:right="709"/>
        <w:jc w:val="both"/>
        <w:rPr>
          <w:rFonts w:ascii="Verdana" w:hAnsi="Verdana"/>
          <w:sz w:val="20"/>
          <w:szCs w:val="20"/>
        </w:rPr>
      </w:pPr>
    </w:p>
    <w:p w14:paraId="2C406E71" w14:textId="77777777" w:rsidR="002F7DE0" w:rsidRPr="002F7DE0" w:rsidRDefault="002F7DE0" w:rsidP="002F7DE0">
      <w:pPr>
        <w:spacing w:after="0" w:line="240" w:lineRule="auto"/>
        <w:ind w:left="709" w:right="709"/>
        <w:jc w:val="both"/>
        <w:rPr>
          <w:rFonts w:ascii="Verdana" w:hAnsi="Verdana"/>
          <w:sz w:val="20"/>
          <w:szCs w:val="20"/>
        </w:rPr>
      </w:pPr>
      <w:r w:rsidRPr="002F7DE0">
        <w:rPr>
          <w:rFonts w:ascii="Verdana" w:hAnsi="Verdana"/>
          <w:sz w:val="20"/>
          <w:szCs w:val="20"/>
        </w:rPr>
        <w:t xml:space="preserve">8. Se indique si la tesis de sometimiento integral al EGCAP aplica indistintamente a toda entidad ejecutora de los recursos de inversión financiados con el SGR, cualquiera sea la fuente legal de su régimen exceptuado, o si deben analizarse las normas especiales de creación y contratación de cada categoría de entidad. </w:t>
      </w:r>
    </w:p>
    <w:p w14:paraId="3ED9B154" w14:textId="77777777" w:rsidR="002F7DE0" w:rsidRPr="002F7DE0" w:rsidRDefault="002F7DE0" w:rsidP="002F7DE0">
      <w:pPr>
        <w:spacing w:after="0" w:line="240" w:lineRule="auto"/>
        <w:ind w:left="709" w:right="709"/>
        <w:jc w:val="both"/>
        <w:rPr>
          <w:rFonts w:ascii="Verdana" w:hAnsi="Verdana"/>
          <w:sz w:val="20"/>
          <w:szCs w:val="20"/>
        </w:rPr>
      </w:pPr>
    </w:p>
    <w:p w14:paraId="4074B9E9" w14:textId="77777777" w:rsidR="002F7DE0" w:rsidRPr="002F7DE0" w:rsidRDefault="002F7DE0" w:rsidP="002F7DE0">
      <w:pPr>
        <w:spacing w:after="0" w:line="240" w:lineRule="auto"/>
        <w:ind w:left="709" w:right="709"/>
        <w:jc w:val="both"/>
        <w:rPr>
          <w:rFonts w:ascii="Verdana" w:hAnsi="Verdana"/>
          <w:sz w:val="20"/>
          <w:szCs w:val="20"/>
        </w:rPr>
      </w:pPr>
      <w:r w:rsidRPr="002F7DE0">
        <w:rPr>
          <w:rFonts w:ascii="Verdana" w:hAnsi="Verdana"/>
          <w:sz w:val="20"/>
          <w:szCs w:val="20"/>
        </w:rPr>
        <w:t xml:space="preserve">9. Se informe si existe jurisprudencia del Consejo de Estado o de la Corte Constitucional que haya resuelto de manera directa que la expresión </w:t>
      </w:r>
      <w:r w:rsidRPr="002F7DE0">
        <w:rPr>
          <w:rFonts w:ascii="Verdana" w:hAnsi="Verdana"/>
          <w:sz w:val="20"/>
          <w:szCs w:val="20"/>
        </w:rPr>
        <w:lastRenderedPageBreak/>
        <w:t>“régimen de contratación pública” del artículo 37 de la Ley 2056 de 2020 implica la inaplicación del régimen contractual especial de una entidad ejecutora. De existir, se solicita identificar providencia, fecha, radicado, corporación, sección/sala y regla jurisprudencial aplicable.</w:t>
      </w:r>
    </w:p>
    <w:p w14:paraId="590CE3AE" w14:textId="77777777" w:rsidR="002F7DE0" w:rsidRPr="002F7DE0" w:rsidRDefault="002F7DE0" w:rsidP="002F7DE0">
      <w:pPr>
        <w:spacing w:after="0" w:line="240" w:lineRule="auto"/>
        <w:ind w:left="709" w:right="709"/>
        <w:jc w:val="both"/>
        <w:rPr>
          <w:rFonts w:ascii="Verdana" w:hAnsi="Verdana"/>
          <w:sz w:val="20"/>
          <w:szCs w:val="20"/>
        </w:rPr>
      </w:pPr>
    </w:p>
    <w:p w14:paraId="5E87615A" w14:textId="77777777" w:rsidR="002F7DE0" w:rsidRPr="002F7DE0" w:rsidRDefault="002F7DE0" w:rsidP="002F7DE0">
      <w:pPr>
        <w:spacing w:after="0" w:line="240" w:lineRule="auto"/>
        <w:ind w:left="709" w:right="709"/>
        <w:jc w:val="both"/>
        <w:rPr>
          <w:rFonts w:ascii="Verdana" w:hAnsi="Verdana"/>
          <w:sz w:val="20"/>
          <w:szCs w:val="20"/>
        </w:rPr>
      </w:pPr>
      <w:r w:rsidRPr="002F7DE0">
        <w:rPr>
          <w:rFonts w:ascii="Verdana" w:hAnsi="Verdana"/>
          <w:sz w:val="20"/>
          <w:szCs w:val="20"/>
        </w:rPr>
        <w:t xml:space="preserve">10.Se informe si existe concepto de la Sala de Consulta y Servicio Civil del Consejo de Estado, directriz del Departamento Nacional de Planeación, concepto de la Contraloría General de la República u otra fuente institucional que haya analizado específicamente esta tensión normativa, y se indique cómo fue considerada por la Agencia. </w:t>
      </w:r>
    </w:p>
    <w:p w14:paraId="0AAE9D0E" w14:textId="77777777" w:rsidR="002F7DE0" w:rsidRPr="002F7DE0" w:rsidRDefault="002F7DE0" w:rsidP="002F7DE0">
      <w:pPr>
        <w:spacing w:after="0" w:line="240" w:lineRule="auto"/>
        <w:ind w:left="709" w:right="709"/>
        <w:jc w:val="both"/>
        <w:rPr>
          <w:rFonts w:ascii="Verdana" w:hAnsi="Verdana"/>
          <w:sz w:val="20"/>
          <w:szCs w:val="20"/>
        </w:rPr>
      </w:pPr>
    </w:p>
    <w:p w14:paraId="67CBD004" w14:textId="77777777" w:rsidR="002F7DE0" w:rsidRPr="002F7DE0" w:rsidRDefault="002F7DE0" w:rsidP="002F7DE0">
      <w:pPr>
        <w:spacing w:after="0" w:line="240" w:lineRule="auto"/>
        <w:ind w:left="709" w:right="709"/>
        <w:jc w:val="both"/>
        <w:rPr>
          <w:rFonts w:ascii="Verdana" w:hAnsi="Verdana"/>
          <w:sz w:val="20"/>
          <w:szCs w:val="20"/>
        </w:rPr>
      </w:pPr>
      <w:r w:rsidRPr="002F7DE0">
        <w:rPr>
          <w:rFonts w:ascii="Verdana" w:hAnsi="Verdana"/>
          <w:sz w:val="20"/>
          <w:szCs w:val="20"/>
        </w:rPr>
        <w:t xml:space="preserve">11.Se identifiquen todos los conceptos vigentes de Colombia Compra Eficiente que integran la línea doctrinal sobre la aplicación del 37 de la Ley 2056 de 2020 y las entidades ejecutoras con régimen especial, indicando cuáles constituyen reiteración, aclaración, modificación o cambio de doctrina. </w:t>
      </w:r>
    </w:p>
    <w:p w14:paraId="10F8108F" w14:textId="77777777" w:rsidR="002F7DE0" w:rsidRPr="002F7DE0" w:rsidRDefault="002F7DE0" w:rsidP="002F7DE0">
      <w:pPr>
        <w:spacing w:after="0" w:line="240" w:lineRule="auto"/>
        <w:ind w:left="709" w:right="709"/>
        <w:jc w:val="both"/>
        <w:rPr>
          <w:rFonts w:ascii="Verdana" w:hAnsi="Verdana"/>
          <w:sz w:val="20"/>
          <w:szCs w:val="20"/>
        </w:rPr>
      </w:pPr>
    </w:p>
    <w:p w14:paraId="179FEF08" w14:textId="77777777" w:rsidR="002F7DE0" w:rsidRPr="002F7DE0" w:rsidRDefault="002F7DE0" w:rsidP="002F7DE0">
      <w:pPr>
        <w:spacing w:after="0" w:line="240" w:lineRule="auto"/>
        <w:ind w:left="709" w:right="709"/>
        <w:jc w:val="both"/>
        <w:rPr>
          <w:rFonts w:ascii="Verdana" w:hAnsi="Verdana"/>
          <w:sz w:val="20"/>
          <w:szCs w:val="20"/>
        </w:rPr>
      </w:pPr>
      <w:r w:rsidRPr="002F7DE0">
        <w:rPr>
          <w:rFonts w:ascii="Verdana" w:hAnsi="Verdana"/>
          <w:sz w:val="20"/>
          <w:szCs w:val="20"/>
        </w:rPr>
        <w:t xml:space="preserve">12.Se precise si la Agencia considera jurídicamente posible una interpretación según la cual “contratación pública” comprenda tanto el EGCAP como los regímenes contractuales públicos exceptuados reconocidos por el artículo 13 de la Ley 1150; y, si la descarta, se expliquen de forma específica las razones normativas, jurisprudenciales y hermenéuticas para hacerlo. </w:t>
      </w:r>
    </w:p>
    <w:p w14:paraId="6DA1B868" w14:textId="77777777" w:rsidR="002F7DE0" w:rsidRPr="002F7DE0" w:rsidRDefault="002F7DE0" w:rsidP="002F7DE0">
      <w:pPr>
        <w:spacing w:after="0" w:line="240" w:lineRule="auto"/>
        <w:ind w:left="709" w:right="709"/>
        <w:jc w:val="both"/>
        <w:rPr>
          <w:rFonts w:ascii="Verdana" w:hAnsi="Verdana"/>
          <w:sz w:val="20"/>
          <w:szCs w:val="20"/>
        </w:rPr>
      </w:pPr>
    </w:p>
    <w:p w14:paraId="702C57F4" w14:textId="77777777" w:rsidR="002F7DE0" w:rsidRPr="002F7DE0" w:rsidRDefault="002F7DE0" w:rsidP="002F7DE0">
      <w:pPr>
        <w:spacing w:after="0" w:line="240" w:lineRule="auto"/>
        <w:ind w:left="709" w:right="709"/>
        <w:jc w:val="both"/>
        <w:rPr>
          <w:rFonts w:ascii="Verdana" w:hAnsi="Verdana"/>
          <w:sz w:val="20"/>
          <w:szCs w:val="20"/>
        </w:rPr>
      </w:pPr>
      <w:r w:rsidRPr="002F7DE0">
        <w:rPr>
          <w:rFonts w:ascii="Verdana" w:hAnsi="Verdana"/>
          <w:sz w:val="20"/>
          <w:szCs w:val="20"/>
        </w:rPr>
        <w:t xml:space="preserve">13.Se aclare si el solo hecho de que una entidad ejecutora con régimen especial aplique su manual de contratación constituye, para efectos administrativos de competencia de la Agencia, una infracción automática del artículo 37 de la ley 2056 de 2020, o si la determinación exige analizar la naturaleza jurídica de la entidad, la fuente legal de su régimen, el objeto del proyecto y las demás normas aplicables. </w:t>
      </w:r>
    </w:p>
    <w:p w14:paraId="70371450" w14:textId="77777777" w:rsidR="002F7DE0" w:rsidRPr="002F7DE0" w:rsidRDefault="002F7DE0" w:rsidP="002F7DE0">
      <w:pPr>
        <w:spacing w:after="0" w:line="240" w:lineRule="auto"/>
        <w:ind w:left="709" w:right="709"/>
        <w:jc w:val="both"/>
        <w:rPr>
          <w:rFonts w:ascii="Verdana" w:hAnsi="Verdana"/>
          <w:sz w:val="20"/>
          <w:szCs w:val="20"/>
        </w:rPr>
      </w:pPr>
    </w:p>
    <w:p w14:paraId="0C1337D4" w14:textId="77777777" w:rsidR="002F7DE0" w:rsidRPr="002F7DE0" w:rsidRDefault="002F7DE0" w:rsidP="002F7DE0">
      <w:pPr>
        <w:spacing w:after="0" w:line="240" w:lineRule="auto"/>
        <w:ind w:left="709" w:right="709"/>
        <w:jc w:val="both"/>
        <w:rPr>
          <w:rFonts w:ascii="Verdana" w:hAnsi="Verdana"/>
          <w:sz w:val="20"/>
          <w:szCs w:val="20"/>
        </w:rPr>
      </w:pPr>
      <w:r w:rsidRPr="002F7DE0">
        <w:rPr>
          <w:rFonts w:ascii="Verdana" w:hAnsi="Verdana"/>
          <w:sz w:val="20"/>
          <w:szCs w:val="20"/>
        </w:rPr>
        <w:t>14.Finalmente, se solicita que, si la Agencia mantiene la tesis actualmente expuesta, precise expresamente sus límites y alcance, con el fin de proporcionar seguridad jurídica a las entidades ejecutoras y evitar interpretaciones extensivas no contenidas literalmente en la Ley 2056 de 2020.”</w:t>
      </w:r>
    </w:p>
    <w:p w14:paraId="58516FBE" w14:textId="77777777" w:rsidR="002F7DE0" w:rsidRPr="002F7DE0" w:rsidRDefault="002F7DE0" w:rsidP="002F7DE0">
      <w:pPr>
        <w:spacing w:after="0" w:line="240" w:lineRule="auto"/>
        <w:ind w:right="709"/>
        <w:jc w:val="both"/>
      </w:pPr>
    </w:p>
    <w:p w14:paraId="4738C0E9" w14:textId="77777777" w:rsidR="002F7DE0" w:rsidRPr="002F7DE0" w:rsidRDefault="002F7DE0" w:rsidP="002F7DE0">
      <w:pPr>
        <w:spacing w:after="120" w:line="276" w:lineRule="auto"/>
        <w:ind w:firstLine="709"/>
        <w:jc w:val="both"/>
        <w:rPr>
          <w:rFonts w:ascii="Verdana" w:eastAsia="Calibri" w:hAnsi="Verdana" w:cs="Arial"/>
          <w:color w:val="000000"/>
          <w:lang w:eastAsia="es-ES"/>
        </w:rPr>
      </w:pPr>
      <w:r w:rsidRPr="002F7DE0">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2F7DE0">
        <w:rPr>
          <w:rFonts w:ascii="Verdana" w:eastAsia="Calibri" w:hAnsi="Verdana" w:cs="Arial"/>
          <w:color w:val="000000"/>
          <w:lang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F7DE0">
        <w:rPr>
          <w:rFonts w:ascii="Verdana" w:eastAsia="Calibri" w:hAnsi="Verdana" w:cs="Arial"/>
          <w:color w:val="000000"/>
          <w:szCs w:val="24"/>
          <w:lang w:eastAsia="es-ES_tradnl"/>
        </w:rPr>
        <w:tab/>
      </w:r>
    </w:p>
    <w:p w14:paraId="674D9245" w14:textId="77777777" w:rsidR="002F7DE0" w:rsidRPr="002F7DE0" w:rsidRDefault="002F7DE0" w:rsidP="002F7DE0">
      <w:pPr>
        <w:spacing w:after="0" w:line="276" w:lineRule="auto"/>
        <w:ind w:firstLine="709"/>
        <w:jc w:val="both"/>
        <w:rPr>
          <w:rFonts w:ascii="Verdana" w:eastAsia="Calibri" w:hAnsi="Verdana" w:cs="Arial"/>
          <w:color w:val="000000"/>
          <w:lang w:eastAsia="es-ES"/>
        </w:rPr>
      </w:pPr>
      <w:r w:rsidRPr="002F7DE0">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2F7DE0">
        <w:rPr>
          <w:rFonts w:ascii="Verdana" w:eastAsia="Calibri" w:hAnsi="Verdana" w:cs="Arial"/>
          <w:color w:val="7030A0"/>
          <w:lang w:eastAsia="es-ES"/>
        </w:rPr>
        <w:t xml:space="preserve"> </w:t>
      </w:r>
      <w:r w:rsidRPr="002F7DE0">
        <w:rPr>
          <w:rFonts w:ascii="Verdana" w:eastAsia="Calibri" w:hAnsi="Verdana" w:cs="Arial"/>
          <w:color w:val="000000"/>
          <w:lang w:eastAsia="es-ES"/>
        </w:rPr>
        <w:t>problemas</w:t>
      </w:r>
      <w:r w:rsidRPr="002F7DE0">
        <w:rPr>
          <w:rFonts w:ascii="Verdana" w:eastAsia="Calibri" w:hAnsi="Verdana" w:cs="Arial"/>
          <w:color w:val="7030A0"/>
          <w:lang w:eastAsia="es-ES"/>
        </w:rPr>
        <w:t xml:space="preserve"> </w:t>
      </w:r>
      <w:r w:rsidRPr="002F7DE0">
        <w:rPr>
          <w:rFonts w:ascii="Verdana" w:eastAsia="Calibri" w:hAnsi="Verdana" w:cs="Arial"/>
          <w:color w:val="000000"/>
          <w:lang w:eastAsia="es-ES"/>
        </w:rPr>
        <w:t>jurídicos</w:t>
      </w:r>
      <w:r w:rsidRPr="002F7DE0">
        <w:rPr>
          <w:rFonts w:ascii="Verdana" w:eastAsia="Calibri" w:hAnsi="Verdana" w:cs="Arial"/>
          <w:color w:val="7030A0"/>
          <w:lang w:eastAsia="es-ES"/>
        </w:rPr>
        <w:t xml:space="preserve"> </w:t>
      </w:r>
      <w:r w:rsidRPr="002F7DE0">
        <w:rPr>
          <w:rFonts w:ascii="Verdana" w:eastAsia="Calibri" w:hAnsi="Verdana" w:cs="Arial"/>
          <w:color w:val="000000"/>
          <w:lang w:eastAsia="es-ES"/>
        </w:rPr>
        <w:t xml:space="preserve">de su consulta. </w:t>
      </w:r>
    </w:p>
    <w:p w14:paraId="25F142ED" w14:textId="77777777" w:rsidR="002F7DE0" w:rsidRPr="002F7DE0" w:rsidRDefault="002F7DE0" w:rsidP="002F7DE0">
      <w:pPr>
        <w:spacing w:after="0" w:line="276" w:lineRule="auto"/>
        <w:ind w:firstLine="709"/>
        <w:jc w:val="both"/>
        <w:rPr>
          <w:rFonts w:ascii="Verdana" w:eastAsia="Calibri" w:hAnsi="Verdana" w:cs="Arial"/>
          <w:color w:val="000000"/>
          <w:lang w:eastAsia="es-ES"/>
        </w:rPr>
      </w:pPr>
    </w:p>
    <w:p w14:paraId="33A13A1E" w14:textId="77777777" w:rsidR="002F7DE0" w:rsidRPr="002F7DE0" w:rsidRDefault="002F7DE0" w:rsidP="002F7DE0">
      <w:pPr>
        <w:numPr>
          <w:ilvl w:val="0"/>
          <w:numId w:val="1"/>
        </w:numPr>
        <w:tabs>
          <w:tab w:val="left" w:pos="142"/>
          <w:tab w:val="left" w:pos="284"/>
        </w:tabs>
        <w:spacing w:after="0" w:line="276" w:lineRule="auto"/>
        <w:jc w:val="both"/>
        <w:rPr>
          <w:rFonts w:ascii="Verdana" w:eastAsia="Century Gothic" w:hAnsi="Verdana" w:cs="Century Gothic"/>
          <w:b/>
          <w:bCs/>
        </w:rPr>
      </w:pPr>
      <w:r w:rsidRPr="002F7DE0">
        <w:rPr>
          <w:rFonts w:ascii="Verdana" w:eastAsia="Century Gothic" w:hAnsi="Verdana" w:cs="Century Gothic"/>
          <w:b/>
          <w:bCs/>
        </w:rPr>
        <w:t>Problemas planteados:</w:t>
      </w:r>
    </w:p>
    <w:p w14:paraId="4B3F5755" w14:textId="77777777" w:rsidR="002F7DE0" w:rsidRPr="002F7DE0" w:rsidRDefault="002F7DE0" w:rsidP="002F7DE0">
      <w:pPr>
        <w:tabs>
          <w:tab w:val="left" w:pos="426"/>
        </w:tabs>
        <w:spacing w:after="0" w:line="276" w:lineRule="auto"/>
        <w:jc w:val="both"/>
        <w:rPr>
          <w:rFonts w:ascii="Verdana" w:eastAsia="Century Gothic" w:hAnsi="Verdana" w:cs="Century Gothic"/>
        </w:rPr>
      </w:pPr>
    </w:p>
    <w:p w14:paraId="580627D4" w14:textId="130A3BA7" w:rsidR="002F7DE0" w:rsidRPr="002F7DE0" w:rsidRDefault="002F7DE0" w:rsidP="002F7DE0">
      <w:pPr>
        <w:spacing w:after="0" w:line="276" w:lineRule="auto"/>
        <w:jc w:val="both"/>
        <w:rPr>
          <w:rFonts w:ascii="Verdana" w:eastAsia="Century Gothic" w:hAnsi="Verdana" w:cs="Century Gothic"/>
        </w:rPr>
      </w:pPr>
      <w:r w:rsidRPr="002F7DE0">
        <w:rPr>
          <w:rFonts w:ascii="Verdana" w:eastAsia="Century Gothic" w:hAnsi="Verdana" w:cs="Century Gothic"/>
        </w:rPr>
        <w:t xml:space="preserve">De acuerdo con el contenido de su solicitud, esta Agencia resolverá </w:t>
      </w:r>
      <w:r w:rsidR="004362D9">
        <w:rPr>
          <w:rFonts w:ascii="Verdana" w:eastAsia="Century Gothic" w:hAnsi="Verdana" w:cs="Century Gothic"/>
        </w:rPr>
        <w:t>los</w:t>
      </w:r>
      <w:r w:rsidRPr="002F7DE0">
        <w:rPr>
          <w:rFonts w:ascii="Verdana" w:eastAsia="Century Gothic" w:hAnsi="Verdana" w:cs="Century Gothic"/>
        </w:rPr>
        <w:t xml:space="preserve"> siguiente</w:t>
      </w:r>
      <w:r w:rsidR="004362D9">
        <w:rPr>
          <w:rFonts w:ascii="Verdana" w:eastAsia="Century Gothic" w:hAnsi="Verdana" w:cs="Century Gothic"/>
        </w:rPr>
        <w:t>s</w:t>
      </w:r>
      <w:r w:rsidRPr="002F7DE0">
        <w:rPr>
          <w:rFonts w:ascii="Verdana" w:eastAsia="Century Gothic" w:hAnsi="Verdana" w:cs="Century Gothic"/>
        </w:rPr>
        <w:t xml:space="preserve"> problema</w:t>
      </w:r>
      <w:r w:rsidR="004362D9">
        <w:rPr>
          <w:rFonts w:ascii="Verdana" w:eastAsia="Century Gothic" w:hAnsi="Verdana" w:cs="Century Gothic"/>
        </w:rPr>
        <w:t>s</w:t>
      </w:r>
      <w:r w:rsidRPr="002F7DE0">
        <w:rPr>
          <w:rFonts w:ascii="Verdana" w:eastAsia="Century Gothic" w:hAnsi="Verdana" w:cs="Century Gothic"/>
        </w:rPr>
        <w:t xml:space="preserve"> jurídico</w:t>
      </w:r>
      <w:r w:rsidR="004362D9">
        <w:rPr>
          <w:rFonts w:ascii="Verdana" w:eastAsia="Century Gothic" w:hAnsi="Verdana" w:cs="Century Gothic"/>
        </w:rPr>
        <w:t>s</w:t>
      </w:r>
      <w:r w:rsidRPr="002F7DE0">
        <w:rPr>
          <w:rFonts w:ascii="Verdana" w:eastAsia="Century Gothic" w:hAnsi="Verdana" w:cs="Century Gothic"/>
        </w:rPr>
        <w:t>: i) ¿De conformidad con el parágrafo del artículo 37 de la Ley 2056 de 2020, cu</w:t>
      </w:r>
      <w:r w:rsidRPr="002F7DE0">
        <w:rPr>
          <w:rFonts w:ascii="Verdana" w:eastAsia="Calibri" w:hAnsi="Verdana" w:cs="Times New Roman"/>
        </w:rPr>
        <w:t>ál es el régimen contractual aplicable en la ejecución de proyectos cuya fuente de financiación es el Sistema General de Regalías, en adelante SGR, cuando la entidad ejecutora se rige por el derecho privado</w:t>
      </w:r>
      <w:r w:rsidRPr="002F7DE0">
        <w:rPr>
          <w:rFonts w:ascii="Verdana" w:eastAsia="Century Gothic" w:hAnsi="Verdana" w:cs="Century Gothic"/>
        </w:rPr>
        <w:t>?, ii) ¿Deben aplicar los documentos tipo cuando el objeto contractual se enmarque en el ámbito de aplicación de estos?, y iii) ¿El artículo 56 de la Ley 2195 de 2022 incide o desplaza la aplicación del artículo 37 de la Ley 2056 de 2020 respecto de los proyectos financiados con recursos del SGR?</w:t>
      </w:r>
    </w:p>
    <w:p w14:paraId="7F32C295" w14:textId="77777777" w:rsidR="002F7DE0" w:rsidRPr="002F7DE0" w:rsidRDefault="002F7DE0" w:rsidP="002F7DE0">
      <w:pPr>
        <w:spacing w:after="0" w:line="276" w:lineRule="auto"/>
        <w:jc w:val="both"/>
        <w:rPr>
          <w:rFonts w:ascii="Verdana" w:eastAsia="Century Gothic" w:hAnsi="Verdana" w:cs="Century Gothic"/>
        </w:rPr>
      </w:pPr>
    </w:p>
    <w:p w14:paraId="595FD4C6" w14:textId="77777777" w:rsidR="002F7DE0" w:rsidRPr="002F7DE0" w:rsidRDefault="002F7DE0" w:rsidP="002F7DE0">
      <w:pPr>
        <w:numPr>
          <w:ilvl w:val="0"/>
          <w:numId w:val="1"/>
        </w:numPr>
        <w:tabs>
          <w:tab w:val="left" w:pos="142"/>
          <w:tab w:val="left" w:pos="284"/>
        </w:tabs>
        <w:spacing w:after="0" w:line="276" w:lineRule="auto"/>
        <w:jc w:val="both"/>
        <w:rPr>
          <w:rFonts w:ascii="Verdana" w:eastAsia="Century Gothic" w:hAnsi="Verdana" w:cs="Century Gothic"/>
          <w:b/>
          <w:bCs/>
        </w:rPr>
      </w:pPr>
      <w:r w:rsidRPr="002F7DE0">
        <w:rPr>
          <w:rFonts w:ascii="Verdana" w:eastAsia="Century Gothic" w:hAnsi="Verdana" w:cs="Century Gothic"/>
          <w:b/>
          <w:bCs/>
        </w:rPr>
        <w:t>Respuestas:</w:t>
      </w:r>
    </w:p>
    <w:p w14:paraId="4C729981" w14:textId="77777777" w:rsidR="002F7DE0" w:rsidRPr="002F7DE0" w:rsidRDefault="002F7DE0" w:rsidP="002F7DE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F7DE0" w:rsidRPr="002F7DE0" w14:paraId="761E6F6B" w14:textId="77777777" w:rsidTr="001674EA">
        <w:trPr>
          <w:trHeight w:val="58"/>
          <w:jc w:val="center"/>
        </w:trPr>
        <w:tc>
          <w:tcPr>
            <w:tcW w:w="8828" w:type="dxa"/>
          </w:tcPr>
          <w:p w14:paraId="6377C114" w14:textId="77777777" w:rsidR="002F7DE0" w:rsidRPr="002F7DE0" w:rsidRDefault="002F7DE0" w:rsidP="002F7DE0">
            <w:pPr>
              <w:spacing w:after="120" w:line="276" w:lineRule="auto"/>
              <w:jc w:val="both"/>
              <w:rPr>
                <w:rFonts w:ascii="Verdana" w:hAnsi="Verdana"/>
              </w:rPr>
            </w:pPr>
            <w:bookmarkStart w:id="3" w:name="_Hlk171694685"/>
            <w:r w:rsidRPr="002F7DE0">
              <w:rPr>
                <w:rFonts w:ascii="Verdana" w:eastAsia="Calibri" w:hAnsi="Verdana" w:cs="Arial"/>
                <w:color w:val="000000"/>
                <w:lang w:val="es-ES" w:eastAsia="es-ES"/>
              </w:rPr>
              <w:t xml:space="preserve">i. Conforme a la interpretación general de las normas del sistema de compras públicas, esta Subdirección en </w:t>
            </w:r>
            <w:r w:rsidRPr="002F7DE0">
              <w:rPr>
                <w:rFonts w:ascii="Verdana" w:hAnsi="Verdana" w:cs="Arial"/>
              </w:rPr>
              <w:t>los conceptos</w:t>
            </w:r>
            <w:r w:rsidRPr="002F7DE0">
              <w:rPr>
                <w:rFonts w:ascii="Verdana" w:hAnsi="Verdana"/>
              </w:rPr>
              <w:t xml:space="preserve"> C-370 del 2021,</w:t>
            </w:r>
            <w:r w:rsidRPr="002F7DE0">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2F7DE0">
              <w:rPr>
                <w:rFonts w:ascii="Verdana" w:hAnsi="Verdana" w:cs="Arial"/>
              </w:rPr>
              <w:t xml:space="preserve"> C-764 del 29 de mayo de 2026</w:t>
            </w:r>
            <w:r w:rsidRPr="002F7DE0">
              <w:rPr>
                <w:rFonts w:ascii="Verdana" w:hAnsi="Verdana"/>
                <w:shd w:val="clear" w:color="auto" w:fill="FFFFFF"/>
              </w:rPr>
              <w:t xml:space="preserve">, C-1050 del 21 de julio de 2026, C-1151, C-1152 del 12 de agosto, C-1249 del 27 de agosto de 2026, entre otros, </w:t>
            </w:r>
            <w:r w:rsidRPr="002F7DE0">
              <w:rPr>
                <w:rFonts w:ascii="Verdana" w:hAnsi="Verdana" w:cs="Arial"/>
                <w:shd w:val="clear" w:color="auto" w:fill="FFFFFF"/>
              </w:rPr>
              <w:t xml:space="preserve">ha mantenido la postura en virtud de la cual </w:t>
            </w:r>
            <w:r w:rsidRPr="002F7DE0">
              <w:rPr>
                <w:rFonts w:ascii="Verdana" w:eastAsia="Calibri" w:hAnsi="Verdana" w:cs="Arial"/>
                <w:color w:val="000000"/>
                <w:lang w:val="es-ES" w:eastAsia="es-ES"/>
              </w:rPr>
              <w:t xml:space="preserve">de acuerdo con el parágrafo primero del artículo 37 de la </w:t>
            </w:r>
            <w:r w:rsidRPr="002F7DE0">
              <w:rPr>
                <w:rFonts w:ascii="Verdana" w:eastAsia="Calibri" w:hAnsi="Verdana" w:cs="Arial"/>
                <w:color w:val="000000"/>
                <w:lang w:val="es-ES" w:eastAsia="es-ES"/>
              </w:rPr>
              <w:lastRenderedPageBreak/>
              <w:t>Ley 2056 de 2020, el ejecutor de los proyectos de inversión del Sistema General de Regalías, independiente del régimen contractual al cuál se encuentre sujeto de manera general, deberá aplicar las reglas de contratación pública, es decir, las prescripciones establecidas en el Estatuto General de Contratación de la Administración Pública-EGCAP, así como las normas que lo modifiquen, sustituyan o reglamenten.</w:t>
            </w:r>
          </w:p>
          <w:p w14:paraId="04370698" w14:textId="77777777" w:rsidR="002F7DE0" w:rsidRPr="002F7DE0" w:rsidRDefault="002F7DE0" w:rsidP="002F7DE0">
            <w:pPr>
              <w:spacing w:after="120" w:line="276" w:lineRule="auto"/>
              <w:ind w:firstLine="709"/>
              <w:jc w:val="both"/>
              <w:rPr>
                <w:rFonts w:ascii="Verdana" w:eastAsia="Calibri" w:hAnsi="Verdana" w:cs="Arial"/>
                <w:color w:val="000000"/>
                <w:lang w:val="es-ES" w:eastAsia="es-ES"/>
              </w:rPr>
            </w:pPr>
            <w:r w:rsidRPr="002F7DE0">
              <w:rPr>
                <w:rFonts w:ascii="Verdana" w:eastAsia="Calibri" w:hAnsi="Verdana" w:cs="Arial"/>
                <w:color w:val="000000"/>
                <w:lang w:val="es-ES" w:eastAsia="es-ES"/>
              </w:rPr>
              <w:t>En este sentido, reiterando la tesis señalada en estos conceptos,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4E049F07"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Incluso, dicha posición es asumida por la Sala de Consulta y Servicio Civil del Consejo de Estado, pues en Concepto 2563 del 25 de junio de 2026 –con ponencia de la Consejera María del Pilar Bahamón Falla– estima que la expresión ‘estricta sujeción’ contenida en el parágrafo 1º del artículo 37 de la Ley 2056 de 2020 tiene un alcance normativo reforzado y no opera como una remisión subsidiaria al régimen interno de la entidad ejecutora, sino como un mandato especial de sometimiento al régimen público que gobierna la ejecución de los recursos de regalías dada su especialidad. Aunque el análisis de la Sala se realizó respecto de una Universidad Pública, sus consideraciones resultan aplicables, por analogía, a otras entidades estatales sometidas a regímenes especiales, como los Fondos Mixtos, cuando estas sean designadas ejecutoras de proyectos financiados con recursos del SGR.</w:t>
            </w:r>
          </w:p>
          <w:p w14:paraId="2255B705"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rPr>
              <w:t xml:space="preserve">En este contexto, la ANCP – CCE si bien reconoce el régimen de contratación especial de entidades tales como universidades públicas, Fondos Mixtos, EICE, entre otras, cuando actúan como entidades ejecutoras de proyectos financiados con recursos del SGR, </w:t>
            </w:r>
            <w:r w:rsidRPr="002F7DE0">
              <w:rPr>
                <w:rFonts w:ascii="Verdana" w:eastAsia="Calibri" w:hAnsi="Verdana" w:cs="Arial"/>
                <w:i/>
                <w:iCs/>
              </w:rPr>
              <w:t>deben</w:t>
            </w:r>
            <w:r w:rsidRPr="002F7DE0">
              <w:rPr>
                <w:rFonts w:ascii="Verdana" w:eastAsia="Calibri" w:hAnsi="Verdana" w:cs="Arial"/>
              </w:rPr>
              <w:t xml:space="preserve"> sujetarse a la norma especial prevista para dichos recursos, la cual impone la aplicación obligatoria del Estatuto General de Contratación de la Administración Pública, tal como lo establece de forma expresa el artículo 37 de la Ley 2056 de 2020. </w:t>
            </w:r>
            <w:r w:rsidRPr="002F7DE0">
              <w:rPr>
                <w:rFonts w:ascii="Verdana" w:eastAsia="Calibri" w:hAnsi="Verdana" w:cs="Arial"/>
                <w:color w:val="000000" w:themeColor="text1"/>
                <w:lang w:eastAsia="es-ES"/>
              </w:rPr>
              <w:t xml:space="preserve">De este modo, una misma entidad puede continuar desarrollando sus demás </w:t>
            </w:r>
            <w:r w:rsidRPr="002F7DE0">
              <w:rPr>
                <w:rFonts w:ascii="Verdana" w:eastAsia="Calibri" w:hAnsi="Verdana" w:cs="Arial"/>
                <w:color w:val="000000" w:themeColor="text1"/>
                <w:lang w:eastAsia="es-ES"/>
              </w:rPr>
              <w:lastRenderedPageBreak/>
              <w:t xml:space="preserve">actividades contractuales conforme al régimen especial que legalmente le resulte aplicable y, simultáneamente, cuando actúe como ejecutora de un proyecto del SGR, sujetar la contratación necesaria para su ejecución al régimen de contratación pública previsto en el EGCAP. Lo anterior permite armonizar el artículo 13 de la Ley 1150 de 2007 con el artículo 37 de la Ley 2056 de 2020, sin afirmar que la primera disposición constituye una habilitación para exceptuar la aplicación del EGCAP específicamente establecido para la ejecución de los recursos del SGR. </w:t>
            </w:r>
          </w:p>
          <w:p w14:paraId="4D5B0EBC"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 xml:space="preserve">Así las cosas, debido a que la remisión normativa del artículo 37 de la Ley 2056 de 2020 no es una mera referencia indicativa sino que tiene pleno efectos jurídicos, impone la aplicación de régimen de contratación específico en virtud del principio de especialidad y de legalidad. Es decir, mientras actúan como ejecutoras del SGR, dichas entidades deben sujetarse al régimen previsto en la Ley 2056 de 2020, incluyendo su remisión expresa al EGCAP, sin que ello implique una derogatoria general de su régimen contractual ordinario. Por consiguiente, “toda entidad designada ejecutora – </w:t>
            </w:r>
            <w:r w:rsidRPr="002F7DE0">
              <w:rPr>
                <w:rFonts w:ascii="Verdana" w:eastAsia="Calibri" w:hAnsi="Verdana" w:cs="Arial"/>
                <w:i/>
                <w:iCs/>
                <w:color w:val="000000" w:themeColor="text1"/>
                <w:lang w:eastAsia="es-ES"/>
              </w:rPr>
              <w:t>con independencia de su régimen ordinario de contratación</w:t>
            </w:r>
            <w:r w:rsidRPr="002F7DE0">
              <w:rPr>
                <w:rFonts w:ascii="Verdana" w:eastAsia="Calibri" w:hAnsi="Verdana" w:cs="Arial"/>
                <w:color w:val="000000" w:themeColor="text1"/>
                <w:lang w:eastAsia="es-ES"/>
              </w:rPr>
              <w:t xml:space="preserve"> – debe aplicar el EGCAG para los contratos que celebre en desarrollo del respectivo proyecto de inversión”. </w:t>
            </w:r>
          </w:p>
          <w:p w14:paraId="39512CEC" w14:textId="77777777" w:rsidR="002F7DE0" w:rsidRPr="002F7DE0" w:rsidRDefault="002F7DE0" w:rsidP="002F7DE0">
            <w:pPr>
              <w:spacing w:after="120" w:line="276" w:lineRule="auto"/>
              <w:jc w:val="both"/>
              <w:rPr>
                <w:rFonts w:ascii="Verdana" w:hAnsi="Verdana" w:cs="Arial"/>
              </w:rPr>
            </w:pPr>
            <w:r w:rsidRPr="002F7DE0">
              <w:rPr>
                <w:rFonts w:ascii="Verdana" w:eastAsia="Calibri" w:hAnsi="Verdana" w:cs="Arial"/>
              </w:rPr>
              <w:t>ii. D</w:t>
            </w:r>
            <w:r w:rsidRPr="002F7DE0">
              <w:rPr>
                <w:rFonts w:ascii="Verdana" w:eastAsia="Calibri" w:hAnsi="Verdana" w:cs="Arial"/>
                <w:color w:val="000000" w:themeColor="text1"/>
                <w:lang w:eastAsia="es-ES"/>
              </w:rPr>
              <w:t xml:space="preserve">e acuerdo con la interpretación explicada, teniendo en cuenta lo dispuesto en el artículo 37 de la Ley 2056 de 2020, las entidades ejecutoras designadas </w:t>
            </w:r>
            <w:r w:rsidRPr="002F7DE0">
              <w:rPr>
                <w:rFonts w:ascii="Verdana" w:eastAsia="Calibri" w:hAnsi="Verdana" w:cs="Arial"/>
                <w:i/>
                <w:iCs/>
                <w:color w:val="000000" w:themeColor="text1"/>
                <w:lang w:eastAsia="es-ES"/>
              </w:rPr>
              <w:t>deben</w:t>
            </w:r>
            <w:r w:rsidRPr="002F7DE0">
              <w:rPr>
                <w:rFonts w:ascii="Verdana" w:eastAsia="Calibri" w:hAnsi="Verdana" w:cs="Arial"/>
                <w:color w:val="000000" w:themeColor="text1"/>
                <w:lang w:eastAsia="es-ES"/>
              </w:rPr>
              <w:t xml:space="preserve"> sujetarse al EGCAP,</w:t>
            </w:r>
            <w:r w:rsidRPr="002F7DE0">
              <w:rPr>
                <w:rFonts w:ascii="Verdana" w:eastAsia="Calibri" w:hAnsi="Verdana" w:cs="Arial"/>
                <w:color w:val="000000"/>
                <w:lang w:val="es-ES" w:eastAsia="es-ES"/>
              </w:rPr>
              <w:t xml:space="preserve"> sin perjuicio de que en sus demás actividades apliquen el régimen especial que les corresponda</w:t>
            </w:r>
            <w:r w:rsidRPr="002F7DE0">
              <w:rPr>
                <w:rFonts w:ascii="Verdana" w:eastAsia="Calibri" w:hAnsi="Verdana" w:cs="Arial"/>
                <w:color w:val="000000" w:themeColor="text1"/>
                <w:lang w:eastAsia="es-ES"/>
              </w:rPr>
              <w:t xml:space="preserve">. Esto significa que la contratación de los bienes, obras o servicios que se adelante con fundamento en dicha normativa, </w:t>
            </w:r>
            <w:r w:rsidRPr="002F7DE0">
              <w:rPr>
                <w:rFonts w:ascii="Verdana" w:eastAsia="Calibri" w:hAnsi="Verdana" w:cs="Arial"/>
                <w:i/>
                <w:iCs/>
                <w:color w:val="000000" w:themeColor="text1"/>
                <w:lang w:eastAsia="es-ES"/>
              </w:rPr>
              <w:t>deberá</w:t>
            </w:r>
            <w:r w:rsidRPr="002F7DE0">
              <w:rPr>
                <w:rFonts w:ascii="Verdana" w:eastAsia="Calibri" w:hAnsi="Verdana" w:cs="Arial"/>
                <w:color w:val="000000" w:themeColor="text1"/>
                <w:lang w:eastAsia="es-ES"/>
              </w:rPr>
              <w:t xml:space="preserve"> sujetarse a las disposiciones del EGCAP y en consecuencia, los procesos de contratación </w:t>
            </w:r>
            <w:r w:rsidRPr="002F7DE0">
              <w:rPr>
                <w:rFonts w:ascii="Verdana" w:eastAsia="Calibri" w:hAnsi="Verdana" w:cs="Arial"/>
                <w:i/>
                <w:iCs/>
                <w:color w:val="000000" w:themeColor="text1"/>
                <w:lang w:eastAsia="es-ES"/>
              </w:rPr>
              <w:t>deberán</w:t>
            </w:r>
            <w:r w:rsidRPr="002F7DE0">
              <w:rPr>
                <w:rFonts w:ascii="Verdana" w:eastAsia="Calibri" w:hAnsi="Verdana" w:cs="Arial"/>
                <w:color w:val="000000" w:themeColor="text1"/>
                <w:lang w:eastAsia="es-ES"/>
              </w:rPr>
              <w:t xml:space="preserve"> desarrollarse observando las etapas, términos, procedimientos y demás reglas previstas en dicho estatuto, </w:t>
            </w:r>
            <w:r w:rsidRPr="002F7DE0">
              <w:rPr>
                <w:rFonts w:ascii="Verdana" w:hAnsi="Verdana" w:cs="Arial"/>
              </w:rPr>
              <w:t>acudiendo a las modalidades de selección establecidas por el artículo 2 de la Ley 1150 de 2007.</w:t>
            </w:r>
          </w:p>
          <w:p w14:paraId="7A351F6A" w14:textId="77777777" w:rsidR="002F7DE0" w:rsidRPr="002F7DE0" w:rsidRDefault="002F7DE0" w:rsidP="002F7DE0">
            <w:pPr>
              <w:spacing w:after="120" w:line="276" w:lineRule="auto"/>
              <w:ind w:firstLine="708"/>
              <w:jc w:val="both"/>
              <w:rPr>
                <w:rFonts w:ascii="Verdana" w:eastAsia="Calibri" w:hAnsi="Verdana" w:cs="Arial"/>
                <w:color w:val="000000" w:themeColor="text1"/>
                <w:lang w:eastAsia="es-ES"/>
              </w:rPr>
            </w:pPr>
            <w:r w:rsidRPr="002F7DE0">
              <w:rPr>
                <w:rFonts w:ascii="Verdana" w:eastAsia="Calibri" w:hAnsi="Verdana" w:cs="Arial"/>
                <w:lang w:val="es-ES"/>
              </w:rPr>
              <w:t xml:space="preserve">En este orden de ideas, si bien en principio las entidades con régimen de contratación especial no están obligadas a aplicar los documentos tipo, la remisión efectuada por el parágrafo primero del artículo 37 de la Ley 2056 de 2020 al EGCAP, conlleva a que las </w:t>
            </w:r>
            <w:r w:rsidRPr="002F7DE0">
              <w:rPr>
                <w:rFonts w:ascii="Verdana" w:eastAsia="Calibri" w:hAnsi="Verdana" w:cs="Arial"/>
                <w:color w:val="000000" w:themeColor="text1"/>
                <w:lang w:eastAsia="es-ES"/>
              </w:rPr>
              <w:t xml:space="preserve">entidades designadas ejecutoras deban sujetarse a las reglas y principios establecidos en el Estatuto General de Contratación de la Administración Pública y sus disposiciones reglamentarias. </w:t>
            </w:r>
            <w:r w:rsidRPr="002F7DE0">
              <w:rPr>
                <w:rFonts w:ascii="Verdana" w:eastAsia="Calibri" w:hAnsi="Verdana" w:cs="Arial"/>
                <w:color w:val="000000" w:themeColor="text1"/>
                <w:lang w:eastAsia="es-ES"/>
              </w:rPr>
              <w:lastRenderedPageBreak/>
              <w:t xml:space="preserve">En consecuencia, ello comprende la aplicación de los documentos tipo en la 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630322DC" w14:textId="77777777" w:rsidR="002F7DE0" w:rsidRPr="002F7DE0" w:rsidRDefault="002F7DE0" w:rsidP="002F7DE0">
            <w:pPr>
              <w:spacing w:after="120" w:line="276" w:lineRule="auto"/>
              <w:ind w:firstLine="708"/>
              <w:jc w:val="both"/>
              <w:rPr>
                <w:rFonts w:ascii="Verdana" w:eastAsia="Calibri" w:hAnsi="Verdana" w:cs="Arial"/>
              </w:rPr>
            </w:pPr>
            <w:r w:rsidRPr="002F7DE0">
              <w:rPr>
                <w:rFonts w:ascii="Verdana" w:eastAsia="Calibri" w:hAnsi="Verdana" w:cs="Arial"/>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estos documentos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w:t>
            </w:r>
            <w:r w:rsidRPr="002F7DE0">
              <w:t xml:space="preserve"> </w:t>
            </w:r>
            <w:r w:rsidRPr="002F7DE0">
              <w:rPr>
                <w:rFonts w:ascii="Verdana" w:eastAsia="Calibri" w:hAnsi="Verdana" w:cs="Arial"/>
              </w:rPr>
              <w:t>De esta forma, las condiciones relativas a la experiencia, los factores de ponderación y los demás aspectos regulados por los documentos tipo deberán sujetarse estrictamente a lo allí establecido, sin que las entidades puedan apartarse de dichas reglas ni establecer condiciones diferentes mediante sus respectivos manuales de contratación.</w:t>
            </w:r>
          </w:p>
          <w:p w14:paraId="0A5D4DC8" w14:textId="77777777" w:rsidR="002F7DE0" w:rsidRPr="002F7DE0" w:rsidRDefault="002F7DE0" w:rsidP="002F7DE0">
            <w:pPr>
              <w:spacing w:after="120" w:line="276" w:lineRule="auto"/>
              <w:jc w:val="both"/>
              <w:rPr>
                <w:rFonts w:ascii="Verdana" w:eastAsia="Calibri" w:hAnsi="Verdana" w:cs="Arial"/>
              </w:rPr>
            </w:pPr>
            <w:r w:rsidRPr="002F7DE0">
              <w:rPr>
                <w:rFonts w:ascii="Verdana" w:eastAsia="Calibri" w:hAnsi="Verdana" w:cs="Arial"/>
              </w:rPr>
              <w:t>iii. No. El artículo 56 de la Ley 2195 de 2022 debe diferenciarse del artículo 37 de la Ley 2056 de 2020, pues, aunque ambas disposiciones pueden conducir a la aplicación de los documentos tipo, regulan supuestos de hecho distintos. El artículo 56 busca extender dicha obligatoriedad a los contratos, convenios interadministrativos o negocios de cualquier otra índole celebrados por entidades sometidas al EGCAP con entidades estatales de régimen especial, patrimonios autónomos o personas naturales o jurídicas de derecho privado. Adicionalmente, establece que los procedimientos de selección y contratos que se adelanten en desarrollo de estos negocios jurídicos se someten al EGCAP.</w:t>
            </w:r>
          </w:p>
          <w:p w14:paraId="387DAECC" w14:textId="77777777" w:rsidR="002F7DE0" w:rsidRPr="002F7DE0" w:rsidRDefault="002F7DE0" w:rsidP="002F7DE0">
            <w:pPr>
              <w:spacing w:after="120" w:line="276" w:lineRule="auto"/>
              <w:ind w:firstLine="743"/>
              <w:jc w:val="both"/>
              <w:rPr>
                <w:rFonts w:ascii="Verdana" w:eastAsia="Calibri" w:hAnsi="Verdana" w:cs="Arial"/>
              </w:rPr>
            </w:pPr>
            <w:r w:rsidRPr="002F7DE0">
              <w:rPr>
                <w:rFonts w:ascii="Verdana" w:eastAsia="Calibri" w:hAnsi="Verdana" w:cs="Arial"/>
              </w:rPr>
              <w:t xml:space="preserve">En este sentido, el artículo 56 de la Ley 2195 de 2022 opera cuando existe un negocio jurídico previo celebrado entre una entidad sometida al EGCAP y alguno de los sujetos expresamente señalados por la norma, del cual se deriva la necesidad de contratar bienes, obras o servicios. Por su parte, el artículo 37 de la Ley 2056 de 2020 establece la aplicación del EGCAP a la contratación requerida para la ejecución de los recursos del SGR, de manera que la aplicación de los documentos tipo se deriva del régimen jurídico aplicable a dichos recursos y de la calidad de ejecutora de la entidad. Así, </w:t>
            </w:r>
            <w:r w:rsidRPr="002F7DE0">
              <w:rPr>
                <w:rFonts w:ascii="Verdana" w:eastAsia="Calibri" w:hAnsi="Verdana" w:cs="Arial"/>
              </w:rPr>
              <w:lastRenderedPageBreak/>
              <w:t>mientras en el primer caso el presupuesto de aplicación es la celebración del negocio jurídico previsto en el artículo 56, en el segundo lo es la designación de la entidad como ejecutora del proyecto financiado con recursos del SGR.</w:t>
            </w:r>
          </w:p>
          <w:p w14:paraId="48A7AA57" w14:textId="77777777" w:rsidR="002F7DE0" w:rsidRPr="002F7DE0" w:rsidRDefault="002F7DE0" w:rsidP="002F7DE0">
            <w:pPr>
              <w:tabs>
                <w:tab w:val="left" w:pos="0"/>
              </w:tabs>
              <w:spacing w:after="120" w:line="276" w:lineRule="auto"/>
              <w:ind w:firstLine="709"/>
              <w:jc w:val="both"/>
              <w:rPr>
                <w:rFonts w:ascii="Verdana" w:eastAsia="Calibri" w:hAnsi="Verdana" w:cs="Arial"/>
                <w:lang w:val="es-ES" w:eastAsia="es-ES"/>
              </w:rPr>
            </w:pPr>
            <w:r w:rsidRPr="002F7DE0">
              <w:rPr>
                <w:rFonts w:ascii="Verdana" w:eastAsia="Calibri" w:hAnsi="Verdana" w:cs="Arial"/>
                <w:lang w:val="es-ES" w:eastAsia="es-ES"/>
              </w:rPr>
              <w:t>Esta diferencia resulta relevante, pues en el régimen del SGR la calidad de ejecutora no surge de la celebración de un contrato o convenio interadministrativo, sino de la correspondiente decisión o acto mediante el cual se efectúa la designación de la entidad encargada de ejecutar el proyecto. En consecuencia, no resulta procedente afirmar una prevalencia de la Ley 2195 de 2022 sobre la Ley 2056 de 2020 con fundamento en su expedición posterior, toda vez que ambas disposiciones regulan supuestos de hecho diferentes y, por tanto, no existe entre ellas una relación de sucesión normativa o contradicción que permita desplazar automáticamente la aplicación de la disposición anterior.</w:t>
            </w:r>
          </w:p>
          <w:p w14:paraId="633EAA76" w14:textId="77777777" w:rsidR="002F7DE0" w:rsidRPr="002F7DE0" w:rsidRDefault="002F7DE0" w:rsidP="002F7DE0">
            <w:pPr>
              <w:widowControl w:val="0"/>
              <w:autoSpaceDE w:val="0"/>
              <w:autoSpaceDN w:val="0"/>
              <w:spacing w:after="120" w:line="276" w:lineRule="auto"/>
              <w:ind w:right="176" w:firstLine="708"/>
              <w:jc w:val="both"/>
              <w:rPr>
                <w:rFonts w:ascii="Verdana" w:hAnsi="Verdana"/>
              </w:rPr>
            </w:pPr>
            <w:r w:rsidRPr="002F7DE0">
              <w:rPr>
                <w:rFonts w:ascii="Verdana" w:hAnsi="Verdana"/>
              </w:rPr>
              <w:t>Dentro de este marco,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ni determinar si estas constituyen una infracción a la Ley.</w:t>
            </w:r>
          </w:p>
        </w:tc>
      </w:tr>
    </w:tbl>
    <w:p w14:paraId="08A5540F" w14:textId="77777777" w:rsidR="002F7DE0" w:rsidRPr="002F7DE0" w:rsidRDefault="002F7DE0" w:rsidP="002F7DE0">
      <w:pPr>
        <w:tabs>
          <w:tab w:val="left" w:pos="142"/>
          <w:tab w:val="left" w:pos="284"/>
        </w:tabs>
        <w:spacing w:after="0" w:line="276" w:lineRule="auto"/>
        <w:jc w:val="both"/>
        <w:rPr>
          <w:rFonts w:ascii="Verdana" w:eastAsia="Century Gothic" w:hAnsi="Verdana" w:cs="Century Gothic"/>
          <w:b/>
          <w:bCs/>
        </w:rPr>
      </w:pPr>
    </w:p>
    <w:bookmarkEnd w:id="3"/>
    <w:p w14:paraId="49968469" w14:textId="77777777" w:rsidR="002F7DE0" w:rsidRPr="002F7DE0" w:rsidRDefault="002F7DE0" w:rsidP="002F7DE0">
      <w:pPr>
        <w:numPr>
          <w:ilvl w:val="0"/>
          <w:numId w:val="1"/>
        </w:numPr>
        <w:tabs>
          <w:tab w:val="left" w:pos="142"/>
          <w:tab w:val="left" w:pos="284"/>
        </w:tabs>
        <w:spacing w:after="0" w:line="276" w:lineRule="auto"/>
        <w:jc w:val="both"/>
        <w:rPr>
          <w:rFonts w:ascii="Verdana" w:eastAsia="Century Gothic" w:hAnsi="Verdana" w:cs="Century Gothic"/>
          <w:b/>
          <w:bCs/>
        </w:rPr>
      </w:pPr>
      <w:r w:rsidRPr="002F7DE0">
        <w:rPr>
          <w:rFonts w:ascii="Verdana" w:eastAsia="Century Gothic" w:hAnsi="Verdana" w:cs="Century Gothic"/>
          <w:b/>
          <w:bCs/>
        </w:rPr>
        <w:t>Razones de las respuestas:</w:t>
      </w:r>
    </w:p>
    <w:p w14:paraId="2E629C7E" w14:textId="77777777" w:rsidR="002F7DE0" w:rsidRPr="002F7DE0" w:rsidRDefault="002F7DE0" w:rsidP="002F7DE0">
      <w:pPr>
        <w:spacing w:after="0" w:line="276" w:lineRule="auto"/>
        <w:jc w:val="both"/>
        <w:rPr>
          <w:rFonts w:ascii="Verdana" w:eastAsia="Calibri" w:hAnsi="Verdana" w:cs="Arial"/>
          <w:color w:val="7030A0"/>
        </w:rPr>
      </w:pPr>
    </w:p>
    <w:p w14:paraId="181A5A47" w14:textId="77777777" w:rsidR="002F7DE0" w:rsidRPr="002F7DE0" w:rsidRDefault="002F7DE0" w:rsidP="002F7DE0">
      <w:pPr>
        <w:spacing w:after="0" w:line="276" w:lineRule="auto"/>
        <w:jc w:val="both"/>
        <w:rPr>
          <w:rFonts w:ascii="Verdana" w:eastAsia="Calibri" w:hAnsi="Verdana" w:cs="Arial"/>
        </w:rPr>
      </w:pPr>
      <w:r w:rsidRPr="002F7DE0">
        <w:rPr>
          <w:rFonts w:ascii="Verdana" w:eastAsia="Calibri" w:hAnsi="Verdana" w:cs="Arial"/>
        </w:rPr>
        <w:t>Lo anterior se sustenta en las siguientes consideraciones:</w:t>
      </w:r>
    </w:p>
    <w:p w14:paraId="46061ABA" w14:textId="77777777" w:rsidR="002F7DE0" w:rsidRPr="002F7DE0" w:rsidRDefault="002F7DE0" w:rsidP="002F7DE0">
      <w:pPr>
        <w:spacing w:after="0" w:line="276" w:lineRule="auto"/>
        <w:jc w:val="both"/>
        <w:rPr>
          <w:rFonts w:ascii="Verdana" w:eastAsia="Calibri" w:hAnsi="Verdana" w:cs="Arial"/>
        </w:rPr>
      </w:pPr>
    </w:p>
    <w:p w14:paraId="733C2F9A" w14:textId="77777777" w:rsidR="002F7DE0" w:rsidRPr="002F7DE0" w:rsidRDefault="002F7DE0" w:rsidP="002F7DE0">
      <w:pPr>
        <w:spacing w:after="120" w:line="276" w:lineRule="auto"/>
        <w:jc w:val="both"/>
        <w:rPr>
          <w:rFonts w:ascii="Verdana" w:eastAsia="Calibri" w:hAnsi="Verdana" w:cs="Arial"/>
          <w:color w:val="000000" w:themeColor="text1"/>
          <w:lang w:val="es-ES_tradnl"/>
        </w:rPr>
      </w:pPr>
      <w:r w:rsidRPr="002F7DE0">
        <w:rPr>
          <w:rFonts w:ascii="Verdana" w:eastAsia="Calibri" w:hAnsi="Verdana" w:cs="Arial"/>
          <w:color w:val="000000" w:themeColor="text1"/>
          <w:lang w:val="es-ES_tradnl"/>
        </w:rPr>
        <w:t xml:space="preserve">i. Como punto de partida, es pertinente hacer algunas precisiones sobre la posición que ha sostenido la </w:t>
      </w:r>
      <w:r w:rsidRPr="002F7DE0">
        <w:rPr>
          <w:rFonts w:ascii="Verdana" w:eastAsia="Calibri" w:hAnsi="Verdana" w:cs="Arial"/>
          <w:color w:val="000000"/>
          <w:lang w:val="es-ES" w:eastAsia="es-ES"/>
        </w:rPr>
        <w:t xml:space="preserve">Subdirección de Gestión Contractual de la ANCP – CCE en ejercicio de su función consultiva, </w:t>
      </w:r>
      <w:r w:rsidRPr="002F7DE0">
        <w:rPr>
          <w:rFonts w:ascii="Verdana" w:eastAsia="Calibri" w:hAnsi="Verdana" w:cs="Arial"/>
          <w:color w:val="000000" w:themeColor="text1"/>
          <w:lang w:val="es-ES_tradnl"/>
        </w:rPr>
        <w:t>en relación con</w:t>
      </w:r>
      <w:r w:rsidRPr="002F7DE0">
        <w:rPr>
          <w:rFonts w:ascii="Verdana" w:eastAsia="Calibri" w:hAnsi="Verdana" w:cs="Arial"/>
          <w:color w:val="000000"/>
          <w:lang w:val="es-ES" w:eastAsia="es-ES"/>
        </w:rPr>
        <w:t xml:space="preserve"> el régimen de contratación aplicable a la ejecución de proyectos financiados con recursos del </w:t>
      </w:r>
      <w:r w:rsidRPr="002F7DE0">
        <w:rPr>
          <w:rFonts w:ascii="Verdana" w:eastAsia="Calibri" w:hAnsi="Verdana" w:cs="Arial"/>
          <w:color w:val="000000"/>
          <w:lang w:val="es-ES" w:eastAsia="es-ES"/>
        </w:rPr>
        <w:lastRenderedPageBreak/>
        <w:t>Sistema General de Regalías -SGR-, cuando las entidades ejecutoras de recursos de regalías cuentan con un régimen especial de contratación.</w:t>
      </w:r>
    </w:p>
    <w:p w14:paraId="66FB2592" w14:textId="77777777" w:rsidR="002F7DE0" w:rsidRPr="002F7DE0" w:rsidRDefault="002F7DE0" w:rsidP="002F7DE0">
      <w:pPr>
        <w:spacing w:after="120" w:line="276" w:lineRule="auto"/>
        <w:ind w:firstLine="709"/>
        <w:jc w:val="both"/>
        <w:rPr>
          <w:rFonts w:ascii="Verdana" w:hAnsi="Verdana"/>
          <w:shd w:val="clear" w:color="auto" w:fill="FFFFFF"/>
        </w:rPr>
      </w:pPr>
      <w:r w:rsidRPr="002F7DE0">
        <w:rPr>
          <w:rFonts w:ascii="Verdana" w:hAnsi="Verdana"/>
          <w:lang w:val="es-ES" w:eastAsia="es-ES"/>
        </w:rPr>
        <w:t xml:space="preserve">Así, conforme a la interpretación general de las normas del sistema de compras públicas, esta Subdirección en </w:t>
      </w:r>
      <w:r w:rsidRPr="002F7DE0">
        <w:rPr>
          <w:rFonts w:ascii="Verdana" w:hAnsi="Verdana"/>
        </w:rPr>
        <w:t>los conceptos C-370 del 2021,</w:t>
      </w:r>
      <w:r w:rsidRPr="002F7DE0">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2F7DE0">
        <w:rPr>
          <w:rFonts w:ascii="Verdana" w:hAnsi="Verdana" w:cs="Arial"/>
        </w:rPr>
        <w:t xml:space="preserve"> C-764 del 29 de mayo de 2026</w:t>
      </w:r>
      <w:r w:rsidRPr="002F7DE0">
        <w:rPr>
          <w:rFonts w:ascii="Verdana" w:hAnsi="Verdana"/>
          <w:shd w:val="clear" w:color="auto" w:fill="FFFFFF"/>
        </w:rPr>
        <w:t xml:space="preserve">, C-1050 del 21 de julio de 2026, C-1151, C-1152 del 12 de agosto, C-1249 del 27 de agosto de 2026, ha mantenido la postura en virtud de la cual </w:t>
      </w:r>
      <w:r w:rsidRPr="002F7DE0">
        <w:rPr>
          <w:rFonts w:ascii="Verdana" w:hAnsi="Verdana"/>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4BDD5158" w14:textId="77777777" w:rsidR="002F7DE0" w:rsidRPr="002F7DE0" w:rsidRDefault="002F7DE0" w:rsidP="002F7DE0">
      <w:pPr>
        <w:spacing w:after="120" w:line="276" w:lineRule="auto"/>
        <w:ind w:firstLine="709"/>
        <w:jc w:val="both"/>
        <w:rPr>
          <w:rFonts w:ascii="Verdana" w:hAnsi="Verdana" w:cs="Arial"/>
          <w:noProof/>
        </w:rPr>
      </w:pPr>
      <w:r w:rsidRPr="002F7DE0">
        <w:rPr>
          <w:rFonts w:ascii="Verdana" w:eastAsia="Calibri" w:hAnsi="Verdana" w:cs="Arial"/>
          <w:color w:val="000000"/>
          <w:lang w:val="es-ES" w:eastAsia="es-ES"/>
        </w:rPr>
        <w:t xml:space="preserve">En efecto, conforme se ha explicado en estos conceptos, </w:t>
      </w:r>
      <w:r w:rsidRPr="002F7DE0">
        <w:rPr>
          <w:rFonts w:ascii="Verdana" w:hAnsi="Verdana" w:cs="Arial"/>
          <w:noProof/>
          <w:lang w:val="es-ES_tradnl"/>
        </w:rPr>
        <w:t xml:space="preserve">en </w:t>
      </w:r>
      <w:r w:rsidRPr="002F7DE0">
        <w:rPr>
          <w:rFonts w:ascii="Verdana" w:hAnsi="Verdana" w:cs="Arial"/>
          <w:noProof/>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048667C0" w14:textId="77777777" w:rsidR="002F7DE0" w:rsidRPr="002F7DE0" w:rsidRDefault="002F7DE0" w:rsidP="002F7DE0">
      <w:pPr>
        <w:spacing w:after="120" w:line="276" w:lineRule="auto"/>
        <w:ind w:firstLine="709"/>
        <w:jc w:val="both"/>
        <w:rPr>
          <w:rFonts w:ascii="Verdana" w:hAnsi="Verdana" w:cs="Arial"/>
        </w:rPr>
      </w:pPr>
      <w:r w:rsidRPr="002F7DE0">
        <w:rPr>
          <w:rFonts w:ascii="Verdana" w:hAnsi="Verdana" w:cs="Arial"/>
          <w:noProof/>
        </w:rPr>
        <w:t xml:space="preserve">Particularmente, el artículo 37 </w:t>
      </w:r>
      <w:r w:rsidRPr="002F7DE0">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2F7DE0">
        <w:rPr>
          <w:rFonts w:ascii="Verdana" w:hAnsi="Verdana" w:cs="Arial"/>
          <w:i/>
          <w:iCs/>
        </w:rPr>
        <w:t>ibidem</w:t>
      </w:r>
      <w:r w:rsidRPr="002F7DE0">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w:t>
      </w:r>
      <w:r w:rsidRPr="002F7DE0">
        <w:rPr>
          <w:rFonts w:ascii="Verdana" w:hAnsi="Verdana" w:cs="Arial"/>
        </w:rPr>
        <w:lastRenderedPageBreak/>
        <w:t xml:space="preserve">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2F7DE0">
        <w:rPr>
          <w:rFonts w:ascii="Verdana" w:hAnsi="Verdana" w:cs="Arial"/>
        </w:rPr>
        <w:t>los mismos</w:t>
      </w:r>
      <w:proofErr w:type="gramEnd"/>
      <w:r w:rsidRPr="002F7DE0">
        <w:rPr>
          <w:rFonts w:ascii="Verdana" w:hAnsi="Verdana" w:cs="Arial"/>
        </w:rPr>
        <w:t xml:space="preserve">, sin perjuicio de las acciones de control a las que haya lugar. </w:t>
      </w:r>
    </w:p>
    <w:p w14:paraId="3346EEDE" w14:textId="77777777" w:rsidR="002F7DE0" w:rsidRPr="002F7DE0" w:rsidRDefault="002F7DE0" w:rsidP="002F7DE0">
      <w:pPr>
        <w:spacing w:after="120" w:line="276" w:lineRule="auto"/>
        <w:ind w:firstLine="709"/>
        <w:jc w:val="both"/>
        <w:rPr>
          <w:rFonts w:ascii="Verdana" w:hAnsi="Verdana" w:cs="Arial"/>
        </w:rPr>
      </w:pPr>
      <w:r w:rsidRPr="002F7DE0">
        <w:rPr>
          <w:rFonts w:ascii="Verdana" w:hAnsi="Verdana" w:cs="Arial"/>
        </w:rPr>
        <w:t xml:space="preserve">El parágrafo primero del artículo 37 </w:t>
      </w:r>
      <w:r w:rsidRPr="002F7DE0">
        <w:rPr>
          <w:rFonts w:ascii="Verdana" w:hAnsi="Verdana" w:cs="Arial"/>
          <w:i/>
          <w:iCs/>
        </w:rPr>
        <w:t>ibidem</w:t>
      </w:r>
      <w:r w:rsidRPr="002F7DE0">
        <w:rPr>
          <w:rFonts w:ascii="Verdana" w:hAnsi="Verdana" w:cs="Arial"/>
        </w:rPr>
        <w:t xml:space="preserve"> dispone lo siguiente: “La ejecución de proyectos de que trata este artículo, se adelantará, con estricta sujeción al régimen presupuestal definido en esta ley, </w:t>
      </w:r>
      <w:r w:rsidRPr="002F7DE0">
        <w:rPr>
          <w:rFonts w:ascii="Verdana" w:hAnsi="Verdana" w:cs="Arial"/>
          <w:i/>
          <w:iCs/>
          <w:u w:val="single"/>
        </w:rPr>
        <w:t>al de contratación pública</w:t>
      </w:r>
      <w:r w:rsidRPr="002F7DE0">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2F7DE0">
        <w:rPr>
          <w:rFonts w:ascii="Verdana" w:hAnsi="Verdana" w:cs="Arial"/>
          <w:vertAlign w:val="superscript"/>
        </w:rPr>
        <w:footnoteReference w:id="2"/>
      </w:r>
      <w:r w:rsidRPr="002F7DE0">
        <w:rPr>
          <w:rFonts w:ascii="Verdana" w:hAnsi="Verdana" w:cs="Arial"/>
        </w:rPr>
        <w:t>.</w:t>
      </w:r>
      <w:r w:rsidRPr="002F7DE0">
        <w:rPr>
          <w:rFonts w:ascii="Verdana" w:hAnsi="Verdana" w:cs="Arial"/>
          <w:noProof/>
        </w:rPr>
        <w:t xml:space="preserve"> A partir de esta norma, el ejercutor de los proyectos de inversion en el SGR debe sujetarse a las reglas de contratación pública, es decir, a las prescripciones establecidas en el Estatuto General de Contratación Pública, </w:t>
      </w:r>
      <w:r w:rsidRPr="002F7DE0">
        <w:rPr>
          <w:rFonts w:ascii="Verdana" w:hAnsi="Verdana" w:cs="Arial"/>
          <w:noProof/>
        </w:rPr>
        <w:lastRenderedPageBreak/>
        <w:t xml:space="preserve">así como las normas que lo modifiquen, sustituyan o reglamenten. En efecto, el ejecutor debe someterse a las reglas generales de la contratación pública cuando desarrolle proyectos en el marco del Sistema General de Regalías. </w:t>
      </w:r>
    </w:p>
    <w:p w14:paraId="43468461" w14:textId="77777777" w:rsidR="002F7DE0" w:rsidRPr="002F7DE0" w:rsidRDefault="002F7DE0" w:rsidP="002F7DE0">
      <w:pPr>
        <w:spacing w:after="120" w:line="276" w:lineRule="auto"/>
        <w:ind w:firstLine="709"/>
        <w:jc w:val="both"/>
        <w:rPr>
          <w:rFonts w:ascii="Verdana" w:hAnsi="Verdana" w:cs="Arial"/>
          <w:bdr w:val="none" w:sz="0" w:space="0" w:color="auto" w:frame="1"/>
        </w:rPr>
      </w:pPr>
      <w:r w:rsidRPr="002F7DE0">
        <w:rPr>
          <w:rFonts w:ascii="Verdana" w:hAnsi="Verdana" w:cs="Arial"/>
        </w:rPr>
        <w:t xml:space="preserve">Por tanto, en caso de que se realicen proyectos de inversión en el marco del Sistema General de Regalías, como también aquellos proyectos especiales referenciados </w:t>
      </w:r>
      <w:r w:rsidRPr="002F7DE0">
        <w:rPr>
          <w:rFonts w:ascii="Verdana" w:hAnsi="Verdana" w:cs="Arial"/>
          <w:i/>
          <w:iCs/>
        </w:rPr>
        <w:t>ut supra</w:t>
      </w:r>
      <w:r w:rsidRPr="002F7DE0">
        <w:rPr>
          <w:rFonts w:ascii="Verdana" w:hAnsi="Verdana" w:cs="Arial"/>
        </w:rPr>
        <w:t>, los ejecutores designados para desarrollarlos deben sujetarse al Estatuto General de Contratación de la Administración Pública</w:t>
      </w:r>
      <w:r w:rsidRPr="002F7DE0">
        <w:rPr>
          <w:rFonts w:ascii="Verdana" w:eastAsia="Calibri" w:hAnsi="Verdana" w:cs="Arial"/>
        </w:rPr>
        <w:t>.</w:t>
      </w:r>
      <w:r w:rsidRPr="002F7DE0">
        <w:rPr>
          <w:rFonts w:ascii="Verdana" w:hAnsi="Verdana" w:cs="Arial"/>
        </w:rPr>
        <w:t xml:space="preserve"> </w:t>
      </w:r>
      <w:r w:rsidRPr="002F7DE0">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03514CE4" w14:textId="77777777" w:rsidR="002F7DE0" w:rsidRPr="002F7DE0" w:rsidRDefault="002F7DE0" w:rsidP="002F7DE0">
      <w:pPr>
        <w:spacing w:after="120" w:line="276" w:lineRule="auto"/>
        <w:ind w:firstLine="709"/>
        <w:jc w:val="both"/>
        <w:rPr>
          <w:rFonts w:ascii="Verdana" w:eastAsia="Calibri" w:hAnsi="Verdana" w:cs="Arial"/>
          <w:color w:val="000000"/>
          <w:lang w:val="es-ES" w:eastAsia="es-ES"/>
        </w:rPr>
      </w:pPr>
      <w:r w:rsidRPr="002F7DE0">
        <w:rPr>
          <w:rFonts w:ascii="Verdana" w:eastAsia="Calibri" w:hAnsi="Verdana" w:cs="Arial"/>
          <w:color w:val="000000"/>
          <w:lang w:val="es-ES" w:eastAsia="es-ES"/>
        </w:rPr>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60FF7D86" w14:textId="77777777" w:rsidR="002F7DE0" w:rsidRPr="002F7DE0" w:rsidRDefault="002F7DE0" w:rsidP="002F7DE0">
      <w:pPr>
        <w:spacing w:after="120" w:line="276" w:lineRule="auto"/>
        <w:ind w:firstLine="709"/>
        <w:jc w:val="both"/>
        <w:rPr>
          <w:rFonts w:ascii="Verdana" w:eastAsia="Calibri" w:hAnsi="Verdana" w:cs="Arial"/>
          <w:iCs/>
          <w:color w:val="000000"/>
          <w:lang w:eastAsia="es-ES"/>
        </w:rPr>
      </w:pPr>
      <w:r w:rsidRPr="002F7DE0">
        <w:rPr>
          <w:rFonts w:ascii="Verdana" w:hAnsi="Verdana" w:cs="Arial"/>
          <w:bdr w:val="none" w:sz="0" w:space="0" w:color="auto" w:frame="1"/>
        </w:rPr>
        <w:t xml:space="preserve">Particularmente, frente a </w:t>
      </w:r>
      <w:r w:rsidRPr="002F7DE0">
        <w:rPr>
          <w:rFonts w:ascii="Verdana" w:eastAsia="Calibri" w:hAnsi="Verdana" w:cs="Arial"/>
          <w:color w:val="000000"/>
          <w:lang w:val="es-ES" w:eastAsia="es-ES"/>
        </w:rPr>
        <w:t xml:space="preserve">los fondos mixtos, en el concepto C-081 del 5 de junio de 2024, se analizó el régimen </w:t>
      </w:r>
      <w:r w:rsidRPr="002F7DE0">
        <w:rPr>
          <w:rFonts w:ascii="Verdana" w:eastAsia="Calibri" w:hAnsi="Verdana" w:cs="Arial"/>
          <w:iCs/>
          <w:color w:val="000000"/>
          <w:lang w:eastAsia="es-ES"/>
        </w:rPr>
        <w:t xml:space="preserve">de contratación de </w:t>
      </w:r>
      <w:r w:rsidRPr="002F7DE0">
        <w:rPr>
          <w:rFonts w:ascii="Verdana" w:eastAsia="Calibri" w:hAnsi="Verdana" w:cs="Arial"/>
          <w:color w:val="000000"/>
          <w:lang w:val="es-ES" w:eastAsia="es-ES"/>
        </w:rPr>
        <w:t xml:space="preserve">las entidades descentralizadas indirectas como los fondos mixtos </w:t>
      </w:r>
      <w:r w:rsidRPr="002F7DE0">
        <w:rPr>
          <w:rFonts w:ascii="Verdana" w:eastAsia="Calibri" w:hAnsi="Verdana" w:cs="Arial"/>
          <w:iCs/>
          <w:color w:val="000000"/>
          <w:lang w:eastAsia="es-ES"/>
        </w:rPr>
        <w:t xml:space="preserve">creados de conformidad con el artículo 96 de la Ley 489 de 1998, en el cual se indicó que </w:t>
      </w:r>
      <w:r w:rsidRPr="002F7DE0">
        <w:rPr>
          <w:rFonts w:ascii="Verdana" w:eastAsia="Calibri" w:hAnsi="Verdana" w:cs="Arial"/>
          <w:iCs/>
          <w:color w:val="000000"/>
          <w:lang w:val="es-ES" w:eastAsia="es-ES"/>
        </w:rPr>
        <w:t>para la determinación del régimen de contratación de estas entidades</w:t>
      </w:r>
      <w:r w:rsidRPr="002F7DE0">
        <w:rPr>
          <w:rFonts w:ascii="Verdana" w:eastAsia="Calibri" w:hAnsi="Verdana" w:cs="Arial"/>
          <w:iCs/>
          <w:color w:val="000000"/>
          <w:lang w:eastAsia="es-ES"/>
        </w:rPr>
        <w:t>, al constituirse como entidades descentralizadas indirectas, son susceptibles de ser consideradas entidades estatales en los términos del numeral 1 del artículo 2 de la Ley 80 de 1993, y en consecuencia, estar sometidas al EGCAP. No obstante, ello solo aplica respecto de aquellas que cuenten con una participación mayoritaria en cabeza de otras entidades públicas, por lo que las entidades descentralizadas indirectas en los que la participación del Estado es minoritaria, no se encontrarían sujetas al régimen de contratación de la Ley 80 de 1993 y podrían establecer en sus manuales de contratación reglas a la luz del derecho privado.</w:t>
      </w:r>
    </w:p>
    <w:p w14:paraId="447F6E73" w14:textId="77777777" w:rsidR="002F7DE0" w:rsidRPr="002F7DE0" w:rsidRDefault="002F7DE0" w:rsidP="002F7DE0">
      <w:pPr>
        <w:spacing w:after="120" w:line="276" w:lineRule="auto"/>
        <w:ind w:firstLine="709"/>
        <w:jc w:val="both"/>
        <w:rPr>
          <w:rFonts w:ascii="Verdana" w:eastAsia="Calibri" w:hAnsi="Verdana" w:cs="Arial"/>
        </w:rPr>
      </w:pPr>
      <w:r w:rsidRPr="002F7DE0">
        <w:rPr>
          <w:rFonts w:ascii="Verdana" w:eastAsia="Calibri" w:hAnsi="Verdana" w:cs="Arial"/>
        </w:rPr>
        <w:t xml:space="preserve">En este contexto, la ANCP – CCE si bien reconoce el régimen de contratación especial de entidades tales como universidades públicas, Fondos Mixtos, EICE, entre otras, cuando actúan como entidades ejecutoras de </w:t>
      </w:r>
      <w:r w:rsidRPr="002F7DE0">
        <w:rPr>
          <w:rFonts w:ascii="Verdana" w:eastAsia="Calibri" w:hAnsi="Verdana" w:cs="Arial"/>
        </w:rPr>
        <w:lastRenderedPageBreak/>
        <w:t xml:space="preserve">proyectos financiados con recursos del SGR, deben sujetarse a la norma especial prevista para dichos recursos, la cual impone la aplicación obligatoria del Estatuto General de Contratación de la Administración Pública, tal como lo establece de forma expresa el artículo 37 de la Ley 2056 de 2020. </w:t>
      </w:r>
    </w:p>
    <w:p w14:paraId="67BD0A6A"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rPr>
        <w:t xml:space="preserve">De acuerdo con esta interpretación, esta Subdirección considera que el </w:t>
      </w:r>
      <w:r w:rsidRPr="002F7DE0">
        <w:rPr>
          <w:rFonts w:ascii="Verdana" w:eastAsia="Calibri" w:hAnsi="Verdana" w:cs="Arial"/>
          <w:color w:val="000000" w:themeColor="text1"/>
          <w:lang w:eastAsia="es-ES"/>
        </w:rPr>
        <w:t>parágrafo primero del artículo 37 de la Ley 2056 de 2020 incorpora una remisión normativa expresa y categórica al régimen de contratación pública, es decir, a las reglas contenidas principalmente en la Ley 80 de 1993 y sus normas complementarias - Ley 1150 de 2007, Decreto 1082 de 2015, entre otras-. Además, el uso de la expresión “estricta sujeción” refuerza la intención del legislador de conferir un carácter obligatorio a dicha remisión.</w:t>
      </w:r>
    </w:p>
    <w:p w14:paraId="5A458023"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transparencia y eficiencia configurando un marco jurídico específico que se activa por el uso de los recursos de regalías, lo que excluye la aplicación de regímenes especiales. </w:t>
      </w:r>
    </w:p>
    <w:p w14:paraId="3751B3AE"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 xml:space="preserve">Así pues, se parte de una lectura literal del texto normativo, en la que la remisión al EGCAP refleja de manera directa la voluntad del legislador de someter tales asuntos a la ley 80 de 1993 y normas reglamentarias vigentes. De igual forma, esta remisión expresa al EGCAP establecida en el parágrafo 1 del artículo 37 se contempla en diferentes disposiciones de la Ley 2056 de 2020, </w:t>
      </w:r>
      <w:r w:rsidRPr="002F7DE0">
        <w:rPr>
          <w:rFonts w:ascii="Verdana" w:eastAsia="Calibri" w:hAnsi="Verdana" w:cs="Arial"/>
          <w:color w:val="000000" w:themeColor="text1"/>
          <w:lang w:eastAsia="es-ES"/>
        </w:rPr>
        <w:lastRenderedPageBreak/>
        <w:t>como son los artículos 84</w:t>
      </w:r>
      <w:r w:rsidRPr="002F7DE0">
        <w:rPr>
          <w:rFonts w:ascii="Verdana" w:eastAsia="Calibri" w:hAnsi="Verdana" w:cs="Arial"/>
          <w:color w:val="000000" w:themeColor="text1"/>
          <w:vertAlign w:val="superscript"/>
          <w:lang w:eastAsia="es-ES"/>
        </w:rPr>
        <w:footnoteReference w:id="3"/>
      </w:r>
      <w:r w:rsidRPr="002F7DE0">
        <w:rPr>
          <w:rFonts w:ascii="Verdana" w:eastAsia="Calibri" w:hAnsi="Verdana" w:cs="Arial"/>
          <w:color w:val="000000" w:themeColor="text1"/>
          <w:lang w:eastAsia="es-ES"/>
        </w:rPr>
        <w:t>, 98</w:t>
      </w:r>
      <w:r w:rsidRPr="002F7DE0">
        <w:rPr>
          <w:rFonts w:ascii="Verdana" w:eastAsia="Calibri" w:hAnsi="Verdana" w:cs="Arial"/>
          <w:color w:val="000000" w:themeColor="text1"/>
          <w:vertAlign w:val="superscript"/>
          <w:lang w:eastAsia="es-ES"/>
        </w:rPr>
        <w:footnoteReference w:id="4"/>
      </w:r>
      <w:r w:rsidRPr="002F7DE0">
        <w:rPr>
          <w:rFonts w:ascii="Verdana" w:eastAsia="Calibri" w:hAnsi="Verdana" w:cs="Arial"/>
          <w:color w:val="000000" w:themeColor="text1"/>
          <w:lang w:eastAsia="es-ES"/>
        </w:rPr>
        <w:t>, 99</w:t>
      </w:r>
      <w:r w:rsidRPr="002F7DE0">
        <w:rPr>
          <w:rFonts w:ascii="Verdana" w:eastAsia="Calibri" w:hAnsi="Verdana" w:cs="Arial"/>
          <w:color w:val="000000" w:themeColor="text1"/>
          <w:vertAlign w:val="superscript"/>
          <w:lang w:eastAsia="es-ES"/>
        </w:rPr>
        <w:footnoteReference w:id="5"/>
      </w:r>
      <w:r w:rsidRPr="002F7DE0">
        <w:rPr>
          <w:rFonts w:ascii="Verdana" w:eastAsia="Calibri" w:hAnsi="Verdana" w:cs="Arial"/>
          <w:color w:val="000000" w:themeColor="text1"/>
          <w:lang w:eastAsia="es-ES"/>
        </w:rPr>
        <w:t>, 108</w:t>
      </w:r>
      <w:r w:rsidRPr="002F7DE0">
        <w:rPr>
          <w:rFonts w:ascii="Verdana" w:eastAsia="Calibri" w:hAnsi="Verdana" w:cs="Arial"/>
          <w:color w:val="000000" w:themeColor="text1"/>
          <w:vertAlign w:val="superscript"/>
          <w:lang w:eastAsia="es-ES"/>
        </w:rPr>
        <w:footnoteReference w:id="6"/>
      </w:r>
      <w:r w:rsidRPr="002F7DE0">
        <w:rPr>
          <w:rFonts w:ascii="Verdana" w:eastAsia="Calibri" w:hAnsi="Verdana" w:cs="Arial"/>
          <w:color w:val="000000" w:themeColor="text1"/>
          <w:lang w:eastAsia="es-ES"/>
        </w:rPr>
        <w:t xml:space="preserve"> y 109</w:t>
      </w:r>
      <w:r w:rsidRPr="002F7DE0">
        <w:rPr>
          <w:rFonts w:ascii="Verdana" w:eastAsia="Calibri" w:hAnsi="Verdana" w:cs="Arial"/>
          <w:color w:val="000000" w:themeColor="text1"/>
          <w:vertAlign w:val="superscript"/>
          <w:lang w:eastAsia="es-ES"/>
        </w:rPr>
        <w:footnoteReference w:id="7"/>
      </w:r>
      <w:r w:rsidRPr="002F7DE0">
        <w:rPr>
          <w:rFonts w:ascii="Verdana" w:eastAsia="Calibri" w:hAnsi="Verdana" w:cs="Arial"/>
          <w:color w:val="000000" w:themeColor="text1"/>
          <w:lang w:eastAsia="es-ES"/>
        </w:rPr>
        <w:t>, lo que evidencia una voluntad legislativa clara y reiterada de aplicar el EGCAP, sin distinción o salvedades sobre el régimen de contratación de las entidades ejecutoras.</w:t>
      </w:r>
    </w:p>
    <w:p w14:paraId="5466E271"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0A09E6CA"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 xml:space="preserve">Aunado a lo anterior, se precisa que el parágrafo 1 del artículo 37 de la Ley 2056 de 2020 no distingue sobre el tipo de régimen de contratación aplicable a las entidades ejecutoras de los recursos del SGR, sin embargo, si realiza la remisión expresa al EGCAP. Por tanto, en desarrollo del principio general de interpretación jurídica según el cual </w:t>
      </w:r>
      <w:r w:rsidRPr="002F7DE0">
        <w:rPr>
          <w:rFonts w:ascii="Verdana" w:eastAsia="Calibri" w:hAnsi="Verdana" w:cs="Arial"/>
          <w:i/>
          <w:iCs/>
          <w:color w:val="000000" w:themeColor="text1"/>
          <w:lang w:eastAsia="es-ES"/>
        </w:rPr>
        <w:t>donde la norma no distingue, no le corresponde distinguir al intérprete,</w:t>
      </w:r>
      <w:r w:rsidRPr="002F7DE0">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w:t>
      </w:r>
      <w:r w:rsidRPr="002F7DE0">
        <w:rPr>
          <w:rFonts w:ascii="Verdana" w:eastAsia="Calibri" w:hAnsi="Verdana" w:cs="Arial"/>
          <w:color w:val="000000" w:themeColor="text1"/>
          <w:lang w:eastAsia="es-ES"/>
        </w:rPr>
        <w:lastRenderedPageBreak/>
        <w:t>garantizar</w:t>
      </w:r>
      <w:r w:rsidRPr="002F7DE0">
        <w:t xml:space="preserve"> </w:t>
      </w:r>
      <w:r w:rsidRPr="002F7DE0">
        <w:rPr>
          <w:rFonts w:ascii="Verdana" w:eastAsia="Calibri" w:hAnsi="Verdana" w:cs="Arial"/>
          <w:color w:val="000000" w:themeColor="text1"/>
          <w:lang w:eastAsia="es-ES"/>
        </w:rPr>
        <w:t xml:space="preserve">la eficiencia, transparencia y responsabilidad en la gestión del gasto público.  </w:t>
      </w:r>
    </w:p>
    <w:p w14:paraId="38E78FC7"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 xml:space="preserve">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26838835"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Adicionalmente, resulta pertinente indicar que la referencia que estas normas hacen a “las demás normas legales aplicables” no puede interpretarse como una exclusión de la remisión expresa que realiza al EGCAP. En otras palabras, dicha inclusión no niega que hay una remisión expresa y prevalente al EGCAP. Por el contrario, debe entenderse como una manifestación clara de la voluntad del legislador de establecer un marco normativo específico para la ejecución de los recursos del SGR, sin que ello implique desconocer o derogar de manera general los regímenes de contratación propios de las entidades que tienen regímenes especiales. Por lo tanto, lejos de generar una contradicción normativa, la remisión al EGCAP debe entenderse como una disposición especial y prevalente frente a la aplicación de otras normas contractuales, y como un instrumento para garantizar la unidad, el control y la eficiencia en el manejo de los recursos del Sistema General de Regalías.</w:t>
      </w:r>
    </w:p>
    <w:p w14:paraId="1F0D1499"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A lo anterior debe agregarse que en este marco también cobra relevancia el principio de hermenéutica jurídica del efecto útil de las normas, conforme al cual “debe preferir la interpretación que permita dotarlas de sentido y eficacia, frente a otra u otras que lo impidan”</w:t>
      </w:r>
      <w:r w:rsidRPr="002F7DE0">
        <w:rPr>
          <w:rFonts w:ascii="Verdana" w:eastAsia="Calibri" w:hAnsi="Verdana" w:cs="Arial"/>
          <w:color w:val="000000" w:themeColor="text1"/>
          <w:vertAlign w:val="superscript"/>
          <w:lang w:eastAsia="es-ES"/>
        </w:rPr>
        <w:footnoteReference w:id="8"/>
      </w:r>
      <w:r w:rsidRPr="002F7DE0">
        <w:rPr>
          <w:rFonts w:ascii="Verdana" w:eastAsia="Calibri" w:hAnsi="Verdana" w:cs="Arial"/>
          <w:color w:val="000000" w:themeColor="text1"/>
          <w:lang w:eastAsia="es-ES"/>
        </w:rPr>
        <w:t xml:space="preserve">, es decir, que su aplicación y efectividad debe estar ligada al propósito para el cual fueron promulgadas. En este sentido, desconocer la aplicación del EGCAP en el marco de la Ley 2056 de 2020 implicaría privar de eficacia la remisión expresa que esta ley establece en materia de contratación pública, contrariando tanto su tenor literal como su finalidad normativa. En este caso, la voluntad del legislador ha sido la de establecer mecanismos que garanticen la transparencia, eficiencia y control en </w:t>
      </w:r>
      <w:r w:rsidRPr="002F7DE0">
        <w:rPr>
          <w:rFonts w:ascii="Verdana" w:eastAsia="Calibri" w:hAnsi="Verdana" w:cs="Arial"/>
          <w:color w:val="000000" w:themeColor="text1"/>
          <w:lang w:eastAsia="es-ES"/>
        </w:rPr>
        <w:lastRenderedPageBreak/>
        <w:t>la ejecución de los recursos del SGR mediante la aplicación del EGCAP, lo cual se refleja no solo en la redacción del articulado, sino también en los antecedentes legislativos que dieron lugar a su expedición</w:t>
      </w:r>
      <w:r w:rsidRPr="002F7DE0">
        <w:rPr>
          <w:rFonts w:ascii="Verdana" w:eastAsia="Calibri" w:hAnsi="Verdana" w:cs="Arial"/>
          <w:color w:val="000000" w:themeColor="text1"/>
          <w:vertAlign w:val="superscript"/>
          <w:lang w:eastAsia="es-ES"/>
        </w:rPr>
        <w:footnoteReference w:id="9"/>
      </w:r>
      <w:r w:rsidRPr="002F7DE0">
        <w:rPr>
          <w:rFonts w:ascii="Verdana" w:eastAsia="Calibri" w:hAnsi="Verdana" w:cs="Arial"/>
          <w:color w:val="000000" w:themeColor="text1"/>
          <w:lang w:eastAsia="es-ES"/>
        </w:rPr>
        <w:t>.</w:t>
      </w:r>
    </w:p>
    <w:p w14:paraId="53DC0606"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 xml:space="preserve">De acuerdo con lo señalado, el legislador optó claramente por un criterio funcional o finalista, según el cual el régimen de contratación aplicable se determina por el origen de los recursos públicos y no por la naturaleza orgánica de la entidad ejecutora.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de que la norma no hace ninguna distinción respecto de la ejecución de recurso por parte las entidades con régimen especial. </w:t>
      </w:r>
    </w:p>
    <w:p w14:paraId="3AE00938"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 xml:space="preserve">Incluso, dicha posición es asumida por la Sala de Consulta y Servicio Civil del Consejo de Estado, pues en Concepto 2563 del 25 de junio de 2026 –con ponencia de la </w:t>
      </w:r>
      <w:proofErr w:type="gramStart"/>
      <w:r w:rsidRPr="002F7DE0">
        <w:rPr>
          <w:rFonts w:ascii="Verdana" w:eastAsia="Calibri" w:hAnsi="Verdana" w:cs="Arial"/>
          <w:color w:val="000000" w:themeColor="text1"/>
          <w:lang w:eastAsia="es-ES"/>
        </w:rPr>
        <w:t>Consejera</w:t>
      </w:r>
      <w:proofErr w:type="gramEnd"/>
      <w:r w:rsidRPr="002F7DE0">
        <w:rPr>
          <w:rFonts w:ascii="Verdana" w:eastAsia="Calibri" w:hAnsi="Verdana" w:cs="Arial"/>
          <w:color w:val="000000" w:themeColor="text1"/>
          <w:lang w:eastAsia="es-ES"/>
        </w:rPr>
        <w:t xml:space="preserve"> María del Pilar Bahamón Falla– estima que:</w:t>
      </w:r>
    </w:p>
    <w:p w14:paraId="3FCE788B" w14:textId="77777777" w:rsidR="002F7DE0" w:rsidRPr="002F7DE0" w:rsidRDefault="002F7DE0" w:rsidP="002F7DE0">
      <w:pPr>
        <w:spacing w:after="0" w:line="276" w:lineRule="auto"/>
        <w:jc w:val="both"/>
        <w:rPr>
          <w:rFonts w:ascii="Verdana" w:eastAsia="Calibri" w:hAnsi="Verdana" w:cs="Arial"/>
          <w:color w:val="000000" w:themeColor="text1"/>
          <w:lang w:eastAsia="es-ES"/>
        </w:rPr>
      </w:pPr>
    </w:p>
    <w:p w14:paraId="6EF3461C" w14:textId="77777777" w:rsidR="002F7DE0" w:rsidRPr="002F7DE0" w:rsidRDefault="002F7DE0" w:rsidP="002F7DE0">
      <w:pPr>
        <w:spacing w:after="120" w:line="240" w:lineRule="auto"/>
        <w:ind w:left="709" w:right="709"/>
        <w:jc w:val="both"/>
        <w:rPr>
          <w:rFonts w:ascii="Verdana" w:eastAsia="Calibri" w:hAnsi="Verdana" w:cs="Arial"/>
          <w:color w:val="000000" w:themeColor="text1"/>
          <w:sz w:val="20"/>
          <w:szCs w:val="20"/>
          <w:lang w:eastAsia="es-ES"/>
        </w:rPr>
      </w:pPr>
      <w:r w:rsidRPr="002F7DE0">
        <w:rPr>
          <w:rFonts w:ascii="Verdana" w:eastAsia="Calibri" w:hAnsi="Verdana" w:cs="Arial"/>
          <w:color w:val="000000" w:themeColor="text1"/>
          <w:sz w:val="20"/>
          <w:szCs w:val="20"/>
          <w:lang w:eastAsia="es-ES"/>
        </w:rPr>
        <w:t xml:space="preserve">“El Sistema General de Regalías constituye un régimen constitucional, legal y presupuestal especial. Sus recursos tienen destinación específica a proyectos de inversión y están sometidos a un ciclo reglado de formulación, viabilidad, registro, priorización, aprobación, ejecución, seguimiento, evaluación y control. </w:t>
      </w:r>
    </w:p>
    <w:p w14:paraId="05D5834E" w14:textId="77777777" w:rsidR="002F7DE0" w:rsidRPr="002F7DE0" w:rsidRDefault="002F7DE0" w:rsidP="002F7DE0">
      <w:pPr>
        <w:spacing w:after="120" w:line="240" w:lineRule="auto"/>
        <w:ind w:left="709" w:right="709"/>
        <w:jc w:val="both"/>
        <w:rPr>
          <w:rFonts w:ascii="Verdana" w:eastAsia="Calibri" w:hAnsi="Verdana" w:cs="Arial"/>
          <w:color w:val="000000" w:themeColor="text1"/>
          <w:sz w:val="20"/>
          <w:szCs w:val="20"/>
          <w:lang w:eastAsia="es-ES"/>
        </w:rPr>
      </w:pPr>
      <w:r w:rsidRPr="002F7DE0">
        <w:rPr>
          <w:rFonts w:ascii="Verdana" w:eastAsia="Calibri" w:hAnsi="Verdana" w:cs="Arial"/>
          <w:color w:val="000000" w:themeColor="text1"/>
          <w:sz w:val="20"/>
          <w:szCs w:val="20"/>
          <w:lang w:eastAsia="es-ES"/>
        </w:rPr>
        <w:t xml:space="preserve">En esa estructura, el artículo 37 de la Ley 2056 de 2020 regula la etapa de ejecución y asigna a la entidad ejecutora deberes cualificados de correcta ejecución, contratación de la interventoría, suministro y registro de información, verificación de requisitos legales y sujeción al Sistema de Seguimiento, Evaluación y Control. </w:t>
      </w:r>
    </w:p>
    <w:p w14:paraId="6B1B06CC" w14:textId="77777777" w:rsidR="002F7DE0" w:rsidRPr="002F7DE0" w:rsidRDefault="002F7DE0" w:rsidP="002F7DE0">
      <w:pPr>
        <w:spacing w:after="120" w:line="240" w:lineRule="auto"/>
        <w:ind w:left="709" w:right="709"/>
        <w:jc w:val="both"/>
        <w:rPr>
          <w:rFonts w:ascii="Verdana" w:eastAsia="Calibri" w:hAnsi="Verdana" w:cs="Arial"/>
          <w:color w:val="000000" w:themeColor="text1"/>
          <w:sz w:val="20"/>
          <w:szCs w:val="20"/>
          <w:lang w:eastAsia="es-ES"/>
        </w:rPr>
      </w:pPr>
      <w:r w:rsidRPr="002F7DE0">
        <w:rPr>
          <w:rFonts w:ascii="Verdana" w:eastAsia="Calibri" w:hAnsi="Verdana" w:cs="Arial"/>
          <w:color w:val="000000" w:themeColor="text1"/>
          <w:sz w:val="20"/>
          <w:szCs w:val="20"/>
          <w:lang w:eastAsia="es-ES"/>
        </w:rPr>
        <w:t xml:space="preserve">Cuando una universidad pública con régimen contractual especial […] es designada ejecutora de un proyecto financiado con recursos del Sistema General de Regalías, el régimen aplicable no se determina por su régimen contractual ordinario ni por la identidad del beneficiario final del bien, obra </w:t>
      </w:r>
      <w:r w:rsidRPr="002F7DE0">
        <w:rPr>
          <w:rFonts w:ascii="Verdana" w:eastAsia="Calibri" w:hAnsi="Verdana" w:cs="Arial"/>
          <w:color w:val="000000" w:themeColor="text1"/>
          <w:sz w:val="20"/>
          <w:szCs w:val="20"/>
          <w:lang w:eastAsia="es-ES"/>
        </w:rPr>
        <w:lastRenderedPageBreak/>
        <w:t xml:space="preserve">o servicio, sino por la fuente de financiación y por la regla especial que gobierna la ejecución de esos recursos, esto es el régimen de contratación pública. </w:t>
      </w:r>
    </w:p>
    <w:p w14:paraId="06E0BA8C" w14:textId="77777777" w:rsidR="002F7DE0" w:rsidRPr="002F7DE0" w:rsidRDefault="002F7DE0" w:rsidP="002F7DE0">
      <w:pPr>
        <w:spacing w:after="120" w:line="240" w:lineRule="auto"/>
        <w:ind w:left="709" w:right="709"/>
        <w:jc w:val="both"/>
        <w:rPr>
          <w:rFonts w:ascii="Verdana" w:eastAsia="Calibri" w:hAnsi="Verdana" w:cs="Arial"/>
          <w:color w:val="000000" w:themeColor="text1"/>
          <w:sz w:val="20"/>
          <w:szCs w:val="20"/>
          <w:lang w:eastAsia="es-ES"/>
        </w:rPr>
      </w:pPr>
      <w:r w:rsidRPr="002F7DE0">
        <w:rPr>
          <w:rFonts w:ascii="Verdana" w:eastAsia="Calibri" w:hAnsi="Verdana" w:cs="Arial"/>
          <w:color w:val="000000" w:themeColor="text1"/>
          <w:sz w:val="20"/>
          <w:szCs w:val="20"/>
          <w:lang w:eastAsia="es-ES"/>
        </w:rPr>
        <w:t xml:space="preserve">La designación del ejecutor es un acto administrativo unilateral expedido por la instancia competente del SGR, cuya finalidad no es celebrar un negocio jurídico con la entidad designada, sino asignarle la responsabilidad pública de ejecutar un proyecto previamente aprobado. De allí que la entidad ejecutora no administre recursos ordinarios propios ni pueda redefinir discrecionalmente el objeto del gasto, pues este ya se encuentra determinado por el proyecto aprobado, su presupuesto, sus actividades, productos, indicadores y soportes. </w:t>
      </w:r>
    </w:p>
    <w:p w14:paraId="766138D7" w14:textId="77777777" w:rsidR="002F7DE0" w:rsidRPr="002F7DE0" w:rsidRDefault="002F7DE0" w:rsidP="002F7DE0">
      <w:pPr>
        <w:spacing w:after="120" w:line="240" w:lineRule="auto"/>
        <w:ind w:left="709" w:right="709"/>
        <w:jc w:val="both"/>
        <w:rPr>
          <w:rFonts w:ascii="Verdana" w:eastAsia="Calibri" w:hAnsi="Verdana" w:cs="Arial"/>
          <w:color w:val="000000" w:themeColor="text1"/>
          <w:sz w:val="20"/>
          <w:szCs w:val="20"/>
          <w:lang w:eastAsia="es-ES"/>
        </w:rPr>
      </w:pPr>
      <w:r w:rsidRPr="002F7DE0">
        <w:rPr>
          <w:rFonts w:ascii="Verdana" w:eastAsia="Calibri" w:hAnsi="Verdana" w:cs="Arial"/>
          <w:color w:val="000000" w:themeColor="text1"/>
          <w:sz w:val="20"/>
          <w:szCs w:val="20"/>
          <w:lang w:eastAsia="es-ES"/>
        </w:rPr>
        <w:t xml:space="preserve">A partir de esa premisa, la expresión ‘estricta sujeción’ contenida en el parágrafo 1º del artículo 37 de la Ley 2056 de 2020 tiene un alcance normativo reforzado. La ejecución del proyecto debe adelantarse conforme al régimen presupuestal del SGR, al régimen de contratación pública y a las demás normas legales vigentes. Esa regla no opera como una remisión subsidiaria al régimen interno de la entidad ejecutora, sino como un mandato especial de sometimiento al régimen público que gobierna la ejecución de los recursos de regalías dada su especialidad. </w:t>
      </w:r>
    </w:p>
    <w:p w14:paraId="0ACE81DA" w14:textId="77777777" w:rsidR="002F7DE0" w:rsidRPr="002F7DE0" w:rsidRDefault="002F7DE0" w:rsidP="002F7DE0">
      <w:pPr>
        <w:spacing w:after="0" w:line="240" w:lineRule="auto"/>
        <w:ind w:left="709" w:right="709"/>
        <w:jc w:val="both"/>
        <w:rPr>
          <w:rFonts w:ascii="Verdana" w:eastAsia="Calibri" w:hAnsi="Verdana" w:cs="Arial"/>
          <w:color w:val="000000" w:themeColor="text1"/>
          <w:lang w:eastAsia="es-ES"/>
        </w:rPr>
      </w:pPr>
      <w:r w:rsidRPr="002F7DE0">
        <w:rPr>
          <w:rFonts w:ascii="Verdana" w:eastAsia="Calibri" w:hAnsi="Verdana" w:cs="Arial"/>
          <w:color w:val="000000" w:themeColor="text1"/>
          <w:sz w:val="20"/>
          <w:szCs w:val="20"/>
          <w:lang w:eastAsia="es-ES"/>
        </w:rPr>
        <w:t>La interpretación gramatical, sistemática, histórica, teleológica y de efecto útil desarrollada en el concepto permite concluir que, cuando el artículo 37 se refiere al régimen de contratación pública, remite al Estatuto General de Contratación de la Administración Pública y a sus normas reglamentarias y complementarias, especialmente cuando la ejecución del proyecto exige contratar con terceros”.</w:t>
      </w:r>
    </w:p>
    <w:p w14:paraId="2F58317B" w14:textId="77777777" w:rsidR="002F7DE0" w:rsidRPr="002F7DE0" w:rsidRDefault="002F7DE0" w:rsidP="002F7DE0">
      <w:pPr>
        <w:spacing w:after="120" w:line="276" w:lineRule="auto"/>
        <w:jc w:val="both"/>
        <w:rPr>
          <w:rFonts w:ascii="Verdana" w:eastAsia="Calibri" w:hAnsi="Verdana" w:cs="Arial"/>
          <w:color w:val="000000" w:themeColor="text1"/>
          <w:lang w:eastAsia="es-ES"/>
        </w:rPr>
      </w:pPr>
    </w:p>
    <w:p w14:paraId="656F18BE"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 xml:space="preserve">Si bien la Sala de Consulta y Servicio Civil realizó el análisis respecto de una Universidad Pública, la conclusión expuesta no varía tratándose de otras entidades estatales que cuentan con régimen especial. En efecto, el problema jurídico planteado en el concepto está orientado a determinar cuál es el régimen jurídico aplicable a la contratación que debe adelantar una entidad sometida a un régimen especial o exceptuado cuando es designada como ejecutora de un proyecto financiado con recursos del SGR. De este modo, las consideraciones jurídicas desarrolladas por la Sala resultan aplicables, por analogía, a aquellos supuestos en los que una entidad estatal sometida a un régimen especial de contratación es designada como ejecutora de recursos del SGR, como es el caso de los Fondos Mixtos. </w:t>
      </w:r>
    </w:p>
    <w:p w14:paraId="721521CA"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 xml:space="preserve">Asimismo, resulta indispensable precisar que la remisión al EGCAP de la ejecución de los proyectos financiados con recursos de regalías no implica una </w:t>
      </w:r>
      <w:r w:rsidRPr="002F7DE0">
        <w:rPr>
          <w:rFonts w:ascii="Verdana" w:eastAsia="Calibri" w:hAnsi="Verdana" w:cs="Arial"/>
          <w:color w:val="000000" w:themeColor="text1"/>
          <w:lang w:eastAsia="es-ES"/>
        </w:rPr>
        <w:lastRenderedPageBreak/>
        <w:t xml:space="preserve">alteración estructural del régimen especial de las entidades ejecutoras ni desconoce las normas que lo regulan. Tal y como se ha señalado, la interpretación literal, sistemática y teleológica de la norma, armonizada con el principio general del </w:t>
      </w:r>
      <w:r w:rsidRPr="002F7DE0">
        <w:rPr>
          <w:rFonts w:ascii="Verdana" w:eastAsia="Calibri" w:hAnsi="Verdana" w:cs="Arial"/>
          <w:i/>
          <w:iCs/>
          <w:color w:val="000000" w:themeColor="text1"/>
          <w:lang w:eastAsia="es-ES"/>
        </w:rPr>
        <w:t>efecto útil</w:t>
      </w:r>
      <w:r w:rsidRPr="002F7DE0">
        <w:rPr>
          <w:rFonts w:ascii="Verdana" w:eastAsia="Calibri" w:hAnsi="Verdana" w:cs="Arial"/>
          <w:color w:val="000000" w:themeColor="text1"/>
          <w:lang w:eastAsia="es-ES"/>
        </w:rPr>
        <w:t xml:space="preserve">, conduce a concluir que cuando estas entidades actúan en calidad de ejecutoras en el marco de la Ley 2056 de 2020, deben sujetarse al EGCAP. De hecho, así fue expuesto en el Concepto C-504 del 1 de octubre de 2024, en el cual se indicó que ello “no </w:t>
      </w:r>
      <w:r w:rsidRPr="002F7DE0">
        <w:rPr>
          <w:rFonts w:ascii="Verdana" w:hAnsi="Verdana" w:cs="Arial"/>
          <w:color w:val="000000"/>
          <w:bdr w:val="none" w:sz="0" w:space="0" w:color="auto" w:frame="1"/>
          <w:lang w:val="es-MX"/>
        </w:rPr>
        <w:t xml:space="preserve">implica que la designación para la ejecución de proyectos financiados con recursos del Sistema General de Regalías mute a perpetuidad o de manera general el régimen contractual de las entidades estatales ejecutoras sometidas a regímenes especiales de contratación, en la medida en que, mientras sigan vigentes las disposiciones legales que contemplan tales regímenes exceptuados, dichas entidades podrán seguir aplicándolos para la contratación no relacionada con la ejecución de los proyectos a los que se refieren los artículos 35 y 36 de la Ley 2056 de 2020”.  </w:t>
      </w:r>
    </w:p>
    <w:p w14:paraId="2FBE2A62"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Este régimen particular no sustituye ni deroga el régimen especial de contratación al que está sujeta la entidad ejecutora, pero sí superpone 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2D6CCFF0"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 xml:space="preserve">En este sentido, frente a lo planteado en su consulta, es preciso señalar que no existe una contradicción entre el artículo 13 de la Ley 1150 de 2007 y el artículo 37 de la Ley 2056 de 2020, ya que este contiene una regla especial respecto a la actividad concreta relacionada con la ejecución de proyectos financiados con recursos del SGR. De esta forma, en aplicación de los criterios de especialidad y de interpretación sistemática, la regla especial contenida en la Ley 2056 de 2020 determina el régimen contractual aplicable cuando la entidad actúa como ejecutora de un proyecto del SGR. Por ello, la entidad no puede trasladar automáticamente su régimen contractual especial a la ejecución de estos recursos con fundamento exclusivo en el artículo 13 de la Ley 1150 de 2007. </w:t>
      </w:r>
    </w:p>
    <w:p w14:paraId="4271F7F7"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lastRenderedPageBreak/>
        <w:t xml:space="preserve">De esta manera, una misma entidad puede continuar desarrollando sus demás actividades contractuales conforme al régimen especial que legalmente le resulte aplicable y, simultáneamente, cuando actúe como ejecutora de un proyecto del SGR, sujetar la contratación necesaria para su ejecución al régimen de contratación pública previsto en el EGCAP. Lo anterior permite armonizar el artículo 13 de la Ley 1150 de 2007 con el artículo 37 de la Ley 2056 de 2020, sin afirmar que la primera disposición constituye una habilitación para exceptuar la aplicación del EGCAP específicamente establecido para la ejecución de los recursos del SGR. </w:t>
      </w:r>
    </w:p>
    <w:p w14:paraId="2942870A"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 xml:space="preserve">Sobre el particular, resulta importante destacar lo señalado por la Sala de Consulta y Servicio Civil del Consejo de Estado en el concepto referido: </w:t>
      </w:r>
    </w:p>
    <w:p w14:paraId="784348F8" w14:textId="77777777" w:rsidR="002F7DE0" w:rsidRPr="002F7DE0" w:rsidRDefault="002F7DE0" w:rsidP="002F7DE0">
      <w:pPr>
        <w:spacing w:after="0" w:line="240" w:lineRule="auto"/>
        <w:ind w:firstLine="709"/>
        <w:jc w:val="both"/>
        <w:rPr>
          <w:rFonts w:ascii="Verdana" w:eastAsia="Calibri" w:hAnsi="Verdana" w:cs="Arial"/>
          <w:color w:val="000000" w:themeColor="text1"/>
          <w:lang w:eastAsia="es-ES"/>
        </w:rPr>
      </w:pPr>
    </w:p>
    <w:p w14:paraId="48535717" w14:textId="77777777" w:rsidR="002F7DE0" w:rsidRPr="002F7DE0" w:rsidRDefault="002F7DE0" w:rsidP="002F7DE0">
      <w:pPr>
        <w:spacing w:after="120" w:line="240" w:lineRule="auto"/>
        <w:ind w:left="709" w:right="709"/>
        <w:jc w:val="both"/>
        <w:rPr>
          <w:rFonts w:ascii="Verdana" w:eastAsia="Calibri" w:hAnsi="Verdana" w:cs="Arial"/>
          <w:i/>
          <w:iCs/>
          <w:color w:val="000000" w:themeColor="text1"/>
          <w:sz w:val="20"/>
          <w:szCs w:val="20"/>
          <w:lang w:eastAsia="es-ES"/>
        </w:rPr>
      </w:pPr>
      <w:r w:rsidRPr="002F7DE0">
        <w:rPr>
          <w:rFonts w:ascii="Verdana" w:eastAsia="Calibri" w:hAnsi="Verdana" w:cs="Arial"/>
          <w:color w:val="000000" w:themeColor="text1"/>
          <w:sz w:val="20"/>
          <w:szCs w:val="20"/>
          <w:lang w:eastAsia="es-ES"/>
        </w:rPr>
        <w:t xml:space="preserve">“El Estatuto General de Contratación de la Administración Pública rige los contratos de las entidades estatales, sin perjuicio de la existencia de regímenes especiales autorizados por la Constitución o por la ley. La jurisprudencia constitucional y administrativa citada </w:t>
      </w:r>
      <w:proofErr w:type="gramStart"/>
      <w:r w:rsidRPr="002F7DE0">
        <w:rPr>
          <w:rFonts w:ascii="Verdana" w:eastAsia="Calibri" w:hAnsi="Verdana" w:cs="Arial"/>
          <w:i/>
          <w:iCs/>
          <w:color w:val="000000" w:themeColor="text1"/>
          <w:sz w:val="20"/>
          <w:szCs w:val="20"/>
          <w:lang w:eastAsia="es-ES"/>
        </w:rPr>
        <w:t>in extenso</w:t>
      </w:r>
      <w:proofErr w:type="gramEnd"/>
      <w:r w:rsidRPr="002F7DE0">
        <w:rPr>
          <w:rFonts w:ascii="Verdana" w:eastAsia="Calibri" w:hAnsi="Verdana" w:cs="Arial"/>
          <w:color w:val="000000" w:themeColor="text1"/>
          <w:sz w:val="20"/>
          <w:szCs w:val="20"/>
          <w:lang w:eastAsia="es-ES"/>
        </w:rPr>
        <w:t xml:space="preserve"> en este concepto, ha reconocido que ciertos sectores cuentan con un régimen especial, entre ellos las universidades estatales u oficiales, </w:t>
      </w:r>
      <w:r w:rsidRPr="002F7DE0">
        <w:rPr>
          <w:rFonts w:ascii="Verdana" w:eastAsia="Calibri" w:hAnsi="Verdana" w:cs="Arial"/>
          <w:i/>
          <w:iCs/>
          <w:color w:val="000000" w:themeColor="text1"/>
          <w:sz w:val="20"/>
          <w:szCs w:val="20"/>
          <w:lang w:eastAsia="es-ES"/>
        </w:rPr>
        <w:t>lo cual no implica que la entidad quede blindada frente a cualquier norma especial o posterior que, para una actividad concreta, imponga reglas diferentes.</w:t>
      </w:r>
    </w:p>
    <w:p w14:paraId="4040F714" w14:textId="77777777" w:rsidR="002F7DE0" w:rsidRPr="002F7DE0" w:rsidRDefault="002F7DE0" w:rsidP="002F7DE0">
      <w:pPr>
        <w:spacing w:after="120" w:line="240" w:lineRule="auto"/>
        <w:ind w:left="709" w:right="709"/>
        <w:jc w:val="both"/>
        <w:rPr>
          <w:rFonts w:ascii="Verdana" w:eastAsia="Calibri" w:hAnsi="Verdana" w:cs="Arial"/>
          <w:color w:val="000000" w:themeColor="text1"/>
          <w:sz w:val="20"/>
          <w:szCs w:val="20"/>
          <w:lang w:eastAsia="es-ES"/>
        </w:rPr>
      </w:pPr>
      <w:r w:rsidRPr="002F7DE0">
        <w:rPr>
          <w:rFonts w:ascii="Verdana" w:eastAsia="Calibri" w:hAnsi="Verdana" w:cs="Arial"/>
          <w:color w:val="000000" w:themeColor="text1"/>
          <w:sz w:val="20"/>
          <w:szCs w:val="20"/>
          <w:lang w:eastAsia="es-ES"/>
        </w:rPr>
        <w:t>En ese sentido, una entidad puede tener, en su actividad ordinaria, un régimen especial de contratación, y sin embargo quedar sometida al Estatuto General para una materia específica en la que una ley posterior y especial así lo disponga”. (Énfasis pro fuera de texto)</w:t>
      </w:r>
    </w:p>
    <w:p w14:paraId="17539F6C" w14:textId="77777777" w:rsidR="002F7DE0" w:rsidRPr="002F7DE0" w:rsidRDefault="002F7DE0" w:rsidP="002F7DE0">
      <w:pPr>
        <w:spacing w:after="0" w:line="276" w:lineRule="auto"/>
        <w:ind w:firstLine="709"/>
        <w:jc w:val="both"/>
        <w:rPr>
          <w:rFonts w:ascii="Verdana" w:eastAsia="Calibri" w:hAnsi="Verdana" w:cs="Arial"/>
          <w:color w:val="000000" w:themeColor="text1"/>
          <w:lang w:eastAsia="es-ES"/>
        </w:rPr>
      </w:pPr>
    </w:p>
    <w:p w14:paraId="7E17ADF3"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 xml:space="preserve">Así las cosas, debido a que la remisión normativa del artículo 37 de la Ley 2056 de 2020 no es una mera referencia indicativa sino que tiene pleno efectos jurídicos, impone la aplicación de régimen de contratación específico en virtud del principio de especialidad y de legalidad. Es decir, mientras actúan como ejecutoras del SGR, dichas entidades deben sujetarse al régimen previsto en la Ley 2056 de 2020, incluyendo su remisión expresa al EGCAP, sin que ello implique una derogatoria general de su régimen contractual ordinario. Por consiguiente, “toda entidad designada ejecutora – con independencia de su </w:t>
      </w:r>
      <w:r w:rsidRPr="002F7DE0">
        <w:rPr>
          <w:rFonts w:ascii="Verdana" w:eastAsia="Calibri" w:hAnsi="Verdana" w:cs="Arial"/>
          <w:color w:val="000000" w:themeColor="text1"/>
          <w:lang w:eastAsia="es-ES"/>
        </w:rPr>
        <w:lastRenderedPageBreak/>
        <w:t>régimen ordinario de contratación – debe aplica el EGCAG para los contratos que celebre en desarrollo del respectivo proyecto de inversión</w:t>
      </w:r>
      <w:r w:rsidRPr="002F7DE0">
        <w:rPr>
          <w:rFonts w:ascii="Verdana" w:eastAsia="Calibri" w:hAnsi="Verdana" w:cs="Arial"/>
          <w:color w:val="000000" w:themeColor="text1"/>
          <w:vertAlign w:val="superscript"/>
          <w:lang w:eastAsia="es-ES"/>
        </w:rPr>
        <w:footnoteReference w:id="10"/>
      </w:r>
      <w:r w:rsidRPr="002F7DE0">
        <w:rPr>
          <w:rFonts w:ascii="Verdana" w:eastAsia="Calibri" w:hAnsi="Verdana" w:cs="Arial"/>
          <w:color w:val="000000" w:themeColor="text1"/>
          <w:lang w:eastAsia="es-ES"/>
        </w:rPr>
        <w:t xml:space="preserve">”. </w:t>
      </w:r>
    </w:p>
    <w:p w14:paraId="6D793A90" w14:textId="77777777" w:rsidR="002F7DE0" w:rsidRPr="002F7DE0" w:rsidRDefault="002F7DE0" w:rsidP="002F7DE0">
      <w:pPr>
        <w:spacing w:after="120" w:line="276" w:lineRule="auto"/>
        <w:jc w:val="both"/>
        <w:rPr>
          <w:rFonts w:ascii="Verdana" w:eastAsia="Calibri" w:hAnsi="Verdana" w:cs="Arial"/>
          <w:color w:val="000000" w:themeColor="text1"/>
          <w:lang w:eastAsia="es-ES"/>
        </w:rPr>
      </w:pPr>
      <w:r w:rsidRPr="002F7DE0">
        <w:rPr>
          <w:rFonts w:ascii="Verdana" w:hAnsi="Verdana" w:cs="Arial"/>
          <w:lang w:eastAsia="es-ES"/>
        </w:rPr>
        <w:t xml:space="preserve">ii. </w:t>
      </w:r>
      <w:r w:rsidRPr="002F7DE0">
        <w:rPr>
          <w:rFonts w:ascii="Verdana" w:eastAsia="Calibri" w:hAnsi="Verdana" w:cs="Arial"/>
          <w:color w:val="000000" w:themeColor="text1"/>
          <w:lang w:eastAsia="es-ES"/>
        </w:rPr>
        <w:t xml:space="preserve">Ahora bien, de acuerdo con la interpretación explicada, teniendo en cuenta lo dispuesto en el artículo 37 de la Ley 2056 de 2020, las entidades ejecutoras designadas </w:t>
      </w:r>
      <w:r w:rsidRPr="002F7DE0">
        <w:rPr>
          <w:rFonts w:ascii="Verdana" w:eastAsia="Calibri" w:hAnsi="Verdana" w:cs="Arial"/>
          <w:i/>
          <w:iCs/>
          <w:color w:val="000000" w:themeColor="text1"/>
          <w:lang w:eastAsia="es-ES"/>
        </w:rPr>
        <w:t>deben</w:t>
      </w:r>
      <w:r w:rsidRPr="002F7DE0">
        <w:rPr>
          <w:rFonts w:ascii="Verdana" w:eastAsia="Calibri" w:hAnsi="Verdana" w:cs="Arial"/>
          <w:color w:val="000000" w:themeColor="text1"/>
          <w:lang w:eastAsia="es-ES"/>
        </w:rPr>
        <w:t xml:space="preserve"> sujetarse al EGCAP,</w:t>
      </w:r>
      <w:r w:rsidRPr="002F7DE0">
        <w:rPr>
          <w:rFonts w:ascii="Verdana" w:eastAsia="Calibri" w:hAnsi="Verdana" w:cs="Arial"/>
          <w:color w:val="000000"/>
          <w:lang w:val="es-ES" w:eastAsia="es-ES"/>
        </w:rPr>
        <w:t xml:space="preserve"> sin perjuicio de que en sus demás actividades apliquen el régimen especial que les corresponda</w:t>
      </w:r>
      <w:r w:rsidRPr="002F7DE0">
        <w:rPr>
          <w:rFonts w:ascii="Verdana" w:eastAsia="Calibri" w:hAnsi="Verdana" w:cs="Arial"/>
          <w:color w:val="000000" w:themeColor="text1"/>
          <w:lang w:eastAsia="es-ES"/>
        </w:rPr>
        <w:t xml:space="preserve">. Esto significa que la contratación de los bienes, obras o servicios que se adelante con fundamento en dicha normativa, </w:t>
      </w:r>
      <w:r w:rsidRPr="002F7DE0">
        <w:rPr>
          <w:rFonts w:ascii="Verdana" w:eastAsia="Calibri" w:hAnsi="Verdana" w:cs="Arial"/>
          <w:i/>
          <w:iCs/>
          <w:color w:val="000000" w:themeColor="text1"/>
          <w:lang w:eastAsia="es-ES"/>
        </w:rPr>
        <w:t>deberá</w:t>
      </w:r>
      <w:r w:rsidRPr="002F7DE0">
        <w:rPr>
          <w:rFonts w:ascii="Verdana" w:eastAsia="Calibri" w:hAnsi="Verdana" w:cs="Arial"/>
          <w:color w:val="000000" w:themeColor="text1"/>
          <w:lang w:eastAsia="es-ES"/>
        </w:rPr>
        <w:t xml:space="preserve"> sujetarse a las disposiciones del EGCAP y en consecuencia, los procesos de contratación </w:t>
      </w:r>
      <w:r w:rsidRPr="002F7DE0">
        <w:rPr>
          <w:rFonts w:ascii="Verdana" w:eastAsia="Calibri" w:hAnsi="Verdana" w:cs="Arial"/>
          <w:i/>
          <w:iCs/>
          <w:color w:val="000000" w:themeColor="text1"/>
          <w:lang w:eastAsia="es-ES"/>
        </w:rPr>
        <w:t>deberán</w:t>
      </w:r>
      <w:r w:rsidRPr="002F7DE0">
        <w:rPr>
          <w:rFonts w:ascii="Verdana" w:eastAsia="Calibri" w:hAnsi="Verdana" w:cs="Arial"/>
          <w:color w:val="000000" w:themeColor="text1"/>
          <w:lang w:eastAsia="es-ES"/>
        </w:rPr>
        <w:t xml:space="preserve"> desarrollarse observando las etapas, términos, procedimientos y demás reglas previstas en dicho estatuto, </w:t>
      </w:r>
      <w:r w:rsidRPr="002F7DE0">
        <w:rPr>
          <w:rFonts w:ascii="Verdana" w:hAnsi="Verdana" w:cs="Arial"/>
        </w:rPr>
        <w:t>acudiendo a las modalidades de selección establecidas por el artículo 2 de la Ley 1150 de 2007.</w:t>
      </w:r>
    </w:p>
    <w:p w14:paraId="5EC886BE"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 xml:space="preserve">En este contexto, a juicio de esta Agencia cuando los Fondos Mixtos sean designados como entidades ejecutoras, serán responsables de la correcta ejecución de los proyectos de inversión y en tal condición, les corresponde adelantar las actuaciones contractuales necesarias para materializar los proyectos aprobados y celebrar los negocios jurídicos requeridos para su ejecución, de conformidad con el régimen jurídico aplicable. En consecuencia, en el marco de la autonomía de la voluntad, deberán determinar la modalidad de selección y las demás reglas que resulten aplicables a la contratación que requieran adelantar, atendiendo a la naturaleza, objeto y cuantía de los contratos, de conformidad con las disposiciones del EGCAP que resulten aplicables. </w:t>
      </w:r>
    </w:p>
    <w:p w14:paraId="4DE61E89"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 xml:space="preserve">Lo anterior ha sido señalado por la Sala de Consulta y Servicio Civil del Consejo de Estado al precisar que, “una vez aprobado el proyecto de inversión y designada la entidad ejecutora, esta debe actuar dentro de un régimen funcional especial de ejecución de regalías, en el cual la contratación de bienes, obras, servicios, consultorías e interventorías requerida para materializar el proyecto </w:t>
      </w:r>
      <w:r w:rsidRPr="002F7DE0">
        <w:rPr>
          <w:rFonts w:ascii="Verdana" w:eastAsia="Calibri" w:hAnsi="Verdana" w:cs="Arial"/>
          <w:i/>
          <w:iCs/>
          <w:color w:val="000000" w:themeColor="text1"/>
          <w:lang w:eastAsia="es-ES"/>
        </w:rPr>
        <w:t xml:space="preserve">debe adelantarse con sujeción al Estatuto General de Contratación de la Administración Pública, sus modalidades de selección, sus reglas de publicidad, planeación, selección objetiva, documentos tipo cuando </w:t>
      </w:r>
      <w:r w:rsidRPr="002F7DE0">
        <w:rPr>
          <w:rFonts w:ascii="Verdana" w:eastAsia="Calibri" w:hAnsi="Verdana" w:cs="Arial"/>
          <w:i/>
          <w:iCs/>
          <w:color w:val="000000" w:themeColor="text1"/>
          <w:lang w:eastAsia="es-ES"/>
        </w:rPr>
        <w:lastRenderedPageBreak/>
        <w:t>correspondan, supervisión, interventoría y control</w:t>
      </w:r>
      <w:r w:rsidRPr="002F7DE0">
        <w:rPr>
          <w:rFonts w:ascii="Verdana" w:eastAsia="Calibri" w:hAnsi="Verdana" w:cs="Arial"/>
          <w:i/>
          <w:iCs/>
          <w:color w:val="000000" w:themeColor="text1"/>
          <w:vertAlign w:val="superscript"/>
          <w:lang w:eastAsia="es-ES"/>
        </w:rPr>
        <w:footnoteReference w:id="11"/>
      </w:r>
      <w:r w:rsidRPr="002F7DE0">
        <w:rPr>
          <w:rFonts w:ascii="Verdana" w:eastAsia="Calibri" w:hAnsi="Verdana" w:cs="Arial"/>
          <w:color w:val="000000" w:themeColor="text1"/>
          <w:lang w:eastAsia="es-ES"/>
        </w:rPr>
        <w:t>” (Énfasis por fuera de texto).</w:t>
      </w:r>
    </w:p>
    <w:p w14:paraId="102E3CBF" w14:textId="77777777" w:rsidR="002F7DE0" w:rsidRPr="002F7DE0" w:rsidRDefault="002F7DE0" w:rsidP="002F7DE0">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Al respecto, es pertinente reiterar que la sujeción al EGCAP que se deriva de la ejecución de proyectos de inversión financiados con recursos del SGR no supone una modificación general ni permanente del régimen jurídico contractual de los sujetos designados como ejecutores. En particular, cuando se trata de entidades sometidas a regímenes especiales de contratación, dicha sujeción opera exclusivamente respecto de la contratación necesaria para la ejecución de los proyectos a los que se refiere la Ley 2056 de 2020, sin que implique la sustitución de los regímenes especiales que les sean propios para el desarrollo de las demás actividades comprendidas dentro de su objeto y funciones. De la misma manera, la aplicación del EGCAP para una actividad específica no modifica la naturaleza jurídica del ejecutor ni lo convierte, por ese solo hecho, en una entidad estatal sometida integralmente a la Ley 80 de 1993.</w:t>
      </w:r>
    </w:p>
    <w:p w14:paraId="58DD3018" w14:textId="77777777" w:rsidR="002F7DE0" w:rsidRPr="002F7DE0" w:rsidRDefault="002F7DE0" w:rsidP="002F7DE0">
      <w:pPr>
        <w:spacing w:after="120" w:line="276" w:lineRule="auto"/>
        <w:ind w:firstLine="708"/>
        <w:jc w:val="both"/>
        <w:rPr>
          <w:rFonts w:ascii="Verdana" w:eastAsia="Calibri" w:hAnsi="Verdana" w:cs="Arial"/>
          <w:color w:val="000000" w:themeColor="text1"/>
          <w:lang w:eastAsia="es-ES"/>
        </w:rPr>
      </w:pPr>
      <w:r w:rsidRPr="002F7DE0">
        <w:rPr>
          <w:rFonts w:ascii="Verdana" w:eastAsia="Calibri" w:hAnsi="Verdana" w:cs="Arial"/>
          <w:lang w:val="es-ES"/>
        </w:rPr>
        <w:t xml:space="preserve">En este orden de ideas, si bien en principio las entidades con régimen de contratación especial no están obligadas a aplicar los documentos tipo, la remisión efectuada por el parágrafo primero del artículo 37 de la Ley 2056 de 2020 al EGCAP, conlleva a que las </w:t>
      </w:r>
      <w:r w:rsidRPr="002F7DE0">
        <w:rPr>
          <w:rFonts w:ascii="Verdana" w:eastAsia="Calibri" w:hAnsi="Verdana" w:cs="Arial"/>
          <w:color w:val="000000" w:themeColor="text1"/>
          <w:lang w:eastAsia="es-ES"/>
        </w:rPr>
        <w:t xml:space="preserve">entidades designadas ejecutoras deban sujetarse a las reglas y principios establecidos en el Estatuto General de Contratación de la Administración Pública y sus disposiciones reglamentarias. En consecuencia, ello comprende la aplicación de los documentos tipo en la 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388AF836" w14:textId="77777777" w:rsidR="002F7DE0" w:rsidRPr="002F7DE0" w:rsidRDefault="002F7DE0" w:rsidP="002F7DE0">
      <w:pPr>
        <w:spacing w:after="120" w:line="276" w:lineRule="auto"/>
        <w:ind w:firstLine="708"/>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 xml:space="preserve">Lo expuesto ha sido también señalado en </w:t>
      </w:r>
      <w:r w:rsidRPr="002F7DE0">
        <w:rPr>
          <w:rFonts w:ascii="Verdana" w:hAnsi="Verdana"/>
        </w:rPr>
        <w:t xml:space="preserve">la Circular Conjunta No. 001 de 2026 expedida por la Procuraduría General de la Nación y la Contraloría General de la República, en la cual se indica que, entre otros aspectos, que “La Ley 2056 de 2020 y el Decreto 1821 de 2020 señalan que las entidades ejecutoras de proyectos financiados con recursos del Sistema General de Regalías. son responsables de garantizar su correcta ejecución, teniendo en cuenta que se trata de preservar la adecuada destinación de los recursos públicos” y que “El Estatuto General de Contratación de la Administración Pública, obliga a quienes </w:t>
      </w:r>
      <w:r w:rsidRPr="002F7DE0">
        <w:rPr>
          <w:rFonts w:ascii="Verdana" w:hAnsi="Verdana"/>
        </w:rPr>
        <w:lastRenderedPageBreak/>
        <w:t xml:space="preserve">deben someterse a su regulación, a adoptar el uso de los documentos tipo para la selección de contratistas en procesos de obras públicas e interventoría, interventoría para consultoría de estudios y diseños para obras públicas, consultoría en ingeniería para obras, en las modalidades de licitación pública, concursos de mérito, procesos de mínima cuantía y selección abreviada”. </w:t>
      </w:r>
    </w:p>
    <w:p w14:paraId="4661143F" w14:textId="77777777" w:rsidR="002F7DE0" w:rsidRPr="002F7DE0" w:rsidRDefault="002F7DE0" w:rsidP="002F7DE0">
      <w:pPr>
        <w:spacing w:after="120" w:line="276" w:lineRule="auto"/>
        <w:ind w:firstLine="709"/>
        <w:jc w:val="both"/>
        <w:rPr>
          <w:rFonts w:ascii="Verdana" w:eastAsia="Calibri" w:hAnsi="Verdana" w:cs="Arial"/>
          <w:lang w:val="es-ES"/>
        </w:rPr>
      </w:pPr>
      <w:r w:rsidRPr="002F7DE0">
        <w:rPr>
          <w:rFonts w:ascii="Verdana" w:eastAsia="Calibri" w:hAnsi="Verdana" w:cs="Arial"/>
          <w:color w:val="000000" w:themeColor="text1"/>
          <w:lang w:eastAsia="es-ES"/>
        </w:rPr>
        <w:t xml:space="preserve">En este sentido, cuando el objeto contractual a ejecutar en el marco de los proyectos financiados con recursos del SGR corresponda a alguno de los sectores respecto de los cuales se han emitido los Documentos Tipo estos deberán aplicarse por la entidad ejecutora. </w:t>
      </w:r>
      <w:r w:rsidRPr="002F7DE0">
        <w:rPr>
          <w:rFonts w:ascii="Verdana" w:eastAsia="Calibri" w:hAnsi="Verdana" w:cs="Arial"/>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estos documentos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r w:rsidRPr="002F7DE0">
        <w:rPr>
          <w:rFonts w:ascii="Verdana" w:eastAsia="Calibri" w:hAnsi="Verdana" w:cs="Arial"/>
          <w:lang w:val="es-ES"/>
        </w:rPr>
        <w:t xml:space="preserve">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15528C8E" w14:textId="77777777" w:rsidR="002F7DE0" w:rsidRPr="002F7DE0" w:rsidRDefault="002F7DE0" w:rsidP="002F7DE0">
      <w:pPr>
        <w:spacing w:after="0" w:line="276" w:lineRule="auto"/>
        <w:jc w:val="both"/>
        <w:rPr>
          <w:rFonts w:ascii="Verdana" w:eastAsia="Calibri" w:hAnsi="Verdana" w:cs="Arial"/>
          <w:lang w:val="es-ES"/>
        </w:rPr>
      </w:pPr>
      <w:r w:rsidRPr="002F7DE0">
        <w:rPr>
          <w:rFonts w:ascii="Verdana" w:eastAsia="Calibri" w:hAnsi="Verdana" w:cs="Arial"/>
          <w:lang w:val="es-ES"/>
        </w:rPr>
        <w:t xml:space="preserve">iii. Lo señalado respecto del alcance del artículo 37 de la Ley 2056 de 2020 debe diferenciarse de lo dispuesto en el artículo 56 de la Ley 2195 de 2022, pues se trata de disposiciones que regulan supuestos y efectos jurídicos distintos. En efecto, </w:t>
      </w:r>
      <w:r w:rsidRPr="002F7DE0">
        <w:rPr>
          <w:rFonts w:ascii="Verdana" w:eastAsia="Calibri" w:hAnsi="Verdana" w:cs="Arial"/>
          <w:bCs/>
          <w:lang w:val="es-ES_tradnl" w:eastAsia="es-ES_tradnl"/>
        </w:rPr>
        <w:t>esta última disposición se refiere de manera expresa a los documentos tipo y a su aplicabilidad a sujetos diferentes de las entidades estatales sometidas al Estatuto General de Contratación de la Administración Pública:</w:t>
      </w:r>
    </w:p>
    <w:p w14:paraId="1AE6EAFF" w14:textId="77777777" w:rsidR="002F7DE0" w:rsidRPr="002F7DE0" w:rsidRDefault="002F7DE0" w:rsidP="002F7DE0">
      <w:pPr>
        <w:tabs>
          <w:tab w:val="left" w:pos="0"/>
        </w:tabs>
        <w:spacing w:after="0" w:line="276" w:lineRule="auto"/>
        <w:jc w:val="both"/>
        <w:rPr>
          <w:rFonts w:ascii="Arial" w:eastAsia="Calibri" w:hAnsi="Arial" w:cs="Arial"/>
          <w:bCs/>
          <w:szCs w:val="24"/>
          <w:lang w:val="es-ES_tradnl" w:eastAsia="es-ES_tradnl"/>
        </w:rPr>
      </w:pPr>
    </w:p>
    <w:p w14:paraId="27D1F016" w14:textId="77777777" w:rsidR="002F7DE0" w:rsidRPr="002F7DE0" w:rsidRDefault="002F7DE0" w:rsidP="002F7DE0">
      <w:pPr>
        <w:tabs>
          <w:tab w:val="left" w:pos="0"/>
        </w:tabs>
        <w:spacing w:after="0" w:line="240" w:lineRule="auto"/>
        <w:ind w:left="709" w:right="709"/>
        <w:jc w:val="both"/>
        <w:rPr>
          <w:rFonts w:ascii="Verdana" w:eastAsia="Times New Roman" w:hAnsi="Verdana" w:cs="Arial"/>
          <w:sz w:val="20"/>
          <w:szCs w:val="20"/>
          <w:lang w:val="es-ES_tradnl" w:eastAsia="es-ES_tradnl"/>
        </w:rPr>
      </w:pPr>
      <w:r w:rsidRPr="002F7DE0">
        <w:rPr>
          <w:rFonts w:ascii="Verdana" w:eastAsia="Times New Roman" w:hAnsi="Verdana" w:cs="Arial"/>
          <w:sz w:val="20"/>
          <w:szCs w:val="20"/>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w:t>
      </w:r>
      <w:r w:rsidRPr="002F7DE0">
        <w:rPr>
          <w:rFonts w:ascii="Verdana" w:eastAsia="Times New Roman" w:hAnsi="Verdana" w:cs="Arial"/>
          <w:sz w:val="20"/>
          <w:szCs w:val="20"/>
          <w:lang w:val="es-ES_tradnl" w:eastAsia="es-ES_tradnl"/>
        </w:rPr>
        <w:lastRenderedPageBreak/>
        <w:t xml:space="preserve">haga sus veces, conforme al parágrafo 7 del artículo 2 de la Ley 1150 de 2007 o las normas que lo modifiquen o sustituyan. </w:t>
      </w:r>
    </w:p>
    <w:p w14:paraId="3BF43F5A" w14:textId="77777777" w:rsidR="002F7DE0" w:rsidRPr="002F7DE0" w:rsidRDefault="002F7DE0" w:rsidP="002F7DE0">
      <w:pPr>
        <w:tabs>
          <w:tab w:val="left" w:pos="0"/>
        </w:tabs>
        <w:spacing w:after="0" w:line="240" w:lineRule="auto"/>
        <w:ind w:left="709" w:right="709"/>
        <w:jc w:val="both"/>
        <w:rPr>
          <w:rFonts w:ascii="Verdana" w:eastAsia="Times New Roman" w:hAnsi="Verdana" w:cs="Arial"/>
          <w:sz w:val="20"/>
          <w:szCs w:val="20"/>
          <w:lang w:val="es-ES_tradnl" w:eastAsia="es-ES_tradnl"/>
        </w:rPr>
      </w:pPr>
    </w:p>
    <w:p w14:paraId="242F44DA" w14:textId="77777777" w:rsidR="002F7DE0" w:rsidRPr="002F7DE0" w:rsidRDefault="002F7DE0" w:rsidP="002F7DE0">
      <w:pPr>
        <w:tabs>
          <w:tab w:val="left" w:pos="0"/>
        </w:tabs>
        <w:spacing w:after="0" w:line="240" w:lineRule="auto"/>
        <w:ind w:left="709" w:right="709"/>
        <w:jc w:val="both"/>
        <w:rPr>
          <w:rFonts w:ascii="Verdana" w:eastAsia="Times New Roman" w:hAnsi="Verdana" w:cs="Arial"/>
          <w:sz w:val="20"/>
          <w:szCs w:val="20"/>
          <w:lang w:val="es-ES_tradnl" w:eastAsia="es-ES_tradnl"/>
        </w:rPr>
      </w:pPr>
      <w:r w:rsidRPr="002F7DE0">
        <w:rPr>
          <w:rFonts w:ascii="Verdana" w:eastAsia="Times New Roman" w:hAnsi="Verdana" w:cs="Arial"/>
          <w:sz w:val="20"/>
          <w:szCs w:val="20"/>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44711AEA" w14:textId="77777777" w:rsidR="002F7DE0" w:rsidRPr="002F7DE0" w:rsidRDefault="002F7DE0" w:rsidP="002F7DE0">
      <w:pPr>
        <w:tabs>
          <w:tab w:val="left" w:pos="0"/>
        </w:tabs>
        <w:spacing w:after="0" w:line="240" w:lineRule="auto"/>
        <w:ind w:left="709" w:right="709"/>
        <w:jc w:val="both"/>
        <w:rPr>
          <w:rFonts w:ascii="Verdana" w:eastAsia="Times New Roman" w:hAnsi="Verdana" w:cs="Arial"/>
          <w:sz w:val="20"/>
          <w:szCs w:val="20"/>
          <w:lang w:val="es-ES_tradnl" w:eastAsia="es-ES_tradnl"/>
        </w:rPr>
      </w:pPr>
    </w:p>
    <w:p w14:paraId="422253EE" w14:textId="77777777" w:rsidR="002F7DE0" w:rsidRPr="002F7DE0" w:rsidRDefault="002F7DE0" w:rsidP="002F7DE0">
      <w:pPr>
        <w:spacing w:after="0" w:line="240" w:lineRule="auto"/>
        <w:ind w:left="709" w:right="709"/>
        <w:jc w:val="both"/>
        <w:rPr>
          <w:rFonts w:ascii="Verdana" w:eastAsia="Calibri" w:hAnsi="Verdana" w:cs="Arial"/>
          <w:sz w:val="20"/>
          <w:szCs w:val="20"/>
          <w:lang w:val="es-ES" w:eastAsia="es-ES"/>
        </w:rPr>
      </w:pPr>
      <w:r w:rsidRPr="002F7DE0">
        <w:rPr>
          <w:rFonts w:ascii="Verdana" w:eastAsia="Times New Roman" w:hAnsi="Verdana" w:cs="Arial"/>
          <w:sz w:val="20"/>
          <w:szCs w:val="20"/>
          <w:lang w:val="es-ES" w:eastAsia="es-ES"/>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2F7DE0">
        <w:rPr>
          <w:rFonts w:ascii="Verdana" w:eastAsia="Times New Roman" w:hAnsi="Verdana" w:cs="Arial"/>
          <w:i/>
          <w:iCs/>
          <w:sz w:val="20"/>
          <w:szCs w:val="20"/>
          <w:lang w:val="es-ES" w:eastAsia="es-ES"/>
        </w:rPr>
        <w:t>giro ordinario</w:t>
      </w:r>
      <w:r w:rsidRPr="002F7DE0">
        <w:rPr>
          <w:rFonts w:ascii="Verdana" w:eastAsia="Times New Roman" w:hAnsi="Verdana" w:cs="Arial"/>
          <w:sz w:val="20"/>
          <w:szCs w:val="20"/>
          <w:lang w:val="es-ES" w:eastAsia="es-ES"/>
        </w:rPr>
        <w:t>. En estos casos, en los manuales de contratación de estas entidades, se fomentará como buena práctica la aplicación de los pliegos tipo.</w:t>
      </w:r>
    </w:p>
    <w:p w14:paraId="39FAB1E5" w14:textId="77777777" w:rsidR="002F7DE0" w:rsidRPr="002F7DE0" w:rsidRDefault="002F7DE0" w:rsidP="002F7DE0">
      <w:pPr>
        <w:tabs>
          <w:tab w:val="left" w:pos="0"/>
        </w:tabs>
        <w:spacing w:after="0" w:line="276" w:lineRule="auto"/>
        <w:jc w:val="both"/>
        <w:rPr>
          <w:rFonts w:ascii="Arial" w:eastAsia="Calibri" w:hAnsi="Arial" w:cs="Arial"/>
          <w:bCs/>
          <w:szCs w:val="24"/>
          <w:lang w:val="es-ES_tradnl" w:eastAsia="es-ES_tradnl"/>
        </w:rPr>
      </w:pPr>
    </w:p>
    <w:p w14:paraId="61876F43" w14:textId="77777777" w:rsidR="002F7DE0" w:rsidRPr="002F7DE0" w:rsidRDefault="002F7DE0" w:rsidP="002F7DE0">
      <w:pPr>
        <w:spacing w:after="120" w:line="276" w:lineRule="auto"/>
        <w:ind w:firstLine="709"/>
        <w:jc w:val="both"/>
        <w:rPr>
          <w:rFonts w:ascii="Verdana" w:eastAsia="Calibri" w:hAnsi="Verdana" w:cs="Arial"/>
          <w:lang w:val="es-ES"/>
        </w:rPr>
      </w:pPr>
      <w:r w:rsidRPr="002F7DE0">
        <w:rPr>
          <w:rFonts w:ascii="Verdana" w:eastAsia="Calibri" w:hAnsi="Verdana" w:cs="Arial"/>
          <w:lang w:val="es-ES"/>
        </w:rPr>
        <w:t>Como lo ha señalado esta Agencia,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p>
    <w:p w14:paraId="23C44BB6" w14:textId="77777777" w:rsidR="002F7DE0" w:rsidRPr="002F7DE0" w:rsidRDefault="002F7DE0" w:rsidP="002F7DE0">
      <w:pPr>
        <w:tabs>
          <w:tab w:val="left" w:pos="0"/>
        </w:tabs>
        <w:spacing w:after="120" w:line="276" w:lineRule="auto"/>
        <w:jc w:val="both"/>
        <w:rPr>
          <w:rFonts w:ascii="Verdana" w:eastAsia="Calibri" w:hAnsi="Verdana" w:cs="Arial"/>
          <w:lang w:val="es-ES" w:eastAsia="es-ES"/>
        </w:rPr>
      </w:pPr>
      <w:r w:rsidRPr="002F7DE0">
        <w:rPr>
          <w:rFonts w:ascii="Verdana" w:eastAsia="Calibri" w:hAnsi="Verdana" w:cs="Arial"/>
          <w:bCs/>
          <w:lang w:val="es-ES_tradnl" w:eastAsia="es-ES_tradnl"/>
        </w:rPr>
        <w:tab/>
      </w:r>
      <w:r w:rsidRPr="002F7DE0">
        <w:rPr>
          <w:rFonts w:ascii="Verdana" w:eastAsia="Calibri" w:hAnsi="Verdana" w:cs="Arial"/>
          <w:lang w:val="es-ES" w:eastAsia="es-ES"/>
        </w:rPr>
        <w:t xml:space="preserve"> Sin perjuicio de lo anterior, solo es posible comprender los efectos de lo dispuesto en el artículo 56 de la </w:t>
      </w:r>
      <w:bookmarkStart w:id="6" w:name="_Hlk205276572"/>
      <w:r w:rsidRPr="002F7DE0">
        <w:rPr>
          <w:rFonts w:ascii="Verdana" w:eastAsia="Calibri" w:hAnsi="Verdana" w:cs="Arial"/>
          <w:lang w:val="es-ES" w:eastAsia="es-ES"/>
        </w:rPr>
        <w:t xml:space="preserve">Ley 2195 de 2022 </w:t>
      </w:r>
      <w:bookmarkEnd w:id="6"/>
      <w:r w:rsidRPr="002F7DE0">
        <w:rPr>
          <w:rFonts w:ascii="Verdana" w:eastAsia="Calibri" w:hAnsi="Verdana" w:cs="Arial"/>
          <w:lang w:val="es-ES" w:eastAsia="es-ES"/>
        </w:rPr>
        <w:t xml:space="preserve">cuando se interpretan en conjunto todos sus componentes. Esto comoquiera que, a lo anterior se le suman las implicaciones de lo ordenado por el segundo inciso de la norma en estudio cuando usa la expresión “los procedimientos de selección y contratos que realicen en desarrollo de los anteriores negocios jurídicos”, a los que se refiere el primer inciso, en los que, además de la aplicación de los documentos tipo, se dispone la aplicación del EGCAP. </w:t>
      </w:r>
    </w:p>
    <w:p w14:paraId="3C994DF3" w14:textId="77777777" w:rsidR="002F7DE0" w:rsidRPr="002F7DE0" w:rsidRDefault="002F7DE0" w:rsidP="002F7DE0">
      <w:pPr>
        <w:tabs>
          <w:tab w:val="left" w:pos="0"/>
        </w:tabs>
        <w:spacing w:after="120" w:line="276" w:lineRule="auto"/>
        <w:jc w:val="both"/>
        <w:rPr>
          <w:rFonts w:ascii="Verdana" w:eastAsia="Calibri" w:hAnsi="Verdana" w:cs="Arial"/>
          <w:lang w:val="es-ES" w:eastAsia="es-ES"/>
        </w:rPr>
      </w:pPr>
      <w:r w:rsidRPr="002F7DE0">
        <w:rPr>
          <w:rFonts w:ascii="Verdana" w:eastAsia="Calibri" w:hAnsi="Verdana" w:cs="Arial"/>
          <w:lang w:val="es-ES" w:eastAsia="es-ES"/>
        </w:rPr>
        <w:lastRenderedPageBreak/>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ejusdem, si, en efecto, deben subcontratar bienes, obras o servicios, en cumplimiento de un contrato o convenio interadministrativo o de cualquier otra índole, con una entidad estatal sometida a la Ley 80 de 1993, deberá adelantar el procedimiento de selección, así como celebrar el respectivo contrato, implementando los documentos tipo  y aplicando las disposiciones del EGCAP. </w:t>
      </w:r>
    </w:p>
    <w:p w14:paraId="60502C08" w14:textId="77777777" w:rsidR="002F7DE0" w:rsidRPr="002F7DE0" w:rsidRDefault="002F7DE0" w:rsidP="002F7DE0">
      <w:pPr>
        <w:tabs>
          <w:tab w:val="left" w:pos="0"/>
        </w:tabs>
        <w:spacing w:after="120" w:line="276" w:lineRule="auto"/>
        <w:ind w:firstLine="709"/>
        <w:jc w:val="both"/>
        <w:rPr>
          <w:rFonts w:ascii="Verdana" w:eastAsia="Calibri" w:hAnsi="Verdana" w:cs="Arial"/>
          <w:bCs/>
          <w:lang w:val="es-ES_tradnl"/>
        </w:rPr>
      </w:pPr>
      <w:r w:rsidRPr="002F7DE0">
        <w:rPr>
          <w:rFonts w:ascii="Verdana" w:hAnsi="Verdana" w:cs="Arial"/>
          <w:bCs/>
          <w:color w:val="000000" w:themeColor="text1"/>
          <w:lang w:val="es-ES_tradnl"/>
        </w:rPr>
        <w:t xml:space="preserve">En este contexto, </w:t>
      </w:r>
      <w:r w:rsidRPr="002F7DE0">
        <w:rPr>
          <w:rFonts w:ascii="Verdana" w:eastAsia="Calibri" w:hAnsi="Verdana" w:cs="Arial"/>
          <w:bCs/>
          <w:lang w:val="es-ES_tradnl" w:eastAsia="es-ES_tradnl"/>
        </w:rPr>
        <w:t>de la lectura conjunta de los incisos primero y segundo</w:t>
      </w:r>
      <w:r w:rsidRPr="002F7DE0">
        <w:rPr>
          <w:rFonts w:ascii="Verdana" w:eastAsia="Calibri" w:hAnsi="Verdana" w:cs="Arial"/>
          <w:bCs/>
          <w:lang w:eastAsia="es-ES_tradnl"/>
        </w:rPr>
        <w:t xml:space="preserve"> del artículo 56 de la Ley 2195 de 2022,</w:t>
      </w:r>
      <w:r w:rsidRPr="002F7DE0">
        <w:rPr>
          <w:rFonts w:ascii="Verdana" w:eastAsia="Calibri" w:hAnsi="Verdana" w:cs="Arial"/>
          <w:bCs/>
          <w:lang w:val="es-ES_tradnl" w:eastAsia="es-ES_tradnl"/>
        </w:rPr>
        <w:t xml:space="preserve"> se desprende que </w:t>
      </w:r>
      <w:r w:rsidRPr="002F7DE0">
        <w:rPr>
          <w:rFonts w:ascii="Verdana" w:eastAsia="Calibri" w:hAnsi="Verdana" w:cs="Arial"/>
          <w:bCs/>
          <w:lang w:eastAsia="es-ES_tradnl"/>
        </w:rPr>
        <w:t>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2F7DE0">
        <w:rPr>
          <w:rFonts w:ascii="Arial" w:eastAsia="Calibri" w:hAnsi="Arial" w:cs="Arial"/>
          <w:bCs/>
          <w:lang w:val="es-ES_tradnl"/>
        </w:rPr>
        <w:t xml:space="preserve"> </w:t>
      </w:r>
      <w:r w:rsidRPr="002F7DE0">
        <w:rPr>
          <w:rFonts w:ascii="Verdana" w:eastAsia="Calibri" w:hAnsi="Verdana" w:cs="Arial"/>
          <w:bCs/>
          <w:lang w:val="es-ES_tradnl"/>
        </w:rPr>
        <w:t>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w:t>
      </w:r>
    </w:p>
    <w:p w14:paraId="7EB6170E" w14:textId="77777777" w:rsidR="002F7DE0" w:rsidRPr="002F7DE0" w:rsidRDefault="002F7DE0" w:rsidP="002F7DE0">
      <w:pPr>
        <w:tabs>
          <w:tab w:val="left" w:pos="0"/>
        </w:tabs>
        <w:spacing w:after="120" w:line="276" w:lineRule="auto"/>
        <w:ind w:firstLine="709"/>
        <w:jc w:val="both"/>
        <w:rPr>
          <w:rFonts w:ascii="Verdana" w:eastAsia="Calibri" w:hAnsi="Verdana" w:cs="Arial"/>
          <w:lang w:val="es-ES" w:eastAsia="es-ES"/>
        </w:rPr>
      </w:pPr>
      <w:r w:rsidRPr="002F7DE0">
        <w:rPr>
          <w:rFonts w:ascii="Verdana" w:eastAsia="Calibri" w:hAnsi="Verdana" w:cs="Arial"/>
          <w:lang w:val="es-ES" w:eastAsia="es-ES"/>
        </w:rPr>
        <w:t xml:space="preserve">Bajo este escenario, si bien el artículo 56 de la Ley 2195 de 2022 y el artículo 37 de la Ley 2056 de 2020 pueden tener una consecuencia coincidente en cuanto a la aplicación de los documentos tipo, dicha consecuencia se deriva de supuestos de hecho jurídicamente diferentes. En el caso del artículo 37 de la Ley 2056 de 2020, la aplicación de los documentos tipo se encuentra vinculada al régimen de contratación aplicable a la ejecución de los recursos del SGR, en la medida en que la norma remite al EGCAP. Por tanto, cuando una entidad es </w:t>
      </w:r>
      <w:r w:rsidRPr="002F7DE0">
        <w:rPr>
          <w:rFonts w:ascii="Verdana" w:eastAsia="Calibri" w:hAnsi="Verdana" w:cs="Arial"/>
          <w:lang w:val="es-ES" w:eastAsia="es-ES"/>
        </w:rPr>
        <w:lastRenderedPageBreak/>
        <w:t>designada como ejecutora de un proyecto financiado con recursos del SGR, la aplicación del EGCAP y, consecuentemente, de los documentos tipo que resulten obligatorios, surge de la condición de ejecutora y del régimen legal establecido para la ejecución de estos recursos.</w:t>
      </w:r>
    </w:p>
    <w:p w14:paraId="2A9F605C" w14:textId="77777777" w:rsidR="002F7DE0" w:rsidRPr="002F7DE0" w:rsidRDefault="002F7DE0" w:rsidP="002F7DE0">
      <w:pPr>
        <w:tabs>
          <w:tab w:val="left" w:pos="0"/>
        </w:tabs>
        <w:spacing w:after="120" w:line="276" w:lineRule="auto"/>
        <w:ind w:firstLine="709"/>
        <w:jc w:val="both"/>
        <w:rPr>
          <w:rFonts w:ascii="Verdana" w:eastAsia="Calibri" w:hAnsi="Verdana" w:cs="Arial"/>
          <w:lang w:val="es-ES" w:eastAsia="es-ES"/>
        </w:rPr>
      </w:pPr>
      <w:r w:rsidRPr="002F7DE0">
        <w:rPr>
          <w:rFonts w:ascii="Verdana" w:eastAsia="Calibri" w:hAnsi="Verdana" w:cs="Arial"/>
          <w:lang w:val="es-ES" w:eastAsia="es-ES"/>
        </w:rPr>
        <w:t xml:space="preserve">Por su parte, el artículo 56 de la Ley 2195 de 2022 contempla un supuesto diferente, pues la aplicación de los documentos tipo opera por la celebración de un convenio o contrato interadministrativo con una entidad que se encuentra sometida a un régimen jurídico especial de contratación. En este evento, la aplicación de los documentos tipo no se origina en la designación de la entidad como ejecutora de recursos del SGR ni en la aplicación directa del régimen previsto en la Ley 2056 de 2020, sino en la celebración del negocio jurídico interadministrativo y en las condiciones establecidas por el legislador para evitar que, a través de este tipo de instrumentos, se eludan las reglas de contratación pública. </w:t>
      </w:r>
    </w:p>
    <w:p w14:paraId="3F406F08" w14:textId="77777777" w:rsidR="002F7DE0" w:rsidRPr="002F7DE0" w:rsidRDefault="002F7DE0" w:rsidP="002F7DE0">
      <w:pPr>
        <w:tabs>
          <w:tab w:val="left" w:pos="0"/>
        </w:tabs>
        <w:spacing w:after="120" w:line="276" w:lineRule="auto"/>
        <w:ind w:firstLine="709"/>
        <w:jc w:val="both"/>
        <w:rPr>
          <w:rFonts w:ascii="Verdana" w:eastAsia="Calibri" w:hAnsi="Verdana" w:cs="Arial"/>
          <w:lang w:val="es-ES" w:eastAsia="es-ES"/>
        </w:rPr>
      </w:pPr>
      <w:r w:rsidRPr="002F7DE0">
        <w:rPr>
          <w:rFonts w:ascii="Verdana" w:eastAsia="Calibri" w:hAnsi="Verdana" w:cs="Arial"/>
          <w:lang w:val="es-ES" w:eastAsia="es-ES"/>
        </w:rPr>
        <w:t>Esta diferencia resulta relevante, pues en el régimen del SGR la calidad de ejecutora no surge de la celebración de un contrato o convenio interadministrativo, sino de la correspondiente decisión o acto mediante el cual se efectúa la designación de la entidad encargada de ejecutar el proyecto</w:t>
      </w:r>
      <w:r w:rsidRPr="002F7DE0">
        <w:rPr>
          <w:rFonts w:ascii="Verdana" w:eastAsia="Calibri" w:hAnsi="Verdana" w:cs="Arial"/>
          <w:vertAlign w:val="superscript"/>
          <w:lang w:val="es-ES" w:eastAsia="es-ES"/>
        </w:rPr>
        <w:footnoteReference w:id="12"/>
      </w:r>
      <w:r w:rsidRPr="002F7DE0">
        <w:rPr>
          <w:rFonts w:ascii="Verdana" w:eastAsia="Calibri" w:hAnsi="Verdana" w:cs="Arial"/>
          <w:lang w:val="es-ES" w:eastAsia="es-ES"/>
        </w:rPr>
        <w:t>. En consecuencia, no resulta procedente afirmar una prevalencia de la Ley 2195 de 2022 sobre la Ley 2056 de 2020 con fundamento en su expedición posterior, toda vez que ambas disposiciones regulan supuestos de hecho diferentes y, por tanto, no existe entre ellas una relación de sucesión normativa o contradicción que permita desplazar automáticamente la aplicación de la disposición anterior.</w:t>
      </w:r>
    </w:p>
    <w:p w14:paraId="25F055EE" w14:textId="77777777" w:rsidR="002F7DE0" w:rsidRPr="002F7DE0" w:rsidRDefault="002F7DE0" w:rsidP="002F7DE0">
      <w:pPr>
        <w:spacing w:after="120" w:line="276" w:lineRule="auto"/>
        <w:jc w:val="both"/>
        <w:rPr>
          <w:rFonts w:ascii="Verdana" w:eastAsia="Calibri" w:hAnsi="Verdana" w:cs="Arial"/>
          <w:color w:val="000000"/>
          <w:lang w:val="es-ES" w:eastAsia="es-ES"/>
        </w:rPr>
      </w:pPr>
      <w:r w:rsidRPr="002F7DE0">
        <w:rPr>
          <w:rFonts w:ascii="Verdana" w:hAnsi="Verdana" w:cs="Arial"/>
          <w:lang w:eastAsia="es-ES"/>
        </w:rPr>
        <w:t xml:space="preserve">iv. Al margen de la postura de la ANCP – CCE, </w:t>
      </w:r>
      <w:r w:rsidRPr="002F7DE0">
        <w:rPr>
          <w:rFonts w:ascii="Verdana" w:eastAsia="Calibri" w:hAnsi="Verdana" w:cs="Arial"/>
          <w:color w:val="000000"/>
          <w:lang w:val="es-ES" w:eastAsia="es-ES"/>
        </w:rPr>
        <w:t>es importante señalar que los conceptos emitidos por las entidades estatales en virtud del artículo 28 de la Ley 1437 de 2011</w:t>
      </w:r>
      <w:r w:rsidRPr="002F7DE0">
        <w:rPr>
          <w:rFonts w:ascii="Verdana" w:eastAsia="Calibri" w:hAnsi="Verdana" w:cs="Arial"/>
          <w:bCs/>
          <w:lang w:val="es-ES_tradnl"/>
        </w:rPr>
        <w:t xml:space="preserve">, sustituido por el artículo 1 de la Ley 1755, </w:t>
      </w:r>
      <w:bookmarkStart w:id="7" w:name="_Hlk200718672"/>
      <w:r w:rsidRPr="002F7DE0">
        <w:rPr>
          <w:rFonts w:ascii="Verdana" w:eastAsia="Calibri" w:hAnsi="Verdana" w:cs="Arial"/>
          <w:color w:val="000000"/>
          <w:lang w:val="es-ES" w:eastAsia="es-ES"/>
        </w:rPr>
        <w:t>representan</w:t>
      </w:r>
      <w:r w:rsidRPr="002F7DE0">
        <w:rPr>
          <w:rFonts w:ascii="Verdana" w:hAnsi="Verdana" w:cs="Arial"/>
          <w:lang w:eastAsia="es-ES"/>
        </w:rPr>
        <w:t xml:space="preserve"> una </w:t>
      </w:r>
      <w:r w:rsidRPr="002F7DE0">
        <w:rPr>
          <w:rFonts w:ascii="Verdana" w:eastAsia="Calibri" w:hAnsi="Verdana" w:cs="Arial"/>
          <w:bCs/>
          <w:lang w:val="es-ES_tradnl"/>
        </w:rPr>
        <w:t>posición hermenéutica</w:t>
      </w:r>
      <w:r w:rsidRPr="002F7DE0">
        <w:rPr>
          <w:rFonts w:ascii="Verdana" w:hAnsi="Verdana" w:cs="Arial"/>
          <w:lang w:eastAsia="es-ES"/>
        </w:rPr>
        <w:t xml:space="preserve"> </w:t>
      </w:r>
      <w:bookmarkStart w:id="8" w:name="_Hlk42100007"/>
      <w:r w:rsidRPr="002F7DE0">
        <w:rPr>
          <w:rFonts w:ascii="Verdana" w:hAnsi="Verdana" w:cs="Arial"/>
          <w:lang w:eastAsia="es-ES"/>
        </w:rPr>
        <w:t xml:space="preserve">que </w:t>
      </w:r>
      <w:r w:rsidRPr="002F7DE0">
        <w:rPr>
          <w:rFonts w:ascii="Verdana" w:eastAsia="Calibri" w:hAnsi="Verdana" w:cs="Arial"/>
          <w:bCs/>
          <w:lang w:val="es-ES_tradnl"/>
        </w:rPr>
        <w:t xml:space="preserve">no tienen efectos vinculantes </w:t>
      </w:r>
      <w:bookmarkEnd w:id="7"/>
      <w:r w:rsidRPr="002F7DE0">
        <w:rPr>
          <w:rFonts w:ascii="Verdana" w:eastAsia="Calibri" w:hAnsi="Verdana" w:cs="Arial"/>
          <w:bCs/>
          <w:lang w:val="es-ES_tradnl"/>
        </w:rPr>
        <w:t xml:space="preserve">en relación con una situación jurídica particular y concreta, y exponen un criterio que, aunque jurídicamente fundamentado, no representan la única interpretación posible del </w:t>
      </w:r>
      <w:r w:rsidRPr="002F7DE0">
        <w:rPr>
          <w:rFonts w:ascii="Verdana" w:eastAsia="Calibri" w:hAnsi="Verdana" w:cs="Arial"/>
          <w:bCs/>
          <w:lang w:val="es-ES_tradnl"/>
        </w:rPr>
        <w:lastRenderedPageBreak/>
        <w:t>ordenamiento jurídico.</w:t>
      </w:r>
      <w:bookmarkEnd w:id="8"/>
      <w:r w:rsidRPr="002F7DE0">
        <w:rPr>
          <w:rFonts w:ascii="Verdana" w:eastAsiaTheme="minorEastAsia" w:hAnsi="Verdana" w:cs="Arial"/>
          <w:szCs w:val="24"/>
          <w:lang w:eastAsia="es-CO"/>
        </w:rPr>
        <w:t xml:space="preserve"> De este modo, las autoridades que ejercen funciones consultivas pueden expresar su</w:t>
      </w:r>
      <w:r w:rsidRPr="002F7DE0">
        <w:rPr>
          <w:rFonts w:ascii="Verdana" w:eastAsiaTheme="minorEastAsia" w:hAnsi="Verdana" w:cs="Arial"/>
          <w:spacing w:val="1"/>
          <w:szCs w:val="24"/>
          <w:lang w:eastAsia="es-CO"/>
        </w:rPr>
        <w:t xml:space="preserve"> </w:t>
      </w:r>
      <w:r w:rsidRPr="002F7DE0">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2F7DE0">
        <w:rPr>
          <w:rFonts w:ascii="Verdana" w:eastAsiaTheme="minorEastAsia" w:hAnsi="Verdana" w:cs="Arial"/>
          <w:spacing w:val="1"/>
          <w:szCs w:val="24"/>
          <w:lang w:eastAsia="es-CO"/>
        </w:rPr>
        <w:t xml:space="preserve"> </w:t>
      </w:r>
      <w:r w:rsidRPr="002F7DE0">
        <w:rPr>
          <w:rFonts w:ascii="Verdana" w:eastAsiaTheme="minorEastAsia" w:hAnsi="Verdana" w:cs="Arial"/>
          <w:szCs w:val="24"/>
          <w:lang w:eastAsia="es-CO"/>
        </w:rPr>
        <w:t>virtud</w:t>
      </w:r>
      <w:r w:rsidRPr="002F7DE0">
        <w:rPr>
          <w:rFonts w:ascii="Verdana" w:eastAsiaTheme="minorEastAsia" w:hAnsi="Verdana" w:cs="Arial"/>
          <w:spacing w:val="-10"/>
          <w:szCs w:val="24"/>
          <w:lang w:eastAsia="es-CO"/>
        </w:rPr>
        <w:t xml:space="preserve"> </w:t>
      </w:r>
      <w:r w:rsidRPr="002F7DE0">
        <w:rPr>
          <w:rFonts w:ascii="Verdana" w:eastAsiaTheme="minorEastAsia" w:hAnsi="Verdana" w:cs="Arial"/>
          <w:szCs w:val="24"/>
          <w:lang w:eastAsia="es-CO"/>
        </w:rPr>
        <w:t>de</w:t>
      </w:r>
      <w:r w:rsidRPr="002F7DE0">
        <w:rPr>
          <w:rFonts w:ascii="Verdana" w:eastAsiaTheme="minorEastAsia" w:hAnsi="Verdana" w:cs="Arial"/>
          <w:spacing w:val="-9"/>
          <w:szCs w:val="24"/>
          <w:lang w:eastAsia="es-CO"/>
        </w:rPr>
        <w:t xml:space="preserve"> </w:t>
      </w:r>
      <w:r w:rsidRPr="002F7DE0">
        <w:rPr>
          <w:rFonts w:ascii="Verdana" w:eastAsiaTheme="minorEastAsia" w:hAnsi="Verdana" w:cs="Arial"/>
          <w:szCs w:val="24"/>
          <w:lang w:eastAsia="es-CO"/>
        </w:rPr>
        <w:t>la</w:t>
      </w:r>
      <w:r w:rsidRPr="002F7DE0">
        <w:rPr>
          <w:rFonts w:ascii="Verdana" w:eastAsiaTheme="minorEastAsia" w:hAnsi="Verdana" w:cs="Arial"/>
          <w:spacing w:val="-9"/>
          <w:szCs w:val="24"/>
          <w:lang w:eastAsia="es-CO"/>
        </w:rPr>
        <w:t xml:space="preserve"> </w:t>
      </w:r>
      <w:r w:rsidRPr="002F7DE0">
        <w:rPr>
          <w:rFonts w:ascii="Verdana" w:eastAsiaTheme="minorEastAsia" w:hAnsi="Verdana" w:cs="Arial"/>
          <w:szCs w:val="24"/>
          <w:lang w:eastAsia="es-CO"/>
        </w:rPr>
        <w:t>utilización</w:t>
      </w:r>
      <w:r w:rsidRPr="002F7DE0">
        <w:rPr>
          <w:rFonts w:ascii="Verdana" w:eastAsiaTheme="minorEastAsia" w:hAnsi="Verdana" w:cs="Arial"/>
          <w:spacing w:val="-9"/>
          <w:szCs w:val="24"/>
          <w:lang w:eastAsia="es-CO"/>
        </w:rPr>
        <w:t xml:space="preserve"> </w:t>
      </w:r>
      <w:r w:rsidRPr="002F7DE0">
        <w:rPr>
          <w:rFonts w:ascii="Verdana" w:eastAsiaTheme="minorEastAsia" w:hAnsi="Verdana" w:cs="Arial"/>
          <w:szCs w:val="24"/>
          <w:lang w:eastAsia="es-CO"/>
        </w:rPr>
        <w:t>de</w:t>
      </w:r>
      <w:r w:rsidRPr="002F7DE0">
        <w:rPr>
          <w:rFonts w:ascii="Verdana" w:eastAsiaTheme="minorEastAsia" w:hAnsi="Verdana" w:cs="Arial"/>
          <w:spacing w:val="-9"/>
          <w:szCs w:val="24"/>
          <w:lang w:eastAsia="es-CO"/>
        </w:rPr>
        <w:t xml:space="preserve"> </w:t>
      </w:r>
      <w:r w:rsidRPr="002F7DE0">
        <w:rPr>
          <w:rFonts w:ascii="Verdana" w:eastAsiaTheme="minorEastAsia" w:hAnsi="Verdana" w:cs="Arial"/>
          <w:szCs w:val="24"/>
          <w:lang w:eastAsia="es-CO"/>
        </w:rPr>
        <w:t>conceptos</w:t>
      </w:r>
      <w:r w:rsidRPr="002F7DE0">
        <w:rPr>
          <w:rFonts w:ascii="Verdana" w:eastAsiaTheme="minorEastAsia" w:hAnsi="Verdana" w:cs="Arial"/>
          <w:spacing w:val="-10"/>
          <w:szCs w:val="24"/>
          <w:lang w:eastAsia="es-CO"/>
        </w:rPr>
        <w:t xml:space="preserve"> </w:t>
      </w:r>
      <w:r w:rsidRPr="002F7DE0">
        <w:rPr>
          <w:rFonts w:ascii="Verdana" w:eastAsiaTheme="minorEastAsia" w:hAnsi="Verdana" w:cs="Arial"/>
          <w:szCs w:val="24"/>
          <w:lang w:eastAsia="es-CO"/>
        </w:rPr>
        <w:t>jurídicos</w:t>
      </w:r>
      <w:r w:rsidRPr="002F7DE0">
        <w:rPr>
          <w:rFonts w:ascii="Verdana" w:eastAsiaTheme="minorEastAsia" w:hAnsi="Verdana" w:cs="Arial"/>
          <w:spacing w:val="-9"/>
          <w:szCs w:val="24"/>
          <w:lang w:eastAsia="es-CO"/>
        </w:rPr>
        <w:t xml:space="preserve"> </w:t>
      </w:r>
      <w:r w:rsidRPr="002F7DE0">
        <w:rPr>
          <w:rFonts w:ascii="Verdana" w:eastAsiaTheme="minorEastAsia" w:hAnsi="Verdana" w:cs="Arial"/>
          <w:szCs w:val="24"/>
          <w:lang w:eastAsia="es-CO"/>
        </w:rPr>
        <w:t>indeterminados.</w:t>
      </w:r>
      <w:r w:rsidRPr="002F7DE0">
        <w:rPr>
          <w:rFonts w:ascii="Verdana" w:eastAsiaTheme="minorEastAsia" w:hAnsi="Verdana" w:cs="Arial"/>
          <w:spacing w:val="-9"/>
          <w:szCs w:val="24"/>
          <w:lang w:eastAsia="es-CO"/>
        </w:rPr>
        <w:t xml:space="preserve"> </w:t>
      </w:r>
    </w:p>
    <w:p w14:paraId="101D6501" w14:textId="77777777" w:rsidR="002F7DE0" w:rsidRPr="002F7DE0" w:rsidRDefault="002F7DE0" w:rsidP="002F7DE0">
      <w:pPr>
        <w:tabs>
          <w:tab w:val="left" w:pos="426"/>
        </w:tabs>
        <w:spacing w:line="276" w:lineRule="auto"/>
        <w:ind w:firstLine="709"/>
        <w:jc w:val="both"/>
        <w:rPr>
          <w:rFonts w:ascii="Verdana" w:eastAsia="Calibri" w:hAnsi="Verdana" w:cs="Arial"/>
          <w:color w:val="000000"/>
          <w:lang w:val="es-ES" w:eastAsia="es-ES"/>
        </w:rPr>
      </w:pPr>
      <w:r w:rsidRPr="002F7DE0">
        <w:rPr>
          <w:rFonts w:ascii="Verdana" w:eastAsia="Calibri" w:hAnsi="Verdana" w:cs="Arial"/>
          <w:bCs/>
          <w:lang w:val="es-ES_tradnl"/>
        </w:rPr>
        <w:t>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w:t>
      </w:r>
    </w:p>
    <w:p w14:paraId="52B88D29" w14:textId="0A9F2CBE" w:rsidR="002F7DE0" w:rsidRPr="002F7DE0" w:rsidRDefault="002F7DE0" w:rsidP="002F7DE0">
      <w:pPr>
        <w:spacing w:after="120" w:line="276" w:lineRule="auto"/>
        <w:ind w:firstLine="709"/>
        <w:jc w:val="both"/>
        <w:rPr>
          <w:rFonts w:ascii="Verdana" w:hAnsi="Verdana" w:cs="Arial"/>
          <w:lang w:eastAsia="es-ES"/>
        </w:rPr>
      </w:pPr>
      <w:r w:rsidRPr="002F7DE0">
        <w:rPr>
          <w:rFonts w:ascii="Verdana" w:eastAsia="Calibri" w:hAnsi="Verdana" w:cs="Arial"/>
          <w:color w:val="000000"/>
          <w:lang w:val="es-ES" w:eastAsia="es-ES"/>
        </w:rPr>
        <w:t>En consecuencia, esta Subdirección en el marco de la función consultiva</w:t>
      </w:r>
      <w:r w:rsidRPr="002F7DE0">
        <w:rPr>
          <w:rFonts w:ascii="Verdana" w:eastAsia="Calibri" w:hAnsi="Verdana" w:cs="Arial"/>
          <w:color w:val="000000" w:themeColor="text1"/>
          <w:lang w:val="es-ES"/>
        </w:rPr>
        <w:t xml:space="preserve"> emite conceptos que no constituyen lineamientos de obligatorio cumplimiento, sino orientaciones jurídicas que buscan apoyar a las entidades en el entendimiento e interpretación del régimen normativo aplicable,</w:t>
      </w:r>
      <w:r w:rsidRPr="002F7DE0">
        <w:rPr>
          <w:rFonts w:ascii="Verdana" w:eastAsiaTheme="minorEastAsia" w:hAnsi="Verdana" w:cs="Arial"/>
          <w:szCs w:val="24"/>
          <w:lang w:eastAsia="es-CO"/>
        </w:rPr>
        <w:t xml:space="preserve"> sin</w:t>
      </w:r>
      <w:r w:rsidRPr="002F7DE0">
        <w:rPr>
          <w:rFonts w:ascii="Verdana" w:eastAsiaTheme="minorEastAsia" w:hAnsi="Verdana" w:cs="Arial"/>
          <w:spacing w:val="1"/>
          <w:szCs w:val="24"/>
          <w:lang w:eastAsia="es-CO"/>
        </w:rPr>
        <w:t xml:space="preserve"> </w:t>
      </w:r>
      <w:r w:rsidRPr="002F7DE0">
        <w:rPr>
          <w:rFonts w:ascii="Verdana" w:eastAsiaTheme="minorEastAsia" w:hAnsi="Verdana" w:cs="Arial"/>
          <w:szCs w:val="24"/>
          <w:lang w:eastAsia="es-CO"/>
        </w:rPr>
        <w:t>que ello suponga resolver un problema entre partes o asumir la única posible interpretación de</w:t>
      </w:r>
      <w:r w:rsidRPr="002F7DE0">
        <w:rPr>
          <w:rFonts w:ascii="Verdana" w:eastAsiaTheme="minorEastAsia" w:hAnsi="Verdana" w:cs="Arial"/>
          <w:spacing w:val="1"/>
          <w:szCs w:val="24"/>
          <w:lang w:eastAsia="es-CO"/>
        </w:rPr>
        <w:t xml:space="preserve"> </w:t>
      </w:r>
      <w:r w:rsidRPr="002F7DE0">
        <w:rPr>
          <w:rFonts w:ascii="Verdana" w:eastAsiaTheme="minorEastAsia" w:hAnsi="Verdana" w:cs="Arial"/>
          <w:szCs w:val="24"/>
          <w:lang w:eastAsia="es-CO"/>
        </w:rPr>
        <w:t xml:space="preserve">una disposición normativa. </w:t>
      </w:r>
    </w:p>
    <w:p w14:paraId="0D0C47C6" w14:textId="77777777" w:rsidR="002F7DE0" w:rsidRPr="002F7DE0" w:rsidRDefault="002F7DE0" w:rsidP="002F7DE0">
      <w:pPr>
        <w:widowControl w:val="0"/>
        <w:autoSpaceDE w:val="0"/>
        <w:autoSpaceDN w:val="0"/>
        <w:spacing w:after="120" w:line="276" w:lineRule="auto"/>
        <w:ind w:right="176" w:firstLine="708"/>
        <w:jc w:val="both"/>
        <w:rPr>
          <w:rFonts w:ascii="Verdana" w:hAnsi="Verdana"/>
        </w:rPr>
      </w:pPr>
      <w:r w:rsidRPr="002F7DE0">
        <w:rPr>
          <w:rFonts w:ascii="Verdana" w:hAnsi="Verdana"/>
        </w:rPr>
        <w:t xml:space="preserve">Dentro de este marco,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ni determinar si estas constituyen una infracción a la Ley. </w:t>
      </w:r>
    </w:p>
    <w:p w14:paraId="2B2A1D4B" w14:textId="77777777" w:rsidR="002F7DE0" w:rsidRPr="002F7DE0" w:rsidRDefault="002F7DE0" w:rsidP="002F7DE0">
      <w:pPr>
        <w:widowControl w:val="0"/>
        <w:autoSpaceDE w:val="0"/>
        <w:autoSpaceDN w:val="0"/>
        <w:spacing w:after="0" w:line="276" w:lineRule="auto"/>
        <w:jc w:val="both"/>
        <w:rPr>
          <w:rFonts w:ascii="Verdana" w:eastAsia="Arial" w:hAnsi="Verdana" w:cs="Arial"/>
          <w:lang w:val="es-ES"/>
        </w:rPr>
      </w:pPr>
    </w:p>
    <w:p w14:paraId="09B2A017" w14:textId="77777777" w:rsidR="002F7DE0" w:rsidRPr="002F7DE0" w:rsidRDefault="002F7DE0" w:rsidP="002F7DE0">
      <w:pPr>
        <w:numPr>
          <w:ilvl w:val="0"/>
          <w:numId w:val="1"/>
        </w:numPr>
        <w:tabs>
          <w:tab w:val="left" w:pos="142"/>
          <w:tab w:val="left" w:pos="284"/>
        </w:tabs>
        <w:spacing w:after="0" w:line="276" w:lineRule="auto"/>
        <w:jc w:val="both"/>
        <w:rPr>
          <w:rFonts w:ascii="Verdana" w:eastAsia="Century Gothic" w:hAnsi="Verdana" w:cs="Century Gothic"/>
          <w:b/>
          <w:bCs/>
        </w:rPr>
      </w:pPr>
      <w:r w:rsidRPr="002F7DE0">
        <w:rPr>
          <w:rFonts w:ascii="Verdana" w:eastAsia="Century Gothic" w:hAnsi="Verdana" w:cs="Century Gothic"/>
          <w:b/>
          <w:bCs/>
        </w:rPr>
        <w:t>Referencias normativas y jurisprudenciales:</w:t>
      </w:r>
    </w:p>
    <w:p w14:paraId="24B43DAB" w14:textId="77777777" w:rsidR="002F7DE0" w:rsidRPr="002F7DE0" w:rsidRDefault="002F7DE0" w:rsidP="002F7DE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F7DE0" w:rsidRPr="002F7DE0" w14:paraId="101A0243" w14:textId="77777777" w:rsidTr="001674EA">
        <w:trPr>
          <w:trHeight w:val="410"/>
          <w:jc w:val="center"/>
        </w:trPr>
        <w:tc>
          <w:tcPr>
            <w:tcW w:w="8647" w:type="dxa"/>
          </w:tcPr>
          <w:p w14:paraId="31AE7C26" w14:textId="77777777" w:rsidR="002F7DE0" w:rsidRPr="002F7DE0" w:rsidRDefault="002F7DE0" w:rsidP="002F7DE0">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2F7DE0">
              <w:rPr>
                <w:rFonts w:ascii="Verdana" w:hAnsi="Verdana" w:cs="Arial"/>
                <w:lang w:val="es-ES"/>
              </w:rPr>
              <w:t xml:space="preserve">Constitución Política de 1991, artículos 360 y 361. </w:t>
            </w:r>
          </w:p>
          <w:p w14:paraId="0DDD8C09" w14:textId="77777777" w:rsidR="002F7DE0" w:rsidRPr="002F7DE0" w:rsidRDefault="002F7DE0" w:rsidP="002F7DE0">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2F7DE0">
              <w:rPr>
                <w:rFonts w:ascii="Verdana" w:hAnsi="Verdana" w:cs="Arial"/>
                <w:lang w:val="es-ES"/>
              </w:rPr>
              <w:t>Ley 80 de 1993, artículos 40 y 41</w:t>
            </w:r>
          </w:p>
          <w:p w14:paraId="0751DAAA" w14:textId="77777777" w:rsidR="002F7DE0" w:rsidRPr="002F7DE0" w:rsidRDefault="002F7DE0" w:rsidP="002F7DE0">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2F7DE0">
              <w:rPr>
                <w:rFonts w:ascii="Verdana" w:hAnsi="Verdana" w:cs="Arial"/>
                <w:lang w:val="es-ES"/>
              </w:rPr>
              <w:lastRenderedPageBreak/>
              <w:t>Ley 1474 de 2011, artículo 93</w:t>
            </w:r>
          </w:p>
          <w:p w14:paraId="6A3E515F" w14:textId="77777777" w:rsidR="002F7DE0" w:rsidRPr="002F7DE0" w:rsidRDefault="002F7DE0" w:rsidP="002F7DE0">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2F7DE0">
              <w:rPr>
                <w:rFonts w:ascii="Verdana" w:hAnsi="Verdana" w:cs="Arial"/>
              </w:rPr>
              <w:t>Ley 2056 de 2020, artículos 28 a 37, 83, 87, 98, 99, 101, 108 y 109</w:t>
            </w:r>
          </w:p>
          <w:p w14:paraId="73C48A64" w14:textId="77777777" w:rsidR="002F7DE0" w:rsidRPr="002F7DE0" w:rsidRDefault="002F7DE0" w:rsidP="002F7DE0">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2F7DE0">
              <w:rPr>
                <w:rFonts w:ascii="Verdana" w:eastAsia="Aptos" w:hAnsi="Verdana" w:cs="Arial"/>
              </w:rPr>
              <w:t>Consejo De Estado. Sección tercera. Sentencia del 7 de marzo de 2025. Radicación No.69.941. C.P: José Roberto Sáchica.</w:t>
            </w:r>
          </w:p>
          <w:p w14:paraId="55FE1936" w14:textId="77777777" w:rsidR="002F7DE0" w:rsidRPr="002F7DE0" w:rsidRDefault="002F7DE0" w:rsidP="002F7DE0">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2F7DE0">
              <w:rPr>
                <w:rFonts w:ascii="Verdana" w:eastAsia="Calibri" w:hAnsi="Verdana" w:cs="Arial"/>
                <w:color w:val="000000" w:themeColor="text1"/>
                <w:lang w:eastAsia="es-ES"/>
              </w:rPr>
              <w:t>Consejo de Estado. Sala de Consulta y Servicio Civil. Concepto 2563 del 25 de junio de 2026. C.P: María del Pilar Bahamón Falla</w:t>
            </w:r>
          </w:p>
        </w:tc>
      </w:tr>
    </w:tbl>
    <w:p w14:paraId="50D58F6B" w14:textId="77777777" w:rsidR="002F7DE0" w:rsidRPr="002F7DE0" w:rsidRDefault="002F7DE0" w:rsidP="002F7DE0">
      <w:pPr>
        <w:widowControl w:val="0"/>
        <w:autoSpaceDE w:val="0"/>
        <w:autoSpaceDN w:val="0"/>
        <w:spacing w:after="0" w:line="276" w:lineRule="auto"/>
        <w:jc w:val="both"/>
        <w:rPr>
          <w:rFonts w:ascii="Verdana" w:hAnsi="Verdana" w:cs="Arial"/>
        </w:rPr>
      </w:pPr>
    </w:p>
    <w:p w14:paraId="2BEBD5DD" w14:textId="77777777" w:rsidR="002F7DE0" w:rsidRPr="002F7DE0" w:rsidRDefault="002F7DE0" w:rsidP="002F7DE0">
      <w:pPr>
        <w:numPr>
          <w:ilvl w:val="0"/>
          <w:numId w:val="1"/>
        </w:numPr>
        <w:tabs>
          <w:tab w:val="left" w:pos="142"/>
          <w:tab w:val="left" w:pos="284"/>
        </w:tabs>
        <w:spacing w:after="0" w:line="276" w:lineRule="auto"/>
        <w:jc w:val="both"/>
        <w:rPr>
          <w:rFonts w:ascii="Verdana" w:eastAsia="Century Gothic" w:hAnsi="Verdana" w:cs="Century Gothic"/>
          <w:b/>
          <w:bCs/>
        </w:rPr>
      </w:pPr>
      <w:r w:rsidRPr="002F7DE0">
        <w:rPr>
          <w:rFonts w:ascii="Verdana" w:eastAsia="Century Gothic" w:hAnsi="Verdana" w:cs="Century Gothic"/>
          <w:b/>
          <w:bCs/>
        </w:rPr>
        <w:t>Doctrina de la Agencia Nacional de Contratación Pública:</w:t>
      </w:r>
    </w:p>
    <w:p w14:paraId="11783889" w14:textId="77777777" w:rsidR="002F7DE0" w:rsidRPr="002F7DE0" w:rsidRDefault="002F7DE0" w:rsidP="002F7DE0">
      <w:pPr>
        <w:widowControl w:val="0"/>
        <w:autoSpaceDE w:val="0"/>
        <w:autoSpaceDN w:val="0"/>
        <w:spacing w:after="0" w:line="276" w:lineRule="auto"/>
        <w:jc w:val="both"/>
        <w:rPr>
          <w:rFonts w:ascii="Verdana" w:hAnsi="Verdana" w:cs="Arial"/>
        </w:rPr>
      </w:pPr>
    </w:p>
    <w:p w14:paraId="4C1D8A8E" w14:textId="77777777" w:rsidR="002F7DE0" w:rsidRPr="002F7DE0" w:rsidRDefault="002F7DE0" w:rsidP="002F7DE0">
      <w:pPr>
        <w:widowControl w:val="0"/>
        <w:autoSpaceDE w:val="0"/>
        <w:autoSpaceDN w:val="0"/>
        <w:spacing w:after="120" w:line="276" w:lineRule="auto"/>
        <w:jc w:val="both"/>
        <w:rPr>
          <w:rFonts w:ascii="Verdana" w:hAnsi="Verdana"/>
          <w:shd w:val="clear" w:color="auto" w:fill="FFFFFF"/>
        </w:rPr>
      </w:pPr>
      <w:r w:rsidRPr="002F7DE0">
        <w:rPr>
          <w:rFonts w:ascii="Verdana" w:hAnsi="Verdana" w:cs="Arial"/>
          <w:shd w:val="clear" w:color="auto" w:fill="FFFFFF"/>
        </w:rPr>
        <w:t xml:space="preserve">Esta Subdirección se ha pronunciado sobre el régimen de contratación de las entidades ejecutoras cuando ejecutan recursos del SGR en los conceptos </w:t>
      </w:r>
      <w:r w:rsidRPr="002F7DE0">
        <w:rPr>
          <w:rFonts w:ascii="Verdana" w:hAnsi="Verdana"/>
        </w:rPr>
        <w:t>C-370 del 2021,</w:t>
      </w:r>
      <w:r w:rsidRPr="002F7DE0">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2F7DE0">
        <w:rPr>
          <w:rFonts w:ascii="Verdana" w:hAnsi="Verdana" w:cs="Arial"/>
        </w:rPr>
        <w:t xml:space="preserve"> C-764 del 29 de mayo de 2026</w:t>
      </w:r>
      <w:r w:rsidRPr="002F7DE0">
        <w:rPr>
          <w:rFonts w:ascii="Verdana" w:hAnsi="Verdana"/>
          <w:shd w:val="clear" w:color="auto" w:fill="FFFFFF"/>
        </w:rPr>
        <w:t>, C-1050 del 21 de julio de 2026, C-1151, C-1152 del 12 de agosto, C-1249 del 27 de agosto de 2026</w:t>
      </w:r>
      <w:r w:rsidRPr="002F7DE0">
        <w:rPr>
          <w:rFonts w:ascii="Verdana" w:hAnsi="Verdana"/>
        </w:rPr>
        <w:t>, entre otros</w:t>
      </w:r>
      <w:r w:rsidRPr="002F7DE0">
        <w:rPr>
          <w:rFonts w:ascii="Verdana" w:hAnsi="Verdana" w:cs="Arial"/>
        </w:rPr>
        <w:t>.</w:t>
      </w:r>
      <w:r w:rsidRPr="002F7DE0">
        <w:rPr>
          <w:rFonts w:ascii="Verdana" w:hAnsi="Verdana"/>
          <w:shd w:val="clear" w:color="auto" w:fill="FFFFFF"/>
        </w:rPr>
        <w:t xml:space="preserve"> </w:t>
      </w:r>
      <w:r w:rsidRPr="002F7DE0">
        <w:rPr>
          <w:rFonts w:ascii="Verdana" w:hAnsi="Verdana" w:cs="Arial"/>
          <w:shd w:val="clear" w:color="auto" w:fill="FFFFFF"/>
        </w:rPr>
        <w:t>Es</w:t>
      </w:r>
      <w:r w:rsidRPr="002F7DE0">
        <w:rPr>
          <w:rFonts w:ascii="Verdana" w:hAnsi="Verdana"/>
        </w:rPr>
        <w:t>tos conceptos se encuentran disponibles para consulta en el Sistema de relatoría de la Agencia, al cual se puede acceder a través del siguiente enlace:</w:t>
      </w:r>
      <w:r w:rsidRPr="002F7DE0">
        <w:rPr>
          <w:rFonts w:ascii="Verdana" w:hAnsi="Verdana" w:cs="Arial"/>
          <w:shd w:val="clear" w:color="auto" w:fill="FFFFFF"/>
        </w:rPr>
        <w:t xml:space="preserve"> </w:t>
      </w:r>
      <w:hyperlink r:id="rId13" w:history="1">
        <w:r w:rsidRPr="002F7DE0">
          <w:rPr>
            <w:rFonts w:ascii="Verdana" w:hAnsi="Verdana" w:cs="Arial"/>
            <w:color w:val="0563C1" w:themeColor="hyperlink"/>
            <w:u w:val="single"/>
            <w:shd w:val="clear" w:color="auto" w:fill="FFFFFF"/>
          </w:rPr>
          <w:t>https://relatoria.colombiacompra.gov.co/busqueda/conceptos</w:t>
        </w:r>
      </w:hyperlink>
      <w:r w:rsidRPr="002F7DE0">
        <w:rPr>
          <w:rFonts w:ascii="Verdana" w:hAnsi="Verdana" w:cs="Arial"/>
          <w:shd w:val="clear" w:color="auto" w:fill="FFFFFF"/>
        </w:rPr>
        <w:t>.</w:t>
      </w:r>
      <w:r w:rsidRPr="002F7DE0">
        <w:rPr>
          <w:rFonts w:ascii="Verdana" w:hAnsi="Verdana" w:cs="Arial"/>
          <w:color w:val="FF0000"/>
          <w:shd w:val="clear" w:color="auto" w:fill="FFFFFF"/>
        </w:rPr>
        <w:t xml:space="preserve"> </w:t>
      </w:r>
      <w:r w:rsidRPr="002F7DE0">
        <w:rPr>
          <w:rFonts w:ascii="Verdana" w:hAnsi="Verdana" w:cs="Arial"/>
          <w:color w:val="000000" w:themeColor="text1"/>
          <w:shd w:val="clear" w:color="auto" w:fill="FFFFFF"/>
        </w:rPr>
        <w:t> </w:t>
      </w:r>
    </w:p>
    <w:p w14:paraId="24593890" w14:textId="77777777" w:rsidR="002F7DE0" w:rsidRPr="002F7DE0" w:rsidRDefault="002F7DE0" w:rsidP="002F7DE0">
      <w:pPr>
        <w:widowControl w:val="0"/>
        <w:autoSpaceDE w:val="0"/>
        <w:autoSpaceDN w:val="0"/>
        <w:spacing w:after="120" w:line="276" w:lineRule="auto"/>
        <w:jc w:val="both"/>
        <w:rPr>
          <w:rFonts w:ascii="Verdana" w:hAnsi="Verdana" w:cs="Arial"/>
          <w:color w:val="000000" w:themeColor="text1"/>
          <w:shd w:val="clear" w:color="auto" w:fill="FFFFFF"/>
        </w:rPr>
      </w:pPr>
      <w:r w:rsidRPr="002F7DE0">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2F7DE0">
        <w:rPr>
          <w:rFonts w:ascii="Verdana" w:eastAsia="Times New Roman" w:hAnsi="Verdana" w:cs="Times New Roman"/>
          <w:b/>
          <w:bCs/>
          <w:color w:val="000000"/>
          <w:lang w:eastAsia="es-CO"/>
        </w:rPr>
        <w:t>Guía para la Exigencia y Constitución de Garantías en los Procesos de Contratación</w:t>
      </w:r>
      <w:r w:rsidRPr="002F7DE0">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2F7DE0">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0DDBB106" w14:textId="77777777" w:rsidR="002F7DE0" w:rsidRPr="002F7DE0" w:rsidRDefault="002F7DE0" w:rsidP="002F7DE0">
      <w:pPr>
        <w:shd w:val="clear" w:color="auto" w:fill="FFFFFF"/>
        <w:spacing w:after="120" w:line="276" w:lineRule="auto"/>
        <w:jc w:val="both"/>
        <w:textAlignment w:val="baseline"/>
        <w:rPr>
          <w:rFonts w:ascii="Verdana" w:eastAsia="Times New Roman" w:hAnsi="Verdana" w:cs="Times New Roman"/>
          <w:color w:val="000000"/>
          <w:lang w:eastAsia="es-CO"/>
        </w:rPr>
      </w:pPr>
      <w:r w:rsidRPr="002F7DE0">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2F7DE0">
        <w:rPr>
          <w:rFonts w:ascii="Verdana" w:eastAsia="Times New Roman" w:hAnsi="Verdana" w:cs="Times New Roman"/>
          <w:b/>
          <w:bCs/>
          <w:color w:val="000000"/>
          <w:lang w:eastAsia="es-CO"/>
        </w:rPr>
        <w:t xml:space="preserve">Sistema Integral de Preferencias en favor de las </w:t>
      </w:r>
      <w:r w:rsidRPr="002F7DE0">
        <w:rPr>
          <w:rFonts w:ascii="Verdana" w:eastAsia="Times New Roman" w:hAnsi="Verdana" w:cs="Times New Roman"/>
          <w:b/>
          <w:bCs/>
          <w:color w:val="000000"/>
          <w:lang w:eastAsia="es-CO"/>
        </w:rPr>
        <w:lastRenderedPageBreak/>
        <w:t>personas con discapacidad</w:t>
      </w:r>
      <w:r w:rsidRPr="002F7DE0">
        <w:rPr>
          <w:rFonts w:ascii="Verdana" w:eastAsia="Times New Roman" w:hAnsi="Verdana" w:cs="Times New Roman"/>
          <w:color w:val="000000"/>
          <w:lang w:eastAsia="es-CO"/>
        </w:rPr>
        <w:t>, en cumplimiento del artículo 13 de la Ley Estatutaria 1618 de 2013. Para orientar su aplicación, esta Agencia expidió la </w:t>
      </w:r>
      <w:r w:rsidRPr="002F7DE0">
        <w:rPr>
          <w:rFonts w:ascii="Verdana" w:eastAsia="Times New Roman" w:hAnsi="Verdana" w:cs="Times New Roman"/>
          <w:b/>
          <w:bCs/>
          <w:color w:val="000000"/>
          <w:lang w:eastAsia="es-CO"/>
        </w:rPr>
        <w:t>Circular Externa 003 del 12 de mayo de 2026, </w:t>
      </w:r>
      <w:r w:rsidRPr="002F7DE0">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2F7DE0">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4022FC4F" w14:textId="77777777" w:rsidR="002F7DE0" w:rsidRPr="002F7DE0" w:rsidRDefault="002F7DE0" w:rsidP="002F7DE0">
      <w:pPr>
        <w:shd w:val="clear" w:color="auto" w:fill="FFFFFF"/>
        <w:spacing w:after="120" w:line="276" w:lineRule="auto"/>
        <w:jc w:val="both"/>
        <w:textAlignment w:val="baseline"/>
        <w:rPr>
          <w:rFonts w:ascii="Verdana" w:eastAsia="Times New Roman" w:hAnsi="Verdana" w:cs="Times New Roman"/>
          <w:color w:val="000000"/>
          <w:lang w:eastAsia="es-CO"/>
        </w:rPr>
      </w:pPr>
      <w:r w:rsidRPr="002F7DE0">
        <w:rPr>
          <w:rFonts w:ascii="Verdana" w:eastAsia="Times New Roman" w:hAnsi="Verdana" w:cs="Times New Roman"/>
          <w:color w:val="000000"/>
          <w:lang w:eastAsia="es-CO"/>
        </w:rPr>
        <w:t>Recuerda también que la</w:t>
      </w:r>
      <w:r w:rsidRPr="002F7DE0">
        <w:rPr>
          <w:rFonts w:ascii="Verdana" w:eastAsia="Times New Roman" w:hAnsi="Verdana" w:cs="Times New Roman"/>
          <w:b/>
          <w:bCs/>
          <w:color w:val="000000"/>
          <w:lang w:eastAsia="es-CO"/>
        </w:rPr>
        <w:t> información sobre sanciones e inhabilidades </w:t>
      </w:r>
      <w:r w:rsidRPr="002F7DE0">
        <w:rPr>
          <w:rFonts w:ascii="Verdana" w:eastAsia="Times New Roman" w:hAnsi="Verdana" w:cs="Times New Roman"/>
          <w:color w:val="000000"/>
          <w:lang w:eastAsia="es-CO"/>
        </w:rPr>
        <w:t>solo cumple su función preventiva si llega oportunamente a los registros públicos. Sobre este deber, esta Agencia expidió la </w:t>
      </w:r>
      <w:r w:rsidRPr="002F7DE0">
        <w:rPr>
          <w:rFonts w:ascii="Verdana" w:eastAsia="Times New Roman" w:hAnsi="Verdana" w:cs="Times New Roman"/>
          <w:b/>
          <w:bCs/>
          <w:color w:val="000000"/>
          <w:lang w:eastAsia="es-CO"/>
        </w:rPr>
        <w:t>Circular Externa 002 del 5 de mayo de 2026,</w:t>
      </w:r>
      <w:r w:rsidRPr="002F7DE0">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2F7DE0">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19364755" w14:textId="77777777" w:rsidR="002F7DE0" w:rsidRPr="002F7DE0" w:rsidRDefault="002F7DE0" w:rsidP="002F7DE0">
      <w:pPr>
        <w:shd w:val="clear" w:color="auto" w:fill="FFFFFF"/>
        <w:spacing w:after="120" w:line="276" w:lineRule="auto"/>
        <w:jc w:val="both"/>
        <w:textAlignment w:val="baseline"/>
        <w:rPr>
          <w:rFonts w:ascii="Verdana" w:eastAsia="Times New Roman" w:hAnsi="Verdana" w:cs="Times New Roman"/>
          <w:color w:val="000000"/>
          <w:lang w:eastAsia="es-CO"/>
        </w:rPr>
      </w:pPr>
      <w:r w:rsidRPr="002F7DE0">
        <w:rPr>
          <w:rFonts w:ascii="Verdana" w:eastAsia="Times New Roman" w:hAnsi="Verdana" w:cs="Times New Roman"/>
          <w:color w:val="000000"/>
          <w:lang w:eastAsia="es-CO"/>
        </w:rPr>
        <w:t>Finalmente, si quieres seguir de cerca la actividad de la Agencia, la tercera edición de 2026 del</w:t>
      </w:r>
      <w:r w:rsidRPr="002F7DE0">
        <w:rPr>
          <w:rFonts w:ascii="Verdana" w:eastAsia="Times New Roman" w:hAnsi="Verdana" w:cs="Times New Roman"/>
          <w:b/>
          <w:bCs/>
          <w:color w:val="000000"/>
          <w:lang w:eastAsia="es-CO"/>
        </w:rPr>
        <w:t> Radar de la Compra Pública</w:t>
      </w:r>
      <w:r w:rsidRPr="002F7DE0">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2F7DE0">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2F7DE0">
        <w:rPr>
          <w:rFonts w:ascii="Verdana" w:eastAsia="Times New Roman" w:hAnsi="Verdana" w:cs="Times New Roman"/>
          <w:color w:val="000000"/>
          <w:lang w:eastAsia="es-CO"/>
        </w:rPr>
        <w:t>"</w:t>
      </w:r>
    </w:p>
    <w:p w14:paraId="525B392E" w14:textId="77777777" w:rsidR="002F7DE0" w:rsidRPr="002F7DE0" w:rsidRDefault="002F7DE0" w:rsidP="002F7DE0">
      <w:pPr>
        <w:spacing w:after="0" w:line="276" w:lineRule="auto"/>
        <w:jc w:val="both"/>
        <w:rPr>
          <w:rFonts w:ascii="Verdana" w:hAnsi="Verdana"/>
          <w:lang w:val="es-ES"/>
        </w:rPr>
      </w:pPr>
      <w:r w:rsidRPr="002F7DE0">
        <w:rPr>
          <w:rFonts w:ascii="Verdana" w:hAnsi="Verdana"/>
          <w:lang w:val="es-ES"/>
        </w:rPr>
        <w:t xml:space="preserve">Por último, lo invitamos a seguirnos en las redes sociales en las cuales se difunde información institucional: </w:t>
      </w:r>
    </w:p>
    <w:p w14:paraId="10AD877C" w14:textId="77777777" w:rsidR="002F7DE0" w:rsidRPr="002F7DE0" w:rsidRDefault="002F7DE0" w:rsidP="002F7DE0">
      <w:pPr>
        <w:spacing w:after="0" w:line="276" w:lineRule="auto"/>
        <w:jc w:val="both"/>
        <w:rPr>
          <w:rFonts w:ascii="Verdana" w:hAnsi="Verdana"/>
          <w:lang w:val="es-ES"/>
        </w:rPr>
      </w:pPr>
    </w:p>
    <w:p w14:paraId="6C33577E" w14:textId="77777777" w:rsidR="002F7DE0" w:rsidRPr="002F7DE0" w:rsidRDefault="002F7DE0" w:rsidP="002F7DE0">
      <w:pPr>
        <w:spacing w:after="0" w:line="276" w:lineRule="auto"/>
        <w:jc w:val="both"/>
        <w:rPr>
          <w:rFonts w:ascii="Verdana" w:hAnsi="Verdana"/>
          <w:lang w:val="es-ES"/>
        </w:rPr>
      </w:pPr>
      <w:r w:rsidRPr="002F7DE0">
        <w:rPr>
          <w:rFonts w:ascii="Verdana" w:hAnsi="Verdana"/>
          <w:lang w:val="es-ES"/>
        </w:rPr>
        <w:t xml:space="preserve">Twitter: </w:t>
      </w:r>
      <w:r w:rsidRPr="002F7DE0">
        <w:rPr>
          <w:rFonts w:ascii="Verdana" w:hAnsi="Verdana" w:cs="Arial"/>
          <w:color w:val="0000FF"/>
          <w:u w:val="single"/>
          <w:shd w:val="clear" w:color="auto" w:fill="FFFFFF"/>
          <w:lang w:val="es-ES"/>
        </w:rPr>
        <w:t>@colombiacompra</w:t>
      </w:r>
      <w:r w:rsidRPr="002F7DE0">
        <w:rPr>
          <w:rFonts w:ascii="Verdana" w:hAnsi="Verdana"/>
          <w:color w:val="4472C4" w:themeColor="accent1"/>
          <w:lang w:val="es-ES"/>
        </w:rPr>
        <w:t xml:space="preserve"> </w:t>
      </w:r>
    </w:p>
    <w:p w14:paraId="08B06680" w14:textId="77777777" w:rsidR="002F7DE0" w:rsidRPr="002F7DE0" w:rsidRDefault="002F7DE0" w:rsidP="002F7DE0">
      <w:pPr>
        <w:spacing w:after="0" w:line="276" w:lineRule="auto"/>
        <w:jc w:val="both"/>
        <w:rPr>
          <w:rFonts w:ascii="Verdana" w:hAnsi="Verdana"/>
          <w:lang w:val="es-ES"/>
        </w:rPr>
      </w:pPr>
      <w:r w:rsidRPr="002F7DE0">
        <w:rPr>
          <w:rFonts w:ascii="Verdana" w:hAnsi="Verdana"/>
          <w:lang w:val="es-ES"/>
        </w:rPr>
        <w:t xml:space="preserve">Facebook: </w:t>
      </w:r>
      <w:r w:rsidRPr="002F7DE0">
        <w:rPr>
          <w:rFonts w:ascii="Verdana" w:hAnsi="Verdana" w:cs="Arial"/>
          <w:color w:val="0000FF"/>
          <w:u w:val="single"/>
          <w:shd w:val="clear" w:color="auto" w:fill="FFFFFF"/>
          <w:lang w:val="es-ES"/>
        </w:rPr>
        <w:t>ColombiaCompraEficiente</w:t>
      </w:r>
    </w:p>
    <w:p w14:paraId="7258FB5D" w14:textId="77777777" w:rsidR="002F7DE0" w:rsidRPr="002F7DE0" w:rsidRDefault="002F7DE0" w:rsidP="002F7DE0">
      <w:pPr>
        <w:spacing w:after="0" w:line="276" w:lineRule="auto"/>
        <w:jc w:val="both"/>
        <w:rPr>
          <w:rFonts w:ascii="Verdana" w:hAnsi="Verdana"/>
          <w:lang w:val="es-ES"/>
        </w:rPr>
      </w:pPr>
      <w:r w:rsidRPr="002F7DE0">
        <w:rPr>
          <w:rFonts w:ascii="Verdana" w:hAnsi="Verdana"/>
          <w:lang w:val="es-ES"/>
        </w:rPr>
        <w:t xml:space="preserve">LinkedIn: </w:t>
      </w:r>
      <w:r w:rsidRPr="002F7DE0">
        <w:rPr>
          <w:rFonts w:ascii="Verdana" w:hAnsi="Verdana" w:cs="Arial"/>
          <w:color w:val="0000FF"/>
          <w:u w:val="single"/>
          <w:shd w:val="clear" w:color="auto" w:fill="FFFFFF"/>
          <w:lang w:val="es-ES"/>
        </w:rPr>
        <w:t xml:space="preserve">Agencia Nacional de Contratación Pública - Colombia Compra Eficiente </w:t>
      </w:r>
      <w:r w:rsidRPr="002F7DE0">
        <w:rPr>
          <w:rFonts w:ascii="Verdana" w:hAnsi="Verdana"/>
          <w:lang w:val="es-ES"/>
        </w:rPr>
        <w:t xml:space="preserve">Instagram: </w:t>
      </w:r>
      <w:r w:rsidRPr="002F7DE0">
        <w:rPr>
          <w:rFonts w:ascii="Verdana" w:hAnsi="Verdana" w:cs="Arial"/>
          <w:color w:val="0000FF"/>
          <w:u w:val="single"/>
          <w:shd w:val="clear" w:color="auto" w:fill="FFFFFF"/>
          <w:lang w:val="es-ES"/>
        </w:rPr>
        <w:t>@colombiacompraeficiente_cce</w:t>
      </w:r>
    </w:p>
    <w:p w14:paraId="5AB007D5" w14:textId="77777777" w:rsidR="002F7DE0" w:rsidRPr="002F7DE0" w:rsidRDefault="002F7DE0" w:rsidP="002F7DE0">
      <w:pPr>
        <w:spacing w:after="0" w:line="276" w:lineRule="auto"/>
        <w:jc w:val="both"/>
        <w:rPr>
          <w:rFonts w:ascii="Verdana" w:hAnsi="Verdana"/>
          <w:lang w:val="es-ES"/>
        </w:rPr>
      </w:pPr>
    </w:p>
    <w:p w14:paraId="2E2969B2" w14:textId="77777777" w:rsidR="002F7DE0" w:rsidRPr="002F7DE0" w:rsidRDefault="002F7DE0" w:rsidP="002F7DE0">
      <w:pPr>
        <w:spacing w:before="120" w:after="0" w:line="276" w:lineRule="auto"/>
        <w:jc w:val="both"/>
        <w:rPr>
          <w:rFonts w:ascii="Verdana" w:hAnsi="Verdana"/>
        </w:rPr>
      </w:pPr>
      <w:r w:rsidRPr="002F7DE0">
        <w:rPr>
          <w:rFonts w:ascii="Verdana" w:hAnsi="Verdana"/>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5C89A0C" w14:textId="77777777" w:rsidR="002F7DE0" w:rsidRPr="002F7DE0" w:rsidRDefault="002F7DE0" w:rsidP="002F7DE0">
      <w:pPr>
        <w:widowControl w:val="0"/>
        <w:autoSpaceDE w:val="0"/>
        <w:autoSpaceDN w:val="0"/>
        <w:spacing w:after="0" w:line="276" w:lineRule="auto"/>
        <w:jc w:val="both"/>
        <w:rPr>
          <w:rFonts w:ascii="Verdana" w:hAnsi="Verdana" w:cs="Arial"/>
        </w:rPr>
      </w:pPr>
    </w:p>
    <w:p w14:paraId="7BCA83AA" w14:textId="77777777" w:rsidR="002F7DE0" w:rsidRPr="002F7DE0" w:rsidRDefault="002F7DE0" w:rsidP="002F7DE0">
      <w:pPr>
        <w:spacing w:after="0" w:line="276" w:lineRule="auto"/>
        <w:rPr>
          <w:rFonts w:ascii="Verdana" w:hAnsi="Verdana" w:cs="Arial"/>
          <w:lang w:eastAsia="es-CO"/>
        </w:rPr>
      </w:pPr>
      <w:r w:rsidRPr="002F7DE0">
        <w:rPr>
          <w:rFonts w:ascii="Verdana" w:eastAsia="Times New Roman" w:hAnsi="Verdana" w:cs="Arial"/>
          <w:lang w:eastAsia="es-CO"/>
        </w:rPr>
        <w:t>Atentamente,</w:t>
      </w:r>
      <w:r w:rsidRPr="002F7DE0">
        <w:rPr>
          <w:rFonts w:ascii="Verdana" w:hAnsi="Verdana" w:cs="Arial"/>
          <w:lang w:eastAsia="es-CO"/>
        </w:rPr>
        <w:t xml:space="preserve"> </w:t>
      </w:r>
    </w:p>
    <w:p w14:paraId="232A11A3" w14:textId="73732A84" w:rsidR="002F7DE0" w:rsidRPr="002F7DE0" w:rsidRDefault="00557A00" w:rsidP="002F7DE0">
      <w:pPr>
        <w:spacing w:line="276" w:lineRule="auto"/>
        <w:jc w:val="center"/>
        <w:rPr>
          <w:rFonts w:ascii="Verdana" w:hAnsi="Verdana" w:cs="Arial"/>
          <w:color w:val="000000"/>
          <w:lang w:eastAsia="es-CO"/>
        </w:rPr>
      </w:pPr>
      <w:r>
        <w:rPr>
          <w:noProof/>
        </w:rPr>
        <w:drawing>
          <wp:inline distT="0" distB="0" distL="0" distR="0" wp14:anchorId="2432FBFF" wp14:editId="52FA2ACB">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F7DE0" w:rsidRPr="002F7DE0" w14:paraId="27E6B3DB" w14:textId="77777777" w:rsidTr="001674EA">
        <w:trPr>
          <w:trHeight w:val="315"/>
        </w:trPr>
        <w:tc>
          <w:tcPr>
            <w:tcW w:w="893" w:type="dxa"/>
            <w:vAlign w:val="center"/>
            <w:hideMark/>
          </w:tcPr>
          <w:p w14:paraId="1FF35DE1" w14:textId="77777777" w:rsidR="002F7DE0" w:rsidRPr="002F7DE0" w:rsidRDefault="002F7DE0" w:rsidP="002F7DE0">
            <w:pPr>
              <w:contextualSpacing/>
              <w:rPr>
                <w:rFonts w:ascii="Verdana" w:hAnsi="Verdana" w:cs="Arial"/>
                <w:sz w:val="16"/>
                <w:szCs w:val="16"/>
                <w:lang w:val="es-ES" w:eastAsia="es-ES"/>
              </w:rPr>
            </w:pPr>
            <w:r w:rsidRPr="002F7DE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665350A" w14:textId="77777777" w:rsidR="002F7DE0" w:rsidRPr="002F7DE0" w:rsidRDefault="002F7DE0" w:rsidP="002F7DE0">
            <w:pPr>
              <w:contextualSpacing/>
              <w:rPr>
                <w:rFonts w:ascii="Verdana" w:hAnsi="Verdana"/>
                <w:sz w:val="16"/>
                <w:szCs w:val="16"/>
              </w:rPr>
            </w:pPr>
            <w:r w:rsidRPr="002F7DE0">
              <w:rPr>
                <w:rFonts w:ascii="Verdana" w:hAnsi="Verdana"/>
                <w:sz w:val="16"/>
                <w:szCs w:val="16"/>
              </w:rPr>
              <w:t>Tatiana Baquero Iguarán</w:t>
            </w:r>
          </w:p>
          <w:p w14:paraId="03B0923C" w14:textId="77777777" w:rsidR="002F7DE0" w:rsidRPr="002F7DE0" w:rsidRDefault="002F7DE0" w:rsidP="002F7DE0">
            <w:pPr>
              <w:contextualSpacing/>
              <w:rPr>
                <w:rFonts w:ascii="Verdana" w:eastAsia="Arial" w:hAnsi="Verdana" w:cs="Arial"/>
                <w:sz w:val="16"/>
                <w:szCs w:val="16"/>
              </w:rPr>
            </w:pPr>
            <w:r w:rsidRPr="002F7DE0">
              <w:rPr>
                <w:rFonts w:ascii="Verdana" w:hAnsi="Verdana"/>
                <w:sz w:val="16"/>
                <w:szCs w:val="16"/>
              </w:rPr>
              <w:t>Contratista de la Subdirección de Gestión Contractual</w:t>
            </w:r>
          </w:p>
        </w:tc>
      </w:tr>
      <w:tr w:rsidR="002F7DE0" w:rsidRPr="002F7DE0" w14:paraId="14991365" w14:textId="77777777" w:rsidTr="001674EA">
        <w:trPr>
          <w:trHeight w:val="330"/>
        </w:trPr>
        <w:tc>
          <w:tcPr>
            <w:tcW w:w="893" w:type="dxa"/>
            <w:vAlign w:val="center"/>
            <w:hideMark/>
          </w:tcPr>
          <w:p w14:paraId="588EAAE7" w14:textId="77777777" w:rsidR="002F7DE0" w:rsidRPr="002F7DE0" w:rsidRDefault="002F7DE0" w:rsidP="002F7DE0">
            <w:pPr>
              <w:contextualSpacing/>
              <w:rPr>
                <w:rFonts w:ascii="Verdana" w:hAnsi="Verdana" w:cs="Arial"/>
                <w:sz w:val="16"/>
                <w:szCs w:val="16"/>
                <w:lang w:val="es-ES" w:eastAsia="es-ES"/>
              </w:rPr>
            </w:pPr>
            <w:r w:rsidRPr="002F7DE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43F51A8" w14:textId="77777777" w:rsidR="002F7DE0" w:rsidRPr="002F7DE0" w:rsidRDefault="002F7DE0" w:rsidP="002F7DE0">
            <w:pPr>
              <w:spacing w:before="100" w:beforeAutospacing="1" w:afterAutospacing="1"/>
              <w:contextualSpacing/>
              <w:textAlignment w:val="baseline"/>
              <w:rPr>
                <w:rFonts w:ascii="Verdana" w:eastAsia="Times New Roman" w:hAnsi="Verdana" w:cs="Arial"/>
                <w:sz w:val="16"/>
                <w:szCs w:val="16"/>
                <w:lang w:val="es-ES" w:eastAsia="es-ES_tradnl"/>
              </w:rPr>
            </w:pPr>
            <w:r w:rsidRPr="002F7DE0">
              <w:rPr>
                <w:rFonts w:ascii="Verdana" w:eastAsia="Times New Roman" w:hAnsi="Verdana" w:cs="Arial"/>
                <w:sz w:val="16"/>
                <w:szCs w:val="16"/>
                <w:lang w:val="es-ES" w:eastAsia="es-ES_tradnl"/>
              </w:rPr>
              <w:t>Alejandro Sarmiento Cantillo</w:t>
            </w:r>
          </w:p>
          <w:p w14:paraId="3C2C8FE5" w14:textId="77777777" w:rsidR="002F7DE0" w:rsidRPr="002F7DE0" w:rsidRDefault="002F7DE0" w:rsidP="002F7DE0">
            <w:pPr>
              <w:contextualSpacing/>
              <w:textAlignment w:val="baseline"/>
              <w:rPr>
                <w:rFonts w:ascii="Verdana" w:eastAsia="Times New Roman" w:hAnsi="Verdana" w:cs="Segoe UI"/>
                <w:sz w:val="16"/>
                <w:szCs w:val="16"/>
                <w:lang w:eastAsia="es-ES_tradnl"/>
              </w:rPr>
            </w:pPr>
            <w:r w:rsidRPr="002F7DE0">
              <w:rPr>
                <w:rFonts w:ascii="Verdana" w:eastAsia="Times New Roman" w:hAnsi="Verdana" w:cs="Arial"/>
                <w:sz w:val="16"/>
                <w:szCs w:val="16"/>
                <w:lang w:val="es-ES" w:eastAsia="es-ES_tradnl"/>
              </w:rPr>
              <w:t>Gestor T1 ‒ 15 de la Subdirección de Gestión Contractual</w:t>
            </w:r>
            <w:r w:rsidRPr="002F7DE0">
              <w:rPr>
                <w:rFonts w:ascii="Verdana" w:eastAsia="Times New Roman" w:hAnsi="Verdana" w:cs="Arial"/>
                <w:sz w:val="16"/>
                <w:szCs w:val="16"/>
                <w:lang w:eastAsia="es-ES_tradnl"/>
              </w:rPr>
              <w:t> </w:t>
            </w:r>
          </w:p>
        </w:tc>
      </w:tr>
      <w:tr w:rsidR="002F7DE0" w:rsidRPr="002F7DE0" w14:paraId="643394FB" w14:textId="77777777" w:rsidTr="001674EA">
        <w:trPr>
          <w:trHeight w:val="300"/>
        </w:trPr>
        <w:tc>
          <w:tcPr>
            <w:tcW w:w="893" w:type="dxa"/>
            <w:vAlign w:val="center"/>
          </w:tcPr>
          <w:p w14:paraId="4F89BCF1" w14:textId="77777777" w:rsidR="002F7DE0" w:rsidRPr="002F7DE0" w:rsidRDefault="002F7DE0" w:rsidP="002F7DE0">
            <w:pPr>
              <w:contextualSpacing/>
              <w:rPr>
                <w:rFonts w:ascii="Verdana" w:hAnsi="Verdana" w:cs="Arial"/>
                <w:sz w:val="16"/>
                <w:szCs w:val="16"/>
                <w:lang w:val="es-ES" w:eastAsia="es-ES"/>
              </w:rPr>
            </w:pPr>
            <w:r w:rsidRPr="002F7DE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2224CAE" w14:textId="77777777" w:rsidR="002F7DE0" w:rsidRPr="002F7DE0" w:rsidRDefault="002F7DE0" w:rsidP="002F7DE0">
            <w:pPr>
              <w:contextualSpacing/>
              <w:rPr>
                <w:rFonts w:ascii="Verdana" w:eastAsia="Calibri" w:hAnsi="Verdana" w:cs="Arial"/>
                <w:sz w:val="16"/>
                <w:szCs w:val="16"/>
                <w:lang w:val="pt-BR" w:eastAsia="es-ES"/>
              </w:rPr>
            </w:pPr>
            <w:r w:rsidRPr="002F7DE0">
              <w:rPr>
                <w:rFonts w:ascii="Verdana" w:eastAsia="Calibri" w:hAnsi="Verdana" w:cs="Arial"/>
                <w:sz w:val="16"/>
                <w:szCs w:val="16"/>
                <w:lang w:val="pt-BR" w:eastAsia="es-ES"/>
              </w:rPr>
              <w:t>Carolina Quintero Gacharná</w:t>
            </w:r>
          </w:p>
          <w:p w14:paraId="28E494F7" w14:textId="77777777" w:rsidR="002F7DE0" w:rsidRPr="002F7DE0" w:rsidRDefault="002F7DE0" w:rsidP="002F7DE0">
            <w:pPr>
              <w:contextualSpacing/>
              <w:rPr>
                <w:rFonts w:ascii="Verdana" w:eastAsia="Calibri" w:hAnsi="Verdana" w:cs="Arial"/>
                <w:sz w:val="16"/>
                <w:szCs w:val="16"/>
                <w:lang w:val="pt-BR" w:eastAsia="es-ES"/>
              </w:rPr>
            </w:pPr>
            <w:r w:rsidRPr="002F7DE0">
              <w:rPr>
                <w:rFonts w:ascii="Verdana" w:eastAsia="Calibri" w:hAnsi="Verdana" w:cs="Arial"/>
                <w:sz w:val="16"/>
                <w:szCs w:val="16"/>
                <w:lang w:eastAsia="es-ES"/>
              </w:rPr>
              <w:t>Subdirectora</w:t>
            </w:r>
            <w:r w:rsidRPr="002F7DE0">
              <w:rPr>
                <w:rFonts w:ascii="Verdana" w:eastAsia="Calibri" w:hAnsi="Verdana" w:cs="Arial"/>
                <w:sz w:val="16"/>
                <w:szCs w:val="16"/>
                <w:lang w:val="pt-BR" w:eastAsia="es-ES"/>
              </w:rPr>
              <w:t xml:space="preserve"> de Gestión Contractual ANCP – CCE</w:t>
            </w:r>
          </w:p>
        </w:tc>
      </w:tr>
    </w:tbl>
    <w:p w14:paraId="29E74570" w14:textId="77777777" w:rsidR="002F7DE0" w:rsidRPr="002F7DE0" w:rsidRDefault="002F7DE0" w:rsidP="002F7DE0">
      <w:pPr>
        <w:spacing w:after="0" w:line="240" w:lineRule="auto"/>
        <w:jc w:val="both"/>
        <w:textAlignment w:val="baseline"/>
        <w:rPr>
          <w:rFonts w:ascii="Verdana" w:eastAsia="Verdana" w:hAnsi="Verdana" w:cs="Verdana"/>
          <w:lang w:eastAsia="es-CO"/>
        </w:rPr>
      </w:pPr>
    </w:p>
    <w:p w14:paraId="285FB4E1" w14:textId="77777777" w:rsidR="002F7DE0" w:rsidRPr="002F7DE0" w:rsidRDefault="002F7DE0" w:rsidP="002F7DE0">
      <w:pPr>
        <w:spacing w:after="0" w:line="240" w:lineRule="auto"/>
        <w:jc w:val="both"/>
        <w:textAlignment w:val="baseline"/>
        <w:rPr>
          <w:rFonts w:ascii="Verdana" w:eastAsia="Verdana" w:hAnsi="Verdana" w:cs="Verdana"/>
          <w:lang w:eastAsia="es-CO"/>
        </w:rPr>
      </w:pPr>
    </w:p>
    <w:p w14:paraId="7AAAD162" w14:textId="3AE9CBAE" w:rsidR="002F7DE0" w:rsidRPr="002F7DE0" w:rsidRDefault="002F7DE0" w:rsidP="002F7DE0">
      <w:pPr>
        <w:spacing w:after="0" w:line="240" w:lineRule="auto"/>
        <w:textAlignment w:val="baseline"/>
        <w:rPr>
          <w:rFonts w:ascii="Verdana" w:eastAsia="Verdana" w:hAnsi="Verdana" w:cs="Verdana"/>
          <w:lang w:eastAsia="es-CO"/>
        </w:rPr>
      </w:pPr>
      <w:r w:rsidRPr="002F7DE0">
        <w:rPr>
          <w:rFonts w:ascii="Verdana" w:eastAsia="Verdana" w:hAnsi="Verdana" w:cs="Verdana"/>
          <w:lang w:eastAsia="es-CO"/>
        </w:rPr>
        <w:t> </w:t>
      </w:r>
    </w:p>
    <w:p w14:paraId="062F9EE8" w14:textId="77777777" w:rsidR="002F7DE0" w:rsidRPr="002F7DE0" w:rsidRDefault="002F7DE0" w:rsidP="002F7DE0"/>
    <w:bookmarkEnd w:id="0"/>
    <w:bookmarkEnd w:id="1"/>
    <w:p w14:paraId="6BEFD8F6" w14:textId="77777777" w:rsidR="002F7DE0" w:rsidRPr="002F7DE0" w:rsidRDefault="002F7DE0" w:rsidP="002F7DE0"/>
    <w:p w14:paraId="6B63356C" w14:textId="77777777" w:rsidR="002F7DE0" w:rsidRPr="002F7DE0" w:rsidRDefault="002F7DE0" w:rsidP="002F7DE0"/>
    <w:p w14:paraId="47160507" w14:textId="77777777" w:rsidR="00EF1A4D" w:rsidRPr="002F7DE0" w:rsidRDefault="00EF1A4D" w:rsidP="002F7DE0"/>
    <w:sectPr w:rsidR="00EF1A4D" w:rsidRPr="002F7DE0"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8D913" w14:textId="77777777" w:rsidR="00F722DA" w:rsidRPr="009B7987" w:rsidRDefault="00F722DA" w:rsidP="00B30448">
      <w:pPr>
        <w:spacing w:after="0" w:line="240" w:lineRule="auto"/>
      </w:pPr>
      <w:r w:rsidRPr="009B7987">
        <w:separator/>
      </w:r>
    </w:p>
  </w:endnote>
  <w:endnote w:type="continuationSeparator" w:id="0">
    <w:p w14:paraId="7023E39A" w14:textId="77777777" w:rsidR="00F722DA" w:rsidRPr="009B7987" w:rsidRDefault="00F722DA" w:rsidP="00B30448">
      <w:pPr>
        <w:spacing w:after="0" w:line="240" w:lineRule="auto"/>
      </w:pPr>
      <w:r w:rsidRPr="009B7987">
        <w:continuationSeparator/>
      </w:r>
    </w:p>
  </w:endnote>
  <w:endnote w:type="continuationNotice" w:id="1">
    <w:p w14:paraId="3A9F1A7B" w14:textId="77777777" w:rsidR="00F722DA" w:rsidRPr="009B7987" w:rsidRDefault="00F722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009C5" w14:textId="77777777" w:rsidR="00D36A10" w:rsidRPr="00174B77" w:rsidRDefault="00D36A10" w:rsidP="00D36A10">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Pr>
        <w:rFonts w:ascii="Verdana" w:eastAsiaTheme="minorEastAsia" w:hAnsi="Verdana"/>
        <w:b/>
        <w:bCs/>
        <w:sz w:val="16"/>
        <w:szCs w:val="16"/>
      </w:rPr>
      <w:t>31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6F639D6F" w14:textId="77777777" w:rsidR="00D36A10" w:rsidRDefault="00D36A10" w:rsidP="00D36A10">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5B9BA77B" w14:textId="77777777" w:rsidR="00D36A10" w:rsidRPr="00E41027" w:rsidRDefault="00D36A10" w:rsidP="00D36A10">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D74F2C5" w14:textId="77777777" w:rsidR="00D36A10" w:rsidRDefault="00D36A10" w:rsidP="00D36A10">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p w14:paraId="2B8DBB2A" w14:textId="35CA63B6"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89C35" w14:textId="77777777" w:rsidR="00F722DA" w:rsidRPr="009B7987" w:rsidRDefault="00F722DA" w:rsidP="00B30448">
      <w:pPr>
        <w:spacing w:after="0" w:line="240" w:lineRule="auto"/>
      </w:pPr>
      <w:r w:rsidRPr="009B7987">
        <w:separator/>
      </w:r>
    </w:p>
  </w:footnote>
  <w:footnote w:type="continuationSeparator" w:id="0">
    <w:p w14:paraId="6050C26A" w14:textId="77777777" w:rsidR="00F722DA" w:rsidRPr="009B7987" w:rsidRDefault="00F722DA" w:rsidP="00B30448">
      <w:pPr>
        <w:spacing w:after="0" w:line="240" w:lineRule="auto"/>
      </w:pPr>
      <w:r w:rsidRPr="009B7987">
        <w:continuationSeparator/>
      </w:r>
    </w:p>
  </w:footnote>
  <w:footnote w:type="continuationNotice" w:id="1">
    <w:p w14:paraId="380E83BC" w14:textId="77777777" w:rsidR="00F722DA" w:rsidRPr="009B7987" w:rsidRDefault="00F722DA">
      <w:pPr>
        <w:spacing w:after="0" w:line="240" w:lineRule="auto"/>
      </w:pPr>
    </w:p>
  </w:footnote>
  <w:footnote w:id="2">
    <w:p w14:paraId="3395453F" w14:textId="77777777" w:rsidR="002F7DE0" w:rsidRPr="00591347" w:rsidRDefault="002F7DE0" w:rsidP="002F7DE0">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008E5E6D" w14:textId="77777777" w:rsidR="002F7DE0" w:rsidRPr="00591347" w:rsidRDefault="002F7DE0" w:rsidP="002F7DE0">
      <w:pPr>
        <w:spacing w:after="0"/>
        <w:ind w:firstLine="708"/>
        <w:jc w:val="both"/>
        <w:rPr>
          <w:rFonts w:ascii="Verdana" w:hAnsi="Verdana" w:cs="Arial"/>
          <w:sz w:val="16"/>
          <w:szCs w:val="16"/>
        </w:rPr>
      </w:pPr>
      <w:r w:rsidRPr="00591347">
        <w:rPr>
          <w:rFonts w:ascii="Verdana" w:hAnsi="Verdana" w:cs="Arial"/>
          <w:sz w:val="16"/>
          <w:szCs w:val="16"/>
        </w:rPr>
        <w:t xml:space="preserve">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w:t>
      </w:r>
      <w:proofErr w:type="gramStart"/>
      <w:r w:rsidRPr="00591347">
        <w:rPr>
          <w:rFonts w:ascii="Verdana" w:hAnsi="Verdana" w:cs="Arial"/>
          <w:sz w:val="16"/>
          <w:szCs w:val="16"/>
        </w:rPr>
        <w:t>los mismos</w:t>
      </w:r>
      <w:proofErr w:type="gramEnd"/>
      <w:r w:rsidRPr="00591347">
        <w:rPr>
          <w:rFonts w:ascii="Verdana" w:hAnsi="Verdana" w:cs="Arial"/>
          <w:sz w:val="16"/>
          <w:szCs w:val="16"/>
        </w:rPr>
        <w:t>, sin perjuicio de las acciones de control a las que haya lugar.</w:t>
      </w:r>
    </w:p>
    <w:p w14:paraId="70C93B95" w14:textId="77777777" w:rsidR="002F7DE0" w:rsidRPr="00591347" w:rsidRDefault="002F7DE0" w:rsidP="002F7DE0">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w:t>
      </w:r>
      <w:proofErr w:type="gramStart"/>
      <w:r w:rsidRPr="00591347">
        <w:rPr>
          <w:rFonts w:ascii="Verdana" w:hAnsi="Verdana" w:cs="Arial"/>
          <w:sz w:val="16"/>
          <w:szCs w:val="16"/>
        </w:rPr>
        <w:t>artículo,</w:t>
      </w:r>
      <w:proofErr w:type="gramEnd"/>
      <w:r w:rsidRPr="00591347">
        <w:rPr>
          <w:rFonts w:ascii="Verdana" w:hAnsi="Verdana" w:cs="Arial"/>
          <w:sz w:val="16"/>
          <w:szCs w:val="16"/>
        </w:rPr>
        <w:t xml:space="preserve">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72FFC7FA" w14:textId="77777777" w:rsidR="002F7DE0" w:rsidRPr="00591347" w:rsidRDefault="002F7DE0" w:rsidP="002F7DE0">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59A7A925" w14:textId="77777777" w:rsidR="002F7DE0" w:rsidRPr="00591347" w:rsidRDefault="002F7DE0" w:rsidP="002F7DE0">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1010DCDE" w14:textId="77777777" w:rsidR="002F7DE0" w:rsidRPr="00591347" w:rsidRDefault="002F7DE0" w:rsidP="002F7DE0">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71F5DDC1" w14:textId="77777777" w:rsidR="002F7DE0" w:rsidRPr="00591347" w:rsidRDefault="002F7DE0" w:rsidP="002F7DE0">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3">
    <w:p w14:paraId="00491C4B" w14:textId="77777777" w:rsidR="002F7DE0" w:rsidRPr="00591347" w:rsidRDefault="002F7DE0" w:rsidP="002F7DE0">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4">
    <w:p w14:paraId="0FCF215F" w14:textId="77777777" w:rsidR="002F7DE0" w:rsidRPr="00591347" w:rsidRDefault="002F7DE0" w:rsidP="002F7DE0">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w:t>
      </w:r>
      <w:proofErr w:type="gramStart"/>
      <w:r w:rsidRPr="00591347">
        <w:rPr>
          <w:rFonts w:ascii="Verdana" w:hAnsi="Verdana"/>
          <w:sz w:val="16"/>
          <w:szCs w:val="16"/>
          <w:lang w:val="es-CO"/>
        </w:rPr>
        <w:t>artículo,</w:t>
      </w:r>
      <w:proofErr w:type="gramEnd"/>
      <w:r w:rsidRPr="00591347">
        <w:rPr>
          <w:rFonts w:ascii="Verdana" w:hAnsi="Verdana"/>
          <w:sz w:val="16"/>
          <w:szCs w:val="16"/>
          <w:lang w:val="es-CO"/>
        </w:rPr>
        <w:t xml:space="preserve">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5">
    <w:p w14:paraId="183FEEDD" w14:textId="77777777" w:rsidR="002F7DE0" w:rsidRPr="00591347" w:rsidRDefault="002F7DE0" w:rsidP="002F7DE0">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4" w:name="99"/>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w:t>
      </w:r>
      <w:bookmarkEnd w:id="4"/>
      <w:r w:rsidRPr="00591347">
        <w:rPr>
          <w:rFonts w:ascii="Verdana" w:hAnsi="Verdana"/>
          <w:sz w:val="16"/>
          <w:szCs w:val="16"/>
          <w:lang w:val="es-CO"/>
        </w:rPr>
        <w:t xml:space="preserve">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6">
    <w:p w14:paraId="67BB62B7" w14:textId="77777777" w:rsidR="002F7DE0" w:rsidRPr="00591347" w:rsidRDefault="002F7DE0" w:rsidP="002F7DE0">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w:t>
      </w:r>
      <w:proofErr w:type="gramStart"/>
      <w:r w:rsidRPr="00591347">
        <w:rPr>
          <w:rFonts w:ascii="Verdana" w:hAnsi="Verdana"/>
          <w:sz w:val="16"/>
          <w:szCs w:val="16"/>
          <w:lang w:val="es-CO"/>
        </w:rPr>
        <w:t>artículo,</w:t>
      </w:r>
      <w:proofErr w:type="gramEnd"/>
      <w:r w:rsidRPr="00591347">
        <w:rPr>
          <w:rFonts w:ascii="Verdana" w:hAnsi="Verdana"/>
          <w:sz w:val="16"/>
          <w:szCs w:val="16"/>
          <w:lang w:val="es-CO"/>
        </w:rPr>
        <w:t xml:space="preserve">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7">
    <w:p w14:paraId="1AC6EEFD" w14:textId="77777777" w:rsidR="002F7DE0" w:rsidRPr="00591347" w:rsidRDefault="002F7DE0" w:rsidP="002F7DE0">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5" w:name="109"/>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Ejecución De Recursos.</w:t>
      </w:r>
      <w:bookmarkEnd w:id="5"/>
      <w:r w:rsidRPr="00591347">
        <w:rPr>
          <w:rFonts w:ascii="Verdana" w:hAnsi="Verdana" w:cs="Arial"/>
          <w:color w:val="000000" w:themeColor="text1"/>
          <w:sz w:val="16"/>
          <w:szCs w:val="16"/>
        </w:rPr>
        <w:t xml:space="preserve">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8">
    <w:p w14:paraId="5CCB2A2A" w14:textId="77777777" w:rsidR="002F7DE0" w:rsidRPr="00591347" w:rsidRDefault="002F7DE0" w:rsidP="002F7DE0">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9">
    <w:p w14:paraId="791D6752" w14:textId="77777777" w:rsidR="002F7DE0" w:rsidRPr="00591347" w:rsidRDefault="002F7DE0" w:rsidP="002F7DE0">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5" w:history="1">
        <w:r w:rsidRPr="00591347">
          <w:rPr>
            <w:rStyle w:val="Hipervnculo"/>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 w:id="10">
    <w:p w14:paraId="78119B5D" w14:textId="77777777" w:rsidR="002F7DE0" w:rsidRPr="00945863" w:rsidRDefault="002F7DE0" w:rsidP="002F7DE0">
      <w:pPr>
        <w:pStyle w:val="Textonotapie"/>
        <w:ind w:firstLine="709"/>
        <w:rPr>
          <w:lang w:val="es-CO"/>
        </w:rPr>
      </w:pPr>
      <w:r>
        <w:rPr>
          <w:rStyle w:val="Refdenotaalpie"/>
        </w:rPr>
        <w:footnoteRef/>
      </w:r>
      <w:r>
        <w:t xml:space="preserve"> </w:t>
      </w:r>
      <w:r w:rsidRPr="00945863">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 w:id="11">
    <w:p w14:paraId="56823240" w14:textId="77777777" w:rsidR="002F7DE0" w:rsidRPr="00DD6A5A" w:rsidRDefault="002F7DE0" w:rsidP="002F7DE0">
      <w:pPr>
        <w:pStyle w:val="Textonotapie"/>
        <w:ind w:firstLine="709"/>
        <w:jc w:val="both"/>
        <w:rPr>
          <w:lang w:val="es-CO"/>
        </w:rPr>
      </w:pPr>
      <w:r>
        <w:rPr>
          <w:rStyle w:val="Refdenotaalpie"/>
        </w:rPr>
        <w:footnoteRef/>
      </w:r>
      <w:r>
        <w:t xml:space="preserve"> </w:t>
      </w:r>
      <w:r w:rsidRPr="00DD6A5A">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 w:id="12">
    <w:p w14:paraId="5BCE97A4" w14:textId="77777777" w:rsidR="002F7DE0" w:rsidRPr="0021779D" w:rsidRDefault="002F7DE0" w:rsidP="002F7DE0">
      <w:pPr>
        <w:pStyle w:val="Textonotapie"/>
        <w:ind w:firstLine="709"/>
        <w:jc w:val="both"/>
        <w:rPr>
          <w:lang w:val="es-CO"/>
        </w:rPr>
      </w:pPr>
      <w:r>
        <w:rPr>
          <w:rStyle w:val="Refdenotaalpie"/>
        </w:rPr>
        <w:footnoteRef/>
      </w:r>
      <w:r>
        <w:t xml:space="preserve"> </w:t>
      </w:r>
      <w:r w:rsidRPr="0021779D">
        <w:rPr>
          <w:rFonts w:ascii="Verdana" w:hAnsi="Verdana"/>
          <w:sz w:val="16"/>
          <w:szCs w:val="16"/>
        </w:rPr>
        <w:t xml:space="preserve">“En ese sentido, es claro que la designación del ejecutor de los recursos del SGR, es un acto unilateral que no requiere aceptación o consentimiento por parte del destinatario y que se materializa a través de un acto administrativo¹³ expedido en ejercicio de una competencia legal atribuida a los OCAD, departamentos y entidades territoriales por los citados artículos 35, 36 y 37 de la Ley 2056 de 2020, </w:t>
      </w:r>
      <w:r w:rsidRPr="00A277C8">
        <w:rPr>
          <w:rFonts w:ascii="Verdana" w:hAnsi="Verdana"/>
          <w:i/>
          <w:iCs/>
          <w:sz w:val="16"/>
          <w:szCs w:val="16"/>
        </w:rPr>
        <w:t>cuya finalidad no es la celebración de un negocio jurídico sino la designación de responsabilidades para la ejecución de un proyecto de inversión financiado con recursos del SGR previa verificación de las capacidades administrativas y financieras y los resultados de desempeño</w:t>
      </w:r>
      <w:r w:rsidRPr="0021779D">
        <w:rPr>
          <w:rFonts w:ascii="Verdana" w:hAnsi="Verdana"/>
          <w:sz w:val="16"/>
          <w:szCs w:val="16"/>
        </w:rPr>
        <w:t>”.</w:t>
      </w:r>
      <w:r>
        <w:rPr>
          <w:rFonts w:ascii="Verdana" w:hAnsi="Verdana"/>
          <w:sz w:val="16"/>
          <w:szCs w:val="16"/>
        </w:rPr>
        <w:t xml:space="preserve"> </w:t>
      </w:r>
      <w:r w:rsidRPr="00DD6A5A">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r>
        <w:rPr>
          <w:rFonts w:ascii="Verdana" w:eastAsia="Calibri" w:hAnsi="Verdana" w:cs="Arial"/>
          <w:color w:val="000000" w:themeColor="text1"/>
          <w:sz w:val="16"/>
          <w:szCs w:val="16"/>
          <w:lang w:eastAsia="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32E6FBF8"/>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7"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51123D3"/>
    <w:multiLevelType w:val="hybridMultilevel"/>
    <w:tmpl w:val="6B7E2E24"/>
    <w:lvl w:ilvl="0" w:tplc="A3687E8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2"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4"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6EC84743"/>
    <w:multiLevelType w:val="hybridMultilevel"/>
    <w:tmpl w:val="9790F6FE"/>
    <w:lvl w:ilvl="0" w:tplc="6D1C2B0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8226FF1"/>
    <w:multiLevelType w:val="hybridMultilevel"/>
    <w:tmpl w:val="18F0F084"/>
    <w:lvl w:ilvl="0" w:tplc="6A3AC74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7"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4"/>
  </w:num>
  <w:num w:numId="3" w16cid:durableId="679089576">
    <w:abstractNumId w:val="18"/>
  </w:num>
  <w:num w:numId="4" w16cid:durableId="893472101">
    <w:abstractNumId w:val="9"/>
  </w:num>
  <w:num w:numId="5" w16cid:durableId="1982299905">
    <w:abstractNumId w:val="37"/>
  </w:num>
  <w:num w:numId="6" w16cid:durableId="130758360">
    <w:abstractNumId w:val="21"/>
  </w:num>
  <w:num w:numId="7" w16cid:durableId="262541512">
    <w:abstractNumId w:val="33"/>
  </w:num>
  <w:num w:numId="8" w16cid:durableId="1947226218">
    <w:abstractNumId w:val="17"/>
  </w:num>
  <w:num w:numId="9" w16cid:durableId="1180706126">
    <w:abstractNumId w:val="20"/>
  </w:num>
  <w:num w:numId="10" w16cid:durableId="2097506960">
    <w:abstractNumId w:val="26"/>
  </w:num>
  <w:num w:numId="11" w16cid:durableId="1977490869">
    <w:abstractNumId w:val="24"/>
  </w:num>
  <w:num w:numId="12" w16cid:durableId="158663248">
    <w:abstractNumId w:val="23"/>
  </w:num>
  <w:num w:numId="13" w16cid:durableId="2024085788">
    <w:abstractNumId w:val="2"/>
  </w:num>
  <w:num w:numId="14" w16cid:durableId="1885099950">
    <w:abstractNumId w:val="16"/>
  </w:num>
  <w:num w:numId="15" w16cid:durableId="32047459">
    <w:abstractNumId w:val="11"/>
  </w:num>
  <w:num w:numId="16" w16cid:durableId="1192261824">
    <w:abstractNumId w:val="12"/>
  </w:num>
  <w:num w:numId="17" w16cid:durableId="375933272">
    <w:abstractNumId w:val="19"/>
  </w:num>
  <w:num w:numId="18" w16cid:durableId="610939998">
    <w:abstractNumId w:val="27"/>
  </w:num>
  <w:num w:numId="19" w16cid:durableId="1910656144">
    <w:abstractNumId w:val="4"/>
  </w:num>
  <w:num w:numId="20" w16cid:durableId="947545103">
    <w:abstractNumId w:val="15"/>
  </w:num>
  <w:num w:numId="21" w16cid:durableId="1851335222">
    <w:abstractNumId w:val="36"/>
  </w:num>
  <w:num w:numId="22" w16cid:durableId="578707994">
    <w:abstractNumId w:val="6"/>
  </w:num>
  <w:num w:numId="23" w16cid:durableId="876742304">
    <w:abstractNumId w:val="13"/>
  </w:num>
  <w:num w:numId="24" w16cid:durableId="1994095851">
    <w:abstractNumId w:val="7"/>
  </w:num>
  <w:num w:numId="25" w16cid:durableId="1567109325">
    <w:abstractNumId w:val="28"/>
  </w:num>
  <w:num w:numId="26" w16cid:durableId="1116487847">
    <w:abstractNumId w:val="22"/>
  </w:num>
  <w:num w:numId="27" w16cid:durableId="611326471">
    <w:abstractNumId w:val="31"/>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5"/>
  </w:num>
  <w:num w:numId="30" w16cid:durableId="363991975">
    <w:abstractNumId w:val="32"/>
  </w:num>
  <w:num w:numId="31" w16cid:durableId="1509440290">
    <w:abstractNumId w:val="25"/>
  </w:num>
  <w:num w:numId="32" w16cid:durableId="1601723362">
    <w:abstractNumId w:val="8"/>
  </w:num>
  <w:num w:numId="33" w16cid:durableId="1484539021">
    <w:abstractNumId w:val="5"/>
  </w:num>
  <w:num w:numId="34" w16cid:durableId="1387339555">
    <w:abstractNumId w:val="3"/>
  </w:num>
  <w:num w:numId="35" w16cid:durableId="591087840">
    <w:abstractNumId w:val="29"/>
  </w:num>
  <w:num w:numId="36" w16cid:durableId="1632059173">
    <w:abstractNumId w:val="34"/>
  </w:num>
  <w:num w:numId="37" w16cid:durableId="742992957">
    <w:abstractNumId w:val="18"/>
  </w:num>
  <w:num w:numId="38" w16cid:durableId="1317681908">
    <w:abstractNumId w:val="10"/>
  </w:num>
  <w:num w:numId="39" w16cid:durableId="72079176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08"/>
    <w:rsid w:val="00001E39"/>
    <w:rsid w:val="000024D6"/>
    <w:rsid w:val="00002767"/>
    <w:rsid w:val="00002920"/>
    <w:rsid w:val="00002D55"/>
    <w:rsid w:val="00003467"/>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1ECC"/>
    <w:rsid w:val="0001222D"/>
    <w:rsid w:val="00012550"/>
    <w:rsid w:val="00012679"/>
    <w:rsid w:val="00012C27"/>
    <w:rsid w:val="00012EDA"/>
    <w:rsid w:val="00013B3F"/>
    <w:rsid w:val="00014981"/>
    <w:rsid w:val="00014B0D"/>
    <w:rsid w:val="00014E7B"/>
    <w:rsid w:val="00016280"/>
    <w:rsid w:val="0001672C"/>
    <w:rsid w:val="00016F04"/>
    <w:rsid w:val="00017870"/>
    <w:rsid w:val="00021068"/>
    <w:rsid w:val="00021595"/>
    <w:rsid w:val="000219D1"/>
    <w:rsid w:val="00021C3A"/>
    <w:rsid w:val="0002202D"/>
    <w:rsid w:val="00022C23"/>
    <w:rsid w:val="00023DF7"/>
    <w:rsid w:val="00024F51"/>
    <w:rsid w:val="000267DD"/>
    <w:rsid w:val="0002688A"/>
    <w:rsid w:val="000273EA"/>
    <w:rsid w:val="00027B63"/>
    <w:rsid w:val="00027CA9"/>
    <w:rsid w:val="00030B3D"/>
    <w:rsid w:val="00030BC5"/>
    <w:rsid w:val="00030BFB"/>
    <w:rsid w:val="00031DA1"/>
    <w:rsid w:val="00031EAF"/>
    <w:rsid w:val="0003287A"/>
    <w:rsid w:val="00033390"/>
    <w:rsid w:val="000361EA"/>
    <w:rsid w:val="0003699E"/>
    <w:rsid w:val="000369C0"/>
    <w:rsid w:val="0003731A"/>
    <w:rsid w:val="00037A8B"/>
    <w:rsid w:val="00040372"/>
    <w:rsid w:val="000408AD"/>
    <w:rsid w:val="00041469"/>
    <w:rsid w:val="0004180C"/>
    <w:rsid w:val="000419D7"/>
    <w:rsid w:val="00042DD7"/>
    <w:rsid w:val="000438BA"/>
    <w:rsid w:val="00043EE5"/>
    <w:rsid w:val="000442CC"/>
    <w:rsid w:val="000442DE"/>
    <w:rsid w:val="0004491F"/>
    <w:rsid w:val="00044B24"/>
    <w:rsid w:val="0004508D"/>
    <w:rsid w:val="0004526E"/>
    <w:rsid w:val="00045B37"/>
    <w:rsid w:val="0004709D"/>
    <w:rsid w:val="000504AA"/>
    <w:rsid w:val="0005086B"/>
    <w:rsid w:val="0005098A"/>
    <w:rsid w:val="00050C95"/>
    <w:rsid w:val="00050CAD"/>
    <w:rsid w:val="0005142D"/>
    <w:rsid w:val="00051A3C"/>
    <w:rsid w:val="00051BE4"/>
    <w:rsid w:val="00051E96"/>
    <w:rsid w:val="000526A8"/>
    <w:rsid w:val="00052EF1"/>
    <w:rsid w:val="0005420B"/>
    <w:rsid w:val="00054DFE"/>
    <w:rsid w:val="000551CB"/>
    <w:rsid w:val="00055ED8"/>
    <w:rsid w:val="0005620B"/>
    <w:rsid w:val="00057392"/>
    <w:rsid w:val="00057740"/>
    <w:rsid w:val="000577A2"/>
    <w:rsid w:val="000577D3"/>
    <w:rsid w:val="00057963"/>
    <w:rsid w:val="000579AB"/>
    <w:rsid w:val="00060AE4"/>
    <w:rsid w:val="00061295"/>
    <w:rsid w:val="000618E5"/>
    <w:rsid w:val="000622B9"/>
    <w:rsid w:val="000631E9"/>
    <w:rsid w:val="00063B4B"/>
    <w:rsid w:val="00064431"/>
    <w:rsid w:val="00064721"/>
    <w:rsid w:val="00064D60"/>
    <w:rsid w:val="0006565C"/>
    <w:rsid w:val="00065973"/>
    <w:rsid w:val="00065C6D"/>
    <w:rsid w:val="000665D3"/>
    <w:rsid w:val="00066646"/>
    <w:rsid w:val="00066C7A"/>
    <w:rsid w:val="00066CF1"/>
    <w:rsid w:val="000678BB"/>
    <w:rsid w:val="000709EF"/>
    <w:rsid w:val="00070D9B"/>
    <w:rsid w:val="0007144A"/>
    <w:rsid w:val="000716AB"/>
    <w:rsid w:val="00071AB8"/>
    <w:rsid w:val="0007243A"/>
    <w:rsid w:val="00072AF5"/>
    <w:rsid w:val="000734CB"/>
    <w:rsid w:val="00074660"/>
    <w:rsid w:val="000752FA"/>
    <w:rsid w:val="00075BDC"/>
    <w:rsid w:val="00075DF4"/>
    <w:rsid w:val="00076211"/>
    <w:rsid w:val="000762C0"/>
    <w:rsid w:val="0007655A"/>
    <w:rsid w:val="00076737"/>
    <w:rsid w:val="00076C2B"/>
    <w:rsid w:val="00076C73"/>
    <w:rsid w:val="00076F81"/>
    <w:rsid w:val="000772B1"/>
    <w:rsid w:val="000779DE"/>
    <w:rsid w:val="000800B6"/>
    <w:rsid w:val="00080D15"/>
    <w:rsid w:val="00081B03"/>
    <w:rsid w:val="00081BAA"/>
    <w:rsid w:val="000847A0"/>
    <w:rsid w:val="00084BFD"/>
    <w:rsid w:val="00084C96"/>
    <w:rsid w:val="00085BD2"/>
    <w:rsid w:val="0008651B"/>
    <w:rsid w:val="00087073"/>
    <w:rsid w:val="0008734C"/>
    <w:rsid w:val="0008739A"/>
    <w:rsid w:val="000875BD"/>
    <w:rsid w:val="000878E7"/>
    <w:rsid w:val="00087A3B"/>
    <w:rsid w:val="00087C01"/>
    <w:rsid w:val="000903E4"/>
    <w:rsid w:val="000906E3"/>
    <w:rsid w:val="000913D9"/>
    <w:rsid w:val="00091D73"/>
    <w:rsid w:val="0009252F"/>
    <w:rsid w:val="000933B5"/>
    <w:rsid w:val="000933BC"/>
    <w:rsid w:val="00093544"/>
    <w:rsid w:val="00093D95"/>
    <w:rsid w:val="00093F87"/>
    <w:rsid w:val="000944B7"/>
    <w:rsid w:val="00094663"/>
    <w:rsid w:val="00095410"/>
    <w:rsid w:val="00095CF4"/>
    <w:rsid w:val="00095E48"/>
    <w:rsid w:val="00096637"/>
    <w:rsid w:val="0009726B"/>
    <w:rsid w:val="00097285"/>
    <w:rsid w:val="0009740F"/>
    <w:rsid w:val="000975EA"/>
    <w:rsid w:val="000A021A"/>
    <w:rsid w:val="000A1828"/>
    <w:rsid w:val="000A1C31"/>
    <w:rsid w:val="000A1D06"/>
    <w:rsid w:val="000A1F38"/>
    <w:rsid w:val="000A2030"/>
    <w:rsid w:val="000A358F"/>
    <w:rsid w:val="000A37F5"/>
    <w:rsid w:val="000A3A03"/>
    <w:rsid w:val="000A413A"/>
    <w:rsid w:val="000A4F1E"/>
    <w:rsid w:val="000A5881"/>
    <w:rsid w:val="000A66A1"/>
    <w:rsid w:val="000A69FB"/>
    <w:rsid w:val="000A776F"/>
    <w:rsid w:val="000A77D4"/>
    <w:rsid w:val="000B0B16"/>
    <w:rsid w:val="000B1087"/>
    <w:rsid w:val="000B146F"/>
    <w:rsid w:val="000B1936"/>
    <w:rsid w:val="000B199A"/>
    <w:rsid w:val="000B1FF7"/>
    <w:rsid w:val="000B2529"/>
    <w:rsid w:val="000B2685"/>
    <w:rsid w:val="000B2B7C"/>
    <w:rsid w:val="000B3027"/>
    <w:rsid w:val="000B377E"/>
    <w:rsid w:val="000B381D"/>
    <w:rsid w:val="000B3DD4"/>
    <w:rsid w:val="000B4024"/>
    <w:rsid w:val="000B44BA"/>
    <w:rsid w:val="000B4C9C"/>
    <w:rsid w:val="000B5258"/>
    <w:rsid w:val="000B5311"/>
    <w:rsid w:val="000B5313"/>
    <w:rsid w:val="000B5C05"/>
    <w:rsid w:val="000B5C65"/>
    <w:rsid w:val="000B5DF3"/>
    <w:rsid w:val="000B5F1D"/>
    <w:rsid w:val="000B5FB9"/>
    <w:rsid w:val="000B69C5"/>
    <w:rsid w:val="000B6BE9"/>
    <w:rsid w:val="000C02AD"/>
    <w:rsid w:val="000C060A"/>
    <w:rsid w:val="000C07B0"/>
    <w:rsid w:val="000C09DF"/>
    <w:rsid w:val="000C0AA8"/>
    <w:rsid w:val="000C18BD"/>
    <w:rsid w:val="000C1CE6"/>
    <w:rsid w:val="000C1FC8"/>
    <w:rsid w:val="000C36E1"/>
    <w:rsid w:val="000C42A9"/>
    <w:rsid w:val="000C42C6"/>
    <w:rsid w:val="000C50D6"/>
    <w:rsid w:val="000C51E1"/>
    <w:rsid w:val="000C557B"/>
    <w:rsid w:val="000C5A85"/>
    <w:rsid w:val="000C5F29"/>
    <w:rsid w:val="000C5F48"/>
    <w:rsid w:val="000C66BF"/>
    <w:rsid w:val="000C6FC1"/>
    <w:rsid w:val="000C7FF8"/>
    <w:rsid w:val="000D0372"/>
    <w:rsid w:val="000D0ADE"/>
    <w:rsid w:val="000D1A8F"/>
    <w:rsid w:val="000D1B18"/>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D6EEE"/>
    <w:rsid w:val="000E0622"/>
    <w:rsid w:val="000E07AA"/>
    <w:rsid w:val="000E161A"/>
    <w:rsid w:val="000E1D6F"/>
    <w:rsid w:val="000E2D0D"/>
    <w:rsid w:val="000E3381"/>
    <w:rsid w:val="000E3744"/>
    <w:rsid w:val="000E3CD9"/>
    <w:rsid w:val="000E481D"/>
    <w:rsid w:val="000E496B"/>
    <w:rsid w:val="000E4DBF"/>
    <w:rsid w:val="000E4DF2"/>
    <w:rsid w:val="000E5844"/>
    <w:rsid w:val="000E634B"/>
    <w:rsid w:val="000E7349"/>
    <w:rsid w:val="000E762D"/>
    <w:rsid w:val="000E77CC"/>
    <w:rsid w:val="000E79A4"/>
    <w:rsid w:val="000F0144"/>
    <w:rsid w:val="000F0783"/>
    <w:rsid w:val="000F0807"/>
    <w:rsid w:val="000F080D"/>
    <w:rsid w:val="000F0B3C"/>
    <w:rsid w:val="000F13D5"/>
    <w:rsid w:val="000F175F"/>
    <w:rsid w:val="000F1AD8"/>
    <w:rsid w:val="000F2F4C"/>
    <w:rsid w:val="000F306E"/>
    <w:rsid w:val="000F38D9"/>
    <w:rsid w:val="000F3CED"/>
    <w:rsid w:val="000F414C"/>
    <w:rsid w:val="000F4A14"/>
    <w:rsid w:val="000F4EDD"/>
    <w:rsid w:val="000F6320"/>
    <w:rsid w:val="000F64FC"/>
    <w:rsid w:val="000F696E"/>
    <w:rsid w:val="000F6C10"/>
    <w:rsid w:val="000F718E"/>
    <w:rsid w:val="001001F2"/>
    <w:rsid w:val="00100207"/>
    <w:rsid w:val="001003C6"/>
    <w:rsid w:val="00100682"/>
    <w:rsid w:val="00100F25"/>
    <w:rsid w:val="001010D3"/>
    <w:rsid w:val="0010144A"/>
    <w:rsid w:val="00101C11"/>
    <w:rsid w:val="00102F4F"/>
    <w:rsid w:val="001034DD"/>
    <w:rsid w:val="00104425"/>
    <w:rsid w:val="00104B4C"/>
    <w:rsid w:val="00105135"/>
    <w:rsid w:val="001055A2"/>
    <w:rsid w:val="00105DC2"/>
    <w:rsid w:val="00105FF2"/>
    <w:rsid w:val="0010682A"/>
    <w:rsid w:val="00106C4C"/>
    <w:rsid w:val="001079AE"/>
    <w:rsid w:val="00107DEF"/>
    <w:rsid w:val="00110145"/>
    <w:rsid w:val="0011031D"/>
    <w:rsid w:val="0011037E"/>
    <w:rsid w:val="00110404"/>
    <w:rsid w:val="001109E8"/>
    <w:rsid w:val="00110F73"/>
    <w:rsid w:val="00111E35"/>
    <w:rsid w:val="001128B4"/>
    <w:rsid w:val="00112EBD"/>
    <w:rsid w:val="001132C2"/>
    <w:rsid w:val="00113335"/>
    <w:rsid w:val="0011382D"/>
    <w:rsid w:val="00113AF2"/>
    <w:rsid w:val="00113C17"/>
    <w:rsid w:val="00113FDD"/>
    <w:rsid w:val="00114051"/>
    <w:rsid w:val="00114973"/>
    <w:rsid w:val="00114CFB"/>
    <w:rsid w:val="00114CFF"/>
    <w:rsid w:val="00114FDF"/>
    <w:rsid w:val="0011650B"/>
    <w:rsid w:val="00116616"/>
    <w:rsid w:val="00116FC5"/>
    <w:rsid w:val="00117163"/>
    <w:rsid w:val="00117BBD"/>
    <w:rsid w:val="00117E26"/>
    <w:rsid w:val="001202DF"/>
    <w:rsid w:val="00120F1B"/>
    <w:rsid w:val="001213E7"/>
    <w:rsid w:val="00121A6F"/>
    <w:rsid w:val="00122208"/>
    <w:rsid w:val="001224BA"/>
    <w:rsid w:val="001238BC"/>
    <w:rsid w:val="00124518"/>
    <w:rsid w:val="001248AB"/>
    <w:rsid w:val="00124981"/>
    <w:rsid w:val="00124B10"/>
    <w:rsid w:val="00124B2E"/>
    <w:rsid w:val="001256A1"/>
    <w:rsid w:val="00125D81"/>
    <w:rsid w:val="00126301"/>
    <w:rsid w:val="0012661F"/>
    <w:rsid w:val="00126966"/>
    <w:rsid w:val="001269B0"/>
    <w:rsid w:val="00126B24"/>
    <w:rsid w:val="00127234"/>
    <w:rsid w:val="001276C4"/>
    <w:rsid w:val="00127C68"/>
    <w:rsid w:val="00127D5B"/>
    <w:rsid w:val="001300B0"/>
    <w:rsid w:val="00131373"/>
    <w:rsid w:val="001314A0"/>
    <w:rsid w:val="00131A1F"/>
    <w:rsid w:val="00131A66"/>
    <w:rsid w:val="00131F9C"/>
    <w:rsid w:val="00132336"/>
    <w:rsid w:val="00132425"/>
    <w:rsid w:val="0013280A"/>
    <w:rsid w:val="00132875"/>
    <w:rsid w:val="0013315A"/>
    <w:rsid w:val="001332B3"/>
    <w:rsid w:val="0013343F"/>
    <w:rsid w:val="001344F9"/>
    <w:rsid w:val="00134ABF"/>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5EA8"/>
    <w:rsid w:val="001461A7"/>
    <w:rsid w:val="00146946"/>
    <w:rsid w:val="00146E7C"/>
    <w:rsid w:val="00147F8C"/>
    <w:rsid w:val="00150492"/>
    <w:rsid w:val="00151200"/>
    <w:rsid w:val="001513CE"/>
    <w:rsid w:val="00151465"/>
    <w:rsid w:val="00151AD8"/>
    <w:rsid w:val="00151E77"/>
    <w:rsid w:val="001523AA"/>
    <w:rsid w:val="00152F77"/>
    <w:rsid w:val="00153287"/>
    <w:rsid w:val="001533E6"/>
    <w:rsid w:val="001538BE"/>
    <w:rsid w:val="00153BA7"/>
    <w:rsid w:val="00153C33"/>
    <w:rsid w:val="00154CEB"/>
    <w:rsid w:val="00155198"/>
    <w:rsid w:val="00155A26"/>
    <w:rsid w:val="00155EF1"/>
    <w:rsid w:val="00156192"/>
    <w:rsid w:val="00156E57"/>
    <w:rsid w:val="0015710D"/>
    <w:rsid w:val="00157338"/>
    <w:rsid w:val="001573AA"/>
    <w:rsid w:val="00157CE5"/>
    <w:rsid w:val="00157DEB"/>
    <w:rsid w:val="001610BC"/>
    <w:rsid w:val="00161847"/>
    <w:rsid w:val="00161E13"/>
    <w:rsid w:val="001629D8"/>
    <w:rsid w:val="00162B2A"/>
    <w:rsid w:val="00162B8D"/>
    <w:rsid w:val="00162F9F"/>
    <w:rsid w:val="00163EB1"/>
    <w:rsid w:val="001646C7"/>
    <w:rsid w:val="00164803"/>
    <w:rsid w:val="00164AE0"/>
    <w:rsid w:val="001656F6"/>
    <w:rsid w:val="00165BF5"/>
    <w:rsid w:val="00165F2E"/>
    <w:rsid w:val="0016646A"/>
    <w:rsid w:val="00167340"/>
    <w:rsid w:val="001673EE"/>
    <w:rsid w:val="0016793B"/>
    <w:rsid w:val="00167C43"/>
    <w:rsid w:val="001706C9"/>
    <w:rsid w:val="0017120C"/>
    <w:rsid w:val="0017150D"/>
    <w:rsid w:val="001719EC"/>
    <w:rsid w:val="00171D3A"/>
    <w:rsid w:val="001727D7"/>
    <w:rsid w:val="00172C96"/>
    <w:rsid w:val="00172DDC"/>
    <w:rsid w:val="00172F3A"/>
    <w:rsid w:val="0017303B"/>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1FE"/>
    <w:rsid w:val="00183F50"/>
    <w:rsid w:val="001848FF"/>
    <w:rsid w:val="00184BB2"/>
    <w:rsid w:val="00184BD9"/>
    <w:rsid w:val="00184ED6"/>
    <w:rsid w:val="00184F13"/>
    <w:rsid w:val="00184FD9"/>
    <w:rsid w:val="00185361"/>
    <w:rsid w:val="00185405"/>
    <w:rsid w:val="00186037"/>
    <w:rsid w:val="00186AE4"/>
    <w:rsid w:val="00186D14"/>
    <w:rsid w:val="001876D8"/>
    <w:rsid w:val="00187734"/>
    <w:rsid w:val="00187F6A"/>
    <w:rsid w:val="00190325"/>
    <w:rsid w:val="00190391"/>
    <w:rsid w:val="00190982"/>
    <w:rsid w:val="0019151E"/>
    <w:rsid w:val="00191593"/>
    <w:rsid w:val="001918F1"/>
    <w:rsid w:val="0019196E"/>
    <w:rsid w:val="00191FF5"/>
    <w:rsid w:val="001926D7"/>
    <w:rsid w:val="00192CCE"/>
    <w:rsid w:val="0019385B"/>
    <w:rsid w:val="00193F1C"/>
    <w:rsid w:val="00194428"/>
    <w:rsid w:val="001947C0"/>
    <w:rsid w:val="001948F5"/>
    <w:rsid w:val="00194958"/>
    <w:rsid w:val="0019566E"/>
    <w:rsid w:val="00196359"/>
    <w:rsid w:val="0019710C"/>
    <w:rsid w:val="00197205"/>
    <w:rsid w:val="00197632"/>
    <w:rsid w:val="0019793F"/>
    <w:rsid w:val="00197A9D"/>
    <w:rsid w:val="001A08E7"/>
    <w:rsid w:val="001A17D7"/>
    <w:rsid w:val="001A1A67"/>
    <w:rsid w:val="001A1FDD"/>
    <w:rsid w:val="001A2D8F"/>
    <w:rsid w:val="001A3C1B"/>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175"/>
    <w:rsid w:val="001B35D4"/>
    <w:rsid w:val="001B4446"/>
    <w:rsid w:val="001B52D3"/>
    <w:rsid w:val="001B53DD"/>
    <w:rsid w:val="001B5565"/>
    <w:rsid w:val="001B5A00"/>
    <w:rsid w:val="001B5F59"/>
    <w:rsid w:val="001B63A7"/>
    <w:rsid w:val="001B6810"/>
    <w:rsid w:val="001B6E89"/>
    <w:rsid w:val="001B7358"/>
    <w:rsid w:val="001B791C"/>
    <w:rsid w:val="001B7B9B"/>
    <w:rsid w:val="001B7D70"/>
    <w:rsid w:val="001C0125"/>
    <w:rsid w:val="001C0BF4"/>
    <w:rsid w:val="001C1074"/>
    <w:rsid w:val="001C21C8"/>
    <w:rsid w:val="001C25F5"/>
    <w:rsid w:val="001C265A"/>
    <w:rsid w:val="001C2DFD"/>
    <w:rsid w:val="001C34D0"/>
    <w:rsid w:val="001C4249"/>
    <w:rsid w:val="001C46E3"/>
    <w:rsid w:val="001C496A"/>
    <w:rsid w:val="001C4980"/>
    <w:rsid w:val="001C4AC1"/>
    <w:rsid w:val="001C4F27"/>
    <w:rsid w:val="001C51FE"/>
    <w:rsid w:val="001C582B"/>
    <w:rsid w:val="001C6573"/>
    <w:rsid w:val="001C7B08"/>
    <w:rsid w:val="001C7D03"/>
    <w:rsid w:val="001D00BE"/>
    <w:rsid w:val="001D079B"/>
    <w:rsid w:val="001D0806"/>
    <w:rsid w:val="001D0D32"/>
    <w:rsid w:val="001D1363"/>
    <w:rsid w:val="001D17C9"/>
    <w:rsid w:val="001D1AB9"/>
    <w:rsid w:val="001D1EEB"/>
    <w:rsid w:val="001D1F20"/>
    <w:rsid w:val="001D22D5"/>
    <w:rsid w:val="001D2A41"/>
    <w:rsid w:val="001D3795"/>
    <w:rsid w:val="001D3E0F"/>
    <w:rsid w:val="001D4006"/>
    <w:rsid w:val="001D54BD"/>
    <w:rsid w:val="001D5C72"/>
    <w:rsid w:val="001D616F"/>
    <w:rsid w:val="001D626E"/>
    <w:rsid w:val="001D733B"/>
    <w:rsid w:val="001D73CF"/>
    <w:rsid w:val="001D7536"/>
    <w:rsid w:val="001D7E8C"/>
    <w:rsid w:val="001E04CD"/>
    <w:rsid w:val="001E0902"/>
    <w:rsid w:val="001E1801"/>
    <w:rsid w:val="001E1C73"/>
    <w:rsid w:val="001E1E05"/>
    <w:rsid w:val="001E20B7"/>
    <w:rsid w:val="001E2254"/>
    <w:rsid w:val="001E22D2"/>
    <w:rsid w:val="001E22DE"/>
    <w:rsid w:val="001E2343"/>
    <w:rsid w:val="001E3A17"/>
    <w:rsid w:val="001E3FCB"/>
    <w:rsid w:val="001E52DF"/>
    <w:rsid w:val="001E5500"/>
    <w:rsid w:val="001E65BD"/>
    <w:rsid w:val="001E6930"/>
    <w:rsid w:val="001E6BCB"/>
    <w:rsid w:val="001E706C"/>
    <w:rsid w:val="001E761F"/>
    <w:rsid w:val="001E774A"/>
    <w:rsid w:val="001E783B"/>
    <w:rsid w:val="001E7FBC"/>
    <w:rsid w:val="001F0822"/>
    <w:rsid w:val="001F08CB"/>
    <w:rsid w:val="001F105B"/>
    <w:rsid w:val="001F15F6"/>
    <w:rsid w:val="001F179C"/>
    <w:rsid w:val="001F24B7"/>
    <w:rsid w:val="001F2649"/>
    <w:rsid w:val="001F2DB5"/>
    <w:rsid w:val="001F2DC7"/>
    <w:rsid w:val="001F3496"/>
    <w:rsid w:val="001F41CA"/>
    <w:rsid w:val="001F4355"/>
    <w:rsid w:val="001F478E"/>
    <w:rsid w:val="001F4819"/>
    <w:rsid w:val="001F485F"/>
    <w:rsid w:val="001F48BD"/>
    <w:rsid w:val="001F4FAB"/>
    <w:rsid w:val="001F5034"/>
    <w:rsid w:val="001F61DE"/>
    <w:rsid w:val="001F63AA"/>
    <w:rsid w:val="001F69C8"/>
    <w:rsid w:val="001F7054"/>
    <w:rsid w:val="001F77E5"/>
    <w:rsid w:val="001F7B58"/>
    <w:rsid w:val="001F7DB7"/>
    <w:rsid w:val="002000AA"/>
    <w:rsid w:val="00201502"/>
    <w:rsid w:val="0020302A"/>
    <w:rsid w:val="0020324C"/>
    <w:rsid w:val="002032A0"/>
    <w:rsid w:val="00203532"/>
    <w:rsid w:val="00203AE0"/>
    <w:rsid w:val="00204106"/>
    <w:rsid w:val="00204109"/>
    <w:rsid w:val="0020503A"/>
    <w:rsid w:val="00205041"/>
    <w:rsid w:val="0020524C"/>
    <w:rsid w:val="002059E3"/>
    <w:rsid w:val="00206258"/>
    <w:rsid w:val="00207438"/>
    <w:rsid w:val="002100FF"/>
    <w:rsid w:val="00210543"/>
    <w:rsid w:val="00210B9B"/>
    <w:rsid w:val="0021102F"/>
    <w:rsid w:val="002118D1"/>
    <w:rsid w:val="00211DCE"/>
    <w:rsid w:val="0021229D"/>
    <w:rsid w:val="00212390"/>
    <w:rsid w:val="00212897"/>
    <w:rsid w:val="00212ACB"/>
    <w:rsid w:val="00213612"/>
    <w:rsid w:val="0021386A"/>
    <w:rsid w:val="00213C44"/>
    <w:rsid w:val="002147EE"/>
    <w:rsid w:val="00215516"/>
    <w:rsid w:val="002158DC"/>
    <w:rsid w:val="002159D5"/>
    <w:rsid w:val="00215B64"/>
    <w:rsid w:val="00215C05"/>
    <w:rsid w:val="002161E3"/>
    <w:rsid w:val="00216DF5"/>
    <w:rsid w:val="00216EFA"/>
    <w:rsid w:val="0021779D"/>
    <w:rsid w:val="0021798E"/>
    <w:rsid w:val="00217CA1"/>
    <w:rsid w:val="00217DEE"/>
    <w:rsid w:val="002203BF"/>
    <w:rsid w:val="00220C4C"/>
    <w:rsid w:val="00220E95"/>
    <w:rsid w:val="002217FE"/>
    <w:rsid w:val="0022180C"/>
    <w:rsid w:val="00221935"/>
    <w:rsid w:val="00221C72"/>
    <w:rsid w:val="002223E1"/>
    <w:rsid w:val="002225AB"/>
    <w:rsid w:val="00222955"/>
    <w:rsid w:val="002231B0"/>
    <w:rsid w:val="002239B8"/>
    <w:rsid w:val="002250D1"/>
    <w:rsid w:val="00225AAD"/>
    <w:rsid w:val="002267D2"/>
    <w:rsid w:val="00227AD7"/>
    <w:rsid w:val="00230839"/>
    <w:rsid w:val="00230EE8"/>
    <w:rsid w:val="00231ADB"/>
    <w:rsid w:val="00232178"/>
    <w:rsid w:val="00232248"/>
    <w:rsid w:val="00232D12"/>
    <w:rsid w:val="0023353F"/>
    <w:rsid w:val="00233616"/>
    <w:rsid w:val="00233975"/>
    <w:rsid w:val="00233B8C"/>
    <w:rsid w:val="002353E3"/>
    <w:rsid w:val="00235CC0"/>
    <w:rsid w:val="00235F30"/>
    <w:rsid w:val="00236287"/>
    <w:rsid w:val="002363FF"/>
    <w:rsid w:val="00236D10"/>
    <w:rsid w:val="0023777E"/>
    <w:rsid w:val="002407CE"/>
    <w:rsid w:val="002410D2"/>
    <w:rsid w:val="00241A6E"/>
    <w:rsid w:val="00242325"/>
    <w:rsid w:val="002430FE"/>
    <w:rsid w:val="00243A38"/>
    <w:rsid w:val="0024474F"/>
    <w:rsid w:val="00244761"/>
    <w:rsid w:val="002450F2"/>
    <w:rsid w:val="00245716"/>
    <w:rsid w:val="00245B7F"/>
    <w:rsid w:val="00246383"/>
    <w:rsid w:val="002469C2"/>
    <w:rsid w:val="00247BDE"/>
    <w:rsid w:val="00247DE2"/>
    <w:rsid w:val="00247F35"/>
    <w:rsid w:val="002505DE"/>
    <w:rsid w:val="002514FA"/>
    <w:rsid w:val="00251DAF"/>
    <w:rsid w:val="00252503"/>
    <w:rsid w:val="0025265C"/>
    <w:rsid w:val="00252ED7"/>
    <w:rsid w:val="0025393C"/>
    <w:rsid w:val="00253BEA"/>
    <w:rsid w:val="002549E7"/>
    <w:rsid w:val="00254A7A"/>
    <w:rsid w:val="00254EA4"/>
    <w:rsid w:val="0025509C"/>
    <w:rsid w:val="002552F8"/>
    <w:rsid w:val="0025575F"/>
    <w:rsid w:val="002560FB"/>
    <w:rsid w:val="002565BF"/>
    <w:rsid w:val="002571E3"/>
    <w:rsid w:val="002573DA"/>
    <w:rsid w:val="00260496"/>
    <w:rsid w:val="00260542"/>
    <w:rsid w:val="00260BAD"/>
    <w:rsid w:val="002612EA"/>
    <w:rsid w:val="0026224C"/>
    <w:rsid w:val="00263258"/>
    <w:rsid w:val="00264022"/>
    <w:rsid w:val="00264C7C"/>
    <w:rsid w:val="0026650F"/>
    <w:rsid w:val="00266DC3"/>
    <w:rsid w:val="0027029D"/>
    <w:rsid w:val="00270443"/>
    <w:rsid w:val="00270EE2"/>
    <w:rsid w:val="0027138C"/>
    <w:rsid w:val="002714F9"/>
    <w:rsid w:val="0027165A"/>
    <w:rsid w:val="00272787"/>
    <w:rsid w:val="00272826"/>
    <w:rsid w:val="00272A7B"/>
    <w:rsid w:val="00272C44"/>
    <w:rsid w:val="00272E8C"/>
    <w:rsid w:val="00272F05"/>
    <w:rsid w:val="00273527"/>
    <w:rsid w:val="00273F6B"/>
    <w:rsid w:val="002747EF"/>
    <w:rsid w:val="002749BB"/>
    <w:rsid w:val="00274B06"/>
    <w:rsid w:val="002751D6"/>
    <w:rsid w:val="002754D3"/>
    <w:rsid w:val="00275B97"/>
    <w:rsid w:val="00276261"/>
    <w:rsid w:val="00276944"/>
    <w:rsid w:val="00276964"/>
    <w:rsid w:val="002769AE"/>
    <w:rsid w:val="00276CA7"/>
    <w:rsid w:val="0027737B"/>
    <w:rsid w:val="00277D7C"/>
    <w:rsid w:val="002816DD"/>
    <w:rsid w:val="002817A6"/>
    <w:rsid w:val="002821E8"/>
    <w:rsid w:val="00282B86"/>
    <w:rsid w:val="00282F1D"/>
    <w:rsid w:val="0028307F"/>
    <w:rsid w:val="00283215"/>
    <w:rsid w:val="00283294"/>
    <w:rsid w:val="00283369"/>
    <w:rsid w:val="002833F3"/>
    <w:rsid w:val="00284203"/>
    <w:rsid w:val="0028512A"/>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BEB"/>
    <w:rsid w:val="002A0F8D"/>
    <w:rsid w:val="002A1311"/>
    <w:rsid w:val="002A1377"/>
    <w:rsid w:val="002A1F89"/>
    <w:rsid w:val="002A211A"/>
    <w:rsid w:val="002A264B"/>
    <w:rsid w:val="002A4A82"/>
    <w:rsid w:val="002A4B33"/>
    <w:rsid w:val="002A4C00"/>
    <w:rsid w:val="002A5311"/>
    <w:rsid w:val="002A5863"/>
    <w:rsid w:val="002A6516"/>
    <w:rsid w:val="002A6E9B"/>
    <w:rsid w:val="002A6FBB"/>
    <w:rsid w:val="002B05D1"/>
    <w:rsid w:val="002B09F5"/>
    <w:rsid w:val="002B0DE1"/>
    <w:rsid w:val="002B18C7"/>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4F53"/>
    <w:rsid w:val="002B5007"/>
    <w:rsid w:val="002B51BB"/>
    <w:rsid w:val="002B58C5"/>
    <w:rsid w:val="002B654E"/>
    <w:rsid w:val="002B6C1F"/>
    <w:rsid w:val="002B6CA2"/>
    <w:rsid w:val="002B6E44"/>
    <w:rsid w:val="002B6E8A"/>
    <w:rsid w:val="002B726F"/>
    <w:rsid w:val="002B744E"/>
    <w:rsid w:val="002B7909"/>
    <w:rsid w:val="002C000B"/>
    <w:rsid w:val="002C016F"/>
    <w:rsid w:val="002C09A8"/>
    <w:rsid w:val="002C103C"/>
    <w:rsid w:val="002C1109"/>
    <w:rsid w:val="002C12C7"/>
    <w:rsid w:val="002C19C6"/>
    <w:rsid w:val="002C1E93"/>
    <w:rsid w:val="002C29EB"/>
    <w:rsid w:val="002C30F0"/>
    <w:rsid w:val="002C3799"/>
    <w:rsid w:val="002C401A"/>
    <w:rsid w:val="002C479B"/>
    <w:rsid w:val="002C4EC8"/>
    <w:rsid w:val="002C532B"/>
    <w:rsid w:val="002C586F"/>
    <w:rsid w:val="002C6AF5"/>
    <w:rsid w:val="002C6D15"/>
    <w:rsid w:val="002C72F4"/>
    <w:rsid w:val="002C7E5B"/>
    <w:rsid w:val="002D0907"/>
    <w:rsid w:val="002D0E9E"/>
    <w:rsid w:val="002D1381"/>
    <w:rsid w:val="002D2D68"/>
    <w:rsid w:val="002D2F69"/>
    <w:rsid w:val="002D3016"/>
    <w:rsid w:val="002D3067"/>
    <w:rsid w:val="002D3630"/>
    <w:rsid w:val="002D38D9"/>
    <w:rsid w:val="002D3CE3"/>
    <w:rsid w:val="002D3DBE"/>
    <w:rsid w:val="002D4298"/>
    <w:rsid w:val="002D47E8"/>
    <w:rsid w:val="002D4FCC"/>
    <w:rsid w:val="002D5FC7"/>
    <w:rsid w:val="002D5FD5"/>
    <w:rsid w:val="002D68F4"/>
    <w:rsid w:val="002D7125"/>
    <w:rsid w:val="002D7395"/>
    <w:rsid w:val="002D7417"/>
    <w:rsid w:val="002D782B"/>
    <w:rsid w:val="002E0D9C"/>
    <w:rsid w:val="002E1247"/>
    <w:rsid w:val="002E26E8"/>
    <w:rsid w:val="002E3211"/>
    <w:rsid w:val="002E33A6"/>
    <w:rsid w:val="002E3DD8"/>
    <w:rsid w:val="002E3ED8"/>
    <w:rsid w:val="002E40CD"/>
    <w:rsid w:val="002E556D"/>
    <w:rsid w:val="002E5A01"/>
    <w:rsid w:val="002E5AF4"/>
    <w:rsid w:val="002E5EA3"/>
    <w:rsid w:val="002E682D"/>
    <w:rsid w:val="002E717C"/>
    <w:rsid w:val="002E7533"/>
    <w:rsid w:val="002E7A61"/>
    <w:rsid w:val="002F00B8"/>
    <w:rsid w:val="002F0106"/>
    <w:rsid w:val="002F02C2"/>
    <w:rsid w:val="002F03C8"/>
    <w:rsid w:val="002F188D"/>
    <w:rsid w:val="002F18A5"/>
    <w:rsid w:val="002F26F3"/>
    <w:rsid w:val="002F317F"/>
    <w:rsid w:val="002F3FE7"/>
    <w:rsid w:val="002F51A2"/>
    <w:rsid w:val="002F5BA8"/>
    <w:rsid w:val="002F5E95"/>
    <w:rsid w:val="002F5F68"/>
    <w:rsid w:val="002F6367"/>
    <w:rsid w:val="002F63CA"/>
    <w:rsid w:val="002F67B4"/>
    <w:rsid w:val="002F6F73"/>
    <w:rsid w:val="002F7AA9"/>
    <w:rsid w:val="002F7DE0"/>
    <w:rsid w:val="00300414"/>
    <w:rsid w:val="003004E3"/>
    <w:rsid w:val="00300FF1"/>
    <w:rsid w:val="003010FF"/>
    <w:rsid w:val="00301C0D"/>
    <w:rsid w:val="00301D7B"/>
    <w:rsid w:val="00301E19"/>
    <w:rsid w:val="003023DE"/>
    <w:rsid w:val="00302668"/>
    <w:rsid w:val="00302998"/>
    <w:rsid w:val="00303DC4"/>
    <w:rsid w:val="00304676"/>
    <w:rsid w:val="00306BE7"/>
    <w:rsid w:val="00306D4A"/>
    <w:rsid w:val="00307010"/>
    <w:rsid w:val="00307F1A"/>
    <w:rsid w:val="00307F40"/>
    <w:rsid w:val="003110A2"/>
    <w:rsid w:val="00311655"/>
    <w:rsid w:val="00311B66"/>
    <w:rsid w:val="00311F29"/>
    <w:rsid w:val="00312518"/>
    <w:rsid w:val="00313432"/>
    <w:rsid w:val="00314036"/>
    <w:rsid w:val="003142CC"/>
    <w:rsid w:val="00314347"/>
    <w:rsid w:val="00314C4F"/>
    <w:rsid w:val="00314FAF"/>
    <w:rsid w:val="003162A5"/>
    <w:rsid w:val="00316591"/>
    <w:rsid w:val="00317C91"/>
    <w:rsid w:val="00320553"/>
    <w:rsid w:val="00320C6D"/>
    <w:rsid w:val="003213A8"/>
    <w:rsid w:val="00321FA8"/>
    <w:rsid w:val="00321FE5"/>
    <w:rsid w:val="00321FFD"/>
    <w:rsid w:val="003225AD"/>
    <w:rsid w:val="00322E18"/>
    <w:rsid w:val="00323C3D"/>
    <w:rsid w:val="00323D1D"/>
    <w:rsid w:val="00323F8A"/>
    <w:rsid w:val="00324752"/>
    <w:rsid w:val="00324D73"/>
    <w:rsid w:val="00325D4F"/>
    <w:rsid w:val="00326011"/>
    <w:rsid w:val="0032643D"/>
    <w:rsid w:val="0032674C"/>
    <w:rsid w:val="00326D02"/>
    <w:rsid w:val="00327069"/>
    <w:rsid w:val="00327812"/>
    <w:rsid w:val="00327AFB"/>
    <w:rsid w:val="00327BAF"/>
    <w:rsid w:val="00327D10"/>
    <w:rsid w:val="00327D20"/>
    <w:rsid w:val="00327ED6"/>
    <w:rsid w:val="00331894"/>
    <w:rsid w:val="00331FA5"/>
    <w:rsid w:val="00332CB8"/>
    <w:rsid w:val="0033323C"/>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787"/>
    <w:rsid w:val="00341941"/>
    <w:rsid w:val="0034207A"/>
    <w:rsid w:val="0034278F"/>
    <w:rsid w:val="0034281F"/>
    <w:rsid w:val="00343B47"/>
    <w:rsid w:val="00343F24"/>
    <w:rsid w:val="0034404F"/>
    <w:rsid w:val="00344ACC"/>
    <w:rsid w:val="00345F01"/>
    <w:rsid w:val="0034654F"/>
    <w:rsid w:val="00346762"/>
    <w:rsid w:val="00346B28"/>
    <w:rsid w:val="003475E1"/>
    <w:rsid w:val="00347685"/>
    <w:rsid w:val="00350575"/>
    <w:rsid w:val="003509A5"/>
    <w:rsid w:val="00350CA2"/>
    <w:rsid w:val="003515FD"/>
    <w:rsid w:val="003518A4"/>
    <w:rsid w:val="00351E21"/>
    <w:rsid w:val="00352327"/>
    <w:rsid w:val="003526A9"/>
    <w:rsid w:val="00354062"/>
    <w:rsid w:val="00354405"/>
    <w:rsid w:val="00354752"/>
    <w:rsid w:val="0035505D"/>
    <w:rsid w:val="003553C3"/>
    <w:rsid w:val="00355779"/>
    <w:rsid w:val="00355A76"/>
    <w:rsid w:val="00355DEC"/>
    <w:rsid w:val="0035635F"/>
    <w:rsid w:val="003564B1"/>
    <w:rsid w:val="00356E0F"/>
    <w:rsid w:val="0035700C"/>
    <w:rsid w:val="003607C1"/>
    <w:rsid w:val="003607EE"/>
    <w:rsid w:val="00360BC8"/>
    <w:rsid w:val="00360E35"/>
    <w:rsid w:val="00361106"/>
    <w:rsid w:val="003617AE"/>
    <w:rsid w:val="00361F64"/>
    <w:rsid w:val="0036215C"/>
    <w:rsid w:val="003630F7"/>
    <w:rsid w:val="003631CF"/>
    <w:rsid w:val="0036332B"/>
    <w:rsid w:val="00363589"/>
    <w:rsid w:val="00363636"/>
    <w:rsid w:val="0036498F"/>
    <w:rsid w:val="003651AC"/>
    <w:rsid w:val="003653AA"/>
    <w:rsid w:val="00366120"/>
    <w:rsid w:val="003661FF"/>
    <w:rsid w:val="003665A5"/>
    <w:rsid w:val="00366900"/>
    <w:rsid w:val="00366A0C"/>
    <w:rsid w:val="00367238"/>
    <w:rsid w:val="00367462"/>
    <w:rsid w:val="003677D5"/>
    <w:rsid w:val="00367B6C"/>
    <w:rsid w:val="0037034B"/>
    <w:rsid w:val="00370507"/>
    <w:rsid w:val="00370682"/>
    <w:rsid w:val="00370F0B"/>
    <w:rsid w:val="003714BF"/>
    <w:rsid w:val="003718D8"/>
    <w:rsid w:val="00372A01"/>
    <w:rsid w:val="00372ADC"/>
    <w:rsid w:val="00372B87"/>
    <w:rsid w:val="00372C82"/>
    <w:rsid w:val="00372CFC"/>
    <w:rsid w:val="003733DF"/>
    <w:rsid w:val="00373865"/>
    <w:rsid w:val="003739DA"/>
    <w:rsid w:val="00373CE8"/>
    <w:rsid w:val="00374DB0"/>
    <w:rsid w:val="003751C7"/>
    <w:rsid w:val="00375C84"/>
    <w:rsid w:val="00376524"/>
    <w:rsid w:val="003769DE"/>
    <w:rsid w:val="00376E3B"/>
    <w:rsid w:val="003770C7"/>
    <w:rsid w:val="003776FE"/>
    <w:rsid w:val="00380424"/>
    <w:rsid w:val="00380868"/>
    <w:rsid w:val="00380B9B"/>
    <w:rsid w:val="003818B3"/>
    <w:rsid w:val="003819F5"/>
    <w:rsid w:val="00381A52"/>
    <w:rsid w:val="00381B57"/>
    <w:rsid w:val="00381D47"/>
    <w:rsid w:val="003821CC"/>
    <w:rsid w:val="003835F0"/>
    <w:rsid w:val="00384296"/>
    <w:rsid w:val="003853B1"/>
    <w:rsid w:val="003853ED"/>
    <w:rsid w:val="0038628F"/>
    <w:rsid w:val="00386421"/>
    <w:rsid w:val="0038704C"/>
    <w:rsid w:val="00387AA1"/>
    <w:rsid w:val="0039082A"/>
    <w:rsid w:val="0039101F"/>
    <w:rsid w:val="00392EDB"/>
    <w:rsid w:val="00392FAE"/>
    <w:rsid w:val="003931AA"/>
    <w:rsid w:val="00393943"/>
    <w:rsid w:val="00393EEE"/>
    <w:rsid w:val="003941C0"/>
    <w:rsid w:val="00394D45"/>
    <w:rsid w:val="00395132"/>
    <w:rsid w:val="00395402"/>
    <w:rsid w:val="00395D99"/>
    <w:rsid w:val="00396682"/>
    <w:rsid w:val="003968DF"/>
    <w:rsid w:val="003976C3"/>
    <w:rsid w:val="00397A03"/>
    <w:rsid w:val="00397A64"/>
    <w:rsid w:val="003A010B"/>
    <w:rsid w:val="003A0457"/>
    <w:rsid w:val="003A099A"/>
    <w:rsid w:val="003A1372"/>
    <w:rsid w:val="003A15DE"/>
    <w:rsid w:val="003A1D46"/>
    <w:rsid w:val="003A2447"/>
    <w:rsid w:val="003A2B82"/>
    <w:rsid w:val="003A36D3"/>
    <w:rsid w:val="003A3927"/>
    <w:rsid w:val="003A3D2E"/>
    <w:rsid w:val="003A3F75"/>
    <w:rsid w:val="003A3FF7"/>
    <w:rsid w:val="003A43D1"/>
    <w:rsid w:val="003A6A2B"/>
    <w:rsid w:val="003A6A51"/>
    <w:rsid w:val="003A6E29"/>
    <w:rsid w:val="003A7FEA"/>
    <w:rsid w:val="003B0464"/>
    <w:rsid w:val="003B0BDB"/>
    <w:rsid w:val="003B0E88"/>
    <w:rsid w:val="003B106E"/>
    <w:rsid w:val="003B153F"/>
    <w:rsid w:val="003B17B0"/>
    <w:rsid w:val="003B1844"/>
    <w:rsid w:val="003B1A5C"/>
    <w:rsid w:val="003B211E"/>
    <w:rsid w:val="003B24EA"/>
    <w:rsid w:val="003B2DA7"/>
    <w:rsid w:val="003B348A"/>
    <w:rsid w:val="003B3993"/>
    <w:rsid w:val="003B3AB7"/>
    <w:rsid w:val="003B3ABC"/>
    <w:rsid w:val="003B3CDD"/>
    <w:rsid w:val="003B3D8E"/>
    <w:rsid w:val="003B3FED"/>
    <w:rsid w:val="003B3FF1"/>
    <w:rsid w:val="003B4217"/>
    <w:rsid w:val="003B59A1"/>
    <w:rsid w:val="003B6D11"/>
    <w:rsid w:val="003B74F1"/>
    <w:rsid w:val="003B7541"/>
    <w:rsid w:val="003B783F"/>
    <w:rsid w:val="003B7966"/>
    <w:rsid w:val="003B7F07"/>
    <w:rsid w:val="003B7FCE"/>
    <w:rsid w:val="003C067C"/>
    <w:rsid w:val="003C0F87"/>
    <w:rsid w:val="003C1113"/>
    <w:rsid w:val="003C141E"/>
    <w:rsid w:val="003C1B83"/>
    <w:rsid w:val="003C210E"/>
    <w:rsid w:val="003C2186"/>
    <w:rsid w:val="003C21B3"/>
    <w:rsid w:val="003C30AD"/>
    <w:rsid w:val="003C3503"/>
    <w:rsid w:val="003C3A13"/>
    <w:rsid w:val="003C40DE"/>
    <w:rsid w:val="003C4851"/>
    <w:rsid w:val="003C4C96"/>
    <w:rsid w:val="003C55E0"/>
    <w:rsid w:val="003C5E39"/>
    <w:rsid w:val="003C683A"/>
    <w:rsid w:val="003D0079"/>
    <w:rsid w:val="003D017D"/>
    <w:rsid w:val="003D04D6"/>
    <w:rsid w:val="003D10EC"/>
    <w:rsid w:val="003D1901"/>
    <w:rsid w:val="003D28DE"/>
    <w:rsid w:val="003D29B9"/>
    <w:rsid w:val="003D3500"/>
    <w:rsid w:val="003D37B6"/>
    <w:rsid w:val="003D3C68"/>
    <w:rsid w:val="003D450D"/>
    <w:rsid w:val="003D4BA9"/>
    <w:rsid w:val="003D4D49"/>
    <w:rsid w:val="003D4F8F"/>
    <w:rsid w:val="003D503A"/>
    <w:rsid w:val="003D5175"/>
    <w:rsid w:val="003D6505"/>
    <w:rsid w:val="003D71A6"/>
    <w:rsid w:val="003D7709"/>
    <w:rsid w:val="003E004C"/>
    <w:rsid w:val="003E0BAF"/>
    <w:rsid w:val="003E0E25"/>
    <w:rsid w:val="003E1409"/>
    <w:rsid w:val="003E14AC"/>
    <w:rsid w:val="003E16F2"/>
    <w:rsid w:val="003E2195"/>
    <w:rsid w:val="003E241A"/>
    <w:rsid w:val="003E27B2"/>
    <w:rsid w:val="003E36A5"/>
    <w:rsid w:val="003E42BC"/>
    <w:rsid w:val="003E4A52"/>
    <w:rsid w:val="003E5CBA"/>
    <w:rsid w:val="003E782F"/>
    <w:rsid w:val="003E78A9"/>
    <w:rsid w:val="003E7912"/>
    <w:rsid w:val="003E7DB5"/>
    <w:rsid w:val="003F04A3"/>
    <w:rsid w:val="003F04E6"/>
    <w:rsid w:val="003F097C"/>
    <w:rsid w:val="003F163F"/>
    <w:rsid w:val="003F2164"/>
    <w:rsid w:val="003F229A"/>
    <w:rsid w:val="003F2CDD"/>
    <w:rsid w:val="003F3FB3"/>
    <w:rsid w:val="003F45D7"/>
    <w:rsid w:val="003F4C1B"/>
    <w:rsid w:val="003F5660"/>
    <w:rsid w:val="003F5717"/>
    <w:rsid w:val="003F5A39"/>
    <w:rsid w:val="003F5B56"/>
    <w:rsid w:val="003F5B9F"/>
    <w:rsid w:val="003F5C1A"/>
    <w:rsid w:val="003F6A6A"/>
    <w:rsid w:val="003F738D"/>
    <w:rsid w:val="003F7554"/>
    <w:rsid w:val="003F773C"/>
    <w:rsid w:val="003F7845"/>
    <w:rsid w:val="003F7FA1"/>
    <w:rsid w:val="003F7FA4"/>
    <w:rsid w:val="004006EA"/>
    <w:rsid w:val="004008DE"/>
    <w:rsid w:val="00400B4E"/>
    <w:rsid w:val="0040130D"/>
    <w:rsid w:val="00402E56"/>
    <w:rsid w:val="00403634"/>
    <w:rsid w:val="00403A99"/>
    <w:rsid w:val="00403F02"/>
    <w:rsid w:val="004041BA"/>
    <w:rsid w:val="00404592"/>
    <w:rsid w:val="0040496E"/>
    <w:rsid w:val="00404B58"/>
    <w:rsid w:val="00404BD2"/>
    <w:rsid w:val="0040544F"/>
    <w:rsid w:val="00405537"/>
    <w:rsid w:val="0040591F"/>
    <w:rsid w:val="0040597C"/>
    <w:rsid w:val="0040625C"/>
    <w:rsid w:val="004069D2"/>
    <w:rsid w:val="004076FF"/>
    <w:rsid w:val="00410AD2"/>
    <w:rsid w:val="00411B17"/>
    <w:rsid w:val="00411B3A"/>
    <w:rsid w:val="00411FFF"/>
    <w:rsid w:val="0041222D"/>
    <w:rsid w:val="004124F2"/>
    <w:rsid w:val="00412C2A"/>
    <w:rsid w:val="00412E6F"/>
    <w:rsid w:val="00413C5C"/>
    <w:rsid w:val="00413DB2"/>
    <w:rsid w:val="0041413F"/>
    <w:rsid w:val="0041567A"/>
    <w:rsid w:val="00415BAB"/>
    <w:rsid w:val="00415BCF"/>
    <w:rsid w:val="00416297"/>
    <w:rsid w:val="00417083"/>
    <w:rsid w:val="0041736F"/>
    <w:rsid w:val="00417E36"/>
    <w:rsid w:val="0042016C"/>
    <w:rsid w:val="0042057C"/>
    <w:rsid w:val="00420BDF"/>
    <w:rsid w:val="00421608"/>
    <w:rsid w:val="00421849"/>
    <w:rsid w:val="00421C23"/>
    <w:rsid w:val="00422593"/>
    <w:rsid w:val="0042261E"/>
    <w:rsid w:val="00422749"/>
    <w:rsid w:val="004228F2"/>
    <w:rsid w:val="004233DC"/>
    <w:rsid w:val="00423B4B"/>
    <w:rsid w:val="00424420"/>
    <w:rsid w:val="00424888"/>
    <w:rsid w:val="004255D9"/>
    <w:rsid w:val="00425763"/>
    <w:rsid w:val="00425C3C"/>
    <w:rsid w:val="00425F29"/>
    <w:rsid w:val="0042605B"/>
    <w:rsid w:val="004260B9"/>
    <w:rsid w:val="004261FD"/>
    <w:rsid w:val="00426B69"/>
    <w:rsid w:val="00426F8D"/>
    <w:rsid w:val="00427D1B"/>
    <w:rsid w:val="00427E40"/>
    <w:rsid w:val="004306AB"/>
    <w:rsid w:val="0043159D"/>
    <w:rsid w:val="0043171D"/>
    <w:rsid w:val="00431DF9"/>
    <w:rsid w:val="0043263C"/>
    <w:rsid w:val="00432AC3"/>
    <w:rsid w:val="00432F78"/>
    <w:rsid w:val="004331AE"/>
    <w:rsid w:val="004334A2"/>
    <w:rsid w:val="004335BC"/>
    <w:rsid w:val="00433972"/>
    <w:rsid w:val="004339E6"/>
    <w:rsid w:val="00433DA5"/>
    <w:rsid w:val="00434723"/>
    <w:rsid w:val="00434729"/>
    <w:rsid w:val="0043499E"/>
    <w:rsid w:val="00434FEA"/>
    <w:rsid w:val="0043617B"/>
    <w:rsid w:val="004362D9"/>
    <w:rsid w:val="00437D17"/>
    <w:rsid w:val="00437D2F"/>
    <w:rsid w:val="0044046D"/>
    <w:rsid w:val="00440DEC"/>
    <w:rsid w:val="004410D3"/>
    <w:rsid w:val="00441A5B"/>
    <w:rsid w:val="00441DAF"/>
    <w:rsid w:val="00442297"/>
    <w:rsid w:val="0044270D"/>
    <w:rsid w:val="00442E8C"/>
    <w:rsid w:val="0044312A"/>
    <w:rsid w:val="00443310"/>
    <w:rsid w:val="004435D5"/>
    <w:rsid w:val="00443A34"/>
    <w:rsid w:val="00443D38"/>
    <w:rsid w:val="00444140"/>
    <w:rsid w:val="00444BF5"/>
    <w:rsid w:val="00444F43"/>
    <w:rsid w:val="00447213"/>
    <w:rsid w:val="0044765A"/>
    <w:rsid w:val="00447C23"/>
    <w:rsid w:val="00450744"/>
    <w:rsid w:val="00450BE7"/>
    <w:rsid w:val="00450FE8"/>
    <w:rsid w:val="004518D0"/>
    <w:rsid w:val="00451DC1"/>
    <w:rsid w:val="0045213A"/>
    <w:rsid w:val="0045227C"/>
    <w:rsid w:val="0045230E"/>
    <w:rsid w:val="00452553"/>
    <w:rsid w:val="004528FA"/>
    <w:rsid w:val="00452D67"/>
    <w:rsid w:val="00452E53"/>
    <w:rsid w:val="0045418C"/>
    <w:rsid w:val="004542C6"/>
    <w:rsid w:val="0045435F"/>
    <w:rsid w:val="00454E09"/>
    <w:rsid w:val="00454EDC"/>
    <w:rsid w:val="00455B00"/>
    <w:rsid w:val="00455B97"/>
    <w:rsid w:val="00456635"/>
    <w:rsid w:val="00456BFD"/>
    <w:rsid w:val="004575D5"/>
    <w:rsid w:val="00457657"/>
    <w:rsid w:val="004600BF"/>
    <w:rsid w:val="00460346"/>
    <w:rsid w:val="004607D0"/>
    <w:rsid w:val="00460CE3"/>
    <w:rsid w:val="00460F25"/>
    <w:rsid w:val="0046116D"/>
    <w:rsid w:val="004612A4"/>
    <w:rsid w:val="0046153C"/>
    <w:rsid w:val="00461E88"/>
    <w:rsid w:val="004624D2"/>
    <w:rsid w:val="004625C8"/>
    <w:rsid w:val="00462DCE"/>
    <w:rsid w:val="00464194"/>
    <w:rsid w:val="0046442A"/>
    <w:rsid w:val="00464BF1"/>
    <w:rsid w:val="00464CAF"/>
    <w:rsid w:val="00465D73"/>
    <w:rsid w:val="00466078"/>
    <w:rsid w:val="0046626B"/>
    <w:rsid w:val="00466967"/>
    <w:rsid w:val="004676E4"/>
    <w:rsid w:val="00467AFF"/>
    <w:rsid w:val="00470183"/>
    <w:rsid w:val="004708C9"/>
    <w:rsid w:val="00470C48"/>
    <w:rsid w:val="0047139F"/>
    <w:rsid w:val="00471429"/>
    <w:rsid w:val="0047153B"/>
    <w:rsid w:val="004722B1"/>
    <w:rsid w:val="00472312"/>
    <w:rsid w:val="00472883"/>
    <w:rsid w:val="00473A2B"/>
    <w:rsid w:val="00473A47"/>
    <w:rsid w:val="00473A4F"/>
    <w:rsid w:val="00473C0A"/>
    <w:rsid w:val="00473EEF"/>
    <w:rsid w:val="00474415"/>
    <w:rsid w:val="00474BC1"/>
    <w:rsid w:val="00475A46"/>
    <w:rsid w:val="004763EC"/>
    <w:rsid w:val="0047679B"/>
    <w:rsid w:val="0047722F"/>
    <w:rsid w:val="00477459"/>
    <w:rsid w:val="00477CC9"/>
    <w:rsid w:val="0048026E"/>
    <w:rsid w:val="00480303"/>
    <w:rsid w:val="004804C3"/>
    <w:rsid w:val="004807A9"/>
    <w:rsid w:val="00480849"/>
    <w:rsid w:val="00480A8A"/>
    <w:rsid w:val="00480B4F"/>
    <w:rsid w:val="00480F76"/>
    <w:rsid w:val="004810A5"/>
    <w:rsid w:val="004810E0"/>
    <w:rsid w:val="00481318"/>
    <w:rsid w:val="00481363"/>
    <w:rsid w:val="004813EE"/>
    <w:rsid w:val="00481835"/>
    <w:rsid w:val="0048237F"/>
    <w:rsid w:val="00482CDC"/>
    <w:rsid w:val="00482FB0"/>
    <w:rsid w:val="00483B03"/>
    <w:rsid w:val="0048444C"/>
    <w:rsid w:val="00485058"/>
    <w:rsid w:val="00485702"/>
    <w:rsid w:val="00485C2D"/>
    <w:rsid w:val="004860F7"/>
    <w:rsid w:val="00486177"/>
    <w:rsid w:val="004862C2"/>
    <w:rsid w:val="004867EC"/>
    <w:rsid w:val="00486A37"/>
    <w:rsid w:val="00486DA6"/>
    <w:rsid w:val="00487662"/>
    <w:rsid w:val="004876C6"/>
    <w:rsid w:val="0048786F"/>
    <w:rsid w:val="00487D7B"/>
    <w:rsid w:val="0049044F"/>
    <w:rsid w:val="00490F7A"/>
    <w:rsid w:val="00490FD5"/>
    <w:rsid w:val="00491241"/>
    <w:rsid w:val="00491813"/>
    <w:rsid w:val="00492B82"/>
    <w:rsid w:val="00493278"/>
    <w:rsid w:val="00493855"/>
    <w:rsid w:val="004951D8"/>
    <w:rsid w:val="004952C1"/>
    <w:rsid w:val="00497575"/>
    <w:rsid w:val="004A078B"/>
    <w:rsid w:val="004A12C0"/>
    <w:rsid w:val="004A169A"/>
    <w:rsid w:val="004A18C9"/>
    <w:rsid w:val="004A191A"/>
    <w:rsid w:val="004A1A70"/>
    <w:rsid w:val="004A2D5A"/>
    <w:rsid w:val="004A2E84"/>
    <w:rsid w:val="004A3988"/>
    <w:rsid w:val="004A4027"/>
    <w:rsid w:val="004A419E"/>
    <w:rsid w:val="004A43F0"/>
    <w:rsid w:val="004A4688"/>
    <w:rsid w:val="004A4776"/>
    <w:rsid w:val="004A4B10"/>
    <w:rsid w:val="004A4F72"/>
    <w:rsid w:val="004A5741"/>
    <w:rsid w:val="004A6463"/>
    <w:rsid w:val="004A6B58"/>
    <w:rsid w:val="004A6BA2"/>
    <w:rsid w:val="004A7D74"/>
    <w:rsid w:val="004B0364"/>
    <w:rsid w:val="004B06C3"/>
    <w:rsid w:val="004B0917"/>
    <w:rsid w:val="004B0B09"/>
    <w:rsid w:val="004B140F"/>
    <w:rsid w:val="004B14EB"/>
    <w:rsid w:val="004B21CF"/>
    <w:rsid w:val="004B2DE3"/>
    <w:rsid w:val="004B34DF"/>
    <w:rsid w:val="004B3FEA"/>
    <w:rsid w:val="004B44A9"/>
    <w:rsid w:val="004B4E68"/>
    <w:rsid w:val="004B50AC"/>
    <w:rsid w:val="004B53F1"/>
    <w:rsid w:val="004B5D6E"/>
    <w:rsid w:val="004B60BA"/>
    <w:rsid w:val="004B61BA"/>
    <w:rsid w:val="004B6946"/>
    <w:rsid w:val="004B6D89"/>
    <w:rsid w:val="004B6E81"/>
    <w:rsid w:val="004B7DE4"/>
    <w:rsid w:val="004C0FFE"/>
    <w:rsid w:val="004C136D"/>
    <w:rsid w:val="004C1619"/>
    <w:rsid w:val="004C177F"/>
    <w:rsid w:val="004C19E4"/>
    <w:rsid w:val="004C1B59"/>
    <w:rsid w:val="004C3C25"/>
    <w:rsid w:val="004C3CFC"/>
    <w:rsid w:val="004C3EEA"/>
    <w:rsid w:val="004C4D02"/>
    <w:rsid w:val="004C4EA2"/>
    <w:rsid w:val="004C555C"/>
    <w:rsid w:val="004C596B"/>
    <w:rsid w:val="004C5E41"/>
    <w:rsid w:val="004C60E7"/>
    <w:rsid w:val="004C664D"/>
    <w:rsid w:val="004C7BDE"/>
    <w:rsid w:val="004D0090"/>
    <w:rsid w:val="004D020F"/>
    <w:rsid w:val="004D03D1"/>
    <w:rsid w:val="004D10B0"/>
    <w:rsid w:val="004D11AF"/>
    <w:rsid w:val="004D1BC4"/>
    <w:rsid w:val="004D2E58"/>
    <w:rsid w:val="004D37D9"/>
    <w:rsid w:val="004D41A2"/>
    <w:rsid w:val="004D47F2"/>
    <w:rsid w:val="004D502C"/>
    <w:rsid w:val="004D5CEE"/>
    <w:rsid w:val="004D5FB2"/>
    <w:rsid w:val="004D60A3"/>
    <w:rsid w:val="004D6DC3"/>
    <w:rsid w:val="004D71CA"/>
    <w:rsid w:val="004D78B9"/>
    <w:rsid w:val="004D7CF5"/>
    <w:rsid w:val="004E016A"/>
    <w:rsid w:val="004E0461"/>
    <w:rsid w:val="004E12E8"/>
    <w:rsid w:val="004E1CC8"/>
    <w:rsid w:val="004E2052"/>
    <w:rsid w:val="004E29B1"/>
    <w:rsid w:val="004E3F87"/>
    <w:rsid w:val="004E461B"/>
    <w:rsid w:val="004E477D"/>
    <w:rsid w:val="004E534B"/>
    <w:rsid w:val="004E5890"/>
    <w:rsid w:val="004E6708"/>
    <w:rsid w:val="004E79EF"/>
    <w:rsid w:val="004E7B33"/>
    <w:rsid w:val="004F0368"/>
    <w:rsid w:val="004F0D19"/>
    <w:rsid w:val="004F121B"/>
    <w:rsid w:val="004F140F"/>
    <w:rsid w:val="004F185F"/>
    <w:rsid w:val="004F2811"/>
    <w:rsid w:val="004F2F69"/>
    <w:rsid w:val="004F3326"/>
    <w:rsid w:val="004F4D22"/>
    <w:rsid w:val="004F590E"/>
    <w:rsid w:val="004F5966"/>
    <w:rsid w:val="004F6026"/>
    <w:rsid w:val="004F60AF"/>
    <w:rsid w:val="004F60F4"/>
    <w:rsid w:val="004F62E8"/>
    <w:rsid w:val="004F67C3"/>
    <w:rsid w:val="004F6C17"/>
    <w:rsid w:val="004F7390"/>
    <w:rsid w:val="004F78F8"/>
    <w:rsid w:val="005001A5"/>
    <w:rsid w:val="00500201"/>
    <w:rsid w:val="005006E8"/>
    <w:rsid w:val="00500CCD"/>
    <w:rsid w:val="005019AA"/>
    <w:rsid w:val="00502008"/>
    <w:rsid w:val="00502075"/>
    <w:rsid w:val="005026B8"/>
    <w:rsid w:val="005028AF"/>
    <w:rsid w:val="005032E9"/>
    <w:rsid w:val="00503BB1"/>
    <w:rsid w:val="00503C3B"/>
    <w:rsid w:val="00503CE7"/>
    <w:rsid w:val="005040C9"/>
    <w:rsid w:val="005042DB"/>
    <w:rsid w:val="0050458E"/>
    <w:rsid w:val="00505928"/>
    <w:rsid w:val="00505CD6"/>
    <w:rsid w:val="005069B2"/>
    <w:rsid w:val="0050741A"/>
    <w:rsid w:val="00510452"/>
    <w:rsid w:val="005104CD"/>
    <w:rsid w:val="005107BD"/>
    <w:rsid w:val="005108EC"/>
    <w:rsid w:val="00511F8F"/>
    <w:rsid w:val="00512A7E"/>
    <w:rsid w:val="00513291"/>
    <w:rsid w:val="00513EA4"/>
    <w:rsid w:val="005147DA"/>
    <w:rsid w:val="00514FBF"/>
    <w:rsid w:val="00514FCB"/>
    <w:rsid w:val="005153AC"/>
    <w:rsid w:val="005153C3"/>
    <w:rsid w:val="00515745"/>
    <w:rsid w:val="00515862"/>
    <w:rsid w:val="00515C5A"/>
    <w:rsid w:val="005165FE"/>
    <w:rsid w:val="0051690E"/>
    <w:rsid w:val="00516942"/>
    <w:rsid w:val="00516DC0"/>
    <w:rsid w:val="00516DC5"/>
    <w:rsid w:val="00517667"/>
    <w:rsid w:val="00520482"/>
    <w:rsid w:val="00520BBA"/>
    <w:rsid w:val="00522185"/>
    <w:rsid w:val="005225AC"/>
    <w:rsid w:val="005226FA"/>
    <w:rsid w:val="005233F3"/>
    <w:rsid w:val="0052365C"/>
    <w:rsid w:val="005245D2"/>
    <w:rsid w:val="00524806"/>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6735"/>
    <w:rsid w:val="005374FE"/>
    <w:rsid w:val="005375F7"/>
    <w:rsid w:val="0054053D"/>
    <w:rsid w:val="0054083A"/>
    <w:rsid w:val="0054126C"/>
    <w:rsid w:val="00541368"/>
    <w:rsid w:val="005415DD"/>
    <w:rsid w:val="00541D12"/>
    <w:rsid w:val="005423F3"/>
    <w:rsid w:val="005426DB"/>
    <w:rsid w:val="00542B9F"/>
    <w:rsid w:val="00543C9C"/>
    <w:rsid w:val="00543DBA"/>
    <w:rsid w:val="005442F1"/>
    <w:rsid w:val="00544A24"/>
    <w:rsid w:val="0054583C"/>
    <w:rsid w:val="00546227"/>
    <w:rsid w:val="005468E2"/>
    <w:rsid w:val="00546D83"/>
    <w:rsid w:val="00546FCC"/>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03F"/>
    <w:rsid w:val="005547B7"/>
    <w:rsid w:val="005548F7"/>
    <w:rsid w:val="00554D6D"/>
    <w:rsid w:val="005551E9"/>
    <w:rsid w:val="0055680D"/>
    <w:rsid w:val="00557670"/>
    <w:rsid w:val="00557A00"/>
    <w:rsid w:val="00557C2D"/>
    <w:rsid w:val="00560094"/>
    <w:rsid w:val="0056054A"/>
    <w:rsid w:val="00560C62"/>
    <w:rsid w:val="00562A61"/>
    <w:rsid w:val="00562E78"/>
    <w:rsid w:val="005638A2"/>
    <w:rsid w:val="00563D60"/>
    <w:rsid w:val="00564E45"/>
    <w:rsid w:val="005652D5"/>
    <w:rsid w:val="005652FA"/>
    <w:rsid w:val="00565E52"/>
    <w:rsid w:val="00567227"/>
    <w:rsid w:val="00567B5D"/>
    <w:rsid w:val="00567CD0"/>
    <w:rsid w:val="00570C7B"/>
    <w:rsid w:val="00571C77"/>
    <w:rsid w:val="00572BCD"/>
    <w:rsid w:val="00572D5B"/>
    <w:rsid w:val="00574614"/>
    <w:rsid w:val="00574A70"/>
    <w:rsid w:val="00574D35"/>
    <w:rsid w:val="00574EFB"/>
    <w:rsid w:val="00575449"/>
    <w:rsid w:val="00575C75"/>
    <w:rsid w:val="00575CEA"/>
    <w:rsid w:val="005762CA"/>
    <w:rsid w:val="00576D5B"/>
    <w:rsid w:val="005770CF"/>
    <w:rsid w:val="00577904"/>
    <w:rsid w:val="00577922"/>
    <w:rsid w:val="00577AC3"/>
    <w:rsid w:val="00580577"/>
    <w:rsid w:val="00580E97"/>
    <w:rsid w:val="005815A8"/>
    <w:rsid w:val="00581915"/>
    <w:rsid w:val="0058284A"/>
    <w:rsid w:val="00583431"/>
    <w:rsid w:val="005835B0"/>
    <w:rsid w:val="005846C0"/>
    <w:rsid w:val="00584972"/>
    <w:rsid w:val="00584D04"/>
    <w:rsid w:val="005850F8"/>
    <w:rsid w:val="005853F5"/>
    <w:rsid w:val="0058567E"/>
    <w:rsid w:val="00585DE1"/>
    <w:rsid w:val="0058659E"/>
    <w:rsid w:val="005869EE"/>
    <w:rsid w:val="005872DD"/>
    <w:rsid w:val="00587CF2"/>
    <w:rsid w:val="00587D3A"/>
    <w:rsid w:val="00590197"/>
    <w:rsid w:val="00590346"/>
    <w:rsid w:val="00590353"/>
    <w:rsid w:val="0059093F"/>
    <w:rsid w:val="00590BA2"/>
    <w:rsid w:val="00590CA7"/>
    <w:rsid w:val="00590E93"/>
    <w:rsid w:val="005915E1"/>
    <w:rsid w:val="0059177A"/>
    <w:rsid w:val="00591C75"/>
    <w:rsid w:val="00592858"/>
    <w:rsid w:val="00592D10"/>
    <w:rsid w:val="0059388B"/>
    <w:rsid w:val="00593A5F"/>
    <w:rsid w:val="0059404E"/>
    <w:rsid w:val="00594269"/>
    <w:rsid w:val="005950C2"/>
    <w:rsid w:val="00595539"/>
    <w:rsid w:val="00597108"/>
    <w:rsid w:val="005976DB"/>
    <w:rsid w:val="005A06DA"/>
    <w:rsid w:val="005A1A84"/>
    <w:rsid w:val="005A21AC"/>
    <w:rsid w:val="005A3242"/>
    <w:rsid w:val="005A3282"/>
    <w:rsid w:val="005A3E82"/>
    <w:rsid w:val="005A4287"/>
    <w:rsid w:val="005A482E"/>
    <w:rsid w:val="005A4DB0"/>
    <w:rsid w:val="005A5095"/>
    <w:rsid w:val="005A5597"/>
    <w:rsid w:val="005A57BF"/>
    <w:rsid w:val="005A6375"/>
    <w:rsid w:val="005A6AC2"/>
    <w:rsid w:val="005A7A65"/>
    <w:rsid w:val="005A7B26"/>
    <w:rsid w:val="005A7B80"/>
    <w:rsid w:val="005A7B8E"/>
    <w:rsid w:val="005A7C10"/>
    <w:rsid w:val="005B012B"/>
    <w:rsid w:val="005B03E2"/>
    <w:rsid w:val="005B0C87"/>
    <w:rsid w:val="005B0FE9"/>
    <w:rsid w:val="005B2195"/>
    <w:rsid w:val="005B26C7"/>
    <w:rsid w:val="005B27AA"/>
    <w:rsid w:val="005B2D1F"/>
    <w:rsid w:val="005B2D65"/>
    <w:rsid w:val="005B3877"/>
    <w:rsid w:val="005B3AC8"/>
    <w:rsid w:val="005B3CC1"/>
    <w:rsid w:val="005B4002"/>
    <w:rsid w:val="005B45AB"/>
    <w:rsid w:val="005B46DF"/>
    <w:rsid w:val="005B4D8F"/>
    <w:rsid w:val="005B526C"/>
    <w:rsid w:val="005B541E"/>
    <w:rsid w:val="005B6551"/>
    <w:rsid w:val="005B6930"/>
    <w:rsid w:val="005B6B1C"/>
    <w:rsid w:val="005B71A8"/>
    <w:rsid w:val="005B744B"/>
    <w:rsid w:val="005C0A6F"/>
    <w:rsid w:val="005C0FA7"/>
    <w:rsid w:val="005C155F"/>
    <w:rsid w:val="005C1C0E"/>
    <w:rsid w:val="005C1C42"/>
    <w:rsid w:val="005C1FF5"/>
    <w:rsid w:val="005C259E"/>
    <w:rsid w:val="005C36E2"/>
    <w:rsid w:val="005C3E9E"/>
    <w:rsid w:val="005C400C"/>
    <w:rsid w:val="005C410C"/>
    <w:rsid w:val="005C4BF1"/>
    <w:rsid w:val="005C4BF2"/>
    <w:rsid w:val="005C52D4"/>
    <w:rsid w:val="005C5624"/>
    <w:rsid w:val="005C5967"/>
    <w:rsid w:val="005C5BED"/>
    <w:rsid w:val="005C5D86"/>
    <w:rsid w:val="005C6167"/>
    <w:rsid w:val="005C6ADB"/>
    <w:rsid w:val="005C6EE2"/>
    <w:rsid w:val="005C74DC"/>
    <w:rsid w:val="005C7A07"/>
    <w:rsid w:val="005C7DDC"/>
    <w:rsid w:val="005C7E9D"/>
    <w:rsid w:val="005C7F7C"/>
    <w:rsid w:val="005D0BAD"/>
    <w:rsid w:val="005D0C0A"/>
    <w:rsid w:val="005D107D"/>
    <w:rsid w:val="005D123A"/>
    <w:rsid w:val="005D2506"/>
    <w:rsid w:val="005D2BB5"/>
    <w:rsid w:val="005D3600"/>
    <w:rsid w:val="005D3677"/>
    <w:rsid w:val="005D3A10"/>
    <w:rsid w:val="005D42B7"/>
    <w:rsid w:val="005D4CFB"/>
    <w:rsid w:val="005D4E4C"/>
    <w:rsid w:val="005D57A3"/>
    <w:rsid w:val="005D5B5E"/>
    <w:rsid w:val="005D5C85"/>
    <w:rsid w:val="005D5CA0"/>
    <w:rsid w:val="005D5F27"/>
    <w:rsid w:val="005D69AB"/>
    <w:rsid w:val="005D72FC"/>
    <w:rsid w:val="005D7DFC"/>
    <w:rsid w:val="005E035A"/>
    <w:rsid w:val="005E0464"/>
    <w:rsid w:val="005E0681"/>
    <w:rsid w:val="005E1143"/>
    <w:rsid w:val="005E1218"/>
    <w:rsid w:val="005E18EC"/>
    <w:rsid w:val="005E1A55"/>
    <w:rsid w:val="005E1B6B"/>
    <w:rsid w:val="005E1F61"/>
    <w:rsid w:val="005E2127"/>
    <w:rsid w:val="005E2281"/>
    <w:rsid w:val="005E236C"/>
    <w:rsid w:val="005E2FAE"/>
    <w:rsid w:val="005E32C9"/>
    <w:rsid w:val="005E351B"/>
    <w:rsid w:val="005E38A8"/>
    <w:rsid w:val="005E39F9"/>
    <w:rsid w:val="005E3D9B"/>
    <w:rsid w:val="005E44B6"/>
    <w:rsid w:val="005E4828"/>
    <w:rsid w:val="005E4887"/>
    <w:rsid w:val="005E5016"/>
    <w:rsid w:val="005E5231"/>
    <w:rsid w:val="005E55BB"/>
    <w:rsid w:val="005E5D11"/>
    <w:rsid w:val="005E667C"/>
    <w:rsid w:val="005E68BC"/>
    <w:rsid w:val="005E692A"/>
    <w:rsid w:val="005E6A1D"/>
    <w:rsid w:val="005E6F12"/>
    <w:rsid w:val="005E733E"/>
    <w:rsid w:val="005E7428"/>
    <w:rsid w:val="005F0694"/>
    <w:rsid w:val="005F06E1"/>
    <w:rsid w:val="005F077C"/>
    <w:rsid w:val="005F0B88"/>
    <w:rsid w:val="005F1735"/>
    <w:rsid w:val="005F187E"/>
    <w:rsid w:val="005F252A"/>
    <w:rsid w:val="005F367B"/>
    <w:rsid w:val="005F3CC3"/>
    <w:rsid w:val="005F3CE8"/>
    <w:rsid w:val="005F4CE3"/>
    <w:rsid w:val="005F4F41"/>
    <w:rsid w:val="005F4F70"/>
    <w:rsid w:val="005F566D"/>
    <w:rsid w:val="005F648F"/>
    <w:rsid w:val="005F68C3"/>
    <w:rsid w:val="005F7D83"/>
    <w:rsid w:val="005F7D87"/>
    <w:rsid w:val="00601794"/>
    <w:rsid w:val="00601E94"/>
    <w:rsid w:val="006021B1"/>
    <w:rsid w:val="00602412"/>
    <w:rsid w:val="006029A7"/>
    <w:rsid w:val="00602F40"/>
    <w:rsid w:val="006037C5"/>
    <w:rsid w:val="00603CC8"/>
    <w:rsid w:val="006040CE"/>
    <w:rsid w:val="0060467D"/>
    <w:rsid w:val="00604DF3"/>
    <w:rsid w:val="0060585E"/>
    <w:rsid w:val="00605B4D"/>
    <w:rsid w:val="00605B9D"/>
    <w:rsid w:val="00606213"/>
    <w:rsid w:val="00606830"/>
    <w:rsid w:val="00606B57"/>
    <w:rsid w:val="00606B85"/>
    <w:rsid w:val="00607390"/>
    <w:rsid w:val="006076D8"/>
    <w:rsid w:val="00607C43"/>
    <w:rsid w:val="00607E6D"/>
    <w:rsid w:val="00610490"/>
    <w:rsid w:val="0061061D"/>
    <w:rsid w:val="00610B97"/>
    <w:rsid w:val="00611708"/>
    <w:rsid w:val="00611816"/>
    <w:rsid w:val="00611A3B"/>
    <w:rsid w:val="006120CA"/>
    <w:rsid w:val="00612389"/>
    <w:rsid w:val="00612570"/>
    <w:rsid w:val="006127BD"/>
    <w:rsid w:val="00612871"/>
    <w:rsid w:val="00612929"/>
    <w:rsid w:val="006129DD"/>
    <w:rsid w:val="00612A44"/>
    <w:rsid w:val="00612A8E"/>
    <w:rsid w:val="00612CA8"/>
    <w:rsid w:val="00613098"/>
    <w:rsid w:val="0061348F"/>
    <w:rsid w:val="006134D9"/>
    <w:rsid w:val="006135DA"/>
    <w:rsid w:val="00613BDC"/>
    <w:rsid w:val="00613F64"/>
    <w:rsid w:val="00614921"/>
    <w:rsid w:val="00615564"/>
    <w:rsid w:val="006155E2"/>
    <w:rsid w:val="00615CD9"/>
    <w:rsid w:val="00615ECA"/>
    <w:rsid w:val="00615F26"/>
    <w:rsid w:val="00616974"/>
    <w:rsid w:val="00616CCC"/>
    <w:rsid w:val="00617A81"/>
    <w:rsid w:val="00617C11"/>
    <w:rsid w:val="00617DEC"/>
    <w:rsid w:val="00617EEC"/>
    <w:rsid w:val="00620542"/>
    <w:rsid w:val="00620573"/>
    <w:rsid w:val="00620579"/>
    <w:rsid w:val="006208AA"/>
    <w:rsid w:val="0062128D"/>
    <w:rsid w:val="00621C96"/>
    <w:rsid w:val="00622161"/>
    <w:rsid w:val="0062228D"/>
    <w:rsid w:val="006224D1"/>
    <w:rsid w:val="0062258F"/>
    <w:rsid w:val="00622732"/>
    <w:rsid w:val="00622E6D"/>
    <w:rsid w:val="00623BC7"/>
    <w:rsid w:val="00623E70"/>
    <w:rsid w:val="006241D0"/>
    <w:rsid w:val="00624425"/>
    <w:rsid w:val="00624665"/>
    <w:rsid w:val="00624B06"/>
    <w:rsid w:val="00625316"/>
    <w:rsid w:val="00625434"/>
    <w:rsid w:val="0062576B"/>
    <w:rsid w:val="00625C5F"/>
    <w:rsid w:val="00625FF2"/>
    <w:rsid w:val="00626032"/>
    <w:rsid w:val="0062719D"/>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1A"/>
    <w:rsid w:val="006357E2"/>
    <w:rsid w:val="00635923"/>
    <w:rsid w:val="00635FD8"/>
    <w:rsid w:val="00636651"/>
    <w:rsid w:val="006368E4"/>
    <w:rsid w:val="006369C3"/>
    <w:rsid w:val="00636A1C"/>
    <w:rsid w:val="00636F7B"/>
    <w:rsid w:val="00637784"/>
    <w:rsid w:val="00640140"/>
    <w:rsid w:val="0064019C"/>
    <w:rsid w:val="00640288"/>
    <w:rsid w:val="006405AC"/>
    <w:rsid w:val="0064099D"/>
    <w:rsid w:val="00640E9A"/>
    <w:rsid w:val="006412CD"/>
    <w:rsid w:val="006413D8"/>
    <w:rsid w:val="00641420"/>
    <w:rsid w:val="00641610"/>
    <w:rsid w:val="00641B7B"/>
    <w:rsid w:val="00641C55"/>
    <w:rsid w:val="00642405"/>
    <w:rsid w:val="00642645"/>
    <w:rsid w:val="006437E8"/>
    <w:rsid w:val="006438E0"/>
    <w:rsid w:val="006443D6"/>
    <w:rsid w:val="00644BED"/>
    <w:rsid w:val="00644F27"/>
    <w:rsid w:val="006453C4"/>
    <w:rsid w:val="006455CB"/>
    <w:rsid w:val="00645D0D"/>
    <w:rsid w:val="00646FD5"/>
    <w:rsid w:val="006472F8"/>
    <w:rsid w:val="00647680"/>
    <w:rsid w:val="00647743"/>
    <w:rsid w:val="00647CE0"/>
    <w:rsid w:val="0065069B"/>
    <w:rsid w:val="006510C0"/>
    <w:rsid w:val="00651DC7"/>
    <w:rsid w:val="00652092"/>
    <w:rsid w:val="00652472"/>
    <w:rsid w:val="00652A5F"/>
    <w:rsid w:val="00652F31"/>
    <w:rsid w:val="006535E5"/>
    <w:rsid w:val="0065394E"/>
    <w:rsid w:val="00653B2B"/>
    <w:rsid w:val="00653B38"/>
    <w:rsid w:val="0065419F"/>
    <w:rsid w:val="006544CD"/>
    <w:rsid w:val="006549B4"/>
    <w:rsid w:val="00654D37"/>
    <w:rsid w:val="00654F06"/>
    <w:rsid w:val="00656385"/>
    <w:rsid w:val="00656F19"/>
    <w:rsid w:val="00657274"/>
    <w:rsid w:val="00657BB7"/>
    <w:rsid w:val="00660299"/>
    <w:rsid w:val="00660552"/>
    <w:rsid w:val="00660DBE"/>
    <w:rsid w:val="00661113"/>
    <w:rsid w:val="0066127D"/>
    <w:rsid w:val="00661AB0"/>
    <w:rsid w:val="006623A4"/>
    <w:rsid w:val="006627B5"/>
    <w:rsid w:val="0066351C"/>
    <w:rsid w:val="006635BF"/>
    <w:rsid w:val="00663CBA"/>
    <w:rsid w:val="00663DBD"/>
    <w:rsid w:val="00664498"/>
    <w:rsid w:val="00664693"/>
    <w:rsid w:val="00664C4B"/>
    <w:rsid w:val="00664DC0"/>
    <w:rsid w:val="00664F24"/>
    <w:rsid w:val="006651CC"/>
    <w:rsid w:val="0066582B"/>
    <w:rsid w:val="006658DA"/>
    <w:rsid w:val="00665B9B"/>
    <w:rsid w:val="00665CA1"/>
    <w:rsid w:val="00666438"/>
    <w:rsid w:val="00666676"/>
    <w:rsid w:val="00666F2F"/>
    <w:rsid w:val="00667421"/>
    <w:rsid w:val="0066780E"/>
    <w:rsid w:val="00667A31"/>
    <w:rsid w:val="00667E6C"/>
    <w:rsid w:val="006705AE"/>
    <w:rsid w:val="00670702"/>
    <w:rsid w:val="006708EB"/>
    <w:rsid w:val="006712D2"/>
    <w:rsid w:val="006713B7"/>
    <w:rsid w:val="0067147C"/>
    <w:rsid w:val="0067225F"/>
    <w:rsid w:val="00672895"/>
    <w:rsid w:val="00672A8A"/>
    <w:rsid w:val="006733B7"/>
    <w:rsid w:val="00673524"/>
    <w:rsid w:val="00673F50"/>
    <w:rsid w:val="00674EEA"/>
    <w:rsid w:val="0067549D"/>
    <w:rsid w:val="006759B0"/>
    <w:rsid w:val="0067636E"/>
    <w:rsid w:val="00677012"/>
    <w:rsid w:val="0067705C"/>
    <w:rsid w:val="006771EA"/>
    <w:rsid w:val="006772F9"/>
    <w:rsid w:val="00677C53"/>
    <w:rsid w:val="00680D0E"/>
    <w:rsid w:val="00680F00"/>
    <w:rsid w:val="006825A6"/>
    <w:rsid w:val="006825B4"/>
    <w:rsid w:val="006829BA"/>
    <w:rsid w:val="00682AF2"/>
    <w:rsid w:val="00682C1D"/>
    <w:rsid w:val="00682E8A"/>
    <w:rsid w:val="00682FB7"/>
    <w:rsid w:val="006837DE"/>
    <w:rsid w:val="00683CE0"/>
    <w:rsid w:val="00684FA5"/>
    <w:rsid w:val="00685026"/>
    <w:rsid w:val="0068537F"/>
    <w:rsid w:val="00685E0D"/>
    <w:rsid w:val="00686104"/>
    <w:rsid w:val="00686334"/>
    <w:rsid w:val="00686C3A"/>
    <w:rsid w:val="00686EEB"/>
    <w:rsid w:val="00687628"/>
    <w:rsid w:val="00687CFE"/>
    <w:rsid w:val="0069035A"/>
    <w:rsid w:val="006906FD"/>
    <w:rsid w:val="00690EB8"/>
    <w:rsid w:val="0069109D"/>
    <w:rsid w:val="006915E5"/>
    <w:rsid w:val="0069180F"/>
    <w:rsid w:val="00692401"/>
    <w:rsid w:val="00692AD4"/>
    <w:rsid w:val="00693B7A"/>
    <w:rsid w:val="006940BE"/>
    <w:rsid w:val="006941CC"/>
    <w:rsid w:val="006942BA"/>
    <w:rsid w:val="006945D4"/>
    <w:rsid w:val="00694EC0"/>
    <w:rsid w:val="00695852"/>
    <w:rsid w:val="00695F56"/>
    <w:rsid w:val="0069690E"/>
    <w:rsid w:val="00696E17"/>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AF3"/>
    <w:rsid w:val="006B1E08"/>
    <w:rsid w:val="006B2099"/>
    <w:rsid w:val="006B26B1"/>
    <w:rsid w:val="006B2741"/>
    <w:rsid w:val="006B275D"/>
    <w:rsid w:val="006B2E45"/>
    <w:rsid w:val="006B341B"/>
    <w:rsid w:val="006B3875"/>
    <w:rsid w:val="006B3937"/>
    <w:rsid w:val="006B425B"/>
    <w:rsid w:val="006B4986"/>
    <w:rsid w:val="006B4A56"/>
    <w:rsid w:val="006B545C"/>
    <w:rsid w:val="006B5AC8"/>
    <w:rsid w:val="006B5D32"/>
    <w:rsid w:val="006B6AC1"/>
    <w:rsid w:val="006B6EDF"/>
    <w:rsid w:val="006B758B"/>
    <w:rsid w:val="006B78A5"/>
    <w:rsid w:val="006B7BF8"/>
    <w:rsid w:val="006C00A0"/>
    <w:rsid w:val="006C0A9F"/>
    <w:rsid w:val="006C0E54"/>
    <w:rsid w:val="006C0F11"/>
    <w:rsid w:val="006C23E1"/>
    <w:rsid w:val="006C25D5"/>
    <w:rsid w:val="006C25F9"/>
    <w:rsid w:val="006C262B"/>
    <w:rsid w:val="006C27DC"/>
    <w:rsid w:val="006C2866"/>
    <w:rsid w:val="006C31C6"/>
    <w:rsid w:val="006C32BE"/>
    <w:rsid w:val="006C3A2D"/>
    <w:rsid w:val="006C4666"/>
    <w:rsid w:val="006C47FB"/>
    <w:rsid w:val="006C49BF"/>
    <w:rsid w:val="006C4BB3"/>
    <w:rsid w:val="006C63D7"/>
    <w:rsid w:val="006C6894"/>
    <w:rsid w:val="006C69D9"/>
    <w:rsid w:val="006C6C2D"/>
    <w:rsid w:val="006C6DE2"/>
    <w:rsid w:val="006C7535"/>
    <w:rsid w:val="006C76A6"/>
    <w:rsid w:val="006C796D"/>
    <w:rsid w:val="006D0525"/>
    <w:rsid w:val="006D08DC"/>
    <w:rsid w:val="006D09D1"/>
    <w:rsid w:val="006D10C4"/>
    <w:rsid w:val="006D23FF"/>
    <w:rsid w:val="006D2F09"/>
    <w:rsid w:val="006D2FD2"/>
    <w:rsid w:val="006D33E6"/>
    <w:rsid w:val="006D3783"/>
    <w:rsid w:val="006D3793"/>
    <w:rsid w:val="006D3DC0"/>
    <w:rsid w:val="006D40C4"/>
    <w:rsid w:val="006D4162"/>
    <w:rsid w:val="006D447A"/>
    <w:rsid w:val="006D44D2"/>
    <w:rsid w:val="006D453E"/>
    <w:rsid w:val="006D4F80"/>
    <w:rsid w:val="006D5303"/>
    <w:rsid w:val="006D5E84"/>
    <w:rsid w:val="006D7A4C"/>
    <w:rsid w:val="006D7C99"/>
    <w:rsid w:val="006E0369"/>
    <w:rsid w:val="006E0443"/>
    <w:rsid w:val="006E0C50"/>
    <w:rsid w:val="006E0DCF"/>
    <w:rsid w:val="006E0FFF"/>
    <w:rsid w:val="006E1006"/>
    <w:rsid w:val="006E14D6"/>
    <w:rsid w:val="006E1647"/>
    <w:rsid w:val="006E1BA2"/>
    <w:rsid w:val="006E2298"/>
    <w:rsid w:val="006E2C5A"/>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03AF"/>
    <w:rsid w:val="006F193C"/>
    <w:rsid w:val="006F1B58"/>
    <w:rsid w:val="006F27DC"/>
    <w:rsid w:val="006F2B89"/>
    <w:rsid w:val="006F36F1"/>
    <w:rsid w:val="006F379D"/>
    <w:rsid w:val="006F3B81"/>
    <w:rsid w:val="006F4163"/>
    <w:rsid w:val="006F4860"/>
    <w:rsid w:val="006F4D59"/>
    <w:rsid w:val="006F4F79"/>
    <w:rsid w:val="006F4F80"/>
    <w:rsid w:val="006F5532"/>
    <w:rsid w:val="006F5ADA"/>
    <w:rsid w:val="006F62CC"/>
    <w:rsid w:val="006F644B"/>
    <w:rsid w:val="006F66C1"/>
    <w:rsid w:val="006F681D"/>
    <w:rsid w:val="006F6FA1"/>
    <w:rsid w:val="006F731E"/>
    <w:rsid w:val="006F78E9"/>
    <w:rsid w:val="00700251"/>
    <w:rsid w:val="00700C66"/>
    <w:rsid w:val="0070235F"/>
    <w:rsid w:val="00702BC3"/>
    <w:rsid w:val="00702FF3"/>
    <w:rsid w:val="007032AC"/>
    <w:rsid w:val="00703496"/>
    <w:rsid w:val="007036FE"/>
    <w:rsid w:val="00703AB1"/>
    <w:rsid w:val="00704614"/>
    <w:rsid w:val="00704C5F"/>
    <w:rsid w:val="00704DEB"/>
    <w:rsid w:val="00705623"/>
    <w:rsid w:val="00705B37"/>
    <w:rsid w:val="00706318"/>
    <w:rsid w:val="0070658A"/>
    <w:rsid w:val="00706B65"/>
    <w:rsid w:val="007070DA"/>
    <w:rsid w:val="007071AF"/>
    <w:rsid w:val="00707C1A"/>
    <w:rsid w:val="00710023"/>
    <w:rsid w:val="00710207"/>
    <w:rsid w:val="0071023D"/>
    <w:rsid w:val="007103CD"/>
    <w:rsid w:val="007104C6"/>
    <w:rsid w:val="007104CB"/>
    <w:rsid w:val="00710530"/>
    <w:rsid w:val="0071078C"/>
    <w:rsid w:val="007107BD"/>
    <w:rsid w:val="00710A67"/>
    <w:rsid w:val="00710A79"/>
    <w:rsid w:val="00711E77"/>
    <w:rsid w:val="00712912"/>
    <w:rsid w:val="00712C25"/>
    <w:rsid w:val="00713AAC"/>
    <w:rsid w:val="00713B8D"/>
    <w:rsid w:val="00713C1D"/>
    <w:rsid w:val="00713D18"/>
    <w:rsid w:val="007141DC"/>
    <w:rsid w:val="00714B04"/>
    <w:rsid w:val="00714F75"/>
    <w:rsid w:val="007155CE"/>
    <w:rsid w:val="0071618C"/>
    <w:rsid w:val="007168A0"/>
    <w:rsid w:val="00716BC6"/>
    <w:rsid w:val="00716C95"/>
    <w:rsid w:val="00717762"/>
    <w:rsid w:val="00717F1A"/>
    <w:rsid w:val="007204DA"/>
    <w:rsid w:val="00721A63"/>
    <w:rsid w:val="00721DED"/>
    <w:rsid w:val="00721FF9"/>
    <w:rsid w:val="0072229E"/>
    <w:rsid w:val="00722F53"/>
    <w:rsid w:val="0072337E"/>
    <w:rsid w:val="00723696"/>
    <w:rsid w:val="00723E16"/>
    <w:rsid w:val="00723FAF"/>
    <w:rsid w:val="0072442F"/>
    <w:rsid w:val="00725189"/>
    <w:rsid w:val="0072541E"/>
    <w:rsid w:val="00725735"/>
    <w:rsid w:val="00725BB8"/>
    <w:rsid w:val="007260A3"/>
    <w:rsid w:val="0072630D"/>
    <w:rsid w:val="00726A2A"/>
    <w:rsid w:val="007271E9"/>
    <w:rsid w:val="007273BC"/>
    <w:rsid w:val="007275FD"/>
    <w:rsid w:val="007276E5"/>
    <w:rsid w:val="00730943"/>
    <w:rsid w:val="007310EF"/>
    <w:rsid w:val="00731B68"/>
    <w:rsid w:val="00731D5E"/>
    <w:rsid w:val="00732492"/>
    <w:rsid w:val="00733549"/>
    <w:rsid w:val="00733E5A"/>
    <w:rsid w:val="00733F25"/>
    <w:rsid w:val="0073416D"/>
    <w:rsid w:val="00736395"/>
    <w:rsid w:val="00736459"/>
    <w:rsid w:val="0073685F"/>
    <w:rsid w:val="00737821"/>
    <w:rsid w:val="0074058F"/>
    <w:rsid w:val="00740E86"/>
    <w:rsid w:val="00741175"/>
    <w:rsid w:val="007419FB"/>
    <w:rsid w:val="0074218C"/>
    <w:rsid w:val="00742606"/>
    <w:rsid w:val="007441FF"/>
    <w:rsid w:val="007447EC"/>
    <w:rsid w:val="007448A7"/>
    <w:rsid w:val="00744EE8"/>
    <w:rsid w:val="00744F42"/>
    <w:rsid w:val="0074556D"/>
    <w:rsid w:val="007459F5"/>
    <w:rsid w:val="00745BAB"/>
    <w:rsid w:val="00745D9E"/>
    <w:rsid w:val="007466DC"/>
    <w:rsid w:val="00746713"/>
    <w:rsid w:val="007467E4"/>
    <w:rsid w:val="00746B08"/>
    <w:rsid w:val="00747569"/>
    <w:rsid w:val="00747960"/>
    <w:rsid w:val="00750238"/>
    <w:rsid w:val="0075023C"/>
    <w:rsid w:val="00750F06"/>
    <w:rsid w:val="007518E3"/>
    <w:rsid w:val="007518E9"/>
    <w:rsid w:val="00752247"/>
    <w:rsid w:val="007523E7"/>
    <w:rsid w:val="007524C4"/>
    <w:rsid w:val="00752AE5"/>
    <w:rsid w:val="007531CA"/>
    <w:rsid w:val="00754252"/>
    <w:rsid w:val="00755894"/>
    <w:rsid w:val="007560D3"/>
    <w:rsid w:val="00756258"/>
    <w:rsid w:val="007569B0"/>
    <w:rsid w:val="007577B1"/>
    <w:rsid w:val="00757CB3"/>
    <w:rsid w:val="00757D87"/>
    <w:rsid w:val="00757DB4"/>
    <w:rsid w:val="00757E79"/>
    <w:rsid w:val="00760EED"/>
    <w:rsid w:val="0076109F"/>
    <w:rsid w:val="00761399"/>
    <w:rsid w:val="00761615"/>
    <w:rsid w:val="007616DA"/>
    <w:rsid w:val="007619CE"/>
    <w:rsid w:val="00761F4F"/>
    <w:rsid w:val="007620DC"/>
    <w:rsid w:val="00762102"/>
    <w:rsid w:val="0076255D"/>
    <w:rsid w:val="007625F6"/>
    <w:rsid w:val="00762B8B"/>
    <w:rsid w:val="00762D40"/>
    <w:rsid w:val="0076325B"/>
    <w:rsid w:val="007632C6"/>
    <w:rsid w:val="00763A04"/>
    <w:rsid w:val="00764AF9"/>
    <w:rsid w:val="007650AD"/>
    <w:rsid w:val="00765D18"/>
    <w:rsid w:val="0076640B"/>
    <w:rsid w:val="00766C54"/>
    <w:rsid w:val="007673DE"/>
    <w:rsid w:val="00770C54"/>
    <w:rsid w:val="00771344"/>
    <w:rsid w:val="0077213A"/>
    <w:rsid w:val="00772613"/>
    <w:rsid w:val="00772B41"/>
    <w:rsid w:val="00772CED"/>
    <w:rsid w:val="00773EA1"/>
    <w:rsid w:val="00775215"/>
    <w:rsid w:val="00775748"/>
    <w:rsid w:val="007757B1"/>
    <w:rsid w:val="00776ACC"/>
    <w:rsid w:val="00776AD5"/>
    <w:rsid w:val="00777AE2"/>
    <w:rsid w:val="00777C71"/>
    <w:rsid w:val="00777D6B"/>
    <w:rsid w:val="00777F20"/>
    <w:rsid w:val="0078080B"/>
    <w:rsid w:val="00781148"/>
    <w:rsid w:val="0078120F"/>
    <w:rsid w:val="00781F98"/>
    <w:rsid w:val="007820DF"/>
    <w:rsid w:val="0078265B"/>
    <w:rsid w:val="00782AFE"/>
    <w:rsid w:val="00782D1E"/>
    <w:rsid w:val="00782E10"/>
    <w:rsid w:val="0078487B"/>
    <w:rsid w:val="00784926"/>
    <w:rsid w:val="00784DB8"/>
    <w:rsid w:val="00784FDD"/>
    <w:rsid w:val="0078501B"/>
    <w:rsid w:val="0078508F"/>
    <w:rsid w:val="00786448"/>
    <w:rsid w:val="007875D7"/>
    <w:rsid w:val="007906B2"/>
    <w:rsid w:val="0079134E"/>
    <w:rsid w:val="007925F0"/>
    <w:rsid w:val="0079278E"/>
    <w:rsid w:val="00792DCA"/>
    <w:rsid w:val="00792E3C"/>
    <w:rsid w:val="00792FDF"/>
    <w:rsid w:val="00793040"/>
    <w:rsid w:val="007930C1"/>
    <w:rsid w:val="0079315D"/>
    <w:rsid w:val="00793974"/>
    <w:rsid w:val="00793B45"/>
    <w:rsid w:val="007946EE"/>
    <w:rsid w:val="0079477A"/>
    <w:rsid w:val="007956CD"/>
    <w:rsid w:val="00795706"/>
    <w:rsid w:val="007960E3"/>
    <w:rsid w:val="00796F7C"/>
    <w:rsid w:val="00797131"/>
    <w:rsid w:val="00797254"/>
    <w:rsid w:val="00797430"/>
    <w:rsid w:val="00797AF4"/>
    <w:rsid w:val="007A0F8D"/>
    <w:rsid w:val="007A1078"/>
    <w:rsid w:val="007A180A"/>
    <w:rsid w:val="007A21E4"/>
    <w:rsid w:val="007A2304"/>
    <w:rsid w:val="007A257D"/>
    <w:rsid w:val="007A2CB0"/>
    <w:rsid w:val="007A343D"/>
    <w:rsid w:val="007A38CE"/>
    <w:rsid w:val="007A3F1C"/>
    <w:rsid w:val="007A457D"/>
    <w:rsid w:val="007A46E6"/>
    <w:rsid w:val="007A48D8"/>
    <w:rsid w:val="007A5ACE"/>
    <w:rsid w:val="007A5C5C"/>
    <w:rsid w:val="007A6528"/>
    <w:rsid w:val="007A6A64"/>
    <w:rsid w:val="007A7B48"/>
    <w:rsid w:val="007A7FD7"/>
    <w:rsid w:val="007B08FD"/>
    <w:rsid w:val="007B0A0A"/>
    <w:rsid w:val="007B18C6"/>
    <w:rsid w:val="007B20C2"/>
    <w:rsid w:val="007B25D5"/>
    <w:rsid w:val="007B27E4"/>
    <w:rsid w:val="007B2818"/>
    <w:rsid w:val="007B2910"/>
    <w:rsid w:val="007B301D"/>
    <w:rsid w:val="007B3264"/>
    <w:rsid w:val="007B35F6"/>
    <w:rsid w:val="007B3F87"/>
    <w:rsid w:val="007B404F"/>
    <w:rsid w:val="007B44A6"/>
    <w:rsid w:val="007B494E"/>
    <w:rsid w:val="007B4C5E"/>
    <w:rsid w:val="007B51F8"/>
    <w:rsid w:val="007B7462"/>
    <w:rsid w:val="007B7B52"/>
    <w:rsid w:val="007B7EEE"/>
    <w:rsid w:val="007C02A3"/>
    <w:rsid w:val="007C02F3"/>
    <w:rsid w:val="007C0C55"/>
    <w:rsid w:val="007C1507"/>
    <w:rsid w:val="007C1857"/>
    <w:rsid w:val="007C207E"/>
    <w:rsid w:val="007C290B"/>
    <w:rsid w:val="007C2E40"/>
    <w:rsid w:val="007C2F60"/>
    <w:rsid w:val="007C3064"/>
    <w:rsid w:val="007C3639"/>
    <w:rsid w:val="007C3757"/>
    <w:rsid w:val="007C3DF2"/>
    <w:rsid w:val="007C4D8D"/>
    <w:rsid w:val="007C5144"/>
    <w:rsid w:val="007C5613"/>
    <w:rsid w:val="007C6138"/>
    <w:rsid w:val="007C6153"/>
    <w:rsid w:val="007C6849"/>
    <w:rsid w:val="007C6BC6"/>
    <w:rsid w:val="007C6C12"/>
    <w:rsid w:val="007C73B2"/>
    <w:rsid w:val="007C7A4A"/>
    <w:rsid w:val="007D0435"/>
    <w:rsid w:val="007D0D3E"/>
    <w:rsid w:val="007D116E"/>
    <w:rsid w:val="007D1772"/>
    <w:rsid w:val="007D1B24"/>
    <w:rsid w:val="007D267F"/>
    <w:rsid w:val="007D3341"/>
    <w:rsid w:val="007D399C"/>
    <w:rsid w:val="007D3A3E"/>
    <w:rsid w:val="007D400A"/>
    <w:rsid w:val="007D4365"/>
    <w:rsid w:val="007D44C1"/>
    <w:rsid w:val="007D4B0E"/>
    <w:rsid w:val="007D4DD2"/>
    <w:rsid w:val="007D558F"/>
    <w:rsid w:val="007D5D0F"/>
    <w:rsid w:val="007D6EA8"/>
    <w:rsid w:val="007D7B3C"/>
    <w:rsid w:val="007E010B"/>
    <w:rsid w:val="007E042B"/>
    <w:rsid w:val="007E05DB"/>
    <w:rsid w:val="007E1247"/>
    <w:rsid w:val="007E168B"/>
    <w:rsid w:val="007E1A44"/>
    <w:rsid w:val="007E2419"/>
    <w:rsid w:val="007E2E7D"/>
    <w:rsid w:val="007E3FF5"/>
    <w:rsid w:val="007E4219"/>
    <w:rsid w:val="007E577E"/>
    <w:rsid w:val="007E635E"/>
    <w:rsid w:val="007E6A9C"/>
    <w:rsid w:val="007E6C0C"/>
    <w:rsid w:val="007E7300"/>
    <w:rsid w:val="007E75BB"/>
    <w:rsid w:val="007E767B"/>
    <w:rsid w:val="007E7B54"/>
    <w:rsid w:val="007F038C"/>
    <w:rsid w:val="007F0428"/>
    <w:rsid w:val="007F0C82"/>
    <w:rsid w:val="007F0F24"/>
    <w:rsid w:val="007F1755"/>
    <w:rsid w:val="007F1C20"/>
    <w:rsid w:val="007F222B"/>
    <w:rsid w:val="007F2443"/>
    <w:rsid w:val="007F2CBC"/>
    <w:rsid w:val="007F3092"/>
    <w:rsid w:val="007F30F9"/>
    <w:rsid w:val="007F39B8"/>
    <w:rsid w:val="007F3C03"/>
    <w:rsid w:val="007F3E3F"/>
    <w:rsid w:val="007F3F96"/>
    <w:rsid w:val="007F45DF"/>
    <w:rsid w:val="007F4A6F"/>
    <w:rsid w:val="007F4FBC"/>
    <w:rsid w:val="007F5975"/>
    <w:rsid w:val="007F5AB9"/>
    <w:rsid w:val="007F6497"/>
    <w:rsid w:val="007F6836"/>
    <w:rsid w:val="007F6F3B"/>
    <w:rsid w:val="007F7DF2"/>
    <w:rsid w:val="008005E6"/>
    <w:rsid w:val="00800A35"/>
    <w:rsid w:val="00800D91"/>
    <w:rsid w:val="008015F2"/>
    <w:rsid w:val="00801A0E"/>
    <w:rsid w:val="00803362"/>
    <w:rsid w:val="00803C65"/>
    <w:rsid w:val="00804BC0"/>
    <w:rsid w:val="00804E3C"/>
    <w:rsid w:val="00804E4C"/>
    <w:rsid w:val="008059CD"/>
    <w:rsid w:val="00806272"/>
    <w:rsid w:val="008064DD"/>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617A"/>
    <w:rsid w:val="00816559"/>
    <w:rsid w:val="0081724D"/>
    <w:rsid w:val="0081788A"/>
    <w:rsid w:val="00817927"/>
    <w:rsid w:val="00817CFC"/>
    <w:rsid w:val="00817E82"/>
    <w:rsid w:val="00820A3F"/>
    <w:rsid w:val="00821D81"/>
    <w:rsid w:val="00822A52"/>
    <w:rsid w:val="00822F31"/>
    <w:rsid w:val="00823654"/>
    <w:rsid w:val="0082374A"/>
    <w:rsid w:val="008237F3"/>
    <w:rsid w:val="00823A90"/>
    <w:rsid w:val="00823D01"/>
    <w:rsid w:val="008243FC"/>
    <w:rsid w:val="00825C68"/>
    <w:rsid w:val="00826883"/>
    <w:rsid w:val="00826AD5"/>
    <w:rsid w:val="0082757E"/>
    <w:rsid w:val="0082769C"/>
    <w:rsid w:val="008277D4"/>
    <w:rsid w:val="008279D2"/>
    <w:rsid w:val="00827B6C"/>
    <w:rsid w:val="00827D77"/>
    <w:rsid w:val="00830259"/>
    <w:rsid w:val="00830561"/>
    <w:rsid w:val="00830942"/>
    <w:rsid w:val="00831115"/>
    <w:rsid w:val="00832092"/>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8CA"/>
    <w:rsid w:val="008429CF"/>
    <w:rsid w:val="0084324C"/>
    <w:rsid w:val="00843910"/>
    <w:rsid w:val="00843B9B"/>
    <w:rsid w:val="00843D9D"/>
    <w:rsid w:val="008451F8"/>
    <w:rsid w:val="008456C8"/>
    <w:rsid w:val="008457D2"/>
    <w:rsid w:val="00846212"/>
    <w:rsid w:val="008468E0"/>
    <w:rsid w:val="0084767E"/>
    <w:rsid w:val="0084790F"/>
    <w:rsid w:val="00847BE7"/>
    <w:rsid w:val="00850881"/>
    <w:rsid w:val="00850EAB"/>
    <w:rsid w:val="00851C80"/>
    <w:rsid w:val="00851D70"/>
    <w:rsid w:val="00852760"/>
    <w:rsid w:val="008529B3"/>
    <w:rsid w:val="008529BB"/>
    <w:rsid w:val="00852ADD"/>
    <w:rsid w:val="00853883"/>
    <w:rsid w:val="00853EB9"/>
    <w:rsid w:val="00854CF7"/>
    <w:rsid w:val="00854DA7"/>
    <w:rsid w:val="0085561B"/>
    <w:rsid w:val="008557A0"/>
    <w:rsid w:val="00855FA6"/>
    <w:rsid w:val="00856258"/>
    <w:rsid w:val="0085629D"/>
    <w:rsid w:val="00856607"/>
    <w:rsid w:val="00857AA1"/>
    <w:rsid w:val="008602F1"/>
    <w:rsid w:val="008604A8"/>
    <w:rsid w:val="00860ADD"/>
    <w:rsid w:val="00860CA2"/>
    <w:rsid w:val="008616A2"/>
    <w:rsid w:val="00861C6C"/>
    <w:rsid w:val="008636AC"/>
    <w:rsid w:val="00863862"/>
    <w:rsid w:val="00863AAD"/>
    <w:rsid w:val="00863AB5"/>
    <w:rsid w:val="00864644"/>
    <w:rsid w:val="00864F4D"/>
    <w:rsid w:val="008658DE"/>
    <w:rsid w:val="00865F5C"/>
    <w:rsid w:val="00866296"/>
    <w:rsid w:val="008665C7"/>
    <w:rsid w:val="00866DC1"/>
    <w:rsid w:val="00867BBF"/>
    <w:rsid w:val="008707A3"/>
    <w:rsid w:val="00870A36"/>
    <w:rsid w:val="008711AE"/>
    <w:rsid w:val="0087143E"/>
    <w:rsid w:val="00871A36"/>
    <w:rsid w:val="00871E97"/>
    <w:rsid w:val="00872F21"/>
    <w:rsid w:val="00873736"/>
    <w:rsid w:val="0087378E"/>
    <w:rsid w:val="008737DF"/>
    <w:rsid w:val="0087424D"/>
    <w:rsid w:val="00874E4E"/>
    <w:rsid w:val="008755E7"/>
    <w:rsid w:val="00875A46"/>
    <w:rsid w:val="00875E16"/>
    <w:rsid w:val="00877D03"/>
    <w:rsid w:val="00877E96"/>
    <w:rsid w:val="0088023D"/>
    <w:rsid w:val="008803CE"/>
    <w:rsid w:val="00880D8F"/>
    <w:rsid w:val="00882077"/>
    <w:rsid w:val="008820D9"/>
    <w:rsid w:val="00882F34"/>
    <w:rsid w:val="00883496"/>
    <w:rsid w:val="00883613"/>
    <w:rsid w:val="0088557F"/>
    <w:rsid w:val="00886393"/>
    <w:rsid w:val="00886579"/>
    <w:rsid w:val="0088689B"/>
    <w:rsid w:val="00886F19"/>
    <w:rsid w:val="00887090"/>
    <w:rsid w:val="00887865"/>
    <w:rsid w:val="00887B37"/>
    <w:rsid w:val="00890598"/>
    <w:rsid w:val="0089065A"/>
    <w:rsid w:val="00890DEB"/>
    <w:rsid w:val="0089177A"/>
    <w:rsid w:val="00891AA9"/>
    <w:rsid w:val="00891D7A"/>
    <w:rsid w:val="00891DFC"/>
    <w:rsid w:val="00892791"/>
    <w:rsid w:val="00892B98"/>
    <w:rsid w:val="00893724"/>
    <w:rsid w:val="008945D2"/>
    <w:rsid w:val="008949A3"/>
    <w:rsid w:val="00894CB5"/>
    <w:rsid w:val="008959FC"/>
    <w:rsid w:val="0089605E"/>
    <w:rsid w:val="00896668"/>
    <w:rsid w:val="00896E9A"/>
    <w:rsid w:val="00897619"/>
    <w:rsid w:val="008978D6"/>
    <w:rsid w:val="008A0533"/>
    <w:rsid w:val="008A097C"/>
    <w:rsid w:val="008A0CCC"/>
    <w:rsid w:val="008A1D0E"/>
    <w:rsid w:val="008A25EA"/>
    <w:rsid w:val="008A276E"/>
    <w:rsid w:val="008A31C7"/>
    <w:rsid w:val="008A3215"/>
    <w:rsid w:val="008A3630"/>
    <w:rsid w:val="008A3E8B"/>
    <w:rsid w:val="008A47BE"/>
    <w:rsid w:val="008A4AEC"/>
    <w:rsid w:val="008A5609"/>
    <w:rsid w:val="008A5697"/>
    <w:rsid w:val="008A5B35"/>
    <w:rsid w:val="008A6DD5"/>
    <w:rsid w:val="008A6DF0"/>
    <w:rsid w:val="008A6FA0"/>
    <w:rsid w:val="008B0385"/>
    <w:rsid w:val="008B05E6"/>
    <w:rsid w:val="008B0E76"/>
    <w:rsid w:val="008B105C"/>
    <w:rsid w:val="008B15CE"/>
    <w:rsid w:val="008B1B05"/>
    <w:rsid w:val="008B1C8F"/>
    <w:rsid w:val="008B21F8"/>
    <w:rsid w:val="008B2570"/>
    <w:rsid w:val="008B2B19"/>
    <w:rsid w:val="008B2F40"/>
    <w:rsid w:val="008B2FCD"/>
    <w:rsid w:val="008B3627"/>
    <w:rsid w:val="008B3EAD"/>
    <w:rsid w:val="008B4208"/>
    <w:rsid w:val="008B49B6"/>
    <w:rsid w:val="008B534B"/>
    <w:rsid w:val="008B55A6"/>
    <w:rsid w:val="008B56A0"/>
    <w:rsid w:val="008B5AA1"/>
    <w:rsid w:val="008B5C51"/>
    <w:rsid w:val="008B5E49"/>
    <w:rsid w:val="008B5E61"/>
    <w:rsid w:val="008B64CE"/>
    <w:rsid w:val="008B68B4"/>
    <w:rsid w:val="008B756F"/>
    <w:rsid w:val="008B7633"/>
    <w:rsid w:val="008B7914"/>
    <w:rsid w:val="008C04F4"/>
    <w:rsid w:val="008C0D0C"/>
    <w:rsid w:val="008C127A"/>
    <w:rsid w:val="008C179E"/>
    <w:rsid w:val="008C18BD"/>
    <w:rsid w:val="008C1932"/>
    <w:rsid w:val="008C1CC8"/>
    <w:rsid w:val="008C1CD3"/>
    <w:rsid w:val="008C1ECC"/>
    <w:rsid w:val="008C2C41"/>
    <w:rsid w:val="008C2C7F"/>
    <w:rsid w:val="008C2F0D"/>
    <w:rsid w:val="008C346A"/>
    <w:rsid w:val="008C364D"/>
    <w:rsid w:val="008C500C"/>
    <w:rsid w:val="008C58A2"/>
    <w:rsid w:val="008C5BC0"/>
    <w:rsid w:val="008C5D2A"/>
    <w:rsid w:val="008C62E8"/>
    <w:rsid w:val="008C6754"/>
    <w:rsid w:val="008C6C16"/>
    <w:rsid w:val="008C6F7D"/>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D6B"/>
    <w:rsid w:val="008D6E81"/>
    <w:rsid w:val="008D7739"/>
    <w:rsid w:val="008D7A64"/>
    <w:rsid w:val="008D7A92"/>
    <w:rsid w:val="008E0302"/>
    <w:rsid w:val="008E03F3"/>
    <w:rsid w:val="008E1267"/>
    <w:rsid w:val="008E19FD"/>
    <w:rsid w:val="008E1B7B"/>
    <w:rsid w:val="008E22F8"/>
    <w:rsid w:val="008E23EE"/>
    <w:rsid w:val="008E25D0"/>
    <w:rsid w:val="008E25EC"/>
    <w:rsid w:val="008E3672"/>
    <w:rsid w:val="008E39D8"/>
    <w:rsid w:val="008E5313"/>
    <w:rsid w:val="008E5D73"/>
    <w:rsid w:val="008E606F"/>
    <w:rsid w:val="008E6300"/>
    <w:rsid w:val="008E675E"/>
    <w:rsid w:val="008E6AD9"/>
    <w:rsid w:val="008E6E25"/>
    <w:rsid w:val="008E7EA2"/>
    <w:rsid w:val="008F022A"/>
    <w:rsid w:val="008F06FD"/>
    <w:rsid w:val="008F1172"/>
    <w:rsid w:val="008F27E3"/>
    <w:rsid w:val="008F2A7C"/>
    <w:rsid w:val="008F3485"/>
    <w:rsid w:val="008F3AC3"/>
    <w:rsid w:val="008F42C1"/>
    <w:rsid w:val="008F51FF"/>
    <w:rsid w:val="008F52FC"/>
    <w:rsid w:val="008F5DEF"/>
    <w:rsid w:val="008F6031"/>
    <w:rsid w:val="008F61F2"/>
    <w:rsid w:val="008F636D"/>
    <w:rsid w:val="008F7C0A"/>
    <w:rsid w:val="00901140"/>
    <w:rsid w:val="00901613"/>
    <w:rsid w:val="00901DBB"/>
    <w:rsid w:val="009026CB"/>
    <w:rsid w:val="00902876"/>
    <w:rsid w:val="00902C0B"/>
    <w:rsid w:val="009030FF"/>
    <w:rsid w:val="009036E9"/>
    <w:rsid w:val="009038F6"/>
    <w:rsid w:val="00903EDE"/>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15D"/>
    <w:rsid w:val="009130CC"/>
    <w:rsid w:val="009133EC"/>
    <w:rsid w:val="00913AF7"/>
    <w:rsid w:val="00913B37"/>
    <w:rsid w:val="00914683"/>
    <w:rsid w:val="00914861"/>
    <w:rsid w:val="009148D8"/>
    <w:rsid w:val="00914B5F"/>
    <w:rsid w:val="00914E71"/>
    <w:rsid w:val="0091504C"/>
    <w:rsid w:val="00915417"/>
    <w:rsid w:val="0091573F"/>
    <w:rsid w:val="00915897"/>
    <w:rsid w:val="00915B44"/>
    <w:rsid w:val="00915CD5"/>
    <w:rsid w:val="00916093"/>
    <w:rsid w:val="009160E3"/>
    <w:rsid w:val="0091639C"/>
    <w:rsid w:val="00916A8C"/>
    <w:rsid w:val="00916E99"/>
    <w:rsid w:val="00917D73"/>
    <w:rsid w:val="0092002E"/>
    <w:rsid w:val="0092050A"/>
    <w:rsid w:val="009209A1"/>
    <w:rsid w:val="00920EC6"/>
    <w:rsid w:val="0092101E"/>
    <w:rsid w:val="009225D6"/>
    <w:rsid w:val="0092383B"/>
    <w:rsid w:val="00923B92"/>
    <w:rsid w:val="00923DCE"/>
    <w:rsid w:val="00924119"/>
    <w:rsid w:val="0092434F"/>
    <w:rsid w:val="0092492A"/>
    <w:rsid w:val="00925120"/>
    <w:rsid w:val="009251B3"/>
    <w:rsid w:val="009255FA"/>
    <w:rsid w:val="009262E4"/>
    <w:rsid w:val="009266D2"/>
    <w:rsid w:val="00927361"/>
    <w:rsid w:val="00927D4E"/>
    <w:rsid w:val="00927F89"/>
    <w:rsid w:val="00930AC2"/>
    <w:rsid w:val="00930D2A"/>
    <w:rsid w:val="009312BF"/>
    <w:rsid w:val="00931680"/>
    <w:rsid w:val="00931B84"/>
    <w:rsid w:val="00931DA9"/>
    <w:rsid w:val="0093220A"/>
    <w:rsid w:val="009322B2"/>
    <w:rsid w:val="009328DA"/>
    <w:rsid w:val="00932E7E"/>
    <w:rsid w:val="00933246"/>
    <w:rsid w:val="00933846"/>
    <w:rsid w:val="00933A80"/>
    <w:rsid w:val="00933C37"/>
    <w:rsid w:val="0093442D"/>
    <w:rsid w:val="00934CD2"/>
    <w:rsid w:val="00935A35"/>
    <w:rsid w:val="009366FD"/>
    <w:rsid w:val="009375E5"/>
    <w:rsid w:val="0093785F"/>
    <w:rsid w:val="00937BC5"/>
    <w:rsid w:val="00937D30"/>
    <w:rsid w:val="00941692"/>
    <w:rsid w:val="00941848"/>
    <w:rsid w:val="00942258"/>
    <w:rsid w:val="009423BB"/>
    <w:rsid w:val="0094337A"/>
    <w:rsid w:val="009437F2"/>
    <w:rsid w:val="009442E8"/>
    <w:rsid w:val="00944BA7"/>
    <w:rsid w:val="0094519B"/>
    <w:rsid w:val="00945863"/>
    <w:rsid w:val="0094636D"/>
    <w:rsid w:val="00946854"/>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4883"/>
    <w:rsid w:val="00955EE9"/>
    <w:rsid w:val="009562AE"/>
    <w:rsid w:val="0095654A"/>
    <w:rsid w:val="00956BF5"/>
    <w:rsid w:val="009570CF"/>
    <w:rsid w:val="009571C2"/>
    <w:rsid w:val="009575C3"/>
    <w:rsid w:val="0095770C"/>
    <w:rsid w:val="009579AF"/>
    <w:rsid w:val="00957CC8"/>
    <w:rsid w:val="00957D6A"/>
    <w:rsid w:val="00957EE7"/>
    <w:rsid w:val="0096086A"/>
    <w:rsid w:val="009612A9"/>
    <w:rsid w:val="00961453"/>
    <w:rsid w:val="009616D4"/>
    <w:rsid w:val="0096182D"/>
    <w:rsid w:val="00962150"/>
    <w:rsid w:val="009621F4"/>
    <w:rsid w:val="009627E5"/>
    <w:rsid w:val="00962CCD"/>
    <w:rsid w:val="00963847"/>
    <w:rsid w:val="00964036"/>
    <w:rsid w:val="00964166"/>
    <w:rsid w:val="00964429"/>
    <w:rsid w:val="009645AD"/>
    <w:rsid w:val="0096475C"/>
    <w:rsid w:val="0096546E"/>
    <w:rsid w:val="0096562A"/>
    <w:rsid w:val="00965865"/>
    <w:rsid w:val="00966096"/>
    <w:rsid w:val="009661BA"/>
    <w:rsid w:val="00966A13"/>
    <w:rsid w:val="00966BAF"/>
    <w:rsid w:val="00967473"/>
    <w:rsid w:val="00967730"/>
    <w:rsid w:val="00970D56"/>
    <w:rsid w:val="00970E50"/>
    <w:rsid w:val="00971074"/>
    <w:rsid w:val="009725B2"/>
    <w:rsid w:val="00972801"/>
    <w:rsid w:val="00972969"/>
    <w:rsid w:val="009747AA"/>
    <w:rsid w:val="00974B99"/>
    <w:rsid w:val="00974BCB"/>
    <w:rsid w:val="0097529C"/>
    <w:rsid w:val="00975361"/>
    <w:rsid w:val="009758CD"/>
    <w:rsid w:val="00975AEF"/>
    <w:rsid w:val="00975BF2"/>
    <w:rsid w:val="0097616C"/>
    <w:rsid w:val="009763E4"/>
    <w:rsid w:val="0097649D"/>
    <w:rsid w:val="0097654D"/>
    <w:rsid w:val="009766B7"/>
    <w:rsid w:val="00976D58"/>
    <w:rsid w:val="00977109"/>
    <w:rsid w:val="00977A66"/>
    <w:rsid w:val="00977C23"/>
    <w:rsid w:val="00980A22"/>
    <w:rsid w:val="00980D85"/>
    <w:rsid w:val="0098167D"/>
    <w:rsid w:val="00981E09"/>
    <w:rsid w:val="00983094"/>
    <w:rsid w:val="00983599"/>
    <w:rsid w:val="009843DE"/>
    <w:rsid w:val="00984BE4"/>
    <w:rsid w:val="0098536A"/>
    <w:rsid w:val="0098544F"/>
    <w:rsid w:val="00985B04"/>
    <w:rsid w:val="0098661B"/>
    <w:rsid w:val="00986A6D"/>
    <w:rsid w:val="00986BEF"/>
    <w:rsid w:val="00987298"/>
    <w:rsid w:val="00987B34"/>
    <w:rsid w:val="00990282"/>
    <w:rsid w:val="00990769"/>
    <w:rsid w:val="00991CD5"/>
    <w:rsid w:val="00991DF8"/>
    <w:rsid w:val="00992499"/>
    <w:rsid w:val="009928A3"/>
    <w:rsid w:val="00992986"/>
    <w:rsid w:val="009936E2"/>
    <w:rsid w:val="00994B55"/>
    <w:rsid w:val="00995D86"/>
    <w:rsid w:val="00995FB2"/>
    <w:rsid w:val="00996A5A"/>
    <w:rsid w:val="0099781E"/>
    <w:rsid w:val="00997A68"/>
    <w:rsid w:val="009A0071"/>
    <w:rsid w:val="009A00EA"/>
    <w:rsid w:val="009A0403"/>
    <w:rsid w:val="009A0587"/>
    <w:rsid w:val="009A0DA2"/>
    <w:rsid w:val="009A1F6B"/>
    <w:rsid w:val="009A21F0"/>
    <w:rsid w:val="009A2616"/>
    <w:rsid w:val="009A2C4C"/>
    <w:rsid w:val="009A2DD8"/>
    <w:rsid w:val="009A30DE"/>
    <w:rsid w:val="009A39D5"/>
    <w:rsid w:val="009A3D29"/>
    <w:rsid w:val="009A509F"/>
    <w:rsid w:val="009A52AE"/>
    <w:rsid w:val="009A5453"/>
    <w:rsid w:val="009A5635"/>
    <w:rsid w:val="009A6A7B"/>
    <w:rsid w:val="009A7532"/>
    <w:rsid w:val="009A7883"/>
    <w:rsid w:val="009B04B7"/>
    <w:rsid w:val="009B0596"/>
    <w:rsid w:val="009B1D50"/>
    <w:rsid w:val="009B237F"/>
    <w:rsid w:val="009B2760"/>
    <w:rsid w:val="009B308D"/>
    <w:rsid w:val="009B31D6"/>
    <w:rsid w:val="009B3707"/>
    <w:rsid w:val="009B38D5"/>
    <w:rsid w:val="009B3B62"/>
    <w:rsid w:val="009B3C8D"/>
    <w:rsid w:val="009B3DE3"/>
    <w:rsid w:val="009B4FFB"/>
    <w:rsid w:val="009B53C7"/>
    <w:rsid w:val="009B54FD"/>
    <w:rsid w:val="009B7489"/>
    <w:rsid w:val="009B7987"/>
    <w:rsid w:val="009B7B0A"/>
    <w:rsid w:val="009C0519"/>
    <w:rsid w:val="009C07C9"/>
    <w:rsid w:val="009C08D7"/>
    <w:rsid w:val="009C0B63"/>
    <w:rsid w:val="009C0DC5"/>
    <w:rsid w:val="009C1866"/>
    <w:rsid w:val="009C1FDE"/>
    <w:rsid w:val="009C23FE"/>
    <w:rsid w:val="009C24C8"/>
    <w:rsid w:val="009C274A"/>
    <w:rsid w:val="009C327D"/>
    <w:rsid w:val="009C375C"/>
    <w:rsid w:val="009C4E0D"/>
    <w:rsid w:val="009C4F09"/>
    <w:rsid w:val="009C4F1B"/>
    <w:rsid w:val="009C503B"/>
    <w:rsid w:val="009C542B"/>
    <w:rsid w:val="009C5793"/>
    <w:rsid w:val="009C5816"/>
    <w:rsid w:val="009C61EA"/>
    <w:rsid w:val="009C63EC"/>
    <w:rsid w:val="009C6DF1"/>
    <w:rsid w:val="009C7DAC"/>
    <w:rsid w:val="009C7DBA"/>
    <w:rsid w:val="009C7F93"/>
    <w:rsid w:val="009D077D"/>
    <w:rsid w:val="009D08A6"/>
    <w:rsid w:val="009D0EC0"/>
    <w:rsid w:val="009D134B"/>
    <w:rsid w:val="009D1915"/>
    <w:rsid w:val="009D1B69"/>
    <w:rsid w:val="009D1EB3"/>
    <w:rsid w:val="009D25DE"/>
    <w:rsid w:val="009D2ABF"/>
    <w:rsid w:val="009D3AD2"/>
    <w:rsid w:val="009D3E06"/>
    <w:rsid w:val="009D5843"/>
    <w:rsid w:val="009D638D"/>
    <w:rsid w:val="009D6393"/>
    <w:rsid w:val="009D695C"/>
    <w:rsid w:val="009D6B6C"/>
    <w:rsid w:val="009D766F"/>
    <w:rsid w:val="009E0885"/>
    <w:rsid w:val="009E1CC8"/>
    <w:rsid w:val="009E20F7"/>
    <w:rsid w:val="009E2827"/>
    <w:rsid w:val="009E2863"/>
    <w:rsid w:val="009E30D2"/>
    <w:rsid w:val="009E31B5"/>
    <w:rsid w:val="009E40B4"/>
    <w:rsid w:val="009E4885"/>
    <w:rsid w:val="009E49C6"/>
    <w:rsid w:val="009E4E65"/>
    <w:rsid w:val="009E4F7C"/>
    <w:rsid w:val="009E508B"/>
    <w:rsid w:val="009E5EDF"/>
    <w:rsid w:val="009E5FBE"/>
    <w:rsid w:val="009E6068"/>
    <w:rsid w:val="009E6A00"/>
    <w:rsid w:val="009E6DB4"/>
    <w:rsid w:val="009F0086"/>
    <w:rsid w:val="009F03AB"/>
    <w:rsid w:val="009F0619"/>
    <w:rsid w:val="009F068A"/>
    <w:rsid w:val="009F08C5"/>
    <w:rsid w:val="009F0A85"/>
    <w:rsid w:val="009F1260"/>
    <w:rsid w:val="009F15CA"/>
    <w:rsid w:val="009F1B71"/>
    <w:rsid w:val="009F220A"/>
    <w:rsid w:val="009F3171"/>
    <w:rsid w:val="009F335D"/>
    <w:rsid w:val="009F36D6"/>
    <w:rsid w:val="009F3860"/>
    <w:rsid w:val="009F47DD"/>
    <w:rsid w:val="009F4F7D"/>
    <w:rsid w:val="009F6575"/>
    <w:rsid w:val="009F7ADC"/>
    <w:rsid w:val="00A0002A"/>
    <w:rsid w:val="00A01F3A"/>
    <w:rsid w:val="00A0236D"/>
    <w:rsid w:val="00A026A4"/>
    <w:rsid w:val="00A02985"/>
    <w:rsid w:val="00A02B2B"/>
    <w:rsid w:val="00A02FA8"/>
    <w:rsid w:val="00A0361B"/>
    <w:rsid w:val="00A03F1A"/>
    <w:rsid w:val="00A03F74"/>
    <w:rsid w:val="00A03F88"/>
    <w:rsid w:val="00A044B9"/>
    <w:rsid w:val="00A046BF"/>
    <w:rsid w:val="00A04709"/>
    <w:rsid w:val="00A05A37"/>
    <w:rsid w:val="00A05B25"/>
    <w:rsid w:val="00A05C04"/>
    <w:rsid w:val="00A05EC0"/>
    <w:rsid w:val="00A06254"/>
    <w:rsid w:val="00A06842"/>
    <w:rsid w:val="00A07459"/>
    <w:rsid w:val="00A07D78"/>
    <w:rsid w:val="00A07DB6"/>
    <w:rsid w:val="00A10573"/>
    <w:rsid w:val="00A10972"/>
    <w:rsid w:val="00A11406"/>
    <w:rsid w:val="00A11A0E"/>
    <w:rsid w:val="00A11C82"/>
    <w:rsid w:val="00A12602"/>
    <w:rsid w:val="00A13205"/>
    <w:rsid w:val="00A132A1"/>
    <w:rsid w:val="00A13422"/>
    <w:rsid w:val="00A148F0"/>
    <w:rsid w:val="00A15132"/>
    <w:rsid w:val="00A15331"/>
    <w:rsid w:val="00A1554D"/>
    <w:rsid w:val="00A15792"/>
    <w:rsid w:val="00A158E3"/>
    <w:rsid w:val="00A1591A"/>
    <w:rsid w:val="00A16E4B"/>
    <w:rsid w:val="00A172E0"/>
    <w:rsid w:val="00A17527"/>
    <w:rsid w:val="00A211C5"/>
    <w:rsid w:val="00A221A3"/>
    <w:rsid w:val="00A22337"/>
    <w:rsid w:val="00A223D5"/>
    <w:rsid w:val="00A235E4"/>
    <w:rsid w:val="00A23F41"/>
    <w:rsid w:val="00A23FDF"/>
    <w:rsid w:val="00A254D5"/>
    <w:rsid w:val="00A25547"/>
    <w:rsid w:val="00A2563D"/>
    <w:rsid w:val="00A25A2E"/>
    <w:rsid w:val="00A25F76"/>
    <w:rsid w:val="00A27613"/>
    <w:rsid w:val="00A277C8"/>
    <w:rsid w:val="00A3003E"/>
    <w:rsid w:val="00A31E14"/>
    <w:rsid w:val="00A331DC"/>
    <w:rsid w:val="00A3325E"/>
    <w:rsid w:val="00A34276"/>
    <w:rsid w:val="00A34524"/>
    <w:rsid w:val="00A345B6"/>
    <w:rsid w:val="00A3502D"/>
    <w:rsid w:val="00A354D1"/>
    <w:rsid w:val="00A357A4"/>
    <w:rsid w:val="00A35AF5"/>
    <w:rsid w:val="00A35CDF"/>
    <w:rsid w:val="00A36453"/>
    <w:rsid w:val="00A373E1"/>
    <w:rsid w:val="00A378CE"/>
    <w:rsid w:val="00A37970"/>
    <w:rsid w:val="00A37A68"/>
    <w:rsid w:val="00A37B0C"/>
    <w:rsid w:val="00A37CE6"/>
    <w:rsid w:val="00A37D1C"/>
    <w:rsid w:val="00A37FFE"/>
    <w:rsid w:val="00A404BE"/>
    <w:rsid w:val="00A40C08"/>
    <w:rsid w:val="00A40ECF"/>
    <w:rsid w:val="00A411C9"/>
    <w:rsid w:val="00A41B47"/>
    <w:rsid w:val="00A41BB2"/>
    <w:rsid w:val="00A41FEF"/>
    <w:rsid w:val="00A42476"/>
    <w:rsid w:val="00A433CA"/>
    <w:rsid w:val="00A43A1A"/>
    <w:rsid w:val="00A43D48"/>
    <w:rsid w:val="00A43F3C"/>
    <w:rsid w:val="00A447A5"/>
    <w:rsid w:val="00A44D18"/>
    <w:rsid w:val="00A45B83"/>
    <w:rsid w:val="00A4646E"/>
    <w:rsid w:val="00A468FD"/>
    <w:rsid w:val="00A46921"/>
    <w:rsid w:val="00A46DEF"/>
    <w:rsid w:val="00A47249"/>
    <w:rsid w:val="00A47723"/>
    <w:rsid w:val="00A47E3B"/>
    <w:rsid w:val="00A501C7"/>
    <w:rsid w:val="00A5058A"/>
    <w:rsid w:val="00A50905"/>
    <w:rsid w:val="00A513FD"/>
    <w:rsid w:val="00A517D0"/>
    <w:rsid w:val="00A5254B"/>
    <w:rsid w:val="00A52BC1"/>
    <w:rsid w:val="00A52D47"/>
    <w:rsid w:val="00A5347F"/>
    <w:rsid w:val="00A534A0"/>
    <w:rsid w:val="00A537EA"/>
    <w:rsid w:val="00A539AD"/>
    <w:rsid w:val="00A53D1B"/>
    <w:rsid w:val="00A53E3E"/>
    <w:rsid w:val="00A540B2"/>
    <w:rsid w:val="00A5414D"/>
    <w:rsid w:val="00A54A3E"/>
    <w:rsid w:val="00A556B7"/>
    <w:rsid w:val="00A56454"/>
    <w:rsid w:val="00A564A6"/>
    <w:rsid w:val="00A567AE"/>
    <w:rsid w:val="00A56819"/>
    <w:rsid w:val="00A568AC"/>
    <w:rsid w:val="00A57809"/>
    <w:rsid w:val="00A57B07"/>
    <w:rsid w:val="00A6025F"/>
    <w:rsid w:val="00A60E9C"/>
    <w:rsid w:val="00A61196"/>
    <w:rsid w:val="00A6131E"/>
    <w:rsid w:val="00A616AF"/>
    <w:rsid w:val="00A61879"/>
    <w:rsid w:val="00A628B4"/>
    <w:rsid w:val="00A62B65"/>
    <w:rsid w:val="00A62E6A"/>
    <w:rsid w:val="00A63E32"/>
    <w:rsid w:val="00A63E4E"/>
    <w:rsid w:val="00A6444F"/>
    <w:rsid w:val="00A651CB"/>
    <w:rsid w:val="00A652FF"/>
    <w:rsid w:val="00A65567"/>
    <w:rsid w:val="00A6598D"/>
    <w:rsid w:val="00A65A0D"/>
    <w:rsid w:val="00A65C27"/>
    <w:rsid w:val="00A65F3C"/>
    <w:rsid w:val="00A661FD"/>
    <w:rsid w:val="00A66FB3"/>
    <w:rsid w:val="00A67DF5"/>
    <w:rsid w:val="00A709A3"/>
    <w:rsid w:val="00A71216"/>
    <w:rsid w:val="00A714A3"/>
    <w:rsid w:val="00A71B8B"/>
    <w:rsid w:val="00A74456"/>
    <w:rsid w:val="00A7502A"/>
    <w:rsid w:val="00A75089"/>
    <w:rsid w:val="00A754D1"/>
    <w:rsid w:val="00A75832"/>
    <w:rsid w:val="00A75EDC"/>
    <w:rsid w:val="00A80404"/>
    <w:rsid w:val="00A80548"/>
    <w:rsid w:val="00A8085F"/>
    <w:rsid w:val="00A80A3D"/>
    <w:rsid w:val="00A817A8"/>
    <w:rsid w:val="00A81E50"/>
    <w:rsid w:val="00A81F1C"/>
    <w:rsid w:val="00A82241"/>
    <w:rsid w:val="00A82602"/>
    <w:rsid w:val="00A82DA0"/>
    <w:rsid w:val="00A8392C"/>
    <w:rsid w:val="00A83E49"/>
    <w:rsid w:val="00A8401C"/>
    <w:rsid w:val="00A8415A"/>
    <w:rsid w:val="00A841A6"/>
    <w:rsid w:val="00A84221"/>
    <w:rsid w:val="00A843CA"/>
    <w:rsid w:val="00A84B45"/>
    <w:rsid w:val="00A84B7A"/>
    <w:rsid w:val="00A85063"/>
    <w:rsid w:val="00A85367"/>
    <w:rsid w:val="00A86359"/>
    <w:rsid w:val="00A865DC"/>
    <w:rsid w:val="00A86FBC"/>
    <w:rsid w:val="00A879C5"/>
    <w:rsid w:val="00A87FA2"/>
    <w:rsid w:val="00A902AD"/>
    <w:rsid w:val="00A90302"/>
    <w:rsid w:val="00A9099E"/>
    <w:rsid w:val="00A91FB7"/>
    <w:rsid w:val="00A921CE"/>
    <w:rsid w:val="00A92967"/>
    <w:rsid w:val="00A9298F"/>
    <w:rsid w:val="00A929D7"/>
    <w:rsid w:val="00A92FC3"/>
    <w:rsid w:val="00A9301E"/>
    <w:rsid w:val="00A93E3A"/>
    <w:rsid w:val="00A94BFF"/>
    <w:rsid w:val="00A95186"/>
    <w:rsid w:val="00A951AD"/>
    <w:rsid w:val="00A952F8"/>
    <w:rsid w:val="00A9561B"/>
    <w:rsid w:val="00A961BD"/>
    <w:rsid w:val="00A964CB"/>
    <w:rsid w:val="00A9652F"/>
    <w:rsid w:val="00A973B1"/>
    <w:rsid w:val="00A9747D"/>
    <w:rsid w:val="00AA027E"/>
    <w:rsid w:val="00AA1224"/>
    <w:rsid w:val="00AA14F2"/>
    <w:rsid w:val="00AA17D9"/>
    <w:rsid w:val="00AA180B"/>
    <w:rsid w:val="00AA1D43"/>
    <w:rsid w:val="00AA2358"/>
    <w:rsid w:val="00AA2469"/>
    <w:rsid w:val="00AA274C"/>
    <w:rsid w:val="00AA2CD7"/>
    <w:rsid w:val="00AA2FA4"/>
    <w:rsid w:val="00AA2FC4"/>
    <w:rsid w:val="00AA3301"/>
    <w:rsid w:val="00AA3360"/>
    <w:rsid w:val="00AA386B"/>
    <w:rsid w:val="00AA4C2E"/>
    <w:rsid w:val="00AA5B16"/>
    <w:rsid w:val="00AA6384"/>
    <w:rsid w:val="00AA6B93"/>
    <w:rsid w:val="00AA7959"/>
    <w:rsid w:val="00AA7A06"/>
    <w:rsid w:val="00AA7A7F"/>
    <w:rsid w:val="00AA7F56"/>
    <w:rsid w:val="00AB1984"/>
    <w:rsid w:val="00AB1CBB"/>
    <w:rsid w:val="00AB215B"/>
    <w:rsid w:val="00AB266D"/>
    <w:rsid w:val="00AB2E7D"/>
    <w:rsid w:val="00AB3146"/>
    <w:rsid w:val="00AB333E"/>
    <w:rsid w:val="00AB37DB"/>
    <w:rsid w:val="00AB3ECC"/>
    <w:rsid w:val="00AB54B5"/>
    <w:rsid w:val="00AB573A"/>
    <w:rsid w:val="00AB5A73"/>
    <w:rsid w:val="00AB5F48"/>
    <w:rsid w:val="00AB66FC"/>
    <w:rsid w:val="00AB7156"/>
    <w:rsid w:val="00AB716D"/>
    <w:rsid w:val="00AB72BB"/>
    <w:rsid w:val="00AB7472"/>
    <w:rsid w:val="00AB7BF3"/>
    <w:rsid w:val="00AC039D"/>
    <w:rsid w:val="00AC09D5"/>
    <w:rsid w:val="00AC0C1D"/>
    <w:rsid w:val="00AC0D8E"/>
    <w:rsid w:val="00AC1061"/>
    <w:rsid w:val="00AC175B"/>
    <w:rsid w:val="00AC1AA3"/>
    <w:rsid w:val="00AC1F8E"/>
    <w:rsid w:val="00AC22C1"/>
    <w:rsid w:val="00AC2D10"/>
    <w:rsid w:val="00AC3187"/>
    <w:rsid w:val="00AC374B"/>
    <w:rsid w:val="00AC3798"/>
    <w:rsid w:val="00AC3ED5"/>
    <w:rsid w:val="00AC4CB3"/>
    <w:rsid w:val="00AC4D7C"/>
    <w:rsid w:val="00AC53B0"/>
    <w:rsid w:val="00AC6473"/>
    <w:rsid w:val="00AC6644"/>
    <w:rsid w:val="00AC6655"/>
    <w:rsid w:val="00AC6CA2"/>
    <w:rsid w:val="00AC6EF2"/>
    <w:rsid w:val="00AC6FD3"/>
    <w:rsid w:val="00AC71A6"/>
    <w:rsid w:val="00AC742F"/>
    <w:rsid w:val="00AC7664"/>
    <w:rsid w:val="00AC774F"/>
    <w:rsid w:val="00AC780D"/>
    <w:rsid w:val="00AC787B"/>
    <w:rsid w:val="00AC78A0"/>
    <w:rsid w:val="00AC7956"/>
    <w:rsid w:val="00AC7E18"/>
    <w:rsid w:val="00AD1B79"/>
    <w:rsid w:val="00AD3208"/>
    <w:rsid w:val="00AD3496"/>
    <w:rsid w:val="00AD3C00"/>
    <w:rsid w:val="00AD4A3C"/>
    <w:rsid w:val="00AD4F6A"/>
    <w:rsid w:val="00AD50F8"/>
    <w:rsid w:val="00AD719F"/>
    <w:rsid w:val="00AD738C"/>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67FA"/>
    <w:rsid w:val="00AE6931"/>
    <w:rsid w:val="00AE78ED"/>
    <w:rsid w:val="00AE7AC2"/>
    <w:rsid w:val="00AE7EC9"/>
    <w:rsid w:val="00AF0117"/>
    <w:rsid w:val="00AF1117"/>
    <w:rsid w:val="00AF1555"/>
    <w:rsid w:val="00AF174E"/>
    <w:rsid w:val="00AF18BA"/>
    <w:rsid w:val="00AF19AE"/>
    <w:rsid w:val="00AF1CA5"/>
    <w:rsid w:val="00AF228C"/>
    <w:rsid w:val="00AF2C0E"/>
    <w:rsid w:val="00AF2DB9"/>
    <w:rsid w:val="00AF3928"/>
    <w:rsid w:val="00AF3B55"/>
    <w:rsid w:val="00AF3D62"/>
    <w:rsid w:val="00AF4146"/>
    <w:rsid w:val="00AF56EA"/>
    <w:rsid w:val="00AF56FE"/>
    <w:rsid w:val="00AF5C45"/>
    <w:rsid w:val="00AF62A7"/>
    <w:rsid w:val="00AF6AC5"/>
    <w:rsid w:val="00AF75DC"/>
    <w:rsid w:val="00AF7809"/>
    <w:rsid w:val="00AF7CA7"/>
    <w:rsid w:val="00AF7F7B"/>
    <w:rsid w:val="00B00BDE"/>
    <w:rsid w:val="00B0104B"/>
    <w:rsid w:val="00B01FA1"/>
    <w:rsid w:val="00B021E0"/>
    <w:rsid w:val="00B03A30"/>
    <w:rsid w:val="00B03A35"/>
    <w:rsid w:val="00B03BE2"/>
    <w:rsid w:val="00B0430C"/>
    <w:rsid w:val="00B04F99"/>
    <w:rsid w:val="00B057B6"/>
    <w:rsid w:val="00B05A7C"/>
    <w:rsid w:val="00B06361"/>
    <w:rsid w:val="00B0651D"/>
    <w:rsid w:val="00B06955"/>
    <w:rsid w:val="00B0758A"/>
    <w:rsid w:val="00B07BEA"/>
    <w:rsid w:val="00B07F41"/>
    <w:rsid w:val="00B102F9"/>
    <w:rsid w:val="00B1081F"/>
    <w:rsid w:val="00B11C80"/>
    <w:rsid w:val="00B11F33"/>
    <w:rsid w:val="00B12152"/>
    <w:rsid w:val="00B12DCA"/>
    <w:rsid w:val="00B13381"/>
    <w:rsid w:val="00B138BC"/>
    <w:rsid w:val="00B13ECB"/>
    <w:rsid w:val="00B1524F"/>
    <w:rsid w:val="00B15A54"/>
    <w:rsid w:val="00B15ECF"/>
    <w:rsid w:val="00B16666"/>
    <w:rsid w:val="00B169CD"/>
    <w:rsid w:val="00B16C0A"/>
    <w:rsid w:val="00B1785C"/>
    <w:rsid w:val="00B17F60"/>
    <w:rsid w:val="00B2039A"/>
    <w:rsid w:val="00B20AC8"/>
    <w:rsid w:val="00B21063"/>
    <w:rsid w:val="00B2124A"/>
    <w:rsid w:val="00B215D5"/>
    <w:rsid w:val="00B21D55"/>
    <w:rsid w:val="00B225CB"/>
    <w:rsid w:val="00B22870"/>
    <w:rsid w:val="00B22A22"/>
    <w:rsid w:val="00B22AA6"/>
    <w:rsid w:val="00B23D1A"/>
    <w:rsid w:val="00B23F4C"/>
    <w:rsid w:val="00B24233"/>
    <w:rsid w:val="00B246DD"/>
    <w:rsid w:val="00B248D8"/>
    <w:rsid w:val="00B24BA7"/>
    <w:rsid w:val="00B25494"/>
    <w:rsid w:val="00B25A6F"/>
    <w:rsid w:val="00B25CD9"/>
    <w:rsid w:val="00B268D0"/>
    <w:rsid w:val="00B269D3"/>
    <w:rsid w:val="00B27886"/>
    <w:rsid w:val="00B27F44"/>
    <w:rsid w:val="00B301ED"/>
    <w:rsid w:val="00B30448"/>
    <w:rsid w:val="00B3048B"/>
    <w:rsid w:val="00B30875"/>
    <w:rsid w:val="00B30C49"/>
    <w:rsid w:val="00B30D75"/>
    <w:rsid w:val="00B30DAD"/>
    <w:rsid w:val="00B31315"/>
    <w:rsid w:val="00B3260E"/>
    <w:rsid w:val="00B32C4B"/>
    <w:rsid w:val="00B339D5"/>
    <w:rsid w:val="00B3407E"/>
    <w:rsid w:val="00B34C84"/>
    <w:rsid w:val="00B34D6A"/>
    <w:rsid w:val="00B35021"/>
    <w:rsid w:val="00B35749"/>
    <w:rsid w:val="00B35D00"/>
    <w:rsid w:val="00B35EF5"/>
    <w:rsid w:val="00B3677F"/>
    <w:rsid w:val="00B36872"/>
    <w:rsid w:val="00B3704D"/>
    <w:rsid w:val="00B37071"/>
    <w:rsid w:val="00B40162"/>
    <w:rsid w:val="00B401B6"/>
    <w:rsid w:val="00B4054D"/>
    <w:rsid w:val="00B405CD"/>
    <w:rsid w:val="00B40903"/>
    <w:rsid w:val="00B40FDB"/>
    <w:rsid w:val="00B41C6D"/>
    <w:rsid w:val="00B420B2"/>
    <w:rsid w:val="00B42800"/>
    <w:rsid w:val="00B42832"/>
    <w:rsid w:val="00B42863"/>
    <w:rsid w:val="00B430F6"/>
    <w:rsid w:val="00B43511"/>
    <w:rsid w:val="00B43CE6"/>
    <w:rsid w:val="00B4468B"/>
    <w:rsid w:val="00B45528"/>
    <w:rsid w:val="00B468B0"/>
    <w:rsid w:val="00B46B6E"/>
    <w:rsid w:val="00B475AB"/>
    <w:rsid w:val="00B478FA"/>
    <w:rsid w:val="00B50156"/>
    <w:rsid w:val="00B501E8"/>
    <w:rsid w:val="00B502A3"/>
    <w:rsid w:val="00B506D4"/>
    <w:rsid w:val="00B506ED"/>
    <w:rsid w:val="00B507AA"/>
    <w:rsid w:val="00B50953"/>
    <w:rsid w:val="00B509AE"/>
    <w:rsid w:val="00B50E13"/>
    <w:rsid w:val="00B51581"/>
    <w:rsid w:val="00B516C5"/>
    <w:rsid w:val="00B518AD"/>
    <w:rsid w:val="00B51BB6"/>
    <w:rsid w:val="00B52056"/>
    <w:rsid w:val="00B52B0E"/>
    <w:rsid w:val="00B52D81"/>
    <w:rsid w:val="00B5355B"/>
    <w:rsid w:val="00B536C1"/>
    <w:rsid w:val="00B5402E"/>
    <w:rsid w:val="00B540E8"/>
    <w:rsid w:val="00B54681"/>
    <w:rsid w:val="00B55852"/>
    <w:rsid w:val="00B55E43"/>
    <w:rsid w:val="00B560A9"/>
    <w:rsid w:val="00B56866"/>
    <w:rsid w:val="00B56CC4"/>
    <w:rsid w:val="00B604BB"/>
    <w:rsid w:val="00B6062A"/>
    <w:rsid w:val="00B60A96"/>
    <w:rsid w:val="00B60DD7"/>
    <w:rsid w:val="00B60EB6"/>
    <w:rsid w:val="00B60EE5"/>
    <w:rsid w:val="00B614ED"/>
    <w:rsid w:val="00B616A5"/>
    <w:rsid w:val="00B628BE"/>
    <w:rsid w:val="00B62B67"/>
    <w:rsid w:val="00B62C57"/>
    <w:rsid w:val="00B637FB"/>
    <w:rsid w:val="00B6386F"/>
    <w:rsid w:val="00B64349"/>
    <w:rsid w:val="00B649BD"/>
    <w:rsid w:val="00B65295"/>
    <w:rsid w:val="00B65D9B"/>
    <w:rsid w:val="00B667E1"/>
    <w:rsid w:val="00B66E51"/>
    <w:rsid w:val="00B66E68"/>
    <w:rsid w:val="00B672CB"/>
    <w:rsid w:val="00B67346"/>
    <w:rsid w:val="00B67865"/>
    <w:rsid w:val="00B6793A"/>
    <w:rsid w:val="00B67AC3"/>
    <w:rsid w:val="00B70880"/>
    <w:rsid w:val="00B71422"/>
    <w:rsid w:val="00B71486"/>
    <w:rsid w:val="00B71607"/>
    <w:rsid w:val="00B71EF7"/>
    <w:rsid w:val="00B720BE"/>
    <w:rsid w:val="00B72361"/>
    <w:rsid w:val="00B729DF"/>
    <w:rsid w:val="00B74AB0"/>
    <w:rsid w:val="00B75345"/>
    <w:rsid w:val="00B7584B"/>
    <w:rsid w:val="00B76327"/>
    <w:rsid w:val="00B76400"/>
    <w:rsid w:val="00B76C94"/>
    <w:rsid w:val="00B76D4E"/>
    <w:rsid w:val="00B76D6E"/>
    <w:rsid w:val="00B771A8"/>
    <w:rsid w:val="00B771AA"/>
    <w:rsid w:val="00B772D0"/>
    <w:rsid w:val="00B80A99"/>
    <w:rsid w:val="00B80F4E"/>
    <w:rsid w:val="00B814CF"/>
    <w:rsid w:val="00B81A33"/>
    <w:rsid w:val="00B82208"/>
    <w:rsid w:val="00B8256C"/>
    <w:rsid w:val="00B82B2D"/>
    <w:rsid w:val="00B83117"/>
    <w:rsid w:val="00B8319C"/>
    <w:rsid w:val="00B83620"/>
    <w:rsid w:val="00B83B71"/>
    <w:rsid w:val="00B86BD5"/>
    <w:rsid w:val="00B87E20"/>
    <w:rsid w:val="00B90351"/>
    <w:rsid w:val="00B90532"/>
    <w:rsid w:val="00B906F2"/>
    <w:rsid w:val="00B90D9B"/>
    <w:rsid w:val="00B9122D"/>
    <w:rsid w:val="00B91259"/>
    <w:rsid w:val="00B91AD5"/>
    <w:rsid w:val="00B91B81"/>
    <w:rsid w:val="00B91F36"/>
    <w:rsid w:val="00B91FF0"/>
    <w:rsid w:val="00B92164"/>
    <w:rsid w:val="00B926A8"/>
    <w:rsid w:val="00B92B6F"/>
    <w:rsid w:val="00B92FFF"/>
    <w:rsid w:val="00B93538"/>
    <w:rsid w:val="00B936F8"/>
    <w:rsid w:val="00B9492E"/>
    <w:rsid w:val="00B94B06"/>
    <w:rsid w:val="00B94E99"/>
    <w:rsid w:val="00B95701"/>
    <w:rsid w:val="00B960DB"/>
    <w:rsid w:val="00B96799"/>
    <w:rsid w:val="00B96DE5"/>
    <w:rsid w:val="00B97A76"/>
    <w:rsid w:val="00BA0166"/>
    <w:rsid w:val="00BA0584"/>
    <w:rsid w:val="00BA0755"/>
    <w:rsid w:val="00BA1E9D"/>
    <w:rsid w:val="00BA249D"/>
    <w:rsid w:val="00BA2F9B"/>
    <w:rsid w:val="00BA38D5"/>
    <w:rsid w:val="00BA3C66"/>
    <w:rsid w:val="00BA4D00"/>
    <w:rsid w:val="00BA4D30"/>
    <w:rsid w:val="00BA4F9B"/>
    <w:rsid w:val="00BA4FE9"/>
    <w:rsid w:val="00BA51C0"/>
    <w:rsid w:val="00BA5665"/>
    <w:rsid w:val="00BA6825"/>
    <w:rsid w:val="00BA72D9"/>
    <w:rsid w:val="00BA74E8"/>
    <w:rsid w:val="00BB02DB"/>
    <w:rsid w:val="00BB0AB5"/>
    <w:rsid w:val="00BB195B"/>
    <w:rsid w:val="00BB1BBA"/>
    <w:rsid w:val="00BB1DB7"/>
    <w:rsid w:val="00BB204A"/>
    <w:rsid w:val="00BB2BD1"/>
    <w:rsid w:val="00BB31DF"/>
    <w:rsid w:val="00BB33E9"/>
    <w:rsid w:val="00BB34B7"/>
    <w:rsid w:val="00BB37AF"/>
    <w:rsid w:val="00BB3BE4"/>
    <w:rsid w:val="00BB44DB"/>
    <w:rsid w:val="00BB57D3"/>
    <w:rsid w:val="00BB58EE"/>
    <w:rsid w:val="00BB64EC"/>
    <w:rsid w:val="00BB704A"/>
    <w:rsid w:val="00BB7589"/>
    <w:rsid w:val="00BB7668"/>
    <w:rsid w:val="00BB767D"/>
    <w:rsid w:val="00BB7D3C"/>
    <w:rsid w:val="00BB7E42"/>
    <w:rsid w:val="00BC06ED"/>
    <w:rsid w:val="00BC077E"/>
    <w:rsid w:val="00BC0DE5"/>
    <w:rsid w:val="00BC0E57"/>
    <w:rsid w:val="00BC1F5F"/>
    <w:rsid w:val="00BC21BE"/>
    <w:rsid w:val="00BC2465"/>
    <w:rsid w:val="00BC2A8A"/>
    <w:rsid w:val="00BC3E36"/>
    <w:rsid w:val="00BC4B2D"/>
    <w:rsid w:val="00BC4CE8"/>
    <w:rsid w:val="00BC4D54"/>
    <w:rsid w:val="00BC5645"/>
    <w:rsid w:val="00BC6E2F"/>
    <w:rsid w:val="00BC728A"/>
    <w:rsid w:val="00BC7632"/>
    <w:rsid w:val="00BC77A4"/>
    <w:rsid w:val="00BC7C9E"/>
    <w:rsid w:val="00BD1E79"/>
    <w:rsid w:val="00BD23A5"/>
    <w:rsid w:val="00BD2937"/>
    <w:rsid w:val="00BD2AFC"/>
    <w:rsid w:val="00BD2CD4"/>
    <w:rsid w:val="00BD2F9F"/>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3FED"/>
    <w:rsid w:val="00BE42FC"/>
    <w:rsid w:val="00BE53CB"/>
    <w:rsid w:val="00BE5888"/>
    <w:rsid w:val="00BE6085"/>
    <w:rsid w:val="00BE63FE"/>
    <w:rsid w:val="00BE6494"/>
    <w:rsid w:val="00BE66FC"/>
    <w:rsid w:val="00BE73FA"/>
    <w:rsid w:val="00BF00D1"/>
    <w:rsid w:val="00BF0353"/>
    <w:rsid w:val="00BF090A"/>
    <w:rsid w:val="00BF0918"/>
    <w:rsid w:val="00BF2001"/>
    <w:rsid w:val="00BF208E"/>
    <w:rsid w:val="00BF2575"/>
    <w:rsid w:val="00BF31A0"/>
    <w:rsid w:val="00BF323A"/>
    <w:rsid w:val="00BF36C0"/>
    <w:rsid w:val="00BF3CC3"/>
    <w:rsid w:val="00BF3F0A"/>
    <w:rsid w:val="00BF4331"/>
    <w:rsid w:val="00BF4C22"/>
    <w:rsid w:val="00BF4E35"/>
    <w:rsid w:val="00BF5098"/>
    <w:rsid w:val="00BF5149"/>
    <w:rsid w:val="00BF5FB3"/>
    <w:rsid w:val="00BF6F82"/>
    <w:rsid w:val="00BF70E2"/>
    <w:rsid w:val="00BF72AB"/>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6EA8"/>
    <w:rsid w:val="00C072F0"/>
    <w:rsid w:val="00C07344"/>
    <w:rsid w:val="00C079A3"/>
    <w:rsid w:val="00C07C1F"/>
    <w:rsid w:val="00C07C79"/>
    <w:rsid w:val="00C11A79"/>
    <w:rsid w:val="00C1211E"/>
    <w:rsid w:val="00C13607"/>
    <w:rsid w:val="00C137B1"/>
    <w:rsid w:val="00C13811"/>
    <w:rsid w:val="00C13B43"/>
    <w:rsid w:val="00C14152"/>
    <w:rsid w:val="00C147CC"/>
    <w:rsid w:val="00C15E81"/>
    <w:rsid w:val="00C16EB4"/>
    <w:rsid w:val="00C174C9"/>
    <w:rsid w:val="00C17A25"/>
    <w:rsid w:val="00C17B6E"/>
    <w:rsid w:val="00C200BA"/>
    <w:rsid w:val="00C2018A"/>
    <w:rsid w:val="00C20748"/>
    <w:rsid w:val="00C20754"/>
    <w:rsid w:val="00C21378"/>
    <w:rsid w:val="00C21C03"/>
    <w:rsid w:val="00C220A5"/>
    <w:rsid w:val="00C22307"/>
    <w:rsid w:val="00C22BB2"/>
    <w:rsid w:val="00C22EAF"/>
    <w:rsid w:val="00C23150"/>
    <w:rsid w:val="00C23F7D"/>
    <w:rsid w:val="00C24580"/>
    <w:rsid w:val="00C24908"/>
    <w:rsid w:val="00C250E8"/>
    <w:rsid w:val="00C25150"/>
    <w:rsid w:val="00C2515F"/>
    <w:rsid w:val="00C251F1"/>
    <w:rsid w:val="00C25B30"/>
    <w:rsid w:val="00C25DCF"/>
    <w:rsid w:val="00C26AEA"/>
    <w:rsid w:val="00C276EC"/>
    <w:rsid w:val="00C27C0A"/>
    <w:rsid w:val="00C30530"/>
    <w:rsid w:val="00C305D9"/>
    <w:rsid w:val="00C31184"/>
    <w:rsid w:val="00C31197"/>
    <w:rsid w:val="00C31711"/>
    <w:rsid w:val="00C31AD4"/>
    <w:rsid w:val="00C31C63"/>
    <w:rsid w:val="00C31C8C"/>
    <w:rsid w:val="00C31CD9"/>
    <w:rsid w:val="00C32481"/>
    <w:rsid w:val="00C3394C"/>
    <w:rsid w:val="00C34278"/>
    <w:rsid w:val="00C34581"/>
    <w:rsid w:val="00C34A4C"/>
    <w:rsid w:val="00C34AD7"/>
    <w:rsid w:val="00C3516D"/>
    <w:rsid w:val="00C351E4"/>
    <w:rsid w:val="00C353D8"/>
    <w:rsid w:val="00C35B43"/>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065"/>
    <w:rsid w:val="00C44949"/>
    <w:rsid w:val="00C44B4C"/>
    <w:rsid w:val="00C450E3"/>
    <w:rsid w:val="00C456CC"/>
    <w:rsid w:val="00C45830"/>
    <w:rsid w:val="00C45C56"/>
    <w:rsid w:val="00C45CCD"/>
    <w:rsid w:val="00C46734"/>
    <w:rsid w:val="00C46C2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09E1"/>
    <w:rsid w:val="00C61117"/>
    <w:rsid w:val="00C616B4"/>
    <w:rsid w:val="00C621A7"/>
    <w:rsid w:val="00C62AA0"/>
    <w:rsid w:val="00C62AEC"/>
    <w:rsid w:val="00C62BF2"/>
    <w:rsid w:val="00C62D1B"/>
    <w:rsid w:val="00C62D43"/>
    <w:rsid w:val="00C638A6"/>
    <w:rsid w:val="00C63FB9"/>
    <w:rsid w:val="00C64266"/>
    <w:rsid w:val="00C647DF"/>
    <w:rsid w:val="00C64F8E"/>
    <w:rsid w:val="00C66306"/>
    <w:rsid w:val="00C66CE8"/>
    <w:rsid w:val="00C70074"/>
    <w:rsid w:val="00C703BA"/>
    <w:rsid w:val="00C70D51"/>
    <w:rsid w:val="00C70DF4"/>
    <w:rsid w:val="00C71252"/>
    <w:rsid w:val="00C7277F"/>
    <w:rsid w:val="00C72960"/>
    <w:rsid w:val="00C73C07"/>
    <w:rsid w:val="00C74759"/>
    <w:rsid w:val="00C74930"/>
    <w:rsid w:val="00C74B47"/>
    <w:rsid w:val="00C74D80"/>
    <w:rsid w:val="00C754BD"/>
    <w:rsid w:val="00C75D3A"/>
    <w:rsid w:val="00C769A9"/>
    <w:rsid w:val="00C772BC"/>
    <w:rsid w:val="00C774C9"/>
    <w:rsid w:val="00C77F1B"/>
    <w:rsid w:val="00C80987"/>
    <w:rsid w:val="00C80A3F"/>
    <w:rsid w:val="00C80EE4"/>
    <w:rsid w:val="00C8180E"/>
    <w:rsid w:val="00C818A9"/>
    <w:rsid w:val="00C81F34"/>
    <w:rsid w:val="00C82436"/>
    <w:rsid w:val="00C82933"/>
    <w:rsid w:val="00C82BE2"/>
    <w:rsid w:val="00C835D3"/>
    <w:rsid w:val="00C84BBF"/>
    <w:rsid w:val="00C84BE9"/>
    <w:rsid w:val="00C854B7"/>
    <w:rsid w:val="00C85D08"/>
    <w:rsid w:val="00C85DEF"/>
    <w:rsid w:val="00C85E1C"/>
    <w:rsid w:val="00C85E40"/>
    <w:rsid w:val="00C86D76"/>
    <w:rsid w:val="00C86DA6"/>
    <w:rsid w:val="00C87A64"/>
    <w:rsid w:val="00C910F8"/>
    <w:rsid w:val="00C91106"/>
    <w:rsid w:val="00C9117B"/>
    <w:rsid w:val="00C91D19"/>
    <w:rsid w:val="00C93286"/>
    <w:rsid w:val="00C93B58"/>
    <w:rsid w:val="00C93C2F"/>
    <w:rsid w:val="00C93E14"/>
    <w:rsid w:val="00C93F13"/>
    <w:rsid w:val="00C9437C"/>
    <w:rsid w:val="00C946E4"/>
    <w:rsid w:val="00C946FF"/>
    <w:rsid w:val="00C94A14"/>
    <w:rsid w:val="00C94CDA"/>
    <w:rsid w:val="00C95BED"/>
    <w:rsid w:val="00C95EB3"/>
    <w:rsid w:val="00C9657E"/>
    <w:rsid w:val="00C96725"/>
    <w:rsid w:val="00C96FD9"/>
    <w:rsid w:val="00C97A66"/>
    <w:rsid w:val="00CA007B"/>
    <w:rsid w:val="00CA01BB"/>
    <w:rsid w:val="00CA0AA4"/>
    <w:rsid w:val="00CA0C1E"/>
    <w:rsid w:val="00CA15B0"/>
    <w:rsid w:val="00CA183B"/>
    <w:rsid w:val="00CA1C71"/>
    <w:rsid w:val="00CA1D4C"/>
    <w:rsid w:val="00CA1D50"/>
    <w:rsid w:val="00CA1DAB"/>
    <w:rsid w:val="00CA20E0"/>
    <w:rsid w:val="00CA2598"/>
    <w:rsid w:val="00CA3347"/>
    <w:rsid w:val="00CA41A6"/>
    <w:rsid w:val="00CA523D"/>
    <w:rsid w:val="00CA6FDA"/>
    <w:rsid w:val="00CA77CF"/>
    <w:rsid w:val="00CA7B58"/>
    <w:rsid w:val="00CB0836"/>
    <w:rsid w:val="00CB0CB9"/>
    <w:rsid w:val="00CB1413"/>
    <w:rsid w:val="00CB18D4"/>
    <w:rsid w:val="00CB24D9"/>
    <w:rsid w:val="00CB2518"/>
    <w:rsid w:val="00CB3156"/>
    <w:rsid w:val="00CB3920"/>
    <w:rsid w:val="00CB469E"/>
    <w:rsid w:val="00CB4C4C"/>
    <w:rsid w:val="00CB4DBA"/>
    <w:rsid w:val="00CB6413"/>
    <w:rsid w:val="00CB696F"/>
    <w:rsid w:val="00CB6A00"/>
    <w:rsid w:val="00CB6DA1"/>
    <w:rsid w:val="00CB7059"/>
    <w:rsid w:val="00CB7097"/>
    <w:rsid w:val="00CB709D"/>
    <w:rsid w:val="00CB73EE"/>
    <w:rsid w:val="00CB77F4"/>
    <w:rsid w:val="00CB780D"/>
    <w:rsid w:val="00CC00E9"/>
    <w:rsid w:val="00CC0F1C"/>
    <w:rsid w:val="00CC109F"/>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C7EA8"/>
    <w:rsid w:val="00CD081C"/>
    <w:rsid w:val="00CD14DA"/>
    <w:rsid w:val="00CD1B5A"/>
    <w:rsid w:val="00CD1E9C"/>
    <w:rsid w:val="00CD27DB"/>
    <w:rsid w:val="00CD2E70"/>
    <w:rsid w:val="00CD386B"/>
    <w:rsid w:val="00CD3D06"/>
    <w:rsid w:val="00CD4A09"/>
    <w:rsid w:val="00CD4C67"/>
    <w:rsid w:val="00CD4C7B"/>
    <w:rsid w:val="00CD5125"/>
    <w:rsid w:val="00CD5397"/>
    <w:rsid w:val="00CD5E93"/>
    <w:rsid w:val="00CD6D2E"/>
    <w:rsid w:val="00CD7963"/>
    <w:rsid w:val="00CE061C"/>
    <w:rsid w:val="00CE1344"/>
    <w:rsid w:val="00CE15AE"/>
    <w:rsid w:val="00CE1CFC"/>
    <w:rsid w:val="00CE235A"/>
    <w:rsid w:val="00CE37A3"/>
    <w:rsid w:val="00CE3814"/>
    <w:rsid w:val="00CE3FC0"/>
    <w:rsid w:val="00CE4AC7"/>
    <w:rsid w:val="00CE56B7"/>
    <w:rsid w:val="00CE5B2B"/>
    <w:rsid w:val="00CE6543"/>
    <w:rsid w:val="00CE6660"/>
    <w:rsid w:val="00CE6855"/>
    <w:rsid w:val="00CE6B6F"/>
    <w:rsid w:val="00CE7033"/>
    <w:rsid w:val="00CE7075"/>
    <w:rsid w:val="00CE770A"/>
    <w:rsid w:val="00CF02A6"/>
    <w:rsid w:val="00CF05A6"/>
    <w:rsid w:val="00CF060D"/>
    <w:rsid w:val="00CF06CF"/>
    <w:rsid w:val="00CF101C"/>
    <w:rsid w:val="00CF15C5"/>
    <w:rsid w:val="00CF1E77"/>
    <w:rsid w:val="00CF1EFE"/>
    <w:rsid w:val="00CF2682"/>
    <w:rsid w:val="00CF2DC1"/>
    <w:rsid w:val="00CF2EE2"/>
    <w:rsid w:val="00CF37AD"/>
    <w:rsid w:val="00CF3948"/>
    <w:rsid w:val="00CF3ACF"/>
    <w:rsid w:val="00CF441D"/>
    <w:rsid w:val="00CF4FCF"/>
    <w:rsid w:val="00CF4FDC"/>
    <w:rsid w:val="00CF53F2"/>
    <w:rsid w:val="00CF56AF"/>
    <w:rsid w:val="00CF58F1"/>
    <w:rsid w:val="00CF5BE0"/>
    <w:rsid w:val="00CF5BF1"/>
    <w:rsid w:val="00CF5D64"/>
    <w:rsid w:val="00CF6001"/>
    <w:rsid w:val="00CF61CB"/>
    <w:rsid w:val="00CF666F"/>
    <w:rsid w:val="00CF686F"/>
    <w:rsid w:val="00CF6CA7"/>
    <w:rsid w:val="00CF6E7D"/>
    <w:rsid w:val="00CF76FB"/>
    <w:rsid w:val="00CF7705"/>
    <w:rsid w:val="00D00175"/>
    <w:rsid w:val="00D00223"/>
    <w:rsid w:val="00D00312"/>
    <w:rsid w:val="00D0045E"/>
    <w:rsid w:val="00D00849"/>
    <w:rsid w:val="00D008D8"/>
    <w:rsid w:val="00D009BC"/>
    <w:rsid w:val="00D00DBF"/>
    <w:rsid w:val="00D0149B"/>
    <w:rsid w:val="00D01AAA"/>
    <w:rsid w:val="00D01F5D"/>
    <w:rsid w:val="00D01FA9"/>
    <w:rsid w:val="00D02D17"/>
    <w:rsid w:val="00D03755"/>
    <w:rsid w:val="00D03DBE"/>
    <w:rsid w:val="00D03EED"/>
    <w:rsid w:val="00D0597D"/>
    <w:rsid w:val="00D06274"/>
    <w:rsid w:val="00D066D8"/>
    <w:rsid w:val="00D07FB9"/>
    <w:rsid w:val="00D10C27"/>
    <w:rsid w:val="00D10E78"/>
    <w:rsid w:val="00D11949"/>
    <w:rsid w:val="00D11A69"/>
    <w:rsid w:val="00D11CB2"/>
    <w:rsid w:val="00D12C98"/>
    <w:rsid w:val="00D12FFC"/>
    <w:rsid w:val="00D13CA3"/>
    <w:rsid w:val="00D1484F"/>
    <w:rsid w:val="00D14BA0"/>
    <w:rsid w:val="00D14D7B"/>
    <w:rsid w:val="00D1516D"/>
    <w:rsid w:val="00D158B0"/>
    <w:rsid w:val="00D15B1C"/>
    <w:rsid w:val="00D15BBB"/>
    <w:rsid w:val="00D1707A"/>
    <w:rsid w:val="00D17CC2"/>
    <w:rsid w:val="00D20EED"/>
    <w:rsid w:val="00D21435"/>
    <w:rsid w:val="00D2242C"/>
    <w:rsid w:val="00D224FA"/>
    <w:rsid w:val="00D23033"/>
    <w:rsid w:val="00D23D60"/>
    <w:rsid w:val="00D23DA6"/>
    <w:rsid w:val="00D2402F"/>
    <w:rsid w:val="00D245C2"/>
    <w:rsid w:val="00D255BC"/>
    <w:rsid w:val="00D25660"/>
    <w:rsid w:val="00D2569B"/>
    <w:rsid w:val="00D258EB"/>
    <w:rsid w:val="00D25AEB"/>
    <w:rsid w:val="00D26C14"/>
    <w:rsid w:val="00D271CD"/>
    <w:rsid w:val="00D27BD2"/>
    <w:rsid w:val="00D27C94"/>
    <w:rsid w:val="00D30480"/>
    <w:rsid w:val="00D3064E"/>
    <w:rsid w:val="00D315CC"/>
    <w:rsid w:val="00D316A5"/>
    <w:rsid w:val="00D31DDA"/>
    <w:rsid w:val="00D31F05"/>
    <w:rsid w:val="00D32067"/>
    <w:rsid w:val="00D327A3"/>
    <w:rsid w:val="00D3346D"/>
    <w:rsid w:val="00D33893"/>
    <w:rsid w:val="00D33AE9"/>
    <w:rsid w:val="00D34224"/>
    <w:rsid w:val="00D34927"/>
    <w:rsid w:val="00D34C82"/>
    <w:rsid w:val="00D36550"/>
    <w:rsid w:val="00D36A10"/>
    <w:rsid w:val="00D36C97"/>
    <w:rsid w:val="00D379EC"/>
    <w:rsid w:val="00D37C94"/>
    <w:rsid w:val="00D37E9F"/>
    <w:rsid w:val="00D40D88"/>
    <w:rsid w:val="00D41E42"/>
    <w:rsid w:val="00D41F6B"/>
    <w:rsid w:val="00D42380"/>
    <w:rsid w:val="00D42C9B"/>
    <w:rsid w:val="00D4348D"/>
    <w:rsid w:val="00D435CD"/>
    <w:rsid w:val="00D436D7"/>
    <w:rsid w:val="00D43ADD"/>
    <w:rsid w:val="00D44029"/>
    <w:rsid w:val="00D44116"/>
    <w:rsid w:val="00D44E42"/>
    <w:rsid w:val="00D44FC3"/>
    <w:rsid w:val="00D45072"/>
    <w:rsid w:val="00D450E2"/>
    <w:rsid w:val="00D453D7"/>
    <w:rsid w:val="00D4552D"/>
    <w:rsid w:val="00D462D6"/>
    <w:rsid w:val="00D46898"/>
    <w:rsid w:val="00D4714D"/>
    <w:rsid w:val="00D474AB"/>
    <w:rsid w:val="00D4754E"/>
    <w:rsid w:val="00D50460"/>
    <w:rsid w:val="00D50961"/>
    <w:rsid w:val="00D50A02"/>
    <w:rsid w:val="00D512A1"/>
    <w:rsid w:val="00D518D6"/>
    <w:rsid w:val="00D51FDC"/>
    <w:rsid w:val="00D52AB4"/>
    <w:rsid w:val="00D52F26"/>
    <w:rsid w:val="00D531F5"/>
    <w:rsid w:val="00D5373C"/>
    <w:rsid w:val="00D538C1"/>
    <w:rsid w:val="00D538D5"/>
    <w:rsid w:val="00D53B5C"/>
    <w:rsid w:val="00D54640"/>
    <w:rsid w:val="00D54916"/>
    <w:rsid w:val="00D55455"/>
    <w:rsid w:val="00D559B5"/>
    <w:rsid w:val="00D55DC2"/>
    <w:rsid w:val="00D56420"/>
    <w:rsid w:val="00D5658A"/>
    <w:rsid w:val="00D56A94"/>
    <w:rsid w:val="00D56C0C"/>
    <w:rsid w:val="00D56F9E"/>
    <w:rsid w:val="00D570B4"/>
    <w:rsid w:val="00D5798B"/>
    <w:rsid w:val="00D602DF"/>
    <w:rsid w:val="00D60736"/>
    <w:rsid w:val="00D6170E"/>
    <w:rsid w:val="00D61972"/>
    <w:rsid w:val="00D61B58"/>
    <w:rsid w:val="00D6307D"/>
    <w:rsid w:val="00D63632"/>
    <w:rsid w:val="00D63732"/>
    <w:rsid w:val="00D637F5"/>
    <w:rsid w:val="00D63925"/>
    <w:rsid w:val="00D63D9C"/>
    <w:rsid w:val="00D6405D"/>
    <w:rsid w:val="00D6568E"/>
    <w:rsid w:val="00D65893"/>
    <w:rsid w:val="00D658EC"/>
    <w:rsid w:val="00D66816"/>
    <w:rsid w:val="00D6684E"/>
    <w:rsid w:val="00D6742A"/>
    <w:rsid w:val="00D67B9B"/>
    <w:rsid w:val="00D71733"/>
    <w:rsid w:val="00D718AC"/>
    <w:rsid w:val="00D71951"/>
    <w:rsid w:val="00D719A3"/>
    <w:rsid w:val="00D71BAD"/>
    <w:rsid w:val="00D71E7A"/>
    <w:rsid w:val="00D72039"/>
    <w:rsid w:val="00D72655"/>
    <w:rsid w:val="00D72DE7"/>
    <w:rsid w:val="00D7302F"/>
    <w:rsid w:val="00D7329E"/>
    <w:rsid w:val="00D7340B"/>
    <w:rsid w:val="00D73870"/>
    <w:rsid w:val="00D73BB2"/>
    <w:rsid w:val="00D74575"/>
    <w:rsid w:val="00D74C57"/>
    <w:rsid w:val="00D74D14"/>
    <w:rsid w:val="00D74E74"/>
    <w:rsid w:val="00D74F3B"/>
    <w:rsid w:val="00D752E7"/>
    <w:rsid w:val="00D7574B"/>
    <w:rsid w:val="00D75913"/>
    <w:rsid w:val="00D75E82"/>
    <w:rsid w:val="00D76270"/>
    <w:rsid w:val="00D767C6"/>
    <w:rsid w:val="00D769C5"/>
    <w:rsid w:val="00D76E76"/>
    <w:rsid w:val="00D77ED7"/>
    <w:rsid w:val="00D80631"/>
    <w:rsid w:val="00D818EC"/>
    <w:rsid w:val="00D81A20"/>
    <w:rsid w:val="00D81F55"/>
    <w:rsid w:val="00D8292F"/>
    <w:rsid w:val="00D8321A"/>
    <w:rsid w:val="00D83F57"/>
    <w:rsid w:val="00D84A86"/>
    <w:rsid w:val="00D8507B"/>
    <w:rsid w:val="00D85152"/>
    <w:rsid w:val="00D85D1A"/>
    <w:rsid w:val="00D85F2C"/>
    <w:rsid w:val="00D86030"/>
    <w:rsid w:val="00D861BD"/>
    <w:rsid w:val="00D86D55"/>
    <w:rsid w:val="00D8789C"/>
    <w:rsid w:val="00D8789D"/>
    <w:rsid w:val="00D87B3F"/>
    <w:rsid w:val="00D9003D"/>
    <w:rsid w:val="00D90279"/>
    <w:rsid w:val="00D90558"/>
    <w:rsid w:val="00D9082F"/>
    <w:rsid w:val="00D90C79"/>
    <w:rsid w:val="00D914EB"/>
    <w:rsid w:val="00D91B36"/>
    <w:rsid w:val="00D9305B"/>
    <w:rsid w:val="00D94085"/>
    <w:rsid w:val="00D9445B"/>
    <w:rsid w:val="00D944D2"/>
    <w:rsid w:val="00D95ECE"/>
    <w:rsid w:val="00D96D4F"/>
    <w:rsid w:val="00DA1806"/>
    <w:rsid w:val="00DA1BD1"/>
    <w:rsid w:val="00DA212B"/>
    <w:rsid w:val="00DA3155"/>
    <w:rsid w:val="00DA3A76"/>
    <w:rsid w:val="00DA4478"/>
    <w:rsid w:val="00DA5713"/>
    <w:rsid w:val="00DA5792"/>
    <w:rsid w:val="00DA5B51"/>
    <w:rsid w:val="00DA5F95"/>
    <w:rsid w:val="00DA6856"/>
    <w:rsid w:val="00DA6D6D"/>
    <w:rsid w:val="00DA73C1"/>
    <w:rsid w:val="00DA7457"/>
    <w:rsid w:val="00DA7478"/>
    <w:rsid w:val="00DA770D"/>
    <w:rsid w:val="00DA77A8"/>
    <w:rsid w:val="00DA7851"/>
    <w:rsid w:val="00DA7DC1"/>
    <w:rsid w:val="00DB00EE"/>
    <w:rsid w:val="00DB0132"/>
    <w:rsid w:val="00DB2754"/>
    <w:rsid w:val="00DB2D88"/>
    <w:rsid w:val="00DB3067"/>
    <w:rsid w:val="00DB3687"/>
    <w:rsid w:val="00DB38D1"/>
    <w:rsid w:val="00DB3DC3"/>
    <w:rsid w:val="00DB41CB"/>
    <w:rsid w:val="00DB5114"/>
    <w:rsid w:val="00DB681B"/>
    <w:rsid w:val="00DB6D37"/>
    <w:rsid w:val="00DB73C2"/>
    <w:rsid w:val="00DB7E24"/>
    <w:rsid w:val="00DC0445"/>
    <w:rsid w:val="00DC115F"/>
    <w:rsid w:val="00DC17A9"/>
    <w:rsid w:val="00DC2082"/>
    <w:rsid w:val="00DC225F"/>
    <w:rsid w:val="00DC254E"/>
    <w:rsid w:val="00DC2883"/>
    <w:rsid w:val="00DC2B0D"/>
    <w:rsid w:val="00DC2C48"/>
    <w:rsid w:val="00DC46B5"/>
    <w:rsid w:val="00DC4B28"/>
    <w:rsid w:val="00DC4B5D"/>
    <w:rsid w:val="00DC4CD0"/>
    <w:rsid w:val="00DC525E"/>
    <w:rsid w:val="00DC535C"/>
    <w:rsid w:val="00DC5DCB"/>
    <w:rsid w:val="00DC6C0D"/>
    <w:rsid w:val="00DC6CCF"/>
    <w:rsid w:val="00DC75E7"/>
    <w:rsid w:val="00DD074A"/>
    <w:rsid w:val="00DD0D70"/>
    <w:rsid w:val="00DD1941"/>
    <w:rsid w:val="00DD26A5"/>
    <w:rsid w:val="00DD2812"/>
    <w:rsid w:val="00DD2CE3"/>
    <w:rsid w:val="00DD34F2"/>
    <w:rsid w:val="00DD3C6B"/>
    <w:rsid w:val="00DD4A56"/>
    <w:rsid w:val="00DD54ED"/>
    <w:rsid w:val="00DD6861"/>
    <w:rsid w:val="00DD697F"/>
    <w:rsid w:val="00DD699C"/>
    <w:rsid w:val="00DD6A5A"/>
    <w:rsid w:val="00DD72F3"/>
    <w:rsid w:val="00DD739F"/>
    <w:rsid w:val="00DD7631"/>
    <w:rsid w:val="00DD7762"/>
    <w:rsid w:val="00DD781E"/>
    <w:rsid w:val="00DD7A2C"/>
    <w:rsid w:val="00DD7F63"/>
    <w:rsid w:val="00DE0A1B"/>
    <w:rsid w:val="00DE1238"/>
    <w:rsid w:val="00DE1966"/>
    <w:rsid w:val="00DE1FFE"/>
    <w:rsid w:val="00DE2F9E"/>
    <w:rsid w:val="00DE31B1"/>
    <w:rsid w:val="00DE32E7"/>
    <w:rsid w:val="00DE3703"/>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AFB"/>
    <w:rsid w:val="00E13E8F"/>
    <w:rsid w:val="00E14818"/>
    <w:rsid w:val="00E148E8"/>
    <w:rsid w:val="00E151ED"/>
    <w:rsid w:val="00E1610C"/>
    <w:rsid w:val="00E162BD"/>
    <w:rsid w:val="00E16660"/>
    <w:rsid w:val="00E16A1D"/>
    <w:rsid w:val="00E16C78"/>
    <w:rsid w:val="00E16D73"/>
    <w:rsid w:val="00E17296"/>
    <w:rsid w:val="00E17833"/>
    <w:rsid w:val="00E17981"/>
    <w:rsid w:val="00E17B91"/>
    <w:rsid w:val="00E17CD2"/>
    <w:rsid w:val="00E17E36"/>
    <w:rsid w:val="00E201F2"/>
    <w:rsid w:val="00E206D8"/>
    <w:rsid w:val="00E20A87"/>
    <w:rsid w:val="00E2113A"/>
    <w:rsid w:val="00E21C65"/>
    <w:rsid w:val="00E2307E"/>
    <w:rsid w:val="00E2352B"/>
    <w:rsid w:val="00E23C63"/>
    <w:rsid w:val="00E23E84"/>
    <w:rsid w:val="00E23F9B"/>
    <w:rsid w:val="00E24D23"/>
    <w:rsid w:val="00E2546F"/>
    <w:rsid w:val="00E26285"/>
    <w:rsid w:val="00E26649"/>
    <w:rsid w:val="00E2703D"/>
    <w:rsid w:val="00E271F9"/>
    <w:rsid w:val="00E27F0A"/>
    <w:rsid w:val="00E304DF"/>
    <w:rsid w:val="00E30712"/>
    <w:rsid w:val="00E309B0"/>
    <w:rsid w:val="00E30A3E"/>
    <w:rsid w:val="00E30E67"/>
    <w:rsid w:val="00E32143"/>
    <w:rsid w:val="00E325F3"/>
    <w:rsid w:val="00E326E9"/>
    <w:rsid w:val="00E32AB7"/>
    <w:rsid w:val="00E32B61"/>
    <w:rsid w:val="00E33106"/>
    <w:rsid w:val="00E33585"/>
    <w:rsid w:val="00E339AE"/>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19C"/>
    <w:rsid w:val="00E43894"/>
    <w:rsid w:val="00E44AC7"/>
    <w:rsid w:val="00E44E08"/>
    <w:rsid w:val="00E45B2D"/>
    <w:rsid w:val="00E45D26"/>
    <w:rsid w:val="00E45DF9"/>
    <w:rsid w:val="00E468F2"/>
    <w:rsid w:val="00E477C4"/>
    <w:rsid w:val="00E478EF"/>
    <w:rsid w:val="00E47A20"/>
    <w:rsid w:val="00E47BBA"/>
    <w:rsid w:val="00E5065D"/>
    <w:rsid w:val="00E5084C"/>
    <w:rsid w:val="00E50871"/>
    <w:rsid w:val="00E50AD9"/>
    <w:rsid w:val="00E50B4C"/>
    <w:rsid w:val="00E512FE"/>
    <w:rsid w:val="00E5198D"/>
    <w:rsid w:val="00E52063"/>
    <w:rsid w:val="00E52C66"/>
    <w:rsid w:val="00E53533"/>
    <w:rsid w:val="00E537ED"/>
    <w:rsid w:val="00E5384D"/>
    <w:rsid w:val="00E53F2E"/>
    <w:rsid w:val="00E54004"/>
    <w:rsid w:val="00E546C9"/>
    <w:rsid w:val="00E54BB9"/>
    <w:rsid w:val="00E54D3F"/>
    <w:rsid w:val="00E55F1F"/>
    <w:rsid w:val="00E56735"/>
    <w:rsid w:val="00E56866"/>
    <w:rsid w:val="00E56904"/>
    <w:rsid w:val="00E56FA9"/>
    <w:rsid w:val="00E57DFD"/>
    <w:rsid w:val="00E60423"/>
    <w:rsid w:val="00E60438"/>
    <w:rsid w:val="00E60545"/>
    <w:rsid w:val="00E606F4"/>
    <w:rsid w:val="00E607E5"/>
    <w:rsid w:val="00E60A16"/>
    <w:rsid w:val="00E610CB"/>
    <w:rsid w:val="00E6125B"/>
    <w:rsid w:val="00E615AF"/>
    <w:rsid w:val="00E6170A"/>
    <w:rsid w:val="00E62816"/>
    <w:rsid w:val="00E629EF"/>
    <w:rsid w:val="00E62ADF"/>
    <w:rsid w:val="00E62FA7"/>
    <w:rsid w:val="00E637A3"/>
    <w:rsid w:val="00E63A08"/>
    <w:rsid w:val="00E645CC"/>
    <w:rsid w:val="00E659FD"/>
    <w:rsid w:val="00E65B0C"/>
    <w:rsid w:val="00E66783"/>
    <w:rsid w:val="00E66B16"/>
    <w:rsid w:val="00E66BA2"/>
    <w:rsid w:val="00E677DB"/>
    <w:rsid w:val="00E700F8"/>
    <w:rsid w:val="00E71B42"/>
    <w:rsid w:val="00E71C2D"/>
    <w:rsid w:val="00E72187"/>
    <w:rsid w:val="00E725EB"/>
    <w:rsid w:val="00E7266C"/>
    <w:rsid w:val="00E72BB6"/>
    <w:rsid w:val="00E72CD0"/>
    <w:rsid w:val="00E730AC"/>
    <w:rsid w:val="00E7310C"/>
    <w:rsid w:val="00E733ED"/>
    <w:rsid w:val="00E734CE"/>
    <w:rsid w:val="00E73D33"/>
    <w:rsid w:val="00E74DAE"/>
    <w:rsid w:val="00E750CB"/>
    <w:rsid w:val="00E778DC"/>
    <w:rsid w:val="00E77FD3"/>
    <w:rsid w:val="00E80336"/>
    <w:rsid w:val="00E80D00"/>
    <w:rsid w:val="00E810BD"/>
    <w:rsid w:val="00E815CE"/>
    <w:rsid w:val="00E81611"/>
    <w:rsid w:val="00E81800"/>
    <w:rsid w:val="00E81863"/>
    <w:rsid w:val="00E81C42"/>
    <w:rsid w:val="00E81C5C"/>
    <w:rsid w:val="00E81FDB"/>
    <w:rsid w:val="00E82064"/>
    <w:rsid w:val="00E82912"/>
    <w:rsid w:val="00E82B6E"/>
    <w:rsid w:val="00E82DA0"/>
    <w:rsid w:val="00E82DC6"/>
    <w:rsid w:val="00E8347E"/>
    <w:rsid w:val="00E835C5"/>
    <w:rsid w:val="00E83ACD"/>
    <w:rsid w:val="00E83D4B"/>
    <w:rsid w:val="00E848F0"/>
    <w:rsid w:val="00E84D1C"/>
    <w:rsid w:val="00E84D9C"/>
    <w:rsid w:val="00E85069"/>
    <w:rsid w:val="00E8628F"/>
    <w:rsid w:val="00E86888"/>
    <w:rsid w:val="00E8695C"/>
    <w:rsid w:val="00E86F48"/>
    <w:rsid w:val="00E87D1E"/>
    <w:rsid w:val="00E90DE0"/>
    <w:rsid w:val="00E90F2A"/>
    <w:rsid w:val="00E91191"/>
    <w:rsid w:val="00E9212C"/>
    <w:rsid w:val="00E92C96"/>
    <w:rsid w:val="00E93F01"/>
    <w:rsid w:val="00E942B8"/>
    <w:rsid w:val="00E944ED"/>
    <w:rsid w:val="00E945AF"/>
    <w:rsid w:val="00E94A0B"/>
    <w:rsid w:val="00E94A2C"/>
    <w:rsid w:val="00E9544C"/>
    <w:rsid w:val="00E95799"/>
    <w:rsid w:val="00E95A53"/>
    <w:rsid w:val="00E95D93"/>
    <w:rsid w:val="00E9683D"/>
    <w:rsid w:val="00E970B7"/>
    <w:rsid w:val="00E97D95"/>
    <w:rsid w:val="00EA0035"/>
    <w:rsid w:val="00EA010D"/>
    <w:rsid w:val="00EA04C5"/>
    <w:rsid w:val="00EA0507"/>
    <w:rsid w:val="00EA07EC"/>
    <w:rsid w:val="00EA09B6"/>
    <w:rsid w:val="00EA0BB5"/>
    <w:rsid w:val="00EA1A8A"/>
    <w:rsid w:val="00EA21FA"/>
    <w:rsid w:val="00EA25EB"/>
    <w:rsid w:val="00EA26D5"/>
    <w:rsid w:val="00EA2775"/>
    <w:rsid w:val="00EA305D"/>
    <w:rsid w:val="00EA3106"/>
    <w:rsid w:val="00EA3874"/>
    <w:rsid w:val="00EA3B97"/>
    <w:rsid w:val="00EA4300"/>
    <w:rsid w:val="00EA5697"/>
    <w:rsid w:val="00EA5AB6"/>
    <w:rsid w:val="00EA5FB0"/>
    <w:rsid w:val="00EA612E"/>
    <w:rsid w:val="00EA6F91"/>
    <w:rsid w:val="00EA7618"/>
    <w:rsid w:val="00EA761C"/>
    <w:rsid w:val="00EA7D7F"/>
    <w:rsid w:val="00EB0810"/>
    <w:rsid w:val="00EB0AF9"/>
    <w:rsid w:val="00EB0B5F"/>
    <w:rsid w:val="00EB1CF7"/>
    <w:rsid w:val="00EB25C2"/>
    <w:rsid w:val="00EB2B6F"/>
    <w:rsid w:val="00EB2CAD"/>
    <w:rsid w:val="00EB2FA2"/>
    <w:rsid w:val="00EB3272"/>
    <w:rsid w:val="00EB37B2"/>
    <w:rsid w:val="00EB3FF9"/>
    <w:rsid w:val="00EB5047"/>
    <w:rsid w:val="00EB5F0B"/>
    <w:rsid w:val="00EB6EA4"/>
    <w:rsid w:val="00EB7352"/>
    <w:rsid w:val="00EB769A"/>
    <w:rsid w:val="00EC08CF"/>
    <w:rsid w:val="00EC11E4"/>
    <w:rsid w:val="00EC14E1"/>
    <w:rsid w:val="00EC183C"/>
    <w:rsid w:val="00EC1AB4"/>
    <w:rsid w:val="00EC1CDD"/>
    <w:rsid w:val="00EC2A3F"/>
    <w:rsid w:val="00EC2E64"/>
    <w:rsid w:val="00EC2F37"/>
    <w:rsid w:val="00EC3A35"/>
    <w:rsid w:val="00EC3C52"/>
    <w:rsid w:val="00EC3E5B"/>
    <w:rsid w:val="00EC3E69"/>
    <w:rsid w:val="00EC41A7"/>
    <w:rsid w:val="00EC4257"/>
    <w:rsid w:val="00EC46CE"/>
    <w:rsid w:val="00EC4F94"/>
    <w:rsid w:val="00EC5162"/>
    <w:rsid w:val="00EC5554"/>
    <w:rsid w:val="00EC572B"/>
    <w:rsid w:val="00EC5B8E"/>
    <w:rsid w:val="00EC7356"/>
    <w:rsid w:val="00EC75F6"/>
    <w:rsid w:val="00EC75FC"/>
    <w:rsid w:val="00ED0065"/>
    <w:rsid w:val="00ED110A"/>
    <w:rsid w:val="00ED17B5"/>
    <w:rsid w:val="00ED1BA0"/>
    <w:rsid w:val="00ED1D2D"/>
    <w:rsid w:val="00ED353D"/>
    <w:rsid w:val="00ED3B56"/>
    <w:rsid w:val="00ED4C59"/>
    <w:rsid w:val="00ED4CCF"/>
    <w:rsid w:val="00ED4FF4"/>
    <w:rsid w:val="00ED588C"/>
    <w:rsid w:val="00ED5B71"/>
    <w:rsid w:val="00ED6E7A"/>
    <w:rsid w:val="00ED6EA1"/>
    <w:rsid w:val="00ED7A7F"/>
    <w:rsid w:val="00ED7B85"/>
    <w:rsid w:val="00EE060B"/>
    <w:rsid w:val="00EE07AC"/>
    <w:rsid w:val="00EE0891"/>
    <w:rsid w:val="00EE0C94"/>
    <w:rsid w:val="00EE0F2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89E"/>
    <w:rsid w:val="00EE6755"/>
    <w:rsid w:val="00EE6C4A"/>
    <w:rsid w:val="00EE78D6"/>
    <w:rsid w:val="00EF03DC"/>
    <w:rsid w:val="00EF0437"/>
    <w:rsid w:val="00EF0568"/>
    <w:rsid w:val="00EF0A1E"/>
    <w:rsid w:val="00EF0BFE"/>
    <w:rsid w:val="00EF1878"/>
    <w:rsid w:val="00EF1A4D"/>
    <w:rsid w:val="00EF1DE8"/>
    <w:rsid w:val="00EF2AC7"/>
    <w:rsid w:val="00EF3397"/>
    <w:rsid w:val="00EF40BF"/>
    <w:rsid w:val="00EF429A"/>
    <w:rsid w:val="00EF4557"/>
    <w:rsid w:val="00EF493F"/>
    <w:rsid w:val="00EF5947"/>
    <w:rsid w:val="00EF5E22"/>
    <w:rsid w:val="00EF60CA"/>
    <w:rsid w:val="00EF63C1"/>
    <w:rsid w:val="00EF6557"/>
    <w:rsid w:val="00EF69B7"/>
    <w:rsid w:val="00EF6C2B"/>
    <w:rsid w:val="00F00059"/>
    <w:rsid w:val="00F00084"/>
    <w:rsid w:val="00F0010E"/>
    <w:rsid w:val="00F008BD"/>
    <w:rsid w:val="00F021A9"/>
    <w:rsid w:val="00F02B50"/>
    <w:rsid w:val="00F02C54"/>
    <w:rsid w:val="00F02CD0"/>
    <w:rsid w:val="00F02D03"/>
    <w:rsid w:val="00F035DB"/>
    <w:rsid w:val="00F03B30"/>
    <w:rsid w:val="00F0448C"/>
    <w:rsid w:val="00F04BAF"/>
    <w:rsid w:val="00F0553C"/>
    <w:rsid w:val="00F0571E"/>
    <w:rsid w:val="00F06BA7"/>
    <w:rsid w:val="00F06C50"/>
    <w:rsid w:val="00F071BA"/>
    <w:rsid w:val="00F108BD"/>
    <w:rsid w:val="00F11A39"/>
    <w:rsid w:val="00F11D2E"/>
    <w:rsid w:val="00F1284F"/>
    <w:rsid w:val="00F13228"/>
    <w:rsid w:val="00F136A4"/>
    <w:rsid w:val="00F1377B"/>
    <w:rsid w:val="00F13C5E"/>
    <w:rsid w:val="00F14108"/>
    <w:rsid w:val="00F148D5"/>
    <w:rsid w:val="00F1601A"/>
    <w:rsid w:val="00F160BF"/>
    <w:rsid w:val="00F16173"/>
    <w:rsid w:val="00F1675C"/>
    <w:rsid w:val="00F16768"/>
    <w:rsid w:val="00F16A3C"/>
    <w:rsid w:val="00F16B84"/>
    <w:rsid w:val="00F16CCA"/>
    <w:rsid w:val="00F17428"/>
    <w:rsid w:val="00F17EAC"/>
    <w:rsid w:val="00F20046"/>
    <w:rsid w:val="00F20CC1"/>
    <w:rsid w:val="00F20D22"/>
    <w:rsid w:val="00F21A58"/>
    <w:rsid w:val="00F2302A"/>
    <w:rsid w:val="00F23048"/>
    <w:rsid w:val="00F23538"/>
    <w:rsid w:val="00F239CD"/>
    <w:rsid w:val="00F23DCC"/>
    <w:rsid w:val="00F24158"/>
    <w:rsid w:val="00F24294"/>
    <w:rsid w:val="00F2477C"/>
    <w:rsid w:val="00F24E5D"/>
    <w:rsid w:val="00F24EBB"/>
    <w:rsid w:val="00F27696"/>
    <w:rsid w:val="00F2777F"/>
    <w:rsid w:val="00F27F06"/>
    <w:rsid w:val="00F30C26"/>
    <w:rsid w:val="00F314E8"/>
    <w:rsid w:val="00F31518"/>
    <w:rsid w:val="00F316A2"/>
    <w:rsid w:val="00F323A2"/>
    <w:rsid w:val="00F32850"/>
    <w:rsid w:val="00F332D4"/>
    <w:rsid w:val="00F333DF"/>
    <w:rsid w:val="00F33B57"/>
    <w:rsid w:val="00F33CA8"/>
    <w:rsid w:val="00F33D5C"/>
    <w:rsid w:val="00F34BB2"/>
    <w:rsid w:val="00F356D6"/>
    <w:rsid w:val="00F36284"/>
    <w:rsid w:val="00F372DB"/>
    <w:rsid w:val="00F3785D"/>
    <w:rsid w:val="00F378BE"/>
    <w:rsid w:val="00F37D37"/>
    <w:rsid w:val="00F400E3"/>
    <w:rsid w:val="00F4013E"/>
    <w:rsid w:val="00F4021A"/>
    <w:rsid w:val="00F40855"/>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CA6"/>
    <w:rsid w:val="00F53F3D"/>
    <w:rsid w:val="00F53F92"/>
    <w:rsid w:val="00F54096"/>
    <w:rsid w:val="00F5480F"/>
    <w:rsid w:val="00F54AA5"/>
    <w:rsid w:val="00F551BF"/>
    <w:rsid w:val="00F552F7"/>
    <w:rsid w:val="00F553A7"/>
    <w:rsid w:val="00F554EB"/>
    <w:rsid w:val="00F5562D"/>
    <w:rsid w:val="00F55710"/>
    <w:rsid w:val="00F55BC7"/>
    <w:rsid w:val="00F56631"/>
    <w:rsid w:val="00F566EA"/>
    <w:rsid w:val="00F567A4"/>
    <w:rsid w:val="00F578EB"/>
    <w:rsid w:val="00F605BE"/>
    <w:rsid w:val="00F60778"/>
    <w:rsid w:val="00F60AF6"/>
    <w:rsid w:val="00F60DDC"/>
    <w:rsid w:val="00F610A9"/>
    <w:rsid w:val="00F617BE"/>
    <w:rsid w:val="00F6185D"/>
    <w:rsid w:val="00F61C7A"/>
    <w:rsid w:val="00F62356"/>
    <w:rsid w:val="00F625F7"/>
    <w:rsid w:val="00F632C2"/>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2DA"/>
    <w:rsid w:val="00F72823"/>
    <w:rsid w:val="00F7284D"/>
    <w:rsid w:val="00F72CFE"/>
    <w:rsid w:val="00F72FB0"/>
    <w:rsid w:val="00F73336"/>
    <w:rsid w:val="00F73423"/>
    <w:rsid w:val="00F7365E"/>
    <w:rsid w:val="00F737A4"/>
    <w:rsid w:val="00F73950"/>
    <w:rsid w:val="00F74242"/>
    <w:rsid w:val="00F75481"/>
    <w:rsid w:val="00F76664"/>
    <w:rsid w:val="00F76A4C"/>
    <w:rsid w:val="00F76AB3"/>
    <w:rsid w:val="00F80B27"/>
    <w:rsid w:val="00F816A4"/>
    <w:rsid w:val="00F8194C"/>
    <w:rsid w:val="00F81AE9"/>
    <w:rsid w:val="00F827D0"/>
    <w:rsid w:val="00F82B9D"/>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138"/>
    <w:rsid w:val="00F87C3F"/>
    <w:rsid w:val="00F87C5B"/>
    <w:rsid w:val="00F87FEA"/>
    <w:rsid w:val="00F90613"/>
    <w:rsid w:val="00F906F4"/>
    <w:rsid w:val="00F915F3"/>
    <w:rsid w:val="00F91800"/>
    <w:rsid w:val="00F91853"/>
    <w:rsid w:val="00F918B6"/>
    <w:rsid w:val="00F91987"/>
    <w:rsid w:val="00F91CCD"/>
    <w:rsid w:val="00F9208E"/>
    <w:rsid w:val="00F92571"/>
    <w:rsid w:val="00F93837"/>
    <w:rsid w:val="00F93B2F"/>
    <w:rsid w:val="00F93CAE"/>
    <w:rsid w:val="00F9453D"/>
    <w:rsid w:val="00F954E4"/>
    <w:rsid w:val="00F95BFB"/>
    <w:rsid w:val="00F95CCE"/>
    <w:rsid w:val="00F966D3"/>
    <w:rsid w:val="00F9692D"/>
    <w:rsid w:val="00F975FE"/>
    <w:rsid w:val="00F978BE"/>
    <w:rsid w:val="00F97D7B"/>
    <w:rsid w:val="00FA0013"/>
    <w:rsid w:val="00FA0154"/>
    <w:rsid w:val="00FA0288"/>
    <w:rsid w:val="00FA0C62"/>
    <w:rsid w:val="00FA0F71"/>
    <w:rsid w:val="00FA23E2"/>
    <w:rsid w:val="00FA26BC"/>
    <w:rsid w:val="00FA2D8E"/>
    <w:rsid w:val="00FA3520"/>
    <w:rsid w:val="00FA3872"/>
    <w:rsid w:val="00FA3A97"/>
    <w:rsid w:val="00FA3AEA"/>
    <w:rsid w:val="00FA4219"/>
    <w:rsid w:val="00FA48A3"/>
    <w:rsid w:val="00FA48C7"/>
    <w:rsid w:val="00FA54FF"/>
    <w:rsid w:val="00FA5570"/>
    <w:rsid w:val="00FA59E0"/>
    <w:rsid w:val="00FA5C0B"/>
    <w:rsid w:val="00FA5F10"/>
    <w:rsid w:val="00FA70F5"/>
    <w:rsid w:val="00FA7902"/>
    <w:rsid w:val="00FB005D"/>
    <w:rsid w:val="00FB183E"/>
    <w:rsid w:val="00FB1CD3"/>
    <w:rsid w:val="00FB1D54"/>
    <w:rsid w:val="00FB2EE5"/>
    <w:rsid w:val="00FB3363"/>
    <w:rsid w:val="00FB4048"/>
    <w:rsid w:val="00FB446E"/>
    <w:rsid w:val="00FB4629"/>
    <w:rsid w:val="00FB577F"/>
    <w:rsid w:val="00FB5E5D"/>
    <w:rsid w:val="00FB5FC4"/>
    <w:rsid w:val="00FB6A07"/>
    <w:rsid w:val="00FB6E1F"/>
    <w:rsid w:val="00FB6FB1"/>
    <w:rsid w:val="00FB7460"/>
    <w:rsid w:val="00FB7747"/>
    <w:rsid w:val="00FB7A10"/>
    <w:rsid w:val="00FB7D91"/>
    <w:rsid w:val="00FC0F81"/>
    <w:rsid w:val="00FC2C5F"/>
    <w:rsid w:val="00FC3798"/>
    <w:rsid w:val="00FC577C"/>
    <w:rsid w:val="00FC5958"/>
    <w:rsid w:val="00FC59AF"/>
    <w:rsid w:val="00FC5BDD"/>
    <w:rsid w:val="00FC5C43"/>
    <w:rsid w:val="00FC5F72"/>
    <w:rsid w:val="00FC62B5"/>
    <w:rsid w:val="00FC6D4E"/>
    <w:rsid w:val="00FC7073"/>
    <w:rsid w:val="00FC736F"/>
    <w:rsid w:val="00FD0CDB"/>
    <w:rsid w:val="00FD1FA7"/>
    <w:rsid w:val="00FD226A"/>
    <w:rsid w:val="00FD2282"/>
    <w:rsid w:val="00FD2D42"/>
    <w:rsid w:val="00FD30B5"/>
    <w:rsid w:val="00FD3453"/>
    <w:rsid w:val="00FD39CF"/>
    <w:rsid w:val="00FD4B7B"/>
    <w:rsid w:val="00FD4D84"/>
    <w:rsid w:val="00FD5468"/>
    <w:rsid w:val="00FD58F5"/>
    <w:rsid w:val="00FD6287"/>
    <w:rsid w:val="00FD754C"/>
    <w:rsid w:val="00FD7696"/>
    <w:rsid w:val="00FE0669"/>
    <w:rsid w:val="00FE0895"/>
    <w:rsid w:val="00FE0DAE"/>
    <w:rsid w:val="00FE0E6B"/>
    <w:rsid w:val="00FE1370"/>
    <w:rsid w:val="00FE1510"/>
    <w:rsid w:val="00FE2121"/>
    <w:rsid w:val="00FE2387"/>
    <w:rsid w:val="00FE254A"/>
    <w:rsid w:val="00FE321B"/>
    <w:rsid w:val="00FE3D07"/>
    <w:rsid w:val="00FE4411"/>
    <w:rsid w:val="00FE46BC"/>
    <w:rsid w:val="00FE4B6F"/>
    <w:rsid w:val="00FE6788"/>
    <w:rsid w:val="00FE6818"/>
    <w:rsid w:val="00FE6A9E"/>
    <w:rsid w:val="00FE6BFB"/>
    <w:rsid w:val="00FF009D"/>
    <w:rsid w:val="00FF0CF5"/>
    <w:rsid w:val="00FF0D6F"/>
    <w:rsid w:val="00FF0E9E"/>
    <w:rsid w:val="00FF1103"/>
    <w:rsid w:val="00FF1712"/>
    <w:rsid w:val="00FF213D"/>
    <w:rsid w:val="00FF251D"/>
    <w:rsid w:val="00FF37DC"/>
    <w:rsid w:val="00FF37F2"/>
    <w:rsid w:val="00FF4243"/>
    <w:rsid w:val="00FF43D9"/>
    <w:rsid w:val="00FF44E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character" w:customStyle="1" w:styleId="s15">
    <w:name w:val="s15"/>
    <w:basedOn w:val="Fuentedeprrafopredeter"/>
    <w:rsid w:val="00F11A39"/>
  </w:style>
  <w:style w:type="character" w:customStyle="1" w:styleId="apple-converted-space">
    <w:name w:val="apple-converted-space"/>
    <w:basedOn w:val="Fuentedeprrafopredeter"/>
    <w:rsid w:val="00F11A39"/>
  </w:style>
  <w:style w:type="character" w:customStyle="1" w:styleId="NormalWebCar">
    <w:name w:val="Normal (Web) Car"/>
    <w:link w:val="NormalWeb"/>
    <w:uiPriority w:val="99"/>
    <w:locked/>
    <w:rsid w:val="009E49C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1460425">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41471648">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574583">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2882439">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17657566">
      <w:bodyDiv w:val="1"/>
      <w:marLeft w:val="0"/>
      <w:marRight w:val="0"/>
      <w:marTop w:val="0"/>
      <w:marBottom w:val="0"/>
      <w:divBdr>
        <w:top w:val="none" w:sz="0" w:space="0" w:color="auto"/>
        <w:left w:val="none" w:sz="0" w:space="0" w:color="auto"/>
        <w:bottom w:val="none" w:sz="0" w:space="0" w:color="auto"/>
        <w:right w:val="none" w:sz="0" w:space="0" w:color="auto"/>
      </w:divBdr>
    </w:div>
    <w:div w:id="1022704690">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24672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18936703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47184175">
      <w:bodyDiv w:val="1"/>
      <w:marLeft w:val="0"/>
      <w:marRight w:val="0"/>
      <w:marTop w:val="0"/>
      <w:marBottom w:val="0"/>
      <w:divBdr>
        <w:top w:val="none" w:sz="0" w:space="0" w:color="auto"/>
        <w:left w:val="none" w:sz="0" w:space="0" w:color="auto"/>
        <w:bottom w:val="none" w:sz="0" w:space="0" w:color="auto"/>
        <w:right w:val="none" w:sz="0" w:space="0" w:color="auto"/>
      </w:divBdr>
    </w:div>
    <w:div w:id="1548563183">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 w:id="2133867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nfo@fonpacifico.org" TargetMode="External"/><Relationship Id="rId17"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5"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542DB0C0-1D14-48CA-B869-19457A98F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31</Pages>
  <Words>11084</Words>
  <Characters>60966</Characters>
  <Application>Microsoft Office Word</Application>
  <DocSecurity>0</DocSecurity>
  <Lines>508</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71907</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8</cp:revision>
  <dcterms:created xsi:type="dcterms:W3CDTF">2026-09-06T21:45:00Z</dcterms:created>
  <dcterms:modified xsi:type="dcterms:W3CDTF">2026-09-07T21:25:00Z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