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6B03E" w14:textId="77777777" w:rsidR="00B85E30" w:rsidRPr="00EF3E79" w:rsidRDefault="00B85E30" w:rsidP="00B85E30">
      <w:pPr>
        <w:spacing w:after="0" w:line="240" w:lineRule="auto"/>
        <w:rPr>
          <w:rFonts w:ascii="Verdana" w:eastAsia="Calibri" w:hAnsi="Verdana" w:cs="Arial"/>
          <w:b/>
          <w:lang w:val="es-ES_tradnl" w:eastAsia="es-ES_tradnl"/>
        </w:rPr>
      </w:pPr>
      <w:r w:rsidRPr="00EF3E79">
        <w:rPr>
          <w:rFonts w:ascii="Verdana" w:eastAsia="Calibri" w:hAnsi="Verdana" w:cs="Arial"/>
          <w:b/>
          <w:lang w:val="es-ES_tradnl" w:eastAsia="es-ES_tradnl"/>
        </w:rPr>
        <w:t xml:space="preserve">SELECCIÓN OBJETIVA – Contratación estatal – Concepto </w:t>
      </w:r>
    </w:p>
    <w:p w14:paraId="0A84254D" w14:textId="77777777" w:rsidR="00B85E30" w:rsidRPr="00EF3E79" w:rsidRDefault="00B85E30" w:rsidP="00B85E30">
      <w:pPr>
        <w:spacing w:after="0" w:line="240" w:lineRule="auto"/>
        <w:rPr>
          <w:rFonts w:ascii="Verdana" w:eastAsia="Calibri" w:hAnsi="Verdana" w:cs="Arial"/>
          <w:bCs/>
          <w:sz w:val="20"/>
          <w:szCs w:val="20"/>
          <w:lang w:val="es-ES_tradnl" w:eastAsia="es-ES_tradnl"/>
        </w:rPr>
      </w:pPr>
    </w:p>
    <w:p w14:paraId="0A97A84F" w14:textId="77777777" w:rsidR="00B85E30" w:rsidRPr="00EF3E79" w:rsidRDefault="00B85E30" w:rsidP="00B85E30">
      <w:pPr>
        <w:spacing w:after="0" w:line="240" w:lineRule="auto"/>
        <w:jc w:val="both"/>
        <w:rPr>
          <w:rFonts w:ascii="Verdana" w:eastAsia="Calibri" w:hAnsi="Verdana" w:cs="Arial"/>
          <w:sz w:val="20"/>
          <w:szCs w:val="20"/>
        </w:rPr>
      </w:pPr>
      <w:r w:rsidRPr="00EF3E79">
        <w:rPr>
          <w:rFonts w:ascii="Verdana" w:hAnsi="Verdana" w:cs="Arial"/>
          <w:sz w:val="20"/>
          <w:szCs w:val="20"/>
          <w:lang w:val="es-ES" w:eastAsia="es-ES"/>
        </w:rPr>
        <w:t xml:space="preserve">[…] </w:t>
      </w:r>
      <w:r w:rsidRPr="00EF3E79">
        <w:rPr>
          <w:rFonts w:ascii="Verdana" w:eastAsia="Calibri" w:hAnsi="Verdana" w:cs="Arial"/>
          <w:sz w:val="20"/>
          <w:szCs w:val="20"/>
        </w:rPr>
        <w:t xml:space="preserve">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 </w:t>
      </w:r>
      <w:r w:rsidRPr="00EF3E79">
        <w:rPr>
          <w:rFonts w:ascii="Verdana" w:hAnsi="Verdana" w:cs="Arial"/>
          <w:sz w:val="20"/>
          <w:szCs w:val="20"/>
          <w:lang w:val="es-ES" w:eastAsia="es-ES"/>
        </w:rPr>
        <w:t>[…]</w:t>
      </w:r>
    </w:p>
    <w:p w14:paraId="77208E0D" w14:textId="77777777" w:rsidR="00B85E30" w:rsidRPr="00EF3E79" w:rsidRDefault="00B85E30" w:rsidP="00B85E30">
      <w:pPr>
        <w:spacing w:after="0"/>
        <w:rPr>
          <w:rFonts w:ascii="Verdana" w:hAnsi="Verdana" w:cs="Arial"/>
          <w:b/>
          <w:color w:val="7030A0"/>
          <w:lang w:eastAsia="es-ES"/>
        </w:rPr>
      </w:pPr>
    </w:p>
    <w:p w14:paraId="36F68122" w14:textId="77777777" w:rsidR="00B85E30" w:rsidRPr="00EF3E79" w:rsidRDefault="00B85E30" w:rsidP="00B85E30">
      <w:pPr>
        <w:spacing w:after="0" w:line="240" w:lineRule="auto"/>
        <w:jc w:val="both"/>
        <w:rPr>
          <w:rFonts w:ascii="Verdana" w:eastAsia="Calibri" w:hAnsi="Verdana" w:cs="Arial"/>
          <w:b/>
          <w:lang w:val="es-ES_tradnl" w:eastAsia="es-ES_tradnl"/>
        </w:rPr>
      </w:pPr>
      <w:r w:rsidRPr="00EF3E79">
        <w:rPr>
          <w:rFonts w:ascii="Verdana" w:eastAsia="Calibri" w:hAnsi="Verdana" w:cs="Arial"/>
          <w:b/>
          <w:lang w:val="es-ES_tradnl" w:eastAsia="es-ES_tradnl"/>
        </w:rPr>
        <w:t>FACTORES DE DESEMPATE – Características – Límites</w:t>
      </w:r>
    </w:p>
    <w:p w14:paraId="29C4CB4C" w14:textId="77777777" w:rsidR="00B85E30" w:rsidRPr="00EF3E79" w:rsidRDefault="00B85E30" w:rsidP="00B85E30">
      <w:pPr>
        <w:spacing w:after="0" w:line="240" w:lineRule="auto"/>
        <w:jc w:val="both"/>
        <w:rPr>
          <w:rFonts w:ascii="Verdana" w:eastAsia="Calibri" w:hAnsi="Verdana" w:cs="Arial"/>
          <w:bCs/>
          <w:sz w:val="20"/>
          <w:szCs w:val="20"/>
          <w:lang w:val="es-ES_tradnl" w:eastAsia="es-ES_tradnl"/>
        </w:rPr>
      </w:pPr>
    </w:p>
    <w:p w14:paraId="7DB7E332" w14:textId="77777777" w:rsidR="00B85E30" w:rsidRPr="00EF3E79" w:rsidRDefault="00B85E30" w:rsidP="00B85E30">
      <w:pPr>
        <w:spacing w:after="0" w:line="240" w:lineRule="auto"/>
        <w:jc w:val="both"/>
        <w:rPr>
          <w:rFonts w:ascii="Verdana" w:eastAsia="Calibri" w:hAnsi="Verdana" w:cs="Arial"/>
          <w:color w:val="000000" w:themeColor="text1"/>
          <w:sz w:val="20"/>
          <w:szCs w:val="20"/>
        </w:rPr>
      </w:pPr>
      <w:r w:rsidRPr="00EF3E79">
        <w:rPr>
          <w:rFonts w:ascii="Verdana" w:hAnsi="Verdana" w:cs="Arial"/>
          <w:sz w:val="20"/>
          <w:szCs w:val="20"/>
          <w:lang w:val="es-ES" w:eastAsia="es-ES"/>
        </w:rPr>
        <w:t xml:space="preserve">[…] </w:t>
      </w:r>
      <w:r w:rsidRPr="00EF3E79">
        <w:rPr>
          <w:rFonts w:ascii="Verdana" w:eastAsia="Calibri" w:hAnsi="Verdana" w:cs="Arial"/>
          <w:color w:val="000000" w:themeColor="text1"/>
          <w:sz w:val="20"/>
          <w:szCs w:val="20"/>
        </w:rPr>
        <w:t xml:space="preserve">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 </w:t>
      </w:r>
    </w:p>
    <w:p w14:paraId="1293E509" w14:textId="77777777" w:rsidR="00B85E30" w:rsidRPr="00EF3E79" w:rsidRDefault="00B85E30" w:rsidP="00B85E30">
      <w:pPr>
        <w:spacing w:after="0" w:line="240" w:lineRule="auto"/>
        <w:jc w:val="both"/>
        <w:rPr>
          <w:rFonts w:ascii="Verdana" w:eastAsia="Calibri" w:hAnsi="Verdana" w:cs="Arial"/>
          <w:color w:val="000000" w:themeColor="text1"/>
          <w:sz w:val="20"/>
          <w:szCs w:val="20"/>
        </w:rPr>
      </w:pPr>
    </w:p>
    <w:p w14:paraId="4EC64516" w14:textId="77777777" w:rsidR="00B85E30" w:rsidRPr="00EF3E79" w:rsidRDefault="00B85E30" w:rsidP="00B85E30">
      <w:pPr>
        <w:spacing w:after="0" w:line="240" w:lineRule="auto"/>
        <w:jc w:val="both"/>
        <w:rPr>
          <w:rFonts w:ascii="Verdana" w:eastAsia="Calibri" w:hAnsi="Verdana" w:cs="Arial"/>
          <w:color w:val="000000" w:themeColor="text1"/>
          <w:sz w:val="20"/>
          <w:szCs w:val="20"/>
        </w:rPr>
      </w:pPr>
      <w:r w:rsidRPr="00EF3E79">
        <w:rPr>
          <w:rFonts w:ascii="Verdana" w:eastAsia="Calibri" w:hAnsi="Verdana" w:cs="Arial"/>
          <w:color w:val="000000" w:themeColor="text1"/>
          <w:sz w:val="20"/>
          <w:szCs w:val="20"/>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 </w:t>
      </w:r>
      <w:r w:rsidRPr="00EF3E79">
        <w:rPr>
          <w:rFonts w:ascii="Verdana" w:hAnsi="Verdana" w:cs="Arial"/>
          <w:sz w:val="20"/>
          <w:szCs w:val="20"/>
          <w:lang w:val="es-ES" w:eastAsia="es-ES"/>
        </w:rPr>
        <w:t>[…]</w:t>
      </w:r>
    </w:p>
    <w:p w14:paraId="27554D63" w14:textId="77777777" w:rsidR="00B85E30" w:rsidRPr="00EF3E79" w:rsidRDefault="00B85E30" w:rsidP="00B85E30">
      <w:pPr>
        <w:spacing w:after="0" w:line="240" w:lineRule="auto"/>
        <w:jc w:val="both"/>
        <w:rPr>
          <w:rFonts w:ascii="Verdana" w:hAnsi="Verdana" w:cs="Arial"/>
          <w:color w:val="7030A0"/>
          <w:sz w:val="20"/>
          <w:szCs w:val="20"/>
          <w:lang w:eastAsia="es-ES"/>
        </w:rPr>
      </w:pPr>
    </w:p>
    <w:p w14:paraId="0E869421" w14:textId="77777777" w:rsidR="00B85E30" w:rsidRPr="00EF3E79" w:rsidRDefault="00B85E30" w:rsidP="00B85E30">
      <w:pPr>
        <w:spacing w:after="0" w:line="240" w:lineRule="auto"/>
        <w:jc w:val="both"/>
        <w:rPr>
          <w:rFonts w:ascii="Verdana" w:eastAsia="Calibri" w:hAnsi="Verdana" w:cs="Arial"/>
          <w:b/>
          <w:lang w:val="es-ES_tradnl" w:eastAsia="es-ES_tradnl"/>
        </w:rPr>
      </w:pPr>
      <w:r w:rsidRPr="00EF3E79">
        <w:rPr>
          <w:rFonts w:ascii="Verdana" w:eastAsia="Calibri" w:hAnsi="Verdana" w:cs="Arial"/>
          <w:b/>
          <w:lang w:val="es-ES_tradnl" w:eastAsia="es-ES_tradnl"/>
        </w:rPr>
        <w:t>FACTORES DE DESEMPATE – Ley 2069 de 2020 – Mujeres cabeza de familia – Mujeres víctimas de violencia intrafamiliar – Participación mayoritaria</w:t>
      </w:r>
    </w:p>
    <w:p w14:paraId="5BED5C33" w14:textId="77777777" w:rsidR="00B85E30" w:rsidRPr="00EF3E79" w:rsidRDefault="00B85E30" w:rsidP="00B85E30">
      <w:pPr>
        <w:spacing w:after="0" w:line="240" w:lineRule="auto"/>
        <w:jc w:val="both"/>
        <w:rPr>
          <w:rFonts w:ascii="Verdana" w:eastAsia="Calibri" w:hAnsi="Verdana" w:cs="Arial"/>
          <w:b/>
          <w:sz w:val="20"/>
          <w:szCs w:val="20"/>
          <w:lang w:val="es-ES_tradnl" w:eastAsia="es-ES_tradnl"/>
        </w:rPr>
      </w:pPr>
    </w:p>
    <w:p w14:paraId="3BF702CB" w14:textId="77777777" w:rsidR="00B85E30" w:rsidRPr="00EF3E79" w:rsidRDefault="00B85E30" w:rsidP="00B85E30">
      <w:pPr>
        <w:spacing w:after="0" w:line="240" w:lineRule="auto"/>
        <w:jc w:val="both"/>
        <w:rPr>
          <w:rFonts w:ascii="Verdana" w:eastAsia="Calibri" w:hAnsi="Verdana" w:cs="Arial"/>
          <w:b/>
          <w:sz w:val="20"/>
          <w:szCs w:val="20"/>
          <w:lang w:val="es-ES_tradnl" w:eastAsia="es-ES_tradnl"/>
        </w:rPr>
      </w:pPr>
      <w:r w:rsidRPr="00EF3E79">
        <w:rPr>
          <w:rFonts w:ascii="Verdana" w:hAnsi="Verdana" w:cs="Arial"/>
          <w:sz w:val="18"/>
          <w:szCs w:val="18"/>
          <w:lang w:val="es-ES" w:eastAsia="es-ES"/>
        </w:rPr>
        <w:t>[…]</w:t>
      </w:r>
      <w:r w:rsidRPr="00EF3E79">
        <w:rPr>
          <w:rFonts w:ascii="Verdana" w:eastAsia="Calibri" w:hAnsi="Verdana" w:cs="Arial"/>
          <w:b/>
          <w:sz w:val="20"/>
          <w:szCs w:val="20"/>
          <w:lang w:val="es-ES_tradnl" w:eastAsia="es-ES_tradnl"/>
        </w:rPr>
        <w:t xml:space="preserve"> </w:t>
      </w:r>
      <w:r w:rsidRPr="00EF3E79">
        <w:rPr>
          <w:rFonts w:ascii="Verdana" w:hAnsi="Verdana"/>
          <w:sz w:val="20"/>
          <w:szCs w:val="20"/>
          <w:lang w:val="es-MX"/>
        </w:rPr>
        <w:t xml:space="preserve">Como se aprecia, en cuanto a la acreditación de la condición de mujer cabeza de familia, el primer inciso del numeral 2, realiza una referencia al artículo 2 de la Ley 82 de 1993, “Por la cual se expiden normas para apoyar de manera especial a la mujer cabeza de familia”, modificado por el artículo 1 de la Ley 1232 de 2008, disposición que establece la declaración ante notario como mecanismo para demostrar la calidad de mujer cabeza de familia. Lo propio hace el inciso segundo del numeral 2 de la norma reglamentaria en comento en lo relativo a la demostración de la condición de mujer víctima de violencia intrafamiliar, al remitir al artículo 21 de la Ley 1257 de 2008, “Por </w:t>
      </w:r>
      <w:r w:rsidRPr="00EF3E79">
        <w:rPr>
          <w:rFonts w:ascii="Verdana" w:hAnsi="Verdana"/>
          <w:sz w:val="20"/>
          <w:szCs w:val="20"/>
          <w:lang w:val="es-MX"/>
        </w:rPr>
        <w:lastRenderedPageBreak/>
        <w:t xml:space="preserve">la cual se dictan normas de sensibilización, prevención y sanción de formas de violencia y discriminación contra las mujeres, se reforman los Códigos Penal, de Procedimiento Penal, la Ley 294 de 1996 y se dictan otras disposiciones”, el cual dispone que las situaciones de violencia intrafamiliar se acreditarán con la medida de protección expedida por la autoridad competente, sin lugar a más requisitos. Esto en concordancia con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w:t>
      </w:r>
      <w:r w:rsidRPr="00EF3E79">
        <w:rPr>
          <w:rFonts w:ascii="Verdana" w:hAnsi="Verdana" w:cs="Arial"/>
          <w:sz w:val="18"/>
          <w:szCs w:val="18"/>
          <w:lang w:val="es-ES" w:eastAsia="es-ES"/>
        </w:rPr>
        <w:t>[…]</w:t>
      </w:r>
    </w:p>
    <w:p w14:paraId="0E32FFAA" w14:textId="77777777" w:rsidR="00B85E30" w:rsidRPr="00EF3E79" w:rsidRDefault="00B85E30" w:rsidP="00B85E30">
      <w:pPr>
        <w:spacing w:after="0"/>
        <w:rPr>
          <w:rFonts w:ascii="Verdana" w:hAnsi="Verdana"/>
          <w:color w:val="7030A0"/>
          <w:lang w:val="es-ES"/>
        </w:rPr>
      </w:pPr>
    </w:p>
    <w:p w14:paraId="5586CF09" w14:textId="77777777" w:rsidR="00B85E30" w:rsidRPr="00EF3E79" w:rsidRDefault="00B85E30" w:rsidP="00B85E30">
      <w:pPr>
        <w:spacing w:line="276" w:lineRule="auto"/>
        <w:jc w:val="both"/>
        <w:rPr>
          <w:rFonts w:ascii="Verdana" w:eastAsia="Calibri" w:hAnsi="Verdana" w:cs="Arial"/>
          <w:b/>
          <w:bCs/>
          <w:color w:val="000000"/>
          <w:lang w:val="es-ES_tradnl"/>
        </w:rPr>
      </w:pPr>
      <w:r w:rsidRPr="00EF3E79">
        <w:rPr>
          <w:rFonts w:ascii="Verdana" w:eastAsia="Calibri" w:hAnsi="Verdana" w:cs="Arial"/>
          <w:b/>
          <w:bCs/>
          <w:color w:val="000000"/>
          <w:lang w:val="es-ES_tradnl"/>
        </w:rPr>
        <w:t>MADRE CABEZA DE FAMILIA – Corte Constitucional – Definición legal- Condiciones</w:t>
      </w:r>
    </w:p>
    <w:p w14:paraId="2FC1618A" w14:textId="77777777" w:rsidR="00B85E30" w:rsidRPr="00EF3E79" w:rsidRDefault="00B85E30" w:rsidP="00B85E30">
      <w:pPr>
        <w:spacing w:after="0"/>
        <w:jc w:val="both"/>
        <w:rPr>
          <w:rFonts w:ascii="Verdana" w:hAnsi="Verdana"/>
          <w:color w:val="7030A0"/>
          <w:lang w:val="es-ES"/>
        </w:rPr>
      </w:pPr>
      <w:r w:rsidRPr="00EF3E79">
        <w:rPr>
          <w:rFonts w:ascii="Verdana" w:hAnsi="Verdana" w:cs="Arial"/>
          <w:sz w:val="18"/>
          <w:szCs w:val="18"/>
          <w:lang w:val="es-ES" w:eastAsia="es-ES"/>
        </w:rPr>
        <w:t xml:space="preserve">[…] </w:t>
      </w:r>
      <w:r w:rsidRPr="00EF3E79">
        <w:rPr>
          <w:rFonts w:ascii="Verdana" w:eastAsia="Calibri" w:hAnsi="Verdana" w:cs="Arial"/>
          <w:color w:val="000000" w:themeColor="text1"/>
          <w:sz w:val="20"/>
          <w:szCs w:val="20"/>
          <w:lang w:val="es-ES"/>
        </w:rPr>
        <w:t xml:space="preserve">De acuerdo con lo anterior y en plena correspondencia con su definición legal precisada de manera previa, la Corte Constitucional ha expuesto también que no toda mujer, por el hecho de serlo, ostenta la calidad de madre cabeza de familia, pues para ser considerada con tal condición es necesario: “(i) que se tenga a cargo la responsabilidad de hijos menores o de otras personas incapacitadas para trabajar; (ii) que esa responsabilidad sea de carácter permanente; (iii) no sólo la ausencia permanente o abandono del hogar por parte de la pareja, sino que aquélla se sustraiga del cumplimiento de sus obligaciones como padre; (iv) o bien que la pareja no asuma la responsabilidad que le corresponde y ello obedezca a un motivo verdaderamente poderoso como la incapacidad física, sensorial, síquica o mental o, como es obvio, la muerte; (v) por último, que haya una deficiencia sustancial de ayuda de los demás miembros de la familia, lo cual significa la responsabilidad solitaria de la madre para sostener el hogar </w:t>
      </w:r>
      <w:r w:rsidRPr="00EF3E79">
        <w:rPr>
          <w:rFonts w:ascii="Verdana" w:hAnsi="Verdana" w:cs="Arial"/>
          <w:sz w:val="18"/>
          <w:szCs w:val="18"/>
          <w:lang w:val="es-ES" w:eastAsia="es-ES"/>
        </w:rPr>
        <w:t>[…]</w:t>
      </w:r>
    </w:p>
    <w:p w14:paraId="28C7B9BC" w14:textId="77777777" w:rsidR="00B85E30" w:rsidRPr="00EF3E79" w:rsidRDefault="00B85E30" w:rsidP="00B85E30">
      <w:pPr>
        <w:spacing w:after="0"/>
        <w:rPr>
          <w:rFonts w:ascii="Verdana" w:hAnsi="Verdana"/>
          <w:color w:val="7030A0"/>
        </w:rPr>
      </w:pPr>
    </w:p>
    <w:p w14:paraId="112D2988" w14:textId="77777777" w:rsidR="00B85E30" w:rsidRPr="00EF3E79" w:rsidRDefault="00B85E30" w:rsidP="00B85E30">
      <w:pPr>
        <w:spacing w:after="0"/>
        <w:rPr>
          <w:rFonts w:ascii="Verdana" w:hAnsi="Verdana"/>
          <w:color w:val="7030A0"/>
        </w:rPr>
      </w:pPr>
    </w:p>
    <w:p w14:paraId="0C9EFDC8" w14:textId="77777777" w:rsidR="00B85E30" w:rsidRPr="00EF3E79" w:rsidRDefault="00B85E30" w:rsidP="00B85E30">
      <w:pPr>
        <w:spacing w:after="0"/>
        <w:rPr>
          <w:rFonts w:ascii="Verdana" w:hAnsi="Verdana"/>
          <w:color w:val="7030A0"/>
        </w:rPr>
      </w:pPr>
    </w:p>
    <w:p w14:paraId="4A7A9E0C" w14:textId="77777777" w:rsidR="00B85E30" w:rsidRPr="00EF3E79" w:rsidRDefault="00B85E30" w:rsidP="00B85E30">
      <w:pPr>
        <w:spacing w:after="0"/>
        <w:rPr>
          <w:rFonts w:ascii="Verdana" w:hAnsi="Verdana"/>
          <w:color w:val="7030A0"/>
        </w:rPr>
      </w:pPr>
    </w:p>
    <w:p w14:paraId="5D0E1BA2" w14:textId="77777777" w:rsidR="00B85E30" w:rsidRPr="00EF3E79" w:rsidRDefault="00B85E30" w:rsidP="00B85E30">
      <w:pPr>
        <w:spacing w:after="0"/>
        <w:rPr>
          <w:rFonts w:ascii="Verdana" w:hAnsi="Verdana"/>
          <w:color w:val="7030A0"/>
        </w:rPr>
      </w:pPr>
    </w:p>
    <w:p w14:paraId="0146F790" w14:textId="77777777" w:rsidR="00B85E30" w:rsidRPr="00EF3E79" w:rsidRDefault="00B85E30" w:rsidP="00B85E30">
      <w:pPr>
        <w:spacing w:after="0"/>
        <w:rPr>
          <w:rFonts w:ascii="Verdana" w:hAnsi="Verdana"/>
          <w:color w:val="7030A0"/>
        </w:rPr>
      </w:pPr>
    </w:p>
    <w:p w14:paraId="1A93FD65" w14:textId="77777777" w:rsidR="00B85E30" w:rsidRPr="00EF3E79" w:rsidRDefault="00B85E30" w:rsidP="00B85E30">
      <w:pPr>
        <w:spacing w:after="0"/>
        <w:rPr>
          <w:rFonts w:ascii="Verdana" w:hAnsi="Verdana"/>
          <w:color w:val="7030A0"/>
        </w:rPr>
      </w:pPr>
    </w:p>
    <w:p w14:paraId="3A6CDA5E" w14:textId="77777777" w:rsidR="00B85E30" w:rsidRPr="00EF3E79" w:rsidRDefault="00B85E30" w:rsidP="00B85E30">
      <w:pPr>
        <w:spacing w:after="0"/>
        <w:rPr>
          <w:rFonts w:ascii="Verdana" w:hAnsi="Verdana"/>
          <w:color w:val="7030A0"/>
        </w:rPr>
      </w:pPr>
    </w:p>
    <w:p w14:paraId="7D0222D9" w14:textId="77777777" w:rsidR="00B85E30" w:rsidRPr="00EF3E79" w:rsidRDefault="00B85E30" w:rsidP="00B85E30">
      <w:pPr>
        <w:spacing w:after="0"/>
        <w:rPr>
          <w:rFonts w:ascii="Verdana" w:hAnsi="Verdana"/>
          <w:color w:val="7030A0"/>
        </w:rPr>
      </w:pPr>
    </w:p>
    <w:p w14:paraId="55FFC722" w14:textId="77777777" w:rsidR="00B85E30" w:rsidRPr="00EF3E79" w:rsidRDefault="00B85E30" w:rsidP="00B85E30">
      <w:pPr>
        <w:spacing w:after="0"/>
        <w:rPr>
          <w:rFonts w:ascii="Verdana" w:hAnsi="Verdana"/>
          <w:color w:val="7030A0"/>
        </w:rPr>
      </w:pPr>
    </w:p>
    <w:p w14:paraId="50873732" w14:textId="77777777" w:rsidR="00B85E30" w:rsidRPr="00EF3E79" w:rsidRDefault="00B85E30" w:rsidP="00B85E30">
      <w:pPr>
        <w:spacing w:after="0"/>
        <w:rPr>
          <w:rFonts w:ascii="Verdana" w:hAnsi="Verdana"/>
          <w:color w:val="7030A0"/>
        </w:rPr>
      </w:pPr>
    </w:p>
    <w:p w14:paraId="6E5D5CD1" w14:textId="77777777" w:rsidR="00B85E30" w:rsidRPr="00EF3E79" w:rsidRDefault="00B85E30" w:rsidP="00B85E30">
      <w:pPr>
        <w:spacing w:after="0"/>
        <w:rPr>
          <w:rFonts w:ascii="Verdana" w:hAnsi="Verdana"/>
          <w:color w:val="7030A0"/>
        </w:rPr>
      </w:pPr>
    </w:p>
    <w:p w14:paraId="0EBEAE19" w14:textId="77777777" w:rsidR="00B85E30" w:rsidRPr="00EF3E79" w:rsidRDefault="00B85E30" w:rsidP="00B85E30">
      <w:pPr>
        <w:spacing w:after="0"/>
        <w:rPr>
          <w:rFonts w:ascii="Verdana" w:hAnsi="Verdana"/>
          <w:color w:val="7030A0"/>
        </w:rPr>
      </w:pPr>
    </w:p>
    <w:p w14:paraId="4429A569" w14:textId="77777777" w:rsidR="00B85E30" w:rsidRPr="00EF3E79" w:rsidRDefault="00B85E30" w:rsidP="00B85E30">
      <w:pPr>
        <w:spacing w:after="0"/>
        <w:rPr>
          <w:rFonts w:ascii="Verdana" w:hAnsi="Verdana"/>
          <w:color w:val="7030A0"/>
        </w:rPr>
      </w:pPr>
    </w:p>
    <w:p w14:paraId="0CBB8D0E" w14:textId="77777777" w:rsidR="00B85E30" w:rsidRPr="00EF3E79" w:rsidRDefault="00B85E30" w:rsidP="00B85E30">
      <w:pPr>
        <w:spacing w:after="0"/>
        <w:rPr>
          <w:rFonts w:ascii="Verdana" w:hAnsi="Verdana"/>
          <w:color w:val="7030A0"/>
        </w:rPr>
      </w:pPr>
    </w:p>
    <w:p w14:paraId="121F18BF" w14:textId="77777777" w:rsidR="00B85E30" w:rsidRPr="00EF3E79" w:rsidRDefault="00B85E30" w:rsidP="00B85E30">
      <w:pPr>
        <w:spacing w:after="0"/>
        <w:rPr>
          <w:rFonts w:ascii="Verdana" w:hAnsi="Verdana"/>
          <w:color w:val="7030A0"/>
        </w:rPr>
      </w:pPr>
    </w:p>
    <w:p w14:paraId="1987F712" w14:textId="74C29C4A" w:rsidR="00B85E30" w:rsidRPr="00EF3E79" w:rsidRDefault="00B85E30" w:rsidP="00B85E30">
      <w:pPr>
        <w:spacing w:after="0"/>
        <w:rPr>
          <w:rFonts w:ascii="Verdana" w:hAnsi="Verdana"/>
        </w:rPr>
      </w:pPr>
      <w:r w:rsidRPr="00EF3E79">
        <w:rPr>
          <w:rFonts w:ascii="Verdana" w:hAnsi="Verdana"/>
        </w:rPr>
        <w:lastRenderedPageBreak/>
        <w:t xml:space="preserve">Bogotá D.C., </w:t>
      </w:r>
      <w:r w:rsidR="00E96ACA">
        <w:rPr>
          <w:rFonts w:ascii="Verdana" w:hAnsi="Verdana"/>
        </w:rPr>
        <w:t>21 Septiembre 2026</w:t>
      </w:r>
    </w:p>
    <w:p w14:paraId="101E2524" w14:textId="68F2B2AC" w:rsidR="00B85E30" w:rsidRPr="00EF3E79" w:rsidRDefault="00351167" w:rsidP="00B85E30">
      <w:pPr>
        <w:spacing w:after="0"/>
        <w:rPr>
          <w:rFonts w:ascii="Verdana" w:hAnsi="Verdana"/>
          <w:color w:val="7030A0"/>
          <w:lang w:val="es-ES"/>
        </w:rPr>
      </w:pPr>
      <w:r w:rsidRPr="00351167">
        <w:rPr>
          <w:rFonts w:ascii="Verdana" w:hAnsi="Verdana"/>
        </w:rPr>
        <w:drawing>
          <wp:anchor distT="0" distB="0" distL="114300" distR="114300" simplePos="0" relativeHeight="251659264" behindDoc="1" locked="0" layoutInCell="1" allowOverlap="1" wp14:anchorId="56809781" wp14:editId="0CD77BDD">
            <wp:simplePos x="0" y="0"/>
            <wp:positionH relativeFrom="margin">
              <wp:posOffset>3235325</wp:posOffset>
            </wp:positionH>
            <wp:positionV relativeFrom="paragraph">
              <wp:posOffset>12700</wp:posOffset>
            </wp:positionV>
            <wp:extent cx="2557780" cy="704850"/>
            <wp:effectExtent l="0" t="0" r="0" b="0"/>
            <wp:wrapNone/>
            <wp:docPr id="17706816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681674" name=""/>
                    <pic:cNvPicPr/>
                  </pic:nvPicPr>
                  <pic:blipFill>
                    <a:blip r:embed="rId10">
                      <a:extLst>
                        <a:ext uri="{28A0092B-C50C-407E-A947-70E740481C1C}">
                          <a14:useLocalDpi xmlns:a14="http://schemas.microsoft.com/office/drawing/2010/main" val="0"/>
                        </a:ext>
                      </a:extLst>
                    </a:blip>
                    <a:stretch>
                      <a:fillRect/>
                    </a:stretch>
                  </pic:blipFill>
                  <pic:spPr>
                    <a:xfrm>
                      <a:off x="0" y="0"/>
                      <a:ext cx="2557780" cy="704850"/>
                    </a:xfrm>
                    <a:prstGeom prst="rect">
                      <a:avLst/>
                    </a:prstGeom>
                  </pic:spPr>
                </pic:pic>
              </a:graphicData>
            </a:graphic>
            <wp14:sizeRelH relativeFrom="margin">
              <wp14:pctWidth>0</wp14:pctWidth>
            </wp14:sizeRelH>
            <wp14:sizeRelV relativeFrom="margin">
              <wp14:pctHeight>0</wp14:pctHeight>
            </wp14:sizeRelV>
          </wp:anchor>
        </w:drawing>
      </w:r>
    </w:p>
    <w:p w14:paraId="6F838102" w14:textId="77777777" w:rsidR="00B85E30" w:rsidRPr="00EF3E79" w:rsidRDefault="00B85E30" w:rsidP="00B85E30">
      <w:pPr>
        <w:spacing w:after="0" w:line="240" w:lineRule="auto"/>
        <w:rPr>
          <w:rFonts w:ascii="Verdana" w:hAnsi="Verdana"/>
          <w:lang w:val="es-ES"/>
        </w:rPr>
      </w:pPr>
      <w:bookmarkStart w:id="0" w:name="_Hlk143780582"/>
      <w:r w:rsidRPr="00EF3E79">
        <w:rPr>
          <w:rFonts w:ascii="Verdana" w:eastAsia="Calibri" w:hAnsi="Verdana" w:cs="Arial"/>
          <w:lang w:val="es-ES" w:eastAsia="es-ES"/>
        </w:rPr>
        <w:t>Señora</w:t>
      </w:r>
    </w:p>
    <w:p w14:paraId="22F92D01" w14:textId="77777777" w:rsidR="00B85E30" w:rsidRPr="00EF3E79" w:rsidRDefault="00B85E30" w:rsidP="00B85E30">
      <w:pPr>
        <w:spacing w:after="0" w:line="240" w:lineRule="auto"/>
        <w:rPr>
          <w:rFonts w:ascii="Verdana" w:hAnsi="Verdana"/>
          <w:lang w:val="es-ES"/>
        </w:rPr>
      </w:pPr>
      <w:r w:rsidRPr="00EF3E79">
        <w:rPr>
          <w:rFonts w:ascii="Verdana" w:eastAsia="Calibri" w:hAnsi="Verdana" w:cs="Arial"/>
          <w:b/>
          <w:bCs/>
          <w:lang w:eastAsia="es-ES"/>
        </w:rPr>
        <w:t>Paula Marleny Higuera Latorre</w:t>
      </w:r>
    </w:p>
    <w:p w14:paraId="4C403BD4" w14:textId="725C98E9" w:rsidR="00B85E30" w:rsidRPr="00EF3E79" w:rsidRDefault="00B85E30" w:rsidP="00B85E30">
      <w:pPr>
        <w:spacing w:after="0"/>
        <w:rPr>
          <w:color w:val="7030A0"/>
          <w:lang w:val="es-ES"/>
        </w:rPr>
      </w:pPr>
      <w:hyperlink r:id="rId11" w:history="1">
        <w:r>
          <w:rPr>
            <w:rStyle w:val="Hipervnculo"/>
          </w:rPr>
          <w:t>mailto:</w:t>
        </w:r>
      </w:hyperlink>
      <w:hyperlink r:id="rId12" w:history="1">
        <w:r w:rsidRPr="00EF3E79">
          <w:rPr>
            <w:rStyle w:val="Hipervnculo"/>
            <w:rFonts w:ascii="Verdana" w:hAnsi="Verdana"/>
            <w:lang w:val="es-ES"/>
          </w:rPr>
          <w:t>paula_latorre@yahoo.com</w:t>
        </w:r>
      </w:hyperlink>
      <w:r w:rsidRPr="00EF3E79">
        <w:rPr>
          <w:color w:val="7030A0"/>
        </w:rPr>
        <w:t xml:space="preserve"> </w:t>
      </w:r>
    </w:p>
    <w:p w14:paraId="57442442" w14:textId="77777777" w:rsidR="00B85E30" w:rsidRPr="00EF3E79" w:rsidRDefault="00B85E30" w:rsidP="00B85E30">
      <w:pPr>
        <w:spacing w:after="0"/>
        <w:rPr>
          <w:rFonts w:ascii="Verdana" w:eastAsia="Calibri" w:hAnsi="Verdana" w:cs="Arial"/>
          <w:lang w:val="es-ES" w:eastAsia="es-ES"/>
        </w:rPr>
      </w:pPr>
      <w:r w:rsidRPr="00EF3E79">
        <w:rPr>
          <w:rFonts w:ascii="Verdana" w:eastAsia="Calibri" w:hAnsi="Verdana" w:cs="Arial"/>
          <w:lang w:val="es-ES" w:eastAsia="es-ES"/>
        </w:rPr>
        <w:t>Bogotá D.C</w:t>
      </w:r>
    </w:p>
    <w:p w14:paraId="6C2FD58F" w14:textId="77777777" w:rsidR="00B85E30" w:rsidRPr="00EF3E79" w:rsidRDefault="00B85E30" w:rsidP="00B85E30">
      <w:pPr>
        <w:spacing w:after="0"/>
        <w:rPr>
          <w:rFonts w:ascii="Verdana" w:eastAsia="Calibri" w:hAnsi="Verdana" w:cs="Arial"/>
          <w:lang w:val="es-ES" w:eastAsia="es-ES"/>
        </w:rPr>
      </w:pPr>
    </w:p>
    <w:p w14:paraId="0220CA23" w14:textId="77777777" w:rsidR="00B85E30" w:rsidRPr="00EF3E79" w:rsidRDefault="00B85E30" w:rsidP="00B85E30">
      <w:pPr>
        <w:spacing w:after="0" w:line="240" w:lineRule="auto"/>
        <w:rPr>
          <w:rFonts w:ascii="Verdana" w:eastAsia="Calibri" w:hAnsi="Verdana" w:cs="Arial"/>
          <w:b/>
          <w:bCs/>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B85E30" w:rsidRPr="00EF3E79" w14:paraId="7830391C" w14:textId="77777777" w:rsidTr="005A2FE0">
        <w:trPr>
          <w:trHeight w:val="300"/>
        </w:trPr>
        <w:tc>
          <w:tcPr>
            <w:tcW w:w="2410" w:type="dxa"/>
          </w:tcPr>
          <w:p w14:paraId="3EF74581" w14:textId="77777777" w:rsidR="00B85E30" w:rsidRPr="00EF3E79" w:rsidRDefault="00B85E30" w:rsidP="005A2FE0">
            <w:pPr>
              <w:ind w:left="-142"/>
              <w:jc w:val="both"/>
              <w:rPr>
                <w:rFonts w:ascii="Verdana" w:eastAsia="Calibri" w:hAnsi="Verdana" w:cs="Arial"/>
                <w:b/>
                <w:bCs/>
                <w:lang w:val="es-ES" w:eastAsia="es-ES_tradnl"/>
              </w:rPr>
            </w:pPr>
          </w:p>
        </w:tc>
        <w:tc>
          <w:tcPr>
            <w:tcW w:w="6379" w:type="dxa"/>
          </w:tcPr>
          <w:p w14:paraId="2F3246D3" w14:textId="77777777" w:rsidR="00B85E30" w:rsidRPr="00EF3E79" w:rsidRDefault="00B85E30" w:rsidP="005A2FE0">
            <w:pPr>
              <w:ind w:left="3"/>
              <w:jc w:val="both"/>
              <w:rPr>
                <w:rFonts w:ascii="Verdana" w:eastAsia="Calibri" w:hAnsi="Verdana" w:cs="Arial"/>
                <w:b/>
                <w:bCs/>
                <w:lang w:val="es-ES" w:eastAsia="es-ES"/>
              </w:rPr>
            </w:pPr>
            <w:r w:rsidRPr="00EF3E79">
              <w:rPr>
                <w:rFonts w:ascii="Verdana" w:eastAsia="Calibri" w:hAnsi="Verdana" w:cs="Arial"/>
                <w:b/>
                <w:bCs/>
                <w:lang w:val="es-ES" w:eastAsia="es-ES"/>
              </w:rPr>
              <w:t>Concepto C-1273 de 2026</w:t>
            </w:r>
          </w:p>
          <w:p w14:paraId="36D3D8C8" w14:textId="77777777" w:rsidR="00B85E30" w:rsidRPr="00EF3E79" w:rsidRDefault="00B85E30" w:rsidP="005A2FE0">
            <w:pPr>
              <w:ind w:left="3"/>
              <w:jc w:val="both"/>
              <w:rPr>
                <w:rFonts w:ascii="Verdana" w:eastAsia="Calibri" w:hAnsi="Verdana" w:cs="Arial"/>
                <w:b/>
                <w:bCs/>
                <w:lang w:val="es-ES" w:eastAsia="es-ES"/>
              </w:rPr>
            </w:pPr>
          </w:p>
        </w:tc>
      </w:tr>
      <w:tr w:rsidR="00B85E30" w:rsidRPr="00EF3E79" w14:paraId="7FE6BF7F" w14:textId="77777777" w:rsidTr="005A2FE0">
        <w:trPr>
          <w:trHeight w:val="300"/>
        </w:trPr>
        <w:tc>
          <w:tcPr>
            <w:tcW w:w="2410" w:type="dxa"/>
          </w:tcPr>
          <w:p w14:paraId="6D0BD9CF" w14:textId="77777777" w:rsidR="00B85E30" w:rsidRPr="00EF3E79" w:rsidRDefault="00B85E30" w:rsidP="005A2FE0">
            <w:pPr>
              <w:ind w:left="424" w:firstLine="142"/>
              <w:jc w:val="both"/>
              <w:rPr>
                <w:rFonts w:ascii="Verdana" w:eastAsia="Calibri" w:hAnsi="Verdana" w:cs="Arial"/>
                <w:color w:val="7030A0"/>
                <w:lang w:val="es-ES" w:eastAsia="es-ES_tradnl"/>
              </w:rPr>
            </w:pPr>
            <w:r w:rsidRPr="00EF3E79">
              <w:rPr>
                <w:rFonts w:ascii="Verdana" w:eastAsia="Calibri" w:hAnsi="Verdana" w:cs="Arial"/>
                <w:b/>
                <w:lang w:val="es-ES" w:eastAsia="es-ES_tradnl"/>
              </w:rPr>
              <w:t>Temas:</w:t>
            </w:r>
            <w:r w:rsidRPr="00EF3E79">
              <w:rPr>
                <w:rFonts w:ascii="Verdana" w:eastAsia="Calibri" w:hAnsi="Verdana" w:cs="Arial"/>
                <w:lang w:val="es-ES" w:eastAsia="es-ES_tradnl"/>
              </w:rPr>
              <w:t xml:space="preserve">                  </w:t>
            </w:r>
          </w:p>
        </w:tc>
        <w:tc>
          <w:tcPr>
            <w:tcW w:w="6379" w:type="dxa"/>
          </w:tcPr>
          <w:p w14:paraId="7AAFD71A" w14:textId="77777777" w:rsidR="00B85E30" w:rsidRPr="00EF3E79" w:rsidRDefault="00B85E30" w:rsidP="005A2FE0">
            <w:pPr>
              <w:jc w:val="both"/>
              <w:rPr>
                <w:rFonts w:ascii="Verdana" w:eastAsia="Calibri" w:hAnsi="Verdana" w:cs="Arial"/>
                <w:b/>
                <w:lang w:val="es-ES_tradnl" w:eastAsia="es-ES_tradnl"/>
              </w:rPr>
            </w:pPr>
            <w:r w:rsidRPr="00EF3E79">
              <w:rPr>
                <w:rFonts w:ascii="Verdana" w:hAnsi="Verdana" w:cs="Arial"/>
                <w:lang w:val="es-ES_tradnl"/>
              </w:rPr>
              <w:t xml:space="preserve">SELECCIÓN OBJETIVA – Contratación estatal – Concepto / </w:t>
            </w:r>
            <w:r w:rsidRPr="00EF3E79">
              <w:rPr>
                <w:rFonts w:ascii="Verdana" w:eastAsia="Calibri" w:hAnsi="Verdana" w:cs="Arial"/>
                <w:bCs/>
                <w:lang w:val="es-ES_tradnl" w:eastAsia="es-ES_tradnl"/>
              </w:rPr>
              <w:t>FACTORES DE DESEMPATE – Características – Límites</w:t>
            </w:r>
            <w:r w:rsidRPr="00EF3E79">
              <w:rPr>
                <w:rFonts w:ascii="Verdana" w:hAnsi="Verdana" w:cs="Arial"/>
                <w:lang w:val="es-ES_tradnl"/>
              </w:rPr>
              <w:t xml:space="preserve"> / FACTORES DE DESEMPATE – Ley 2069 de 2020 – Mujeres cabeza de familia – Mujeres víctimas de violencia intrafamiliar – Participación mayoritaria / MADRE CABEZA DE FAMILIA – Corte Constitucional – Definición legal- Condiciones</w:t>
            </w:r>
          </w:p>
          <w:p w14:paraId="46DBF8DB" w14:textId="77777777" w:rsidR="00B85E30" w:rsidRPr="00EF3E79" w:rsidRDefault="00B85E30" w:rsidP="005A2FE0">
            <w:pPr>
              <w:contextualSpacing/>
              <w:jc w:val="both"/>
              <w:rPr>
                <w:rFonts w:ascii="Verdana" w:eastAsia="Calibri" w:hAnsi="Verdana" w:cs="Arial"/>
                <w:color w:val="7030A0"/>
              </w:rPr>
            </w:pPr>
          </w:p>
        </w:tc>
      </w:tr>
      <w:tr w:rsidR="00B85E30" w:rsidRPr="00EF3E79" w14:paraId="17F8F392" w14:textId="77777777" w:rsidTr="005A2FE0">
        <w:trPr>
          <w:trHeight w:val="350"/>
        </w:trPr>
        <w:tc>
          <w:tcPr>
            <w:tcW w:w="2410" w:type="dxa"/>
          </w:tcPr>
          <w:p w14:paraId="524D7873" w14:textId="77777777" w:rsidR="00B85E30" w:rsidRPr="00EF3E79" w:rsidRDefault="00B85E30" w:rsidP="005A2FE0">
            <w:pPr>
              <w:ind w:left="561"/>
              <w:jc w:val="both"/>
              <w:rPr>
                <w:rFonts w:ascii="Verdana" w:eastAsia="Calibri" w:hAnsi="Verdana" w:cs="Arial"/>
                <w:b/>
                <w:lang w:val="es-ES" w:eastAsia="es-ES_tradnl"/>
              </w:rPr>
            </w:pPr>
            <w:r w:rsidRPr="00EF3E79">
              <w:rPr>
                <w:rFonts w:ascii="Verdana" w:eastAsia="Calibri" w:hAnsi="Verdana" w:cs="Arial"/>
                <w:b/>
                <w:lang w:val="es-ES" w:eastAsia="es-ES_tradnl"/>
              </w:rPr>
              <w:t>Radicación:</w:t>
            </w:r>
            <w:r w:rsidRPr="00EF3E79">
              <w:rPr>
                <w:rFonts w:ascii="Verdana" w:eastAsia="Calibri" w:hAnsi="Verdana" w:cs="Arial"/>
                <w:lang w:val="es-ES" w:eastAsia="es-ES_tradnl"/>
              </w:rPr>
              <w:t xml:space="preserve">              </w:t>
            </w:r>
          </w:p>
        </w:tc>
        <w:tc>
          <w:tcPr>
            <w:tcW w:w="6379" w:type="dxa"/>
          </w:tcPr>
          <w:p w14:paraId="0112C3CD" w14:textId="77777777" w:rsidR="00B85E30" w:rsidRPr="00EF3E79" w:rsidRDefault="00B85E30" w:rsidP="005A2FE0">
            <w:pPr>
              <w:ind w:left="3"/>
              <w:jc w:val="both"/>
              <w:rPr>
                <w:rFonts w:ascii="Verdana" w:eastAsia="Calibri" w:hAnsi="Verdana" w:cs="Arial"/>
                <w:lang w:val="es-ES" w:eastAsia="es-ES"/>
              </w:rPr>
            </w:pPr>
            <w:r w:rsidRPr="00EF3E79">
              <w:rPr>
                <w:rFonts w:ascii="Verdana" w:eastAsia="Calibri" w:hAnsi="Verdana" w:cs="Arial"/>
                <w:lang w:val="es-ES" w:eastAsia="es-ES"/>
              </w:rPr>
              <w:t>Respuesta a consulta con radicado No. 1_2026_08_12_010707 acumulada con 1_2026_08_13_010728</w:t>
            </w:r>
          </w:p>
          <w:p w14:paraId="47EE31CA" w14:textId="77777777" w:rsidR="00B85E30" w:rsidRPr="00EF3E79" w:rsidRDefault="00B85E30" w:rsidP="005A2FE0">
            <w:pPr>
              <w:ind w:left="3"/>
              <w:jc w:val="both"/>
              <w:rPr>
                <w:rFonts w:ascii="Verdana" w:hAnsi="Verdana"/>
                <w:lang w:val="es-ES"/>
              </w:rPr>
            </w:pPr>
          </w:p>
        </w:tc>
      </w:tr>
      <w:tr w:rsidR="00B85E30" w:rsidRPr="00EF3E79" w14:paraId="50DD5DDB" w14:textId="77777777" w:rsidTr="005A2FE0">
        <w:trPr>
          <w:trHeight w:val="350"/>
        </w:trPr>
        <w:tc>
          <w:tcPr>
            <w:tcW w:w="2410" w:type="dxa"/>
          </w:tcPr>
          <w:p w14:paraId="44A4D72B" w14:textId="77777777" w:rsidR="00B85E30" w:rsidRPr="00EF3E79" w:rsidRDefault="00B85E30" w:rsidP="005A2FE0">
            <w:pPr>
              <w:ind w:left="561"/>
              <w:jc w:val="both"/>
              <w:rPr>
                <w:rFonts w:ascii="Verdana" w:eastAsia="Calibri" w:hAnsi="Verdana" w:cs="Arial"/>
                <w:b/>
                <w:lang w:val="es-ES" w:eastAsia="es-ES_tradnl"/>
              </w:rPr>
            </w:pPr>
          </w:p>
        </w:tc>
        <w:tc>
          <w:tcPr>
            <w:tcW w:w="6379" w:type="dxa"/>
          </w:tcPr>
          <w:p w14:paraId="02DF7021" w14:textId="77777777" w:rsidR="00B85E30" w:rsidRPr="00EF3E79" w:rsidRDefault="00B85E30" w:rsidP="005A2FE0">
            <w:pPr>
              <w:ind w:left="3"/>
              <w:jc w:val="both"/>
              <w:rPr>
                <w:rFonts w:ascii="Verdana" w:eastAsia="Calibri" w:hAnsi="Verdana" w:cs="Arial"/>
                <w:lang w:val="es-ES" w:eastAsia="es-ES"/>
              </w:rPr>
            </w:pPr>
          </w:p>
        </w:tc>
      </w:tr>
    </w:tbl>
    <w:p w14:paraId="5766796B" w14:textId="77777777" w:rsidR="00B85E30" w:rsidRPr="00EF3E79" w:rsidRDefault="00B85E30" w:rsidP="00B85E30">
      <w:pPr>
        <w:spacing w:after="0" w:line="276" w:lineRule="auto"/>
        <w:jc w:val="both"/>
        <w:rPr>
          <w:rFonts w:ascii="Verdana" w:eastAsia="Calibri" w:hAnsi="Verdana" w:cs="Arial"/>
          <w:lang w:val="es-ES" w:eastAsia="es-ES"/>
        </w:rPr>
      </w:pPr>
      <w:r w:rsidRPr="00EF3E79">
        <w:rPr>
          <w:rFonts w:ascii="Verdana" w:eastAsia="Calibri" w:hAnsi="Verdana" w:cs="Arial"/>
          <w:lang w:val="es-ES" w:eastAsia="es-ES"/>
        </w:rPr>
        <w:t>Estimada Señora Higuera:</w:t>
      </w:r>
    </w:p>
    <w:p w14:paraId="114CED11" w14:textId="77777777" w:rsidR="00B85E30" w:rsidRPr="00EF3E79" w:rsidRDefault="00B85E30" w:rsidP="00B85E30">
      <w:pPr>
        <w:tabs>
          <w:tab w:val="left" w:pos="3768"/>
        </w:tabs>
        <w:spacing w:after="0" w:line="276" w:lineRule="auto"/>
        <w:jc w:val="both"/>
        <w:rPr>
          <w:rFonts w:ascii="Verdana" w:eastAsia="Calibri" w:hAnsi="Verdana" w:cs="Arial"/>
          <w:lang w:val="es-ES" w:eastAsia="es-ES"/>
        </w:rPr>
      </w:pPr>
      <w:r w:rsidRPr="00EF3E79">
        <w:rPr>
          <w:rFonts w:ascii="Verdana" w:eastAsia="Calibri" w:hAnsi="Verdana" w:cs="Arial"/>
          <w:lang w:val="es-ES" w:eastAsia="es-ES"/>
        </w:rPr>
        <w:tab/>
      </w:r>
    </w:p>
    <w:p w14:paraId="4F2F6DEE" w14:textId="77777777" w:rsidR="00B85E30" w:rsidRPr="00EF3E79" w:rsidRDefault="00B85E30" w:rsidP="00B85E30">
      <w:pPr>
        <w:spacing w:after="0" w:line="276" w:lineRule="auto"/>
        <w:jc w:val="both"/>
        <w:rPr>
          <w:rFonts w:ascii="Verdana" w:eastAsia="Calibri" w:hAnsi="Verdana" w:cs="Arial"/>
          <w:lang w:val="es-ES" w:eastAsia="es-ES"/>
        </w:rPr>
      </w:pPr>
      <w:r w:rsidRPr="00EF3E79">
        <w:rPr>
          <w:rFonts w:ascii="Verdana" w:eastAsia="Calibri" w:hAnsi="Verdana" w:cs="Arial"/>
          <w:lang w:val="es-ES" w:eastAsia="es-ES"/>
        </w:rPr>
        <w:t>En ejercicio de la competencia otorgada por los artículos 3, numeral 5º, y 11, numeral 8º, del Decreto Ley 4170 de 2011,</w:t>
      </w:r>
      <w:r w:rsidRPr="00EF3E79">
        <w:rPr>
          <w:rFonts w:ascii="Verdana" w:eastAsia="Arial MT" w:hAnsi="Verdana" w:cs="Arial MT"/>
          <w:lang w:val="es-ES" w:eastAsia="es-ES"/>
        </w:rPr>
        <w:t xml:space="preserve"> </w:t>
      </w:r>
      <w:r w:rsidRPr="00EF3E79">
        <w:rPr>
          <w:rFonts w:ascii="Verdana" w:hAnsi="Verdana" w:cs="Arial"/>
          <w:lang w:val="es-ES"/>
        </w:rPr>
        <w:t xml:space="preserve">así como lo establecido en el artículo 4 de la Resolución 469 de 2025 expedida por esta Entidad, </w:t>
      </w:r>
      <w:r w:rsidRPr="00EF3E79">
        <w:rPr>
          <w:rFonts w:ascii="Verdana" w:eastAsia="Calibri" w:hAnsi="Verdana" w:cs="Arial"/>
          <w:lang w:val="es-ES" w:eastAsia="es-ES"/>
        </w:rPr>
        <w:t xml:space="preserve">la Agencia Nacional de Contratación Pública – Colombia Compra Eficiente– responde sus solicitudes de consulta de fecha 12 y 13 de agosto de 2026, en la cual manifiesta lo siguiente: </w:t>
      </w:r>
    </w:p>
    <w:p w14:paraId="69992B9C" w14:textId="77777777" w:rsidR="00B85E30" w:rsidRPr="00EF3E79" w:rsidRDefault="00B85E30" w:rsidP="00B85E30">
      <w:pPr>
        <w:tabs>
          <w:tab w:val="left" w:pos="142"/>
          <w:tab w:val="left" w:pos="284"/>
        </w:tabs>
        <w:spacing w:after="0" w:line="276" w:lineRule="auto"/>
        <w:jc w:val="both"/>
        <w:rPr>
          <w:rFonts w:ascii="Verdana" w:eastAsia="Century Gothic" w:hAnsi="Verdana" w:cs="Century Gothic"/>
          <w:b/>
          <w:bCs/>
          <w:lang w:val="es-ES"/>
        </w:rPr>
      </w:pPr>
    </w:p>
    <w:p w14:paraId="342AEBF2" w14:textId="77777777" w:rsidR="00B85E30" w:rsidRPr="00EF3E79" w:rsidRDefault="00B85E30" w:rsidP="00B85E30">
      <w:pPr>
        <w:spacing w:after="0" w:line="240" w:lineRule="auto"/>
        <w:ind w:left="709" w:right="709"/>
        <w:jc w:val="both"/>
        <w:rPr>
          <w:rFonts w:ascii="Verdana" w:eastAsia="Century Gothic" w:hAnsi="Verdana" w:cs="Century Gothic"/>
          <w:i/>
          <w:iCs/>
          <w:sz w:val="20"/>
          <w:szCs w:val="20"/>
          <w:lang w:val="es-ES"/>
        </w:rPr>
      </w:pPr>
      <w:r w:rsidRPr="00EF3E79">
        <w:rPr>
          <w:rFonts w:ascii="Verdana" w:eastAsia="Century Gothic" w:hAnsi="Verdana" w:cs="Century Gothic"/>
          <w:i/>
          <w:iCs/>
          <w:sz w:val="20"/>
          <w:szCs w:val="20"/>
          <w:lang w:val="es-ES"/>
        </w:rPr>
        <w:t xml:space="preserve">“[…] 1. ¿El criterio de desempate y/o el puntaje adicional asociado a la condición de “madre cabeza de familia” previsto en el artículo 2.2.1.2.4.2.17 del Decreto 1082 de 2015 y en los pliegos de condiciones de los procesos de selección aplica únicamente cuando los hijos a cargo de la proponente son menores de edad, o también cobija los casos en que la proponente mantiene, de manera permanente, la custodia y responsabilidad económica de hijos mayores de edad que no laboran por </w:t>
      </w:r>
      <w:r w:rsidRPr="00EF3E79">
        <w:rPr>
          <w:rFonts w:ascii="Verdana" w:eastAsia="Century Gothic" w:hAnsi="Verdana" w:cs="Century Gothic"/>
          <w:i/>
          <w:iCs/>
          <w:sz w:val="20"/>
          <w:szCs w:val="20"/>
          <w:lang w:val="es-ES"/>
        </w:rPr>
        <w:lastRenderedPageBreak/>
        <w:t>encontrarse cursando estudios de tiempo completo y que, por tal razón, no generan ingresos propios?</w:t>
      </w:r>
    </w:p>
    <w:p w14:paraId="6DAA6872" w14:textId="77777777" w:rsidR="00B85E30" w:rsidRPr="00EF3E79" w:rsidRDefault="00B85E30" w:rsidP="00B85E30">
      <w:pPr>
        <w:spacing w:after="0" w:line="240" w:lineRule="auto"/>
        <w:ind w:left="709" w:right="709"/>
        <w:jc w:val="both"/>
        <w:rPr>
          <w:rFonts w:ascii="Verdana" w:eastAsia="Century Gothic" w:hAnsi="Verdana" w:cs="Century Gothic"/>
          <w:i/>
          <w:iCs/>
          <w:sz w:val="20"/>
          <w:szCs w:val="20"/>
        </w:rPr>
      </w:pPr>
    </w:p>
    <w:p w14:paraId="3D75CCD5" w14:textId="77777777" w:rsidR="00B85E30" w:rsidRPr="00EF3E79" w:rsidRDefault="00B85E30" w:rsidP="00B85E30">
      <w:pPr>
        <w:spacing w:after="0" w:line="240" w:lineRule="auto"/>
        <w:ind w:left="709" w:right="709"/>
        <w:jc w:val="both"/>
        <w:rPr>
          <w:rFonts w:ascii="Verdana" w:eastAsia="Century Gothic" w:hAnsi="Verdana" w:cs="Century Gothic"/>
          <w:i/>
          <w:iCs/>
          <w:sz w:val="20"/>
          <w:szCs w:val="20"/>
        </w:rPr>
      </w:pPr>
      <w:r w:rsidRPr="00EF3E79">
        <w:rPr>
          <w:rFonts w:ascii="Verdana" w:eastAsia="Century Gothic" w:hAnsi="Verdana" w:cs="Century Gothic"/>
          <w:i/>
          <w:iCs/>
          <w:sz w:val="20"/>
          <w:szCs w:val="20"/>
        </w:rPr>
        <w:t>2. ¿Debe interpretarse la expresión “hijos menores propios u otras personas incapaces o incapacitadas para trabajar”, contenida en el artículo 2 de la Ley 82 de 1993 (modificado por el artículo 1 de la Ley 1232 de 2008), en el sentido de que la “incapacidad para trabajar” puede predicarse también de un hijo mayor de edad dedicado exclusivamente a sus estudios y que depende económicamente de la proponente, o dicha expresión se reserva de manera exclusiva a incapacidades de tipo físico, sensorial, síquico o mental?</w:t>
      </w:r>
    </w:p>
    <w:p w14:paraId="6B3FE51D" w14:textId="77777777" w:rsidR="00B85E30" w:rsidRPr="00EF3E79" w:rsidRDefault="00B85E30" w:rsidP="00B85E30">
      <w:pPr>
        <w:spacing w:after="0" w:line="240" w:lineRule="auto"/>
        <w:ind w:left="709" w:right="709"/>
        <w:jc w:val="both"/>
        <w:rPr>
          <w:rFonts w:ascii="Verdana" w:eastAsia="Century Gothic" w:hAnsi="Verdana" w:cs="Century Gothic"/>
          <w:i/>
          <w:iCs/>
          <w:sz w:val="20"/>
          <w:szCs w:val="20"/>
        </w:rPr>
      </w:pPr>
    </w:p>
    <w:p w14:paraId="0D456C4B" w14:textId="77777777" w:rsidR="00B85E30" w:rsidRPr="00EF3E79" w:rsidRDefault="00B85E30" w:rsidP="00B85E30">
      <w:pPr>
        <w:spacing w:after="0" w:line="240" w:lineRule="auto"/>
        <w:ind w:left="709" w:right="709"/>
        <w:jc w:val="both"/>
        <w:rPr>
          <w:rFonts w:ascii="Verdana" w:eastAsia="Century Gothic" w:hAnsi="Verdana" w:cs="Century Gothic"/>
          <w:i/>
          <w:iCs/>
          <w:sz w:val="20"/>
          <w:szCs w:val="20"/>
        </w:rPr>
      </w:pPr>
      <w:r w:rsidRPr="00EF3E79">
        <w:rPr>
          <w:rFonts w:ascii="Verdana" w:eastAsia="Century Gothic" w:hAnsi="Verdana" w:cs="Century Gothic"/>
          <w:i/>
          <w:iCs/>
          <w:sz w:val="20"/>
          <w:szCs w:val="20"/>
        </w:rPr>
        <w:t>3. En caso de que la respuesta al interrogante anterior sea afirmativa, ¿existe algún límite de edad (por ejemplo, 25 años) aplicable por analogía con otras figuras del ordenamiento jurídico colombiano (v. gr. seguridad social en salud, beneficios tributarios por dependientes) para efectos de esta calificación en los procesos de contratación estatal?</w:t>
      </w:r>
    </w:p>
    <w:p w14:paraId="3B583C4F" w14:textId="77777777" w:rsidR="00B85E30" w:rsidRPr="00EF3E79" w:rsidRDefault="00B85E30" w:rsidP="00B85E30">
      <w:pPr>
        <w:spacing w:after="0" w:line="240" w:lineRule="auto"/>
        <w:ind w:left="709" w:right="709"/>
        <w:jc w:val="both"/>
        <w:rPr>
          <w:rFonts w:ascii="Verdana" w:eastAsia="Century Gothic" w:hAnsi="Verdana" w:cs="Century Gothic"/>
          <w:i/>
          <w:iCs/>
          <w:color w:val="7030A0"/>
          <w:sz w:val="20"/>
          <w:szCs w:val="20"/>
        </w:rPr>
      </w:pPr>
    </w:p>
    <w:p w14:paraId="430E6BFB" w14:textId="77777777" w:rsidR="00B85E30" w:rsidRPr="00EF3E79" w:rsidRDefault="00B85E30" w:rsidP="00B85E30">
      <w:pPr>
        <w:spacing w:after="0" w:line="240" w:lineRule="auto"/>
        <w:ind w:left="709" w:right="709"/>
        <w:jc w:val="both"/>
        <w:rPr>
          <w:rFonts w:ascii="Verdana" w:eastAsia="Century Gothic" w:hAnsi="Verdana" w:cs="Century Gothic"/>
          <w:i/>
          <w:iCs/>
          <w:sz w:val="20"/>
          <w:szCs w:val="20"/>
        </w:rPr>
      </w:pPr>
      <w:r w:rsidRPr="00EF3E79">
        <w:rPr>
          <w:rFonts w:ascii="Verdana" w:eastAsia="Century Gothic" w:hAnsi="Verdana" w:cs="Century Gothic"/>
          <w:i/>
          <w:iCs/>
          <w:sz w:val="20"/>
          <w:szCs w:val="20"/>
        </w:rPr>
        <w:t>4. ¿Cuáles serían los medios de prueba idóneos para acreditar esta condición ante la entidad estatal contratante, en el evento de que la respuesta a los interrogantes 1 y 2 sea afirmativa (por ejemplo, certificados de estudio, declaración extrajuicio, registro civil de nacimiento, entre otros)?</w:t>
      </w:r>
    </w:p>
    <w:p w14:paraId="1B514863" w14:textId="77777777" w:rsidR="00B85E30" w:rsidRPr="00EF3E79" w:rsidRDefault="00B85E30" w:rsidP="00B85E30">
      <w:pPr>
        <w:spacing w:after="0" w:line="240" w:lineRule="auto"/>
        <w:ind w:left="709" w:right="709"/>
        <w:jc w:val="both"/>
        <w:rPr>
          <w:rFonts w:ascii="Verdana" w:eastAsia="Century Gothic" w:hAnsi="Verdana" w:cs="Century Gothic"/>
          <w:i/>
          <w:iCs/>
          <w:sz w:val="20"/>
          <w:szCs w:val="20"/>
        </w:rPr>
      </w:pPr>
    </w:p>
    <w:p w14:paraId="1852CD64" w14:textId="77777777" w:rsidR="00B85E30" w:rsidRPr="00EF3E79" w:rsidRDefault="00B85E30" w:rsidP="00B85E30">
      <w:pPr>
        <w:spacing w:after="0" w:line="240" w:lineRule="auto"/>
        <w:ind w:left="709" w:right="709"/>
        <w:jc w:val="both"/>
        <w:rPr>
          <w:rFonts w:ascii="Verdana" w:eastAsia="Century Gothic" w:hAnsi="Verdana" w:cs="Century Gothic"/>
          <w:i/>
          <w:iCs/>
          <w:sz w:val="20"/>
          <w:szCs w:val="20"/>
        </w:rPr>
      </w:pPr>
      <w:r w:rsidRPr="00EF3E79">
        <w:rPr>
          <w:rFonts w:ascii="Verdana" w:eastAsia="Century Gothic" w:hAnsi="Verdana" w:cs="Century Gothic"/>
          <w:i/>
          <w:iCs/>
          <w:sz w:val="20"/>
          <w:szCs w:val="20"/>
        </w:rPr>
        <w:t>5. En caso de que la interpretación de Colombia Compra Eficiente sea que el beneficio se circunscribe exclusivamente a hijos menores de edad, solicito indicar de manera expresa cuál es el fundamento normativo que sustenta dicha restricción. […]”</w:t>
      </w:r>
    </w:p>
    <w:p w14:paraId="3B9E3D7C" w14:textId="77777777" w:rsidR="00B85E30" w:rsidRPr="00EF3E79" w:rsidRDefault="00B85E30" w:rsidP="00B85E30">
      <w:pPr>
        <w:spacing w:before="120" w:after="120" w:line="240" w:lineRule="auto"/>
        <w:ind w:left="709" w:right="709"/>
        <w:contextualSpacing/>
        <w:jc w:val="both"/>
        <w:rPr>
          <w:rFonts w:ascii="Verdana" w:eastAsia="Century Gothic" w:hAnsi="Verdana" w:cs="Century Gothic"/>
          <w:i/>
          <w:iCs/>
          <w:color w:val="7030A0"/>
          <w:sz w:val="20"/>
          <w:szCs w:val="20"/>
          <w:lang w:val="es-ES"/>
        </w:rPr>
      </w:pPr>
    </w:p>
    <w:p w14:paraId="40A994D0" w14:textId="77777777" w:rsidR="00B85E30" w:rsidRPr="00EF3E79" w:rsidRDefault="00B85E30" w:rsidP="00B85E30">
      <w:pPr>
        <w:spacing w:after="120" w:line="276" w:lineRule="auto"/>
        <w:ind w:firstLine="708"/>
        <w:jc w:val="both"/>
        <w:rPr>
          <w:rFonts w:ascii="Verdana" w:eastAsia="Calibri" w:hAnsi="Verdana" w:cs="Arial"/>
          <w:lang w:val="es-ES" w:eastAsia="es-ES"/>
        </w:rPr>
      </w:pPr>
      <w:r w:rsidRPr="00EF3E7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F3E79">
        <w:rPr>
          <w:rFonts w:ascii="Verdana" w:hAnsi="Verdana"/>
          <w:lang w:val="es-ES"/>
        </w:rPr>
        <w:tab/>
      </w:r>
    </w:p>
    <w:p w14:paraId="44BED670" w14:textId="77777777" w:rsidR="00B85E30" w:rsidRPr="00EF3E79" w:rsidRDefault="00B85E30" w:rsidP="00B85E30">
      <w:pPr>
        <w:spacing w:after="0" w:line="276" w:lineRule="auto"/>
        <w:ind w:firstLine="709"/>
        <w:jc w:val="both"/>
        <w:rPr>
          <w:rFonts w:ascii="Verdana" w:eastAsia="Calibri" w:hAnsi="Verdana" w:cs="Arial"/>
          <w:lang w:val="es-ES" w:eastAsia="es-ES"/>
        </w:rPr>
      </w:pPr>
      <w:r w:rsidRPr="00EF3E79">
        <w:rPr>
          <w:rFonts w:ascii="Verdana" w:eastAsia="Calibri" w:hAnsi="Verdana" w:cs="Arial"/>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68356F96" w14:textId="77777777" w:rsidR="00B85E30" w:rsidRPr="00EF3E79" w:rsidRDefault="00B85E30" w:rsidP="00B85E30">
      <w:pPr>
        <w:spacing w:after="0" w:line="276" w:lineRule="auto"/>
        <w:ind w:firstLine="709"/>
        <w:jc w:val="both"/>
        <w:rPr>
          <w:rFonts w:ascii="Verdana" w:eastAsia="Calibri" w:hAnsi="Verdana" w:cs="Arial"/>
          <w:lang w:val="es-ES" w:eastAsia="es-ES"/>
        </w:rPr>
      </w:pPr>
    </w:p>
    <w:p w14:paraId="6506B2B8" w14:textId="77777777" w:rsidR="00B85E30" w:rsidRPr="00EF3E79" w:rsidRDefault="00B85E30" w:rsidP="00B85E30">
      <w:pPr>
        <w:tabs>
          <w:tab w:val="left" w:pos="142"/>
          <w:tab w:val="left" w:pos="284"/>
        </w:tabs>
        <w:spacing w:after="0" w:line="276" w:lineRule="auto"/>
        <w:jc w:val="both"/>
        <w:rPr>
          <w:rFonts w:ascii="Verdana" w:eastAsia="Century Gothic" w:hAnsi="Verdana" w:cs="Century Gothic"/>
          <w:b/>
          <w:lang w:val="es-ES"/>
        </w:rPr>
      </w:pPr>
      <w:r w:rsidRPr="00EF3E79">
        <w:rPr>
          <w:rFonts w:ascii="Verdana" w:eastAsia="Century Gothic" w:hAnsi="Verdana" w:cs="Century Gothic"/>
          <w:b/>
          <w:lang w:val="es-ES"/>
        </w:rPr>
        <w:t>1. Problema planteado:</w:t>
      </w:r>
    </w:p>
    <w:p w14:paraId="4D0325E5" w14:textId="77777777" w:rsidR="00B85E30" w:rsidRPr="00EF3E79" w:rsidRDefault="00B85E30" w:rsidP="00B85E30">
      <w:pPr>
        <w:tabs>
          <w:tab w:val="left" w:pos="426"/>
        </w:tabs>
        <w:spacing w:after="0" w:line="276" w:lineRule="auto"/>
        <w:jc w:val="both"/>
        <w:rPr>
          <w:rFonts w:ascii="Verdana" w:eastAsia="Century Gothic" w:hAnsi="Verdana" w:cs="Century Gothic"/>
          <w:lang w:val="es-ES"/>
        </w:rPr>
      </w:pPr>
    </w:p>
    <w:p w14:paraId="0CD18EFF" w14:textId="77777777" w:rsidR="00B85E30" w:rsidRPr="00EF3E79" w:rsidRDefault="00B85E30" w:rsidP="00B85E30">
      <w:pPr>
        <w:spacing w:after="0" w:line="276" w:lineRule="auto"/>
        <w:jc w:val="both"/>
        <w:rPr>
          <w:rFonts w:ascii="Verdana" w:eastAsia="Calibri" w:hAnsi="Verdana" w:cs="Times New Roman"/>
        </w:rPr>
      </w:pPr>
      <w:r w:rsidRPr="00EF3E79">
        <w:rPr>
          <w:rFonts w:ascii="Verdana" w:eastAsia="Century Gothic" w:hAnsi="Verdana" w:cs="Century Gothic"/>
          <w:lang w:val="es-ES"/>
        </w:rPr>
        <w:t>De acuerdo con el contenido de su solicitud, esta Agencia resolverá los siguientes problemas jurídicos:</w:t>
      </w:r>
      <w:r w:rsidRPr="00EF3E79">
        <w:rPr>
          <w:rFonts w:ascii="Verdana" w:eastAsia="Century Gothic" w:hAnsi="Verdana" w:cs="Century Gothic"/>
        </w:rPr>
        <w:t xml:space="preserve"> i. </w:t>
      </w:r>
      <w:r w:rsidRPr="00EF3E79">
        <w:rPr>
          <w:rFonts w:ascii="Verdana" w:eastAsia="Calibri" w:hAnsi="Verdana" w:cs="Times New Roman"/>
        </w:rPr>
        <w:t>¿Cómo debe entenderse la condición de mujer cabeza de familia para efectos del factor de desempate previsto en el Decreto 1082 de 2015?</w:t>
      </w:r>
    </w:p>
    <w:p w14:paraId="5E678714" w14:textId="77777777" w:rsidR="00B85E30" w:rsidRPr="00EF3E79" w:rsidRDefault="00B85E30" w:rsidP="00B85E30">
      <w:pPr>
        <w:spacing w:after="0" w:line="276" w:lineRule="auto"/>
        <w:jc w:val="both"/>
        <w:rPr>
          <w:rFonts w:ascii="Verdana" w:eastAsia="Century Gothic" w:hAnsi="Verdana" w:cs="Century Gothic"/>
          <w:color w:val="7030A0"/>
        </w:rPr>
      </w:pPr>
    </w:p>
    <w:p w14:paraId="44B5FE2E" w14:textId="77777777" w:rsidR="00B85E30" w:rsidRPr="00EF3E79" w:rsidRDefault="00B85E30" w:rsidP="00B85E30">
      <w:pPr>
        <w:tabs>
          <w:tab w:val="left" w:pos="142"/>
          <w:tab w:val="left" w:pos="284"/>
        </w:tabs>
        <w:spacing w:after="0" w:line="276" w:lineRule="auto"/>
        <w:jc w:val="both"/>
        <w:rPr>
          <w:rFonts w:ascii="Verdana" w:eastAsia="Century Gothic" w:hAnsi="Verdana" w:cs="Century Gothic"/>
          <w:b/>
          <w:lang w:val="es-ES"/>
        </w:rPr>
      </w:pPr>
      <w:r w:rsidRPr="00EF3E79">
        <w:rPr>
          <w:rFonts w:ascii="Verdana" w:eastAsia="Century Gothic" w:hAnsi="Verdana" w:cs="Century Gothic"/>
          <w:b/>
          <w:lang w:val="es-ES"/>
        </w:rPr>
        <w:t>2. Respuesta:</w:t>
      </w:r>
    </w:p>
    <w:p w14:paraId="14E5047A" w14:textId="77777777" w:rsidR="00B85E30" w:rsidRPr="00EF3E79" w:rsidRDefault="00B85E30" w:rsidP="00B85E30">
      <w:pPr>
        <w:tabs>
          <w:tab w:val="left" w:pos="142"/>
          <w:tab w:val="left" w:pos="284"/>
        </w:tabs>
        <w:spacing w:after="0" w:line="276" w:lineRule="auto"/>
        <w:jc w:val="both"/>
        <w:rPr>
          <w:rFonts w:ascii="Verdana" w:eastAsia="Century Gothic" w:hAnsi="Verdana" w:cs="Century Gothic"/>
          <w:b/>
          <w:color w:val="7030A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85E30" w:rsidRPr="00EF3E79" w14:paraId="1C02BB3D" w14:textId="77777777" w:rsidTr="005A2FE0">
        <w:tc>
          <w:tcPr>
            <w:tcW w:w="8828" w:type="dxa"/>
          </w:tcPr>
          <w:p w14:paraId="30E98706" w14:textId="77777777" w:rsidR="00B85E30" w:rsidRPr="00EF3E79" w:rsidRDefault="00B85E30" w:rsidP="005A2FE0">
            <w:pPr>
              <w:spacing w:after="120" w:line="276" w:lineRule="auto"/>
              <w:ind w:right="79"/>
              <w:jc w:val="both"/>
              <w:rPr>
                <w:rFonts w:ascii="Verdana" w:eastAsia="Arial" w:hAnsi="Verdana" w:cs="Arial"/>
                <w:bCs/>
              </w:rPr>
            </w:pPr>
            <w:r w:rsidRPr="00EF3E79">
              <w:rPr>
                <w:rFonts w:ascii="Verdana" w:eastAsia="Arial" w:hAnsi="Verdana" w:cs="Arial"/>
                <w:bCs/>
              </w:rPr>
              <w:t>Para dar respuesta al problema planteado, es importante indicar que, en materia de acreditación de la condición de mujer cabeza de familia, el primer inciso del numeral 2 del artículo 2.2.1.2.4.2.17 del Decreto 1082 de 2015 hace referencia al artículo 2 de la Ley 82 de 1993, “Por la cual se expiden normas para apoyar de manera especial a la mujer cabeza de familia”, modificado por el artículo 1 de la Ley 1232 de 2008, disposición que establece la declaración ante notario como mecanismo para demostrar dicha calidad.</w:t>
            </w:r>
          </w:p>
          <w:p w14:paraId="09EDCEB2" w14:textId="77777777" w:rsidR="00B85E30" w:rsidRPr="00EF3E79" w:rsidRDefault="00B85E30" w:rsidP="005A2FE0">
            <w:pPr>
              <w:spacing w:after="120" w:line="276" w:lineRule="auto"/>
              <w:ind w:right="79" w:firstLine="709"/>
              <w:jc w:val="both"/>
              <w:rPr>
                <w:rFonts w:ascii="Verdana" w:eastAsia="Arial" w:hAnsi="Verdana" w:cs="Arial"/>
                <w:bCs/>
                <w:color w:val="000000" w:themeColor="text1"/>
              </w:rPr>
            </w:pPr>
            <w:r w:rsidRPr="00EF3E79">
              <w:rPr>
                <w:rFonts w:ascii="Verdana" w:eastAsia="Arial" w:hAnsi="Verdana" w:cs="Arial"/>
                <w:bCs/>
                <w:color w:val="000000" w:themeColor="text1"/>
              </w:rPr>
              <w:t>En ese sentido, la declaración ante notario constituye el mecanismo previsto para acreditar esta condición en la aplicación del factor de desempate. Sin embargo, su contenido debe dar cuenta del cumplimiento de los requisitos establecidos en el artículo 2 de la Ley 82 de 1993, modificado por el artículo 1 de la Ley 1232 de 2008, de manera que la acreditación no se limita a la presentación formal de la declaración, sino que debe corresponder a los presupuestos legales que determinan la condición de mujer cabeza de familia.</w:t>
            </w:r>
          </w:p>
          <w:p w14:paraId="031F2A28" w14:textId="77777777" w:rsidR="00B85E30" w:rsidRPr="00EF3E79" w:rsidRDefault="00B85E30" w:rsidP="005A2FE0">
            <w:pPr>
              <w:spacing w:after="120" w:line="276" w:lineRule="auto"/>
              <w:ind w:right="79" w:firstLine="709"/>
              <w:jc w:val="both"/>
              <w:rPr>
                <w:rFonts w:ascii="Verdana" w:eastAsia="Arial" w:hAnsi="Verdana" w:cs="Arial"/>
                <w:bCs/>
                <w:color w:val="000000" w:themeColor="text1"/>
              </w:rPr>
            </w:pPr>
            <w:r w:rsidRPr="00EF3E79">
              <w:rPr>
                <w:rFonts w:ascii="Verdana" w:eastAsia="Arial" w:hAnsi="Verdana" w:cs="Arial"/>
                <w:bCs/>
                <w:color w:val="000000" w:themeColor="text1"/>
              </w:rPr>
              <w:t xml:space="preserve">Ahora bien, para determinar cuáles son dichos presupuestos, el artículo 2 de la Ley 82 de 1993, modificado por el artículo 1 de la Ley 1232 de 2008, establece que es mujer cabeza de familia quien, siendo soltera o casada, ejerce la jefatura femenina del hogar y tiene bajo su cargo, afectiva, económica o socialmente, en forma permanente, hijos menores propios u </w:t>
            </w:r>
            <w:r w:rsidRPr="00EF3E79">
              <w:rPr>
                <w:rFonts w:ascii="Verdana" w:eastAsia="Arial" w:hAnsi="Verdana" w:cs="Arial"/>
                <w:bCs/>
                <w:color w:val="000000" w:themeColor="text1"/>
              </w:rPr>
              <w:lastRenderedPageBreak/>
              <w:t>otras personas incapaces o incapacitadas para trabajar, en las circunstancias previstas en la misma disposición.</w:t>
            </w:r>
          </w:p>
          <w:p w14:paraId="5DA0E971" w14:textId="77777777" w:rsidR="00B85E30" w:rsidRPr="00EF3E79" w:rsidRDefault="00B85E30" w:rsidP="005A2FE0">
            <w:pPr>
              <w:spacing w:after="120" w:line="276" w:lineRule="auto"/>
              <w:ind w:right="79" w:firstLine="709"/>
              <w:jc w:val="both"/>
              <w:rPr>
                <w:rFonts w:ascii="Verdana" w:eastAsia="Arial" w:hAnsi="Verdana" w:cs="Arial"/>
                <w:bCs/>
              </w:rPr>
            </w:pPr>
            <w:r w:rsidRPr="00EF3E79">
              <w:rPr>
                <w:rFonts w:ascii="Verdana" w:eastAsia="Arial" w:hAnsi="Verdana" w:cs="Arial"/>
                <w:bCs/>
              </w:rPr>
              <w:t>En consecuencia, sobre este último aspecto, la jurisprudencia constitucional ha precisado que no toda mujer que tenga personas a cargo ostenta, por ese solo hecho, la condición de mujer cabeza de familia. Para su configuración deben concurrir los elementos que permiten establecer su existencia, entre ellos, la responsabilidad permanente respecto de hijos menores u otras personas incapacitadas para trabajar, así como las circunstancias relacionadas con la ausencia, incumplimiento o imposibilidad del cónyuge o compañero permanente para asumir sus obligaciones y la insuficiencia sustancial de apoyo de los demás miembros del núcleo familiar.</w:t>
            </w:r>
          </w:p>
          <w:p w14:paraId="012874A4" w14:textId="77777777" w:rsidR="00B85E30" w:rsidRPr="00EF3E79" w:rsidRDefault="00B85E30" w:rsidP="005A2FE0">
            <w:pPr>
              <w:spacing w:after="120" w:line="276" w:lineRule="auto"/>
              <w:ind w:right="79" w:firstLine="709"/>
              <w:jc w:val="both"/>
              <w:rPr>
                <w:rFonts w:ascii="Verdana" w:eastAsia="Arial" w:hAnsi="Verdana" w:cs="Arial"/>
                <w:bCs/>
              </w:rPr>
            </w:pPr>
            <w:r w:rsidRPr="00EF3E79">
              <w:rPr>
                <w:rFonts w:ascii="Verdana" w:eastAsia="Arial" w:hAnsi="Verdana" w:cs="Arial"/>
                <w:bCs/>
              </w:rPr>
              <w:t>En particular, resulta necesario precisar el alcance de la expresión “incapaz o incapacitada para trabajar”, en la medida en que constituye uno de los supuestos expresamente previstos por el legislador. Esta circunstancia debe distinguirse de la dependencia económica, pues el hecho de que una persona dependa económicamente de la mujer no significa, por sí solo, que se encuentre imposibilitada para desarrollar una actividad laboral. Por ello, para establecer si una persona se encuentra comprendida en este supuesto, deben analizarse las circunstancias que permitan determinar la existencia de una incapacidad o imposibilidad para trabajar.</w:t>
            </w:r>
          </w:p>
          <w:p w14:paraId="080F60DE" w14:textId="77777777" w:rsidR="00B85E30" w:rsidRPr="00EF3E79" w:rsidRDefault="00B85E30" w:rsidP="005A2FE0">
            <w:pPr>
              <w:spacing w:after="120" w:line="276" w:lineRule="auto"/>
              <w:ind w:right="79" w:firstLine="709"/>
              <w:jc w:val="both"/>
              <w:rPr>
                <w:rStyle w:val="s15"/>
                <w:rFonts w:ascii="Verdana" w:hAnsi="Verdana"/>
              </w:rPr>
            </w:pPr>
            <w:r w:rsidRPr="00EF3E79">
              <w:rPr>
                <w:rFonts w:ascii="Verdana" w:eastAsia="Calibri" w:hAnsi="Verdana" w:cs="Arial"/>
                <w:bCs/>
              </w:rPr>
              <w:t xml:space="preserve">Finalmente, al margen de la explicación precedente debe advertirse que </w:t>
            </w:r>
            <w:r w:rsidRPr="00EF3E79">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EF3E79">
              <w:rPr>
                <w:rStyle w:val="apple-converted-space"/>
                <w:rFonts w:ascii="Verdana" w:hAnsi="Verdana"/>
              </w:rPr>
              <w:t> </w:t>
            </w:r>
            <w:r w:rsidRPr="00EF3E79">
              <w:rPr>
                <w:rStyle w:val="s15"/>
                <w:rFonts w:ascii="Verdana" w:hAnsi="Verdana"/>
              </w:rPr>
              <w:t>Por lo anterior, previo</w:t>
            </w:r>
            <w:r w:rsidRPr="00EF3E79">
              <w:rPr>
                <w:rStyle w:val="apple-converted-space"/>
                <w:rFonts w:ascii="Verdana" w:hAnsi="Verdana"/>
              </w:rPr>
              <w:t> </w:t>
            </w:r>
            <w:r w:rsidRPr="00EF3E79">
              <w:rPr>
                <w:rStyle w:val="s15"/>
                <w:rFonts w:ascii="Verdana" w:hAnsi="Verdana"/>
              </w:rPr>
              <w:t xml:space="preserve">concepto de sus asesores, la solución de situaciones particulares corresponde a los interesados adoptar la decisión correspondiente y, en caso de conflicto, a las autoridades judiciales, fiscales y disciplinarias. </w:t>
            </w:r>
          </w:p>
          <w:p w14:paraId="5103DB59" w14:textId="77777777" w:rsidR="00B85E30" w:rsidRPr="00EF3E79" w:rsidRDefault="00B85E30" w:rsidP="005A2FE0">
            <w:pPr>
              <w:spacing w:after="120" w:line="276" w:lineRule="auto"/>
              <w:ind w:right="79" w:firstLine="709"/>
              <w:jc w:val="both"/>
              <w:rPr>
                <w:rFonts w:ascii="Verdana" w:hAnsi="Verdana" w:cs="Arial"/>
                <w:bCs/>
                <w:color w:val="7030A0"/>
              </w:rPr>
            </w:pPr>
            <w:r w:rsidRPr="00EF3E79">
              <w:rPr>
                <w:rFonts w:ascii="Verdana" w:hAnsi="Verdana"/>
              </w:rPr>
              <w:t xml:space="preserve">Sin perjuicio de lo anterior, se precisa que los conceptos emitidos por esta Subdirección en el marco de la función consultiva representan una posición hermenéutica respecto de las disposiciones normativas del Sistema de Compras Públicas, que no tiene efectos vinculantes frente a una situación jurídica particular y concreta y que, aunque jurídicamente fundamentada, no constituye la única interpretación válida del ordenamiento. Por tanto, cada </w:t>
            </w:r>
            <w:r w:rsidRPr="00EF3E79">
              <w:rPr>
                <w:rFonts w:ascii="Verdana" w:hAnsi="Verdana"/>
              </w:rPr>
              <w:lastRenderedPageBreak/>
              <w:t>entidad definirá la forma de adelantar su gestión contractual, sin que sea atribución de Colombia Compra Eficiente validar sus actuaciones.</w:t>
            </w:r>
          </w:p>
        </w:tc>
      </w:tr>
    </w:tbl>
    <w:p w14:paraId="2FD5E37C" w14:textId="77777777" w:rsidR="00B85E30" w:rsidRPr="00EF3E79" w:rsidRDefault="00B85E30" w:rsidP="00B85E30">
      <w:pPr>
        <w:tabs>
          <w:tab w:val="left" w:pos="142"/>
          <w:tab w:val="left" w:pos="284"/>
        </w:tabs>
        <w:spacing w:after="0" w:line="276" w:lineRule="auto"/>
        <w:jc w:val="both"/>
        <w:rPr>
          <w:rFonts w:ascii="Verdana" w:eastAsia="Century Gothic" w:hAnsi="Verdana" w:cs="Century Gothic"/>
          <w:b/>
          <w:bCs/>
          <w:color w:val="7030A0"/>
          <w:lang w:val="es-ES"/>
        </w:rPr>
      </w:pPr>
    </w:p>
    <w:p w14:paraId="3B84DB19" w14:textId="77777777" w:rsidR="00B85E30" w:rsidRPr="00EF3E79" w:rsidRDefault="00B85E30" w:rsidP="00B85E30">
      <w:pPr>
        <w:tabs>
          <w:tab w:val="left" w:pos="142"/>
          <w:tab w:val="left" w:pos="284"/>
        </w:tabs>
        <w:spacing w:after="0" w:line="276" w:lineRule="auto"/>
        <w:jc w:val="both"/>
        <w:rPr>
          <w:rFonts w:ascii="Verdana" w:eastAsia="Century Gothic" w:hAnsi="Verdana" w:cs="Century Gothic"/>
          <w:b/>
          <w:lang w:val="es-ES"/>
        </w:rPr>
      </w:pPr>
      <w:r w:rsidRPr="00EF3E79">
        <w:rPr>
          <w:rFonts w:ascii="Verdana" w:eastAsia="Century Gothic" w:hAnsi="Verdana" w:cs="Century Gothic"/>
          <w:b/>
          <w:lang w:val="es-ES"/>
        </w:rPr>
        <w:t>3. Razones de la respuesta:</w:t>
      </w:r>
    </w:p>
    <w:p w14:paraId="72D619C2" w14:textId="77777777" w:rsidR="00B85E30" w:rsidRPr="00EF3E79" w:rsidRDefault="00B85E30" w:rsidP="00B85E30">
      <w:pPr>
        <w:spacing w:after="0" w:line="276" w:lineRule="auto"/>
        <w:jc w:val="both"/>
        <w:rPr>
          <w:rFonts w:ascii="Verdana" w:eastAsia="Calibri" w:hAnsi="Verdana" w:cs="Arial"/>
          <w:lang w:val="es-ES"/>
        </w:rPr>
      </w:pPr>
    </w:p>
    <w:p w14:paraId="1AA712DA" w14:textId="77777777" w:rsidR="00B85E30" w:rsidRPr="00EF3E79" w:rsidRDefault="00B85E30" w:rsidP="00B85E30">
      <w:pPr>
        <w:spacing w:after="0" w:line="276" w:lineRule="auto"/>
        <w:jc w:val="both"/>
        <w:rPr>
          <w:rFonts w:ascii="Verdana" w:eastAsia="Calibri" w:hAnsi="Verdana" w:cs="Arial"/>
          <w:lang w:val="es-ES"/>
        </w:rPr>
      </w:pPr>
      <w:r w:rsidRPr="00EF3E79">
        <w:rPr>
          <w:rFonts w:ascii="Verdana" w:eastAsia="Calibri" w:hAnsi="Verdana" w:cs="Arial"/>
          <w:lang w:val="es-ES"/>
        </w:rPr>
        <w:t xml:space="preserve">Las respuestas anteriores se sustentan en las siguientes consideraciones: </w:t>
      </w:r>
    </w:p>
    <w:p w14:paraId="168AF3EA" w14:textId="77777777" w:rsidR="00B85E30" w:rsidRPr="00EF3E79" w:rsidRDefault="00B85E30" w:rsidP="00B85E30">
      <w:pPr>
        <w:tabs>
          <w:tab w:val="left" w:pos="142"/>
          <w:tab w:val="left" w:pos="284"/>
        </w:tabs>
        <w:spacing w:after="0" w:line="276" w:lineRule="auto"/>
        <w:jc w:val="both"/>
        <w:rPr>
          <w:rFonts w:ascii="Verdana" w:eastAsia="Century Gothic" w:hAnsi="Verdana" w:cs="Century Gothic"/>
          <w:b/>
          <w:color w:val="7030A0"/>
          <w:lang w:val="es-ES"/>
        </w:rPr>
      </w:pPr>
    </w:p>
    <w:p w14:paraId="6BBC0CC1" w14:textId="77777777" w:rsidR="00B85E30" w:rsidRPr="00EF3E79" w:rsidRDefault="00B85E30" w:rsidP="00B85E30">
      <w:pPr>
        <w:spacing w:after="120" w:line="276" w:lineRule="auto"/>
        <w:jc w:val="both"/>
        <w:rPr>
          <w:rFonts w:ascii="Verdana" w:eastAsia="Calibri" w:hAnsi="Verdana" w:cs="Arial"/>
          <w:lang w:val="es-ES"/>
        </w:rPr>
      </w:pPr>
      <w:r w:rsidRPr="00EF3E79">
        <w:rPr>
          <w:rFonts w:ascii="Verdana" w:eastAsia="Calibri" w:hAnsi="Verdana" w:cs="Arial"/>
          <w:bCs/>
          <w:color w:val="000000" w:themeColor="text1"/>
        </w:rPr>
        <w:t xml:space="preserve">i. </w:t>
      </w:r>
      <w:r w:rsidRPr="00EF3E79">
        <w:rPr>
          <w:rFonts w:ascii="Verdana" w:eastAsia="Calibri" w:hAnsi="Verdana" w:cs="Arial"/>
          <w:lang w:val="es-ES"/>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28424386" w14:textId="77777777" w:rsidR="00B85E30" w:rsidRPr="00EF3E79" w:rsidRDefault="00B85E30" w:rsidP="00B85E30">
      <w:pPr>
        <w:spacing w:after="120" w:line="276" w:lineRule="auto"/>
        <w:ind w:firstLine="709"/>
        <w:jc w:val="both"/>
        <w:rPr>
          <w:rFonts w:ascii="Verdana" w:eastAsia="Calibri" w:hAnsi="Verdana" w:cs="Arial"/>
          <w:lang w:val="es-ES"/>
        </w:rPr>
      </w:pPr>
      <w:r w:rsidRPr="00EF3E79">
        <w:rPr>
          <w:rFonts w:ascii="Verdana" w:eastAsia="Calibri" w:hAnsi="Verdana" w:cs="Arial"/>
          <w:lang w:val="es-ES"/>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los mismos. Como lo ha indicado la Agencia Nacional de Contratación Pública – Colombia Compra Eficiente en el “Manual para el manejo de los incentivos en los procesos de contratación”</w:t>
      </w:r>
      <w:r w:rsidRPr="00EF3E79">
        <w:rPr>
          <w:rStyle w:val="Refdenotaalpie"/>
          <w:rFonts w:ascii="Verdana" w:eastAsia="Calibri" w:hAnsi="Verdana" w:cs="Arial"/>
          <w:lang w:val="es-ES"/>
        </w:rPr>
        <w:footnoteReference w:id="1"/>
      </w:r>
      <w:r w:rsidRPr="00EF3E79">
        <w:rPr>
          <w:rFonts w:ascii="Verdana" w:eastAsia="Calibri" w:hAnsi="Verdana" w:cs="Arial"/>
          <w:lang w:val="es-ES"/>
        </w:rPr>
        <w:t xml:space="preserve">,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14:paraId="11252574" w14:textId="77777777" w:rsidR="00B85E30" w:rsidRPr="00EF3E79" w:rsidRDefault="00B85E30" w:rsidP="51D65FF5">
      <w:pPr>
        <w:spacing w:after="120" w:line="276" w:lineRule="auto"/>
        <w:ind w:firstLine="709"/>
        <w:jc w:val="both"/>
        <w:rPr>
          <w:rFonts w:ascii="Verdana" w:eastAsia="Calibri" w:hAnsi="Verdana" w:cs="Arial"/>
          <w:lang w:val="es-ES"/>
        </w:rPr>
      </w:pPr>
      <w:r w:rsidRPr="51D65FF5">
        <w:rPr>
          <w:rFonts w:ascii="Verdana" w:eastAsia="Calibri" w:hAnsi="Verdana" w:cs="Arial"/>
          <w:lang w:val="es-ES"/>
        </w:rPr>
        <w:lastRenderedPageBreak/>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w:t>
      </w:r>
      <w:r w:rsidRPr="51D65FF5">
        <w:rPr>
          <w:rStyle w:val="Refdenotaalpie"/>
          <w:rFonts w:ascii="Verdana" w:eastAsia="Calibri" w:hAnsi="Verdana" w:cs="Arial"/>
          <w:lang w:val="es-ES"/>
        </w:rPr>
        <w:footnoteReference w:id="2"/>
      </w:r>
      <w:r w:rsidRPr="51D65FF5">
        <w:rPr>
          <w:rFonts w:ascii="Verdana" w:eastAsia="Calibri" w:hAnsi="Verdana" w:cs="Arial"/>
          <w:lang w:val="es-ES"/>
        </w:rPr>
        <w:t xml:space="preserve">. </w:t>
      </w:r>
    </w:p>
    <w:p w14:paraId="591A8857" w14:textId="77777777" w:rsidR="00B85E30" w:rsidRPr="00EF3E79" w:rsidRDefault="00B85E30" w:rsidP="00B85E30">
      <w:pPr>
        <w:spacing w:after="120" w:line="276" w:lineRule="auto"/>
        <w:ind w:firstLine="709"/>
        <w:jc w:val="both"/>
        <w:rPr>
          <w:rFonts w:ascii="Verdana" w:eastAsia="Calibri" w:hAnsi="Verdana" w:cs="Arial"/>
          <w:lang w:val="es-ES_tradnl"/>
        </w:rPr>
      </w:pPr>
      <w:r w:rsidRPr="00EF3E79">
        <w:rPr>
          <w:rFonts w:ascii="Verdana" w:eastAsia="Calibri" w:hAnsi="Verdana" w:cs="Arial"/>
          <w:lang w:val="es-ES"/>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EF3E79">
        <w:rPr>
          <w:rStyle w:val="Refdenotaalpie"/>
          <w:rFonts w:ascii="Verdana" w:eastAsia="Calibri" w:hAnsi="Verdana" w:cs="Arial"/>
          <w:lang w:val="es-ES"/>
        </w:rPr>
        <w:footnoteReference w:id="3"/>
      </w:r>
      <w:r w:rsidRPr="00EF3E79">
        <w:rPr>
          <w:rFonts w:ascii="Verdana" w:eastAsia="Calibri" w:hAnsi="Verdana" w:cs="Arial"/>
          <w:lang w:val="es-ES"/>
        </w:rPr>
        <w:t>. Así mismo, el Consejo de Estado ha señalado que contrariar los factores de desempate genera la nulidad del contrato, conforme al artículo 44, inciso 1º de la Ley 80 de 1993</w:t>
      </w:r>
      <w:r w:rsidRPr="00EF3E79">
        <w:rPr>
          <w:rStyle w:val="Refdenotaalpie"/>
          <w:rFonts w:ascii="Verdana" w:eastAsia="Calibri" w:hAnsi="Verdana" w:cs="Arial"/>
          <w:lang w:val="es-ES"/>
        </w:rPr>
        <w:footnoteReference w:id="4"/>
      </w:r>
      <w:r w:rsidRPr="00EF3E79">
        <w:rPr>
          <w:rFonts w:ascii="Verdana" w:eastAsia="Calibri" w:hAnsi="Verdana" w:cs="Arial"/>
          <w:lang w:val="es-ES"/>
        </w:rPr>
        <w:t>. </w:t>
      </w:r>
    </w:p>
    <w:p w14:paraId="69ED4A18" w14:textId="77777777" w:rsidR="00B85E30" w:rsidRPr="00EF3E79" w:rsidRDefault="00B85E30" w:rsidP="00B85E30">
      <w:pPr>
        <w:spacing w:after="0" w:line="276" w:lineRule="auto"/>
        <w:ind w:firstLine="709"/>
        <w:jc w:val="both"/>
        <w:rPr>
          <w:rFonts w:ascii="Verdana" w:hAnsi="Verdana" w:cs="Arial"/>
          <w:lang w:val="es-ES" w:eastAsia="es-CO"/>
        </w:rPr>
      </w:pPr>
      <w:r w:rsidRPr="00EF3E79">
        <w:rPr>
          <w:rFonts w:ascii="Verdana" w:eastAsia="Calibri" w:hAnsi="Verdana" w:cs="Arial"/>
          <w:lang w:val="es-ES_tradnl"/>
        </w:rPr>
        <w:t>Ahora bien, en cumplimiento de los principios de reciprocidad y de </w:t>
      </w:r>
      <w:r w:rsidRPr="00EF3E79">
        <w:rPr>
          <w:rFonts w:ascii="Verdana" w:eastAsia="Calibri" w:hAnsi="Verdana" w:cs="Arial"/>
          <w:i/>
          <w:iCs/>
          <w:lang w:val="es-ES_tradnl"/>
        </w:rPr>
        <w:t>pacta sunt servanda</w:t>
      </w:r>
      <w:r w:rsidRPr="00EF3E79">
        <w:rPr>
          <w:rFonts w:ascii="Verdana" w:eastAsia="Calibri" w:hAnsi="Verdana" w:cs="Arial"/>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EF3E79">
        <w:rPr>
          <w:rFonts w:ascii="Verdana" w:hAnsi="Verdana" w:cs="Arial"/>
          <w:lang w:val="es-ES" w:eastAsia="es-CO"/>
        </w:rPr>
        <w:t>”</w:t>
      </w:r>
      <w:r w:rsidRPr="00EF3E79">
        <w:rPr>
          <w:rStyle w:val="Refdenotaalpie"/>
          <w:rFonts w:ascii="Verdana" w:hAnsi="Verdana" w:cs="Arial"/>
          <w:lang w:val="es-ES" w:eastAsia="es-CO"/>
        </w:rPr>
        <w:footnoteReference w:id="5"/>
      </w:r>
      <w:r w:rsidRPr="00EF3E79">
        <w:rPr>
          <w:rFonts w:ascii="Verdana" w:hAnsi="Verdana" w:cs="Arial"/>
          <w:lang w:val="es-ES" w:eastAsia="es-CO"/>
        </w:rPr>
        <w:t>.</w:t>
      </w:r>
    </w:p>
    <w:p w14:paraId="4F40686A" w14:textId="77777777" w:rsidR="00B85E30" w:rsidRPr="00EF3E79" w:rsidRDefault="00B85E30" w:rsidP="00B85E30">
      <w:pPr>
        <w:spacing w:after="0" w:line="276" w:lineRule="auto"/>
        <w:ind w:firstLine="709"/>
        <w:jc w:val="both"/>
        <w:rPr>
          <w:rFonts w:ascii="Verdana" w:hAnsi="Verdana" w:cs="Arial"/>
          <w:lang w:val="es-ES" w:eastAsia="es-CO"/>
        </w:rPr>
      </w:pPr>
    </w:p>
    <w:p w14:paraId="74F28159" w14:textId="77777777" w:rsidR="00B85E30" w:rsidRPr="00EF3E79" w:rsidRDefault="00B85E30" w:rsidP="00B85E30">
      <w:pPr>
        <w:spacing w:after="0" w:line="276" w:lineRule="auto"/>
        <w:jc w:val="both"/>
        <w:rPr>
          <w:rFonts w:ascii="Verdana" w:eastAsia="Calibri" w:hAnsi="Verdana" w:cs="Arial"/>
          <w:lang w:val="es-ES_tradnl"/>
        </w:rPr>
      </w:pPr>
      <w:r w:rsidRPr="00EF3E79">
        <w:rPr>
          <w:rFonts w:ascii="Verdana" w:hAnsi="Verdana" w:cs="Arial"/>
          <w:lang w:val="es-ES" w:eastAsia="es-CO"/>
        </w:rPr>
        <w:lastRenderedPageBreak/>
        <w:t xml:space="preserve">ii. Por su parte, </w:t>
      </w:r>
      <w:r w:rsidRPr="00EF3E79">
        <w:rPr>
          <w:rFonts w:ascii="Verdana" w:eastAsia="Calibri" w:hAnsi="Verdana" w:cs="Arial"/>
          <w:lang w:val="es-ES_tradnl"/>
        </w:rPr>
        <w:t>el alcance del numeral 2 del artículo 35 de la Ley 2069 de 2020. Este criterio de desempate beneficia a las mujeres cabeza de familia y/o mujeres víctimas de violencia intrafamiliar en los siguientes términos:</w:t>
      </w:r>
    </w:p>
    <w:p w14:paraId="1659212E" w14:textId="77777777" w:rsidR="00B85E30" w:rsidRPr="00EF3E79" w:rsidRDefault="00B85E30" w:rsidP="00B85E30">
      <w:pPr>
        <w:spacing w:after="0" w:line="276" w:lineRule="auto"/>
        <w:jc w:val="both"/>
        <w:rPr>
          <w:rFonts w:ascii="Verdana" w:eastAsia="Calibri" w:hAnsi="Verdana" w:cs="Arial"/>
          <w:lang w:val="es-ES_tradnl"/>
        </w:rPr>
      </w:pPr>
    </w:p>
    <w:p w14:paraId="745AA046" w14:textId="77777777" w:rsidR="00B85E30" w:rsidRPr="00EF3E79" w:rsidRDefault="00B85E30" w:rsidP="00B85E30">
      <w:pPr>
        <w:spacing w:after="0" w:line="240" w:lineRule="auto"/>
        <w:ind w:left="709" w:right="709"/>
        <w:jc w:val="both"/>
        <w:rPr>
          <w:rFonts w:ascii="Verdana" w:eastAsia="Calibri" w:hAnsi="Verdana" w:cs="Arial"/>
          <w:sz w:val="20"/>
          <w:szCs w:val="20"/>
          <w:lang w:val="es-ES_tradnl"/>
        </w:rPr>
      </w:pPr>
      <w:r w:rsidRPr="00EF3E79">
        <w:rPr>
          <w:rFonts w:ascii="Verdana" w:eastAsia="Calibri" w:hAnsi="Verdana" w:cs="Arial"/>
          <w:sz w:val="20"/>
          <w:szCs w:val="20"/>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53C390F8" w14:textId="77777777" w:rsidR="00B85E30" w:rsidRPr="00EF3E79" w:rsidRDefault="00B85E30" w:rsidP="00B85E30">
      <w:pPr>
        <w:spacing w:after="0" w:line="240" w:lineRule="auto"/>
        <w:ind w:left="709" w:right="709"/>
        <w:jc w:val="both"/>
        <w:rPr>
          <w:rFonts w:ascii="Verdana" w:eastAsia="Calibri" w:hAnsi="Verdana" w:cs="Arial"/>
          <w:sz w:val="20"/>
          <w:szCs w:val="20"/>
          <w:lang w:val="es-ES_tradnl"/>
        </w:rPr>
      </w:pPr>
    </w:p>
    <w:p w14:paraId="109D5788" w14:textId="77777777" w:rsidR="00B85E30" w:rsidRPr="00EF3E79" w:rsidRDefault="00B85E30" w:rsidP="00B85E30">
      <w:pPr>
        <w:spacing w:after="0" w:line="240" w:lineRule="auto"/>
        <w:ind w:left="709" w:right="709"/>
        <w:jc w:val="both"/>
        <w:rPr>
          <w:rFonts w:ascii="Verdana" w:eastAsia="Calibri" w:hAnsi="Verdana" w:cs="Arial"/>
          <w:sz w:val="20"/>
          <w:szCs w:val="20"/>
          <w:lang w:val="es-ES_tradnl"/>
        </w:rPr>
      </w:pPr>
      <w:r w:rsidRPr="00EF3E79">
        <w:rPr>
          <w:rFonts w:ascii="Verdana" w:eastAsia="Calibri" w:hAnsi="Verdana" w:cs="Arial"/>
          <w:sz w:val="20"/>
          <w:szCs w:val="20"/>
          <w:lang w:val="es-ES_tradnl"/>
        </w:rPr>
        <w:t>[…]</w:t>
      </w:r>
    </w:p>
    <w:p w14:paraId="7F33C349" w14:textId="77777777" w:rsidR="00B85E30" w:rsidRPr="00EF3E79" w:rsidRDefault="00B85E30" w:rsidP="00B85E30">
      <w:pPr>
        <w:spacing w:after="0" w:line="240" w:lineRule="auto"/>
        <w:ind w:left="709" w:right="709"/>
        <w:jc w:val="both"/>
        <w:rPr>
          <w:rFonts w:ascii="Verdana" w:eastAsia="Calibri" w:hAnsi="Verdana" w:cs="Arial"/>
          <w:sz w:val="20"/>
          <w:szCs w:val="20"/>
          <w:lang w:val="es-ES_tradnl"/>
        </w:rPr>
      </w:pPr>
    </w:p>
    <w:p w14:paraId="7FD7C146" w14:textId="77777777" w:rsidR="00B85E30" w:rsidRPr="00EF3E79" w:rsidRDefault="00B85E30" w:rsidP="00B85E30">
      <w:pPr>
        <w:spacing w:after="0" w:line="240" w:lineRule="auto"/>
        <w:ind w:left="709" w:right="709"/>
        <w:jc w:val="both"/>
        <w:rPr>
          <w:rFonts w:ascii="Verdana" w:eastAsia="Calibri" w:hAnsi="Verdana" w:cs="Arial"/>
          <w:sz w:val="20"/>
          <w:szCs w:val="20"/>
          <w:lang w:val="es-ES_tradnl"/>
        </w:rPr>
      </w:pPr>
      <w:r w:rsidRPr="00EF3E79">
        <w:rPr>
          <w:rFonts w:ascii="Verdana" w:eastAsia="Calibri" w:hAnsi="Verdana" w:cs="Arial"/>
          <w:sz w:val="20"/>
          <w:szCs w:val="20"/>
          <w:lang w:val="es-ES_tradnl"/>
        </w:rPr>
        <w:t xml:space="preserve">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 </w:t>
      </w:r>
    </w:p>
    <w:p w14:paraId="131EA114" w14:textId="77777777" w:rsidR="00B85E30" w:rsidRPr="00EF3E79" w:rsidRDefault="00B85E30" w:rsidP="00B85E30">
      <w:pPr>
        <w:spacing w:after="0" w:line="240" w:lineRule="auto"/>
        <w:ind w:left="709" w:right="709"/>
        <w:jc w:val="both"/>
        <w:rPr>
          <w:rFonts w:ascii="Verdana" w:eastAsia="Calibri" w:hAnsi="Verdana" w:cs="Arial"/>
          <w:sz w:val="20"/>
          <w:szCs w:val="20"/>
          <w:lang w:val="es-ES_tradnl"/>
        </w:rPr>
      </w:pPr>
      <w:r w:rsidRPr="00EF3E79">
        <w:rPr>
          <w:rFonts w:ascii="Verdana" w:eastAsia="Calibri" w:hAnsi="Verdana" w:cs="Arial"/>
          <w:sz w:val="20"/>
          <w:szCs w:val="20"/>
          <w:lang w:val="es-ES_tradnl"/>
        </w:rPr>
        <w:t xml:space="preserve">[…]”. </w:t>
      </w:r>
    </w:p>
    <w:p w14:paraId="19163F7B" w14:textId="77777777" w:rsidR="00B85E30" w:rsidRPr="00EF3E79" w:rsidRDefault="00B85E30" w:rsidP="00B85E30">
      <w:pPr>
        <w:spacing w:after="0" w:line="276" w:lineRule="auto"/>
        <w:jc w:val="both"/>
        <w:rPr>
          <w:rFonts w:ascii="Verdana" w:eastAsia="Calibri" w:hAnsi="Verdana" w:cs="Arial"/>
          <w:lang w:val="es-ES_tradnl"/>
        </w:rPr>
      </w:pPr>
    </w:p>
    <w:p w14:paraId="058E028A" w14:textId="77777777" w:rsidR="00B85E30" w:rsidRPr="00EF3E79" w:rsidRDefault="00B85E30" w:rsidP="00B85E30">
      <w:pPr>
        <w:spacing w:after="0" w:line="276" w:lineRule="auto"/>
        <w:ind w:firstLine="708"/>
        <w:jc w:val="both"/>
        <w:rPr>
          <w:rFonts w:ascii="Verdana" w:hAnsi="Verdana" w:cs="Arial"/>
          <w:lang w:eastAsia="es-CO"/>
        </w:rPr>
      </w:pPr>
      <w:r w:rsidRPr="00EF3E79">
        <w:rPr>
          <w:rFonts w:ascii="Verdana" w:eastAsia="Calibri" w:hAnsi="Verdana" w:cs="Arial"/>
          <w:lang w:val="es-ES_tradnl"/>
        </w:rPr>
        <w:t xml:space="preserve">Por lo demás, debe destacarse que el Decreto 1860 de 2021 adicionó el artículo </w:t>
      </w:r>
      <w:r w:rsidRPr="00EF3E79">
        <w:rPr>
          <w:rFonts w:ascii="Verdana" w:hAnsi="Verdana" w:cs="Arial"/>
          <w:lang w:eastAsia="es-CO"/>
        </w:rPr>
        <w:t xml:space="preserve">2.2.1.2.4.2.17 al Decreto 1082 de 2015, precepto que reglamenta la aplicación del artículo 35 de la Ley 2069 de 2020, estableciendo unos medios de acreditación específicos para cada una de las diferentes circunstancias a las que se refieren los factores de desempate, los cuales deberán aplicarse en los procesos de selección en los que rija el artículo 35 de la Ley de Emprendimiento. En lo referente al criterio de desempate del numeral 2 del artículo 35 </w:t>
      </w:r>
      <w:r w:rsidRPr="00EF3E79">
        <w:rPr>
          <w:rFonts w:ascii="Verdana" w:hAnsi="Verdana" w:cs="Arial"/>
          <w:i/>
          <w:iCs/>
          <w:lang w:eastAsia="es-CO"/>
        </w:rPr>
        <w:t xml:space="preserve">ibidem, </w:t>
      </w:r>
      <w:r w:rsidRPr="00EF3E79">
        <w:rPr>
          <w:rFonts w:ascii="Verdana" w:hAnsi="Verdana" w:cs="Arial"/>
          <w:lang w:eastAsia="es-CO"/>
        </w:rPr>
        <w:t>el artículo 2.2.1.2.4.2.17 dispone:</w:t>
      </w:r>
    </w:p>
    <w:p w14:paraId="34042C18" w14:textId="77777777" w:rsidR="00B85E30" w:rsidRPr="00EF3E79" w:rsidRDefault="00B85E30" w:rsidP="00B85E30">
      <w:pPr>
        <w:spacing w:after="0" w:line="276" w:lineRule="auto"/>
        <w:jc w:val="both"/>
        <w:rPr>
          <w:rFonts w:ascii="Verdana" w:hAnsi="Verdana" w:cs="Arial"/>
          <w:lang w:eastAsia="es-CO"/>
        </w:rPr>
      </w:pPr>
    </w:p>
    <w:p w14:paraId="1F1C64E5" w14:textId="77777777" w:rsidR="00B85E30" w:rsidRPr="00EF3E79" w:rsidRDefault="00B85E30" w:rsidP="00B85E30">
      <w:pPr>
        <w:shd w:val="clear" w:color="auto" w:fill="FFFFFF"/>
        <w:spacing w:after="0" w:line="240" w:lineRule="auto"/>
        <w:ind w:left="709" w:right="709"/>
        <w:jc w:val="both"/>
        <w:rPr>
          <w:rFonts w:ascii="Verdana" w:hAnsi="Verdana" w:cs="Arial"/>
          <w:sz w:val="20"/>
          <w:szCs w:val="20"/>
          <w:lang w:eastAsia="es-CO"/>
        </w:rPr>
      </w:pPr>
      <w:r w:rsidRPr="00EF3E79">
        <w:rPr>
          <w:rFonts w:ascii="Verdana" w:hAnsi="Verdana" w:cs="Arial"/>
          <w:sz w:val="20"/>
          <w:szCs w:val="20"/>
          <w:lang w:eastAsia="es-CO"/>
        </w:rPr>
        <w:t>“2. Preferir la propuesta de la mujer cabeza de familia. Su acreditación se realizará en los términos del parágrafo del artículo </w:t>
      </w:r>
      <w:hyperlink r:id="rId13" w:anchor="2" w:history="1">
        <w:r w:rsidRPr="00EF3E79">
          <w:rPr>
            <w:rFonts w:ascii="Verdana" w:hAnsi="Verdana" w:cs="Arial"/>
            <w:sz w:val="20"/>
            <w:szCs w:val="20"/>
            <w:lang w:eastAsia="es-CO"/>
          </w:rPr>
          <w:t>2 </w:t>
        </w:r>
      </w:hyperlink>
      <w:r w:rsidRPr="00EF3E79">
        <w:rPr>
          <w:rFonts w:ascii="Verdana" w:hAnsi="Verdana" w:cs="Arial"/>
          <w:sz w:val="20"/>
          <w:szCs w:val="20"/>
          <w:lang w:eastAsia="es-CO"/>
        </w:rPr>
        <w:t>de la Ley 82 de 1993, modificado por el artículo </w:t>
      </w:r>
      <w:hyperlink r:id="rId14" w:anchor="1" w:history="1">
        <w:r w:rsidRPr="00EF3E79">
          <w:rPr>
            <w:rFonts w:ascii="Verdana" w:hAnsi="Verdana" w:cs="Arial"/>
            <w:sz w:val="20"/>
            <w:szCs w:val="20"/>
            <w:lang w:eastAsia="es-CO"/>
          </w:rPr>
          <w:t>1 </w:t>
        </w:r>
      </w:hyperlink>
      <w:r w:rsidRPr="00EF3E79">
        <w:rPr>
          <w:rFonts w:ascii="Verdana" w:hAnsi="Verdana" w:cs="Arial"/>
          <w:sz w:val="20"/>
          <w:szCs w:val="20"/>
          <w:lang w:eastAsia="es-CO"/>
        </w:rPr>
        <w:t>de la Ley 1232 de 2008, o la norma que lo modifique, aclare, adicione o sustituya. Es decir, la condición de mujer cabeza de familia y la cesación de esta se otorgará desde el momento en que ocurra el respectivo evento y se declare ante un notario. En la declaración que se presente para acreditar la calidad de mujer cabeza de familia deberá verificarse que la misma dé cuenta del cumplimiento de los requisitos establecidos en el artículo </w:t>
      </w:r>
      <w:hyperlink r:id="rId15" w:anchor="2" w:history="1">
        <w:r w:rsidRPr="00EF3E79">
          <w:rPr>
            <w:rFonts w:ascii="Verdana" w:hAnsi="Verdana" w:cs="Arial"/>
            <w:sz w:val="20"/>
            <w:szCs w:val="20"/>
            <w:lang w:eastAsia="es-CO"/>
          </w:rPr>
          <w:t>2 </w:t>
        </w:r>
      </w:hyperlink>
      <w:r w:rsidRPr="00EF3E79">
        <w:rPr>
          <w:rFonts w:ascii="Verdana" w:hAnsi="Verdana" w:cs="Arial"/>
          <w:sz w:val="20"/>
          <w:szCs w:val="20"/>
          <w:lang w:eastAsia="es-CO"/>
        </w:rPr>
        <w:t>de la Ley 82 de 1993, modificado por el artículo </w:t>
      </w:r>
      <w:hyperlink r:id="rId16" w:anchor="1" w:history="1">
        <w:r w:rsidRPr="00EF3E79">
          <w:rPr>
            <w:rFonts w:ascii="Verdana" w:hAnsi="Verdana" w:cs="Arial"/>
            <w:sz w:val="20"/>
            <w:szCs w:val="20"/>
            <w:lang w:eastAsia="es-CO"/>
          </w:rPr>
          <w:t>1 </w:t>
        </w:r>
      </w:hyperlink>
      <w:r w:rsidRPr="00EF3E79">
        <w:rPr>
          <w:rFonts w:ascii="Verdana" w:hAnsi="Verdana" w:cs="Arial"/>
          <w:sz w:val="20"/>
          <w:szCs w:val="20"/>
          <w:lang w:eastAsia="es-CO"/>
        </w:rPr>
        <w:t>de la Ley 1232 de 2008.</w:t>
      </w:r>
    </w:p>
    <w:p w14:paraId="1F57664E" w14:textId="77777777" w:rsidR="00B85E30" w:rsidRPr="00EF3E79" w:rsidRDefault="00B85E30" w:rsidP="00B85E30">
      <w:pPr>
        <w:shd w:val="clear" w:color="auto" w:fill="FFFFFF"/>
        <w:spacing w:after="0" w:line="240" w:lineRule="auto"/>
        <w:ind w:left="709" w:right="709"/>
        <w:jc w:val="both"/>
        <w:rPr>
          <w:rFonts w:ascii="Verdana" w:hAnsi="Verdana" w:cs="Arial"/>
          <w:sz w:val="20"/>
          <w:szCs w:val="20"/>
          <w:lang w:eastAsia="es-CO"/>
        </w:rPr>
      </w:pPr>
      <w:r w:rsidRPr="00EF3E79">
        <w:rPr>
          <w:rFonts w:ascii="Verdana" w:hAnsi="Verdana" w:cs="Arial"/>
          <w:sz w:val="20"/>
          <w:szCs w:val="20"/>
          <w:lang w:eastAsia="es-CO"/>
        </w:rPr>
        <w:lastRenderedPageBreak/>
        <w:t>Igualmente, se preferirá la propuesta de la mujer víctima de violencia intrafamiliar, la cual acreditará dicha condición de conformidad con el artículo </w:t>
      </w:r>
      <w:hyperlink r:id="rId17" w:anchor="21" w:history="1">
        <w:r w:rsidRPr="00EF3E79">
          <w:rPr>
            <w:rFonts w:ascii="Verdana" w:hAnsi="Verdana" w:cs="Arial"/>
            <w:sz w:val="20"/>
            <w:szCs w:val="20"/>
            <w:lang w:eastAsia="es-CO"/>
          </w:rPr>
          <w:t>21 </w:t>
        </w:r>
      </w:hyperlink>
      <w:r w:rsidRPr="00EF3E79">
        <w:rPr>
          <w:rFonts w:ascii="Verdana" w:hAnsi="Verdana" w:cs="Arial"/>
          <w:sz w:val="20"/>
          <w:szCs w:val="20"/>
          <w:lang w:eastAsia="es-CO"/>
        </w:rPr>
        <w:t>de la Ley 1257 de 2008, esto es, cuando se profiera una medida de protección expedida por la autoridad competente. En virtud del artículo </w:t>
      </w:r>
      <w:hyperlink r:id="rId18" w:anchor="16" w:history="1">
        <w:r w:rsidRPr="00EF3E79">
          <w:rPr>
            <w:rFonts w:ascii="Verdana" w:hAnsi="Verdana" w:cs="Arial"/>
            <w:sz w:val="20"/>
            <w:szCs w:val="20"/>
            <w:lang w:eastAsia="es-CO"/>
          </w:rPr>
          <w:t>16 </w:t>
        </w:r>
      </w:hyperlink>
      <w:r w:rsidRPr="00EF3E79">
        <w:rPr>
          <w:rFonts w:ascii="Verdana" w:hAnsi="Verdana" w:cs="Arial"/>
          <w:sz w:val="20"/>
          <w:szCs w:val="20"/>
          <w:lang w:eastAsia="es-CO"/>
        </w:rPr>
        <w:t>de la Ley 1257 de 2008, la medida de protección la debe impartir el comisario de familia del lugar donde ocurrieron los hechos y, a falta de este, del juez civil municipal o promiscuo municipal, o la autoridad indígena en los casos de violencia intrafamiliar en las comunidades de esta naturaleza.</w:t>
      </w:r>
    </w:p>
    <w:p w14:paraId="76FC9241" w14:textId="77777777" w:rsidR="00B85E30" w:rsidRPr="00EF3E79" w:rsidRDefault="00B85E30" w:rsidP="00B85E30">
      <w:pPr>
        <w:shd w:val="clear" w:color="auto" w:fill="FFFFFF"/>
        <w:spacing w:after="0" w:line="240" w:lineRule="auto"/>
        <w:ind w:left="709" w:right="709"/>
        <w:jc w:val="both"/>
        <w:rPr>
          <w:rFonts w:ascii="Verdana" w:hAnsi="Verdana" w:cs="Arial"/>
          <w:sz w:val="20"/>
          <w:szCs w:val="20"/>
          <w:lang w:eastAsia="es-CO"/>
        </w:rPr>
      </w:pPr>
    </w:p>
    <w:p w14:paraId="5283B23C" w14:textId="77777777" w:rsidR="00B85E30" w:rsidRPr="00EF3E79" w:rsidRDefault="00B85E30" w:rsidP="00B85E30">
      <w:pPr>
        <w:shd w:val="clear" w:color="auto" w:fill="FFFFFF"/>
        <w:spacing w:after="0" w:line="240" w:lineRule="auto"/>
        <w:ind w:left="709" w:right="709"/>
        <w:jc w:val="both"/>
        <w:rPr>
          <w:rFonts w:ascii="Verdana" w:hAnsi="Verdana" w:cs="Arial"/>
          <w:sz w:val="20"/>
          <w:szCs w:val="20"/>
          <w:lang w:eastAsia="es-CO"/>
        </w:rPr>
      </w:pPr>
      <w:r w:rsidRPr="00EF3E79">
        <w:rPr>
          <w:rFonts w:ascii="Verdana" w:hAnsi="Verdana" w:cs="Arial"/>
          <w:sz w:val="20"/>
          <w:szCs w:val="20"/>
          <w:lang w:eastAsia="es-CO"/>
        </w:rPr>
        <w:t xml:space="preserve">En el caso de las personas jurídicas se preferirá a aquellas en las que participen mayoritariamente mujeres cabeza de familia y/o mujeres víctimas de violencia intrafamiliar, para lo cual </w:t>
      </w:r>
      <w:bookmarkStart w:id="1" w:name="_Hlk93047620"/>
      <w:r w:rsidRPr="00EF3E79">
        <w:rPr>
          <w:rFonts w:ascii="Verdana" w:hAnsi="Verdana" w:cs="Arial"/>
          <w:sz w:val="20"/>
          <w:szCs w:val="20"/>
          <w:lang w:eastAsia="es-CO"/>
        </w:rPr>
        <w:t xml:space="preserve">el representante legal o el revisor fiscal, según corresponda, presentará un certificado, mediante el cual acredita, bajo la gravedad de juramento, que más del cincuenta por ciento (50 %) de la composición accionaria o cuota parte de la persona jurídica está constituida por mujeres cabeza de familia y/o mujeres víctimas de violencia intrafamiliar. </w:t>
      </w:r>
      <w:bookmarkEnd w:id="1"/>
      <w:r w:rsidRPr="00EF3E79">
        <w:rPr>
          <w:rFonts w:ascii="Verdana" w:hAnsi="Verdana" w:cs="Arial"/>
          <w:sz w:val="20"/>
          <w:szCs w:val="20"/>
          <w:lang w:eastAsia="es-CO"/>
        </w:rPr>
        <w:t>Además, deberá acreditar la condición indicada de cada una de las mujeres que participen en la sociedad, aportando los documentos de cada una de ellas, de acuerdo con los dos incisos anteriores.</w:t>
      </w:r>
    </w:p>
    <w:p w14:paraId="215993EC" w14:textId="77777777" w:rsidR="00B85E30" w:rsidRPr="00EF3E79" w:rsidRDefault="00B85E30" w:rsidP="00B85E30">
      <w:pPr>
        <w:shd w:val="clear" w:color="auto" w:fill="FFFFFF"/>
        <w:spacing w:after="0" w:line="240" w:lineRule="auto"/>
        <w:ind w:left="709" w:right="709"/>
        <w:jc w:val="both"/>
        <w:rPr>
          <w:rFonts w:ascii="Verdana" w:hAnsi="Verdana" w:cs="Arial"/>
          <w:sz w:val="20"/>
          <w:szCs w:val="20"/>
          <w:lang w:eastAsia="es-CO"/>
        </w:rPr>
      </w:pPr>
    </w:p>
    <w:p w14:paraId="048C7C56" w14:textId="77777777" w:rsidR="00B85E30" w:rsidRPr="00EF3E79" w:rsidRDefault="00B85E30" w:rsidP="00B85E30">
      <w:pPr>
        <w:shd w:val="clear" w:color="auto" w:fill="FFFFFF"/>
        <w:spacing w:after="0" w:line="240" w:lineRule="auto"/>
        <w:ind w:left="709" w:right="709"/>
        <w:jc w:val="both"/>
        <w:rPr>
          <w:rFonts w:ascii="Verdana" w:hAnsi="Verdana" w:cs="Arial"/>
          <w:sz w:val="20"/>
          <w:szCs w:val="20"/>
          <w:lang w:eastAsia="es-CO"/>
        </w:rPr>
      </w:pPr>
      <w:r w:rsidRPr="00EF3E79">
        <w:rPr>
          <w:rFonts w:ascii="Verdana" w:hAnsi="Verdana" w:cs="Arial"/>
          <w:sz w:val="20"/>
          <w:szCs w:val="20"/>
          <w:lang w:eastAsia="es-CO"/>
        </w:rPr>
        <w:t>Finalmente, en el caso de los proponentes plurales, se preferirá la oferta cuando cada uno de los integrantes acredite alguna de las condiciones señaladas en los incisos anteriores de este numeral.</w:t>
      </w:r>
    </w:p>
    <w:p w14:paraId="1C8A9A2E" w14:textId="77777777" w:rsidR="00B85E30" w:rsidRPr="00EF3E79" w:rsidRDefault="00B85E30" w:rsidP="00B85E30">
      <w:pPr>
        <w:shd w:val="clear" w:color="auto" w:fill="FFFFFF"/>
        <w:spacing w:after="0" w:line="240" w:lineRule="auto"/>
        <w:ind w:left="709" w:right="709"/>
        <w:jc w:val="both"/>
        <w:rPr>
          <w:rFonts w:ascii="Verdana" w:hAnsi="Verdana" w:cs="Arial"/>
          <w:sz w:val="20"/>
          <w:szCs w:val="20"/>
          <w:lang w:eastAsia="es-CO"/>
        </w:rPr>
      </w:pPr>
      <w:r w:rsidRPr="00EF3E79">
        <w:rPr>
          <w:rFonts w:ascii="Verdana" w:hAnsi="Verdana" w:cs="Arial"/>
          <w:sz w:val="20"/>
          <w:szCs w:val="20"/>
          <w:lang w:eastAsia="es-CO"/>
        </w:rPr>
        <w:t xml:space="preserve">[…]”. </w:t>
      </w:r>
    </w:p>
    <w:p w14:paraId="0C498D43" w14:textId="77777777" w:rsidR="00B85E30" w:rsidRPr="00EF3E79" w:rsidRDefault="00B85E30" w:rsidP="00B85E30">
      <w:pPr>
        <w:spacing w:after="0" w:line="276" w:lineRule="auto"/>
        <w:ind w:firstLine="709"/>
        <w:jc w:val="both"/>
        <w:rPr>
          <w:rFonts w:ascii="Verdana" w:eastAsia="Calibri" w:hAnsi="Verdana" w:cs="Arial"/>
          <w:lang w:val="es-ES_tradnl"/>
        </w:rPr>
      </w:pPr>
    </w:p>
    <w:p w14:paraId="7CBCFFCE" w14:textId="77777777" w:rsidR="00B85E30" w:rsidRPr="00EF3E79" w:rsidRDefault="00B85E30" w:rsidP="00B85E30">
      <w:pPr>
        <w:spacing w:after="120" w:line="276" w:lineRule="auto"/>
        <w:ind w:firstLine="709"/>
        <w:jc w:val="both"/>
        <w:rPr>
          <w:rFonts w:ascii="Verdana" w:hAnsi="Verdana" w:cs="Arial"/>
          <w:lang w:val="es-ES_tradnl"/>
        </w:rPr>
      </w:pPr>
      <w:r w:rsidRPr="00EF3E79">
        <w:rPr>
          <w:rFonts w:ascii="Verdana" w:eastAsia="Calibri" w:hAnsi="Verdana" w:cs="Arial"/>
          <w:lang w:val="es-ES_tradnl"/>
        </w:rPr>
        <w:t xml:space="preserve">Como se aprecia, en cuanto a la acreditación de la condición de </w:t>
      </w:r>
      <w:r w:rsidRPr="00EF3E79">
        <w:rPr>
          <w:rFonts w:ascii="Verdana" w:hAnsi="Verdana" w:cs="Arial"/>
          <w:lang w:eastAsia="es-CO"/>
        </w:rPr>
        <w:t>mujer cabeza de familia, el primer inciso del numeral 2, realiza una referencia al artículo </w:t>
      </w:r>
      <w:hyperlink r:id="rId19" w:anchor="2" w:history="1">
        <w:r w:rsidRPr="00EF3E79">
          <w:rPr>
            <w:rFonts w:ascii="Verdana" w:hAnsi="Verdana" w:cs="Arial"/>
            <w:lang w:eastAsia="es-CO"/>
          </w:rPr>
          <w:t>2 </w:t>
        </w:r>
      </w:hyperlink>
      <w:r w:rsidRPr="00EF3E79">
        <w:rPr>
          <w:rFonts w:ascii="Verdana" w:hAnsi="Verdana" w:cs="Arial"/>
          <w:lang w:eastAsia="es-CO"/>
        </w:rPr>
        <w:t>de la Ley 82 de 1993, “</w:t>
      </w:r>
      <w:r w:rsidRPr="00EF3E79">
        <w:rPr>
          <w:rFonts w:ascii="Verdana" w:hAnsi="Verdana" w:cs="Arial"/>
        </w:rPr>
        <w:t>Por la cual se expiden normas para apoyar de manera especial a la mujer cabeza de familia”</w:t>
      </w:r>
      <w:r w:rsidRPr="00EF3E79">
        <w:rPr>
          <w:rFonts w:ascii="Verdana" w:hAnsi="Verdana" w:cs="Arial"/>
          <w:lang w:eastAsia="es-CO"/>
        </w:rPr>
        <w:t>, modificado por el artículo </w:t>
      </w:r>
      <w:hyperlink r:id="rId20" w:anchor="1" w:history="1">
        <w:r w:rsidRPr="00EF3E79">
          <w:rPr>
            <w:rFonts w:ascii="Verdana" w:hAnsi="Verdana" w:cs="Arial"/>
            <w:lang w:eastAsia="es-CO"/>
          </w:rPr>
          <w:t>1 </w:t>
        </w:r>
      </w:hyperlink>
      <w:r w:rsidRPr="00EF3E79">
        <w:rPr>
          <w:rFonts w:ascii="Verdana" w:hAnsi="Verdana" w:cs="Arial"/>
          <w:lang w:eastAsia="es-CO"/>
        </w:rPr>
        <w:t>de la Ley 1232 de 2008</w:t>
      </w:r>
      <w:r w:rsidRPr="00EF3E79">
        <w:rPr>
          <w:rStyle w:val="Refdenotaalpie"/>
          <w:rFonts w:ascii="Verdana" w:hAnsi="Verdana" w:cs="Arial"/>
          <w:lang w:eastAsia="es-CO"/>
        </w:rPr>
        <w:footnoteReference w:id="6"/>
      </w:r>
      <w:r w:rsidRPr="00EF3E79">
        <w:rPr>
          <w:rFonts w:ascii="Verdana" w:hAnsi="Verdana" w:cs="Arial"/>
          <w:lang w:eastAsia="es-CO"/>
        </w:rPr>
        <w:t xml:space="preserve">, disposición que establece la declaración ante notario como </w:t>
      </w:r>
      <w:r w:rsidRPr="00EF3E79">
        <w:rPr>
          <w:rFonts w:ascii="Verdana" w:hAnsi="Verdana" w:cs="Arial"/>
          <w:lang w:eastAsia="es-CO"/>
        </w:rPr>
        <w:lastRenderedPageBreak/>
        <w:t>mecanismo para demostrar la calidad de mujer cabeza de familia</w:t>
      </w:r>
      <w:r w:rsidRPr="00EF3E79">
        <w:rPr>
          <w:rStyle w:val="Refdenotaalpie"/>
          <w:rFonts w:ascii="Verdana" w:eastAsia="Calibri" w:hAnsi="Verdana" w:cs="Arial"/>
          <w:lang w:val="es-ES_tradnl"/>
        </w:rPr>
        <w:footnoteReference w:id="7"/>
      </w:r>
      <w:r w:rsidRPr="00EF3E79">
        <w:rPr>
          <w:rFonts w:ascii="Verdana" w:hAnsi="Verdana" w:cs="Arial"/>
          <w:lang w:eastAsia="es-CO"/>
        </w:rPr>
        <w:t xml:space="preserve">. Lo propio hace el inciso segundo del numeral 2 de la norma reglamentaria en comento en lo relativo a la demostración de la condición de mujer víctima de violencia intrafamiliar, al remitir al </w:t>
      </w:r>
      <w:r w:rsidRPr="00EF3E79">
        <w:rPr>
          <w:rFonts w:ascii="Verdana" w:hAnsi="Verdana" w:cs="Arial"/>
          <w:lang w:val="es-ES_tradnl"/>
        </w:rPr>
        <w:t>artículo 21 de la Ley 1257 de 2008</w:t>
      </w:r>
      <w:r w:rsidRPr="00EF3E79">
        <w:rPr>
          <w:rStyle w:val="Refdenotaalpie"/>
          <w:rFonts w:ascii="Verdana" w:hAnsi="Verdana" w:cs="Arial"/>
          <w:lang w:val="es-ES_tradnl"/>
        </w:rPr>
        <w:footnoteReference w:id="8"/>
      </w:r>
      <w:r w:rsidRPr="00EF3E79">
        <w:rPr>
          <w:rFonts w:ascii="Verdana" w:hAnsi="Verdana" w:cs="Arial"/>
          <w:lang w:val="es-ES_tradnl"/>
        </w:rPr>
        <w:t>, “Por la cual se dictan normas de sensibilización, prevención y sanción de formas de violencia y discriminación contra las mujeres, se reforman los Códigos Penal, de Procedimiento Penal, la Ley 294 de 1996 y se dictan otras disposiciones”, el cual dispone que las situaciones de violencia intrafamiliar se acreditarán con la medida de protección expedida por la autoridad competente, sin lugar a más requisitos</w:t>
      </w:r>
      <w:r w:rsidRPr="00EF3E79">
        <w:rPr>
          <w:rStyle w:val="Refdenotaalpie"/>
          <w:rFonts w:ascii="Verdana" w:eastAsia="Calibri" w:hAnsi="Verdana" w:cs="Arial"/>
          <w:lang w:val="es-ES_tradnl"/>
        </w:rPr>
        <w:footnoteReference w:id="9"/>
      </w:r>
      <w:r w:rsidRPr="00EF3E79">
        <w:rPr>
          <w:rFonts w:ascii="Verdana" w:hAnsi="Verdana" w:cs="Arial"/>
          <w:lang w:val="es-ES_tradnl"/>
        </w:rPr>
        <w:t>. Esto en concordancia con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w:t>
      </w:r>
    </w:p>
    <w:p w14:paraId="79AE7213" w14:textId="77777777" w:rsidR="00B85E30" w:rsidRPr="00EF3E79" w:rsidRDefault="00B85E30" w:rsidP="00B85E30">
      <w:pPr>
        <w:spacing w:after="120" w:line="276" w:lineRule="auto"/>
        <w:ind w:firstLine="709"/>
        <w:jc w:val="both"/>
        <w:rPr>
          <w:rFonts w:ascii="Verdana" w:hAnsi="Verdana" w:cs="Arial"/>
          <w:lang w:val="es-ES_tradnl"/>
        </w:rPr>
      </w:pPr>
      <w:r w:rsidRPr="00EF3E79">
        <w:rPr>
          <w:rFonts w:ascii="Verdana" w:hAnsi="Verdana" w:cs="Arial"/>
          <w:lang w:val="es-ES_tradnl"/>
        </w:rPr>
        <w:t xml:space="preserve">De acuerdo con lo anterior, la regulación de los medios de acreditación establecidos en el numeral 2 del artículo 2.2.1.2.4.2.17 del Decreto 1082 de 2015, adicionado por el Decreto 1860 de 2021, se hace a partir de una articulación normativa con las disposiciones legales señaladas, las cuales regulan, de manera general, la acreditación de las condiciones de mujer cabeza de familia y mujer víctima de violencia intrafamiliar. En ese sentido, lo que procura el numeral 2 del artículo 2.2.1.2.4.2.17 es que, en los procesos de </w:t>
      </w:r>
      <w:r w:rsidRPr="00EF3E79">
        <w:rPr>
          <w:rFonts w:ascii="Verdana" w:hAnsi="Verdana" w:cs="Arial"/>
          <w:lang w:val="es-ES_tradnl"/>
        </w:rPr>
        <w:lastRenderedPageBreak/>
        <w:t>contratación pública, la acreditación de las referidas calidades se rija por la normativa de rango legal que rige la materia.</w:t>
      </w:r>
    </w:p>
    <w:p w14:paraId="345B4701" w14:textId="77777777" w:rsidR="00B85E30" w:rsidRPr="00EF3E79" w:rsidRDefault="00B85E30" w:rsidP="00B85E30">
      <w:pPr>
        <w:spacing w:after="120" w:line="276" w:lineRule="auto"/>
        <w:ind w:firstLine="709"/>
        <w:jc w:val="both"/>
        <w:rPr>
          <w:rFonts w:ascii="Verdana" w:hAnsi="Verdana" w:cs="Arial"/>
          <w:lang w:val="es-ES_tradnl"/>
        </w:rPr>
      </w:pPr>
      <w:r w:rsidRPr="00EF3E79">
        <w:rPr>
          <w:rFonts w:ascii="Verdana" w:hAnsi="Verdana" w:cs="Arial"/>
          <w:lang w:val="es-ES"/>
        </w:rPr>
        <w:t xml:space="preserve">Como se desprende del texto del numeral 2 del artículo 35 de la Ley 2069 de 2020, este factor de desempate no aplica únicamente en favor de las personas naturales que acrediten las referidas condiciones, sino también a las personas jurídicas en las que “participen mayoritariamente”. Adicionalmente, dentro del ámbito de aplicación de este factor de desempate también entran los proponentes plurales conformados exclusivamente por personas naturales y/o jurídicas que reúnan alguna de las otras condiciones que aplican a los proponentes singulares. De tal manera que, para poderse beneficiar del factor de desempate, el proponente plural debe estar constituido por: i) por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w:t>
      </w:r>
      <w:r w:rsidRPr="00EF3E79">
        <w:rPr>
          <w:rFonts w:ascii="Verdana" w:hAnsi="Verdana" w:cs="Arial"/>
          <w:lang w:val="es-ES_tradnl"/>
        </w:rPr>
        <w:t xml:space="preserve">cabeza de familia o mujeres víctimas de violencia intrafamiliar. </w:t>
      </w:r>
    </w:p>
    <w:p w14:paraId="2CBFADD5" w14:textId="77777777" w:rsidR="00B85E30" w:rsidRPr="00EF3E79" w:rsidRDefault="00B85E30" w:rsidP="00B85E30">
      <w:pPr>
        <w:spacing w:after="120" w:line="276" w:lineRule="auto"/>
        <w:jc w:val="both"/>
        <w:rPr>
          <w:rFonts w:ascii="Verdana" w:hAnsi="Verdana" w:cs="Arial"/>
          <w:lang w:val="es-ES"/>
        </w:rPr>
      </w:pPr>
      <w:r w:rsidRPr="00EF3E79">
        <w:rPr>
          <w:rFonts w:ascii="Verdana" w:hAnsi="Verdana" w:cs="Arial"/>
          <w:lang w:val="es-ES"/>
        </w:rPr>
        <w:t>iii.  Ahora bien, con la expedición de la Constitución Política de 1991, el Estado colombiano reconoció su deber de brindar una protección reforzada a todas las personas que se hallen en circunstancias de debilidad manifiesta y, en particular, de apoyar de manera especial a la mujer cabeza de familia. No en vano, las cláusulas abiertas contenidas en los artículos 5</w:t>
      </w:r>
      <w:r w:rsidRPr="00EF3E79">
        <w:rPr>
          <w:rFonts w:ascii="Verdana" w:hAnsi="Verdana" w:cs="Arial"/>
          <w:vertAlign w:val="superscript"/>
          <w:lang w:val="es-ES"/>
        </w:rPr>
        <w:footnoteReference w:id="10"/>
      </w:r>
      <w:r w:rsidRPr="00EF3E79">
        <w:rPr>
          <w:rFonts w:ascii="Verdana" w:hAnsi="Verdana" w:cs="Arial"/>
          <w:lang w:val="es-ES"/>
        </w:rPr>
        <w:t>, 13</w:t>
      </w:r>
      <w:r w:rsidRPr="00EF3E79">
        <w:rPr>
          <w:rFonts w:ascii="Verdana" w:hAnsi="Verdana" w:cs="Arial"/>
          <w:vertAlign w:val="superscript"/>
          <w:lang w:val="es-ES"/>
        </w:rPr>
        <w:footnoteReference w:id="11"/>
      </w:r>
      <w:r w:rsidRPr="00EF3E79">
        <w:rPr>
          <w:rFonts w:ascii="Verdana" w:hAnsi="Verdana" w:cs="Arial"/>
          <w:lang w:val="es-ES"/>
        </w:rPr>
        <w:t>, 43</w:t>
      </w:r>
      <w:r w:rsidRPr="00EF3E79">
        <w:rPr>
          <w:rFonts w:ascii="Verdana" w:hAnsi="Verdana" w:cs="Arial"/>
          <w:vertAlign w:val="superscript"/>
          <w:lang w:val="es-ES"/>
        </w:rPr>
        <w:footnoteReference w:id="12"/>
      </w:r>
      <w:r w:rsidRPr="00EF3E79">
        <w:rPr>
          <w:rFonts w:ascii="Verdana" w:hAnsi="Verdana" w:cs="Arial"/>
          <w:lang w:val="es-ES"/>
        </w:rPr>
        <w:t xml:space="preserve"> y 44</w:t>
      </w:r>
      <w:r w:rsidRPr="00EF3E79">
        <w:rPr>
          <w:rFonts w:ascii="Verdana" w:hAnsi="Verdana" w:cs="Arial"/>
          <w:vertAlign w:val="superscript"/>
          <w:lang w:val="es-ES"/>
        </w:rPr>
        <w:footnoteReference w:id="13"/>
      </w:r>
      <w:r w:rsidRPr="00EF3E79">
        <w:rPr>
          <w:rFonts w:ascii="Verdana" w:hAnsi="Verdana" w:cs="Arial"/>
          <w:lang w:val="es-ES"/>
        </w:rPr>
        <w:t xml:space="preserve"> superiores </w:t>
      </w:r>
      <w:r w:rsidRPr="00EF3E79">
        <w:rPr>
          <w:rFonts w:ascii="Verdana" w:hAnsi="Verdana" w:cs="Arial"/>
          <w:lang w:val="es-ES"/>
        </w:rPr>
        <w:lastRenderedPageBreak/>
        <w:t xml:space="preserve">dan cuenta de un compromiso u obligación, producto del principio de igualdad material y acorde con los fines de un Estado Social de Derecho, consistente en el otorgamiento de un tratamiento preferencial para quienes se encuentren en situación de vulnerabilidad a través de acciones afirmativas. </w:t>
      </w:r>
    </w:p>
    <w:p w14:paraId="507C8E42" w14:textId="77777777" w:rsidR="00B85E30" w:rsidRPr="00EF3E79" w:rsidRDefault="00B85E30" w:rsidP="00B85E30">
      <w:pPr>
        <w:spacing w:after="120" w:line="276" w:lineRule="auto"/>
        <w:ind w:firstLine="709"/>
        <w:jc w:val="both"/>
        <w:rPr>
          <w:rFonts w:ascii="Verdana" w:eastAsia="Calibri" w:hAnsi="Verdana" w:cs="Arial"/>
          <w:lang w:val="es-ES"/>
        </w:rPr>
      </w:pPr>
      <w:r w:rsidRPr="00EF3E79">
        <w:rPr>
          <w:rFonts w:ascii="Verdana" w:eastAsia="Calibri" w:hAnsi="Verdana" w:cs="Arial"/>
          <w:lang w:val="es-ES"/>
        </w:rPr>
        <w:t>Con esta expresión usualmente se conocen todas aquellas políticas públicas o mandatos de acción dirigidos a favorecer a determinadas personas o grupos, bien para reducir o eliminar las desigualdades de tipo social, cultural o económico que las afectan</w:t>
      </w:r>
      <w:r w:rsidRPr="00EF3E79">
        <w:rPr>
          <w:rFonts w:ascii="Verdana" w:eastAsia="Calibri" w:hAnsi="Verdana" w:cs="Arial"/>
          <w:vertAlign w:val="superscript"/>
          <w:lang w:val="es-ES"/>
        </w:rPr>
        <w:footnoteReference w:id="14"/>
      </w:r>
      <w:r w:rsidRPr="00EF3E79">
        <w:rPr>
          <w:rFonts w:ascii="Verdana" w:eastAsia="Calibri" w:hAnsi="Verdana" w:cs="Arial"/>
          <w:lang w:val="es-ES"/>
        </w:rPr>
        <w:t>, o bien para lograr que los miembros de una comunidad, históricamente discriminada, tenga una mayor representación</w:t>
      </w:r>
      <w:r w:rsidRPr="00EF3E79">
        <w:rPr>
          <w:rFonts w:ascii="Verdana" w:eastAsia="Calibri" w:hAnsi="Verdana" w:cs="Arial"/>
          <w:vertAlign w:val="superscript"/>
          <w:lang w:val="es-ES"/>
        </w:rPr>
        <w:footnoteReference w:id="15"/>
      </w:r>
      <w:r w:rsidRPr="00EF3E79">
        <w:rPr>
          <w:rFonts w:ascii="Verdana" w:eastAsia="Calibri" w:hAnsi="Verdana" w:cs="Arial"/>
          <w:lang w:val="es-ES"/>
        </w:rPr>
        <w:t>.Particularmente, como ya se anotó, en la Constitución se identifican algunos grupos definidos como destinatarios de las aludidas acciones</w:t>
      </w:r>
      <w:r w:rsidRPr="00EF3E79">
        <w:rPr>
          <w:rFonts w:ascii="Verdana" w:eastAsia="Calibri" w:hAnsi="Verdana" w:cs="Arial"/>
          <w:vertAlign w:val="superscript"/>
          <w:lang w:val="es-ES"/>
        </w:rPr>
        <w:footnoteReference w:id="16"/>
      </w:r>
      <w:r w:rsidRPr="00EF3E79">
        <w:rPr>
          <w:rFonts w:ascii="Verdana" w:eastAsia="Calibri" w:hAnsi="Verdana" w:cs="Arial"/>
          <w:lang w:val="es-ES"/>
        </w:rPr>
        <w:t xml:space="preserve">, entre los cuales se encuentran las mujeres, específicamente las que son </w:t>
      </w:r>
      <w:r w:rsidRPr="00EF3E79">
        <w:rPr>
          <w:rFonts w:ascii="Verdana" w:eastAsia="Calibri" w:hAnsi="Verdana" w:cs="Arial"/>
          <w:i/>
          <w:iCs/>
          <w:lang w:val="es-ES"/>
        </w:rPr>
        <w:t>madres cabeza de familia</w:t>
      </w:r>
      <w:r w:rsidRPr="00EF3E79">
        <w:rPr>
          <w:rFonts w:ascii="Verdana" w:eastAsia="Calibri" w:hAnsi="Verdana" w:cs="Arial"/>
          <w:lang w:val="es-ES"/>
        </w:rPr>
        <w:t>. Esto significa, a primera vista, que el cometido de su protección es de origen supralegal</w:t>
      </w:r>
      <w:r w:rsidRPr="00EF3E79">
        <w:rPr>
          <w:rFonts w:ascii="Verdana" w:eastAsia="Calibri" w:hAnsi="Verdana" w:cs="Arial"/>
          <w:vertAlign w:val="superscript"/>
          <w:lang w:val="es-ES"/>
        </w:rPr>
        <w:footnoteReference w:id="17"/>
      </w:r>
      <w:r w:rsidRPr="00EF3E79">
        <w:rPr>
          <w:rFonts w:ascii="Verdana" w:eastAsia="Calibri" w:hAnsi="Verdana" w:cs="Arial"/>
          <w:lang w:val="es-ES"/>
        </w:rPr>
        <w:t xml:space="preserve"> y que el legislador es el primer llamado a adoptar las medidas que correspondan para garantizar su primacía</w:t>
      </w:r>
      <w:r w:rsidRPr="00EF3E79">
        <w:rPr>
          <w:rFonts w:ascii="Verdana" w:eastAsia="Calibri" w:hAnsi="Verdana" w:cs="Arial"/>
          <w:vertAlign w:val="superscript"/>
          <w:lang w:val="es-ES"/>
        </w:rPr>
        <w:footnoteReference w:id="18"/>
      </w:r>
      <w:r w:rsidRPr="00EF3E79">
        <w:rPr>
          <w:rFonts w:ascii="Verdana" w:eastAsia="Calibri" w:hAnsi="Verdana" w:cs="Arial"/>
          <w:lang w:val="es-ES"/>
        </w:rPr>
        <w:t>.</w:t>
      </w:r>
    </w:p>
    <w:p w14:paraId="556A5790" w14:textId="77777777" w:rsidR="00B85E30" w:rsidRPr="00EF3E79" w:rsidRDefault="00B85E30" w:rsidP="00B85E30">
      <w:pPr>
        <w:spacing w:after="120" w:line="276" w:lineRule="auto"/>
        <w:ind w:firstLine="708"/>
        <w:jc w:val="both"/>
        <w:rPr>
          <w:rFonts w:ascii="Verdana" w:eastAsia="Calibri" w:hAnsi="Verdana" w:cs="Arial"/>
          <w:lang w:val="es-ES"/>
        </w:rPr>
      </w:pPr>
      <w:r w:rsidRPr="00EF3E79">
        <w:rPr>
          <w:rFonts w:ascii="Verdana" w:eastAsia="Calibri" w:hAnsi="Verdana" w:cs="Arial"/>
          <w:lang w:val="es-ES"/>
        </w:rPr>
        <w:t xml:space="preserve">En este contexto, dada la compleja situación cultural y socioeconómica a la que se enfrentan las mujeres en función de su rol de madres cabeza de familia </w:t>
      </w:r>
      <w:r w:rsidRPr="00EF3E79">
        <w:rPr>
          <w:rFonts w:ascii="Verdana" w:eastAsia="Calibri" w:hAnsi="Verdana" w:cs="Arial"/>
          <w:lang w:val="es-ES"/>
        </w:rPr>
        <w:lastRenderedPageBreak/>
        <w:t>y la necesidad de ofrecerles algunas prerrogativas en el interés de hacer más llevadera su tarea de asumir las riendas del hogar</w:t>
      </w:r>
      <w:r w:rsidRPr="00EF3E79">
        <w:rPr>
          <w:rFonts w:ascii="Verdana" w:eastAsia="Calibri" w:hAnsi="Verdana" w:cs="Arial"/>
          <w:vertAlign w:val="superscript"/>
          <w:lang w:val="es-ES"/>
        </w:rPr>
        <w:footnoteReference w:id="19"/>
      </w:r>
      <w:r w:rsidRPr="00EF3E79">
        <w:rPr>
          <w:rFonts w:ascii="Verdana" w:eastAsia="Calibri" w:hAnsi="Verdana" w:cs="Arial"/>
          <w:lang w:val="es-ES"/>
        </w:rPr>
        <w:t xml:space="preserve">, el legislador promulgó la Ley 82 de 1993 </w:t>
      </w:r>
      <w:r w:rsidRPr="00EF3E79">
        <w:rPr>
          <w:rFonts w:ascii="Verdana" w:eastAsia="Calibri" w:hAnsi="Verdana" w:cs="Arial"/>
          <w:i/>
          <w:iCs/>
          <w:lang w:val="es-ES"/>
        </w:rPr>
        <w:t>“por la cual se expiden normas para apoyar de manera especial a la mujer cabeza de familia”</w:t>
      </w:r>
      <w:r w:rsidRPr="00EF3E79">
        <w:rPr>
          <w:rFonts w:ascii="Verdana" w:eastAsia="Calibri" w:hAnsi="Verdana" w:cs="Arial"/>
          <w:lang w:val="es-ES"/>
        </w:rPr>
        <w:t>, modificada con posterioridad por la Ley 1232 de 2008, a partir de las que se estableció la obligación de proteger a este grupo poblacional en el ámbito laboral y ocupacional mediante la creación de mecanismos eficaces que promuevan el acceso al trabajo digno y estable.</w:t>
      </w:r>
    </w:p>
    <w:p w14:paraId="6BAE0421" w14:textId="77777777" w:rsidR="00B85E30" w:rsidRPr="00EF3E79" w:rsidRDefault="00B85E30" w:rsidP="00B85E30">
      <w:pPr>
        <w:spacing w:after="120" w:line="276" w:lineRule="auto"/>
        <w:ind w:firstLine="708"/>
        <w:jc w:val="both"/>
        <w:rPr>
          <w:rFonts w:ascii="Verdana" w:eastAsia="Calibri" w:hAnsi="Verdana" w:cs="Arial"/>
          <w:lang w:val="es-ES"/>
        </w:rPr>
      </w:pPr>
      <w:r w:rsidRPr="00EF3E79">
        <w:rPr>
          <w:rFonts w:ascii="Verdana" w:eastAsia="Calibri" w:hAnsi="Verdana" w:cs="Arial"/>
          <w:lang w:val="es-ES"/>
        </w:rPr>
        <w:t xml:space="preserve">En cuanto a la definición del concepto de </w:t>
      </w:r>
      <w:r w:rsidRPr="00EF3E79">
        <w:rPr>
          <w:rFonts w:ascii="Verdana" w:eastAsia="Calibri" w:hAnsi="Verdana" w:cs="Arial"/>
          <w:i/>
          <w:iCs/>
          <w:lang w:val="es-ES"/>
        </w:rPr>
        <w:t>“mujer cabeza de familia”</w:t>
      </w:r>
      <w:r w:rsidRPr="00EF3E79">
        <w:rPr>
          <w:rFonts w:ascii="Verdana" w:eastAsia="Calibri" w:hAnsi="Verdana" w:cs="Arial"/>
          <w:lang w:val="es-ES"/>
        </w:rPr>
        <w:t>, en las referidas disposiciones normativas se señaló que tiene esta condición “[…] quien siendo soltera o casada, ejerce la jefatura femenina de hogar y tiene bajo su cargo, efectiva, económica o socialmente, en forma permanente hijos menores propios u otras personas incapaces o incapacitadas para trabajar, ya sea por ausencia permanente o incapacidad física, sensorial, síquica o moral del cónyuge o compañero permanente o deficiencia sustancial de ayuda de los demás miembros del núcleo familiar”</w:t>
      </w:r>
      <w:r w:rsidRPr="00EF3E79">
        <w:rPr>
          <w:rFonts w:ascii="Verdana" w:eastAsia="Calibri" w:hAnsi="Verdana" w:cs="Arial"/>
          <w:vertAlign w:val="superscript"/>
          <w:lang w:val="es-ES"/>
        </w:rPr>
        <w:footnoteReference w:id="20"/>
      </w:r>
      <w:r w:rsidRPr="00EF3E79">
        <w:rPr>
          <w:rFonts w:ascii="Verdana" w:eastAsia="Calibri" w:hAnsi="Verdana" w:cs="Arial"/>
          <w:lang w:val="es-ES"/>
        </w:rPr>
        <w:t>.</w:t>
      </w:r>
      <w:r w:rsidRPr="00EF3E79">
        <w:rPr>
          <w:rFonts w:ascii="Verdana" w:eastAsia="Calibri" w:hAnsi="Verdana" w:cs="Arial"/>
          <w:lang w:val="es-ES"/>
        </w:rPr>
        <w:tab/>
      </w:r>
    </w:p>
    <w:p w14:paraId="0DE15782" w14:textId="77777777" w:rsidR="00B85E30" w:rsidRPr="00EF3E79" w:rsidRDefault="00B85E30" w:rsidP="00B85E30">
      <w:pPr>
        <w:spacing w:after="120" w:line="276" w:lineRule="auto"/>
        <w:ind w:firstLine="708"/>
        <w:jc w:val="both"/>
        <w:rPr>
          <w:rFonts w:ascii="Verdana" w:eastAsia="Calibri" w:hAnsi="Verdana" w:cs="Arial"/>
          <w:lang w:val="es-ES"/>
        </w:rPr>
      </w:pPr>
      <w:r w:rsidRPr="00EF3E79">
        <w:rPr>
          <w:rFonts w:ascii="Verdana" w:eastAsia="Calibri" w:hAnsi="Verdana" w:cs="Arial"/>
          <w:lang w:val="es-ES"/>
        </w:rPr>
        <w:t>A nivel jurisprudencial, la Corte Constitucional ha dejado en claro con la expedición de las primeras normas específicas dirigidas a beneficiar a la mujer cabeza de familia que la protección especial de la que gozan emana no solamente del articulado propio de la Constitución Política, sino también de su “condición especial, concretada en su responsabilidad individual y solitaria en frente del hogar y como única fuente capaz de derivar el sustento diario de todos sus miembros”</w:t>
      </w:r>
      <w:r w:rsidRPr="00EF3E79">
        <w:rPr>
          <w:rFonts w:ascii="Verdana" w:eastAsia="Calibri" w:hAnsi="Verdana" w:cs="Arial"/>
          <w:vertAlign w:val="superscript"/>
          <w:lang w:val="es-ES"/>
        </w:rPr>
        <w:footnoteReference w:id="21"/>
      </w:r>
      <w:r w:rsidRPr="00EF3E79">
        <w:rPr>
          <w:rFonts w:ascii="Verdana" w:eastAsia="Calibri" w:hAnsi="Verdana" w:cs="Arial"/>
          <w:lang w:val="es-ES"/>
        </w:rPr>
        <w:t>.</w:t>
      </w:r>
    </w:p>
    <w:p w14:paraId="18E6D0E6" w14:textId="77777777" w:rsidR="00B85E30" w:rsidRPr="00EF3E79" w:rsidRDefault="00B85E30" w:rsidP="00B85E30">
      <w:pPr>
        <w:spacing w:after="120" w:line="276" w:lineRule="auto"/>
        <w:ind w:firstLine="708"/>
        <w:jc w:val="both"/>
        <w:rPr>
          <w:rFonts w:ascii="Verdana" w:eastAsia="Calibri" w:hAnsi="Verdana" w:cs="Arial"/>
          <w:lang w:val="es-ES"/>
        </w:rPr>
      </w:pPr>
      <w:r w:rsidRPr="00EF3E79">
        <w:rPr>
          <w:rFonts w:ascii="Verdana" w:eastAsia="Calibri" w:hAnsi="Verdana" w:cs="Arial"/>
          <w:lang w:val="es-ES"/>
        </w:rPr>
        <w:t xml:space="preserve">De acuerdo con lo anterior y en plena correspondencia con su definición legal precisada de manera previa, la Corte Constitucional ha expuesto también que no toda mujer, por el hecho de serlo, ostenta la calidad de madre cabeza de familia, pues para ser considerada con tal condición es necesario: “(i) que se tenga a cargo la responsabilidad de hijos menores o de otras personas incapacitadas para trabajar; (ii) que esa responsabilidad sea de carácter permanente; (iii) no sólo la ausencia permanente o abandono del hogar por parte de la pareja, sino que aquélla se sustraiga del cumplimiento de sus </w:t>
      </w:r>
      <w:r w:rsidRPr="00EF3E79">
        <w:rPr>
          <w:rFonts w:ascii="Verdana" w:eastAsia="Calibri" w:hAnsi="Verdana" w:cs="Arial"/>
          <w:lang w:val="es-ES"/>
        </w:rPr>
        <w:lastRenderedPageBreak/>
        <w:t>obligaciones como padre; (iv) o bien que la pareja no asuma la responsabilidad que le corresponde y ello obedezca a un motivo verdaderamente poderoso como la incapacidad física, sensorial, síquica o mental o, como es obvio, la muerte; (v) por último, que haya una deficiencia sustancial de ayuda de los demás miembros de la familia, lo cual significa la responsabilidad solitaria de la madre para sostener el hogar”</w:t>
      </w:r>
      <w:r w:rsidRPr="00EF3E79">
        <w:rPr>
          <w:rFonts w:ascii="Verdana" w:eastAsia="Calibri" w:hAnsi="Verdana" w:cs="Arial"/>
          <w:vertAlign w:val="superscript"/>
          <w:lang w:val="es-ES"/>
        </w:rPr>
        <w:footnoteReference w:id="22"/>
      </w:r>
      <w:r w:rsidRPr="00EF3E79">
        <w:rPr>
          <w:rFonts w:ascii="Verdana" w:eastAsia="Calibri" w:hAnsi="Verdana" w:cs="Arial"/>
          <w:lang w:val="es-ES"/>
        </w:rPr>
        <w:t>.</w:t>
      </w:r>
    </w:p>
    <w:p w14:paraId="69E8C3A5" w14:textId="77777777" w:rsidR="00B85E30" w:rsidRPr="00EF3E79" w:rsidRDefault="00B85E30" w:rsidP="00B85E30">
      <w:pPr>
        <w:spacing w:after="120" w:line="276" w:lineRule="auto"/>
        <w:ind w:firstLine="708"/>
        <w:jc w:val="both"/>
        <w:rPr>
          <w:rFonts w:ascii="Verdana" w:eastAsia="Calibri" w:hAnsi="Verdana" w:cs="Arial"/>
          <w:lang w:val="es-ES"/>
        </w:rPr>
      </w:pPr>
      <w:r w:rsidRPr="00EF3E79">
        <w:rPr>
          <w:rFonts w:ascii="Verdana" w:eastAsia="Calibri" w:hAnsi="Verdana" w:cs="Arial"/>
          <w:lang w:val="es-ES"/>
        </w:rPr>
        <w:t>Igualmente, dicha Corporación ha aclarado que el desempleo y la vacancia temporal de la pareja, o su ausencia transitoria, por prolongada y desafortunada que esta pueda resultar, no significa, por sí mismo, que una madre adquiera la condición de cabeza de familia, pues para ello es indispensable el total abandono del hogar por parte de su pareja y de las responsabilidades que le corresponden como padre, es decir, debe existir un incumplimiento absoluto y permanente de las obligaciones inherentes a esta condición</w:t>
      </w:r>
      <w:r w:rsidRPr="00EF3E79">
        <w:rPr>
          <w:rFonts w:ascii="Verdana" w:eastAsia="Calibri" w:hAnsi="Verdana" w:cs="Arial"/>
          <w:vertAlign w:val="superscript"/>
          <w:lang w:val="es-ES"/>
        </w:rPr>
        <w:footnoteReference w:id="23"/>
      </w:r>
      <w:r w:rsidRPr="00EF3E79">
        <w:rPr>
          <w:rFonts w:ascii="Verdana" w:eastAsia="Calibri" w:hAnsi="Verdana" w:cs="Arial"/>
          <w:lang w:val="es-ES"/>
        </w:rPr>
        <w:t>. Lo anterior, sin olvidar que el trabajo doméstico, con independencia de quién lo realiza, constituye un valioso apoyo para la familia, a tal punto que debe ser tenido en cuenta como aporte social</w:t>
      </w:r>
      <w:r w:rsidRPr="00EF3E79">
        <w:rPr>
          <w:rFonts w:ascii="Verdana" w:eastAsia="Calibri" w:hAnsi="Verdana" w:cs="Arial"/>
          <w:vertAlign w:val="superscript"/>
          <w:lang w:val="es-ES"/>
        </w:rPr>
        <w:footnoteReference w:id="24"/>
      </w:r>
      <w:r w:rsidRPr="00EF3E79">
        <w:rPr>
          <w:rFonts w:ascii="Verdana" w:eastAsia="Calibri" w:hAnsi="Verdana" w:cs="Arial"/>
          <w:lang w:val="es-ES"/>
        </w:rPr>
        <w:t>. En ese orden de ideas, debido a la existencia de otras formas de colaboración en el hogar, la carencia de un ingreso económico fijo de una persona no puede ser utilizada por su pareja para reclamar la condición de cabeza de familia</w:t>
      </w:r>
      <w:r w:rsidRPr="00EF3E79">
        <w:rPr>
          <w:rFonts w:ascii="Verdana" w:eastAsia="Calibri" w:hAnsi="Verdana" w:cs="Arial"/>
          <w:vertAlign w:val="superscript"/>
          <w:lang w:val="es-ES"/>
        </w:rPr>
        <w:footnoteReference w:id="25"/>
      </w:r>
      <w:r w:rsidRPr="00EF3E79">
        <w:rPr>
          <w:rFonts w:ascii="Verdana" w:eastAsia="Calibri" w:hAnsi="Verdana" w:cs="Arial"/>
          <w:lang w:val="es-ES"/>
        </w:rPr>
        <w:t>.</w:t>
      </w:r>
    </w:p>
    <w:p w14:paraId="21A684B5" w14:textId="77777777" w:rsidR="00B85E30" w:rsidRPr="00EF3E79" w:rsidRDefault="00B85E30" w:rsidP="00B85E30">
      <w:pPr>
        <w:spacing w:after="120" w:line="276" w:lineRule="auto"/>
        <w:ind w:firstLine="708"/>
        <w:jc w:val="both"/>
        <w:rPr>
          <w:rFonts w:ascii="Verdana" w:eastAsia="Calibri" w:hAnsi="Verdana" w:cs="Arial"/>
        </w:rPr>
      </w:pPr>
      <w:r w:rsidRPr="00EF3E79">
        <w:rPr>
          <w:rFonts w:ascii="Verdana" w:eastAsia="Calibri" w:hAnsi="Verdana" w:cs="Arial"/>
        </w:rPr>
        <w:t xml:space="preserve">En conclusión, la condición de mujer cabeza de familia constituye una medida de protección especial de rango constitucional, cuyo reconocimiento y alcance han sido desarrollados por el legislador en la Ley 82 de 1993, modificada por la Ley 1232 de 2008. De acuerdo con este marco normativo y jurisprudencial, dicha condición no se deriva exclusivamente de la existencia de personas a cargo, sino del cumplimiento de los presupuestos legales relacionados con la responsabilidad permanente sobre hijos menores u otras personas incapacitadas para trabajar, así como con la ausencia o deficiencia sustancial de apoyo del cónyuge, compañero permanente o demás miembros </w:t>
      </w:r>
      <w:r w:rsidRPr="00EF3E79">
        <w:rPr>
          <w:rFonts w:ascii="Verdana" w:eastAsia="Calibri" w:hAnsi="Verdana" w:cs="Arial"/>
        </w:rPr>
        <w:lastRenderedPageBreak/>
        <w:t>del núcleo familiar. En este sentido, para efectos de la aplicación del factor de desempate previsto en el Decreto 1082 de 2015, la acreditación de la condición de mujer cabeza de familia debe atender a los requisitos establecidos en la Ley 82 de 1993 y a su interpretación jurisprudencial, sin que resulte procedente establecer requisitos o categorías adicionales por vía interpretativa.</w:t>
      </w:r>
    </w:p>
    <w:p w14:paraId="0C3DDF96" w14:textId="77777777" w:rsidR="00B85E30" w:rsidRPr="00EF3E79" w:rsidRDefault="00B85E30" w:rsidP="00B85E30">
      <w:pPr>
        <w:spacing w:after="120" w:line="276" w:lineRule="auto"/>
        <w:jc w:val="both"/>
        <w:rPr>
          <w:rFonts w:ascii="Verdana" w:hAnsi="Verdana" w:cs="Arial"/>
        </w:rPr>
      </w:pPr>
      <w:r w:rsidRPr="00EF3E79">
        <w:rPr>
          <w:rFonts w:ascii="Verdana" w:hAnsi="Verdana" w:cs="Arial"/>
        </w:rPr>
        <w:t xml:space="preserve">iv. </w:t>
      </w:r>
      <w:r w:rsidRPr="00EF3E79">
        <w:rPr>
          <w:rFonts w:ascii="Verdana" w:eastAsia="Calibri" w:hAnsi="Verdana" w:cs="Arial"/>
        </w:rPr>
        <w:t xml:space="preserve">Finalmente, es pertinente indicar que la Agencia Nacional de Contratación Púbica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Estatuto General de Contratación de la Administración Pública.  </w:t>
      </w:r>
      <w:r w:rsidRPr="00EF3E79">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p w14:paraId="3CB72A13" w14:textId="77777777" w:rsidR="00B85E30" w:rsidRPr="00EF3E79" w:rsidRDefault="00B85E30" w:rsidP="00B85E30">
      <w:pPr>
        <w:spacing w:after="0" w:line="276" w:lineRule="auto"/>
        <w:jc w:val="both"/>
        <w:rPr>
          <w:rFonts w:ascii="Verdana" w:eastAsia="Century Gothic" w:hAnsi="Verdana" w:cs="Century Gothic"/>
          <w:b/>
          <w:color w:val="7030A0"/>
          <w:lang w:val="es-ES"/>
        </w:rPr>
      </w:pPr>
      <w:r w:rsidRPr="00EF3E79">
        <w:rPr>
          <w:rFonts w:ascii="Verdana" w:eastAsia="Century Gothic" w:hAnsi="Verdana" w:cs="Century Gothic"/>
          <w:b/>
          <w:lang w:val="es-ES"/>
        </w:rPr>
        <w:t>4. Referencias normativas, jurisprudenciales y otras fuentes:</w:t>
      </w:r>
    </w:p>
    <w:p w14:paraId="59D5F7AA" w14:textId="77777777" w:rsidR="00B85E30" w:rsidRPr="00EF3E79" w:rsidRDefault="00B85E30" w:rsidP="00B85E30">
      <w:pPr>
        <w:spacing w:after="0" w:line="276" w:lineRule="auto"/>
        <w:jc w:val="both"/>
        <w:rPr>
          <w:rFonts w:ascii="Verdana" w:eastAsia="Century Gothic" w:hAnsi="Verdana" w:cs="Century Gothic"/>
          <w:b/>
          <w:color w:val="7030A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85E30" w:rsidRPr="00EF3E79" w14:paraId="238DB678" w14:textId="77777777" w:rsidTr="005A2FE0">
        <w:trPr>
          <w:trHeight w:val="311"/>
        </w:trPr>
        <w:tc>
          <w:tcPr>
            <w:tcW w:w="8647" w:type="dxa"/>
          </w:tcPr>
          <w:p w14:paraId="008B09A8"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lang w:val="es-ES"/>
              </w:rPr>
            </w:pPr>
            <w:r w:rsidRPr="00EF3E79">
              <w:rPr>
                <w:rFonts w:ascii="Verdana" w:eastAsia="Calibri" w:hAnsi="Verdana" w:cs="Arial"/>
                <w:lang w:val="es-ES"/>
              </w:rPr>
              <w:t xml:space="preserve">Constitución Política de Colombia. Artículos </w:t>
            </w:r>
            <w:r w:rsidRPr="00EF3E79">
              <w:rPr>
                <w:rFonts w:ascii="Verdana" w:eastAsia="Calibri" w:hAnsi="Verdana" w:cs="Arial"/>
              </w:rPr>
              <w:t>5,13, 38, 43,44</w:t>
            </w:r>
            <w:r w:rsidRPr="00EF3E79">
              <w:rPr>
                <w:rFonts w:ascii="Verdana" w:eastAsia="Calibri" w:hAnsi="Verdana" w:cs="Arial"/>
                <w:lang w:val="es-ES"/>
              </w:rPr>
              <w:t>.</w:t>
            </w:r>
          </w:p>
          <w:p w14:paraId="70FE1DC9"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rPr>
            </w:pPr>
            <w:r w:rsidRPr="00EF3E79">
              <w:rPr>
                <w:rFonts w:ascii="Verdana" w:eastAsia="Calibri" w:hAnsi="Verdana" w:cs="Arial"/>
              </w:rPr>
              <w:t>Ley 80 de 1993. Artículo 44.</w:t>
            </w:r>
          </w:p>
          <w:p w14:paraId="5FC9AB38"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rPr>
            </w:pPr>
            <w:r w:rsidRPr="00EF3E79">
              <w:rPr>
                <w:rFonts w:ascii="Verdana" w:eastAsia="Calibri" w:hAnsi="Verdana" w:cs="Arial"/>
              </w:rPr>
              <w:t>Ley 1150 de 2007. Artículo 5.</w:t>
            </w:r>
          </w:p>
          <w:p w14:paraId="56BA6AD2"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rPr>
            </w:pPr>
            <w:r w:rsidRPr="00EF3E79">
              <w:rPr>
                <w:rFonts w:ascii="Verdana" w:eastAsia="Calibri" w:hAnsi="Verdana" w:cs="Arial"/>
              </w:rPr>
              <w:t>Ley 1232 de 2008. Artículo 1.</w:t>
            </w:r>
          </w:p>
          <w:p w14:paraId="48A0CE35"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rPr>
            </w:pPr>
            <w:r w:rsidRPr="00EF3E79">
              <w:rPr>
                <w:rFonts w:ascii="Verdana" w:eastAsia="Calibri" w:hAnsi="Verdana" w:cs="Arial"/>
              </w:rPr>
              <w:t>Ley 2069 de 2020. Artículo 35</w:t>
            </w:r>
          </w:p>
          <w:p w14:paraId="5C13B1E0"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rPr>
            </w:pPr>
            <w:r w:rsidRPr="00EF3E79">
              <w:rPr>
                <w:rFonts w:ascii="Verdana" w:eastAsia="Calibri" w:hAnsi="Verdana" w:cs="Arial"/>
              </w:rPr>
              <w:t>Decreto 1082 de 2015. Artículo 2.2.1.2.4.2.17.</w:t>
            </w:r>
          </w:p>
          <w:p w14:paraId="7A9BCA6B"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rPr>
            </w:pPr>
            <w:r w:rsidRPr="00EF3E79">
              <w:rPr>
                <w:rFonts w:ascii="Verdana" w:eastAsia="Calibri" w:hAnsi="Verdana" w:cs="Arial"/>
              </w:rPr>
              <w:t>Corte Constitucional de Colombia. Sentencia T-926 de 2009. Magistrado Ponente: Luis Ernesto Vargas Silva. 10 de diciembre de 2009.</w:t>
            </w:r>
          </w:p>
          <w:p w14:paraId="45B1683A"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rPr>
            </w:pPr>
            <w:r w:rsidRPr="00EF3E79">
              <w:rPr>
                <w:rFonts w:ascii="Verdana" w:eastAsia="Calibri" w:hAnsi="Verdana" w:cs="Arial"/>
              </w:rPr>
              <w:t>Corte Constitucional. Sentencia T-684A del 14 de septiembre de 2011. Magistrado Ponente: Mauricio González Cuervo.</w:t>
            </w:r>
          </w:p>
          <w:p w14:paraId="41F84E90"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rPr>
            </w:pPr>
            <w:r w:rsidRPr="00EF3E79">
              <w:rPr>
                <w:rFonts w:ascii="Verdana" w:eastAsia="Calibri" w:hAnsi="Verdana" w:cs="Arial"/>
              </w:rPr>
              <w:t>Consejo de Estado. Sección Tercera. Sentencia del 29 de octubre de 2.015. Consejera Ponente: Stella Conto Díaz Del Castillo. Expediente: 31.918.</w:t>
            </w:r>
          </w:p>
          <w:p w14:paraId="6DEACDD1"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rPr>
            </w:pPr>
            <w:r w:rsidRPr="00EF3E79">
              <w:rPr>
                <w:rFonts w:ascii="Verdana" w:eastAsia="Calibri" w:hAnsi="Verdana" w:cs="Arial"/>
              </w:rPr>
              <w:lastRenderedPageBreak/>
              <w:t>Consejo de Estado. Sección Tercera. Sentencia del 6 de diciembre de 2013. Consejera Ponente: Stella Conto Díaz Del Castillo. Expediente: 27.506</w:t>
            </w:r>
          </w:p>
          <w:p w14:paraId="63E6AD28" w14:textId="77777777" w:rsidR="00B85E30" w:rsidRPr="00EF3E79" w:rsidRDefault="00B85E30" w:rsidP="005A2FE0">
            <w:pPr>
              <w:widowControl w:val="0"/>
              <w:numPr>
                <w:ilvl w:val="0"/>
                <w:numId w:val="16"/>
              </w:numPr>
              <w:autoSpaceDE w:val="0"/>
              <w:autoSpaceDN w:val="0"/>
              <w:spacing w:line="276" w:lineRule="auto"/>
              <w:jc w:val="both"/>
              <w:rPr>
                <w:rFonts w:ascii="Verdana" w:eastAsia="Calibri" w:hAnsi="Verdana" w:cs="Arial"/>
                <w:color w:val="7030A0"/>
              </w:rPr>
            </w:pPr>
            <w:r w:rsidRPr="00EF3E79">
              <w:rPr>
                <w:rFonts w:ascii="Verdana" w:eastAsia="Calibri" w:hAnsi="Verdana" w:cs="Arial"/>
              </w:rPr>
              <w:t xml:space="preserve">Agencia Nacional de Contratación Pública – Colombia Compra Eficiente. Manual De Incentivos En Procesos De Contratación. Disponible en el siguiente enlace: </w:t>
            </w:r>
            <w:hyperlink r:id="rId21" w:tgtFrame="_blank" w:tooltip="Usa Ctrl + clic para abrir https://www.colombiacompra.gov.co/archivos/manual/manual-de-incentivos-en-procesos-de-contratacion en una nueva pestaña." w:history="1">
              <w:r w:rsidRPr="00EF3E79">
                <w:rPr>
                  <w:rStyle w:val="Hipervnculo"/>
                  <w:rFonts w:ascii="Verdana" w:eastAsia="Calibri" w:hAnsi="Verdana" w:cs="Arial"/>
                </w:rPr>
                <w:t>https://www.colombiacompra.gov.co/archivos/manual/manual-de-incentivos-en-procesos-de-contratacion</w:t>
              </w:r>
            </w:hyperlink>
            <w:r w:rsidRPr="00EF3E79">
              <w:rPr>
                <w:rFonts w:ascii="Verdana" w:eastAsia="Calibri" w:hAnsi="Verdana" w:cs="Arial"/>
                <w:color w:val="7030A0"/>
              </w:rPr>
              <w:t xml:space="preserve"> </w:t>
            </w:r>
          </w:p>
        </w:tc>
      </w:tr>
    </w:tbl>
    <w:p w14:paraId="0E9DD265" w14:textId="77777777" w:rsidR="00B85E30" w:rsidRPr="00EF3E79" w:rsidRDefault="00B85E30" w:rsidP="00B85E30">
      <w:pPr>
        <w:widowControl w:val="0"/>
        <w:autoSpaceDE w:val="0"/>
        <w:autoSpaceDN w:val="0"/>
        <w:spacing w:after="0" w:line="276" w:lineRule="auto"/>
        <w:jc w:val="both"/>
        <w:rPr>
          <w:rFonts w:ascii="Verdana" w:hAnsi="Verdana" w:cs="Arial"/>
          <w:lang w:val="es-ES"/>
        </w:rPr>
      </w:pPr>
    </w:p>
    <w:p w14:paraId="579D1407" w14:textId="77777777" w:rsidR="00B85E30" w:rsidRPr="00EF3E79" w:rsidRDefault="00B85E30" w:rsidP="00B85E30">
      <w:pPr>
        <w:tabs>
          <w:tab w:val="left" w:pos="142"/>
          <w:tab w:val="left" w:pos="284"/>
        </w:tabs>
        <w:spacing w:after="0" w:line="276" w:lineRule="auto"/>
        <w:jc w:val="both"/>
        <w:rPr>
          <w:rFonts w:ascii="Verdana" w:eastAsia="Century Gothic" w:hAnsi="Verdana" w:cs="Century Gothic"/>
          <w:b/>
          <w:lang w:val="es-ES"/>
        </w:rPr>
      </w:pPr>
      <w:r w:rsidRPr="00EF3E79">
        <w:rPr>
          <w:rFonts w:ascii="Verdana" w:eastAsia="Century Gothic" w:hAnsi="Verdana" w:cs="Century Gothic"/>
          <w:b/>
          <w:lang w:val="es-ES"/>
        </w:rPr>
        <w:t>5. Doctrina de la Agencia Nacional de Contratación Pública:</w:t>
      </w:r>
    </w:p>
    <w:p w14:paraId="4016383E" w14:textId="77777777" w:rsidR="00B85E30" w:rsidRPr="00EF3E79" w:rsidRDefault="00B85E30" w:rsidP="00B85E30">
      <w:pPr>
        <w:tabs>
          <w:tab w:val="left" w:pos="142"/>
          <w:tab w:val="left" w:pos="284"/>
        </w:tabs>
        <w:spacing w:after="0" w:line="276" w:lineRule="auto"/>
        <w:jc w:val="both"/>
        <w:rPr>
          <w:rFonts w:ascii="Verdana" w:eastAsia="Century Gothic" w:hAnsi="Verdana" w:cs="Century Gothic"/>
          <w:b/>
          <w:lang w:val="es-ES"/>
        </w:rPr>
      </w:pPr>
    </w:p>
    <w:p w14:paraId="2F788B59" w14:textId="77777777" w:rsidR="00B85E30" w:rsidRPr="00EF3E79" w:rsidRDefault="00B85E30" w:rsidP="00B85E30">
      <w:pPr>
        <w:jc w:val="both"/>
        <w:rPr>
          <w:rFonts w:ascii="Verdana" w:hAnsi="Verdana" w:cs="Arial"/>
          <w:b/>
          <w:bCs/>
          <w:shd w:val="clear" w:color="auto" w:fill="FFFFFF"/>
        </w:rPr>
      </w:pPr>
      <w:r w:rsidRPr="00EF3E79">
        <w:rPr>
          <w:rFonts w:ascii="Verdana" w:eastAsia="Calibri" w:hAnsi="Verdana" w:cs="Arial"/>
          <w:lang w:val="es-ES"/>
        </w:rPr>
        <w:t xml:space="preserve">La Agencia Nacional de Contratación Pública – Colombia Compra Eficiente se ha referido </w:t>
      </w:r>
      <w:r w:rsidRPr="00EF3E79">
        <w:rPr>
          <w:rFonts w:ascii="Verdana" w:hAnsi="Verdana" w:cs="Arial"/>
          <w:shd w:val="clear" w:color="auto" w:fill="FFFFFF"/>
          <w:lang w:val="es-ES"/>
        </w:rPr>
        <w:t xml:space="preserve">sobre los factores de desempate en los conceptos con radicado </w:t>
      </w:r>
      <w:r w:rsidRPr="00EF3E79">
        <w:rPr>
          <w:rFonts w:ascii="Verdana" w:hAnsi="Verdana" w:cs="Arial"/>
          <w:shd w:val="clear" w:color="auto" w:fill="FFFFFF"/>
        </w:rPr>
        <w:t>C-136 del 07 de abril de 2021, C-191 del 26 de abril de 2021, C-187 del 28 de abril de 2021, C-192 del 29 de abril de 2021, C-206 del 03 de mayo de 2021, C-338 del 12 de julio de 2021, C-422 del 18 de agosto de 2021, C-437 del 24 de agosto de 2021, C-518 el 20 de septiembre de 2021, C-438 del 28 de septiembre de 2021, C-586 del 14 de octubre de 2021, C-295 del 9 de mayo de 2022, C-750 del 04 de febrero de 2022, C-295 del 09 de mayo de 2022, C-468 del 21 de julio de 2022, C-934 del 31 de enero de 2023, C-072 del 03 de abril de 2023, C-322 del 14 de agosto de 2023, C-939 del 31 de octubre de 2023, C-070 del 278 de mayo de 2024, C-103 del 12 de junio de 2024, C-518 del 30 de septiembre 2024, C-135 del 13 de marzo de 2025, C-316 del 21 de abril de 2025, C-560 del 15 de mayo de 2025, C-736 del 18 de julio de 2025, C–1126 del 24 de agosto de 2025, C-1830 del 07 de enero de 2026, C-244 del 29 de marzo de 2026,   C-703 del 09 de junio de 2026, C-1026 del 30 de julio 2026, entre otros.</w:t>
      </w:r>
    </w:p>
    <w:p w14:paraId="3E86B398" w14:textId="77777777" w:rsidR="00B85E30" w:rsidRPr="00EF3E79" w:rsidRDefault="00B85E30" w:rsidP="00B85E30">
      <w:pPr>
        <w:widowControl w:val="0"/>
        <w:autoSpaceDE w:val="0"/>
        <w:autoSpaceDN w:val="0"/>
        <w:spacing w:after="0" w:line="276" w:lineRule="auto"/>
        <w:jc w:val="both"/>
        <w:rPr>
          <w:rStyle w:val="Hipervnculo"/>
          <w:rFonts w:ascii="Verdana" w:hAnsi="Verdana" w:cs="Arial"/>
          <w:color w:val="EE0000"/>
          <w:shd w:val="clear" w:color="auto" w:fill="FFFFFF"/>
          <w:lang w:val="es-ES"/>
        </w:rPr>
      </w:pPr>
      <w:r w:rsidRPr="00EF3E79">
        <w:rPr>
          <w:rFonts w:ascii="Verdana" w:hAnsi="Verdana" w:cs="Arial"/>
          <w:shd w:val="clear" w:color="auto" w:fill="FFFFFF"/>
          <w:lang w:val="es-ES"/>
        </w:rPr>
        <w:t>Estos</w:t>
      </w:r>
      <w:r w:rsidRPr="00EF3E79">
        <w:rPr>
          <w:rFonts w:ascii="Verdana" w:hAnsi="Verdana"/>
          <w:lang w:val="es-ES"/>
        </w:rPr>
        <w:t xml:space="preserve"> y otros se encuentran disponibles para consulta en el Sistema de relatoría de la Agencia, al cual se puede acceder a través del siguiente enlace:</w:t>
      </w:r>
      <w:r w:rsidRPr="00EF3E79">
        <w:rPr>
          <w:rFonts w:ascii="Verdana" w:hAnsi="Verdana" w:cs="Arial"/>
          <w:shd w:val="clear" w:color="auto" w:fill="FFFFFF"/>
          <w:lang w:val="es-ES"/>
        </w:rPr>
        <w:t xml:space="preserve"> </w:t>
      </w:r>
      <w:hyperlink r:id="rId22" w:history="1">
        <w:r w:rsidRPr="00EF3E79">
          <w:rPr>
            <w:rStyle w:val="Hipervnculo"/>
            <w:rFonts w:ascii="Verdana" w:hAnsi="Verdana" w:cs="Arial"/>
            <w:shd w:val="clear" w:color="auto" w:fill="FFFFFF"/>
            <w:lang w:val="es-ES"/>
          </w:rPr>
          <w:t>https://relatoria.colombiacompra.gov.co/busqueda/conceptos</w:t>
        </w:r>
      </w:hyperlink>
    </w:p>
    <w:p w14:paraId="50A49506" w14:textId="77777777" w:rsidR="00B85E30" w:rsidRPr="00EF3E79" w:rsidRDefault="00B85E30" w:rsidP="00B85E30">
      <w:pPr>
        <w:widowControl w:val="0"/>
        <w:autoSpaceDE w:val="0"/>
        <w:autoSpaceDN w:val="0"/>
        <w:spacing w:after="0" w:line="276" w:lineRule="auto"/>
        <w:jc w:val="both"/>
        <w:rPr>
          <w:rFonts w:ascii="Verdana" w:hAnsi="Verdana" w:cs="Arial"/>
          <w:color w:val="EE0000"/>
          <w:u w:val="single"/>
          <w:shd w:val="clear" w:color="auto" w:fill="FFFFFF"/>
          <w:lang w:val="es-ES"/>
        </w:rPr>
      </w:pPr>
    </w:p>
    <w:p w14:paraId="54F5F9F8" w14:textId="77777777" w:rsidR="00B85E30" w:rsidRPr="00EF3E79" w:rsidRDefault="00B85E30" w:rsidP="00B85E30">
      <w:pPr>
        <w:spacing w:after="0" w:line="276" w:lineRule="auto"/>
        <w:jc w:val="both"/>
        <w:rPr>
          <w:rFonts w:ascii="Verdana" w:hAnsi="Verdana"/>
          <w:color w:val="EE0000"/>
        </w:rPr>
      </w:pPr>
      <w:r w:rsidRPr="00EF3E79">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F3E79">
        <w:rPr>
          <w:rFonts w:ascii="Verdana" w:hAnsi="Verdana"/>
          <w:b/>
          <w:bCs/>
        </w:rPr>
        <w:t>Guía para la Exigencia y Constitución de Garantías en los Procesos de Contratación</w:t>
      </w:r>
      <w:r w:rsidRPr="00EF3E79">
        <w:rPr>
          <w:rFonts w:ascii="Verdana" w:hAnsi="Verdana"/>
        </w:rPr>
        <w:t xml:space="preserve">, dirigida a las entidades sometidas al EGCAP y a las de regímenes exceptuados, así como a proveedores y órganos de control. Encontrarás orientaciones sobre las clases de garantías </w:t>
      </w:r>
      <w:r w:rsidRPr="00EF3E79">
        <w:rPr>
          <w:rFonts w:ascii="Verdana" w:hAnsi="Verdana"/>
        </w:rPr>
        <w:lastRenderedPageBreak/>
        <w:t>admisibles, la correspondencia entre riesgos asignados y amparos exigidos, su suficiencia y vigencia, y el procedimiento para hacerlas efectivas. Consúltala aquí:</w:t>
      </w:r>
      <w:r w:rsidRPr="00EF3E79">
        <w:rPr>
          <w:rFonts w:ascii="Verdana" w:hAnsi="Verdana"/>
          <w:color w:val="EE0000"/>
        </w:rPr>
        <w:t> </w:t>
      </w:r>
      <w:hyperlink r:id="rId23" w:tgtFrame="_blank" w:tooltip="Dirección URL original: https://www.colombiacompra.gov.co/archivos/manual/guia-de-garantias-en-procesos-de-contratacion. Haga clic o pulse si confía en este vínculo." w:history="1">
        <w:r w:rsidRPr="00EF3E79">
          <w:rPr>
            <w:rStyle w:val="Hipervnculo"/>
            <w:rFonts w:ascii="Verdana" w:hAnsi="Verdana"/>
          </w:rPr>
          <w:t>https://www.colombiacompra.gov.co/archivos/manual/guia-de-garantias-en-procesos-de-contratacion</w:t>
        </w:r>
      </w:hyperlink>
    </w:p>
    <w:p w14:paraId="7B83836B" w14:textId="77777777" w:rsidR="00B85E30" w:rsidRPr="00EF3E79" w:rsidRDefault="00B85E30" w:rsidP="00B85E30">
      <w:pPr>
        <w:spacing w:after="0" w:line="276" w:lineRule="auto"/>
        <w:jc w:val="both"/>
        <w:rPr>
          <w:rFonts w:ascii="Verdana" w:hAnsi="Verdana"/>
          <w:color w:val="EE0000"/>
        </w:rPr>
      </w:pPr>
    </w:p>
    <w:p w14:paraId="7F55A863" w14:textId="77777777" w:rsidR="00B85E30" w:rsidRPr="00EF3E79" w:rsidRDefault="00B85E30" w:rsidP="00B85E30">
      <w:pPr>
        <w:spacing w:after="0" w:line="276" w:lineRule="auto"/>
        <w:jc w:val="both"/>
        <w:rPr>
          <w:rFonts w:ascii="Verdana" w:hAnsi="Verdana"/>
          <w:color w:val="EE0000"/>
        </w:rPr>
      </w:pPr>
      <w:r w:rsidRPr="00EF3E79">
        <w:rPr>
          <w:rFonts w:ascii="Verdana" w:hAnsi="Verdana"/>
        </w:rPr>
        <w:t>De otro lado, te contamos que el Decreto 287 del 19 de marzo de 2026 sustituyó los artículos 2.2.1.2.4.2.6., 2.2.1.2.4.2.7. y 2.2.1.2.4.2.8. del Decreto 1082 de 2015 y estructuró el </w:t>
      </w:r>
      <w:r w:rsidRPr="00EF3E79">
        <w:rPr>
          <w:rFonts w:ascii="Verdana" w:hAnsi="Verdana"/>
          <w:b/>
          <w:bCs/>
        </w:rPr>
        <w:t>Sistema Integral de Preferencias en favor de las personas con discapacidad</w:t>
      </w:r>
      <w:r w:rsidRPr="00EF3E79">
        <w:rPr>
          <w:rFonts w:ascii="Verdana" w:hAnsi="Verdana"/>
        </w:rPr>
        <w:t>, en cumplimiento del artículo 13 de la Ley Estatutaria 1618 de 2013. Para orientar su aplicación, esta Agencia expidió la </w:t>
      </w:r>
      <w:r w:rsidRPr="00EF3E79">
        <w:rPr>
          <w:rFonts w:ascii="Verdana" w:hAnsi="Verdana"/>
          <w:b/>
          <w:bCs/>
        </w:rPr>
        <w:t>Circular Externa 003 del 12 de mayo de 2026, </w:t>
      </w:r>
      <w:r w:rsidRPr="00EF3E79">
        <w:rPr>
          <w:rFonts w:ascii="Verdana" w:hAnsi="Verdana"/>
        </w:rPr>
        <w:t>en la que precisa quiénes son los beneficiarios, las cinco medidas que integran el sistema y su obligatoriedad según la modalidad de selección, y el régimen de transición aplicable a los procesos en curso. Consúltala aquí:</w:t>
      </w:r>
      <w:r w:rsidRPr="00EF3E79">
        <w:rPr>
          <w:rFonts w:ascii="Verdana" w:hAnsi="Verdana"/>
          <w:color w:val="EE0000"/>
        </w:rPr>
        <w:t> </w:t>
      </w:r>
      <w:hyperlink r:id="rId24" w:tgtFrame="_blank" w:tooltip="Dirección URL original: https://www.colombiacompra.gov.co/archivos/circular/circular-externa-003-de-2026. Haga clic o pulse si confía en este vínculo." w:history="1">
        <w:r w:rsidRPr="00EF3E79">
          <w:rPr>
            <w:rStyle w:val="Hipervnculo"/>
            <w:rFonts w:ascii="Verdana" w:hAnsi="Verdana"/>
          </w:rPr>
          <w:t>https://www.colombiacompra.gov.co/archivos/circular/circular-externa-003-de-2026</w:t>
        </w:r>
      </w:hyperlink>
    </w:p>
    <w:p w14:paraId="1429DC5F" w14:textId="77777777" w:rsidR="00B85E30" w:rsidRPr="00EF3E79" w:rsidRDefault="00B85E30" w:rsidP="00B85E30">
      <w:pPr>
        <w:spacing w:after="0" w:line="276" w:lineRule="auto"/>
        <w:jc w:val="both"/>
        <w:rPr>
          <w:rFonts w:ascii="Verdana" w:hAnsi="Verdana"/>
          <w:color w:val="EE0000"/>
        </w:rPr>
      </w:pPr>
    </w:p>
    <w:p w14:paraId="24F7EC79" w14:textId="77777777" w:rsidR="00B85E30" w:rsidRPr="00EF3E79" w:rsidRDefault="00B85E30" w:rsidP="00B85E30">
      <w:pPr>
        <w:spacing w:after="0" w:line="276" w:lineRule="auto"/>
        <w:jc w:val="both"/>
        <w:rPr>
          <w:rFonts w:ascii="Verdana" w:hAnsi="Verdana"/>
          <w:color w:val="EE0000"/>
        </w:rPr>
      </w:pPr>
      <w:r w:rsidRPr="00EF3E79">
        <w:rPr>
          <w:rFonts w:ascii="Verdana" w:hAnsi="Verdana"/>
        </w:rPr>
        <w:t>Recuerda también que la</w:t>
      </w:r>
      <w:r w:rsidRPr="00EF3E79">
        <w:rPr>
          <w:rFonts w:ascii="Verdana" w:hAnsi="Verdana"/>
          <w:b/>
          <w:bCs/>
        </w:rPr>
        <w:t> información sobre sanciones e inhabilidades </w:t>
      </w:r>
      <w:r w:rsidRPr="00EF3E79">
        <w:rPr>
          <w:rFonts w:ascii="Verdana" w:hAnsi="Verdana"/>
        </w:rPr>
        <w:t>solo cumple su función preventiva si llega oportunamente a los registros públicos. Sobre este deber, esta Agencia expidió la </w:t>
      </w:r>
      <w:r w:rsidRPr="00EF3E79">
        <w:rPr>
          <w:rFonts w:ascii="Verdana" w:hAnsi="Verdana"/>
          <w:b/>
          <w:bCs/>
        </w:rPr>
        <w:t>Circular Externa 002 del 5 de mayo de 2026,</w:t>
      </w:r>
      <w:r w:rsidRPr="00EF3E7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25" w:tgtFrame="_blank" w:tooltip="Dirección URL original: https://www.colombiacompra.gov.co/archivos/circular/circular-externa-002-de-2026. Haga clic o pulse si confía en este vínculo." w:history="1">
        <w:r w:rsidRPr="00EF3E79">
          <w:rPr>
            <w:rStyle w:val="Hipervnculo"/>
            <w:rFonts w:ascii="Verdana" w:hAnsi="Verdana"/>
          </w:rPr>
          <w:t>https://www.colombiacompra.gov.co/archivos/circular/circular-externa-002-de-2026</w:t>
        </w:r>
      </w:hyperlink>
    </w:p>
    <w:p w14:paraId="5637AE21" w14:textId="77777777" w:rsidR="00B85E30" w:rsidRPr="00EF3E79" w:rsidRDefault="00B85E30" w:rsidP="00B85E30">
      <w:pPr>
        <w:spacing w:after="0" w:line="276" w:lineRule="auto"/>
        <w:jc w:val="both"/>
        <w:rPr>
          <w:rFonts w:ascii="Verdana" w:hAnsi="Verdana"/>
          <w:color w:val="EE0000"/>
        </w:rPr>
      </w:pPr>
    </w:p>
    <w:p w14:paraId="31200F77" w14:textId="77777777" w:rsidR="00B85E30" w:rsidRPr="00EF3E79" w:rsidRDefault="00B85E30" w:rsidP="00B85E30">
      <w:pPr>
        <w:spacing w:after="0" w:line="276" w:lineRule="auto"/>
        <w:jc w:val="both"/>
        <w:rPr>
          <w:rFonts w:ascii="Verdana" w:hAnsi="Verdana"/>
          <w:color w:val="EE0000"/>
        </w:rPr>
      </w:pPr>
      <w:r w:rsidRPr="00EF3E79">
        <w:rPr>
          <w:rFonts w:ascii="Verdana" w:hAnsi="Verdana"/>
        </w:rPr>
        <w:t>Finalmente, si quieres seguir de cerca la actividad de la Agencia, la tercera edición de 2026 del</w:t>
      </w:r>
      <w:r w:rsidRPr="00EF3E79">
        <w:rPr>
          <w:rFonts w:ascii="Verdana" w:hAnsi="Verdana"/>
          <w:b/>
          <w:bCs/>
        </w:rPr>
        <w:t> Radar de la Compra Pública</w:t>
      </w:r>
      <w:r w:rsidRPr="00EF3E79">
        <w:rPr>
          <w:rFonts w:ascii="Verdana" w:hAnsi="Verdana"/>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w:t>
      </w:r>
      <w:r w:rsidRPr="00EF3E79">
        <w:rPr>
          <w:rFonts w:ascii="Verdana" w:hAnsi="Verdana"/>
        </w:rPr>
        <w:lastRenderedPageBreak/>
        <w:t>aquí:</w:t>
      </w:r>
      <w:r w:rsidRPr="00EF3E79">
        <w:rPr>
          <w:rFonts w:ascii="Verdana" w:hAnsi="Verdana"/>
          <w:color w:val="EE0000"/>
        </w:rPr>
        <w:t> </w:t>
      </w:r>
      <w:hyperlink r:id="rId26" w:tgtFrame="_blank" w:tooltip="Dirección URL original: https://www.colombiacompra.gov.co/archivos/boletin/boletin-edicion-n-3-de-2026-radar-de-la-compra-publica. Haga clic o pulse si confía en este vínculo." w:history="1">
        <w:r w:rsidRPr="00EF3E79">
          <w:rPr>
            <w:rStyle w:val="Hipervnculo"/>
            <w:rFonts w:ascii="Verdana" w:hAnsi="Verdana"/>
          </w:rPr>
          <w:t>https://www.colombiacompra.gov.co/archivos/boletin/boletin-edicion-n-3-de-2026-radar-de-la-compra-publica</w:t>
        </w:r>
      </w:hyperlink>
    </w:p>
    <w:p w14:paraId="35FE1C27" w14:textId="77777777" w:rsidR="00B85E30" w:rsidRPr="00EF3E79" w:rsidRDefault="00B85E30" w:rsidP="00B85E30">
      <w:pPr>
        <w:spacing w:after="0" w:line="276" w:lineRule="auto"/>
        <w:jc w:val="both"/>
        <w:rPr>
          <w:rFonts w:ascii="Verdana" w:hAnsi="Verdana" w:cs="Arial"/>
          <w:shd w:val="clear" w:color="auto" w:fill="FFFFFF"/>
        </w:rPr>
      </w:pPr>
    </w:p>
    <w:p w14:paraId="708AC86D" w14:textId="77777777" w:rsidR="00B85E30" w:rsidRPr="00EF3E79" w:rsidRDefault="00B85E30" w:rsidP="00B85E30">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Por último, lo invitamos a seguirnos en las redes sociales en las cuales se difunde información institucional: </w:t>
      </w:r>
    </w:p>
    <w:p w14:paraId="1737E9A6" w14:textId="77777777" w:rsidR="00B85E30" w:rsidRPr="00EF3E79" w:rsidRDefault="00B85E30" w:rsidP="00B85E30">
      <w:pPr>
        <w:spacing w:after="0" w:line="276" w:lineRule="auto"/>
        <w:jc w:val="both"/>
        <w:rPr>
          <w:rFonts w:ascii="Verdana" w:hAnsi="Verdana" w:cs="Arial"/>
          <w:shd w:val="clear" w:color="auto" w:fill="FFFFFF"/>
        </w:rPr>
      </w:pPr>
    </w:p>
    <w:p w14:paraId="570B3615" w14:textId="77777777" w:rsidR="00B85E30" w:rsidRPr="00EF3E79" w:rsidRDefault="00B85E30" w:rsidP="00B85E30">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Twitter: </w:t>
      </w:r>
      <w:r w:rsidRPr="00EF3E79">
        <w:rPr>
          <w:rStyle w:val="Hipervnculo"/>
          <w:rFonts w:ascii="Verdana" w:hAnsi="Verdana"/>
        </w:rPr>
        <w:t>@colombiacompra</w:t>
      </w:r>
      <w:r w:rsidRPr="00EF3E79">
        <w:rPr>
          <w:rFonts w:ascii="Verdana" w:hAnsi="Verdana" w:cs="Arial"/>
          <w:shd w:val="clear" w:color="auto" w:fill="FFFFFF"/>
        </w:rPr>
        <w:t xml:space="preserve"> </w:t>
      </w:r>
    </w:p>
    <w:p w14:paraId="6426A6FB" w14:textId="77777777" w:rsidR="00B85E30" w:rsidRPr="00EF3E79" w:rsidRDefault="00B85E30" w:rsidP="00B85E30">
      <w:pPr>
        <w:spacing w:after="0" w:line="276" w:lineRule="auto"/>
        <w:jc w:val="both"/>
        <w:rPr>
          <w:rFonts w:ascii="Verdana" w:hAnsi="Verdana" w:cs="Arial"/>
          <w:shd w:val="clear" w:color="auto" w:fill="FFFFFF"/>
        </w:rPr>
      </w:pPr>
      <w:r w:rsidRPr="00EF3E79">
        <w:rPr>
          <w:rFonts w:ascii="Verdana" w:hAnsi="Verdana" w:cs="Arial"/>
          <w:shd w:val="clear" w:color="auto" w:fill="FFFFFF"/>
        </w:rPr>
        <w:t>Facebook:</w:t>
      </w:r>
      <w:r w:rsidRPr="00EF3E79">
        <w:rPr>
          <w:rStyle w:val="Hipervnculo"/>
          <w:rFonts w:ascii="Verdana" w:hAnsi="Verdana"/>
          <w:color w:val="auto"/>
          <w:lang w:val="es-ES"/>
        </w:rPr>
        <w:t xml:space="preserve"> </w:t>
      </w:r>
      <w:r w:rsidRPr="00EF3E79">
        <w:rPr>
          <w:rStyle w:val="Hipervnculo"/>
          <w:rFonts w:ascii="Verdana" w:hAnsi="Verdana"/>
        </w:rPr>
        <w:t>ColombiaCompraEficiente</w:t>
      </w:r>
    </w:p>
    <w:p w14:paraId="39E0E5D8" w14:textId="77777777" w:rsidR="00B85E30" w:rsidRPr="00EF3E79" w:rsidRDefault="00B85E30" w:rsidP="00B85E30">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LinkedIn: </w:t>
      </w:r>
      <w:r w:rsidRPr="00EF3E79">
        <w:rPr>
          <w:rStyle w:val="Hipervnculo"/>
          <w:rFonts w:ascii="Verdana" w:hAnsi="Verdana"/>
        </w:rPr>
        <w:t>Agencia Nacional de Contratación Pública - Colombia Compra Eficiente</w:t>
      </w:r>
      <w:r w:rsidRPr="00EF3E79">
        <w:rPr>
          <w:rFonts w:ascii="Verdana" w:hAnsi="Verdana" w:cs="Arial"/>
          <w:shd w:val="clear" w:color="auto" w:fill="FFFFFF"/>
        </w:rPr>
        <w:t xml:space="preserve"> </w:t>
      </w:r>
    </w:p>
    <w:p w14:paraId="03DE5036" w14:textId="77777777" w:rsidR="00B85E30" w:rsidRPr="00EF3E79" w:rsidRDefault="00B85E30" w:rsidP="00B85E30">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Instagram: </w:t>
      </w:r>
      <w:r w:rsidRPr="00EF3E79">
        <w:rPr>
          <w:rStyle w:val="Hipervnculo"/>
          <w:rFonts w:ascii="Verdana" w:hAnsi="Verdana"/>
        </w:rPr>
        <w:t>@colombiacompraeficiente_cce</w:t>
      </w:r>
    </w:p>
    <w:p w14:paraId="02B7D8B3" w14:textId="77777777" w:rsidR="00B85E30" w:rsidRPr="00EF3E79" w:rsidRDefault="00B85E30" w:rsidP="00B85E30">
      <w:pPr>
        <w:widowControl w:val="0"/>
        <w:autoSpaceDE w:val="0"/>
        <w:autoSpaceDN w:val="0"/>
        <w:spacing w:after="0" w:line="276" w:lineRule="auto"/>
        <w:jc w:val="both"/>
        <w:rPr>
          <w:rFonts w:ascii="Verdana" w:hAnsi="Verdana" w:cs="Arial"/>
          <w:lang w:val="es-ES"/>
        </w:rPr>
      </w:pPr>
    </w:p>
    <w:p w14:paraId="6200FD87" w14:textId="77777777" w:rsidR="00B85E30" w:rsidRPr="00EF3E79" w:rsidRDefault="00B85E30" w:rsidP="00B85E30">
      <w:pPr>
        <w:widowControl w:val="0"/>
        <w:autoSpaceDE w:val="0"/>
        <w:autoSpaceDN w:val="0"/>
        <w:spacing w:after="0" w:line="276" w:lineRule="auto"/>
        <w:jc w:val="both"/>
        <w:rPr>
          <w:rFonts w:ascii="Verdana" w:hAnsi="Verdana" w:cs="Arial"/>
          <w:lang w:val="es-ES"/>
        </w:rPr>
      </w:pPr>
      <w:r w:rsidRPr="00EF3E79">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B0B0E38" w14:textId="77777777" w:rsidR="00B85E30" w:rsidRPr="00EF3E79" w:rsidRDefault="00B85E30" w:rsidP="00B85E30">
      <w:pPr>
        <w:widowControl w:val="0"/>
        <w:autoSpaceDE w:val="0"/>
        <w:autoSpaceDN w:val="0"/>
        <w:spacing w:after="0" w:line="276" w:lineRule="auto"/>
        <w:jc w:val="both"/>
        <w:rPr>
          <w:rFonts w:ascii="Verdana" w:hAnsi="Verdana" w:cs="Arial"/>
          <w:lang w:val="es-ES"/>
        </w:rPr>
      </w:pPr>
    </w:p>
    <w:p w14:paraId="448E371E" w14:textId="7D7AAF08" w:rsidR="00B85E30" w:rsidRPr="00B02F16" w:rsidRDefault="00B85E30" w:rsidP="00B02F16">
      <w:pPr>
        <w:spacing w:after="0" w:line="276" w:lineRule="auto"/>
        <w:rPr>
          <w:rFonts w:ascii="Verdana" w:hAnsi="Verdana" w:cs="Arial"/>
          <w:lang w:val="es-ES" w:eastAsia="es-CO"/>
        </w:rPr>
      </w:pPr>
      <w:r w:rsidRPr="00EF3E79">
        <w:rPr>
          <w:rFonts w:ascii="Verdana" w:eastAsia="Times New Roman" w:hAnsi="Verdana" w:cs="Arial"/>
          <w:lang w:val="es-ES" w:eastAsia="es-CO"/>
        </w:rPr>
        <w:t>Atentamente,</w:t>
      </w:r>
      <w:r w:rsidRPr="00EF3E79">
        <w:rPr>
          <w:rFonts w:ascii="Verdana" w:hAnsi="Verdana" w:cs="Arial"/>
          <w:lang w:val="es-ES" w:eastAsia="es-CO"/>
        </w:rPr>
        <w:t xml:space="preserve"> </w:t>
      </w:r>
    </w:p>
    <w:p w14:paraId="1EE55144" w14:textId="6699BE77" w:rsidR="00B85E30" w:rsidRPr="00EF3E79" w:rsidRDefault="00B02F16" w:rsidP="00B85E30">
      <w:pPr>
        <w:spacing w:after="0" w:line="276" w:lineRule="auto"/>
        <w:jc w:val="center"/>
        <w:rPr>
          <w:rFonts w:ascii="Verdana" w:hAnsi="Verdana" w:cs="Arial"/>
          <w:color w:val="ED7D31" w:themeColor="accent2"/>
          <w:lang w:val="es-ES" w:eastAsia="es-CO"/>
        </w:rPr>
      </w:pPr>
      <w:r w:rsidRPr="00B02F16">
        <w:rPr>
          <w:rFonts w:ascii="Verdana" w:hAnsi="Verdana" w:cs="Arial"/>
          <w:color w:val="ED7D31" w:themeColor="accent2"/>
          <w:lang w:val="es-ES" w:eastAsia="es-CO"/>
        </w:rPr>
        <w:drawing>
          <wp:anchor distT="0" distB="0" distL="114300" distR="114300" simplePos="0" relativeHeight="251660288" behindDoc="1" locked="0" layoutInCell="1" allowOverlap="1" wp14:anchorId="6B87DEA5" wp14:editId="146A066A">
            <wp:simplePos x="0" y="0"/>
            <wp:positionH relativeFrom="margin">
              <wp:align>center</wp:align>
            </wp:positionH>
            <wp:positionV relativeFrom="paragraph">
              <wp:posOffset>10160</wp:posOffset>
            </wp:positionV>
            <wp:extent cx="2695951" cy="1066949"/>
            <wp:effectExtent l="0" t="0" r="9525" b="0"/>
            <wp:wrapTight wrapText="bothSides">
              <wp:wrapPolygon edited="0">
                <wp:start x="0" y="0"/>
                <wp:lineTo x="0" y="21214"/>
                <wp:lineTo x="21524" y="21214"/>
                <wp:lineTo x="21524" y="0"/>
                <wp:lineTo x="0" y="0"/>
              </wp:wrapPolygon>
            </wp:wrapTight>
            <wp:docPr id="21105918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91803" name=""/>
                    <pic:cNvPicPr/>
                  </pic:nvPicPr>
                  <pic:blipFill>
                    <a:blip r:embed="rId27">
                      <a:extLst>
                        <a:ext uri="{28A0092B-C50C-407E-A947-70E740481C1C}">
                          <a14:useLocalDpi xmlns:a14="http://schemas.microsoft.com/office/drawing/2010/main" val="0"/>
                        </a:ext>
                      </a:extLst>
                    </a:blip>
                    <a:stretch>
                      <a:fillRect/>
                    </a:stretch>
                  </pic:blipFill>
                  <pic:spPr>
                    <a:xfrm>
                      <a:off x="0" y="0"/>
                      <a:ext cx="2695951" cy="1066949"/>
                    </a:xfrm>
                    <a:prstGeom prst="rect">
                      <a:avLst/>
                    </a:prstGeom>
                  </pic:spPr>
                </pic:pic>
              </a:graphicData>
            </a:graphic>
          </wp:anchor>
        </w:drawing>
      </w:r>
    </w:p>
    <w:p w14:paraId="5E6B6F99" w14:textId="77777777" w:rsidR="00B85E30" w:rsidRPr="00EF3E79" w:rsidRDefault="00B85E30" w:rsidP="00B85E30">
      <w:pPr>
        <w:spacing w:after="0" w:line="276" w:lineRule="auto"/>
        <w:jc w:val="center"/>
        <w:rPr>
          <w:rFonts w:ascii="Verdana" w:hAnsi="Verdana" w:cs="Arial"/>
          <w:color w:val="ED7D31" w:themeColor="accent2"/>
          <w:lang w:val="es-ES" w:eastAsia="es-CO"/>
        </w:rPr>
      </w:pPr>
    </w:p>
    <w:p w14:paraId="5AA52EE0" w14:textId="77777777" w:rsidR="00B85E30" w:rsidRDefault="00B85E30" w:rsidP="00B85E30">
      <w:pPr>
        <w:spacing w:after="0" w:line="276" w:lineRule="auto"/>
        <w:jc w:val="center"/>
        <w:rPr>
          <w:rFonts w:ascii="Verdana" w:hAnsi="Verdana" w:cs="Arial"/>
          <w:color w:val="ED7D31" w:themeColor="accent2"/>
          <w:lang w:val="es-ES" w:eastAsia="es-CO"/>
        </w:rPr>
      </w:pPr>
    </w:p>
    <w:p w14:paraId="7CACB1B4" w14:textId="77777777" w:rsidR="00B02F16" w:rsidRDefault="00B02F16" w:rsidP="00B85E30">
      <w:pPr>
        <w:spacing w:after="0" w:line="276" w:lineRule="auto"/>
        <w:jc w:val="center"/>
        <w:rPr>
          <w:rFonts w:ascii="Verdana" w:hAnsi="Verdana" w:cs="Arial"/>
          <w:color w:val="ED7D31" w:themeColor="accent2"/>
          <w:lang w:val="es-ES" w:eastAsia="es-CO"/>
        </w:rPr>
      </w:pPr>
    </w:p>
    <w:p w14:paraId="76C237A4" w14:textId="77777777" w:rsidR="00B02F16" w:rsidRDefault="00B02F16" w:rsidP="00B85E30">
      <w:pPr>
        <w:spacing w:after="0" w:line="276" w:lineRule="auto"/>
        <w:jc w:val="center"/>
        <w:rPr>
          <w:rFonts w:ascii="Verdana" w:hAnsi="Verdana" w:cs="Arial"/>
          <w:color w:val="ED7D31" w:themeColor="accent2"/>
          <w:lang w:val="es-ES" w:eastAsia="es-CO"/>
        </w:rPr>
      </w:pPr>
    </w:p>
    <w:p w14:paraId="35FD7D81" w14:textId="77777777" w:rsidR="00B02F16" w:rsidRPr="00EF3E79" w:rsidRDefault="00B02F16" w:rsidP="00B85E30">
      <w:pPr>
        <w:spacing w:after="0" w:line="276" w:lineRule="auto"/>
        <w:jc w:val="center"/>
        <w:rPr>
          <w:rFonts w:ascii="Verdana" w:hAnsi="Verdana" w:cs="Arial"/>
          <w:color w:val="ED7D31" w:themeColor="accent2"/>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85E30" w:rsidRPr="00EF3E79" w14:paraId="43C6009B" w14:textId="77777777" w:rsidTr="005A2FE0">
        <w:trPr>
          <w:trHeight w:val="315"/>
        </w:trPr>
        <w:tc>
          <w:tcPr>
            <w:tcW w:w="893" w:type="dxa"/>
            <w:vAlign w:val="center"/>
            <w:hideMark/>
          </w:tcPr>
          <w:p w14:paraId="0E042F9B" w14:textId="77777777" w:rsidR="00B85E30" w:rsidRPr="00EF3E79" w:rsidRDefault="00B85E30" w:rsidP="005A2FE0">
            <w:pPr>
              <w:contextualSpacing/>
              <w:rPr>
                <w:rFonts w:ascii="Verdana" w:hAnsi="Verdana" w:cs="Arial"/>
                <w:sz w:val="16"/>
                <w:szCs w:val="16"/>
                <w:lang w:val="es-ES" w:eastAsia="es-ES"/>
              </w:rPr>
            </w:pPr>
            <w:r w:rsidRPr="00EF3E7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A2F3D2" w14:textId="77777777" w:rsidR="00B85E30" w:rsidRPr="00EF3E79" w:rsidRDefault="00B85E30" w:rsidP="005A2FE0">
            <w:pPr>
              <w:rPr>
                <w:rFonts w:ascii="Verdana" w:eastAsia="Times New Roman" w:hAnsi="Verdana" w:cs="Arial"/>
                <w:sz w:val="16"/>
                <w:szCs w:val="16"/>
                <w:lang w:eastAsia="es-ES"/>
              </w:rPr>
            </w:pPr>
            <w:r w:rsidRPr="00EF3E79">
              <w:rPr>
                <w:rFonts w:ascii="Verdana" w:eastAsia="Times New Roman" w:hAnsi="Verdana" w:cs="Arial"/>
                <w:sz w:val="16"/>
                <w:szCs w:val="16"/>
                <w:lang w:eastAsia="es-ES"/>
              </w:rPr>
              <w:t>Camila Alejandra Naranjo Gómez</w:t>
            </w:r>
          </w:p>
          <w:p w14:paraId="7370A710" w14:textId="77777777" w:rsidR="00B85E30" w:rsidRPr="00EF3E79" w:rsidRDefault="00B85E30" w:rsidP="005A2FE0">
            <w:pPr>
              <w:contextualSpacing/>
              <w:rPr>
                <w:rFonts w:ascii="Verdana" w:eastAsia="Arial" w:hAnsi="Verdana" w:cs="Arial"/>
                <w:sz w:val="16"/>
                <w:szCs w:val="16"/>
                <w:lang w:val="es-ES"/>
              </w:rPr>
            </w:pPr>
            <w:r w:rsidRPr="00EF3E79">
              <w:rPr>
                <w:rFonts w:ascii="Verdana" w:eastAsia="Times New Roman" w:hAnsi="Verdana" w:cs="Arial"/>
                <w:sz w:val="16"/>
                <w:szCs w:val="16"/>
                <w:lang w:eastAsia="es-ES"/>
              </w:rPr>
              <w:t>Analista T2-02 de la Subdirección de Gestión Contractual</w:t>
            </w:r>
          </w:p>
        </w:tc>
      </w:tr>
      <w:tr w:rsidR="00B85E30" w:rsidRPr="00EF3E79" w14:paraId="7CC89126" w14:textId="77777777" w:rsidTr="005A2FE0">
        <w:trPr>
          <w:trHeight w:val="330"/>
        </w:trPr>
        <w:tc>
          <w:tcPr>
            <w:tcW w:w="893" w:type="dxa"/>
            <w:vAlign w:val="center"/>
            <w:hideMark/>
          </w:tcPr>
          <w:p w14:paraId="1E121473" w14:textId="77777777" w:rsidR="00B85E30" w:rsidRPr="00EF3E79" w:rsidRDefault="00B85E30" w:rsidP="005A2FE0">
            <w:pPr>
              <w:contextualSpacing/>
              <w:rPr>
                <w:rFonts w:ascii="Verdana" w:hAnsi="Verdana" w:cs="Arial"/>
                <w:sz w:val="16"/>
                <w:szCs w:val="16"/>
                <w:lang w:val="es-ES" w:eastAsia="es-ES"/>
              </w:rPr>
            </w:pPr>
            <w:r w:rsidRPr="00EF3E7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A746F6" w14:textId="77777777" w:rsidR="00B85E30" w:rsidRPr="00EF3E79" w:rsidRDefault="00B85E30" w:rsidP="005A2FE0">
            <w:pPr>
              <w:rPr>
                <w:rFonts w:ascii="Verdana" w:eastAsia="Times New Roman" w:hAnsi="Verdana" w:cs="Arial"/>
                <w:sz w:val="16"/>
                <w:szCs w:val="16"/>
                <w:lang w:eastAsia="es-ES"/>
              </w:rPr>
            </w:pPr>
            <w:r w:rsidRPr="00EF3E79">
              <w:rPr>
                <w:rFonts w:ascii="Verdana" w:eastAsia="Times New Roman" w:hAnsi="Verdana" w:cs="Arial"/>
                <w:sz w:val="16"/>
                <w:szCs w:val="16"/>
                <w:lang w:eastAsia="es-ES"/>
              </w:rPr>
              <w:t>Adriana Katerine López Rodríguez</w:t>
            </w:r>
          </w:p>
          <w:p w14:paraId="4A5A1446" w14:textId="77777777" w:rsidR="00B85E30" w:rsidRPr="00EF3E79" w:rsidRDefault="00B85E30" w:rsidP="005A2FE0">
            <w:pPr>
              <w:pStyle w:val="paragraph"/>
              <w:spacing w:before="0" w:beforeAutospacing="0" w:after="0" w:afterAutospacing="0"/>
              <w:contextualSpacing/>
              <w:textAlignment w:val="baseline"/>
              <w:rPr>
                <w:rFonts w:ascii="Verdana" w:hAnsi="Verdana" w:cs="Segoe UI"/>
                <w:sz w:val="16"/>
                <w:szCs w:val="16"/>
                <w:lang w:val="es-ES"/>
              </w:rPr>
            </w:pPr>
            <w:r w:rsidRPr="00EF3E79">
              <w:rPr>
                <w:rFonts w:ascii="Verdana" w:hAnsi="Verdana" w:cs="Arial"/>
                <w:sz w:val="16"/>
                <w:szCs w:val="16"/>
                <w:lang w:eastAsia="es-ES"/>
              </w:rPr>
              <w:t>Contratista de la Subdirección de Gestión Contractual</w:t>
            </w:r>
          </w:p>
        </w:tc>
      </w:tr>
      <w:tr w:rsidR="00B85E30" w:rsidRPr="00EF3E79" w14:paraId="2928AC42" w14:textId="77777777" w:rsidTr="005A2FE0">
        <w:trPr>
          <w:trHeight w:val="300"/>
        </w:trPr>
        <w:tc>
          <w:tcPr>
            <w:tcW w:w="893" w:type="dxa"/>
            <w:vAlign w:val="center"/>
          </w:tcPr>
          <w:p w14:paraId="35756933" w14:textId="77777777" w:rsidR="00B85E30" w:rsidRPr="00EF3E79" w:rsidRDefault="00B85E30" w:rsidP="005A2FE0">
            <w:pPr>
              <w:contextualSpacing/>
              <w:rPr>
                <w:rFonts w:ascii="Verdana" w:hAnsi="Verdana" w:cs="Arial"/>
                <w:sz w:val="16"/>
                <w:szCs w:val="16"/>
                <w:lang w:val="es-ES" w:eastAsia="es-ES"/>
              </w:rPr>
            </w:pPr>
            <w:r w:rsidRPr="00EF3E7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4518FE2" w14:textId="77777777" w:rsidR="00B85E30" w:rsidRPr="00EF3E79" w:rsidRDefault="00B85E30" w:rsidP="005A2FE0">
            <w:pPr>
              <w:contextualSpacing/>
              <w:rPr>
                <w:rFonts w:ascii="Verdana" w:eastAsia="Calibri" w:hAnsi="Verdana" w:cs="Arial"/>
                <w:sz w:val="16"/>
                <w:szCs w:val="16"/>
                <w:lang w:val="es-ES" w:eastAsia="es-ES"/>
              </w:rPr>
            </w:pPr>
            <w:r w:rsidRPr="00EF3E79">
              <w:rPr>
                <w:rFonts w:ascii="Verdana" w:eastAsia="Calibri" w:hAnsi="Verdana" w:cs="Arial"/>
                <w:sz w:val="16"/>
                <w:szCs w:val="16"/>
                <w:lang w:val="es-ES" w:eastAsia="es-ES"/>
              </w:rPr>
              <w:t>Carolina Quintero Gacharná</w:t>
            </w:r>
          </w:p>
          <w:p w14:paraId="7809C071" w14:textId="77777777" w:rsidR="00B85E30" w:rsidRPr="00EF3E79" w:rsidRDefault="00B85E30" w:rsidP="005A2FE0">
            <w:pPr>
              <w:contextualSpacing/>
              <w:rPr>
                <w:rFonts w:ascii="Verdana" w:eastAsia="Calibri" w:hAnsi="Verdana" w:cs="Arial"/>
                <w:sz w:val="16"/>
                <w:szCs w:val="16"/>
                <w:lang w:val="es-ES" w:eastAsia="es-ES"/>
              </w:rPr>
            </w:pPr>
            <w:r w:rsidRPr="00EF3E79">
              <w:rPr>
                <w:rFonts w:ascii="Verdana" w:eastAsia="Calibri" w:hAnsi="Verdana" w:cs="Arial"/>
                <w:sz w:val="16"/>
                <w:szCs w:val="16"/>
                <w:lang w:val="es-ES" w:eastAsia="es-ES"/>
              </w:rPr>
              <w:t>Subdirectora de Gestión Contractual ANCP – CCE</w:t>
            </w:r>
          </w:p>
        </w:tc>
      </w:tr>
      <w:bookmarkEnd w:id="0"/>
    </w:tbl>
    <w:p w14:paraId="18652789" w14:textId="77777777" w:rsidR="00B85E30" w:rsidRPr="00EF3E79" w:rsidRDefault="00B85E30" w:rsidP="00B85E30">
      <w:pPr>
        <w:spacing w:after="120" w:line="276" w:lineRule="auto"/>
        <w:jc w:val="both"/>
        <w:rPr>
          <w:rFonts w:ascii="Verdana" w:eastAsia="Century Gothic" w:hAnsi="Verdana" w:cs="Century Gothic"/>
          <w:b/>
          <w:color w:val="ED7D31" w:themeColor="accent2"/>
          <w:lang w:val="es-ES"/>
        </w:rPr>
      </w:pPr>
    </w:p>
    <w:p w14:paraId="7BAA7826" w14:textId="793B60A3" w:rsidR="00B85E30" w:rsidRDefault="00B85E30" w:rsidP="00B85E30">
      <w:pPr>
        <w:spacing w:after="120" w:line="276" w:lineRule="auto"/>
        <w:jc w:val="both"/>
        <w:rPr>
          <w:rFonts w:ascii="Verdana" w:eastAsia="Century Gothic" w:hAnsi="Verdana" w:cs="Century Gothic"/>
          <w:b/>
          <w:color w:val="ED7D31" w:themeColor="accent2"/>
          <w:lang w:val="es-ES"/>
        </w:rPr>
      </w:pPr>
    </w:p>
    <w:p w14:paraId="55D051A6" w14:textId="77777777" w:rsidR="00B85E30" w:rsidRDefault="00B85E30" w:rsidP="00B85E30">
      <w:pPr>
        <w:rPr>
          <w:lang w:val="es-ES"/>
        </w:rPr>
      </w:pPr>
    </w:p>
    <w:p w14:paraId="33D93348" w14:textId="77777777" w:rsidR="00B85E30" w:rsidRDefault="00B85E30" w:rsidP="00B85E30">
      <w:pPr>
        <w:rPr>
          <w:lang w:val="es-ES"/>
        </w:rPr>
      </w:pPr>
    </w:p>
    <w:p w14:paraId="2E91332A" w14:textId="77777777" w:rsidR="00B85E30" w:rsidRPr="004E0BFF" w:rsidRDefault="00B85E30" w:rsidP="00B85E30">
      <w:pPr>
        <w:rPr>
          <w:lang w:val="es-ES"/>
        </w:rPr>
      </w:pPr>
    </w:p>
    <w:p w14:paraId="0F293BF4" w14:textId="58E6639A" w:rsidR="00127233" w:rsidRPr="00B85E30" w:rsidRDefault="00127233" w:rsidP="00B85E30"/>
    <w:sectPr w:rsidR="00127233" w:rsidRPr="00B85E30" w:rsidSect="007C0C0F">
      <w:headerReference w:type="default" r:id="rId28"/>
      <w:footerReference w:type="default" r:id="rId2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43F9F" w14:textId="77777777" w:rsidR="00383673" w:rsidRDefault="00383673" w:rsidP="004A1847">
      <w:pPr>
        <w:spacing w:after="0" w:line="240" w:lineRule="auto"/>
      </w:pPr>
      <w:r>
        <w:separator/>
      </w:r>
    </w:p>
  </w:endnote>
  <w:endnote w:type="continuationSeparator" w:id="0">
    <w:p w14:paraId="7D96C7E8" w14:textId="77777777" w:rsidR="00383673" w:rsidRDefault="0038367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CC726" w14:textId="77777777" w:rsidR="00383673" w:rsidRDefault="00383673" w:rsidP="004A1847">
      <w:pPr>
        <w:spacing w:after="0" w:line="240" w:lineRule="auto"/>
      </w:pPr>
      <w:r>
        <w:separator/>
      </w:r>
    </w:p>
  </w:footnote>
  <w:footnote w:type="continuationSeparator" w:id="0">
    <w:p w14:paraId="5F49D45D" w14:textId="77777777" w:rsidR="00383673" w:rsidRDefault="00383673" w:rsidP="004A1847">
      <w:pPr>
        <w:spacing w:after="0" w:line="240" w:lineRule="auto"/>
      </w:pPr>
      <w:r>
        <w:continuationSeparator/>
      </w:r>
    </w:p>
  </w:footnote>
  <w:footnote w:id="1">
    <w:p w14:paraId="613083E1" w14:textId="77777777" w:rsidR="00B85E30" w:rsidRPr="001319A3" w:rsidRDefault="00B85E30" w:rsidP="00B85E30">
      <w:pPr>
        <w:pStyle w:val="Textonotapie"/>
        <w:rPr>
          <w:rFonts w:ascii="Verdana" w:hAnsi="Verdana"/>
          <w:sz w:val="16"/>
          <w:szCs w:val="16"/>
          <w:lang w:val="es-CO"/>
        </w:rPr>
      </w:pPr>
      <w:r>
        <w:rPr>
          <w:rFonts w:ascii="Verdana" w:hAnsi="Verdana"/>
          <w:sz w:val="16"/>
          <w:szCs w:val="16"/>
        </w:rPr>
        <w:tab/>
      </w:r>
      <w:r w:rsidRPr="001319A3">
        <w:rPr>
          <w:rStyle w:val="Refdenotaalpie"/>
          <w:rFonts w:ascii="Verdana" w:hAnsi="Verdana"/>
          <w:sz w:val="16"/>
          <w:szCs w:val="16"/>
        </w:rPr>
        <w:footnoteRef/>
      </w:r>
      <w:r w:rsidRPr="001319A3">
        <w:rPr>
          <w:rFonts w:ascii="Verdana" w:hAnsi="Verdana"/>
          <w:sz w:val="16"/>
          <w:szCs w:val="16"/>
        </w:rPr>
        <w:t xml:space="preserve"> Agencia Nacional de Contratación Pública – Colombia Compra Eficiente. </w:t>
      </w:r>
      <w:r w:rsidRPr="001319A3">
        <w:rPr>
          <w:rFonts w:ascii="Verdana" w:hAnsi="Verdana"/>
          <w:sz w:val="16"/>
          <w:szCs w:val="16"/>
          <w:lang w:val="es-CO"/>
        </w:rPr>
        <w:t xml:space="preserve">Manual De Incentivos En Procesos De Contratación. Disponible en el siguiente enlace: </w:t>
      </w:r>
      <w:hyperlink r:id="rId1" w:history="1">
        <w:r w:rsidRPr="001319A3">
          <w:rPr>
            <w:rStyle w:val="Hipervnculo"/>
            <w:rFonts w:ascii="Verdana" w:hAnsi="Verdana"/>
            <w:sz w:val="16"/>
            <w:szCs w:val="16"/>
            <w:lang w:val="es-CO"/>
          </w:rPr>
          <w:t xml:space="preserve">Manual de Incentivos </w:t>
        </w:r>
      </w:hyperlink>
      <w:r w:rsidRPr="001319A3">
        <w:rPr>
          <w:rFonts w:ascii="Verdana" w:hAnsi="Verdana"/>
          <w:color w:val="0000FF"/>
          <w:sz w:val="16"/>
          <w:szCs w:val="16"/>
          <w:lang w:val="es-CO"/>
        </w:rPr>
        <w:t xml:space="preserve"> </w:t>
      </w:r>
    </w:p>
  </w:footnote>
  <w:footnote w:id="2">
    <w:p w14:paraId="1D403BFC" w14:textId="77777777" w:rsidR="00B85E30" w:rsidRPr="001319A3" w:rsidRDefault="00B85E30" w:rsidP="00B85E30">
      <w:pPr>
        <w:pStyle w:val="Textonotapie"/>
        <w:ind w:firstLine="709"/>
        <w:jc w:val="both"/>
        <w:rPr>
          <w:rFonts w:ascii="Verdana" w:hAnsi="Verdana" w:cs="Arial"/>
          <w:sz w:val="16"/>
          <w:szCs w:val="16"/>
          <w:lang w:val="es-ES"/>
        </w:rPr>
      </w:pPr>
      <w:r w:rsidRPr="001319A3">
        <w:rPr>
          <w:rStyle w:val="Refdenotaalpie"/>
          <w:rFonts w:ascii="Verdana" w:hAnsi="Verdana" w:cs="Arial"/>
          <w:sz w:val="16"/>
          <w:szCs w:val="16"/>
        </w:rPr>
        <w:footnoteRef/>
      </w:r>
      <w:r w:rsidRPr="001319A3">
        <w:rPr>
          <w:rFonts w:ascii="Verdana" w:hAnsi="Verdana" w:cs="Arial"/>
          <w:sz w:val="16"/>
          <w:szCs w:val="16"/>
        </w:rPr>
        <w:t xml:space="preserve"> </w:t>
      </w:r>
      <w:r w:rsidRPr="001319A3">
        <w:rPr>
          <w:rFonts w:ascii="Verdana" w:hAnsi="Verdana" w:cs="Arial"/>
          <w:sz w:val="16"/>
          <w:szCs w:val="16"/>
          <w:lang w:val="es-ES"/>
        </w:rPr>
        <w:t>Consejo de Estado. Sección Tercera. Sentencia del 29 de octubre de 2.015. Consejera Ponente: Stella Conto Díaz Del Castillo. Expediente: 31.918.</w:t>
      </w:r>
    </w:p>
    <w:p w14:paraId="444A05F1" w14:textId="77777777" w:rsidR="00B85E30" w:rsidRPr="001319A3" w:rsidRDefault="00B85E30" w:rsidP="00B85E30">
      <w:pPr>
        <w:pStyle w:val="Textonotapie"/>
        <w:ind w:firstLine="709"/>
        <w:jc w:val="both"/>
        <w:rPr>
          <w:rFonts w:ascii="Verdana" w:hAnsi="Verdana" w:cs="Arial"/>
          <w:sz w:val="16"/>
          <w:szCs w:val="16"/>
        </w:rPr>
      </w:pPr>
    </w:p>
  </w:footnote>
  <w:footnote w:id="3">
    <w:p w14:paraId="66D2CEC2" w14:textId="77777777" w:rsidR="00B85E30" w:rsidRPr="001319A3" w:rsidRDefault="00B85E30" w:rsidP="00B85E30">
      <w:pPr>
        <w:pStyle w:val="Textonotapie"/>
        <w:ind w:firstLine="709"/>
        <w:jc w:val="both"/>
        <w:rPr>
          <w:rFonts w:ascii="Verdana" w:hAnsi="Verdana" w:cs="Arial"/>
          <w:sz w:val="16"/>
          <w:szCs w:val="16"/>
          <w:lang w:val="es-ES"/>
        </w:rPr>
      </w:pPr>
      <w:r w:rsidRPr="001319A3">
        <w:rPr>
          <w:rStyle w:val="Refdenotaalpie"/>
          <w:rFonts w:ascii="Verdana" w:hAnsi="Verdana"/>
          <w:sz w:val="16"/>
          <w:szCs w:val="16"/>
        </w:rPr>
        <w:footnoteRef/>
      </w:r>
      <w:r w:rsidRPr="001319A3">
        <w:rPr>
          <w:rFonts w:ascii="Verdana" w:hAnsi="Verdana"/>
          <w:sz w:val="16"/>
          <w:szCs w:val="16"/>
        </w:rPr>
        <w:t xml:space="preserve"> </w:t>
      </w:r>
      <w:r w:rsidRPr="001319A3">
        <w:rPr>
          <w:rFonts w:ascii="Verdana" w:hAnsi="Verdana" w:cs="Arial"/>
          <w:sz w:val="16"/>
          <w:szCs w:val="16"/>
          <w:lang w:val="es-ES"/>
        </w:rPr>
        <w:t>Corte Constitucional. Sentencia T-684A del 14 de septiembre de 2011. Magistrado Ponente: Mauricio González Cuervo.</w:t>
      </w:r>
    </w:p>
    <w:p w14:paraId="4052CB02" w14:textId="77777777" w:rsidR="00B85E30" w:rsidRPr="001319A3" w:rsidRDefault="00B85E30" w:rsidP="00B85E30">
      <w:pPr>
        <w:pStyle w:val="Textonotapie"/>
        <w:ind w:firstLine="709"/>
        <w:jc w:val="both"/>
        <w:rPr>
          <w:rFonts w:ascii="Verdana" w:hAnsi="Verdana" w:cs="Arial"/>
          <w:sz w:val="16"/>
          <w:szCs w:val="16"/>
          <w:lang w:val="es-ES"/>
        </w:rPr>
      </w:pPr>
    </w:p>
  </w:footnote>
  <w:footnote w:id="4">
    <w:p w14:paraId="4342E019" w14:textId="77777777" w:rsidR="00B85E30" w:rsidRPr="001319A3" w:rsidRDefault="00B85E30" w:rsidP="00B85E30">
      <w:pPr>
        <w:pStyle w:val="Textonotapie"/>
        <w:ind w:firstLine="709"/>
        <w:jc w:val="both"/>
        <w:rPr>
          <w:rFonts w:ascii="Verdana" w:hAnsi="Verdana" w:cs="Arial"/>
          <w:sz w:val="16"/>
          <w:szCs w:val="16"/>
          <w:lang w:val="es-ES"/>
        </w:rPr>
      </w:pPr>
      <w:r w:rsidRPr="001319A3">
        <w:rPr>
          <w:rStyle w:val="Refdenotaalpie"/>
          <w:rFonts w:ascii="Verdana" w:hAnsi="Verdana"/>
          <w:sz w:val="16"/>
          <w:szCs w:val="16"/>
        </w:rPr>
        <w:footnoteRef/>
      </w:r>
      <w:r w:rsidRPr="001319A3">
        <w:rPr>
          <w:rFonts w:ascii="Verdana" w:hAnsi="Verdana"/>
          <w:sz w:val="16"/>
          <w:szCs w:val="16"/>
        </w:rPr>
        <w:t xml:space="preserve"> </w:t>
      </w:r>
      <w:r w:rsidRPr="001319A3">
        <w:rPr>
          <w:rFonts w:ascii="Verdana" w:hAnsi="Verdana" w:cs="Arial"/>
          <w:sz w:val="16"/>
          <w:szCs w:val="16"/>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779BE6C9" w14:textId="77777777" w:rsidR="00B85E30" w:rsidRPr="001319A3" w:rsidRDefault="00B85E30" w:rsidP="00B85E30">
      <w:pPr>
        <w:pStyle w:val="Textonotapie"/>
        <w:ind w:firstLine="709"/>
        <w:jc w:val="both"/>
        <w:rPr>
          <w:rFonts w:ascii="Verdana" w:hAnsi="Verdana" w:cs="Arial"/>
          <w:sz w:val="16"/>
          <w:szCs w:val="16"/>
          <w:lang w:val="es-ES"/>
        </w:rPr>
      </w:pPr>
    </w:p>
  </w:footnote>
  <w:footnote w:id="5">
    <w:p w14:paraId="32F1A6B4" w14:textId="77777777" w:rsidR="00B85E30" w:rsidRPr="001319A3" w:rsidRDefault="00B85E30" w:rsidP="00B85E30">
      <w:pPr>
        <w:pStyle w:val="Textonotapie"/>
        <w:rPr>
          <w:rFonts w:ascii="Verdana" w:hAnsi="Verdana"/>
          <w:sz w:val="16"/>
          <w:szCs w:val="16"/>
        </w:rPr>
      </w:pPr>
      <w:r w:rsidRPr="001319A3">
        <w:rPr>
          <w:rFonts w:ascii="Verdana" w:hAnsi="Verdana"/>
          <w:sz w:val="16"/>
          <w:szCs w:val="16"/>
        </w:rPr>
        <w:tab/>
      </w:r>
      <w:r w:rsidRPr="001319A3">
        <w:rPr>
          <w:rStyle w:val="Refdenotaalpie"/>
          <w:rFonts w:ascii="Verdana" w:hAnsi="Verdana"/>
          <w:sz w:val="16"/>
          <w:szCs w:val="16"/>
        </w:rPr>
        <w:footnoteRef/>
      </w:r>
      <w:r w:rsidRPr="001319A3">
        <w:rPr>
          <w:rFonts w:ascii="Verdana" w:hAnsi="Verdana"/>
          <w:sz w:val="16"/>
          <w:szCs w:val="16"/>
        </w:rPr>
        <w:t xml:space="preserve"> Agencia Nacional de Contratación Pública – Colombia Compra Eficiente. </w:t>
      </w:r>
      <w:r w:rsidRPr="001319A3">
        <w:rPr>
          <w:rFonts w:ascii="Verdana" w:hAnsi="Verdana"/>
          <w:sz w:val="16"/>
          <w:szCs w:val="16"/>
          <w:lang w:val="es-CO"/>
        </w:rPr>
        <w:t xml:space="preserve">Manual De Incentivos En Procesos De Contratación. Disponible en el siguiente enlace: </w:t>
      </w:r>
      <w:hyperlink r:id="rId2" w:history="1">
        <w:r w:rsidRPr="001319A3">
          <w:rPr>
            <w:rStyle w:val="Hipervnculo"/>
            <w:rFonts w:ascii="Verdana" w:hAnsi="Verdana"/>
            <w:sz w:val="16"/>
            <w:szCs w:val="16"/>
            <w:lang w:val="es-CO"/>
          </w:rPr>
          <w:t xml:space="preserve">Manual de Incentivos </w:t>
        </w:r>
      </w:hyperlink>
    </w:p>
  </w:footnote>
  <w:footnote w:id="6">
    <w:p w14:paraId="7B9520A0" w14:textId="77777777" w:rsidR="00B85E30" w:rsidRPr="001319A3" w:rsidRDefault="00B85E30" w:rsidP="00B85E30">
      <w:pPr>
        <w:pStyle w:val="NormalWeb"/>
        <w:spacing w:before="0" w:beforeAutospacing="0" w:after="0" w:afterAutospacing="0"/>
        <w:ind w:firstLine="708"/>
        <w:jc w:val="both"/>
        <w:rPr>
          <w:rFonts w:ascii="Verdana" w:hAnsi="Verdana" w:cs="Arial"/>
          <w:sz w:val="16"/>
          <w:szCs w:val="16"/>
        </w:rPr>
      </w:pPr>
      <w:r w:rsidRPr="001319A3">
        <w:rPr>
          <w:rStyle w:val="Refdenotaalpie"/>
          <w:rFonts w:ascii="Verdana" w:hAnsi="Verdana" w:cs="Arial"/>
          <w:sz w:val="16"/>
          <w:szCs w:val="16"/>
        </w:rPr>
        <w:footnoteRef/>
      </w:r>
      <w:r w:rsidRPr="001319A3">
        <w:rPr>
          <w:rFonts w:ascii="Verdana" w:hAnsi="Verdana" w:cs="Arial"/>
          <w:sz w:val="16"/>
          <w:szCs w:val="16"/>
        </w:rPr>
        <w:t xml:space="preserve"> Ley 1232 de 2008. “Artículo 1º. El artículo 2º de la Ley 82 de 1993 quedará así: </w:t>
      </w:r>
    </w:p>
    <w:p w14:paraId="2311A724" w14:textId="77777777" w:rsidR="00B85E30" w:rsidRPr="001319A3" w:rsidRDefault="00B85E30" w:rsidP="00B85E30">
      <w:pPr>
        <w:spacing w:after="0"/>
        <w:jc w:val="both"/>
        <w:rPr>
          <w:rFonts w:ascii="Verdana" w:hAnsi="Verdana" w:cs="Arial"/>
          <w:sz w:val="16"/>
          <w:szCs w:val="16"/>
          <w:lang w:eastAsia="es-CO"/>
        </w:rPr>
      </w:pPr>
      <w:r w:rsidRPr="001319A3">
        <w:rPr>
          <w:rFonts w:ascii="Verdana" w:hAnsi="Verdana" w:cs="Arial"/>
          <w:sz w:val="16"/>
          <w:szCs w:val="16"/>
          <w:lang w:eastAsia="es-CO"/>
        </w:rPr>
        <w:t>  </w:t>
      </w:r>
      <w:r w:rsidRPr="001319A3">
        <w:rPr>
          <w:rFonts w:ascii="Verdana" w:hAnsi="Verdana" w:cs="Arial"/>
          <w:sz w:val="16"/>
          <w:szCs w:val="16"/>
          <w:lang w:eastAsia="es-CO"/>
        </w:rPr>
        <w:tab/>
        <w:t>Artículo 2º.</w:t>
      </w:r>
      <w:r w:rsidRPr="001319A3">
        <w:rPr>
          <w:rFonts w:ascii="Verdana" w:hAnsi="Verdana" w:cs="Arial"/>
          <w:i/>
          <w:iCs/>
          <w:sz w:val="16"/>
          <w:szCs w:val="16"/>
          <w:lang w:eastAsia="es-CO"/>
        </w:rPr>
        <w:t xml:space="preserve"> Jefatura femenina de hogar. </w:t>
      </w:r>
      <w:r w:rsidRPr="001319A3">
        <w:rPr>
          <w:rFonts w:ascii="Verdana" w:hAnsi="Verdana" w:cs="Arial"/>
          <w:sz w:val="16"/>
          <w:szCs w:val="16"/>
          <w:lang w:eastAsia="es-CO"/>
        </w:rPr>
        <w:t>Para los efectos de la presente ley, la Jefatura Femenina de Hogar, es una categoría social de los hogares, derivada de los cambios sociodemográficos, económicos, culturales y de las relaciones de género que se han producido en la estructura familiar, en las subjetividades, representaciones e identidades de las mujeres que redefinen su posición y condición en los procesos de reproducción y producción social, que es objeto de políticas públicas en las que participan instituciones estatales, privadas y sectores de la sociedad civil. </w:t>
      </w:r>
    </w:p>
    <w:p w14:paraId="7745E438" w14:textId="77777777" w:rsidR="00B85E30" w:rsidRPr="001319A3" w:rsidRDefault="00B85E30" w:rsidP="00B85E30">
      <w:pPr>
        <w:spacing w:after="0"/>
        <w:jc w:val="both"/>
        <w:rPr>
          <w:rFonts w:ascii="Verdana" w:hAnsi="Verdana" w:cs="Arial"/>
          <w:sz w:val="16"/>
          <w:szCs w:val="16"/>
          <w:lang w:eastAsia="es-CO"/>
        </w:rPr>
      </w:pPr>
    </w:p>
    <w:p w14:paraId="4F5137DF" w14:textId="77777777" w:rsidR="00B85E30" w:rsidRPr="001319A3" w:rsidRDefault="00B85E30" w:rsidP="00B85E30">
      <w:pPr>
        <w:spacing w:after="0"/>
        <w:jc w:val="both"/>
        <w:rPr>
          <w:rFonts w:ascii="Verdana" w:hAnsi="Verdana" w:cs="Arial"/>
          <w:sz w:val="16"/>
          <w:szCs w:val="16"/>
          <w:lang w:eastAsia="es-CO"/>
        </w:rPr>
      </w:pPr>
      <w:r w:rsidRPr="001319A3">
        <w:rPr>
          <w:rFonts w:ascii="Verdana" w:hAnsi="Verdana" w:cs="Arial"/>
          <w:sz w:val="16"/>
          <w:szCs w:val="16"/>
          <w:lang w:eastAsia="es-CO"/>
        </w:rPr>
        <w:t>  </w:t>
      </w:r>
      <w:r w:rsidRPr="001319A3">
        <w:rPr>
          <w:rFonts w:ascii="Verdana" w:hAnsi="Verdana" w:cs="Arial"/>
          <w:sz w:val="16"/>
          <w:szCs w:val="16"/>
          <w:lang w:eastAsia="es-CO"/>
        </w:rPr>
        <w:tab/>
        <w:t>En concordancia con lo anterior, es Mujer Cabeza de Familia, quien siendo soltera o casada, ejerce la jefatura femenina de hogar y tiene bajo su cargo, afectiva, económica o socialmente, en forma permanente, hijos menores propios u otras personas incapaces o incapacitadas para trabajar, ya sea por ausencia permanente o incapacidad física, sensorial, síquica o moral del cónyuge o compañero permanente o deficiencia sustancial de ayuda de los demás miembros del núcleo familiar. </w:t>
      </w:r>
    </w:p>
    <w:p w14:paraId="79D945D8" w14:textId="77777777" w:rsidR="00B85E30" w:rsidRPr="001319A3" w:rsidRDefault="00B85E30" w:rsidP="00B85E30">
      <w:pPr>
        <w:spacing w:after="0"/>
        <w:jc w:val="both"/>
        <w:rPr>
          <w:rFonts w:ascii="Verdana" w:hAnsi="Verdana" w:cs="Arial"/>
          <w:sz w:val="16"/>
          <w:szCs w:val="16"/>
          <w:lang w:eastAsia="es-CO"/>
        </w:rPr>
      </w:pPr>
      <w:r w:rsidRPr="001319A3">
        <w:rPr>
          <w:rFonts w:ascii="Verdana" w:hAnsi="Verdana" w:cs="Arial"/>
          <w:sz w:val="16"/>
          <w:szCs w:val="16"/>
          <w:lang w:eastAsia="es-CO"/>
        </w:rPr>
        <w:t>  </w:t>
      </w:r>
      <w:r w:rsidRPr="001319A3">
        <w:rPr>
          <w:rFonts w:ascii="Verdana" w:hAnsi="Verdana" w:cs="Arial"/>
          <w:sz w:val="16"/>
          <w:szCs w:val="16"/>
          <w:lang w:eastAsia="es-CO"/>
        </w:rPr>
        <w:tab/>
        <w:t>Parágrafo.</w:t>
      </w:r>
      <w:r w:rsidRPr="001319A3">
        <w:rPr>
          <w:rFonts w:ascii="Verdana" w:hAnsi="Verdana" w:cs="Arial"/>
          <w:b/>
          <w:bCs/>
          <w:sz w:val="16"/>
          <w:szCs w:val="16"/>
          <w:lang w:eastAsia="es-CO"/>
        </w:rPr>
        <w:t> </w:t>
      </w:r>
      <w:r w:rsidRPr="001319A3">
        <w:rPr>
          <w:rFonts w:ascii="Verdana" w:hAnsi="Verdana" w:cs="Arial"/>
          <w:sz w:val="16"/>
          <w:szCs w:val="16"/>
          <w:lang w:eastAsia="es-CO"/>
        </w:rPr>
        <w:t>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w:t>
      </w:r>
    </w:p>
  </w:footnote>
  <w:footnote w:id="7">
    <w:p w14:paraId="1F595586" w14:textId="77777777" w:rsidR="00B85E30" w:rsidRPr="001319A3" w:rsidRDefault="00B85E30" w:rsidP="00B85E30">
      <w:pPr>
        <w:pStyle w:val="Textonotapie"/>
        <w:ind w:firstLine="709"/>
        <w:jc w:val="both"/>
        <w:rPr>
          <w:rFonts w:ascii="Verdana" w:hAnsi="Verdana" w:cs="Arial"/>
          <w:sz w:val="16"/>
          <w:szCs w:val="16"/>
          <w:lang w:val="es-ES"/>
        </w:rPr>
      </w:pPr>
      <w:r w:rsidRPr="001319A3">
        <w:rPr>
          <w:rStyle w:val="Refdenotaalpie"/>
          <w:rFonts w:ascii="Verdana" w:hAnsi="Verdana" w:cs="Arial"/>
          <w:sz w:val="16"/>
          <w:szCs w:val="16"/>
        </w:rPr>
        <w:footnoteRef/>
      </w:r>
      <w:r w:rsidRPr="001319A3">
        <w:rPr>
          <w:rFonts w:ascii="Verdana" w:hAnsi="Verdana" w:cs="Arial"/>
          <w:sz w:val="16"/>
          <w:szCs w:val="16"/>
        </w:rPr>
        <w:t xml:space="preserve"> </w:t>
      </w:r>
      <w:r w:rsidRPr="001319A3">
        <w:rPr>
          <w:rFonts w:ascii="Verdana" w:eastAsia="Calibri" w:hAnsi="Verdana" w:cs="Arial"/>
          <w:sz w:val="16"/>
          <w:szCs w:val="16"/>
          <w:lang w:val="es-ES_tradnl"/>
        </w:rPr>
        <w:t xml:space="preserve">Como lo ha indicado la Corte Constitucional, “[…]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 </w:t>
      </w:r>
      <w:r w:rsidRPr="001319A3">
        <w:rPr>
          <w:rFonts w:ascii="Verdana" w:hAnsi="Verdana" w:cs="Arial"/>
          <w:sz w:val="16"/>
          <w:szCs w:val="16"/>
          <w:lang w:val="es-ES"/>
        </w:rPr>
        <w:t>Sentencia T-003 de 2018. Magistrada Ponente: Cristina Pardo Schlesinger.</w:t>
      </w:r>
    </w:p>
    <w:p w14:paraId="4132B871" w14:textId="77777777" w:rsidR="00B85E30" w:rsidRPr="001319A3" w:rsidRDefault="00B85E30" w:rsidP="00B85E30">
      <w:pPr>
        <w:pStyle w:val="Textonotapie"/>
        <w:ind w:firstLine="709"/>
        <w:jc w:val="both"/>
        <w:rPr>
          <w:rFonts w:ascii="Verdana" w:hAnsi="Verdana" w:cs="Arial"/>
          <w:sz w:val="16"/>
          <w:szCs w:val="16"/>
          <w:lang w:val="es-ES"/>
        </w:rPr>
      </w:pPr>
    </w:p>
  </w:footnote>
  <w:footnote w:id="8">
    <w:p w14:paraId="51DA9AD2" w14:textId="77777777" w:rsidR="00B85E30" w:rsidRPr="001319A3" w:rsidRDefault="00B85E30" w:rsidP="00B85E30">
      <w:pPr>
        <w:pStyle w:val="Textonotapie"/>
        <w:ind w:firstLine="708"/>
        <w:jc w:val="both"/>
        <w:rPr>
          <w:rFonts w:ascii="Verdana" w:hAnsi="Verdana"/>
          <w:sz w:val="16"/>
          <w:szCs w:val="16"/>
        </w:rPr>
      </w:pPr>
      <w:r w:rsidRPr="001319A3">
        <w:rPr>
          <w:rStyle w:val="Refdenotaalpie"/>
          <w:rFonts w:ascii="Verdana" w:hAnsi="Verdana" w:cs="Arial"/>
          <w:sz w:val="16"/>
          <w:szCs w:val="16"/>
        </w:rPr>
        <w:footnoteRef/>
      </w:r>
      <w:r w:rsidRPr="001319A3">
        <w:rPr>
          <w:rFonts w:ascii="Verdana" w:hAnsi="Verdana" w:cs="Arial"/>
          <w:sz w:val="16"/>
          <w:szCs w:val="16"/>
        </w:rPr>
        <w:t xml:space="preserve"> Ley 1257 de 2008. “Artículo 21. Acreditación de las situaciones de violencia. Las situaciones de violencia que dan lugar a la atención de las mujeres, sus hijos e hijas, se acreditarán con la medida de protección expedida por la autoridad competente, sin que puedan exigirse requisitos adicionales”.</w:t>
      </w:r>
      <w:r w:rsidRPr="001319A3">
        <w:rPr>
          <w:rFonts w:ascii="Verdana" w:hAnsi="Verdana"/>
          <w:sz w:val="16"/>
          <w:szCs w:val="16"/>
        </w:rPr>
        <w:t xml:space="preserve">  </w:t>
      </w:r>
    </w:p>
    <w:p w14:paraId="4A7246FA" w14:textId="77777777" w:rsidR="00B85E30" w:rsidRPr="001319A3" w:rsidRDefault="00B85E30" w:rsidP="00B85E30">
      <w:pPr>
        <w:pStyle w:val="Textonotapie"/>
        <w:ind w:firstLine="708"/>
        <w:jc w:val="both"/>
        <w:rPr>
          <w:rFonts w:ascii="Verdana" w:hAnsi="Verdana"/>
          <w:sz w:val="16"/>
          <w:szCs w:val="16"/>
        </w:rPr>
      </w:pPr>
    </w:p>
  </w:footnote>
  <w:footnote w:id="9">
    <w:p w14:paraId="1D19B2C0" w14:textId="77777777" w:rsidR="00B85E30" w:rsidRPr="001319A3" w:rsidRDefault="00B85E30" w:rsidP="00B85E30">
      <w:pPr>
        <w:pStyle w:val="Textonotapie"/>
        <w:ind w:firstLine="709"/>
        <w:jc w:val="both"/>
        <w:rPr>
          <w:rFonts w:ascii="Verdana" w:hAnsi="Verdana" w:cs="Arial"/>
          <w:sz w:val="16"/>
          <w:szCs w:val="16"/>
          <w:lang w:val="es-CO"/>
        </w:rPr>
      </w:pPr>
      <w:r w:rsidRPr="001319A3">
        <w:rPr>
          <w:rStyle w:val="Refdenotaalpie"/>
          <w:rFonts w:ascii="Verdana" w:hAnsi="Verdana" w:cs="Arial"/>
          <w:sz w:val="16"/>
          <w:szCs w:val="16"/>
        </w:rPr>
        <w:footnoteRef/>
      </w:r>
      <w:r w:rsidRPr="001319A3">
        <w:rPr>
          <w:rFonts w:ascii="Verdana" w:hAnsi="Verdana" w:cs="Arial"/>
          <w:sz w:val="16"/>
          <w:szCs w:val="16"/>
        </w:rPr>
        <w:t xml:space="preserve">  </w:t>
      </w:r>
      <w:r w:rsidRPr="001319A3">
        <w:rPr>
          <w:rFonts w:ascii="Verdana" w:eastAsia="Calibri" w:hAnsi="Verdana" w:cs="Arial"/>
          <w:sz w:val="16"/>
          <w:szCs w:val="16"/>
          <w:lang w:val="es-ES_tradnl"/>
        </w:rPr>
        <w:t xml:space="preserve">La Corte Constitucional ha establecido que la violencia intrafamiliar se define como “[…] aquella que se propicia por el daño físico, emocional, sexual, psicológico o económico que se causa entre los miembros de la familia y al interior de la unidad doméstica. Esta se puede dar por acción u omisión de cualquier miembro de la familia”. </w:t>
      </w:r>
      <w:r w:rsidRPr="001319A3">
        <w:rPr>
          <w:rFonts w:ascii="Verdana" w:hAnsi="Verdana" w:cs="Arial"/>
          <w:sz w:val="16"/>
          <w:szCs w:val="16"/>
          <w:lang w:val="es-ES"/>
        </w:rPr>
        <w:t>Sentencia T-967 de 2014. Magistrada Ponente: Gloria Stella Ortiz Delgado.</w:t>
      </w:r>
    </w:p>
  </w:footnote>
  <w:footnote w:id="10">
    <w:p w14:paraId="7DEB1FA0" w14:textId="77777777" w:rsidR="00B85E30" w:rsidRPr="00A91A3F" w:rsidRDefault="00B85E30" w:rsidP="00B85E30">
      <w:pPr>
        <w:pStyle w:val="Textonotapie"/>
        <w:ind w:firstLine="708"/>
        <w:contextualSpacing/>
        <w:jc w:val="both"/>
        <w:rPr>
          <w:rFonts w:ascii="Verdana" w:hAnsi="Verdana" w:cs="Arial"/>
          <w:sz w:val="16"/>
          <w:szCs w:val="16"/>
        </w:rPr>
      </w:pPr>
      <w:r w:rsidRPr="00A91A3F">
        <w:rPr>
          <w:rStyle w:val="Refdenotaalpie"/>
          <w:rFonts w:ascii="Verdana" w:hAnsi="Verdana" w:cs="Arial"/>
          <w:sz w:val="16"/>
          <w:szCs w:val="16"/>
        </w:rPr>
        <w:footnoteRef/>
      </w:r>
      <w:bookmarkStart w:id="2" w:name="5"/>
      <w:r w:rsidRPr="00A91A3F">
        <w:rPr>
          <w:rFonts w:ascii="Verdana" w:hAnsi="Verdana" w:cs="Arial"/>
          <w:sz w:val="16"/>
          <w:szCs w:val="16"/>
        </w:rPr>
        <w:t xml:space="preserve"> Constitución Política de Colombia. Artículo 5. “</w:t>
      </w:r>
      <w:r w:rsidRPr="00A91A3F">
        <w:rPr>
          <w:rFonts w:ascii="Verdana" w:hAnsi="Verdana" w:cs="Arial"/>
          <w:sz w:val="16"/>
          <w:szCs w:val="16"/>
          <w:lang w:val="es-CO"/>
        </w:rPr>
        <w:t>El Estado reconoce, sin discriminación alguna, la primacía de los derechos inalienables de la persona y ampara a la familia como institución básica de la sociedad</w:t>
      </w:r>
      <w:bookmarkEnd w:id="2"/>
      <w:r w:rsidRPr="00A91A3F">
        <w:rPr>
          <w:rFonts w:ascii="Verdana" w:hAnsi="Verdana" w:cs="Arial"/>
          <w:sz w:val="16"/>
          <w:szCs w:val="16"/>
        </w:rPr>
        <w:t>”.</w:t>
      </w:r>
    </w:p>
  </w:footnote>
  <w:footnote w:id="11">
    <w:p w14:paraId="40293FF3" w14:textId="77777777" w:rsidR="00B85E30" w:rsidRPr="00A91A3F" w:rsidRDefault="00B85E30" w:rsidP="00B85E30">
      <w:pPr>
        <w:pStyle w:val="NormalWeb"/>
        <w:spacing w:after="0"/>
        <w:ind w:firstLine="708"/>
        <w:contextualSpacing/>
        <w:jc w:val="both"/>
        <w:rPr>
          <w:rFonts w:ascii="Verdana" w:hAnsi="Verdana" w:cs="Arial"/>
          <w:sz w:val="16"/>
          <w:szCs w:val="16"/>
        </w:rPr>
      </w:pPr>
      <w:r w:rsidRPr="00A91A3F">
        <w:rPr>
          <w:rStyle w:val="Refdenotaalpie"/>
          <w:rFonts w:ascii="Verdana" w:hAnsi="Verdana" w:cs="Arial"/>
          <w:sz w:val="16"/>
          <w:szCs w:val="16"/>
        </w:rPr>
        <w:footnoteRef/>
      </w:r>
      <w:r w:rsidRPr="00A91A3F">
        <w:rPr>
          <w:rFonts w:ascii="Verdana" w:hAnsi="Verdana" w:cs="Arial"/>
          <w:sz w:val="16"/>
          <w:szCs w:val="16"/>
        </w:rPr>
        <w:t xml:space="preserve"> Constitución Política de Colombia. Artículo 13. “Todas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w:t>
      </w:r>
    </w:p>
    <w:p w14:paraId="09872CD1" w14:textId="77777777" w:rsidR="00B85E30" w:rsidRPr="00A91A3F" w:rsidRDefault="00B85E30" w:rsidP="00B85E30">
      <w:pPr>
        <w:pStyle w:val="NormalWeb"/>
        <w:spacing w:after="0"/>
        <w:ind w:firstLine="708"/>
        <w:contextualSpacing/>
        <w:jc w:val="both"/>
        <w:rPr>
          <w:rFonts w:ascii="Verdana" w:hAnsi="Verdana" w:cs="Arial"/>
          <w:sz w:val="16"/>
          <w:szCs w:val="16"/>
        </w:rPr>
      </w:pPr>
      <w:r w:rsidRPr="00A91A3F">
        <w:rPr>
          <w:rFonts w:ascii="Verdana" w:hAnsi="Verdana" w:cs="Arial"/>
          <w:sz w:val="16"/>
          <w:szCs w:val="16"/>
        </w:rPr>
        <w:t>El Estado promoverá las condiciones para que la igualdad sea real y efectiva y adoptará medidas en favor de grupos discriminados o marginados.”</w:t>
      </w:r>
    </w:p>
    <w:p w14:paraId="21CEF1BE" w14:textId="77777777" w:rsidR="00B85E30" w:rsidRPr="00A91A3F" w:rsidRDefault="00B85E30" w:rsidP="00B85E30">
      <w:pPr>
        <w:pStyle w:val="NormalWeb"/>
        <w:spacing w:after="0"/>
        <w:ind w:firstLine="708"/>
        <w:contextualSpacing/>
        <w:jc w:val="both"/>
        <w:rPr>
          <w:rFonts w:ascii="Verdana" w:hAnsi="Verdana" w:cs="Arial"/>
          <w:sz w:val="16"/>
          <w:szCs w:val="16"/>
        </w:rPr>
      </w:pPr>
    </w:p>
  </w:footnote>
  <w:footnote w:id="12">
    <w:p w14:paraId="1B1CD91F" w14:textId="77777777" w:rsidR="00B85E30" w:rsidRPr="00A91A3F" w:rsidRDefault="00B85E30" w:rsidP="00B85E30">
      <w:pPr>
        <w:pStyle w:val="NormalWeb"/>
        <w:spacing w:after="0"/>
        <w:ind w:firstLine="708"/>
        <w:contextualSpacing/>
        <w:jc w:val="both"/>
        <w:rPr>
          <w:rFonts w:ascii="Verdana" w:hAnsi="Verdana" w:cs="Arial"/>
          <w:sz w:val="16"/>
          <w:szCs w:val="16"/>
        </w:rPr>
      </w:pPr>
      <w:r w:rsidRPr="00A91A3F">
        <w:rPr>
          <w:rStyle w:val="Refdenotaalpie"/>
          <w:rFonts w:ascii="Verdana" w:hAnsi="Verdana" w:cs="Arial"/>
          <w:sz w:val="16"/>
          <w:szCs w:val="16"/>
        </w:rPr>
        <w:footnoteRef/>
      </w:r>
      <w:r w:rsidRPr="00A91A3F">
        <w:rPr>
          <w:rFonts w:ascii="Verdana" w:hAnsi="Verdana" w:cs="Arial"/>
          <w:sz w:val="16"/>
          <w:szCs w:val="16"/>
        </w:rPr>
        <w:t xml:space="preserve"> Constitución Política de Colombia. Artículo 43. “La mujer y el hombre tienen iguales derechos y oportunidades. La mujer no podrá ser sometida a ninguna clase de discriminación. Durante el embarazo y después del parto gozará de especial asistencia y protección del Estado, y recibirá de este subsidio alimentario si entonces estuviere desempleada o desamparada. </w:t>
      </w:r>
    </w:p>
    <w:p w14:paraId="3CC23E99" w14:textId="77777777" w:rsidR="00B85E30" w:rsidRPr="00A91A3F" w:rsidRDefault="00B85E30" w:rsidP="00B85E30">
      <w:pPr>
        <w:pStyle w:val="NormalWeb"/>
        <w:spacing w:after="0"/>
        <w:ind w:firstLine="708"/>
        <w:contextualSpacing/>
        <w:jc w:val="both"/>
        <w:rPr>
          <w:rFonts w:ascii="Verdana" w:hAnsi="Verdana" w:cs="Arial"/>
          <w:sz w:val="16"/>
          <w:szCs w:val="16"/>
        </w:rPr>
      </w:pPr>
      <w:r w:rsidRPr="00A91A3F">
        <w:rPr>
          <w:rFonts w:ascii="Verdana" w:hAnsi="Verdana" w:cs="Arial"/>
          <w:sz w:val="16"/>
          <w:szCs w:val="16"/>
        </w:rPr>
        <w:t>El Estado apoyará de manera especial a la mujer cabeza de familia.</w:t>
      </w:r>
      <w:r>
        <w:rPr>
          <w:rFonts w:ascii="Verdana" w:hAnsi="Verdana" w:cs="Arial"/>
          <w:sz w:val="16"/>
          <w:szCs w:val="16"/>
        </w:rPr>
        <w:t>”</w:t>
      </w:r>
    </w:p>
    <w:p w14:paraId="02E8403D" w14:textId="77777777" w:rsidR="00B85E30" w:rsidRPr="00A91A3F" w:rsidRDefault="00B85E30" w:rsidP="00B85E30">
      <w:pPr>
        <w:pStyle w:val="NormalWeb"/>
        <w:spacing w:after="0"/>
        <w:ind w:firstLine="708"/>
        <w:contextualSpacing/>
        <w:jc w:val="both"/>
        <w:rPr>
          <w:rFonts w:ascii="Verdana" w:hAnsi="Verdana" w:cs="Arial"/>
          <w:sz w:val="16"/>
          <w:szCs w:val="16"/>
        </w:rPr>
      </w:pPr>
    </w:p>
  </w:footnote>
  <w:footnote w:id="13">
    <w:p w14:paraId="22F510AB" w14:textId="77777777" w:rsidR="00B85E30" w:rsidRPr="00097652" w:rsidRDefault="00B85E30" w:rsidP="00B85E30">
      <w:pPr>
        <w:pStyle w:val="NormalWeb"/>
        <w:spacing w:after="0"/>
        <w:ind w:firstLine="708"/>
        <w:contextualSpacing/>
        <w:jc w:val="both"/>
        <w:rPr>
          <w:rFonts w:ascii="Verdana" w:hAnsi="Verdana" w:cs="Arial"/>
          <w:sz w:val="16"/>
          <w:szCs w:val="16"/>
        </w:rPr>
      </w:pPr>
      <w:r w:rsidRPr="00A91A3F">
        <w:rPr>
          <w:rStyle w:val="Refdenotaalpie"/>
          <w:rFonts w:ascii="Verdana" w:hAnsi="Verdana" w:cs="Arial"/>
          <w:sz w:val="16"/>
          <w:szCs w:val="16"/>
        </w:rPr>
        <w:footnoteRef/>
      </w:r>
      <w:r w:rsidRPr="00A91A3F">
        <w:rPr>
          <w:rFonts w:ascii="Verdana" w:hAnsi="Verdana" w:cs="Arial"/>
          <w:sz w:val="16"/>
          <w:szCs w:val="16"/>
        </w:rPr>
        <w:t xml:space="preserve"> Constitución Política de Colombia. Artículo 4</w:t>
      </w:r>
      <w:r>
        <w:rPr>
          <w:rFonts w:ascii="Verdana" w:hAnsi="Verdana" w:cs="Arial"/>
          <w:sz w:val="16"/>
          <w:szCs w:val="16"/>
        </w:rPr>
        <w:t>4</w:t>
      </w:r>
      <w:r w:rsidRPr="00A91A3F">
        <w:rPr>
          <w:rFonts w:ascii="Verdana" w:hAnsi="Verdana" w:cs="Arial"/>
          <w:sz w:val="16"/>
          <w:szCs w:val="16"/>
        </w:rPr>
        <w:t>. “</w:t>
      </w:r>
      <w:r w:rsidRPr="0038758A">
        <w:rPr>
          <w:rFonts w:ascii="Verdana" w:hAnsi="Verdana" w:cs="Arial"/>
          <w:sz w:val="16"/>
          <w:szCs w:val="16"/>
        </w:rPr>
        <w:t xml:space="preserve">Son derechos fundamentales de los niños: la vida, la integridad física, la salud y la seguridad social, la alimentación equilibrada, su nombre y nacionalidad, tener una familia y no ser separados de ella, el cuidado y amor, la educación y la cultura, la recreación y la libre </w:t>
      </w:r>
      <w:r w:rsidRPr="00097652">
        <w:rPr>
          <w:rFonts w:ascii="Verdana" w:hAnsi="Verdana" w:cs="Arial"/>
          <w:sz w:val="16"/>
          <w:szCs w:val="16"/>
        </w:rPr>
        <w:t>expresión de su opinión. Serán protegidos contra toda forma de abandono, violencia física o moral, secuestro, venta, abuso sexual, explotación laboral o económica y trabajos riesgosos. Gozarán también de los demás derechos consagrados en la Constitución, en las leyes y en los tratados internacionales ratificados por Colombia.”</w:t>
      </w:r>
    </w:p>
  </w:footnote>
  <w:footnote w:id="14">
    <w:p w14:paraId="2E8D45EB" w14:textId="77777777" w:rsidR="00B85E30" w:rsidRPr="00097652" w:rsidRDefault="00B85E30" w:rsidP="00B85E30">
      <w:pPr>
        <w:pStyle w:val="Textonotapie"/>
        <w:ind w:firstLine="708"/>
        <w:contextualSpacing/>
        <w:jc w:val="both"/>
        <w:rPr>
          <w:rFonts w:ascii="Verdana" w:hAnsi="Verdana" w:cs="Arial"/>
          <w:sz w:val="16"/>
          <w:szCs w:val="16"/>
        </w:rPr>
      </w:pPr>
      <w:r w:rsidRPr="00097652">
        <w:rPr>
          <w:rStyle w:val="Refdenotaalpie"/>
          <w:rFonts w:ascii="Verdana" w:hAnsi="Verdana" w:cs="Arial"/>
          <w:sz w:val="16"/>
          <w:szCs w:val="16"/>
        </w:rPr>
        <w:footnoteRef/>
      </w:r>
      <w:r w:rsidRPr="00097652">
        <w:rPr>
          <w:rFonts w:ascii="Verdana" w:hAnsi="Verdana" w:cs="Arial"/>
          <w:sz w:val="16"/>
          <w:szCs w:val="16"/>
        </w:rPr>
        <w:t xml:space="preserve"> Alfonso Ruiz Miguel, "</w:t>
      </w:r>
      <w:r w:rsidRPr="00097652">
        <w:rPr>
          <w:rFonts w:ascii="Verdana" w:hAnsi="Verdana" w:cs="Arial"/>
          <w:i/>
          <w:iCs/>
          <w:sz w:val="16"/>
          <w:szCs w:val="16"/>
        </w:rPr>
        <w:t>Discriminación Inversa e Igualdad</w:t>
      </w:r>
      <w:r w:rsidRPr="00097652">
        <w:rPr>
          <w:rFonts w:ascii="Verdana" w:hAnsi="Verdana" w:cs="Arial"/>
          <w:sz w:val="16"/>
          <w:szCs w:val="16"/>
        </w:rPr>
        <w:t>", en Amelia Varcárcel (compiladora). El Concepto de Igualdad, Editorial Pablo Iglesias, Madrid, 1994, pp. 77-93.</w:t>
      </w:r>
    </w:p>
  </w:footnote>
  <w:footnote w:id="15">
    <w:p w14:paraId="7CC01206" w14:textId="77777777" w:rsidR="00B85E30" w:rsidRPr="00097652" w:rsidRDefault="00B85E30" w:rsidP="00B85E30">
      <w:pPr>
        <w:pStyle w:val="Textonotapie"/>
        <w:ind w:firstLine="708"/>
        <w:contextualSpacing/>
        <w:jc w:val="both"/>
        <w:rPr>
          <w:rFonts w:ascii="Verdana" w:hAnsi="Verdana" w:cs="Arial"/>
          <w:sz w:val="16"/>
          <w:szCs w:val="16"/>
          <w:lang w:val="es-ES"/>
        </w:rPr>
      </w:pPr>
    </w:p>
    <w:p w14:paraId="6F805F39" w14:textId="77777777" w:rsidR="00B85E30" w:rsidRPr="00097652" w:rsidRDefault="00B85E30" w:rsidP="00B85E30">
      <w:pPr>
        <w:pStyle w:val="Textonotapie"/>
        <w:ind w:firstLine="708"/>
        <w:contextualSpacing/>
        <w:jc w:val="both"/>
        <w:rPr>
          <w:rFonts w:ascii="Verdana" w:hAnsi="Verdana" w:cs="Arial"/>
          <w:sz w:val="16"/>
          <w:szCs w:val="16"/>
        </w:rPr>
      </w:pPr>
      <w:r w:rsidRPr="00097652">
        <w:rPr>
          <w:rStyle w:val="Refdenotaalpie"/>
          <w:rFonts w:ascii="Verdana" w:hAnsi="Verdana" w:cs="Arial"/>
          <w:sz w:val="16"/>
          <w:szCs w:val="16"/>
        </w:rPr>
        <w:footnoteRef/>
      </w:r>
      <w:r w:rsidRPr="00097652">
        <w:rPr>
          <w:rFonts w:ascii="Verdana" w:hAnsi="Verdana" w:cs="Arial"/>
          <w:sz w:val="16"/>
          <w:szCs w:val="16"/>
          <w:lang w:val="es-ES"/>
        </w:rPr>
        <w:t xml:space="preserve"> Greenwalt Kent. </w:t>
      </w:r>
      <w:r w:rsidRPr="00097652">
        <w:rPr>
          <w:rFonts w:ascii="Verdana" w:hAnsi="Verdana" w:cs="Arial"/>
          <w:sz w:val="16"/>
          <w:szCs w:val="16"/>
          <w:lang w:val="en-US"/>
        </w:rPr>
        <w:t>"</w:t>
      </w:r>
      <w:r w:rsidRPr="00097652">
        <w:rPr>
          <w:rFonts w:ascii="Verdana" w:hAnsi="Verdana" w:cs="Arial"/>
          <w:i/>
          <w:iCs/>
          <w:sz w:val="16"/>
          <w:szCs w:val="16"/>
          <w:lang w:val="en-US"/>
        </w:rPr>
        <w:t>Discrimination and Reverse Discrimination</w:t>
      </w:r>
      <w:r w:rsidRPr="00097652">
        <w:rPr>
          <w:rFonts w:ascii="Verdana" w:hAnsi="Verdana" w:cs="Arial"/>
          <w:sz w:val="16"/>
          <w:szCs w:val="16"/>
          <w:lang w:val="en-US"/>
        </w:rPr>
        <w:t xml:space="preserve">." New York: Alfred A. Knopf. </w:t>
      </w:r>
      <w:r w:rsidRPr="00097652">
        <w:rPr>
          <w:rFonts w:ascii="Verdana" w:hAnsi="Verdana" w:cs="Arial"/>
          <w:sz w:val="16"/>
          <w:szCs w:val="16"/>
          <w:lang w:val="en-GB"/>
        </w:rPr>
        <w:t xml:space="preserve">1983. Citado en: Michel Rosenfeld. Affirmative Action Justice. </w:t>
      </w:r>
      <w:r w:rsidRPr="00097652">
        <w:rPr>
          <w:rFonts w:ascii="Verdana" w:hAnsi="Verdana" w:cs="Arial"/>
          <w:sz w:val="16"/>
          <w:szCs w:val="16"/>
          <w:lang w:val="en-US"/>
        </w:rPr>
        <w:t xml:space="preserve">A Philosophical and Constitutional Inquiry. </w:t>
      </w:r>
      <w:r w:rsidRPr="00097652">
        <w:rPr>
          <w:rFonts w:ascii="Verdana" w:hAnsi="Verdana" w:cs="Arial"/>
          <w:sz w:val="16"/>
          <w:szCs w:val="16"/>
        </w:rPr>
        <w:t>Yale University Press. New York. 1991.</w:t>
      </w:r>
    </w:p>
    <w:p w14:paraId="2AD1EF0A" w14:textId="77777777" w:rsidR="00B85E30" w:rsidRPr="007322CB" w:rsidRDefault="00B85E30" w:rsidP="00B85E30">
      <w:pPr>
        <w:pStyle w:val="Textonotapie"/>
        <w:ind w:firstLine="708"/>
        <w:contextualSpacing/>
        <w:jc w:val="both"/>
        <w:rPr>
          <w:rFonts w:ascii="Arial" w:hAnsi="Arial" w:cs="Arial"/>
          <w:sz w:val="10"/>
          <w:szCs w:val="10"/>
        </w:rPr>
      </w:pPr>
    </w:p>
  </w:footnote>
  <w:footnote w:id="16">
    <w:p w14:paraId="52CC2AAC" w14:textId="77777777" w:rsidR="00B85E30" w:rsidRPr="00907B54" w:rsidRDefault="00B85E30" w:rsidP="00B85E30">
      <w:pPr>
        <w:pStyle w:val="Textonotapie"/>
        <w:ind w:firstLine="708"/>
        <w:contextualSpacing/>
        <w:jc w:val="both"/>
        <w:rPr>
          <w:rFonts w:ascii="Verdana" w:hAnsi="Verdana" w:cs="Arial"/>
          <w:sz w:val="16"/>
          <w:szCs w:val="16"/>
          <w:shd w:val="clear" w:color="auto" w:fill="FFFFFF"/>
        </w:rPr>
      </w:pPr>
      <w:r w:rsidRPr="00907B54">
        <w:rPr>
          <w:rStyle w:val="Refdenotaalpie"/>
          <w:rFonts w:ascii="Verdana" w:hAnsi="Verdana" w:cs="Arial"/>
          <w:sz w:val="16"/>
          <w:szCs w:val="16"/>
        </w:rPr>
        <w:footnoteRef/>
      </w:r>
      <w:r w:rsidRPr="00907B54">
        <w:rPr>
          <w:rFonts w:ascii="Verdana" w:hAnsi="Verdana" w:cs="Arial"/>
          <w:sz w:val="16"/>
          <w:szCs w:val="16"/>
        </w:rPr>
        <w:t xml:space="preserve"> Según la jurisprudencia constitucional colombiana, las acciones afirmativas tienen su origen histórico a partir de una triple finalidad: por un lado, (i) </w:t>
      </w:r>
      <w:r w:rsidRPr="00907B54">
        <w:rPr>
          <w:rFonts w:ascii="Verdana" w:hAnsi="Verdana" w:cs="Arial"/>
          <w:sz w:val="16"/>
          <w:szCs w:val="16"/>
          <w:shd w:val="clear" w:color="auto" w:fill="FFFFFF"/>
        </w:rPr>
        <w:t>para compensar a ciertos grupos discriminados a lo largo de la historia y, por otro, (ii) para nivelar las condiciones de quienes, por haber sido discriminados, se vieron impedidos de disfrutar sus derechos en las mismas condiciones que los demás. Con el paso del tiempo se concibieron también (iii) para incrementar niveles de participación, especialmente en escenarios políticos. Finalmente, frente a una concepción más amplia las acciones afirmativas, la Corte Constitucional ha expresado que aquellas son producto del Estado Social de Derecho y de la transición de la igualdad formal a la igualdad material, reconocida como elemento esencial de aquel y plasmada expresamente en la mayoría de los textos constitucionales modernos. Sentencia SU-388 de 2005, M.P. Clara Inés Vargas Hernández.</w:t>
      </w:r>
    </w:p>
    <w:p w14:paraId="7D8DF2BB" w14:textId="77777777" w:rsidR="00B85E30" w:rsidRPr="00907B54" w:rsidRDefault="00B85E30" w:rsidP="00B85E30">
      <w:pPr>
        <w:pStyle w:val="Textonotapie"/>
        <w:contextualSpacing/>
        <w:jc w:val="both"/>
        <w:rPr>
          <w:rFonts w:ascii="Verdana" w:hAnsi="Verdana" w:cs="Arial"/>
          <w:sz w:val="16"/>
          <w:szCs w:val="16"/>
        </w:rPr>
      </w:pPr>
    </w:p>
  </w:footnote>
  <w:footnote w:id="17">
    <w:p w14:paraId="49A5DF80" w14:textId="77777777" w:rsidR="00B85E30" w:rsidRPr="00907B54" w:rsidRDefault="00B85E30" w:rsidP="00B85E30">
      <w:pPr>
        <w:pStyle w:val="Textonotapie"/>
        <w:ind w:firstLine="708"/>
        <w:contextualSpacing/>
        <w:jc w:val="both"/>
        <w:rPr>
          <w:rFonts w:ascii="Verdana" w:hAnsi="Verdana" w:cs="Arial"/>
          <w:sz w:val="16"/>
          <w:szCs w:val="16"/>
        </w:rPr>
      </w:pPr>
      <w:r w:rsidRPr="00907B54">
        <w:rPr>
          <w:rStyle w:val="Refdenotaalpie"/>
          <w:rFonts w:ascii="Verdana" w:hAnsi="Verdana" w:cs="Arial"/>
          <w:sz w:val="16"/>
          <w:szCs w:val="16"/>
        </w:rPr>
        <w:footnoteRef/>
      </w:r>
      <w:r w:rsidRPr="00907B54">
        <w:rPr>
          <w:rFonts w:ascii="Verdana" w:hAnsi="Verdana" w:cs="Arial"/>
          <w:sz w:val="16"/>
          <w:szCs w:val="16"/>
        </w:rPr>
        <w:t xml:space="preserve"> </w:t>
      </w:r>
      <w:r w:rsidRPr="00C53BE1">
        <w:rPr>
          <w:rFonts w:ascii="Verdana" w:hAnsi="Verdana" w:cs="Arial"/>
          <w:sz w:val="16"/>
          <w:szCs w:val="16"/>
          <w:lang w:val="es-CO"/>
        </w:rPr>
        <w:t>Corte Constitucional de Colombia. Sentencia T-926 de 2009. Magistrado Ponente: Luis Ernesto Vargas Silva. 10 de diciembre de 2009.</w:t>
      </w:r>
    </w:p>
    <w:p w14:paraId="7B7C1D2B" w14:textId="77777777" w:rsidR="00B85E30" w:rsidRPr="00907B54" w:rsidRDefault="00B85E30" w:rsidP="00B85E30">
      <w:pPr>
        <w:pStyle w:val="Textonotapie"/>
        <w:ind w:firstLine="708"/>
        <w:contextualSpacing/>
        <w:jc w:val="both"/>
        <w:rPr>
          <w:rFonts w:ascii="Verdana" w:hAnsi="Verdana" w:cs="Arial"/>
          <w:sz w:val="16"/>
          <w:szCs w:val="16"/>
        </w:rPr>
      </w:pPr>
    </w:p>
  </w:footnote>
  <w:footnote w:id="18">
    <w:p w14:paraId="6377FB7F" w14:textId="77777777" w:rsidR="00B85E30" w:rsidRPr="007322CB" w:rsidRDefault="00B85E30" w:rsidP="00B85E30">
      <w:pPr>
        <w:pStyle w:val="Textonotapie"/>
        <w:ind w:firstLine="708"/>
        <w:contextualSpacing/>
        <w:jc w:val="both"/>
        <w:rPr>
          <w:rFonts w:ascii="Arial" w:hAnsi="Arial" w:cs="Arial"/>
          <w:sz w:val="10"/>
          <w:szCs w:val="10"/>
        </w:rPr>
      </w:pPr>
      <w:r w:rsidRPr="00907B54">
        <w:rPr>
          <w:rStyle w:val="Refdenotaalpie"/>
          <w:rFonts w:ascii="Verdana" w:hAnsi="Verdana" w:cs="Arial"/>
          <w:sz w:val="16"/>
          <w:szCs w:val="16"/>
        </w:rPr>
        <w:footnoteRef/>
      </w:r>
      <w:r w:rsidRPr="00907B54">
        <w:rPr>
          <w:rFonts w:ascii="Verdana" w:hAnsi="Verdana" w:cs="Arial"/>
          <w:sz w:val="16"/>
          <w:szCs w:val="16"/>
        </w:rPr>
        <w:t xml:space="preserve"> </w:t>
      </w:r>
      <w:r w:rsidRPr="008E1B88">
        <w:rPr>
          <w:rFonts w:ascii="Verdana" w:hAnsi="Verdana" w:cs="Arial"/>
          <w:sz w:val="16"/>
          <w:szCs w:val="16"/>
          <w:lang w:val="es-CO"/>
        </w:rPr>
        <w:t>Corte Constitucional de Colombia. Sentencia C-964 de 2003. Magistrado Ponente: Álvaro Tafur Galvis. 21 de octubre de 2003.</w:t>
      </w:r>
    </w:p>
  </w:footnote>
  <w:footnote w:id="19">
    <w:p w14:paraId="0CF8212A" w14:textId="77777777" w:rsidR="00B85E30" w:rsidRPr="000643AD" w:rsidRDefault="00B85E30" w:rsidP="00B85E30">
      <w:pPr>
        <w:pStyle w:val="Textonotapie"/>
        <w:ind w:firstLine="708"/>
        <w:contextualSpacing/>
        <w:jc w:val="both"/>
        <w:rPr>
          <w:rFonts w:ascii="Verdana" w:hAnsi="Verdana" w:cs="Arial"/>
          <w:sz w:val="16"/>
          <w:szCs w:val="16"/>
        </w:rPr>
      </w:pPr>
      <w:r w:rsidRPr="000643AD">
        <w:rPr>
          <w:rStyle w:val="Refdenotaalpie"/>
          <w:rFonts w:ascii="Verdana" w:hAnsi="Verdana" w:cs="Arial"/>
          <w:sz w:val="16"/>
          <w:szCs w:val="16"/>
        </w:rPr>
        <w:footnoteRef/>
      </w:r>
      <w:r w:rsidRPr="000643AD">
        <w:rPr>
          <w:rFonts w:ascii="Verdana" w:hAnsi="Verdana" w:cs="Arial"/>
          <w:sz w:val="16"/>
          <w:szCs w:val="16"/>
        </w:rPr>
        <w:t xml:space="preserve"> Corte Constitucional de Colombia. Sentencia C-184 de 2003. Magistrado Ponente: Manuel José Cepeda Espinosa. 4 de marzo de 2003.</w:t>
      </w:r>
    </w:p>
    <w:p w14:paraId="261CFC8F" w14:textId="77777777" w:rsidR="00B85E30" w:rsidRPr="000643AD" w:rsidRDefault="00B85E30" w:rsidP="00B85E30">
      <w:pPr>
        <w:pStyle w:val="Textonotapie"/>
        <w:ind w:firstLine="708"/>
        <w:contextualSpacing/>
        <w:jc w:val="both"/>
        <w:rPr>
          <w:rFonts w:ascii="Verdana" w:hAnsi="Verdana" w:cs="Arial"/>
          <w:sz w:val="16"/>
          <w:szCs w:val="16"/>
        </w:rPr>
      </w:pPr>
    </w:p>
  </w:footnote>
  <w:footnote w:id="20">
    <w:p w14:paraId="4111CB8C" w14:textId="77777777" w:rsidR="00B85E30" w:rsidRPr="000643AD" w:rsidRDefault="00B85E30" w:rsidP="00B85E30">
      <w:pPr>
        <w:pStyle w:val="Textonotapie"/>
        <w:ind w:firstLine="708"/>
        <w:contextualSpacing/>
        <w:jc w:val="both"/>
        <w:rPr>
          <w:rFonts w:ascii="Verdana" w:hAnsi="Verdana" w:cs="Arial"/>
          <w:sz w:val="16"/>
          <w:szCs w:val="16"/>
          <w:lang w:val="es-CO"/>
        </w:rPr>
      </w:pPr>
      <w:r w:rsidRPr="000643AD">
        <w:rPr>
          <w:rStyle w:val="Refdenotaalpie"/>
          <w:rFonts w:ascii="Verdana" w:hAnsi="Verdana" w:cs="Arial"/>
          <w:sz w:val="16"/>
          <w:szCs w:val="16"/>
        </w:rPr>
        <w:footnoteRef/>
      </w:r>
      <w:r w:rsidRPr="000643AD">
        <w:rPr>
          <w:rFonts w:ascii="Verdana" w:hAnsi="Verdana" w:cs="Arial"/>
          <w:sz w:val="16"/>
          <w:szCs w:val="16"/>
          <w:lang w:val="es-CO"/>
        </w:rPr>
        <w:t xml:space="preserve"> Véase el artículo 2 de la Ley 82 de 1993, modificado por el artículo 1 de la Ley 1232 de 2008.</w:t>
      </w:r>
    </w:p>
    <w:p w14:paraId="62BA8C47" w14:textId="77777777" w:rsidR="00B85E30" w:rsidRPr="000643AD" w:rsidRDefault="00B85E30" w:rsidP="00B85E30">
      <w:pPr>
        <w:pStyle w:val="Textonotapie"/>
        <w:ind w:firstLine="708"/>
        <w:contextualSpacing/>
        <w:jc w:val="both"/>
        <w:rPr>
          <w:rFonts w:ascii="Verdana" w:hAnsi="Verdana" w:cs="Arial"/>
          <w:sz w:val="16"/>
          <w:szCs w:val="16"/>
          <w:lang w:val="es-CO"/>
        </w:rPr>
      </w:pPr>
    </w:p>
  </w:footnote>
  <w:footnote w:id="21">
    <w:p w14:paraId="29A47881" w14:textId="77777777" w:rsidR="00B85E30" w:rsidRPr="000643AD" w:rsidRDefault="00B85E30" w:rsidP="00B85E30">
      <w:pPr>
        <w:pStyle w:val="Textonotapie"/>
        <w:ind w:firstLine="708"/>
        <w:contextualSpacing/>
        <w:jc w:val="both"/>
        <w:rPr>
          <w:rFonts w:ascii="Verdana" w:hAnsi="Verdana" w:cs="Arial"/>
          <w:sz w:val="16"/>
          <w:szCs w:val="16"/>
        </w:rPr>
      </w:pPr>
      <w:r w:rsidRPr="000643AD">
        <w:rPr>
          <w:rStyle w:val="Refdenotaalpie"/>
          <w:rFonts w:ascii="Verdana" w:hAnsi="Verdana" w:cs="Arial"/>
          <w:sz w:val="16"/>
          <w:szCs w:val="16"/>
        </w:rPr>
        <w:footnoteRef/>
      </w:r>
      <w:r w:rsidRPr="000643AD">
        <w:rPr>
          <w:rFonts w:ascii="Verdana" w:hAnsi="Verdana" w:cs="Arial"/>
          <w:sz w:val="16"/>
          <w:szCs w:val="16"/>
        </w:rPr>
        <w:t xml:space="preserve"> </w:t>
      </w:r>
      <w:r w:rsidRPr="000643AD">
        <w:rPr>
          <w:rFonts w:ascii="Verdana" w:hAnsi="Verdana" w:cs="Arial"/>
          <w:sz w:val="16"/>
          <w:szCs w:val="16"/>
          <w:lang w:val="es-CO"/>
        </w:rPr>
        <w:t>Corte Constitucional de Colombia. Sentencia T-1211 de 2008. Magistrada Ponente: Clara Inés Vargas Hernández. 4 de diciembre de 2008.</w:t>
      </w:r>
    </w:p>
  </w:footnote>
  <w:footnote w:id="22">
    <w:p w14:paraId="25AFB83E" w14:textId="77777777" w:rsidR="00B85E30" w:rsidRPr="000643AD" w:rsidRDefault="00B85E30" w:rsidP="00B85E30">
      <w:pPr>
        <w:pStyle w:val="Textonotapie"/>
        <w:ind w:firstLine="708"/>
        <w:contextualSpacing/>
        <w:jc w:val="both"/>
        <w:rPr>
          <w:rFonts w:ascii="Verdana" w:hAnsi="Verdana" w:cs="Arial"/>
          <w:sz w:val="16"/>
          <w:szCs w:val="16"/>
        </w:rPr>
      </w:pPr>
      <w:r w:rsidRPr="000643AD">
        <w:rPr>
          <w:rStyle w:val="Refdenotaalpie"/>
          <w:rFonts w:ascii="Verdana" w:hAnsi="Verdana" w:cs="Arial"/>
          <w:sz w:val="16"/>
          <w:szCs w:val="16"/>
        </w:rPr>
        <w:footnoteRef/>
      </w:r>
      <w:r w:rsidRPr="000643AD">
        <w:rPr>
          <w:rFonts w:ascii="Verdana" w:hAnsi="Verdana" w:cs="Arial"/>
          <w:sz w:val="16"/>
          <w:szCs w:val="16"/>
        </w:rPr>
        <w:t xml:space="preserve"> </w:t>
      </w:r>
      <w:r w:rsidRPr="005F4E83">
        <w:rPr>
          <w:rFonts w:ascii="Verdana" w:hAnsi="Verdana" w:cs="Arial"/>
          <w:sz w:val="16"/>
          <w:szCs w:val="16"/>
        </w:rPr>
        <w:t>Corte Constitucional de Colombia. Sentencia SU-385 de 2008. Magistrada Ponente: Clara Inés Vargas Hernández. 17 de abril de 2008.</w:t>
      </w:r>
    </w:p>
    <w:p w14:paraId="613BF205" w14:textId="77777777" w:rsidR="00B85E30" w:rsidRPr="000643AD" w:rsidRDefault="00B85E30" w:rsidP="00B85E30">
      <w:pPr>
        <w:pStyle w:val="Textonotapie"/>
        <w:ind w:firstLine="708"/>
        <w:contextualSpacing/>
        <w:jc w:val="both"/>
        <w:rPr>
          <w:rFonts w:ascii="Verdana" w:hAnsi="Verdana" w:cs="Arial"/>
          <w:sz w:val="16"/>
          <w:szCs w:val="16"/>
        </w:rPr>
      </w:pPr>
    </w:p>
  </w:footnote>
  <w:footnote w:id="23">
    <w:p w14:paraId="53C09F4E" w14:textId="77777777" w:rsidR="00B85E30" w:rsidRPr="000643AD" w:rsidRDefault="00B85E30" w:rsidP="00B85E30">
      <w:pPr>
        <w:pStyle w:val="Textonotapie"/>
        <w:ind w:firstLine="708"/>
        <w:contextualSpacing/>
        <w:jc w:val="both"/>
        <w:rPr>
          <w:rFonts w:ascii="Verdana" w:hAnsi="Verdana" w:cs="Arial"/>
          <w:sz w:val="16"/>
          <w:szCs w:val="16"/>
        </w:rPr>
      </w:pPr>
      <w:r w:rsidRPr="000643AD">
        <w:rPr>
          <w:rFonts w:ascii="Verdana" w:hAnsi="Verdana" w:cs="Arial"/>
          <w:sz w:val="16"/>
          <w:szCs w:val="16"/>
          <w:vertAlign w:val="superscript"/>
        </w:rPr>
        <w:footnoteRef/>
      </w:r>
      <w:r w:rsidRPr="000643AD">
        <w:rPr>
          <w:rFonts w:ascii="Verdana" w:hAnsi="Verdana" w:cs="Arial"/>
          <w:sz w:val="16"/>
          <w:szCs w:val="16"/>
        </w:rPr>
        <w:t xml:space="preserve"> </w:t>
      </w:r>
      <w:r w:rsidRPr="00486136">
        <w:rPr>
          <w:rFonts w:ascii="Verdana" w:hAnsi="Verdana" w:cs="Arial"/>
          <w:sz w:val="16"/>
          <w:szCs w:val="16"/>
          <w:lang w:val="es-CO"/>
        </w:rPr>
        <w:t>Corte Constitucional de Colombia. Sentencia T-1211 de 2008. Magistrada Ponente: Clara Inés Vargas Hernández. 4 de diciembre de 2008.</w:t>
      </w:r>
    </w:p>
    <w:p w14:paraId="1FAC45FC" w14:textId="77777777" w:rsidR="00B85E30" w:rsidRPr="000643AD" w:rsidRDefault="00B85E30" w:rsidP="00B85E30">
      <w:pPr>
        <w:pStyle w:val="Textonotapie"/>
        <w:ind w:firstLine="708"/>
        <w:contextualSpacing/>
        <w:jc w:val="both"/>
        <w:rPr>
          <w:rFonts w:ascii="Verdana" w:hAnsi="Verdana" w:cs="Arial"/>
          <w:sz w:val="16"/>
          <w:szCs w:val="16"/>
        </w:rPr>
      </w:pPr>
    </w:p>
  </w:footnote>
  <w:footnote w:id="24">
    <w:p w14:paraId="2F059570" w14:textId="77777777" w:rsidR="00B85E30" w:rsidRPr="000643AD" w:rsidRDefault="00B85E30" w:rsidP="00B85E30">
      <w:pPr>
        <w:pStyle w:val="Textonotapie"/>
        <w:ind w:firstLine="708"/>
        <w:contextualSpacing/>
        <w:jc w:val="both"/>
        <w:rPr>
          <w:rFonts w:ascii="Verdana" w:hAnsi="Verdana" w:cs="Arial"/>
          <w:sz w:val="16"/>
          <w:szCs w:val="16"/>
        </w:rPr>
      </w:pPr>
      <w:r w:rsidRPr="000643AD">
        <w:rPr>
          <w:rFonts w:ascii="Verdana" w:hAnsi="Verdana" w:cs="Arial"/>
          <w:sz w:val="16"/>
          <w:szCs w:val="16"/>
          <w:vertAlign w:val="superscript"/>
        </w:rPr>
        <w:footnoteRef/>
      </w:r>
      <w:r w:rsidRPr="000643AD">
        <w:rPr>
          <w:rFonts w:ascii="Verdana" w:hAnsi="Verdana" w:cs="Arial"/>
          <w:sz w:val="16"/>
          <w:szCs w:val="16"/>
        </w:rPr>
        <w:t xml:space="preserve"> </w:t>
      </w:r>
      <w:r w:rsidRPr="00755437">
        <w:rPr>
          <w:rFonts w:ascii="Verdana" w:hAnsi="Verdana" w:cs="Arial"/>
          <w:sz w:val="16"/>
          <w:szCs w:val="16"/>
        </w:rPr>
        <w:t>Corte Constitucional de Colombia. Sentencia T-494 de 1992. Magistrado Ponente: Ciro Angarita Barón. 19 de agosto de 1992.</w:t>
      </w:r>
    </w:p>
    <w:p w14:paraId="0442A8B5" w14:textId="77777777" w:rsidR="00B85E30" w:rsidRPr="000643AD" w:rsidRDefault="00B85E30" w:rsidP="00B85E30">
      <w:pPr>
        <w:pStyle w:val="Textonotapie"/>
        <w:ind w:firstLine="708"/>
        <w:contextualSpacing/>
        <w:jc w:val="both"/>
        <w:rPr>
          <w:rFonts w:ascii="Verdana" w:hAnsi="Verdana" w:cs="Arial"/>
          <w:sz w:val="16"/>
          <w:szCs w:val="16"/>
        </w:rPr>
      </w:pPr>
    </w:p>
  </w:footnote>
  <w:footnote w:id="25">
    <w:p w14:paraId="0C4ED204" w14:textId="77777777" w:rsidR="00B85E30" w:rsidRPr="00F544BD" w:rsidRDefault="00B85E30" w:rsidP="00B85E30">
      <w:pPr>
        <w:pStyle w:val="Textonotapie"/>
        <w:ind w:firstLine="708"/>
        <w:contextualSpacing/>
        <w:jc w:val="both"/>
        <w:rPr>
          <w:rFonts w:ascii="Verdana" w:hAnsi="Verdana" w:cs="Arial"/>
          <w:sz w:val="16"/>
          <w:szCs w:val="16"/>
        </w:rPr>
      </w:pPr>
      <w:r w:rsidRPr="000643AD">
        <w:rPr>
          <w:rFonts w:ascii="Verdana" w:hAnsi="Verdana" w:cs="Arial"/>
          <w:sz w:val="16"/>
          <w:szCs w:val="16"/>
          <w:vertAlign w:val="superscript"/>
        </w:rPr>
        <w:footnoteRef/>
      </w:r>
      <w:r w:rsidRPr="000643AD">
        <w:rPr>
          <w:rFonts w:ascii="Verdana" w:hAnsi="Verdana" w:cs="Arial"/>
          <w:sz w:val="16"/>
          <w:szCs w:val="16"/>
        </w:rPr>
        <w:t xml:space="preserve"> </w:t>
      </w:r>
      <w:r>
        <w:rPr>
          <w:rFonts w:ascii="Verdana" w:hAnsi="Verdana" w:cs="Arial"/>
          <w:sz w:val="16"/>
          <w:szCs w:val="16"/>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69146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54A"/>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27537"/>
    <w:rsid w:val="00330834"/>
    <w:rsid w:val="003448F4"/>
    <w:rsid w:val="00351167"/>
    <w:rsid w:val="00374F5E"/>
    <w:rsid w:val="00377E3E"/>
    <w:rsid w:val="00383673"/>
    <w:rsid w:val="003A779E"/>
    <w:rsid w:val="003D0F4D"/>
    <w:rsid w:val="003D4E5E"/>
    <w:rsid w:val="003D5B0D"/>
    <w:rsid w:val="003E0499"/>
    <w:rsid w:val="003E4F80"/>
    <w:rsid w:val="003E6439"/>
    <w:rsid w:val="003F3941"/>
    <w:rsid w:val="00406575"/>
    <w:rsid w:val="00414C74"/>
    <w:rsid w:val="0042722E"/>
    <w:rsid w:val="0044528D"/>
    <w:rsid w:val="00466E39"/>
    <w:rsid w:val="00487675"/>
    <w:rsid w:val="004A1847"/>
    <w:rsid w:val="004A305D"/>
    <w:rsid w:val="004F21C4"/>
    <w:rsid w:val="004F685F"/>
    <w:rsid w:val="00502D9E"/>
    <w:rsid w:val="005566E8"/>
    <w:rsid w:val="00574867"/>
    <w:rsid w:val="00591460"/>
    <w:rsid w:val="005A2FE0"/>
    <w:rsid w:val="005A65E0"/>
    <w:rsid w:val="005C3777"/>
    <w:rsid w:val="005C5CDC"/>
    <w:rsid w:val="005D476C"/>
    <w:rsid w:val="006200BF"/>
    <w:rsid w:val="006219F8"/>
    <w:rsid w:val="006302F7"/>
    <w:rsid w:val="00646B9F"/>
    <w:rsid w:val="00665D70"/>
    <w:rsid w:val="006900D9"/>
    <w:rsid w:val="006E771C"/>
    <w:rsid w:val="00706C16"/>
    <w:rsid w:val="007340C3"/>
    <w:rsid w:val="0075235A"/>
    <w:rsid w:val="00756841"/>
    <w:rsid w:val="007649AB"/>
    <w:rsid w:val="00771D0C"/>
    <w:rsid w:val="007833AC"/>
    <w:rsid w:val="007B268C"/>
    <w:rsid w:val="007B7171"/>
    <w:rsid w:val="007C0C0F"/>
    <w:rsid w:val="007C3DC2"/>
    <w:rsid w:val="007E5497"/>
    <w:rsid w:val="00805733"/>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50848"/>
    <w:rsid w:val="00AB0ADB"/>
    <w:rsid w:val="00AC110A"/>
    <w:rsid w:val="00B00C0E"/>
    <w:rsid w:val="00B01B1A"/>
    <w:rsid w:val="00B02F16"/>
    <w:rsid w:val="00B0381D"/>
    <w:rsid w:val="00B44A47"/>
    <w:rsid w:val="00B72CD3"/>
    <w:rsid w:val="00B72FFF"/>
    <w:rsid w:val="00B85E30"/>
    <w:rsid w:val="00BC3D36"/>
    <w:rsid w:val="00BD54A6"/>
    <w:rsid w:val="00BD764E"/>
    <w:rsid w:val="00BD7F72"/>
    <w:rsid w:val="00BE3D95"/>
    <w:rsid w:val="00BF7425"/>
    <w:rsid w:val="00C04FB3"/>
    <w:rsid w:val="00C11D8B"/>
    <w:rsid w:val="00C15139"/>
    <w:rsid w:val="00C330EB"/>
    <w:rsid w:val="00C4674D"/>
    <w:rsid w:val="00C50D69"/>
    <w:rsid w:val="00C5365C"/>
    <w:rsid w:val="00C754BE"/>
    <w:rsid w:val="00C76B1C"/>
    <w:rsid w:val="00C925AC"/>
    <w:rsid w:val="00CB6357"/>
    <w:rsid w:val="00CC1B26"/>
    <w:rsid w:val="00CD2FB8"/>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6ACA"/>
    <w:rsid w:val="00EA0E3D"/>
    <w:rsid w:val="00EA1DE1"/>
    <w:rsid w:val="00EC38A7"/>
    <w:rsid w:val="00EE1AA8"/>
    <w:rsid w:val="00F11B48"/>
    <w:rsid w:val="00F23FEA"/>
    <w:rsid w:val="00F31EDC"/>
    <w:rsid w:val="00F462B3"/>
    <w:rsid w:val="00F5664F"/>
    <w:rsid w:val="00F666C4"/>
    <w:rsid w:val="00F76AFC"/>
    <w:rsid w:val="00F95944"/>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1D65FF5"/>
    <w:rsid w:val="545B112A"/>
    <w:rsid w:val="5BEB1497"/>
    <w:rsid w:val="69614A15"/>
    <w:rsid w:val="6A0D6291"/>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05A5629-5AC4-4127-9BEF-CB6475C61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27537"/>
    <w:pPr>
      <w:spacing w:line="240" w:lineRule="exact"/>
    </w:pPr>
    <w:rPr>
      <w:vertAlign w:val="superscript"/>
    </w:rPr>
  </w:style>
  <w:style w:type="character" w:customStyle="1" w:styleId="NormalWebCar">
    <w:name w:val="Normal (Web) Car"/>
    <w:link w:val="NormalWeb"/>
    <w:uiPriority w:val="99"/>
    <w:locked/>
    <w:rsid w:val="00327537"/>
    <w:rPr>
      <w:rFonts w:ascii="Times New Roman" w:eastAsia="Times New Roman" w:hAnsi="Times New Roman" w:cs="Times New Roman"/>
      <w:sz w:val="24"/>
      <w:szCs w:val="24"/>
      <w:lang w:eastAsia="es-CO"/>
    </w:rPr>
  </w:style>
  <w:style w:type="character" w:customStyle="1" w:styleId="s15">
    <w:name w:val="s15"/>
    <w:basedOn w:val="Fuentedeprrafopredeter"/>
    <w:rsid w:val="00327537"/>
  </w:style>
  <w:style w:type="character" w:customStyle="1" w:styleId="apple-converted-space">
    <w:name w:val="apple-converted-space"/>
    <w:basedOn w:val="Fuentedeprrafopredeter"/>
    <w:rsid w:val="00327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4640" TargetMode="External"/><Relationship Id="rId18" Type="http://schemas.openxmlformats.org/officeDocument/2006/relationships/hyperlink" Target="https://www.funcionpublica.gov.co/eva/gestornormativo/norma.php?i=34054" TargetMode="External"/><Relationship Id="rId26"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3" Type="http://schemas.openxmlformats.org/officeDocument/2006/relationships/customXml" Target="../customXml/item3.xml"/><Relationship Id="rId21" Type="http://schemas.openxmlformats.org/officeDocument/2006/relationships/hyperlink" Target="https://www.colombiacompra.gov.co/archivos/manual/manual-de-incentivos-en-procesos-de-contratacion" TargetMode="External"/><Relationship Id="rId7" Type="http://schemas.openxmlformats.org/officeDocument/2006/relationships/webSettings" Target="webSettings.xml"/><Relationship Id="rId12" Type="http://schemas.openxmlformats.org/officeDocument/2006/relationships/hyperlink" Target="mailto:paula_latorre@yahoo.com" TargetMode="External"/><Relationship Id="rId17" Type="http://schemas.openxmlformats.org/officeDocument/2006/relationships/hyperlink" Target="https://www.funcionpublica.gov.co/eva/gestornormativo/norma.php?i=34054" TargetMode="External"/><Relationship Id="rId25"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2" Type="http://schemas.openxmlformats.org/officeDocument/2006/relationships/customXml" Target="../customXml/item2.xml"/><Relationship Id="rId16" Type="http://schemas.openxmlformats.org/officeDocument/2006/relationships/hyperlink" Target="https://www.funcionpublica.gov.co/eva/gestornormativo/norma.php?i=31591" TargetMode="External"/><Relationship Id="rId20" Type="http://schemas.openxmlformats.org/officeDocument/2006/relationships/hyperlink" Target="https://www.funcionpublica.gov.co/eva/gestornormativo/norma.php?i=3159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 TargetMode="External"/><Relationship Id="rId24"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 Id="rId5" Type="http://schemas.openxmlformats.org/officeDocument/2006/relationships/styles" Target="styles.xml"/><Relationship Id="rId15" Type="http://schemas.openxmlformats.org/officeDocument/2006/relationships/hyperlink" Target="https://www.funcionpublica.gov.co/eva/gestornormativo/norma.php?i=4640" TargetMode="External"/><Relationship Id="rId23"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www.funcionpublica.gov.co/eva/gestornormativo/norma.php?i=4640"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31591" TargetMode="External"/><Relationship Id="rId22" Type="http://schemas.openxmlformats.org/officeDocument/2006/relationships/hyperlink" Target="https://relatoria.colombiacompra.gov.co/busqueda/conceptos" TargetMode="External"/><Relationship Id="rId27" Type="http://schemas.openxmlformats.org/officeDocument/2006/relationships/image" Target="media/image3.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archivos/manual/manual-de-incentivos-en-procesos-de-contratacion" TargetMode="External"/><Relationship Id="rId1" Type="http://schemas.openxmlformats.org/officeDocument/2006/relationships/hyperlink" Target="https://www.colombiacompra.gov.co/archivos/manual/manual-de-incentivos-en-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5F393EE-3EA4-4BD7-A4A6-6472878C608C}"/>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19</Pages>
  <Words>6489</Words>
  <Characters>35695</Characters>
  <Application>Microsoft Office Word</Application>
  <DocSecurity>0</DocSecurity>
  <Lines>297</Lines>
  <Paragraphs>84</Paragraphs>
  <ScaleCrop>false</ScaleCrop>
  <Company/>
  <LinksUpToDate>false</LinksUpToDate>
  <CharactersWithSpaces>42100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7</cp:revision>
  <cp:lastPrinted>2023-01-11T00:18:00Z</cp:lastPrinted>
  <dcterms:created xsi:type="dcterms:W3CDTF">2026-09-21T19:32:00Z</dcterms:created>
  <dcterms:modified xsi:type="dcterms:W3CDTF">2026-09-21T20:17:00Z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