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CD616" w14:textId="77777777" w:rsidR="00B4064D" w:rsidRPr="00B4064D" w:rsidRDefault="00FC410D" w:rsidP="0060580E">
      <w:pPr>
        <w:spacing w:after="0" w:line="240" w:lineRule="auto"/>
        <w:rPr>
          <w:rFonts w:ascii="Verdana" w:eastAsia="Verdana" w:hAnsi="Verdana" w:cs="Verdana"/>
          <w:b/>
          <w:bCs/>
          <w:lang w:val="es-ES_tradnl"/>
        </w:rPr>
      </w:pPr>
      <w:bookmarkStart w:id="0" w:name="_Hlk143780582"/>
      <w:r w:rsidRPr="00B4064D">
        <w:rPr>
          <w:rFonts w:ascii="Verdana" w:eastAsia="Verdana" w:hAnsi="Verdana" w:cs="Verdana"/>
          <w:b/>
          <w:bCs/>
          <w:lang w:val="es-ES_tradnl"/>
        </w:rPr>
        <w:t>LEY 1955 DE 2019 – Artículo 229 – Finalidad</w:t>
      </w:r>
    </w:p>
    <w:p w14:paraId="0BC89E19" w14:textId="77777777" w:rsidR="00C174DF" w:rsidRDefault="00C174DF" w:rsidP="0060580E">
      <w:pPr>
        <w:spacing w:after="0" w:line="240" w:lineRule="auto"/>
        <w:jc w:val="both"/>
        <w:rPr>
          <w:rFonts w:ascii="Verdana" w:eastAsia="Verdana" w:hAnsi="Verdana" w:cs="Verdana"/>
          <w:b/>
          <w:lang w:val="es-ES_tradnl"/>
        </w:rPr>
      </w:pPr>
    </w:p>
    <w:p w14:paraId="2A65EA51" w14:textId="77777777" w:rsidR="00C174DF" w:rsidRPr="005750C1" w:rsidRDefault="00C174DF" w:rsidP="0060580E">
      <w:pPr>
        <w:spacing w:after="0" w:line="240" w:lineRule="auto"/>
        <w:jc w:val="both"/>
        <w:rPr>
          <w:rFonts w:ascii="Verdana" w:eastAsia="Verdana" w:hAnsi="Verdana" w:cs="Verdana"/>
          <w:sz w:val="20"/>
        </w:rPr>
      </w:pPr>
      <w:r w:rsidRPr="005750C1">
        <w:rPr>
          <w:rFonts w:ascii="Verdana" w:eastAsia="Verdana" w:hAnsi="Verdana" w:cs="Verdana"/>
          <w:sz w:val="20"/>
        </w:rPr>
        <w:t xml:space="preserve">Así, en el mercado de la compra pública se crean incentivos para fomentar el desarrollo de determinado tipo de proveedores, como ocurre con los incentivos a las </w:t>
      </w:r>
      <w:proofErr w:type="spellStart"/>
      <w:r w:rsidRPr="005750C1">
        <w:rPr>
          <w:rFonts w:ascii="Verdana" w:eastAsia="Verdana" w:hAnsi="Verdana" w:cs="Verdana"/>
          <w:sz w:val="20"/>
        </w:rPr>
        <w:t>Mipymes</w:t>
      </w:r>
      <w:proofErr w:type="spellEnd"/>
      <w:r w:rsidRPr="005750C1">
        <w:rPr>
          <w:rFonts w:ascii="Verdana" w:eastAsia="Verdana" w:hAnsi="Verdana" w:cs="Verdana"/>
          <w:sz w:val="20"/>
        </w:rPr>
        <w:t>, a los emprendimientos y empresas de mujeres, entre otros. En esa orientación, el artículo 229 de la Ley 1955 de 2019, “Por el cual se expide el Plan Nacional de Desarrollo 2018-2022”, dispuso que las entidades públicas descentralizadas del orden nacional y las entidades territoriales cada vez que requieran productos agropecuarios para atender la demanda en sus programas institucionales, deben asignar puntajes adicionales y estrategias de ponderación que mejoren las calificaciones de los proponentes cuando presenten contratos de proveeduría celebrados con productores nacionales.</w:t>
      </w:r>
    </w:p>
    <w:p w14:paraId="22DAF8F9" w14:textId="77777777" w:rsidR="00C174DF" w:rsidRPr="00045804" w:rsidRDefault="00C174DF" w:rsidP="0060580E">
      <w:pPr>
        <w:spacing w:after="0" w:line="240" w:lineRule="auto"/>
        <w:jc w:val="both"/>
        <w:rPr>
          <w:rFonts w:ascii="Verdana" w:eastAsia="Verdana" w:hAnsi="Verdana" w:cs="Verdana"/>
          <w:b/>
        </w:rPr>
      </w:pPr>
    </w:p>
    <w:p w14:paraId="458E303D" w14:textId="77777777" w:rsidR="00C174DF" w:rsidRPr="00045804" w:rsidRDefault="00C174DF" w:rsidP="0060580E">
      <w:pPr>
        <w:spacing w:after="0" w:line="240" w:lineRule="auto"/>
        <w:jc w:val="both"/>
        <w:rPr>
          <w:rFonts w:ascii="Verdana" w:eastAsia="Verdana" w:hAnsi="Verdana" w:cs="Verdana"/>
          <w:b/>
          <w:lang w:val="es-ES_tradnl"/>
        </w:rPr>
      </w:pPr>
      <w:r w:rsidRPr="00045804">
        <w:rPr>
          <w:rFonts w:ascii="Verdana" w:eastAsia="Verdana" w:hAnsi="Verdana" w:cs="Verdana"/>
          <w:b/>
          <w:lang w:val="es-ES_tradnl"/>
        </w:rPr>
        <w:t xml:space="preserve">LEY 2046 DE 2020 – Finalidad – Ámbito de aplicación - Compra pública de alimentos </w:t>
      </w:r>
    </w:p>
    <w:p w14:paraId="7ADD6E72" w14:textId="77777777" w:rsidR="00C174DF" w:rsidRDefault="00C174DF" w:rsidP="0060580E">
      <w:pPr>
        <w:spacing w:after="0" w:line="240" w:lineRule="auto"/>
        <w:jc w:val="both"/>
        <w:rPr>
          <w:rFonts w:ascii="Verdana" w:eastAsia="Verdana" w:hAnsi="Verdana" w:cs="Verdana"/>
          <w:b/>
          <w:lang w:val="es-ES_tradnl"/>
        </w:rPr>
      </w:pPr>
    </w:p>
    <w:p w14:paraId="1BE306E6" w14:textId="77777777" w:rsidR="00C174DF" w:rsidRDefault="00C174DF" w:rsidP="0060580E">
      <w:pPr>
        <w:spacing w:after="0" w:line="240" w:lineRule="auto"/>
        <w:jc w:val="both"/>
        <w:rPr>
          <w:rFonts w:ascii="Verdana" w:eastAsia="Verdana" w:hAnsi="Verdana" w:cs="Verdana"/>
          <w:sz w:val="20"/>
        </w:rPr>
      </w:pPr>
      <w:r w:rsidRPr="0001317C">
        <w:rPr>
          <w:rFonts w:ascii="Verdana" w:eastAsia="Verdana" w:hAnsi="Verdana" w:cs="Verdana"/>
          <w:sz w:val="20"/>
        </w:rPr>
        <w:t>En cuanto al campo de aplicación, el artículo 3 ibidem prescribe lo siguiente: “Las disposiciones que aquí se establecen, serán obligatorias para las entidades públicas del nivel nacional, departamental, distrital, municipal, sociedades de economía mixta, y entidades privadas que manejen recursos públicos y operen en el territorio nacional, que demanden de forma directa o a través de interpuesta persona, alimentos para el abastecimiento y para suministro de productos de origen agropecuario, cumpliendo con los requisitos sanitarios que establezca la normatividad vigente”. Por lo demás, también dispone en su inciso segundo que “Las disposiciones contempladas en la presente ley también aplicarán para entidades privadas que suscriban contratos con el Estado y que, en desarrollo de las labores o actividades desplegadas en el marco de aquellos, demanden de forma directa o a través de interpuesta persona alimentos para abastecimiento o para suministro de productos de origen agropecuario”.</w:t>
      </w:r>
    </w:p>
    <w:p w14:paraId="6F8C6637" w14:textId="77777777" w:rsidR="00C174DF" w:rsidRPr="0001317C" w:rsidRDefault="00C174DF" w:rsidP="0060580E">
      <w:pPr>
        <w:spacing w:after="0" w:line="240" w:lineRule="auto"/>
        <w:jc w:val="both"/>
        <w:rPr>
          <w:rFonts w:ascii="Verdana" w:eastAsia="Verdana" w:hAnsi="Verdana" w:cs="Verdana"/>
          <w:sz w:val="20"/>
        </w:rPr>
      </w:pPr>
      <w:r w:rsidRPr="0001317C">
        <w:rPr>
          <w:rFonts w:ascii="Verdana" w:eastAsia="Verdana" w:hAnsi="Verdana" w:cs="Verdana"/>
          <w:sz w:val="20"/>
        </w:rPr>
        <w:t xml:space="preserve"> </w:t>
      </w:r>
    </w:p>
    <w:p w14:paraId="55782149" w14:textId="42EB7A42" w:rsidR="00B4064D" w:rsidRPr="00C174DF" w:rsidRDefault="00C174DF" w:rsidP="0060580E">
      <w:pPr>
        <w:spacing w:after="0" w:line="240" w:lineRule="auto"/>
        <w:jc w:val="both"/>
        <w:rPr>
          <w:rFonts w:ascii="Verdana" w:eastAsia="Verdana" w:hAnsi="Verdana" w:cs="Verdana"/>
          <w:sz w:val="20"/>
        </w:rPr>
      </w:pPr>
      <w:r w:rsidRPr="0001317C">
        <w:rPr>
          <w:rFonts w:ascii="Verdana" w:eastAsia="Verdana" w:hAnsi="Verdana" w:cs="Verdana"/>
          <w:sz w:val="20"/>
        </w:rPr>
        <w:t>En efecto, este ámbito de aplicación no se limita a las entidades sujetas al Estatuto General de Contratación de la Administración Pública, sino que se extiende a otro tipo de Entidades Públicas de los distintos órdenes, las sociedades de economía mixta, entidades privadas que administren recursos públicos, así como los demás sujetos mencionados en la norma. Esta redacción evidencia la intención del legislador de otorgar un alcance general y comprensivo a las obligaciones allí contenidas, evitando limitar su aplicación a una categoría específica de entidades.</w:t>
      </w:r>
    </w:p>
    <w:p w14:paraId="6891A1C0" w14:textId="77777777" w:rsidR="00B4064D" w:rsidRPr="00B4064D" w:rsidRDefault="00B4064D" w:rsidP="0060580E">
      <w:pPr>
        <w:spacing w:after="0" w:line="240" w:lineRule="auto"/>
        <w:jc w:val="both"/>
        <w:rPr>
          <w:rFonts w:ascii="Verdana" w:eastAsia="Verdana" w:hAnsi="Verdana" w:cs="Verdana"/>
          <w:b/>
          <w:bCs/>
          <w:lang w:val="es-ES_tradnl"/>
        </w:rPr>
      </w:pPr>
    </w:p>
    <w:p w14:paraId="0AC53148" w14:textId="77777777" w:rsidR="00B4064D" w:rsidRPr="00B4064D" w:rsidRDefault="00FC410D" w:rsidP="0060580E">
      <w:pPr>
        <w:spacing w:after="0" w:line="240" w:lineRule="auto"/>
        <w:jc w:val="both"/>
        <w:rPr>
          <w:rFonts w:ascii="Verdana" w:eastAsia="Verdana" w:hAnsi="Verdana" w:cs="Verdana"/>
          <w:b/>
          <w:bCs/>
        </w:rPr>
      </w:pPr>
      <w:r w:rsidRPr="00B4064D">
        <w:rPr>
          <w:rFonts w:ascii="Verdana" w:eastAsia="Verdana" w:hAnsi="Verdana" w:cs="Verdana"/>
          <w:b/>
          <w:bCs/>
        </w:rPr>
        <w:t>LEY 2046 DE 2020 – Artículo 7 – Incentivos contractuales – Puntajes adicionales – Promoción de la compra pública de alimentos</w:t>
      </w:r>
    </w:p>
    <w:p w14:paraId="09418EC2" w14:textId="77777777" w:rsidR="00B4064D" w:rsidRPr="008A2B6D" w:rsidRDefault="00B4064D" w:rsidP="0060580E">
      <w:pPr>
        <w:spacing w:after="0" w:line="240" w:lineRule="auto"/>
        <w:jc w:val="both"/>
        <w:rPr>
          <w:rFonts w:ascii="Verdana" w:eastAsia="Verdana" w:hAnsi="Verdana" w:cs="Verdana"/>
          <w:sz w:val="20"/>
          <w:szCs w:val="20"/>
        </w:rPr>
      </w:pPr>
    </w:p>
    <w:p w14:paraId="360712F1" w14:textId="77777777" w:rsidR="008A2B6D" w:rsidRPr="008A2B6D" w:rsidRDefault="008A2B6D" w:rsidP="0060580E">
      <w:pPr>
        <w:spacing w:after="0" w:line="240" w:lineRule="auto"/>
        <w:jc w:val="both"/>
        <w:rPr>
          <w:rFonts w:ascii="Verdana" w:eastAsia="Verdana" w:hAnsi="Verdana" w:cs="Verdana"/>
          <w:sz w:val="20"/>
          <w:szCs w:val="20"/>
        </w:rPr>
      </w:pPr>
      <w:r w:rsidRPr="008A2B6D">
        <w:rPr>
          <w:rFonts w:ascii="Verdana" w:eastAsia="Verdana" w:hAnsi="Verdana" w:cs="Verdana"/>
          <w:sz w:val="20"/>
          <w:szCs w:val="20"/>
        </w:rPr>
        <w:t xml:space="preserve">Este artículo establece un marco normativo para garantizar la participación de pequeños productores agropecuarios y de la Agricultura Campesina, Familiar y Comunitaria en los procesos de contratación pública de alimentos. En primer lugar, fija un porcentaje mínimo obligatorio del 30% de compra local con cargo al presupuesto destinado a la adquisición de alimentos. Si la oferta local no alcanza ese porcentaje, la entidad debe </w:t>
      </w:r>
      <w:r w:rsidRPr="008A2B6D">
        <w:rPr>
          <w:rFonts w:ascii="Verdana" w:eastAsia="Verdana" w:hAnsi="Verdana" w:cs="Verdana"/>
          <w:sz w:val="20"/>
          <w:szCs w:val="20"/>
        </w:rPr>
        <w:lastRenderedPageBreak/>
        <w:t>informar a la Mesa Técnica Nacional de Compras Públicas, la cual certificará la insuficiencia y gestionará un listado de productores no locales para suplir el faltante, asegurando así la continuidad del abastecimiento y el cumplimiento del mandato legal.</w:t>
      </w:r>
    </w:p>
    <w:p w14:paraId="486E71A8" w14:textId="77777777" w:rsidR="008A2B6D" w:rsidRPr="008A2B6D" w:rsidRDefault="008A2B6D" w:rsidP="0060580E">
      <w:pPr>
        <w:spacing w:after="0" w:line="240" w:lineRule="auto"/>
        <w:jc w:val="both"/>
        <w:rPr>
          <w:rFonts w:ascii="Verdana" w:eastAsia="Verdana" w:hAnsi="Verdana" w:cs="Verdana"/>
          <w:sz w:val="20"/>
          <w:szCs w:val="20"/>
        </w:rPr>
      </w:pPr>
      <w:r w:rsidRPr="008A2B6D">
        <w:rPr>
          <w:rFonts w:ascii="Verdana" w:eastAsia="Verdana" w:hAnsi="Verdana" w:cs="Verdana"/>
          <w:sz w:val="20"/>
          <w:szCs w:val="20"/>
        </w:rPr>
        <w:t>En segundo lugar, el artículo incorpora un criterio de evaluación obligatorio en los pliegos de condiciones, cuyo factor de selección no solo sea el precio, consistente en la asignación de un puntaje mínimo equivalente al diez por ciento (10%) de la calificación total de las propuestas. Dicho puntaje no se concede de manera automática ni uniforme a todos los oferentes, sino que se distribuye de forma proporcional en función del nivel de compromiso que cada proponente asuma respecto de la adquisición de productos provenientes de pequeños productores agropecuarios locales y/o de la Agricultura Campesina, Familiar y Comunitaria. De esta manera, el sistema de evaluación se convierte en un mecanismo de incentivo que premia gradualmente a quienes superan el umbral mínimo exigido por la entidad contratante, garantizando que el reconocimiento en la calificación refleje el esfuerzo real de inclusión de pequeños productores.</w:t>
      </w:r>
    </w:p>
    <w:p w14:paraId="1240963E" w14:textId="5916D246" w:rsidR="008A2B6D" w:rsidRPr="008A2B6D" w:rsidRDefault="008A2B6D" w:rsidP="0060580E">
      <w:pPr>
        <w:spacing w:after="0" w:line="240" w:lineRule="auto"/>
        <w:jc w:val="both"/>
        <w:rPr>
          <w:rFonts w:ascii="Verdana" w:eastAsia="Verdana" w:hAnsi="Verdana" w:cs="Verdana"/>
          <w:sz w:val="20"/>
          <w:szCs w:val="20"/>
        </w:rPr>
      </w:pPr>
      <w:r w:rsidRPr="008A2B6D">
        <w:rPr>
          <w:rFonts w:ascii="Verdana" w:eastAsia="Verdana" w:hAnsi="Verdana" w:cs="Verdana"/>
          <w:sz w:val="20"/>
          <w:szCs w:val="20"/>
        </w:rPr>
        <w:t>[…]</w:t>
      </w:r>
    </w:p>
    <w:p w14:paraId="51F81B59" w14:textId="4D7B678E" w:rsidR="008A2B6D" w:rsidRPr="008A2B6D" w:rsidRDefault="008A2B6D" w:rsidP="0060580E">
      <w:pPr>
        <w:spacing w:after="0" w:line="240" w:lineRule="auto"/>
        <w:jc w:val="both"/>
        <w:rPr>
          <w:rFonts w:ascii="Verdana" w:eastAsia="Verdana" w:hAnsi="Verdana" w:cs="Verdana"/>
          <w:sz w:val="20"/>
          <w:szCs w:val="20"/>
        </w:rPr>
      </w:pPr>
      <w:r w:rsidRPr="008A2B6D">
        <w:rPr>
          <w:rFonts w:ascii="Verdana" w:eastAsia="Verdana" w:hAnsi="Verdana" w:cs="Verdana"/>
          <w:sz w:val="20"/>
          <w:szCs w:val="20"/>
        </w:rPr>
        <w:t>Finalmente, el artículo dispone obligaciones complementarias: los contratistas deben participar en espacios de articulación y ruedas de negocios organizados por la Mesa Técnica Nacional, y las entidades públicas deben definir la zona geográfica de compra local en sus estudios previos, considerando criterios como conectividad vial, vocación del suelo, disponibilidad de alimentos y presencia de pequeños productores. Con ello, se busca consolidar circuitos cortos de comercialización, fortalecer la economía campesina y garantizar que la contratación pública se convierta en un instrumento de desarrollo territorial sostenible.</w:t>
      </w:r>
    </w:p>
    <w:p w14:paraId="4A23C337" w14:textId="77777777" w:rsidR="00B4064D" w:rsidRPr="00B4064D" w:rsidRDefault="00B4064D" w:rsidP="0060580E">
      <w:pPr>
        <w:spacing w:after="0" w:line="240" w:lineRule="auto"/>
        <w:jc w:val="both"/>
        <w:rPr>
          <w:rFonts w:ascii="Verdana" w:eastAsia="Verdana" w:hAnsi="Verdana" w:cs="Verdana"/>
          <w:b/>
          <w:bCs/>
        </w:rPr>
      </w:pPr>
    </w:p>
    <w:p w14:paraId="15EB5F0C" w14:textId="77777777" w:rsidR="00B4064D" w:rsidRDefault="00FC410D" w:rsidP="0060580E">
      <w:pPr>
        <w:spacing w:after="0" w:line="240" w:lineRule="auto"/>
        <w:jc w:val="both"/>
        <w:rPr>
          <w:rFonts w:ascii="Verdana" w:eastAsia="Verdana" w:hAnsi="Verdana" w:cs="Verdana"/>
          <w:b/>
          <w:bCs/>
        </w:rPr>
      </w:pPr>
      <w:r w:rsidRPr="00B4064D">
        <w:rPr>
          <w:rFonts w:ascii="Verdana" w:eastAsia="Verdana" w:hAnsi="Verdana" w:cs="Verdana"/>
          <w:b/>
          <w:bCs/>
        </w:rPr>
        <w:t xml:space="preserve">Ley 2046 de 2020 – Asignación Proporcional – Criterio </w:t>
      </w:r>
    </w:p>
    <w:p w14:paraId="74E7BEA2" w14:textId="77777777" w:rsidR="00B4064D" w:rsidRPr="008A2B6D" w:rsidRDefault="00B4064D" w:rsidP="0060580E">
      <w:pPr>
        <w:spacing w:after="0" w:line="240" w:lineRule="auto"/>
        <w:jc w:val="both"/>
        <w:rPr>
          <w:rFonts w:ascii="Verdana" w:eastAsia="Verdana" w:hAnsi="Verdana" w:cs="Verdana"/>
          <w:sz w:val="20"/>
          <w:szCs w:val="20"/>
        </w:rPr>
      </w:pPr>
    </w:p>
    <w:p w14:paraId="5B8DA47D" w14:textId="77777777" w:rsidR="008A2B6D" w:rsidRPr="008A2B6D" w:rsidRDefault="008A2B6D" w:rsidP="0060580E">
      <w:pPr>
        <w:spacing w:after="0" w:line="240" w:lineRule="auto"/>
        <w:jc w:val="both"/>
        <w:rPr>
          <w:rFonts w:ascii="Verdana" w:eastAsia="Verdana" w:hAnsi="Verdana" w:cs="Verdana"/>
          <w:sz w:val="20"/>
          <w:szCs w:val="20"/>
        </w:rPr>
      </w:pPr>
      <w:r w:rsidRPr="008A2B6D">
        <w:rPr>
          <w:rFonts w:ascii="Verdana" w:eastAsia="Verdana" w:hAnsi="Verdana" w:cs="Verdana"/>
          <w:sz w:val="20"/>
          <w:szCs w:val="20"/>
        </w:rPr>
        <w:t xml:space="preserve">En este contexto, la proporcionalidad aplica bajo tres reglas fundamentales: i) la entidad contratante debe fijar en sus pliegos un porcentaje mínimo de participación de pequeños productores en la provisión de alimentos, el cual constituye el umbral obligatorio que todos los oferentes deben cumplir; </w:t>
      </w:r>
      <w:proofErr w:type="spellStart"/>
      <w:r w:rsidRPr="008A2B6D">
        <w:rPr>
          <w:rFonts w:ascii="Verdana" w:eastAsia="Verdana" w:hAnsi="Verdana" w:cs="Verdana"/>
          <w:sz w:val="20"/>
          <w:szCs w:val="20"/>
        </w:rPr>
        <w:t>ii</w:t>
      </w:r>
      <w:proofErr w:type="spellEnd"/>
      <w:r w:rsidRPr="008A2B6D">
        <w:rPr>
          <w:rFonts w:ascii="Verdana" w:eastAsia="Verdana" w:hAnsi="Verdana" w:cs="Verdana"/>
          <w:sz w:val="20"/>
          <w:szCs w:val="20"/>
        </w:rPr>
        <w:t xml:space="preserve">) únicamente aquellos proponentes que se comprometan a superar dicho mínimo obtendrán puntos adicionales dentro de la evaluación de la oferta, lo que asegura que el beneficio se otorgue a quienes demuestran un compromiso superior al estándar; y </w:t>
      </w:r>
      <w:proofErr w:type="spellStart"/>
      <w:r w:rsidRPr="008A2B6D">
        <w:rPr>
          <w:rFonts w:ascii="Verdana" w:eastAsia="Verdana" w:hAnsi="Verdana" w:cs="Verdana"/>
          <w:sz w:val="20"/>
          <w:szCs w:val="20"/>
        </w:rPr>
        <w:t>iii</w:t>
      </w:r>
      <w:proofErr w:type="spellEnd"/>
      <w:r w:rsidRPr="008A2B6D">
        <w:rPr>
          <w:rFonts w:ascii="Verdana" w:eastAsia="Verdana" w:hAnsi="Verdana" w:cs="Verdana"/>
          <w:sz w:val="20"/>
          <w:szCs w:val="20"/>
        </w:rPr>
        <w:t xml:space="preserve">) el puntaje equivalente al 10% del total asignable se reparte de manera proporcional, de modo que a mayor porcentaje de productos adquiridos a pequeños productores, mayor será la cantidad de puntos obtenidos, hasta alcanzar el máximo previsto. Este diseño normativo garantiza transparencia, equidad y eficacia en la evaluación, al tiempo que fortalece la política pública de compras locales como instrumento de desarrollo económico y social. Para entender un poco más sobre este porcentaje y la forma de acreditación es necesario acudir a su decreto reglamentario, que se explica más adelante. </w:t>
      </w:r>
    </w:p>
    <w:p w14:paraId="200B15A8" w14:textId="77777777" w:rsidR="00B4064D" w:rsidRDefault="00B4064D" w:rsidP="0060580E">
      <w:pPr>
        <w:spacing w:after="0" w:line="240" w:lineRule="auto"/>
        <w:jc w:val="both"/>
        <w:rPr>
          <w:rFonts w:ascii="Verdana" w:eastAsia="Verdana" w:hAnsi="Verdana" w:cs="Verdana"/>
          <w:b/>
          <w:bCs/>
        </w:rPr>
      </w:pPr>
    </w:p>
    <w:p w14:paraId="708A13E8" w14:textId="798936E0" w:rsidR="00B4064D" w:rsidRPr="00B4064D" w:rsidRDefault="00FC410D" w:rsidP="0060580E">
      <w:pPr>
        <w:spacing w:after="0" w:line="240" w:lineRule="auto"/>
        <w:jc w:val="both"/>
        <w:rPr>
          <w:rFonts w:ascii="Verdana" w:eastAsia="Verdana" w:hAnsi="Verdana" w:cs="Verdana"/>
          <w:b/>
          <w:bCs/>
        </w:rPr>
      </w:pPr>
      <w:r w:rsidRPr="00B4064D">
        <w:rPr>
          <w:rFonts w:ascii="Verdana" w:eastAsia="Verdana" w:hAnsi="Verdana" w:cs="Verdana"/>
          <w:b/>
          <w:bCs/>
        </w:rPr>
        <w:t xml:space="preserve">DECRETO 248 DE 2021 – Decreto 1071 de 2015 – Reglamento – Incentivos contractuales – Contrato de promesa de proveeduría – naturaleza dual – requisito habilitante – factor de evaluación </w:t>
      </w:r>
    </w:p>
    <w:p w14:paraId="76C51FB0" w14:textId="77777777" w:rsidR="001A1472" w:rsidRPr="001A1472" w:rsidRDefault="001A1472" w:rsidP="0060580E">
      <w:pPr>
        <w:spacing w:after="0" w:line="240" w:lineRule="auto"/>
        <w:jc w:val="both"/>
        <w:rPr>
          <w:rFonts w:ascii="Verdana" w:eastAsia="Verdana" w:hAnsi="Verdana" w:cs="Verdana"/>
          <w:sz w:val="20"/>
          <w:szCs w:val="20"/>
        </w:rPr>
      </w:pPr>
      <w:r w:rsidRPr="001A1472">
        <w:rPr>
          <w:rFonts w:ascii="Verdana" w:eastAsia="Verdana" w:hAnsi="Verdana" w:cs="Verdana"/>
          <w:sz w:val="20"/>
          <w:szCs w:val="20"/>
        </w:rPr>
        <w:lastRenderedPageBreak/>
        <w:t xml:space="preserve">A partir de la interpretación del Decreto 248 de 2021, que modifica el Decreto 1071 de 2015, se deriva que el contrato de promesa de proveeduría tiene una naturaleza dual, pues no solo es un requisito habilitante en los procesos para la adquisición, suministro y entrega de alimentos, sino que también es documento necesario para acreditar uno de los puntajes adicionales previstos en el reglamento citado. </w:t>
      </w:r>
      <w:r w:rsidRPr="001A1472">
        <w:rPr>
          <w:rFonts w:ascii="Verdana" w:eastAsia="Verdana" w:hAnsi="Verdana" w:cs="Verdana"/>
          <w:i/>
          <w:iCs/>
          <w:sz w:val="20"/>
          <w:szCs w:val="20"/>
        </w:rPr>
        <w:t>Por un lado</w:t>
      </w:r>
      <w:r w:rsidRPr="001A1472">
        <w:rPr>
          <w:rFonts w:ascii="Verdana" w:eastAsia="Verdana" w:hAnsi="Verdana" w:cs="Verdana"/>
          <w:sz w:val="20"/>
          <w:szCs w:val="20"/>
        </w:rPr>
        <w:t xml:space="preserve">, de acuerdo con el artículo 2.20.1.1.4, la suscripción de este contrato debe solicitarse a los proponentes en el pliego de condiciones, por lo que resulta una exigencia obligatoria del procedimiento de contratación. Incluso, una vez adjudicado, “[…] la entidad contratante deberá verificar como requisito de ejecución que el contratista haya celebrado el contrato de proveeduría con los pequeños productores y/o productores de la Agricultura Campesina, Familiar o Comunitaria locales y sus organizaciones”. Esto es congruente con el artículo 7 de la Ley 2046 de 2021 y el artículo </w:t>
      </w:r>
      <w:r w:rsidRPr="001A1472">
        <w:rPr>
          <w:rFonts w:ascii="Verdana" w:eastAsia="Verdana" w:hAnsi="Verdana" w:cs="Verdana"/>
          <w:sz w:val="20"/>
          <w:szCs w:val="20"/>
          <w:lang w:val="es-ES_tradnl"/>
        </w:rPr>
        <w:t xml:space="preserve">2.20.1.1.3. del Decreto 1071 de 2015, en la medida que </w:t>
      </w:r>
      <w:r w:rsidRPr="001A1472">
        <w:rPr>
          <w:rFonts w:ascii="Verdana" w:eastAsia="Verdana" w:hAnsi="Verdana" w:cs="Verdana"/>
          <w:sz w:val="20"/>
          <w:szCs w:val="20"/>
        </w:rPr>
        <w:t>un porcentaje mínimo del treinta por ciento (30%) del valor total de los recursos del presupuesto de cada entidad deben destinarse a la compra de alimentos a los sujetos mencionados.</w:t>
      </w:r>
    </w:p>
    <w:p w14:paraId="196E6DC1" w14:textId="77777777" w:rsidR="00B4064D" w:rsidRPr="00B4064D" w:rsidRDefault="00B4064D" w:rsidP="0060580E">
      <w:pPr>
        <w:spacing w:after="0" w:line="240" w:lineRule="auto"/>
        <w:jc w:val="both"/>
        <w:rPr>
          <w:rFonts w:ascii="Verdana" w:eastAsia="Verdana" w:hAnsi="Verdana" w:cs="Verdana"/>
          <w:b/>
          <w:bCs/>
        </w:rPr>
      </w:pPr>
    </w:p>
    <w:p w14:paraId="2F22C4AF" w14:textId="77777777" w:rsidR="00B4064D" w:rsidRPr="00B4064D" w:rsidRDefault="00FC410D" w:rsidP="0060580E">
      <w:pPr>
        <w:spacing w:after="0" w:line="240" w:lineRule="auto"/>
        <w:jc w:val="both"/>
        <w:rPr>
          <w:rFonts w:ascii="Verdana" w:eastAsia="Verdana" w:hAnsi="Verdana" w:cs="Verdana"/>
          <w:b/>
          <w:bCs/>
        </w:rPr>
      </w:pPr>
      <w:r w:rsidRPr="00B4064D">
        <w:rPr>
          <w:rFonts w:ascii="Verdana" w:eastAsia="Verdana" w:hAnsi="Verdana" w:cs="Verdana"/>
          <w:b/>
          <w:bCs/>
        </w:rPr>
        <w:t xml:space="preserve">LEY 2046 DE 2020 – Incumplimiento – Reglas – Artículo 7 – Pliego de Condiciones – Nulidad Simple </w:t>
      </w:r>
    </w:p>
    <w:p w14:paraId="2AD64513" w14:textId="77777777" w:rsidR="00B4064D" w:rsidRPr="00E91AD5" w:rsidRDefault="00B4064D" w:rsidP="0060580E">
      <w:pPr>
        <w:spacing w:after="0" w:line="240" w:lineRule="auto"/>
        <w:jc w:val="both"/>
        <w:rPr>
          <w:rFonts w:ascii="Verdana" w:eastAsia="Verdana" w:hAnsi="Verdana" w:cs="Verdana"/>
          <w:sz w:val="20"/>
          <w:szCs w:val="20"/>
        </w:rPr>
      </w:pPr>
    </w:p>
    <w:p w14:paraId="09C76115" w14:textId="23A1E77D" w:rsidR="00E91AD5" w:rsidRPr="00E91AD5" w:rsidRDefault="00E91AD5" w:rsidP="0060580E">
      <w:pPr>
        <w:spacing w:after="0" w:line="240" w:lineRule="auto"/>
        <w:jc w:val="both"/>
        <w:rPr>
          <w:rFonts w:ascii="Verdana" w:eastAsia="Verdana" w:hAnsi="Verdana" w:cs="Verdana"/>
          <w:sz w:val="20"/>
          <w:szCs w:val="20"/>
          <w:lang w:val="es"/>
        </w:rPr>
      </w:pPr>
      <w:r w:rsidRPr="00E91AD5">
        <w:rPr>
          <w:rFonts w:ascii="Verdana" w:eastAsia="Verdana" w:hAnsi="Verdana" w:cs="Verdana"/>
          <w:sz w:val="20"/>
          <w:szCs w:val="20"/>
          <w:lang w:val="es"/>
        </w:rPr>
        <w:t>Frente al medio de control para enjuiciar la legalidad del pliego de condiciones, esta sentencia reitera que también es procedente el medio de control de simple nulidad, lo que lo diferencia de los actos administrativos de adjudicación o de declaración de desierta, frente a los cuales la Sección Tercera ha establecido que solo procede el medio de control de nulidad y restablecimiento del derecho. Particularmente, en auto del 3 de septiembre de 2025, la subsección B de la Sección Tercera, aclaró que el criterio jurisprudencial mayoritario de la Corporación “ha establecido que los pliegos de condiciones son pasibles de control jurisdiccional a través del medio de control de nulidad simple”. En esa misma línea, ha recalcado que los pliegos de condiciones no constituyen simples decisiones de impulso de la actividad precontractual, habida cuenta de que contienen determinaciones sustanciales y de alcance general en relación con el procedimiento de selección. Si bien no ponen fin al procedimiento precontractual, se considera que hacen parte de la etapa precontractual, revistiendo efectos definitivos al fijar las reglas de participación y las condiciones del futuro contrato. En este escenario, s</w:t>
      </w:r>
      <w:r w:rsidRPr="00E91AD5">
        <w:rPr>
          <w:rFonts w:ascii="Verdana" w:eastAsia="Verdana" w:hAnsi="Verdana" w:cs="Verdana"/>
          <w:sz w:val="20"/>
          <w:szCs w:val="20"/>
        </w:rPr>
        <w:t xml:space="preserve">i aún no se ha adjudicado el contrato, la acción procedente sería la demanda de nulidad simple contra el pliego, por desconocimiento de la Ley 2046 de 2020 y el Decreto 248 de 2021 que adiciona el Decreto 1071 de 2015. </w:t>
      </w:r>
    </w:p>
    <w:p w14:paraId="1F74366C" w14:textId="77777777" w:rsidR="00B4064D" w:rsidRPr="00B4064D" w:rsidRDefault="00B4064D" w:rsidP="0060580E">
      <w:pPr>
        <w:spacing w:after="0" w:line="240" w:lineRule="auto"/>
        <w:jc w:val="both"/>
        <w:rPr>
          <w:rFonts w:ascii="Verdana" w:eastAsia="Verdana" w:hAnsi="Verdana" w:cs="Verdana"/>
          <w:b/>
          <w:bCs/>
        </w:rPr>
      </w:pPr>
    </w:p>
    <w:p w14:paraId="7F6C9770" w14:textId="77777777" w:rsidR="00680922" w:rsidRDefault="00FC410D" w:rsidP="0060580E">
      <w:pPr>
        <w:spacing w:after="0" w:line="240" w:lineRule="auto"/>
        <w:jc w:val="both"/>
        <w:rPr>
          <w:rFonts w:ascii="Verdana" w:eastAsia="Verdana" w:hAnsi="Verdana" w:cs="Verdana"/>
          <w:b/>
          <w:bCs/>
        </w:rPr>
      </w:pPr>
      <w:r w:rsidRPr="00B4064D">
        <w:rPr>
          <w:rFonts w:ascii="Verdana" w:eastAsia="Verdana" w:hAnsi="Verdana" w:cs="Verdana"/>
          <w:b/>
          <w:bCs/>
        </w:rPr>
        <w:t>LEY 2046 DE 2020 – Incumplimiento – Reglas – Acto de Adjudicación</w:t>
      </w:r>
    </w:p>
    <w:p w14:paraId="40BEDB8A" w14:textId="77777777" w:rsidR="00680922" w:rsidRPr="0060580E" w:rsidRDefault="00680922" w:rsidP="0060580E">
      <w:pPr>
        <w:spacing w:after="0" w:line="240" w:lineRule="auto"/>
        <w:jc w:val="both"/>
        <w:rPr>
          <w:rFonts w:ascii="Verdana" w:eastAsia="Verdana" w:hAnsi="Verdana" w:cs="Verdana"/>
          <w:sz w:val="20"/>
          <w:szCs w:val="20"/>
        </w:rPr>
      </w:pPr>
    </w:p>
    <w:p w14:paraId="69B9DFB5" w14:textId="64C1C5EB" w:rsidR="0060580E" w:rsidRPr="0060580E" w:rsidRDefault="0060580E" w:rsidP="0060580E">
      <w:pPr>
        <w:spacing w:after="0" w:line="240" w:lineRule="auto"/>
        <w:jc w:val="both"/>
        <w:rPr>
          <w:rFonts w:ascii="Verdana" w:eastAsia="Verdana" w:hAnsi="Verdana" w:cs="Verdana"/>
          <w:sz w:val="20"/>
          <w:szCs w:val="20"/>
        </w:rPr>
      </w:pPr>
      <w:r w:rsidRPr="0060580E">
        <w:rPr>
          <w:rFonts w:ascii="Verdana" w:eastAsia="Verdana" w:hAnsi="Verdana" w:cs="Verdana"/>
          <w:sz w:val="20"/>
          <w:szCs w:val="20"/>
        </w:rPr>
        <w:t xml:space="preserve">Si el proceso ya ha culminado con el respectivo acto de adjudicación, la omisión de la proporcionalidad en la asignación de puntajes puede configurar una causal de nulidad del acto de adjudicación, al tratarse de un acto administrativo que decide la selección del contratista con base en criterios que son contrarios al ordenamiento jurídico. En este caso, aplica en principio la nulidad y restablecimiento del derecho contemplada en el artículo 138 de la Ley 1437 de 2011 permitiría cuestionar la legalidad del acto de </w:t>
      </w:r>
      <w:r w:rsidRPr="0060580E">
        <w:rPr>
          <w:rFonts w:ascii="Verdana" w:eastAsia="Verdana" w:hAnsi="Verdana" w:cs="Verdana"/>
          <w:sz w:val="20"/>
          <w:szCs w:val="20"/>
        </w:rPr>
        <w:lastRenderedPageBreak/>
        <w:t>adjudicación, alegando la violación de normas superiores que regulan la contratación estatal y la afectación del principio de selección objetiva.</w:t>
      </w:r>
    </w:p>
    <w:p w14:paraId="12664678" w14:textId="77777777" w:rsidR="00680922" w:rsidRDefault="00680922" w:rsidP="0060580E">
      <w:pPr>
        <w:spacing w:after="0" w:line="240" w:lineRule="auto"/>
        <w:jc w:val="both"/>
        <w:rPr>
          <w:rFonts w:ascii="Verdana" w:eastAsia="Verdana" w:hAnsi="Verdana" w:cs="Verdana"/>
          <w:b/>
          <w:bCs/>
        </w:rPr>
      </w:pPr>
    </w:p>
    <w:p w14:paraId="422D9901" w14:textId="3F825483" w:rsidR="00FC410D" w:rsidRPr="00B4064D" w:rsidRDefault="00FC410D" w:rsidP="0060580E">
      <w:pPr>
        <w:spacing w:after="0" w:line="240" w:lineRule="auto"/>
        <w:jc w:val="both"/>
        <w:rPr>
          <w:rFonts w:ascii="Verdana" w:eastAsia="Verdana" w:hAnsi="Verdana" w:cs="Verdana"/>
          <w:b/>
          <w:bCs/>
          <w:lang w:val="es-ES"/>
        </w:rPr>
      </w:pPr>
      <w:r w:rsidRPr="00B4064D">
        <w:rPr>
          <w:rFonts w:ascii="Verdana" w:eastAsia="Verdana" w:hAnsi="Verdana" w:cs="Verdana"/>
          <w:b/>
          <w:bCs/>
        </w:rPr>
        <w:t>LEY 2046 DE 2020 – Nulidad del contrato</w:t>
      </w:r>
    </w:p>
    <w:p w14:paraId="4ED3169D" w14:textId="77777777" w:rsidR="0060580E" w:rsidRPr="0060580E" w:rsidRDefault="0060580E" w:rsidP="0060580E">
      <w:pPr>
        <w:spacing w:after="0" w:line="240" w:lineRule="auto"/>
        <w:rPr>
          <w:rFonts w:ascii="Verdana" w:eastAsia="Verdana" w:hAnsi="Verdana" w:cs="Verdana"/>
          <w:b/>
          <w:bCs/>
        </w:rPr>
      </w:pPr>
    </w:p>
    <w:p w14:paraId="13176E63" w14:textId="77777777" w:rsidR="0060580E" w:rsidRPr="0060580E" w:rsidRDefault="0060580E" w:rsidP="0060580E">
      <w:pPr>
        <w:spacing w:after="0" w:line="240" w:lineRule="auto"/>
        <w:jc w:val="both"/>
        <w:rPr>
          <w:rFonts w:ascii="Verdana" w:eastAsia="Verdana" w:hAnsi="Verdana" w:cs="Verdana"/>
          <w:sz w:val="20"/>
          <w:szCs w:val="20"/>
        </w:rPr>
      </w:pPr>
      <w:r w:rsidRPr="0060580E">
        <w:rPr>
          <w:rFonts w:ascii="Verdana" w:eastAsia="Verdana" w:hAnsi="Verdana" w:cs="Verdana"/>
          <w:sz w:val="20"/>
          <w:szCs w:val="20"/>
        </w:rPr>
        <w:t xml:space="preserve">Finalmente, si el contrato ya se encuentra perfeccionado, la irregularidad en la metodología de evaluación puede dar lugar a la nulidad absoluta del contrato, en aplicación de lo previsto en una de las casuales previstas en artículo 44 de la Ley 80 de 1993, y en las demás causales dispuestas en normas civiles y comerciales. En este escenario, debe acudirse al medio de control de controversias contractuales, siendo el mecanismo idóneo para restablecer la legalidad, pues la omisión de la proporcionalidad en la asignación de puntajes no solo afecta la validez del procedimiento de selección, sino que también compromete la validez del contrato mismo, al haberse celebrado con desconocimiento de la regla obligatoria contemplada en el artículo 7 de la Ley 2046 de 2020 y en el Decreto 248 de 2021 que adiciona el Decreto 1071 de 2015. </w:t>
      </w:r>
    </w:p>
    <w:p w14:paraId="7251AB82" w14:textId="77777777" w:rsidR="00FC410D" w:rsidRDefault="00FC410D" w:rsidP="002A259F">
      <w:pPr>
        <w:spacing w:after="0" w:line="240" w:lineRule="auto"/>
        <w:rPr>
          <w:rFonts w:ascii="Verdana" w:eastAsia="Verdana" w:hAnsi="Verdana" w:cs="Verdana"/>
        </w:rPr>
      </w:pPr>
    </w:p>
    <w:p w14:paraId="350B6FCB" w14:textId="77777777" w:rsidR="00680922" w:rsidRDefault="00680922" w:rsidP="002A259F">
      <w:pPr>
        <w:spacing w:after="0" w:line="240" w:lineRule="auto"/>
        <w:rPr>
          <w:rFonts w:ascii="Verdana" w:eastAsia="Verdana" w:hAnsi="Verdana" w:cs="Verdana"/>
        </w:rPr>
      </w:pPr>
    </w:p>
    <w:p w14:paraId="4DD5A65D" w14:textId="77777777" w:rsidR="00680922" w:rsidRDefault="00680922" w:rsidP="002A259F">
      <w:pPr>
        <w:spacing w:after="0" w:line="240" w:lineRule="auto"/>
        <w:rPr>
          <w:rFonts w:ascii="Verdana" w:eastAsia="Verdana" w:hAnsi="Verdana" w:cs="Verdana"/>
        </w:rPr>
      </w:pPr>
    </w:p>
    <w:p w14:paraId="1EF21316" w14:textId="77777777" w:rsidR="00680922" w:rsidRDefault="00680922" w:rsidP="002A259F">
      <w:pPr>
        <w:spacing w:after="0" w:line="240" w:lineRule="auto"/>
        <w:rPr>
          <w:rFonts w:ascii="Verdana" w:eastAsia="Verdana" w:hAnsi="Verdana" w:cs="Verdana"/>
        </w:rPr>
      </w:pPr>
    </w:p>
    <w:p w14:paraId="01FCEE77" w14:textId="77777777" w:rsidR="00680922" w:rsidRDefault="00680922" w:rsidP="002A259F">
      <w:pPr>
        <w:spacing w:after="0" w:line="240" w:lineRule="auto"/>
        <w:rPr>
          <w:rFonts w:ascii="Verdana" w:eastAsia="Verdana" w:hAnsi="Verdana" w:cs="Verdana"/>
        </w:rPr>
      </w:pPr>
    </w:p>
    <w:p w14:paraId="5CC48005" w14:textId="77777777" w:rsidR="00680922" w:rsidRDefault="00680922" w:rsidP="002A259F">
      <w:pPr>
        <w:spacing w:after="0" w:line="240" w:lineRule="auto"/>
        <w:rPr>
          <w:rFonts w:ascii="Verdana" w:eastAsia="Verdana" w:hAnsi="Verdana" w:cs="Verdana"/>
        </w:rPr>
      </w:pPr>
    </w:p>
    <w:p w14:paraId="5D69CA22" w14:textId="77777777" w:rsidR="00680922" w:rsidRDefault="00680922" w:rsidP="002A259F">
      <w:pPr>
        <w:spacing w:after="0" w:line="240" w:lineRule="auto"/>
        <w:rPr>
          <w:rFonts w:ascii="Verdana" w:eastAsia="Verdana" w:hAnsi="Verdana" w:cs="Verdana"/>
        </w:rPr>
      </w:pPr>
    </w:p>
    <w:p w14:paraId="42F02AE3" w14:textId="77777777" w:rsidR="00680922" w:rsidRDefault="00680922" w:rsidP="002A259F">
      <w:pPr>
        <w:spacing w:after="0" w:line="240" w:lineRule="auto"/>
        <w:rPr>
          <w:rFonts w:ascii="Verdana" w:eastAsia="Verdana" w:hAnsi="Verdana" w:cs="Verdana"/>
        </w:rPr>
      </w:pPr>
    </w:p>
    <w:p w14:paraId="22BA6C9D" w14:textId="77777777" w:rsidR="00680922" w:rsidRDefault="00680922" w:rsidP="002A259F">
      <w:pPr>
        <w:spacing w:after="0" w:line="240" w:lineRule="auto"/>
        <w:rPr>
          <w:rFonts w:ascii="Verdana" w:eastAsia="Verdana" w:hAnsi="Verdana" w:cs="Verdana"/>
        </w:rPr>
      </w:pPr>
    </w:p>
    <w:p w14:paraId="56951C7F" w14:textId="77777777" w:rsidR="00680922" w:rsidRDefault="00680922" w:rsidP="002A259F">
      <w:pPr>
        <w:spacing w:after="0" w:line="240" w:lineRule="auto"/>
        <w:rPr>
          <w:rFonts w:ascii="Verdana" w:eastAsia="Verdana" w:hAnsi="Verdana" w:cs="Verdana"/>
        </w:rPr>
      </w:pPr>
    </w:p>
    <w:p w14:paraId="26D7B6E4" w14:textId="77777777" w:rsidR="00680922" w:rsidRDefault="00680922" w:rsidP="002A259F">
      <w:pPr>
        <w:spacing w:after="0" w:line="240" w:lineRule="auto"/>
        <w:rPr>
          <w:rFonts w:ascii="Verdana" w:eastAsia="Verdana" w:hAnsi="Verdana" w:cs="Verdana"/>
        </w:rPr>
      </w:pPr>
    </w:p>
    <w:p w14:paraId="7BD7821B" w14:textId="77777777" w:rsidR="00680922" w:rsidRDefault="00680922" w:rsidP="002A259F">
      <w:pPr>
        <w:spacing w:after="0" w:line="240" w:lineRule="auto"/>
        <w:rPr>
          <w:rFonts w:ascii="Verdana" w:eastAsia="Verdana" w:hAnsi="Verdana" w:cs="Verdana"/>
        </w:rPr>
      </w:pPr>
    </w:p>
    <w:p w14:paraId="4DD0EBDA" w14:textId="77777777" w:rsidR="00680922" w:rsidRDefault="00680922" w:rsidP="002A259F">
      <w:pPr>
        <w:spacing w:after="0" w:line="240" w:lineRule="auto"/>
        <w:rPr>
          <w:rFonts w:ascii="Verdana" w:eastAsia="Verdana" w:hAnsi="Verdana" w:cs="Verdana"/>
        </w:rPr>
      </w:pPr>
    </w:p>
    <w:p w14:paraId="69FC467F" w14:textId="77777777" w:rsidR="00680922" w:rsidRDefault="00680922" w:rsidP="002A259F">
      <w:pPr>
        <w:spacing w:after="0" w:line="240" w:lineRule="auto"/>
        <w:rPr>
          <w:rFonts w:ascii="Verdana" w:eastAsia="Verdana" w:hAnsi="Verdana" w:cs="Verdana"/>
        </w:rPr>
      </w:pPr>
    </w:p>
    <w:p w14:paraId="65DEEE19" w14:textId="77777777" w:rsidR="00680922" w:rsidRDefault="00680922" w:rsidP="002A259F">
      <w:pPr>
        <w:spacing w:after="0" w:line="240" w:lineRule="auto"/>
        <w:rPr>
          <w:rFonts w:ascii="Verdana" w:eastAsia="Verdana" w:hAnsi="Verdana" w:cs="Verdana"/>
        </w:rPr>
      </w:pPr>
    </w:p>
    <w:p w14:paraId="0C2712A8" w14:textId="77777777" w:rsidR="00680922" w:rsidRDefault="00680922" w:rsidP="002A259F">
      <w:pPr>
        <w:spacing w:after="0" w:line="240" w:lineRule="auto"/>
        <w:rPr>
          <w:rFonts w:ascii="Verdana" w:eastAsia="Verdana" w:hAnsi="Verdana" w:cs="Verdana"/>
        </w:rPr>
      </w:pPr>
    </w:p>
    <w:p w14:paraId="6A78539C" w14:textId="77777777" w:rsidR="00680922" w:rsidRDefault="00680922" w:rsidP="002A259F">
      <w:pPr>
        <w:spacing w:after="0" w:line="240" w:lineRule="auto"/>
        <w:rPr>
          <w:rFonts w:ascii="Verdana" w:eastAsia="Verdana" w:hAnsi="Verdana" w:cs="Verdana"/>
        </w:rPr>
      </w:pPr>
    </w:p>
    <w:p w14:paraId="347FFAED" w14:textId="77777777" w:rsidR="00680922" w:rsidRDefault="00680922" w:rsidP="002A259F">
      <w:pPr>
        <w:spacing w:after="0" w:line="240" w:lineRule="auto"/>
        <w:rPr>
          <w:rFonts w:ascii="Verdana" w:eastAsia="Verdana" w:hAnsi="Verdana" w:cs="Verdana"/>
        </w:rPr>
      </w:pPr>
    </w:p>
    <w:p w14:paraId="5F622C9D" w14:textId="77777777" w:rsidR="00680922" w:rsidRDefault="00680922" w:rsidP="002A259F">
      <w:pPr>
        <w:spacing w:after="0" w:line="240" w:lineRule="auto"/>
        <w:rPr>
          <w:rFonts w:ascii="Verdana" w:eastAsia="Verdana" w:hAnsi="Verdana" w:cs="Verdana"/>
        </w:rPr>
      </w:pPr>
    </w:p>
    <w:p w14:paraId="13018ED9" w14:textId="77777777" w:rsidR="00680922" w:rsidRDefault="00680922" w:rsidP="002A259F">
      <w:pPr>
        <w:spacing w:after="0" w:line="240" w:lineRule="auto"/>
        <w:rPr>
          <w:rFonts w:ascii="Verdana" w:eastAsia="Verdana" w:hAnsi="Verdana" w:cs="Verdana"/>
        </w:rPr>
      </w:pPr>
    </w:p>
    <w:p w14:paraId="36460E77" w14:textId="77777777" w:rsidR="00680922" w:rsidRDefault="00680922" w:rsidP="002A259F">
      <w:pPr>
        <w:spacing w:after="0" w:line="240" w:lineRule="auto"/>
        <w:rPr>
          <w:rFonts w:ascii="Verdana" w:eastAsia="Verdana" w:hAnsi="Verdana" w:cs="Verdana"/>
        </w:rPr>
      </w:pPr>
    </w:p>
    <w:p w14:paraId="493B8415" w14:textId="77777777" w:rsidR="00680922" w:rsidRDefault="00680922" w:rsidP="002A259F">
      <w:pPr>
        <w:spacing w:after="0" w:line="240" w:lineRule="auto"/>
        <w:rPr>
          <w:rFonts w:ascii="Verdana" w:eastAsia="Verdana" w:hAnsi="Verdana" w:cs="Verdana"/>
        </w:rPr>
      </w:pPr>
    </w:p>
    <w:p w14:paraId="3DEE1DA2" w14:textId="77777777" w:rsidR="00680922" w:rsidRDefault="00680922" w:rsidP="002A259F">
      <w:pPr>
        <w:spacing w:after="0" w:line="240" w:lineRule="auto"/>
        <w:rPr>
          <w:rFonts w:ascii="Verdana" w:eastAsia="Verdana" w:hAnsi="Verdana" w:cs="Verdana"/>
        </w:rPr>
      </w:pPr>
    </w:p>
    <w:p w14:paraId="09D8906F" w14:textId="77777777" w:rsidR="00680922" w:rsidRDefault="00680922" w:rsidP="002A259F">
      <w:pPr>
        <w:spacing w:after="0" w:line="240" w:lineRule="auto"/>
        <w:rPr>
          <w:rFonts w:ascii="Verdana" w:eastAsia="Verdana" w:hAnsi="Verdana" w:cs="Verdana"/>
        </w:rPr>
      </w:pPr>
    </w:p>
    <w:p w14:paraId="5A521798" w14:textId="77777777" w:rsidR="00680922" w:rsidRDefault="00680922" w:rsidP="002A259F">
      <w:pPr>
        <w:spacing w:after="0" w:line="240" w:lineRule="auto"/>
        <w:rPr>
          <w:rFonts w:ascii="Verdana" w:eastAsia="Verdana" w:hAnsi="Verdana" w:cs="Verdana"/>
        </w:rPr>
      </w:pPr>
    </w:p>
    <w:p w14:paraId="72E7B3FE" w14:textId="77777777" w:rsidR="00680922" w:rsidRDefault="00680922" w:rsidP="002A259F">
      <w:pPr>
        <w:spacing w:after="0" w:line="240" w:lineRule="auto"/>
        <w:rPr>
          <w:rFonts w:ascii="Verdana" w:eastAsia="Verdana" w:hAnsi="Verdana" w:cs="Verdana"/>
        </w:rPr>
      </w:pPr>
    </w:p>
    <w:p w14:paraId="295575EC" w14:textId="7516F684" w:rsidR="002A259F" w:rsidRDefault="002A259F" w:rsidP="002A259F">
      <w:pPr>
        <w:spacing w:after="0" w:line="240" w:lineRule="auto"/>
        <w:rPr>
          <w:rFonts w:ascii="Verdana" w:eastAsia="Verdana" w:hAnsi="Verdana" w:cs="Verdana"/>
        </w:rPr>
      </w:pPr>
      <w:r w:rsidRPr="30821638">
        <w:rPr>
          <w:rFonts w:ascii="Verdana" w:eastAsia="Verdana" w:hAnsi="Verdana" w:cs="Verdana"/>
        </w:rPr>
        <w:lastRenderedPageBreak/>
        <w:t xml:space="preserve">Bogotá D.C., </w:t>
      </w:r>
      <w:r w:rsidR="00660B41">
        <w:rPr>
          <w:rFonts w:ascii="Verdana" w:eastAsia="Verdana" w:hAnsi="Verdana" w:cs="Verdana"/>
        </w:rPr>
        <w:t>21 de septiembre de 2026</w:t>
      </w:r>
      <w:r>
        <w:tab/>
      </w:r>
      <w:r>
        <w:br/>
      </w:r>
    </w:p>
    <w:p w14:paraId="4E99B786" w14:textId="1D8BEBF1" w:rsidR="002A259F" w:rsidRPr="00045804" w:rsidRDefault="002A259F" w:rsidP="002A259F">
      <w:pPr>
        <w:spacing w:after="0" w:line="240" w:lineRule="auto"/>
        <w:rPr>
          <w:rFonts w:ascii="Verdana" w:eastAsia="Verdana" w:hAnsi="Verdana" w:cs="Verdana"/>
        </w:rPr>
      </w:pPr>
    </w:p>
    <w:p w14:paraId="7A2272E2" w14:textId="0CFC0C29" w:rsidR="002A259F" w:rsidRPr="003315B4" w:rsidRDefault="00382DE3" w:rsidP="002A259F">
      <w:pPr>
        <w:spacing w:after="0" w:line="240" w:lineRule="auto"/>
        <w:rPr>
          <w:rFonts w:ascii="Verdana" w:eastAsia="Calibri" w:hAnsi="Verdana" w:cs="Times New Roman"/>
          <w:lang w:val="es-MX"/>
        </w:rPr>
      </w:pPr>
      <w:r w:rsidRPr="005D3486">
        <w:rPr>
          <w:noProof/>
        </w:rPr>
        <w:drawing>
          <wp:anchor distT="0" distB="0" distL="114300" distR="114300" simplePos="0" relativeHeight="251658240" behindDoc="0" locked="0" layoutInCell="1" allowOverlap="1" wp14:anchorId="1EEECFC3" wp14:editId="3C6B2B14">
            <wp:simplePos x="0" y="0"/>
            <wp:positionH relativeFrom="margin">
              <wp:align>right</wp:align>
            </wp:positionH>
            <wp:positionV relativeFrom="paragraph">
              <wp:posOffset>6985</wp:posOffset>
            </wp:positionV>
            <wp:extent cx="2671445" cy="739775"/>
            <wp:effectExtent l="0" t="0" r="0" b="3175"/>
            <wp:wrapSquare wrapText="bothSides"/>
            <wp:docPr id="13764914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71445" cy="739775"/>
                    </a:xfrm>
                    <a:prstGeom prst="rect">
                      <a:avLst/>
                    </a:prstGeom>
                    <a:noFill/>
                    <a:ln>
                      <a:noFill/>
                    </a:ln>
                  </pic:spPr>
                </pic:pic>
              </a:graphicData>
            </a:graphic>
          </wp:anchor>
        </w:drawing>
      </w:r>
      <w:r w:rsidR="002A259F" w:rsidRPr="003315B4">
        <w:rPr>
          <w:rFonts w:ascii="Verdana" w:eastAsia="Calibri" w:hAnsi="Verdana" w:cs="Times New Roman"/>
          <w:lang w:val="es-MX"/>
        </w:rPr>
        <w:t>Señor</w:t>
      </w:r>
      <w:r w:rsidR="002A259F">
        <w:rPr>
          <w:rFonts w:ascii="Verdana" w:eastAsia="Calibri" w:hAnsi="Verdana" w:cs="Times New Roman"/>
          <w:lang w:val="es-MX"/>
        </w:rPr>
        <w:t>a</w:t>
      </w:r>
      <w:r w:rsidR="002A259F" w:rsidRPr="001945F3">
        <w:rPr>
          <w:rFonts w:ascii="Verdana" w:eastAsia="Calibri" w:hAnsi="Verdana" w:cs="Times New Roman"/>
          <w:lang w:val="es-MX"/>
        </w:rPr>
        <w:t xml:space="preserve"> </w:t>
      </w:r>
    </w:p>
    <w:p w14:paraId="169E34D3" w14:textId="77777777" w:rsidR="002A259F" w:rsidRDefault="002A259F" w:rsidP="002A259F">
      <w:pPr>
        <w:spacing w:after="0" w:line="240" w:lineRule="auto"/>
        <w:rPr>
          <w:rFonts w:ascii="Verdana" w:eastAsia="Calibri" w:hAnsi="Verdana" w:cs="Times New Roman"/>
          <w:b/>
        </w:rPr>
      </w:pPr>
      <w:r w:rsidRPr="00B61B17">
        <w:rPr>
          <w:rFonts w:ascii="Verdana" w:eastAsia="Calibri" w:hAnsi="Verdana" w:cs="Times New Roman"/>
          <w:b/>
        </w:rPr>
        <w:t>Paula Marleny</w:t>
      </w:r>
      <w:r>
        <w:rPr>
          <w:rFonts w:ascii="Verdana" w:eastAsia="Calibri" w:hAnsi="Verdana" w:cs="Times New Roman"/>
          <w:b/>
        </w:rPr>
        <w:t xml:space="preserve"> Higuera Latorre</w:t>
      </w:r>
    </w:p>
    <w:p w14:paraId="4E5D4BB5" w14:textId="77777777" w:rsidR="002A259F" w:rsidRDefault="002A259F" w:rsidP="002A259F">
      <w:pPr>
        <w:spacing w:after="0" w:line="240" w:lineRule="auto"/>
        <w:rPr>
          <w:rFonts w:ascii="Verdana" w:eastAsia="Calibri" w:hAnsi="Verdana" w:cs="Times New Roman"/>
          <w:bCs/>
        </w:rPr>
      </w:pPr>
      <w:hyperlink r:id="rId12" w:history="1">
        <w:r w:rsidRPr="00A947CA">
          <w:rPr>
            <w:rStyle w:val="Hipervnculo"/>
            <w:rFonts w:ascii="Verdana" w:eastAsia="Calibri" w:hAnsi="Verdana" w:cs="Times New Roman"/>
            <w:bCs/>
          </w:rPr>
          <w:t>paula_latorre@yahoo.com</w:t>
        </w:r>
      </w:hyperlink>
    </w:p>
    <w:p w14:paraId="6C2E3C69" w14:textId="77777777" w:rsidR="002A259F" w:rsidRPr="003315B4" w:rsidRDefault="002A259F" w:rsidP="002A259F">
      <w:pPr>
        <w:spacing w:after="0" w:line="240" w:lineRule="auto"/>
        <w:rPr>
          <w:rFonts w:ascii="Verdana" w:eastAsia="Calibri" w:hAnsi="Verdana" w:cs="Times New Roman"/>
          <w:bCs/>
        </w:rPr>
      </w:pPr>
      <w:r>
        <w:rPr>
          <w:rFonts w:ascii="Verdana" w:eastAsia="Calibri" w:hAnsi="Verdana" w:cs="Times New Roman"/>
          <w:bCs/>
        </w:rPr>
        <w:t xml:space="preserve">Bogotá D.C. </w:t>
      </w:r>
    </w:p>
    <w:p w14:paraId="44D08A4C" w14:textId="77777777" w:rsidR="002A259F" w:rsidRDefault="002A259F" w:rsidP="002A259F">
      <w:pPr>
        <w:spacing w:after="0" w:line="240" w:lineRule="auto"/>
        <w:rPr>
          <w:rFonts w:ascii="Verdana" w:eastAsia="Calibri" w:hAnsi="Verdana" w:cs="Times New Roman"/>
        </w:rPr>
      </w:pPr>
    </w:p>
    <w:p w14:paraId="0F564CB8" w14:textId="77777777" w:rsidR="002A259F" w:rsidRPr="008C3D38" w:rsidRDefault="002A259F" w:rsidP="002A259F">
      <w:pPr>
        <w:spacing w:after="0" w:line="240" w:lineRule="auto"/>
        <w:rPr>
          <w:rFonts w:ascii="Verdana" w:eastAsia="Calibri" w:hAnsi="Verdana" w:cs="Times New Roman"/>
        </w:rPr>
      </w:pPr>
    </w:p>
    <w:p w14:paraId="7CC9F0C7" w14:textId="6F708405" w:rsidR="002A259F" w:rsidRPr="008C3D38" w:rsidRDefault="002A259F" w:rsidP="002A259F">
      <w:pPr>
        <w:spacing w:after="0" w:line="240" w:lineRule="auto"/>
        <w:rPr>
          <w:rFonts w:ascii="Verdana" w:eastAsia="Calibri" w:hAnsi="Verdana" w:cs="Times New Roman"/>
          <w:b/>
          <w:bCs/>
          <w:lang w:val="es-ES"/>
        </w:rPr>
      </w:pPr>
      <w:r w:rsidRPr="008C3D38">
        <w:rPr>
          <w:rFonts w:ascii="Verdana" w:eastAsia="Calibri" w:hAnsi="Verdana" w:cs="Times New Roman"/>
          <w:b/>
          <w:bCs/>
          <w:lang w:val="es-ES"/>
        </w:rPr>
        <w:t xml:space="preserve">                  </w:t>
      </w:r>
      <w:r>
        <w:rPr>
          <w:rFonts w:ascii="Verdana" w:eastAsia="Calibri" w:hAnsi="Verdana" w:cs="Times New Roman"/>
          <w:b/>
          <w:bCs/>
          <w:lang w:val="es-ES"/>
        </w:rPr>
        <w:t xml:space="preserve">                  Concepto C</w:t>
      </w:r>
      <w:r w:rsidR="00382DE3">
        <w:rPr>
          <w:rFonts w:ascii="Verdana" w:eastAsia="Calibri" w:hAnsi="Verdana" w:cs="Times New Roman"/>
          <w:b/>
          <w:bCs/>
          <w:lang w:val="es-ES"/>
        </w:rPr>
        <w:t>-</w:t>
      </w:r>
      <w:r>
        <w:rPr>
          <w:rFonts w:ascii="Verdana" w:eastAsia="Calibri" w:hAnsi="Verdana" w:cs="Times New Roman"/>
          <w:b/>
          <w:bCs/>
          <w:lang w:val="es-ES"/>
        </w:rPr>
        <w:t>1274</w:t>
      </w:r>
      <w:r w:rsidRPr="008C3D38">
        <w:rPr>
          <w:rFonts w:ascii="Verdana" w:eastAsia="Calibri" w:hAnsi="Verdana" w:cs="Times New Roman"/>
          <w:b/>
          <w:bCs/>
          <w:lang w:val="es-ES"/>
        </w:rPr>
        <w:t xml:space="preserve"> de 2026</w:t>
      </w:r>
    </w:p>
    <w:p w14:paraId="6A26FC80" w14:textId="77777777" w:rsidR="002A259F" w:rsidRPr="008C3D38" w:rsidRDefault="002A259F" w:rsidP="002A259F">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2A259F" w:rsidRPr="008C3D38" w14:paraId="7DD94B36" w14:textId="77777777" w:rsidTr="009C426C">
        <w:trPr>
          <w:trHeight w:val="645"/>
        </w:trPr>
        <w:tc>
          <w:tcPr>
            <w:tcW w:w="2685" w:type="dxa"/>
            <w:hideMark/>
          </w:tcPr>
          <w:p w14:paraId="74B19E3A" w14:textId="77777777" w:rsidR="002A259F" w:rsidRPr="008C3D38" w:rsidRDefault="002A259F" w:rsidP="009C426C">
            <w:pPr>
              <w:rPr>
                <w:rFonts w:ascii="Verdana" w:hAnsi="Verdana"/>
                <w:b/>
                <w:bCs/>
                <w:lang w:val="es-ES_tradnl"/>
              </w:rPr>
            </w:pPr>
            <w:r w:rsidRPr="008C3D38">
              <w:rPr>
                <w:rFonts w:ascii="Verdana" w:hAnsi="Verdana"/>
                <w:b/>
                <w:bCs/>
                <w:lang w:val="es-ES_tradnl"/>
              </w:rPr>
              <w:t xml:space="preserve">Temas:                  </w:t>
            </w:r>
          </w:p>
        </w:tc>
        <w:tc>
          <w:tcPr>
            <w:tcW w:w="6241" w:type="dxa"/>
            <w:hideMark/>
          </w:tcPr>
          <w:p w14:paraId="5D100E34" w14:textId="096FB4A1" w:rsidR="002A259F" w:rsidRPr="00D33A9D" w:rsidRDefault="002A259F" w:rsidP="009C426C">
            <w:pPr>
              <w:spacing w:line="276" w:lineRule="auto"/>
              <w:jc w:val="both"/>
              <w:rPr>
                <w:rFonts w:ascii="Verdana" w:hAnsi="Verdana" w:cs="Arial"/>
                <w:lang w:val="es-ES" w:eastAsia="es-ES"/>
              </w:rPr>
            </w:pPr>
            <w:r w:rsidRPr="008C3D38">
              <w:rPr>
                <w:rFonts w:ascii="Verdana" w:hAnsi="Verdana" w:cs="Arial"/>
                <w:lang w:val="es-ES_tradnl" w:eastAsia="es-ES"/>
              </w:rPr>
              <w:t>LEY 1955 DE 2019 – Artículo 229 – Finalidad / LEY 2046 DE 2020 – Finalidad – Ámbito de aplicación - Compra pública de alimentos</w:t>
            </w:r>
            <w:r>
              <w:rPr>
                <w:rFonts w:ascii="Verdana" w:hAnsi="Verdana" w:cs="Arial"/>
                <w:lang w:val="es-ES_tradnl" w:eastAsia="es-ES"/>
              </w:rPr>
              <w:t xml:space="preserve"> / </w:t>
            </w:r>
            <w:r w:rsidRPr="00D33A9D">
              <w:rPr>
                <w:rFonts w:ascii="Verdana" w:hAnsi="Verdana" w:cs="Arial"/>
                <w:lang w:eastAsia="es-ES"/>
              </w:rPr>
              <w:t xml:space="preserve">LEY 2046 DE 2020 – Artículo 7 – Incentivos contractuales – Puntajes adicionales – Promoción de la compra pública de alimentos </w:t>
            </w:r>
            <w:r>
              <w:rPr>
                <w:rFonts w:ascii="Verdana" w:hAnsi="Verdana" w:cs="Arial"/>
                <w:lang w:eastAsia="es-ES"/>
              </w:rPr>
              <w:t xml:space="preserve">/ Ley 2046 de 2020 – Asignación Proporcional – Criterio </w:t>
            </w:r>
            <w:r w:rsidRPr="00D33A9D">
              <w:rPr>
                <w:rFonts w:ascii="Verdana" w:hAnsi="Verdana" w:cs="Arial"/>
                <w:lang w:eastAsia="es-ES"/>
              </w:rPr>
              <w:t>/ DECRETO 248 DE 2021 – Decreto 1071 de 2015 – Reglamento – Incentivos contractuales – Contrato de promesa de proveeduría – naturaleza dual – requisito habilitante – factor de evaluación</w:t>
            </w:r>
            <w:r>
              <w:rPr>
                <w:rFonts w:ascii="Verdana" w:hAnsi="Verdana" w:cs="Arial"/>
                <w:lang w:eastAsia="es-ES"/>
              </w:rPr>
              <w:t xml:space="preserve"> / LEY 2046 DE 2020 – Incumplimiento – Reglas – Artículo 7 – Pliego de Condiciones – Nulidad Simple / </w:t>
            </w:r>
            <w:r w:rsidRPr="00E91C01">
              <w:rPr>
                <w:rFonts w:ascii="Verdana" w:hAnsi="Verdana" w:cs="Arial"/>
                <w:lang w:eastAsia="es-ES"/>
              </w:rPr>
              <w:t xml:space="preserve">LEY 2046 DE 2020 – Incumplimiento – Reglas – </w:t>
            </w:r>
            <w:r>
              <w:rPr>
                <w:rFonts w:ascii="Verdana" w:hAnsi="Verdana" w:cs="Arial"/>
                <w:lang w:eastAsia="es-ES"/>
              </w:rPr>
              <w:t>Acto de Adjudicación / LEY 2046 DE 2020 – Nulidad del contrato</w:t>
            </w:r>
          </w:p>
          <w:p w14:paraId="4BFDD9E6" w14:textId="77777777" w:rsidR="002A259F" w:rsidRPr="008C3D38" w:rsidRDefault="002A259F" w:rsidP="009C426C">
            <w:pPr>
              <w:snapToGrid w:val="0"/>
              <w:spacing w:line="276" w:lineRule="auto"/>
              <w:jc w:val="both"/>
              <w:rPr>
                <w:rFonts w:ascii="Verdana" w:hAnsi="Verdana" w:cs="Arial"/>
                <w:bCs/>
                <w:lang w:val="es-ES" w:eastAsia="es-ES"/>
              </w:rPr>
            </w:pPr>
          </w:p>
        </w:tc>
        <w:tc>
          <w:tcPr>
            <w:tcW w:w="6237" w:type="dxa"/>
          </w:tcPr>
          <w:p w14:paraId="649D33CE" w14:textId="77777777" w:rsidR="002A259F" w:rsidRPr="008C3D38" w:rsidRDefault="002A259F" w:rsidP="009C426C">
            <w:pPr>
              <w:rPr>
                <w:rFonts w:ascii="Verdana" w:hAnsi="Verdana"/>
                <w:lang w:val="es-ES"/>
              </w:rPr>
            </w:pPr>
          </w:p>
        </w:tc>
      </w:tr>
      <w:tr w:rsidR="002A259F" w:rsidRPr="008C3D38" w14:paraId="1F6D053E" w14:textId="77777777" w:rsidTr="009C426C">
        <w:tc>
          <w:tcPr>
            <w:tcW w:w="2685" w:type="dxa"/>
          </w:tcPr>
          <w:p w14:paraId="14274D9B" w14:textId="77777777" w:rsidR="002A259F" w:rsidRPr="008C3D38" w:rsidRDefault="002A259F" w:rsidP="009C426C">
            <w:pPr>
              <w:rPr>
                <w:rFonts w:ascii="Verdana" w:hAnsi="Verdana"/>
                <w:b/>
                <w:bCs/>
                <w:lang w:val="es-ES_tradnl"/>
              </w:rPr>
            </w:pPr>
          </w:p>
          <w:p w14:paraId="42D8F7DE" w14:textId="77777777" w:rsidR="002A259F" w:rsidRPr="008C3D38" w:rsidRDefault="002A259F" w:rsidP="009C426C">
            <w:pPr>
              <w:rPr>
                <w:rFonts w:ascii="Verdana" w:hAnsi="Verdana"/>
                <w:b/>
                <w:bCs/>
                <w:lang w:val="es-ES_tradnl"/>
              </w:rPr>
            </w:pPr>
            <w:r w:rsidRPr="008C3D38">
              <w:rPr>
                <w:rFonts w:ascii="Verdana" w:hAnsi="Verdana"/>
                <w:b/>
                <w:bCs/>
                <w:lang w:val="es-ES_tradnl"/>
              </w:rPr>
              <w:t xml:space="preserve">Radicación:               </w:t>
            </w:r>
          </w:p>
        </w:tc>
        <w:tc>
          <w:tcPr>
            <w:tcW w:w="6241" w:type="dxa"/>
          </w:tcPr>
          <w:p w14:paraId="18A9E135" w14:textId="77777777" w:rsidR="002A259F" w:rsidRPr="008C3D38" w:rsidRDefault="002A259F" w:rsidP="009C426C">
            <w:pPr>
              <w:spacing w:line="276" w:lineRule="auto"/>
              <w:jc w:val="both"/>
              <w:rPr>
                <w:rFonts w:ascii="Verdana" w:hAnsi="Verdana"/>
                <w:lang w:val="es-ES_tradnl"/>
              </w:rPr>
            </w:pPr>
          </w:p>
          <w:p w14:paraId="483174C3" w14:textId="77777777" w:rsidR="002A259F" w:rsidRPr="0009061C" w:rsidRDefault="002A259F" w:rsidP="009C426C">
            <w:pPr>
              <w:spacing w:line="276" w:lineRule="auto"/>
              <w:jc w:val="both"/>
              <w:rPr>
                <w:rFonts w:ascii="Verdana" w:hAnsi="Verdana"/>
              </w:rPr>
            </w:pPr>
            <w:r w:rsidRPr="008C3D38">
              <w:rPr>
                <w:rFonts w:ascii="Verdana" w:hAnsi="Verdana"/>
                <w:lang w:val="es-ES_tradnl"/>
              </w:rPr>
              <w:t xml:space="preserve">Respuesta a consulta con radicado </w:t>
            </w:r>
            <w:r w:rsidRPr="0009061C">
              <w:rPr>
                <w:rFonts w:ascii="Verdana" w:hAnsi="Verdana"/>
              </w:rPr>
              <w:t>1_2026_08_12_010705 y 1_2026_08_13_010727</w:t>
            </w:r>
            <w:r>
              <w:rPr>
                <w:rFonts w:ascii="Verdana" w:hAnsi="Verdana"/>
              </w:rPr>
              <w:t xml:space="preserve"> (acumulados)</w:t>
            </w:r>
          </w:p>
          <w:p w14:paraId="2C5933C2" w14:textId="77777777" w:rsidR="002A259F" w:rsidRPr="0009061C" w:rsidRDefault="002A259F" w:rsidP="009C426C">
            <w:pPr>
              <w:spacing w:line="276" w:lineRule="auto"/>
              <w:jc w:val="both"/>
              <w:rPr>
                <w:rFonts w:ascii="Verdana" w:hAnsi="Verdana"/>
              </w:rPr>
            </w:pPr>
          </w:p>
          <w:p w14:paraId="752367EC" w14:textId="77777777" w:rsidR="002A259F" w:rsidRPr="008C3D38" w:rsidRDefault="002A259F" w:rsidP="009C426C">
            <w:pPr>
              <w:spacing w:line="276" w:lineRule="auto"/>
              <w:jc w:val="both"/>
              <w:rPr>
                <w:rFonts w:ascii="Verdana" w:hAnsi="Verdana"/>
              </w:rPr>
            </w:pPr>
          </w:p>
        </w:tc>
        <w:tc>
          <w:tcPr>
            <w:tcW w:w="6237" w:type="dxa"/>
          </w:tcPr>
          <w:p w14:paraId="6A56CFC1" w14:textId="77777777" w:rsidR="002A259F" w:rsidRPr="008C3D38" w:rsidRDefault="002A259F" w:rsidP="009C426C">
            <w:pPr>
              <w:rPr>
                <w:rFonts w:ascii="Verdana" w:hAnsi="Verdana"/>
              </w:rPr>
            </w:pPr>
          </w:p>
        </w:tc>
      </w:tr>
    </w:tbl>
    <w:p w14:paraId="346EE51B" w14:textId="77777777" w:rsidR="002A259F" w:rsidRPr="008C3D38" w:rsidRDefault="002A259F" w:rsidP="002A259F">
      <w:pPr>
        <w:spacing w:after="0" w:line="256" w:lineRule="auto"/>
        <w:rPr>
          <w:rFonts w:ascii="Verdana" w:eastAsia="Calibri" w:hAnsi="Verdana" w:cs="Times New Roman"/>
          <w:lang w:val="es-ES"/>
        </w:rPr>
      </w:pPr>
      <w:r>
        <w:rPr>
          <w:rFonts w:ascii="Verdana" w:eastAsia="Calibri" w:hAnsi="Verdana" w:cs="Times New Roman"/>
          <w:lang w:val="es-ES"/>
        </w:rPr>
        <w:t>Estimada Señora Higuera</w:t>
      </w:r>
      <w:r w:rsidRPr="008C3D38">
        <w:rPr>
          <w:rFonts w:ascii="Verdana" w:eastAsia="Calibri" w:hAnsi="Verdana" w:cs="Times New Roman"/>
          <w:lang w:val="es-ES"/>
        </w:rPr>
        <w:t xml:space="preserve">: </w:t>
      </w:r>
    </w:p>
    <w:p w14:paraId="1D57FE86" w14:textId="77777777" w:rsidR="002A259F" w:rsidRPr="008C3D38" w:rsidRDefault="002A259F" w:rsidP="002A259F">
      <w:pPr>
        <w:spacing w:after="0" w:line="276" w:lineRule="auto"/>
        <w:rPr>
          <w:rFonts w:ascii="Verdana" w:eastAsia="Calibri" w:hAnsi="Verdana" w:cs="Times New Roman"/>
          <w:lang w:val="es-ES"/>
        </w:rPr>
      </w:pPr>
    </w:p>
    <w:p w14:paraId="53CC199E" w14:textId="77777777" w:rsidR="002A259F" w:rsidRPr="008C3D38" w:rsidRDefault="002A259F" w:rsidP="002A259F">
      <w:pPr>
        <w:spacing w:after="0" w:line="276" w:lineRule="auto"/>
        <w:jc w:val="both"/>
        <w:rPr>
          <w:rFonts w:ascii="Verdana" w:eastAsia="Calibri" w:hAnsi="Verdana" w:cs="Times New Roman"/>
          <w:bCs/>
          <w:lang w:val="es-ES" w:bidi="es-ES"/>
        </w:rPr>
      </w:pPr>
      <w:r w:rsidRPr="008C3D38">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así como lo establecido en la Resolución </w:t>
      </w:r>
      <w:proofErr w:type="spellStart"/>
      <w:r w:rsidRPr="008C3D38">
        <w:rPr>
          <w:rFonts w:ascii="Verdana" w:eastAsia="Calibri" w:hAnsi="Verdana" w:cs="Times New Roman"/>
          <w:bCs/>
          <w:lang w:bidi="es-ES"/>
        </w:rPr>
        <w:lastRenderedPageBreak/>
        <w:t>N°</w:t>
      </w:r>
      <w:proofErr w:type="spellEnd"/>
      <w:r w:rsidRPr="008C3D38">
        <w:rPr>
          <w:rFonts w:ascii="Verdana" w:eastAsia="Calibri" w:hAnsi="Verdana" w:cs="Times New Roman"/>
          <w:bCs/>
          <w:lang w:bidi="es-ES"/>
        </w:rPr>
        <w:t xml:space="preserve"> 469 del 2025 expedida por esta Agencia, </w:t>
      </w:r>
      <w:r w:rsidRPr="008C3D38">
        <w:rPr>
          <w:rFonts w:ascii="Verdana" w:eastAsia="Calibri" w:hAnsi="Verdana" w:cs="Times New Roman"/>
          <w:bCs/>
          <w:lang w:val="es-ES" w:bidi="es-ES"/>
        </w:rPr>
        <w:t>responde</w:t>
      </w:r>
      <w:r>
        <w:rPr>
          <w:rFonts w:ascii="Verdana" w:eastAsia="Calibri" w:hAnsi="Verdana" w:cs="Times New Roman"/>
          <w:bCs/>
          <w:lang w:val="es-ES" w:bidi="es-ES"/>
        </w:rPr>
        <w:t xml:space="preserve"> la solicitud de consulta del 12 de agosto de 2026</w:t>
      </w:r>
      <w:r w:rsidRPr="008C3D38">
        <w:rPr>
          <w:rFonts w:ascii="Verdana" w:eastAsia="Calibri" w:hAnsi="Verdana" w:cs="Times New Roman"/>
          <w:bCs/>
          <w:lang w:val="es-ES" w:bidi="es-ES"/>
        </w:rPr>
        <w:t xml:space="preserve">, en la cual manifiesta: </w:t>
      </w:r>
    </w:p>
    <w:p w14:paraId="57FFB26A" w14:textId="77777777" w:rsidR="002A259F" w:rsidRPr="00B909AD" w:rsidRDefault="002A259F" w:rsidP="002A259F">
      <w:pPr>
        <w:autoSpaceDE w:val="0"/>
        <w:autoSpaceDN w:val="0"/>
        <w:adjustRightInd w:val="0"/>
        <w:spacing w:after="0" w:line="240" w:lineRule="auto"/>
        <w:ind w:left="709" w:right="709"/>
        <w:jc w:val="both"/>
        <w:rPr>
          <w:rFonts w:ascii="Verdana" w:hAnsi="Verdana" w:cs="Arial"/>
          <w:color w:val="000000"/>
          <w:sz w:val="20"/>
          <w:szCs w:val="20"/>
        </w:rPr>
      </w:pPr>
    </w:p>
    <w:p w14:paraId="076C7B8E" w14:textId="77777777" w:rsidR="002A259F" w:rsidRPr="007B088C" w:rsidRDefault="002A259F" w:rsidP="002A259F">
      <w:pPr>
        <w:autoSpaceDE w:val="0"/>
        <w:autoSpaceDN w:val="0"/>
        <w:adjustRightInd w:val="0"/>
        <w:spacing w:after="0" w:line="240" w:lineRule="auto"/>
        <w:ind w:left="709" w:right="709"/>
        <w:jc w:val="both"/>
        <w:rPr>
          <w:rFonts w:ascii="Verdana" w:hAnsi="Verdana" w:cs="Arial"/>
          <w:color w:val="000000"/>
          <w:sz w:val="20"/>
          <w:szCs w:val="20"/>
        </w:rPr>
      </w:pPr>
      <w:r>
        <w:rPr>
          <w:rFonts w:ascii="Verdana" w:hAnsi="Verdana" w:cs="Arial"/>
          <w:color w:val="000000"/>
          <w:sz w:val="20"/>
          <w:szCs w:val="20"/>
        </w:rPr>
        <w:t>“</w:t>
      </w:r>
      <w:r w:rsidRPr="007B088C">
        <w:rPr>
          <w:rFonts w:ascii="Verdana" w:hAnsi="Verdana" w:cs="Arial"/>
          <w:b/>
          <w:bCs/>
          <w:color w:val="000000"/>
          <w:sz w:val="20"/>
          <w:szCs w:val="20"/>
        </w:rPr>
        <w:t xml:space="preserve">1. </w:t>
      </w:r>
      <w:proofErr w:type="gramStart"/>
      <w:r w:rsidRPr="007B088C">
        <w:rPr>
          <w:rFonts w:ascii="Verdana" w:hAnsi="Verdana" w:cs="Arial"/>
          <w:color w:val="000000"/>
          <w:sz w:val="20"/>
          <w:szCs w:val="20"/>
        </w:rPr>
        <w:t xml:space="preserve">¿Cuál es la interpretación correcta de la expresión </w:t>
      </w:r>
      <w:r w:rsidRPr="007B088C">
        <w:rPr>
          <w:rFonts w:ascii="Verdana" w:hAnsi="Verdana" w:cs="Arial"/>
          <w:i/>
          <w:iCs/>
          <w:color w:val="000000"/>
          <w:sz w:val="20"/>
          <w:szCs w:val="20"/>
        </w:rPr>
        <w:t>“asignados proporcionalmente</w:t>
      </w:r>
      <w:r w:rsidRPr="007B088C">
        <w:rPr>
          <w:rFonts w:ascii="Verdana" w:hAnsi="Verdana" w:cs="Arial"/>
          <w:color w:val="000000"/>
          <w:sz w:val="20"/>
          <w:szCs w:val="20"/>
        </w:rPr>
        <w:t>” contenida en</w:t>
      </w:r>
      <w:r>
        <w:rPr>
          <w:rFonts w:ascii="Verdana" w:hAnsi="Verdana" w:cs="Arial"/>
          <w:color w:val="000000"/>
          <w:sz w:val="20"/>
          <w:szCs w:val="20"/>
        </w:rPr>
        <w:t xml:space="preserve"> </w:t>
      </w:r>
      <w:r w:rsidRPr="007B088C">
        <w:rPr>
          <w:rFonts w:ascii="Verdana" w:hAnsi="Verdana" w:cs="Arial"/>
          <w:color w:val="000000"/>
          <w:sz w:val="20"/>
          <w:szCs w:val="20"/>
        </w:rPr>
        <w:t>el artículo 7 de la Ley 2046 de 2020 y del esquema de puntaje adicional previsto en el artículo</w:t>
      </w:r>
      <w:r>
        <w:rPr>
          <w:rFonts w:ascii="Verdana" w:hAnsi="Verdana" w:cs="Arial"/>
          <w:color w:val="000000"/>
          <w:sz w:val="20"/>
          <w:szCs w:val="20"/>
        </w:rPr>
        <w:t xml:space="preserve"> </w:t>
      </w:r>
      <w:r w:rsidRPr="007B088C">
        <w:rPr>
          <w:rFonts w:ascii="Verdana" w:hAnsi="Verdana" w:cs="Arial"/>
          <w:color w:val="000000"/>
          <w:sz w:val="20"/>
          <w:szCs w:val="20"/>
        </w:rPr>
        <w:t>2.</w:t>
      </w:r>
      <w:proofErr w:type="gramEnd"/>
      <w:r w:rsidRPr="007B088C">
        <w:rPr>
          <w:rFonts w:ascii="Verdana" w:hAnsi="Verdana" w:cs="Arial"/>
          <w:color w:val="000000"/>
          <w:sz w:val="20"/>
          <w:szCs w:val="20"/>
        </w:rPr>
        <w:t>20.1.2.3 del Decreto 1071 de 2015? En particular, ¿implica dicho mandato que el puntaje</w:t>
      </w:r>
      <w:r>
        <w:rPr>
          <w:rFonts w:ascii="Verdana" w:hAnsi="Verdana" w:cs="Arial"/>
          <w:color w:val="000000"/>
          <w:sz w:val="20"/>
          <w:szCs w:val="20"/>
        </w:rPr>
        <w:t xml:space="preserve"> </w:t>
      </w:r>
      <w:r w:rsidRPr="007B088C">
        <w:rPr>
          <w:rFonts w:ascii="Verdana" w:hAnsi="Verdana" w:cs="Arial"/>
          <w:color w:val="000000"/>
          <w:sz w:val="20"/>
          <w:szCs w:val="20"/>
        </w:rPr>
        <w:t>máximo debe reservarse exclusivamente para el proponente que ofrezca el mayor porcentaje de</w:t>
      </w:r>
      <w:r>
        <w:rPr>
          <w:rFonts w:ascii="Verdana" w:hAnsi="Verdana" w:cs="Arial"/>
          <w:color w:val="000000"/>
          <w:sz w:val="20"/>
          <w:szCs w:val="20"/>
        </w:rPr>
        <w:t xml:space="preserve"> </w:t>
      </w:r>
      <w:r w:rsidRPr="007B088C">
        <w:rPr>
          <w:rFonts w:ascii="Verdana" w:hAnsi="Verdana" w:cs="Arial"/>
          <w:color w:val="000000"/>
          <w:sz w:val="20"/>
          <w:szCs w:val="20"/>
        </w:rPr>
        <w:t>vinculación de pequeños productores, asignando a los demás proponentes un puntaje decreciente</w:t>
      </w:r>
      <w:r>
        <w:rPr>
          <w:rFonts w:ascii="Verdana" w:hAnsi="Verdana" w:cs="Arial"/>
          <w:color w:val="000000"/>
          <w:sz w:val="20"/>
          <w:szCs w:val="20"/>
        </w:rPr>
        <w:t xml:space="preserve"> </w:t>
      </w:r>
      <w:r w:rsidRPr="007B088C">
        <w:rPr>
          <w:rFonts w:ascii="Verdana" w:hAnsi="Verdana" w:cs="Arial"/>
          <w:color w:val="000000"/>
          <w:sz w:val="20"/>
          <w:szCs w:val="20"/>
        </w:rPr>
        <w:t>calculado en función matemática (v. gr. regla de tres) respecto de dicho máximo?</w:t>
      </w:r>
    </w:p>
    <w:p w14:paraId="67CCB167" w14:textId="77777777" w:rsidR="002A259F" w:rsidRDefault="002A259F" w:rsidP="002A259F">
      <w:pPr>
        <w:autoSpaceDE w:val="0"/>
        <w:autoSpaceDN w:val="0"/>
        <w:adjustRightInd w:val="0"/>
        <w:spacing w:after="0" w:line="240" w:lineRule="auto"/>
        <w:ind w:left="709" w:right="709"/>
        <w:jc w:val="both"/>
        <w:rPr>
          <w:rFonts w:ascii="Verdana" w:hAnsi="Verdana" w:cs="Arial"/>
          <w:color w:val="000000"/>
          <w:sz w:val="20"/>
          <w:szCs w:val="20"/>
        </w:rPr>
      </w:pPr>
      <w:r w:rsidRPr="007B088C">
        <w:rPr>
          <w:rFonts w:ascii="Verdana" w:hAnsi="Verdana" w:cs="Arial"/>
          <w:b/>
          <w:bCs/>
          <w:color w:val="000000"/>
          <w:sz w:val="20"/>
          <w:szCs w:val="20"/>
        </w:rPr>
        <w:t xml:space="preserve">2. </w:t>
      </w:r>
      <w:r w:rsidRPr="007B088C">
        <w:rPr>
          <w:rFonts w:ascii="Verdana" w:hAnsi="Verdana" w:cs="Arial"/>
          <w:color w:val="000000"/>
          <w:sz w:val="20"/>
          <w:szCs w:val="20"/>
        </w:rPr>
        <w:t>¿Resulta ajustado a derecho que una entidad estatal, en sus pliegos de condiciones, asigne el</w:t>
      </w:r>
      <w:r>
        <w:rPr>
          <w:rFonts w:ascii="Verdana" w:hAnsi="Verdana" w:cs="Arial"/>
          <w:color w:val="000000"/>
          <w:sz w:val="20"/>
          <w:szCs w:val="20"/>
        </w:rPr>
        <w:t xml:space="preserve"> </w:t>
      </w:r>
      <w:r w:rsidRPr="007B088C">
        <w:rPr>
          <w:rFonts w:ascii="Verdana" w:hAnsi="Verdana" w:cs="Arial"/>
          <w:color w:val="000000"/>
          <w:sz w:val="20"/>
          <w:szCs w:val="20"/>
        </w:rPr>
        <w:t>mismo puntaje máximo a todos los proponentes que superen o igualen el porcentaje mínimo</w:t>
      </w:r>
      <w:r>
        <w:rPr>
          <w:rFonts w:ascii="Verdana" w:hAnsi="Verdana" w:cs="Arial"/>
          <w:color w:val="000000"/>
          <w:sz w:val="20"/>
          <w:szCs w:val="20"/>
        </w:rPr>
        <w:t xml:space="preserve"> </w:t>
      </w:r>
      <w:r w:rsidRPr="007B088C">
        <w:rPr>
          <w:rFonts w:ascii="Verdana" w:hAnsi="Verdana" w:cs="Arial"/>
          <w:color w:val="000000"/>
          <w:sz w:val="20"/>
          <w:szCs w:val="20"/>
        </w:rPr>
        <w:t>exigido de vinculación de pequeños productores, sin diferenciar entre ellos en función del</w:t>
      </w:r>
      <w:r>
        <w:rPr>
          <w:rFonts w:ascii="Verdana" w:hAnsi="Verdana" w:cs="Arial"/>
          <w:color w:val="000000"/>
          <w:sz w:val="20"/>
          <w:szCs w:val="20"/>
        </w:rPr>
        <w:t xml:space="preserve"> </w:t>
      </w:r>
      <w:r w:rsidRPr="007B088C">
        <w:rPr>
          <w:rFonts w:ascii="Verdana" w:hAnsi="Verdana" w:cs="Arial"/>
          <w:color w:val="000000"/>
          <w:sz w:val="20"/>
          <w:szCs w:val="20"/>
        </w:rPr>
        <w:t>porcentaje efectivamente ofrecido por cada uno?</w:t>
      </w:r>
    </w:p>
    <w:p w14:paraId="32BEACD0" w14:textId="77777777" w:rsidR="002A259F" w:rsidRPr="007E4CD5" w:rsidRDefault="002A259F" w:rsidP="002A259F">
      <w:pPr>
        <w:autoSpaceDE w:val="0"/>
        <w:autoSpaceDN w:val="0"/>
        <w:adjustRightInd w:val="0"/>
        <w:spacing w:after="0" w:line="240" w:lineRule="auto"/>
        <w:ind w:left="709" w:right="709"/>
        <w:jc w:val="both"/>
        <w:rPr>
          <w:rFonts w:ascii="Verdana" w:hAnsi="Verdana" w:cs="Arial"/>
          <w:color w:val="000000"/>
          <w:sz w:val="20"/>
          <w:szCs w:val="20"/>
        </w:rPr>
      </w:pPr>
      <w:r w:rsidRPr="007E4CD5">
        <w:rPr>
          <w:rFonts w:ascii="Verdana" w:hAnsi="Verdana" w:cs="Arial"/>
          <w:b/>
          <w:bCs/>
          <w:color w:val="000000"/>
          <w:sz w:val="20"/>
          <w:szCs w:val="20"/>
        </w:rPr>
        <w:t xml:space="preserve">3. </w:t>
      </w:r>
      <w:r w:rsidRPr="007E4CD5">
        <w:rPr>
          <w:rFonts w:ascii="Verdana" w:hAnsi="Verdana" w:cs="Arial"/>
          <w:color w:val="000000"/>
          <w:sz w:val="20"/>
          <w:szCs w:val="20"/>
        </w:rPr>
        <w:t>En caso de que la respuesta al interrogante anterior sea negativa, ¿cuál es la fórmula o</w:t>
      </w:r>
      <w:r>
        <w:rPr>
          <w:rFonts w:ascii="Verdana" w:hAnsi="Verdana" w:cs="Arial"/>
          <w:color w:val="000000"/>
          <w:sz w:val="20"/>
          <w:szCs w:val="20"/>
        </w:rPr>
        <w:t xml:space="preserve"> </w:t>
      </w:r>
      <w:r w:rsidRPr="007E4CD5">
        <w:rPr>
          <w:rFonts w:ascii="Verdana" w:hAnsi="Verdana" w:cs="Arial"/>
          <w:color w:val="000000"/>
          <w:sz w:val="20"/>
          <w:szCs w:val="20"/>
        </w:rPr>
        <w:t>metodología que, en criterio de Colombia Compra Eficiente, debe aplicarse para dar cumplimiento</w:t>
      </w:r>
      <w:r>
        <w:rPr>
          <w:rFonts w:ascii="Verdana" w:hAnsi="Verdana" w:cs="Arial"/>
          <w:color w:val="000000"/>
          <w:sz w:val="20"/>
          <w:szCs w:val="20"/>
        </w:rPr>
        <w:t xml:space="preserve"> </w:t>
      </w:r>
      <w:r w:rsidRPr="007E4CD5">
        <w:rPr>
          <w:rFonts w:ascii="Verdana" w:hAnsi="Verdana" w:cs="Arial"/>
          <w:color w:val="000000"/>
          <w:sz w:val="20"/>
          <w:szCs w:val="20"/>
        </w:rPr>
        <w:t>al mandato de proporcionalidad? ¿Existe algún lineamiento, manual, guía o documento tipo</w:t>
      </w:r>
      <w:r>
        <w:rPr>
          <w:rFonts w:ascii="Verdana" w:hAnsi="Verdana" w:cs="Arial"/>
          <w:color w:val="000000"/>
          <w:sz w:val="20"/>
          <w:szCs w:val="20"/>
        </w:rPr>
        <w:t xml:space="preserve"> </w:t>
      </w:r>
      <w:r w:rsidRPr="007E4CD5">
        <w:rPr>
          <w:rFonts w:ascii="Verdana" w:hAnsi="Verdana" w:cs="Arial"/>
          <w:color w:val="000000"/>
          <w:sz w:val="20"/>
          <w:szCs w:val="20"/>
        </w:rPr>
        <w:t>expedido por la Agencia que desarrolle en detalle esta fórmula?</w:t>
      </w:r>
    </w:p>
    <w:p w14:paraId="57F86CB8" w14:textId="77777777" w:rsidR="002A259F" w:rsidRPr="00B909AD" w:rsidRDefault="002A259F" w:rsidP="002A259F">
      <w:pPr>
        <w:autoSpaceDE w:val="0"/>
        <w:autoSpaceDN w:val="0"/>
        <w:adjustRightInd w:val="0"/>
        <w:spacing w:after="0" w:line="240" w:lineRule="auto"/>
        <w:ind w:left="709" w:right="709"/>
        <w:jc w:val="both"/>
        <w:rPr>
          <w:rFonts w:ascii="Verdana" w:hAnsi="Verdana" w:cs="Arial"/>
          <w:color w:val="000000"/>
          <w:sz w:val="20"/>
          <w:szCs w:val="20"/>
        </w:rPr>
      </w:pPr>
      <w:r w:rsidRPr="007E4CD5">
        <w:rPr>
          <w:rFonts w:ascii="Verdana" w:hAnsi="Verdana" w:cs="Arial"/>
          <w:b/>
          <w:bCs/>
          <w:color w:val="000000"/>
          <w:sz w:val="20"/>
          <w:szCs w:val="20"/>
        </w:rPr>
        <w:t xml:space="preserve">4. </w:t>
      </w:r>
      <w:r w:rsidRPr="007E4CD5">
        <w:rPr>
          <w:rFonts w:ascii="Verdana" w:hAnsi="Verdana" w:cs="Arial"/>
          <w:color w:val="000000"/>
          <w:sz w:val="20"/>
          <w:szCs w:val="20"/>
        </w:rPr>
        <w:t>¿Qué consecuencias jurídicas podría acarrear, en el marco del proceso de selección, la</w:t>
      </w:r>
      <w:r>
        <w:rPr>
          <w:rFonts w:ascii="Verdana" w:hAnsi="Verdana" w:cs="Arial"/>
          <w:color w:val="000000"/>
          <w:sz w:val="20"/>
          <w:szCs w:val="20"/>
        </w:rPr>
        <w:t xml:space="preserve"> </w:t>
      </w:r>
      <w:r w:rsidRPr="007E4CD5">
        <w:rPr>
          <w:rFonts w:ascii="Verdana" w:hAnsi="Verdana" w:cs="Arial"/>
          <w:color w:val="000000"/>
          <w:sz w:val="20"/>
          <w:szCs w:val="20"/>
        </w:rPr>
        <w:t>estructuración de una fórmula de puntaje que no observe el principio de proporcionalidad exigido</w:t>
      </w:r>
      <w:r>
        <w:rPr>
          <w:rFonts w:ascii="Verdana" w:hAnsi="Verdana" w:cs="Arial"/>
          <w:color w:val="000000"/>
          <w:sz w:val="20"/>
          <w:szCs w:val="20"/>
        </w:rPr>
        <w:t xml:space="preserve"> </w:t>
      </w:r>
      <w:r w:rsidRPr="007E4CD5">
        <w:rPr>
          <w:rFonts w:ascii="Verdana" w:hAnsi="Verdana" w:cs="Arial"/>
          <w:color w:val="000000"/>
          <w:sz w:val="20"/>
          <w:szCs w:val="20"/>
        </w:rPr>
        <w:t>por la Ley 2046 de 2020 y el Decreto 1071 de 2015 (por ejemplo, en materia de observaciones al</w:t>
      </w:r>
      <w:r>
        <w:rPr>
          <w:rFonts w:ascii="Verdana" w:hAnsi="Verdana" w:cs="Arial"/>
          <w:color w:val="000000"/>
          <w:sz w:val="20"/>
          <w:szCs w:val="20"/>
        </w:rPr>
        <w:t xml:space="preserve"> </w:t>
      </w:r>
      <w:r w:rsidRPr="007E4CD5">
        <w:rPr>
          <w:rFonts w:ascii="Verdana" w:hAnsi="Verdana" w:cs="Arial"/>
          <w:color w:val="000000"/>
          <w:sz w:val="20"/>
          <w:szCs w:val="20"/>
        </w:rPr>
        <w:t>proyecto de pliego, recursos, o eventuales nulidades del acto de adjudicación)?</w:t>
      </w:r>
    </w:p>
    <w:p w14:paraId="706FC1C8" w14:textId="77777777" w:rsidR="002A259F" w:rsidRPr="008C3D38" w:rsidRDefault="002A259F" w:rsidP="002A259F">
      <w:pPr>
        <w:spacing w:after="0" w:line="276" w:lineRule="auto"/>
        <w:ind w:right="709"/>
        <w:jc w:val="both"/>
        <w:rPr>
          <w:rFonts w:ascii="Verdana" w:eastAsia="Calibri" w:hAnsi="Verdana" w:cs="Times New Roman"/>
          <w:bCs/>
          <w:lang w:val="es-ES" w:bidi="es-ES"/>
        </w:rPr>
      </w:pPr>
    </w:p>
    <w:p w14:paraId="0A6A07ED" w14:textId="77777777" w:rsidR="002A259F" w:rsidRPr="008C3D38" w:rsidRDefault="002A259F" w:rsidP="002A259F">
      <w:pPr>
        <w:spacing w:after="120" w:line="276" w:lineRule="auto"/>
        <w:ind w:firstLine="709"/>
        <w:jc w:val="both"/>
        <w:rPr>
          <w:rFonts w:ascii="Verdana" w:eastAsia="Calibri" w:hAnsi="Verdana" w:cs="Times New Roman"/>
          <w:lang w:val="es-ES"/>
        </w:rPr>
      </w:pPr>
      <w:r w:rsidRPr="008C3D38">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w:t>
      </w:r>
      <w:r w:rsidRPr="008C3D38">
        <w:rPr>
          <w:rFonts w:ascii="Verdana" w:eastAsia="Calibri" w:hAnsi="Verdana" w:cs="Times New Roman"/>
          <w:lang w:val="es-ES"/>
        </w:rPr>
        <w:lastRenderedPageBreak/>
        <w:t>determinar grados de responsabilidad por las actuaciones de los diferentes participes del sistema de compra pública.</w:t>
      </w:r>
    </w:p>
    <w:p w14:paraId="20BEC2BA" w14:textId="77777777" w:rsidR="002A259F" w:rsidRPr="008C3D38" w:rsidRDefault="002A259F" w:rsidP="002A259F">
      <w:pPr>
        <w:spacing w:after="0" w:line="276" w:lineRule="auto"/>
        <w:ind w:firstLine="708"/>
        <w:jc w:val="both"/>
        <w:rPr>
          <w:rFonts w:ascii="Verdana" w:eastAsia="Calibri" w:hAnsi="Verdana" w:cs="Times New Roman"/>
          <w:lang w:val="es-ES"/>
        </w:rPr>
      </w:pPr>
      <w:r w:rsidRPr="008C3D38">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14112D1" w14:textId="77777777" w:rsidR="002A259F" w:rsidRPr="008C3D38" w:rsidRDefault="002A259F" w:rsidP="002A259F">
      <w:pPr>
        <w:spacing w:after="0" w:line="276" w:lineRule="auto"/>
        <w:rPr>
          <w:rFonts w:ascii="Verdana" w:eastAsia="Calibri" w:hAnsi="Verdana" w:cs="Times New Roman"/>
          <w:lang w:val="es-ES"/>
        </w:rPr>
      </w:pPr>
    </w:p>
    <w:p w14:paraId="487BAD13" w14:textId="77777777" w:rsidR="002A259F" w:rsidRPr="008C3D38" w:rsidRDefault="002A259F" w:rsidP="002A259F">
      <w:pPr>
        <w:numPr>
          <w:ilvl w:val="0"/>
          <w:numId w:val="16"/>
        </w:numPr>
        <w:spacing w:after="0" w:line="276" w:lineRule="auto"/>
        <w:rPr>
          <w:rFonts w:ascii="Verdana" w:eastAsia="Calibri" w:hAnsi="Verdana" w:cs="Times New Roman"/>
          <w:b/>
          <w:bCs/>
          <w:lang w:val="es-ES"/>
        </w:rPr>
      </w:pPr>
      <w:r w:rsidRPr="008C3D38">
        <w:rPr>
          <w:rFonts w:ascii="Verdana" w:eastAsia="Calibri" w:hAnsi="Verdana" w:cs="Times New Roman"/>
          <w:b/>
          <w:bCs/>
          <w:lang w:val="es-ES"/>
        </w:rPr>
        <w:t>Problema planteado:</w:t>
      </w:r>
    </w:p>
    <w:p w14:paraId="4BAB80E0" w14:textId="77777777" w:rsidR="002A259F" w:rsidRPr="008C3D38" w:rsidRDefault="002A259F" w:rsidP="002A259F">
      <w:pPr>
        <w:spacing w:after="0" w:line="276" w:lineRule="auto"/>
        <w:rPr>
          <w:rFonts w:ascii="Verdana" w:eastAsia="Calibri" w:hAnsi="Verdana" w:cs="Times New Roman"/>
        </w:rPr>
      </w:pPr>
    </w:p>
    <w:p w14:paraId="0D7BFC73" w14:textId="77777777" w:rsidR="002A259F" w:rsidRPr="002954A4" w:rsidRDefault="002A259F" w:rsidP="002A259F">
      <w:pPr>
        <w:spacing w:after="0" w:line="276" w:lineRule="auto"/>
        <w:jc w:val="both"/>
        <w:rPr>
          <w:rFonts w:ascii="Verdana" w:eastAsia="Calibri" w:hAnsi="Verdana"/>
        </w:rPr>
      </w:pPr>
      <w:r w:rsidRPr="008C3D38">
        <w:rPr>
          <w:rFonts w:ascii="Verdana" w:eastAsia="Calibri" w:hAnsi="Verdana" w:cs="Times New Roman"/>
        </w:rPr>
        <w:t xml:space="preserve">De acuerdo con el contenido de sus solicitudes, la Agencia procede a resolver </w:t>
      </w:r>
      <w:r>
        <w:rPr>
          <w:rFonts w:ascii="Verdana" w:eastAsia="Calibri" w:hAnsi="Verdana" w:cs="Times New Roman"/>
        </w:rPr>
        <w:t xml:space="preserve">los siguientes problemas jurídicos: </w:t>
      </w:r>
      <w:r>
        <w:rPr>
          <w:rFonts w:ascii="Verdana" w:eastAsia="Calibri" w:hAnsi="Verdana"/>
        </w:rPr>
        <w:t xml:space="preserve">i) </w:t>
      </w:r>
      <w:r w:rsidRPr="002954A4">
        <w:rPr>
          <w:rFonts w:ascii="Verdana" w:eastAsia="Calibri" w:hAnsi="Verdana"/>
        </w:rPr>
        <w:t xml:space="preserve">¿Cómo debe entenderse </w:t>
      </w:r>
      <w:r>
        <w:rPr>
          <w:rFonts w:ascii="Verdana" w:eastAsia="Calibri" w:hAnsi="Verdana"/>
        </w:rPr>
        <w:t xml:space="preserve">la </w:t>
      </w:r>
      <w:r w:rsidRPr="002954A4">
        <w:rPr>
          <w:rFonts w:ascii="Verdana" w:eastAsia="Calibri" w:hAnsi="Verdana"/>
        </w:rPr>
        <w:t>proporcionalidad en la asignación de puntajes dentro de los procesos de selección pública</w:t>
      </w:r>
      <w:r>
        <w:rPr>
          <w:rFonts w:ascii="Verdana" w:eastAsia="Calibri" w:hAnsi="Verdana"/>
        </w:rPr>
        <w:t xml:space="preserve"> para la promoción de compra y distribución de alimentos a pequeños productores contemplado en el artículo 7 de la Ley 2046 de 2020</w:t>
      </w:r>
      <w:r w:rsidRPr="002954A4">
        <w:rPr>
          <w:rFonts w:ascii="Verdana" w:eastAsia="Calibri" w:hAnsi="Verdana"/>
        </w:rPr>
        <w:t>?</w:t>
      </w:r>
      <w:r>
        <w:rPr>
          <w:rFonts w:ascii="Verdana" w:eastAsia="Calibri" w:hAnsi="Verdana"/>
        </w:rPr>
        <w:t xml:space="preserve">; </w:t>
      </w:r>
      <w:proofErr w:type="spellStart"/>
      <w:r>
        <w:rPr>
          <w:rFonts w:ascii="Verdana" w:eastAsia="Calibri" w:hAnsi="Verdana"/>
        </w:rPr>
        <w:t>ii</w:t>
      </w:r>
      <w:proofErr w:type="spellEnd"/>
      <w:r>
        <w:rPr>
          <w:rFonts w:ascii="Verdana" w:eastAsia="Calibri" w:hAnsi="Verdana"/>
        </w:rPr>
        <w:t xml:space="preserve">) </w:t>
      </w:r>
      <w:r w:rsidRPr="002954A4">
        <w:rPr>
          <w:rFonts w:ascii="Verdana" w:eastAsia="Calibri" w:hAnsi="Verdana" w:cs="Times New Roman"/>
        </w:rPr>
        <w:t xml:space="preserve">¿Qué efectos </w:t>
      </w:r>
      <w:r>
        <w:rPr>
          <w:rFonts w:ascii="Verdana" w:eastAsia="Calibri" w:hAnsi="Verdana" w:cs="Times New Roman"/>
        </w:rPr>
        <w:t xml:space="preserve">tiene el incumplimiento </w:t>
      </w:r>
      <w:r w:rsidRPr="002954A4">
        <w:rPr>
          <w:rFonts w:ascii="Verdana" w:eastAsia="Calibri" w:hAnsi="Verdana" w:cs="Times New Roman"/>
        </w:rPr>
        <w:t>la adopción de metodologías de evaluación que desconozcan el mandato legal de proporcionalidad</w:t>
      </w:r>
      <w:r>
        <w:rPr>
          <w:rFonts w:ascii="Verdana" w:eastAsia="Calibri" w:hAnsi="Verdana" w:cs="Times New Roman"/>
        </w:rPr>
        <w:t xml:space="preserve"> de puntaje regulado en el artículo 7 de la Ley 2046 de 2020</w:t>
      </w:r>
      <w:r w:rsidRPr="002954A4">
        <w:rPr>
          <w:rFonts w:ascii="Verdana" w:eastAsia="Calibri" w:hAnsi="Verdana" w:cs="Times New Roman"/>
        </w:rPr>
        <w:t>?</w:t>
      </w:r>
    </w:p>
    <w:p w14:paraId="689090E8" w14:textId="77777777" w:rsidR="002A259F" w:rsidRPr="008C3D38" w:rsidRDefault="002A259F" w:rsidP="002A259F">
      <w:pPr>
        <w:spacing w:after="0" w:line="240" w:lineRule="auto"/>
        <w:jc w:val="both"/>
        <w:rPr>
          <w:rFonts w:ascii="Verdana" w:eastAsia="Calibri" w:hAnsi="Verdana" w:cs="Times New Roman"/>
          <w:i/>
          <w:iCs/>
          <w:lang w:val="es-ES"/>
        </w:rPr>
      </w:pPr>
    </w:p>
    <w:p w14:paraId="0D13F8EA" w14:textId="77777777" w:rsidR="002A259F" w:rsidRPr="008C3D38" w:rsidRDefault="002A259F" w:rsidP="002A259F">
      <w:pPr>
        <w:numPr>
          <w:ilvl w:val="0"/>
          <w:numId w:val="16"/>
        </w:numPr>
        <w:spacing w:after="0" w:line="276" w:lineRule="auto"/>
        <w:rPr>
          <w:rFonts w:ascii="Verdana" w:eastAsia="Calibri" w:hAnsi="Verdana" w:cs="Times New Roman"/>
          <w:b/>
          <w:bCs/>
          <w:lang w:val="es-ES"/>
        </w:rPr>
      </w:pPr>
      <w:r w:rsidRPr="008C3D38">
        <w:rPr>
          <w:rFonts w:ascii="Verdana" w:eastAsia="Calibri" w:hAnsi="Verdana" w:cs="Times New Roman"/>
          <w:b/>
          <w:bCs/>
          <w:lang w:val="es-ES"/>
        </w:rPr>
        <w:t>Respuesta:</w:t>
      </w:r>
    </w:p>
    <w:p w14:paraId="5240DA4F" w14:textId="77777777" w:rsidR="002A259F" w:rsidRPr="008C3D38" w:rsidRDefault="002A259F" w:rsidP="002A259F">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2A259F" w:rsidRPr="008C3D38" w14:paraId="1EE8A536" w14:textId="77777777" w:rsidTr="009C426C">
        <w:trPr>
          <w:trHeight w:val="345"/>
          <w:jc w:val="center"/>
        </w:trPr>
        <w:tc>
          <w:tcPr>
            <w:tcW w:w="8784" w:type="dxa"/>
            <w:tcBorders>
              <w:bottom w:val="single" w:sz="4" w:space="0" w:color="auto"/>
            </w:tcBorders>
          </w:tcPr>
          <w:p w14:paraId="1D03F679" w14:textId="77777777" w:rsidR="002A259F" w:rsidRPr="003C36B8" w:rsidRDefault="002A259F" w:rsidP="009C426C">
            <w:pPr>
              <w:spacing w:line="276" w:lineRule="auto"/>
              <w:jc w:val="both"/>
              <w:rPr>
                <w:rFonts w:ascii="Verdana" w:hAnsi="Verdana" w:cs="Arial"/>
                <w:lang w:val="es-ES" w:eastAsia="es-ES"/>
              </w:rPr>
            </w:pPr>
            <w:r w:rsidRPr="003C36B8">
              <w:rPr>
                <w:rFonts w:ascii="Verdana" w:hAnsi="Verdana" w:cs="Arial"/>
                <w:lang w:val="es-ES" w:eastAsia="es-ES"/>
              </w:rPr>
              <w:t>En relación con los problemas jurídicos, objeto de consulta, se precisa lo siguiente:</w:t>
            </w:r>
          </w:p>
          <w:p w14:paraId="3C133768" w14:textId="77777777" w:rsidR="002A259F" w:rsidRPr="003C36B8" w:rsidRDefault="002A259F" w:rsidP="009C426C">
            <w:pPr>
              <w:spacing w:line="276" w:lineRule="auto"/>
              <w:jc w:val="both"/>
              <w:rPr>
                <w:rFonts w:ascii="Verdana" w:hAnsi="Verdana" w:cs="Arial"/>
                <w:lang w:val="es-ES" w:eastAsia="es-ES"/>
              </w:rPr>
            </w:pPr>
          </w:p>
          <w:p w14:paraId="48415424" w14:textId="77777777" w:rsidR="002A259F" w:rsidRPr="003C36B8" w:rsidRDefault="002A259F" w:rsidP="009C426C">
            <w:pPr>
              <w:spacing w:after="120" w:line="276" w:lineRule="auto"/>
              <w:jc w:val="both"/>
              <w:rPr>
                <w:rFonts w:ascii="Verdana" w:eastAsia="Times New Roman" w:hAnsi="Verdana" w:cs="Arial"/>
                <w:lang w:eastAsia="es-CO"/>
              </w:rPr>
            </w:pPr>
            <w:r w:rsidRPr="003C36B8">
              <w:rPr>
                <w:rFonts w:ascii="Verdana" w:hAnsi="Verdana" w:cs="Arial"/>
                <w:lang w:val="es-ES" w:eastAsia="es-ES"/>
              </w:rPr>
              <w:t xml:space="preserve">i. </w:t>
            </w:r>
            <w:r w:rsidRPr="003C36B8">
              <w:rPr>
                <w:rFonts w:ascii="Verdana" w:eastAsia="Times New Roman" w:hAnsi="Verdana" w:cs="Arial"/>
                <w:lang w:eastAsia="es-CO"/>
              </w:rPr>
              <w:t>Para resolver el primer problema jurídico de su consulta, se detalla que el artículo 7 de la Ley 2046 de 2020 establece un marco normativo para garantizar la participación de pequeños productores agropecuarios y de la Agricultura Campesina, Familiar y Comunitaria en la contratación pública de alimentos. En primer lugar, fija un porcentaje mínimo obligatorio del 30% de compra local con cargo al presupuesto destinado a la adquisición de alimentos. En caso de que la oferta local no alcance dicho porcentaje, la entidad contratante debe informar a la Mesa Técnica Nacional de Compras Públicas, la cual certificará la insuficiencia y gestionará un listado de productores no locales para suplir el faltante, asegurando la continuidad del abastecimiento y el cumplimiento del mandato legal.</w:t>
            </w:r>
          </w:p>
          <w:p w14:paraId="0D45CE3C" w14:textId="77777777" w:rsidR="002A259F" w:rsidRPr="003C36B8" w:rsidRDefault="002A259F" w:rsidP="009C426C">
            <w:pPr>
              <w:spacing w:after="120" w:line="276" w:lineRule="auto"/>
              <w:ind w:firstLine="709"/>
              <w:jc w:val="both"/>
              <w:rPr>
                <w:rFonts w:ascii="Verdana" w:eastAsia="Times New Roman" w:hAnsi="Verdana" w:cs="Arial"/>
                <w:lang w:eastAsia="es-CO"/>
              </w:rPr>
            </w:pPr>
            <w:r w:rsidRPr="003C36B8">
              <w:rPr>
                <w:rFonts w:ascii="Verdana" w:eastAsia="Times New Roman" w:hAnsi="Verdana" w:cs="Arial"/>
                <w:lang w:eastAsia="es-CO"/>
              </w:rPr>
              <w:lastRenderedPageBreak/>
              <w:t>En segundo lugar, la norma incorpora un criterio de evaluación obligatorio en los pliegos de condiciones, aplicable únicamente en aquellas modalidades de selección en las que el factor de escogencia no se limite exclusivamente al precio. Este criterio consiste en la asignación de un puntaje mínimo equivalente al diez por ciento (10%) de la calificación total de las propuestas, distribuido proporcionalmente según el nivel de compromiso que cada oferente asuma respecto de la adquisición de productos provenientes de pequeños productores locales. De esta manera, el sistema de evaluación se convierte en un mecanismo de incentivo que premia gradualmente a quienes superan el umbral mínimo exigido, garantizando que el reconocimiento refleje un esfuerzo real de inclusión.</w:t>
            </w:r>
          </w:p>
          <w:p w14:paraId="4A058F84" w14:textId="77777777" w:rsidR="002A259F" w:rsidRPr="003C36B8" w:rsidRDefault="002A259F" w:rsidP="009C426C">
            <w:pPr>
              <w:spacing w:after="120" w:line="276" w:lineRule="auto"/>
              <w:ind w:firstLine="709"/>
              <w:jc w:val="both"/>
              <w:rPr>
                <w:rFonts w:ascii="Verdana" w:eastAsia="Times New Roman" w:hAnsi="Verdana" w:cs="Arial"/>
                <w:lang w:eastAsia="es-CO"/>
              </w:rPr>
            </w:pPr>
            <w:r w:rsidRPr="003C36B8">
              <w:rPr>
                <w:rFonts w:ascii="Verdana" w:eastAsia="Times New Roman" w:hAnsi="Verdana" w:cs="Arial"/>
                <w:lang w:eastAsia="es-CO"/>
              </w:rPr>
              <w:t xml:space="preserve">La proporcionalidad en la asignación del puntaje opera bajo tres reglas: i) la entidad contratante debe fijar en sus pliegos un porcentaje mínimo de participación de pequeños productores, que constituye el umbral obligatorio; </w:t>
            </w:r>
            <w:proofErr w:type="spellStart"/>
            <w:r w:rsidRPr="003C36B8">
              <w:rPr>
                <w:rFonts w:ascii="Verdana" w:eastAsia="Times New Roman" w:hAnsi="Verdana" w:cs="Arial"/>
                <w:lang w:eastAsia="es-CO"/>
              </w:rPr>
              <w:t>ii</w:t>
            </w:r>
            <w:proofErr w:type="spellEnd"/>
            <w:r w:rsidRPr="003C36B8">
              <w:rPr>
                <w:rFonts w:ascii="Verdana" w:eastAsia="Times New Roman" w:hAnsi="Verdana" w:cs="Arial"/>
                <w:lang w:eastAsia="es-CO"/>
              </w:rPr>
              <w:t xml:space="preserve">) únicamente los proponentes que superen dicho mínimo obtendrán puntos adicionales dentro de la evaluación de la oferta; y </w:t>
            </w:r>
            <w:proofErr w:type="spellStart"/>
            <w:r w:rsidRPr="003C36B8">
              <w:rPr>
                <w:rFonts w:ascii="Verdana" w:eastAsia="Times New Roman" w:hAnsi="Verdana" w:cs="Arial"/>
                <w:lang w:eastAsia="es-CO"/>
              </w:rPr>
              <w:t>iii</w:t>
            </w:r>
            <w:proofErr w:type="spellEnd"/>
            <w:r w:rsidRPr="003C36B8">
              <w:rPr>
                <w:rFonts w:ascii="Verdana" w:eastAsia="Times New Roman" w:hAnsi="Verdana" w:cs="Arial"/>
                <w:lang w:eastAsia="es-CO"/>
              </w:rPr>
              <w:t>) el puntaje equivalente al 10% se reparte proporcionalmente, de modo que a mayor porcentaje de productos adquiridos a pequeños productores, mayor será la cantidad de puntos obtenidos, hasta alcanzar el máximo previsto. Este diseño normativo asegura transparencia, equidad y eficacia en la evaluación, fortaleciendo la política pública de compras locales como instrumento de desarrollo económico y social.</w:t>
            </w:r>
          </w:p>
          <w:p w14:paraId="525F8BE0" w14:textId="77777777" w:rsidR="002A259F" w:rsidRPr="003C36B8" w:rsidRDefault="002A259F" w:rsidP="009C426C">
            <w:pPr>
              <w:spacing w:after="120" w:line="276" w:lineRule="auto"/>
              <w:ind w:firstLine="709"/>
              <w:jc w:val="both"/>
              <w:rPr>
                <w:rFonts w:ascii="Verdana" w:eastAsia="Times New Roman" w:hAnsi="Verdana" w:cs="Arial"/>
                <w:bCs/>
                <w:lang w:eastAsia="es-CO"/>
              </w:rPr>
            </w:pPr>
            <w:r w:rsidRPr="003C36B8">
              <w:rPr>
                <w:rFonts w:ascii="Verdana" w:eastAsia="Times New Roman" w:hAnsi="Verdana" w:cs="Arial"/>
                <w:lang w:eastAsia="es-CO"/>
              </w:rPr>
              <w:t xml:space="preserve">Finalmente, </w:t>
            </w:r>
            <w:r w:rsidRPr="003C36B8">
              <w:rPr>
                <w:rFonts w:ascii="Verdana" w:eastAsia="Times New Roman" w:hAnsi="Verdana" w:cs="Arial"/>
                <w:bCs/>
                <w:lang w:eastAsia="es-CO"/>
              </w:rPr>
              <w:t xml:space="preserve">artículo </w:t>
            </w:r>
            <w:r w:rsidRPr="003C36B8">
              <w:rPr>
                <w:rFonts w:ascii="Verdana" w:eastAsia="Times New Roman" w:hAnsi="Verdana" w:cs="Arial"/>
                <w:lang w:eastAsia="es-CO"/>
              </w:rPr>
              <w:t>2.20.1.2.3 de</w:t>
            </w:r>
            <w:r w:rsidRPr="003C36B8">
              <w:rPr>
                <w:rFonts w:ascii="Verdana" w:eastAsia="Times New Roman" w:hAnsi="Verdana" w:cs="Arial"/>
                <w:bCs/>
                <w:lang w:eastAsia="es-CO"/>
              </w:rPr>
              <w:t xml:space="preserve">l Decreto 1071 de 2015 adicionado por parte del Decreto 248 de 2021, dispone que el puntaje mínimo del 10% del total de los puntos que debe asignarse a los oferentes que presenten promesas de contrato de proveeduría comprometiéndose con la entidad a adquirir productos provenientes de pequeños productores locales o productores locales de la Agricultura Campesina, Familiar o Comunitaria y/o sus organizaciones, </w:t>
            </w:r>
            <w:r w:rsidRPr="003C36B8">
              <w:rPr>
                <w:rFonts w:ascii="Verdana" w:eastAsia="Times New Roman" w:hAnsi="Verdana" w:cs="Arial"/>
                <w:bCs/>
                <w:i/>
                <w:iCs/>
                <w:lang w:eastAsia="es-CO"/>
              </w:rPr>
              <w:t>en una proporción mayor al mínimo exigido por la entidad</w:t>
            </w:r>
            <w:r w:rsidRPr="003C36B8">
              <w:rPr>
                <w:rFonts w:ascii="Verdana" w:eastAsia="Times New Roman" w:hAnsi="Verdana" w:cs="Arial"/>
                <w:bCs/>
                <w:lang w:eastAsia="es-CO"/>
              </w:rPr>
              <w:t>. Esto significa que no podrán beneficiarse del puntaje adicional quienes presenten contratos de proveeduría por debajo del mínimo previsto en el pliego de condiciones, de manera que únicamente se asignará a quienes superen la proporción exigida en los documentos del proceso.</w:t>
            </w:r>
          </w:p>
          <w:p w14:paraId="3685F0CF" w14:textId="77777777" w:rsidR="002A259F" w:rsidRPr="003C36B8" w:rsidRDefault="002A259F" w:rsidP="009C426C">
            <w:pPr>
              <w:spacing w:line="278" w:lineRule="auto"/>
              <w:rPr>
                <w:rFonts w:ascii="Verdana" w:eastAsia="Aptos" w:hAnsi="Verdana" w:cs="Times New Roman"/>
                <w:kern w:val="2"/>
                <w14:ligatures w14:val="standardContextual"/>
              </w:rPr>
            </w:pPr>
          </w:p>
          <w:p w14:paraId="4B740645" w14:textId="77777777" w:rsidR="002A259F" w:rsidRPr="007D72D8" w:rsidRDefault="002A259F" w:rsidP="009C426C">
            <w:pPr>
              <w:spacing w:after="120" w:line="276" w:lineRule="auto"/>
              <w:jc w:val="both"/>
              <w:rPr>
                <w:rFonts w:ascii="Verdana" w:eastAsia="Calibri" w:hAnsi="Verdana" w:cs="Arial"/>
                <w:color w:val="000000"/>
              </w:rPr>
            </w:pPr>
            <w:proofErr w:type="spellStart"/>
            <w:r w:rsidRPr="003C36B8">
              <w:rPr>
                <w:rFonts w:ascii="Verdana" w:eastAsia="Aptos" w:hAnsi="Verdana" w:cs="Times New Roman"/>
                <w:kern w:val="2"/>
                <w14:ligatures w14:val="standardContextual"/>
              </w:rPr>
              <w:lastRenderedPageBreak/>
              <w:t>ii</w:t>
            </w:r>
            <w:proofErr w:type="spellEnd"/>
            <w:r w:rsidRPr="003C36B8">
              <w:rPr>
                <w:rFonts w:ascii="Verdana" w:eastAsia="Aptos" w:hAnsi="Verdana" w:cs="Times New Roman"/>
                <w:kern w:val="2"/>
                <w14:ligatures w14:val="standardContextual"/>
              </w:rPr>
              <w:t>. En torno al segundo problema jurídico de su consulta</w:t>
            </w:r>
            <w:r>
              <w:rPr>
                <w:rFonts w:ascii="Verdana" w:eastAsia="Aptos" w:hAnsi="Verdana" w:cs="Times New Roman"/>
                <w:kern w:val="2"/>
                <w14:ligatures w14:val="standardContextual"/>
              </w:rPr>
              <w:t xml:space="preserve">, se precisa que, en </w:t>
            </w:r>
            <w:r w:rsidRPr="007D72D8">
              <w:rPr>
                <w:rFonts w:ascii="Verdana" w:eastAsia="Calibri" w:hAnsi="Verdana" w:cs="Arial"/>
                <w:color w:val="000000"/>
              </w:rPr>
              <w:t>los procesos de contratación relacionados con la compra y distribución de alimentos</w:t>
            </w:r>
            <w:r>
              <w:rPr>
                <w:rFonts w:ascii="Verdana" w:eastAsia="Calibri" w:hAnsi="Verdana" w:cs="Arial"/>
                <w:color w:val="000000"/>
              </w:rPr>
              <w:t xml:space="preserve"> para la promoción de pequeños productores</w:t>
            </w:r>
            <w:r w:rsidRPr="007D72D8">
              <w:rPr>
                <w:rFonts w:ascii="Verdana" w:eastAsia="Calibri" w:hAnsi="Verdana" w:cs="Arial"/>
                <w:color w:val="000000"/>
              </w:rPr>
              <w:t>, el pliego de condiciones debe incorporar de manera expresa las reglas previstas en el artículo 7 de la Ley 2046 de 2020 y en el Decreto 248 de 2021, que adiciona el Decreto 1071 de 2015. No obstante, es importante precisar que el puntaje derivado de la promesa de proveeduría únicamente resulta aplicable en modalidades de selección competitivas en las que el factor de escogencia no se limite exclusivamente al precio. En procedimientos como la mínima cuantía o la selección abreviada mediante subasta inversa, el criterio de evaluación es estrictamente económico, pues la norma establece que el único factor determinante es el menor precio ofertado. Así lo ha señalado el Concepto C-391 de 2026, al indicar que en la mínima cuantía la promesa de proveeduría opera únicamente como requisito habilitante, sin que pueda ser utilizada como criterio de evaluación.</w:t>
            </w:r>
          </w:p>
          <w:p w14:paraId="3D217370" w14:textId="77777777" w:rsidR="002A259F" w:rsidRPr="007D72D8" w:rsidRDefault="002A259F" w:rsidP="009C426C">
            <w:pPr>
              <w:spacing w:after="120" w:line="276" w:lineRule="auto"/>
              <w:ind w:firstLine="709"/>
              <w:jc w:val="both"/>
              <w:rPr>
                <w:rFonts w:ascii="Verdana" w:eastAsia="Calibri" w:hAnsi="Verdana" w:cs="Arial"/>
                <w:color w:val="000000"/>
              </w:rPr>
            </w:pPr>
            <w:r w:rsidRPr="007D72D8">
              <w:rPr>
                <w:rFonts w:ascii="Verdana" w:eastAsia="Calibri" w:hAnsi="Verdana" w:cs="Arial"/>
                <w:color w:val="000000"/>
              </w:rPr>
              <w:t>Ahora bien, en aquellos procesos en los que sí resulta exigible la aplicación de los porcentajes mínimos de evaluación previstos en la Ley 2046 de 2020 y en el Decreto 1071 de 2015 —adicionado por el Decreto 248 de 2021—, la omisión de tales parámetros en los pliegos de condiciones configura un desconocimiento directo de la normativa aplicable. Esta irregularidad debe ser advertida oportunamente por los terceros interesados, ya sea en la etapa de proyecto de pliego de condiciones, mediante observaciones formales, o en la fase de publicación definitiva, a través de observaciones que den lugar a la expedición de adendas. La inobservancia de estas reglas implica un</w:t>
            </w:r>
            <w:r>
              <w:rPr>
                <w:rFonts w:ascii="Verdana" w:eastAsia="Calibri" w:hAnsi="Verdana" w:cs="Arial"/>
                <w:color w:val="000000"/>
              </w:rPr>
              <w:t xml:space="preserve"> incumplimiento</w:t>
            </w:r>
            <w:r w:rsidRPr="007D72D8">
              <w:rPr>
                <w:rFonts w:ascii="Verdana" w:eastAsia="Calibri" w:hAnsi="Verdana" w:cs="Arial"/>
                <w:color w:val="000000"/>
              </w:rPr>
              <w:t xml:space="preserve"> de las metodologías de evaluación</w:t>
            </w:r>
            <w:r>
              <w:rPr>
                <w:rFonts w:ascii="Verdana" w:eastAsia="Calibri" w:hAnsi="Verdana" w:cs="Arial"/>
                <w:color w:val="000000"/>
              </w:rPr>
              <w:t xml:space="preserve"> regulados</w:t>
            </w:r>
            <w:r w:rsidRPr="007D72D8">
              <w:rPr>
                <w:rFonts w:ascii="Verdana" w:eastAsia="Calibri" w:hAnsi="Verdana" w:cs="Arial"/>
                <w:color w:val="000000"/>
              </w:rPr>
              <w:t xml:space="preserve"> por el </w:t>
            </w:r>
            <w:r>
              <w:rPr>
                <w:rFonts w:ascii="Verdana" w:eastAsia="Calibri" w:hAnsi="Verdana" w:cs="Arial"/>
                <w:color w:val="000000"/>
              </w:rPr>
              <w:t>Ley 2046 de 2020</w:t>
            </w:r>
            <w:r w:rsidRPr="007D72D8">
              <w:rPr>
                <w:rFonts w:ascii="Verdana" w:eastAsia="Calibri" w:hAnsi="Verdana" w:cs="Arial"/>
                <w:color w:val="000000"/>
              </w:rPr>
              <w:t>, lo cual vulnera el mandato de proporcionalidad y afecta de manera sustancial la validez del procedimiento de selección, generando un riesgo de nulidad por contravención de normas imperativas de derecho público.</w:t>
            </w:r>
          </w:p>
          <w:p w14:paraId="47565885" w14:textId="77777777" w:rsidR="002A259F" w:rsidRPr="007D72D8" w:rsidRDefault="002A259F" w:rsidP="009C426C">
            <w:pPr>
              <w:spacing w:after="120" w:line="276" w:lineRule="auto"/>
              <w:ind w:firstLine="709"/>
              <w:jc w:val="both"/>
              <w:rPr>
                <w:rFonts w:ascii="Verdana" w:eastAsia="Calibri" w:hAnsi="Verdana" w:cs="Arial"/>
                <w:color w:val="000000"/>
              </w:rPr>
            </w:pPr>
            <w:r w:rsidRPr="007D72D8">
              <w:rPr>
                <w:rFonts w:ascii="Verdana" w:eastAsia="Calibri" w:hAnsi="Verdana" w:cs="Arial"/>
                <w:color w:val="000000"/>
              </w:rPr>
              <w:t>En este contexto, el control judicial de los pliegos de condiciones, como lo expresó Colombia Compra Eficiente en el Concepto C-719 del 11 de junio de 2026 expresa que el Consejo de Estado</w:t>
            </w:r>
            <w:r>
              <w:rPr>
                <w:rFonts w:ascii="Verdana" w:eastAsia="Calibri" w:hAnsi="Verdana" w:cs="Arial"/>
                <w:color w:val="000000"/>
              </w:rPr>
              <w:t xml:space="preserve"> ha</w:t>
            </w:r>
            <w:r w:rsidRPr="007D72D8">
              <w:rPr>
                <w:rFonts w:ascii="Verdana" w:eastAsia="Calibri" w:hAnsi="Verdana" w:cs="Arial"/>
                <w:color w:val="000000"/>
              </w:rPr>
              <w:t xml:space="preserve"> reiterado que procede el medio de control de nulidad simple, diferenciándose de los actos de adjudicación o de declaración de desierta, frente a los cuales se aplica la nulidad y restablecimiento del derecho. En auto del 3 de septiembre de 2025, la subsección B de la Sección Tercera del Consejo de Estado aclaró que los </w:t>
            </w:r>
            <w:r w:rsidRPr="007D72D8">
              <w:rPr>
                <w:rFonts w:ascii="Verdana" w:eastAsia="Calibri" w:hAnsi="Verdana" w:cs="Arial"/>
                <w:color w:val="000000"/>
              </w:rPr>
              <w:lastRenderedPageBreak/>
              <w:t xml:space="preserve">pliegos de condiciones son pasibles de control jurisdiccional mediante la acción de nulidad simple, en tanto constituyen actos administrativos generales que fijan reglas sustanciales de participación y condiciones del futuro contrato. En consecuencia, si aún no se ha adjudicado el contrato, la acción procedente sería la demanda </w:t>
            </w:r>
            <w:r>
              <w:rPr>
                <w:rFonts w:ascii="Verdana" w:eastAsia="Calibri" w:hAnsi="Verdana" w:cs="Arial"/>
                <w:color w:val="000000"/>
              </w:rPr>
              <w:t>por el medio de control de</w:t>
            </w:r>
            <w:r w:rsidRPr="007D72D8">
              <w:rPr>
                <w:rFonts w:ascii="Verdana" w:eastAsia="Calibri" w:hAnsi="Verdana" w:cs="Arial"/>
                <w:color w:val="000000"/>
              </w:rPr>
              <w:t xml:space="preserve"> nulidad simple contra el pliego, por desconocimiento de la Ley 2046 de 2020 y del </w:t>
            </w:r>
            <w:r>
              <w:rPr>
                <w:rFonts w:ascii="Verdana" w:eastAsia="Calibri" w:hAnsi="Verdana" w:cs="Arial"/>
                <w:color w:val="000000"/>
              </w:rPr>
              <w:t xml:space="preserve">Decreto 248 de 2021 que adiciona el Decreto 1071 de 2015. </w:t>
            </w:r>
          </w:p>
          <w:p w14:paraId="568EAF12" w14:textId="77777777" w:rsidR="002A259F" w:rsidRPr="007D72D8" w:rsidRDefault="002A259F" w:rsidP="009C426C">
            <w:pPr>
              <w:spacing w:after="120" w:line="276" w:lineRule="auto"/>
              <w:ind w:firstLine="709"/>
              <w:jc w:val="both"/>
              <w:rPr>
                <w:rFonts w:ascii="Verdana" w:eastAsia="Calibri" w:hAnsi="Verdana" w:cs="Arial"/>
                <w:color w:val="000000"/>
              </w:rPr>
            </w:pPr>
            <w:r w:rsidRPr="007D72D8">
              <w:rPr>
                <w:rFonts w:ascii="Verdana" w:eastAsia="Calibri" w:hAnsi="Verdana" w:cs="Arial"/>
                <w:color w:val="000000"/>
              </w:rPr>
              <w:t>Si el proceso ya ha culminado con el respectivo acto de adjudicación, la omisión de la proporcionalidad en la asignación de puntajes puede configurar una causal de nulidad del acto de adjudicación, al tratarse de un acto administrativo que decide la selección del contratista con base en criterios que son contrarios al ordenamiento jurídico. En este caso, aplica en principio la nulidad y restablecimiento del derecho contemplada en el artículo 138 de la Ley 1437 de 2011 permitiría cuestionar la legalidad del acto de adjudicación, alegando la violación de normas superiores que regulan la contratación estatal y la afectación del principio de selección objetiva.</w:t>
            </w:r>
          </w:p>
          <w:p w14:paraId="3ADF2DB1" w14:textId="77777777" w:rsidR="002A259F" w:rsidRPr="002B7EB4" w:rsidRDefault="002A259F" w:rsidP="009C426C">
            <w:pPr>
              <w:spacing w:line="276" w:lineRule="auto"/>
              <w:ind w:firstLine="709"/>
              <w:jc w:val="both"/>
              <w:rPr>
                <w:rFonts w:ascii="Verdana" w:eastAsia="Calibri" w:hAnsi="Verdana" w:cs="Arial"/>
                <w:color w:val="000000"/>
              </w:rPr>
            </w:pPr>
            <w:r w:rsidRPr="007D72D8">
              <w:rPr>
                <w:rFonts w:ascii="Verdana" w:eastAsia="Calibri" w:hAnsi="Verdana" w:cs="Arial"/>
                <w:color w:val="000000"/>
              </w:rPr>
              <w:t xml:space="preserve">Finalmente, si el contrato ya se encuentra perfeccionado, la irregularidad en la metodología de evaluación puede dar lugar a la nulidad absoluta del contrato, en aplicación de lo previsto en una de las casuales previstas en artículo 44 de la Ley 80 de 1993, y en las demás causales dispuestas en normas civiles y comerciales. En este escenario, debe acudirse al medio de control de controversias contractuales, siendo el mecanismo idóneo para restablecer la legalidad, pues la omisión de la proporcionalidad en la asignación de puntajes no solo afecta la validez del procedimiento de selección, sino que también compromete la validez del contrato mismo, al haberse celebrado con desconocimiento de la regla obligatoria contemplada en el artículo 7 de la Ley 2046 de 2020 y en el Decreto 248 de 2021 que adiciona el Decreto 1071 de 2015. </w:t>
            </w:r>
          </w:p>
        </w:tc>
      </w:tr>
    </w:tbl>
    <w:p w14:paraId="5E16CE26" w14:textId="77777777" w:rsidR="002A259F" w:rsidRPr="008C3D38" w:rsidRDefault="002A259F" w:rsidP="002A259F">
      <w:pPr>
        <w:spacing w:after="0" w:line="276" w:lineRule="auto"/>
        <w:jc w:val="both"/>
        <w:rPr>
          <w:rFonts w:ascii="Verdana" w:eastAsia="Calibri" w:hAnsi="Verdana" w:cs="Arial"/>
          <w:bCs/>
          <w:color w:val="000000" w:themeColor="text1"/>
        </w:rPr>
      </w:pPr>
      <w:bookmarkStart w:id="1" w:name="_Hlk78820161"/>
      <w:bookmarkStart w:id="2" w:name="_Hlk37703813"/>
    </w:p>
    <w:p w14:paraId="2BEF7739" w14:textId="77777777" w:rsidR="002A259F" w:rsidRPr="008C3D38" w:rsidRDefault="002A259F" w:rsidP="002A259F">
      <w:pPr>
        <w:numPr>
          <w:ilvl w:val="0"/>
          <w:numId w:val="16"/>
        </w:numPr>
        <w:tabs>
          <w:tab w:val="left" w:pos="2268"/>
        </w:tabs>
        <w:spacing w:after="0" w:line="276" w:lineRule="auto"/>
        <w:rPr>
          <w:rFonts w:ascii="Verdana" w:eastAsia="Calibri" w:hAnsi="Verdana" w:cs="Times New Roman"/>
          <w:b/>
          <w:bCs/>
          <w:lang w:val="es-ES"/>
        </w:rPr>
      </w:pPr>
      <w:r w:rsidRPr="008C3D38">
        <w:rPr>
          <w:rFonts w:ascii="Verdana" w:eastAsia="Calibri" w:hAnsi="Verdana" w:cs="Times New Roman"/>
          <w:b/>
          <w:bCs/>
          <w:lang w:val="es-ES"/>
        </w:rPr>
        <w:t>Razones de la respuesta:</w:t>
      </w:r>
    </w:p>
    <w:p w14:paraId="1CBDA35F" w14:textId="77777777" w:rsidR="002A259F" w:rsidRPr="008C3D38" w:rsidRDefault="002A259F" w:rsidP="002A259F">
      <w:pPr>
        <w:spacing w:after="0" w:line="276" w:lineRule="auto"/>
        <w:jc w:val="both"/>
        <w:rPr>
          <w:rFonts w:ascii="Verdana" w:eastAsia="Calibri" w:hAnsi="Verdana" w:cs="Arial"/>
          <w:lang w:val="es-ES"/>
        </w:rPr>
      </w:pPr>
    </w:p>
    <w:p w14:paraId="323128F0" w14:textId="77777777" w:rsidR="002A259F" w:rsidRPr="008C3D38" w:rsidRDefault="002A259F" w:rsidP="002A259F">
      <w:pPr>
        <w:spacing w:after="0" w:line="276" w:lineRule="auto"/>
        <w:jc w:val="both"/>
        <w:rPr>
          <w:rFonts w:ascii="Verdana" w:eastAsia="Calibri" w:hAnsi="Verdana" w:cs="Arial"/>
          <w:lang w:val="es-ES"/>
        </w:rPr>
      </w:pPr>
      <w:r w:rsidRPr="008C3D38">
        <w:rPr>
          <w:rFonts w:ascii="Verdana" w:eastAsia="Calibri" w:hAnsi="Verdana" w:cs="Arial"/>
          <w:lang w:val="es-ES"/>
        </w:rPr>
        <w:t>Lo anterior se sustenta en las siguientes consideraciones:</w:t>
      </w:r>
    </w:p>
    <w:bookmarkEnd w:id="1"/>
    <w:bookmarkEnd w:id="2"/>
    <w:p w14:paraId="22FC4639" w14:textId="77777777" w:rsidR="002A259F" w:rsidRPr="00AD400A" w:rsidRDefault="002A259F" w:rsidP="002A259F">
      <w:pPr>
        <w:spacing w:after="0" w:line="276" w:lineRule="auto"/>
        <w:jc w:val="both"/>
        <w:rPr>
          <w:rFonts w:ascii="Verdana" w:eastAsia="Calibri" w:hAnsi="Verdana" w:cs="Arial"/>
          <w:lang w:eastAsia="es-MX"/>
        </w:rPr>
      </w:pPr>
    </w:p>
    <w:p w14:paraId="431EB3AD" w14:textId="77777777" w:rsidR="002A259F" w:rsidRPr="008C3D38" w:rsidRDefault="002A259F" w:rsidP="002A259F">
      <w:pPr>
        <w:spacing w:after="120" w:line="276" w:lineRule="auto"/>
        <w:jc w:val="both"/>
        <w:rPr>
          <w:rFonts w:ascii="Verdana" w:eastAsia="Century Gothic" w:hAnsi="Verdana" w:cs="Century Gothic"/>
        </w:rPr>
      </w:pPr>
      <w:r w:rsidRPr="00AD400A">
        <w:rPr>
          <w:rFonts w:ascii="Verdana" w:eastAsia="Calibri" w:hAnsi="Verdana" w:cs="Arial"/>
          <w:lang w:eastAsia="es-MX"/>
        </w:rPr>
        <w:t xml:space="preserve">i. </w:t>
      </w:r>
      <w:r w:rsidRPr="008C3D38">
        <w:rPr>
          <w:rFonts w:ascii="Verdana" w:eastAsia="Times New Roman" w:hAnsi="Verdana" w:cs="Arial"/>
          <w:lang w:eastAsia="es-CO"/>
        </w:rPr>
        <w:t xml:space="preserve">La contratación pública o sistema de compra pública se concibe como un mercado compuesto por la oferta de particulares, preferentemente, y la </w:t>
      </w:r>
      <w:r w:rsidRPr="008C3D38">
        <w:rPr>
          <w:rFonts w:ascii="Verdana" w:eastAsia="Times New Roman" w:hAnsi="Verdana" w:cs="Arial"/>
          <w:lang w:eastAsia="es-CO"/>
        </w:rPr>
        <w:lastRenderedPageBreak/>
        <w:t>demanda de las Entidades Públicas de bienes y servicios. Particularmente, la compra pública de alimentos, a la cual se refiere en su consulta, además de lo dispuesto en el Estatuto General de Contratación de la Administración Pú</w:t>
      </w:r>
      <w:r>
        <w:rPr>
          <w:rFonts w:ascii="Verdana" w:eastAsia="Times New Roman" w:hAnsi="Verdana" w:cs="Arial"/>
          <w:lang w:eastAsia="es-CO"/>
        </w:rPr>
        <w:t xml:space="preserve">blica – en adelante EGCAP-, está </w:t>
      </w:r>
      <w:r w:rsidRPr="008C3D38">
        <w:rPr>
          <w:rFonts w:ascii="Verdana" w:eastAsia="Times New Roman" w:hAnsi="Verdana" w:cs="Arial"/>
          <w:lang w:eastAsia="es-CO"/>
        </w:rPr>
        <w:t xml:space="preserve">regulada en </w:t>
      </w:r>
      <w:r w:rsidRPr="008C3D38">
        <w:rPr>
          <w:rFonts w:ascii="Verdana" w:eastAsia="Century Gothic" w:hAnsi="Verdana" w:cs="Century Gothic"/>
        </w:rPr>
        <w:t xml:space="preserve">la Ley 1955 de 2019, la Ley 2046 de 2020 y el Decreto 248 de 2021, que modifica el Decreto 1071 de 2015. En ese </w:t>
      </w:r>
      <w:r>
        <w:rPr>
          <w:rFonts w:ascii="Verdana" w:eastAsia="Century Gothic" w:hAnsi="Verdana" w:cs="Century Gothic"/>
        </w:rPr>
        <w:t>sentido,</w:t>
      </w:r>
      <w:r w:rsidRPr="008C3D38">
        <w:rPr>
          <w:rFonts w:ascii="Verdana" w:eastAsia="Century Gothic" w:hAnsi="Verdana" w:cs="Century Gothic"/>
        </w:rPr>
        <w:t xml:space="preserve"> resulta importante referirse al </w:t>
      </w:r>
      <w:r w:rsidRPr="008C3D38">
        <w:rPr>
          <w:rFonts w:ascii="Verdana" w:eastAsia="Century Gothic" w:hAnsi="Verdana" w:cs="Century Gothic"/>
          <w:lang w:val="es-ES"/>
        </w:rPr>
        <w:t>c</w:t>
      </w:r>
      <w:proofErr w:type="spellStart"/>
      <w:r w:rsidRPr="008C3D38">
        <w:rPr>
          <w:rFonts w:ascii="Verdana" w:eastAsia="Century Gothic" w:hAnsi="Verdana" w:cs="Century Gothic"/>
        </w:rPr>
        <w:t>ontexto</w:t>
      </w:r>
      <w:proofErr w:type="spellEnd"/>
      <w:r w:rsidRPr="008C3D38">
        <w:rPr>
          <w:rFonts w:ascii="Verdana" w:eastAsia="Century Gothic" w:hAnsi="Verdana" w:cs="Century Gothic"/>
        </w:rPr>
        <w:t xml:space="preserve"> y finalidad de los incentivos y estímulos regulados el artículo 229 de la Ley 1955 de 2019 y en la Ley 2046 de 2020. </w:t>
      </w:r>
    </w:p>
    <w:p w14:paraId="0BDFCBD1" w14:textId="77777777" w:rsidR="002A259F" w:rsidRPr="008C3D38" w:rsidRDefault="002A259F" w:rsidP="002A259F">
      <w:pPr>
        <w:spacing w:after="0" w:line="276" w:lineRule="auto"/>
        <w:ind w:firstLine="708"/>
        <w:jc w:val="both"/>
        <w:rPr>
          <w:rFonts w:ascii="Verdana" w:eastAsia="Times New Roman" w:hAnsi="Verdana" w:cs="Arial"/>
          <w:lang w:eastAsia="es-CO"/>
        </w:rPr>
      </w:pPr>
      <w:r w:rsidRPr="008C3D38">
        <w:rPr>
          <w:rFonts w:ascii="Verdana" w:eastAsia="Times New Roman" w:hAnsi="Verdana" w:cs="Arial"/>
          <w:lang w:eastAsia="es-CO"/>
        </w:rPr>
        <w:t xml:space="preserve">Así, en el mercado de la compra pública se crean incentivos para fomentar el desarrollo de determinado tipo de proveedores, como ocurre con los incentivos a las </w:t>
      </w:r>
      <w:proofErr w:type="spellStart"/>
      <w:r w:rsidRPr="008C3D38">
        <w:rPr>
          <w:rFonts w:ascii="Verdana" w:eastAsia="Times New Roman" w:hAnsi="Verdana" w:cs="Arial"/>
          <w:lang w:eastAsia="es-CO"/>
        </w:rPr>
        <w:t>Mipymes</w:t>
      </w:r>
      <w:proofErr w:type="spellEnd"/>
      <w:r w:rsidRPr="008C3D38">
        <w:rPr>
          <w:rFonts w:ascii="Verdana" w:eastAsia="Times New Roman" w:hAnsi="Verdana" w:cs="Arial"/>
          <w:lang w:eastAsia="es-CO"/>
        </w:rPr>
        <w:t xml:space="preserve">, a los emprendimientos y empresas de mujeres, entre otros. En esa orientación, el artículo 229 de la Ley 1955 de 2019, “Por el cual se expide el Plan Nacional de Desarrollo 2018-2022”, dispuso que las entidades públicas descentralizadas del orden nacional y las entidades territoriales cada vez que requieran productos agropecuarios para atender la demanda en sus programas institucionales, deben asignar puntajes adicionales y estrategias de ponderación que mejoren las calificaciones de los proponentes cuando presenten contratos de proveeduría celebrados con productores nacionales. En lo pertinente, la norma dispone que: </w:t>
      </w:r>
    </w:p>
    <w:p w14:paraId="239ACDD8" w14:textId="77777777" w:rsidR="002A259F" w:rsidRPr="008C3D38" w:rsidRDefault="002A259F" w:rsidP="002A259F">
      <w:pPr>
        <w:spacing w:after="0" w:line="276" w:lineRule="auto"/>
        <w:jc w:val="both"/>
        <w:rPr>
          <w:rFonts w:ascii="Verdana" w:eastAsia="Times New Roman" w:hAnsi="Verdana" w:cs="Arial"/>
          <w:lang w:eastAsia="es-CO"/>
        </w:rPr>
      </w:pPr>
    </w:p>
    <w:p w14:paraId="04D7A4CC" w14:textId="77777777" w:rsidR="002A259F" w:rsidRPr="008C3D38" w:rsidRDefault="002A259F" w:rsidP="002A259F">
      <w:pPr>
        <w:spacing w:after="0" w:line="240" w:lineRule="auto"/>
        <w:ind w:left="709" w:right="709"/>
        <w:jc w:val="both"/>
        <w:rPr>
          <w:rFonts w:ascii="Verdana" w:eastAsia="Times New Roman" w:hAnsi="Verdana" w:cs="Arial"/>
          <w:sz w:val="20"/>
          <w:szCs w:val="20"/>
          <w:lang w:eastAsia="es-CO"/>
        </w:rPr>
      </w:pPr>
      <w:r w:rsidRPr="008C3D38">
        <w:rPr>
          <w:rFonts w:ascii="Verdana" w:eastAsia="Times New Roman" w:hAnsi="Verdana" w:cs="Arial"/>
          <w:sz w:val="20"/>
          <w:szCs w:val="20"/>
          <w:lang w:eastAsia="es-CO"/>
        </w:rPr>
        <w:t>Las entidades públicas descentralizadas del orden nacional y las entidades territoriales cada vez que requieran productos de origen agropecuario para atender la demanda de los programas institucionales de servicios de alimentación deberán establecer en sus pliegos de condiciones puntajes adicionales y estrategias de ponderación que mejoren las calificaciones de los proponentes cuando presenten contratos de proveeduría suscritos con productores nacionales. El Gobierno nacional en un plazo máximo de no más de tres (3) meses establecerá el esquema de puntajes adicionales, previo análisis de la Agencia de Contratación Colombia Compra Eficiente.</w:t>
      </w:r>
    </w:p>
    <w:p w14:paraId="5FD9EAF8" w14:textId="77777777" w:rsidR="002A259F" w:rsidRPr="008C3D38" w:rsidRDefault="002A259F" w:rsidP="002A259F">
      <w:pPr>
        <w:spacing w:after="0" w:line="240" w:lineRule="auto"/>
        <w:ind w:left="709" w:right="709"/>
        <w:jc w:val="both"/>
        <w:rPr>
          <w:rFonts w:ascii="Verdana" w:eastAsia="Times New Roman" w:hAnsi="Verdana" w:cs="Arial"/>
          <w:sz w:val="20"/>
          <w:szCs w:val="20"/>
          <w:lang w:eastAsia="es-CO"/>
        </w:rPr>
      </w:pPr>
    </w:p>
    <w:p w14:paraId="46180329" w14:textId="77777777" w:rsidR="002A259F" w:rsidRPr="008C3D38" w:rsidRDefault="002A259F" w:rsidP="002A259F">
      <w:pPr>
        <w:spacing w:after="0" w:line="240" w:lineRule="auto"/>
        <w:ind w:left="709" w:right="709"/>
        <w:jc w:val="both"/>
        <w:rPr>
          <w:rFonts w:ascii="Verdana" w:eastAsia="Times New Roman" w:hAnsi="Verdana" w:cs="Arial"/>
          <w:sz w:val="20"/>
          <w:szCs w:val="20"/>
          <w:lang w:eastAsia="es-CO"/>
        </w:rPr>
      </w:pPr>
      <w:r w:rsidRPr="008C3D38">
        <w:rPr>
          <w:rFonts w:ascii="Verdana" w:eastAsia="Times New Roman" w:hAnsi="Verdana" w:cs="Arial"/>
          <w:sz w:val="20"/>
          <w:szCs w:val="20"/>
          <w:lang w:eastAsia="es-CO"/>
        </w:rPr>
        <w:t>Sin perjuicio de lo anterior, las entidades públicas contratantes deberán adquirir hasta el cuarenta por ciento (40%) de alimentos procesados o sin procesar, en donde los insumos y los productos hayan sido adquiridos de productores agropecuarios locales.</w:t>
      </w:r>
    </w:p>
    <w:p w14:paraId="223E1849" w14:textId="77777777" w:rsidR="002A259F" w:rsidRPr="008C3D38" w:rsidRDefault="002A259F" w:rsidP="002A259F">
      <w:pPr>
        <w:spacing w:after="0" w:line="240" w:lineRule="auto"/>
        <w:ind w:left="709" w:right="709"/>
        <w:jc w:val="both"/>
        <w:rPr>
          <w:rFonts w:ascii="Verdana" w:eastAsia="Times New Roman" w:hAnsi="Verdana" w:cs="Arial"/>
          <w:sz w:val="20"/>
          <w:szCs w:val="20"/>
          <w:lang w:eastAsia="es-CO"/>
        </w:rPr>
      </w:pPr>
    </w:p>
    <w:p w14:paraId="43365A92" w14:textId="77777777" w:rsidR="002A259F" w:rsidRPr="008C3D38" w:rsidRDefault="002A259F" w:rsidP="002A259F">
      <w:pPr>
        <w:spacing w:after="0" w:line="240" w:lineRule="auto"/>
        <w:ind w:left="709" w:right="709"/>
        <w:jc w:val="both"/>
        <w:rPr>
          <w:rFonts w:ascii="Verdana" w:eastAsia="Times New Roman" w:hAnsi="Verdana" w:cs="Arial"/>
          <w:sz w:val="20"/>
          <w:szCs w:val="20"/>
          <w:lang w:eastAsia="es-CO"/>
        </w:rPr>
      </w:pPr>
      <w:r w:rsidRPr="008C3D38">
        <w:rPr>
          <w:rFonts w:ascii="Verdana" w:eastAsia="Times New Roman" w:hAnsi="Verdana" w:cs="Arial"/>
          <w:sz w:val="20"/>
          <w:szCs w:val="20"/>
          <w:lang w:eastAsia="es-CO"/>
        </w:rPr>
        <w:t>Adicionalmente, podrá establecerse un diez por ciento (10%) de puntaje adicional, a los proveedores que realicen el suministro que se pretenda contratar vinculando pequeños productores.</w:t>
      </w:r>
    </w:p>
    <w:p w14:paraId="173D79C5" w14:textId="77777777" w:rsidR="002A259F" w:rsidRPr="008C3D38" w:rsidRDefault="002A259F" w:rsidP="002A259F">
      <w:pPr>
        <w:spacing w:after="0" w:line="240" w:lineRule="auto"/>
        <w:ind w:left="709" w:right="709"/>
        <w:jc w:val="both"/>
        <w:rPr>
          <w:rFonts w:ascii="Verdana" w:eastAsia="Times New Roman" w:hAnsi="Verdana" w:cs="Arial"/>
          <w:sz w:val="20"/>
          <w:szCs w:val="20"/>
          <w:lang w:eastAsia="es-CO"/>
        </w:rPr>
      </w:pPr>
      <w:r w:rsidRPr="008C3D38">
        <w:rPr>
          <w:rFonts w:ascii="Verdana" w:eastAsia="Times New Roman" w:hAnsi="Verdana" w:cs="Arial"/>
          <w:sz w:val="20"/>
          <w:szCs w:val="20"/>
          <w:lang w:eastAsia="es-CO"/>
        </w:rPr>
        <w:t xml:space="preserve">[…] </w:t>
      </w:r>
    </w:p>
    <w:p w14:paraId="2C752F2B" w14:textId="77777777" w:rsidR="002A259F" w:rsidRPr="008C3D38" w:rsidRDefault="002A259F" w:rsidP="002A259F">
      <w:pPr>
        <w:spacing w:after="0" w:line="276" w:lineRule="auto"/>
        <w:jc w:val="both"/>
        <w:rPr>
          <w:rFonts w:ascii="Verdana" w:eastAsia="Times New Roman" w:hAnsi="Verdana" w:cs="Arial"/>
          <w:lang w:eastAsia="es-CO"/>
        </w:rPr>
      </w:pPr>
    </w:p>
    <w:p w14:paraId="269F4BBB" w14:textId="77777777" w:rsidR="002A259F" w:rsidRPr="008C3D38" w:rsidRDefault="002A259F" w:rsidP="002A259F">
      <w:pPr>
        <w:spacing w:after="120" w:line="276" w:lineRule="auto"/>
        <w:ind w:firstLine="708"/>
        <w:jc w:val="both"/>
        <w:rPr>
          <w:rFonts w:ascii="Verdana" w:eastAsia="Times New Roman" w:hAnsi="Verdana" w:cs="Arial"/>
          <w:lang w:eastAsia="es-CO"/>
        </w:rPr>
      </w:pPr>
      <w:r w:rsidRPr="008C3D38">
        <w:rPr>
          <w:rFonts w:ascii="Verdana" w:eastAsia="Times New Roman" w:hAnsi="Verdana" w:cs="Arial"/>
          <w:lang w:eastAsia="es-CO"/>
        </w:rPr>
        <w:lastRenderedPageBreak/>
        <w:t>Posteriormente, también se expidió la Ley 2046 del 6 de agosto de 2020, “Por la cual se establecen mecanismos para promover la participación de pequeños productores locales agropecuarios y de la agricultura campesina, familiar y comunitaria en los mercados de compras públicas de alimentos”. De acuerdo con el artículo 14, “La presente Ley rige a partir de la fecha de publicación y deroga todas las disposiciones que le sean contrarias”, lo que significa que es obligatoria para sus destinatarios desde esa fecha. Esto, sin perjuicio de la posibilidad de que el Gobierno Nacional, en ejercicio de la potestad prevista en el artículo 189.11 de la Constitución Política, expida el decreto correspondiente que permita la cumplida ejecución de esta ley.</w:t>
      </w:r>
    </w:p>
    <w:p w14:paraId="482906DF" w14:textId="77777777" w:rsidR="002A259F" w:rsidRPr="008C3D38" w:rsidRDefault="002A259F" w:rsidP="002A259F">
      <w:pPr>
        <w:spacing w:after="120" w:line="276" w:lineRule="auto"/>
        <w:ind w:firstLine="708"/>
        <w:jc w:val="both"/>
        <w:rPr>
          <w:rFonts w:ascii="Verdana" w:eastAsia="Times New Roman" w:hAnsi="Verdana" w:cs="Arial"/>
          <w:lang w:eastAsia="es-CO"/>
        </w:rPr>
      </w:pPr>
      <w:r w:rsidRPr="008C3D38">
        <w:rPr>
          <w:rFonts w:ascii="Verdana" w:eastAsia="Times New Roman" w:hAnsi="Verdana" w:cs="Arial"/>
          <w:lang w:eastAsia="es-CO"/>
        </w:rPr>
        <w:t xml:space="preserve">La exposición de motivos de la citada Ley explicó, entre otras cosas, lo siguiente: “[…] los parámetros del Estatuto de Contratación, no incluyen, como regla general, la posibilidad de participación de las organizaciones campesinas, indígenas, afros y raizales productoras de alimentos, pues las exigencias técnicas, logísticas y financieras para poder responder a las condiciones contractuales y operativas definidas por las entidades públicas, solo pueden ser satisfechas por empresas intermediarias que llevan bastante tiempo n el mercado”. </w:t>
      </w:r>
    </w:p>
    <w:p w14:paraId="68F96CDB" w14:textId="77777777" w:rsidR="002A259F" w:rsidRPr="008C3D38" w:rsidRDefault="002A259F" w:rsidP="002A259F">
      <w:pPr>
        <w:spacing w:after="120" w:line="276" w:lineRule="auto"/>
        <w:ind w:firstLine="708"/>
        <w:jc w:val="both"/>
        <w:rPr>
          <w:rFonts w:ascii="Verdana" w:eastAsia="Times New Roman" w:hAnsi="Verdana" w:cs="Arial"/>
          <w:lang w:eastAsia="es-CO"/>
        </w:rPr>
      </w:pPr>
      <w:r w:rsidRPr="008C3D38">
        <w:rPr>
          <w:rFonts w:ascii="Verdana" w:eastAsia="Times New Roman" w:hAnsi="Verdana" w:cs="Arial"/>
          <w:lang w:eastAsia="es-CO"/>
        </w:rPr>
        <w:t xml:space="preserve">Por lo demás, también agrega que “[…] el Juez constitucional ha brindado algunas soluciones de carácter jurisprudencial, que pregonan la evidente necesidad de incluir en los pliegos de condiciones de los distintos procesos de selección, las medidas o acciones afirmativas, que son mandatos con carácter imperativo, tendientes a reequilibrar a aquellas personas, poblaciones o grupos discriminados, que por razones políticas, económicas, culturales o sociales no han tenido las mismas oportunidades que otros sectores de la población”. De este modo, la Ley 2046 de 2020 pretende la creación de incentivos que beneficien a la agricultura en el territorio nacional. </w:t>
      </w:r>
    </w:p>
    <w:p w14:paraId="43D1F137" w14:textId="77777777" w:rsidR="002A259F" w:rsidRPr="008C3D38" w:rsidRDefault="002A259F" w:rsidP="002A259F">
      <w:pPr>
        <w:spacing w:after="120" w:line="276" w:lineRule="auto"/>
        <w:ind w:firstLine="708"/>
        <w:jc w:val="both"/>
        <w:rPr>
          <w:rFonts w:ascii="Verdana" w:eastAsia="Times New Roman" w:hAnsi="Verdana" w:cs="Arial"/>
          <w:lang w:eastAsia="es-CO"/>
        </w:rPr>
      </w:pPr>
      <w:r w:rsidRPr="008C3D38">
        <w:rPr>
          <w:rFonts w:ascii="Verdana" w:eastAsia="Times New Roman" w:hAnsi="Verdana" w:cs="Arial"/>
          <w:lang w:eastAsia="es-CO"/>
        </w:rPr>
        <w:t xml:space="preserve"> En este contexto, de acuerdo con el artículo 1, el objeto de la ley “[…] consiste en establecer condiciones e instrumentos de abastecimiento alimentario para que todos los programas públicos de suministro y distribución de alimentos promuevan la participación de pequeños productores locales y productores locales agropecuarios cuyos sistemas productivos pertenezcan a la Agricultura Campesina, Familiar y Comunitaria, o de sus organizaciones legalmente constituidas”.</w:t>
      </w:r>
    </w:p>
    <w:p w14:paraId="681F94C8" w14:textId="77777777" w:rsidR="002A259F" w:rsidRPr="008C3D38" w:rsidRDefault="002A259F" w:rsidP="002A259F">
      <w:pPr>
        <w:spacing w:after="120" w:line="276" w:lineRule="auto"/>
        <w:ind w:firstLine="708"/>
        <w:jc w:val="both"/>
        <w:rPr>
          <w:rFonts w:ascii="Verdana" w:eastAsia="Times New Roman" w:hAnsi="Verdana" w:cs="Arial"/>
          <w:lang w:eastAsia="es-CO"/>
        </w:rPr>
      </w:pPr>
      <w:r w:rsidRPr="008C3D38">
        <w:rPr>
          <w:rFonts w:ascii="Verdana" w:eastAsia="Times New Roman" w:hAnsi="Verdana" w:cs="Arial"/>
          <w:lang w:eastAsia="es-CO"/>
        </w:rPr>
        <w:lastRenderedPageBreak/>
        <w:t xml:space="preserve">En cuanto al campo de aplicación, el artículo 3 ibidem prescribe lo siguiente: “Las disposiciones que aquí se establecen, serán obligatorias para las entidades públicas del nivel nacional, departamental, distrital, municipal, sociedades de economía mixta, y entidades privadas que manejen recursos públicos y operen en el territorio nacional, que demanden de forma directa o a través de interpuesta persona, alimentos para el abastecimiento y para suministro de productos de origen agropecuario, cumpliendo con los requisitos sanitarios que establezca la normatividad vigente”. Por lo demás, también dispone en su inciso segundo que “Las disposiciones contempladas en la presente ley también aplicarán para entidades privadas que suscriban contratos con el Estado y que, en desarrollo de las labores o actividades desplegadas en el marco de aquellos, demanden de forma directa o a través de interpuesta persona alimentos para abastecimiento o para suministro de productos de origen agropecuario”. </w:t>
      </w:r>
    </w:p>
    <w:p w14:paraId="1E9BB9A4" w14:textId="77777777" w:rsidR="002A259F" w:rsidRPr="008C3D38" w:rsidRDefault="002A259F" w:rsidP="002A259F">
      <w:pPr>
        <w:spacing w:after="120" w:line="276" w:lineRule="auto"/>
        <w:ind w:firstLine="708"/>
        <w:jc w:val="both"/>
        <w:rPr>
          <w:rFonts w:ascii="Verdana" w:hAnsi="Verdana" w:cs="Arial"/>
        </w:rPr>
      </w:pPr>
      <w:r w:rsidRPr="008C3D38">
        <w:rPr>
          <w:rFonts w:ascii="Verdana" w:eastAsia="Times New Roman" w:hAnsi="Verdana" w:cs="Arial"/>
          <w:lang w:eastAsia="es-CO"/>
        </w:rPr>
        <w:t>En efecto, este ámbito de aplicación no se limita a las entidades sujetas al Estatuto General de Contratación de la Administración Pública, sino que se extiende a otro tipo de Entidades Públicas de los distintos órdenes, las sociedades de economía mixta, entidades privadas que administren recursos públicos, así como los demás sujetos mencionados en la norma</w:t>
      </w:r>
      <w:r w:rsidRPr="008C3D38">
        <w:rPr>
          <w:rFonts w:ascii="Verdana" w:hAnsi="Verdana" w:cs="Arial"/>
        </w:rPr>
        <w:t>. Esta redacción evidencia la intención del legislador de otorgar un alcance general y comprensivo a las obligaciones allí contenidas, evitando limitar su aplicación a una categoría específica de entidades.</w:t>
      </w:r>
    </w:p>
    <w:p w14:paraId="572D7B27" w14:textId="77777777" w:rsidR="002A259F" w:rsidRDefault="002A259F" w:rsidP="002A259F">
      <w:pPr>
        <w:spacing w:after="120" w:line="276" w:lineRule="auto"/>
        <w:ind w:firstLine="708"/>
        <w:jc w:val="both"/>
        <w:rPr>
          <w:rFonts w:ascii="Verdana" w:eastAsia="Times New Roman" w:hAnsi="Verdana" w:cs="Arial"/>
          <w:lang w:eastAsia="es-CO"/>
        </w:rPr>
      </w:pPr>
      <w:r w:rsidRPr="008C3D38">
        <w:rPr>
          <w:rFonts w:ascii="Verdana" w:eastAsia="Times New Roman" w:hAnsi="Verdana" w:cs="Arial"/>
          <w:lang w:eastAsia="es-CO"/>
        </w:rPr>
        <w:t xml:space="preserve">Teniendo en cuenta lo expuesto sobre el ámbito de aplicación, es pertinente señalar que el artículo 4 de la Ley 2046 de 2020 define algunos términos y establece unas siglas para el entendimiento e interpretación de las reglas contenidas en la Ley 2046 de 2020. El artículo 5 crea la Mesa Técnica Nacional de Compras Públicas Locales de Alimentos, y el artículo 6 obliga al Gobierno Nacional a diseñar e implementar planes, programas y acciones pedagógicas y de seguimiento para capacitar alcaldías, gobernaciones y participantes de los espacios territoriales de articulación definidos por Mesa Técnica Nacional de Compras Públicas Locales de Alimentos, así como a pequeños productores y productores de la Agricultura Campesina, Familiar o Comunitaria y organizaciones en los diferentes ejes temáticos indicados en la norma. </w:t>
      </w:r>
    </w:p>
    <w:p w14:paraId="06DA7850" w14:textId="77777777" w:rsidR="002A259F" w:rsidRDefault="002A259F" w:rsidP="002A259F">
      <w:pPr>
        <w:spacing w:after="0" w:line="276" w:lineRule="auto"/>
        <w:ind w:firstLine="709"/>
        <w:jc w:val="both"/>
        <w:rPr>
          <w:rFonts w:ascii="Verdana" w:eastAsia="Times New Roman" w:hAnsi="Verdana" w:cs="Arial"/>
          <w:lang w:eastAsia="es-CO"/>
        </w:rPr>
      </w:pPr>
      <w:r w:rsidRPr="00282A38">
        <w:rPr>
          <w:rFonts w:ascii="Verdana" w:eastAsia="Times New Roman" w:hAnsi="Verdana" w:cs="Arial"/>
          <w:lang w:eastAsia="es-CO"/>
        </w:rPr>
        <w:lastRenderedPageBreak/>
        <w:t xml:space="preserve">Sin embargo, la mayor pretensión de esta Ley fue lo regulado en el artículo 7, el cual estable los porcentajes mínimos de compra local a pequeños productores y productores de la agricultura campesina, familiar y comunitaria. En tal sentido, establece las siguientes reglas: </w:t>
      </w:r>
    </w:p>
    <w:p w14:paraId="0646532F" w14:textId="77777777" w:rsidR="002A259F" w:rsidRDefault="002A259F" w:rsidP="002A259F">
      <w:pPr>
        <w:spacing w:after="0" w:line="276" w:lineRule="auto"/>
        <w:ind w:firstLine="709"/>
        <w:jc w:val="both"/>
        <w:rPr>
          <w:rFonts w:ascii="Verdana" w:eastAsia="Times New Roman" w:hAnsi="Verdana" w:cs="Arial"/>
          <w:lang w:eastAsia="es-CO"/>
        </w:rPr>
      </w:pPr>
    </w:p>
    <w:p w14:paraId="52F1D571" w14:textId="77777777" w:rsidR="002A259F" w:rsidRPr="003013BD" w:rsidRDefault="002A259F" w:rsidP="002A259F">
      <w:pPr>
        <w:spacing w:after="0" w:line="240" w:lineRule="auto"/>
        <w:ind w:left="709" w:right="709"/>
        <w:jc w:val="both"/>
        <w:rPr>
          <w:rFonts w:ascii="Verdana" w:eastAsia="Times New Roman" w:hAnsi="Verdana" w:cs="Arial"/>
          <w:sz w:val="20"/>
          <w:szCs w:val="20"/>
          <w:lang w:eastAsia="es-CO"/>
        </w:rPr>
      </w:pPr>
      <w:bookmarkStart w:id="3" w:name="7"/>
      <w:r w:rsidRPr="003013BD">
        <w:rPr>
          <w:rFonts w:ascii="Verdana" w:eastAsia="Times New Roman" w:hAnsi="Verdana" w:cs="Arial"/>
          <w:sz w:val="20"/>
          <w:szCs w:val="20"/>
          <w:lang w:eastAsia="es-CO"/>
        </w:rPr>
        <w:t>ARTÍCULO 7o. PORCENTAJES MÍNIMOS DE COMPRA LOCAL A PEQUEÑOS PRODUCTORES Y PRODUCTORES DE LA AGRICULTURA CAMPESINA, FAMILIAR Y COMUNITARIA.</w:t>
      </w:r>
      <w:bookmarkEnd w:id="3"/>
      <w:r w:rsidRPr="003013BD">
        <w:rPr>
          <w:rFonts w:ascii="Verdana" w:eastAsia="Times New Roman" w:hAnsi="Verdana" w:cs="Arial"/>
          <w:sz w:val="20"/>
          <w:szCs w:val="20"/>
          <w:lang w:eastAsia="es-CO"/>
        </w:rPr>
        <w:t xml:space="preserve"> </w:t>
      </w:r>
      <w:r w:rsidRPr="003013BD">
        <w:rPr>
          <w:rFonts w:ascii="Verdana" w:eastAsia="Times New Roman" w:hAnsi="Verdana" w:cs="Arial"/>
          <w:sz w:val="20"/>
          <w:szCs w:val="20"/>
          <w:vertAlign w:val="superscript"/>
          <w:lang w:eastAsia="es-CO"/>
        </w:rPr>
        <w:t>&lt;</w:t>
      </w:r>
      <w:hyperlink r:id="rId13" w:anchor="NP1" w:history="1">
        <w:r w:rsidRPr="003013BD">
          <w:rPr>
            <w:rStyle w:val="Hipervnculo"/>
            <w:rFonts w:ascii="Verdana" w:eastAsia="Times New Roman" w:hAnsi="Verdana" w:cs="Arial"/>
            <w:sz w:val="20"/>
            <w:szCs w:val="20"/>
            <w:vertAlign w:val="superscript"/>
            <w:lang w:eastAsia="es-CO"/>
          </w:rPr>
          <w:t>1</w:t>
        </w:r>
      </w:hyperlink>
      <w:r w:rsidRPr="003013BD">
        <w:rPr>
          <w:rFonts w:ascii="Verdana" w:eastAsia="Times New Roman" w:hAnsi="Verdana" w:cs="Arial"/>
          <w:sz w:val="20"/>
          <w:szCs w:val="20"/>
          <w:vertAlign w:val="superscript"/>
          <w:lang w:eastAsia="es-CO"/>
        </w:rPr>
        <w:t xml:space="preserve">&gt; </w:t>
      </w:r>
      <w:r w:rsidRPr="003013BD">
        <w:rPr>
          <w:rFonts w:ascii="Verdana" w:eastAsia="Times New Roman" w:hAnsi="Verdana" w:cs="Arial"/>
          <w:sz w:val="20"/>
          <w:szCs w:val="20"/>
          <w:lang w:eastAsia="es-CO"/>
        </w:rPr>
        <w:t xml:space="preserve">A partir de la </w:t>
      </w:r>
      <w:proofErr w:type="gramStart"/>
      <w:r w:rsidRPr="003013BD">
        <w:rPr>
          <w:rFonts w:ascii="Verdana" w:eastAsia="Times New Roman" w:hAnsi="Verdana" w:cs="Arial"/>
          <w:sz w:val="20"/>
          <w:szCs w:val="20"/>
          <w:lang w:eastAsia="es-CO"/>
        </w:rPr>
        <w:t>entrada en vigencia</w:t>
      </w:r>
      <w:proofErr w:type="gramEnd"/>
      <w:r w:rsidRPr="003013BD">
        <w:rPr>
          <w:rFonts w:ascii="Verdana" w:eastAsia="Times New Roman" w:hAnsi="Verdana" w:cs="Arial"/>
          <w:sz w:val="20"/>
          <w:szCs w:val="20"/>
          <w:lang w:eastAsia="es-CO"/>
        </w:rPr>
        <w:t xml:space="preserve"> de la presente ley:</w:t>
      </w:r>
    </w:p>
    <w:p w14:paraId="22961FB4" w14:textId="77777777" w:rsidR="002A259F" w:rsidRPr="003013BD" w:rsidRDefault="002A259F" w:rsidP="002A259F">
      <w:pPr>
        <w:spacing w:after="0" w:line="240" w:lineRule="auto"/>
        <w:ind w:left="709" w:right="709"/>
        <w:jc w:val="both"/>
        <w:rPr>
          <w:rFonts w:ascii="Verdana" w:eastAsia="Times New Roman" w:hAnsi="Verdana" w:cs="Arial"/>
          <w:sz w:val="20"/>
          <w:szCs w:val="20"/>
          <w:lang w:eastAsia="es-CO"/>
        </w:rPr>
      </w:pPr>
      <w:r w:rsidRPr="003013BD">
        <w:rPr>
          <w:rFonts w:ascii="Verdana" w:eastAsia="Times New Roman" w:hAnsi="Verdana" w:cs="Arial"/>
          <w:sz w:val="20"/>
          <w:szCs w:val="20"/>
          <w:lang w:eastAsia="es-CO"/>
        </w:rPr>
        <w:t xml:space="preserve">a) Las Entidades a que hace referencia el artículo </w:t>
      </w:r>
      <w:hyperlink r:id="rId14" w:anchor="3" w:history="1">
        <w:r w:rsidRPr="003013BD">
          <w:rPr>
            <w:rStyle w:val="Hipervnculo"/>
            <w:rFonts w:ascii="Verdana" w:eastAsia="Times New Roman" w:hAnsi="Verdana" w:cs="Arial"/>
            <w:sz w:val="20"/>
            <w:szCs w:val="20"/>
            <w:lang w:eastAsia="es-CO"/>
          </w:rPr>
          <w:t>3</w:t>
        </w:r>
      </w:hyperlink>
      <w:r w:rsidRPr="003013BD">
        <w:rPr>
          <w:rFonts w:ascii="Verdana" w:eastAsia="Times New Roman" w:hAnsi="Verdana" w:cs="Arial"/>
          <w:sz w:val="20"/>
          <w:szCs w:val="20"/>
          <w:lang w:eastAsia="es-CO"/>
        </w:rPr>
        <w:t xml:space="preserve"> de la presente ley, que contraten con recursos públicos la adquisición, suministro y entrega de alimentos en cualquiera de sus modalidades de atención, están en la obligación de adquirir localmente alimentos comprados a pequeños productores agropecuarios locales y/o a productores de la Agricultura Campesina, Familiar o Comunitaria</w:t>
      </w:r>
      <w:r w:rsidRPr="003013BD">
        <w:rPr>
          <w:rFonts w:ascii="Verdana" w:eastAsia="Times New Roman" w:hAnsi="Verdana" w:cs="Arial"/>
          <w:sz w:val="20"/>
          <w:szCs w:val="20"/>
          <w:vertAlign w:val="superscript"/>
          <w:lang w:eastAsia="es-CO"/>
        </w:rPr>
        <w:t>&lt;</w:t>
      </w:r>
      <w:hyperlink r:id="rId15" w:anchor="NP1" w:history="1">
        <w:r w:rsidRPr="003013BD">
          <w:rPr>
            <w:rStyle w:val="Hipervnculo"/>
            <w:rFonts w:ascii="Verdana" w:eastAsia="Times New Roman" w:hAnsi="Verdana" w:cs="Arial"/>
            <w:sz w:val="20"/>
            <w:szCs w:val="20"/>
            <w:vertAlign w:val="superscript"/>
            <w:lang w:eastAsia="es-CO"/>
          </w:rPr>
          <w:t>1</w:t>
        </w:r>
      </w:hyperlink>
      <w:r w:rsidRPr="003013BD">
        <w:rPr>
          <w:rFonts w:ascii="Verdana" w:eastAsia="Times New Roman" w:hAnsi="Verdana" w:cs="Arial"/>
          <w:sz w:val="20"/>
          <w:szCs w:val="20"/>
          <w:vertAlign w:val="superscript"/>
          <w:lang w:eastAsia="es-CO"/>
        </w:rPr>
        <w:t>&gt;</w:t>
      </w:r>
      <w:r w:rsidRPr="003013BD">
        <w:rPr>
          <w:rFonts w:ascii="Verdana" w:eastAsia="Times New Roman" w:hAnsi="Verdana" w:cs="Arial"/>
          <w:sz w:val="20"/>
          <w:szCs w:val="20"/>
          <w:lang w:eastAsia="es-CO"/>
        </w:rPr>
        <w:t xml:space="preserve"> locales y sus organizaciones en un porcentaje mínimo del 30% del valor total de los recursos del presupuesto de cada entidad destinados a la compra de alimentos.</w:t>
      </w:r>
    </w:p>
    <w:p w14:paraId="744AF316" w14:textId="77777777" w:rsidR="002A259F" w:rsidRPr="003013BD" w:rsidRDefault="002A259F" w:rsidP="002A259F">
      <w:pPr>
        <w:spacing w:after="0" w:line="240" w:lineRule="auto"/>
        <w:ind w:left="709" w:right="709"/>
        <w:jc w:val="both"/>
        <w:rPr>
          <w:rFonts w:ascii="Verdana" w:eastAsia="Times New Roman" w:hAnsi="Verdana" w:cs="Arial"/>
          <w:sz w:val="20"/>
          <w:szCs w:val="20"/>
          <w:lang w:eastAsia="es-CO"/>
        </w:rPr>
      </w:pPr>
      <w:r w:rsidRPr="003013BD">
        <w:rPr>
          <w:rFonts w:ascii="Verdana" w:eastAsia="Times New Roman" w:hAnsi="Verdana" w:cs="Arial"/>
          <w:sz w:val="20"/>
          <w:szCs w:val="20"/>
          <w:lang w:eastAsia="es-CO"/>
        </w:rPr>
        <w:t>Cuando la oferta de alimentos producidos por pequeños productores y/o productores de la Agricultura Campesina, Familiar o Comunitaria</w:t>
      </w:r>
      <w:r w:rsidRPr="003013BD">
        <w:rPr>
          <w:rFonts w:ascii="Verdana" w:eastAsia="Times New Roman" w:hAnsi="Verdana" w:cs="Arial"/>
          <w:sz w:val="20"/>
          <w:szCs w:val="20"/>
          <w:vertAlign w:val="superscript"/>
          <w:lang w:eastAsia="es-CO"/>
        </w:rPr>
        <w:t>&lt;</w:t>
      </w:r>
      <w:hyperlink r:id="rId16" w:anchor="NP1" w:history="1">
        <w:r w:rsidRPr="003013BD">
          <w:rPr>
            <w:rStyle w:val="Hipervnculo"/>
            <w:rFonts w:ascii="Verdana" w:eastAsia="Times New Roman" w:hAnsi="Verdana" w:cs="Arial"/>
            <w:sz w:val="20"/>
            <w:szCs w:val="20"/>
            <w:vertAlign w:val="superscript"/>
            <w:lang w:eastAsia="es-CO"/>
          </w:rPr>
          <w:t>1</w:t>
        </w:r>
      </w:hyperlink>
      <w:r w:rsidRPr="003013BD">
        <w:rPr>
          <w:rFonts w:ascii="Verdana" w:eastAsia="Times New Roman" w:hAnsi="Verdana" w:cs="Arial"/>
          <w:sz w:val="20"/>
          <w:szCs w:val="20"/>
          <w:vertAlign w:val="superscript"/>
          <w:lang w:eastAsia="es-CO"/>
        </w:rPr>
        <w:t>&gt;</w:t>
      </w:r>
      <w:r w:rsidRPr="003013BD">
        <w:rPr>
          <w:rFonts w:ascii="Verdana" w:eastAsia="Times New Roman" w:hAnsi="Verdana" w:cs="Arial"/>
          <w:sz w:val="20"/>
          <w:szCs w:val="20"/>
          <w:lang w:eastAsia="es-CO"/>
        </w:rPr>
        <w:t xml:space="preserve"> local sea inferior al porcentaje mínimo de que trata el presente literal, las entidades deberán informar de dicha situación a la Mesa Técnica Nacional de Compras Públicas quien certificará dicha situación y realizará las gestiones necesarias para otorgar un listado de pequeños productores y/o productores de la Agricultura Campesina, Familiar o Comunitaria</w:t>
      </w:r>
      <w:r w:rsidRPr="003013BD">
        <w:rPr>
          <w:rFonts w:ascii="Verdana" w:eastAsia="Times New Roman" w:hAnsi="Verdana" w:cs="Arial"/>
          <w:sz w:val="20"/>
          <w:szCs w:val="20"/>
          <w:vertAlign w:val="superscript"/>
          <w:lang w:eastAsia="es-CO"/>
        </w:rPr>
        <w:t>&lt;</w:t>
      </w:r>
      <w:hyperlink r:id="rId17" w:anchor="NP1" w:history="1">
        <w:r w:rsidRPr="003013BD">
          <w:rPr>
            <w:rStyle w:val="Hipervnculo"/>
            <w:rFonts w:ascii="Verdana" w:eastAsia="Times New Roman" w:hAnsi="Verdana" w:cs="Arial"/>
            <w:sz w:val="20"/>
            <w:szCs w:val="20"/>
            <w:vertAlign w:val="superscript"/>
            <w:lang w:eastAsia="es-CO"/>
          </w:rPr>
          <w:t>1</w:t>
        </w:r>
      </w:hyperlink>
      <w:r w:rsidRPr="003013BD">
        <w:rPr>
          <w:rFonts w:ascii="Verdana" w:eastAsia="Times New Roman" w:hAnsi="Verdana" w:cs="Arial"/>
          <w:sz w:val="20"/>
          <w:szCs w:val="20"/>
          <w:vertAlign w:val="superscript"/>
          <w:lang w:eastAsia="es-CO"/>
        </w:rPr>
        <w:t>&gt;</w:t>
      </w:r>
      <w:r w:rsidRPr="003013BD">
        <w:rPr>
          <w:rFonts w:ascii="Verdana" w:eastAsia="Times New Roman" w:hAnsi="Verdana" w:cs="Arial"/>
          <w:sz w:val="20"/>
          <w:szCs w:val="20"/>
          <w:lang w:eastAsia="es-CO"/>
        </w:rPr>
        <w:t xml:space="preserve"> no locales a quienes puede acudir para suplir el porcentaje restante.</w:t>
      </w:r>
    </w:p>
    <w:p w14:paraId="7A5C83C2" w14:textId="77777777" w:rsidR="002A259F" w:rsidRPr="003013BD" w:rsidRDefault="002A259F" w:rsidP="002A259F">
      <w:pPr>
        <w:spacing w:after="0" w:line="240" w:lineRule="auto"/>
        <w:ind w:left="709" w:right="709"/>
        <w:jc w:val="both"/>
        <w:rPr>
          <w:rFonts w:ascii="Verdana" w:eastAsia="Times New Roman" w:hAnsi="Verdana" w:cs="Arial"/>
          <w:sz w:val="20"/>
          <w:szCs w:val="20"/>
          <w:lang w:eastAsia="es-CO"/>
        </w:rPr>
      </w:pPr>
      <w:r w:rsidRPr="003013BD">
        <w:rPr>
          <w:rFonts w:ascii="Verdana" w:eastAsia="Times New Roman" w:hAnsi="Verdana" w:cs="Arial"/>
          <w:sz w:val="20"/>
          <w:szCs w:val="20"/>
          <w:lang w:eastAsia="es-CO"/>
        </w:rPr>
        <w:t>b) Las entidades compradoras de alimentos a que hace referencia el artículo 3º deberán establecer en sus pliegos de condiciones un puntaje mínimo del 10% de los puntos asignables a la calificación de las propuestas, los cuales serán asignados proporcionalmente a aquellos proponentes que se obliguen a adquirir productos provenientes de pequeños productores agropecuarios locales y/o a productores de la Agricultura Campesina, Familiar o Comunitaria</w:t>
      </w:r>
      <w:r w:rsidRPr="003013BD">
        <w:rPr>
          <w:rFonts w:ascii="Verdana" w:eastAsia="Times New Roman" w:hAnsi="Verdana" w:cs="Arial"/>
          <w:sz w:val="20"/>
          <w:szCs w:val="20"/>
          <w:vertAlign w:val="superscript"/>
          <w:lang w:eastAsia="es-CO"/>
        </w:rPr>
        <w:t>&lt;</w:t>
      </w:r>
      <w:hyperlink r:id="rId18" w:anchor="NP1" w:history="1">
        <w:r w:rsidRPr="003013BD">
          <w:rPr>
            <w:rStyle w:val="Hipervnculo"/>
            <w:rFonts w:ascii="Verdana" w:eastAsia="Times New Roman" w:hAnsi="Verdana" w:cs="Arial"/>
            <w:sz w:val="20"/>
            <w:szCs w:val="20"/>
            <w:vertAlign w:val="superscript"/>
            <w:lang w:eastAsia="es-CO"/>
          </w:rPr>
          <w:t>1</w:t>
        </w:r>
      </w:hyperlink>
      <w:r w:rsidRPr="003013BD">
        <w:rPr>
          <w:rFonts w:ascii="Verdana" w:eastAsia="Times New Roman" w:hAnsi="Verdana" w:cs="Arial"/>
          <w:sz w:val="20"/>
          <w:szCs w:val="20"/>
          <w:vertAlign w:val="superscript"/>
          <w:lang w:eastAsia="es-CO"/>
        </w:rPr>
        <w:t>&gt;</w:t>
      </w:r>
      <w:r w:rsidRPr="003013BD">
        <w:rPr>
          <w:rFonts w:ascii="Verdana" w:eastAsia="Times New Roman" w:hAnsi="Verdana" w:cs="Arial"/>
          <w:sz w:val="20"/>
          <w:szCs w:val="20"/>
          <w:lang w:eastAsia="es-CO"/>
        </w:rPr>
        <w:t xml:space="preserve"> locales y sus organizaciones, en una proporción mayor al mínimo exigido por la entidad contratante.</w:t>
      </w:r>
    </w:p>
    <w:p w14:paraId="4A37918D" w14:textId="77777777" w:rsidR="002A259F" w:rsidRPr="003013BD" w:rsidRDefault="002A259F" w:rsidP="002A259F">
      <w:pPr>
        <w:spacing w:after="0" w:line="240" w:lineRule="auto"/>
        <w:ind w:left="709" w:right="709"/>
        <w:jc w:val="both"/>
        <w:rPr>
          <w:rFonts w:ascii="Verdana" w:eastAsia="Times New Roman" w:hAnsi="Verdana" w:cs="Arial"/>
          <w:sz w:val="20"/>
          <w:szCs w:val="20"/>
          <w:lang w:eastAsia="es-CO"/>
        </w:rPr>
      </w:pPr>
      <w:r w:rsidRPr="003013BD">
        <w:rPr>
          <w:rFonts w:ascii="Verdana" w:eastAsia="Times New Roman" w:hAnsi="Verdana" w:cs="Arial"/>
          <w:sz w:val="20"/>
          <w:szCs w:val="20"/>
          <w:lang w:eastAsia="es-CO"/>
        </w:rPr>
        <w:t>Estas entidades establecerán en todos los documentos de sus procesos de contratación, que el puntaje obtenido por los oferentes en virtud del porcentaje de compras públicas locales a pequeños productores agropecuarios y/o a productores de la Agricultura Campesina, Familiar o Comunitaria</w:t>
      </w:r>
      <w:r w:rsidRPr="003013BD">
        <w:rPr>
          <w:rFonts w:ascii="Verdana" w:eastAsia="Times New Roman" w:hAnsi="Verdana" w:cs="Arial"/>
          <w:sz w:val="20"/>
          <w:szCs w:val="20"/>
          <w:vertAlign w:val="superscript"/>
          <w:lang w:eastAsia="es-CO"/>
        </w:rPr>
        <w:t>&lt;</w:t>
      </w:r>
      <w:hyperlink r:id="rId19" w:anchor="NP1" w:history="1">
        <w:r w:rsidRPr="003013BD">
          <w:rPr>
            <w:rStyle w:val="Hipervnculo"/>
            <w:rFonts w:ascii="Verdana" w:eastAsia="Times New Roman" w:hAnsi="Verdana" w:cs="Arial"/>
            <w:sz w:val="20"/>
            <w:szCs w:val="20"/>
            <w:vertAlign w:val="superscript"/>
            <w:lang w:eastAsia="es-CO"/>
          </w:rPr>
          <w:t>1</w:t>
        </w:r>
      </w:hyperlink>
      <w:r w:rsidRPr="003013BD">
        <w:rPr>
          <w:rFonts w:ascii="Verdana" w:eastAsia="Times New Roman" w:hAnsi="Verdana" w:cs="Arial"/>
          <w:sz w:val="20"/>
          <w:szCs w:val="20"/>
          <w:vertAlign w:val="superscript"/>
          <w:lang w:eastAsia="es-CO"/>
        </w:rPr>
        <w:t>&gt;</w:t>
      </w:r>
      <w:r w:rsidRPr="003013BD">
        <w:rPr>
          <w:rFonts w:ascii="Verdana" w:eastAsia="Times New Roman" w:hAnsi="Verdana" w:cs="Arial"/>
          <w:sz w:val="20"/>
          <w:szCs w:val="20"/>
          <w:lang w:eastAsia="es-CO"/>
        </w:rPr>
        <w:t xml:space="preserve"> y sus organizaciones a que se comprometen será tenido en cuenta como factor de desempate entre propuestas que obtengan el mismo puntaje total de calificación.</w:t>
      </w:r>
    </w:p>
    <w:p w14:paraId="50D7B39A" w14:textId="77777777" w:rsidR="002A259F" w:rsidRPr="003013BD" w:rsidRDefault="002A259F" w:rsidP="002A259F">
      <w:pPr>
        <w:spacing w:after="0" w:line="240" w:lineRule="auto"/>
        <w:ind w:left="709" w:right="709"/>
        <w:jc w:val="both"/>
        <w:rPr>
          <w:rFonts w:ascii="Verdana" w:eastAsia="Times New Roman" w:hAnsi="Verdana" w:cs="Arial"/>
          <w:sz w:val="20"/>
          <w:szCs w:val="20"/>
          <w:lang w:eastAsia="es-CO"/>
        </w:rPr>
      </w:pPr>
      <w:r w:rsidRPr="003013BD">
        <w:rPr>
          <w:rFonts w:ascii="Verdana" w:eastAsia="Times New Roman" w:hAnsi="Verdana" w:cs="Arial"/>
          <w:sz w:val="20"/>
          <w:szCs w:val="20"/>
          <w:lang w:eastAsia="es-CO"/>
        </w:rPr>
        <w:t xml:space="preserve">c) Todas las entidades a que se refiere el presente artículo, incluirán en sus contratos la obligación por parte de sus contratistas que ejecuten u operen los programas institucionales en que se adquieran alimentos, la </w:t>
      </w:r>
      <w:r w:rsidRPr="003013BD">
        <w:rPr>
          <w:rFonts w:ascii="Verdana" w:eastAsia="Times New Roman" w:hAnsi="Verdana" w:cs="Arial"/>
          <w:sz w:val="20"/>
          <w:szCs w:val="20"/>
          <w:lang w:eastAsia="es-CO"/>
        </w:rPr>
        <w:lastRenderedPageBreak/>
        <w:t>obligación de estos de participar en los espacios de articulación que se definan por parte de la Mesa Técnica Nacional de Compras Públicas Locales de Alimentos y de participar en su rol de compradores de alimentos o de sus materias primas, en las ruedas de negocios que se realicen en virtud de lo establecido en la presente ley.</w:t>
      </w:r>
    </w:p>
    <w:p w14:paraId="7E11EB91" w14:textId="77777777" w:rsidR="002A259F" w:rsidRPr="003013BD" w:rsidRDefault="002A259F" w:rsidP="002A259F">
      <w:pPr>
        <w:spacing w:after="0" w:line="240" w:lineRule="auto"/>
        <w:ind w:left="709" w:right="709"/>
        <w:jc w:val="both"/>
        <w:rPr>
          <w:rFonts w:ascii="Verdana" w:eastAsia="Times New Roman" w:hAnsi="Verdana" w:cs="Arial"/>
          <w:sz w:val="20"/>
          <w:szCs w:val="20"/>
          <w:lang w:eastAsia="es-CO"/>
        </w:rPr>
      </w:pPr>
      <w:r w:rsidRPr="003013BD">
        <w:rPr>
          <w:rFonts w:ascii="Verdana" w:eastAsia="Times New Roman" w:hAnsi="Verdana" w:cs="Arial"/>
          <w:sz w:val="20"/>
          <w:szCs w:val="20"/>
          <w:lang w:eastAsia="es-CO"/>
        </w:rPr>
        <w:t>d) La entidad pública establecerá en sus estudios previos, la zona geográfica para la compra pública local de alimentos a pequeños productores agropecuarios y/o a productores de la Agricultura Campesina, Familiar o Comunitaria</w:t>
      </w:r>
      <w:r w:rsidRPr="003013BD">
        <w:rPr>
          <w:rFonts w:ascii="Verdana" w:eastAsia="Times New Roman" w:hAnsi="Verdana" w:cs="Arial"/>
          <w:sz w:val="20"/>
          <w:szCs w:val="20"/>
          <w:vertAlign w:val="superscript"/>
          <w:lang w:eastAsia="es-CO"/>
        </w:rPr>
        <w:t>&lt;</w:t>
      </w:r>
      <w:hyperlink r:id="rId20" w:anchor="NP1" w:history="1">
        <w:r w:rsidRPr="003013BD">
          <w:rPr>
            <w:rStyle w:val="Hipervnculo"/>
            <w:rFonts w:ascii="Verdana" w:eastAsia="Times New Roman" w:hAnsi="Verdana" w:cs="Arial"/>
            <w:sz w:val="20"/>
            <w:szCs w:val="20"/>
            <w:vertAlign w:val="superscript"/>
            <w:lang w:eastAsia="es-CO"/>
          </w:rPr>
          <w:t>1</w:t>
        </w:r>
      </w:hyperlink>
      <w:r w:rsidRPr="003013BD">
        <w:rPr>
          <w:rFonts w:ascii="Verdana" w:eastAsia="Times New Roman" w:hAnsi="Verdana" w:cs="Arial"/>
          <w:sz w:val="20"/>
          <w:szCs w:val="20"/>
          <w:vertAlign w:val="superscript"/>
          <w:lang w:eastAsia="es-CO"/>
        </w:rPr>
        <w:t>&gt;</w:t>
      </w:r>
      <w:r w:rsidRPr="003013BD">
        <w:rPr>
          <w:rFonts w:ascii="Verdana" w:eastAsia="Times New Roman" w:hAnsi="Verdana" w:cs="Arial"/>
          <w:sz w:val="20"/>
          <w:szCs w:val="20"/>
          <w:lang w:eastAsia="es-CO"/>
        </w:rPr>
        <w:t xml:space="preserve"> locales o sus organizaciones, con base en los siguientes criterios: (1) cobertura geográfica de la oferta institucional de la entidad; (2) conectividad vial, circuitos cortos de comercialización, vocación y uso del suelo, disponibilidad de alimentos, la presencia de pequeños productores agropecuarios y productores de la Agricultura Campesina, Familiar o Comunitaria</w:t>
      </w:r>
      <w:r w:rsidRPr="003013BD">
        <w:rPr>
          <w:rFonts w:ascii="Verdana" w:eastAsia="Times New Roman" w:hAnsi="Verdana" w:cs="Arial"/>
          <w:sz w:val="20"/>
          <w:szCs w:val="20"/>
          <w:vertAlign w:val="superscript"/>
          <w:lang w:eastAsia="es-CO"/>
        </w:rPr>
        <w:t>&lt;</w:t>
      </w:r>
      <w:hyperlink r:id="rId21" w:anchor="NP1" w:history="1">
        <w:r w:rsidRPr="003013BD">
          <w:rPr>
            <w:rStyle w:val="Hipervnculo"/>
            <w:rFonts w:ascii="Verdana" w:eastAsia="Times New Roman" w:hAnsi="Verdana" w:cs="Arial"/>
            <w:sz w:val="20"/>
            <w:szCs w:val="20"/>
            <w:vertAlign w:val="superscript"/>
            <w:lang w:eastAsia="es-CO"/>
          </w:rPr>
          <w:t>1</w:t>
        </w:r>
      </w:hyperlink>
      <w:r w:rsidRPr="003013BD">
        <w:rPr>
          <w:rFonts w:ascii="Verdana" w:eastAsia="Times New Roman" w:hAnsi="Verdana" w:cs="Arial"/>
          <w:sz w:val="20"/>
          <w:szCs w:val="20"/>
          <w:vertAlign w:val="superscript"/>
          <w:lang w:eastAsia="es-CO"/>
        </w:rPr>
        <w:t>&gt;</w:t>
      </w:r>
      <w:r w:rsidRPr="003013BD">
        <w:rPr>
          <w:rFonts w:ascii="Verdana" w:eastAsia="Times New Roman" w:hAnsi="Verdana" w:cs="Arial"/>
          <w:sz w:val="20"/>
          <w:szCs w:val="20"/>
          <w:lang w:eastAsia="es-CO"/>
        </w:rPr>
        <w:t xml:space="preserve"> locales o sus organizaciones identificados y las características de los productos demandados.</w:t>
      </w:r>
    </w:p>
    <w:p w14:paraId="1087049A" w14:textId="77777777" w:rsidR="002A259F" w:rsidRDefault="002A259F" w:rsidP="002A259F">
      <w:pPr>
        <w:spacing w:after="0" w:line="276" w:lineRule="auto"/>
        <w:ind w:firstLine="709"/>
        <w:jc w:val="both"/>
        <w:rPr>
          <w:rFonts w:ascii="Verdana" w:eastAsia="Times New Roman" w:hAnsi="Verdana" w:cs="Arial"/>
          <w:lang w:eastAsia="es-CO"/>
        </w:rPr>
      </w:pPr>
    </w:p>
    <w:p w14:paraId="26C84337" w14:textId="77777777" w:rsidR="002A259F" w:rsidRPr="00B61628" w:rsidRDefault="002A259F" w:rsidP="002A259F">
      <w:pPr>
        <w:spacing w:after="120" w:line="276" w:lineRule="auto"/>
        <w:ind w:firstLine="709"/>
        <w:jc w:val="both"/>
        <w:rPr>
          <w:rFonts w:ascii="Verdana" w:eastAsia="Times New Roman" w:hAnsi="Verdana" w:cs="Arial"/>
          <w:lang w:eastAsia="es-CO"/>
        </w:rPr>
      </w:pPr>
      <w:r w:rsidRPr="00B61628">
        <w:rPr>
          <w:rFonts w:ascii="Verdana" w:eastAsia="Times New Roman" w:hAnsi="Verdana" w:cs="Arial"/>
          <w:lang w:eastAsia="es-CO"/>
        </w:rPr>
        <w:t>Este artículo establece un marco normativo para garantizar la participación de pequeños productores agropecuarios y de la Agricultura Campesina, Familiar y Comunitaria en los procesos de contratación pública de alimentos. En primer lugar, fija un porcentaje mínimo obligatorio del 30% de compra local con cargo al presupuesto destinado a la adquisición de alimentos. Si la oferta local no alcanza ese porcentaje, la entidad debe informar a la Mesa Técnica Nacional de Compras Públicas, la cual certificará la insuficiencia y gestionará un listado de productores no locales para suplir el faltante, asegurando así la continuidad del abastecimiento y el cumplimiento del mandato legal.</w:t>
      </w:r>
    </w:p>
    <w:p w14:paraId="6BC76274" w14:textId="77777777" w:rsidR="002A259F" w:rsidRPr="0083265D" w:rsidRDefault="002A259F" w:rsidP="002A259F">
      <w:pPr>
        <w:spacing w:after="120" w:line="276" w:lineRule="auto"/>
        <w:ind w:firstLine="709"/>
        <w:jc w:val="both"/>
        <w:rPr>
          <w:rFonts w:ascii="Verdana" w:eastAsia="Times New Roman" w:hAnsi="Verdana" w:cs="Arial"/>
          <w:lang w:eastAsia="es-CO"/>
        </w:rPr>
      </w:pPr>
      <w:r w:rsidRPr="0083265D">
        <w:rPr>
          <w:rFonts w:ascii="Verdana" w:eastAsia="Times New Roman" w:hAnsi="Verdana" w:cs="Arial"/>
          <w:lang w:eastAsia="es-CO"/>
        </w:rPr>
        <w:t>En segundo lugar, el artículo incorpora un criterio de evaluación obligatorio en los pliegos de condiciones</w:t>
      </w:r>
      <w:r>
        <w:rPr>
          <w:rFonts w:ascii="Verdana" w:eastAsia="Times New Roman" w:hAnsi="Verdana" w:cs="Arial"/>
          <w:lang w:eastAsia="es-CO"/>
        </w:rPr>
        <w:t>, cuyo factor de selección no solo sea el precio</w:t>
      </w:r>
      <w:r w:rsidRPr="0083265D">
        <w:rPr>
          <w:rFonts w:ascii="Verdana" w:eastAsia="Times New Roman" w:hAnsi="Verdana" w:cs="Arial"/>
          <w:lang w:eastAsia="es-CO"/>
        </w:rPr>
        <w:t xml:space="preserve">, consistente en la asignación de un puntaje mínimo equivalente al diez por ciento (10%) de la calificación total de las propuestas. Dicho puntaje no se concede de manera automática ni uniforme a todos los oferentes, sino que se distribuye de forma proporcional en función del nivel de compromiso que cada proponente asuma respecto de la adquisición de productos provenientes de pequeños productores agropecuarios locales y/o de la Agricultura Campesina, Familiar y Comunitaria. De esta manera, el sistema de evaluación se convierte en un mecanismo de incentivo que premia gradualmente a quienes superan el umbral mínimo exigido por la entidad contratante, garantizando que el </w:t>
      </w:r>
      <w:r w:rsidRPr="0083265D">
        <w:rPr>
          <w:rFonts w:ascii="Verdana" w:eastAsia="Times New Roman" w:hAnsi="Verdana" w:cs="Arial"/>
          <w:lang w:eastAsia="es-CO"/>
        </w:rPr>
        <w:lastRenderedPageBreak/>
        <w:t>reconocimiento en la calificación refleje el esfuerzo real de inclusión de pequeños productores.</w:t>
      </w:r>
    </w:p>
    <w:p w14:paraId="5B18F54C" w14:textId="77777777" w:rsidR="002A259F" w:rsidRPr="0083265D" w:rsidRDefault="002A259F" w:rsidP="002A259F">
      <w:pPr>
        <w:spacing w:after="120" w:line="276" w:lineRule="auto"/>
        <w:ind w:firstLine="709"/>
        <w:jc w:val="both"/>
        <w:rPr>
          <w:rFonts w:ascii="Verdana" w:eastAsia="Times New Roman" w:hAnsi="Verdana" w:cs="Arial"/>
          <w:lang w:eastAsia="es-CO"/>
        </w:rPr>
      </w:pPr>
      <w:r w:rsidRPr="0083265D">
        <w:rPr>
          <w:rFonts w:ascii="Verdana" w:eastAsia="Times New Roman" w:hAnsi="Verdana" w:cs="Arial"/>
          <w:lang w:eastAsia="es-CO"/>
        </w:rPr>
        <w:t xml:space="preserve">En este contexto, la proporcionalidad </w:t>
      </w:r>
      <w:r>
        <w:rPr>
          <w:rFonts w:ascii="Verdana" w:eastAsia="Times New Roman" w:hAnsi="Verdana" w:cs="Arial"/>
          <w:lang w:eastAsia="es-CO"/>
        </w:rPr>
        <w:t xml:space="preserve">aplica </w:t>
      </w:r>
      <w:r w:rsidRPr="0083265D">
        <w:rPr>
          <w:rFonts w:ascii="Verdana" w:eastAsia="Times New Roman" w:hAnsi="Verdana" w:cs="Arial"/>
          <w:lang w:eastAsia="es-CO"/>
        </w:rPr>
        <w:t xml:space="preserve">bajo tres reglas fundamentales: i) la entidad contratante debe fijar en sus pliegos un porcentaje mínimo de participación de pequeños productores en la provisión de alimentos, el cual constituye el umbral obligatorio que todos los oferentes deben cumplir; </w:t>
      </w:r>
      <w:proofErr w:type="spellStart"/>
      <w:r w:rsidRPr="0083265D">
        <w:rPr>
          <w:rFonts w:ascii="Verdana" w:eastAsia="Times New Roman" w:hAnsi="Verdana" w:cs="Arial"/>
          <w:lang w:eastAsia="es-CO"/>
        </w:rPr>
        <w:t>ii</w:t>
      </w:r>
      <w:proofErr w:type="spellEnd"/>
      <w:r w:rsidRPr="0083265D">
        <w:rPr>
          <w:rFonts w:ascii="Verdana" w:eastAsia="Times New Roman" w:hAnsi="Verdana" w:cs="Arial"/>
          <w:lang w:eastAsia="es-CO"/>
        </w:rPr>
        <w:t xml:space="preserve">) únicamente aquellos proponentes que se comprometan a superar dicho mínimo obtendrán puntos adicionales dentro de la evaluación de la oferta, lo que asegura que el beneficio se otorgue a quienes demuestran un compromiso superior al estándar; y </w:t>
      </w:r>
      <w:proofErr w:type="spellStart"/>
      <w:r w:rsidRPr="0083265D">
        <w:rPr>
          <w:rFonts w:ascii="Verdana" w:eastAsia="Times New Roman" w:hAnsi="Verdana" w:cs="Arial"/>
          <w:lang w:eastAsia="es-CO"/>
        </w:rPr>
        <w:t>iii</w:t>
      </w:r>
      <w:proofErr w:type="spellEnd"/>
      <w:r w:rsidRPr="0083265D">
        <w:rPr>
          <w:rFonts w:ascii="Verdana" w:eastAsia="Times New Roman" w:hAnsi="Verdana" w:cs="Arial"/>
          <w:lang w:eastAsia="es-CO"/>
        </w:rPr>
        <w:t>) el puntaje equivalente al 10% del total asignable se reparte de manera proporcional, de modo que a mayor porcentaje de productos adquiridos a pequeños productores, mayor será la cantidad de puntos obtenidos, hasta alcanzar el máximo previsto. Este diseño normativo garantiza transparencia, equidad y eficacia en la evaluación, al tiempo que fortalece la política pública de compras locales como instrumento de desarrollo económico y social.</w:t>
      </w:r>
      <w:r>
        <w:rPr>
          <w:rFonts w:ascii="Verdana" w:eastAsia="Times New Roman" w:hAnsi="Verdana" w:cs="Arial"/>
          <w:lang w:eastAsia="es-CO"/>
        </w:rPr>
        <w:t xml:space="preserve"> Para entender un poco más sobre este porcentaje y la forma de acreditación es necesario acudir a su decreto reglamentario, que se explica más adelante. </w:t>
      </w:r>
    </w:p>
    <w:p w14:paraId="678759DF" w14:textId="77777777" w:rsidR="002A259F" w:rsidRDefault="002A259F" w:rsidP="002A259F">
      <w:pPr>
        <w:spacing w:after="120" w:line="276" w:lineRule="auto"/>
        <w:ind w:firstLine="709"/>
        <w:jc w:val="both"/>
        <w:rPr>
          <w:rFonts w:ascii="Verdana" w:eastAsia="Times New Roman" w:hAnsi="Verdana" w:cs="Arial"/>
          <w:lang w:eastAsia="es-CO"/>
        </w:rPr>
      </w:pPr>
      <w:r w:rsidRPr="00B61628">
        <w:rPr>
          <w:rFonts w:ascii="Verdana" w:eastAsia="Times New Roman" w:hAnsi="Verdana" w:cs="Arial"/>
          <w:lang w:eastAsia="es-CO"/>
        </w:rPr>
        <w:t>Finalmente, el artículo dispone obligaciones complementarias: los contratistas deben participar en espacios de articulación y ruedas de negocios organizados por la Mesa Técnica Nacional, y las entidades públicas deben definir la zona geográfica de compra local en sus estudios previos, considerando criterios como conectividad vial, vocación del suelo, disponibilidad de alimentos y presencia de pequeños productores. Con ello, se busca consolidar circuitos cortos de comercialización, fortalecer la economía campesina y garantizar que la contratación pública se convierta en un instrumento de desarrollo territorial sostenible.</w:t>
      </w:r>
    </w:p>
    <w:p w14:paraId="4E8FA41E" w14:textId="77777777" w:rsidR="002A259F" w:rsidRPr="008C3D38" w:rsidRDefault="002A259F" w:rsidP="002A259F">
      <w:pPr>
        <w:spacing w:after="0" w:line="276" w:lineRule="auto"/>
        <w:ind w:firstLine="708"/>
        <w:jc w:val="both"/>
        <w:rPr>
          <w:rFonts w:ascii="Verdana" w:eastAsia="Times New Roman" w:hAnsi="Verdana" w:cs="Arial"/>
          <w:lang w:eastAsia="es-CO"/>
        </w:rPr>
      </w:pPr>
      <w:r w:rsidRPr="008C3D38">
        <w:rPr>
          <w:rFonts w:ascii="Verdana" w:eastAsia="Times New Roman" w:hAnsi="Verdana" w:cs="Arial"/>
          <w:lang w:eastAsia="es-CO"/>
        </w:rPr>
        <w:t xml:space="preserve">Seguidamente, los demás artículos de la Ley 2046 de 2020 tratan temas varios como: i) diseño y adecuación de minutas alimentarias y menú –artículo 8–, </w:t>
      </w:r>
      <w:proofErr w:type="spellStart"/>
      <w:r w:rsidRPr="008C3D38">
        <w:rPr>
          <w:rFonts w:ascii="Verdana" w:eastAsia="Times New Roman" w:hAnsi="Verdana" w:cs="Arial"/>
          <w:lang w:eastAsia="es-CO"/>
        </w:rPr>
        <w:t>ii</w:t>
      </w:r>
      <w:proofErr w:type="spellEnd"/>
      <w:r w:rsidRPr="008C3D38">
        <w:rPr>
          <w:rFonts w:ascii="Verdana" w:eastAsia="Times New Roman" w:hAnsi="Verdana" w:cs="Arial"/>
          <w:lang w:eastAsia="es-CO"/>
        </w:rPr>
        <w:t xml:space="preserve">) especificaciones técnicas de los productos –artículo 9–, </w:t>
      </w:r>
      <w:proofErr w:type="spellStart"/>
      <w:r w:rsidRPr="008C3D38">
        <w:rPr>
          <w:rFonts w:ascii="Verdana" w:eastAsia="Times New Roman" w:hAnsi="Verdana" w:cs="Arial"/>
          <w:lang w:eastAsia="es-CO"/>
        </w:rPr>
        <w:t>iii</w:t>
      </w:r>
      <w:proofErr w:type="spellEnd"/>
      <w:r w:rsidRPr="008C3D38">
        <w:rPr>
          <w:rFonts w:ascii="Verdana" w:eastAsia="Times New Roman" w:hAnsi="Verdana" w:cs="Arial"/>
          <w:lang w:eastAsia="es-CO"/>
        </w:rPr>
        <w:t xml:space="preserve">) pago de las compras realizadas a productores de la agricultura campesina, familiar y comunitaria –artículo 10–, </w:t>
      </w:r>
      <w:proofErr w:type="spellStart"/>
      <w:r w:rsidRPr="008C3D38">
        <w:rPr>
          <w:rFonts w:ascii="Verdana" w:eastAsia="Times New Roman" w:hAnsi="Verdana" w:cs="Arial"/>
          <w:lang w:eastAsia="es-CO"/>
        </w:rPr>
        <w:t>iv</w:t>
      </w:r>
      <w:proofErr w:type="spellEnd"/>
      <w:r w:rsidRPr="008C3D38">
        <w:rPr>
          <w:rFonts w:ascii="Verdana" w:eastAsia="Times New Roman" w:hAnsi="Verdana" w:cs="Arial"/>
          <w:lang w:eastAsia="es-CO"/>
        </w:rPr>
        <w:t xml:space="preserve">) sistema público de información alimentaria de pequeños productores locales y de productores de la agricultura campesina, familiar y comunitaria y sus organizaciones –artículo 11–, v) informes de </w:t>
      </w:r>
      <w:r w:rsidRPr="008C3D38">
        <w:rPr>
          <w:rFonts w:ascii="Verdana" w:eastAsia="Times New Roman" w:hAnsi="Verdana" w:cs="Arial"/>
          <w:lang w:eastAsia="es-CO"/>
        </w:rPr>
        <w:lastRenderedPageBreak/>
        <w:t>cumplimiento al Congreso de la República –artículo 12– y vi) mecanismos de monitoreo y vigilancia –artículo 13–.</w:t>
      </w:r>
    </w:p>
    <w:p w14:paraId="7797E025" w14:textId="77777777" w:rsidR="002A259F" w:rsidRDefault="002A259F" w:rsidP="002A259F">
      <w:pPr>
        <w:spacing w:after="0" w:line="276" w:lineRule="auto"/>
        <w:ind w:firstLineChars="709" w:firstLine="1560"/>
        <w:jc w:val="both"/>
        <w:rPr>
          <w:rFonts w:ascii="Verdana" w:eastAsia="Times New Roman" w:hAnsi="Verdana" w:cs="Arial"/>
          <w:lang w:eastAsia="es-CO"/>
        </w:rPr>
      </w:pPr>
    </w:p>
    <w:p w14:paraId="187EF610" w14:textId="77777777" w:rsidR="002A259F" w:rsidRPr="008C3D38" w:rsidRDefault="002A259F" w:rsidP="002A259F">
      <w:pPr>
        <w:spacing w:after="0" w:line="276" w:lineRule="auto"/>
        <w:jc w:val="both"/>
        <w:rPr>
          <w:rFonts w:ascii="Verdana" w:eastAsia="Times New Roman" w:hAnsi="Verdana" w:cs="Arial"/>
          <w:lang w:eastAsia="es-CO"/>
        </w:rPr>
      </w:pPr>
      <w:proofErr w:type="spellStart"/>
      <w:r>
        <w:rPr>
          <w:rFonts w:ascii="Verdana" w:eastAsia="Times New Roman" w:hAnsi="Verdana" w:cs="Arial"/>
          <w:lang w:eastAsia="es-CO"/>
        </w:rPr>
        <w:t>ii</w:t>
      </w:r>
      <w:proofErr w:type="spellEnd"/>
      <w:r>
        <w:rPr>
          <w:rFonts w:ascii="Verdana" w:eastAsia="Times New Roman" w:hAnsi="Verdana" w:cs="Arial"/>
          <w:lang w:eastAsia="es-CO"/>
        </w:rPr>
        <w:t xml:space="preserve">. </w:t>
      </w:r>
      <w:r w:rsidRPr="008C3D38">
        <w:rPr>
          <w:rFonts w:ascii="Verdana" w:eastAsia="Times New Roman" w:hAnsi="Verdana" w:cs="Arial"/>
          <w:lang w:eastAsia="es-CO"/>
        </w:rPr>
        <w:t xml:space="preserve">En el marco de la Ley 2046 de 2020, se expidió el Decreto 248 del 9 de marzo de 2021, “Por el cual se adiciona la Parte 20 al Libro 2 del Decreto 1071 de 2015, Decreto Único Reglamentario del Sector Administrativo Agropecuario, Pesquero y de Desarrollo Rural, relacionado con las compras públicas de alimentos”. En la memoria justificativa de este decreto se expresó: </w:t>
      </w:r>
    </w:p>
    <w:p w14:paraId="59B278C9" w14:textId="77777777" w:rsidR="002A259F" w:rsidRPr="008C3D38" w:rsidRDefault="002A259F" w:rsidP="002A259F">
      <w:pPr>
        <w:spacing w:after="0" w:line="276" w:lineRule="auto"/>
        <w:jc w:val="both"/>
        <w:rPr>
          <w:rFonts w:ascii="Verdana" w:eastAsia="Times New Roman" w:hAnsi="Verdana" w:cs="Arial"/>
          <w:lang w:eastAsia="es-CO"/>
        </w:rPr>
      </w:pPr>
    </w:p>
    <w:p w14:paraId="2ED0A0F8" w14:textId="77777777" w:rsidR="002A259F" w:rsidRPr="008C3D38" w:rsidRDefault="002A259F" w:rsidP="002A259F">
      <w:pPr>
        <w:spacing w:after="0" w:line="240" w:lineRule="auto"/>
        <w:ind w:left="709" w:right="709"/>
        <w:jc w:val="both"/>
        <w:rPr>
          <w:rFonts w:ascii="Verdana" w:eastAsia="Times New Roman" w:hAnsi="Verdana" w:cs="Arial"/>
          <w:sz w:val="20"/>
          <w:szCs w:val="20"/>
          <w:lang w:eastAsia="es-CO"/>
        </w:rPr>
      </w:pPr>
      <w:r w:rsidRPr="008C3D38">
        <w:rPr>
          <w:rFonts w:ascii="Verdana" w:eastAsia="Times New Roman" w:hAnsi="Verdana" w:cs="Arial"/>
          <w:sz w:val="20"/>
          <w:szCs w:val="20"/>
          <w:lang w:eastAsia="es-CO"/>
        </w:rPr>
        <w:t xml:space="preserve">“La importancia de las compras públicas locales para el desarrollo territorial fue también resaltada en la Reforma Rural Integral –RRI, planteada en el Acuerdo Final Para la Terminación del Conflicto y Construcción de una Paz Estable y Duradera suscrito entre el Gobierno Nacional y las Fuerzas Armadas Revolucionarias de Colombia –FARC. En la RRI, en su numeral 1.3.3.4. plantea la formulación e implementación del Plan Nacional para la Promoción de la Comercialización de la Producción de la Economía Campesina, Familiar y Comunitaria, que contiene, una seria de medidas para estimular el mercadeo de los productos campesinos, ordenando entre otras, el diseño e implementación progresiva de un mecanismo de compras públicas para atender la demanda de las entidades y programas institucionales, que de manera descentralizada, que fomente la producción local para apoyar la comercialización y absorción de la producción de la economía campesina familiar y comunitaria”. </w:t>
      </w:r>
    </w:p>
    <w:p w14:paraId="14BC1DCB" w14:textId="77777777" w:rsidR="002A259F" w:rsidRPr="008C3D38" w:rsidRDefault="002A259F" w:rsidP="002A259F">
      <w:pPr>
        <w:spacing w:after="0" w:line="276" w:lineRule="auto"/>
        <w:jc w:val="both"/>
        <w:rPr>
          <w:rFonts w:ascii="Verdana" w:eastAsia="Times New Roman" w:hAnsi="Verdana" w:cs="Arial"/>
          <w:lang w:eastAsia="es-CO"/>
        </w:rPr>
      </w:pPr>
    </w:p>
    <w:p w14:paraId="0FCFA41B" w14:textId="77777777" w:rsidR="002A259F" w:rsidRPr="008C3D38" w:rsidRDefault="002A259F" w:rsidP="002A259F">
      <w:pPr>
        <w:spacing w:after="120" w:line="276" w:lineRule="auto"/>
        <w:jc w:val="both"/>
        <w:rPr>
          <w:rFonts w:ascii="Verdana" w:eastAsia="Times New Roman" w:hAnsi="Verdana" w:cs="Arial"/>
          <w:lang w:eastAsia="es-CO"/>
        </w:rPr>
      </w:pPr>
      <w:r w:rsidRPr="008C3D38">
        <w:rPr>
          <w:rFonts w:ascii="Verdana" w:eastAsia="Times New Roman" w:hAnsi="Verdana" w:cs="Arial"/>
          <w:lang w:eastAsia="es-CO"/>
        </w:rPr>
        <w:tab/>
        <w:t>Este reglamento adiciona la Parte 20 del Libro 2 del Decreto 1071 de 2015, el cual desarrolla el sistema de compra pública de alimentos. También detalla varios aspectos como las definiciones, el mínimo de compras públicas de alimentos y suministros, los puntajes adicionales obligatorios dentro de los procesos de contratación y los puntajes adicionales facultativos, entre otros.</w:t>
      </w:r>
    </w:p>
    <w:p w14:paraId="2BD74B7E" w14:textId="77777777" w:rsidR="002A259F" w:rsidRPr="008C3D38" w:rsidRDefault="002A259F" w:rsidP="002A259F">
      <w:pPr>
        <w:spacing w:after="120" w:line="276" w:lineRule="auto"/>
        <w:jc w:val="both"/>
        <w:rPr>
          <w:rFonts w:ascii="Verdana" w:eastAsia="Times New Roman" w:hAnsi="Verdana" w:cs="Arial"/>
          <w:lang w:eastAsia="es-CO"/>
        </w:rPr>
      </w:pPr>
      <w:r w:rsidRPr="008C3D38">
        <w:rPr>
          <w:rFonts w:ascii="Verdana" w:eastAsia="Times New Roman" w:hAnsi="Verdana" w:cs="Arial"/>
          <w:lang w:eastAsia="es-CO"/>
        </w:rPr>
        <w:t xml:space="preserve"> </w:t>
      </w:r>
      <w:r w:rsidRPr="008C3D38">
        <w:rPr>
          <w:rFonts w:ascii="Verdana" w:eastAsia="Times New Roman" w:hAnsi="Verdana" w:cs="Arial"/>
          <w:lang w:eastAsia="es-CO"/>
        </w:rPr>
        <w:tab/>
        <w:t>Dentro de estas reglas, es importante señalar que el artículo 2.20.1.1.3. del Decreto 1071 de 2015 dispuso que las Entidades Públicas del nivel nacional, departamental, distrital, municipal, sociedades de economía mixta, y entidades privadas que manejen recursos públicos y operen en el territorio nacional, que contraten, bajo cualquier modalidad</w:t>
      </w:r>
      <w:r>
        <w:rPr>
          <w:rFonts w:ascii="Verdana" w:eastAsia="Times New Roman" w:hAnsi="Verdana" w:cs="Arial"/>
          <w:lang w:eastAsia="es-CO"/>
        </w:rPr>
        <w:t xml:space="preserve"> de selección</w:t>
      </w:r>
      <w:r w:rsidRPr="008C3D38">
        <w:rPr>
          <w:rFonts w:ascii="Verdana" w:eastAsia="Times New Roman" w:hAnsi="Verdana" w:cs="Arial"/>
          <w:lang w:eastAsia="es-CO"/>
        </w:rPr>
        <w:t xml:space="preserve">, con recursos públicos la adquisición, suministro y entrega de alimentos en cualquiera de sus formas de atención, están en el deber de adquirir alimentos comprados a pequeños productores agropecuarios locales y/o a productores de la Agricultura </w:t>
      </w:r>
      <w:r w:rsidRPr="008C3D38">
        <w:rPr>
          <w:rFonts w:ascii="Verdana" w:eastAsia="Times New Roman" w:hAnsi="Verdana" w:cs="Arial"/>
          <w:lang w:eastAsia="es-CO"/>
        </w:rPr>
        <w:lastRenderedPageBreak/>
        <w:t xml:space="preserve">Campesina, Familiar o Comunitaria locales y sus organizaciones, en un porcentaje mínimo del treinta por ciento (30%) del valor total de los recursos del presupuesto de cada entidad destinados a la compra de alimentos. </w:t>
      </w:r>
    </w:p>
    <w:p w14:paraId="7D77F6A3" w14:textId="77777777" w:rsidR="002A259F" w:rsidRPr="00D33A9D" w:rsidRDefault="002A259F" w:rsidP="002A259F">
      <w:pPr>
        <w:spacing w:after="120" w:line="276" w:lineRule="auto"/>
        <w:ind w:firstLine="709"/>
        <w:jc w:val="both"/>
        <w:rPr>
          <w:rFonts w:ascii="Verdana" w:eastAsia="Times New Roman" w:hAnsi="Verdana" w:cs="Arial"/>
          <w:bCs/>
          <w:lang w:eastAsia="es-CO"/>
        </w:rPr>
      </w:pPr>
      <w:r w:rsidRPr="008C3D38">
        <w:rPr>
          <w:rFonts w:ascii="Verdana" w:eastAsia="Times New Roman" w:hAnsi="Verdana" w:cs="Arial"/>
          <w:lang w:eastAsia="es-CO"/>
        </w:rPr>
        <w:t xml:space="preserve">Asimismo, dispone que en el evento que la oferta de alimentos producidos por pequeños productores y/o productores de la Agricultura Campesina, Familiar o Comunitaria local sea inferior al treinta por ciento (30%), las entidades deben informar de esta situación a la Secretaría Técnica de la Mesa Técnica Nacional de Compras Públicas Locales en el término máximo de cinco (5) días hábiles siguientes una vez advertida la situación. </w:t>
      </w:r>
      <w:r w:rsidRPr="00D33A9D">
        <w:rPr>
          <w:rFonts w:ascii="Verdana" w:eastAsia="Times New Roman" w:hAnsi="Verdana" w:cs="Arial"/>
          <w:bCs/>
          <w:lang w:eastAsia="es-CO"/>
        </w:rPr>
        <w:t>Una vez recibida la comunicación, la Secretaría Técnica dispone de un plazo de cinco (5) días hábiles para adelantar las gestiones necesarias y remitir a la entidad un listado de pequeños productores y/o productores de la Agricultura Campesina, Familiar o Comunitaria no locales que permitan suplir el porcentaje faltante. Este procedimiento asegura que, aun cuando la oferta local sea insuficiente, se mantenga la prioridad de vinculación de pequeños productores dentro de la cadena de abastecimiento público.</w:t>
      </w:r>
      <w:r w:rsidRPr="00AE627E">
        <w:rPr>
          <w:rFonts w:ascii="Verdana" w:eastAsia="Times New Roman" w:hAnsi="Verdana" w:cs="Arial"/>
          <w:lang w:eastAsia="es-CO"/>
        </w:rPr>
        <w:t xml:space="preserve"> </w:t>
      </w:r>
    </w:p>
    <w:p w14:paraId="7E3DD18F" w14:textId="77777777" w:rsidR="002A259F" w:rsidRPr="008C3D38" w:rsidRDefault="002A259F" w:rsidP="002A259F">
      <w:pPr>
        <w:spacing w:after="120" w:line="276" w:lineRule="auto"/>
        <w:ind w:firstLine="708"/>
        <w:jc w:val="both"/>
        <w:rPr>
          <w:rFonts w:ascii="Verdana" w:eastAsia="Times New Roman" w:hAnsi="Verdana" w:cs="Arial"/>
          <w:lang w:eastAsia="es-CO"/>
        </w:rPr>
      </w:pPr>
      <w:r w:rsidRPr="006D5343">
        <w:rPr>
          <w:rFonts w:ascii="Verdana" w:eastAsia="Times New Roman" w:hAnsi="Verdana" w:cs="Arial"/>
          <w:bCs/>
          <w:lang w:eastAsia="es-CO"/>
        </w:rPr>
        <w:t xml:space="preserve">En este contexto, la identificación de los pequeños productores no puede quedar a la libre gestión del contratista, pues corresponde a la entidad contratante verificar el cumplimiento de los porcentajes mínimos exigidos por la norma y orientar el proceso de abastecimiento con base en los registros oficiales y en lo definido por la Mesa Técnica. Esta responsabilidad se refuerza cuando la oferta local resulta insuficiente, ya que la entidad debe garantizar que la obligación legal de inclusión de pequeños productores se cumpla de manera efectiva, trazable y conforme al procedimiento previsto. </w:t>
      </w:r>
    </w:p>
    <w:p w14:paraId="249D4F04" w14:textId="77777777" w:rsidR="002A259F" w:rsidRPr="00B1761C" w:rsidRDefault="002A259F" w:rsidP="002A259F">
      <w:pPr>
        <w:spacing w:after="120" w:line="276" w:lineRule="auto"/>
        <w:jc w:val="both"/>
        <w:rPr>
          <w:rFonts w:ascii="Verdana" w:eastAsia="Times New Roman" w:hAnsi="Verdana" w:cs="Arial"/>
          <w:lang w:eastAsia="es-ES_tradnl"/>
        </w:rPr>
      </w:pPr>
      <w:r w:rsidRPr="008C3D38">
        <w:rPr>
          <w:rFonts w:ascii="Verdana" w:eastAsia="Times New Roman" w:hAnsi="Verdana" w:cs="Arial"/>
          <w:lang w:eastAsia="es-CO"/>
        </w:rPr>
        <w:tab/>
      </w:r>
      <w:r w:rsidRPr="00B1761C">
        <w:rPr>
          <w:rFonts w:ascii="Verdana" w:eastAsia="Times New Roman" w:hAnsi="Verdana" w:cs="Arial"/>
          <w:lang w:eastAsia="es-ES_tradnl"/>
        </w:rPr>
        <w:t xml:space="preserve">Teniendo en cuenta esta promoción de compra pública de alimentos, el artículo </w:t>
      </w:r>
      <w:r w:rsidRPr="00B1761C">
        <w:rPr>
          <w:rFonts w:ascii="Verdana" w:eastAsia="Times New Roman" w:hAnsi="Verdana" w:cs="Arial"/>
          <w:bCs/>
          <w:lang w:eastAsia="es-ES_tradnl"/>
        </w:rPr>
        <w:t>2.20.1.1.4. regula el contrato de promesa de proveeduría</w:t>
      </w:r>
      <w:r w:rsidRPr="00B1761C">
        <w:rPr>
          <w:rFonts w:ascii="Verdana" w:eastAsia="Times New Roman" w:hAnsi="Verdana" w:cs="Arial"/>
          <w:bCs/>
          <w:vertAlign w:val="superscript"/>
          <w:lang w:eastAsia="es-ES_tradnl"/>
        </w:rPr>
        <w:footnoteReference w:id="1"/>
      </w:r>
      <w:r w:rsidRPr="00B1761C">
        <w:rPr>
          <w:rFonts w:ascii="Verdana" w:eastAsia="Times New Roman" w:hAnsi="Verdana" w:cs="Arial"/>
          <w:bCs/>
          <w:lang w:eastAsia="es-ES_tradnl"/>
        </w:rPr>
        <w:t xml:space="preserve">. La norma </w:t>
      </w:r>
      <w:r w:rsidRPr="00B1761C">
        <w:rPr>
          <w:rFonts w:ascii="Verdana" w:eastAsia="Times New Roman" w:hAnsi="Verdana" w:cs="Arial"/>
          <w:bCs/>
          <w:lang w:eastAsia="es-ES_tradnl"/>
        </w:rPr>
        <w:lastRenderedPageBreak/>
        <w:t>prescribe que l</w:t>
      </w:r>
      <w:r w:rsidRPr="00B1761C">
        <w:rPr>
          <w:rFonts w:ascii="Verdana" w:eastAsia="Times New Roman" w:hAnsi="Verdana" w:cs="Arial"/>
          <w:lang w:eastAsia="es-ES_tradnl"/>
        </w:rPr>
        <w:t>as entidades que contraten con recursos públicos la adquisición, suministro y entrega de alimentos en cualquiera de sus modalidades de atención, deben solicitar a los proponentes en el pliego de condiciones, una promesa de contrato de proveeduría con los pequeños productores agropecuarios locales y/o productores de la Agricultura Campesina, Familiar y Comunitaria locales y sus organizaciones, que se encuentren en el registro de productores individuales y/u organizaciones de productores consolidado por las secretarías departamentales de agricultura o quien haga sus veces, o en el Sistema Público de Información Alimentaria una vez entre en operación. La promesa de contrato de proveeduría debe constar por escrito. En tal sentido, este artículo dispone que cuando se presenta la promesa de contrato de proveeduría, la entidad debe verificar que el contrato de proveeduría se haya celebrado con los pequeños productores y/o productores de la Agricultura Campesina, Familiar o Comunitaria locales y sus organizaciones.</w:t>
      </w:r>
    </w:p>
    <w:p w14:paraId="41ED0DDE" w14:textId="77777777" w:rsidR="002A259F" w:rsidRPr="00B1761C" w:rsidRDefault="002A259F" w:rsidP="002A259F">
      <w:pPr>
        <w:spacing w:after="0" w:line="276" w:lineRule="auto"/>
        <w:jc w:val="both"/>
        <w:rPr>
          <w:rFonts w:ascii="Verdana" w:eastAsia="Times New Roman" w:hAnsi="Verdana" w:cs="Arial"/>
          <w:lang w:eastAsia="es-ES_tradnl"/>
        </w:rPr>
      </w:pPr>
      <w:r w:rsidRPr="00B1761C">
        <w:rPr>
          <w:rFonts w:ascii="Verdana" w:eastAsia="Times New Roman" w:hAnsi="Verdana" w:cs="Arial"/>
          <w:lang w:eastAsia="es-ES_tradnl"/>
        </w:rPr>
        <w:tab/>
        <w:t>Para entender si este contrato de promesa de proveeduría es un requisito habilitante o un factor de evaluación dentro de las diferentes modalidades contractuales, es necesaria una interpretación sistemática</w:t>
      </w:r>
      <w:r w:rsidRPr="00B1761C">
        <w:rPr>
          <w:rFonts w:ascii="Verdana" w:eastAsia="Times New Roman" w:hAnsi="Verdana" w:cs="Arial"/>
          <w:vertAlign w:val="superscript"/>
          <w:lang w:eastAsia="es-ES_tradnl"/>
        </w:rPr>
        <w:footnoteReference w:id="2"/>
      </w:r>
      <w:r w:rsidRPr="00B1761C">
        <w:rPr>
          <w:rFonts w:ascii="Verdana" w:eastAsia="Times New Roman" w:hAnsi="Verdana" w:cs="Arial"/>
          <w:lang w:eastAsia="es-ES_tradnl"/>
        </w:rPr>
        <w:t xml:space="preserve"> con el artículo 2.20.1.2.3 </w:t>
      </w:r>
      <w:r w:rsidRPr="00B1761C">
        <w:rPr>
          <w:rFonts w:ascii="Verdana" w:eastAsia="Times New Roman" w:hAnsi="Verdana" w:cs="Arial"/>
          <w:i/>
          <w:iCs/>
          <w:lang w:eastAsia="es-ES_tradnl"/>
        </w:rPr>
        <w:t>ibidem</w:t>
      </w:r>
      <w:r w:rsidRPr="00B1761C">
        <w:rPr>
          <w:rFonts w:ascii="Verdana" w:eastAsia="Times New Roman" w:hAnsi="Verdana" w:cs="Arial"/>
          <w:lang w:eastAsia="es-ES_tradnl"/>
        </w:rPr>
        <w:t xml:space="preserve"> que establece uno de los puntajes adicionales que se regulan en este Decreto, cuyo tenor literal prescribe lo siguiente: </w:t>
      </w:r>
    </w:p>
    <w:p w14:paraId="3E39C714" w14:textId="77777777" w:rsidR="002A259F" w:rsidRPr="00B1761C" w:rsidRDefault="002A259F" w:rsidP="002A259F">
      <w:pPr>
        <w:spacing w:after="0" w:line="276" w:lineRule="auto"/>
        <w:jc w:val="both"/>
        <w:rPr>
          <w:rFonts w:ascii="Verdana" w:eastAsia="Times New Roman" w:hAnsi="Verdana" w:cs="Arial"/>
          <w:lang w:eastAsia="es-ES_tradnl"/>
        </w:rPr>
      </w:pPr>
    </w:p>
    <w:p w14:paraId="49972467" w14:textId="77777777" w:rsidR="002A259F" w:rsidRPr="00B1761C" w:rsidRDefault="002A259F" w:rsidP="002A259F">
      <w:pPr>
        <w:shd w:val="clear" w:color="auto" w:fill="FFFFFF"/>
        <w:spacing w:after="0" w:line="240" w:lineRule="auto"/>
        <w:ind w:left="709" w:right="709"/>
        <w:jc w:val="both"/>
        <w:rPr>
          <w:rFonts w:ascii="Verdana" w:eastAsia="Times New Roman" w:hAnsi="Verdana" w:cs="Arial"/>
          <w:sz w:val="20"/>
          <w:szCs w:val="20"/>
          <w:lang w:eastAsia="es-CO"/>
        </w:rPr>
      </w:pPr>
      <w:r w:rsidRPr="00B1761C">
        <w:rPr>
          <w:rFonts w:ascii="Verdana" w:eastAsia="Times New Roman" w:hAnsi="Verdana" w:cs="Arial"/>
          <w:sz w:val="20"/>
          <w:szCs w:val="20"/>
          <w:lang w:eastAsia="es-CO"/>
        </w:rPr>
        <w:t xml:space="preserve">Las entidades públicas del nivel nacional, departamental, distrital, municipal, sociedades de economía mixta, y entidades privadas que manejen recursos públicos y operen en el territorio nacional, que contraten, bajo cualquier modalidad, con recursos públicos la adquisición, </w:t>
      </w:r>
      <w:r w:rsidRPr="00B1761C">
        <w:rPr>
          <w:rFonts w:ascii="Verdana" w:eastAsia="Times New Roman" w:hAnsi="Verdana" w:cs="Arial"/>
          <w:sz w:val="20"/>
          <w:szCs w:val="20"/>
          <w:lang w:eastAsia="es-CO"/>
        </w:rPr>
        <w:lastRenderedPageBreak/>
        <w:t xml:space="preserve">suministro y entrega de alimentos en cualquiera de sus formas de atención, asignarán un puntaje mínimo del 10% del total de los puntos, en las modalidades de selección previstas en el artículo 2° de la Ley 1150 de 2007, en las que se otorguen puntajes a los oferentes dentro de sus procedimientos, adicional a los puntajes de los artículos 2.20.1.2.1 y 2.20.1.2.2 del presente Título, </w:t>
      </w:r>
      <w:r w:rsidRPr="00B1761C">
        <w:rPr>
          <w:rFonts w:ascii="Verdana" w:eastAsia="Times New Roman" w:hAnsi="Verdana" w:cs="Arial"/>
          <w:i/>
          <w:sz w:val="20"/>
          <w:szCs w:val="20"/>
          <w:lang w:eastAsia="es-CO"/>
        </w:rPr>
        <w:t>los cuales serán asignados proporcionalmente a los oferentes que presenten promesas de contrato de proveeduría comprometiéndose con la entidad a adquirir productos provenientes de pequeños productores locales o productores locales de la Agricultura Campesina, Familiar o Comunitaria y/o sus organizaciones, en una proporción mayor al mínimo exigido por la entidad contratante</w:t>
      </w:r>
      <w:r w:rsidRPr="00B1761C">
        <w:rPr>
          <w:rFonts w:ascii="Verdana" w:eastAsia="Times New Roman" w:hAnsi="Verdana" w:cs="Arial"/>
          <w:iCs/>
          <w:sz w:val="20"/>
          <w:szCs w:val="20"/>
          <w:lang w:eastAsia="es-CO"/>
        </w:rPr>
        <w:t>.</w:t>
      </w:r>
      <w:r w:rsidRPr="00B1761C">
        <w:rPr>
          <w:rFonts w:ascii="Verdana" w:eastAsia="Times New Roman" w:hAnsi="Verdana" w:cs="Arial"/>
          <w:sz w:val="20"/>
          <w:szCs w:val="20"/>
          <w:lang w:eastAsia="es-CO"/>
        </w:rPr>
        <w:t xml:space="preserve"> (Énfasis fuera de texto) </w:t>
      </w:r>
    </w:p>
    <w:p w14:paraId="465C70F7" w14:textId="77777777" w:rsidR="002A259F" w:rsidRPr="00B1761C" w:rsidRDefault="002A259F" w:rsidP="002A259F">
      <w:pPr>
        <w:shd w:val="clear" w:color="auto" w:fill="FFFFFF"/>
        <w:spacing w:after="0" w:line="276" w:lineRule="auto"/>
        <w:ind w:left="709" w:right="709"/>
        <w:jc w:val="both"/>
        <w:rPr>
          <w:rFonts w:ascii="Verdana" w:eastAsia="Times New Roman" w:hAnsi="Verdana" w:cs="Arial"/>
          <w:lang w:eastAsia="es-CO"/>
        </w:rPr>
      </w:pPr>
    </w:p>
    <w:p w14:paraId="63667CA2" w14:textId="77777777" w:rsidR="002A259F" w:rsidRPr="00B1761C" w:rsidRDefault="002A259F" w:rsidP="002A259F">
      <w:pPr>
        <w:shd w:val="clear" w:color="auto" w:fill="FFFFFF"/>
        <w:spacing w:after="120" w:line="276" w:lineRule="auto"/>
        <w:jc w:val="both"/>
        <w:rPr>
          <w:rFonts w:ascii="Verdana" w:eastAsia="Times New Roman" w:hAnsi="Verdana" w:cs="Arial"/>
          <w:bCs/>
          <w:lang w:eastAsia="es-CO"/>
        </w:rPr>
      </w:pPr>
      <w:r w:rsidRPr="00B1761C">
        <w:rPr>
          <w:rFonts w:ascii="Verdana" w:eastAsia="Times New Roman" w:hAnsi="Verdana" w:cs="Arial"/>
          <w:sz w:val="21"/>
          <w:szCs w:val="21"/>
          <w:lang w:eastAsia="es-CO"/>
        </w:rPr>
        <w:tab/>
      </w:r>
      <w:r w:rsidRPr="00B1761C">
        <w:rPr>
          <w:rFonts w:ascii="Verdana" w:eastAsia="Times New Roman" w:hAnsi="Verdana" w:cs="Arial"/>
          <w:lang w:eastAsia="es-CO"/>
        </w:rPr>
        <w:t xml:space="preserve">A partir de la interpretación del Decreto 248 de 2021, que modifica el Decreto 1071 de 2015, </w:t>
      </w:r>
      <w:r w:rsidRPr="00B1761C">
        <w:rPr>
          <w:rFonts w:ascii="Verdana" w:eastAsia="Times New Roman" w:hAnsi="Verdana" w:cs="Arial"/>
          <w:bCs/>
          <w:lang w:eastAsia="es-CO"/>
        </w:rPr>
        <w:t xml:space="preserve">se deriva que el contrato de promesa de proveeduría tiene una naturaleza dual, pues no solo es un requisito habilitante en los procesos para </w:t>
      </w:r>
      <w:r w:rsidRPr="00B1761C">
        <w:rPr>
          <w:rFonts w:ascii="Verdana" w:eastAsia="Times New Roman" w:hAnsi="Verdana" w:cs="Arial"/>
          <w:lang w:eastAsia="es-CO"/>
        </w:rPr>
        <w:t xml:space="preserve">la adquisición, suministro y entrega de alimentos, sino que también </w:t>
      </w:r>
      <w:r w:rsidRPr="00B1761C">
        <w:rPr>
          <w:rFonts w:ascii="Verdana" w:eastAsia="Times New Roman" w:hAnsi="Verdana" w:cs="Arial"/>
          <w:bCs/>
          <w:lang w:eastAsia="es-CO"/>
        </w:rPr>
        <w:t xml:space="preserve">es documento necesario para acreditar uno de los puntajes adicionales previstos en el reglamento citado. </w:t>
      </w:r>
      <w:r w:rsidRPr="00B1761C">
        <w:rPr>
          <w:rFonts w:ascii="Verdana" w:eastAsia="Times New Roman" w:hAnsi="Verdana" w:cs="Arial"/>
          <w:bCs/>
          <w:i/>
          <w:iCs/>
          <w:lang w:eastAsia="es-CO"/>
        </w:rPr>
        <w:t>Por un lado</w:t>
      </w:r>
      <w:r w:rsidRPr="00B1761C">
        <w:rPr>
          <w:rFonts w:ascii="Verdana" w:eastAsia="Times New Roman" w:hAnsi="Verdana" w:cs="Arial"/>
          <w:bCs/>
          <w:lang w:eastAsia="es-CO"/>
        </w:rPr>
        <w:t xml:space="preserve">, de acuerdo con el artículo 2.20.1.1.4, la suscripción de este contrato </w:t>
      </w:r>
      <w:r w:rsidRPr="00B1761C">
        <w:rPr>
          <w:rFonts w:ascii="Verdana" w:eastAsia="Times New Roman" w:hAnsi="Verdana" w:cs="Arial"/>
          <w:lang w:eastAsia="es-CO"/>
        </w:rPr>
        <w:t xml:space="preserve">debe solicitarse a los proponentes en el pliego de condiciones, por lo que resulta una exigencia obligatoria del procedimiento de contratación. Incluso, una vez adjudicado, </w:t>
      </w:r>
      <w:r>
        <w:rPr>
          <w:rFonts w:ascii="Verdana" w:eastAsia="Times New Roman" w:hAnsi="Verdana" w:cs="Arial"/>
          <w:lang w:eastAsia="es-CO"/>
        </w:rPr>
        <w:t>“</w:t>
      </w:r>
      <w:r w:rsidRPr="00B1761C">
        <w:rPr>
          <w:rFonts w:ascii="Verdana" w:eastAsia="Times New Roman" w:hAnsi="Verdana" w:cs="Arial"/>
          <w:lang w:eastAsia="es-CO"/>
        </w:rPr>
        <w:t>[…] la entidad contratante deberá verificar como requisito de ejecución que el contratista haya celebrado el contrato de proveeduría con los pequeños productores y/o productores de la Agricultura Campesina, Familiar o Comunitaria locales y sus organizaciones</w:t>
      </w:r>
      <w:r>
        <w:rPr>
          <w:rFonts w:ascii="Verdana" w:eastAsia="Times New Roman" w:hAnsi="Verdana" w:cs="Arial"/>
          <w:lang w:eastAsia="es-CO"/>
        </w:rPr>
        <w:t>”</w:t>
      </w:r>
      <w:r w:rsidRPr="00B1761C">
        <w:rPr>
          <w:rFonts w:ascii="Verdana" w:eastAsia="Times New Roman" w:hAnsi="Verdana" w:cs="Arial"/>
          <w:lang w:eastAsia="es-CO"/>
        </w:rPr>
        <w:t xml:space="preserve">. Esto es </w:t>
      </w:r>
      <w:r w:rsidRPr="00B1761C">
        <w:rPr>
          <w:rFonts w:ascii="Verdana" w:eastAsia="Times New Roman" w:hAnsi="Verdana" w:cs="Arial"/>
          <w:bCs/>
          <w:lang w:eastAsia="es-CO"/>
        </w:rPr>
        <w:t xml:space="preserve">congruente con el artículo 7 de la Ley 2046 de 2021 y el artículo </w:t>
      </w:r>
      <w:r w:rsidRPr="00B1761C">
        <w:rPr>
          <w:rFonts w:ascii="Verdana" w:eastAsia="Calibri" w:hAnsi="Verdana" w:cs="Arial"/>
          <w:bCs/>
          <w:lang w:val="es-ES_tradnl" w:eastAsia="es-CO"/>
        </w:rPr>
        <w:t xml:space="preserve">2.20.1.1.3. del Decreto 1071 de 2015, en la medida que </w:t>
      </w:r>
      <w:r w:rsidRPr="00B1761C">
        <w:rPr>
          <w:rFonts w:ascii="Verdana" w:eastAsia="Times New Roman" w:hAnsi="Verdana" w:cs="Arial"/>
          <w:lang w:eastAsia="es-CO"/>
        </w:rPr>
        <w:t>un porcentaje mínimo del treinta por ciento (30%) del valor total de los recursos del presupuesto de cada entidad deben destinarse a la compra de alimentos a los sujetos mencionados.</w:t>
      </w:r>
    </w:p>
    <w:p w14:paraId="6DC848F0" w14:textId="77777777" w:rsidR="002A259F" w:rsidRPr="006F7D35" w:rsidRDefault="002A259F" w:rsidP="002A259F">
      <w:pPr>
        <w:shd w:val="clear" w:color="auto" w:fill="FFFFFF"/>
        <w:spacing w:after="120" w:line="276" w:lineRule="auto"/>
        <w:ind w:firstLine="708"/>
        <w:jc w:val="both"/>
        <w:rPr>
          <w:rFonts w:ascii="Verdana" w:hAnsi="Verdana" w:cs="Arial"/>
          <w:bCs/>
        </w:rPr>
      </w:pPr>
      <w:bookmarkStart w:id="4" w:name="_Hlk103351152"/>
      <w:r w:rsidRPr="00B1761C">
        <w:rPr>
          <w:rFonts w:ascii="Verdana" w:eastAsia="Times New Roman" w:hAnsi="Verdana" w:cs="Arial"/>
          <w:bCs/>
          <w:i/>
          <w:iCs/>
          <w:lang w:eastAsia="es-CO"/>
        </w:rPr>
        <w:t>Por otra parte</w:t>
      </w:r>
      <w:r w:rsidRPr="00B1761C">
        <w:rPr>
          <w:rFonts w:ascii="Verdana" w:eastAsia="Times New Roman" w:hAnsi="Verdana" w:cs="Arial"/>
          <w:bCs/>
          <w:lang w:eastAsia="es-CO"/>
        </w:rPr>
        <w:t>, también</w:t>
      </w:r>
      <w:r>
        <w:rPr>
          <w:rFonts w:ascii="Verdana" w:eastAsia="Times New Roman" w:hAnsi="Verdana" w:cs="Arial"/>
          <w:bCs/>
          <w:lang w:eastAsia="es-CO"/>
        </w:rPr>
        <w:t xml:space="preserve"> la promesa de proveeduría</w:t>
      </w:r>
      <w:r w:rsidRPr="00B1761C">
        <w:rPr>
          <w:rFonts w:ascii="Verdana" w:eastAsia="Times New Roman" w:hAnsi="Verdana" w:cs="Arial"/>
          <w:bCs/>
          <w:lang w:eastAsia="es-CO"/>
        </w:rPr>
        <w:t xml:space="preserve"> es</w:t>
      </w:r>
      <w:r>
        <w:rPr>
          <w:rFonts w:ascii="Verdana" w:eastAsia="Times New Roman" w:hAnsi="Verdana" w:cs="Arial"/>
          <w:bCs/>
          <w:lang w:eastAsia="es-CO"/>
        </w:rPr>
        <w:t xml:space="preserve"> un</w:t>
      </w:r>
      <w:r w:rsidRPr="00B1761C">
        <w:rPr>
          <w:rFonts w:ascii="Verdana" w:eastAsia="Times New Roman" w:hAnsi="Verdana" w:cs="Arial"/>
          <w:bCs/>
          <w:lang w:eastAsia="es-CO"/>
        </w:rPr>
        <w:t xml:space="preserve"> documento necesario para acreditar un factor de evaluación. Lo anterior en la media que el reglamento otorga un puntaje mínimo del 10% del total de los puntos, los cuales son asignados proporcionalmente a los proveedores que presenten este tipo de contratos comprometiéndose con las entidades públicas con la adquisición de productos provenientes de pequeños productores locales o productores locales de la agricultura campesina, familiar o comunitaria y/o sus organizaciones, en una proporción mayor al mínimo exigido por la entidad.</w:t>
      </w:r>
      <w:r>
        <w:rPr>
          <w:rFonts w:ascii="Verdana" w:eastAsia="Times New Roman" w:hAnsi="Verdana" w:cs="Arial"/>
          <w:bCs/>
          <w:lang w:eastAsia="es-CO"/>
        </w:rPr>
        <w:t xml:space="preserve"> </w:t>
      </w:r>
      <w:r w:rsidRPr="006F7D35">
        <w:rPr>
          <w:rFonts w:ascii="Verdana" w:hAnsi="Verdana" w:cs="Arial"/>
          <w:bCs/>
        </w:rPr>
        <w:t xml:space="preserve">Dicho puntaje, como lo </w:t>
      </w:r>
      <w:r w:rsidRPr="006F7D35">
        <w:rPr>
          <w:rFonts w:ascii="Verdana" w:hAnsi="Verdana" w:cs="Arial"/>
          <w:bCs/>
        </w:rPr>
        <w:lastRenderedPageBreak/>
        <w:t>dispone el artículo 7 de la Ley 2026 de 2020, se otorga de manera proporcional en función del grado de compromiso asumido por el proponente, incentivando así la inclusión efectiva de pequeños productores más allá del umbral obligatorio.</w:t>
      </w:r>
    </w:p>
    <w:p w14:paraId="37A30338" w14:textId="77777777" w:rsidR="002A259F" w:rsidRPr="006F7D35" w:rsidRDefault="002A259F" w:rsidP="002A259F">
      <w:pPr>
        <w:shd w:val="clear" w:color="auto" w:fill="FFFFFF"/>
        <w:spacing w:after="120" w:line="276" w:lineRule="auto"/>
        <w:ind w:firstLine="708"/>
        <w:jc w:val="both"/>
        <w:rPr>
          <w:rFonts w:ascii="Verdana" w:eastAsia="Times New Roman" w:hAnsi="Verdana" w:cs="Arial"/>
          <w:bCs/>
          <w:lang w:eastAsia="es-CO"/>
        </w:rPr>
      </w:pPr>
      <w:r w:rsidRPr="006F7D35">
        <w:rPr>
          <w:rFonts w:ascii="Verdana" w:eastAsia="Times New Roman" w:hAnsi="Verdana" w:cs="Arial"/>
          <w:bCs/>
          <w:lang w:eastAsia="es-CO"/>
        </w:rPr>
        <w:t>En este sentido, la promesa de proveeduría cumple un</w:t>
      </w:r>
      <w:r>
        <w:rPr>
          <w:rFonts w:ascii="Verdana" w:eastAsia="Times New Roman" w:hAnsi="Verdana" w:cs="Arial"/>
          <w:bCs/>
          <w:lang w:eastAsia="es-CO"/>
        </w:rPr>
        <w:t xml:space="preserve"> doble propósito</w:t>
      </w:r>
      <w:r w:rsidRPr="006F7D35">
        <w:rPr>
          <w:rFonts w:ascii="Verdana" w:eastAsia="Times New Roman" w:hAnsi="Verdana" w:cs="Arial"/>
          <w:bCs/>
          <w:lang w:eastAsia="es-CO"/>
        </w:rPr>
        <w:t xml:space="preserve">: por un lado, garantiza la trazabilidad y la formalización del compromiso de los oferentes con la política pública de compras locales; y por otro, actúa como un mecanismo de diferenciación en la evaluación de las propuestas, al premiar con mayor puntaje a quienes demuestran un esfuerzo superior en la adquisición de productos de origen campesino y comunitario. </w:t>
      </w:r>
    </w:p>
    <w:bookmarkEnd w:id="4"/>
    <w:p w14:paraId="03BF41B5" w14:textId="77777777" w:rsidR="002A259F" w:rsidRDefault="002A259F" w:rsidP="002A259F">
      <w:pPr>
        <w:shd w:val="clear" w:color="auto" w:fill="FFFFFF"/>
        <w:spacing w:after="120" w:line="276" w:lineRule="auto"/>
        <w:jc w:val="both"/>
        <w:rPr>
          <w:rFonts w:ascii="Verdana" w:eastAsia="Times New Roman" w:hAnsi="Verdana" w:cs="Arial"/>
          <w:bCs/>
          <w:lang w:eastAsia="es-CO"/>
        </w:rPr>
      </w:pPr>
      <w:r w:rsidRPr="00B1761C">
        <w:rPr>
          <w:rFonts w:ascii="Verdana" w:eastAsia="Times New Roman" w:hAnsi="Verdana" w:cs="Arial"/>
          <w:bCs/>
          <w:lang w:eastAsia="es-CO"/>
        </w:rPr>
        <w:tab/>
        <w:t xml:space="preserve">Para efectos del artículo </w:t>
      </w:r>
      <w:r w:rsidRPr="00B1761C">
        <w:rPr>
          <w:rFonts w:ascii="Verdana" w:eastAsia="Times New Roman" w:hAnsi="Verdana" w:cs="Arial"/>
          <w:lang w:eastAsia="es-CO"/>
        </w:rPr>
        <w:t>2.20.1.2.3 de</w:t>
      </w:r>
      <w:r w:rsidRPr="00B1761C">
        <w:rPr>
          <w:rFonts w:ascii="Verdana" w:eastAsia="Times New Roman" w:hAnsi="Verdana" w:cs="Arial"/>
          <w:bCs/>
          <w:lang w:eastAsia="es-CO"/>
        </w:rPr>
        <w:t xml:space="preserve">l Decreto 1071 de 2015, el puntaje mínimo del 10% del total de los puntos que debe asignarse a los oferentes que presenten promesas de contrato de proveeduría comprometiéndose con la entidad a adquirir productos provenientes de pequeños productores locales o productores locales de la Agricultura Campesina, Familiar o Comunitaria y/o sus organizaciones, </w:t>
      </w:r>
      <w:r w:rsidRPr="00B1761C">
        <w:rPr>
          <w:rFonts w:ascii="Verdana" w:eastAsia="Times New Roman" w:hAnsi="Verdana" w:cs="Arial"/>
          <w:bCs/>
          <w:i/>
          <w:iCs/>
          <w:lang w:eastAsia="es-CO"/>
        </w:rPr>
        <w:t>en una proporción mayor al mínimo exigido por la entidad</w:t>
      </w:r>
      <w:r w:rsidRPr="00B1761C">
        <w:rPr>
          <w:rFonts w:ascii="Verdana" w:eastAsia="Times New Roman" w:hAnsi="Verdana" w:cs="Arial"/>
          <w:bCs/>
          <w:lang w:eastAsia="es-CO"/>
        </w:rPr>
        <w:t>. Esto significa que no podrán beneficiarse del puntaje adicional quienes presenten contratos de proveeduría por debajo del mínimo previsto en el pliego de condiciones, de manera que únicamente se asignará a quienes superen la proporción exigida en los documentos del proceso.</w:t>
      </w:r>
    </w:p>
    <w:p w14:paraId="5B485F5F" w14:textId="77777777" w:rsidR="002A259F" w:rsidRPr="009D5FF2" w:rsidRDefault="002A259F" w:rsidP="002A259F">
      <w:pPr>
        <w:shd w:val="clear" w:color="auto" w:fill="FFFFFF"/>
        <w:spacing w:after="0" w:line="276" w:lineRule="auto"/>
        <w:jc w:val="both"/>
        <w:rPr>
          <w:rFonts w:ascii="Verdana" w:eastAsia="Times New Roman" w:hAnsi="Verdana" w:cs="Arial"/>
          <w:bCs/>
          <w:lang w:eastAsia="es-CO"/>
        </w:rPr>
      </w:pPr>
    </w:p>
    <w:p w14:paraId="027F9635" w14:textId="77777777" w:rsidR="002A259F" w:rsidRPr="00E549E9" w:rsidRDefault="002A259F" w:rsidP="002A259F">
      <w:pPr>
        <w:shd w:val="clear" w:color="auto" w:fill="FFFFFF"/>
        <w:spacing w:after="120" w:line="276" w:lineRule="auto"/>
        <w:jc w:val="both"/>
        <w:rPr>
          <w:rFonts w:ascii="Verdana" w:eastAsia="Calibri" w:hAnsi="Verdana" w:cs="Arial"/>
          <w:bCs/>
          <w:color w:val="000000" w:themeColor="text1"/>
        </w:rPr>
      </w:pPr>
      <w:proofErr w:type="spellStart"/>
      <w:r w:rsidRPr="008C3D38">
        <w:rPr>
          <w:rFonts w:ascii="Verdana" w:eastAsia="Calibri" w:hAnsi="Verdana" w:cs="Arial"/>
          <w:color w:val="000000" w:themeColor="text1"/>
          <w:lang w:val="es-ES"/>
        </w:rPr>
        <w:t>i</w:t>
      </w:r>
      <w:r>
        <w:rPr>
          <w:rFonts w:ascii="Verdana" w:eastAsia="Calibri" w:hAnsi="Verdana" w:cs="Arial"/>
          <w:color w:val="000000" w:themeColor="text1"/>
          <w:lang w:val="es-ES"/>
        </w:rPr>
        <w:t>ii</w:t>
      </w:r>
      <w:proofErr w:type="spellEnd"/>
      <w:r w:rsidRPr="008C3D38">
        <w:rPr>
          <w:rFonts w:ascii="Verdana" w:eastAsia="Calibri" w:hAnsi="Verdana" w:cs="Arial"/>
          <w:color w:val="000000" w:themeColor="text1"/>
          <w:lang w:val="es-ES"/>
        </w:rPr>
        <w:t xml:space="preserve">. </w:t>
      </w:r>
      <w:r w:rsidRPr="00E549E9">
        <w:rPr>
          <w:rFonts w:ascii="Verdana" w:eastAsia="Calibri" w:hAnsi="Verdana" w:cs="Arial"/>
          <w:bCs/>
          <w:color w:val="000000" w:themeColor="text1"/>
          <w:lang w:val="es-ES"/>
        </w:rPr>
        <w:t>El pliego de condiciones es la hoja de ruta o plan sobre el cual se diseña, estructura y concreta el procedimiento de selección de contratistas. El mismo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Pr="00E549E9">
        <w:rPr>
          <w:rFonts w:ascii="Verdana" w:eastAsia="Calibri" w:hAnsi="Verdana" w:cs="Arial"/>
          <w:bCs/>
          <w:color w:val="000000" w:themeColor="text1"/>
          <w:lang w:val="es-ES_tradnl"/>
        </w:rPr>
        <w:t xml:space="preserve"> En este sentido, en el marco de su discrecionalidad, cada entidad debe establecer la forma cómo se estructura el pliego de condiciones, el cual está condicionado a la proporcionalidad de las decisiones que toma en aras de garantizar la pluralidad de oferentes y la selección objetiva</w:t>
      </w:r>
      <w:r w:rsidRPr="00E549E9">
        <w:rPr>
          <w:rFonts w:ascii="Verdana" w:eastAsia="Calibri" w:hAnsi="Verdana" w:cs="Arial"/>
          <w:bCs/>
          <w:color w:val="000000" w:themeColor="text1"/>
        </w:rPr>
        <w:t>.</w:t>
      </w:r>
      <w:r>
        <w:rPr>
          <w:rFonts w:ascii="Verdana" w:eastAsia="Calibri" w:hAnsi="Verdana" w:cs="Arial"/>
          <w:bCs/>
          <w:color w:val="000000" w:themeColor="text1"/>
        </w:rPr>
        <w:t xml:space="preserve"> En este escenario, el pliego de condiciones de un proceso que se relaciona con la compra y distribución de alimentos debe tener en cuenta la regla dispuesta del artículo 7 de la Ley 2046 de 2020, así como lo reglamentado en el Decreto 248 de 2021 que adiciona el Decreto 1071 de 2015. </w:t>
      </w:r>
    </w:p>
    <w:p w14:paraId="73B228CC" w14:textId="77777777" w:rsidR="002A259F" w:rsidRPr="00C53071" w:rsidRDefault="002A259F" w:rsidP="002A259F">
      <w:pPr>
        <w:shd w:val="clear" w:color="auto" w:fill="FFFFFF"/>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lastRenderedPageBreak/>
        <w:tab/>
        <w:t xml:space="preserve">Ahora bien, debe tenerse presente </w:t>
      </w:r>
      <w:r w:rsidRPr="005606C4">
        <w:rPr>
          <w:rFonts w:ascii="Verdana" w:hAnsi="Verdana" w:cs="Arial"/>
          <w:bCs/>
        </w:rPr>
        <w:t xml:space="preserve">que dicho puntaje únicamente resulta aplicable en modalidades de selección competitivas que se caractericen porque el factor de escogencia no se limita exclusivamente al precio. En </w:t>
      </w:r>
      <w:r>
        <w:rPr>
          <w:rFonts w:ascii="Verdana" w:hAnsi="Verdana" w:cs="Arial"/>
          <w:bCs/>
        </w:rPr>
        <w:t>este aspecto</w:t>
      </w:r>
      <w:r w:rsidRPr="005606C4">
        <w:rPr>
          <w:rFonts w:ascii="Verdana" w:hAnsi="Verdana" w:cs="Arial"/>
          <w:bCs/>
        </w:rPr>
        <w:t>, en procesos como la mínima cuantía y la selección abreviada mediante subasta inversa</w:t>
      </w:r>
      <w:r>
        <w:rPr>
          <w:rFonts w:ascii="Verdana" w:hAnsi="Verdana" w:cs="Arial"/>
          <w:bCs/>
        </w:rPr>
        <w:t xml:space="preserve"> como procesos competitivos</w:t>
      </w:r>
      <w:r w:rsidRPr="005606C4">
        <w:rPr>
          <w:rFonts w:ascii="Verdana" w:hAnsi="Verdana" w:cs="Arial"/>
          <w:bCs/>
        </w:rPr>
        <w:t xml:space="preserve">, el criterio de evaluación es estrictamente económico, pues la norma establece que el único factor determinante es el menor precio ofertado. Así lo ha señalado el Concepto C-391 de 2026, al precisar que la mínima cuantía se caracteriza por excluir cualquier otro criterio de ponderación, razón por la cual la promesa de contrato de proveeduría no puede </w:t>
      </w:r>
      <w:r>
        <w:rPr>
          <w:rFonts w:ascii="Verdana" w:hAnsi="Verdana" w:cs="Arial"/>
          <w:bCs/>
        </w:rPr>
        <w:t xml:space="preserve">aplicar </w:t>
      </w:r>
      <w:r w:rsidRPr="005606C4">
        <w:rPr>
          <w:rFonts w:ascii="Verdana" w:hAnsi="Verdana" w:cs="Arial"/>
          <w:bCs/>
        </w:rPr>
        <w:t xml:space="preserve">como elemento de evaluación, sino únicamente como requisito habilitante para acreditar la capacidad del oferente. </w:t>
      </w:r>
    </w:p>
    <w:p w14:paraId="14D40723" w14:textId="77777777" w:rsidR="002A259F" w:rsidRPr="008175EA" w:rsidRDefault="002A259F" w:rsidP="002A259F">
      <w:pPr>
        <w:shd w:val="clear" w:color="auto" w:fill="FFFFFF"/>
        <w:spacing w:after="120" w:line="276" w:lineRule="auto"/>
        <w:jc w:val="both"/>
        <w:rPr>
          <w:rFonts w:ascii="Verdana" w:hAnsi="Verdana" w:cs="Arial"/>
          <w:bCs/>
        </w:rPr>
      </w:pPr>
      <w:r>
        <w:rPr>
          <w:rFonts w:ascii="Verdana" w:hAnsi="Verdana" w:cs="Arial"/>
          <w:bCs/>
        </w:rPr>
        <w:tab/>
      </w:r>
      <w:r w:rsidRPr="008175EA">
        <w:rPr>
          <w:rFonts w:ascii="Verdana" w:hAnsi="Verdana" w:cs="Arial"/>
          <w:bCs/>
        </w:rPr>
        <w:t>En aquellos procesos de contratación en los que resulte exigible la aplicación de los porcentajes mínimos de evaluación previstos en el artículo 7 de la Ley 2046 de 2020 y en el Decreto 1071 de 2015 —</w:t>
      </w:r>
      <w:r>
        <w:rPr>
          <w:rFonts w:ascii="Verdana" w:hAnsi="Verdana" w:cs="Arial"/>
          <w:bCs/>
        </w:rPr>
        <w:t xml:space="preserve">adicionado </w:t>
      </w:r>
      <w:r w:rsidRPr="008175EA">
        <w:rPr>
          <w:rFonts w:ascii="Verdana" w:hAnsi="Verdana" w:cs="Arial"/>
          <w:bCs/>
        </w:rPr>
        <w:t>por el Decreto 248 de 2021—, la omisión de tales parámetros en los pliegos de condiciones ya sea como requisitos habilitantes o como criterios de evaluación, configura un desconocimiento directo de la normativa aplicable. Esta irregularidad debe ser advertida oportunamente por los terceros interesados, bien en la etapa de proyecto de pliego de condiciones, mediante observaciones formales, o en la fase de publicación definitiva, a través de las observaciones que den lugar a la expedición de adendas correctivas.</w:t>
      </w:r>
    </w:p>
    <w:p w14:paraId="252278D9" w14:textId="77777777" w:rsidR="002A259F" w:rsidRPr="003D5966" w:rsidRDefault="002A259F" w:rsidP="002A259F">
      <w:pPr>
        <w:shd w:val="clear" w:color="auto" w:fill="FFFFFF"/>
        <w:spacing w:after="120" w:line="276" w:lineRule="auto"/>
        <w:ind w:firstLine="708"/>
        <w:jc w:val="both"/>
        <w:rPr>
          <w:rFonts w:ascii="Verdana" w:hAnsi="Verdana" w:cs="Arial"/>
          <w:bCs/>
        </w:rPr>
      </w:pPr>
      <w:r w:rsidRPr="008175EA">
        <w:rPr>
          <w:rFonts w:ascii="Verdana" w:hAnsi="Verdana" w:cs="Arial"/>
          <w:bCs/>
        </w:rPr>
        <w:t>La inobservancia de estas reglas implica un quebrantamiento de las metodologías de evaluación previstas por el legislador, lo cual vulnera el mandato de proporcionalidad y afecta de manera sustancial la validez del procedimiento de selección. En efecto, la omisión de criterios obligatorios de evaluación desconoce principios superiores como la transparencia y la selección objetiva, pilares de la contratación estatal, y genera un riesgo de nulidad del proceso por contravención de normas imperativas de derecho público.</w:t>
      </w:r>
      <w:r>
        <w:rPr>
          <w:rFonts w:ascii="Verdana" w:hAnsi="Verdana" w:cs="Arial"/>
          <w:bCs/>
        </w:rPr>
        <w:t xml:space="preserve"> </w:t>
      </w:r>
      <w:r w:rsidRPr="00382A21">
        <w:rPr>
          <w:rFonts w:ascii="Verdana" w:eastAsia="Calibri" w:hAnsi="Verdana" w:cs="Arial"/>
          <w:color w:val="000000" w:themeColor="text1"/>
        </w:rPr>
        <w:t xml:space="preserve">En este </w:t>
      </w:r>
      <w:r>
        <w:rPr>
          <w:rFonts w:ascii="Verdana" w:eastAsia="Calibri" w:hAnsi="Verdana" w:cs="Arial"/>
          <w:color w:val="000000" w:themeColor="text1"/>
        </w:rPr>
        <w:t>sentido</w:t>
      </w:r>
      <w:r w:rsidRPr="00382A21">
        <w:rPr>
          <w:rFonts w:ascii="Verdana" w:eastAsia="Calibri" w:hAnsi="Verdana" w:cs="Arial"/>
          <w:color w:val="000000" w:themeColor="text1"/>
        </w:rPr>
        <w:t xml:space="preserve">, el pliego de condiciones podría ser objeto de demanda ante la jurisdicción contencioso-administrativa, en tanto constituye el acto administrativo </w:t>
      </w:r>
      <w:r>
        <w:rPr>
          <w:rFonts w:ascii="Verdana" w:eastAsia="Calibri" w:hAnsi="Verdana" w:cs="Arial"/>
          <w:color w:val="000000" w:themeColor="text1"/>
        </w:rPr>
        <w:t xml:space="preserve">general </w:t>
      </w:r>
      <w:r w:rsidRPr="00382A21">
        <w:rPr>
          <w:rFonts w:ascii="Verdana" w:eastAsia="Calibri" w:hAnsi="Verdana" w:cs="Arial"/>
          <w:color w:val="000000" w:themeColor="text1"/>
        </w:rPr>
        <w:t>que fija las</w:t>
      </w:r>
      <w:r>
        <w:rPr>
          <w:rFonts w:ascii="Verdana" w:eastAsia="Calibri" w:hAnsi="Verdana" w:cs="Arial"/>
          <w:color w:val="000000" w:themeColor="text1"/>
        </w:rPr>
        <w:t xml:space="preserve"> condiciones del proceso de contratación</w:t>
      </w:r>
      <w:r w:rsidRPr="00382A21">
        <w:rPr>
          <w:rFonts w:ascii="Verdana" w:eastAsia="Calibri" w:hAnsi="Verdana" w:cs="Arial"/>
          <w:color w:val="000000" w:themeColor="text1"/>
        </w:rPr>
        <w:t xml:space="preserve">. </w:t>
      </w:r>
    </w:p>
    <w:p w14:paraId="3682D9F9" w14:textId="77777777" w:rsidR="002A259F" w:rsidRPr="0000635D" w:rsidRDefault="002A259F" w:rsidP="002A259F">
      <w:pPr>
        <w:spacing w:after="120" w:line="276" w:lineRule="auto"/>
        <w:ind w:firstLine="720"/>
        <w:jc w:val="both"/>
        <w:rPr>
          <w:rFonts w:ascii="Verdana" w:eastAsia="Verdana" w:hAnsi="Verdana" w:cs="Verdana"/>
          <w:lang w:val="es" w:eastAsia="es-CO"/>
        </w:rPr>
      </w:pPr>
      <w:r w:rsidRPr="0000635D">
        <w:rPr>
          <w:rFonts w:ascii="Verdana" w:eastAsia="Verdana" w:hAnsi="Verdana" w:cs="Verdana"/>
          <w:lang w:val="es" w:eastAsia="es-CO"/>
        </w:rPr>
        <w:t xml:space="preserve">Particularmente, frente al pliego de condiciones, el Consejo de Estado ha señalado que este es un acto administrativo de carácter definitivo que contiene tanto reglas generales que guían el proceso de selección, así como condiciones </w:t>
      </w:r>
      <w:r w:rsidRPr="0000635D">
        <w:rPr>
          <w:rFonts w:ascii="Verdana" w:eastAsia="Verdana" w:hAnsi="Verdana" w:cs="Verdana"/>
          <w:lang w:val="es" w:eastAsia="es-CO"/>
        </w:rPr>
        <w:lastRenderedPageBreak/>
        <w:t>propias del negocio jurídico que se espera celebrar. En ese sentido, es un acto que está llamado a establecer el objeto y las condiciones que guían el negocio jurídico</w:t>
      </w:r>
      <w:r w:rsidRPr="0000635D">
        <w:rPr>
          <w:rFonts w:ascii="Verdana" w:eastAsia="Verdana" w:hAnsi="Verdana" w:cs="Verdana"/>
          <w:vertAlign w:val="superscript"/>
          <w:lang w:val="es" w:eastAsia="es-CO"/>
        </w:rPr>
        <w:footnoteReference w:id="3"/>
      </w:r>
      <w:r w:rsidRPr="0000635D">
        <w:rPr>
          <w:rFonts w:ascii="Verdana" w:eastAsia="Verdana" w:hAnsi="Verdana" w:cs="Verdana"/>
          <w:lang w:val="es" w:eastAsia="es-CO"/>
        </w:rPr>
        <w:t xml:space="preserve"> y por la diversidad de aspectos que regula, se convierte en un acto que no sólo estructura un aspecto netamente contractual, en el marco de reglas y principios del Estatuto General de Contratación de la Administración Pública, sino que también que constituye un “eje de la decisión pública”, en la medida en que debe estar sustentado en la realización de los fines que persigue la contratación estatal. </w:t>
      </w:r>
    </w:p>
    <w:p w14:paraId="54F107B0" w14:textId="77777777" w:rsidR="002A259F" w:rsidRPr="0000635D" w:rsidRDefault="002A259F" w:rsidP="002A259F">
      <w:pPr>
        <w:spacing w:after="120" w:line="276" w:lineRule="auto"/>
        <w:ind w:firstLine="720"/>
        <w:jc w:val="both"/>
        <w:rPr>
          <w:rFonts w:ascii="Verdana" w:eastAsia="Verdana" w:hAnsi="Verdana" w:cs="Verdana"/>
          <w:lang w:val="es" w:eastAsia="es-CO"/>
        </w:rPr>
      </w:pPr>
      <w:r w:rsidRPr="0000635D">
        <w:rPr>
          <w:rFonts w:ascii="Verdana" w:eastAsia="Verdana" w:hAnsi="Verdana" w:cs="Verdana"/>
          <w:lang w:val="es" w:eastAsia="es-CO"/>
        </w:rPr>
        <w:t>La Sección Tercera del Consejo de Estado</w:t>
      </w:r>
      <w:r w:rsidRPr="0000635D">
        <w:rPr>
          <w:rFonts w:ascii="Verdana" w:eastAsia="Verdana" w:hAnsi="Verdana" w:cs="Verdana"/>
          <w:vertAlign w:val="superscript"/>
          <w:lang w:val="es" w:eastAsia="es-CO"/>
        </w:rPr>
        <w:footnoteReference w:id="4"/>
      </w:r>
      <w:r w:rsidRPr="0000635D">
        <w:rPr>
          <w:rFonts w:ascii="Verdana" w:eastAsia="Verdana" w:hAnsi="Verdana" w:cs="Verdana"/>
          <w:lang w:val="es" w:eastAsia="es-CO"/>
        </w:rPr>
        <w:t xml:space="preserve">, ha señalado que los pliegos de condiciones son actos administrativos susceptibles de </w:t>
      </w:r>
      <w:r>
        <w:rPr>
          <w:rFonts w:ascii="Verdana" w:eastAsia="Verdana" w:hAnsi="Verdana" w:cs="Verdana"/>
          <w:lang w:val="es" w:eastAsia="es-CO"/>
        </w:rPr>
        <w:t>ser objeto de control</w:t>
      </w:r>
      <w:r w:rsidRPr="0000635D">
        <w:rPr>
          <w:rFonts w:ascii="Verdana" w:eastAsia="Verdana" w:hAnsi="Verdana" w:cs="Verdana"/>
          <w:lang w:val="es" w:eastAsia="es-CO"/>
        </w:rPr>
        <w:t xml:space="preserve"> a través del medio de control de simple nulidad o nulidad y restablecimiento del derecho. En tal sentido, se sostiene que la Jurisdicción de lo Contencioso Administrativo tiene plena competencia para pronunciarse frente la legalidad del acto administrativo que contiene el pliego de condiciones, en la medida en que este acto, comprende “una triple función disciplinar” pues prevé los lineamientos para la escogencia del contratista, la ejecución contractual y la interpretación del contrato, decisiones de fondo que tienen incidencia directa tanto en el proceso de selección como en la ejecución del contrato. </w:t>
      </w:r>
    </w:p>
    <w:p w14:paraId="3DC0C9CC" w14:textId="77777777" w:rsidR="002A259F" w:rsidRPr="00E05098" w:rsidRDefault="002A259F" w:rsidP="002A259F">
      <w:pPr>
        <w:spacing w:after="120" w:line="276" w:lineRule="auto"/>
        <w:ind w:firstLine="720"/>
        <w:jc w:val="both"/>
        <w:rPr>
          <w:rFonts w:ascii="Verdana" w:eastAsia="Verdana" w:hAnsi="Verdana" w:cs="Verdana"/>
          <w:lang w:val="es" w:eastAsia="es-CO"/>
        </w:rPr>
      </w:pPr>
      <w:r w:rsidRPr="0000635D">
        <w:rPr>
          <w:rFonts w:ascii="Verdana" w:eastAsia="Verdana" w:hAnsi="Verdana" w:cs="Verdana"/>
          <w:lang w:val="es" w:eastAsia="es-CO"/>
        </w:rPr>
        <w:t>Frente al medio de control para enjuiciar la legalidad del pliego de condiciones, esta sentencia reitera que también es procedente el medio de control de simple nulidad, lo que lo diferencia de los actos administrativos de adjudicación o de declaración de desierta, frente a los cuales la Sección Tercera ha establecido que solo procede el medio de control de nulidad y restablecimiento del derecho</w:t>
      </w:r>
      <w:r w:rsidRPr="0000635D">
        <w:rPr>
          <w:rFonts w:ascii="Verdana" w:eastAsia="Verdana" w:hAnsi="Verdana" w:cs="Verdana"/>
          <w:vertAlign w:val="superscript"/>
          <w:lang w:val="es" w:eastAsia="es-CO"/>
        </w:rPr>
        <w:footnoteReference w:id="5"/>
      </w:r>
      <w:r w:rsidRPr="0000635D">
        <w:rPr>
          <w:rFonts w:ascii="Verdana" w:eastAsia="Verdana" w:hAnsi="Verdana" w:cs="Verdana"/>
          <w:lang w:val="es" w:eastAsia="es-CO"/>
        </w:rPr>
        <w:t>. Particularmente, en auto del 3 de septiembre de 2025</w:t>
      </w:r>
      <w:r w:rsidRPr="0000635D">
        <w:rPr>
          <w:rFonts w:ascii="Verdana" w:eastAsia="Verdana" w:hAnsi="Verdana" w:cs="Verdana"/>
          <w:vertAlign w:val="superscript"/>
          <w:lang w:val="es" w:eastAsia="es-CO"/>
        </w:rPr>
        <w:footnoteReference w:id="6"/>
      </w:r>
      <w:r w:rsidRPr="0000635D">
        <w:rPr>
          <w:rFonts w:ascii="Verdana" w:eastAsia="Verdana" w:hAnsi="Verdana" w:cs="Verdana"/>
          <w:lang w:val="es" w:eastAsia="es-CO"/>
        </w:rPr>
        <w:t xml:space="preserve">, la subsección B de la Sección Tercera, aclaró que el criterio jurisprudencial mayoritario de la Corporación “ha establecido que los pliegos de condiciones son pasibles de control jurisdiccional a través del medio de control </w:t>
      </w:r>
      <w:r w:rsidRPr="0000635D">
        <w:rPr>
          <w:rFonts w:ascii="Verdana" w:eastAsia="Verdana" w:hAnsi="Verdana" w:cs="Verdana"/>
          <w:lang w:val="es" w:eastAsia="es-CO"/>
        </w:rPr>
        <w:lastRenderedPageBreak/>
        <w:t>de nulidad simple”</w:t>
      </w:r>
      <w:r w:rsidRPr="0000635D">
        <w:rPr>
          <w:rFonts w:ascii="Verdana" w:eastAsia="Verdana" w:hAnsi="Verdana" w:cs="Verdana"/>
          <w:vertAlign w:val="superscript"/>
          <w:lang w:val="es" w:eastAsia="es-CO"/>
        </w:rPr>
        <w:footnoteReference w:id="7"/>
      </w:r>
      <w:r w:rsidRPr="0000635D">
        <w:rPr>
          <w:rFonts w:ascii="Verdana" w:eastAsia="Verdana" w:hAnsi="Verdana" w:cs="Verdana"/>
          <w:lang w:val="es" w:eastAsia="es-CO"/>
        </w:rPr>
        <w:t xml:space="preserve">. En esa misma línea, ha recalcado que los pliegos de condiciones no constituyen simples decisiones de impulso de la actividad precontractual, habida cuenta de que contienen determinaciones sustanciales y de alcance general en relación con el procedimiento de selección. Si bien no ponen fin al procedimiento precontractual, </w:t>
      </w:r>
      <w:r>
        <w:rPr>
          <w:rFonts w:ascii="Verdana" w:eastAsia="Verdana" w:hAnsi="Verdana" w:cs="Verdana"/>
          <w:lang w:val="es" w:eastAsia="es-CO"/>
        </w:rPr>
        <w:t>se considera que</w:t>
      </w:r>
      <w:r w:rsidRPr="0000635D">
        <w:rPr>
          <w:rFonts w:ascii="Verdana" w:eastAsia="Verdana" w:hAnsi="Verdana" w:cs="Verdana"/>
          <w:lang w:val="es" w:eastAsia="es-CO"/>
        </w:rPr>
        <w:t xml:space="preserve"> hacen parte de la etapa precontractual, revist</w:t>
      </w:r>
      <w:r>
        <w:rPr>
          <w:rFonts w:ascii="Verdana" w:eastAsia="Verdana" w:hAnsi="Verdana" w:cs="Verdana"/>
          <w:lang w:val="es" w:eastAsia="es-CO"/>
        </w:rPr>
        <w:t>iendo</w:t>
      </w:r>
      <w:r w:rsidRPr="0000635D">
        <w:rPr>
          <w:rFonts w:ascii="Verdana" w:eastAsia="Verdana" w:hAnsi="Verdana" w:cs="Verdana"/>
          <w:lang w:val="es" w:eastAsia="es-CO"/>
        </w:rPr>
        <w:t xml:space="preserve"> efectos definitivos al fijar las reglas de participación y las condiciones del futuro contrato</w:t>
      </w:r>
      <w:r w:rsidRPr="0000635D">
        <w:rPr>
          <w:rFonts w:ascii="Verdana" w:eastAsia="Verdana" w:hAnsi="Verdana" w:cs="Verdana"/>
          <w:vertAlign w:val="superscript"/>
          <w:lang w:val="es" w:eastAsia="es-CO"/>
        </w:rPr>
        <w:footnoteReference w:id="8"/>
      </w:r>
      <w:r w:rsidRPr="0000635D">
        <w:rPr>
          <w:rFonts w:ascii="Verdana" w:eastAsia="Verdana" w:hAnsi="Verdana" w:cs="Verdana"/>
          <w:lang w:val="es" w:eastAsia="es-CO"/>
        </w:rPr>
        <w:t>.</w:t>
      </w:r>
      <w:r>
        <w:rPr>
          <w:rFonts w:ascii="Verdana" w:eastAsia="Verdana" w:hAnsi="Verdana" w:cs="Verdana"/>
          <w:lang w:val="es" w:eastAsia="es-CO"/>
        </w:rPr>
        <w:t xml:space="preserve"> En este escenario, s</w:t>
      </w:r>
      <w:r w:rsidRPr="00382A21">
        <w:rPr>
          <w:rFonts w:ascii="Verdana" w:eastAsia="Calibri" w:hAnsi="Verdana" w:cs="Arial"/>
          <w:color w:val="000000" w:themeColor="text1"/>
        </w:rPr>
        <w:t xml:space="preserve">i aún no se ha adjudicado el contrato, la acción procedente sería la demanda de nulidad </w:t>
      </w:r>
      <w:r>
        <w:rPr>
          <w:rFonts w:ascii="Verdana" w:eastAsia="Calibri" w:hAnsi="Verdana" w:cs="Arial"/>
          <w:color w:val="000000" w:themeColor="text1"/>
        </w:rPr>
        <w:t xml:space="preserve">simple </w:t>
      </w:r>
      <w:r w:rsidRPr="00382A21">
        <w:rPr>
          <w:rFonts w:ascii="Verdana" w:eastAsia="Calibri" w:hAnsi="Verdana" w:cs="Arial"/>
          <w:color w:val="000000" w:themeColor="text1"/>
        </w:rPr>
        <w:t>contra el pliego, por desconocimiento de la Ley 20</w:t>
      </w:r>
      <w:r>
        <w:rPr>
          <w:rFonts w:ascii="Verdana" w:eastAsia="Calibri" w:hAnsi="Verdana" w:cs="Arial"/>
          <w:color w:val="000000" w:themeColor="text1"/>
        </w:rPr>
        <w:t>4</w:t>
      </w:r>
      <w:r w:rsidRPr="00382A21">
        <w:rPr>
          <w:rFonts w:ascii="Verdana" w:eastAsia="Calibri" w:hAnsi="Verdana" w:cs="Arial"/>
          <w:color w:val="000000" w:themeColor="text1"/>
        </w:rPr>
        <w:t>6 de 2020</w:t>
      </w:r>
      <w:r>
        <w:rPr>
          <w:rFonts w:ascii="Verdana" w:eastAsia="Calibri" w:hAnsi="Verdana" w:cs="Arial"/>
          <w:color w:val="000000" w:themeColor="text1"/>
        </w:rPr>
        <w:t xml:space="preserve"> y el Decreto 248 de 2021 que adiciona el Decreto 1071 de 2015. </w:t>
      </w:r>
    </w:p>
    <w:p w14:paraId="280A6F4D" w14:textId="77777777" w:rsidR="002A259F" w:rsidRPr="00382A21" w:rsidRDefault="002A259F" w:rsidP="002A259F">
      <w:pPr>
        <w:spacing w:after="120" w:line="276" w:lineRule="auto"/>
        <w:ind w:firstLine="709"/>
        <w:jc w:val="both"/>
        <w:rPr>
          <w:rFonts w:ascii="Verdana" w:eastAsia="Calibri" w:hAnsi="Verdana" w:cs="Arial"/>
          <w:color w:val="000000" w:themeColor="text1"/>
        </w:rPr>
      </w:pPr>
      <w:r w:rsidRPr="00382A21">
        <w:rPr>
          <w:rFonts w:ascii="Verdana" w:eastAsia="Calibri" w:hAnsi="Verdana" w:cs="Arial"/>
          <w:color w:val="000000" w:themeColor="text1"/>
        </w:rPr>
        <w:t xml:space="preserve">Si el proceso ya ha culminado con </w:t>
      </w:r>
      <w:r>
        <w:rPr>
          <w:rFonts w:ascii="Verdana" w:eastAsia="Calibri" w:hAnsi="Verdana" w:cs="Arial"/>
          <w:color w:val="000000" w:themeColor="text1"/>
        </w:rPr>
        <w:t xml:space="preserve">el respectivo acto de </w:t>
      </w:r>
      <w:r w:rsidRPr="00382A21">
        <w:rPr>
          <w:rFonts w:ascii="Verdana" w:eastAsia="Calibri" w:hAnsi="Verdana" w:cs="Arial"/>
          <w:color w:val="000000" w:themeColor="text1"/>
        </w:rPr>
        <w:t xml:space="preserve">adjudicación, la omisión </w:t>
      </w:r>
      <w:r>
        <w:rPr>
          <w:rFonts w:ascii="Verdana" w:eastAsia="Calibri" w:hAnsi="Verdana" w:cs="Arial"/>
          <w:color w:val="000000" w:themeColor="text1"/>
        </w:rPr>
        <w:t xml:space="preserve">de la proporcionalidad en la asignación de puntajes </w:t>
      </w:r>
      <w:r w:rsidRPr="00382A21">
        <w:rPr>
          <w:rFonts w:ascii="Verdana" w:eastAsia="Calibri" w:hAnsi="Verdana" w:cs="Arial"/>
          <w:color w:val="000000" w:themeColor="text1"/>
        </w:rPr>
        <w:t xml:space="preserve">puede configurar una causal de nulidad del acto de adjudicación, al tratarse de un acto administrativo que decide la selección del contratista con base en criterios </w:t>
      </w:r>
      <w:r>
        <w:rPr>
          <w:rFonts w:ascii="Verdana" w:eastAsia="Calibri" w:hAnsi="Verdana" w:cs="Arial"/>
          <w:color w:val="000000" w:themeColor="text1"/>
        </w:rPr>
        <w:t xml:space="preserve">que son </w:t>
      </w:r>
      <w:r w:rsidRPr="00382A21">
        <w:rPr>
          <w:rFonts w:ascii="Verdana" w:eastAsia="Calibri" w:hAnsi="Verdana" w:cs="Arial"/>
          <w:color w:val="000000" w:themeColor="text1"/>
        </w:rPr>
        <w:t>contrarios al ordenamiento jurídico. En este caso,</w:t>
      </w:r>
      <w:r>
        <w:rPr>
          <w:rFonts w:ascii="Verdana" w:eastAsia="Calibri" w:hAnsi="Verdana" w:cs="Arial"/>
          <w:color w:val="000000" w:themeColor="text1"/>
        </w:rPr>
        <w:t xml:space="preserve"> aplica en principio la nulidad y </w:t>
      </w:r>
      <w:r w:rsidRPr="001372AE">
        <w:rPr>
          <w:rFonts w:ascii="Verdana" w:eastAsia="Calibri" w:hAnsi="Verdana" w:cs="Arial"/>
          <w:color w:val="000000" w:themeColor="text1"/>
        </w:rPr>
        <w:t>restablecimiento del derecho contemplada en el artículo 138 de la Ley 1437 de 2011</w:t>
      </w:r>
      <w:r>
        <w:rPr>
          <w:rStyle w:val="Refdenotaalpie"/>
          <w:rFonts w:ascii="Verdana" w:eastAsia="Calibri" w:hAnsi="Verdana" w:cs="Arial"/>
          <w:color w:val="000000" w:themeColor="text1"/>
        </w:rPr>
        <w:footnoteReference w:id="9"/>
      </w:r>
      <w:r w:rsidRPr="001372AE">
        <w:rPr>
          <w:rFonts w:ascii="Verdana" w:eastAsia="Calibri" w:hAnsi="Verdana" w:cs="Arial"/>
          <w:color w:val="000000" w:themeColor="text1"/>
        </w:rPr>
        <w:t xml:space="preserve"> permitiría cuestionar la legalidad del acto de adjudicación, alegando la violación de normas superiores que regulan la contratación estatal y la afectación del principio de selección objetiva.</w:t>
      </w:r>
    </w:p>
    <w:p w14:paraId="335CAECC" w14:textId="77777777" w:rsidR="002A259F" w:rsidRDefault="002A259F" w:rsidP="002A259F">
      <w:pPr>
        <w:spacing w:after="0" w:line="276" w:lineRule="auto"/>
        <w:ind w:firstLine="709"/>
        <w:jc w:val="both"/>
        <w:rPr>
          <w:rFonts w:ascii="Verdana" w:eastAsia="Calibri" w:hAnsi="Verdana" w:cs="Arial"/>
          <w:color w:val="000000" w:themeColor="text1"/>
        </w:rPr>
      </w:pPr>
      <w:r w:rsidRPr="00382A21">
        <w:rPr>
          <w:rFonts w:ascii="Verdana" w:eastAsia="Calibri" w:hAnsi="Verdana" w:cs="Arial"/>
          <w:color w:val="000000" w:themeColor="text1"/>
        </w:rPr>
        <w:t>Finalmente, si el contrato ya</w:t>
      </w:r>
      <w:r>
        <w:rPr>
          <w:rFonts w:ascii="Verdana" w:eastAsia="Calibri" w:hAnsi="Verdana" w:cs="Arial"/>
          <w:color w:val="000000" w:themeColor="text1"/>
        </w:rPr>
        <w:t xml:space="preserve"> se encuentra perfeccionado</w:t>
      </w:r>
      <w:r w:rsidRPr="00382A21">
        <w:rPr>
          <w:rFonts w:ascii="Verdana" w:eastAsia="Calibri" w:hAnsi="Verdana" w:cs="Arial"/>
          <w:color w:val="000000" w:themeColor="text1"/>
        </w:rPr>
        <w:t xml:space="preserve">, la irregularidad en la metodología de evaluación puede dar lugar a la nulidad absoluta del contrato, en aplicación de lo previsto en </w:t>
      </w:r>
      <w:r>
        <w:rPr>
          <w:rFonts w:ascii="Verdana" w:eastAsia="Calibri" w:hAnsi="Verdana" w:cs="Arial"/>
          <w:color w:val="000000" w:themeColor="text1"/>
        </w:rPr>
        <w:t>una de las casuales previstas en</w:t>
      </w:r>
      <w:r w:rsidRPr="00382A21">
        <w:rPr>
          <w:rFonts w:ascii="Verdana" w:eastAsia="Calibri" w:hAnsi="Verdana" w:cs="Arial"/>
          <w:color w:val="000000" w:themeColor="text1"/>
        </w:rPr>
        <w:t xml:space="preserve"> artículo </w:t>
      </w:r>
      <w:r w:rsidRPr="00382A21">
        <w:rPr>
          <w:rFonts w:ascii="Verdana" w:eastAsia="Calibri" w:hAnsi="Verdana" w:cs="Arial"/>
          <w:color w:val="000000" w:themeColor="text1"/>
        </w:rPr>
        <w:lastRenderedPageBreak/>
        <w:t>44 de la Ley 80 de 1993</w:t>
      </w:r>
      <w:r>
        <w:rPr>
          <w:rStyle w:val="Refdenotaalpie"/>
          <w:rFonts w:ascii="Verdana" w:eastAsia="Calibri" w:hAnsi="Verdana" w:cs="Arial"/>
          <w:color w:val="000000" w:themeColor="text1"/>
        </w:rPr>
        <w:footnoteReference w:id="10"/>
      </w:r>
      <w:r>
        <w:rPr>
          <w:rFonts w:ascii="Verdana" w:eastAsia="Calibri" w:hAnsi="Verdana" w:cs="Arial"/>
          <w:color w:val="000000" w:themeColor="text1"/>
        </w:rPr>
        <w:t>, y en las demás causales dispuestas en normas civiles y comerciales</w:t>
      </w:r>
      <w:r w:rsidRPr="00382A21">
        <w:rPr>
          <w:rFonts w:ascii="Verdana" w:eastAsia="Calibri" w:hAnsi="Verdana" w:cs="Arial"/>
          <w:color w:val="000000" w:themeColor="text1"/>
        </w:rPr>
        <w:t>.</w:t>
      </w:r>
      <w:r>
        <w:rPr>
          <w:rFonts w:ascii="Verdana" w:eastAsia="Calibri" w:hAnsi="Verdana" w:cs="Arial"/>
          <w:color w:val="000000" w:themeColor="text1"/>
        </w:rPr>
        <w:t xml:space="preserve"> </w:t>
      </w:r>
      <w:r w:rsidRPr="00382A21">
        <w:rPr>
          <w:rFonts w:ascii="Verdana" w:eastAsia="Calibri" w:hAnsi="Verdana" w:cs="Arial"/>
          <w:color w:val="000000" w:themeColor="text1"/>
        </w:rPr>
        <w:t xml:space="preserve">En este escenario, </w:t>
      </w:r>
      <w:r>
        <w:rPr>
          <w:rFonts w:ascii="Verdana" w:eastAsia="Calibri" w:hAnsi="Verdana" w:cs="Arial"/>
          <w:color w:val="000000" w:themeColor="text1"/>
        </w:rPr>
        <w:t>debe acudirse al medio de control de controversias contractuales</w:t>
      </w:r>
      <w:r>
        <w:rPr>
          <w:rStyle w:val="Refdenotaalpie"/>
          <w:rFonts w:ascii="Verdana" w:eastAsia="Calibri" w:hAnsi="Verdana" w:cs="Arial"/>
          <w:color w:val="000000" w:themeColor="text1"/>
        </w:rPr>
        <w:footnoteReference w:id="11"/>
      </w:r>
      <w:r>
        <w:rPr>
          <w:rFonts w:ascii="Verdana" w:eastAsia="Calibri" w:hAnsi="Verdana" w:cs="Arial"/>
          <w:color w:val="000000" w:themeColor="text1"/>
        </w:rPr>
        <w:t xml:space="preserve">, siendo el </w:t>
      </w:r>
      <w:r w:rsidRPr="00382A21">
        <w:rPr>
          <w:rFonts w:ascii="Verdana" w:eastAsia="Calibri" w:hAnsi="Verdana" w:cs="Arial"/>
          <w:color w:val="000000" w:themeColor="text1"/>
        </w:rPr>
        <w:t>mecanismo idóneo para restablecer la legalidad, pues la omisión de</w:t>
      </w:r>
      <w:r>
        <w:rPr>
          <w:rFonts w:ascii="Verdana" w:eastAsia="Calibri" w:hAnsi="Verdana" w:cs="Arial"/>
          <w:color w:val="000000" w:themeColor="text1"/>
        </w:rPr>
        <w:t xml:space="preserve"> la proporcionalidad en la asignación de puntajes </w:t>
      </w:r>
      <w:r w:rsidRPr="00382A21">
        <w:rPr>
          <w:rFonts w:ascii="Verdana" w:eastAsia="Calibri" w:hAnsi="Verdana" w:cs="Arial"/>
          <w:color w:val="000000" w:themeColor="text1"/>
        </w:rPr>
        <w:t xml:space="preserve">no solo afecta la validez del procedimiento de selección, sino que también compromete la </w:t>
      </w:r>
      <w:r>
        <w:rPr>
          <w:rFonts w:ascii="Verdana" w:eastAsia="Calibri" w:hAnsi="Verdana" w:cs="Arial"/>
          <w:color w:val="000000" w:themeColor="text1"/>
        </w:rPr>
        <w:t xml:space="preserve">validez </w:t>
      </w:r>
      <w:r w:rsidRPr="00382A21">
        <w:rPr>
          <w:rFonts w:ascii="Verdana" w:eastAsia="Calibri" w:hAnsi="Verdana" w:cs="Arial"/>
          <w:color w:val="000000" w:themeColor="text1"/>
        </w:rPr>
        <w:t xml:space="preserve">del contrato mismo, al haberse celebrado con desconocimiento de </w:t>
      </w:r>
      <w:r>
        <w:rPr>
          <w:rFonts w:ascii="Verdana" w:eastAsia="Calibri" w:hAnsi="Verdana" w:cs="Arial"/>
          <w:color w:val="000000" w:themeColor="text1"/>
        </w:rPr>
        <w:t xml:space="preserve">la regla obligatoria contemplada en el artículo 7 de la Ley 2046 de 2020 y en el Decreto 248 de 2021 que adiciona el Decreto 1071 de 2015. </w:t>
      </w:r>
    </w:p>
    <w:p w14:paraId="05AA8913" w14:textId="77777777" w:rsidR="002A259F" w:rsidRPr="00D9638B" w:rsidRDefault="002A259F" w:rsidP="002A259F">
      <w:pPr>
        <w:spacing w:after="0" w:line="276" w:lineRule="auto"/>
        <w:ind w:firstLine="709"/>
        <w:jc w:val="both"/>
        <w:rPr>
          <w:rFonts w:ascii="Verdana" w:eastAsia="Calibri" w:hAnsi="Verdana" w:cs="Arial"/>
          <w:color w:val="000000" w:themeColor="text1"/>
        </w:rPr>
      </w:pPr>
    </w:p>
    <w:p w14:paraId="7A5963E2" w14:textId="77777777" w:rsidR="002A259F" w:rsidRPr="008C3D38" w:rsidRDefault="002A259F" w:rsidP="002A259F">
      <w:pPr>
        <w:spacing w:after="120" w:line="276" w:lineRule="auto"/>
        <w:jc w:val="both"/>
        <w:rPr>
          <w:rFonts w:ascii="Verdana" w:eastAsia="Calibri" w:hAnsi="Verdana" w:cs="Arial"/>
          <w:color w:val="000000" w:themeColor="text1"/>
          <w:lang w:val="es-ES"/>
        </w:rPr>
      </w:pPr>
      <w:proofErr w:type="spellStart"/>
      <w:r>
        <w:rPr>
          <w:rFonts w:ascii="Verdana" w:eastAsia="Calibri" w:hAnsi="Verdana" w:cs="Arial"/>
          <w:color w:val="000000" w:themeColor="text1"/>
        </w:rPr>
        <w:t>iv</w:t>
      </w:r>
      <w:proofErr w:type="spellEnd"/>
      <w:r>
        <w:rPr>
          <w:rFonts w:ascii="Verdana" w:eastAsia="Calibri" w:hAnsi="Verdana" w:cs="Arial"/>
          <w:color w:val="000000" w:themeColor="text1"/>
        </w:rPr>
        <w:t xml:space="preserve">. </w:t>
      </w:r>
      <w:r w:rsidRPr="008C3D38">
        <w:rPr>
          <w:rFonts w:ascii="Verdana" w:eastAsia="Calibri" w:hAnsi="Verdana" w:cs="Arial"/>
          <w:color w:val="000000" w:themeColor="text1"/>
          <w:lang w:val="es-ES"/>
        </w:rPr>
        <w:t xml:space="preserve">Al </w:t>
      </w:r>
      <w:r w:rsidRPr="008C3D38">
        <w:rPr>
          <w:rFonts w:ascii="Verdana" w:hAnsi="Verdana" w:cs="Arial"/>
          <w:lang w:val="es-ES_tradnl" w:eastAsia="es-ES"/>
        </w:rPr>
        <w:t>margen de la explicación precedente debe advertirse que el análisis requerido para resolver problemas específicos 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259C7F7" w14:textId="77777777" w:rsidR="002A259F" w:rsidRPr="008C3D38" w:rsidRDefault="002A259F" w:rsidP="002A259F">
      <w:pPr>
        <w:spacing w:after="0" w:line="276" w:lineRule="auto"/>
        <w:ind w:firstLine="709"/>
        <w:jc w:val="both"/>
        <w:rPr>
          <w:rFonts w:ascii="Verdana" w:hAnsi="Verdana" w:cs="Arial"/>
          <w:lang w:val="es-ES" w:eastAsia="es-ES"/>
        </w:rPr>
      </w:pPr>
      <w:r w:rsidRPr="008C3D38">
        <w:rPr>
          <w:rFonts w:ascii="Verdana" w:hAnsi="Verdana" w:cs="Arial"/>
          <w:lang w:val="es-ES" w:eastAsia="es-ES"/>
        </w:rPr>
        <w:t xml:space="preserve">Dentro de este marco, la entidad pública definirá en cada caso concreto lo relacionado con el tema objeto de consulta. Al tratarse de un análisis que debe </w:t>
      </w:r>
      <w:r w:rsidRPr="008C3D38">
        <w:rPr>
          <w:rFonts w:ascii="Verdana" w:hAnsi="Verdana" w:cs="Arial"/>
          <w:lang w:val="es-ES" w:eastAsia="es-ES"/>
        </w:rPr>
        <w:lastRenderedPageBreak/>
        <w:t>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9593A1A" w14:textId="77777777" w:rsidR="002A259F" w:rsidRPr="008C3D38" w:rsidRDefault="002A259F" w:rsidP="002A259F">
      <w:pPr>
        <w:spacing w:after="0" w:line="240" w:lineRule="auto"/>
        <w:jc w:val="both"/>
        <w:rPr>
          <w:rFonts w:ascii="Verdana" w:eastAsia="Calibri" w:hAnsi="Verdana" w:cs="Arial"/>
          <w:lang w:eastAsia="es-MX"/>
        </w:rPr>
      </w:pPr>
    </w:p>
    <w:p w14:paraId="4F16DC73" w14:textId="77777777" w:rsidR="002A259F" w:rsidRPr="008C3D38" w:rsidRDefault="002A259F" w:rsidP="002A259F">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8C3D38">
        <w:rPr>
          <w:rFonts w:ascii="Verdana" w:eastAsia="Century Gothic" w:hAnsi="Verdana" w:cs="Century Gothic"/>
          <w:b/>
          <w:bCs/>
          <w:lang w:val="es-ES"/>
        </w:rPr>
        <w:t>Referencias normativas:</w:t>
      </w:r>
    </w:p>
    <w:p w14:paraId="3B13FBEC" w14:textId="77777777" w:rsidR="002A259F" w:rsidRPr="008C3D38" w:rsidRDefault="002A259F" w:rsidP="002A259F">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A259F" w:rsidRPr="008C3D38" w14:paraId="6D59C006" w14:textId="77777777" w:rsidTr="009C426C">
        <w:trPr>
          <w:trHeight w:val="487"/>
          <w:jc w:val="center"/>
        </w:trPr>
        <w:tc>
          <w:tcPr>
            <w:tcW w:w="8647" w:type="dxa"/>
          </w:tcPr>
          <w:p w14:paraId="08B465E7" w14:textId="77777777" w:rsidR="002A259F" w:rsidRDefault="002A259F" w:rsidP="009C426C">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8C3D38">
              <w:rPr>
                <w:rFonts w:ascii="Verdana" w:eastAsia="Arial MT" w:hAnsi="Verdana" w:cs="Arial"/>
                <w:lang w:val="es-ES" w:eastAsia="es-ES" w:bidi="es-ES"/>
              </w:rPr>
              <w:t>Consti</w:t>
            </w:r>
            <w:r>
              <w:rPr>
                <w:rFonts w:ascii="Verdana" w:eastAsia="Arial MT" w:hAnsi="Verdana" w:cs="Arial"/>
                <w:lang w:val="es-ES" w:eastAsia="es-ES" w:bidi="es-ES"/>
              </w:rPr>
              <w:t>tución Política, artículos 64 y 65.</w:t>
            </w:r>
          </w:p>
          <w:p w14:paraId="0BB6083E" w14:textId="77777777" w:rsidR="002A259F" w:rsidRPr="008C3D38" w:rsidRDefault="002A259F" w:rsidP="009C426C">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Pr>
                <w:rFonts w:ascii="Verdana" w:eastAsia="Arial MT" w:hAnsi="Verdana" w:cs="Arial"/>
                <w:lang w:val="es-ES" w:eastAsia="es-ES" w:bidi="es-ES"/>
              </w:rPr>
              <w:t xml:space="preserve">Ley 1437 de 2011, artículo 137, 138 y 141. </w:t>
            </w:r>
          </w:p>
          <w:p w14:paraId="6166E446" w14:textId="77777777" w:rsidR="002A259F" w:rsidRPr="008C3D38" w:rsidRDefault="002A259F" w:rsidP="009C426C">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8C3D38">
              <w:rPr>
                <w:rFonts w:ascii="Verdana" w:eastAsia="Arial MT" w:hAnsi="Verdana" w:cs="Arial"/>
                <w:lang w:val="es-ES" w:eastAsia="es-ES" w:bidi="es-ES"/>
              </w:rPr>
              <w:t xml:space="preserve">Ley 1955 de 2019: Artículo 229 </w:t>
            </w:r>
          </w:p>
          <w:p w14:paraId="435042A5" w14:textId="77777777" w:rsidR="002A259F" w:rsidRPr="008C3D38" w:rsidRDefault="002A259F" w:rsidP="009C426C">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8C3D38">
              <w:rPr>
                <w:rFonts w:ascii="Verdana" w:eastAsia="Arial MT" w:hAnsi="Verdana" w:cs="Arial"/>
                <w:lang w:val="es-ES" w:eastAsia="es-ES" w:bidi="es-ES"/>
              </w:rPr>
              <w:t>Ley 2046 de 2020: Artículo</w:t>
            </w:r>
            <w:r>
              <w:rPr>
                <w:rFonts w:ascii="Verdana" w:eastAsia="Arial MT" w:hAnsi="Verdana" w:cs="Arial"/>
                <w:lang w:val="es-ES" w:eastAsia="es-ES" w:bidi="es-ES"/>
              </w:rPr>
              <w:t>s 1 2,3, 4, 5,</w:t>
            </w:r>
            <w:r w:rsidRPr="008C3D38">
              <w:rPr>
                <w:rFonts w:ascii="Verdana" w:eastAsia="Arial MT" w:hAnsi="Verdana" w:cs="Arial"/>
                <w:lang w:val="es-ES" w:eastAsia="es-ES" w:bidi="es-ES"/>
              </w:rPr>
              <w:t xml:space="preserve"> 7, 8, 9, 10, 11,12 y 13 </w:t>
            </w:r>
          </w:p>
          <w:p w14:paraId="79199F63" w14:textId="77777777" w:rsidR="002A259F" w:rsidRPr="008C3D38" w:rsidRDefault="002A259F" w:rsidP="009C426C">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Pr>
                <w:rFonts w:ascii="Verdana" w:eastAsia="Arial MT" w:hAnsi="Verdana" w:cs="Arial"/>
                <w:lang w:val="es-ES" w:eastAsia="es-ES" w:bidi="es-ES"/>
              </w:rPr>
              <w:t xml:space="preserve">Decreto 248 de 2021. </w:t>
            </w:r>
          </w:p>
          <w:p w14:paraId="670484EF" w14:textId="77777777" w:rsidR="002A259F" w:rsidRPr="00972B8C" w:rsidRDefault="002A259F" w:rsidP="009C426C">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Pr>
                <w:rFonts w:ascii="Verdana" w:eastAsia="Arial MT" w:hAnsi="Verdana" w:cs="Arial"/>
                <w:lang w:eastAsia="es-ES" w:bidi="es-ES"/>
              </w:rPr>
              <w:t xml:space="preserve">Decreto 1071 de 2015, artículos </w:t>
            </w:r>
            <w:r w:rsidRPr="005B51CC">
              <w:rPr>
                <w:rFonts w:ascii="Verdana" w:eastAsia="Arial MT" w:hAnsi="Verdana" w:cs="Arial"/>
                <w:lang w:eastAsia="es-ES" w:bidi="es-ES"/>
              </w:rPr>
              <w:t>2.20.1.2.1, 2.20.1.2.2 y 2.20.1.2.3</w:t>
            </w:r>
          </w:p>
          <w:p w14:paraId="336CBB49" w14:textId="77777777" w:rsidR="002A259F" w:rsidRPr="008C3D38" w:rsidRDefault="002A259F" w:rsidP="009C426C">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Pr>
                <w:rFonts w:ascii="Verdana" w:eastAsia="Arial MT" w:hAnsi="Verdana" w:cs="Arial"/>
                <w:lang w:eastAsia="es-ES" w:bidi="es-ES"/>
              </w:rPr>
              <w:t xml:space="preserve">Decreto 1082 de 2015, artículo </w:t>
            </w:r>
            <w:r w:rsidRPr="00972B8C">
              <w:rPr>
                <w:rFonts w:ascii="Verdana" w:eastAsia="Arial MT" w:hAnsi="Verdana" w:cs="Arial"/>
                <w:lang w:val="es-ES_tradnl" w:eastAsia="es-ES" w:bidi="es-ES"/>
              </w:rPr>
              <w:t xml:space="preserve">2.2.1.2.1.5.2. </w:t>
            </w:r>
          </w:p>
        </w:tc>
      </w:tr>
    </w:tbl>
    <w:p w14:paraId="2728A496" w14:textId="77777777" w:rsidR="002A259F" w:rsidRPr="008C3D38" w:rsidRDefault="002A259F" w:rsidP="002A259F">
      <w:pPr>
        <w:widowControl w:val="0"/>
        <w:autoSpaceDE w:val="0"/>
        <w:autoSpaceDN w:val="0"/>
        <w:spacing w:after="0" w:line="240" w:lineRule="auto"/>
        <w:jc w:val="both"/>
        <w:rPr>
          <w:rFonts w:ascii="Verdana" w:hAnsi="Verdana" w:cs="Arial"/>
        </w:rPr>
      </w:pPr>
    </w:p>
    <w:p w14:paraId="5D3ED273" w14:textId="77777777" w:rsidR="002A259F" w:rsidRPr="008C3D38" w:rsidRDefault="002A259F" w:rsidP="002A259F">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8C3D38">
        <w:rPr>
          <w:rFonts w:ascii="Verdana" w:eastAsia="Century Gothic" w:hAnsi="Verdana" w:cs="Century Gothic"/>
          <w:b/>
          <w:bCs/>
          <w:lang w:val="es-ES"/>
        </w:rPr>
        <w:t>Doctrina de la Agencia Nacional de Contratación Pública:</w:t>
      </w:r>
    </w:p>
    <w:p w14:paraId="4E1C7C50" w14:textId="77777777" w:rsidR="002A259F" w:rsidRPr="008C3D38" w:rsidRDefault="002A259F" w:rsidP="002A259F">
      <w:pPr>
        <w:widowControl w:val="0"/>
        <w:autoSpaceDE w:val="0"/>
        <w:autoSpaceDN w:val="0"/>
        <w:spacing w:after="0" w:line="276" w:lineRule="auto"/>
        <w:jc w:val="both"/>
        <w:rPr>
          <w:rFonts w:ascii="Verdana" w:hAnsi="Verdana" w:cs="Arial"/>
        </w:rPr>
      </w:pPr>
    </w:p>
    <w:p w14:paraId="35D9F08A" w14:textId="77777777" w:rsidR="002A259F" w:rsidRPr="008C3D38" w:rsidRDefault="002A259F" w:rsidP="002A259F">
      <w:pPr>
        <w:spacing w:after="0" w:line="276" w:lineRule="auto"/>
        <w:jc w:val="both"/>
        <w:rPr>
          <w:rFonts w:ascii="Verdana" w:eastAsia="Calibri" w:hAnsi="Verdana" w:cs="Arial"/>
          <w:lang w:val="es-ES"/>
        </w:rPr>
      </w:pPr>
      <w:r w:rsidRPr="008C3D38">
        <w:rPr>
          <w:rFonts w:ascii="Verdana" w:hAnsi="Verdana" w:cs="Arial"/>
          <w:shd w:val="clear" w:color="auto" w:fill="FFFFFF"/>
          <w:lang w:val="es-ES"/>
        </w:rPr>
        <w:t>La Agencia Nacional de Contratación Pública – Colombia Compra Eficiente</w:t>
      </w:r>
      <w:r w:rsidRPr="008C3D38">
        <w:rPr>
          <w:rFonts w:ascii="Verdana" w:eastAsia="Aptos" w:hAnsi="Verdana" w:cs="Arial"/>
          <w:shd w:val="clear" w:color="auto" w:fill="FFFFFF"/>
          <w:lang w:val="es-ES"/>
        </w:rPr>
        <w:t xml:space="preserve"> se pronunció esta Subdirección en los conceptos</w:t>
      </w:r>
      <w:r w:rsidRPr="008C3D38">
        <w:rPr>
          <w:rFonts w:ascii="Verdana" w:hAnsi="Verdana" w:cs="Arial"/>
          <w:shd w:val="clear" w:color="auto" w:fill="FFFFFF"/>
          <w:lang w:val="es-ES"/>
        </w:rPr>
        <w:t xml:space="preserve"> la promoción de las compras públicas de alimentos y los incentivos contractuales en los conceptos C-301 de 19 de junio de 2022 y C-810 del 25 de noviembre de 2022, C-410 del 6 de octubre de 2023, C-077 del 26 de abril de 2024, C-1657 del 19 de diciembre de 2025, C-1664 del 20 de diciembre de 2026,</w:t>
      </w:r>
      <w:r>
        <w:rPr>
          <w:rFonts w:ascii="Verdana" w:hAnsi="Verdana" w:cs="Arial"/>
          <w:shd w:val="clear" w:color="auto" w:fill="FFFFFF"/>
          <w:lang w:val="es-ES"/>
        </w:rPr>
        <w:t xml:space="preserve"> C-237 del 27 de marzo de 2026,</w:t>
      </w:r>
      <w:r w:rsidRPr="008C3D38">
        <w:rPr>
          <w:rFonts w:ascii="Verdana" w:hAnsi="Verdana" w:cs="Arial"/>
          <w:shd w:val="clear" w:color="auto" w:fill="FFFFFF"/>
          <w:lang w:val="es-ES"/>
        </w:rPr>
        <w:t xml:space="preserve"> </w:t>
      </w:r>
      <w:r>
        <w:rPr>
          <w:rFonts w:ascii="Verdana" w:hAnsi="Verdana" w:cs="Arial"/>
          <w:shd w:val="clear" w:color="auto" w:fill="FFFFFF"/>
          <w:lang w:val="es-ES"/>
        </w:rPr>
        <w:t xml:space="preserve">281 del 5 de abril de 2026, C-391 del 27 de abril de 2026, </w:t>
      </w:r>
      <w:r w:rsidRPr="008C3D38">
        <w:rPr>
          <w:rFonts w:ascii="Verdana" w:hAnsi="Verdana" w:cs="Arial"/>
          <w:shd w:val="clear" w:color="auto" w:fill="FFFFFF"/>
          <w:lang w:val="es-ES"/>
        </w:rPr>
        <w:t xml:space="preserve">entre otros. </w:t>
      </w:r>
      <w:r w:rsidRPr="008C3D38">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04EDB20E" w14:textId="77777777" w:rsidR="002A259F" w:rsidRPr="008C3D38" w:rsidRDefault="002A259F" w:rsidP="002A259F">
      <w:pPr>
        <w:spacing w:after="0" w:line="256" w:lineRule="auto"/>
        <w:jc w:val="both"/>
        <w:rPr>
          <w:rFonts w:ascii="Verdana" w:eastAsia="Calibri" w:hAnsi="Verdana" w:cs="Times New Roman"/>
        </w:rPr>
      </w:pPr>
      <w:hyperlink r:id="rId22" w:history="1">
        <w:r w:rsidRPr="008C3D38">
          <w:rPr>
            <w:rFonts w:ascii="Verdana" w:eastAsia="Calibri" w:hAnsi="Verdana" w:cs="Times New Roman"/>
            <w:color w:val="0000FF"/>
            <w:u w:val="single"/>
            <w:lang w:val="es-ES"/>
          </w:rPr>
          <w:t>https://relatoria.colombiacompra.gov.co/busqueda/conceptos</w:t>
        </w:r>
      </w:hyperlink>
      <w:r w:rsidRPr="008C3D38">
        <w:rPr>
          <w:rFonts w:ascii="Verdana" w:eastAsia="Calibri" w:hAnsi="Verdana" w:cs="Times New Roman"/>
        </w:rPr>
        <w:t xml:space="preserve">. </w:t>
      </w:r>
    </w:p>
    <w:p w14:paraId="2DD48759" w14:textId="77777777" w:rsidR="002A259F" w:rsidRPr="008C3D38" w:rsidRDefault="002A259F" w:rsidP="002A259F">
      <w:pPr>
        <w:spacing w:after="0"/>
        <w:jc w:val="both"/>
        <w:rPr>
          <w:rFonts w:ascii="Verdana" w:hAnsi="Verdana"/>
        </w:rPr>
      </w:pPr>
    </w:p>
    <w:p w14:paraId="4D592704" w14:textId="77777777" w:rsidR="002A259F" w:rsidRPr="002913EF" w:rsidRDefault="002A259F" w:rsidP="002A259F">
      <w:pPr>
        <w:spacing w:after="0" w:line="276" w:lineRule="auto"/>
        <w:jc w:val="both"/>
        <w:rPr>
          <w:rFonts w:ascii="Verdana" w:eastAsia="Times New Roman" w:hAnsi="Verdana" w:cs="Times New Roman"/>
          <w:color w:val="000000"/>
          <w:lang w:eastAsia="es-MX"/>
        </w:rPr>
      </w:pPr>
      <w:r w:rsidRPr="002913EF">
        <w:rPr>
          <w:rFonts w:ascii="Verdana" w:eastAsia="Times New Roman" w:hAnsi="Verdana" w:cs="Times New Roman"/>
          <w:color w:val="000000"/>
          <w:lang w:eastAsia="es-MX"/>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2913EF">
        <w:rPr>
          <w:rFonts w:ascii="Verdana" w:eastAsia="Times New Roman" w:hAnsi="Verdana" w:cs="Times New Roman"/>
          <w:b/>
          <w:bCs/>
          <w:color w:val="000000"/>
          <w:lang w:eastAsia="es-MX"/>
        </w:rPr>
        <w:t>Guía para la Exigencia y Constitución de Garantías en los Procesos de Contratación</w:t>
      </w:r>
      <w:r w:rsidRPr="002913EF">
        <w:rPr>
          <w:rFonts w:ascii="Verdana" w:eastAsia="Times New Roman" w:hAnsi="Verdana" w:cs="Times New Roman"/>
          <w:color w:val="000000"/>
          <w:lang w:eastAsia="es-MX"/>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23" w:tooltip="Original URL:&#10;https://www.colombiacompra.gov.co/archivos/manual/guia-de-garantias-en-procesos-de-contratacion&#10;&#10;Click to follow link." w:history="1">
        <w:r w:rsidRPr="002913EF">
          <w:rPr>
            <w:rFonts w:ascii="Verdana" w:eastAsia="Times New Roman" w:hAnsi="Verdana" w:cs="Times New Roman"/>
            <w:color w:val="0086F0"/>
            <w:u w:val="single"/>
            <w:lang w:eastAsia="es-MX"/>
          </w:rPr>
          <w:t>https://www.colombiacompra.gov.co/archivos/manual/guia-de-garantias-en-procesos-de-contratacion</w:t>
        </w:r>
      </w:hyperlink>
    </w:p>
    <w:p w14:paraId="703A9B71" w14:textId="77777777" w:rsidR="002A259F" w:rsidRPr="002913EF" w:rsidRDefault="002A259F" w:rsidP="002A259F">
      <w:pPr>
        <w:spacing w:after="0" w:line="276" w:lineRule="auto"/>
        <w:jc w:val="both"/>
        <w:rPr>
          <w:rFonts w:ascii="Verdana" w:eastAsia="Times New Roman" w:hAnsi="Verdana" w:cs="Times New Roman"/>
          <w:color w:val="000000"/>
          <w:lang w:eastAsia="es-MX"/>
        </w:rPr>
      </w:pPr>
    </w:p>
    <w:p w14:paraId="136A39D6" w14:textId="77777777" w:rsidR="002A259F" w:rsidRPr="002913EF" w:rsidRDefault="002A259F" w:rsidP="002A259F">
      <w:pPr>
        <w:spacing w:after="0" w:line="276" w:lineRule="auto"/>
        <w:jc w:val="both"/>
        <w:rPr>
          <w:rFonts w:ascii="Verdana" w:eastAsia="Times New Roman" w:hAnsi="Verdana" w:cs="Times New Roman"/>
          <w:color w:val="000000"/>
          <w:lang w:eastAsia="es-MX"/>
        </w:rPr>
      </w:pPr>
      <w:r w:rsidRPr="002913EF">
        <w:rPr>
          <w:rFonts w:ascii="Verdana" w:eastAsia="Times New Roman" w:hAnsi="Verdana" w:cs="Times New Roman"/>
          <w:color w:val="000000"/>
          <w:lang w:eastAsia="es-MX"/>
        </w:rPr>
        <w:t>De otro lado, te contamos que el Decreto 287 del 19 de marzo de 2026 sustituyó los artículos 2.2.1.2.4.2.6., 2.2.1.2.4.2.7. y 2.2.1.2.4.2.8. del Decreto 1082 de 2015 y estructuró el </w:t>
      </w:r>
      <w:r w:rsidRPr="002913EF">
        <w:rPr>
          <w:rFonts w:ascii="Verdana" w:eastAsia="Times New Roman" w:hAnsi="Verdana" w:cs="Times New Roman"/>
          <w:b/>
          <w:bCs/>
          <w:color w:val="000000"/>
          <w:lang w:eastAsia="es-MX"/>
        </w:rPr>
        <w:t>Sistema Integral de Preferencias en favor de las personas con discapacidad</w:t>
      </w:r>
      <w:r w:rsidRPr="002913EF">
        <w:rPr>
          <w:rFonts w:ascii="Verdana" w:eastAsia="Times New Roman" w:hAnsi="Verdana" w:cs="Times New Roman"/>
          <w:color w:val="000000"/>
          <w:lang w:eastAsia="es-MX"/>
        </w:rPr>
        <w:t>, en cumplimiento del artículo 13 de la Ley Estatutaria 1618 de 2013. Para orientar su aplicación, esta Agencia expidió la </w:t>
      </w:r>
      <w:r w:rsidRPr="002913EF">
        <w:rPr>
          <w:rFonts w:ascii="Verdana" w:eastAsia="Times New Roman" w:hAnsi="Verdana" w:cs="Times New Roman"/>
          <w:b/>
          <w:bCs/>
          <w:color w:val="000000"/>
          <w:lang w:eastAsia="es-MX"/>
        </w:rPr>
        <w:t>Circular Externa 003 del 12 de mayo de 2026, </w:t>
      </w:r>
      <w:r w:rsidRPr="002913EF">
        <w:rPr>
          <w:rFonts w:ascii="Verdana" w:eastAsia="Times New Roman" w:hAnsi="Verdana" w:cs="Times New Roman"/>
          <w:color w:val="000000"/>
          <w:lang w:eastAsia="es-MX"/>
        </w:rPr>
        <w:t>en la que precisa quiénes son los beneficiarios, las cinco medidas que integran el sistema y su obligatoriedad según la modalidad de selección, y el régimen de transición aplicable a los procesos en curso. Consúltala aquí: </w:t>
      </w:r>
      <w:hyperlink r:id="rId24" w:tooltip="Original URL:&#10;https://www.colombiacompra.gov.co/archivos/circular/circular-externa-003-de-2026&#10;&#10;Click to follow link." w:history="1">
        <w:r w:rsidRPr="002913EF">
          <w:rPr>
            <w:rFonts w:ascii="Verdana" w:eastAsia="Times New Roman" w:hAnsi="Verdana" w:cs="Times New Roman"/>
            <w:color w:val="0086F0"/>
            <w:u w:val="single"/>
            <w:lang w:eastAsia="es-MX"/>
          </w:rPr>
          <w:t>https://www.colombiacompra.gov.co/archivos/circular/circular-externa-003-de-2026</w:t>
        </w:r>
      </w:hyperlink>
    </w:p>
    <w:p w14:paraId="6D397CEA" w14:textId="77777777" w:rsidR="002A259F" w:rsidRPr="002913EF" w:rsidRDefault="002A259F" w:rsidP="002A259F">
      <w:pPr>
        <w:spacing w:after="0" w:line="276" w:lineRule="auto"/>
        <w:jc w:val="both"/>
        <w:rPr>
          <w:rFonts w:ascii="Verdana" w:eastAsia="Times New Roman" w:hAnsi="Verdana" w:cs="Times New Roman"/>
          <w:color w:val="000000"/>
          <w:lang w:eastAsia="es-MX"/>
        </w:rPr>
      </w:pPr>
    </w:p>
    <w:p w14:paraId="517A035C" w14:textId="77777777" w:rsidR="002A259F" w:rsidRPr="002913EF" w:rsidRDefault="002A259F" w:rsidP="002A259F">
      <w:pPr>
        <w:spacing w:after="0" w:line="276" w:lineRule="auto"/>
        <w:jc w:val="both"/>
        <w:rPr>
          <w:rFonts w:ascii="Verdana" w:eastAsia="Times New Roman" w:hAnsi="Verdana" w:cs="Times New Roman"/>
          <w:color w:val="000000"/>
          <w:lang w:eastAsia="es-MX"/>
        </w:rPr>
      </w:pPr>
      <w:r w:rsidRPr="002913EF">
        <w:rPr>
          <w:rFonts w:ascii="Verdana" w:eastAsia="Times New Roman" w:hAnsi="Verdana" w:cs="Times New Roman"/>
          <w:color w:val="000000"/>
          <w:lang w:eastAsia="es-MX"/>
        </w:rPr>
        <w:t>Recuerda también que la</w:t>
      </w:r>
      <w:r w:rsidRPr="002913EF">
        <w:rPr>
          <w:rFonts w:ascii="Verdana" w:eastAsia="Times New Roman" w:hAnsi="Verdana" w:cs="Times New Roman"/>
          <w:b/>
          <w:bCs/>
          <w:color w:val="000000"/>
          <w:lang w:eastAsia="es-MX"/>
        </w:rPr>
        <w:t> información sobre sanciones e inhabilidades </w:t>
      </w:r>
      <w:r w:rsidRPr="002913EF">
        <w:rPr>
          <w:rFonts w:ascii="Verdana" w:eastAsia="Times New Roman" w:hAnsi="Verdana" w:cs="Times New Roman"/>
          <w:color w:val="000000"/>
          <w:lang w:eastAsia="es-MX"/>
        </w:rPr>
        <w:t>solo cumple su función preventiva si llega oportunamente a los registros públicos. Sobre este deber, esta Agencia expidió la </w:t>
      </w:r>
      <w:r w:rsidRPr="002913EF">
        <w:rPr>
          <w:rFonts w:ascii="Verdana" w:eastAsia="Times New Roman" w:hAnsi="Verdana" w:cs="Times New Roman"/>
          <w:b/>
          <w:bCs/>
          <w:color w:val="000000"/>
          <w:lang w:eastAsia="es-MX"/>
        </w:rPr>
        <w:t xml:space="preserve">Circular Externa 002 del 5 de mayo de </w:t>
      </w:r>
      <w:proofErr w:type="gramStart"/>
      <w:r w:rsidRPr="002913EF">
        <w:rPr>
          <w:rFonts w:ascii="Verdana" w:eastAsia="Times New Roman" w:hAnsi="Verdana" w:cs="Times New Roman"/>
          <w:b/>
          <w:bCs/>
          <w:color w:val="000000"/>
          <w:lang w:eastAsia="es-MX"/>
        </w:rPr>
        <w:t>2026,</w:t>
      </w:r>
      <w:r w:rsidRPr="002913EF">
        <w:rPr>
          <w:rFonts w:ascii="Verdana" w:eastAsia="Times New Roman" w:hAnsi="Verdana" w:cs="Times New Roman"/>
          <w:color w:val="000000"/>
          <w:lang w:eastAsia="es-MX"/>
        </w:rPr>
        <w:t>dirigida</w:t>
      </w:r>
      <w:proofErr w:type="gramEnd"/>
      <w:r w:rsidRPr="002913EF">
        <w:rPr>
          <w:rFonts w:ascii="Verdana" w:eastAsia="Times New Roman" w:hAnsi="Verdana" w:cs="Times New Roman"/>
          <w:color w:val="000000"/>
          <w:lang w:eastAsia="es-MX"/>
        </w:rPr>
        <w:t xml:space="preserve">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25" w:tooltip="Original URL:&#10;https://www.colombiacompra.gov.co/archivos/circular/circular-externa-002-de-2026&#10;&#10;Click to follow link." w:history="1">
        <w:r w:rsidRPr="002913EF">
          <w:rPr>
            <w:rFonts w:ascii="Verdana" w:eastAsia="Times New Roman" w:hAnsi="Verdana" w:cs="Times New Roman"/>
            <w:color w:val="0086F0"/>
            <w:u w:val="single"/>
            <w:lang w:eastAsia="es-MX"/>
          </w:rPr>
          <w:t>https://www.colombiacompra.gov.co/archivos/circular/circular-externa-002-de-2026</w:t>
        </w:r>
      </w:hyperlink>
    </w:p>
    <w:p w14:paraId="50DFBF0E" w14:textId="77777777" w:rsidR="002A259F" w:rsidRPr="002913EF" w:rsidRDefault="002A259F" w:rsidP="002A259F">
      <w:pPr>
        <w:spacing w:after="0" w:line="276" w:lineRule="auto"/>
        <w:jc w:val="both"/>
        <w:rPr>
          <w:rFonts w:ascii="Verdana" w:eastAsia="Times New Roman" w:hAnsi="Verdana" w:cs="Times New Roman"/>
          <w:color w:val="000000"/>
          <w:lang w:eastAsia="es-MX"/>
        </w:rPr>
      </w:pPr>
    </w:p>
    <w:p w14:paraId="32B165BC" w14:textId="77777777" w:rsidR="002A259F" w:rsidRPr="002913EF" w:rsidRDefault="002A259F" w:rsidP="002A259F">
      <w:pPr>
        <w:spacing w:after="0" w:line="276" w:lineRule="auto"/>
        <w:jc w:val="both"/>
        <w:rPr>
          <w:rFonts w:ascii="Aptos" w:eastAsia="Times New Roman" w:hAnsi="Aptos" w:cs="Times New Roman"/>
          <w:color w:val="000000"/>
          <w:lang w:eastAsia="es-MX"/>
        </w:rPr>
      </w:pPr>
      <w:r w:rsidRPr="002913EF">
        <w:rPr>
          <w:rFonts w:ascii="Verdana" w:eastAsia="Times New Roman" w:hAnsi="Verdana" w:cs="Times New Roman"/>
          <w:color w:val="000000"/>
          <w:lang w:eastAsia="es-MX"/>
        </w:rPr>
        <w:t>Finalmente, si quieres seguir de cerca la actividad de la Agencia, la tercera edición de 2026 del</w:t>
      </w:r>
      <w:r w:rsidRPr="002913EF">
        <w:rPr>
          <w:rFonts w:ascii="Verdana" w:eastAsia="Times New Roman" w:hAnsi="Verdana" w:cs="Times New Roman"/>
          <w:b/>
          <w:bCs/>
          <w:color w:val="000000"/>
          <w:lang w:eastAsia="es-MX"/>
        </w:rPr>
        <w:t> Radar de la Compra Pública</w:t>
      </w:r>
      <w:r w:rsidRPr="002913EF">
        <w:rPr>
          <w:rFonts w:ascii="Verdana" w:eastAsia="Times New Roman" w:hAnsi="Verdana" w:cs="Times New Roman"/>
          <w:color w:val="000000"/>
          <w:lang w:eastAsia="es-MX"/>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26" w:tooltip="Original URL:&#10;https://www.colombiacompra.gov.co/archivos/boletin/boletin-edicion-n-3-de-2026-radar-de-la-compra-publica&#10;&#10;Click to follow link." w:history="1">
        <w:r w:rsidRPr="002913EF">
          <w:rPr>
            <w:rFonts w:ascii="Verdana" w:eastAsia="Times New Roman" w:hAnsi="Verdana" w:cs="Times New Roman"/>
            <w:color w:val="0086F0"/>
            <w:u w:val="single"/>
            <w:lang w:eastAsia="es-MX"/>
          </w:rPr>
          <w:t>https://www.colombiacompra.gov.co/archivos/boletin/boletin-edicion-n-3-de-2026-radar-de-la-compra-publica</w:t>
        </w:r>
      </w:hyperlink>
    </w:p>
    <w:p w14:paraId="5A98BB7B" w14:textId="77777777" w:rsidR="002A259F" w:rsidRPr="002913EF" w:rsidRDefault="002A259F" w:rsidP="002A259F">
      <w:pPr>
        <w:shd w:val="clear" w:color="auto" w:fill="FFFFFF"/>
        <w:spacing w:after="0" w:line="276" w:lineRule="auto"/>
        <w:jc w:val="both"/>
        <w:rPr>
          <w:rFonts w:ascii="Verdana" w:eastAsia="Times New Roman" w:hAnsi="Verdana" w:cs="Times New Roman"/>
          <w:color w:val="000000"/>
          <w:u w:val="single"/>
          <w:lang w:eastAsia="es-ES_tradnl"/>
        </w:rPr>
      </w:pPr>
    </w:p>
    <w:p w14:paraId="305D43E3" w14:textId="77777777" w:rsidR="002A259F" w:rsidRPr="002913EF" w:rsidRDefault="002A259F" w:rsidP="002A259F">
      <w:pPr>
        <w:spacing w:after="0" w:line="276" w:lineRule="auto"/>
        <w:jc w:val="both"/>
        <w:rPr>
          <w:rFonts w:ascii="Verdana" w:eastAsia="Times New Roman" w:hAnsi="Verdana" w:cs="Times New Roman"/>
          <w:lang w:eastAsia="es-ES_tradnl"/>
        </w:rPr>
      </w:pPr>
      <w:r w:rsidRPr="002913EF">
        <w:rPr>
          <w:rFonts w:ascii="Verdana" w:eastAsia="Times New Roman" w:hAnsi="Verdana" w:cs="Times New Roman"/>
          <w:lang w:eastAsia="es-ES_tradnl"/>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5022C04" w14:textId="77777777" w:rsidR="002A259F" w:rsidRPr="002913EF" w:rsidRDefault="002A259F" w:rsidP="002A259F">
      <w:pPr>
        <w:spacing w:after="0" w:line="276" w:lineRule="auto"/>
        <w:jc w:val="both"/>
        <w:rPr>
          <w:rFonts w:ascii="Verdana" w:eastAsia="Times New Roman" w:hAnsi="Verdana" w:cs="Times New Roman"/>
          <w:lang w:eastAsia="es-ES_tradnl"/>
        </w:rPr>
      </w:pPr>
    </w:p>
    <w:p w14:paraId="3F5F530B" w14:textId="77777777" w:rsidR="002A259F" w:rsidRPr="002913EF" w:rsidRDefault="002A259F" w:rsidP="002A259F">
      <w:pPr>
        <w:numPr>
          <w:ilvl w:val="0"/>
          <w:numId w:val="15"/>
        </w:numPr>
        <w:spacing w:after="0" w:line="276" w:lineRule="auto"/>
        <w:jc w:val="both"/>
        <w:rPr>
          <w:rFonts w:ascii="Verdana" w:eastAsia="Verdana" w:hAnsi="Verdana" w:cs="Verdana"/>
          <w:color w:val="4472C4" w:themeColor="accent1"/>
          <w:u w:val="single"/>
          <w:lang w:val="es-MX" w:eastAsia="es-ES_tradnl"/>
        </w:rPr>
      </w:pPr>
      <w:r w:rsidRPr="002913EF">
        <w:rPr>
          <w:rFonts w:ascii="Verdana" w:eastAsia="Verdana" w:hAnsi="Verdana" w:cs="Verdana"/>
          <w:lang w:val="es-MX" w:eastAsia="es-ES_tradnl"/>
        </w:rPr>
        <w:t xml:space="preserve">Línea nacional gratuita o servicio a la ciudadanía (Mesa de servicio): </w:t>
      </w:r>
      <w:r w:rsidRPr="002913EF">
        <w:rPr>
          <w:rFonts w:ascii="Verdana" w:eastAsia="Times New Roman" w:hAnsi="Verdana" w:cs="Times New Roman"/>
          <w:color w:val="0000FF"/>
          <w:u w:val="single"/>
          <w:lang w:val="es-ES" w:eastAsia="es-ES_tradnl"/>
        </w:rPr>
        <w:t>01800 0520808</w:t>
      </w:r>
    </w:p>
    <w:p w14:paraId="4701B2AC" w14:textId="77777777" w:rsidR="002A259F" w:rsidRPr="002913EF" w:rsidRDefault="002A259F" w:rsidP="002A259F">
      <w:pPr>
        <w:numPr>
          <w:ilvl w:val="0"/>
          <w:numId w:val="15"/>
        </w:numPr>
        <w:spacing w:after="0" w:line="276" w:lineRule="auto"/>
        <w:rPr>
          <w:rFonts w:ascii="Verdana" w:eastAsia="Verdana" w:hAnsi="Verdana" w:cs="Verdana"/>
          <w:color w:val="4472C4" w:themeColor="accent1"/>
          <w:u w:val="single"/>
          <w:lang w:val="es-MX" w:eastAsia="es-ES_tradnl"/>
        </w:rPr>
      </w:pPr>
      <w:r w:rsidRPr="002913EF">
        <w:rPr>
          <w:rFonts w:ascii="Verdana" w:eastAsia="Verdana" w:hAnsi="Verdana" w:cs="Verdana"/>
          <w:lang w:val="es-MX" w:eastAsia="es-ES_tradnl"/>
        </w:rPr>
        <w:t>Línea en Bogotá (Mesa de servicio</w:t>
      </w:r>
      <w:proofErr w:type="gramStart"/>
      <w:r w:rsidRPr="002913EF">
        <w:rPr>
          <w:rFonts w:ascii="Verdana" w:eastAsia="Verdana" w:hAnsi="Verdana" w:cs="Verdana"/>
          <w:lang w:val="es-MX" w:eastAsia="es-ES_tradnl"/>
        </w:rPr>
        <w:t>):</w:t>
      </w:r>
      <w:r w:rsidRPr="002913EF">
        <w:rPr>
          <w:rFonts w:ascii="Verdana" w:eastAsia="Times New Roman" w:hAnsi="Verdana" w:cs="Times New Roman"/>
          <w:color w:val="0000FF"/>
          <w:u w:val="single"/>
          <w:lang w:val="es-ES" w:eastAsia="es-ES_tradnl"/>
        </w:rPr>
        <w:t>+</w:t>
      </w:r>
      <w:proofErr w:type="gramEnd"/>
      <w:r w:rsidRPr="002913EF">
        <w:rPr>
          <w:rFonts w:ascii="Verdana" w:eastAsia="Times New Roman" w:hAnsi="Verdana" w:cs="Times New Roman"/>
          <w:color w:val="0000FF"/>
          <w:u w:val="single"/>
          <w:lang w:val="es-ES" w:eastAsia="es-ES_tradnl"/>
        </w:rPr>
        <w:t>57 601 7456788</w:t>
      </w:r>
    </w:p>
    <w:p w14:paraId="27305CFB" w14:textId="77777777" w:rsidR="002A259F" w:rsidRPr="002913EF" w:rsidRDefault="002A259F" w:rsidP="002A259F">
      <w:pPr>
        <w:numPr>
          <w:ilvl w:val="0"/>
          <w:numId w:val="15"/>
        </w:numPr>
        <w:spacing w:after="0" w:line="276" w:lineRule="auto"/>
        <w:rPr>
          <w:rFonts w:ascii="Verdana" w:eastAsia="Verdana" w:hAnsi="Verdana" w:cs="Verdana"/>
          <w:color w:val="0000FF"/>
          <w:u w:val="single"/>
          <w:lang w:val="es-MX" w:eastAsia="es-ES_tradnl"/>
        </w:rPr>
      </w:pPr>
      <w:r w:rsidRPr="002913EF">
        <w:rPr>
          <w:rFonts w:ascii="Verdana" w:eastAsia="Verdana" w:hAnsi="Verdana" w:cs="Verdana"/>
          <w:lang w:val="es-MX" w:eastAsia="es-ES_tradnl"/>
        </w:rPr>
        <w:t xml:space="preserve">Correo de radicación de correspondencia: </w:t>
      </w:r>
      <w:hyperlink r:id="rId27">
        <w:r w:rsidRPr="002913EF">
          <w:rPr>
            <w:rFonts w:ascii="Verdana" w:eastAsia="Verdana" w:hAnsi="Verdana" w:cs="Verdana"/>
            <w:color w:val="0000FF"/>
            <w:u w:val="single"/>
            <w:lang w:val="es-MX" w:eastAsia="es-ES_tradnl"/>
          </w:rPr>
          <w:t>ventanilladeradicacion@colombiacompra.gov.co</w:t>
        </w:r>
      </w:hyperlink>
    </w:p>
    <w:p w14:paraId="056BE3A0" w14:textId="77777777" w:rsidR="002A259F" w:rsidRPr="002913EF" w:rsidRDefault="002A259F" w:rsidP="002A259F">
      <w:pPr>
        <w:numPr>
          <w:ilvl w:val="0"/>
          <w:numId w:val="15"/>
        </w:numPr>
        <w:spacing w:after="0" w:line="276" w:lineRule="auto"/>
        <w:rPr>
          <w:rFonts w:ascii="Verdana" w:eastAsia="Verdana" w:hAnsi="Verdana" w:cs="Verdana"/>
          <w:color w:val="0000FF"/>
          <w:u w:val="single"/>
          <w:lang w:val="es-MX" w:eastAsia="es-ES_tradnl"/>
        </w:rPr>
      </w:pPr>
      <w:r w:rsidRPr="002913EF">
        <w:rPr>
          <w:rFonts w:ascii="Verdana" w:eastAsia="Verdana" w:hAnsi="Verdana" w:cs="Verdana"/>
          <w:lang w:val="es-ES" w:eastAsia="es-ES_tradnl"/>
        </w:rPr>
        <w:t>Formulario web para</w:t>
      </w:r>
      <w:r w:rsidRPr="002913EF">
        <w:rPr>
          <w:rFonts w:ascii="Verdana" w:eastAsia="Verdana" w:hAnsi="Verdana" w:cs="Verdana"/>
          <w:lang w:val="es" w:eastAsia="es-ES_tradnl"/>
        </w:rPr>
        <w:t xml:space="preserve"> PQRSD: </w:t>
      </w:r>
      <w:hyperlink r:id="rId28">
        <w:r w:rsidRPr="002913EF">
          <w:rPr>
            <w:rFonts w:ascii="Verdana" w:eastAsia="Verdana" w:hAnsi="Verdana" w:cs="Verdana"/>
            <w:color w:val="0000FF"/>
            <w:u w:val="single"/>
            <w:lang w:val="es-MX" w:eastAsia="es-ES_tradnl"/>
          </w:rPr>
          <w:t>https://www.colombiacompra.gov.co/pqrsd/informacion-importante-antes-de-formular-una-pqrsd</w:t>
        </w:r>
      </w:hyperlink>
    </w:p>
    <w:p w14:paraId="17082DD2" w14:textId="77777777" w:rsidR="002A259F" w:rsidRPr="002913EF" w:rsidRDefault="002A259F" w:rsidP="002A259F">
      <w:pPr>
        <w:spacing w:after="0" w:line="276" w:lineRule="auto"/>
        <w:ind w:left="720"/>
        <w:jc w:val="both"/>
        <w:rPr>
          <w:rFonts w:ascii="Verdana" w:eastAsia="Times New Roman" w:hAnsi="Verdana" w:cs="Times New Roman"/>
          <w:lang w:eastAsia="es-ES_tradnl"/>
        </w:rPr>
      </w:pPr>
    </w:p>
    <w:p w14:paraId="2FD289B6" w14:textId="77777777" w:rsidR="002A259F" w:rsidRPr="002913EF" w:rsidRDefault="002A259F" w:rsidP="002A259F">
      <w:pPr>
        <w:spacing w:after="0" w:line="276" w:lineRule="auto"/>
        <w:rPr>
          <w:rFonts w:ascii="Verdana" w:eastAsia="Times New Roman" w:hAnsi="Verdana" w:cs="Times New Roman"/>
          <w:lang w:eastAsia="es-ES_tradnl"/>
        </w:rPr>
      </w:pPr>
      <w:r w:rsidRPr="002913EF">
        <w:rPr>
          <w:rFonts w:ascii="Verdana" w:eastAsia="Times New Roman" w:hAnsi="Verdana" w:cs="Times New Roman"/>
          <w:lang w:eastAsia="es-ES_tradnl"/>
        </w:rPr>
        <w:t xml:space="preserve">Evalúa el servicio que ofrece la Agencia por el canal de atención de PQRSD en el siguiente </w:t>
      </w:r>
      <w:proofErr w:type="gramStart"/>
      <w:r w:rsidRPr="002913EF">
        <w:rPr>
          <w:rFonts w:ascii="Verdana" w:eastAsia="Times New Roman" w:hAnsi="Verdana" w:cs="Times New Roman"/>
          <w:lang w:eastAsia="es-ES_tradnl"/>
        </w:rPr>
        <w:t>enlace :</w:t>
      </w:r>
      <w:proofErr w:type="gramEnd"/>
      <w:hyperlink r:id="rId29" w:tgtFrame="_blank" w:tooltip="https://forms.office.com/r/pphywvs2sz" w:history="1">
        <w:r w:rsidRPr="002913EF">
          <w:rPr>
            <w:rFonts w:ascii="Verdana" w:eastAsia="Times New Roman" w:hAnsi="Verdana" w:cs="Times New Roman"/>
            <w:color w:val="0000FF"/>
            <w:u w:val="single"/>
            <w:lang w:eastAsia="es-ES_tradnl"/>
          </w:rPr>
          <w:t>https://forms.office.com/r/pPHyWVs2SZ</w:t>
        </w:r>
      </w:hyperlink>
      <w:r w:rsidRPr="002913EF">
        <w:rPr>
          <w:rFonts w:ascii="Verdana" w:eastAsia="Times New Roman" w:hAnsi="Verdana" w:cs="Times New Roman"/>
          <w:lang w:eastAsia="es-ES_tradnl"/>
        </w:rPr>
        <w:t xml:space="preserve"> .¡Ayúdanos a mejorar porque el compromiso es de todos!</w:t>
      </w:r>
    </w:p>
    <w:p w14:paraId="3AF9DC57" w14:textId="77777777" w:rsidR="002A259F" w:rsidRPr="002913EF" w:rsidRDefault="002A259F" w:rsidP="002A259F">
      <w:pPr>
        <w:spacing w:after="0" w:line="276" w:lineRule="auto"/>
        <w:rPr>
          <w:rFonts w:ascii="Verdana" w:eastAsia="Times New Roman" w:hAnsi="Verdana" w:cs="Times New Roman"/>
          <w:lang w:eastAsia="es-ES_tradnl"/>
        </w:rPr>
      </w:pPr>
    </w:p>
    <w:p w14:paraId="1E86CB8D" w14:textId="77777777" w:rsidR="002A259F" w:rsidRPr="002913EF" w:rsidRDefault="002A259F" w:rsidP="002A259F">
      <w:pPr>
        <w:spacing w:after="0" w:line="276" w:lineRule="auto"/>
        <w:jc w:val="both"/>
        <w:rPr>
          <w:rFonts w:ascii="Verdana" w:eastAsia="Times New Roman" w:hAnsi="Verdana" w:cs="Times New Roman"/>
          <w:lang w:eastAsia="es-ES_tradnl"/>
        </w:rPr>
      </w:pPr>
      <w:r w:rsidRPr="002913EF">
        <w:rPr>
          <w:rFonts w:ascii="Verdana" w:eastAsia="Times New Roman" w:hAnsi="Verdana" w:cs="Times New Roman"/>
          <w:lang w:eastAsia="es-ES_tradnl"/>
        </w:rPr>
        <w:t xml:space="preserve">Por último, lo invitamos a seguirnos en las redes sociales en las cuales se difunde información institucional: </w:t>
      </w:r>
    </w:p>
    <w:p w14:paraId="343BA0D0" w14:textId="77777777" w:rsidR="002A259F" w:rsidRPr="002913EF" w:rsidRDefault="002A259F" w:rsidP="002A259F">
      <w:pPr>
        <w:spacing w:after="0" w:line="276" w:lineRule="auto"/>
        <w:jc w:val="both"/>
        <w:rPr>
          <w:rFonts w:ascii="Verdana" w:eastAsia="Times New Roman" w:hAnsi="Verdana" w:cs="Times New Roman"/>
          <w:lang w:eastAsia="es-ES_tradnl"/>
        </w:rPr>
      </w:pPr>
    </w:p>
    <w:p w14:paraId="6E951511" w14:textId="77777777" w:rsidR="002A259F" w:rsidRPr="002913EF" w:rsidRDefault="002A259F" w:rsidP="002A259F">
      <w:pPr>
        <w:spacing w:after="0" w:line="276" w:lineRule="auto"/>
        <w:jc w:val="both"/>
        <w:rPr>
          <w:rFonts w:ascii="Verdana" w:eastAsia="Times New Roman" w:hAnsi="Verdana" w:cs="Times New Roman"/>
          <w:lang w:eastAsia="es-ES_tradnl"/>
        </w:rPr>
      </w:pPr>
      <w:r w:rsidRPr="002913EF">
        <w:rPr>
          <w:rFonts w:ascii="Verdana" w:eastAsia="Times New Roman" w:hAnsi="Verdana" w:cs="Times New Roman"/>
          <w:lang w:eastAsia="es-ES_tradnl"/>
        </w:rPr>
        <w:t xml:space="preserve">Twitter: </w:t>
      </w:r>
      <w:r w:rsidRPr="002913EF">
        <w:rPr>
          <w:rFonts w:ascii="Verdana" w:eastAsia="Times New Roman" w:hAnsi="Verdana" w:cs="Times New Roman"/>
          <w:color w:val="0000FF"/>
          <w:u w:val="single"/>
          <w:lang w:eastAsia="es-ES_tradnl"/>
        </w:rPr>
        <w:t>@colombiacompra</w:t>
      </w:r>
      <w:r w:rsidRPr="002913EF">
        <w:rPr>
          <w:rFonts w:ascii="Verdana" w:eastAsia="Times New Roman" w:hAnsi="Verdana" w:cs="Times New Roman"/>
          <w:lang w:eastAsia="es-ES_tradnl"/>
        </w:rPr>
        <w:t xml:space="preserve"> </w:t>
      </w:r>
    </w:p>
    <w:p w14:paraId="68560E48" w14:textId="77777777" w:rsidR="002A259F" w:rsidRPr="002913EF" w:rsidRDefault="002A259F" w:rsidP="002A259F">
      <w:pPr>
        <w:spacing w:after="0" w:line="276" w:lineRule="auto"/>
        <w:jc w:val="both"/>
        <w:rPr>
          <w:rFonts w:ascii="Verdana" w:eastAsia="Times New Roman" w:hAnsi="Verdana" w:cs="Times New Roman"/>
          <w:lang w:eastAsia="es-ES_tradnl"/>
        </w:rPr>
      </w:pPr>
      <w:r w:rsidRPr="002913EF">
        <w:rPr>
          <w:rFonts w:ascii="Verdana" w:eastAsia="Times New Roman" w:hAnsi="Verdana" w:cs="Times New Roman"/>
          <w:lang w:eastAsia="es-ES_tradnl"/>
        </w:rPr>
        <w:t xml:space="preserve">Facebook: </w:t>
      </w:r>
      <w:proofErr w:type="spellStart"/>
      <w:r w:rsidRPr="002913EF">
        <w:rPr>
          <w:rFonts w:ascii="Verdana" w:eastAsia="Times New Roman" w:hAnsi="Verdana" w:cs="Times New Roman"/>
          <w:color w:val="0000FF"/>
          <w:u w:val="single"/>
          <w:lang w:eastAsia="es-ES_tradnl"/>
        </w:rPr>
        <w:t>ColombiaCompraEficiente</w:t>
      </w:r>
      <w:proofErr w:type="spellEnd"/>
    </w:p>
    <w:p w14:paraId="486EC995" w14:textId="77777777" w:rsidR="002A259F" w:rsidRPr="002913EF" w:rsidRDefault="002A259F" w:rsidP="002A259F">
      <w:pPr>
        <w:spacing w:after="0" w:line="276" w:lineRule="auto"/>
        <w:jc w:val="both"/>
        <w:rPr>
          <w:rFonts w:ascii="Verdana" w:eastAsia="Times New Roman" w:hAnsi="Verdana" w:cs="Times New Roman"/>
          <w:lang w:eastAsia="es-ES_tradnl"/>
        </w:rPr>
      </w:pPr>
      <w:r w:rsidRPr="002913EF">
        <w:rPr>
          <w:rFonts w:ascii="Verdana" w:eastAsia="Times New Roman" w:hAnsi="Verdana" w:cs="Times New Roman"/>
          <w:lang w:eastAsia="es-ES_tradnl"/>
        </w:rPr>
        <w:t xml:space="preserve">LinkedIn: </w:t>
      </w:r>
      <w:r w:rsidRPr="002913EF">
        <w:rPr>
          <w:rFonts w:ascii="Verdana" w:eastAsia="Times New Roman" w:hAnsi="Verdana" w:cs="Times New Roman"/>
          <w:color w:val="0000FF"/>
          <w:u w:val="single"/>
          <w:lang w:eastAsia="es-ES_tradnl"/>
        </w:rPr>
        <w:t>Agencia Nacional de Contratación Pública - Colombia Compra Eficiente</w:t>
      </w:r>
      <w:r w:rsidRPr="002913EF">
        <w:rPr>
          <w:rFonts w:ascii="Verdana" w:eastAsia="Times New Roman" w:hAnsi="Verdana" w:cs="Times New Roman"/>
          <w:lang w:eastAsia="es-ES_tradnl"/>
        </w:rPr>
        <w:t xml:space="preserve"> Instagram: </w:t>
      </w:r>
      <w:r w:rsidRPr="002913EF">
        <w:rPr>
          <w:rFonts w:ascii="Verdana" w:eastAsia="Times New Roman" w:hAnsi="Verdana" w:cs="Times New Roman"/>
          <w:color w:val="0000FF"/>
          <w:u w:val="single"/>
          <w:lang w:eastAsia="es-ES_tradnl"/>
        </w:rPr>
        <w:t>@colombiacompraeficiente_cce</w:t>
      </w:r>
    </w:p>
    <w:p w14:paraId="5D382268" w14:textId="77777777" w:rsidR="002A259F" w:rsidRPr="002913EF" w:rsidRDefault="002A259F" w:rsidP="002A259F">
      <w:pPr>
        <w:widowControl w:val="0"/>
        <w:autoSpaceDE w:val="0"/>
        <w:autoSpaceDN w:val="0"/>
        <w:spacing w:after="0" w:line="276" w:lineRule="auto"/>
        <w:jc w:val="both"/>
        <w:rPr>
          <w:rFonts w:ascii="Verdana" w:eastAsia="Times New Roman" w:hAnsi="Verdana" w:cs="Arial"/>
          <w:color w:val="FF0000"/>
          <w:shd w:val="clear" w:color="auto" w:fill="FFFFFF"/>
          <w:lang w:val="es-ES_tradnl" w:eastAsia="es-ES_tradnl"/>
        </w:rPr>
      </w:pPr>
      <w:r w:rsidRPr="002913EF">
        <w:rPr>
          <w:rFonts w:ascii="Verdana" w:eastAsia="Times New Roman" w:hAnsi="Verdana" w:cs="Arial"/>
          <w:color w:val="FF0000"/>
          <w:shd w:val="clear" w:color="auto" w:fill="FFFFFF"/>
          <w:lang w:val="es-ES_tradnl" w:eastAsia="es-ES_tradnl"/>
        </w:rPr>
        <w:lastRenderedPageBreak/>
        <w:t xml:space="preserve">        </w:t>
      </w:r>
    </w:p>
    <w:p w14:paraId="4D8CE259" w14:textId="77777777" w:rsidR="002A259F" w:rsidRPr="002913EF" w:rsidRDefault="002A259F" w:rsidP="002A259F">
      <w:pPr>
        <w:widowControl w:val="0"/>
        <w:autoSpaceDE w:val="0"/>
        <w:autoSpaceDN w:val="0"/>
        <w:spacing w:after="0" w:line="276" w:lineRule="auto"/>
        <w:jc w:val="both"/>
        <w:rPr>
          <w:rFonts w:ascii="Verdana" w:eastAsia="Times New Roman" w:hAnsi="Verdana" w:cs="Arial"/>
          <w:lang w:val="es-ES_tradnl" w:eastAsia="es-ES_tradnl"/>
        </w:rPr>
      </w:pPr>
      <w:r w:rsidRPr="002913EF">
        <w:rPr>
          <w:rFonts w:ascii="Verdana" w:eastAsia="Times New Roman" w:hAnsi="Verdana" w:cs="Arial"/>
          <w:lang w:eastAsia="es-ES_tradnl"/>
        </w:rPr>
        <w:t xml:space="preserve">Este concepto tiene el alcance previsto en el artículo 28 del Código de Procedimiento Administrativo y de lo Contencioso Administrativo </w:t>
      </w:r>
      <w:r w:rsidRPr="002913EF">
        <w:rPr>
          <w:rFonts w:ascii="Verdana" w:eastAsia="Times New Roman" w:hAnsi="Verdana" w:cs="Arial"/>
          <w:lang w:val="es-ES_tradnl" w:eastAsia="es-ES_tradnl"/>
        </w:rPr>
        <w:t>y las expresiones aquí utilizadas con mayúscula inicial deben ser entendidas con el significado que les otorga el artículo 2.2.1.1.1.3.1. del Decreto 1082 de 2015.</w:t>
      </w:r>
    </w:p>
    <w:p w14:paraId="30D43FC2" w14:textId="77777777" w:rsidR="002A259F" w:rsidRPr="002913EF" w:rsidRDefault="002A259F" w:rsidP="002A259F">
      <w:pPr>
        <w:widowControl w:val="0"/>
        <w:autoSpaceDE w:val="0"/>
        <w:autoSpaceDN w:val="0"/>
        <w:spacing w:after="0" w:line="276" w:lineRule="auto"/>
        <w:jc w:val="both"/>
        <w:rPr>
          <w:rFonts w:ascii="Verdana" w:hAnsi="Verdana" w:cs="Arial"/>
          <w:lang w:val="es-ES_tradnl"/>
        </w:rPr>
      </w:pPr>
    </w:p>
    <w:p w14:paraId="599EBDA2" w14:textId="77777777" w:rsidR="002A259F" w:rsidRPr="008C3D38" w:rsidRDefault="002A259F" w:rsidP="002A259F">
      <w:pPr>
        <w:spacing w:after="0" w:line="240" w:lineRule="auto"/>
        <w:rPr>
          <w:rFonts w:ascii="Verdana" w:hAnsi="Verdana" w:cs="Arial"/>
          <w:lang w:eastAsia="es-CO"/>
        </w:rPr>
      </w:pPr>
      <w:r w:rsidRPr="008C3D38">
        <w:rPr>
          <w:rFonts w:ascii="Verdana" w:eastAsia="Times New Roman" w:hAnsi="Verdana" w:cs="Arial"/>
          <w:lang w:eastAsia="es-CO"/>
        </w:rPr>
        <w:t>Atentamente,</w:t>
      </w:r>
      <w:r w:rsidRPr="008C3D38">
        <w:rPr>
          <w:rFonts w:ascii="Verdana" w:hAnsi="Verdana" w:cs="Arial"/>
          <w:lang w:eastAsia="es-CO"/>
        </w:rPr>
        <w:t xml:space="preserve"> </w:t>
      </w:r>
    </w:p>
    <w:p w14:paraId="39DDC69F" w14:textId="43FCE5E3" w:rsidR="002A259F" w:rsidRPr="00DA61E0" w:rsidRDefault="00FC410D" w:rsidP="002A259F">
      <w:pPr>
        <w:spacing w:after="0" w:line="254" w:lineRule="auto"/>
        <w:jc w:val="center"/>
        <w:rPr>
          <w:rFonts w:ascii="Century Gothic" w:eastAsia="Calibri" w:hAnsi="Century Gothic" w:cs="Times New Roman"/>
          <w:noProof/>
          <w:lang w:val="en-US"/>
        </w:rPr>
      </w:pPr>
      <w:r w:rsidRPr="002C3AD6">
        <w:rPr>
          <w:rFonts w:ascii="Century Gothic" w:hAnsi="Century Gothic"/>
          <w:noProof/>
          <w:lang w:val="en-US"/>
        </w:rPr>
        <w:drawing>
          <wp:inline distT="0" distB="0" distL="0" distR="0" wp14:anchorId="580BFD3F" wp14:editId="5EFF342C">
            <wp:extent cx="3670300" cy="1423554"/>
            <wp:effectExtent l="0" t="0" r="6350" b="571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30"/>
                    <a:stretch>
                      <a:fillRect/>
                    </a:stretch>
                  </pic:blipFill>
                  <pic:spPr>
                    <a:xfrm>
                      <a:off x="0" y="0"/>
                      <a:ext cx="3891299" cy="1509270"/>
                    </a:xfrm>
                    <a:prstGeom prst="rect">
                      <a:avLst/>
                    </a:prstGeom>
                  </pic:spPr>
                </pic:pic>
              </a:graphicData>
            </a:graphic>
          </wp:inline>
        </w:drawing>
      </w:r>
    </w:p>
    <w:p w14:paraId="0C198247" w14:textId="77777777" w:rsidR="002A259F" w:rsidRPr="00DA61E0" w:rsidRDefault="002A259F" w:rsidP="002A259F">
      <w:pPr>
        <w:spacing w:after="0" w:line="254" w:lineRule="auto"/>
        <w:rPr>
          <w:rFonts w:ascii="Century Gothic" w:eastAsia="Calibri" w:hAnsi="Century Gothic" w:cs="Times New Roman"/>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2A259F" w:rsidRPr="00DA61E0" w14:paraId="3EBAF2B4" w14:textId="77777777" w:rsidTr="009C426C">
        <w:trPr>
          <w:trHeight w:val="409"/>
        </w:trPr>
        <w:tc>
          <w:tcPr>
            <w:tcW w:w="817" w:type="dxa"/>
            <w:tcBorders>
              <w:top w:val="nil"/>
              <w:left w:val="nil"/>
              <w:bottom w:val="nil"/>
              <w:right w:val="nil"/>
            </w:tcBorders>
            <w:vAlign w:val="center"/>
            <w:hideMark/>
          </w:tcPr>
          <w:p w14:paraId="49A7A054" w14:textId="77777777" w:rsidR="002A259F" w:rsidRPr="00DA61E0" w:rsidRDefault="002A259F" w:rsidP="009C426C">
            <w:pPr>
              <w:spacing w:after="0" w:line="254" w:lineRule="auto"/>
              <w:rPr>
                <w:rFonts w:ascii="Verdana" w:eastAsia="Calibri" w:hAnsi="Verdana" w:cs="Times New Roman"/>
                <w:sz w:val="16"/>
                <w:szCs w:val="16"/>
              </w:rPr>
            </w:pPr>
            <w:r w:rsidRPr="00DA61E0">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3EBE9BBF" w14:textId="77777777" w:rsidR="002A259F" w:rsidRPr="00DA61E0" w:rsidRDefault="002A259F" w:rsidP="009C426C">
            <w:pPr>
              <w:spacing w:after="0" w:line="254" w:lineRule="auto"/>
              <w:rPr>
                <w:rFonts w:ascii="Verdana" w:eastAsia="Calibri" w:hAnsi="Verdana" w:cs="Times New Roman"/>
                <w:sz w:val="16"/>
                <w:szCs w:val="16"/>
              </w:rPr>
            </w:pPr>
            <w:r w:rsidRPr="00DA61E0">
              <w:rPr>
                <w:rFonts w:ascii="Verdana" w:eastAsia="Calibri" w:hAnsi="Verdana" w:cs="Times New Roman"/>
                <w:sz w:val="16"/>
                <w:szCs w:val="16"/>
              </w:rPr>
              <w:t>José Luis Sánchez Cardona</w:t>
            </w:r>
          </w:p>
          <w:p w14:paraId="3169B113" w14:textId="77777777" w:rsidR="002A259F" w:rsidRPr="00DA61E0" w:rsidRDefault="002A259F" w:rsidP="009C426C">
            <w:pPr>
              <w:spacing w:after="0" w:line="254" w:lineRule="auto"/>
              <w:rPr>
                <w:rFonts w:ascii="Verdana" w:eastAsia="Calibri" w:hAnsi="Verdana" w:cs="Times New Roman"/>
                <w:sz w:val="16"/>
                <w:szCs w:val="16"/>
              </w:rPr>
            </w:pPr>
            <w:r w:rsidRPr="00DA61E0">
              <w:rPr>
                <w:rFonts w:ascii="Verdana" w:eastAsia="Calibri" w:hAnsi="Verdana" w:cs="Times New Roman"/>
                <w:sz w:val="16"/>
                <w:szCs w:val="16"/>
              </w:rPr>
              <w:t>Contratista de la Subdirección de Gestión Contractual</w:t>
            </w:r>
          </w:p>
        </w:tc>
      </w:tr>
      <w:tr w:rsidR="002A259F" w:rsidRPr="00DA61E0" w14:paraId="3952289C" w14:textId="77777777" w:rsidTr="009C426C">
        <w:trPr>
          <w:trHeight w:val="409"/>
        </w:trPr>
        <w:tc>
          <w:tcPr>
            <w:tcW w:w="817" w:type="dxa"/>
            <w:tcBorders>
              <w:top w:val="nil"/>
              <w:left w:val="nil"/>
              <w:bottom w:val="nil"/>
              <w:right w:val="nil"/>
            </w:tcBorders>
            <w:vAlign w:val="center"/>
            <w:hideMark/>
          </w:tcPr>
          <w:p w14:paraId="24FDC433" w14:textId="77777777" w:rsidR="002A259F" w:rsidRPr="00DA61E0" w:rsidRDefault="002A259F" w:rsidP="009C426C">
            <w:pPr>
              <w:spacing w:after="0" w:line="254" w:lineRule="auto"/>
              <w:rPr>
                <w:rFonts w:ascii="Verdana" w:eastAsia="Calibri" w:hAnsi="Verdana" w:cs="Times New Roman"/>
                <w:sz w:val="16"/>
                <w:szCs w:val="16"/>
              </w:rPr>
            </w:pPr>
            <w:r w:rsidRPr="00DA61E0">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65CA614" w14:textId="77777777" w:rsidR="002A259F" w:rsidRPr="00DA61E0" w:rsidRDefault="002A259F" w:rsidP="009C426C">
            <w:pPr>
              <w:spacing w:after="0" w:line="254" w:lineRule="auto"/>
              <w:rPr>
                <w:rFonts w:ascii="Verdana" w:eastAsia="Calibri" w:hAnsi="Verdana" w:cs="Times New Roman"/>
                <w:sz w:val="16"/>
                <w:szCs w:val="16"/>
              </w:rPr>
            </w:pPr>
            <w:r w:rsidRPr="00DA61E0">
              <w:rPr>
                <w:rFonts w:ascii="Verdana" w:eastAsia="Calibri" w:hAnsi="Verdana" w:cs="Times New Roman"/>
                <w:sz w:val="16"/>
                <w:szCs w:val="16"/>
              </w:rPr>
              <w:t>Alejandro R. Sarmiento Cantillo</w:t>
            </w:r>
          </w:p>
          <w:p w14:paraId="1B5C2708" w14:textId="77777777" w:rsidR="002A259F" w:rsidRPr="00DA61E0" w:rsidRDefault="002A259F" w:rsidP="009C426C">
            <w:pPr>
              <w:spacing w:after="0" w:line="254" w:lineRule="auto"/>
              <w:rPr>
                <w:rFonts w:ascii="Verdana" w:eastAsia="Calibri" w:hAnsi="Verdana" w:cs="Times New Roman"/>
                <w:sz w:val="16"/>
                <w:szCs w:val="16"/>
              </w:rPr>
            </w:pPr>
            <w:r w:rsidRPr="00DA61E0">
              <w:rPr>
                <w:rFonts w:ascii="Verdana" w:eastAsia="Calibri" w:hAnsi="Verdana" w:cs="Times New Roman"/>
                <w:sz w:val="16"/>
                <w:szCs w:val="16"/>
              </w:rPr>
              <w:t>Gestor T1-15 de la Subdirección de Gestión Contractual </w:t>
            </w:r>
          </w:p>
        </w:tc>
      </w:tr>
      <w:tr w:rsidR="002A259F" w:rsidRPr="00DA61E0" w14:paraId="0557BA19" w14:textId="77777777" w:rsidTr="009C426C">
        <w:trPr>
          <w:trHeight w:val="389"/>
        </w:trPr>
        <w:tc>
          <w:tcPr>
            <w:tcW w:w="817" w:type="dxa"/>
            <w:tcBorders>
              <w:top w:val="nil"/>
              <w:left w:val="nil"/>
              <w:bottom w:val="nil"/>
              <w:right w:val="nil"/>
            </w:tcBorders>
            <w:vAlign w:val="center"/>
            <w:hideMark/>
          </w:tcPr>
          <w:p w14:paraId="1FECC62F" w14:textId="77777777" w:rsidR="002A259F" w:rsidRPr="00DA61E0" w:rsidRDefault="002A259F" w:rsidP="009C426C">
            <w:pPr>
              <w:spacing w:after="0" w:line="254" w:lineRule="auto"/>
              <w:rPr>
                <w:rFonts w:ascii="Verdana" w:eastAsia="Calibri" w:hAnsi="Verdana" w:cs="Times New Roman"/>
                <w:sz w:val="16"/>
                <w:szCs w:val="16"/>
              </w:rPr>
            </w:pPr>
            <w:r w:rsidRPr="00DA61E0">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97BC6EC" w14:textId="77777777" w:rsidR="002A259F" w:rsidRPr="00DA61E0" w:rsidRDefault="002A259F" w:rsidP="009C426C">
            <w:pPr>
              <w:spacing w:after="0" w:line="254" w:lineRule="auto"/>
              <w:rPr>
                <w:rFonts w:ascii="Verdana" w:eastAsia="Calibri" w:hAnsi="Verdana" w:cs="Times New Roman"/>
                <w:sz w:val="16"/>
                <w:szCs w:val="16"/>
              </w:rPr>
            </w:pPr>
            <w:r w:rsidRPr="00DA61E0">
              <w:rPr>
                <w:rFonts w:ascii="Verdana" w:eastAsia="Calibri" w:hAnsi="Verdana" w:cs="Times New Roman"/>
                <w:sz w:val="16"/>
                <w:szCs w:val="16"/>
              </w:rPr>
              <w:t>Carolina Quintero Gacharná</w:t>
            </w:r>
          </w:p>
          <w:p w14:paraId="7C8B415E" w14:textId="77777777" w:rsidR="002A259F" w:rsidRPr="00DA61E0" w:rsidRDefault="002A259F" w:rsidP="009C426C">
            <w:pPr>
              <w:spacing w:after="0" w:line="254" w:lineRule="auto"/>
              <w:rPr>
                <w:rFonts w:ascii="Verdana" w:eastAsia="Calibri" w:hAnsi="Verdana" w:cs="Times New Roman"/>
                <w:sz w:val="16"/>
                <w:szCs w:val="16"/>
              </w:rPr>
            </w:pPr>
            <w:r w:rsidRPr="00DA61E0">
              <w:rPr>
                <w:rFonts w:ascii="Verdana" w:eastAsia="Calibri" w:hAnsi="Verdana" w:cs="Times New Roman"/>
                <w:sz w:val="16"/>
                <w:szCs w:val="16"/>
              </w:rPr>
              <w:t>Subdirectora de Gestión Contractual ANCP – CCE</w:t>
            </w:r>
          </w:p>
        </w:tc>
      </w:tr>
    </w:tbl>
    <w:p w14:paraId="118B09CE" w14:textId="17E3D58B" w:rsidR="002A259F" w:rsidRPr="000E2B93" w:rsidRDefault="002A259F" w:rsidP="002A259F">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73C61EC8" w14:textId="285376A2" w:rsidR="00EB224C" w:rsidRPr="002A259F" w:rsidRDefault="00EB224C" w:rsidP="002A259F"/>
    <w:sectPr w:rsidR="00EB224C" w:rsidRPr="002A259F" w:rsidSect="007C0C0F">
      <w:headerReference w:type="default" r:id="rId31"/>
      <w:footerReference w:type="default" r:id="rId3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C2283" w14:textId="77777777" w:rsidR="00DC10ED" w:rsidRDefault="00DC10ED" w:rsidP="004A1847">
      <w:pPr>
        <w:spacing w:after="0" w:line="240" w:lineRule="auto"/>
      </w:pPr>
      <w:r>
        <w:separator/>
      </w:r>
    </w:p>
  </w:endnote>
  <w:endnote w:type="continuationSeparator" w:id="0">
    <w:p w14:paraId="28FCDA25" w14:textId="77777777" w:rsidR="00DC10ED" w:rsidRDefault="00DC10E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mbria"/>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3332A8" w:rsidRDefault="003332A8">
    <w:pPr>
      <w:pStyle w:val="Piedepgina"/>
    </w:pPr>
  </w:p>
  <w:p w14:paraId="594D6D9F" w14:textId="6DC2C726"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1945F3" w:rsidRPr="001945F3">
      <w:rPr>
        <w:rFonts w:ascii="Verdana" w:eastAsiaTheme="minorEastAsia" w:hAnsi="Verdana"/>
        <w:b/>
        <w:bCs/>
        <w:noProof/>
        <w:sz w:val="16"/>
        <w:szCs w:val="16"/>
      </w:rPr>
      <w:t>21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6D927" w14:textId="77777777" w:rsidR="00DC10ED" w:rsidRDefault="00DC10ED" w:rsidP="004A1847">
      <w:pPr>
        <w:spacing w:after="0" w:line="240" w:lineRule="auto"/>
      </w:pPr>
      <w:r>
        <w:separator/>
      </w:r>
    </w:p>
  </w:footnote>
  <w:footnote w:type="continuationSeparator" w:id="0">
    <w:p w14:paraId="6E768597" w14:textId="77777777" w:rsidR="00DC10ED" w:rsidRDefault="00DC10ED" w:rsidP="004A1847">
      <w:pPr>
        <w:spacing w:after="0" w:line="240" w:lineRule="auto"/>
      </w:pPr>
      <w:r>
        <w:continuationSeparator/>
      </w:r>
    </w:p>
  </w:footnote>
  <w:footnote w:id="1">
    <w:p w14:paraId="66907CD7" w14:textId="77777777" w:rsidR="002A259F" w:rsidRPr="00217058" w:rsidRDefault="002A259F" w:rsidP="002A259F">
      <w:pPr>
        <w:pStyle w:val="NormalWeb"/>
        <w:shd w:val="clear" w:color="auto" w:fill="FFFFFF"/>
        <w:spacing w:before="0" w:beforeAutospacing="0" w:after="0" w:afterAutospacing="0"/>
        <w:ind w:firstLine="708"/>
        <w:jc w:val="both"/>
        <w:rPr>
          <w:rFonts w:ascii="Verdana" w:hAnsi="Verdana" w:cs="Arial"/>
          <w:sz w:val="16"/>
          <w:szCs w:val="16"/>
          <w:lang w:eastAsia="en-US"/>
        </w:rPr>
      </w:pPr>
      <w:r w:rsidRPr="00217058">
        <w:rPr>
          <w:rStyle w:val="Refdenotaalpie"/>
          <w:rFonts w:ascii="Verdana" w:hAnsi="Verdana" w:cs="Arial"/>
          <w:sz w:val="16"/>
          <w:szCs w:val="16"/>
        </w:rPr>
        <w:footnoteRef/>
      </w:r>
      <w:r w:rsidRPr="00217058">
        <w:rPr>
          <w:rFonts w:ascii="Verdana" w:hAnsi="Verdana" w:cs="Arial"/>
          <w:sz w:val="16"/>
          <w:szCs w:val="16"/>
        </w:rPr>
        <w:t xml:space="preserve"> </w:t>
      </w:r>
      <w:r w:rsidRPr="00217058">
        <w:rPr>
          <w:rFonts w:ascii="Verdana" w:hAnsi="Verdana" w:cs="Arial"/>
          <w:bCs/>
          <w:sz w:val="16"/>
          <w:szCs w:val="16"/>
        </w:rPr>
        <w:t>Artículo 2.20.1.1.4. Promesa de contrato de proveeduría.</w:t>
      </w:r>
      <w:r w:rsidRPr="00217058">
        <w:rPr>
          <w:rFonts w:ascii="Verdana" w:hAnsi="Verdana" w:cs="Arial"/>
          <w:sz w:val="16"/>
          <w:szCs w:val="16"/>
        </w:rPr>
        <w:t> Las entidades que contraten con recursos públicos la adquisición, suministro y entrega de alimentos en cualquiera de sus modalidades de atención, solicitarán a los proponentes en el pliego de condiciones, una promesa de contrato de proveeduría con los pequeños productores agropecuarios locales y/o productores de la Agricultura Campesina, Familiar y Comunitaria locales y sus organizaciones, que se encuentren en el registro de productores individuales y/u organizaciones de productores consolidado por las secretarías departamentales de agricultura o quien haga sus veces, o en el Sistema Público de Información Alimentaria una vez entre en operación, dando cumplimiento a la normatividad de protección de datos personales vigente.</w:t>
      </w:r>
    </w:p>
    <w:p w14:paraId="50123506" w14:textId="77777777" w:rsidR="002A259F" w:rsidRPr="00217058" w:rsidRDefault="002A259F" w:rsidP="002A259F">
      <w:pPr>
        <w:pStyle w:val="NormalWeb"/>
        <w:shd w:val="clear" w:color="auto" w:fill="FFFFFF"/>
        <w:spacing w:before="0" w:beforeAutospacing="0" w:after="0" w:afterAutospacing="0"/>
        <w:ind w:firstLine="708"/>
        <w:jc w:val="both"/>
        <w:rPr>
          <w:rFonts w:ascii="Verdana" w:hAnsi="Verdana" w:cs="Arial"/>
          <w:sz w:val="16"/>
          <w:szCs w:val="16"/>
        </w:rPr>
      </w:pPr>
      <w:r w:rsidRPr="00217058">
        <w:rPr>
          <w:rFonts w:ascii="Verdana" w:hAnsi="Verdana" w:cs="Arial"/>
          <w:sz w:val="16"/>
          <w:szCs w:val="16"/>
        </w:rPr>
        <w:t>La promesa de contrato de proveeduría de que trata el presente artículo deberá constar por escrito y tener como mínimo el siguiente contenido: identificación del productor y del oferente, producto y variedad(es) del producto agropecuario que se requiere, cantidad (unidades o peso), de compra del proponente .al productor, fecha y lugar de entrega de los productos agropecuarios; condiciones de embalaje o empaque de estos; y la intención de la compra de productos agropecuarios.</w:t>
      </w:r>
    </w:p>
    <w:p w14:paraId="6588F6C0" w14:textId="77777777" w:rsidR="002A259F" w:rsidRPr="00217058" w:rsidRDefault="002A259F" w:rsidP="002A259F">
      <w:pPr>
        <w:pStyle w:val="NormalWeb"/>
        <w:shd w:val="clear" w:color="auto" w:fill="FFFFFF"/>
        <w:spacing w:before="0" w:beforeAutospacing="0" w:after="0" w:afterAutospacing="0"/>
        <w:ind w:firstLine="708"/>
        <w:jc w:val="both"/>
        <w:rPr>
          <w:rFonts w:ascii="Verdana" w:hAnsi="Verdana" w:cs="Arial"/>
          <w:sz w:val="16"/>
          <w:szCs w:val="16"/>
        </w:rPr>
      </w:pPr>
      <w:r w:rsidRPr="00217058">
        <w:rPr>
          <w:rFonts w:ascii="Verdana" w:hAnsi="Verdana" w:cs="Arial"/>
          <w:bCs/>
          <w:sz w:val="16"/>
          <w:szCs w:val="16"/>
        </w:rPr>
        <w:t>Parágrafo.</w:t>
      </w:r>
      <w:r w:rsidRPr="00217058">
        <w:rPr>
          <w:rFonts w:ascii="Verdana" w:hAnsi="Verdana" w:cs="Arial"/>
          <w:sz w:val="16"/>
          <w:szCs w:val="16"/>
        </w:rPr>
        <w:t> En caso de presentarse promesa de contrato de proveeduría, la entidad contratante deberá verificar como requisito de ejecución que el contratista haya celebrado el contrato de proveeduría con los pequeños productores y/o productores de la Agricultura Campesina, Familiar o Comunitaria locales y sus organizaciones».</w:t>
      </w:r>
    </w:p>
  </w:footnote>
  <w:footnote w:id="2">
    <w:p w14:paraId="526F2035" w14:textId="77777777" w:rsidR="002A259F" w:rsidRPr="00217058" w:rsidRDefault="002A259F" w:rsidP="002A259F">
      <w:pPr>
        <w:pStyle w:val="Textonotapie"/>
        <w:ind w:firstLine="708"/>
        <w:jc w:val="both"/>
        <w:rPr>
          <w:rFonts w:ascii="Verdana" w:hAnsi="Verdana" w:cs="Arial"/>
          <w:sz w:val="16"/>
          <w:szCs w:val="16"/>
          <w:lang w:val="es-CO"/>
        </w:rPr>
      </w:pPr>
      <w:r w:rsidRPr="00217058">
        <w:rPr>
          <w:rStyle w:val="Refdenotaalpie"/>
          <w:rFonts w:ascii="Verdana" w:hAnsi="Verdana" w:cs="Arial"/>
          <w:sz w:val="16"/>
          <w:szCs w:val="16"/>
        </w:rPr>
        <w:footnoteRef/>
      </w:r>
      <w:r w:rsidRPr="00217058">
        <w:rPr>
          <w:rFonts w:ascii="Verdana" w:hAnsi="Verdana" w:cs="Arial"/>
          <w:sz w:val="16"/>
          <w:szCs w:val="16"/>
        </w:rPr>
        <w:t xml:space="preserve"> </w:t>
      </w:r>
      <w:r w:rsidRPr="00217058">
        <w:rPr>
          <w:rFonts w:ascii="Verdana" w:hAnsi="Verdana" w:cs="Arial"/>
          <w:sz w:val="16"/>
          <w:szCs w:val="16"/>
          <w:lang w:val="es-CO"/>
        </w:rPr>
        <w:t xml:space="preserve">Riccardo Guastini señala sobre la interpretación sistemática lo siguiente: </w:t>
      </w:r>
      <w:r w:rsidRPr="00217058">
        <w:rPr>
          <w:rFonts w:ascii="Verdana" w:hAnsi="Verdana" w:cs="Arial"/>
          <w:sz w:val="16"/>
          <w:szCs w:val="16"/>
        </w:rPr>
        <w:t>«</w:t>
      </w:r>
      <w:r w:rsidRPr="00217058">
        <w:rPr>
          <w:rFonts w:ascii="Verdana" w:hAnsi="Verdana" w:cs="Arial"/>
          <w:sz w:val="16"/>
          <w:szCs w:val="16"/>
          <w:lang w:val="es-CO"/>
        </w:rPr>
        <w:t xml:space="preserve">Grosso modo, se llama sistemática toda interpretación que deduzca el significado de una disposición de su colocación en el “sistema” del derecho: unas veces en el sistema jurídico en su conjunto, más frecuentemente, en su subsistema del sistema jurídico total, es decir, en el conjunto de disposiciones que disciplinan una </w:t>
      </w:r>
      <w:proofErr w:type="gramStart"/>
      <w:r w:rsidRPr="00217058">
        <w:rPr>
          <w:rFonts w:ascii="Verdana" w:hAnsi="Verdana" w:cs="Arial"/>
          <w:sz w:val="16"/>
          <w:szCs w:val="16"/>
          <w:lang w:val="es-CO"/>
        </w:rPr>
        <w:t>determinada materia o una determinada institución</w:t>
      </w:r>
      <w:proofErr w:type="gramEnd"/>
      <w:r w:rsidRPr="00217058">
        <w:rPr>
          <w:rFonts w:ascii="Verdana" w:hAnsi="Verdana" w:cs="Arial"/>
          <w:sz w:val="16"/>
          <w:szCs w:val="16"/>
          <w:lang w:val="es-CO"/>
        </w:rPr>
        <w:t xml:space="preserve">. El sistema jurídico y los subsistemas que lo componen se conciben generalmente como conjuntos de normas coherentes (carentes de contradicciones o antinomias) y completos (carentes de lagunas). </w:t>
      </w:r>
    </w:p>
    <w:p w14:paraId="0C335FC8" w14:textId="77777777" w:rsidR="002A259F" w:rsidRPr="00217058" w:rsidRDefault="002A259F" w:rsidP="002A259F">
      <w:pPr>
        <w:pStyle w:val="Textonotapie"/>
        <w:ind w:firstLine="708"/>
        <w:jc w:val="both"/>
        <w:rPr>
          <w:rFonts w:ascii="Verdana" w:hAnsi="Verdana" w:cs="Arial"/>
          <w:sz w:val="16"/>
          <w:szCs w:val="16"/>
          <w:lang w:val="es-CO"/>
        </w:rPr>
      </w:pPr>
      <w:r w:rsidRPr="00217058">
        <w:rPr>
          <w:rFonts w:ascii="Verdana" w:hAnsi="Verdana" w:cs="Arial"/>
          <w:sz w:val="16"/>
          <w:szCs w:val="16"/>
          <w:lang w:val="es-CO"/>
        </w:rPr>
        <w:t>En la práctica, se hace interpretación sistemática siempre que, para decidir el significado de una disposición, no se atiende a la disposición aisladamente considerada, sino al contexto en el que esté situada. Tal contexto puede ser más o menos amplio: los demás apartados de un mismo artículo, el resto de los artículos en una misma ley, hasta llegar incluso a la totalidad de las disposiciones que componen el sistema jurídico</w:t>
      </w:r>
      <w:r w:rsidRPr="00217058">
        <w:rPr>
          <w:rFonts w:ascii="Verdana" w:hAnsi="Verdana" w:cs="Arial"/>
          <w:sz w:val="16"/>
          <w:szCs w:val="16"/>
        </w:rPr>
        <w:t>”</w:t>
      </w:r>
      <w:r w:rsidRPr="00217058">
        <w:rPr>
          <w:rFonts w:ascii="Verdana" w:hAnsi="Verdana" w:cs="Arial"/>
          <w:sz w:val="16"/>
          <w:szCs w:val="16"/>
          <w:lang w:val="es-CO"/>
        </w:rPr>
        <w:t xml:space="preserve"> (GUASTINI, Riccardo. Estudios sobre la interpretación jurídica. México: UNAM, 1999. p. 43).  </w:t>
      </w:r>
    </w:p>
  </w:footnote>
  <w:footnote w:id="3">
    <w:p w14:paraId="29EE3CEC" w14:textId="77777777" w:rsidR="002A259F" w:rsidRPr="00217058" w:rsidRDefault="002A259F" w:rsidP="002A259F">
      <w:pPr>
        <w:spacing w:after="0" w:line="240" w:lineRule="auto"/>
        <w:ind w:firstLine="708"/>
        <w:jc w:val="both"/>
        <w:rPr>
          <w:rFonts w:ascii="Verdana" w:hAnsi="Verdana"/>
          <w:sz w:val="16"/>
          <w:szCs w:val="16"/>
        </w:rPr>
      </w:pPr>
      <w:r w:rsidRPr="00217058">
        <w:rPr>
          <w:rFonts w:ascii="Verdana" w:hAnsi="Verdana"/>
          <w:sz w:val="16"/>
          <w:szCs w:val="16"/>
          <w:vertAlign w:val="superscript"/>
        </w:rPr>
        <w:footnoteRef/>
      </w:r>
      <w:r w:rsidRPr="00217058">
        <w:rPr>
          <w:rFonts w:ascii="Verdana" w:hAnsi="Verdana"/>
          <w:sz w:val="16"/>
          <w:szCs w:val="16"/>
        </w:rPr>
        <w:t xml:space="preserve"> CONSEJO DE ESTADO. Sección Tercera. Subsección A. Sentencia de única instancia de 27 de octubre de 2023. </w:t>
      </w:r>
      <w:proofErr w:type="spellStart"/>
      <w:r w:rsidRPr="00217058">
        <w:rPr>
          <w:rFonts w:ascii="Verdana" w:hAnsi="Verdana"/>
          <w:sz w:val="16"/>
          <w:szCs w:val="16"/>
        </w:rPr>
        <w:t>Exp</w:t>
      </w:r>
      <w:proofErr w:type="spellEnd"/>
      <w:r w:rsidRPr="00217058">
        <w:rPr>
          <w:rFonts w:ascii="Verdana" w:hAnsi="Verdana"/>
          <w:sz w:val="16"/>
          <w:szCs w:val="16"/>
        </w:rPr>
        <w:t xml:space="preserve">. 60291. C.P. José Roberto Sáchica Méndez. </w:t>
      </w:r>
    </w:p>
  </w:footnote>
  <w:footnote w:id="4">
    <w:p w14:paraId="33A3E53B" w14:textId="77777777" w:rsidR="002A259F" w:rsidRPr="00217058" w:rsidRDefault="002A259F" w:rsidP="002A259F">
      <w:pPr>
        <w:spacing w:after="0" w:line="240" w:lineRule="auto"/>
        <w:ind w:firstLine="708"/>
        <w:jc w:val="both"/>
        <w:rPr>
          <w:rFonts w:ascii="Verdana" w:hAnsi="Verdana"/>
          <w:sz w:val="16"/>
          <w:szCs w:val="16"/>
        </w:rPr>
      </w:pPr>
      <w:r w:rsidRPr="00217058">
        <w:rPr>
          <w:rFonts w:ascii="Verdana" w:hAnsi="Verdana"/>
          <w:sz w:val="16"/>
          <w:szCs w:val="16"/>
          <w:vertAlign w:val="superscript"/>
        </w:rPr>
        <w:footnoteRef/>
      </w:r>
      <w:r w:rsidRPr="00217058">
        <w:rPr>
          <w:rFonts w:ascii="Verdana" w:hAnsi="Verdana"/>
          <w:sz w:val="16"/>
          <w:szCs w:val="16"/>
        </w:rPr>
        <w:t xml:space="preserve"> </w:t>
      </w:r>
      <w:r w:rsidRPr="00217058">
        <w:rPr>
          <w:rFonts w:ascii="Verdana" w:eastAsia="Verdana" w:hAnsi="Verdana" w:cs="Verdana"/>
          <w:sz w:val="16"/>
          <w:szCs w:val="16"/>
        </w:rPr>
        <w:t xml:space="preserve">CONSEJO DE ESTADO. Sección Tercera, Subsección A. Sentencia de 18 de noviembre de 2024. </w:t>
      </w:r>
      <w:proofErr w:type="spellStart"/>
      <w:r w:rsidRPr="00217058">
        <w:rPr>
          <w:rFonts w:ascii="Verdana" w:eastAsia="Verdana" w:hAnsi="Verdana" w:cs="Verdana"/>
          <w:sz w:val="16"/>
          <w:szCs w:val="16"/>
        </w:rPr>
        <w:t>Exp</w:t>
      </w:r>
      <w:proofErr w:type="spellEnd"/>
      <w:r w:rsidRPr="00217058">
        <w:rPr>
          <w:rFonts w:ascii="Verdana" w:eastAsia="Verdana" w:hAnsi="Verdana" w:cs="Verdana"/>
          <w:sz w:val="16"/>
          <w:szCs w:val="16"/>
        </w:rPr>
        <w:t xml:space="preserve">. 66750. C.P. María Adriana Marín. </w:t>
      </w:r>
    </w:p>
  </w:footnote>
  <w:footnote w:id="5">
    <w:p w14:paraId="319DC474" w14:textId="77777777" w:rsidR="002A259F" w:rsidRPr="00217058" w:rsidRDefault="002A259F" w:rsidP="002A259F">
      <w:pPr>
        <w:spacing w:after="0" w:line="240" w:lineRule="auto"/>
        <w:ind w:firstLine="708"/>
        <w:jc w:val="both"/>
        <w:rPr>
          <w:rFonts w:ascii="Verdana" w:hAnsi="Verdana"/>
          <w:sz w:val="16"/>
          <w:szCs w:val="16"/>
          <w:highlight w:val="white"/>
        </w:rPr>
      </w:pPr>
      <w:r w:rsidRPr="00217058">
        <w:rPr>
          <w:rFonts w:ascii="Verdana" w:hAnsi="Verdana"/>
          <w:sz w:val="16"/>
          <w:szCs w:val="16"/>
          <w:vertAlign w:val="superscript"/>
        </w:rPr>
        <w:footnoteRef/>
      </w:r>
      <w:r w:rsidRPr="00217058">
        <w:rPr>
          <w:rFonts w:ascii="Verdana" w:hAnsi="Verdana"/>
          <w:sz w:val="16"/>
          <w:szCs w:val="16"/>
          <w:highlight w:val="white"/>
        </w:rPr>
        <w:t xml:space="preserve"> </w:t>
      </w:r>
      <w:r w:rsidRPr="00217058">
        <w:rPr>
          <w:rFonts w:ascii="Verdana" w:eastAsia="Verdana" w:hAnsi="Verdana" w:cs="Verdana"/>
          <w:sz w:val="16"/>
          <w:szCs w:val="16"/>
          <w:highlight w:val="white"/>
        </w:rPr>
        <w:t xml:space="preserve">CONSEJO DE ESTADO. Sección Tercera. Subsección B. Sentencia de única instancia de 19 de agosto de 2025. </w:t>
      </w:r>
      <w:proofErr w:type="spellStart"/>
      <w:r w:rsidRPr="00217058">
        <w:rPr>
          <w:rFonts w:ascii="Verdana" w:eastAsia="Verdana" w:hAnsi="Verdana" w:cs="Verdana"/>
          <w:sz w:val="16"/>
          <w:szCs w:val="16"/>
          <w:highlight w:val="white"/>
        </w:rPr>
        <w:t>Exp</w:t>
      </w:r>
      <w:proofErr w:type="spellEnd"/>
      <w:r w:rsidRPr="00217058">
        <w:rPr>
          <w:rFonts w:ascii="Verdana" w:eastAsia="Verdana" w:hAnsi="Verdana" w:cs="Verdana"/>
          <w:sz w:val="16"/>
          <w:szCs w:val="16"/>
          <w:highlight w:val="white"/>
        </w:rPr>
        <w:t xml:space="preserve">. 66.633. C.P. (E.) Fredy Ibarra Martínez y Sección Tercera, Subsección B, auto del 26 de marzo de 2025, expediente 71.869, M. P.  Fredy Ibarra Martínez.  </w:t>
      </w:r>
    </w:p>
  </w:footnote>
  <w:footnote w:id="6">
    <w:p w14:paraId="0C865C94" w14:textId="77777777" w:rsidR="002A259F" w:rsidRPr="00217058" w:rsidRDefault="002A259F" w:rsidP="002A259F">
      <w:pPr>
        <w:spacing w:after="0" w:line="240" w:lineRule="auto"/>
        <w:ind w:firstLine="708"/>
        <w:jc w:val="both"/>
        <w:rPr>
          <w:rFonts w:ascii="Verdana" w:hAnsi="Verdana"/>
          <w:sz w:val="16"/>
          <w:szCs w:val="16"/>
        </w:rPr>
      </w:pPr>
      <w:r w:rsidRPr="00217058">
        <w:rPr>
          <w:rFonts w:ascii="Verdana" w:hAnsi="Verdana"/>
          <w:sz w:val="16"/>
          <w:szCs w:val="16"/>
          <w:vertAlign w:val="superscript"/>
        </w:rPr>
        <w:footnoteRef/>
      </w:r>
      <w:r w:rsidRPr="00217058">
        <w:rPr>
          <w:rFonts w:ascii="Verdana" w:hAnsi="Verdana"/>
          <w:sz w:val="16"/>
          <w:szCs w:val="16"/>
        </w:rPr>
        <w:t xml:space="preserve"> </w:t>
      </w:r>
      <w:r w:rsidRPr="00217058">
        <w:rPr>
          <w:rFonts w:ascii="Verdana" w:eastAsia="Verdana" w:hAnsi="Verdana" w:cs="Verdana"/>
          <w:sz w:val="16"/>
          <w:szCs w:val="16"/>
        </w:rPr>
        <w:t xml:space="preserve">CONSEJO DE ESTADO. Sección Tercera. Subsección B. Auto de 3 de septiembre de 2025. </w:t>
      </w:r>
      <w:proofErr w:type="spellStart"/>
      <w:r w:rsidRPr="00217058">
        <w:rPr>
          <w:rFonts w:ascii="Verdana" w:eastAsia="Verdana" w:hAnsi="Verdana" w:cs="Verdana"/>
          <w:sz w:val="16"/>
          <w:szCs w:val="16"/>
        </w:rPr>
        <w:t>Exp</w:t>
      </w:r>
      <w:proofErr w:type="spellEnd"/>
      <w:r w:rsidRPr="00217058">
        <w:rPr>
          <w:rFonts w:ascii="Verdana" w:eastAsia="Verdana" w:hAnsi="Verdana" w:cs="Verdana"/>
          <w:sz w:val="16"/>
          <w:szCs w:val="16"/>
        </w:rPr>
        <w:t xml:space="preserve">. 72.599. C.P. Fredy Ibarra Martínez. </w:t>
      </w:r>
    </w:p>
  </w:footnote>
  <w:footnote w:id="7">
    <w:p w14:paraId="199A435A" w14:textId="77777777" w:rsidR="002A259F" w:rsidRPr="00217058" w:rsidRDefault="002A259F" w:rsidP="002A259F">
      <w:pPr>
        <w:spacing w:after="0" w:line="240" w:lineRule="auto"/>
        <w:ind w:firstLine="708"/>
        <w:jc w:val="both"/>
        <w:rPr>
          <w:rFonts w:ascii="Verdana" w:eastAsia="Verdana" w:hAnsi="Verdana" w:cs="Verdana"/>
          <w:sz w:val="16"/>
          <w:szCs w:val="16"/>
        </w:rPr>
      </w:pPr>
      <w:r w:rsidRPr="00217058">
        <w:rPr>
          <w:rFonts w:ascii="Verdana" w:hAnsi="Verdana"/>
          <w:sz w:val="16"/>
          <w:szCs w:val="16"/>
          <w:vertAlign w:val="superscript"/>
        </w:rPr>
        <w:footnoteRef/>
      </w:r>
      <w:r w:rsidRPr="00217058">
        <w:rPr>
          <w:rFonts w:ascii="Verdana" w:hAnsi="Verdana"/>
          <w:sz w:val="16"/>
          <w:szCs w:val="16"/>
        </w:rPr>
        <w:t xml:space="preserve"> </w:t>
      </w:r>
      <w:r w:rsidRPr="00217058">
        <w:rPr>
          <w:rFonts w:ascii="Verdana" w:eastAsia="Verdana" w:hAnsi="Verdana" w:cs="Verdana"/>
          <w:sz w:val="16"/>
          <w:szCs w:val="16"/>
        </w:rPr>
        <w:t xml:space="preserve">Para estos efectos, se citan las siguientes sentencias: Consejo de Estado, Sala Plena de lo Contencioso Administrativo, sentencia del 14 de febrero de 2012, expediente no. 11001-03-26-000-2010-00036-01 (IJ), CP Jaime Orlando Santofimio Gamboa; Consejo de Estado, Sala de lo Contencioso Administrativo, Sección Tercera, sentencia del 30 de noviembre de 2006, expediente no. 18.059, CP Alier E. Hernández Enríquez; Consejo de Estado, Sala de lo Contencioso Administrativo, Sección Tercera, Subsección B, sentencia del 30 de noviembre de 2023, expediente no. 69.108, CP Fredy Ibarra Martínez. </w:t>
      </w:r>
    </w:p>
  </w:footnote>
  <w:footnote w:id="8">
    <w:p w14:paraId="4E16A644" w14:textId="77777777" w:rsidR="002A259F" w:rsidRPr="00217058" w:rsidRDefault="002A259F" w:rsidP="002A259F">
      <w:pPr>
        <w:spacing w:after="0" w:line="240" w:lineRule="auto"/>
        <w:ind w:firstLine="708"/>
        <w:jc w:val="both"/>
        <w:rPr>
          <w:rFonts w:ascii="Verdana" w:hAnsi="Verdana"/>
          <w:sz w:val="16"/>
          <w:szCs w:val="16"/>
        </w:rPr>
      </w:pPr>
      <w:r w:rsidRPr="00217058">
        <w:rPr>
          <w:rFonts w:ascii="Verdana" w:hAnsi="Verdana"/>
          <w:sz w:val="16"/>
          <w:szCs w:val="16"/>
          <w:vertAlign w:val="superscript"/>
        </w:rPr>
        <w:footnoteRef/>
      </w:r>
      <w:r w:rsidRPr="00217058">
        <w:rPr>
          <w:rFonts w:ascii="Verdana" w:eastAsia="Verdana" w:hAnsi="Verdana" w:cs="Verdana"/>
          <w:sz w:val="16"/>
          <w:szCs w:val="16"/>
        </w:rPr>
        <w:t xml:space="preserve"> CONSEJO DE ESTADO. Sección Tercera. Subsección A. Sentencia de segunda instancia de 19 de mayo de 2025. </w:t>
      </w:r>
      <w:proofErr w:type="spellStart"/>
      <w:r w:rsidRPr="00217058">
        <w:rPr>
          <w:rFonts w:ascii="Verdana" w:eastAsia="Verdana" w:hAnsi="Verdana" w:cs="Verdana"/>
          <w:sz w:val="16"/>
          <w:szCs w:val="16"/>
        </w:rPr>
        <w:t>Exp</w:t>
      </w:r>
      <w:proofErr w:type="spellEnd"/>
      <w:r w:rsidRPr="00217058">
        <w:rPr>
          <w:rFonts w:ascii="Verdana" w:eastAsia="Verdana" w:hAnsi="Verdana" w:cs="Verdana"/>
          <w:sz w:val="16"/>
          <w:szCs w:val="16"/>
        </w:rPr>
        <w:t xml:space="preserve">. 69.503. C.P. José Roberto Sáchica Méndez. </w:t>
      </w:r>
    </w:p>
  </w:footnote>
  <w:footnote w:id="9">
    <w:p w14:paraId="55F55EFC" w14:textId="77777777" w:rsidR="002A259F" w:rsidRPr="00217058" w:rsidRDefault="002A259F" w:rsidP="002A259F">
      <w:pPr>
        <w:pStyle w:val="Textonotapie"/>
        <w:ind w:firstLine="708"/>
        <w:jc w:val="both"/>
        <w:rPr>
          <w:rFonts w:ascii="Verdana" w:hAnsi="Verdana"/>
          <w:sz w:val="16"/>
          <w:szCs w:val="16"/>
          <w:lang w:val="es-CO"/>
        </w:rPr>
      </w:pPr>
      <w:r w:rsidRPr="00217058">
        <w:rPr>
          <w:rStyle w:val="Refdenotaalpie"/>
          <w:rFonts w:ascii="Verdana" w:hAnsi="Verdana"/>
          <w:sz w:val="16"/>
          <w:szCs w:val="16"/>
        </w:rPr>
        <w:footnoteRef/>
      </w:r>
      <w:bookmarkStart w:id="5" w:name="138"/>
      <w:r w:rsidRPr="00217058">
        <w:rPr>
          <w:rFonts w:ascii="Verdana" w:hAnsi="Verdana"/>
          <w:sz w:val="16"/>
          <w:szCs w:val="16"/>
          <w:lang w:val="es-CO"/>
        </w:rPr>
        <w:t>Artículo 138. Nulidad y Restablecimiento del Derecho.</w:t>
      </w:r>
      <w:bookmarkEnd w:id="5"/>
      <w:r w:rsidRPr="00217058">
        <w:rPr>
          <w:rFonts w:ascii="Verdana" w:hAnsi="Verdana"/>
          <w:sz w:val="16"/>
          <w:szCs w:val="16"/>
          <w:lang w:val="es-CO"/>
        </w:rPr>
        <w:t xml:space="preserve"> Toda persona que se crea lesionada en un derecho subjetivo amparado en una norma </w:t>
      </w:r>
      <w:proofErr w:type="gramStart"/>
      <w:r w:rsidRPr="00217058">
        <w:rPr>
          <w:rFonts w:ascii="Verdana" w:hAnsi="Verdana"/>
          <w:sz w:val="16"/>
          <w:szCs w:val="16"/>
          <w:lang w:val="es-CO"/>
        </w:rPr>
        <w:t>jurídica,</w:t>
      </w:r>
      <w:proofErr w:type="gramEnd"/>
      <w:r w:rsidRPr="00217058">
        <w:rPr>
          <w:rFonts w:ascii="Verdana" w:hAnsi="Verdana"/>
          <w:sz w:val="16"/>
          <w:szCs w:val="16"/>
          <w:lang w:val="es-CO"/>
        </w:rPr>
        <w:t xml:space="preserve"> podrá pedir que se declare la nulidad del acto administrativo particular, expreso o presunto, y se le restablezca el derecho; también podrá solicitar que se le repare el daño. La nulidad procederá por las mismas causales establecidas en el inciso segundo del artículo anterior.</w:t>
      </w:r>
    </w:p>
    <w:p w14:paraId="4149D30C" w14:textId="77777777" w:rsidR="002A259F" w:rsidRPr="00217058" w:rsidRDefault="002A259F" w:rsidP="002A259F">
      <w:pPr>
        <w:pStyle w:val="Textonotapie"/>
        <w:ind w:firstLine="708"/>
        <w:jc w:val="both"/>
        <w:rPr>
          <w:rFonts w:ascii="Verdana" w:hAnsi="Verdana"/>
          <w:sz w:val="16"/>
          <w:szCs w:val="16"/>
          <w:lang w:val="es-CO"/>
        </w:rPr>
      </w:pPr>
      <w:r w:rsidRPr="00217058">
        <w:rPr>
          <w:rFonts w:ascii="Verdana" w:hAnsi="Verdana"/>
          <w:sz w:val="16"/>
          <w:szCs w:val="16"/>
          <w:lang w:val="es-CO"/>
        </w:rPr>
        <w:t>Igualmente podrá pretenderse la nulidad del acto administrativo general y pedirse el restablecimiento del derecho directamente violado por este al particular demandante o la reparación del daño causado a dicho particular por el mismo, siempre y cuando la demanda se presente en tiempo, esto es, dentro de los cuatro (4) meses siguientes a su publicación. Si existe un acto intermedio, de ejecución o cumplimiento del acto general, el término anterior se contará a partir de la notificación de aquel.</w:t>
      </w:r>
    </w:p>
  </w:footnote>
  <w:footnote w:id="10">
    <w:p w14:paraId="4832439B" w14:textId="77777777" w:rsidR="002A259F" w:rsidRPr="00217058" w:rsidRDefault="002A259F" w:rsidP="002A259F">
      <w:pPr>
        <w:pStyle w:val="Textonotapie"/>
        <w:ind w:firstLine="708"/>
        <w:jc w:val="both"/>
        <w:rPr>
          <w:rFonts w:ascii="Verdana" w:hAnsi="Verdana"/>
          <w:sz w:val="16"/>
          <w:szCs w:val="16"/>
          <w:lang w:val="es-CO"/>
        </w:rPr>
      </w:pPr>
      <w:r w:rsidRPr="00217058">
        <w:rPr>
          <w:rStyle w:val="Refdenotaalpie"/>
          <w:rFonts w:ascii="Verdana" w:hAnsi="Verdana"/>
          <w:sz w:val="16"/>
          <w:szCs w:val="16"/>
        </w:rPr>
        <w:footnoteRef/>
      </w:r>
      <w:r w:rsidRPr="00217058">
        <w:rPr>
          <w:rFonts w:ascii="Verdana" w:hAnsi="Verdana"/>
          <w:sz w:val="16"/>
          <w:szCs w:val="16"/>
        </w:rPr>
        <w:t xml:space="preserve"> </w:t>
      </w:r>
      <w:bookmarkStart w:id="6" w:name="44"/>
      <w:r w:rsidRPr="00217058">
        <w:rPr>
          <w:rFonts w:ascii="Verdana" w:hAnsi="Verdana"/>
          <w:sz w:val="16"/>
          <w:szCs w:val="16"/>
          <w:lang w:val="es-CO"/>
        </w:rPr>
        <w:t>ARTÍCULO 44. DE LAS CAUSALES DE NULIDAD ABSOLUTA.</w:t>
      </w:r>
      <w:bookmarkEnd w:id="6"/>
      <w:r w:rsidRPr="00217058">
        <w:rPr>
          <w:rFonts w:ascii="Verdana" w:hAnsi="Verdana"/>
          <w:sz w:val="16"/>
          <w:szCs w:val="16"/>
          <w:lang w:val="es-CO"/>
        </w:rPr>
        <w:t xml:space="preserve"> Los contratos del Estado son absolutamente nulos en los casos previstos en el derecho común y además cuando:</w:t>
      </w:r>
    </w:p>
    <w:p w14:paraId="4B587FC1" w14:textId="77777777" w:rsidR="002A259F" w:rsidRPr="00217058" w:rsidRDefault="002A259F" w:rsidP="002A259F">
      <w:pPr>
        <w:pStyle w:val="Textonotapie"/>
        <w:ind w:firstLine="708"/>
        <w:jc w:val="both"/>
        <w:rPr>
          <w:rFonts w:ascii="Verdana" w:hAnsi="Verdana"/>
          <w:sz w:val="16"/>
          <w:szCs w:val="16"/>
          <w:lang w:val="es-CO"/>
        </w:rPr>
      </w:pPr>
      <w:r w:rsidRPr="00217058">
        <w:rPr>
          <w:rFonts w:ascii="Verdana" w:hAnsi="Verdana"/>
          <w:sz w:val="16"/>
          <w:szCs w:val="16"/>
          <w:lang w:val="es-CO"/>
        </w:rPr>
        <w:t>1o. Se celebren con personas incursas en causales de inhabilidad o incompatibilidad previstas en la Constitución y la ley;</w:t>
      </w:r>
    </w:p>
    <w:p w14:paraId="1D29DEEA" w14:textId="77777777" w:rsidR="002A259F" w:rsidRPr="00217058" w:rsidRDefault="002A259F" w:rsidP="002A259F">
      <w:pPr>
        <w:pStyle w:val="Textonotapie"/>
        <w:ind w:firstLine="708"/>
        <w:jc w:val="both"/>
        <w:rPr>
          <w:rFonts w:ascii="Verdana" w:hAnsi="Verdana"/>
          <w:sz w:val="16"/>
          <w:szCs w:val="16"/>
          <w:lang w:val="es-CO"/>
        </w:rPr>
      </w:pPr>
      <w:r w:rsidRPr="00217058">
        <w:rPr>
          <w:rFonts w:ascii="Verdana" w:hAnsi="Verdana"/>
          <w:sz w:val="16"/>
          <w:szCs w:val="16"/>
          <w:lang w:val="es-CO"/>
        </w:rPr>
        <w:t>2o. Se celebren contra expresa prohibición constitucional o legal;</w:t>
      </w:r>
    </w:p>
    <w:p w14:paraId="6A597BA4" w14:textId="77777777" w:rsidR="002A259F" w:rsidRPr="00217058" w:rsidRDefault="002A259F" w:rsidP="002A259F">
      <w:pPr>
        <w:pStyle w:val="Textonotapie"/>
        <w:ind w:firstLine="708"/>
        <w:jc w:val="both"/>
        <w:rPr>
          <w:rFonts w:ascii="Verdana" w:hAnsi="Verdana"/>
          <w:sz w:val="16"/>
          <w:szCs w:val="16"/>
          <w:lang w:val="es-CO"/>
        </w:rPr>
      </w:pPr>
      <w:r w:rsidRPr="00217058">
        <w:rPr>
          <w:rFonts w:ascii="Verdana" w:hAnsi="Verdana"/>
          <w:sz w:val="16"/>
          <w:szCs w:val="16"/>
          <w:lang w:val="es-CO"/>
        </w:rPr>
        <w:t>3o. Se celebren con abuso o desviación de poder;</w:t>
      </w:r>
    </w:p>
    <w:p w14:paraId="05E92B1B" w14:textId="77777777" w:rsidR="002A259F" w:rsidRPr="00217058" w:rsidRDefault="002A259F" w:rsidP="002A259F">
      <w:pPr>
        <w:pStyle w:val="Textonotapie"/>
        <w:ind w:firstLine="708"/>
        <w:jc w:val="both"/>
        <w:rPr>
          <w:rFonts w:ascii="Verdana" w:hAnsi="Verdana"/>
          <w:sz w:val="16"/>
          <w:szCs w:val="16"/>
          <w:lang w:val="es-CO"/>
        </w:rPr>
      </w:pPr>
      <w:r w:rsidRPr="00217058">
        <w:rPr>
          <w:rFonts w:ascii="Verdana" w:hAnsi="Verdana"/>
          <w:sz w:val="16"/>
          <w:szCs w:val="16"/>
          <w:lang w:val="es-CO"/>
        </w:rPr>
        <w:t>4o. Se declaren nulos los actos administrativos en que se fundamenten; y</w:t>
      </w:r>
    </w:p>
    <w:p w14:paraId="5D276D32" w14:textId="77777777" w:rsidR="002A259F" w:rsidRPr="00217058" w:rsidRDefault="002A259F" w:rsidP="002A259F">
      <w:pPr>
        <w:pStyle w:val="Textonotapie"/>
        <w:ind w:firstLine="708"/>
        <w:jc w:val="both"/>
        <w:rPr>
          <w:rFonts w:ascii="Verdana" w:hAnsi="Verdana"/>
          <w:sz w:val="16"/>
          <w:szCs w:val="16"/>
          <w:lang w:val="es-CO"/>
        </w:rPr>
      </w:pPr>
      <w:r w:rsidRPr="00217058">
        <w:rPr>
          <w:rFonts w:ascii="Verdana" w:hAnsi="Verdana"/>
          <w:sz w:val="16"/>
          <w:szCs w:val="16"/>
          <w:lang w:val="es-CO"/>
        </w:rPr>
        <w:t> </w:t>
      </w:r>
    </w:p>
    <w:p w14:paraId="4C94EE75" w14:textId="77777777" w:rsidR="002A259F" w:rsidRPr="00217058" w:rsidRDefault="002A259F" w:rsidP="002A259F">
      <w:pPr>
        <w:pStyle w:val="Textonotapie"/>
        <w:ind w:firstLine="708"/>
        <w:jc w:val="both"/>
        <w:rPr>
          <w:rFonts w:ascii="Verdana" w:hAnsi="Verdana"/>
          <w:sz w:val="16"/>
          <w:szCs w:val="16"/>
          <w:lang w:val="es-CO"/>
        </w:rPr>
      </w:pPr>
      <w:r w:rsidRPr="00217058">
        <w:rPr>
          <w:rFonts w:ascii="Verdana" w:hAnsi="Verdana"/>
          <w:sz w:val="16"/>
          <w:szCs w:val="16"/>
          <w:lang w:val="es-CO"/>
        </w:rPr>
        <w:t xml:space="preserve">5o. Se hubieren celebrado con desconocimiento de los criterios previstos en el artículo </w:t>
      </w:r>
      <w:hyperlink r:id="rId1" w:anchor="21" w:history="1">
        <w:r w:rsidRPr="00217058">
          <w:rPr>
            <w:rStyle w:val="Hipervnculo"/>
            <w:rFonts w:ascii="Verdana" w:hAnsi="Verdana"/>
            <w:sz w:val="16"/>
            <w:szCs w:val="16"/>
            <w:lang w:val="es-CO"/>
          </w:rPr>
          <w:t>21</w:t>
        </w:r>
      </w:hyperlink>
      <w:r w:rsidRPr="00217058">
        <w:rPr>
          <w:rFonts w:ascii="Verdana" w:hAnsi="Verdana"/>
          <w:sz w:val="16"/>
          <w:szCs w:val="16"/>
          <w:lang w:val="es-CO"/>
        </w:rPr>
        <w:t xml:space="preserve"> sobre tratamiento de ofertas nacionales y extranjeras o con violación de la reciprocidad de que trata esta ley.</w:t>
      </w:r>
    </w:p>
  </w:footnote>
  <w:footnote w:id="11">
    <w:p w14:paraId="088CC970" w14:textId="77777777" w:rsidR="002A259F" w:rsidRPr="00217058" w:rsidRDefault="002A259F" w:rsidP="002A259F">
      <w:pPr>
        <w:pStyle w:val="Textonotapie"/>
        <w:ind w:firstLine="708"/>
        <w:jc w:val="both"/>
        <w:rPr>
          <w:rFonts w:ascii="Verdana" w:hAnsi="Verdana"/>
          <w:sz w:val="16"/>
          <w:szCs w:val="16"/>
          <w:lang w:val="es-CO"/>
        </w:rPr>
      </w:pPr>
      <w:r w:rsidRPr="00217058">
        <w:rPr>
          <w:rStyle w:val="Refdenotaalpie"/>
          <w:rFonts w:ascii="Verdana" w:hAnsi="Verdana"/>
          <w:sz w:val="16"/>
          <w:szCs w:val="16"/>
        </w:rPr>
        <w:footnoteRef/>
      </w:r>
      <w:r w:rsidRPr="00217058">
        <w:rPr>
          <w:rFonts w:ascii="Verdana" w:hAnsi="Verdana"/>
          <w:sz w:val="16"/>
          <w:szCs w:val="16"/>
        </w:rPr>
        <w:t xml:space="preserve"> </w:t>
      </w:r>
      <w:bookmarkStart w:id="7" w:name="141"/>
      <w:r w:rsidRPr="00217058">
        <w:rPr>
          <w:rFonts w:ascii="Verdana" w:hAnsi="Verdana"/>
          <w:sz w:val="16"/>
          <w:szCs w:val="16"/>
          <w:lang w:val="es-CO"/>
        </w:rPr>
        <w:t>ARTÍCULO 141. CONTROVERSIAS CONTRACTUALES.</w:t>
      </w:r>
      <w:bookmarkEnd w:id="7"/>
      <w:r w:rsidRPr="00217058">
        <w:rPr>
          <w:rFonts w:ascii="Verdana" w:hAnsi="Verdana"/>
          <w:sz w:val="16"/>
          <w:szCs w:val="16"/>
          <w:lang w:val="es-CO"/>
        </w:rPr>
        <w:t xml:space="preserve"> Cualquiera de las partes de un contrato del Estado podrá pedir que se declare su existencia o su nulidad, que se ordene su revisión, que se declare su incumplimiento, que se declare la nulidad de los actos administrativos contractuales, que se condene al responsable a indemnizar los perjuicios, y que se hagan otras declaraciones y condenas. Así mismo, el interesado podrá solicitar la liquidación judicial del contrato cuando esta no se haya logrado de mutuo acuerdo y la entidad estatal no lo haya liquidado unilateralmente dentro de los dos (2) meses siguientes al vencimiento del plazo convenido para liquidar de mutuo acuerdo o, en su defecto, del término establecido por la ley.</w:t>
      </w:r>
    </w:p>
    <w:p w14:paraId="1C187361" w14:textId="77777777" w:rsidR="002A259F" w:rsidRPr="00217058" w:rsidRDefault="002A259F" w:rsidP="002A259F">
      <w:pPr>
        <w:pStyle w:val="Textonotapie"/>
        <w:ind w:firstLine="708"/>
        <w:jc w:val="both"/>
        <w:rPr>
          <w:rFonts w:ascii="Verdana" w:hAnsi="Verdana"/>
          <w:sz w:val="16"/>
          <w:szCs w:val="16"/>
          <w:lang w:val="es-CO"/>
        </w:rPr>
      </w:pPr>
      <w:r w:rsidRPr="00217058">
        <w:rPr>
          <w:rFonts w:ascii="Verdana" w:hAnsi="Verdana"/>
          <w:sz w:val="16"/>
          <w:szCs w:val="16"/>
          <w:lang w:val="es-CO"/>
        </w:rPr>
        <w:t xml:space="preserve">Los actos proferidos antes de la celebración del contrato, con ocasión de la actividad contractual, podrán demandarse en los términos de los artículos </w:t>
      </w:r>
      <w:hyperlink r:id="rId2" w:anchor="137" w:history="1">
        <w:r w:rsidRPr="00217058">
          <w:rPr>
            <w:rStyle w:val="Hipervnculo"/>
            <w:rFonts w:ascii="Verdana" w:hAnsi="Verdana"/>
            <w:color w:val="auto"/>
            <w:sz w:val="16"/>
            <w:szCs w:val="16"/>
            <w:lang w:val="es-CO"/>
          </w:rPr>
          <w:t>137</w:t>
        </w:r>
      </w:hyperlink>
      <w:r w:rsidRPr="00217058">
        <w:rPr>
          <w:rFonts w:ascii="Verdana" w:hAnsi="Verdana"/>
          <w:sz w:val="16"/>
          <w:szCs w:val="16"/>
          <w:lang w:val="es-CO"/>
        </w:rPr>
        <w:t xml:space="preserve"> y </w:t>
      </w:r>
      <w:hyperlink r:id="rId3" w:anchor="138" w:history="1">
        <w:r w:rsidRPr="00217058">
          <w:rPr>
            <w:rStyle w:val="Hipervnculo"/>
            <w:rFonts w:ascii="Verdana" w:hAnsi="Verdana"/>
            <w:color w:val="auto"/>
            <w:sz w:val="16"/>
            <w:szCs w:val="16"/>
            <w:lang w:val="es-CO"/>
          </w:rPr>
          <w:t>138</w:t>
        </w:r>
      </w:hyperlink>
      <w:r w:rsidRPr="00217058">
        <w:rPr>
          <w:rFonts w:ascii="Verdana" w:hAnsi="Verdana"/>
          <w:sz w:val="16"/>
          <w:szCs w:val="16"/>
          <w:lang w:val="es-CO"/>
        </w:rPr>
        <w:t xml:space="preserve"> de este Código, según el caso […]. </w:t>
      </w:r>
    </w:p>
    <w:p w14:paraId="710F11B9" w14:textId="77777777" w:rsidR="002A259F" w:rsidRPr="00914946" w:rsidRDefault="002A259F" w:rsidP="002A259F">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3332A8" w:rsidRDefault="003332A8">
    <w:pPr>
      <w:pStyle w:val="Encabezado"/>
    </w:pPr>
  </w:p>
  <w:p w14:paraId="5E18350A" w14:textId="705F7B76" w:rsidR="003332A8" w:rsidRPr="004A305D" w:rsidRDefault="003332A8" w:rsidP="00B01B1A">
    <w:pPr>
      <w:spacing w:after="0" w:line="120" w:lineRule="auto"/>
      <w:rPr>
        <w:rFonts w:ascii="Century Gothic" w:eastAsia="Geo" w:hAnsi="Century Gothic" w:cs="Geo"/>
        <w:sz w:val="16"/>
        <w:szCs w:val="16"/>
        <w:lang w:eastAsia="es-CO"/>
      </w:rPr>
    </w:pPr>
  </w:p>
  <w:p w14:paraId="211B7F5D" w14:textId="77777777" w:rsidR="003332A8" w:rsidRDefault="003332A8" w:rsidP="00844AE9">
    <w:pPr>
      <w:spacing w:after="0" w:line="240" w:lineRule="auto"/>
      <w:rPr>
        <w:rFonts w:ascii="Verdana" w:hAnsi="Verdana"/>
        <w:sz w:val="24"/>
        <w:szCs w:val="24"/>
      </w:rPr>
    </w:pPr>
  </w:p>
  <w:p w14:paraId="5A0054B1" w14:textId="77777777" w:rsidR="003332A8" w:rsidRPr="00C925AC" w:rsidRDefault="003332A8" w:rsidP="00844AE9">
    <w:pPr>
      <w:spacing w:after="0" w:line="240" w:lineRule="auto"/>
      <w:rPr>
        <w:rFonts w:ascii="Verdana" w:hAnsi="Verdana"/>
        <w:sz w:val="24"/>
        <w:szCs w:val="24"/>
      </w:rPr>
    </w:pPr>
  </w:p>
  <w:p w14:paraId="1FD1C243" w14:textId="37C5500A"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5" w15:restartNumberingAfterBreak="0">
    <w:nsid w:val="15C96E1A"/>
    <w:multiLevelType w:val="multilevel"/>
    <w:tmpl w:val="79AC4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9" w15:restartNumberingAfterBreak="0">
    <w:nsid w:val="30126083"/>
    <w:multiLevelType w:val="multilevel"/>
    <w:tmpl w:val="937EE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028725391">
    <w:abstractNumId w:val="12"/>
  </w:num>
  <w:num w:numId="2" w16cid:durableId="824202863">
    <w:abstractNumId w:val="2"/>
  </w:num>
  <w:num w:numId="3" w16cid:durableId="2100448185">
    <w:abstractNumId w:val="10"/>
  </w:num>
  <w:num w:numId="4" w16cid:durableId="9953001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24899714">
    <w:abstractNumId w:val="2"/>
  </w:num>
  <w:num w:numId="6" w16cid:durableId="220529233">
    <w:abstractNumId w:val="19"/>
  </w:num>
  <w:num w:numId="7" w16cid:durableId="1223829172">
    <w:abstractNumId w:val="11"/>
  </w:num>
  <w:num w:numId="8" w16cid:durableId="150290531">
    <w:abstractNumId w:val="18"/>
  </w:num>
  <w:num w:numId="9" w16cid:durableId="561671362">
    <w:abstractNumId w:val="13"/>
  </w:num>
  <w:num w:numId="10" w16cid:durableId="335110220">
    <w:abstractNumId w:val="17"/>
  </w:num>
  <w:num w:numId="11" w16cid:durableId="1252619196">
    <w:abstractNumId w:val="14"/>
  </w:num>
  <w:num w:numId="12" w16cid:durableId="1053044599">
    <w:abstractNumId w:val="0"/>
  </w:num>
  <w:num w:numId="13" w16cid:durableId="398988933">
    <w:abstractNumId w:val="6"/>
  </w:num>
  <w:num w:numId="14" w16cid:durableId="933977235">
    <w:abstractNumId w:val="20"/>
  </w:num>
  <w:num w:numId="15" w16cid:durableId="1876381151">
    <w:abstractNumId w:val="16"/>
  </w:num>
  <w:num w:numId="16" w16cid:durableId="1384477884">
    <w:abstractNumId w:val="7"/>
  </w:num>
  <w:num w:numId="17" w16cid:durableId="445807622">
    <w:abstractNumId w:val="15"/>
  </w:num>
  <w:num w:numId="18" w16cid:durableId="666591079">
    <w:abstractNumId w:val="23"/>
  </w:num>
  <w:num w:numId="19" w16cid:durableId="1371611281">
    <w:abstractNumId w:val="22"/>
  </w:num>
  <w:num w:numId="20" w16cid:durableId="194778895">
    <w:abstractNumId w:val="1"/>
  </w:num>
  <w:num w:numId="21" w16cid:durableId="231088373">
    <w:abstractNumId w:val="4"/>
  </w:num>
  <w:num w:numId="22" w16cid:durableId="1566724415">
    <w:abstractNumId w:val="8"/>
  </w:num>
  <w:num w:numId="23" w16cid:durableId="50084443">
    <w:abstractNumId w:val="3"/>
  </w:num>
  <w:num w:numId="24" w16cid:durableId="635379239">
    <w:abstractNumId w:val="21"/>
  </w:num>
  <w:num w:numId="25" w16cid:durableId="2130513997">
    <w:abstractNumId w:val="9"/>
  </w:num>
  <w:num w:numId="26" w16cid:durableId="761777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0942"/>
    <w:rsid w:val="00005660"/>
    <w:rsid w:val="000063E0"/>
    <w:rsid w:val="0001317C"/>
    <w:rsid w:val="000134D5"/>
    <w:rsid w:val="00016F78"/>
    <w:rsid w:val="000353BD"/>
    <w:rsid w:val="0004151F"/>
    <w:rsid w:val="00045804"/>
    <w:rsid w:val="00046945"/>
    <w:rsid w:val="00061B2A"/>
    <w:rsid w:val="00066754"/>
    <w:rsid w:val="000711CF"/>
    <w:rsid w:val="00076D52"/>
    <w:rsid w:val="00080B1D"/>
    <w:rsid w:val="00082362"/>
    <w:rsid w:val="00085031"/>
    <w:rsid w:val="0008794D"/>
    <w:rsid w:val="0009061C"/>
    <w:rsid w:val="0009079C"/>
    <w:rsid w:val="000A1514"/>
    <w:rsid w:val="000A1642"/>
    <w:rsid w:val="000A37A2"/>
    <w:rsid w:val="000A66E5"/>
    <w:rsid w:val="000A683E"/>
    <w:rsid w:val="000A7F5E"/>
    <w:rsid w:val="000B0FAA"/>
    <w:rsid w:val="000B19B9"/>
    <w:rsid w:val="000B27F0"/>
    <w:rsid w:val="000C5A9E"/>
    <w:rsid w:val="000D0334"/>
    <w:rsid w:val="000D1DC8"/>
    <w:rsid w:val="000D2004"/>
    <w:rsid w:val="000D4734"/>
    <w:rsid w:val="000D4A0E"/>
    <w:rsid w:val="000D5DA7"/>
    <w:rsid w:val="000E2B46"/>
    <w:rsid w:val="000E3480"/>
    <w:rsid w:val="000E6E2C"/>
    <w:rsid w:val="000F01E9"/>
    <w:rsid w:val="000F078F"/>
    <w:rsid w:val="000F0C08"/>
    <w:rsid w:val="000F3444"/>
    <w:rsid w:val="000F3E03"/>
    <w:rsid w:val="000F512E"/>
    <w:rsid w:val="000F6486"/>
    <w:rsid w:val="000F7FD4"/>
    <w:rsid w:val="00105C57"/>
    <w:rsid w:val="001161CA"/>
    <w:rsid w:val="001168F2"/>
    <w:rsid w:val="00116940"/>
    <w:rsid w:val="00124414"/>
    <w:rsid w:val="00125105"/>
    <w:rsid w:val="00127233"/>
    <w:rsid w:val="0012797C"/>
    <w:rsid w:val="001328F3"/>
    <w:rsid w:val="001372AE"/>
    <w:rsid w:val="001428DC"/>
    <w:rsid w:val="0015032B"/>
    <w:rsid w:val="001521B3"/>
    <w:rsid w:val="0015699B"/>
    <w:rsid w:val="00171640"/>
    <w:rsid w:val="00174D6E"/>
    <w:rsid w:val="00176C48"/>
    <w:rsid w:val="00182083"/>
    <w:rsid w:val="001945F3"/>
    <w:rsid w:val="0019756E"/>
    <w:rsid w:val="00197825"/>
    <w:rsid w:val="0019787F"/>
    <w:rsid w:val="001A00A3"/>
    <w:rsid w:val="001A1472"/>
    <w:rsid w:val="001A33BF"/>
    <w:rsid w:val="001A5968"/>
    <w:rsid w:val="001B1F66"/>
    <w:rsid w:val="001B4F96"/>
    <w:rsid w:val="001C2262"/>
    <w:rsid w:val="001C5AE4"/>
    <w:rsid w:val="001C61B3"/>
    <w:rsid w:val="001C7AA5"/>
    <w:rsid w:val="001D02CC"/>
    <w:rsid w:val="001D64AE"/>
    <w:rsid w:val="001E2E05"/>
    <w:rsid w:val="001E4177"/>
    <w:rsid w:val="001F0B24"/>
    <w:rsid w:val="001F5DD0"/>
    <w:rsid w:val="001F7DC6"/>
    <w:rsid w:val="001F7FA1"/>
    <w:rsid w:val="00207466"/>
    <w:rsid w:val="00211E12"/>
    <w:rsid w:val="00212AD1"/>
    <w:rsid w:val="00217058"/>
    <w:rsid w:val="00217FCA"/>
    <w:rsid w:val="0022076F"/>
    <w:rsid w:val="002209DE"/>
    <w:rsid w:val="00222A30"/>
    <w:rsid w:val="0022400B"/>
    <w:rsid w:val="002346F7"/>
    <w:rsid w:val="0023515D"/>
    <w:rsid w:val="002421BB"/>
    <w:rsid w:val="00253436"/>
    <w:rsid w:val="0025796E"/>
    <w:rsid w:val="002626BD"/>
    <w:rsid w:val="0026579C"/>
    <w:rsid w:val="002707A2"/>
    <w:rsid w:val="00275482"/>
    <w:rsid w:val="00277C07"/>
    <w:rsid w:val="0028778F"/>
    <w:rsid w:val="002913EF"/>
    <w:rsid w:val="002951A0"/>
    <w:rsid w:val="002954A4"/>
    <w:rsid w:val="002962BC"/>
    <w:rsid w:val="002975A4"/>
    <w:rsid w:val="002A093D"/>
    <w:rsid w:val="002A0DD0"/>
    <w:rsid w:val="002A259F"/>
    <w:rsid w:val="002A49AC"/>
    <w:rsid w:val="002A64FD"/>
    <w:rsid w:val="002B730F"/>
    <w:rsid w:val="002B7EB4"/>
    <w:rsid w:val="002C6751"/>
    <w:rsid w:val="002C7A84"/>
    <w:rsid w:val="002D0FBD"/>
    <w:rsid w:val="002E05EF"/>
    <w:rsid w:val="002E2BF8"/>
    <w:rsid w:val="002E49B3"/>
    <w:rsid w:val="002E4FD9"/>
    <w:rsid w:val="002F0847"/>
    <w:rsid w:val="002F3420"/>
    <w:rsid w:val="003013BD"/>
    <w:rsid w:val="0030657A"/>
    <w:rsid w:val="003136DC"/>
    <w:rsid w:val="003156BF"/>
    <w:rsid w:val="00315AEE"/>
    <w:rsid w:val="00316053"/>
    <w:rsid w:val="00322A85"/>
    <w:rsid w:val="00322C00"/>
    <w:rsid w:val="00322D77"/>
    <w:rsid w:val="00323B21"/>
    <w:rsid w:val="00324168"/>
    <w:rsid w:val="00330834"/>
    <w:rsid w:val="003315B4"/>
    <w:rsid w:val="003332A8"/>
    <w:rsid w:val="00344406"/>
    <w:rsid w:val="003448F4"/>
    <w:rsid w:val="00352759"/>
    <w:rsid w:val="00360892"/>
    <w:rsid w:val="0036541A"/>
    <w:rsid w:val="00367179"/>
    <w:rsid w:val="00374F5E"/>
    <w:rsid w:val="003769E1"/>
    <w:rsid w:val="00377E3E"/>
    <w:rsid w:val="00381BAB"/>
    <w:rsid w:val="00382A21"/>
    <w:rsid w:val="00382DE3"/>
    <w:rsid w:val="003909E8"/>
    <w:rsid w:val="00391C8B"/>
    <w:rsid w:val="003967D0"/>
    <w:rsid w:val="003A07E3"/>
    <w:rsid w:val="003A779E"/>
    <w:rsid w:val="003B0DFC"/>
    <w:rsid w:val="003C0ED7"/>
    <w:rsid w:val="003C36B8"/>
    <w:rsid w:val="003C49AE"/>
    <w:rsid w:val="003C6659"/>
    <w:rsid w:val="003D0F4D"/>
    <w:rsid w:val="003D494E"/>
    <w:rsid w:val="003D5966"/>
    <w:rsid w:val="003D5B0D"/>
    <w:rsid w:val="003E0499"/>
    <w:rsid w:val="003E4C37"/>
    <w:rsid w:val="003E4F80"/>
    <w:rsid w:val="003E6439"/>
    <w:rsid w:val="003F18C5"/>
    <w:rsid w:val="003F1FD8"/>
    <w:rsid w:val="003F3941"/>
    <w:rsid w:val="003F53D2"/>
    <w:rsid w:val="003F6DCC"/>
    <w:rsid w:val="00403EFA"/>
    <w:rsid w:val="00405EE1"/>
    <w:rsid w:val="00406575"/>
    <w:rsid w:val="004140B3"/>
    <w:rsid w:val="00414C74"/>
    <w:rsid w:val="0042722E"/>
    <w:rsid w:val="0043149D"/>
    <w:rsid w:val="0044528D"/>
    <w:rsid w:val="0044659A"/>
    <w:rsid w:val="00451137"/>
    <w:rsid w:val="004555EA"/>
    <w:rsid w:val="0045785F"/>
    <w:rsid w:val="0046230A"/>
    <w:rsid w:val="00466E39"/>
    <w:rsid w:val="004708AA"/>
    <w:rsid w:val="00475A8E"/>
    <w:rsid w:val="00475AEA"/>
    <w:rsid w:val="0047796C"/>
    <w:rsid w:val="00477C06"/>
    <w:rsid w:val="00477C96"/>
    <w:rsid w:val="00484E40"/>
    <w:rsid w:val="0048787A"/>
    <w:rsid w:val="00492C4A"/>
    <w:rsid w:val="00494F04"/>
    <w:rsid w:val="004A0841"/>
    <w:rsid w:val="004A0A0B"/>
    <w:rsid w:val="004A0E5C"/>
    <w:rsid w:val="004A1847"/>
    <w:rsid w:val="004A305D"/>
    <w:rsid w:val="004A5264"/>
    <w:rsid w:val="004B3DAC"/>
    <w:rsid w:val="004B73B9"/>
    <w:rsid w:val="004C0DBB"/>
    <w:rsid w:val="004D2168"/>
    <w:rsid w:val="004D2B6F"/>
    <w:rsid w:val="004D3E86"/>
    <w:rsid w:val="004E2B92"/>
    <w:rsid w:val="004F21C4"/>
    <w:rsid w:val="004F685F"/>
    <w:rsid w:val="005000A1"/>
    <w:rsid w:val="00513BF7"/>
    <w:rsid w:val="00517955"/>
    <w:rsid w:val="005229DB"/>
    <w:rsid w:val="00524422"/>
    <w:rsid w:val="00534886"/>
    <w:rsid w:val="0053640D"/>
    <w:rsid w:val="005365D9"/>
    <w:rsid w:val="00536A0E"/>
    <w:rsid w:val="0055262A"/>
    <w:rsid w:val="00553040"/>
    <w:rsid w:val="005566E8"/>
    <w:rsid w:val="005606C4"/>
    <w:rsid w:val="00560892"/>
    <w:rsid w:val="00570B00"/>
    <w:rsid w:val="00572622"/>
    <w:rsid w:val="00573280"/>
    <w:rsid w:val="00574867"/>
    <w:rsid w:val="00591460"/>
    <w:rsid w:val="00592C94"/>
    <w:rsid w:val="00594E98"/>
    <w:rsid w:val="005A2CAB"/>
    <w:rsid w:val="005A52A7"/>
    <w:rsid w:val="005A57A5"/>
    <w:rsid w:val="005A65E0"/>
    <w:rsid w:val="005B35AC"/>
    <w:rsid w:val="005B51CC"/>
    <w:rsid w:val="005C0881"/>
    <w:rsid w:val="005C3777"/>
    <w:rsid w:val="005C5CDC"/>
    <w:rsid w:val="005D2566"/>
    <w:rsid w:val="005D2FE3"/>
    <w:rsid w:val="005D3486"/>
    <w:rsid w:val="005D476C"/>
    <w:rsid w:val="005F20A4"/>
    <w:rsid w:val="00600D92"/>
    <w:rsid w:val="00603C5B"/>
    <w:rsid w:val="006056AF"/>
    <w:rsid w:val="0060580E"/>
    <w:rsid w:val="00611CE6"/>
    <w:rsid w:val="006137E1"/>
    <w:rsid w:val="00615EDA"/>
    <w:rsid w:val="00617200"/>
    <w:rsid w:val="00617E91"/>
    <w:rsid w:val="006200BF"/>
    <w:rsid w:val="0062143E"/>
    <w:rsid w:val="006219F8"/>
    <w:rsid w:val="00624A89"/>
    <w:rsid w:val="00624EEC"/>
    <w:rsid w:val="006302F7"/>
    <w:rsid w:val="00630A85"/>
    <w:rsid w:val="006369C6"/>
    <w:rsid w:val="00646B9F"/>
    <w:rsid w:val="00646D52"/>
    <w:rsid w:val="00646F24"/>
    <w:rsid w:val="006547C3"/>
    <w:rsid w:val="00660B41"/>
    <w:rsid w:val="00660C46"/>
    <w:rsid w:val="00662087"/>
    <w:rsid w:val="00662FC9"/>
    <w:rsid w:val="00663A04"/>
    <w:rsid w:val="00665D70"/>
    <w:rsid w:val="00672499"/>
    <w:rsid w:val="00680922"/>
    <w:rsid w:val="00682664"/>
    <w:rsid w:val="006834A6"/>
    <w:rsid w:val="006844D3"/>
    <w:rsid w:val="00684F67"/>
    <w:rsid w:val="0068758B"/>
    <w:rsid w:val="006900D9"/>
    <w:rsid w:val="0069216D"/>
    <w:rsid w:val="00694B5C"/>
    <w:rsid w:val="006960F2"/>
    <w:rsid w:val="0069741A"/>
    <w:rsid w:val="006A2BE4"/>
    <w:rsid w:val="006B4707"/>
    <w:rsid w:val="006C260F"/>
    <w:rsid w:val="006D13BA"/>
    <w:rsid w:val="006D1D21"/>
    <w:rsid w:val="006D591D"/>
    <w:rsid w:val="006D5C50"/>
    <w:rsid w:val="006D64EE"/>
    <w:rsid w:val="006E0B16"/>
    <w:rsid w:val="006F2238"/>
    <w:rsid w:val="006F4199"/>
    <w:rsid w:val="006F74DF"/>
    <w:rsid w:val="006F7D35"/>
    <w:rsid w:val="007009D7"/>
    <w:rsid w:val="007025D7"/>
    <w:rsid w:val="00706C16"/>
    <w:rsid w:val="0071557C"/>
    <w:rsid w:val="00716A7A"/>
    <w:rsid w:val="00721675"/>
    <w:rsid w:val="00721FE8"/>
    <w:rsid w:val="00725483"/>
    <w:rsid w:val="00731F30"/>
    <w:rsid w:val="007340C3"/>
    <w:rsid w:val="0073510E"/>
    <w:rsid w:val="007448A3"/>
    <w:rsid w:val="007458D3"/>
    <w:rsid w:val="00751DE8"/>
    <w:rsid w:val="0075235A"/>
    <w:rsid w:val="00752CDB"/>
    <w:rsid w:val="0075557D"/>
    <w:rsid w:val="00756841"/>
    <w:rsid w:val="007606E2"/>
    <w:rsid w:val="00762434"/>
    <w:rsid w:val="007649AB"/>
    <w:rsid w:val="00771AEF"/>
    <w:rsid w:val="00771D0C"/>
    <w:rsid w:val="007721AB"/>
    <w:rsid w:val="00773243"/>
    <w:rsid w:val="00782ED2"/>
    <w:rsid w:val="007833AC"/>
    <w:rsid w:val="0078629F"/>
    <w:rsid w:val="00792EB2"/>
    <w:rsid w:val="00795086"/>
    <w:rsid w:val="007952D4"/>
    <w:rsid w:val="007A037B"/>
    <w:rsid w:val="007A1830"/>
    <w:rsid w:val="007A3844"/>
    <w:rsid w:val="007A580A"/>
    <w:rsid w:val="007B088C"/>
    <w:rsid w:val="007B268C"/>
    <w:rsid w:val="007B7171"/>
    <w:rsid w:val="007C0C0F"/>
    <w:rsid w:val="007C3DC2"/>
    <w:rsid w:val="007C4353"/>
    <w:rsid w:val="007C5559"/>
    <w:rsid w:val="007D26D2"/>
    <w:rsid w:val="007D3058"/>
    <w:rsid w:val="007D4B12"/>
    <w:rsid w:val="007D72D8"/>
    <w:rsid w:val="007D740C"/>
    <w:rsid w:val="007E43AC"/>
    <w:rsid w:val="007E4CD5"/>
    <w:rsid w:val="007E5497"/>
    <w:rsid w:val="007E553E"/>
    <w:rsid w:val="00803584"/>
    <w:rsid w:val="00806F5F"/>
    <w:rsid w:val="008103F6"/>
    <w:rsid w:val="008175EA"/>
    <w:rsid w:val="00820278"/>
    <w:rsid w:val="00820488"/>
    <w:rsid w:val="0082071A"/>
    <w:rsid w:val="008258C9"/>
    <w:rsid w:val="008274AA"/>
    <w:rsid w:val="00830893"/>
    <w:rsid w:val="0083265D"/>
    <w:rsid w:val="00833286"/>
    <w:rsid w:val="00836232"/>
    <w:rsid w:val="00841E29"/>
    <w:rsid w:val="00844AE9"/>
    <w:rsid w:val="00851BA1"/>
    <w:rsid w:val="0085545E"/>
    <w:rsid w:val="00866A9E"/>
    <w:rsid w:val="00867F95"/>
    <w:rsid w:val="00871AAC"/>
    <w:rsid w:val="00875356"/>
    <w:rsid w:val="008843B6"/>
    <w:rsid w:val="00886410"/>
    <w:rsid w:val="00891928"/>
    <w:rsid w:val="00891A0E"/>
    <w:rsid w:val="008958AC"/>
    <w:rsid w:val="008A2B6D"/>
    <w:rsid w:val="008A446D"/>
    <w:rsid w:val="008B0D0F"/>
    <w:rsid w:val="008B25F1"/>
    <w:rsid w:val="008B3000"/>
    <w:rsid w:val="008C11FD"/>
    <w:rsid w:val="008C3D38"/>
    <w:rsid w:val="008C4DD5"/>
    <w:rsid w:val="008C517A"/>
    <w:rsid w:val="008C6AE5"/>
    <w:rsid w:val="008D0BE7"/>
    <w:rsid w:val="008D1660"/>
    <w:rsid w:val="008D180B"/>
    <w:rsid w:val="008F0EA7"/>
    <w:rsid w:val="008F17DC"/>
    <w:rsid w:val="008F4334"/>
    <w:rsid w:val="008F553F"/>
    <w:rsid w:val="008F6705"/>
    <w:rsid w:val="00901213"/>
    <w:rsid w:val="009037F6"/>
    <w:rsid w:val="0091143C"/>
    <w:rsid w:val="00914946"/>
    <w:rsid w:val="00920817"/>
    <w:rsid w:val="00923EEF"/>
    <w:rsid w:val="009251A6"/>
    <w:rsid w:val="00926423"/>
    <w:rsid w:val="00933E3F"/>
    <w:rsid w:val="009419F9"/>
    <w:rsid w:val="00943BE0"/>
    <w:rsid w:val="00944696"/>
    <w:rsid w:val="0095685E"/>
    <w:rsid w:val="00961B09"/>
    <w:rsid w:val="00963E12"/>
    <w:rsid w:val="00964321"/>
    <w:rsid w:val="00964E92"/>
    <w:rsid w:val="00965334"/>
    <w:rsid w:val="00967B0D"/>
    <w:rsid w:val="00967B4D"/>
    <w:rsid w:val="0097093E"/>
    <w:rsid w:val="009722DE"/>
    <w:rsid w:val="009735E8"/>
    <w:rsid w:val="00984DB3"/>
    <w:rsid w:val="00992E19"/>
    <w:rsid w:val="009A0486"/>
    <w:rsid w:val="009A0DFA"/>
    <w:rsid w:val="009B28B9"/>
    <w:rsid w:val="009B2D26"/>
    <w:rsid w:val="009B4B7C"/>
    <w:rsid w:val="009C71FA"/>
    <w:rsid w:val="009C72E7"/>
    <w:rsid w:val="009C7F7E"/>
    <w:rsid w:val="009D23F2"/>
    <w:rsid w:val="009D3058"/>
    <w:rsid w:val="009D7A76"/>
    <w:rsid w:val="009E1BC1"/>
    <w:rsid w:val="009E1F28"/>
    <w:rsid w:val="009E6924"/>
    <w:rsid w:val="009E7AED"/>
    <w:rsid w:val="009F3A13"/>
    <w:rsid w:val="009F3CD7"/>
    <w:rsid w:val="009F4B67"/>
    <w:rsid w:val="009F7A6E"/>
    <w:rsid w:val="00A0184D"/>
    <w:rsid w:val="00A01F25"/>
    <w:rsid w:val="00A0334B"/>
    <w:rsid w:val="00A0526C"/>
    <w:rsid w:val="00A05F2C"/>
    <w:rsid w:val="00A122D3"/>
    <w:rsid w:val="00A14468"/>
    <w:rsid w:val="00A17F13"/>
    <w:rsid w:val="00A20739"/>
    <w:rsid w:val="00A23AF9"/>
    <w:rsid w:val="00A25555"/>
    <w:rsid w:val="00A31A76"/>
    <w:rsid w:val="00A33C78"/>
    <w:rsid w:val="00A40C8E"/>
    <w:rsid w:val="00A53338"/>
    <w:rsid w:val="00A544E7"/>
    <w:rsid w:val="00A60353"/>
    <w:rsid w:val="00A73F45"/>
    <w:rsid w:val="00A8776C"/>
    <w:rsid w:val="00AA1E47"/>
    <w:rsid w:val="00AA3D08"/>
    <w:rsid w:val="00AA7233"/>
    <w:rsid w:val="00AB0ADB"/>
    <w:rsid w:val="00AB3664"/>
    <w:rsid w:val="00AB436E"/>
    <w:rsid w:val="00AC4513"/>
    <w:rsid w:val="00AC6035"/>
    <w:rsid w:val="00AD173A"/>
    <w:rsid w:val="00AD37D6"/>
    <w:rsid w:val="00AD400A"/>
    <w:rsid w:val="00AD7D5F"/>
    <w:rsid w:val="00AE1F6E"/>
    <w:rsid w:val="00AE3513"/>
    <w:rsid w:val="00AE5DD2"/>
    <w:rsid w:val="00AF2E01"/>
    <w:rsid w:val="00AF5A10"/>
    <w:rsid w:val="00B00C0E"/>
    <w:rsid w:val="00B01B1A"/>
    <w:rsid w:val="00B04DA1"/>
    <w:rsid w:val="00B11075"/>
    <w:rsid w:val="00B131D7"/>
    <w:rsid w:val="00B206B6"/>
    <w:rsid w:val="00B234CF"/>
    <w:rsid w:val="00B35656"/>
    <w:rsid w:val="00B37EB5"/>
    <w:rsid w:val="00B4064D"/>
    <w:rsid w:val="00B44A47"/>
    <w:rsid w:val="00B46681"/>
    <w:rsid w:val="00B5113E"/>
    <w:rsid w:val="00B54271"/>
    <w:rsid w:val="00B5550F"/>
    <w:rsid w:val="00B6149C"/>
    <w:rsid w:val="00B61628"/>
    <w:rsid w:val="00B61B17"/>
    <w:rsid w:val="00B62FFA"/>
    <w:rsid w:val="00B64484"/>
    <w:rsid w:val="00B71FD5"/>
    <w:rsid w:val="00B72CD3"/>
    <w:rsid w:val="00B72FFF"/>
    <w:rsid w:val="00B74092"/>
    <w:rsid w:val="00B7489A"/>
    <w:rsid w:val="00B751AE"/>
    <w:rsid w:val="00B909AD"/>
    <w:rsid w:val="00B95DAC"/>
    <w:rsid w:val="00BA2EB9"/>
    <w:rsid w:val="00BA703D"/>
    <w:rsid w:val="00BC3D36"/>
    <w:rsid w:val="00BC5D42"/>
    <w:rsid w:val="00BC70CB"/>
    <w:rsid w:val="00BD13AC"/>
    <w:rsid w:val="00BD54A6"/>
    <w:rsid w:val="00BD7F72"/>
    <w:rsid w:val="00BF056C"/>
    <w:rsid w:val="00BF37FD"/>
    <w:rsid w:val="00BF3B66"/>
    <w:rsid w:val="00BF5C08"/>
    <w:rsid w:val="00BF7425"/>
    <w:rsid w:val="00C0296E"/>
    <w:rsid w:val="00C042EE"/>
    <w:rsid w:val="00C04908"/>
    <w:rsid w:val="00C04FB3"/>
    <w:rsid w:val="00C10772"/>
    <w:rsid w:val="00C11D8B"/>
    <w:rsid w:val="00C1350D"/>
    <w:rsid w:val="00C1575D"/>
    <w:rsid w:val="00C174DF"/>
    <w:rsid w:val="00C2359C"/>
    <w:rsid w:val="00C23F23"/>
    <w:rsid w:val="00C251B0"/>
    <w:rsid w:val="00C330EB"/>
    <w:rsid w:val="00C34555"/>
    <w:rsid w:val="00C35A4F"/>
    <w:rsid w:val="00C410D8"/>
    <w:rsid w:val="00C419DF"/>
    <w:rsid w:val="00C50D69"/>
    <w:rsid w:val="00C53071"/>
    <w:rsid w:val="00C5365C"/>
    <w:rsid w:val="00C619D4"/>
    <w:rsid w:val="00C61D93"/>
    <w:rsid w:val="00C72666"/>
    <w:rsid w:val="00C754BE"/>
    <w:rsid w:val="00C76B1C"/>
    <w:rsid w:val="00C82667"/>
    <w:rsid w:val="00C84D3B"/>
    <w:rsid w:val="00C877A5"/>
    <w:rsid w:val="00C90C96"/>
    <w:rsid w:val="00C925AC"/>
    <w:rsid w:val="00C9474F"/>
    <w:rsid w:val="00C94828"/>
    <w:rsid w:val="00C95AC6"/>
    <w:rsid w:val="00C963BE"/>
    <w:rsid w:val="00C96B64"/>
    <w:rsid w:val="00CA2858"/>
    <w:rsid w:val="00CA4CED"/>
    <w:rsid w:val="00CB02F1"/>
    <w:rsid w:val="00CB6357"/>
    <w:rsid w:val="00CC1B26"/>
    <w:rsid w:val="00CC438F"/>
    <w:rsid w:val="00CD4C85"/>
    <w:rsid w:val="00CE3C1C"/>
    <w:rsid w:val="00CE4026"/>
    <w:rsid w:val="00CF5ABC"/>
    <w:rsid w:val="00D06146"/>
    <w:rsid w:val="00D0699E"/>
    <w:rsid w:val="00D079BF"/>
    <w:rsid w:val="00D1210B"/>
    <w:rsid w:val="00D222C0"/>
    <w:rsid w:val="00D22D2B"/>
    <w:rsid w:val="00D26762"/>
    <w:rsid w:val="00D334DD"/>
    <w:rsid w:val="00D34EA3"/>
    <w:rsid w:val="00D361FD"/>
    <w:rsid w:val="00D36261"/>
    <w:rsid w:val="00D423A2"/>
    <w:rsid w:val="00D42769"/>
    <w:rsid w:val="00D44E26"/>
    <w:rsid w:val="00D45F30"/>
    <w:rsid w:val="00D47A10"/>
    <w:rsid w:val="00D51A5D"/>
    <w:rsid w:val="00D520D8"/>
    <w:rsid w:val="00D532D4"/>
    <w:rsid w:val="00D56F8A"/>
    <w:rsid w:val="00D6295B"/>
    <w:rsid w:val="00D62B9C"/>
    <w:rsid w:val="00D63AC2"/>
    <w:rsid w:val="00D64111"/>
    <w:rsid w:val="00D64AFC"/>
    <w:rsid w:val="00D66DF5"/>
    <w:rsid w:val="00D7383B"/>
    <w:rsid w:val="00D73DBD"/>
    <w:rsid w:val="00D7541C"/>
    <w:rsid w:val="00D7788A"/>
    <w:rsid w:val="00D82771"/>
    <w:rsid w:val="00D85F06"/>
    <w:rsid w:val="00D936A2"/>
    <w:rsid w:val="00D9638B"/>
    <w:rsid w:val="00DA231B"/>
    <w:rsid w:val="00DB13F4"/>
    <w:rsid w:val="00DB3019"/>
    <w:rsid w:val="00DB55DA"/>
    <w:rsid w:val="00DC10ED"/>
    <w:rsid w:val="00DC39FC"/>
    <w:rsid w:val="00DC7CCB"/>
    <w:rsid w:val="00DE0148"/>
    <w:rsid w:val="00DE6EC3"/>
    <w:rsid w:val="00DF5254"/>
    <w:rsid w:val="00E02524"/>
    <w:rsid w:val="00E05098"/>
    <w:rsid w:val="00E1159D"/>
    <w:rsid w:val="00E1451E"/>
    <w:rsid w:val="00E16408"/>
    <w:rsid w:val="00E20894"/>
    <w:rsid w:val="00E21E9C"/>
    <w:rsid w:val="00E245AB"/>
    <w:rsid w:val="00E27341"/>
    <w:rsid w:val="00E2764C"/>
    <w:rsid w:val="00E27F2E"/>
    <w:rsid w:val="00E31225"/>
    <w:rsid w:val="00E31BAC"/>
    <w:rsid w:val="00E4247F"/>
    <w:rsid w:val="00E44B86"/>
    <w:rsid w:val="00E501E7"/>
    <w:rsid w:val="00E50AFE"/>
    <w:rsid w:val="00E549E9"/>
    <w:rsid w:val="00E577E2"/>
    <w:rsid w:val="00E615C4"/>
    <w:rsid w:val="00E71E1B"/>
    <w:rsid w:val="00E75C92"/>
    <w:rsid w:val="00E771DC"/>
    <w:rsid w:val="00E774E7"/>
    <w:rsid w:val="00E82C45"/>
    <w:rsid w:val="00E83DBB"/>
    <w:rsid w:val="00E8772A"/>
    <w:rsid w:val="00E90F6B"/>
    <w:rsid w:val="00E91AD5"/>
    <w:rsid w:val="00E91AED"/>
    <w:rsid w:val="00E91C01"/>
    <w:rsid w:val="00E92C27"/>
    <w:rsid w:val="00E96B5C"/>
    <w:rsid w:val="00EA0E3D"/>
    <w:rsid w:val="00EA2B1F"/>
    <w:rsid w:val="00EA2DC0"/>
    <w:rsid w:val="00EA426C"/>
    <w:rsid w:val="00EB224C"/>
    <w:rsid w:val="00EC006D"/>
    <w:rsid w:val="00EC1AA2"/>
    <w:rsid w:val="00EC297F"/>
    <w:rsid w:val="00EC38A7"/>
    <w:rsid w:val="00ED4980"/>
    <w:rsid w:val="00ED525C"/>
    <w:rsid w:val="00EE1AA8"/>
    <w:rsid w:val="00EE265D"/>
    <w:rsid w:val="00EE3D99"/>
    <w:rsid w:val="00EF1D4F"/>
    <w:rsid w:val="00EF4E7D"/>
    <w:rsid w:val="00EF5E13"/>
    <w:rsid w:val="00EF647F"/>
    <w:rsid w:val="00F03314"/>
    <w:rsid w:val="00F0580C"/>
    <w:rsid w:val="00F23FEA"/>
    <w:rsid w:val="00F27B7B"/>
    <w:rsid w:val="00F31EDC"/>
    <w:rsid w:val="00F34294"/>
    <w:rsid w:val="00F4256B"/>
    <w:rsid w:val="00F43100"/>
    <w:rsid w:val="00F462B3"/>
    <w:rsid w:val="00F5664F"/>
    <w:rsid w:val="00F60448"/>
    <w:rsid w:val="00F61959"/>
    <w:rsid w:val="00F666C4"/>
    <w:rsid w:val="00F76AFC"/>
    <w:rsid w:val="00F81BF0"/>
    <w:rsid w:val="00F82E88"/>
    <w:rsid w:val="00F86E11"/>
    <w:rsid w:val="00F86E3E"/>
    <w:rsid w:val="00F91E1F"/>
    <w:rsid w:val="00F95C74"/>
    <w:rsid w:val="00F96B40"/>
    <w:rsid w:val="00FA47C0"/>
    <w:rsid w:val="00FA5FFD"/>
    <w:rsid w:val="00FB547C"/>
    <w:rsid w:val="00FB5DD1"/>
    <w:rsid w:val="00FC00C7"/>
    <w:rsid w:val="00FC2668"/>
    <w:rsid w:val="00FC2B5D"/>
    <w:rsid w:val="00FC410D"/>
    <w:rsid w:val="00FD1DDC"/>
    <w:rsid w:val="00FD3AD2"/>
    <w:rsid w:val="00FD59D3"/>
    <w:rsid w:val="00FF1449"/>
    <w:rsid w:val="00FF227D"/>
    <w:rsid w:val="00FF7963"/>
    <w:rsid w:val="00FF7AC6"/>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8568B41-9065-4DE9-BFEA-A2F366019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D0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DB13F4"/>
    <w:rPr>
      <w:color w:val="605E5C"/>
      <w:shd w:val="clear" w:color="auto" w:fill="E1DFDD"/>
    </w:rPr>
  </w:style>
  <w:style w:type="paragraph" w:styleId="Textoindependiente">
    <w:name w:val="Body Text"/>
    <w:basedOn w:val="Normal"/>
    <w:link w:val="TextoindependienteCar"/>
    <w:uiPriority w:val="1"/>
    <w:unhideWhenUsed/>
    <w:qFormat/>
    <w:rsid w:val="00B234CF"/>
    <w:pPr>
      <w:spacing w:after="120"/>
    </w:pPr>
  </w:style>
  <w:style w:type="character" w:customStyle="1" w:styleId="TextoindependienteCar">
    <w:name w:val="Texto independiente Car"/>
    <w:basedOn w:val="Fuentedeprrafopredeter"/>
    <w:link w:val="Textoindependiente"/>
    <w:uiPriority w:val="1"/>
    <w:rsid w:val="00B234CF"/>
  </w:style>
  <w:style w:type="character" w:styleId="Fuerte">
    <w:name w:val="Strong"/>
    <w:basedOn w:val="Fuentedeprrafopredeter"/>
    <w:uiPriority w:val="22"/>
    <w:qFormat/>
    <w:rsid w:val="00B7489A"/>
    <w:rPr>
      <w:b/>
      <w:bCs/>
    </w:rPr>
  </w:style>
  <w:style w:type="table" w:customStyle="1" w:styleId="Tablaconcuadrcula12">
    <w:name w:val="Tabla con cuadrícula12"/>
    <w:basedOn w:val="Tablanormal"/>
    <w:next w:val="Tablaconcuadrcula"/>
    <w:uiPriority w:val="39"/>
    <w:qFormat/>
    <w:rsid w:val="008C3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AA3D08"/>
    <w:rPr>
      <w:rFonts w:ascii="Times New Roman" w:eastAsia="Times New Roman" w:hAnsi="Times New Roman" w:cs="Times New Roman"/>
      <w:sz w:val="24"/>
      <w:szCs w:val="24"/>
      <w:lang w:eastAsia="es-CO"/>
    </w:rPr>
  </w:style>
  <w:style w:type="character" w:styleId="Mencinsinresolver">
    <w:name w:val="Unresolved Mention"/>
    <w:basedOn w:val="Fuentedeprrafopredeter"/>
    <w:uiPriority w:val="99"/>
    <w:semiHidden/>
    <w:unhideWhenUsed/>
    <w:rsid w:val="00D267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740">
      <w:bodyDiv w:val="1"/>
      <w:marLeft w:val="0"/>
      <w:marRight w:val="0"/>
      <w:marTop w:val="0"/>
      <w:marBottom w:val="0"/>
      <w:divBdr>
        <w:top w:val="none" w:sz="0" w:space="0" w:color="auto"/>
        <w:left w:val="none" w:sz="0" w:space="0" w:color="auto"/>
        <w:bottom w:val="none" w:sz="0" w:space="0" w:color="auto"/>
        <w:right w:val="none" w:sz="0" w:space="0" w:color="auto"/>
      </w:divBdr>
      <w:divsChild>
        <w:div w:id="258880311">
          <w:marLeft w:val="0"/>
          <w:marRight w:val="0"/>
          <w:marTop w:val="0"/>
          <w:marBottom w:val="0"/>
          <w:divBdr>
            <w:top w:val="none" w:sz="0" w:space="0" w:color="auto"/>
            <w:left w:val="none" w:sz="0" w:space="0" w:color="auto"/>
            <w:bottom w:val="none" w:sz="0" w:space="0" w:color="auto"/>
            <w:right w:val="none" w:sz="0" w:space="0" w:color="auto"/>
          </w:divBdr>
          <w:divsChild>
            <w:div w:id="1294941058">
              <w:marLeft w:val="0"/>
              <w:marRight w:val="0"/>
              <w:marTop w:val="0"/>
              <w:marBottom w:val="0"/>
              <w:divBdr>
                <w:top w:val="none" w:sz="0" w:space="0" w:color="auto"/>
                <w:left w:val="none" w:sz="0" w:space="0" w:color="auto"/>
                <w:bottom w:val="none" w:sz="0" w:space="0" w:color="auto"/>
                <w:right w:val="none" w:sz="0" w:space="0" w:color="auto"/>
              </w:divBdr>
              <w:divsChild>
                <w:div w:id="337932334">
                  <w:marLeft w:val="0"/>
                  <w:marRight w:val="0"/>
                  <w:marTop w:val="0"/>
                  <w:marBottom w:val="0"/>
                  <w:divBdr>
                    <w:top w:val="none" w:sz="0" w:space="0" w:color="auto"/>
                    <w:left w:val="none" w:sz="0" w:space="0" w:color="auto"/>
                    <w:bottom w:val="none" w:sz="0" w:space="0" w:color="auto"/>
                    <w:right w:val="none" w:sz="0" w:space="0" w:color="auto"/>
                  </w:divBdr>
                  <w:divsChild>
                    <w:div w:id="9084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659191">
          <w:marLeft w:val="0"/>
          <w:marRight w:val="0"/>
          <w:marTop w:val="0"/>
          <w:marBottom w:val="0"/>
          <w:divBdr>
            <w:top w:val="none" w:sz="0" w:space="0" w:color="auto"/>
            <w:left w:val="none" w:sz="0" w:space="0" w:color="auto"/>
            <w:bottom w:val="none" w:sz="0" w:space="0" w:color="auto"/>
            <w:right w:val="none" w:sz="0" w:space="0" w:color="auto"/>
          </w:divBdr>
        </w:div>
      </w:divsChild>
    </w:div>
    <w:div w:id="10496905">
      <w:bodyDiv w:val="1"/>
      <w:marLeft w:val="0"/>
      <w:marRight w:val="0"/>
      <w:marTop w:val="0"/>
      <w:marBottom w:val="0"/>
      <w:divBdr>
        <w:top w:val="none" w:sz="0" w:space="0" w:color="auto"/>
        <w:left w:val="none" w:sz="0" w:space="0" w:color="auto"/>
        <w:bottom w:val="none" w:sz="0" w:space="0" w:color="auto"/>
        <w:right w:val="none" w:sz="0" w:space="0" w:color="auto"/>
      </w:divBdr>
    </w:div>
    <w:div w:id="58334568">
      <w:bodyDiv w:val="1"/>
      <w:marLeft w:val="0"/>
      <w:marRight w:val="0"/>
      <w:marTop w:val="0"/>
      <w:marBottom w:val="0"/>
      <w:divBdr>
        <w:top w:val="none" w:sz="0" w:space="0" w:color="auto"/>
        <w:left w:val="none" w:sz="0" w:space="0" w:color="auto"/>
        <w:bottom w:val="none" w:sz="0" w:space="0" w:color="auto"/>
        <w:right w:val="none" w:sz="0" w:space="0" w:color="auto"/>
      </w:divBdr>
      <w:divsChild>
        <w:div w:id="2145539311">
          <w:marLeft w:val="0"/>
          <w:marRight w:val="0"/>
          <w:marTop w:val="0"/>
          <w:marBottom w:val="0"/>
          <w:divBdr>
            <w:top w:val="none" w:sz="0" w:space="0" w:color="auto"/>
            <w:left w:val="none" w:sz="0" w:space="0" w:color="auto"/>
            <w:bottom w:val="none" w:sz="0" w:space="0" w:color="auto"/>
            <w:right w:val="none" w:sz="0" w:space="0" w:color="auto"/>
          </w:divBdr>
        </w:div>
      </w:divsChild>
    </w:div>
    <w:div w:id="239609180">
      <w:bodyDiv w:val="1"/>
      <w:marLeft w:val="0"/>
      <w:marRight w:val="0"/>
      <w:marTop w:val="0"/>
      <w:marBottom w:val="0"/>
      <w:divBdr>
        <w:top w:val="none" w:sz="0" w:space="0" w:color="auto"/>
        <w:left w:val="none" w:sz="0" w:space="0" w:color="auto"/>
        <w:bottom w:val="none" w:sz="0" w:space="0" w:color="auto"/>
        <w:right w:val="none" w:sz="0" w:space="0" w:color="auto"/>
      </w:divBdr>
    </w:div>
    <w:div w:id="298808619">
      <w:bodyDiv w:val="1"/>
      <w:marLeft w:val="0"/>
      <w:marRight w:val="0"/>
      <w:marTop w:val="0"/>
      <w:marBottom w:val="0"/>
      <w:divBdr>
        <w:top w:val="none" w:sz="0" w:space="0" w:color="auto"/>
        <w:left w:val="none" w:sz="0" w:space="0" w:color="auto"/>
        <w:bottom w:val="none" w:sz="0" w:space="0" w:color="auto"/>
        <w:right w:val="none" w:sz="0" w:space="0" w:color="auto"/>
      </w:divBdr>
    </w:div>
    <w:div w:id="386105330">
      <w:bodyDiv w:val="1"/>
      <w:marLeft w:val="0"/>
      <w:marRight w:val="0"/>
      <w:marTop w:val="0"/>
      <w:marBottom w:val="0"/>
      <w:divBdr>
        <w:top w:val="none" w:sz="0" w:space="0" w:color="auto"/>
        <w:left w:val="none" w:sz="0" w:space="0" w:color="auto"/>
        <w:bottom w:val="none" w:sz="0" w:space="0" w:color="auto"/>
        <w:right w:val="none" w:sz="0" w:space="0" w:color="auto"/>
      </w:divBdr>
      <w:divsChild>
        <w:div w:id="278994329">
          <w:marLeft w:val="0"/>
          <w:marRight w:val="0"/>
          <w:marTop w:val="0"/>
          <w:marBottom w:val="0"/>
          <w:divBdr>
            <w:top w:val="none" w:sz="0" w:space="0" w:color="auto"/>
            <w:left w:val="none" w:sz="0" w:space="0" w:color="auto"/>
            <w:bottom w:val="none" w:sz="0" w:space="0" w:color="auto"/>
            <w:right w:val="none" w:sz="0" w:space="0" w:color="auto"/>
          </w:divBdr>
        </w:div>
      </w:divsChild>
    </w:div>
    <w:div w:id="474102498">
      <w:bodyDiv w:val="1"/>
      <w:marLeft w:val="0"/>
      <w:marRight w:val="0"/>
      <w:marTop w:val="0"/>
      <w:marBottom w:val="0"/>
      <w:divBdr>
        <w:top w:val="none" w:sz="0" w:space="0" w:color="auto"/>
        <w:left w:val="none" w:sz="0" w:space="0" w:color="auto"/>
        <w:bottom w:val="none" w:sz="0" w:space="0" w:color="auto"/>
        <w:right w:val="none" w:sz="0" w:space="0" w:color="auto"/>
      </w:divBdr>
    </w:div>
    <w:div w:id="483200241">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419089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5247842">
      <w:bodyDiv w:val="1"/>
      <w:marLeft w:val="0"/>
      <w:marRight w:val="0"/>
      <w:marTop w:val="0"/>
      <w:marBottom w:val="0"/>
      <w:divBdr>
        <w:top w:val="none" w:sz="0" w:space="0" w:color="auto"/>
        <w:left w:val="none" w:sz="0" w:space="0" w:color="auto"/>
        <w:bottom w:val="none" w:sz="0" w:space="0" w:color="auto"/>
        <w:right w:val="none" w:sz="0" w:space="0" w:color="auto"/>
      </w:divBdr>
      <w:divsChild>
        <w:div w:id="1697343250">
          <w:marLeft w:val="0"/>
          <w:marRight w:val="0"/>
          <w:marTop w:val="0"/>
          <w:marBottom w:val="0"/>
          <w:divBdr>
            <w:top w:val="none" w:sz="0" w:space="0" w:color="auto"/>
            <w:left w:val="none" w:sz="0" w:space="0" w:color="auto"/>
            <w:bottom w:val="none" w:sz="0" w:space="0" w:color="auto"/>
            <w:right w:val="none" w:sz="0" w:space="0" w:color="auto"/>
          </w:divBdr>
        </w:div>
      </w:divsChild>
    </w:div>
    <w:div w:id="842011055">
      <w:bodyDiv w:val="1"/>
      <w:marLeft w:val="0"/>
      <w:marRight w:val="0"/>
      <w:marTop w:val="0"/>
      <w:marBottom w:val="0"/>
      <w:divBdr>
        <w:top w:val="none" w:sz="0" w:space="0" w:color="auto"/>
        <w:left w:val="none" w:sz="0" w:space="0" w:color="auto"/>
        <w:bottom w:val="none" w:sz="0" w:space="0" w:color="auto"/>
        <w:right w:val="none" w:sz="0" w:space="0" w:color="auto"/>
      </w:divBdr>
    </w:div>
    <w:div w:id="91436534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49789425">
      <w:bodyDiv w:val="1"/>
      <w:marLeft w:val="0"/>
      <w:marRight w:val="0"/>
      <w:marTop w:val="0"/>
      <w:marBottom w:val="0"/>
      <w:divBdr>
        <w:top w:val="none" w:sz="0" w:space="0" w:color="auto"/>
        <w:left w:val="none" w:sz="0" w:space="0" w:color="auto"/>
        <w:bottom w:val="none" w:sz="0" w:space="0" w:color="auto"/>
        <w:right w:val="none" w:sz="0" w:space="0" w:color="auto"/>
      </w:divBdr>
      <w:divsChild>
        <w:div w:id="817572852">
          <w:marLeft w:val="0"/>
          <w:marRight w:val="0"/>
          <w:marTop w:val="0"/>
          <w:marBottom w:val="0"/>
          <w:divBdr>
            <w:top w:val="none" w:sz="0" w:space="0" w:color="auto"/>
            <w:left w:val="none" w:sz="0" w:space="0" w:color="auto"/>
            <w:bottom w:val="none" w:sz="0" w:space="0" w:color="auto"/>
            <w:right w:val="none" w:sz="0" w:space="0" w:color="auto"/>
          </w:divBdr>
        </w:div>
      </w:divsChild>
    </w:div>
    <w:div w:id="1236671009">
      <w:bodyDiv w:val="1"/>
      <w:marLeft w:val="0"/>
      <w:marRight w:val="0"/>
      <w:marTop w:val="0"/>
      <w:marBottom w:val="0"/>
      <w:divBdr>
        <w:top w:val="none" w:sz="0" w:space="0" w:color="auto"/>
        <w:left w:val="none" w:sz="0" w:space="0" w:color="auto"/>
        <w:bottom w:val="none" w:sz="0" w:space="0" w:color="auto"/>
        <w:right w:val="none" w:sz="0" w:space="0" w:color="auto"/>
      </w:divBdr>
      <w:divsChild>
        <w:div w:id="77293167">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1898738708">
      <w:bodyDiv w:val="1"/>
      <w:marLeft w:val="0"/>
      <w:marRight w:val="0"/>
      <w:marTop w:val="0"/>
      <w:marBottom w:val="0"/>
      <w:divBdr>
        <w:top w:val="none" w:sz="0" w:space="0" w:color="auto"/>
        <w:left w:val="none" w:sz="0" w:space="0" w:color="auto"/>
        <w:bottom w:val="none" w:sz="0" w:space="0" w:color="auto"/>
        <w:right w:val="none" w:sz="0" w:space="0" w:color="auto"/>
      </w:divBdr>
    </w:div>
    <w:div w:id="1970088735">
      <w:bodyDiv w:val="1"/>
      <w:marLeft w:val="0"/>
      <w:marRight w:val="0"/>
      <w:marTop w:val="0"/>
      <w:marBottom w:val="0"/>
      <w:divBdr>
        <w:top w:val="none" w:sz="0" w:space="0" w:color="auto"/>
        <w:left w:val="none" w:sz="0" w:space="0" w:color="auto"/>
        <w:bottom w:val="none" w:sz="0" w:space="0" w:color="auto"/>
        <w:right w:val="none" w:sz="0" w:space="0" w:color="auto"/>
      </w:divBdr>
      <w:divsChild>
        <w:div w:id="2124030618">
          <w:marLeft w:val="0"/>
          <w:marRight w:val="0"/>
          <w:marTop w:val="0"/>
          <w:marBottom w:val="0"/>
          <w:divBdr>
            <w:top w:val="none" w:sz="0" w:space="0" w:color="auto"/>
            <w:left w:val="none" w:sz="0" w:space="0" w:color="auto"/>
            <w:bottom w:val="none" w:sz="0" w:space="0" w:color="auto"/>
            <w:right w:val="none" w:sz="0" w:space="0" w:color="auto"/>
          </w:divBdr>
        </w:div>
      </w:divsChild>
    </w:div>
    <w:div w:id="2045401966">
      <w:bodyDiv w:val="1"/>
      <w:marLeft w:val="0"/>
      <w:marRight w:val="0"/>
      <w:marTop w:val="0"/>
      <w:marBottom w:val="0"/>
      <w:divBdr>
        <w:top w:val="none" w:sz="0" w:space="0" w:color="auto"/>
        <w:left w:val="none" w:sz="0" w:space="0" w:color="auto"/>
        <w:bottom w:val="none" w:sz="0" w:space="0" w:color="auto"/>
        <w:right w:val="none" w:sz="0" w:space="0" w:color="auto"/>
      </w:divBdr>
    </w:div>
    <w:div w:id="2094351184">
      <w:bodyDiv w:val="1"/>
      <w:marLeft w:val="0"/>
      <w:marRight w:val="0"/>
      <w:marTop w:val="0"/>
      <w:marBottom w:val="0"/>
      <w:divBdr>
        <w:top w:val="none" w:sz="0" w:space="0" w:color="auto"/>
        <w:left w:val="none" w:sz="0" w:space="0" w:color="auto"/>
        <w:bottom w:val="none" w:sz="0" w:space="0" w:color="auto"/>
        <w:right w:val="none" w:sz="0" w:space="0" w:color="auto"/>
      </w:divBdr>
      <w:divsChild>
        <w:div w:id="1644460514">
          <w:marLeft w:val="0"/>
          <w:marRight w:val="0"/>
          <w:marTop w:val="0"/>
          <w:marBottom w:val="0"/>
          <w:divBdr>
            <w:top w:val="none" w:sz="0" w:space="0" w:color="auto"/>
            <w:left w:val="none" w:sz="0" w:space="0" w:color="auto"/>
            <w:bottom w:val="none" w:sz="0" w:space="0" w:color="auto"/>
            <w:right w:val="none" w:sz="0" w:space="0" w:color="auto"/>
          </w:divBdr>
        </w:div>
      </w:divsChild>
    </w:div>
    <w:div w:id="212796031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retariasenado.gov.co/senado/basedoc/ley_2046_2020.html" TargetMode="External"/><Relationship Id="rId18" Type="http://schemas.openxmlformats.org/officeDocument/2006/relationships/hyperlink" Target="http://secretariasenado.gov.co/senado/basedoc/ley_2046_2020.html" TargetMode="External"/><Relationship Id="rId26" Type="http://schemas.openxmlformats.org/officeDocument/2006/relationships/hyperlink" Target="https://nam02.safelinks.protection.outlook.com/?url=https%3A%2F%2Fwww.colombiacompra.gov.co%2Farchivos%2Fboletin%2Fboletin-edicion-n-3-de-2026-radar-de-la-compra-publica&amp;data=05%7C02%7Cjuan.montoya%40colombiacompra.gov.co%7C7128555136e04fa6887d08dee99e1b50%7C7b09041e245149d08cb179d5e3d8c1be%7C0%7C0%7C639205062451356630%7CUnknown%7CTWFpbGZsb3d8eyJFbXB0eU1hcGkiOnRydWUsIlYiOiIwLjAuMDAwMCIsIlAiOiJXaW4zMiIsIkFOIjoiTWFpbCIsIldUIjoyfQ%3D%3D%7C0%7C%7C%7C&amp;sdata=BAEerpr5LJv1S5EMjF4wsWYXvi5rJvYw5HldhbMOmZk%3D&amp;reserved=0" TargetMode="External"/><Relationship Id="rId3" Type="http://schemas.openxmlformats.org/officeDocument/2006/relationships/customXml" Target="../customXml/item3.xml"/><Relationship Id="rId21" Type="http://schemas.openxmlformats.org/officeDocument/2006/relationships/hyperlink" Target="http://secretariasenado.gov.co/senado/basedoc/ley_2046_2020.html"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paula_latorre@yahoo.com" TargetMode="External"/><Relationship Id="rId17" Type="http://schemas.openxmlformats.org/officeDocument/2006/relationships/hyperlink" Target="http://secretariasenado.gov.co/senado/basedoc/ley_2046_2020.html" TargetMode="External"/><Relationship Id="rId25" Type="http://schemas.openxmlformats.org/officeDocument/2006/relationships/hyperlink" Target="https://nam02.safelinks.protection.outlook.com/?url=https%3A%2F%2Fwww.colombiacompra.gov.co%2Farchivos%2Fcircular%2Fcircular-externa-002-de-2026&amp;data=05%7C02%7Cjuan.montoya%40colombiacompra.gov.co%7C7128555136e04fa6887d08dee99e1b50%7C7b09041e245149d08cb179d5e3d8c1be%7C0%7C0%7C639205062451334414%7CUnknown%7CTWFpbGZsb3d8eyJFbXB0eU1hcGkiOnRydWUsIlYiOiIwLjAuMDAwMCIsIlAiOiJXaW4zMiIsIkFOIjoiTWFpbCIsIldUIjoyfQ%3D%3D%7C0%7C%7C%7C&amp;sdata=afoCV6jibHbTjlvaQik3Cm4faTAldy%2BPjeYD7F9ArKA%3D&amp;reserved=0"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cretariasenado.gov.co/senado/basedoc/ley_2046_2020.html" TargetMode="External"/><Relationship Id="rId20" Type="http://schemas.openxmlformats.org/officeDocument/2006/relationships/hyperlink" Target="http://secretariasenado.gov.co/senado/basedoc/ley_2046_2020.html" TargetMode="External"/><Relationship Id="rId29"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hyperlink" Target="https://nam02.safelinks.protection.outlook.com/?url=https%3A%2F%2Fwww.colombiacompra.gov.co%2Farchivos%2Fcircular%2Fcircular-externa-003-de-2026&amp;data=05%7C02%7Cjuan.montoya%40colombiacompra.gov.co%7C7128555136e04fa6887d08dee99e1b50%7C7b09041e245149d08cb179d5e3d8c1be%7C0%7C0%7C639205062451311236%7CUnknown%7CTWFpbGZsb3d8eyJFbXB0eU1hcGkiOnRydWUsIlYiOiIwLjAuMDAwMCIsIlAiOiJXaW4zMiIsIkFOIjoiTWFpbCIsIldUIjoyfQ%3D%3D%7C0%7C%7C%7C&amp;sdata=%2FIK%2BCWYsSGOFYBZnWf4YWtYLVNUxZLARHnAsDCfX018%3D&amp;reserved=0"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ecretariasenado.gov.co/senado/basedoc/ley_2046_2020.html" TargetMode="External"/><Relationship Id="rId23" Type="http://schemas.openxmlformats.org/officeDocument/2006/relationships/hyperlink" Target="https://nam02.safelinks.protection.outlook.com/?url=https%3A%2F%2Fwww.colombiacompra.gov.co%2Farchivos%2Fmanual%2Fguia-de-garantias-en-procesos-de-contratacion&amp;data=05%7C02%7Cjuan.montoya%40colombiacompra.gov.co%7C7128555136e04fa6887d08dee99e1b50%7C7b09041e245149d08cb179d5e3d8c1be%7C0%7C0%7C639205062451279556%7CUnknown%7CTWFpbGZsb3d8eyJFbXB0eU1hcGkiOnRydWUsIlYiOiIwLjAuMDAwMCIsIlAiOiJXaW4zMiIsIkFOIjoiTWFpbCIsIldUIjoyfQ%3D%3D%7C0%7C%7C%7C&amp;sdata=i4ge%2BIRzNcFc6YLVHBS9VTZEZfbIWHprkVqyLu5AvlY%3D&amp;reserved=0" TargetMode="External"/><Relationship Id="rId28" Type="http://schemas.openxmlformats.org/officeDocument/2006/relationships/hyperlink" Target="https://www.colombiacompra.gov.co/pqrsd/informacion-importante-antes-de-formular-una-pqrsd" TargetMode="External"/><Relationship Id="rId10" Type="http://schemas.openxmlformats.org/officeDocument/2006/relationships/endnotes" Target="endnotes.xml"/><Relationship Id="rId19" Type="http://schemas.openxmlformats.org/officeDocument/2006/relationships/hyperlink" Target="http://secretariasenado.gov.co/senado/basedoc/ley_2046_2020.html"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retariasenado.gov.co/senado/basedoc/ley_2046_2020.html" TargetMode="External"/><Relationship Id="rId22" Type="http://schemas.openxmlformats.org/officeDocument/2006/relationships/hyperlink" Target="https://relatoria.colombiacompra.gov.co/busqueda/conceptos" TargetMode="External"/><Relationship Id="rId27" Type="http://schemas.openxmlformats.org/officeDocument/2006/relationships/hyperlink" Target="mailto:ventanilladeradicacion@colombiacompra.gov.co" TargetMode="External"/><Relationship Id="rId30"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1437_2011_pr003.html" TargetMode="External"/><Relationship Id="rId2" Type="http://schemas.openxmlformats.org/officeDocument/2006/relationships/hyperlink" Target="http://www.secretariasenado.gov.co/senado/basedoc/ley_1437_2011_pr003.html" TargetMode="External"/><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7ED6FA36-110B-4105-95C8-B67E8D844E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0645CA0D-2866-439E-B5B6-F739D26A5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29</Pages>
  <Words>10407</Words>
  <Characters>57240</Characters>
  <Application>Microsoft Office Word</Application>
  <DocSecurity>0</DocSecurity>
  <Lines>477</Lines>
  <Paragraphs>135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150</cp:revision>
  <cp:lastPrinted>2023-01-10T21:18:00Z</cp:lastPrinted>
  <dcterms:created xsi:type="dcterms:W3CDTF">2026-04-28T03:14:00Z</dcterms:created>
  <dcterms:modified xsi:type="dcterms:W3CDTF">2026-09-21T22:17:00Z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