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93322" w14:textId="77777777" w:rsidR="00F931C4"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SUPERVISIÓN ‒ Noción ‒ Apoyo a la supervisión ‒ Contratos de prestación de servicios</w:t>
      </w:r>
    </w:p>
    <w:p w14:paraId="411B7871" w14:textId="77777777" w:rsidR="00F931C4" w:rsidRDefault="00F931C4">
      <w:pPr>
        <w:spacing w:after="0" w:line="240" w:lineRule="auto"/>
        <w:contextualSpacing/>
        <w:jc w:val="both"/>
        <w:rPr>
          <w:rFonts w:ascii="Verdana" w:eastAsia="Calibri" w:hAnsi="Verdana" w:cs="Arial"/>
          <w:b/>
          <w:bCs/>
          <w:lang w:eastAsia="es-ES"/>
        </w:rPr>
      </w:pPr>
    </w:p>
    <w:p w14:paraId="55E85FC4" w14:textId="77777777" w:rsidR="00F931C4"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Conforme al artículo 83 de la Ley 1474 de 2011, la supervisión consiste en el seguimiento técnico, administrativo, financiero, contable y jurídico que, sobre el cumplimiento del objeto del contrato, ejerce la misma entidad estatal cuando no se requieren conocimientos especializados, y para ella la entidad podrá contratar personal de apoyo a través de los contratos de prestación de servicios que sean requeridos. En consecuencia, el apoyo a la supervisión por parte de contratistas solo puede desarrollarse en el marco de un contrato de prestación de servicios cuyo objeto y obligaciones comprendan esa actividad.</w:t>
      </w:r>
    </w:p>
    <w:p w14:paraId="4EAEBE70" w14:textId="77777777" w:rsidR="00F931C4" w:rsidRDefault="00F931C4">
      <w:pPr>
        <w:spacing w:after="0" w:line="240" w:lineRule="auto"/>
        <w:contextualSpacing/>
        <w:jc w:val="both"/>
        <w:rPr>
          <w:rFonts w:ascii="Verdana" w:eastAsia="Calibri" w:hAnsi="Verdana" w:cs="Arial"/>
          <w:b/>
          <w:bCs/>
          <w:lang w:eastAsia="es-ES"/>
        </w:rPr>
      </w:pPr>
    </w:p>
    <w:p w14:paraId="20CCBF88" w14:textId="77777777" w:rsidR="00F931C4"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CONTRATO DE PRESTACIÓN DE SERVICIOS ‒ Objeto y obligaciones ‒ Cláusulas residuales ‒ Alcance</w:t>
      </w:r>
    </w:p>
    <w:p w14:paraId="69DC8D02" w14:textId="77777777" w:rsidR="00F931C4" w:rsidRDefault="00F931C4">
      <w:pPr>
        <w:spacing w:after="0" w:line="240" w:lineRule="auto"/>
        <w:contextualSpacing/>
        <w:jc w:val="both"/>
        <w:rPr>
          <w:rFonts w:ascii="Verdana" w:eastAsia="Calibri" w:hAnsi="Verdana" w:cs="Arial"/>
          <w:b/>
          <w:bCs/>
          <w:lang w:eastAsia="es-ES"/>
        </w:rPr>
      </w:pPr>
    </w:p>
    <w:p w14:paraId="4D1A864E" w14:textId="77777777" w:rsidR="00F931C4"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Las actividades exigibles al contratista de prestación de servicios se enmarcan en el objeto y en las obligaciones determinadas en su contrato, celebrado en desarrollo del principio de planeación. Las cláusulas residuales o genéricas de obligaciones —como “las demás inherentes al objeto contractual” o “las que asigne el supervisor”— comprenden únicamente actividades accesorias que guarden relación directa con el objeto pactado; no constituyen fuente autónoma para asignar al contratista roles sustanciales y autónomos no previstos en el contrato, como el apoyo a la supervisión de otros contratos.</w:t>
      </w:r>
    </w:p>
    <w:p w14:paraId="0D9F2C7D" w14:textId="77777777" w:rsidR="00F931C4" w:rsidRDefault="00F931C4">
      <w:pPr>
        <w:spacing w:after="0" w:line="240" w:lineRule="auto"/>
        <w:contextualSpacing/>
        <w:jc w:val="both"/>
        <w:rPr>
          <w:rFonts w:ascii="Verdana" w:eastAsia="Calibri" w:hAnsi="Verdana" w:cs="Arial"/>
          <w:b/>
          <w:bCs/>
          <w:lang w:eastAsia="es-ES"/>
        </w:rPr>
      </w:pPr>
    </w:p>
    <w:p w14:paraId="2E7A7C32" w14:textId="77777777" w:rsidR="00F931C4"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MODIFICACIÓN DEL CONTRATO ESTATAL ‒ Mutuo acuerdo ‒ Límites ‒ Modificación unilateral excepcional</w:t>
      </w:r>
    </w:p>
    <w:p w14:paraId="2BFB5A44" w14:textId="77777777" w:rsidR="00F931C4" w:rsidRDefault="00F931C4">
      <w:pPr>
        <w:spacing w:after="0" w:line="240" w:lineRule="auto"/>
        <w:contextualSpacing/>
        <w:jc w:val="both"/>
        <w:rPr>
          <w:rFonts w:ascii="Verdana" w:eastAsia="Calibri" w:hAnsi="Verdana" w:cs="Arial"/>
          <w:b/>
          <w:bCs/>
          <w:lang w:eastAsia="es-ES"/>
        </w:rPr>
      </w:pPr>
    </w:p>
    <w:p w14:paraId="64C29CD8" w14:textId="77777777" w:rsidR="00F931C4"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La incorporación de nuevas obligaciones al contrato estatal constituye una modificación contractual, que debe acordarse por las partes, constar por escrito y estar debidamente justificada, sin que pueda alterarse la esencia del objeto. La modificación unilateral es excepcional: solo procede en los términos del artículo 16 de la Ley 80 de 1993, mediante acto administrativo debidamente motivado, para evitar la paralización o la afectación grave del servicio, previa imposibilidad de acuerdo. Un memorando u orden interna no es el instrumento previsto por el ordenamiento para modificar el contrato.</w:t>
      </w:r>
    </w:p>
    <w:p w14:paraId="190808E0" w14:textId="77777777" w:rsidR="00F931C4" w:rsidRDefault="00F931C4">
      <w:pPr>
        <w:spacing w:after="0" w:line="240" w:lineRule="auto"/>
        <w:contextualSpacing/>
        <w:jc w:val="both"/>
        <w:rPr>
          <w:rFonts w:ascii="Verdana" w:eastAsia="Calibri" w:hAnsi="Verdana" w:cs="Arial"/>
          <w:b/>
          <w:bCs/>
          <w:lang w:eastAsia="es-ES"/>
        </w:rPr>
      </w:pPr>
    </w:p>
    <w:p w14:paraId="64493D42" w14:textId="77777777" w:rsidR="00F931C4"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MODIFICACIÓN DEL CONTRATO ESTATAL ‒ Formalidades ‒ Firma de revisión del contratista ‒ Consentimiento contractual</w:t>
      </w:r>
    </w:p>
    <w:p w14:paraId="68BFFC8B" w14:textId="77777777" w:rsidR="00F931C4" w:rsidRDefault="00F931C4">
      <w:pPr>
        <w:spacing w:after="0" w:line="240" w:lineRule="auto"/>
        <w:contextualSpacing/>
        <w:jc w:val="both"/>
        <w:rPr>
          <w:rFonts w:ascii="Verdana" w:eastAsia="Calibri" w:hAnsi="Verdana" w:cs="Arial"/>
          <w:b/>
          <w:bCs/>
          <w:lang w:eastAsia="es-ES"/>
        </w:rPr>
      </w:pPr>
    </w:p>
    <w:p w14:paraId="28484C18" w14:textId="77777777" w:rsidR="00F931C4"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El consentimiento del contratista en la modificación del contrato se expresa mediante la suscripción del correspondiente negocio jurídico modificatorio con la entidad estatal. La firma estampada por el contratista en un documento interno de trámite —bajo rótulos como “revisó” o “aprobó”, propios de la trazabilidad documental— no equivale a esa manifestación de voluntad ni suple las formalidades del acuerdo modificatorio.</w:t>
      </w:r>
    </w:p>
    <w:p w14:paraId="5182D542" w14:textId="77777777" w:rsidR="00331B3C" w:rsidRDefault="00331B3C" w:rsidP="00DD0FDA">
      <w:pPr>
        <w:spacing w:after="0" w:line="240" w:lineRule="auto"/>
        <w:rPr>
          <w:rFonts w:ascii="Verdana" w:eastAsia="Calibri" w:hAnsi="Verdana" w:cs="Arial"/>
          <w:b/>
          <w:bCs/>
          <w:lang w:eastAsia="es-ES"/>
        </w:rPr>
      </w:pPr>
    </w:p>
    <w:p w14:paraId="22AAFBD0" w14:textId="32799656" w:rsidR="00DD0FDA" w:rsidRPr="00804A6B" w:rsidRDefault="001E2D49" w:rsidP="00DD0FDA">
      <w:pPr>
        <w:spacing w:after="0" w:line="240" w:lineRule="auto"/>
        <w:rPr>
          <w:rFonts w:ascii="Verdana" w:eastAsia="Calibri" w:hAnsi="Verdana" w:cs="Arial"/>
          <w:bCs/>
          <w:lang w:eastAsia="es-ES_tradnl"/>
        </w:rPr>
      </w:pPr>
      <w:r w:rsidRPr="00804A6B">
        <w:rPr>
          <w:rFonts w:ascii="Verdana" w:eastAsia="Calibri" w:hAnsi="Verdana" w:cs="Arial"/>
          <w:bCs/>
          <w:lang w:eastAsia="es-ES_tradnl"/>
        </w:rPr>
        <w:lastRenderedPageBreak/>
        <w:t xml:space="preserve">Bogotá D.C., 21 de </w:t>
      </w:r>
      <w:r w:rsidR="00804A6B" w:rsidRPr="00804A6B">
        <w:rPr>
          <w:rFonts w:ascii="Verdana" w:eastAsia="Calibri" w:hAnsi="Verdana" w:cs="Arial"/>
          <w:bCs/>
          <w:lang w:eastAsia="es-ES_tradnl"/>
        </w:rPr>
        <w:t>septiembre</w:t>
      </w:r>
      <w:r w:rsidRPr="00804A6B">
        <w:rPr>
          <w:rFonts w:ascii="Verdana" w:eastAsia="Calibri" w:hAnsi="Verdana" w:cs="Arial"/>
          <w:bCs/>
          <w:lang w:eastAsia="es-ES_tradnl"/>
        </w:rPr>
        <w:t xml:space="preserve"> de 2026</w:t>
      </w:r>
    </w:p>
    <w:p w14:paraId="148B141C" w14:textId="75C4B606" w:rsidR="00DD0FDA" w:rsidRDefault="00DD0FDA" w:rsidP="00DD0FDA">
      <w:pPr>
        <w:spacing w:after="0" w:line="240" w:lineRule="auto"/>
        <w:rPr>
          <w:rFonts w:ascii="Verdana" w:hAnsi="Verdana"/>
        </w:rPr>
      </w:pPr>
    </w:p>
    <w:p w14:paraId="66F95239" w14:textId="17016350" w:rsidR="007741C2" w:rsidRPr="00960F72" w:rsidRDefault="007741C2" w:rsidP="007741C2">
      <w:pPr>
        <w:spacing w:after="0" w:line="240" w:lineRule="auto"/>
        <w:rPr>
          <w:rFonts w:ascii="Verdana" w:eastAsia="Calibri" w:hAnsi="Verdana" w:cs="Arial"/>
          <w:bCs/>
          <w:sz w:val="20"/>
          <w:szCs w:val="20"/>
          <w:lang w:eastAsia="es-ES_tradnl"/>
        </w:rPr>
      </w:pPr>
    </w:p>
    <w:p w14:paraId="05D440D5" w14:textId="7D8939E1" w:rsidR="007871E6" w:rsidRDefault="00804A6B" w:rsidP="003248CC">
      <w:pPr>
        <w:spacing w:after="0" w:line="240" w:lineRule="auto"/>
        <w:rPr>
          <w:rFonts w:ascii="Verdana" w:hAnsi="Verdana"/>
        </w:rPr>
      </w:pPr>
      <w:r w:rsidRPr="00804A6B">
        <w:rPr>
          <w:rFonts w:ascii="Verdana" w:hAnsi="Verdana"/>
          <w:noProof/>
          <w:sz w:val="24"/>
          <w:szCs w:val="24"/>
          <w:lang w:val="es-ES_tradnl"/>
        </w:rPr>
        <w:drawing>
          <wp:anchor distT="0" distB="0" distL="114300" distR="114300" simplePos="0" relativeHeight="251658240" behindDoc="1" locked="0" layoutInCell="1" allowOverlap="1" wp14:anchorId="0B7E47DE" wp14:editId="3652E72F">
            <wp:simplePos x="0" y="0"/>
            <wp:positionH relativeFrom="margin">
              <wp:align>right</wp:align>
            </wp:positionH>
            <wp:positionV relativeFrom="paragraph">
              <wp:posOffset>8890</wp:posOffset>
            </wp:positionV>
            <wp:extent cx="2762250" cy="937895"/>
            <wp:effectExtent l="0" t="0" r="0" b="0"/>
            <wp:wrapSquare wrapText="bothSides"/>
            <wp:docPr id="160886305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863058"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2762250" cy="937895"/>
                    </a:xfrm>
                    <a:prstGeom prst="rect">
                      <a:avLst/>
                    </a:prstGeom>
                  </pic:spPr>
                </pic:pic>
              </a:graphicData>
            </a:graphic>
            <wp14:sizeRelH relativeFrom="page">
              <wp14:pctWidth>0</wp14:pctWidth>
            </wp14:sizeRelH>
            <wp14:sizeRelV relativeFrom="page">
              <wp14:pctHeight>0</wp14:pctHeight>
            </wp14:sizeRelV>
          </wp:anchor>
        </w:drawing>
      </w:r>
    </w:p>
    <w:p w14:paraId="215B621F" w14:textId="77777777" w:rsidR="00F931C4" w:rsidRDefault="00000000">
      <w:pPr>
        <w:spacing w:after="0" w:line="240" w:lineRule="auto"/>
        <w:rPr>
          <w:rFonts w:ascii="Verdana" w:hAnsi="Verdana"/>
          <w:lang w:val="es-ES"/>
        </w:rPr>
      </w:pPr>
      <w:r>
        <w:rPr>
          <w:rFonts w:ascii="Verdana" w:eastAsia="Calibri" w:hAnsi="Verdana" w:cs="Arial"/>
          <w:lang w:val="es-ES" w:eastAsia="es-ES"/>
        </w:rPr>
        <w:t>Señora</w:t>
      </w:r>
    </w:p>
    <w:p w14:paraId="49CFF5CF" w14:textId="77777777" w:rsidR="00F931C4" w:rsidRPr="00DD0FDA" w:rsidRDefault="00000000">
      <w:pPr>
        <w:spacing w:after="0" w:line="240" w:lineRule="auto"/>
        <w:rPr>
          <w:rFonts w:ascii="Verdana" w:hAnsi="Verdana"/>
          <w:b/>
          <w:bCs/>
          <w:lang w:val="es-ES"/>
        </w:rPr>
      </w:pPr>
      <w:r>
        <w:rPr>
          <w:rFonts w:ascii="Verdana" w:eastAsia="Calibri" w:hAnsi="Verdana" w:cs="Arial"/>
          <w:b/>
          <w:bCs/>
          <w:lang w:val="es-ES" w:eastAsia="es-ES"/>
        </w:rPr>
        <w:t>María Cristina González González</w:t>
      </w:r>
    </w:p>
    <w:p w14:paraId="4A15E908" w14:textId="77777777" w:rsidR="00F931C4" w:rsidRDefault="00000000">
      <w:pPr>
        <w:spacing w:after="0" w:line="240" w:lineRule="auto"/>
        <w:rPr>
          <w:rFonts w:ascii="Verdana" w:hAnsi="Verdana"/>
          <w:lang w:val="es-ES"/>
        </w:rPr>
      </w:pPr>
      <w:r>
        <w:rPr>
          <w:rFonts w:ascii="Verdana" w:eastAsia="Calibri" w:hAnsi="Verdana" w:cs="Arial"/>
          <w:lang w:val="es-ES" w:eastAsia="es-ES"/>
        </w:rPr>
        <w:t>c.g.consultoriajuridica@gmail.com</w:t>
      </w:r>
    </w:p>
    <w:p w14:paraId="4599A1C9" w14:textId="4BAF1364" w:rsidR="00F931C4" w:rsidRDefault="00000000">
      <w:pPr>
        <w:spacing w:after="0" w:line="240" w:lineRule="auto"/>
        <w:rPr>
          <w:rFonts w:ascii="Verdana" w:hAnsi="Verdana"/>
          <w:lang w:val="es-ES"/>
        </w:rPr>
      </w:pPr>
      <w:r>
        <w:rPr>
          <w:rFonts w:ascii="Verdana" w:eastAsia="Calibri" w:hAnsi="Verdana" w:cs="Arial"/>
          <w:lang w:val="es-ES" w:eastAsia="es-ES"/>
        </w:rPr>
        <w:t>Bogotá</w:t>
      </w:r>
      <w:r w:rsidR="00331B3C">
        <w:rPr>
          <w:rFonts w:ascii="Verdana" w:eastAsia="Calibri" w:hAnsi="Verdana" w:cs="Arial"/>
          <w:lang w:val="es-ES" w:eastAsia="es-ES"/>
        </w:rPr>
        <w:t>, Cundinamarca</w:t>
      </w:r>
    </w:p>
    <w:p w14:paraId="0BA60422" w14:textId="77777777" w:rsidR="005B1993" w:rsidRPr="00966744" w:rsidRDefault="005B1993" w:rsidP="003248CC">
      <w:pPr>
        <w:spacing w:after="0" w:line="240" w:lineRule="auto"/>
        <w:rPr>
          <w:rFonts w:ascii="Verdana" w:eastAsia="Calibri" w:hAnsi="Verdana" w:cs="Arial"/>
          <w:lang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871E6" w:rsidRPr="00777292" w14:paraId="5C67A63C" w14:textId="77777777" w:rsidTr="000A1473">
        <w:trPr>
          <w:trHeight w:val="190"/>
        </w:trPr>
        <w:tc>
          <w:tcPr>
            <w:tcW w:w="2689" w:type="dxa"/>
          </w:tcPr>
          <w:p w14:paraId="7AF93123" w14:textId="77777777" w:rsidR="007871E6" w:rsidRDefault="007871E6" w:rsidP="005B1993">
            <w:pPr>
              <w:jc w:val="both"/>
              <w:rPr>
                <w:rFonts w:ascii="Verdana" w:eastAsia="Calibri" w:hAnsi="Verdana" w:cs="Arial"/>
                <w:b/>
                <w:bCs/>
                <w:lang w:eastAsia="es-ES_tradnl"/>
              </w:rPr>
            </w:pPr>
          </w:p>
          <w:p w14:paraId="44DF1309" w14:textId="77777777" w:rsidR="005B1993" w:rsidRPr="00777292" w:rsidRDefault="005B1993" w:rsidP="005B1993">
            <w:pPr>
              <w:jc w:val="both"/>
              <w:rPr>
                <w:rFonts w:ascii="Verdana" w:eastAsia="Calibri" w:hAnsi="Verdana" w:cs="Arial"/>
                <w:b/>
                <w:bCs/>
                <w:lang w:eastAsia="es-ES_tradnl"/>
              </w:rPr>
            </w:pPr>
          </w:p>
        </w:tc>
        <w:tc>
          <w:tcPr>
            <w:tcW w:w="6100" w:type="dxa"/>
          </w:tcPr>
          <w:p w14:paraId="3CEA1BE8" w14:textId="257BC2F4" w:rsidR="007871E6" w:rsidRPr="00777292" w:rsidRDefault="007871E6">
            <w:pPr>
              <w:jc w:val="both"/>
              <w:rPr>
                <w:rFonts w:ascii="Verdana" w:eastAsia="Calibri" w:hAnsi="Verdana" w:cs="Arial"/>
                <w:b/>
                <w:bCs/>
                <w:lang w:eastAsia="es-ES"/>
              </w:rPr>
            </w:pPr>
            <w:r>
              <w:rPr>
                <w:rFonts w:ascii="Verdana" w:eastAsia="Calibri" w:hAnsi="Verdana" w:cs="Arial"/>
                <w:b/>
                <w:bCs/>
                <w:lang w:eastAsia="es-ES"/>
              </w:rPr>
              <w:t>Concepto C-1277 de 2026</w:t>
            </w:r>
          </w:p>
          <w:p w14:paraId="7C3D72BD" w14:textId="77777777" w:rsidR="007871E6" w:rsidRPr="00777292" w:rsidRDefault="007871E6">
            <w:pPr>
              <w:jc w:val="both"/>
              <w:rPr>
                <w:rFonts w:ascii="Verdana" w:eastAsia="Calibri" w:hAnsi="Verdana" w:cs="Arial"/>
                <w:b/>
                <w:bCs/>
                <w:lang w:eastAsia="es-ES"/>
              </w:rPr>
            </w:pPr>
          </w:p>
        </w:tc>
      </w:tr>
      <w:tr w:rsidR="007871E6" w:rsidRPr="00777292" w14:paraId="40276092" w14:textId="77777777" w:rsidTr="000A1473">
        <w:trPr>
          <w:trHeight w:val="884"/>
        </w:trPr>
        <w:tc>
          <w:tcPr>
            <w:tcW w:w="2689" w:type="dxa"/>
          </w:tcPr>
          <w:p w14:paraId="0F612317" w14:textId="77777777" w:rsidR="007871E6" w:rsidRPr="00777292" w:rsidRDefault="007871E6" w:rsidP="005B1993">
            <w:pPr>
              <w:jc w:val="both"/>
              <w:rPr>
                <w:rFonts w:ascii="Verdana" w:eastAsia="Calibri" w:hAnsi="Verdana" w:cs="Arial"/>
                <w:lang w:eastAsia="es-ES_tradnl"/>
              </w:rPr>
            </w:pPr>
            <w:r>
              <w:rPr>
                <w:rFonts w:ascii="Verdana" w:eastAsia="Calibri" w:hAnsi="Verdana" w:cs="Arial"/>
                <w:b/>
                <w:lang w:eastAsia="es-ES_tradnl"/>
              </w:rPr>
              <w:t>Tema:</w:t>
            </w:r>
            <w:r>
              <w:rPr>
                <w:rFonts w:ascii="Verdana" w:eastAsia="Calibri" w:hAnsi="Verdana" w:cs="Arial"/>
                <w:lang w:eastAsia="es-ES_tradnl"/>
              </w:rPr>
              <w:t xml:space="preserve">                   </w:t>
            </w:r>
          </w:p>
        </w:tc>
        <w:tc>
          <w:tcPr>
            <w:tcW w:w="6100" w:type="dxa"/>
          </w:tcPr>
          <w:p w14:paraId="1C8BF449" w14:textId="77777777" w:rsidR="007871E6" w:rsidRPr="00777292" w:rsidRDefault="007871E6" w:rsidP="00C00CDF">
            <w:pPr>
              <w:contextualSpacing/>
              <w:jc w:val="both"/>
              <w:rPr>
                <w:rFonts w:ascii="Verdana" w:eastAsia="Calibri" w:hAnsi="Verdana" w:cs="Arial"/>
                <w:lang w:eastAsia="es-ES"/>
              </w:rPr>
            </w:pPr>
            <w:r>
              <w:rPr>
                <w:rFonts w:ascii="Verdana" w:eastAsia="Calibri" w:hAnsi="Verdana" w:cs="Arial"/>
                <w:lang w:eastAsia="es-ES"/>
              </w:rPr>
              <w:t>SUPERVISIÓN ‒ Noción ‒ Apoyo a la supervisión ‒ Contratos de prestación de servicios / CONTRATO DE PRESTACIÓN DE SERVICIOS ‒ Objeto y obligaciones ‒ Cláusulas residuales ‒ Alcance / MODIFICACIÓN DEL CONTRATO ESTATAL ‒ Mutuo acuerdo ‒ Límites ‒ Modificación unilateral excepcional / MODIFICACIÓN DEL CONTRATO ESTATAL ‒ Formalidades ‒ Firma de revisión del contratista ‒ Consentimiento contractual</w:t>
            </w:r>
          </w:p>
        </w:tc>
      </w:tr>
      <w:tr w:rsidR="00331B3C" w:rsidRPr="00777292" w14:paraId="6A7080F7" w14:textId="77777777" w:rsidTr="000A1473">
        <w:trPr>
          <w:trHeight w:val="884"/>
        </w:trPr>
        <w:tc>
          <w:tcPr>
            <w:tcW w:w="2689" w:type="dxa"/>
          </w:tcPr>
          <w:p w14:paraId="3190438D" w14:textId="77777777" w:rsidR="00331B3C" w:rsidRDefault="00331B3C" w:rsidP="005B1993">
            <w:pPr>
              <w:jc w:val="both"/>
              <w:rPr>
                <w:rFonts w:ascii="Verdana" w:eastAsia="Calibri" w:hAnsi="Verdana" w:cs="Arial"/>
                <w:b/>
                <w:lang w:eastAsia="es-ES_tradnl"/>
              </w:rPr>
            </w:pPr>
          </w:p>
        </w:tc>
        <w:tc>
          <w:tcPr>
            <w:tcW w:w="6100" w:type="dxa"/>
          </w:tcPr>
          <w:p w14:paraId="067C525D" w14:textId="77777777" w:rsidR="00331B3C" w:rsidRDefault="00331B3C" w:rsidP="00C00CDF">
            <w:pPr>
              <w:contextualSpacing/>
              <w:jc w:val="both"/>
              <w:rPr>
                <w:rFonts w:ascii="Verdana" w:eastAsia="Calibri" w:hAnsi="Verdana" w:cs="Arial"/>
                <w:lang w:eastAsia="es-ES"/>
              </w:rPr>
            </w:pPr>
          </w:p>
        </w:tc>
      </w:tr>
      <w:tr w:rsidR="007871E6" w:rsidRPr="00777292" w14:paraId="4C249E16" w14:textId="77777777" w:rsidTr="000A1473">
        <w:tc>
          <w:tcPr>
            <w:tcW w:w="2689" w:type="dxa"/>
          </w:tcPr>
          <w:p w14:paraId="41B0A8E4" w14:textId="77777777" w:rsidR="007871E6" w:rsidRPr="00777292" w:rsidRDefault="007871E6" w:rsidP="005B1993">
            <w:pPr>
              <w:jc w:val="both"/>
              <w:rPr>
                <w:rFonts w:ascii="Verdana" w:eastAsia="Calibri" w:hAnsi="Verdana" w:cs="Arial"/>
                <w:b/>
                <w:lang w:eastAsia="es-ES_tradnl"/>
              </w:rPr>
            </w:pPr>
            <w:r>
              <w:rPr>
                <w:rFonts w:ascii="Verdana" w:eastAsia="Calibri" w:hAnsi="Verdana" w:cs="Arial"/>
                <w:b/>
                <w:lang w:eastAsia="es-ES_tradnl"/>
              </w:rPr>
              <w:t>Radicación:</w:t>
            </w:r>
            <w:r>
              <w:rPr>
                <w:rFonts w:ascii="Verdana" w:eastAsia="Calibri" w:hAnsi="Verdana" w:cs="Arial"/>
                <w:lang w:eastAsia="es-ES_tradnl"/>
              </w:rPr>
              <w:t xml:space="preserve">               </w:t>
            </w:r>
          </w:p>
        </w:tc>
        <w:tc>
          <w:tcPr>
            <w:tcW w:w="6100" w:type="dxa"/>
          </w:tcPr>
          <w:p w14:paraId="314C033A" w14:textId="77777777" w:rsidR="007871E6" w:rsidRPr="00777292" w:rsidRDefault="007871E6" w:rsidP="005B1993">
            <w:pPr>
              <w:jc w:val="both"/>
              <w:rPr>
                <w:rFonts w:ascii="Verdana" w:eastAsia="Calibri" w:hAnsi="Verdana" w:cs="Arial"/>
                <w:lang w:eastAsia="es-ES_tradnl"/>
              </w:rPr>
            </w:pPr>
            <w:r>
              <w:rPr>
                <w:rFonts w:ascii="Verdana" w:eastAsia="Calibri" w:hAnsi="Verdana" w:cs="Arial"/>
                <w:lang w:eastAsia="es-ES_tradnl"/>
              </w:rPr>
              <w:t>Respuesta a consulta con radicado No. 1_2026_08_13_010713</w:t>
            </w:r>
          </w:p>
        </w:tc>
      </w:tr>
    </w:tbl>
    <w:p w14:paraId="33D19FEA" w14:textId="77777777" w:rsidR="007871E6" w:rsidRPr="00206556" w:rsidRDefault="007871E6" w:rsidP="005B1993">
      <w:pPr>
        <w:tabs>
          <w:tab w:val="left" w:pos="1520"/>
        </w:tabs>
        <w:spacing w:after="0" w:line="276" w:lineRule="auto"/>
        <w:jc w:val="both"/>
        <w:rPr>
          <w:rFonts w:ascii="Verdana" w:eastAsia="Calibri" w:hAnsi="Verdana" w:cs="Arial"/>
          <w:color w:val="ED7D31" w:themeColor="accent2"/>
          <w:sz w:val="20"/>
          <w:szCs w:val="20"/>
          <w:lang w:val="es-ES" w:eastAsia="es-ES"/>
        </w:rPr>
      </w:pPr>
    </w:p>
    <w:p w14:paraId="0BF09965" w14:textId="77777777" w:rsidR="007871E6" w:rsidRPr="00206556" w:rsidRDefault="007871E6" w:rsidP="005B1993">
      <w:pPr>
        <w:spacing w:after="0" w:line="276" w:lineRule="auto"/>
        <w:jc w:val="both"/>
        <w:rPr>
          <w:rFonts w:ascii="Verdana" w:eastAsia="Calibri" w:hAnsi="Verdana" w:cs="Arial"/>
          <w:color w:val="ED7D31" w:themeColor="accent2"/>
          <w:lang w:val="es-ES" w:eastAsia="es-ES"/>
        </w:rPr>
      </w:pPr>
    </w:p>
    <w:p w14:paraId="283972D0" w14:textId="77777777" w:rsidR="007871E6" w:rsidRPr="00206556" w:rsidRDefault="007871E6">
      <w:pPr>
        <w:spacing w:after="0" w:line="276" w:lineRule="auto"/>
        <w:jc w:val="both"/>
        <w:rPr>
          <w:rFonts w:ascii="Verdana" w:eastAsia="Calibri" w:hAnsi="Verdana" w:cs="Arial"/>
          <w:lang w:val="es-ES" w:eastAsia="es-ES"/>
        </w:rPr>
      </w:pPr>
      <w:r>
        <w:rPr>
          <w:rFonts w:ascii="Verdana" w:eastAsia="Calibri" w:hAnsi="Verdana" w:cs="Arial"/>
          <w:lang w:val="es-ES" w:eastAsia="es-ES"/>
        </w:rPr>
        <w:t>Estimada señora González:</w:t>
      </w:r>
    </w:p>
    <w:p w14:paraId="3EF6551A" w14:textId="77777777" w:rsidR="007871E6" w:rsidRPr="00206556" w:rsidRDefault="007871E6">
      <w:pPr>
        <w:tabs>
          <w:tab w:val="left" w:pos="3768"/>
        </w:tabs>
        <w:spacing w:after="0" w:line="276" w:lineRule="auto"/>
        <w:jc w:val="both"/>
        <w:rPr>
          <w:rFonts w:ascii="Verdana" w:eastAsia="Calibri" w:hAnsi="Verdana" w:cs="Arial"/>
          <w:lang w:val="es-ES" w:eastAsia="es-ES"/>
        </w:rPr>
      </w:pPr>
      <w:r>
        <w:rPr>
          <w:rFonts w:ascii="Verdana" w:eastAsia="Calibri" w:hAnsi="Verdana" w:cs="Arial"/>
          <w:lang w:val="es-ES" w:eastAsia="es-ES"/>
        </w:rPr>
        <w:tab/>
      </w:r>
    </w:p>
    <w:p w14:paraId="0B2BA17D" w14:textId="76717D9C" w:rsidR="007871E6" w:rsidRPr="00206556" w:rsidRDefault="007871E6">
      <w:pPr>
        <w:spacing w:after="0" w:line="276" w:lineRule="auto"/>
        <w:jc w:val="both"/>
        <w:rPr>
          <w:rFonts w:ascii="Verdana" w:eastAsia="Calibri" w:hAnsi="Verdana" w:cs="Arial"/>
          <w:lang w:val="es-ES" w:eastAsia="es-ES"/>
        </w:rPr>
      </w:pPr>
      <w:r>
        <w:rPr>
          <w:rFonts w:ascii="Verdana" w:eastAsia="Calibri" w:hAnsi="Verdana" w:cs="Arial"/>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lang w:val="es-ES"/>
        </w:rPr>
        <w:t xml:space="preserve">así como lo establecido en la Resolución 469 de 2025 expedida por esta Entidad, </w:t>
      </w:r>
      <w:r>
        <w:rPr>
          <w:rFonts w:ascii="Verdana" w:eastAsia="Calibri" w:hAnsi="Verdana" w:cs="Arial"/>
          <w:lang w:val="es-ES" w:eastAsia="es-ES"/>
        </w:rPr>
        <w:t xml:space="preserve">la Agencia Nacional de Contratación Pública – Colombia Compra Eficiente– responde su solicitud de consulta del 4 de agosto de 2026, trasladada a esta Agencia por el Departamento Administrativo de la Función Pública mediante oficio con radicado No. 20262040293841 del 10 de agosto de 2026, en la cual manifiesta lo siguiente: </w:t>
      </w:r>
    </w:p>
    <w:p w14:paraId="23DEE020" w14:textId="77777777" w:rsidR="007871E6" w:rsidRPr="006A0794" w:rsidRDefault="007871E6" w:rsidP="003248CC">
      <w:pPr>
        <w:spacing w:after="0" w:line="276" w:lineRule="auto"/>
        <w:ind w:right="709"/>
        <w:jc w:val="both"/>
        <w:rPr>
          <w:rFonts w:ascii="Verdana" w:eastAsia="Century Gothic" w:hAnsi="Verdana" w:cs="Century Gothic"/>
          <w:i/>
          <w:iCs/>
          <w:sz w:val="20"/>
          <w:szCs w:val="20"/>
          <w:lang w:val="es-ES"/>
        </w:rPr>
      </w:pPr>
    </w:p>
    <w:p w14:paraId="3848E971" w14:textId="77777777" w:rsidR="00F931C4"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 xml:space="preserve">“1. ¿Es legalmente viable que un Ordenador del Gasto o Supervisor de un contrato de prestación de servicios profesionales imponga a un contratista, mediante memorando unilateral, el rol sustancial de ‘Apoyo a la Supervisión’ de contratos de terceros, ¿cuándo dicho rol no fue </w:t>
      </w:r>
      <w:r>
        <w:rPr>
          <w:rFonts w:ascii="Verdana" w:eastAsia="Century Gothic" w:hAnsi="Verdana" w:cs="Century Gothic"/>
          <w:sz w:val="20"/>
          <w:szCs w:val="20"/>
        </w:rPr>
        <w:lastRenderedPageBreak/>
        <w:t>contemplado expresamente en el Objeto Contractual ni justificado en los Estudios Previos originales?</w:t>
      </w:r>
    </w:p>
    <w:p w14:paraId="60306845" w14:textId="77777777" w:rsidR="00F931C4"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2. ¿Permite el principio de planeación contractual y de especialidad del objeto (artículos 25 y 32 de la Ley 80 de 1993) que una cláusula de obligaciones residuales o genéricas (‘y las demás que asigne el supervisor’ o ‘las demás inherentes’) sea utilizada como fuente jurídica para asignar un rol sustancial y autónomo como lo es el apoyo a la supervisión de contratos estatales?</w:t>
      </w:r>
    </w:p>
    <w:p w14:paraId="3C1CFF33" w14:textId="77777777" w:rsidR="00F931C4"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3. ¿Cuál es el alcance y límite que la jurisprudencia y la doctrina de la contratación pública les otorgan a las expresiones contractuales genéricas o residuales en los contratos de prestación de servicios frente a la prohibición de modificación unilateral del contrato?</w:t>
      </w:r>
    </w:p>
    <w:p w14:paraId="3F772317" w14:textId="77777777" w:rsidR="00F931C4"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4. ¿El hecho de que un contratista de prestación de servicios estampe su firma revisando o aprobando la trazabilidad técnica de un memorando donde se le imponen obligaciones ajenas a su objeto, tiene la validez jurídica para sustituir las formalidades de un ‘Otrosí’ o una modificación bilateral contractual formal exigida por la Ley 80 de 1993? ¿Esta firma de revisión sanea la irregularidad frente al principio de legalidad o muta la naturaleza de sus obligaciones principales?</w:t>
      </w:r>
    </w:p>
    <w:p w14:paraId="236E4350" w14:textId="77777777" w:rsidR="00F931C4"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5. Frente a una designación irregular de supervisión o apoyo a la misma ejercida por fuera de las obligaciones contractuales pactadas, ¿qué consecuencias o sanciones de índole legal, penal, disciplinaria o fiscal se configuran tanto para el servidor público que emite la orden irregular como para el contratista que la ejecuta?</w:t>
      </w:r>
    </w:p>
    <w:p w14:paraId="58192296" w14:textId="77777777" w:rsidR="00F931C4"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6. ¿Qué autoridad u organismo de control del Estado ostenta la competencia preferente para conocer, investigar y sancionar la presunta ilegalidad derivada de la imposición de roles contractuales no pactados mediante el uso de memorandos institucionales?”.</w:t>
      </w:r>
    </w:p>
    <w:p w14:paraId="588A01D8" w14:textId="77777777" w:rsidR="007871E6" w:rsidRPr="003248CC" w:rsidRDefault="007871E6" w:rsidP="003248CC">
      <w:pPr>
        <w:spacing w:before="120" w:after="120" w:line="276" w:lineRule="auto"/>
        <w:ind w:left="709" w:right="709"/>
        <w:contextualSpacing/>
        <w:rPr>
          <w:rFonts w:ascii="Verdana" w:eastAsia="Century Gothic" w:hAnsi="Verdana" w:cs="Century Gothic"/>
          <w:lang w:val="es-ES"/>
        </w:rPr>
      </w:pPr>
    </w:p>
    <w:p w14:paraId="4175A92A" w14:textId="77777777" w:rsidR="007871E6" w:rsidRPr="00206556" w:rsidRDefault="007871E6" w:rsidP="005B1993">
      <w:pPr>
        <w:spacing w:after="120" w:line="276" w:lineRule="auto"/>
        <w:ind w:firstLine="708"/>
        <w:jc w:val="both"/>
        <w:rPr>
          <w:rFonts w:ascii="Verdana" w:eastAsia="Calibri" w:hAnsi="Verdana" w:cs="Arial"/>
          <w:lang w:val="es-ES" w:eastAsia="es-ES"/>
        </w:rPr>
      </w:pPr>
      <w:r>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al </w:t>
      </w:r>
      <w:r>
        <w:rPr>
          <w:rFonts w:ascii="Verdana" w:hAnsi="Verdana"/>
        </w:rPr>
        <w:t>Estatuto General de Contratación Pública</w:t>
      </w:r>
      <w:r>
        <w:rPr>
          <w:rFonts w:ascii="Verdana" w:eastAsia="Calibri" w:hAnsi="Verdana" w:cs="Arial"/>
          <w:lang w:val="es-ES" w:eastAsia="es-ES"/>
        </w:rPr>
        <w:t xml:space="preserve"> o de los demás participantes de la contratación pública. Esta competencia de interpretación de normas generales, por definición, no puede extenderse a la resolución de controversias, ni a brindar asesorías sobre casos puntuales.  </w:t>
      </w:r>
      <w:r>
        <w:rPr>
          <w:rFonts w:ascii="Verdana" w:hAnsi="Verdana"/>
          <w:lang w:val="es-ES"/>
        </w:rPr>
        <w:tab/>
      </w:r>
    </w:p>
    <w:p w14:paraId="59E78719" w14:textId="77777777" w:rsidR="007871E6" w:rsidRPr="00206556" w:rsidRDefault="007871E6" w:rsidP="005B1993">
      <w:pPr>
        <w:spacing w:after="0" w:line="276" w:lineRule="auto"/>
        <w:ind w:firstLine="709"/>
        <w:jc w:val="both"/>
        <w:rPr>
          <w:rFonts w:ascii="Verdana" w:eastAsia="Calibri" w:hAnsi="Verdana" w:cs="Arial"/>
          <w:lang w:val="es-ES" w:eastAsia="es-ES"/>
        </w:rPr>
      </w:pPr>
      <w:r>
        <w:rPr>
          <w:rFonts w:ascii="Verdana" w:eastAsia="Calibri" w:hAnsi="Verdana" w:cs="Arial"/>
          <w:lang w:val="es-ES" w:eastAsia="es-ES"/>
        </w:rPr>
        <w:lastRenderedPageBreak/>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236B7EE" w14:textId="77777777" w:rsidR="007871E6" w:rsidRPr="00206556" w:rsidRDefault="007871E6" w:rsidP="005B1993">
      <w:pPr>
        <w:spacing w:after="0" w:line="276" w:lineRule="auto"/>
        <w:ind w:firstLine="709"/>
        <w:jc w:val="both"/>
        <w:rPr>
          <w:rFonts w:ascii="Verdana" w:eastAsia="Calibri" w:hAnsi="Verdana" w:cs="Arial"/>
          <w:lang w:val="es-ES" w:eastAsia="es-ES"/>
        </w:rPr>
      </w:pPr>
    </w:p>
    <w:p w14:paraId="283AE3E1" w14:textId="77777777" w:rsidR="007871E6" w:rsidRPr="00206556" w:rsidRDefault="007871E6" w:rsidP="003248CC">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1. Problema planteado:</w:t>
      </w:r>
    </w:p>
    <w:p w14:paraId="7644EDFA" w14:textId="77777777" w:rsidR="007871E6" w:rsidRPr="00206556" w:rsidRDefault="007871E6" w:rsidP="005B1993">
      <w:pPr>
        <w:tabs>
          <w:tab w:val="left" w:pos="426"/>
        </w:tabs>
        <w:spacing w:after="0" w:line="276" w:lineRule="auto"/>
        <w:jc w:val="both"/>
        <w:rPr>
          <w:rFonts w:ascii="Verdana" w:eastAsia="Century Gothic" w:hAnsi="Verdana" w:cs="Century Gothic"/>
          <w:color w:val="ED7D31" w:themeColor="accent2"/>
          <w:lang w:val="es-ES"/>
        </w:rPr>
      </w:pPr>
    </w:p>
    <w:p w14:paraId="4D6A7559" w14:textId="03B48C6A" w:rsidR="00F931C4"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De acuerdo con el contenido de su solicitud, esta Agencia resolverá el siguiente problema jurídico: ¿Puede una entidad estatal, con fundamento en una cláusula residual de obligaciones de un contrato de prestación de servicios profesionales o en las facultades generales de supervisión, asignar unilateralmente al contratista</w:t>
      </w:r>
      <w:r w:rsidR="00331B3C">
        <w:rPr>
          <w:rFonts w:ascii="Verdana" w:eastAsia="Times New Roman" w:hAnsi="Verdana" w:cs="Times New Roman"/>
        </w:rPr>
        <w:t xml:space="preserve">, </w:t>
      </w:r>
      <w:r>
        <w:rPr>
          <w:rFonts w:ascii="Verdana" w:eastAsia="Times New Roman" w:hAnsi="Verdana" w:cs="Times New Roman"/>
        </w:rPr>
        <w:t>mediante memorando u otra orden interna</w:t>
      </w:r>
      <w:r w:rsidR="00331B3C">
        <w:rPr>
          <w:rFonts w:ascii="Verdana" w:eastAsia="Times New Roman" w:hAnsi="Verdana" w:cs="Times New Roman"/>
        </w:rPr>
        <w:t>,</w:t>
      </w:r>
      <w:r>
        <w:rPr>
          <w:rFonts w:ascii="Verdana" w:eastAsia="Times New Roman" w:hAnsi="Verdana" w:cs="Times New Roman"/>
        </w:rPr>
        <w:t xml:space="preserve"> actividades sustanciales no previstas en el objeto ni en las obligaciones pactadas, como el apoyo a la supervisión de otros contratos, o dicha asignación exige la modificación del contrato por mutuo acuerdo entre las partes, sin que la firma o constancia de revisión del memorando por parte del contratista supla ese requisito?</w:t>
      </w:r>
    </w:p>
    <w:p w14:paraId="0365AE62" w14:textId="77777777" w:rsidR="007871E6" w:rsidRPr="00206556" w:rsidRDefault="007871E6" w:rsidP="005B1993">
      <w:pPr>
        <w:spacing w:after="0" w:line="276" w:lineRule="auto"/>
        <w:jc w:val="both"/>
        <w:rPr>
          <w:rFonts w:ascii="Verdana" w:eastAsia="Century Gothic" w:hAnsi="Verdana" w:cs="Century Gothic"/>
          <w:color w:val="ED7D31" w:themeColor="accent2"/>
        </w:rPr>
      </w:pPr>
    </w:p>
    <w:p w14:paraId="6EDF9D6C" w14:textId="77777777" w:rsidR="007871E6" w:rsidRDefault="007871E6">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2. Respuesta:</w:t>
      </w:r>
    </w:p>
    <w:p w14:paraId="13A71E71" w14:textId="77777777" w:rsidR="005B1993" w:rsidRPr="00A4789E" w:rsidRDefault="005B1993">
      <w:pPr>
        <w:tabs>
          <w:tab w:val="left" w:pos="142"/>
          <w:tab w:val="left" w:pos="284"/>
        </w:tabs>
        <w:spacing w:after="0" w:line="276" w:lineRule="auto"/>
        <w:jc w:val="both"/>
        <w:rPr>
          <w:rFonts w:ascii="Verdana" w:eastAsia="Century Gothic" w:hAnsi="Verdana" w:cs="Century Gothic"/>
          <w:b/>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871E6" w:rsidRPr="00206556" w14:paraId="32121596" w14:textId="77777777" w:rsidTr="000A1473">
        <w:tc>
          <w:tcPr>
            <w:tcW w:w="8828" w:type="dxa"/>
          </w:tcPr>
          <w:p w14:paraId="0D477F3D" w14:textId="77777777" w:rsidR="00F931C4" w:rsidRDefault="00000000">
            <w:pPr>
              <w:spacing w:line="276" w:lineRule="auto"/>
              <w:ind w:firstLine="709"/>
              <w:jc w:val="both"/>
              <w:rPr>
                <w:rFonts w:ascii="Verdana" w:eastAsia="Calibri" w:hAnsi="Verdana" w:cs="Arial"/>
              </w:rPr>
            </w:pPr>
            <w:r>
              <w:rPr>
                <w:rFonts w:ascii="Verdana" w:eastAsia="Calibri" w:hAnsi="Verdana" w:cs="Arial"/>
              </w:rPr>
              <w:t>En atención al problema jurídico planteado, es necesario precisar que la vigilancia permanente de la correcta ejecución del objeto contratado corresponde a las entidades estatales a través del supervisor o del interventor, en los términos de los artículos 83 y 84 de la Ley 1474 de 2011, y que las actividades exigibles a un contratista de prestación de servicios se enmarcan en el objeto y en las obligaciones de su propio contrato. Sobre el particular se precisa:</w:t>
            </w:r>
          </w:p>
          <w:p w14:paraId="3C9BC85E" w14:textId="77777777" w:rsidR="00DD0FDA" w:rsidRDefault="00DD0FDA">
            <w:pPr>
              <w:spacing w:line="276" w:lineRule="auto"/>
              <w:ind w:firstLine="709"/>
              <w:jc w:val="both"/>
              <w:rPr>
                <w:rFonts w:ascii="Verdana" w:eastAsia="Calibri" w:hAnsi="Verdana" w:cs="Arial"/>
              </w:rPr>
            </w:pPr>
          </w:p>
          <w:p w14:paraId="0AE904C1" w14:textId="1836EF07" w:rsidR="00F931C4" w:rsidRDefault="00000000">
            <w:pPr>
              <w:spacing w:line="276" w:lineRule="auto"/>
              <w:ind w:firstLine="709"/>
              <w:jc w:val="both"/>
              <w:rPr>
                <w:rFonts w:ascii="Verdana" w:eastAsia="Calibri" w:hAnsi="Verdana" w:cs="Arial"/>
              </w:rPr>
            </w:pPr>
            <w:r>
              <w:rPr>
                <w:rFonts w:ascii="Verdana" w:eastAsia="Calibri" w:hAnsi="Verdana" w:cs="Arial"/>
              </w:rPr>
              <w:t xml:space="preserve">(i) El apoyo a la supervisión por parte de contratistas solo puede desarrollarse en el marco de un contrato de prestación de servicios cuyo objeto y obligaciones comprendan esa actividad: conforme a la línea reiterada de esta Subdirección, el alcance de dicho apoyo depende del objeto y de las obligaciones determinadas en el contrato de prestación de servicios, marco dentro del cual el contratista desarrollará las actividades. Las cláusulas residuales o genéricas de obligaciones comprenden únicamente actividades </w:t>
            </w:r>
            <w:r>
              <w:rPr>
                <w:rFonts w:ascii="Verdana" w:eastAsia="Calibri" w:hAnsi="Verdana" w:cs="Arial"/>
              </w:rPr>
              <w:lastRenderedPageBreak/>
              <w:t>accesorias con relación directa al objeto pactado, por lo que no constituyen fuente autónoma para asignar al contratista un rol sustancial y autónomo no previsto en el contrato, como el apoyo a la supervisión de contratos de terceros.</w:t>
            </w:r>
          </w:p>
          <w:p w14:paraId="28681F6E" w14:textId="4538B17A" w:rsidR="00F931C4" w:rsidRDefault="00000000">
            <w:pPr>
              <w:spacing w:line="276" w:lineRule="auto"/>
              <w:ind w:firstLine="709"/>
              <w:jc w:val="both"/>
              <w:rPr>
                <w:rFonts w:ascii="Verdana" w:eastAsia="Calibri" w:hAnsi="Verdana" w:cs="Arial"/>
              </w:rPr>
            </w:pPr>
            <w:r>
              <w:rPr>
                <w:rFonts w:ascii="Verdana" w:eastAsia="Calibri" w:hAnsi="Verdana" w:cs="Arial"/>
              </w:rPr>
              <w:t>(ii) La incorporación de nuevas obligaciones al contrato estatal constituye una modificación contractual que, por regla general, debe acordarse por las partes, constar por escrito y estar debidamente justificada, sin alterar la esencia del objeto; de requerirse una variación de esa naturaleza, el instrumento idóneo es el acuerdo modificatorio suscrito por la entidad y el contratista. La modificación unilateral es excepcional y solo procede en los precisos términos del artículo 16 de la Ley 80 de 1993</w:t>
            </w:r>
            <w:r w:rsidR="00331B3C">
              <w:rPr>
                <w:rFonts w:ascii="Verdana" w:eastAsia="Calibri" w:hAnsi="Verdana" w:cs="Arial"/>
              </w:rPr>
              <w:t xml:space="preserve">, </w:t>
            </w:r>
            <w:r>
              <w:rPr>
                <w:rFonts w:ascii="Verdana" w:eastAsia="Calibri" w:hAnsi="Verdana" w:cs="Arial"/>
              </w:rPr>
              <w:t>acto administrativo debidamente motivado, para evitar la paralización o la afectación grave del servicio, ante la falta de acuerdo previo, de modo que un memorando u orden interna no es el instrumento previsto por el ordenamiento para modificar el contrato ni para adicionar obligaciones.</w:t>
            </w:r>
          </w:p>
          <w:p w14:paraId="5F00D761" w14:textId="77777777" w:rsidR="00DD0FDA" w:rsidRDefault="00DD0FDA">
            <w:pPr>
              <w:spacing w:line="276" w:lineRule="auto"/>
              <w:ind w:firstLine="709"/>
              <w:jc w:val="both"/>
              <w:rPr>
                <w:rFonts w:ascii="Verdana" w:eastAsia="Calibri" w:hAnsi="Verdana" w:cs="Arial"/>
              </w:rPr>
            </w:pPr>
          </w:p>
          <w:p w14:paraId="3D8A8518" w14:textId="77777777" w:rsidR="00F931C4" w:rsidRDefault="00000000">
            <w:pPr>
              <w:spacing w:line="276" w:lineRule="auto"/>
              <w:ind w:firstLine="709"/>
              <w:jc w:val="both"/>
              <w:rPr>
                <w:rFonts w:ascii="Verdana" w:eastAsia="Calibri" w:hAnsi="Verdana" w:cs="Arial"/>
              </w:rPr>
            </w:pPr>
            <w:r>
              <w:rPr>
                <w:rFonts w:ascii="Verdana" w:eastAsia="Calibri" w:hAnsi="Verdana" w:cs="Arial"/>
              </w:rPr>
              <w:t>(iii) La firma o constancia de revisión estampada por el contratista en un documento interno de trámite no equivale a la manifestación de consentimiento propia del negocio jurídico modificatorio ni suple sus formalidades. Finalmente, la determinación de las eventuales responsabilidades penales, disciplinarias o fiscales derivadas de actuaciones concretas, así como la definición de la autoridad competente para investigarlas, escapa a la competencia consultiva de esta Agencia y corresponde, en abstracto, a las autoridades que ejercen dichas funciones conforme a sus propios regímenes.</w:t>
            </w:r>
          </w:p>
          <w:p w14:paraId="26E7369C" w14:textId="77777777" w:rsidR="00DD0FDA" w:rsidRDefault="00DD0FDA">
            <w:pPr>
              <w:spacing w:line="276" w:lineRule="auto"/>
              <w:ind w:firstLine="709"/>
              <w:jc w:val="both"/>
              <w:rPr>
                <w:rFonts w:ascii="Verdana" w:eastAsia="Calibri" w:hAnsi="Verdana" w:cs="Arial"/>
              </w:rPr>
            </w:pPr>
          </w:p>
          <w:p w14:paraId="0620C429" w14:textId="77777777" w:rsidR="00F931C4" w:rsidRDefault="00000000">
            <w:pPr>
              <w:spacing w:line="276" w:lineRule="auto"/>
              <w:ind w:firstLine="709"/>
              <w:jc w:val="both"/>
              <w:rPr>
                <w:rFonts w:ascii="Verdana" w:eastAsia="Calibri" w:hAnsi="Verdana" w:cs="Arial"/>
              </w:rPr>
            </w:pPr>
            <w:r>
              <w:rPr>
                <w:rFonts w:ascii="Verdana" w:eastAsia="Calibri" w:hAnsi="Verdana" w:cs="Arial"/>
              </w:rPr>
              <w:t>Dentro de este marco, la entidad contratante definirá en cada caso concreto lo relacionado con el tema objeto de consulta. Al tratarse de un análisis que debe realizarse en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w:t>
            </w:r>
          </w:p>
        </w:tc>
      </w:tr>
    </w:tbl>
    <w:p w14:paraId="7AD2FA46" w14:textId="77777777" w:rsidR="007871E6" w:rsidRPr="00206556" w:rsidRDefault="007871E6" w:rsidP="007871E6">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0AD84705" w14:textId="77777777" w:rsidR="007871E6" w:rsidRPr="00206556" w:rsidRDefault="007871E6" w:rsidP="007871E6">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lastRenderedPageBreak/>
        <w:t>3. Razones de la respuesta:</w:t>
      </w:r>
    </w:p>
    <w:p w14:paraId="26293A66" w14:textId="77777777" w:rsidR="007871E6" w:rsidRPr="00206556" w:rsidRDefault="007871E6" w:rsidP="007871E6">
      <w:pPr>
        <w:tabs>
          <w:tab w:val="left" w:pos="142"/>
          <w:tab w:val="left" w:pos="284"/>
        </w:tabs>
        <w:spacing w:after="0" w:line="276" w:lineRule="auto"/>
        <w:jc w:val="both"/>
        <w:rPr>
          <w:rFonts w:ascii="Verdana" w:eastAsia="Century Gothic" w:hAnsi="Verdana" w:cs="Century Gothic"/>
          <w:b/>
          <w:color w:val="ED7D31" w:themeColor="accent2"/>
          <w:lang w:val="es-ES"/>
        </w:rPr>
      </w:pPr>
    </w:p>
    <w:p w14:paraId="16B21BA5" w14:textId="77777777" w:rsidR="007871E6" w:rsidRPr="00206556" w:rsidRDefault="007871E6" w:rsidP="007871E6">
      <w:pPr>
        <w:spacing w:after="0" w:line="276" w:lineRule="auto"/>
        <w:jc w:val="both"/>
        <w:rPr>
          <w:rFonts w:ascii="Verdana" w:eastAsia="Calibri" w:hAnsi="Verdana" w:cs="Arial"/>
          <w:lang w:val="es-ES"/>
        </w:rPr>
      </w:pPr>
      <w:r>
        <w:rPr>
          <w:rFonts w:ascii="Verdana" w:eastAsia="Calibri" w:hAnsi="Verdana" w:cs="Arial"/>
          <w:lang w:val="es-ES"/>
        </w:rPr>
        <w:t>Lo anterior se sustenta en las siguientes consideraciones:</w:t>
      </w:r>
    </w:p>
    <w:p w14:paraId="49DB5272" w14:textId="77777777" w:rsidR="007871E6" w:rsidRPr="00206556" w:rsidRDefault="007871E6" w:rsidP="007871E6">
      <w:pPr>
        <w:spacing w:after="0" w:line="276" w:lineRule="auto"/>
        <w:jc w:val="both"/>
        <w:rPr>
          <w:rFonts w:ascii="Verdana" w:eastAsia="Calibri" w:hAnsi="Verdana" w:cs="Arial"/>
          <w:lang w:val="es-ES"/>
        </w:rPr>
      </w:pPr>
    </w:p>
    <w:p w14:paraId="7DF6C085" w14:textId="77777777" w:rsidR="00F931C4"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(i) Para resolver el problema jurídico planteado, esta Agencia considera necesario examinar, en primer lugar, el régimen de la supervisión de los contratos estatales y del apoyo a la supervisión; en segundo lugar, el alcance del objeto y de las obligaciones del contrato de prestación de servicios, incluidas las cláusulas residuales; y, finalmente, el régimen de modificación del contrato estatal y las formalidades del consentimiento, marco en el cual se analiza el valor de la firma de revisión del contratista.</w:t>
      </w:r>
    </w:p>
    <w:p w14:paraId="7E4497BD" w14:textId="77777777" w:rsidR="00F931C4"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La Ley 1474 de 2011 impuso a las entidades estatales la obligación de vigilar de manera permanente la correcta ejecución del objeto contratado a través de un supervisor o un interventor. Su artículo 83 define la supervisión y prevé expresamente la posibilidad de contratar personal de apoyo, en los siguientes términos:</w:t>
      </w:r>
      <w:r>
        <w:rPr>
          <w:rStyle w:val="Refdenotaalpie"/>
          <w:rFonts w:ascii="Verdana" w:eastAsia="Times New Roman" w:hAnsi="Verdana" w:cs="Times New Roman"/>
        </w:rPr>
        <w:footnoteReference w:id="2"/>
      </w:r>
    </w:p>
    <w:p w14:paraId="71E94A7E" w14:textId="77777777" w:rsidR="00F931C4"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287E1D61" w14:textId="77777777" w:rsidR="00F931C4"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De la disposición transcrita se desprende que el apoyo a la supervisión por parte de particulares se canaliza a través de contratos de prestación de servicios celebrados para ese fin. Sobre esta materia existe línea consolidada de esta Subdirección conforme a la cual el ordenador del gasto puede apoyarse en servidores públicos o en contratistas para el ejercicio de la supervisión, pero, tratándose de contratistas, ello exige que las obligaciones de su contrato lo autoricen</w:t>
      </w:r>
      <w:r>
        <w:rPr>
          <w:rStyle w:val="Refdenotaalpie"/>
          <w:rFonts w:ascii="Verdana" w:eastAsia="Times New Roman" w:hAnsi="Verdana" w:cs="Times New Roman"/>
        </w:rPr>
        <w:footnoteReference w:id="3"/>
      </w:r>
      <w:r>
        <w:rPr>
          <w:rFonts w:ascii="Verdana" w:eastAsia="Times New Roman" w:hAnsi="Verdana" w:cs="Times New Roman"/>
        </w:rPr>
        <w:t xml:space="preserve">. En la misma línea, se ha precisado que “[e]l alcance de dicho apoyo dependerá del objeto y las obligaciones determinadas en el contrato de prestación de servicios, marco dentro del cual el contratista desarrollará las </w:t>
      </w:r>
      <w:r>
        <w:rPr>
          <w:rFonts w:ascii="Verdana" w:eastAsia="Times New Roman" w:hAnsi="Verdana" w:cs="Times New Roman"/>
        </w:rPr>
        <w:lastRenderedPageBreak/>
        <w:t>actividades”</w:t>
      </w:r>
      <w:r>
        <w:rPr>
          <w:rStyle w:val="Refdenotaalpie"/>
          <w:rFonts w:ascii="Verdana" w:eastAsia="Times New Roman" w:hAnsi="Verdana" w:cs="Times New Roman"/>
        </w:rPr>
        <w:footnoteReference w:id="4"/>
      </w:r>
      <w:r>
        <w:rPr>
          <w:rFonts w:ascii="Verdana" w:eastAsia="Times New Roman" w:hAnsi="Verdana" w:cs="Times New Roman"/>
        </w:rPr>
        <w:t>, de manera que quien apoya la supervisión lo hace en ejecución de su propio contrato y dentro de los límites materiales de este, sin asumir la condición de supervisor, que recae en el servidor público designado por la entidad.</w:t>
      </w:r>
    </w:p>
    <w:p w14:paraId="0939E57D" w14:textId="77777777" w:rsidR="00F931C4"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(ii) En cuanto al contrato de prestación de servicios, el numeral 3 del artículo 32 de la Ley 80 de 1993 lo caracteriza como aquel que celebran las entidades estatales para desarrollar actividades relacionadas con su administración o funcionamiento, que solo puede celebrarse con personas naturales cuando dichas actividades no puedan realizarse con personal de planta o requieran conocimientos especializados, sin generar relación laboral y por el término estrictamente indispensable. En desarrollo del principio de planeación —que se concreta, entre otros, en los artículos 25 y 26 de la Ley 80 de 1993—, el objeto y las obligaciones del contrato se definen desde los estudios y documentos previos, y delimitan las prestaciones exigibles al contratista. Las cláusulas residuales o genéricas de obligaciones —del tipo “las demás inherentes al objeto contractual” o “las que sean solicitadas por el supervisor”— deben interpretarse en función del objeto pactado: comprenden actividades accesorias e instrumentales que guarden relación directa con aquel, y no habilitan a la entidad para asignar al contratista, por esa sola vía, roles sustanciales y autónomos no previstos en el contrato, como el apoyo a la supervisión de contratos de terceras personas. Entender lo contrario vaciaría de contenido el principio de planeación y las reglas sobre modificación del contrato, pues cualquier prestación nueva podría incorporarse por orden interna sin acuerdo de voluntades.</w:t>
      </w:r>
      <w:r>
        <w:rPr>
          <w:rStyle w:val="Refdenotaalpie"/>
          <w:rFonts w:ascii="Verdana" w:eastAsia="Times New Roman" w:hAnsi="Verdana" w:cs="Times New Roman"/>
        </w:rPr>
        <w:footnoteReference w:id="5"/>
      </w:r>
    </w:p>
    <w:p w14:paraId="0D259852" w14:textId="77777777" w:rsidR="00F931C4"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Por consiguiente, la asignación al contratista de una actividad sustancial no prevista en el objeto ni en las obligaciones pactadas constituye, en estricto sentido, una modificación del contrato. Al respecto, esta Subdirección ha reiterado que los contratos estatales pueden modificarse cuando circunstancias sobrevinientes debidamente justificadas lo exijan, que las modificaciones deben ser suscritas por las partes, constar por escrito y sujetarse a lo previsto en la ley, y que “las modificaciones no pueden suponer la variación del objeto del </w:t>
      </w:r>
      <w:r>
        <w:rPr>
          <w:rFonts w:ascii="Verdana" w:eastAsia="Times New Roman" w:hAnsi="Verdana" w:cs="Times New Roman"/>
        </w:rPr>
        <w:lastRenderedPageBreak/>
        <w:t>contrato, pues esto implica la alteración de su esencia”</w:t>
      </w:r>
      <w:r>
        <w:rPr>
          <w:rStyle w:val="Refdenotaalpie"/>
          <w:rFonts w:ascii="Verdana" w:eastAsia="Times New Roman" w:hAnsi="Verdana" w:cs="Times New Roman"/>
        </w:rPr>
        <w:footnoteReference w:id="6"/>
      </w:r>
      <w:r>
        <w:rPr>
          <w:rFonts w:ascii="Verdana" w:eastAsia="Times New Roman" w:hAnsi="Verdana" w:cs="Times New Roman"/>
        </w:rPr>
        <w:t>. La modificación unilateral, por su parte, es una potestad excepcional que solo procede en los términos del artículo 16 de la Ley 80 de 1993:</w:t>
      </w:r>
    </w:p>
    <w:p w14:paraId="241EFF3B" w14:textId="77777777" w:rsidR="00F931C4"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“Si durante la ejecución del contrato y para evitar la paralización o la afectación grave del servicio público que se deba satisfacer con él, fuere necesario introducir variaciones en el contrato y previamente las partes no llegan al acuerdo respectivo, la entidad en acto administrativo debidamente motivado, lo modificará mediante la supresión o adición de obras, trabajos, suministros o servicios”.</w:t>
      </w:r>
    </w:p>
    <w:p w14:paraId="76514632" w14:textId="77777777" w:rsidR="00F931C4"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Un memorando u orden interna del ordenador del gasto o del supervisor no corresponde a ninguno de esos instrumentos: no es el acuerdo modificatorio suscrito por las partes ni el acto administrativo motivado del artículo 16 de la Ley 80 de 1993, expedido en las precisas circunstancias que esa norma contempla. En consecuencia, en abstracto, la imposición por esa vía de un rol sustancial no pactado carece de aptitud para adicionar las obligaciones del contratista, cuya exigibilidad permanece delimitada por el contrato celebrado y sus modificaciones válidamente acordadas.</w:t>
      </w:r>
    </w:p>
    <w:p w14:paraId="26FEE626" w14:textId="77777777" w:rsidR="00F931C4"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(iii) En cuanto al valor de la firma de revisión, el consentimiento del contratista en la modificación del contrato estatal se expresa mediante la suscripción del correspondiente negocio jurídico modificatorio con la entidad, precedido de la justificación respectiva. La firma o constancia estampada en un documento interno de trámite —bajo rótulos como “revisó” o “aprobó”, propios de la trazabilidad documental de las entidades— cumple una función de gestión documental y no equivale a la manifestación de voluntad negocial dirigida a modificar el contrato, por lo que, en abstracto, no sustituye las formalidades del acuerdo modificatorio ni tiene la virtualidad de mutar la naturaleza de las obligaciones principales pactadas.</w:t>
      </w:r>
    </w:p>
    <w:p w14:paraId="1BD00E8F" w14:textId="77777777" w:rsidR="00F931C4"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Finalmente, en cuanto a las consecuencias sancionatorias y a la autoridad competente para conocer de presuntas irregularidades, debe precisarse que la determinación de responsabilidades penales, disciplinarias o fiscales derivadas de actuaciones concretas de servidores públicos o contratistas escapa a la competencia consultiva de esta Agencia, que se limita a la interpretación de las normas generales del sistema de compras y contratación pública. En abstracto, dichas funciones corresponden a las autoridades que las ejercen conforme a sus </w:t>
      </w:r>
      <w:r>
        <w:rPr>
          <w:rFonts w:ascii="Verdana" w:eastAsia="Times New Roman" w:hAnsi="Verdana" w:cs="Times New Roman"/>
        </w:rPr>
        <w:lastRenderedPageBreak/>
        <w:t>propios regímenes constitucionales y legales, ante las cuales pueden ponerse en conocimiento los hechos respectivos.</w:t>
      </w:r>
    </w:p>
    <w:p w14:paraId="17CB33C2" w14:textId="77777777" w:rsidR="00F931C4"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Finalmente, debe advertirse que el análisis requerido para resolver situaciones concretas relacionadas con la contratación de las entidades estatales corresponde a quienes tengan interés en ello, de modo que las afirmaciones aquí realizadas no pueden interpretarse como juicios de valor sobre circunstancias particulares. Al tratarse de reglas que deben definirse en el marco de un procedimiento contractual específico, esta Agencia no puede fijar un criterio universal y absoluto por vía consultiva, sino brindar elementos de carácter general para que los partícipes del sistema de compras y contratación pública adopten la decisión que corresponda, conforme al principio de juridicidad. Así, cada entidad definirá, en ejercicio de su competencia y previa valoración de los elementos fácticos y jurídicos de su proceso, la forma de adelantar su gestión contractual, sin que sea atribución de Colombia Compra Eficiente validar sus actuaciones.</w:t>
      </w:r>
    </w:p>
    <w:p w14:paraId="698D489B" w14:textId="77777777" w:rsidR="007871E6" w:rsidRPr="00EE1130" w:rsidRDefault="007871E6" w:rsidP="00EE1130">
      <w:pPr>
        <w:spacing w:after="0" w:line="276" w:lineRule="auto"/>
        <w:jc w:val="both"/>
        <w:rPr>
          <w:rFonts w:ascii="Verdana" w:eastAsia="Calibri" w:hAnsi="Verdana" w:cs="Arial"/>
        </w:rPr>
      </w:pPr>
    </w:p>
    <w:p w14:paraId="6C2745D0" w14:textId="77777777" w:rsidR="007871E6" w:rsidRDefault="007871E6" w:rsidP="00EE1130">
      <w:pPr>
        <w:spacing w:after="0" w:line="276" w:lineRule="auto"/>
        <w:jc w:val="both"/>
        <w:rPr>
          <w:rFonts w:ascii="Verdana" w:eastAsia="Century Gothic" w:hAnsi="Verdana" w:cs="Century Gothic"/>
          <w:b/>
          <w:lang w:val="es-ES"/>
        </w:rPr>
      </w:pPr>
      <w:r>
        <w:rPr>
          <w:rFonts w:ascii="Verdana" w:eastAsia="Century Gothic" w:hAnsi="Verdana" w:cs="Century Gothic"/>
          <w:b/>
          <w:lang w:val="es-ES"/>
        </w:rPr>
        <w:t>4. Referencias normativas, jurisprudenciales y otras fuentes:</w:t>
      </w:r>
    </w:p>
    <w:p w14:paraId="39AE1ECB" w14:textId="77777777" w:rsidR="00EE1130" w:rsidRPr="00EE1130" w:rsidRDefault="00EE1130" w:rsidP="003248CC">
      <w:pPr>
        <w:spacing w:after="0" w:line="276" w:lineRule="auto"/>
        <w:jc w:val="both"/>
        <w:rPr>
          <w:rFonts w:ascii="Verdana" w:eastAsia="Century Gothic" w:hAnsi="Verdana" w:cs="Century Gothic"/>
          <w:b/>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871E6" w:rsidRPr="00EE1130" w14:paraId="0DB3D2DB" w14:textId="77777777" w:rsidTr="000A1473">
        <w:trPr>
          <w:trHeight w:val="297"/>
        </w:trPr>
        <w:tc>
          <w:tcPr>
            <w:tcW w:w="8647" w:type="dxa"/>
          </w:tcPr>
          <w:p w14:paraId="67E030AE" w14:textId="77777777" w:rsidR="00F931C4"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Constitución Política de Colombia. Artículo 209.</w:t>
            </w:r>
          </w:p>
          <w:p w14:paraId="1EB8625F" w14:textId="77777777" w:rsidR="00F931C4"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80 de 1993. Artículos 14, 16, 25, 26 y 32, numeral 3.</w:t>
            </w:r>
          </w:p>
          <w:p w14:paraId="22A2A437" w14:textId="77777777" w:rsidR="00F931C4"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1150 de 2007.</w:t>
            </w:r>
          </w:p>
          <w:p w14:paraId="54829351" w14:textId="77777777" w:rsidR="00F931C4"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1474 de 2011. Artículos 83 y 84.</w:t>
            </w:r>
          </w:p>
          <w:p w14:paraId="305A7340" w14:textId="77777777" w:rsidR="00F931C4"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Ley 4170 de 2011. Artículo 3, numeral 5, y artículo 11, numeral 8.</w:t>
            </w:r>
          </w:p>
          <w:p w14:paraId="19043C83" w14:textId="77777777" w:rsidR="00F931C4"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Agencia Nacional de Contratación Pública – Colombia Compra Eficiente. Resolución 469 de 2025.</w:t>
            </w:r>
          </w:p>
        </w:tc>
      </w:tr>
    </w:tbl>
    <w:p w14:paraId="46ACD028" w14:textId="77777777" w:rsidR="007871E6" w:rsidRPr="00EE1130" w:rsidRDefault="007871E6" w:rsidP="00EE1130">
      <w:pPr>
        <w:widowControl w:val="0"/>
        <w:autoSpaceDE w:val="0"/>
        <w:autoSpaceDN w:val="0"/>
        <w:spacing w:after="0" w:line="276" w:lineRule="auto"/>
        <w:jc w:val="both"/>
        <w:rPr>
          <w:rFonts w:ascii="Verdana" w:hAnsi="Verdana" w:cs="Arial"/>
          <w:color w:val="ED7D31" w:themeColor="accent2"/>
          <w:lang w:val="es-ES"/>
        </w:rPr>
      </w:pPr>
    </w:p>
    <w:p w14:paraId="6EBA7C00" w14:textId="77777777" w:rsidR="007871E6" w:rsidRPr="00EE1130" w:rsidRDefault="007871E6" w:rsidP="00EE1130">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5. Doctrina de la Agencia Nacional de Contratación Pública:</w:t>
      </w:r>
    </w:p>
    <w:p w14:paraId="0333F44E" w14:textId="77777777" w:rsidR="007871E6" w:rsidRPr="001B3CBA" w:rsidRDefault="007871E6" w:rsidP="001B3CBA">
      <w:pPr>
        <w:tabs>
          <w:tab w:val="left" w:pos="142"/>
          <w:tab w:val="left" w:pos="284"/>
        </w:tabs>
        <w:spacing w:after="0" w:line="276" w:lineRule="auto"/>
        <w:jc w:val="both"/>
        <w:rPr>
          <w:rFonts w:ascii="Verdana" w:eastAsia="Century Gothic" w:hAnsi="Verdana" w:cs="Century Gothic"/>
          <w:b/>
          <w:lang w:val="es-ES"/>
        </w:rPr>
      </w:pPr>
    </w:p>
    <w:p w14:paraId="7B3001D0" w14:textId="77777777" w:rsidR="00F931C4" w:rsidRDefault="00000000">
      <w:pPr>
        <w:spacing w:after="120" w:line="276" w:lineRule="auto"/>
        <w:jc w:val="both"/>
        <w:rPr>
          <w:rFonts w:ascii="Verdana" w:hAnsi="Verdana"/>
        </w:rPr>
      </w:pPr>
      <w:r>
        <w:rPr>
          <w:rFonts w:ascii="Verdana" w:hAnsi="Verdana"/>
        </w:rPr>
        <w:t xml:space="preserve">Sobre la supervisión de los contratos estatales, el apoyo a la supervisión mediante contratos de prestación de servicios y la modificación de los contratos estatales, esta Subdirección se pronunció, entre otros, en los Conceptos C-506 del 8 de agosto de 2022, C-1004 del 27 de diciembre de 2024, C-953 del 19 de agosto de 2025 y C-1212 del 30 de septiembre de 2025. Estos y otros conceptos se encuentran disponibles para consulta en el Sistema de relatoría de la Agencia, </w:t>
      </w:r>
      <w:r>
        <w:rPr>
          <w:rFonts w:ascii="Verdana" w:hAnsi="Verdana"/>
        </w:rPr>
        <w:lastRenderedPageBreak/>
        <w:t>al cual se puede acceder a través del siguiente enlace: https://relatoria.colombiacompra.gov.co/busqueda/conceptos</w:t>
      </w:r>
    </w:p>
    <w:p w14:paraId="7BC29294" w14:textId="77777777" w:rsidR="007871E6" w:rsidRPr="00EE1130" w:rsidRDefault="007871E6">
      <w:pPr>
        <w:spacing w:after="0" w:line="276" w:lineRule="auto"/>
        <w:jc w:val="both"/>
        <w:rPr>
          <w:rFonts w:ascii="Verdana" w:hAnsi="Verdana" w:cs="Arial"/>
          <w:color w:val="ED7D31" w:themeColor="accent2"/>
          <w:shd w:val="clear" w:color="auto" w:fill="FFFFFF"/>
          <w:lang w:val="es-ES"/>
        </w:rPr>
      </w:pPr>
    </w:p>
    <w:p w14:paraId="727E3F02" w14:textId="77777777" w:rsidR="007871E6" w:rsidRPr="00EE1130" w:rsidRDefault="007871E6">
      <w:pPr>
        <w:spacing w:after="0" w:line="276" w:lineRule="auto"/>
        <w:jc w:val="both"/>
        <w:rPr>
          <w:rFonts w:ascii="Verdana" w:hAnsi="Verdana" w:cs="Arial"/>
          <w:shd w:val="clear" w:color="auto" w:fill="FFFFFF"/>
        </w:rPr>
      </w:pPr>
      <w:r>
        <w:rPr>
          <w:rFonts w:ascii="Verdana" w:hAnsi="Verdana" w:cs="Arial"/>
          <w:shd w:val="clear" w:color="auto" w:fill="FFFFFF"/>
        </w:rPr>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hyperlink r:id="rId11" w:history="1">
        <w:r>
          <w:rPr>
            <w:rStyle w:val="Hipervnculo"/>
            <w:rFonts w:ascii="Verdana" w:hAnsi="Verdana" w:cs="Arial"/>
            <w:shd w:val="clear" w:color="auto" w:fill="FFFFFF"/>
          </w:rPr>
          <w:t>https://formacionvirtual.colombiacompra.gov.co/mod/page/view.php?id=3718</w:t>
        </w:r>
      </w:hyperlink>
      <w:r>
        <w:rPr>
          <w:rFonts w:ascii="Verdana" w:hAnsi="Verdana" w:cs="Arial"/>
          <w:shd w:val="clear" w:color="auto" w:fill="FFFFFF"/>
        </w:rPr>
        <w:t xml:space="preserve"> </w:t>
      </w:r>
    </w:p>
    <w:p w14:paraId="70442AAE" w14:textId="77777777" w:rsidR="007871E6" w:rsidRPr="001B3CBA" w:rsidRDefault="007871E6">
      <w:pPr>
        <w:spacing w:after="0" w:line="276" w:lineRule="auto"/>
        <w:jc w:val="both"/>
        <w:rPr>
          <w:rFonts w:ascii="Verdana" w:hAnsi="Verdana" w:cs="Arial"/>
          <w:shd w:val="clear" w:color="auto" w:fill="FFFFFF"/>
        </w:rPr>
      </w:pPr>
    </w:p>
    <w:p w14:paraId="02265844" w14:textId="77777777" w:rsidR="007871E6" w:rsidRPr="00EE1130" w:rsidRDefault="007871E6">
      <w:pPr>
        <w:spacing w:after="0" w:line="276" w:lineRule="auto"/>
        <w:jc w:val="both"/>
        <w:rPr>
          <w:rFonts w:ascii="Verdana" w:hAnsi="Verdana" w:cs="Arial"/>
          <w:shd w:val="clear" w:color="auto" w:fill="FFFFFF"/>
        </w:rPr>
      </w:pPr>
      <w:r>
        <w:rPr>
          <w:rFonts w:ascii="Verdana" w:hAnsi="Verdana" w:cs="Arial"/>
          <w:shd w:val="clear" w:color="auto" w:fill="FFFFFF"/>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2" w:history="1">
        <w:r>
          <w:rPr>
            <w:rStyle w:val="Hipervnculo"/>
            <w:rFonts w:ascii="Verdana" w:hAnsi="Verdana" w:cs="Arial"/>
            <w:shd w:val="clear" w:color="auto" w:fill="FFFFFF"/>
          </w:rPr>
          <w:t>https://www.colombiacompra.gov.co/normativa-y-relatoria/documentos-tipo</w:t>
        </w:r>
      </w:hyperlink>
    </w:p>
    <w:p w14:paraId="1414D058" w14:textId="77777777" w:rsidR="007871E6" w:rsidRPr="00EE1130" w:rsidRDefault="007871E6">
      <w:pPr>
        <w:spacing w:after="0" w:line="276" w:lineRule="auto"/>
        <w:jc w:val="both"/>
        <w:rPr>
          <w:rFonts w:ascii="Verdana" w:hAnsi="Verdana" w:cs="Arial"/>
          <w:shd w:val="clear" w:color="auto" w:fill="FFFFFF"/>
        </w:rPr>
      </w:pPr>
    </w:p>
    <w:p w14:paraId="7D8976D1" w14:textId="77777777" w:rsidR="007871E6" w:rsidRPr="00EE1130" w:rsidRDefault="007871E6">
      <w:pPr>
        <w:spacing w:after="0" w:line="276" w:lineRule="auto"/>
        <w:jc w:val="both"/>
        <w:rPr>
          <w:rFonts w:ascii="Verdana" w:hAnsi="Verdana" w:cs="Arial"/>
          <w:shd w:val="clear" w:color="auto" w:fill="FFFFFF"/>
        </w:rPr>
      </w:pPr>
      <w:r>
        <w:rPr>
          <w:rFonts w:ascii="Verdana" w:hAnsi="Verdana" w:cs="Arial"/>
          <w:shd w:val="clear" w:color="auto" w:fill="FFFFFF"/>
        </w:rPr>
        <w:t>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 https://www.colombiacompra.gov.co/archivos/manual/guia-para-la-comprension-e-implementacion-de-los-documentos-tipo-de-obra-publica-de-infraestructura-de-transporte-bajo-las-diferentes-modalidades-de-contratacion-vigentes</w:t>
      </w:r>
    </w:p>
    <w:p w14:paraId="1DA01F46" w14:textId="77777777" w:rsidR="007871E6" w:rsidRPr="00EE1130" w:rsidRDefault="007871E6">
      <w:pPr>
        <w:spacing w:after="0" w:line="276" w:lineRule="auto"/>
        <w:jc w:val="both"/>
        <w:rPr>
          <w:rFonts w:ascii="Verdana" w:hAnsi="Verdana" w:cs="Arial"/>
          <w:color w:val="ED7D31" w:themeColor="accent2"/>
          <w:shd w:val="clear" w:color="auto" w:fill="FFFFFF"/>
        </w:rPr>
      </w:pPr>
    </w:p>
    <w:p w14:paraId="22DC70E9"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 xml:space="preserve">Por último, lo invitamos a seguirnos en las redes sociales en las cuales se difunde información institucional: </w:t>
      </w:r>
    </w:p>
    <w:p w14:paraId="7DE4621F" w14:textId="77777777" w:rsidR="007871E6" w:rsidRPr="00EE1130" w:rsidRDefault="007871E6" w:rsidP="003248CC">
      <w:pPr>
        <w:spacing w:after="0" w:line="276" w:lineRule="auto"/>
        <w:jc w:val="both"/>
        <w:rPr>
          <w:rFonts w:ascii="Verdana" w:hAnsi="Verdana" w:cs="Arial"/>
          <w:shd w:val="clear" w:color="auto" w:fill="FFFFFF"/>
        </w:rPr>
      </w:pPr>
    </w:p>
    <w:p w14:paraId="3D954A67"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 xml:space="preserve">Twitter: </w:t>
      </w:r>
      <w:r>
        <w:rPr>
          <w:rStyle w:val="Hipervnculo"/>
          <w:rFonts w:ascii="Verdana" w:hAnsi="Verdana"/>
          <w:lang w:val="es-ES"/>
        </w:rPr>
        <w:t>@colombiacompra</w:t>
      </w:r>
      <w:r>
        <w:rPr>
          <w:rStyle w:val="Hipervnculo"/>
          <w:rFonts w:ascii="Verdana" w:hAnsi="Verdana"/>
          <w:color w:val="auto"/>
          <w:lang w:val="es-ES"/>
        </w:rPr>
        <w:t xml:space="preserve"> </w:t>
      </w:r>
    </w:p>
    <w:p w14:paraId="23543719"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Facebook:</w:t>
      </w:r>
      <w:r>
        <w:rPr>
          <w:rStyle w:val="Hipervnculo"/>
          <w:rFonts w:ascii="Verdana" w:hAnsi="Verdana"/>
          <w:lang w:val="es-ES"/>
        </w:rPr>
        <w:t xml:space="preserve"> ColombiaCompraEficiente</w:t>
      </w:r>
    </w:p>
    <w:p w14:paraId="70D28036"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 xml:space="preserve">LinkedIn: </w:t>
      </w:r>
      <w:r>
        <w:rPr>
          <w:rStyle w:val="Hipervnculo"/>
          <w:rFonts w:ascii="Verdana" w:hAnsi="Verdana"/>
          <w:lang w:val="es-ES"/>
        </w:rPr>
        <w:t>Agencia Nacional de Contratación Pública - Colombia Compra Eficiente</w:t>
      </w:r>
      <w:r>
        <w:rPr>
          <w:rFonts w:ascii="Verdana" w:hAnsi="Verdana" w:cs="Arial"/>
          <w:color w:val="0000FF"/>
          <w:shd w:val="clear" w:color="auto" w:fill="FFFFFF"/>
        </w:rPr>
        <w:t xml:space="preserve"> </w:t>
      </w:r>
    </w:p>
    <w:p w14:paraId="568D986B"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 xml:space="preserve">Instagram: </w:t>
      </w:r>
      <w:r>
        <w:rPr>
          <w:rStyle w:val="Hipervnculo"/>
          <w:rFonts w:ascii="Verdana" w:hAnsi="Verdana"/>
          <w:lang w:val="es-ES"/>
        </w:rPr>
        <w:t>@colombiacompraeficiente_cce</w:t>
      </w:r>
    </w:p>
    <w:p w14:paraId="111D2401" w14:textId="77777777" w:rsidR="007871E6" w:rsidRPr="00EE1130" w:rsidRDefault="007871E6" w:rsidP="00EE1130">
      <w:pPr>
        <w:widowControl w:val="0"/>
        <w:autoSpaceDE w:val="0"/>
        <w:autoSpaceDN w:val="0"/>
        <w:spacing w:after="0" w:line="276" w:lineRule="auto"/>
        <w:jc w:val="both"/>
        <w:rPr>
          <w:rFonts w:ascii="Verdana" w:hAnsi="Verdana" w:cs="Arial"/>
          <w:color w:val="ED7D31" w:themeColor="accent2"/>
          <w:lang w:val="es-ES"/>
        </w:rPr>
      </w:pPr>
    </w:p>
    <w:p w14:paraId="25FAF9C1" w14:textId="77777777" w:rsidR="007871E6" w:rsidRPr="00EE1130" w:rsidRDefault="007871E6" w:rsidP="001B3CBA">
      <w:pPr>
        <w:widowControl w:val="0"/>
        <w:autoSpaceDE w:val="0"/>
        <w:autoSpaceDN w:val="0"/>
        <w:spacing w:after="0" w:line="276" w:lineRule="auto"/>
        <w:jc w:val="both"/>
        <w:rPr>
          <w:rFonts w:ascii="Verdana" w:hAnsi="Verdana" w:cs="Arial"/>
          <w:lang w:val="es-ES"/>
        </w:rPr>
      </w:pPr>
      <w:r>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84C2E37" w14:textId="77777777" w:rsidR="007871E6" w:rsidRPr="00EE1130" w:rsidRDefault="007871E6">
      <w:pPr>
        <w:widowControl w:val="0"/>
        <w:autoSpaceDE w:val="0"/>
        <w:autoSpaceDN w:val="0"/>
        <w:spacing w:after="0" w:line="276" w:lineRule="auto"/>
        <w:jc w:val="both"/>
        <w:rPr>
          <w:rFonts w:ascii="Verdana" w:hAnsi="Verdana" w:cs="Arial"/>
          <w:lang w:val="es-ES"/>
        </w:rPr>
      </w:pPr>
    </w:p>
    <w:p w14:paraId="0D95CA4D" w14:textId="77777777" w:rsidR="007871E6" w:rsidRPr="00EE1130" w:rsidRDefault="007871E6">
      <w:pPr>
        <w:spacing w:after="0" w:line="276" w:lineRule="auto"/>
        <w:rPr>
          <w:rFonts w:ascii="Verdana" w:hAnsi="Verdana" w:cs="Arial"/>
          <w:lang w:val="es-ES" w:eastAsia="es-CO"/>
        </w:rPr>
      </w:pPr>
      <w:r>
        <w:rPr>
          <w:rFonts w:ascii="Verdana" w:eastAsia="Times New Roman" w:hAnsi="Verdana" w:cs="Arial"/>
          <w:lang w:val="es-ES" w:eastAsia="es-CO"/>
        </w:rPr>
        <w:t>Atentamente,</w:t>
      </w:r>
      <w:r>
        <w:rPr>
          <w:rFonts w:ascii="Verdana" w:hAnsi="Verdana" w:cs="Arial"/>
          <w:lang w:val="es-ES" w:eastAsia="es-CO"/>
        </w:rPr>
        <w:t xml:space="preserve"> </w:t>
      </w:r>
    </w:p>
    <w:p w14:paraId="467EA90A" w14:textId="1237D177" w:rsidR="007871E6" w:rsidRPr="00206556" w:rsidRDefault="001E2D49" w:rsidP="007871E6">
      <w:pPr>
        <w:spacing w:after="0" w:line="256" w:lineRule="auto"/>
        <w:jc w:val="center"/>
        <w:rPr>
          <w:rFonts w:ascii="Verdana" w:eastAsia="Times New Roman" w:hAnsi="Verdana" w:cs="Arial"/>
          <w:lang w:eastAsia="es-ES"/>
        </w:rPr>
      </w:pPr>
      <w:r>
        <w:rPr>
          <w:rFonts w:ascii="Verdana" w:eastAsia="Times New Roman" w:hAnsi="Verdana" w:cs="Arial"/>
          <w:noProof/>
          <w:lang w:eastAsia="es-ES"/>
        </w:rPr>
        <w:drawing>
          <wp:inline distT="0" distB="0" distL="0" distR="0" wp14:anchorId="026B8598" wp14:editId="2E6F3E2C">
            <wp:extent cx="3639058" cy="1343212"/>
            <wp:effectExtent l="0" t="0" r="0" b="0"/>
            <wp:docPr id="159915642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156424" name="Imagen 1"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p w14:paraId="0427BFE6" w14:textId="77777777" w:rsidR="007871E6" w:rsidRPr="00206556" w:rsidRDefault="007871E6" w:rsidP="003248CC">
      <w:pPr>
        <w:spacing w:after="0" w:line="240" w:lineRule="auto"/>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7871E6" w:rsidRPr="00206556" w14:paraId="63F97A7E" w14:textId="77777777" w:rsidTr="000A1473">
        <w:trPr>
          <w:trHeight w:val="322"/>
        </w:trPr>
        <w:tc>
          <w:tcPr>
            <w:tcW w:w="733" w:type="dxa"/>
            <w:tcBorders>
              <w:top w:val="nil"/>
              <w:left w:val="nil"/>
              <w:bottom w:val="nil"/>
              <w:right w:val="nil"/>
            </w:tcBorders>
            <w:vAlign w:val="center"/>
            <w:hideMark/>
          </w:tcPr>
          <w:p w14:paraId="03F9972D" w14:textId="77777777" w:rsidR="007871E6" w:rsidRPr="00206556" w:rsidRDefault="007871E6" w:rsidP="000A147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Elaboró:         </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19294ACE" w14:textId="77777777" w:rsidR="007871E6" w:rsidRPr="00206556" w:rsidRDefault="007871E6" w:rsidP="000A147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Gloria Elizabeth Arango Builes</w:t>
            </w:r>
          </w:p>
          <w:p w14:paraId="60276FD0" w14:textId="77777777" w:rsidR="007871E6" w:rsidRPr="00206556" w:rsidRDefault="007871E6" w:rsidP="000A1473">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eastAsia="es-ES"/>
              </w:rPr>
              <w:t xml:space="preserve">Contratista </w:t>
            </w:r>
            <w:r>
              <w:rPr>
                <w:rFonts w:ascii="Verdana" w:eastAsia="Times New Roman" w:hAnsi="Verdana" w:cs="Times New Roman"/>
                <w:sz w:val="16"/>
                <w:szCs w:val="16"/>
                <w:lang w:eastAsia="es-CO"/>
              </w:rPr>
              <w:t>de la Subdirección de Gestión Contractual</w:t>
            </w:r>
          </w:p>
        </w:tc>
      </w:tr>
      <w:tr w:rsidR="007871E6" w:rsidRPr="00206556" w14:paraId="41B5B4AE" w14:textId="77777777" w:rsidTr="000A1473">
        <w:trPr>
          <w:trHeight w:val="322"/>
        </w:trPr>
        <w:tc>
          <w:tcPr>
            <w:tcW w:w="733" w:type="dxa"/>
            <w:tcBorders>
              <w:top w:val="nil"/>
              <w:left w:val="nil"/>
              <w:bottom w:val="nil"/>
              <w:right w:val="nil"/>
            </w:tcBorders>
            <w:vAlign w:val="center"/>
            <w:hideMark/>
          </w:tcPr>
          <w:p w14:paraId="74DD1E3E" w14:textId="77777777" w:rsidR="007871E6" w:rsidRPr="00206556" w:rsidRDefault="007871E6" w:rsidP="000A147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Revisó:</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61DE34FF" w14:textId="7F182CCC" w:rsidR="007871E6" w:rsidRPr="00206556" w:rsidRDefault="00DD0FDA" w:rsidP="000A1473">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Diana Lucía Saavedra Castañeda</w:t>
            </w:r>
          </w:p>
          <w:p w14:paraId="24A3F9DF" w14:textId="77777777" w:rsidR="007871E6" w:rsidRPr="00206556" w:rsidRDefault="007871E6" w:rsidP="003248CC">
            <w:pPr>
              <w:autoSpaceDE w:val="0"/>
              <w:autoSpaceDN w:val="0"/>
              <w:adjustRightInd w:val="0"/>
              <w:spacing w:after="0" w:line="276" w:lineRule="auto"/>
              <w:rPr>
                <w:rFonts w:ascii="Verdana" w:eastAsia="Times New Roman" w:hAnsi="Verdana" w:cs="Times New Roman"/>
                <w:sz w:val="16"/>
                <w:szCs w:val="16"/>
                <w:lang w:eastAsia="es-CO"/>
              </w:rPr>
            </w:pPr>
            <w:r>
              <w:rPr>
                <w:rFonts w:ascii="Verdana" w:eastAsia="Times New Roman" w:hAnsi="Verdana" w:cs="Arial"/>
                <w:sz w:val="16"/>
                <w:szCs w:val="16"/>
                <w:lang w:eastAsia="es-ES"/>
              </w:rPr>
              <w:t>Contratista de la Subdirección de Gestión Contractual</w:t>
            </w:r>
          </w:p>
        </w:tc>
      </w:tr>
      <w:tr w:rsidR="007871E6" w:rsidRPr="00206556" w14:paraId="325DB337" w14:textId="77777777" w:rsidTr="000A1473">
        <w:trPr>
          <w:trHeight w:val="307"/>
        </w:trPr>
        <w:tc>
          <w:tcPr>
            <w:tcW w:w="733" w:type="dxa"/>
            <w:tcBorders>
              <w:top w:val="nil"/>
              <w:left w:val="nil"/>
              <w:bottom w:val="nil"/>
              <w:right w:val="nil"/>
            </w:tcBorders>
            <w:vAlign w:val="center"/>
            <w:hideMark/>
          </w:tcPr>
          <w:p w14:paraId="72E15ACA" w14:textId="77777777" w:rsidR="007871E6" w:rsidRPr="00206556" w:rsidRDefault="007871E6" w:rsidP="000A147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Aprobó:</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4A64E095" w14:textId="77777777" w:rsidR="007871E6" w:rsidRPr="00206556" w:rsidRDefault="007871E6" w:rsidP="000A1473">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Carolina Quintero Gacharná</w:t>
            </w:r>
          </w:p>
          <w:p w14:paraId="1B088EDF" w14:textId="77777777" w:rsidR="007871E6" w:rsidRPr="00206556" w:rsidRDefault="007871E6" w:rsidP="000A1473">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Subdirectora de Gestión Contractual ANCP – CCE</w:t>
            </w:r>
          </w:p>
        </w:tc>
      </w:tr>
    </w:tbl>
    <w:p w14:paraId="4FB11348" w14:textId="77777777" w:rsidR="007871E6" w:rsidRDefault="007871E6" w:rsidP="007871E6">
      <w:pPr>
        <w:autoSpaceDE w:val="0"/>
        <w:autoSpaceDN w:val="0"/>
        <w:adjustRightInd w:val="0"/>
        <w:spacing w:after="0" w:line="276" w:lineRule="auto"/>
        <w:jc w:val="center"/>
        <w:rPr>
          <w:rFonts w:ascii="Verdana" w:eastAsia="Calibri" w:hAnsi="Verdana" w:cs="Arial"/>
        </w:rPr>
      </w:pPr>
    </w:p>
    <w:p w14:paraId="573D83E0" w14:textId="77777777" w:rsidR="007871E6" w:rsidRDefault="007871E6" w:rsidP="007871E6">
      <w:pPr>
        <w:autoSpaceDE w:val="0"/>
        <w:autoSpaceDN w:val="0"/>
        <w:adjustRightInd w:val="0"/>
        <w:spacing w:after="0" w:line="276" w:lineRule="auto"/>
        <w:jc w:val="center"/>
        <w:rPr>
          <w:rFonts w:ascii="Verdana" w:eastAsia="Calibri" w:hAnsi="Verdana" w:cs="Arial"/>
        </w:rPr>
      </w:pPr>
    </w:p>
    <w:p w14:paraId="6DF91698" w14:textId="77777777" w:rsidR="007871E6" w:rsidRPr="00206556" w:rsidRDefault="007871E6" w:rsidP="007871E6">
      <w:pPr>
        <w:autoSpaceDE w:val="0"/>
        <w:autoSpaceDN w:val="0"/>
        <w:adjustRightInd w:val="0"/>
        <w:spacing w:after="0" w:line="276" w:lineRule="auto"/>
        <w:jc w:val="center"/>
        <w:rPr>
          <w:rFonts w:ascii="Verdana" w:eastAsia="Calibri" w:hAnsi="Verdana" w:cs="Arial"/>
        </w:rPr>
      </w:pPr>
    </w:p>
    <w:p w14:paraId="07E4A67B" w14:textId="77777777" w:rsidR="002A0DD0" w:rsidRPr="007871E6" w:rsidRDefault="002A0DD0" w:rsidP="30821638">
      <w:pPr>
        <w:spacing w:after="0" w:line="240" w:lineRule="auto"/>
        <w:jc w:val="both"/>
        <w:rPr>
          <w:rFonts w:ascii="Verdana" w:eastAsia="Verdana" w:hAnsi="Verdana" w:cs="Verdana"/>
          <w:b/>
          <w:bCs/>
        </w:rPr>
      </w:pPr>
    </w:p>
    <w:p w14:paraId="69D36777"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E353591" w14:textId="77777777" w:rsidR="00C15139" w:rsidRPr="000E2B93" w:rsidRDefault="00C15139" w:rsidP="30821638">
      <w:pPr>
        <w:spacing w:after="0" w:line="240" w:lineRule="auto"/>
        <w:textAlignment w:val="baseline"/>
        <w:rPr>
          <w:rFonts w:ascii="Verdana" w:eastAsia="Verdana" w:hAnsi="Verdana" w:cs="Verdana"/>
          <w:lang w:eastAsia="es-CO"/>
        </w:rPr>
      </w:pPr>
      <w:r>
        <w:rPr>
          <w:rFonts w:ascii="Verdana" w:eastAsia="Verdana" w:hAnsi="Verdana" w:cs="Verdana"/>
          <w:lang w:eastAsia="es-CO"/>
        </w:rPr>
        <w:t> </w:t>
      </w:r>
    </w:p>
    <w:sectPr w:rsidR="00C15139" w:rsidRPr="000E2B93"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DF05E" w14:textId="77777777" w:rsidR="0016176F" w:rsidRDefault="0016176F" w:rsidP="004A1847">
      <w:pPr>
        <w:spacing w:after="0" w:line="240" w:lineRule="auto"/>
      </w:pPr>
      <w:r>
        <w:separator/>
      </w:r>
    </w:p>
  </w:endnote>
  <w:endnote w:type="continuationSeparator" w:id="0">
    <w:p w14:paraId="0B171FB1" w14:textId="77777777" w:rsidR="0016176F" w:rsidRDefault="0016176F" w:rsidP="004A1847">
      <w:pPr>
        <w:spacing w:after="0" w:line="240" w:lineRule="auto"/>
      </w:pPr>
      <w:r>
        <w:continuationSeparator/>
      </w:r>
    </w:p>
  </w:endnote>
  <w:endnote w:type="continuationNotice" w:id="1">
    <w:p w14:paraId="35B94FA2" w14:textId="77777777" w:rsidR="0016176F" w:rsidRDefault="001617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2304C" w14:textId="77777777" w:rsidR="004A1847" w:rsidRDefault="004A1847">
    <w:pPr>
      <w:pStyle w:val="Piedepgina"/>
    </w:pPr>
  </w:p>
  <w:p w14:paraId="1573C5A7"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15725CD4"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5F5FFD97"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00907C20" w14:textId="77777777"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44C52" w14:textId="77777777" w:rsidR="0016176F" w:rsidRDefault="0016176F" w:rsidP="004A1847">
      <w:pPr>
        <w:spacing w:after="0" w:line="240" w:lineRule="auto"/>
      </w:pPr>
      <w:r>
        <w:separator/>
      </w:r>
    </w:p>
  </w:footnote>
  <w:footnote w:type="continuationSeparator" w:id="0">
    <w:p w14:paraId="136C16F9" w14:textId="77777777" w:rsidR="0016176F" w:rsidRDefault="0016176F" w:rsidP="004A1847">
      <w:pPr>
        <w:spacing w:after="0" w:line="240" w:lineRule="auto"/>
      </w:pPr>
      <w:r>
        <w:continuationSeparator/>
      </w:r>
    </w:p>
  </w:footnote>
  <w:footnote w:type="continuationNotice" w:id="1">
    <w:p w14:paraId="61BD5EE7" w14:textId="77777777" w:rsidR="0016176F" w:rsidRDefault="0016176F">
      <w:pPr>
        <w:spacing w:after="0" w:line="240" w:lineRule="auto"/>
      </w:pPr>
    </w:p>
  </w:footnote>
  <w:footnote w:id="2">
    <w:p w14:paraId="5BA33565" w14:textId="77777777" w:rsidR="00F931C4"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1474 de 2011, artículo 84, sobre las facultades y deberes de los supervisores y los interventores para la protección de la moralidad administrativa y la transparencia en la actividad contractual.</w:t>
      </w:r>
    </w:p>
  </w:footnote>
  <w:footnote w:id="3">
    <w:p w14:paraId="1F444626" w14:textId="77777777" w:rsidR="00F931C4"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Subdirección de Gestión Contractual. Conceptos C-506 del 8 de agosto de 2022 y C-953 del 19 de agosto de 2025, conforme a los cuales el apoyo a la supervisión por parte de contratistas exige que las obligaciones de su contrato de prestación de servicios lo autoricen.</w:t>
      </w:r>
    </w:p>
  </w:footnote>
  <w:footnote w:id="4">
    <w:p w14:paraId="1943ED35" w14:textId="77777777" w:rsidR="00F931C4"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Subdirección de Gestión Contractual. Concepto C-1004 del 27 de diciembre de 2024.</w:t>
      </w:r>
    </w:p>
  </w:footnote>
  <w:footnote w:id="5">
    <w:p w14:paraId="5DEFD614" w14:textId="77777777" w:rsidR="00F931C4"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80 de 1993, artículo 32, numeral 3, sobre el contrato de prestación de servicios; en concordancia, artículos 25 y 26 ibidem, sobre los principios de economía y responsabilidad, en los que se funda el deber de planeación.</w:t>
      </w:r>
    </w:p>
  </w:footnote>
  <w:footnote w:id="6">
    <w:p w14:paraId="54F4B693" w14:textId="77777777" w:rsidR="00F931C4"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Subdirección de Gestión Contractual. Concepto C-1212 del 30 de septiembre de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62222" w14:textId="77777777"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5DC66BA4" wp14:editId="201C5F8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7B897590" wp14:editId="63700601">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6C83A5C" w14:textId="77777777" w:rsidR="00756841" w:rsidRDefault="00756841">
    <w:pPr>
      <w:pStyle w:val="Encabezado"/>
    </w:pPr>
  </w:p>
  <w:p w14:paraId="3A73A441" w14:textId="77777777" w:rsidR="004A305D" w:rsidRPr="004A305D" w:rsidRDefault="004A305D" w:rsidP="00B01B1A">
    <w:pPr>
      <w:spacing w:after="0" w:line="120" w:lineRule="auto"/>
      <w:rPr>
        <w:rFonts w:ascii="Century Gothic" w:eastAsia="Geo" w:hAnsi="Century Gothic" w:cs="Geo"/>
        <w:sz w:val="16"/>
        <w:szCs w:val="16"/>
        <w:lang w:eastAsia="es-CO"/>
      </w:rPr>
    </w:pPr>
  </w:p>
  <w:p w14:paraId="01711A5F" w14:textId="77777777" w:rsidR="00C925AC" w:rsidRDefault="00C925AC" w:rsidP="00844AE9">
    <w:pPr>
      <w:spacing w:after="0" w:line="240" w:lineRule="auto"/>
      <w:rPr>
        <w:rFonts w:ascii="Verdana" w:hAnsi="Verdana"/>
        <w:sz w:val="24"/>
        <w:szCs w:val="24"/>
      </w:rPr>
    </w:pPr>
  </w:p>
  <w:p w14:paraId="6B0D704C" w14:textId="77777777" w:rsidR="00A14468" w:rsidRPr="00C925AC" w:rsidRDefault="00A14468" w:rsidP="00844AE9">
    <w:pPr>
      <w:spacing w:after="0" w:line="240" w:lineRule="auto"/>
      <w:rPr>
        <w:rFonts w:ascii="Verdana" w:hAnsi="Verdana"/>
        <w:sz w:val="24"/>
        <w:szCs w:val="24"/>
      </w:rPr>
    </w:pPr>
  </w:p>
  <w:p w14:paraId="7D99FFE1" w14:textId="77777777"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44860404">
    <w:abstractNumId w:val="6"/>
  </w:num>
  <w:num w:numId="2" w16cid:durableId="990980600">
    <w:abstractNumId w:val="2"/>
  </w:num>
  <w:num w:numId="3" w16cid:durableId="607928268">
    <w:abstractNumId w:val="4"/>
  </w:num>
  <w:num w:numId="4" w16cid:durableId="10560072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84858552">
    <w:abstractNumId w:val="2"/>
  </w:num>
  <w:num w:numId="6" w16cid:durableId="1752386460">
    <w:abstractNumId w:val="12"/>
  </w:num>
  <w:num w:numId="7" w16cid:durableId="1572693359">
    <w:abstractNumId w:val="5"/>
  </w:num>
  <w:num w:numId="8" w16cid:durableId="800264154">
    <w:abstractNumId w:val="11"/>
  </w:num>
  <w:num w:numId="9" w16cid:durableId="1590503547">
    <w:abstractNumId w:val="7"/>
  </w:num>
  <w:num w:numId="10" w16cid:durableId="1754164154">
    <w:abstractNumId w:val="10"/>
  </w:num>
  <w:num w:numId="11" w16cid:durableId="77290861">
    <w:abstractNumId w:val="8"/>
  </w:num>
  <w:num w:numId="12" w16cid:durableId="1324502715">
    <w:abstractNumId w:val="0"/>
  </w:num>
  <w:num w:numId="13" w16cid:durableId="1640918912">
    <w:abstractNumId w:val="3"/>
  </w:num>
  <w:num w:numId="14" w16cid:durableId="1936480602">
    <w:abstractNumId w:val="13"/>
  </w:num>
  <w:num w:numId="15" w16cid:durableId="1823277618">
    <w:abstractNumId w:val="9"/>
  </w:num>
  <w:num w:numId="16" w16cid:durableId="195001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06F1"/>
    <w:rsid w:val="00082362"/>
    <w:rsid w:val="000A683E"/>
    <w:rsid w:val="000B19B9"/>
    <w:rsid w:val="000D0334"/>
    <w:rsid w:val="000D5DA7"/>
    <w:rsid w:val="000F4313"/>
    <w:rsid w:val="000F6486"/>
    <w:rsid w:val="00116940"/>
    <w:rsid w:val="00125105"/>
    <w:rsid w:val="00127233"/>
    <w:rsid w:val="0015699B"/>
    <w:rsid w:val="00157ED1"/>
    <w:rsid w:val="0016176F"/>
    <w:rsid w:val="001868CD"/>
    <w:rsid w:val="001A33BF"/>
    <w:rsid w:val="001B3CBA"/>
    <w:rsid w:val="001E2D49"/>
    <w:rsid w:val="001E4177"/>
    <w:rsid w:val="001F0B24"/>
    <w:rsid w:val="001F7DC6"/>
    <w:rsid w:val="00212B15"/>
    <w:rsid w:val="00215AC0"/>
    <w:rsid w:val="0022400B"/>
    <w:rsid w:val="002421BB"/>
    <w:rsid w:val="002566A7"/>
    <w:rsid w:val="0025796E"/>
    <w:rsid w:val="002707A2"/>
    <w:rsid w:val="00287F6B"/>
    <w:rsid w:val="002951A0"/>
    <w:rsid w:val="002962BC"/>
    <w:rsid w:val="002A093D"/>
    <w:rsid w:val="002A0DD0"/>
    <w:rsid w:val="002A49AC"/>
    <w:rsid w:val="002A64FD"/>
    <w:rsid w:val="002C7A84"/>
    <w:rsid w:val="002E2BF8"/>
    <w:rsid w:val="002E4FD9"/>
    <w:rsid w:val="002F15DA"/>
    <w:rsid w:val="00300EA6"/>
    <w:rsid w:val="0030657A"/>
    <w:rsid w:val="00321092"/>
    <w:rsid w:val="00322A85"/>
    <w:rsid w:val="00324168"/>
    <w:rsid w:val="003248CC"/>
    <w:rsid w:val="00330834"/>
    <w:rsid w:val="00331B3C"/>
    <w:rsid w:val="003448F4"/>
    <w:rsid w:val="00366EF7"/>
    <w:rsid w:val="00374F5E"/>
    <w:rsid w:val="00377E3E"/>
    <w:rsid w:val="003A779E"/>
    <w:rsid w:val="003D0F4D"/>
    <w:rsid w:val="003D5B0D"/>
    <w:rsid w:val="003E0499"/>
    <w:rsid w:val="003E281C"/>
    <w:rsid w:val="003E4F80"/>
    <w:rsid w:val="003E6439"/>
    <w:rsid w:val="003F3941"/>
    <w:rsid w:val="00406575"/>
    <w:rsid w:val="00414C74"/>
    <w:rsid w:val="0042722E"/>
    <w:rsid w:val="00430FA2"/>
    <w:rsid w:val="00430FE2"/>
    <w:rsid w:val="0044528D"/>
    <w:rsid w:val="00465584"/>
    <w:rsid w:val="00466E39"/>
    <w:rsid w:val="004672DC"/>
    <w:rsid w:val="00467E7D"/>
    <w:rsid w:val="00485BA6"/>
    <w:rsid w:val="004A1847"/>
    <w:rsid w:val="004A305D"/>
    <w:rsid w:val="004D0406"/>
    <w:rsid w:val="004F21C4"/>
    <w:rsid w:val="004F685F"/>
    <w:rsid w:val="0052334E"/>
    <w:rsid w:val="00540C3A"/>
    <w:rsid w:val="005544FB"/>
    <w:rsid w:val="005566E8"/>
    <w:rsid w:val="00567481"/>
    <w:rsid w:val="00574867"/>
    <w:rsid w:val="00574FCA"/>
    <w:rsid w:val="00591460"/>
    <w:rsid w:val="005A65E0"/>
    <w:rsid w:val="005B1993"/>
    <w:rsid w:val="005C3777"/>
    <w:rsid w:val="005C5CDC"/>
    <w:rsid w:val="005D476C"/>
    <w:rsid w:val="00600C72"/>
    <w:rsid w:val="00607073"/>
    <w:rsid w:val="006200BF"/>
    <w:rsid w:val="006219F8"/>
    <w:rsid w:val="006302F7"/>
    <w:rsid w:val="00646B9F"/>
    <w:rsid w:val="00665D70"/>
    <w:rsid w:val="0067287B"/>
    <w:rsid w:val="00673581"/>
    <w:rsid w:val="006900D9"/>
    <w:rsid w:val="006974CA"/>
    <w:rsid w:val="006B13E0"/>
    <w:rsid w:val="00706C16"/>
    <w:rsid w:val="007340C3"/>
    <w:rsid w:val="0075235A"/>
    <w:rsid w:val="00756841"/>
    <w:rsid w:val="007649AB"/>
    <w:rsid w:val="00771D0C"/>
    <w:rsid w:val="007741C2"/>
    <w:rsid w:val="007833AC"/>
    <w:rsid w:val="007871E6"/>
    <w:rsid w:val="00792636"/>
    <w:rsid w:val="007A10D0"/>
    <w:rsid w:val="007B1106"/>
    <w:rsid w:val="007B268C"/>
    <w:rsid w:val="007B7171"/>
    <w:rsid w:val="007C0C0F"/>
    <w:rsid w:val="007C3DC2"/>
    <w:rsid w:val="007E5497"/>
    <w:rsid w:val="007F167A"/>
    <w:rsid w:val="00804A6B"/>
    <w:rsid w:val="00806F5F"/>
    <w:rsid w:val="00820278"/>
    <w:rsid w:val="008258C9"/>
    <w:rsid w:val="00840403"/>
    <w:rsid w:val="00844AE9"/>
    <w:rsid w:val="00867F95"/>
    <w:rsid w:val="008843B6"/>
    <w:rsid w:val="00891928"/>
    <w:rsid w:val="008A446D"/>
    <w:rsid w:val="008B25F1"/>
    <w:rsid w:val="008D180B"/>
    <w:rsid w:val="008E4841"/>
    <w:rsid w:val="008F0EA7"/>
    <w:rsid w:val="00923EEF"/>
    <w:rsid w:val="009419F9"/>
    <w:rsid w:val="009513BD"/>
    <w:rsid w:val="0095685E"/>
    <w:rsid w:val="00961B09"/>
    <w:rsid w:val="00965334"/>
    <w:rsid w:val="00966744"/>
    <w:rsid w:val="0097093E"/>
    <w:rsid w:val="009A0DFA"/>
    <w:rsid w:val="009A1C6F"/>
    <w:rsid w:val="009B2D26"/>
    <w:rsid w:val="009C71FA"/>
    <w:rsid w:val="009C72E7"/>
    <w:rsid w:val="009C7F7E"/>
    <w:rsid w:val="009D1776"/>
    <w:rsid w:val="009D3058"/>
    <w:rsid w:val="009F3A13"/>
    <w:rsid w:val="00A122D3"/>
    <w:rsid w:val="00A14468"/>
    <w:rsid w:val="00A17F13"/>
    <w:rsid w:val="00A20739"/>
    <w:rsid w:val="00A23AF9"/>
    <w:rsid w:val="00A33C78"/>
    <w:rsid w:val="00A46130"/>
    <w:rsid w:val="00AA04EA"/>
    <w:rsid w:val="00AA3569"/>
    <w:rsid w:val="00AA4FEB"/>
    <w:rsid w:val="00AB0ADB"/>
    <w:rsid w:val="00AB15F5"/>
    <w:rsid w:val="00B00C0E"/>
    <w:rsid w:val="00B01B1A"/>
    <w:rsid w:val="00B0381D"/>
    <w:rsid w:val="00B154FA"/>
    <w:rsid w:val="00B44A47"/>
    <w:rsid w:val="00B72CD3"/>
    <w:rsid w:val="00B72FFF"/>
    <w:rsid w:val="00BC3D36"/>
    <w:rsid w:val="00BC57BE"/>
    <w:rsid w:val="00BD54A6"/>
    <w:rsid w:val="00BD7F72"/>
    <w:rsid w:val="00BF7425"/>
    <w:rsid w:val="00C00CDF"/>
    <w:rsid w:val="00C04FB3"/>
    <w:rsid w:val="00C11D8B"/>
    <w:rsid w:val="00C15139"/>
    <w:rsid w:val="00C330EB"/>
    <w:rsid w:val="00C50D69"/>
    <w:rsid w:val="00C5365C"/>
    <w:rsid w:val="00C62946"/>
    <w:rsid w:val="00C754BE"/>
    <w:rsid w:val="00C76B1C"/>
    <w:rsid w:val="00C925AC"/>
    <w:rsid w:val="00CB6357"/>
    <w:rsid w:val="00CC1B26"/>
    <w:rsid w:val="00CF5DED"/>
    <w:rsid w:val="00D13655"/>
    <w:rsid w:val="00D361FD"/>
    <w:rsid w:val="00D423A2"/>
    <w:rsid w:val="00D44E26"/>
    <w:rsid w:val="00D520D8"/>
    <w:rsid w:val="00D63AC2"/>
    <w:rsid w:val="00D66164"/>
    <w:rsid w:val="00D7383B"/>
    <w:rsid w:val="00D7788A"/>
    <w:rsid w:val="00DA231B"/>
    <w:rsid w:val="00DC39FC"/>
    <w:rsid w:val="00DD0FDA"/>
    <w:rsid w:val="00DD71D8"/>
    <w:rsid w:val="00DF5254"/>
    <w:rsid w:val="00E02524"/>
    <w:rsid w:val="00E16408"/>
    <w:rsid w:val="00E20894"/>
    <w:rsid w:val="00E245AB"/>
    <w:rsid w:val="00E2764C"/>
    <w:rsid w:val="00E27F2E"/>
    <w:rsid w:val="00E36DFE"/>
    <w:rsid w:val="00E43DCE"/>
    <w:rsid w:val="00E50AFE"/>
    <w:rsid w:val="00E75C92"/>
    <w:rsid w:val="00E771DC"/>
    <w:rsid w:val="00E80081"/>
    <w:rsid w:val="00E8772A"/>
    <w:rsid w:val="00E90F6B"/>
    <w:rsid w:val="00E92C27"/>
    <w:rsid w:val="00EA0E3D"/>
    <w:rsid w:val="00EC38A7"/>
    <w:rsid w:val="00ED4BC9"/>
    <w:rsid w:val="00EE02E2"/>
    <w:rsid w:val="00EE1130"/>
    <w:rsid w:val="00EE1AA8"/>
    <w:rsid w:val="00F158E3"/>
    <w:rsid w:val="00F23FEA"/>
    <w:rsid w:val="00F31EDC"/>
    <w:rsid w:val="00F462B3"/>
    <w:rsid w:val="00F5664F"/>
    <w:rsid w:val="00F61940"/>
    <w:rsid w:val="00F666C4"/>
    <w:rsid w:val="00F76AFC"/>
    <w:rsid w:val="00F91202"/>
    <w:rsid w:val="00F931C4"/>
    <w:rsid w:val="00FA47C0"/>
    <w:rsid w:val="00FB45D3"/>
    <w:rsid w:val="00FB50A5"/>
    <w:rsid w:val="00FB5DD1"/>
    <w:rsid w:val="00FC2B5D"/>
    <w:rsid w:val="00FF1449"/>
    <w:rsid w:val="00FF7963"/>
    <w:rsid w:val="071B8F93"/>
    <w:rsid w:val="07C73DD1"/>
    <w:rsid w:val="09908A09"/>
    <w:rsid w:val="0E0AF0F4"/>
    <w:rsid w:val="0EFE6349"/>
    <w:rsid w:val="0FF4CCA8"/>
    <w:rsid w:val="13CFC91B"/>
    <w:rsid w:val="19A2EC2C"/>
    <w:rsid w:val="19C2847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5DC4A"/>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871E6"/>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12034420">
      <w:bodyDiv w:val="1"/>
      <w:marLeft w:val="0"/>
      <w:marRight w:val="0"/>
      <w:marTop w:val="0"/>
      <w:marBottom w:val="0"/>
      <w:divBdr>
        <w:top w:val="none" w:sz="0" w:space="0" w:color="auto"/>
        <w:left w:val="none" w:sz="0" w:space="0" w:color="auto"/>
        <w:bottom w:val="none" w:sz="0" w:space="0" w:color="auto"/>
        <w:right w:val="none" w:sz="0" w:space="0" w:color="auto"/>
      </w:divBdr>
      <w:divsChild>
        <w:div w:id="618488851">
          <w:marLeft w:val="0"/>
          <w:marRight w:val="0"/>
          <w:marTop w:val="0"/>
          <w:marBottom w:val="0"/>
          <w:divBdr>
            <w:top w:val="none" w:sz="0" w:space="0" w:color="auto"/>
            <w:left w:val="none" w:sz="0" w:space="0" w:color="auto"/>
            <w:bottom w:val="none" w:sz="0" w:space="0" w:color="auto"/>
            <w:right w:val="none" w:sz="0" w:space="0" w:color="auto"/>
          </w:divBdr>
          <w:divsChild>
            <w:div w:id="1312514199">
              <w:marLeft w:val="0"/>
              <w:marRight w:val="0"/>
              <w:marTop w:val="0"/>
              <w:marBottom w:val="0"/>
              <w:divBdr>
                <w:top w:val="none" w:sz="0" w:space="0" w:color="auto"/>
                <w:left w:val="none" w:sz="0" w:space="0" w:color="auto"/>
                <w:bottom w:val="none" w:sz="0" w:space="0" w:color="auto"/>
                <w:right w:val="none" w:sz="0" w:space="0" w:color="auto"/>
              </w:divBdr>
              <w:divsChild>
                <w:div w:id="651522952">
                  <w:marLeft w:val="0"/>
                  <w:marRight w:val="0"/>
                  <w:marTop w:val="0"/>
                  <w:marBottom w:val="0"/>
                  <w:divBdr>
                    <w:top w:val="none" w:sz="0" w:space="0" w:color="auto"/>
                    <w:left w:val="none" w:sz="0" w:space="0" w:color="auto"/>
                    <w:bottom w:val="none" w:sz="0" w:space="0" w:color="auto"/>
                    <w:right w:val="none" w:sz="0" w:space="0" w:color="auto"/>
                  </w:divBdr>
                  <w:divsChild>
                    <w:div w:id="1443960521">
                      <w:marLeft w:val="0"/>
                      <w:marRight w:val="0"/>
                      <w:marTop w:val="0"/>
                      <w:marBottom w:val="0"/>
                      <w:divBdr>
                        <w:top w:val="none" w:sz="0" w:space="0" w:color="auto"/>
                        <w:left w:val="none" w:sz="0" w:space="0" w:color="auto"/>
                        <w:bottom w:val="none" w:sz="0" w:space="0" w:color="auto"/>
                        <w:right w:val="none" w:sz="0" w:space="0" w:color="auto"/>
                      </w:divBdr>
                      <w:divsChild>
                        <w:div w:id="1892957634">
                          <w:marLeft w:val="0"/>
                          <w:marRight w:val="0"/>
                          <w:marTop w:val="0"/>
                          <w:marBottom w:val="0"/>
                          <w:divBdr>
                            <w:top w:val="none" w:sz="0" w:space="0" w:color="auto"/>
                            <w:left w:val="none" w:sz="0" w:space="0" w:color="auto"/>
                            <w:bottom w:val="none" w:sz="0" w:space="0" w:color="auto"/>
                            <w:right w:val="none" w:sz="0" w:space="0" w:color="auto"/>
                          </w:divBdr>
                          <w:divsChild>
                            <w:div w:id="780998957">
                              <w:marLeft w:val="0"/>
                              <w:marRight w:val="0"/>
                              <w:marTop w:val="0"/>
                              <w:marBottom w:val="0"/>
                              <w:divBdr>
                                <w:top w:val="none" w:sz="0" w:space="0" w:color="auto"/>
                                <w:left w:val="none" w:sz="0" w:space="0" w:color="auto"/>
                                <w:bottom w:val="none" w:sz="0" w:space="0" w:color="auto"/>
                                <w:right w:val="none" w:sz="0" w:space="0" w:color="auto"/>
                              </w:divBdr>
                              <w:divsChild>
                                <w:div w:id="1707415034">
                                  <w:marLeft w:val="0"/>
                                  <w:marRight w:val="0"/>
                                  <w:marTop w:val="0"/>
                                  <w:marBottom w:val="0"/>
                                  <w:divBdr>
                                    <w:top w:val="none" w:sz="0" w:space="0" w:color="auto"/>
                                    <w:left w:val="none" w:sz="0" w:space="0" w:color="auto"/>
                                    <w:bottom w:val="none" w:sz="0" w:space="0" w:color="auto"/>
                                    <w:right w:val="none" w:sz="0" w:space="0" w:color="auto"/>
                                  </w:divBdr>
                                  <w:divsChild>
                                    <w:div w:id="5493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597518956">
      <w:bodyDiv w:val="1"/>
      <w:marLeft w:val="0"/>
      <w:marRight w:val="0"/>
      <w:marTop w:val="0"/>
      <w:marBottom w:val="0"/>
      <w:divBdr>
        <w:top w:val="none" w:sz="0" w:space="0" w:color="auto"/>
        <w:left w:val="none" w:sz="0" w:space="0" w:color="auto"/>
        <w:bottom w:val="none" w:sz="0" w:space="0" w:color="auto"/>
        <w:right w:val="none" w:sz="0" w:space="0" w:color="auto"/>
      </w:divBdr>
      <w:divsChild>
        <w:div w:id="1929848834">
          <w:marLeft w:val="0"/>
          <w:marRight w:val="0"/>
          <w:marTop w:val="0"/>
          <w:marBottom w:val="0"/>
          <w:divBdr>
            <w:top w:val="none" w:sz="0" w:space="0" w:color="auto"/>
            <w:left w:val="none" w:sz="0" w:space="0" w:color="auto"/>
            <w:bottom w:val="none" w:sz="0" w:space="0" w:color="auto"/>
            <w:right w:val="none" w:sz="0" w:space="0" w:color="auto"/>
          </w:divBdr>
          <w:divsChild>
            <w:div w:id="2056924019">
              <w:marLeft w:val="0"/>
              <w:marRight w:val="0"/>
              <w:marTop w:val="0"/>
              <w:marBottom w:val="0"/>
              <w:divBdr>
                <w:top w:val="none" w:sz="0" w:space="0" w:color="auto"/>
                <w:left w:val="none" w:sz="0" w:space="0" w:color="auto"/>
                <w:bottom w:val="none" w:sz="0" w:space="0" w:color="auto"/>
                <w:right w:val="none" w:sz="0" w:space="0" w:color="auto"/>
              </w:divBdr>
              <w:divsChild>
                <w:div w:id="1876308058">
                  <w:marLeft w:val="0"/>
                  <w:marRight w:val="0"/>
                  <w:marTop w:val="0"/>
                  <w:marBottom w:val="0"/>
                  <w:divBdr>
                    <w:top w:val="none" w:sz="0" w:space="0" w:color="auto"/>
                    <w:left w:val="none" w:sz="0" w:space="0" w:color="auto"/>
                    <w:bottom w:val="none" w:sz="0" w:space="0" w:color="auto"/>
                    <w:right w:val="none" w:sz="0" w:space="0" w:color="auto"/>
                  </w:divBdr>
                  <w:divsChild>
                    <w:div w:id="867257576">
                      <w:marLeft w:val="0"/>
                      <w:marRight w:val="0"/>
                      <w:marTop w:val="0"/>
                      <w:marBottom w:val="0"/>
                      <w:divBdr>
                        <w:top w:val="none" w:sz="0" w:space="0" w:color="auto"/>
                        <w:left w:val="none" w:sz="0" w:space="0" w:color="auto"/>
                        <w:bottom w:val="none" w:sz="0" w:space="0" w:color="auto"/>
                        <w:right w:val="none" w:sz="0" w:space="0" w:color="auto"/>
                      </w:divBdr>
                      <w:divsChild>
                        <w:div w:id="434636078">
                          <w:marLeft w:val="0"/>
                          <w:marRight w:val="0"/>
                          <w:marTop w:val="0"/>
                          <w:marBottom w:val="0"/>
                          <w:divBdr>
                            <w:top w:val="none" w:sz="0" w:space="0" w:color="auto"/>
                            <w:left w:val="none" w:sz="0" w:space="0" w:color="auto"/>
                            <w:bottom w:val="none" w:sz="0" w:space="0" w:color="auto"/>
                            <w:right w:val="none" w:sz="0" w:space="0" w:color="auto"/>
                          </w:divBdr>
                          <w:divsChild>
                            <w:div w:id="1226837747">
                              <w:marLeft w:val="0"/>
                              <w:marRight w:val="0"/>
                              <w:marTop w:val="0"/>
                              <w:marBottom w:val="0"/>
                              <w:divBdr>
                                <w:top w:val="none" w:sz="0" w:space="0" w:color="auto"/>
                                <w:left w:val="none" w:sz="0" w:space="0" w:color="auto"/>
                                <w:bottom w:val="none" w:sz="0" w:space="0" w:color="auto"/>
                                <w:right w:val="none" w:sz="0" w:space="0" w:color="auto"/>
                              </w:divBdr>
                              <w:divsChild>
                                <w:div w:id="986592301">
                                  <w:marLeft w:val="0"/>
                                  <w:marRight w:val="0"/>
                                  <w:marTop w:val="0"/>
                                  <w:marBottom w:val="0"/>
                                  <w:divBdr>
                                    <w:top w:val="none" w:sz="0" w:space="0" w:color="auto"/>
                                    <w:left w:val="none" w:sz="0" w:space="0" w:color="auto"/>
                                    <w:bottom w:val="none" w:sz="0" w:space="0" w:color="auto"/>
                                    <w:right w:val="none" w:sz="0" w:space="0" w:color="auto"/>
                                  </w:divBdr>
                                  <w:divsChild>
                                    <w:div w:id="68826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7025263">
      <w:bodyDiv w:val="1"/>
      <w:marLeft w:val="0"/>
      <w:marRight w:val="0"/>
      <w:marTop w:val="0"/>
      <w:marBottom w:val="0"/>
      <w:divBdr>
        <w:top w:val="none" w:sz="0" w:space="0" w:color="auto"/>
        <w:left w:val="none" w:sz="0" w:space="0" w:color="auto"/>
        <w:bottom w:val="none" w:sz="0" w:space="0" w:color="auto"/>
        <w:right w:val="none" w:sz="0" w:space="0" w:color="auto"/>
      </w:divBdr>
    </w:div>
    <w:div w:id="1930771107">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normativa-y-relatoria/documentos-tip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acionvirtual.colombiacompra.gov.co/mod/page/view.php?id=3718"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BF1BDAED-5161-451A-B648-8FA49E61DA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7</TotalTime>
  <Pages>11</Pages>
  <Words>3603</Words>
  <Characters>19822</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23379</CharactersWithSpaces>
  <SharedDoc>false</SharedDoc>
  <HLinks>
    <vt:vector size="24" baseType="variant">
      <vt:variant>
        <vt:i4>3735661</vt:i4>
      </vt:variant>
      <vt:variant>
        <vt:i4>9</vt:i4>
      </vt:variant>
      <vt:variant>
        <vt:i4>0</vt:i4>
      </vt:variant>
      <vt:variant>
        <vt:i4>5</vt:i4>
      </vt:variant>
      <vt:variant>
        <vt:lpwstr>https://www.colombiacompra.gov.co/normativa-y-relatoria/documentos-tipo</vt:lpwstr>
      </vt:variant>
      <vt:variant>
        <vt:lpwstr/>
      </vt:variant>
      <vt:variant>
        <vt:i4>65544</vt:i4>
      </vt:variant>
      <vt:variant>
        <vt:i4>6</vt:i4>
      </vt:variant>
      <vt:variant>
        <vt:i4>0</vt:i4>
      </vt:variant>
      <vt:variant>
        <vt:i4>5</vt:i4>
      </vt:variant>
      <vt:variant>
        <vt:lpwstr>https://formacionvirtual.colombiacompra.gov.co/mod/page/view.php?id=3718</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5505151</vt:i4>
      </vt:variant>
      <vt:variant>
        <vt:i4>0</vt:i4>
      </vt:variant>
      <vt:variant>
        <vt:i4>0</vt:i4>
      </vt:variant>
      <vt:variant>
        <vt:i4>5</vt:i4>
      </vt:variant>
      <vt:variant>
        <vt:lpwstr>mailto:Ana.menesesb@fiscalia.gov.co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2026-08-31T21:54:00Z</dcterms:created>
  <dcterms:modified xsi:type="dcterms:W3CDTF">2026-09-23T13:25:00Z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