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EBD3C" w14:textId="77777777" w:rsidR="00C07830" w:rsidRPr="00D56F8A" w:rsidRDefault="00C07830" w:rsidP="00C07830">
      <w:pPr>
        <w:spacing w:after="0" w:line="240" w:lineRule="auto"/>
        <w:jc w:val="both"/>
        <w:rPr>
          <w:rFonts w:ascii="Verdana" w:hAnsi="Verdana" w:cs="Arial"/>
          <w:b/>
          <w:bCs/>
          <w:lang w:val="es-ES" w:eastAsia="es-ES"/>
        </w:rPr>
      </w:pPr>
      <w:bookmarkStart w:id="0" w:name="_Hlk143780582"/>
      <w:r w:rsidRPr="00D56F8A">
        <w:rPr>
          <w:rFonts w:ascii="Verdana" w:hAnsi="Verdana" w:cs="Arial"/>
          <w:b/>
          <w:bCs/>
          <w:lang w:val="es-ES" w:eastAsia="es-ES"/>
        </w:rPr>
        <w:t>CONTRATO ESTATAL – Ejercicio – Funciones de control y vigilancia</w:t>
      </w:r>
    </w:p>
    <w:p w14:paraId="078E6345" w14:textId="77777777" w:rsidR="00C07830" w:rsidRPr="0055262A" w:rsidRDefault="00C07830" w:rsidP="00C07830">
      <w:pPr>
        <w:spacing w:after="0" w:line="240" w:lineRule="auto"/>
        <w:jc w:val="both"/>
        <w:rPr>
          <w:rFonts w:ascii="Verdana" w:hAnsi="Verdana" w:cs="Arial"/>
          <w:bCs/>
          <w:lang w:val="es-ES" w:eastAsia="es-ES"/>
        </w:rPr>
      </w:pPr>
    </w:p>
    <w:p w14:paraId="7C82F195" w14:textId="77777777" w:rsidR="00C07830" w:rsidRPr="0055262A" w:rsidRDefault="00C07830" w:rsidP="00C07830">
      <w:pPr>
        <w:spacing w:after="0" w:line="240" w:lineRule="auto"/>
        <w:jc w:val="both"/>
        <w:rPr>
          <w:rFonts w:ascii="Verdana" w:hAnsi="Verdana" w:cs="Arial"/>
          <w:bCs/>
          <w:sz w:val="20"/>
          <w:lang w:val="es-ES" w:eastAsia="es-ES"/>
        </w:rPr>
      </w:pPr>
      <w:r w:rsidRPr="0055262A">
        <w:rPr>
          <w:rFonts w:ascii="Verdana" w:hAnsi="Verdana" w:cs="Arial"/>
          <w:bCs/>
          <w:sz w:val="20"/>
          <w:lang w:val="es-ES" w:eastAsia="es-ES"/>
        </w:rPr>
        <w:t>A través de la actividad contractual, el Estado adquiere bienes, obras y servicios para cumplir los fines que le impone el ordenamiento jurídico, garantizando así la continua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finalidades perseguidas con la celebración de los contratos estatales se logren de manera satisfactoria.</w:t>
      </w:r>
    </w:p>
    <w:p w14:paraId="467AD5B5" w14:textId="77777777" w:rsidR="00C07830" w:rsidRDefault="00C07830" w:rsidP="00C07830">
      <w:pPr>
        <w:spacing w:after="0" w:line="240" w:lineRule="auto"/>
        <w:jc w:val="both"/>
        <w:rPr>
          <w:rFonts w:ascii="Verdana" w:hAnsi="Verdana" w:cs="Arial"/>
          <w:b/>
          <w:bCs/>
          <w:lang w:val="es-ES" w:eastAsia="es-ES"/>
        </w:rPr>
      </w:pPr>
    </w:p>
    <w:p w14:paraId="716563BB" w14:textId="77777777" w:rsidR="00C07830" w:rsidRPr="00803584" w:rsidRDefault="00C07830" w:rsidP="00C07830">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59AFFB1D" w14:textId="77777777" w:rsidR="00C07830" w:rsidRPr="00D56F8A" w:rsidRDefault="00C07830" w:rsidP="00C07830">
      <w:pPr>
        <w:spacing w:after="0" w:line="240" w:lineRule="auto"/>
        <w:jc w:val="both"/>
        <w:rPr>
          <w:rFonts w:ascii="Verdana" w:hAnsi="Verdana" w:cs="Arial"/>
          <w:b/>
          <w:bCs/>
          <w:lang w:val="es-ES" w:eastAsia="es-ES"/>
        </w:rPr>
      </w:pPr>
    </w:p>
    <w:p w14:paraId="4F415CE1"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CONTRATO ESTATAL – Supervisión – Interventoría – características </w:t>
      </w:r>
    </w:p>
    <w:p w14:paraId="1994F94F" w14:textId="77777777" w:rsidR="00C07830" w:rsidRPr="00803584" w:rsidRDefault="00C07830" w:rsidP="00C07830">
      <w:pPr>
        <w:spacing w:after="0" w:line="240" w:lineRule="auto"/>
        <w:jc w:val="both"/>
        <w:rPr>
          <w:rFonts w:ascii="Verdana" w:hAnsi="Verdana" w:cs="Arial"/>
          <w:bCs/>
          <w:sz w:val="20"/>
          <w:lang w:val="es-ES" w:eastAsia="es-ES"/>
        </w:rPr>
      </w:pPr>
    </w:p>
    <w:p w14:paraId="032D0FD0" w14:textId="77777777" w:rsidR="00C07830" w:rsidRPr="00803584" w:rsidRDefault="00C07830" w:rsidP="00C07830">
      <w:pPr>
        <w:spacing w:after="0" w:line="240" w:lineRule="auto"/>
        <w:jc w:val="both"/>
        <w:rPr>
          <w:rFonts w:ascii="Verdana" w:hAnsi="Verdana" w:cs="Arial"/>
          <w:bCs/>
          <w:sz w:val="20"/>
          <w:lang w:val="es-ES" w:eastAsia="es-ES"/>
        </w:rPr>
      </w:pPr>
      <w:r w:rsidRPr="00803584">
        <w:rPr>
          <w:rFonts w:ascii="Verdana" w:hAnsi="Verdana" w:cs="Arial"/>
          <w:bCs/>
          <w:sz w:val="20"/>
          <w:lang w:val="es-ES" w:eastAsia="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72C4564E" w14:textId="77777777" w:rsidR="00C07830" w:rsidRDefault="00C07830" w:rsidP="00C07830">
      <w:pPr>
        <w:spacing w:after="0" w:line="240" w:lineRule="auto"/>
        <w:jc w:val="both"/>
        <w:rPr>
          <w:rFonts w:ascii="Verdana" w:hAnsi="Verdana" w:cs="Arial"/>
          <w:bCs/>
          <w:sz w:val="20"/>
          <w:lang w:val="es-ES" w:eastAsia="es-ES"/>
        </w:rPr>
      </w:pPr>
    </w:p>
    <w:p w14:paraId="712FF3EF" w14:textId="77777777" w:rsidR="00C07830" w:rsidRPr="00803584" w:rsidRDefault="00C07830" w:rsidP="00C07830">
      <w:pPr>
        <w:spacing w:after="0" w:line="240" w:lineRule="auto"/>
        <w:jc w:val="both"/>
        <w:rPr>
          <w:rFonts w:ascii="Verdana" w:hAnsi="Verdana" w:cs="Arial"/>
          <w:bCs/>
          <w:sz w:val="20"/>
          <w:lang w:eastAsia="es-ES"/>
        </w:rPr>
      </w:pPr>
      <w:r w:rsidRPr="00803584">
        <w:rPr>
          <w:rFonts w:ascii="Verdana" w:hAnsi="Verdana" w:cs="Arial"/>
          <w:bCs/>
          <w:sz w:val="20"/>
          <w:lang w:val="es-ES" w:eastAsia="es-ES"/>
        </w:rPr>
        <w:t xml:space="preserve">Por otro lado, </w:t>
      </w:r>
      <w:r w:rsidRPr="00803584">
        <w:rPr>
          <w:rFonts w:ascii="Verdana" w:hAnsi="Verdana" w:cs="Arial"/>
          <w:bCs/>
          <w:sz w:val="20"/>
          <w:lang w:eastAsia="es-ES"/>
        </w:rPr>
        <w:t xml:space="preserve">la interventoría puede caracterizarse de la siguiente manera: i) es un mecanismo de vigilancia contingente en la medida que solo es obligatorio para el </w:t>
      </w:r>
      <w:r w:rsidRPr="00803584">
        <w:rPr>
          <w:rFonts w:ascii="Verdana" w:hAnsi="Verdana" w:cs="Arial"/>
          <w:bCs/>
          <w:sz w:val="20"/>
          <w:lang w:eastAsia="es-ES"/>
        </w:rPr>
        <w:lastRenderedPageBreak/>
        <w:t>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57AE037F" w14:textId="77777777" w:rsidR="00C07830" w:rsidRPr="00803584" w:rsidRDefault="00C07830" w:rsidP="00C07830">
      <w:pPr>
        <w:spacing w:after="0" w:line="240" w:lineRule="auto"/>
        <w:jc w:val="both"/>
        <w:rPr>
          <w:rFonts w:ascii="Verdana" w:hAnsi="Verdana" w:cs="Arial"/>
          <w:b/>
          <w:bCs/>
          <w:lang w:eastAsia="es-ES"/>
        </w:rPr>
      </w:pPr>
    </w:p>
    <w:p w14:paraId="49C8F9BA"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 xml:space="preserve">SUPERVISIÓN – Designación – Servidor Público – Lineamientos </w:t>
      </w:r>
    </w:p>
    <w:p w14:paraId="3E211F33" w14:textId="77777777" w:rsidR="00C07830" w:rsidRDefault="00C07830" w:rsidP="00C07830">
      <w:pPr>
        <w:spacing w:after="0" w:line="240" w:lineRule="auto"/>
        <w:jc w:val="both"/>
        <w:rPr>
          <w:rFonts w:ascii="Verdana" w:hAnsi="Verdana" w:cs="Arial"/>
          <w:b/>
          <w:bCs/>
          <w:lang w:val="es-ES" w:eastAsia="es-ES"/>
        </w:rPr>
      </w:pPr>
    </w:p>
    <w:p w14:paraId="17B6BE13" w14:textId="77777777" w:rsidR="00C07830" w:rsidRDefault="00C07830" w:rsidP="00C07830">
      <w:pPr>
        <w:spacing w:after="0" w:line="240" w:lineRule="auto"/>
        <w:jc w:val="both"/>
        <w:rPr>
          <w:rFonts w:ascii="Verdana" w:hAnsi="Verdana" w:cs="Arial"/>
          <w:bCs/>
          <w:sz w:val="20"/>
          <w:lang w:eastAsia="es-ES"/>
        </w:rPr>
      </w:pPr>
      <w:r w:rsidRPr="000A1642">
        <w:rPr>
          <w:rFonts w:ascii="Verdana" w:hAnsi="Verdana" w:cs="Arial"/>
          <w:bCs/>
          <w:sz w:val="20"/>
          <w:lang w:val="es-ES" w:eastAsia="es-ES"/>
        </w:rPr>
        <w:t xml:space="preserve">En principio, en la Guía también se expresa que el supervisor no requiere un perfil predeterminado; sin embargo, es recomendable que pueda actuar como par del contratista supervisado. Para designar a un funcionario como supervisor, la entidad estatal debe verificar que el objeto del proceso de contratación guarde relación con las funciones propias de su empleo, ya sea de nivel directivo, profesional, técnico o asistencial. </w:t>
      </w:r>
      <w:r w:rsidRPr="000A1642">
        <w:rPr>
          <w:rFonts w:ascii="Verdana" w:hAnsi="Verdana" w:cs="Arial"/>
          <w:bCs/>
          <w:sz w:val="20"/>
          <w:lang w:eastAsia="es-ES"/>
        </w:rPr>
        <w:t xml:space="preserve">Esto implica que la supervisión debe ser una actividad administrativa compatible con el perfil y el nivel del empleo. A modo de ejemplo, no podría designar como supervisor a un empleo del nivel asistencial de un contrato que implica complejidades técnicas que son propias de un nivel profesional. </w:t>
      </w:r>
    </w:p>
    <w:p w14:paraId="58A68A82" w14:textId="77777777" w:rsidR="00C07830" w:rsidRPr="000A1642" w:rsidRDefault="00C07830" w:rsidP="00C07830">
      <w:pPr>
        <w:spacing w:after="0" w:line="240" w:lineRule="auto"/>
        <w:jc w:val="both"/>
        <w:rPr>
          <w:rFonts w:ascii="Verdana" w:hAnsi="Verdana" w:cs="Arial"/>
          <w:bCs/>
          <w:sz w:val="20"/>
          <w:lang w:eastAsia="es-ES"/>
        </w:rPr>
      </w:pPr>
    </w:p>
    <w:p w14:paraId="081C927E" w14:textId="77777777" w:rsidR="00C07830" w:rsidRPr="000A1642" w:rsidRDefault="00C07830" w:rsidP="00C07830">
      <w:pPr>
        <w:spacing w:after="0" w:line="240" w:lineRule="auto"/>
        <w:jc w:val="both"/>
        <w:rPr>
          <w:rFonts w:ascii="Verdana" w:hAnsi="Verdana" w:cs="Arial"/>
          <w:bCs/>
          <w:sz w:val="20"/>
          <w:lang w:val="es-ES" w:eastAsia="es-ES"/>
        </w:rPr>
      </w:pPr>
      <w:r w:rsidRPr="000A1642">
        <w:rPr>
          <w:rFonts w:ascii="Verdana" w:hAnsi="Verdana" w:cs="Arial"/>
          <w:bCs/>
          <w:sz w:val="20"/>
          <w:lang w:eastAsia="es-ES"/>
        </w:rPr>
        <w:t xml:space="preserve">En este sentido, la entidad debe evaluar la idoneidad del funcionario designado, garantice la capacitación necesaria y formalice la asignación conforme a los lineamientos legales y que sea acorde con el perfil y el nivel del empleo. </w:t>
      </w:r>
      <w:r w:rsidRPr="000A1642">
        <w:rPr>
          <w:rFonts w:ascii="Verdana" w:hAnsi="Verdana" w:cs="Arial"/>
          <w:bCs/>
          <w:sz w:val="20"/>
          <w:lang w:val="es-ES" w:eastAsia="es-ES"/>
        </w:rPr>
        <w:t>En todo caso, no es necesario que el Manual Específico de Funciones y Competencias Laborales consigne expresamente la supervisión de contratos, ya que se entiende como una función inherente al ejercicio ordinario de los servidores públicos. Así mismo, la entidad estatal debe evaluar la carga operativa del funcionario designado, con el fin de evitar los riesgos derivados de una supervisión deficiente por falta de tiempo.</w:t>
      </w:r>
    </w:p>
    <w:p w14:paraId="4B2CA984" w14:textId="77777777" w:rsidR="00C07830" w:rsidRPr="00D56F8A" w:rsidRDefault="00C07830" w:rsidP="00C07830">
      <w:pPr>
        <w:spacing w:after="0" w:line="240" w:lineRule="auto"/>
        <w:jc w:val="both"/>
        <w:rPr>
          <w:rFonts w:ascii="Verdana" w:hAnsi="Verdana" w:cs="Arial"/>
          <w:b/>
          <w:bCs/>
          <w:lang w:val="es-ES" w:eastAsia="es-ES"/>
        </w:rPr>
      </w:pPr>
    </w:p>
    <w:p w14:paraId="0B6FFA35" w14:textId="77777777" w:rsidR="00C07830" w:rsidRPr="00D56F8A" w:rsidRDefault="00C07830" w:rsidP="00C07830">
      <w:pPr>
        <w:spacing w:after="0" w:line="240" w:lineRule="auto"/>
        <w:jc w:val="both"/>
        <w:rPr>
          <w:rFonts w:ascii="Verdana" w:hAnsi="Verdana" w:cs="Arial"/>
          <w:b/>
          <w:bCs/>
          <w:lang w:val="es-ES" w:eastAsia="es-ES"/>
        </w:rPr>
      </w:pPr>
      <w:r w:rsidRPr="00D56F8A">
        <w:rPr>
          <w:rFonts w:ascii="Verdana" w:hAnsi="Verdana" w:cs="Arial"/>
          <w:b/>
          <w:bCs/>
          <w:lang w:val="es-ES" w:eastAsia="es-ES"/>
        </w:rPr>
        <w:t>SUPERVISIÓN – Supervisión Conjunta – Criterios – Distribución de Cargas</w:t>
      </w:r>
    </w:p>
    <w:p w14:paraId="61DE8125" w14:textId="77777777" w:rsidR="00C07830" w:rsidRPr="00D56F8A" w:rsidRDefault="00C07830" w:rsidP="00C07830">
      <w:pPr>
        <w:spacing w:after="0" w:line="240" w:lineRule="auto"/>
        <w:jc w:val="both"/>
        <w:rPr>
          <w:rFonts w:ascii="Verdana" w:hAnsi="Verdana" w:cs="Arial"/>
          <w:b/>
          <w:bCs/>
          <w:lang w:val="es-ES" w:eastAsia="es-ES"/>
        </w:rPr>
      </w:pPr>
    </w:p>
    <w:p w14:paraId="300D43A1" w14:textId="77777777" w:rsidR="00C07830" w:rsidRPr="000A1642" w:rsidRDefault="00C07830" w:rsidP="00C07830">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 xml:space="preserve">Es importante señalar que para desarrollar la supervisión del contrato no se requieren por lo general, conocimientos técnicos especializados, sin embargo, las funciones de </w:t>
      </w:r>
      <w:r w:rsidRPr="000A1642">
        <w:rPr>
          <w:rFonts w:ascii="Verdana" w:hAnsi="Verdana" w:cs="Arial"/>
          <w:bCs/>
          <w:sz w:val="20"/>
          <w:szCs w:val="20"/>
          <w:lang w:val="es-ES" w:eastAsia="es-ES"/>
        </w:rPr>
        <w:lastRenderedPageBreak/>
        <w:t xml:space="preserve">seguimiento contractual abarcan varios campos, por ejemplo, aspectos técnicos, administrativos, financieros, contables y jurídicos. 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administrativo, técnico, financiero o contable-, o que el contrato tenga una complejidad técnica por que sea atípico o mixto, entre otros aspectos administrativos, financieros o jurídicos. </w:t>
      </w:r>
    </w:p>
    <w:p w14:paraId="07E85381" w14:textId="77777777" w:rsidR="00C07830" w:rsidRPr="000A1642" w:rsidRDefault="00C07830" w:rsidP="00C07830">
      <w:pPr>
        <w:spacing w:after="0" w:line="240" w:lineRule="auto"/>
        <w:jc w:val="both"/>
        <w:rPr>
          <w:rFonts w:ascii="Verdana" w:hAnsi="Verdana" w:cs="Arial"/>
          <w:bCs/>
          <w:sz w:val="20"/>
          <w:szCs w:val="20"/>
          <w:lang w:val="es-ES" w:eastAsia="es-ES"/>
        </w:rPr>
      </w:pPr>
    </w:p>
    <w:p w14:paraId="76D8316F" w14:textId="77777777" w:rsidR="00C07830" w:rsidRPr="000A1642" w:rsidRDefault="00C07830" w:rsidP="00C07830">
      <w:pPr>
        <w:spacing w:after="0" w:line="240" w:lineRule="auto"/>
        <w:jc w:val="both"/>
        <w:rPr>
          <w:rFonts w:ascii="Verdana" w:hAnsi="Verdana" w:cs="Arial"/>
          <w:bCs/>
          <w:sz w:val="20"/>
          <w:szCs w:val="20"/>
          <w:lang w:val="es-ES" w:eastAsia="es-ES"/>
        </w:rPr>
      </w:pPr>
      <w:r w:rsidRPr="000A1642">
        <w:rPr>
          <w:rFonts w:ascii="Verdana" w:hAnsi="Verdana" w:cs="Arial"/>
          <w:bCs/>
          <w:sz w:val="20"/>
          <w:szCs w:val="20"/>
          <w:lang w:val="es-ES" w:eastAsia="es-ES"/>
        </w:rPr>
        <w:t>En efecto, resulta razonable y posible que la entidad contratante, al momento de analizar cómo ejercer las funciones de supervisión del contrato, determine que estas deban realizarse por más de un servidor público. Es decir, es posible que las actividades de seguimiento de ejecución del contrato sean distribuidas, de acuerdo a la especialidad de los servidores, lo que implica una supervisión colegiada. En todo caso, deberá tener en cuenta que las funciones propias de los cargos, y los perfiles, conocimientos y experiencia de los funcionarios designados, guarden relación directa con el objeto del contrato y sus aspectos a supervisar. Lo anterior pretende que la vigilancia del contrato se realice de manera idónea y suficiente, con distribución equitativa de cargas y responsabilidades, en aplicación a los principios de coordinación y eficacia que rigen el ejercicio de la función administrativa. Estos principios son aplicables a la contratación estatal por disposición del artículo 23 de la Ley 80 de 1993.</w:t>
      </w:r>
    </w:p>
    <w:p w14:paraId="5EED6AA8" w14:textId="77777777" w:rsidR="00C07830" w:rsidRDefault="00C07830" w:rsidP="00C07830">
      <w:pPr>
        <w:spacing w:after="0"/>
        <w:rPr>
          <w:rFonts w:ascii="Verdana" w:eastAsia="Verdana" w:hAnsi="Verdana" w:cs="Verdana"/>
        </w:rPr>
      </w:pPr>
    </w:p>
    <w:p w14:paraId="55218845" w14:textId="77777777" w:rsidR="00C07830" w:rsidRDefault="00C07830" w:rsidP="00C07830">
      <w:pPr>
        <w:spacing w:after="0" w:line="240" w:lineRule="auto"/>
        <w:jc w:val="both"/>
        <w:rPr>
          <w:rFonts w:ascii="Verdana" w:hAnsi="Verdana" w:cs="Arial"/>
          <w:bCs/>
          <w:sz w:val="20"/>
          <w:szCs w:val="20"/>
          <w:lang w:eastAsia="es-ES"/>
        </w:rPr>
      </w:pPr>
    </w:p>
    <w:p w14:paraId="0275A5B9" w14:textId="77777777" w:rsidR="00C07830" w:rsidRDefault="00C07830" w:rsidP="00C07830">
      <w:pPr>
        <w:spacing w:after="0" w:line="240" w:lineRule="auto"/>
        <w:jc w:val="both"/>
        <w:rPr>
          <w:rFonts w:ascii="Verdana" w:hAnsi="Verdana" w:cs="Arial"/>
          <w:bCs/>
          <w:sz w:val="20"/>
          <w:szCs w:val="20"/>
          <w:lang w:eastAsia="es-ES"/>
        </w:rPr>
      </w:pPr>
    </w:p>
    <w:p w14:paraId="766357D6" w14:textId="77777777" w:rsidR="00C07830" w:rsidRDefault="00C07830" w:rsidP="00C07830">
      <w:pPr>
        <w:spacing w:after="0" w:line="240" w:lineRule="auto"/>
        <w:jc w:val="both"/>
        <w:rPr>
          <w:rFonts w:ascii="Verdana" w:hAnsi="Verdana" w:cs="Arial"/>
          <w:bCs/>
          <w:sz w:val="20"/>
          <w:szCs w:val="20"/>
          <w:lang w:eastAsia="es-ES"/>
        </w:rPr>
      </w:pPr>
    </w:p>
    <w:p w14:paraId="5C2D9E56" w14:textId="77777777" w:rsidR="00C07830" w:rsidRDefault="00C07830" w:rsidP="00C07830">
      <w:pPr>
        <w:spacing w:after="0" w:line="240" w:lineRule="auto"/>
        <w:jc w:val="both"/>
        <w:rPr>
          <w:rFonts w:ascii="Verdana" w:hAnsi="Verdana" w:cs="Arial"/>
          <w:bCs/>
          <w:sz w:val="20"/>
          <w:szCs w:val="20"/>
          <w:lang w:eastAsia="es-ES"/>
        </w:rPr>
      </w:pPr>
    </w:p>
    <w:p w14:paraId="5D2021E2" w14:textId="77777777" w:rsidR="00C07830" w:rsidRDefault="00C07830" w:rsidP="00C07830">
      <w:pPr>
        <w:spacing w:after="0" w:line="240" w:lineRule="auto"/>
        <w:jc w:val="both"/>
        <w:rPr>
          <w:rFonts w:ascii="Verdana" w:hAnsi="Verdana" w:cs="Arial"/>
          <w:bCs/>
          <w:sz w:val="20"/>
          <w:szCs w:val="20"/>
          <w:lang w:eastAsia="es-ES"/>
        </w:rPr>
      </w:pPr>
    </w:p>
    <w:p w14:paraId="34C0B05F" w14:textId="77777777" w:rsidR="00C07830" w:rsidRDefault="00C07830" w:rsidP="00C07830">
      <w:pPr>
        <w:spacing w:after="0" w:line="240" w:lineRule="auto"/>
        <w:jc w:val="both"/>
        <w:rPr>
          <w:rFonts w:ascii="Verdana" w:hAnsi="Verdana" w:cs="Arial"/>
          <w:bCs/>
          <w:sz w:val="20"/>
          <w:szCs w:val="20"/>
          <w:lang w:eastAsia="es-ES"/>
        </w:rPr>
      </w:pPr>
    </w:p>
    <w:p w14:paraId="5F3AFB1C" w14:textId="77777777" w:rsidR="00C07830" w:rsidRDefault="00C07830" w:rsidP="00C07830">
      <w:pPr>
        <w:spacing w:after="0" w:line="240" w:lineRule="auto"/>
        <w:jc w:val="both"/>
        <w:rPr>
          <w:rFonts w:ascii="Verdana" w:hAnsi="Verdana" w:cs="Arial"/>
          <w:bCs/>
          <w:sz w:val="20"/>
          <w:szCs w:val="20"/>
          <w:lang w:eastAsia="es-ES"/>
        </w:rPr>
      </w:pPr>
    </w:p>
    <w:p w14:paraId="74C04FC3" w14:textId="77777777" w:rsidR="00C07830" w:rsidRDefault="00C07830" w:rsidP="00C07830">
      <w:pPr>
        <w:spacing w:after="0" w:line="240" w:lineRule="auto"/>
        <w:jc w:val="both"/>
        <w:rPr>
          <w:rFonts w:ascii="Verdana" w:hAnsi="Verdana" w:cs="Arial"/>
          <w:bCs/>
          <w:sz w:val="20"/>
          <w:szCs w:val="20"/>
          <w:lang w:eastAsia="es-ES"/>
        </w:rPr>
      </w:pPr>
    </w:p>
    <w:p w14:paraId="10C0EFF1" w14:textId="77777777" w:rsidR="00C07830" w:rsidRDefault="00C07830" w:rsidP="00C07830">
      <w:pPr>
        <w:spacing w:after="0" w:line="240" w:lineRule="auto"/>
        <w:jc w:val="both"/>
        <w:rPr>
          <w:rFonts w:ascii="Verdana" w:hAnsi="Verdana" w:cs="Arial"/>
          <w:bCs/>
          <w:sz w:val="20"/>
          <w:szCs w:val="20"/>
          <w:lang w:eastAsia="es-ES"/>
        </w:rPr>
      </w:pPr>
    </w:p>
    <w:p w14:paraId="54C1AD04" w14:textId="77777777" w:rsidR="00C07830" w:rsidRDefault="00C07830" w:rsidP="00C07830">
      <w:pPr>
        <w:spacing w:after="0" w:line="240" w:lineRule="auto"/>
        <w:jc w:val="both"/>
        <w:rPr>
          <w:rFonts w:ascii="Verdana" w:hAnsi="Verdana" w:cs="Arial"/>
          <w:bCs/>
          <w:sz w:val="20"/>
          <w:szCs w:val="20"/>
          <w:lang w:eastAsia="es-ES"/>
        </w:rPr>
      </w:pPr>
    </w:p>
    <w:p w14:paraId="251762B3" w14:textId="77777777" w:rsidR="00C07830" w:rsidRDefault="00C07830" w:rsidP="00C07830">
      <w:pPr>
        <w:spacing w:after="0" w:line="240" w:lineRule="auto"/>
        <w:jc w:val="both"/>
        <w:rPr>
          <w:rFonts w:ascii="Verdana" w:hAnsi="Verdana" w:cs="Arial"/>
          <w:bCs/>
          <w:sz w:val="20"/>
          <w:szCs w:val="20"/>
          <w:lang w:eastAsia="es-ES"/>
        </w:rPr>
      </w:pPr>
    </w:p>
    <w:p w14:paraId="0D322441" w14:textId="77777777" w:rsidR="00C07830" w:rsidRPr="002253CF" w:rsidRDefault="00C07830" w:rsidP="00C07830">
      <w:pPr>
        <w:spacing w:after="0" w:line="240" w:lineRule="auto"/>
        <w:jc w:val="both"/>
        <w:rPr>
          <w:rFonts w:ascii="Verdana" w:hAnsi="Verdana" w:cs="Arial"/>
          <w:bCs/>
          <w:sz w:val="20"/>
          <w:szCs w:val="20"/>
          <w:lang w:eastAsia="es-ES"/>
        </w:rPr>
      </w:pPr>
    </w:p>
    <w:p w14:paraId="57A58011" w14:textId="77777777" w:rsidR="00C07830" w:rsidRPr="002253CF" w:rsidRDefault="00C07830" w:rsidP="00C07830">
      <w:pPr>
        <w:spacing w:after="0" w:line="240" w:lineRule="auto"/>
        <w:jc w:val="both"/>
        <w:rPr>
          <w:rFonts w:ascii="Verdana" w:hAnsi="Verdana" w:cs="Arial"/>
          <w:bCs/>
          <w:sz w:val="20"/>
          <w:szCs w:val="20"/>
          <w:lang w:eastAsia="es-ES"/>
        </w:rPr>
      </w:pPr>
    </w:p>
    <w:p w14:paraId="032EFDB2" w14:textId="77777777" w:rsidR="00C07830" w:rsidRDefault="00C07830" w:rsidP="00C07830">
      <w:pPr>
        <w:spacing w:after="0"/>
        <w:rPr>
          <w:rFonts w:ascii="Verdana" w:eastAsia="Verdana" w:hAnsi="Verdana" w:cs="Verdana"/>
          <w:b/>
        </w:rPr>
      </w:pPr>
    </w:p>
    <w:p w14:paraId="3CC75042" w14:textId="77777777" w:rsidR="00C07830" w:rsidRDefault="00C07830" w:rsidP="00C07830">
      <w:pPr>
        <w:spacing w:after="0"/>
        <w:rPr>
          <w:rFonts w:ascii="Verdana" w:eastAsia="Verdana" w:hAnsi="Verdana" w:cs="Verdana"/>
          <w:b/>
        </w:rPr>
      </w:pPr>
    </w:p>
    <w:p w14:paraId="455ECF77" w14:textId="77777777" w:rsidR="00C07830" w:rsidRDefault="00C07830" w:rsidP="00C07830">
      <w:pPr>
        <w:spacing w:after="0"/>
        <w:rPr>
          <w:rFonts w:ascii="Verdana" w:eastAsia="Verdana" w:hAnsi="Verdana" w:cs="Verdana"/>
          <w:b/>
        </w:rPr>
      </w:pPr>
    </w:p>
    <w:p w14:paraId="6149F0C1" w14:textId="77777777" w:rsidR="00C07830" w:rsidRDefault="00C07830" w:rsidP="00C07830">
      <w:pPr>
        <w:spacing w:after="0"/>
        <w:rPr>
          <w:rFonts w:ascii="Verdana" w:eastAsia="Verdana" w:hAnsi="Verdana" w:cs="Verdana"/>
          <w:b/>
        </w:rPr>
      </w:pPr>
    </w:p>
    <w:p w14:paraId="6CA604DC" w14:textId="77777777" w:rsidR="00C07830" w:rsidRDefault="00C07830" w:rsidP="00C07830">
      <w:pPr>
        <w:spacing w:after="0"/>
        <w:rPr>
          <w:rFonts w:ascii="Verdana" w:eastAsia="Verdana" w:hAnsi="Verdana" w:cs="Verdana"/>
          <w:b/>
        </w:rPr>
      </w:pPr>
    </w:p>
    <w:p w14:paraId="38156994" w14:textId="77777777" w:rsidR="00C07830" w:rsidRDefault="00C07830" w:rsidP="00C07830">
      <w:pPr>
        <w:spacing w:after="0"/>
        <w:rPr>
          <w:rFonts w:ascii="Verdana" w:eastAsia="Verdana" w:hAnsi="Verdana" w:cs="Verdana"/>
          <w:b/>
        </w:rPr>
      </w:pPr>
    </w:p>
    <w:p w14:paraId="28801DC5" w14:textId="77777777" w:rsidR="00C07830" w:rsidRDefault="00C07830" w:rsidP="00C07830">
      <w:pPr>
        <w:spacing w:after="0"/>
        <w:rPr>
          <w:rFonts w:ascii="Verdana" w:eastAsia="Verdana" w:hAnsi="Verdana" w:cs="Verdana"/>
          <w:b/>
        </w:rPr>
      </w:pPr>
    </w:p>
    <w:p w14:paraId="5602E196" w14:textId="77777777" w:rsidR="00C07830" w:rsidRDefault="00C07830" w:rsidP="00C07830">
      <w:pPr>
        <w:spacing w:after="0"/>
        <w:rPr>
          <w:rFonts w:ascii="Verdana" w:eastAsia="Verdana" w:hAnsi="Verdana" w:cs="Verdana"/>
          <w:b/>
        </w:rPr>
      </w:pPr>
    </w:p>
    <w:p w14:paraId="47951B39" w14:textId="77777777" w:rsidR="00C07830" w:rsidRPr="007E1AAE" w:rsidRDefault="00C07830" w:rsidP="00C07830">
      <w:pPr>
        <w:spacing w:after="0"/>
        <w:rPr>
          <w:rFonts w:ascii="Verdana" w:eastAsia="Verdana" w:hAnsi="Verdana" w:cs="Verdana"/>
          <w:b/>
        </w:rPr>
      </w:pPr>
    </w:p>
    <w:p w14:paraId="3E422A7B" w14:textId="38F21F4A" w:rsidR="00C07830" w:rsidRDefault="00C07830" w:rsidP="00C07830">
      <w:pPr>
        <w:spacing w:after="0"/>
        <w:rPr>
          <w:rFonts w:ascii="Verdana" w:hAnsi="Verdana"/>
        </w:rPr>
      </w:pPr>
      <w:r w:rsidRPr="30821638">
        <w:rPr>
          <w:rFonts w:ascii="Verdana" w:eastAsia="Verdana" w:hAnsi="Verdana" w:cs="Verdana"/>
        </w:rPr>
        <w:lastRenderedPageBreak/>
        <w:t xml:space="preserve">Bogotá D.C., </w:t>
      </w:r>
      <w:r w:rsidR="003C039E">
        <w:rPr>
          <w:rFonts w:ascii="Verdana" w:eastAsia="Verdana" w:hAnsi="Verdana" w:cs="Verdana"/>
        </w:rPr>
        <w:t>14 septiembre 2026</w:t>
      </w:r>
      <w:r>
        <w:br/>
      </w:r>
    </w:p>
    <w:p w14:paraId="0B64832F" w14:textId="77777777" w:rsidR="00C07830" w:rsidRPr="002B4BE9" w:rsidRDefault="00C07830" w:rsidP="00C07830">
      <w:pPr>
        <w:spacing w:after="0" w:line="240" w:lineRule="auto"/>
        <w:rPr>
          <w:rFonts w:ascii="Verdana" w:hAnsi="Verdana"/>
        </w:rPr>
      </w:pPr>
    </w:p>
    <w:p w14:paraId="2A095507" w14:textId="4A73B3BF" w:rsidR="00C07830" w:rsidRPr="002B4BE9" w:rsidRDefault="003C039E" w:rsidP="00C07830">
      <w:pPr>
        <w:spacing w:after="0" w:line="240" w:lineRule="auto"/>
        <w:rPr>
          <w:rFonts w:ascii="Verdana" w:eastAsia="Calibri" w:hAnsi="Verdana" w:cs="Times New Roman"/>
          <w:lang w:val="es-MX"/>
        </w:rPr>
      </w:pPr>
      <w:r w:rsidRPr="003C039E">
        <w:rPr>
          <w:rFonts w:ascii="Verdana" w:eastAsia="Calibri" w:hAnsi="Verdana" w:cs="Times New Roman"/>
          <w:b/>
          <w:noProof/>
        </w:rPr>
        <w:drawing>
          <wp:anchor distT="0" distB="0" distL="114300" distR="114300" simplePos="0" relativeHeight="251658240" behindDoc="1" locked="0" layoutInCell="1" allowOverlap="1" wp14:anchorId="7DFAEF42" wp14:editId="53C379EE">
            <wp:simplePos x="0" y="0"/>
            <wp:positionH relativeFrom="margin">
              <wp:align>right</wp:align>
            </wp:positionH>
            <wp:positionV relativeFrom="paragraph">
              <wp:posOffset>115883</wp:posOffset>
            </wp:positionV>
            <wp:extent cx="2312670" cy="640715"/>
            <wp:effectExtent l="0" t="0" r="0" b="6985"/>
            <wp:wrapTight wrapText="bothSides">
              <wp:wrapPolygon edited="0">
                <wp:start x="0" y="0"/>
                <wp:lineTo x="0" y="21193"/>
                <wp:lineTo x="21351" y="21193"/>
                <wp:lineTo x="21351" y="0"/>
                <wp:lineTo x="0" y="0"/>
              </wp:wrapPolygon>
            </wp:wrapTight>
            <wp:docPr id="997964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12670" cy="640715"/>
                    </a:xfrm>
                    <a:prstGeom prst="rect">
                      <a:avLst/>
                    </a:prstGeom>
                    <a:noFill/>
                    <a:ln>
                      <a:noFill/>
                    </a:ln>
                  </pic:spPr>
                </pic:pic>
              </a:graphicData>
            </a:graphic>
          </wp:anchor>
        </w:drawing>
      </w:r>
      <w:r w:rsidR="00C07830" w:rsidRPr="002B4BE9">
        <w:rPr>
          <w:rFonts w:ascii="Verdana" w:eastAsia="Calibri" w:hAnsi="Verdana" w:cs="Times New Roman"/>
          <w:lang w:val="es-MX"/>
        </w:rPr>
        <w:t>Señor</w:t>
      </w:r>
      <w:r w:rsidR="00C07830">
        <w:rPr>
          <w:rFonts w:ascii="Verdana" w:eastAsia="Calibri" w:hAnsi="Verdana" w:cs="Times New Roman"/>
          <w:lang w:val="es-MX"/>
        </w:rPr>
        <w:t>a</w:t>
      </w:r>
    </w:p>
    <w:p w14:paraId="430FB4CD" w14:textId="538C5A5E" w:rsidR="00C07830" w:rsidRPr="002B4BE9" w:rsidRDefault="00C07830" w:rsidP="00C07830">
      <w:pPr>
        <w:spacing w:after="0" w:line="240" w:lineRule="auto"/>
        <w:rPr>
          <w:rFonts w:ascii="Verdana" w:eastAsia="Calibri" w:hAnsi="Verdana" w:cs="Times New Roman"/>
          <w:b/>
        </w:rPr>
      </w:pPr>
      <w:r>
        <w:rPr>
          <w:rFonts w:ascii="Verdana" w:eastAsia="Calibri" w:hAnsi="Verdana" w:cs="Times New Roman"/>
          <w:b/>
        </w:rPr>
        <w:t>Rubiela Edith Romero Pardo</w:t>
      </w:r>
    </w:p>
    <w:p w14:paraId="4C97EC59" w14:textId="77777777" w:rsidR="00C07830" w:rsidRDefault="00C07830" w:rsidP="00C07830">
      <w:pPr>
        <w:spacing w:after="0" w:line="240" w:lineRule="auto"/>
        <w:rPr>
          <w:rFonts w:ascii="Verdana" w:hAnsi="Verdana"/>
        </w:rPr>
      </w:pPr>
      <w:hyperlink r:id="rId8" w:history="1">
        <w:r w:rsidRPr="0070548D">
          <w:rPr>
            <w:rStyle w:val="Hipervnculo"/>
            <w:rFonts w:ascii="Verdana" w:hAnsi="Verdana"/>
          </w:rPr>
          <w:t>gerencia@loteriadecundinamarca.com.co</w:t>
        </w:r>
      </w:hyperlink>
    </w:p>
    <w:p w14:paraId="7B52DDEE" w14:textId="77777777" w:rsidR="00C07830" w:rsidRPr="002B4BE9" w:rsidRDefault="00C07830" w:rsidP="00C07830">
      <w:pPr>
        <w:spacing w:after="0" w:line="240" w:lineRule="auto"/>
        <w:rPr>
          <w:rFonts w:ascii="Verdana" w:eastAsia="Calibri" w:hAnsi="Verdana" w:cs="Times New Roman"/>
          <w:bCs/>
        </w:rPr>
      </w:pPr>
      <w:r>
        <w:rPr>
          <w:rFonts w:ascii="Verdana" w:eastAsia="Calibri" w:hAnsi="Verdana" w:cs="Times New Roman"/>
          <w:bCs/>
        </w:rPr>
        <w:t>Bogotá D.C.</w:t>
      </w:r>
      <w:r w:rsidRPr="003B0DFC">
        <w:rPr>
          <w:rFonts w:ascii="Verdana" w:eastAsia="Calibri" w:hAnsi="Verdana" w:cs="Times New Roman"/>
          <w:bCs/>
        </w:rPr>
        <w:t xml:space="preserve"> </w:t>
      </w:r>
    </w:p>
    <w:p w14:paraId="3518FE3B" w14:textId="77777777" w:rsidR="00C07830" w:rsidRPr="002B4BE9" w:rsidRDefault="00C07830" w:rsidP="00C07830">
      <w:pPr>
        <w:spacing w:after="0" w:line="240" w:lineRule="auto"/>
        <w:rPr>
          <w:rFonts w:ascii="Verdana" w:eastAsia="Calibri" w:hAnsi="Verdana" w:cs="Times New Roman"/>
        </w:rPr>
      </w:pPr>
    </w:p>
    <w:p w14:paraId="1ADDE033" w14:textId="77777777" w:rsidR="00C07830" w:rsidRPr="002B4BE9" w:rsidRDefault="00C07830" w:rsidP="00C07830">
      <w:pPr>
        <w:spacing w:after="0" w:line="240" w:lineRule="auto"/>
        <w:rPr>
          <w:rFonts w:ascii="Verdana" w:eastAsia="Calibri" w:hAnsi="Verdana" w:cs="Times New Roman"/>
        </w:rPr>
      </w:pPr>
    </w:p>
    <w:p w14:paraId="4CEEB1EF" w14:textId="77777777" w:rsidR="00C07830" w:rsidRPr="002B4BE9" w:rsidRDefault="00C07830" w:rsidP="00C07830">
      <w:pPr>
        <w:spacing w:after="0" w:line="240" w:lineRule="auto"/>
        <w:rPr>
          <w:rFonts w:ascii="Verdana" w:eastAsia="Calibri" w:hAnsi="Verdana" w:cs="Times New Roman"/>
          <w:b/>
          <w:bCs/>
          <w:lang w:val="es-ES"/>
        </w:rPr>
      </w:pPr>
      <w:r w:rsidRPr="002B4BE9">
        <w:rPr>
          <w:rFonts w:ascii="Verdana" w:eastAsia="Calibri" w:hAnsi="Verdana" w:cs="Times New Roman"/>
          <w:b/>
          <w:bCs/>
          <w:lang w:val="es-ES"/>
        </w:rPr>
        <w:t xml:space="preserve">                    </w:t>
      </w:r>
      <w:r>
        <w:rPr>
          <w:rFonts w:ascii="Verdana" w:eastAsia="Calibri" w:hAnsi="Verdana" w:cs="Times New Roman"/>
          <w:b/>
          <w:bCs/>
          <w:lang w:val="es-ES"/>
        </w:rPr>
        <w:t xml:space="preserve">                Concepto C-1278 de 2026</w:t>
      </w:r>
    </w:p>
    <w:p w14:paraId="7C2CFA82" w14:textId="77777777" w:rsidR="00C07830" w:rsidRPr="002B4BE9" w:rsidRDefault="00C07830" w:rsidP="00C07830">
      <w:pPr>
        <w:spacing w:after="0" w:line="240" w:lineRule="auto"/>
        <w:rPr>
          <w:rFonts w:ascii="Verdana" w:eastAsia="Calibri" w:hAnsi="Verdana" w:cs="Times New Roman"/>
          <w:lang w:val="es-ES_tradnl"/>
        </w:rPr>
      </w:pPr>
    </w:p>
    <w:tbl>
      <w:tblPr>
        <w:tblStyle w:val="Tablaconcuadrcula11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C07830" w:rsidRPr="002B4BE9" w14:paraId="4ECFDE82" w14:textId="77777777" w:rsidTr="00C90BBB">
        <w:trPr>
          <w:trHeight w:val="645"/>
        </w:trPr>
        <w:tc>
          <w:tcPr>
            <w:tcW w:w="2685" w:type="dxa"/>
            <w:hideMark/>
          </w:tcPr>
          <w:p w14:paraId="64934183" w14:textId="77777777" w:rsidR="00C07830" w:rsidRPr="002B4BE9" w:rsidRDefault="00C07830" w:rsidP="00C90BBB">
            <w:pPr>
              <w:rPr>
                <w:rFonts w:ascii="Verdana" w:hAnsi="Verdana"/>
                <w:b/>
                <w:bCs/>
                <w:lang w:val="es-ES_tradnl"/>
              </w:rPr>
            </w:pPr>
            <w:r w:rsidRPr="002B4BE9">
              <w:rPr>
                <w:rFonts w:ascii="Verdana" w:hAnsi="Verdana"/>
                <w:b/>
                <w:bCs/>
                <w:lang w:val="es-ES_tradnl"/>
              </w:rPr>
              <w:t xml:space="preserve">Temas:                  </w:t>
            </w:r>
          </w:p>
        </w:tc>
        <w:tc>
          <w:tcPr>
            <w:tcW w:w="6241" w:type="dxa"/>
            <w:hideMark/>
          </w:tcPr>
          <w:p w14:paraId="00453B33" w14:textId="77777777" w:rsidR="00C07830" w:rsidRPr="002B4BE9" w:rsidRDefault="00C07830" w:rsidP="00C90BBB">
            <w:pPr>
              <w:snapToGrid w:val="0"/>
              <w:spacing w:line="276" w:lineRule="auto"/>
              <w:jc w:val="both"/>
              <w:rPr>
                <w:rFonts w:ascii="Verdana" w:hAnsi="Verdana" w:cs="Arial"/>
                <w:bCs/>
                <w:lang w:val="es-ES" w:eastAsia="es-ES"/>
              </w:rPr>
            </w:pPr>
            <w:r w:rsidRPr="002B4BE9">
              <w:rPr>
                <w:rFonts w:ascii="Verdana" w:hAnsi="Verdana" w:cs="Arial"/>
                <w:bCs/>
                <w:lang w:val="es-ES" w:eastAsia="es-ES"/>
              </w:rPr>
              <w:t>CONTRATO ESTATAL – Ejercicio – Funciones de control y vigilancia / CONTRATO ESTATAL – Supervisión – Interventoría – características / SUPERVISIÓN – Designación – Servidor Público – Lineamientos /</w:t>
            </w:r>
            <w:r>
              <w:rPr>
                <w:rFonts w:ascii="Verdana" w:hAnsi="Verdana" w:cs="Arial"/>
                <w:bCs/>
                <w:lang w:val="es-ES" w:eastAsia="es-ES"/>
              </w:rPr>
              <w:t xml:space="preserve"> SUPERVISIÓN – Supervisión Conjunta – Criterios – Distribución de Cargas </w:t>
            </w:r>
          </w:p>
        </w:tc>
        <w:tc>
          <w:tcPr>
            <w:tcW w:w="6237" w:type="dxa"/>
          </w:tcPr>
          <w:p w14:paraId="7AFCC99F" w14:textId="77777777" w:rsidR="00C07830" w:rsidRPr="002B4BE9" w:rsidRDefault="00C07830" w:rsidP="00C90BBB">
            <w:pPr>
              <w:rPr>
                <w:rFonts w:ascii="Verdana" w:hAnsi="Verdana"/>
                <w:lang w:val="es-ES"/>
              </w:rPr>
            </w:pPr>
          </w:p>
        </w:tc>
      </w:tr>
      <w:tr w:rsidR="00C07830" w:rsidRPr="002B4BE9" w14:paraId="565D6B09" w14:textId="77777777" w:rsidTr="00C90BBB">
        <w:tc>
          <w:tcPr>
            <w:tcW w:w="2685" w:type="dxa"/>
          </w:tcPr>
          <w:p w14:paraId="1798124C" w14:textId="77777777" w:rsidR="00C07830" w:rsidRPr="002B4BE9" w:rsidRDefault="00C07830" w:rsidP="00C90BBB">
            <w:pPr>
              <w:rPr>
                <w:rFonts w:ascii="Verdana" w:hAnsi="Verdana"/>
                <w:b/>
                <w:bCs/>
                <w:lang w:val="es-ES_tradnl"/>
              </w:rPr>
            </w:pPr>
          </w:p>
          <w:p w14:paraId="4002A4C2" w14:textId="77777777" w:rsidR="00C07830" w:rsidRPr="00995618" w:rsidRDefault="00C07830" w:rsidP="00C90BBB">
            <w:pPr>
              <w:rPr>
                <w:rFonts w:ascii="Verdana" w:hAnsi="Verdana"/>
                <w:b/>
                <w:bCs/>
                <w:lang w:val="es-ES_tradnl"/>
              </w:rPr>
            </w:pPr>
            <w:r w:rsidRPr="002B4BE9">
              <w:rPr>
                <w:rFonts w:ascii="Verdana" w:hAnsi="Verdana"/>
                <w:b/>
                <w:bCs/>
                <w:lang w:val="es-ES_tradnl"/>
              </w:rPr>
              <w:t xml:space="preserve">Radicación:               </w:t>
            </w:r>
          </w:p>
        </w:tc>
        <w:tc>
          <w:tcPr>
            <w:tcW w:w="6241" w:type="dxa"/>
          </w:tcPr>
          <w:p w14:paraId="40777454" w14:textId="77777777" w:rsidR="00C07830" w:rsidRPr="002B4BE9" w:rsidRDefault="00C07830" w:rsidP="00C90BBB">
            <w:pPr>
              <w:spacing w:line="276" w:lineRule="auto"/>
              <w:jc w:val="both"/>
              <w:rPr>
                <w:rFonts w:ascii="Verdana" w:hAnsi="Verdana"/>
                <w:lang w:val="es-ES_tradnl"/>
              </w:rPr>
            </w:pPr>
          </w:p>
          <w:p w14:paraId="41B689CA" w14:textId="77777777" w:rsidR="00C07830" w:rsidRPr="002B4BE9" w:rsidRDefault="00C07830" w:rsidP="00C90BBB">
            <w:pPr>
              <w:spacing w:line="276" w:lineRule="auto"/>
              <w:jc w:val="both"/>
              <w:rPr>
                <w:rFonts w:ascii="Verdana" w:hAnsi="Verdana"/>
                <w:lang w:val="es-ES_tradnl"/>
              </w:rPr>
            </w:pPr>
            <w:r w:rsidRPr="002B4BE9">
              <w:rPr>
                <w:rFonts w:ascii="Verdana" w:hAnsi="Verdana"/>
                <w:lang w:val="es-ES_tradnl"/>
              </w:rPr>
              <w:t>Res</w:t>
            </w:r>
            <w:r>
              <w:rPr>
                <w:rFonts w:ascii="Verdana" w:hAnsi="Verdana"/>
                <w:lang w:val="es-ES_tradnl"/>
              </w:rPr>
              <w:t xml:space="preserve">puesta a consulta con radicado </w:t>
            </w:r>
            <w:r w:rsidRPr="006B6860">
              <w:rPr>
                <w:rFonts w:ascii="Verdana" w:hAnsi="Verdana"/>
              </w:rPr>
              <w:t>1_2026_08_13_010715</w:t>
            </w:r>
          </w:p>
          <w:p w14:paraId="12D0EAF8" w14:textId="77777777" w:rsidR="00C07830" w:rsidRPr="002B4BE9" w:rsidRDefault="00C07830" w:rsidP="00C90BBB">
            <w:pPr>
              <w:spacing w:line="276" w:lineRule="auto"/>
              <w:jc w:val="both"/>
              <w:rPr>
                <w:rFonts w:ascii="Verdana" w:hAnsi="Verdana"/>
              </w:rPr>
            </w:pPr>
          </w:p>
          <w:p w14:paraId="73D2E4BD" w14:textId="77777777" w:rsidR="00C07830" w:rsidRPr="002B4BE9" w:rsidRDefault="00C07830" w:rsidP="00C90BBB">
            <w:pPr>
              <w:spacing w:line="276" w:lineRule="auto"/>
              <w:jc w:val="both"/>
              <w:rPr>
                <w:rFonts w:ascii="Verdana" w:hAnsi="Verdana"/>
              </w:rPr>
            </w:pPr>
          </w:p>
        </w:tc>
        <w:tc>
          <w:tcPr>
            <w:tcW w:w="6237" w:type="dxa"/>
          </w:tcPr>
          <w:p w14:paraId="7C9E0CC9" w14:textId="77777777" w:rsidR="00C07830" w:rsidRPr="002B4BE9" w:rsidRDefault="00C07830" w:rsidP="00C90BBB">
            <w:pPr>
              <w:rPr>
                <w:rFonts w:ascii="Verdana" w:hAnsi="Verdana"/>
              </w:rPr>
            </w:pPr>
          </w:p>
        </w:tc>
      </w:tr>
    </w:tbl>
    <w:p w14:paraId="58E02763" w14:textId="77777777" w:rsidR="00C07830" w:rsidRPr="009037F6" w:rsidRDefault="00C07830" w:rsidP="00C07830">
      <w:pPr>
        <w:spacing w:after="0" w:line="256" w:lineRule="auto"/>
        <w:rPr>
          <w:rFonts w:ascii="Verdana" w:eastAsia="Calibri" w:hAnsi="Verdana" w:cs="Times New Roman"/>
          <w:lang w:val="es-ES"/>
        </w:rPr>
      </w:pPr>
      <w:r>
        <w:rPr>
          <w:rFonts w:ascii="Verdana" w:eastAsia="Calibri" w:hAnsi="Verdana" w:cs="Times New Roman"/>
          <w:lang w:val="es-ES"/>
        </w:rPr>
        <w:t>Estimada Señora Romero</w:t>
      </w:r>
      <w:r w:rsidRPr="009037F6">
        <w:rPr>
          <w:rFonts w:ascii="Verdana" w:eastAsia="Calibri" w:hAnsi="Verdana" w:cs="Times New Roman"/>
          <w:lang w:val="es-ES"/>
        </w:rPr>
        <w:t xml:space="preserve">: </w:t>
      </w:r>
    </w:p>
    <w:p w14:paraId="2A53E91E" w14:textId="77777777" w:rsidR="00C07830" w:rsidRPr="009037F6" w:rsidRDefault="00C07830" w:rsidP="00C07830">
      <w:pPr>
        <w:spacing w:after="0" w:line="276" w:lineRule="auto"/>
        <w:rPr>
          <w:rFonts w:ascii="Verdana" w:eastAsia="Calibri" w:hAnsi="Verdana" w:cs="Times New Roman"/>
          <w:lang w:val="es-ES"/>
        </w:rPr>
      </w:pPr>
    </w:p>
    <w:p w14:paraId="7022E9CE" w14:textId="77777777" w:rsidR="00C07830" w:rsidRDefault="00C07830" w:rsidP="00C07830">
      <w:pPr>
        <w:spacing w:after="120" w:line="276" w:lineRule="auto"/>
        <w:jc w:val="both"/>
        <w:rPr>
          <w:rFonts w:ascii="Verdana" w:eastAsia="Calibri" w:hAnsi="Verdana" w:cs="Times New Roman"/>
          <w:bCs/>
          <w:lang w:val="es-ES" w:bidi="es-ES"/>
        </w:rPr>
      </w:pPr>
      <w:r w:rsidRPr="00F90E2D">
        <w:rPr>
          <w:rFonts w:ascii="Verdana" w:eastAsia="Calibri" w:hAnsi="Verdana" w:cs="Times New Roman"/>
          <w:bCs/>
          <w:lang w:bidi="es-ES"/>
        </w:rPr>
        <w:t xml:space="preserve">La Agencia Nacional de Contratación Pública – Colombia Compra Eficiente –, en ejercicio de las competencias otorgadas por los Decretos 4170 de 2011 y 1822 de 2019 y de conformidad con las modalidades del derecho de petición contempladas en la Ley 1755 de 2015, así como lo establecido en la Resolución N° 469 del 2025 expedida por esta Agencia, </w:t>
      </w:r>
      <w:r w:rsidRPr="00F90E2D">
        <w:rPr>
          <w:rFonts w:ascii="Verdana" w:eastAsia="Calibri" w:hAnsi="Verdana" w:cs="Times New Roman"/>
          <w:bCs/>
          <w:lang w:val="es-ES" w:bidi="es-ES"/>
        </w:rPr>
        <w:t xml:space="preserve">responde la solicitud de consulta del </w:t>
      </w:r>
      <w:r>
        <w:rPr>
          <w:rFonts w:ascii="Verdana" w:eastAsia="Calibri" w:hAnsi="Verdana" w:cs="Times New Roman"/>
          <w:bCs/>
          <w:lang w:val="es-ES" w:bidi="es-ES"/>
        </w:rPr>
        <w:t xml:space="preserve">4 de agosto </w:t>
      </w:r>
      <w:r w:rsidRPr="00F90E2D">
        <w:rPr>
          <w:rFonts w:ascii="Verdana" w:eastAsia="Calibri" w:hAnsi="Verdana" w:cs="Times New Roman"/>
          <w:bCs/>
          <w:lang w:val="es-ES" w:bidi="es-ES"/>
        </w:rPr>
        <w:t xml:space="preserve">de 2026, en la cual manifiesta: </w:t>
      </w:r>
    </w:p>
    <w:p w14:paraId="06706FBD"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sidRPr="00AE6113">
        <w:rPr>
          <w:rFonts w:ascii="Verdana" w:eastAsia="Calibri" w:hAnsi="Verdana" w:cs="Times New Roman"/>
          <w:i/>
          <w:sz w:val="20"/>
          <w:szCs w:val="20"/>
          <w:lang w:bidi="es-ES"/>
        </w:rPr>
        <w:t xml:space="preserve">“¿Puede el </w:t>
      </w:r>
      <w:r>
        <w:rPr>
          <w:rFonts w:ascii="Verdana" w:eastAsia="Calibri" w:hAnsi="Verdana" w:cs="Times New Roman"/>
          <w:i/>
          <w:sz w:val="20"/>
          <w:szCs w:val="20"/>
          <w:lang w:bidi="es-ES"/>
        </w:rPr>
        <w:t>ordenador del gasto autorizar el pago de una obligación contractual cuando existe evidencia suficiente de la prestación satisfactoria del servicio, aún sin contar con el informe o visto bueno del supervisor?</w:t>
      </w:r>
    </w:p>
    <w:p w14:paraId="227B485B"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Pr>
          <w:rFonts w:ascii="Verdana" w:eastAsia="Calibri" w:hAnsi="Verdana" w:cs="Times New Roman"/>
          <w:i/>
          <w:sz w:val="20"/>
          <w:szCs w:val="20"/>
          <w:lang w:bidi="es-ES"/>
        </w:rPr>
        <w:t>¿Qué actuaciones debe adelantar la entidad frente a la conducta de un supervisor que, de manera injustificada, dilata la aprobación de pagos o se niega a ejercer las funciones de supervisión que le han sido asignadas?</w:t>
      </w:r>
    </w:p>
    <w:p w14:paraId="6E93825A" w14:textId="77777777" w:rsidR="00C07830" w:rsidRDefault="00C07830" w:rsidP="00C07830">
      <w:pPr>
        <w:spacing w:after="120" w:line="276" w:lineRule="auto"/>
        <w:ind w:left="709" w:right="616"/>
        <w:jc w:val="both"/>
        <w:rPr>
          <w:rFonts w:ascii="Verdana" w:eastAsia="Calibri" w:hAnsi="Verdana" w:cs="Times New Roman"/>
          <w:i/>
          <w:sz w:val="20"/>
          <w:szCs w:val="20"/>
          <w:lang w:bidi="es-ES"/>
        </w:rPr>
      </w:pPr>
      <w:r>
        <w:rPr>
          <w:rFonts w:ascii="Verdana" w:eastAsia="Calibri" w:hAnsi="Verdana" w:cs="Times New Roman"/>
          <w:i/>
          <w:sz w:val="20"/>
          <w:szCs w:val="20"/>
          <w:lang w:bidi="es-ES"/>
        </w:rPr>
        <w:lastRenderedPageBreak/>
        <w:t>¿Podría el ordenador del gasto incurrir el alguna irregularidad administrativa, disciplinaria, fiscal o de otra naturaleza al aprobar el pago en ausencia del informe del supervisor, siempre que existan soportes que acrediten la ejecución del objeto contractual y el cumplimiento de las obligaciones por parte del contratista?</w:t>
      </w:r>
    </w:p>
    <w:p w14:paraId="2BFCB8D9" w14:textId="77777777" w:rsidR="00C07830" w:rsidRPr="009037F6" w:rsidRDefault="00C07830" w:rsidP="00C07830">
      <w:pPr>
        <w:spacing w:after="120" w:line="276" w:lineRule="auto"/>
        <w:ind w:firstLine="709"/>
        <w:jc w:val="both"/>
        <w:rPr>
          <w:rFonts w:ascii="Verdana" w:eastAsia="Calibri" w:hAnsi="Verdana" w:cs="Times New Roman"/>
          <w:lang w:val="es-ES"/>
        </w:rPr>
      </w:pPr>
      <w:r w:rsidRPr="009037F6">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194C23F1" w14:textId="77777777" w:rsidR="00C07830" w:rsidRPr="009037F6" w:rsidRDefault="00C07830" w:rsidP="00C07830">
      <w:pPr>
        <w:spacing w:after="0" w:line="276" w:lineRule="auto"/>
        <w:ind w:firstLine="708"/>
        <w:jc w:val="both"/>
        <w:rPr>
          <w:rFonts w:ascii="Verdana" w:eastAsia="Calibri" w:hAnsi="Verdana" w:cs="Times New Roman"/>
          <w:lang w:val="es-ES"/>
        </w:rPr>
      </w:pPr>
      <w:r w:rsidRPr="009037F6">
        <w:rPr>
          <w:rFonts w:ascii="Verdana" w:eastAsia="Calibri" w:hAnsi="Verdana" w:cs="Times New Roman"/>
          <w:lang w:val="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Times New Roman"/>
          <w:lang w:val="es-ES"/>
        </w:rPr>
        <w:t xml:space="preserve">el problema jurídico de su consulta. </w:t>
      </w:r>
    </w:p>
    <w:p w14:paraId="190B967E" w14:textId="77777777" w:rsidR="00C07830" w:rsidRPr="009037F6" w:rsidRDefault="00C07830" w:rsidP="00C07830">
      <w:pPr>
        <w:spacing w:after="0" w:line="276" w:lineRule="auto"/>
        <w:rPr>
          <w:rFonts w:ascii="Verdana" w:eastAsia="Calibri" w:hAnsi="Verdana" w:cs="Times New Roman"/>
          <w:lang w:val="es-ES"/>
        </w:rPr>
      </w:pPr>
    </w:p>
    <w:p w14:paraId="6C990D41" w14:textId="77777777" w:rsidR="00C07830" w:rsidRPr="009037F6" w:rsidRDefault="00C07830" w:rsidP="00C07830">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Problema planteado:</w:t>
      </w:r>
    </w:p>
    <w:p w14:paraId="469E5A45" w14:textId="77777777" w:rsidR="00C07830" w:rsidRPr="009037F6" w:rsidRDefault="00C07830" w:rsidP="00C07830">
      <w:pPr>
        <w:spacing w:after="0" w:line="276" w:lineRule="auto"/>
        <w:rPr>
          <w:rFonts w:ascii="Verdana" w:eastAsia="Calibri" w:hAnsi="Verdana" w:cs="Times New Roman"/>
        </w:rPr>
      </w:pPr>
    </w:p>
    <w:p w14:paraId="43F9D305" w14:textId="77777777" w:rsidR="00C07830" w:rsidRDefault="00C07830" w:rsidP="00C07830">
      <w:pPr>
        <w:spacing w:after="0" w:line="276" w:lineRule="auto"/>
        <w:jc w:val="both"/>
        <w:rPr>
          <w:rFonts w:ascii="Verdana" w:eastAsia="Calibri" w:hAnsi="Verdana" w:cs="Times New Roman"/>
        </w:rPr>
      </w:pPr>
      <w:r w:rsidRPr="009037F6">
        <w:rPr>
          <w:rFonts w:ascii="Verdana" w:eastAsia="Calibri" w:hAnsi="Verdana" w:cs="Times New Roman"/>
        </w:rPr>
        <w:t>De acuerdo con</w:t>
      </w:r>
      <w:r>
        <w:rPr>
          <w:rFonts w:ascii="Verdana" w:eastAsia="Calibri" w:hAnsi="Verdana" w:cs="Times New Roman"/>
        </w:rPr>
        <w:t xml:space="preserve"> el contenido de sus solicitudes, la Agencia procede a resolver los siguientes problemas jurídicos: </w:t>
      </w:r>
    </w:p>
    <w:p w14:paraId="62214B5E" w14:textId="77777777" w:rsidR="00C07830" w:rsidRPr="00D1210B" w:rsidRDefault="00C07830" w:rsidP="00C07830">
      <w:pPr>
        <w:spacing w:after="0" w:line="276" w:lineRule="auto"/>
        <w:jc w:val="both"/>
        <w:rPr>
          <w:rFonts w:ascii="Verdana" w:eastAsia="Calibri" w:hAnsi="Verdana" w:cs="Times New Roman"/>
        </w:rPr>
      </w:pPr>
      <w:r>
        <w:rPr>
          <w:rFonts w:ascii="Verdana" w:eastAsia="Calibri" w:hAnsi="Verdana" w:cs="Times New Roman"/>
        </w:rPr>
        <w:t xml:space="preserve">¿Cuál es el alcance de las funciones del supervisor en la verificación del cumplimiento contractual y en el trámite de las cuentas de cobro, y qué consecuencias jurídicas puede generar el incumplimiento injustificado de los plazos previstos en el contrato o en los manuales internos para su revisión?; y ii) ¿Puede el ordenador del gasto autorizar el pago cuando no se cuenta con el informe, certificación o visto bueno del supervisor, pese a existir otros soportes </w:t>
      </w:r>
      <w:r>
        <w:rPr>
          <w:rFonts w:ascii="Verdana" w:eastAsia="Calibri" w:hAnsi="Verdana" w:cs="Times New Roman"/>
        </w:rPr>
        <w:lastRenderedPageBreak/>
        <w:t>que acrediten la ejecución contractual, y qué criterios deben observarse para ello?</w:t>
      </w:r>
    </w:p>
    <w:p w14:paraId="32554C36" w14:textId="77777777" w:rsidR="00C07830" w:rsidRPr="009037F6" w:rsidRDefault="00C07830" w:rsidP="00C07830">
      <w:pPr>
        <w:spacing w:after="0" w:line="276" w:lineRule="auto"/>
        <w:jc w:val="both"/>
        <w:rPr>
          <w:rFonts w:ascii="Verdana" w:eastAsia="Calibri" w:hAnsi="Verdana" w:cs="Times New Roman"/>
          <w:i/>
          <w:iCs/>
          <w:lang w:val="es-ES"/>
        </w:rPr>
      </w:pPr>
    </w:p>
    <w:p w14:paraId="0D597F26" w14:textId="77777777" w:rsidR="00C07830" w:rsidRPr="009037F6" w:rsidRDefault="00C07830" w:rsidP="00C07830">
      <w:pPr>
        <w:numPr>
          <w:ilvl w:val="0"/>
          <w:numId w:val="2"/>
        </w:numPr>
        <w:spacing w:after="0" w:line="276" w:lineRule="auto"/>
        <w:rPr>
          <w:rFonts w:ascii="Verdana" w:eastAsia="Calibri" w:hAnsi="Verdana" w:cs="Times New Roman"/>
          <w:b/>
          <w:bCs/>
          <w:lang w:val="es-ES"/>
        </w:rPr>
      </w:pPr>
      <w:r w:rsidRPr="009037F6">
        <w:rPr>
          <w:rFonts w:ascii="Verdana" w:eastAsia="Calibri" w:hAnsi="Verdana" w:cs="Times New Roman"/>
          <w:b/>
          <w:bCs/>
          <w:lang w:val="es-ES"/>
        </w:rPr>
        <w:t>Respuesta:</w:t>
      </w:r>
    </w:p>
    <w:p w14:paraId="3D6F8BE1" w14:textId="77777777" w:rsidR="00C07830" w:rsidRPr="009037F6" w:rsidRDefault="00C07830" w:rsidP="00C07830">
      <w:pPr>
        <w:spacing w:after="0" w:line="276" w:lineRule="auto"/>
        <w:rPr>
          <w:rFonts w:ascii="Verdana" w:eastAsia="Calibri" w:hAnsi="Verdana" w:cs="Times New Roman"/>
          <w:b/>
          <w:bCs/>
          <w:lang w:val="es-ES"/>
        </w:rPr>
      </w:pPr>
    </w:p>
    <w:tbl>
      <w:tblPr>
        <w:tblStyle w:val="Tablaconcuadrcula11"/>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C07830" w:rsidRPr="009037F6" w14:paraId="0F0A2EE6" w14:textId="77777777" w:rsidTr="00C90BBB">
        <w:trPr>
          <w:trHeight w:val="345"/>
          <w:jc w:val="center"/>
        </w:trPr>
        <w:tc>
          <w:tcPr>
            <w:tcW w:w="8784" w:type="dxa"/>
            <w:tcBorders>
              <w:bottom w:val="single" w:sz="4" w:space="0" w:color="auto"/>
            </w:tcBorders>
          </w:tcPr>
          <w:p w14:paraId="7B55FD9E" w14:textId="77777777" w:rsidR="00C07830" w:rsidRPr="00E4182A" w:rsidRDefault="00C07830" w:rsidP="00C90BBB">
            <w:pPr>
              <w:widowControl w:val="0"/>
              <w:autoSpaceDE w:val="0"/>
              <w:autoSpaceDN w:val="0"/>
              <w:spacing w:after="120" w:line="276" w:lineRule="auto"/>
              <w:jc w:val="both"/>
              <w:rPr>
                <w:rFonts w:ascii="Verdana" w:eastAsia="Arial MT" w:hAnsi="Verdana" w:cs="Arial"/>
                <w:spacing w:val="1"/>
              </w:rPr>
            </w:pPr>
            <w:r>
              <w:rPr>
                <w:rFonts w:ascii="Verdana" w:eastAsia="Calibri" w:hAnsi="Verdana" w:cs="Arial"/>
                <w:color w:val="000000" w:themeColor="text1"/>
              </w:rPr>
              <w:t>Para resolver la consulta, debe precisarse que el ordenamiento jurídico que regula la contratación estatal no establece de manera expresa un funcionario específico ni un procedimiento único para adelantar y aprobar el trámite de pago. Conforme al artículo 83 de la Ley 1474 de 2011, al supervisor le corresponde realizar el seguimiento técnico, administrativo, financiero, contable y jurídico sobre el cumplimiento del objeto contractual y, en el marco del trámite de pago, verificar y certificar la adecuada prestación del servicio o la entrega de los bienes contratados, actuación que sirve de soporte para el reconocimiento del pago. Corresponde a cada Entidad Estatal, mediante el contrato, el manual de contratación, el manual de supervisión e interventoría u otros instrumentos internos aplicables, definir el funcionario o dependencia responsable del trámite de pago, así como los documentos, validaciones y procedimientos exigibles para su aprobación.</w:t>
            </w:r>
          </w:p>
          <w:p w14:paraId="2CEF9029" w14:textId="77777777" w:rsidR="00C07830" w:rsidRDefault="00C07830" w:rsidP="00C90BBB">
            <w:pPr>
              <w:widowControl w:val="0"/>
              <w:autoSpaceDE w:val="0"/>
              <w:autoSpaceDN w:val="0"/>
              <w:spacing w:after="120" w:line="276" w:lineRule="auto"/>
              <w:ind w:firstLine="708"/>
              <w:jc w:val="both"/>
              <w:rPr>
                <w:rFonts w:ascii="Verdana" w:eastAsia="Arial MT" w:hAnsi="Verdana" w:cs="Arial"/>
                <w:spacing w:val="1"/>
              </w:rPr>
            </w:pPr>
            <w:r>
              <w:rPr>
                <w:rFonts w:ascii="Verdana" w:eastAsia="Arial MT" w:hAnsi="Verdana" w:cs="Arial"/>
                <w:spacing w:val="1"/>
              </w:rPr>
              <w:t>En consecuencia, no resulta jurídicamente adecuado afirmar, de manera general y absoluta, que el supervisor sea en todos los casos el funcionario competente para aprobar el pago, ni que el ordenador del gasto pueda prescindir del informe, certificación o visto bueno del supervisor en cualquier circunstancia. La respuesta depende de las reglas establecidas en el contrato y en los instrumentos internos de la Entidad Estatal. Si dichos documentos prevén la certificación o aprobación del supervisor como requisito para el pago, la entidad deberá observar ese procedimiento mientras se encuentre vigente, sin perjuicio de las medidas administrativas que, conforme a su régimen interno, pueda adoptar para garantizar la continuidad y adecuada gestión de la ejecución contractual.</w:t>
            </w:r>
          </w:p>
          <w:p w14:paraId="7D7A2ED0" w14:textId="77777777" w:rsidR="00C07830" w:rsidRDefault="00C07830" w:rsidP="00C90BBB">
            <w:pPr>
              <w:widowControl w:val="0"/>
              <w:autoSpaceDE w:val="0"/>
              <w:autoSpaceDN w:val="0"/>
              <w:spacing w:after="120" w:line="276" w:lineRule="auto"/>
              <w:ind w:firstLine="708"/>
              <w:jc w:val="both"/>
              <w:rPr>
                <w:rFonts w:ascii="Verdana" w:hAnsi="Verdana"/>
              </w:rPr>
            </w:pPr>
            <w:r>
              <w:rPr>
                <w:rFonts w:ascii="Verdana" w:eastAsia="Arial MT" w:hAnsi="Verdana" w:cs="Arial"/>
                <w:spacing w:val="1"/>
              </w:rPr>
              <w:t xml:space="preserve">Ahora bien, cuando dentro de las funciones asignadas al supervisor se encuentre la revisión, certificación o aprobación de las cuentas de cobro y existan plazos contractuales o internos para realizarla, su incumplimiento injustificado puede constituir un desconocimiento de los deberes propios de la supervisión y eventualmente generar las responsabilidades a que haya lugar. No obstante, la Agencia Nacional de Contratación Pública – Colombia </w:t>
            </w:r>
            <w:r>
              <w:rPr>
                <w:rFonts w:ascii="Verdana" w:eastAsia="Arial MT" w:hAnsi="Verdana" w:cs="Arial"/>
                <w:spacing w:val="1"/>
              </w:rPr>
              <w:lastRenderedPageBreak/>
              <w:t>Compra Eficiente no es competente para determinar, en un caso concreto, la responsabilidad disciplinaria, fiscal, penal o de otra naturaleza de un servidor público, asunto que corresponde a las autoridades competentes con observancia del principio de legalidad.</w:t>
            </w:r>
          </w:p>
          <w:p w14:paraId="5362CB10" w14:textId="77777777" w:rsidR="00C07830" w:rsidRDefault="00C07830" w:rsidP="00C90BBB">
            <w:pPr>
              <w:widowControl w:val="0"/>
              <w:autoSpaceDE w:val="0"/>
              <w:autoSpaceDN w:val="0"/>
              <w:spacing w:after="120" w:line="276" w:lineRule="auto"/>
              <w:ind w:firstLine="708"/>
              <w:jc w:val="both"/>
            </w:pPr>
            <w:r>
              <w:rPr>
                <w:rFonts w:ascii="Verdana" w:hAnsi="Verdana"/>
              </w:rPr>
              <w:t>Por su parte, el ordenador del gasto tiene responsabilidades en la dirección, vigilancia y control de la ejecución del gasto y del contrato. Sin embargo, esta responsabilidad no supone, por sí sola, que pueda sustituir las verificaciones o certificaciones que el contrato o los manuales internos hayan atribuido al supervisor como soporte del trámite de pago. Ante la ausencia, renuencia o demora del supervisor, corresponde a la Entidad Estatal aplicar los mecanismos previstos en su normativa interna y en los documentos contractuales para asegurar que, antes del reconocimiento y pago, exista una verificación suficiente del cumplimiento de las obligaciones y se observen los controles administrativos, financieros, presupuestales y contractuales aplicables.</w:t>
            </w:r>
          </w:p>
          <w:p w14:paraId="1014F510" w14:textId="77777777" w:rsidR="00C07830" w:rsidRPr="00ED583F" w:rsidRDefault="00C07830" w:rsidP="00C90BBB">
            <w:pPr>
              <w:widowControl w:val="0"/>
              <w:autoSpaceDE w:val="0"/>
              <w:autoSpaceDN w:val="0"/>
              <w:spacing w:after="120" w:line="276" w:lineRule="auto"/>
              <w:ind w:firstLine="708"/>
              <w:jc w:val="both"/>
            </w:pPr>
            <w:r>
              <w:rPr>
                <w:rFonts w:ascii="Verdana" w:eastAsia="Calibri" w:hAnsi="Verdana" w:cs="Arial"/>
                <w:color w:val="000000" w:themeColor="text1"/>
                <w:lang w:val="es-ES"/>
              </w:rPr>
              <w:t xml:space="preserve">De acuerdo con la aclaración preliminar, corresponde a cada Entidad Estatal analizar las circunstancias del caso concreto y sus instrumentos contractuales e internos para determinar el procedimiento aplicable. Por ello, las consideraciones precedentes constituyen criterios generales de interpretación y no implican la validación de una actuación particular ni la determinación de responsabilidades </w:t>
            </w:r>
            <w:commentRangeStart w:id="1"/>
            <w:r>
              <w:rPr>
                <w:rFonts w:ascii="Verdana" w:eastAsia="Calibri" w:hAnsi="Verdana" w:cs="Arial"/>
                <w:color w:val="000000" w:themeColor="text1"/>
                <w:lang w:val="es-ES"/>
              </w:rPr>
              <w:t>individuales</w:t>
            </w:r>
            <w:commentRangeEnd w:id="1"/>
            <w:r w:rsidRPr="00ED583F">
              <w:rPr>
                <w:rStyle w:val="Refdecomentario"/>
                <w:sz w:val="22"/>
                <w:szCs w:val="22"/>
              </w:rPr>
              <w:commentReference w:id="1"/>
            </w:r>
          </w:p>
        </w:tc>
      </w:tr>
    </w:tbl>
    <w:p w14:paraId="14B5D6FE" w14:textId="77777777" w:rsidR="00C07830" w:rsidRPr="00B57A1B" w:rsidRDefault="00C07830" w:rsidP="00C07830">
      <w:pPr>
        <w:spacing w:after="0" w:line="276" w:lineRule="auto"/>
        <w:jc w:val="both"/>
        <w:rPr>
          <w:rFonts w:ascii="Verdana" w:eastAsia="Calibri" w:hAnsi="Verdana" w:cs="Arial"/>
          <w:bCs/>
          <w:color w:val="000000" w:themeColor="text1"/>
        </w:rPr>
      </w:pPr>
      <w:bookmarkStart w:id="2" w:name="_Hlk78820161"/>
      <w:bookmarkStart w:id="3" w:name="_Hlk37703813"/>
    </w:p>
    <w:p w14:paraId="1F0592E9" w14:textId="77777777" w:rsidR="00C07830" w:rsidRPr="00B57A1B" w:rsidRDefault="00C07830" w:rsidP="00C07830">
      <w:pPr>
        <w:numPr>
          <w:ilvl w:val="0"/>
          <w:numId w:val="2"/>
        </w:numPr>
        <w:tabs>
          <w:tab w:val="left" w:pos="2268"/>
        </w:tabs>
        <w:spacing w:after="0" w:line="27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33E1B6CF" w14:textId="77777777" w:rsidR="00C07830" w:rsidRPr="00B57A1B" w:rsidRDefault="00C07830" w:rsidP="00C07830">
      <w:pPr>
        <w:spacing w:after="0" w:line="276" w:lineRule="auto"/>
        <w:rPr>
          <w:rFonts w:ascii="Verdana" w:eastAsia="Calibri" w:hAnsi="Verdana" w:cs="Times New Roman"/>
          <w:b/>
          <w:bCs/>
          <w:lang w:val="es-ES"/>
        </w:rPr>
      </w:pPr>
    </w:p>
    <w:p w14:paraId="752EE595" w14:textId="77777777" w:rsidR="00C07830" w:rsidRDefault="00C07830" w:rsidP="00C07830">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232A82C9" w14:textId="77777777" w:rsidR="00C07830" w:rsidRPr="003C0ED7" w:rsidRDefault="00C07830" w:rsidP="00C07830">
      <w:pPr>
        <w:spacing w:after="0" w:line="276" w:lineRule="auto"/>
        <w:jc w:val="both"/>
        <w:rPr>
          <w:rFonts w:ascii="Verdana" w:eastAsia="Calibri" w:hAnsi="Verdana" w:cs="Arial"/>
          <w:lang w:val="es-ES"/>
        </w:rPr>
      </w:pPr>
    </w:p>
    <w:p w14:paraId="30E82406" w14:textId="77777777" w:rsidR="00C07830" w:rsidRPr="00E7254D" w:rsidRDefault="00C07830" w:rsidP="00C07830">
      <w:pPr>
        <w:spacing w:after="120" w:line="276" w:lineRule="auto"/>
        <w:jc w:val="both"/>
        <w:rPr>
          <w:rFonts w:ascii="Verdana" w:eastAsia="Calibri" w:hAnsi="Verdana" w:cs="Arial"/>
          <w:color w:val="000000"/>
          <w:lang w:val="es-ES"/>
        </w:rPr>
      </w:pPr>
      <w:r w:rsidRPr="00E7254D">
        <w:rPr>
          <w:rFonts w:ascii="Verdana" w:eastAsia="Calibri" w:hAnsi="Verdana" w:cs="Arial"/>
          <w:color w:val="000000"/>
          <w:lang w:val="es-ES"/>
        </w:rPr>
        <w:t>A través de la actividad contractual, el Estado adquiere bienes, obras y servicios para cumplir los fines que le impone el ordenamiento jurídico, garantizando así la continu</w:t>
      </w:r>
      <w:r>
        <w:rPr>
          <w:rFonts w:ascii="Verdana" w:eastAsia="Calibri" w:hAnsi="Verdana" w:cs="Arial"/>
          <w:color w:val="000000"/>
          <w:lang w:val="es-ES"/>
        </w:rPr>
        <w:t>a</w:t>
      </w:r>
      <w:r w:rsidRPr="00E7254D">
        <w:rPr>
          <w:rFonts w:ascii="Verdana" w:eastAsia="Calibri" w:hAnsi="Verdana" w:cs="Arial"/>
          <w:color w:val="000000"/>
          <w:lang w:val="es-ES"/>
        </w:rPr>
        <w:t xml:space="preserve"> y eficiente prestación de los servicios públicos y la efectividad de los derechos e intereses de los administrados. Para la garantía de los fines de interés general, involucrados en la contratación de las entidades estatales, el Estatuto General de Contratación de la Administración Pública –en adelante EGCAP– dispone que, en la etapa de ejecución del contrato, las entidades estatales y los servidores públicos que participan en ella tienen la obligación de controlar y vigilar la correcta ejecución del objeto contratado. Lo anterior busca que las </w:t>
      </w:r>
      <w:r w:rsidRPr="00E7254D">
        <w:rPr>
          <w:rFonts w:ascii="Verdana" w:eastAsia="Calibri" w:hAnsi="Verdana" w:cs="Arial"/>
          <w:color w:val="000000"/>
          <w:lang w:val="es-ES"/>
        </w:rPr>
        <w:lastRenderedPageBreak/>
        <w:t>finalidades perseguidas con la celebración de los contratos estatales se logren de manera satisfactoria.</w:t>
      </w:r>
    </w:p>
    <w:p w14:paraId="54BACD33" w14:textId="77777777" w:rsidR="00C07830" w:rsidRPr="00E7254D" w:rsidRDefault="00C07830" w:rsidP="00C07830">
      <w:pPr>
        <w:spacing w:after="120" w:line="276" w:lineRule="auto"/>
        <w:ind w:firstLine="708"/>
        <w:jc w:val="both"/>
        <w:rPr>
          <w:rFonts w:ascii="Verdana" w:eastAsia="Calibri" w:hAnsi="Verdana" w:cs="Arial"/>
          <w:color w:val="000000"/>
          <w:lang w:val="es-ES"/>
        </w:rPr>
      </w:pPr>
      <w:r w:rsidRPr="00E7254D">
        <w:rPr>
          <w:rFonts w:ascii="Verdana" w:eastAsia="Calibri" w:hAnsi="Verdana" w:cs="Arial"/>
          <w:color w:val="000000"/>
          <w:lang w:val="es-ES"/>
        </w:rPr>
        <w:t>El seguimiento de la ejecución del contrato para la dirección, control y vigilancia de su correcto cumplimiento es un deber legal que permite a las entidades estatales tomar medidas orientadas a la satisfacción de los fines de la contratación. Por esto, el EGCAP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 este, y las condiciones de calidad ofrecidas, entre otras.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1D5F0142" w14:textId="77777777" w:rsidR="00C07830" w:rsidRPr="00E7254D" w:rsidRDefault="00C07830" w:rsidP="00C07830">
      <w:pPr>
        <w:spacing w:after="0" w:line="276" w:lineRule="auto"/>
        <w:ind w:firstLine="708"/>
        <w:jc w:val="both"/>
        <w:rPr>
          <w:rFonts w:ascii="Verdana" w:eastAsia="Times New Roman" w:hAnsi="Verdana" w:cs="Arial"/>
          <w:lang w:val="es-ES" w:eastAsia="es-MX"/>
        </w:rPr>
      </w:pPr>
      <w:r w:rsidRPr="00E7254D">
        <w:rPr>
          <w:rFonts w:ascii="Verdana" w:eastAsia="Times New Roman" w:hAnsi="Verdana" w:cs="Arial"/>
          <w:lang w:val="es-ES"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7254D">
        <w:rPr>
          <w:rFonts w:ascii="Verdana" w:eastAsia="Times New Roman" w:hAnsi="Verdana" w:cs="Arial"/>
          <w:vertAlign w:val="superscript"/>
          <w:lang w:val="es-ES" w:eastAsia="es-MX"/>
        </w:rPr>
        <w:footnoteReference w:id="1"/>
      </w:r>
      <w:r w:rsidRPr="00E7254D">
        <w:rPr>
          <w:rFonts w:ascii="Verdana" w:eastAsia="Times New Roman" w:hAnsi="Verdana" w:cs="Arial"/>
          <w:lang w:val="es-ES" w:eastAsia="es-MX"/>
        </w:rPr>
        <w:t>. También se establecen los límites de la responsabilidad del representante legal ante la delegación de sus funciones en materia contractual</w:t>
      </w:r>
      <w:r w:rsidRPr="00E7254D">
        <w:rPr>
          <w:rFonts w:ascii="Verdana" w:eastAsia="Times New Roman" w:hAnsi="Verdana" w:cs="Arial"/>
          <w:vertAlign w:val="superscript"/>
          <w:lang w:val="es-ES" w:eastAsia="es-MX"/>
        </w:rPr>
        <w:footnoteReference w:id="2"/>
      </w:r>
      <w:r w:rsidRPr="00E7254D">
        <w:rPr>
          <w:rFonts w:ascii="Verdana" w:eastAsia="Times New Roman" w:hAnsi="Verdana" w:cs="Arial"/>
          <w:lang w:val="es-ES" w:eastAsia="es-MX"/>
        </w:rPr>
        <w:t xml:space="preserve"> y se regula la supervisión y la interventoría de los contratos estatales</w:t>
      </w:r>
      <w:r w:rsidRPr="00E7254D">
        <w:rPr>
          <w:rFonts w:ascii="Verdana" w:eastAsia="Times New Roman" w:hAnsi="Verdana" w:cs="Arial"/>
          <w:vertAlign w:val="superscript"/>
          <w:lang w:val="es-ES" w:eastAsia="es-MX"/>
        </w:rPr>
        <w:footnoteReference w:id="3"/>
      </w:r>
      <w:r w:rsidRPr="00E7254D">
        <w:rPr>
          <w:rFonts w:ascii="Verdana" w:eastAsia="Times New Roman" w:hAnsi="Verdana" w:cs="Arial"/>
          <w:lang w:val="es-ES" w:eastAsia="es-MX"/>
        </w:rPr>
        <w:t xml:space="preserve">. En consecuencia, se tiene que, la jurisprudencia contencioso-administrativa, por su parte, ha considerado que la obligación de vigilar la correcta ejecución del objeto contractual es una función de la entidad contratante, en los siguientes términos: </w:t>
      </w:r>
    </w:p>
    <w:p w14:paraId="60C011BF" w14:textId="77777777" w:rsidR="00C07830" w:rsidRPr="00624EEC" w:rsidRDefault="00C07830" w:rsidP="00C07830">
      <w:pPr>
        <w:spacing w:after="0"/>
        <w:ind w:left="709"/>
        <w:contextualSpacing/>
        <w:jc w:val="both"/>
        <w:rPr>
          <w:rFonts w:ascii="Verdana" w:eastAsia="Times New Roman" w:hAnsi="Verdana" w:cs="Arial"/>
          <w:sz w:val="20"/>
          <w:szCs w:val="20"/>
          <w:lang w:val="es-ES_tradnl" w:eastAsia="es-MX"/>
        </w:rPr>
      </w:pPr>
    </w:p>
    <w:p w14:paraId="4375C53F" w14:textId="77777777" w:rsidR="00C07830" w:rsidRPr="00624EEC" w:rsidRDefault="00C07830" w:rsidP="00C07830">
      <w:pPr>
        <w:spacing w:after="0" w:line="240" w:lineRule="auto"/>
        <w:ind w:left="709" w:right="709"/>
        <w:contextualSpacing/>
        <w:jc w:val="both"/>
        <w:rPr>
          <w:rFonts w:ascii="Verdana" w:eastAsia="Times New Roman" w:hAnsi="Verdana" w:cs="Arial"/>
          <w:sz w:val="20"/>
          <w:szCs w:val="20"/>
          <w:lang w:val="es-ES_tradnl" w:eastAsia="es-MX"/>
        </w:rPr>
      </w:pPr>
      <w:r w:rsidRPr="00624EEC">
        <w:rPr>
          <w:rFonts w:ascii="Verdana" w:eastAsia="Times New Roman" w:hAnsi="Verdana" w:cs="Arial"/>
          <w:sz w:val="20"/>
          <w:szCs w:val="20"/>
          <w:lang w:val="es-ES_tradnl" w:eastAsia="es-MX"/>
        </w:rPr>
        <w:lastRenderedPageBreak/>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624EEC">
        <w:rPr>
          <w:rFonts w:ascii="Verdana" w:eastAsia="Times New Roman" w:hAnsi="Verdana" w:cs="Arial"/>
          <w:sz w:val="20"/>
          <w:szCs w:val="20"/>
          <w:vertAlign w:val="superscript"/>
          <w:lang w:val="es-ES_tradnl" w:eastAsia="es-MX"/>
        </w:rPr>
        <w:footnoteReference w:id="4"/>
      </w:r>
      <w:r w:rsidRPr="00624EEC">
        <w:rPr>
          <w:rFonts w:ascii="Verdana" w:eastAsia="Times New Roman" w:hAnsi="Verdana" w:cs="Arial"/>
          <w:sz w:val="20"/>
          <w:szCs w:val="20"/>
          <w:lang w:val="es-ES_tradnl" w:eastAsia="es-MX"/>
        </w:rPr>
        <w:t>.</w:t>
      </w:r>
    </w:p>
    <w:p w14:paraId="181CDB34" w14:textId="77777777" w:rsidR="00C07830" w:rsidRPr="00E7254D" w:rsidRDefault="00C07830" w:rsidP="00C07830">
      <w:pPr>
        <w:snapToGrid w:val="0"/>
        <w:spacing w:after="0" w:line="276" w:lineRule="auto"/>
        <w:ind w:left="720"/>
        <w:rPr>
          <w:rFonts w:ascii="Verdana" w:eastAsia="Times New Roman" w:hAnsi="Verdana" w:cs="Arial"/>
          <w:lang w:val="es-ES_tradnl" w:eastAsia="es-MX"/>
        </w:rPr>
      </w:pPr>
    </w:p>
    <w:p w14:paraId="26122126" w14:textId="77777777" w:rsidR="00C07830" w:rsidRPr="00E7254D" w:rsidRDefault="00C07830" w:rsidP="00C07830">
      <w:pPr>
        <w:spacing w:after="0" w:line="276" w:lineRule="auto"/>
        <w:ind w:firstLine="709"/>
        <w:jc w:val="both"/>
        <w:rPr>
          <w:rFonts w:ascii="Verdana" w:eastAsia="Times New Roman" w:hAnsi="Verdana" w:cs="Arial"/>
          <w:lang w:val="es-ES" w:eastAsia="es-MX"/>
        </w:rPr>
      </w:pPr>
      <w:r w:rsidRPr="00E7254D">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w:t>
      </w:r>
      <w:r>
        <w:rPr>
          <w:rFonts w:ascii="Verdana" w:eastAsia="Times New Roman" w:hAnsi="Verdana" w:cs="Arial"/>
          <w:lang w:val="es-ES" w:eastAsia="es-MX"/>
        </w:rPr>
        <w:t>e</w:t>
      </w:r>
      <w:r w:rsidRPr="00E7254D">
        <w:rPr>
          <w:rFonts w:ascii="Verdana" w:eastAsia="Times New Roman" w:hAnsi="Verdana" w:cs="Arial"/>
          <w:lang w:val="es-ES" w:eastAsia="es-MX"/>
        </w:rPr>
        <w:t xml:space="preserve">ntidades </w:t>
      </w:r>
      <w:r>
        <w:rPr>
          <w:rFonts w:ascii="Verdana" w:eastAsia="Times New Roman" w:hAnsi="Verdana" w:cs="Arial"/>
          <w:lang w:val="es-ES" w:eastAsia="es-MX"/>
        </w:rPr>
        <w:t>e</w:t>
      </w:r>
      <w:r w:rsidRPr="00E7254D">
        <w:rPr>
          <w:rFonts w:ascii="Verdana" w:eastAsia="Times New Roman" w:hAnsi="Verdana" w:cs="Arial"/>
          <w:lang w:val="es-ES" w:eastAsia="es-MX"/>
        </w:rPr>
        <w:t xml:space="preserve">statales para vigilar el contrato, en estos términos: </w:t>
      </w:r>
    </w:p>
    <w:p w14:paraId="208E7EAE" w14:textId="77777777" w:rsidR="00C07830" w:rsidRPr="00E7254D" w:rsidRDefault="00C07830" w:rsidP="00C07830">
      <w:pPr>
        <w:spacing w:after="0" w:line="276" w:lineRule="auto"/>
        <w:ind w:left="720"/>
        <w:jc w:val="both"/>
        <w:textAlignment w:val="baseline"/>
        <w:rPr>
          <w:rFonts w:ascii="Verdana" w:eastAsia="Times New Roman" w:hAnsi="Verdana" w:cs="Arial"/>
          <w:lang w:val="es-ES_tradnl" w:eastAsia="es-MX"/>
        </w:rPr>
      </w:pPr>
    </w:p>
    <w:p w14:paraId="159EA4D1" w14:textId="77777777" w:rsidR="00C07830"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0225A3F8" w14:textId="77777777" w:rsidR="00C07830" w:rsidRPr="00624EEC"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p>
    <w:p w14:paraId="791023DA" w14:textId="77777777" w:rsidR="00C07830" w:rsidRPr="00624EEC"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624EEC">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624EEC">
        <w:rPr>
          <w:rFonts w:ascii="Verdana" w:eastAsia="Times New Roman" w:hAnsi="Verdana" w:cs="Arial"/>
          <w:sz w:val="20"/>
          <w:szCs w:val="20"/>
          <w:vertAlign w:val="superscript"/>
          <w:lang w:val="es-ES" w:eastAsia="es-MX"/>
        </w:rPr>
        <w:footnoteReference w:id="5"/>
      </w:r>
      <w:r w:rsidRPr="00624EEC">
        <w:rPr>
          <w:rFonts w:ascii="Verdana" w:eastAsia="Times New Roman" w:hAnsi="Verdana" w:cs="Arial"/>
          <w:sz w:val="20"/>
          <w:szCs w:val="20"/>
          <w:lang w:val="es-ES" w:eastAsia="es-MX"/>
        </w:rPr>
        <w:t>.</w:t>
      </w:r>
    </w:p>
    <w:p w14:paraId="7B3C5C54" w14:textId="77777777" w:rsidR="00C07830" w:rsidRPr="00E7254D" w:rsidRDefault="00C07830" w:rsidP="00C07830">
      <w:pPr>
        <w:spacing w:after="0" w:line="276" w:lineRule="auto"/>
        <w:ind w:left="720"/>
        <w:contextualSpacing/>
        <w:jc w:val="both"/>
        <w:textAlignment w:val="baseline"/>
        <w:rPr>
          <w:rFonts w:ascii="Verdana" w:eastAsia="Times New Roman" w:hAnsi="Verdana" w:cs="Arial"/>
          <w:lang w:val="es-ES" w:eastAsia="es-MX"/>
        </w:rPr>
      </w:pPr>
    </w:p>
    <w:p w14:paraId="55AEF647" w14:textId="77777777" w:rsidR="00C07830" w:rsidRDefault="00C07830" w:rsidP="00C07830">
      <w:pPr>
        <w:spacing w:after="120" w:line="276" w:lineRule="auto"/>
        <w:ind w:firstLine="709"/>
        <w:jc w:val="both"/>
        <w:rPr>
          <w:rFonts w:ascii="Verdana" w:eastAsia="Times New Roman" w:hAnsi="Verdana" w:cs="Arial"/>
          <w:bCs/>
          <w:lang w:val="es-ES"/>
        </w:rPr>
      </w:pPr>
    </w:p>
    <w:p w14:paraId="342AF40F" w14:textId="77777777" w:rsidR="00C07830" w:rsidRDefault="00C07830" w:rsidP="00C07830">
      <w:pPr>
        <w:widowControl w:val="0"/>
        <w:autoSpaceDE w:val="0"/>
        <w:autoSpaceDN w:val="0"/>
        <w:spacing w:after="120" w:line="276" w:lineRule="auto"/>
        <w:ind w:firstLine="708"/>
        <w:jc w:val="both"/>
        <w:rPr>
          <w:rFonts w:ascii="Verdana" w:eastAsia="Times New Roman" w:hAnsi="Verdana" w:cs="Arial"/>
          <w:bCs/>
          <w:lang w:val="es-ES"/>
        </w:rPr>
      </w:pPr>
      <w:r>
        <w:rPr>
          <w:rFonts w:ascii="Verdana" w:eastAsia="Calibri" w:hAnsi="Verdana" w:cs="Arial"/>
          <w:color w:val="000000" w:themeColor="text1"/>
        </w:rPr>
        <w:lastRenderedPageBreak/>
        <w:t>Conforme lo descrito, debe precisarse que el ordenamiento jurídico que regula la contratación estatal no establece de manera expresa un funcionario específico ni un procedimiento único para adelantar y aprobar el trámite de pago. Conforme al artículo 83 de la Ley 1474 de 2011, al supervisor le corresponde realizar el seguimiento técnico, administrativo, financiero, contable y jurídico sobre el cumplimiento del objeto contractual y, en el marco del trámite de pago, verificar y certificar la adecuada prestación del servicio o la entrega de los bienes contratados, actuación que sirve de soporte para el reconocimiento del pago. Corresponde a cada Entidad Estatal, mediante el contrato, el manual de contratación, el manual de supervisión e interventoría u otros instrumentos internos aplicables, definir el funcionario o dependencia responsable del trámite de pago, así como los documentos, validaciones y procedimientos exigibles para su aprobación.</w:t>
      </w:r>
    </w:p>
    <w:p w14:paraId="6EE1BD5C" w14:textId="77777777" w:rsidR="00C07830" w:rsidRPr="00E7254D" w:rsidRDefault="00C07830" w:rsidP="00C07830">
      <w:pPr>
        <w:spacing w:after="120" w:line="276" w:lineRule="auto"/>
        <w:ind w:firstLine="709"/>
        <w:jc w:val="both"/>
        <w:rPr>
          <w:rFonts w:ascii="Verdana" w:eastAsia="Times New Roman" w:hAnsi="Verdana" w:cs="Arial"/>
          <w:shd w:val="clear" w:color="auto" w:fill="FFFFFF"/>
          <w:lang w:val="es-ES"/>
        </w:rPr>
      </w:pPr>
      <w:r w:rsidRPr="00E7254D">
        <w:rPr>
          <w:rFonts w:ascii="Verdana" w:eastAsia="Times New Roman" w:hAnsi="Verdana" w:cs="Arial"/>
          <w:bCs/>
          <w:lang w:val="es-ES"/>
        </w:rPr>
        <w:t>Sin perjuicio de lo anterior, según lo expresado por esta Agencia en el concepto No. 4201913000008240 del 20 de diciembre de 2019 y en el concepto C-972 de 2024,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E7254D">
        <w:rPr>
          <w:rFonts w:ascii="Verdana" w:eastAsia="Times New Roman" w:hAnsi="Verdana" w:cs="Arial"/>
          <w:bCs/>
          <w:vertAlign w:val="superscript"/>
          <w:lang w:val="es-ES"/>
        </w:rPr>
        <w:footnoteReference w:id="6"/>
      </w:r>
      <w:r w:rsidRPr="00E7254D">
        <w:rPr>
          <w:rFonts w:ascii="Verdana" w:eastAsia="Times New Roman" w:hAnsi="Verdana" w:cs="Arial"/>
          <w:bCs/>
          <w:lang w:val="es-ES"/>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652A716C" w14:textId="77777777" w:rsidR="00C07830" w:rsidRDefault="00C07830" w:rsidP="00C07830">
      <w:pPr>
        <w:tabs>
          <w:tab w:val="left" w:pos="709"/>
        </w:tabs>
        <w:snapToGrid w:val="0"/>
        <w:spacing w:after="0" w:line="276" w:lineRule="auto"/>
        <w:jc w:val="both"/>
        <w:rPr>
          <w:rFonts w:ascii="Verdana" w:eastAsia="Aptos" w:hAnsi="Verdana" w:cs="Arial"/>
          <w:bCs/>
        </w:rPr>
      </w:pPr>
      <w:r w:rsidRPr="00E7254D">
        <w:rPr>
          <w:rFonts w:ascii="Verdana" w:eastAsia="Aptos" w:hAnsi="Verdana" w:cs="Arial"/>
          <w:bCs/>
          <w:lang w:val="es-ES"/>
        </w:rPr>
        <w:tab/>
        <w:t xml:space="preserve">Por otro lado, </w:t>
      </w:r>
      <w:r w:rsidRPr="00E7254D">
        <w:rPr>
          <w:rFonts w:ascii="Verdana" w:eastAsia="Aptos" w:hAnsi="Verdana" w:cs="Arial"/>
          <w:bCs/>
        </w:rPr>
        <w:t xml:space="preserve">la interventoría puede caracterizarse de la siguiente manera: i) es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 –art, 83, Ley 1474 de 2011–; ii) es un mecanismo de vigilancia que exige, en su ejecución, la </w:t>
      </w:r>
      <w:r w:rsidRPr="00E7254D">
        <w:rPr>
          <w:rFonts w:ascii="Verdana" w:eastAsia="Aptos" w:hAnsi="Verdana" w:cs="Arial"/>
          <w:bCs/>
        </w:rPr>
        <w:lastRenderedPageBreak/>
        <w:t>utilización de conocimientos especializados; iii) por lo anterior, la entidad contrata un experto, por regla general, mediante la modalidad de selección de concurso de méritos, al tratarse la interventoría de una especie del contrato de consultoría –art. 32, numeral 2, inciso 2, Ley 80 de 1993</w:t>
      </w:r>
      <w:r w:rsidRPr="00E7254D">
        <w:rPr>
          <w:rFonts w:ascii="Verdana" w:eastAsia="Aptos" w:hAnsi="Verdana" w:cs="Times New Roman"/>
          <w:kern w:val="2"/>
          <w:vertAlign w:val="superscript"/>
          <w14:ligatures w14:val="standardContextual"/>
        </w:rPr>
        <w:footnoteReference w:id="7"/>
      </w:r>
      <w:r w:rsidRPr="00E7254D">
        <w:rPr>
          <w:rFonts w:ascii="Verdana" w:eastAsia="Aptos" w:hAnsi="Verdana" w:cs="Arial"/>
          <w:bCs/>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quedarán a cargo de la Entidad a través del supervisor” –art. 83, inciso 4–, y finalmente, vi) el contrato de interventoría será supervisado directamente por la entidad –art. 83, inciso 4–.</w:t>
      </w:r>
    </w:p>
    <w:p w14:paraId="284E37F1" w14:textId="77777777" w:rsidR="00C07830" w:rsidRDefault="00C07830" w:rsidP="00C07830">
      <w:pPr>
        <w:tabs>
          <w:tab w:val="left" w:pos="709"/>
        </w:tabs>
        <w:snapToGrid w:val="0"/>
        <w:spacing w:after="0" w:line="276" w:lineRule="auto"/>
        <w:jc w:val="both"/>
        <w:rPr>
          <w:rFonts w:ascii="Verdana" w:eastAsia="Aptos" w:hAnsi="Verdana" w:cs="Arial"/>
          <w:bCs/>
        </w:rPr>
      </w:pPr>
    </w:p>
    <w:p w14:paraId="5BC4EE1E" w14:textId="77777777" w:rsidR="00C07830" w:rsidRDefault="00C07830" w:rsidP="00C07830">
      <w:pPr>
        <w:widowControl w:val="0"/>
        <w:autoSpaceDE w:val="0"/>
        <w:autoSpaceDN w:val="0"/>
        <w:spacing w:after="120" w:line="276" w:lineRule="auto"/>
        <w:ind w:firstLine="708"/>
        <w:jc w:val="both"/>
        <w:rPr>
          <w:rFonts w:ascii="Verdana" w:hAnsi="Verdana"/>
        </w:rPr>
      </w:pPr>
      <w:r>
        <w:rPr>
          <w:rFonts w:ascii="Verdana" w:eastAsia="Arial MT" w:hAnsi="Verdana" w:cs="Arial"/>
          <w:spacing w:val="1"/>
        </w:rPr>
        <w:t>Ahora bien, cuando dentro de las funciones asignadas al supervisor se encuentre la revisión, certificación o aprobación de las cuentas de cobro y existan plazos contractuales o internos para realizarla, su incumplimiento injustificado puede constituir un desconocimiento de los deberes propios de la supervisión y eventualmente generar las responsabilidades a que haya lugar. No obstante, la Agencia Nacional de Contratación Pública – Colombia Compra Eficiente no es competente para determinar, en un caso concreto, la responsabilidad disciplinaria, fiscal, penal o de otra naturaleza de un servidor público, asunto que corresponde a las autoridades competentes con observancia del principio de legalidad.</w:t>
      </w:r>
    </w:p>
    <w:p w14:paraId="2CEFDF5F" w14:textId="77777777" w:rsidR="00C07830" w:rsidRPr="00C82667" w:rsidRDefault="00C07830" w:rsidP="00C07830">
      <w:pPr>
        <w:spacing w:after="0" w:line="276" w:lineRule="auto"/>
        <w:jc w:val="both"/>
        <w:rPr>
          <w:rFonts w:ascii="Verdana" w:eastAsia="Calibri" w:hAnsi="Verdana" w:cs="Arial"/>
          <w:color w:val="000000" w:themeColor="text1"/>
        </w:rPr>
      </w:pPr>
    </w:p>
    <w:bookmarkEnd w:id="2"/>
    <w:bookmarkEnd w:id="3"/>
    <w:p w14:paraId="09591DA0" w14:textId="77777777" w:rsidR="00C07830" w:rsidRDefault="00C07830" w:rsidP="00C07830">
      <w:pPr>
        <w:spacing w:after="120" w:line="276" w:lineRule="auto"/>
        <w:ind w:firstLine="708"/>
        <w:jc w:val="both"/>
        <w:rPr>
          <w:rFonts w:ascii="Verdana" w:eastAsia="Calibri" w:hAnsi="Verdana" w:cs="Arial"/>
          <w:color w:val="000000" w:themeColor="text1"/>
          <w:lang w:val="es-ES"/>
        </w:rPr>
      </w:pPr>
      <w:r>
        <w:rPr>
          <w:rFonts w:ascii="Verdana" w:eastAsia="Calibri" w:hAnsi="Verdana" w:cs="Arial"/>
          <w:color w:val="000000" w:themeColor="text1"/>
          <w:lang w:val="es-ES"/>
        </w:rPr>
        <w:t>En relación a la designación de la supervisión en los procesos de contratación estatal, se acude a la “</w:t>
      </w:r>
      <w:r w:rsidRPr="00AA1E47">
        <w:rPr>
          <w:rFonts w:ascii="Verdana" w:eastAsia="Calibri" w:hAnsi="Verdana" w:cs="Arial"/>
          <w:color w:val="000000" w:themeColor="text1"/>
          <w:lang w:val="es-ES"/>
        </w:rPr>
        <w:t>Guía para el ejercicio de las funciones de supervisión e interventoría de los contratos suscritos por las Entidades Estatales</w:t>
      </w:r>
      <w:r>
        <w:rPr>
          <w:rFonts w:ascii="Verdana" w:eastAsia="Calibri" w:hAnsi="Verdana" w:cs="Arial"/>
          <w:color w:val="000000" w:themeColor="text1"/>
          <w:lang w:val="es-ES"/>
        </w:rPr>
        <w:t xml:space="preserve">” expedida por esta Agencia, en la que se expresa que el </w:t>
      </w:r>
      <w:r w:rsidRPr="00AA1E47">
        <w:rPr>
          <w:rFonts w:ascii="Verdana" w:eastAsia="Calibri" w:hAnsi="Verdana" w:cs="Arial"/>
          <w:color w:val="000000" w:themeColor="text1"/>
          <w:lang w:val="es-ES"/>
        </w:rPr>
        <w:t xml:space="preserve">ordenador del gasto de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statal es responsable de la vigilancia y control de la ejecución</w:t>
      </w:r>
      <w:r>
        <w:rPr>
          <w:rFonts w:ascii="Verdana" w:eastAsia="Calibri" w:hAnsi="Verdana" w:cs="Arial"/>
          <w:color w:val="000000" w:themeColor="text1"/>
          <w:lang w:val="es-ES"/>
        </w:rPr>
        <w:t xml:space="preserve"> debida del contrato estatal</w:t>
      </w:r>
      <w:r w:rsidRPr="00AA1E47">
        <w:rPr>
          <w:rFonts w:ascii="Verdana" w:eastAsia="Calibri" w:hAnsi="Verdana" w:cs="Arial"/>
          <w:color w:val="000000" w:themeColor="text1"/>
          <w:lang w:val="es-ES"/>
        </w:rPr>
        <w:t xml:space="preserve">, por lo cual es quien debe designar el supervisor de un </w:t>
      </w:r>
      <w:r w:rsidRPr="00AA1E47">
        <w:rPr>
          <w:rFonts w:ascii="Verdana" w:eastAsia="Calibri" w:hAnsi="Verdana" w:cs="Arial"/>
          <w:color w:val="000000" w:themeColor="text1"/>
          <w:lang w:val="es-ES"/>
        </w:rPr>
        <w:lastRenderedPageBreak/>
        <w:t>contrato</w:t>
      </w:r>
      <w:r>
        <w:rPr>
          <w:rStyle w:val="Refdenotaalpie"/>
          <w:rFonts w:ascii="Verdana" w:eastAsia="Calibri" w:hAnsi="Verdana" w:cs="Arial"/>
          <w:color w:val="000000" w:themeColor="text1"/>
          <w:lang w:val="es-ES"/>
        </w:rPr>
        <w:footnoteReference w:id="8"/>
      </w:r>
      <w:r w:rsidRPr="00AA1E47">
        <w:rPr>
          <w:rFonts w:ascii="Verdana" w:eastAsia="Calibri" w:hAnsi="Verdana" w:cs="Arial"/>
          <w:color w:val="000000" w:themeColor="text1"/>
          <w:lang w:val="es-ES"/>
        </w:rPr>
        <w:t>. En</w:t>
      </w:r>
      <w:r>
        <w:rPr>
          <w:rFonts w:ascii="Verdana" w:eastAsia="Calibri" w:hAnsi="Verdana" w:cs="Arial"/>
          <w:color w:val="000000" w:themeColor="text1"/>
          <w:lang w:val="es-ES"/>
        </w:rPr>
        <w:t xml:space="preserve"> tal sentido, en</w:t>
      </w:r>
      <w:r w:rsidRPr="00AA1E47">
        <w:rPr>
          <w:rFonts w:ascii="Verdana" w:eastAsia="Calibri" w:hAnsi="Verdana" w:cs="Arial"/>
          <w:color w:val="000000" w:themeColor="text1"/>
          <w:lang w:val="es-ES"/>
        </w:rPr>
        <w:t xml:space="preserve"> la etapa de planeación del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la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A1E47">
        <w:rPr>
          <w:rFonts w:ascii="Verdana" w:eastAsia="Calibri" w:hAnsi="Verdana" w:cs="Arial"/>
          <w:color w:val="000000" w:themeColor="text1"/>
          <w:lang w:val="es-ES"/>
        </w:rPr>
        <w:t xml:space="preserve">statal debe identificar el perfil del supervisor para </w:t>
      </w:r>
      <w:r>
        <w:rPr>
          <w:rFonts w:ascii="Verdana" w:eastAsia="Calibri" w:hAnsi="Verdana" w:cs="Arial"/>
          <w:color w:val="000000" w:themeColor="text1"/>
          <w:lang w:val="es-ES"/>
        </w:rPr>
        <w:t xml:space="preserve">designarlo </w:t>
      </w:r>
      <w:r w:rsidRPr="00AA1E47">
        <w:rPr>
          <w:rFonts w:ascii="Verdana" w:eastAsia="Calibri" w:hAnsi="Verdana" w:cs="Arial"/>
          <w:color w:val="000000" w:themeColor="text1"/>
          <w:lang w:val="es-ES"/>
        </w:rPr>
        <w:t xml:space="preserve">a más tardar al final de la audiencia de adjudicación, cuando el </w:t>
      </w:r>
      <w:r>
        <w:rPr>
          <w:rFonts w:ascii="Verdana" w:eastAsia="Calibri" w:hAnsi="Verdana" w:cs="Arial"/>
          <w:color w:val="000000" w:themeColor="text1"/>
          <w:lang w:val="es-ES"/>
        </w:rPr>
        <w:t>p</w:t>
      </w:r>
      <w:r w:rsidRPr="00AA1E47">
        <w:rPr>
          <w:rFonts w:ascii="Verdana" w:eastAsia="Calibri" w:hAnsi="Verdana" w:cs="Arial"/>
          <w:color w:val="000000" w:themeColor="text1"/>
          <w:lang w:val="es-ES"/>
        </w:rPr>
        <w:t xml:space="preserve">roceso de </w:t>
      </w:r>
      <w:r>
        <w:rPr>
          <w:rFonts w:ascii="Verdana" w:eastAsia="Calibri" w:hAnsi="Verdana" w:cs="Arial"/>
          <w:color w:val="000000" w:themeColor="text1"/>
          <w:lang w:val="es-ES"/>
        </w:rPr>
        <w:t>c</w:t>
      </w:r>
      <w:r w:rsidRPr="00AA1E47">
        <w:rPr>
          <w:rFonts w:ascii="Verdana" w:eastAsia="Calibri" w:hAnsi="Verdana" w:cs="Arial"/>
          <w:color w:val="000000" w:themeColor="text1"/>
          <w:lang w:val="es-ES"/>
        </w:rPr>
        <w:t xml:space="preserve">ontratación es competitivo o en la fecha </w:t>
      </w:r>
      <w:r>
        <w:rPr>
          <w:rFonts w:ascii="Verdana" w:eastAsia="Calibri" w:hAnsi="Verdana" w:cs="Arial"/>
          <w:color w:val="000000" w:themeColor="text1"/>
          <w:lang w:val="es-ES"/>
        </w:rPr>
        <w:t>que suscriba el contrato cuando sea en ocasión de procesos no competitivos, como la contratación</w:t>
      </w:r>
      <w:r>
        <w:rPr>
          <w:rStyle w:val="Refdenotaalpie"/>
          <w:rFonts w:ascii="Verdana" w:eastAsia="Calibri" w:hAnsi="Verdana" w:cs="Arial"/>
          <w:color w:val="000000" w:themeColor="text1"/>
          <w:lang w:val="es-ES"/>
        </w:rPr>
        <w:footnoteReference w:id="9"/>
      </w:r>
      <w:r>
        <w:rPr>
          <w:rFonts w:ascii="Verdana" w:eastAsia="Calibri" w:hAnsi="Verdana" w:cs="Arial"/>
          <w:color w:val="000000" w:themeColor="text1"/>
          <w:lang w:val="es-ES"/>
        </w:rPr>
        <w:t xml:space="preserve">. </w:t>
      </w:r>
    </w:p>
    <w:p w14:paraId="3AD23BFF" w14:textId="77777777" w:rsidR="00C07830" w:rsidRDefault="00C07830" w:rsidP="00C07830">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En principio, en la Guía también se expresa que e</w:t>
      </w:r>
      <w:r w:rsidRPr="00AA1E47">
        <w:rPr>
          <w:rFonts w:ascii="Verdana" w:eastAsia="Calibri" w:hAnsi="Verdana" w:cs="Arial"/>
          <w:color w:val="000000" w:themeColor="text1"/>
          <w:lang w:val="es-ES"/>
        </w:rPr>
        <w:t>l supervisor no requiere un perfil predeterminado</w:t>
      </w:r>
      <w:r w:rsidRPr="003F1FD8">
        <w:rPr>
          <w:rFonts w:ascii="Verdana" w:eastAsia="Calibri" w:hAnsi="Verdana" w:cs="Arial"/>
          <w:color w:val="000000" w:themeColor="text1"/>
          <w:lang w:val="es-ES"/>
        </w:rPr>
        <w:t>; sin embargo, es recomendable que pueda actuar como par del contratista supervisado</w:t>
      </w:r>
      <w:r>
        <w:rPr>
          <w:rStyle w:val="Refdenotaalpie"/>
          <w:rFonts w:ascii="Verdana" w:eastAsia="Calibri" w:hAnsi="Verdana" w:cs="Arial"/>
          <w:color w:val="000000" w:themeColor="text1"/>
          <w:lang w:val="es-ES"/>
        </w:rPr>
        <w:footnoteReference w:id="10"/>
      </w:r>
      <w:r w:rsidRPr="003F1FD8">
        <w:rPr>
          <w:rFonts w:ascii="Verdana" w:eastAsia="Calibri" w:hAnsi="Verdana" w:cs="Arial"/>
          <w:color w:val="000000" w:themeColor="text1"/>
          <w:lang w:val="es-ES"/>
        </w:rPr>
        <w:t xml:space="preserve">. Para designar a un funcionario como supervisor, la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3F1FD8">
        <w:rPr>
          <w:rFonts w:ascii="Verdana" w:eastAsia="Calibri" w:hAnsi="Verdana" w:cs="Arial"/>
          <w:color w:val="000000" w:themeColor="text1"/>
          <w:lang w:val="es-ES"/>
        </w:rPr>
        <w:t xml:space="preserve">statal debe verificar que el objeto del proceso de contratación guarde relación con las funciones propias de su </w:t>
      </w:r>
      <w:r>
        <w:rPr>
          <w:rFonts w:ascii="Verdana" w:eastAsia="Calibri" w:hAnsi="Verdana" w:cs="Arial"/>
          <w:color w:val="000000" w:themeColor="text1"/>
          <w:lang w:val="es-ES"/>
        </w:rPr>
        <w:t>empleo, ya sea de nivel directivo, profesional, técnico o asistencial</w:t>
      </w:r>
      <w:r w:rsidRPr="003F1FD8">
        <w:rPr>
          <w:rFonts w:ascii="Verdana" w:eastAsia="Calibri" w:hAnsi="Verdana" w:cs="Arial"/>
          <w:color w:val="000000" w:themeColor="text1"/>
          <w:lang w:val="es-ES"/>
        </w:rPr>
        <w:t>.</w:t>
      </w:r>
      <w:r>
        <w:rPr>
          <w:rFonts w:ascii="Verdana" w:eastAsia="Calibri" w:hAnsi="Verdana" w:cs="Arial"/>
          <w:color w:val="000000" w:themeColor="text1"/>
          <w:lang w:val="es-ES"/>
        </w:rPr>
        <w:t xml:space="preserve"> </w:t>
      </w:r>
      <w:r w:rsidRPr="003F1FD8">
        <w:rPr>
          <w:rFonts w:ascii="Verdana" w:eastAsia="Calibri" w:hAnsi="Verdana" w:cs="Arial"/>
          <w:color w:val="000000" w:themeColor="text1"/>
        </w:rPr>
        <w:t xml:space="preserve">Esto implica que la supervisión debe ser una actividad administrativa compatible con el perfil </w:t>
      </w:r>
      <w:r>
        <w:rPr>
          <w:rFonts w:ascii="Verdana" w:eastAsia="Calibri" w:hAnsi="Verdana" w:cs="Arial"/>
          <w:color w:val="000000" w:themeColor="text1"/>
        </w:rPr>
        <w:t>y el nivel</w:t>
      </w:r>
      <w:r w:rsidRPr="003F1FD8">
        <w:rPr>
          <w:rFonts w:ascii="Verdana" w:eastAsia="Calibri" w:hAnsi="Verdana" w:cs="Arial"/>
          <w:color w:val="000000" w:themeColor="text1"/>
        </w:rPr>
        <w:t xml:space="preserve"> del empleo. </w:t>
      </w:r>
      <w:r>
        <w:rPr>
          <w:rFonts w:ascii="Verdana" w:eastAsia="Calibri" w:hAnsi="Verdana" w:cs="Arial"/>
          <w:color w:val="000000" w:themeColor="text1"/>
        </w:rPr>
        <w:t xml:space="preserve">A modo de ejemplo, no podría designar como supervisor a un empleo del nivel asistencial de un contrato que implica complejidades técnicas que son propias de un nivel profesional. </w:t>
      </w:r>
    </w:p>
    <w:p w14:paraId="2E547A4F" w14:textId="77777777" w:rsidR="00C07830" w:rsidRPr="00AD173A" w:rsidRDefault="00C07830" w:rsidP="00C07830">
      <w:pPr>
        <w:spacing w:after="120" w:line="276" w:lineRule="auto"/>
        <w:ind w:firstLine="708"/>
        <w:jc w:val="both"/>
        <w:rPr>
          <w:rFonts w:ascii="Verdana" w:eastAsia="Calibri" w:hAnsi="Verdana" w:cs="Arial"/>
          <w:color w:val="000000" w:themeColor="text1"/>
          <w:lang w:val="es-ES"/>
        </w:rPr>
      </w:pPr>
      <w:r w:rsidRPr="003F1FD8">
        <w:rPr>
          <w:rFonts w:ascii="Verdana" w:eastAsia="Calibri" w:hAnsi="Verdana" w:cs="Arial"/>
          <w:color w:val="000000" w:themeColor="text1"/>
        </w:rPr>
        <w:t xml:space="preserve">En este sentido, la entidad debe evaluar la idoneidad del funcionario designado, garantice la capacitación necesaria y formalice la asignación conforme a los lineamientos legales y que sea acorde con el </w:t>
      </w:r>
      <w:r>
        <w:rPr>
          <w:rFonts w:ascii="Verdana" w:eastAsia="Calibri" w:hAnsi="Verdana" w:cs="Arial"/>
          <w:color w:val="000000" w:themeColor="text1"/>
        </w:rPr>
        <w:t>perfil</w:t>
      </w:r>
      <w:r w:rsidRPr="003F1FD8">
        <w:rPr>
          <w:rFonts w:ascii="Verdana" w:eastAsia="Calibri" w:hAnsi="Verdana" w:cs="Arial"/>
          <w:color w:val="000000" w:themeColor="text1"/>
        </w:rPr>
        <w:t xml:space="preserve"> </w:t>
      </w:r>
      <w:r>
        <w:rPr>
          <w:rFonts w:ascii="Verdana" w:eastAsia="Calibri" w:hAnsi="Verdana" w:cs="Arial"/>
          <w:color w:val="000000" w:themeColor="text1"/>
        </w:rPr>
        <w:t>y el</w:t>
      </w:r>
      <w:r w:rsidRPr="003F1FD8">
        <w:rPr>
          <w:rFonts w:ascii="Verdana" w:eastAsia="Calibri" w:hAnsi="Verdana" w:cs="Arial"/>
          <w:color w:val="000000" w:themeColor="text1"/>
        </w:rPr>
        <w:t xml:space="preserve"> nivel</w:t>
      </w:r>
      <w:r>
        <w:rPr>
          <w:rFonts w:ascii="Verdana" w:eastAsia="Calibri" w:hAnsi="Verdana" w:cs="Arial"/>
          <w:color w:val="000000" w:themeColor="text1"/>
        </w:rPr>
        <w:t xml:space="preserve"> del empleo. </w:t>
      </w:r>
      <w:r>
        <w:rPr>
          <w:rFonts w:ascii="Verdana" w:eastAsia="Calibri" w:hAnsi="Verdana" w:cs="Arial"/>
          <w:color w:val="000000" w:themeColor="text1"/>
          <w:lang w:val="es-ES"/>
        </w:rPr>
        <w:t>En todo caso, n</w:t>
      </w:r>
      <w:r w:rsidRPr="003F1FD8">
        <w:rPr>
          <w:rFonts w:ascii="Verdana" w:eastAsia="Calibri" w:hAnsi="Verdana" w:cs="Arial"/>
          <w:color w:val="000000" w:themeColor="text1"/>
          <w:lang w:val="es-ES"/>
        </w:rPr>
        <w:t xml:space="preserve">o es necesario que el </w:t>
      </w:r>
      <w:r>
        <w:rPr>
          <w:rFonts w:ascii="Verdana" w:eastAsia="Calibri" w:hAnsi="Verdana" w:cs="Arial"/>
          <w:color w:val="000000" w:themeColor="text1"/>
          <w:lang w:val="es-ES"/>
        </w:rPr>
        <w:t xml:space="preserve">Manual Específico de Funciones y Competencias Laborales </w:t>
      </w:r>
      <w:r w:rsidRPr="003F1FD8">
        <w:rPr>
          <w:rFonts w:ascii="Verdana" w:eastAsia="Calibri" w:hAnsi="Verdana" w:cs="Arial"/>
          <w:color w:val="000000" w:themeColor="text1"/>
          <w:lang w:val="es-ES"/>
        </w:rPr>
        <w:t xml:space="preserve">consigne expresamente la supervisión de contratos, </w:t>
      </w:r>
      <w:r>
        <w:rPr>
          <w:rFonts w:ascii="Verdana" w:eastAsia="Calibri" w:hAnsi="Verdana" w:cs="Arial"/>
          <w:color w:val="000000" w:themeColor="text1"/>
          <w:lang w:val="es-ES"/>
        </w:rPr>
        <w:t xml:space="preserve">ya que </w:t>
      </w:r>
      <w:r w:rsidRPr="003F1FD8">
        <w:rPr>
          <w:rFonts w:ascii="Verdana" w:eastAsia="Calibri" w:hAnsi="Verdana" w:cs="Arial"/>
          <w:color w:val="000000" w:themeColor="text1"/>
          <w:lang w:val="es-ES"/>
        </w:rPr>
        <w:t xml:space="preserve">se entiende como una </w:t>
      </w:r>
      <w:r>
        <w:rPr>
          <w:rFonts w:ascii="Verdana" w:eastAsia="Calibri" w:hAnsi="Verdana" w:cs="Arial"/>
          <w:color w:val="000000" w:themeColor="text1"/>
          <w:lang w:val="es-ES"/>
        </w:rPr>
        <w:t xml:space="preserve">función </w:t>
      </w:r>
      <w:r w:rsidRPr="003F1FD8">
        <w:rPr>
          <w:rFonts w:ascii="Verdana" w:eastAsia="Calibri" w:hAnsi="Verdana" w:cs="Arial"/>
          <w:color w:val="000000" w:themeColor="text1"/>
          <w:lang w:val="es-ES"/>
        </w:rPr>
        <w:t>inherente al ejercicio ordinario de los servidores públicos.</w:t>
      </w:r>
      <w:r>
        <w:rPr>
          <w:rFonts w:ascii="Verdana" w:eastAsia="Calibri" w:hAnsi="Verdana" w:cs="Arial"/>
          <w:color w:val="000000" w:themeColor="text1"/>
          <w:lang w:val="es-ES"/>
        </w:rPr>
        <w:t xml:space="preserve"> </w:t>
      </w:r>
      <w:r w:rsidRPr="00AD173A">
        <w:rPr>
          <w:rFonts w:ascii="Verdana" w:eastAsia="Calibri" w:hAnsi="Verdana" w:cs="Arial"/>
          <w:color w:val="000000" w:themeColor="text1"/>
          <w:lang w:val="es-ES"/>
        </w:rPr>
        <w:t xml:space="preserve">Así mismo, la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 xml:space="preserve">ntidad </w:t>
      </w:r>
      <w:r>
        <w:rPr>
          <w:rFonts w:ascii="Verdana" w:eastAsia="Calibri" w:hAnsi="Verdana" w:cs="Arial"/>
          <w:color w:val="000000" w:themeColor="text1"/>
          <w:lang w:val="es-ES"/>
        </w:rPr>
        <w:t>e</w:t>
      </w:r>
      <w:r w:rsidRPr="00AD173A">
        <w:rPr>
          <w:rFonts w:ascii="Verdana" w:eastAsia="Calibri" w:hAnsi="Verdana" w:cs="Arial"/>
          <w:color w:val="000000" w:themeColor="text1"/>
          <w:lang w:val="es-ES"/>
        </w:rPr>
        <w:t>statal debe evaluar la carga operativa del funcionario designado, con el fin de evitar los riesgos derivados de una supervisión deficiente por falta de tiempo.</w:t>
      </w:r>
    </w:p>
    <w:p w14:paraId="79E4E5EA" w14:textId="77777777" w:rsidR="00C07830" w:rsidRDefault="00C07830" w:rsidP="00C07830">
      <w:pPr>
        <w:widowControl w:val="0"/>
        <w:autoSpaceDE w:val="0"/>
        <w:autoSpaceDN w:val="0"/>
        <w:spacing w:before="120" w:line="276" w:lineRule="auto"/>
        <w:ind w:right="113" w:firstLine="708"/>
        <w:jc w:val="both"/>
        <w:rPr>
          <w:rFonts w:ascii="Verdana" w:eastAsia="Arial MT" w:hAnsi="Verdana" w:cs="Arial MT"/>
          <w:lang w:val="es-ES"/>
        </w:rPr>
      </w:pPr>
      <w:r>
        <w:rPr>
          <w:rFonts w:ascii="Verdana" w:eastAsia="Arial MT" w:hAnsi="Verdana" w:cs="Arial MT"/>
          <w:lang w:val="es-ES"/>
        </w:rPr>
        <w:t xml:space="preserve">Es importante señalar que </w:t>
      </w:r>
      <w:r w:rsidRPr="00B234CF">
        <w:rPr>
          <w:rFonts w:ascii="Verdana" w:eastAsia="Arial MT" w:hAnsi="Verdana" w:cs="Arial MT"/>
          <w:lang w:val="es-ES"/>
        </w:rPr>
        <w:t>para</w:t>
      </w:r>
      <w:r w:rsidRPr="00B234CF">
        <w:rPr>
          <w:rFonts w:ascii="Verdana" w:eastAsia="Arial MT" w:hAnsi="Verdana" w:cs="Arial MT"/>
          <w:spacing w:val="1"/>
          <w:lang w:val="es-ES"/>
        </w:rPr>
        <w:t xml:space="preserve"> </w:t>
      </w:r>
      <w:r w:rsidRPr="00B234CF">
        <w:rPr>
          <w:rFonts w:ascii="Verdana" w:eastAsia="Arial MT" w:hAnsi="Verdana" w:cs="Arial MT"/>
          <w:lang w:val="es-ES"/>
        </w:rPr>
        <w:t>desarrollar</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
          <w:lang w:val="es-ES"/>
        </w:rPr>
        <w:t xml:space="preserve"> </w:t>
      </w:r>
      <w:r w:rsidRPr="00B234CF">
        <w:rPr>
          <w:rFonts w:ascii="Verdana" w:eastAsia="Arial MT" w:hAnsi="Verdana" w:cs="Arial MT"/>
          <w:lang w:val="es-ES"/>
        </w:rPr>
        <w:t>del</w:t>
      </w:r>
      <w:r w:rsidRPr="00B234CF">
        <w:rPr>
          <w:rFonts w:ascii="Verdana" w:eastAsia="Arial MT" w:hAnsi="Verdana" w:cs="Arial MT"/>
          <w:spacing w:val="1"/>
          <w:lang w:val="es-ES"/>
        </w:rPr>
        <w:t xml:space="preserve"> </w:t>
      </w:r>
      <w:r w:rsidRPr="00B234CF">
        <w:rPr>
          <w:rFonts w:ascii="Verdana" w:eastAsia="Arial MT" w:hAnsi="Verdana" w:cs="Arial MT"/>
          <w:lang w:val="es-ES"/>
        </w:rPr>
        <w:t>contrato</w:t>
      </w:r>
      <w:r w:rsidRPr="00B234CF">
        <w:rPr>
          <w:rFonts w:ascii="Verdana" w:eastAsia="Arial MT" w:hAnsi="Verdana" w:cs="Arial MT"/>
          <w:spacing w:val="1"/>
          <w:lang w:val="es-ES"/>
        </w:rPr>
        <w:t xml:space="preserve"> </w:t>
      </w:r>
      <w:r w:rsidRPr="00B234CF">
        <w:rPr>
          <w:rFonts w:ascii="Verdana" w:eastAsia="Arial MT" w:hAnsi="Verdana" w:cs="Arial MT"/>
          <w:lang w:val="es-ES"/>
        </w:rPr>
        <w:t>no</w:t>
      </w:r>
      <w:r w:rsidRPr="00B234CF">
        <w:rPr>
          <w:rFonts w:ascii="Verdana" w:eastAsia="Arial MT" w:hAnsi="Verdana" w:cs="Arial MT"/>
          <w:spacing w:val="1"/>
          <w:lang w:val="es-ES"/>
        </w:rPr>
        <w:t xml:space="preserve"> </w:t>
      </w:r>
      <w:r w:rsidRPr="00B234CF">
        <w:rPr>
          <w:rFonts w:ascii="Verdana" w:eastAsia="Arial MT" w:hAnsi="Verdana" w:cs="Arial MT"/>
          <w:lang w:val="es-ES"/>
        </w:rPr>
        <w:t>se</w:t>
      </w:r>
      <w:r w:rsidRPr="00B234CF">
        <w:rPr>
          <w:rFonts w:ascii="Verdana" w:eastAsia="Arial MT" w:hAnsi="Verdana" w:cs="Arial MT"/>
          <w:spacing w:val="1"/>
          <w:lang w:val="es-ES"/>
        </w:rPr>
        <w:t xml:space="preserve"> </w:t>
      </w:r>
      <w:r w:rsidRPr="00B234CF">
        <w:rPr>
          <w:rFonts w:ascii="Verdana" w:eastAsia="Arial MT" w:hAnsi="Verdana" w:cs="Arial MT"/>
          <w:lang w:val="es-ES"/>
        </w:rPr>
        <w:t>requieren</w:t>
      </w:r>
      <w:r>
        <w:rPr>
          <w:rFonts w:ascii="Verdana" w:eastAsia="Arial MT" w:hAnsi="Verdana" w:cs="Arial MT"/>
          <w:lang w:val="es-ES"/>
        </w:rPr>
        <w:t xml:space="preserve"> por lo general,</w:t>
      </w:r>
      <w:r w:rsidRPr="00B234CF">
        <w:rPr>
          <w:rFonts w:ascii="Verdana" w:eastAsia="Arial MT" w:hAnsi="Verdana" w:cs="Arial MT"/>
          <w:spacing w:val="1"/>
          <w:lang w:val="es-ES"/>
        </w:rPr>
        <w:t xml:space="preserve"> </w:t>
      </w:r>
      <w:r w:rsidRPr="00B234CF">
        <w:rPr>
          <w:rFonts w:ascii="Verdana" w:eastAsia="Arial MT" w:hAnsi="Verdana" w:cs="Arial MT"/>
          <w:lang w:val="es-ES"/>
        </w:rPr>
        <w:t>conocimientos</w:t>
      </w:r>
      <w:r w:rsidRPr="00B234CF">
        <w:rPr>
          <w:rFonts w:ascii="Verdana" w:eastAsia="Arial MT" w:hAnsi="Verdana" w:cs="Arial MT"/>
          <w:spacing w:val="1"/>
          <w:lang w:val="es-ES"/>
        </w:rPr>
        <w:t xml:space="preserve"> </w:t>
      </w:r>
      <w:r w:rsidRPr="00B234CF">
        <w:rPr>
          <w:rFonts w:ascii="Verdana" w:eastAsia="Arial MT" w:hAnsi="Verdana" w:cs="Arial MT"/>
          <w:lang w:val="es-ES"/>
        </w:rPr>
        <w:t>técnicos</w:t>
      </w:r>
      <w:r w:rsidRPr="00B234CF">
        <w:rPr>
          <w:rFonts w:ascii="Verdana" w:eastAsia="Arial MT" w:hAnsi="Verdana" w:cs="Arial MT"/>
          <w:spacing w:val="1"/>
          <w:lang w:val="es-ES"/>
        </w:rPr>
        <w:t xml:space="preserve"> </w:t>
      </w:r>
      <w:r w:rsidRPr="00B234CF">
        <w:rPr>
          <w:rFonts w:ascii="Verdana" w:eastAsia="Arial MT" w:hAnsi="Verdana" w:cs="Arial MT"/>
          <w:lang w:val="es-ES"/>
        </w:rPr>
        <w:t>especializados,</w:t>
      </w:r>
      <w:r w:rsidRPr="00B234CF">
        <w:rPr>
          <w:rFonts w:ascii="Verdana" w:eastAsia="Arial MT" w:hAnsi="Verdana" w:cs="Arial MT"/>
          <w:spacing w:val="1"/>
          <w:lang w:val="es-ES"/>
        </w:rPr>
        <w:t xml:space="preserve"> </w:t>
      </w:r>
      <w:r>
        <w:rPr>
          <w:rFonts w:ascii="Verdana" w:eastAsia="Arial MT" w:hAnsi="Verdana" w:cs="Arial MT"/>
          <w:lang w:val="es-ES"/>
        </w:rPr>
        <w:t>sin embargo,</w:t>
      </w:r>
      <w:r w:rsidRPr="00B234CF">
        <w:rPr>
          <w:rFonts w:ascii="Verdana" w:eastAsia="Arial MT" w:hAnsi="Verdana" w:cs="Arial MT"/>
          <w:spacing w:val="1"/>
          <w:lang w:val="es-ES"/>
        </w:rPr>
        <w:t xml:space="preserve"> </w:t>
      </w:r>
      <w:r w:rsidRPr="00B234CF">
        <w:rPr>
          <w:rFonts w:ascii="Verdana" w:eastAsia="Arial MT" w:hAnsi="Verdana" w:cs="Arial MT"/>
          <w:lang w:val="es-ES"/>
        </w:rPr>
        <w:t>las</w:t>
      </w:r>
      <w:r w:rsidRPr="00B234CF">
        <w:rPr>
          <w:rFonts w:ascii="Verdana" w:eastAsia="Arial MT" w:hAnsi="Verdana" w:cs="Arial MT"/>
          <w:spacing w:val="1"/>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w:t>
      </w:r>
      <w:r w:rsidRPr="00B234CF">
        <w:rPr>
          <w:rFonts w:ascii="Verdana" w:eastAsia="Arial MT" w:hAnsi="Verdana" w:cs="Arial MT"/>
          <w:spacing w:val="1"/>
          <w:lang w:val="es-ES"/>
        </w:rPr>
        <w:t xml:space="preserve"> </w:t>
      </w:r>
      <w:r w:rsidRPr="00B234CF">
        <w:rPr>
          <w:rFonts w:ascii="Verdana" w:eastAsia="Arial MT" w:hAnsi="Verdana" w:cs="Arial MT"/>
          <w:lang w:val="es-ES"/>
        </w:rPr>
        <w:t>contractual</w:t>
      </w:r>
      <w:r w:rsidRPr="00B234CF">
        <w:rPr>
          <w:rFonts w:ascii="Verdana" w:eastAsia="Arial MT" w:hAnsi="Verdana" w:cs="Arial MT"/>
          <w:spacing w:val="-7"/>
          <w:lang w:val="es-ES"/>
        </w:rPr>
        <w:t xml:space="preserve"> </w:t>
      </w:r>
      <w:r w:rsidRPr="00B234CF">
        <w:rPr>
          <w:rFonts w:ascii="Verdana" w:eastAsia="Arial MT" w:hAnsi="Verdana" w:cs="Arial MT"/>
          <w:lang w:val="es-ES"/>
        </w:rPr>
        <w:t>abarcan</w:t>
      </w:r>
      <w:r w:rsidRPr="00B234CF">
        <w:rPr>
          <w:rFonts w:ascii="Verdana" w:eastAsia="Arial MT" w:hAnsi="Verdana" w:cs="Arial MT"/>
          <w:spacing w:val="-6"/>
          <w:lang w:val="es-ES"/>
        </w:rPr>
        <w:t xml:space="preserve"> </w:t>
      </w:r>
      <w:r w:rsidRPr="00B234CF">
        <w:rPr>
          <w:rFonts w:ascii="Verdana" w:eastAsia="Arial MT" w:hAnsi="Verdana" w:cs="Arial MT"/>
          <w:lang w:val="es-ES"/>
        </w:rPr>
        <w:t>varios</w:t>
      </w:r>
      <w:r w:rsidRPr="00B234CF">
        <w:rPr>
          <w:rFonts w:ascii="Verdana" w:eastAsia="Arial MT" w:hAnsi="Verdana" w:cs="Arial MT"/>
          <w:spacing w:val="-4"/>
          <w:lang w:val="es-ES"/>
        </w:rPr>
        <w:t xml:space="preserve"> </w:t>
      </w:r>
      <w:r w:rsidRPr="00B234CF">
        <w:rPr>
          <w:rFonts w:ascii="Verdana" w:eastAsia="Arial MT" w:hAnsi="Verdana" w:cs="Arial MT"/>
          <w:lang w:val="es-ES"/>
        </w:rPr>
        <w:t>campos,</w:t>
      </w:r>
      <w:r w:rsidRPr="00B234CF">
        <w:rPr>
          <w:rFonts w:ascii="Verdana" w:eastAsia="Arial MT" w:hAnsi="Verdana" w:cs="Arial MT"/>
          <w:spacing w:val="-5"/>
          <w:lang w:val="es-ES"/>
        </w:rPr>
        <w:t xml:space="preserve"> </w:t>
      </w:r>
      <w:r w:rsidRPr="00B234CF">
        <w:rPr>
          <w:rFonts w:ascii="Verdana" w:eastAsia="Arial MT" w:hAnsi="Verdana" w:cs="Arial MT"/>
          <w:lang w:val="es-ES"/>
        </w:rPr>
        <w:t>por</w:t>
      </w:r>
      <w:r w:rsidRPr="00B234CF">
        <w:rPr>
          <w:rFonts w:ascii="Verdana" w:eastAsia="Arial MT" w:hAnsi="Verdana" w:cs="Arial MT"/>
          <w:spacing w:val="-5"/>
          <w:lang w:val="es-ES"/>
        </w:rPr>
        <w:t xml:space="preserve"> </w:t>
      </w:r>
      <w:r w:rsidRPr="00B234CF">
        <w:rPr>
          <w:rFonts w:ascii="Verdana" w:eastAsia="Arial MT" w:hAnsi="Verdana" w:cs="Arial MT"/>
          <w:lang w:val="es-ES"/>
        </w:rPr>
        <w:t>ejemplo,</w:t>
      </w:r>
      <w:r w:rsidRPr="00B234CF">
        <w:rPr>
          <w:rFonts w:ascii="Verdana" w:eastAsia="Arial MT" w:hAnsi="Verdana" w:cs="Arial MT"/>
          <w:spacing w:val="-6"/>
          <w:lang w:val="es-ES"/>
        </w:rPr>
        <w:t xml:space="preserve"> </w:t>
      </w:r>
      <w:r w:rsidRPr="00B234CF">
        <w:rPr>
          <w:rFonts w:ascii="Verdana" w:eastAsia="Arial MT" w:hAnsi="Verdana" w:cs="Arial MT"/>
          <w:lang w:val="es-ES"/>
        </w:rPr>
        <w:t>aspectos</w:t>
      </w:r>
      <w:r w:rsidRPr="00B234CF">
        <w:rPr>
          <w:rFonts w:ascii="Verdana" w:eastAsia="Arial MT" w:hAnsi="Verdana" w:cs="Arial MT"/>
          <w:spacing w:val="-8"/>
          <w:lang w:val="es-ES"/>
        </w:rPr>
        <w:t xml:space="preserve"> </w:t>
      </w:r>
      <w:r w:rsidRPr="00B234CF">
        <w:rPr>
          <w:rFonts w:ascii="Verdana" w:eastAsia="Arial MT" w:hAnsi="Verdana" w:cs="Arial MT"/>
          <w:lang w:val="es-ES"/>
        </w:rPr>
        <w:t>técnicos,</w:t>
      </w:r>
      <w:r w:rsidRPr="00B234CF">
        <w:rPr>
          <w:rFonts w:ascii="Verdana" w:eastAsia="Arial MT" w:hAnsi="Verdana" w:cs="Arial MT"/>
          <w:spacing w:val="-5"/>
          <w:lang w:val="es-ES"/>
        </w:rPr>
        <w:t xml:space="preserve"> </w:t>
      </w:r>
      <w:r w:rsidRPr="00B234CF">
        <w:rPr>
          <w:rFonts w:ascii="Verdana" w:eastAsia="Arial MT" w:hAnsi="Verdana" w:cs="Arial MT"/>
          <w:lang w:val="es-ES"/>
        </w:rPr>
        <w:t>administrativos,</w:t>
      </w:r>
      <w:r w:rsidRPr="00B234CF">
        <w:rPr>
          <w:rFonts w:ascii="Verdana" w:eastAsia="Arial MT" w:hAnsi="Verdana" w:cs="Arial MT"/>
          <w:spacing w:val="-8"/>
          <w:lang w:val="es-ES"/>
        </w:rPr>
        <w:t xml:space="preserve"> </w:t>
      </w:r>
      <w:r w:rsidRPr="00B234CF">
        <w:rPr>
          <w:rFonts w:ascii="Verdana" w:eastAsia="Arial MT" w:hAnsi="Verdana" w:cs="Arial MT"/>
          <w:lang w:val="es-ES"/>
        </w:rPr>
        <w:t>financieros,</w:t>
      </w:r>
      <w:r w:rsidRPr="00B234CF">
        <w:rPr>
          <w:rFonts w:ascii="Verdana" w:eastAsia="Arial MT" w:hAnsi="Verdana" w:cs="Arial MT"/>
          <w:spacing w:val="-58"/>
          <w:lang w:val="es-ES"/>
        </w:rPr>
        <w:t xml:space="preserve"> </w:t>
      </w:r>
      <w:r w:rsidRPr="00B234CF">
        <w:rPr>
          <w:rFonts w:ascii="Verdana" w:eastAsia="Arial MT" w:hAnsi="Verdana" w:cs="Arial MT"/>
          <w:lang w:val="es-ES"/>
        </w:rPr>
        <w:t xml:space="preserve">contables y jurídicos. </w:t>
      </w:r>
      <w:r>
        <w:rPr>
          <w:rFonts w:ascii="Verdana" w:eastAsia="Arial MT" w:hAnsi="Verdana" w:cs="Arial MT"/>
          <w:lang w:val="es-ES"/>
        </w:rPr>
        <w:t xml:space="preserve">En tal sentido, puede encontrarse diferentes supervisores que hagan un seguimiento a contratos cuyo alcance es amplio, que implique en ocasiones tener en cuenta diferentes variables, como es la ejecución sea en varias ciudades, una distribución de la supervisión por componentes –jurídico, </w:t>
      </w:r>
      <w:r>
        <w:rPr>
          <w:rFonts w:ascii="Verdana" w:eastAsia="Arial MT" w:hAnsi="Verdana" w:cs="Arial MT"/>
          <w:lang w:val="es-ES"/>
        </w:rPr>
        <w:lastRenderedPageBreak/>
        <w:t xml:space="preserve">administrativo, técnico, financiero o contable-, o que el contrato tenga una complejidad técnica por que sea atípico o mixto, entre otros aspectos administrativos, financieros o jurídicos. </w:t>
      </w:r>
    </w:p>
    <w:p w14:paraId="5D552B35" w14:textId="77777777" w:rsidR="00C07830" w:rsidRPr="00B234CF" w:rsidRDefault="00C07830" w:rsidP="00C07830">
      <w:pPr>
        <w:widowControl w:val="0"/>
        <w:autoSpaceDE w:val="0"/>
        <w:autoSpaceDN w:val="0"/>
        <w:spacing w:before="120" w:after="0" w:line="276" w:lineRule="auto"/>
        <w:ind w:right="113" w:firstLine="708"/>
        <w:jc w:val="both"/>
        <w:rPr>
          <w:rFonts w:ascii="Verdana" w:eastAsia="Arial MT" w:hAnsi="Verdana" w:cs="Arial MT"/>
          <w:lang w:val="es-ES"/>
        </w:rPr>
      </w:pPr>
      <w:r>
        <w:rPr>
          <w:rFonts w:ascii="Verdana" w:eastAsia="Arial MT" w:hAnsi="Verdana" w:cs="Arial MT"/>
          <w:lang w:val="es-ES"/>
        </w:rPr>
        <w:t>En efecto</w:t>
      </w:r>
      <w:r w:rsidRPr="00B234CF">
        <w:rPr>
          <w:rFonts w:ascii="Verdana" w:eastAsia="Arial MT" w:hAnsi="Verdana" w:cs="Arial MT"/>
          <w:lang w:val="es-ES"/>
        </w:rPr>
        <w:t>, resulta razonable y posible que la entidad contratante, al</w:t>
      </w:r>
      <w:r w:rsidRPr="00B234CF">
        <w:rPr>
          <w:rFonts w:ascii="Verdana" w:eastAsia="Arial MT" w:hAnsi="Verdana" w:cs="Arial MT"/>
          <w:spacing w:val="1"/>
          <w:lang w:val="es-ES"/>
        </w:rPr>
        <w:t xml:space="preserve"> </w:t>
      </w:r>
      <w:r w:rsidRPr="00B234CF">
        <w:rPr>
          <w:rFonts w:ascii="Verdana" w:eastAsia="Arial MT" w:hAnsi="Verdana" w:cs="Arial MT"/>
          <w:spacing w:val="-1"/>
          <w:lang w:val="es-ES"/>
        </w:rPr>
        <w:t>momento</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de</w:t>
      </w:r>
      <w:r w:rsidRPr="00B234CF">
        <w:rPr>
          <w:rFonts w:ascii="Verdana" w:eastAsia="Arial MT" w:hAnsi="Verdana" w:cs="Arial MT"/>
          <w:spacing w:val="-14"/>
          <w:lang w:val="es-ES"/>
        </w:rPr>
        <w:t xml:space="preserve"> </w:t>
      </w:r>
      <w:r w:rsidRPr="00B234CF">
        <w:rPr>
          <w:rFonts w:ascii="Verdana" w:eastAsia="Arial MT" w:hAnsi="Verdana" w:cs="Arial MT"/>
          <w:spacing w:val="-1"/>
          <w:lang w:val="es-ES"/>
        </w:rPr>
        <w:t>analizar</w:t>
      </w:r>
      <w:r w:rsidRPr="00B234CF">
        <w:rPr>
          <w:rFonts w:ascii="Verdana" w:eastAsia="Arial MT" w:hAnsi="Verdana" w:cs="Arial MT"/>
          <w:spacing w:val="-13"/>
          <w:lang w:val="es-ES"/>
        </w:rPr>
        <w:t xml:space="preserve"> </w:t>
      </w:r>
      <w:r w:rsidRPr="00B234CF">
        <w:rPr>
          <w:rFonts w:ascii="Verdana" w:eastAsia="Arial MT" w:hAnsi="Verdana" w:cs="Arial MT"/>
          <w:lang w:val="es-ES"/>
        </w:rPr>
        <w:t>cómo</w:t>
      </w:r>
      <w:r w:rsidRPr="00B234CF">
        <w:rPr>
          <w:rFonts w:ascii="Verdana" w:eastAsia="Arial MT" w:hAnsi="Verdana" w:cs="Arial MT"/>
          <w:spacing w:val="-14"/>
          <w:lang w:val="es-ES"/>
        </w:rPr>
        <w:t xml:space="preserve"> </w:t>
      </w:r>
      <w:r w:rsidRPr="00B234CF">
        <w:rPr>
          <w:rFonts w:ascii="Verdana" w:eastAsia="Arial MT" w:hAnsi="Verdana" w:cs="Arial MT"/>
          <w:lang w:val="es-ES"/>
        </w:rPr>
        <w:t>ejercer</w:t>
      </w:r>
      <w:r w:rsidRPr="00B234CF">
        <w:rPr>
          <w:rFonts w:ascii="Verdana" w:eastAsia="Arial MT" w:hAnsi="Verdana" w:cs="Arial MT"/>
          <w:spacing w:val="-13"/>
          <w:lang w:val="es-ES"/>
        </w:rPr>
        <w:t xml:space="preserve"> </w:t>
      </w:r>
      <w:r w:rsidRPr="00B234CF">
        <w:rPr>
          <w:rFonts w:ascii="Verdana" w:eastAsia="Arial MT" w:hAnsi="Verdana" w:cs="Arial MT"/>
          <w:lang w:val="es-ES"/>
        </w:rPr>
        <w:t>las</w:t>
      </w:r>
      <w:r w:rsidRPr="00B234CF">
        <w:rPr>
          <w:rFonts w:ascii="Verdana" w:eastAsia="Arial MT" w:hAnsi="Verdana" w:cs="Arial MT"/>
          <w:spacing w:val="-16"/>
          <w:lang w:val="es-ES"/>
        </w:rPr>
        <w:t xml:space="preserve"> </w:t>
      </w:r>
      <w:r w:rsidRPr="00B234CF">
        <w:rPr>
          <w:rFonts w:ascii="Verdana" w:eastAsia="Arial MT" w:hAnsi="Verdana" w:cs="Arial MT"/>
          <w:lang w:val="es-ES"/>
        </w:rPr>
        <w:t>funciones</w:t>
      </w:r>
      <w:r w:rsidRPr="00B234CF">
        <w:rPr>
          <w:rFonts w:ascii="Verdana" w:eastAsia="Arial MT" w:hAnsi="Verdana" w:cs="Arial MT"/>
          <w:spacing w:val="-16"/>
          <w:lang w:val="es-ES"/>
        </w:rPr>
        <w:t xml:space="preserve"> </w:t>
      </w:r>
      <w:r w:rsidRPr="00B234CF">
        <w:rPr>
          <w:rFonts w:ascii="Verdana" w:eastAsia="Arial MT" w:hAnsi="Verdana" w:cs="Arial MT"/>
          <w:lang w:val="es-ES"/>
        </w:rPr>
        <w:t>de</w:t>
      </w:r>
      <w:r w:rsidRPr="00B234CF">
        <w:rPr>
          <w:rFonts w:ascii="Verdana" w:eastAsia="Arial MT" w:hAnsi="Verdana" w:cs="Arial MT"/>
          <w:spacing w:val="-14"/>
          <w:lang w:val="es-ES"/>
        </w:rPr>
        <w:t xml:space="preserve"> </w:t>
      </w:r>
      <w:r w:rsidRPr="00B234CF">
        <w:rPr>
          <w:rFonts w:ascii="Verdana" w:eastAsia="Arial MT" w:hAnsi="Verdana" w:cs="Arial MT"/>
          <w:lang w:val="es-ES"/>
        </w:rPr>
        <w:t>supervisión</w:t>
      </w:r>
      <w:r w:rsidRPr="00B234CF">
        <w:rPr>
          <w:rFonts w:ascii="Verdana" w:eastAsia="Arial MT" w:hAnsi="Verdana" w:cs="Arial MT"/>
          <w:spacing w:val="-14"/>
          <w:lang w:val="es-ES"/>
        </w:rPr>
        <w:t xml:space="preserve"> </w:t>
      </w:r>
      <w:r w:rsidRPr="00B234CF">
        <w:rPr>
          <w:rFonts w:ascii="Verdana" w:eastAsia="Arial MT" w:hAnsi="Verdana" w:cs="Arial MT"/>
          <w:lang w:val="es-ES"/>
        </w:rPr>
        <w:t>del</w:t>
      </w:r>
      <w:r w:rsidRPr="00B234CF">
        <w:rPr>
          <w:rFonts w:ascii="Verdana" w:eastAsia="Arial MT" w:hAnsi="Verdana" w:cs="Arial MT"/>
          <w:spacing w:val="-15"/>
          <w:lang w:val="es-ES"/>
        </w:rPr>
        <w:t xml:space="preserve"> </w:t>
      </w:r>
      <w:r w:rsidRPr="00B234CF">
        <w:rPr>
          <w:rFonts w:ascii="Verdana" w:eastAsia="Arial MT" w:hAnsi="Verdana" w:cs="Arial MT"/>
          <w:lang w:val="es-ES"/>
        </w:rPr>
        <w:t>contrato,</w:t>
      </w:r>
      <w:r w:rsidRPr="00B234CF">
        <w:rPr>
          <w:rFonts w:ascii="Verdana" w:eastAsia="Arial MT" w:hAnsi="Verdana" w:cs="Arial MT"/>
          <w:spacing w:val="-13"/>
          <w:lang w:val="es-ES"/>
        </w:rPr>
        <w:t xml:space="preserve"> </w:t>
      </w:r>
      <w:r w:rsidRPr="00B234CF">
        <w:rPr>
          <w:rFonts w:ascii="Verdana" w:eastAsia="Arial MT" w:hAnsi="Verdana" w:cs="Arial MT"/>
          <w:lang w:val="es-ES"/>
        </w:rPr>
        <w:t>determine</w:t>
      </w:r>
      <w:r w:rsidRPr="00B234CF">
        <w:rPr>
          <w:rFonts w:ascii="Verdana" w:eastAsia="Arial MT" w:hAnsi="Verdana" w:cs="Arial MT"/>
          <w:spacing w:val="-17"/>
          <w:lang w:val="es-ES"/>
        </w:rPr>
        <w:t xml:space="preserve"> </w:t>
      </w:r>
      <w:r w:rsidRPr="00B234CF">
        <w:rPr>
          <w:rFonts w:ascii="Verdana" w:eastAsia="Arial MT" w:hAnsi="Verdana" w:cs="Arial MT"/>
          <w:lang w:val="es-ES"/>
        </w:rPr>
        <w:t>que</w:t>
      </w:r>
      <w:r w:rsidRPr="00B234CF">
        <w:rPr>
          <w:rFonts w:ascii="Verdana" w:eastAsia="Arial MT" w:hAnsi="Verdana" w:cs="Arial MT"/>
          <w:spacing w:val="-14"/>
          <w:lang w:val="es-ES"/>
        </w:rPr>
        <w:t xml:space="preserve"> </w:t>
      </w:r>
      <w:r w:rsidRPr="00B234CF">
        <w:rPr>
          <w:rFonts w:ascii="Verdana" w:eastAsia="Arial MT" w:hAnsi="Verdana" w:cs="Arial MT"/>
          <w:lang w:val="es-ES"/>
        </w:rPr>
        <w:t>estas</w:t>
      </w:r>
      <w:r w:rsidRPr="00B234CF">
        <w:rPr>
          <w:rFonts w:ascii="Verdana" w:eastAsia="Arial MT" w:hAnsi="Verdana" w:cs="Arial MT"/>
          <w:spacing w:val="-59"/>
          <w:lang w:val="es-ES"/>
        </w:rPr>
        <w:t xml:space="preserve"> </w:t>
      </w:r>
      <w:r w:rsidRPr="00B234CF">
        <w:rPr>
          <w:rFonts w:ascii="Verdana" w:eastAsia="Arial MT" w:hAnsi="Verdana" w:cs="Arial MT"/>
          <w:lang w:val="es-ES"/>
        </w:rPr>
        <w:t>deban realizarse por más de un servidor público. Es decir, es posible que las actividades de</w:t>
      </w:r>
      <w:r w:rsidRPr="00B234CF">
        <w:rPr>
          <w:rFonts w:ascii="Verdana" w:eastAsia="Arial MT" w:hAnsi="Verdana" w:cs="Arial MT"/>
          <w:spacing w:val="1"/>
          <w:lang w:val="es-ES"/>
        </w:rPr>
        <w:t xml:space="preserve"> </w:t>
      </w:r>
      <w:r w:rsidRPr="00B234CF">
        <w:rPr>
          <w:rFonts w:ascii="Verdana" w:eastAsia="Arial MT" w:hAnsi="Verdana" w:cs="Arial MT"/>
          <w:lang w:val="es-ES"/>
        </w:rPr>
        <w:t>seguimiento de ejecución del contrato sean distribuidas, de acuerdo con la especialidad de los</w:t>
      </w:r>
      <w:r w:rsidRPr="00B234CF">
        <w:rPr>
          <w:rFonts w:ascii="Verdana" w:eastAsia="Arial MT" w:hAnsi="Verdana" w:cs="Arial MT"/>
          <w:spacing w:val="1"/>
          <w:lang w:val="es-ES"/>
        </w:rPr>
        <w:t xml:space="preserve"> </w:t>
      </w:r>
      <w:r w:rsidRPr="00B234CF">
        <w:rPr>
          <w:rFonts w:ascii="Verdana" w:eastAsia="Arial MT" w:hAnsi="Verdana" w:cs="Arial MT"/>
          <w:lang w:val="es-ES"/>
        </w:rPr>
        <w:t>servidores</w:t>
      </w:r>
      <w:r>
        <w:rPr>
          <w:rFonts w:ascii="Verdana" w:eastAsia="Arial MT" w:hAnsi="Verdana" w:cs="Arial MT"/>
          <w:lang w:val="es-ES"/>
        </w:rPr>
        <w:t>, lo que implica una supervisión colegiada. En todo caso</w:t>
      </w:r>
      <w:r w:rsidRPr="00B234CF">
        <w:rPr>
          <w:rFonts w:ascii="Verdana" w:eastAsia="Arial MT" w:hAnsi="Verdana" w:cs="Arial MT"/>
          <w:lang w:val="es-ES"/>
        </w:rPr>
        <w:t>, deberá tener en cuenta que las funciones propias de los cargos, y los</w:t>
      </w:r>
      <w:r w:rsidRPr="00B234CF">
        <w:rPr>
          <w:rFonts w:ascii="Verdana" w:eastAsia="Arial MT" w:hAnsi="Verdana" w:cs="Arial MT"/>
          <w:spacing w:val="1"/>
          <w:lang w:val="es-ES"/>
        </w:rPr>
        <w:t xml:space="preserve"> </w:t>
      </w:r>
      <w:r w:rsidRPr="00B234CF">
        <w:rPr>
          <w:rFonts w:ascii="Verdana" w:eastAsia="Arial MT" w:hAnsi="Verdana" w:cs="Arial MT"/>
          <w:lang w:val="es-ES"/>
        </w:rPr>
        <w:t>perfiles, conocimientos y experiencia de los funcionarios designados, guarden relación directa</w:t>
      </w:r>
      <w:r w:rsidRPr="00B234CF">
        <w:rPr>
          <w:rFonts w:ascii="Verdana" w:eastAsia="Arial MT" w:hAnsi="Verdana" w:cs="Arial MT"/>
          <w:spacing w:val="1"/>
          <w:lang w:val="es-ES"/>
        </w:rPr>
        <w:t xml:space="preserve"> </w:t>
      </w:r>
      <w:r w:rsidRPr="00B234CF">
        <w:rPr>
          <w:rFonts w:ascii="Verdana" w:eastAsia="Arial MT" w:hAnsi="Verdana" w:cs="Arial MT"/>
          <w:lang w:val="es-ES"/>
        </w:rPr>
        <w:t>con el objeto del contrato y sus aspectos a supervisar. Lo anterior pretende que la vigilancia del</w:t>
      </w:r>
      <w:r w:rsidRPr="00B234CF">
        <w:rPr>
          <w:rFonts w:ascii="Verdana" w:eastAsia="Arial MT" w:hAnsi="Verdana" w:cs="Arial MT"/>
          <w:spacing w:val="-59"/>
          <w:lang w:val="es-ES"/>
        </w:rPr>
        <w:t xml:space="preserve"> </w:t>
      </w:r>
      <w:r w:rsidRPr="00B234CF">
        <w:rPr>
          <w:rFonts w:ascii="Verdana" w:eastAsia="Arial MT" w:hAnsi="Verdana" w:cs="Arial MT"/>
          <w:lang w:val="es-ES"/>
        </w:rPr>
        <w:t>contrato se realice de manera idónea y suficiente, con distribución equitativa de cargas y</w:t>
      </w:r>
      <w:r w:rsidRPr="00B234CF">
        <w:rPr>
          <w:rFonts w:ascii="Verdana" w:eastAsia="Arial MT" w:hAnsi="Verdana" w:cs="Arial MT"/>
          <w:spacing w:val="1"/>
          <w:lang w:val="es-ES"/>
        </w:rPr>
        <w:t xml:space="preserve"> </w:t>
      </w:r>
      <w:r w:rsidRPr="00B234CF">
        <w:rPr>
          <w:rFonts w:ascii="Verdana" w:eastAsia="Arial MT" w:hAnsi="Verdana" w:cs="Arial MT"/>
          <w:lang w:val="es-ES"/>
        </w:rPr>
        <w:t>responsabilidades, en</w:t>
      </w:r>
      <w:r w:rsidRPr="00B234CF">
        <w:rPr>
          <w:rFonts w:ascii="Verdana" w:eastAsia="Arial MT" w:hAnsi="Verdana" w:cs="Arial MT"/>
          <w:spacing w:val="-3"/>
          <w:lang w:val="es-ES"/>
        </w:rPr>
        <w:t xml:space="preserve"> </w:t>
      </w:r>
      <w:r w:rsidRPr="00B234CF">
        <w:rPr>
          <w:rFonts w:ascii="Verdana" w:eastAsia="Arial MT" w:hAnsi="Verdana" w:cs="Arial MT"/>
          <w:lang w:val="es-ES"/>
        </w:rPr>
        <w:t>aplicación</w:t>
      </w:r>
      <w:r w:rsidRPr="00B234CF">
        <w:rPr>
          <w:rFonts w:ascii="Verdana" w:eastAsia="Arial MT" w:hAnsi="Verdana" w:cs="Arial MT"/>
          <w:spacing w:val="-2"/>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de</w:t>
      </w:r>
      <w:r w:rsidRPr="00B234CF">
        <w:rPr>
          <w:rFonts w:ascii="Verdana" w:eastAsia="Arial MT" w:hAnsi="Verdana" w:cs="Arial MT"/>
          <w:spacing w:val="-2"/>
          <w:lang w:val="es-ES"/>
        </w:rPr>
        <w:t xml:space="preserve"> </w:t>
      </w:r>
      <w:r w:rsidRPr="00B234CF">
        <w:rPr>
          <w:rFonts w:ascii="Verdana" w:eastAsia="Arial MT" w:hAnsi="Verdana" w:cs="Arial MT"/>
          <w:lang w:val="es-ES"/>
        </w:rPr>
        <w:t>coordinación</w:t>
      </w:r>
      <w:r w:rsidRPr="00B234CF">
        <w:rPr>
          <w:rFonts w:ascii="Verdana" w:eastAsia="Arial MT" w:hAnsi="Verdana" w:cs="Arial MT"/>
          <w:spacing w:val="-3"/>
          <w:lang w:val="es-ES"/>
        </w:rPr>
        <w:t xml:space="preserve"> </w:t>
      </w:r>
      <w:r w:rsidRPr="00B234CF">
        <w:rPr>
          <w:rFonts w:ascii="Verdana" w:eastAsia="Arial MT" w:hAnsi="Verdana" w:cs="Arial MT"/>
          <w:lang w:val="es-ES"/>
        </w:rPr>
        <w:t>y</w:t>
      </w:r>
      <w:r w:rsidRPr="00B234CF">
        <w:rPr>
          <w:rFonts w:ascii="Verdana" w:eastAsia="Arial MT" w:hAnsi="Verdana" w:cs="Arial MT"/>
          <w:spacing w:val="-4"/>
          <w:lang w:val="es-ES"/>
        </w:rPr>
        <w:t xml:space="preserve"> </w:t>
      </w:r>
      <w:r w:rsidRPr="00B234CF">
        <w:rPr>
          <w:rFonts w:ascii="Verdana" w:eastAsia="Arial MT" w:hAnsi="Verdana" w:cs="Arial MT"/>
          <w:lang w:val="es-ES"/>
        </w:rPr>
        <w:t>eficacia</w:t>
      </w:r>
      <w:r w:rsidRPr="00B234CF">
        <w:rPr>
          <w:rFonts w:ascii="Verdana" w:eastAsia="Arial MT" w:hAnsi="Verdana" w:cs="Arial MT"/>
          <w:spacing w:val="-5"/>
          <w:lang w:val="es-ES"/>
        </w:rPr>
        <w:t xml:space="preserve"> </w:t>
      </w:r>
      <w:r w:rsidRPr="00B234CF">
        <w:rPr>
          <w:rFonts w:ascii="Verdana" w:eastAsia="Arial MT" w:hAnsi="Verdana" w:cs="Arial MT"/>
          <w:lang w:val="es-ES"/>
        </w:rPr>
        <w:t>que</w:t>
      </w:r>
      <w:r w:rsidRPr="00B234CF">
        <w:rPr>
          <w:rFonts w:ascii="Verdana" w:eastAsia="Arial MT" w:hAnsi="Verdana" w:cs="Arial MT"/>
          <w:spacing w:val="-4"/>
          <w:lang w:val="es-ES"/>
        </w:rPr>
        <w:t xml:space="preserve"> </w:t>
      </w:r>
      <w:r w:rsidRPr="00B234CF">
        <w:rPr>
          <w:rFonts w:ascii="Verdana" w:eastAsia="Arial MT" w:hAnsi="Verdana" w:cs="Arial MT"/>
          <w:lang w:val="es-ES"/>
        </w:rPr>
        <w:t>rigen</w:t>
      </w:r>
      <w:r w:rsidRPr="00B234CF">
        <w:rPr>
          <w:rFonts w:ascii="Verdana" w:eastAsia="Arial MT" w:hAnsi="Verdana" w:cs="Arial MT"/>
          <w:spacing w:val="-3"/>
          <w:lang w:val="es-ES"/>
        </w:rPr>
        <w:t xml:space="preserve"> </w:t>
      </w:r>
      <w:r w:rsidRPr="00B234CF">
        <w:rPr>
          <w:rFonts w:ascii="Verdana" w:eastAsia="Arial MT" w:hAnsi="Verdana" w:cs="Arial MT"/>
          <w:lang w:val="es-ES"/>
        </w:rPr>
        <w:t>el</w:t>
      </w:r>
      <w:r w:rsidRPr="00B234CF">
        <w:rPr>
          <w:rFonts w:ascii="Verdana" w:eastAsia="Arial MT" w:hAnsi="Verdana" w:cs="Arial MT"/>
          <w:spacing w:val="-3"/>
          <w:lang w:val="es-ES"/>
        </w:rPr>
        <w:t xml:space="preserve"> </w:t>
      </w:r>
      <w:r w:rsidRPr="00B234CF">
        <w:rPr>
          <w:rFonts w:ascii="Verdana" w:eastAsia="Arial MT" w:hAnsi="Verdana" w:cs="Arial MT"/>
          <w:lang w:val="es-ES"/>
        </w:rPr>
        <w:t>ejercicio</w:t>
      </w:r>
      <w:r w:rsidRPr="00B234CF">
        <w:rPr>
          <w:rFonts w:ascii="Verdana" w:eastAsia="Arial MT" w:hAnsi="Verdana" w:cs="Arial MT"/>
          <w:spacing w:val="-58"/>
          <w:lang w:val="es-ES"/>
        </w:rPr>
        <w:t xml:space="preserve"> </w:t>
      </w:r>
      <w:r w:rsidRPr="00B234CF">
        <w:rPr>
          <w:rFonts w:ascii="Verdana" w:eastAsia="Arial MT" w:hAnsi="Verdana" w:cs="Arial MT"/>
          <w:lang w:val="es-ES"/>
        </w:rPr>
        <w:t>de</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función</w:t>
      </w:r>
      <w:r w:rsidRPr="00B234CF">
        <w:rPr>
          <w:rFonts w:ascii="Verdana" w:eastAsia="Arial MT" w:hAnsi="Verdana" w:cs="Arial MT"/>
          <w:spacing w:val="1"/>
          <w:lang w:val="es-ES"/>
        </w:rPr>
        <w:t xml:space="preserve"> </w:t>
      </w:r>
      <w:r w:rsidRPr="00B234CF">
        <w:rPr>
          <w:rFonts w:ascii="Verdana" w:eastAsia="Arial MT" w:hAnsi="Verdana" w:cs="Arial MT"/>
          <w:lang w:val="es-ES"/>
        </w:rPr>
        <w:t>administrativa.</w:t>
      </w:r>
      <w:r w:rsidRPr="00B234CF">
        <w:rPr>
          <w:rFonts w:ascii="Verdana" w:eastAsia="Arial MT" w:hAnsi="Verdana" w:cs="Arial MT"/>
          <w:spacing w:val="1"/>
          <w:lang w:val="es-ES"/>
        </w:rPr>
        <w:t xml:space="preserve"> </w:t>
      </w:r>
      <w:r w:rsidRPr="00B234CF">
        <w:rPr>
          <w:rFonts w:ascii="Verdana" w:eastAsia="Arial MT" w:hAnsi="Verdana" w:cs="Arial MT"/>
          <w:lang w:val="es-ES"/>
        </w:rPr>
        <w:t>Estos</w:t>
      </w:r>
      <w:r w:rsidRPr="00B234CF">
        <w:rPr>
          <w:rFonts w:ascii="Verdana" w:eastAsia="Arial MT" w:hAnsi="Verdana" w:cs="Arial MT"/>
          <w:spacing w:val="1"/>
          <w:lang w:val="es-ES"/>
        </w:rPr>
        <w:t xml:space="preserve"> </w:t>
      </w:r>
      <w:r w:rsidRPr="00B234CF">
        <w:rPr>
          <w:rFonts w:ascii="Verdana" w:eastAsia="Arial MT" w:hAnsi="Verdana" w:cs="Arial MT"/>
          <w:lang w:val="es-ES"/>
        </w:rPr>
        <w:t>principios</w:t>
      </w:r>
      <w:r w:rsidRPr="00B234CF">
        <w:rPr>
          <w:rFonts w:ascii="Verdana" w:eastAsia="Arial MT" w:hAnsi="Verdana" w:cs="Arial MT"/>
          <w:spacing w:val="1"/>
          <w:lang w:val="es-ES"/>
        </w:rPr>
        <w:t xml:space="preserve"> </w:t>
      </w:r>
      <w:r w:rsidRPr="00B234CF">
        <w:rPr>
          <w:rFonts w:ascii="Verdana" w:eastAsia="Arial MT" w:hAnsi="Verdana" w:cs="Arial MT"/>
          <w:lang w:val="es-ES"/>
        </w:rPr>
        <w:t>son</w:t>
      </w:r>
      <w:r w:rsidRPr="00B234CF">
        <w:rPr>
          <w:rFonts w:ascii="Verdana" w:eastAsia="Arial MT" w:hAnsi="Verdana" w:cs="Arial MT"/>
          <w:spacing w:val="1"/>
          <w:lang w:val="es-ES"/>
        </w:rPr>
        <w:t xml:space="preserve"> </w:t>
      </w:r>
      <w:r w:rsidRPr="00B234CF">
        <w:rPr>
          <w:rFonts w:ascii="Verdana" w:eastAsia="Arial MT" w:hAnsi="Verdana" w:cs="Arial MT"/>
          <w:lang w:val="es-ES"/>
        </w:rPr>
        <w:t>aplicables</w:t>
      </w:r>
      <w:r w:rsidRPr="00B234CF">
        <w:rPr>
          <w:rFonts w:ascii="Verdana" w:eastAsia="Arial MT" w:hAnsi="Verdana" w:cs="Arial MT"/>
          <w:spacing w:val="1"/>
          <w:lang w:val="es-ES"/>
        </w:rPr>
        <w:t xml:space="preserve"> </w:t>
      </w:r>
      <w:r w:rsidRPr="00B234CF">
        <w:rPr>
          <w:rFonts w:ascii="Verdana" w:eastAsia="Arial MT" w:hAnsi="Verdana" w:cs="Arial MT"/>
          <w:lang w:val="es-ES"/>
        </w:rPr>
        <w:t>a</w:t>
      </w:r>
      <w:r w:rsidRPr="00B234CF">
        <w:rPr>
          <w:rFonts w:ascii="Verdana" w:eastAsia="Arial MT" w:hAnsi="Verdana" w:cs="Arial MT"/>
          <w:spacing w:val="1"/>
          <w:lang w:val="es-ES"/>
        </w:rPr>
        <w:t xml:space="preserve"> </w:t>
      </w:r>
      <w:r w:rsidRPr="00B234CF">
        <w:rPr>
          <w:rFonts w:ascii="Verdana" w:eastAsia="Arial MT" w:hAnsi="Verdana" w:cs="Arial MT"/>
          <w:lang w:val="es-ES"/>
        </w:rPr>
        <w:t>la</w:t>
      </w:r>
      <w:r w:rsidRPr="00B234CF">
        <w:rPr>
          <w:rFonts w:ascii="Verdana" w:eastAsia="Arial MT" w:hAnsi="Verdana" w:cs="Arial MT"/>
          <w:spacing w:val="1"/>
          <w:lang w:val="es-ES"/>
        </w:rPr>
        <w:t xml:space="preserve"> </w:t>
      </w:r>
      <w:r w:rsidRPr="00B234CF">
        <w:rPr>
          <w:rFonts w:ascii="Verdana" w:eastAsia="Arial MT" w:hAnsi="Verdana" w:cs="Arial MT"/>
          <w:lang w:val="es-ES"/>
        </w:rPr>
        <w:t>contratación</w:t>
      </w:r>
      <w:r w:rsidRPr="00B234CF">
        <w:rPr>
          <w:rFonts w:ascii="Verdana" w:eastAsia="Arial MT" w:hAnsi="Verdana" w:cs="Arial MT"/>
          <w:spacing w:val="1"/>
          <w:lang w:val="es-ES"/>
        </w:rPr>
        <w:t xml:space="preserve"> </w:t>
      </w:r>
      <w:r w:rsidRPr="00B234CF">
        <w:rPr>
          <w:rFonts w:ascii="Verdana" w:eastAsia="Arial MT" w:hAnsi="Verdana" w:cs="Arial MT"/>
          <w:lang w:val="es-ES"/>
        </w:rPr>
        <w:t>estatal</w:t>
      </w:r>
      <w:r w:rsidRPr="00B234CF">
        <w:rPr>
          <w:rFonts w:ascii="Verdana" w:eastAsia="Arial MT" w:hAnsi="Verdana" w:cs="Arial MT"/>
          <w:spacing w:val="1"/>
          <w:lang w:val="es-ES"/>
        </w:rPr>
        <w:t xml:space="preserve"> </w:t>
      </w:r>
      <w:r w:rsidRPr="00B234CF">
        <w:rPr>
          <w:rFonts w:ascii="Verdana" w:eastAsia="Arial MT" w:hAnsi="Verdana" w:cs="Arial MT"/>
          <w:lang w:val="es-ES"/>
        </w:rPr>
        <w:t>por</w:t>
      </w:r>
      <w:r w:rsidRPr="00B234CF">
        <w:rPr>
          <w:rFonts w:ascii="Verdana" w:eastAsia="Arial MT" w:hAnsi="Verdana" w:cs="Arial MT"/>
          <w:spacing w:val="1"/>
          <w:lang w:val="es-ES"/>
        </w:rPr>
        <w:t xml:space="preserve"> </w:t>
      </w:r>
      <w:r w:rsidRPr="00B234CF">
        <w:rPr>
          <w:rFonts w:ascii="Verdana" w:eastAsia="Arial MT" w:hAnsi="Verdana" w:cs="Arial MT"/>
          <w:lang w:val="es-ES"/>
        </w:rPr>
        <w:t>disposición</w:t>
      </w:r>
      <w:r w:rsidRPr="00B234CF">
        <w:rPr>
          <w:rFonts w:ascii="Verdana" w:eastAsia="Arial MT" w:hAnsi="Verdana" w:cs="Arial MT"/>
          <w:spacing w:val="-1"/>
          <w:lang w:val="es-ES"/>
        </w:rPr>
        <w:t xml:space="preserve"> </w:t>
      </w:r>
      <w:r w:rsidRPr="00B234CF">
        <w:rPr>
          <w:rFonts w:ascii="Verdana" w:eastAsia="Arial MT" w:hAnsi="Verdana" w:cs="Arial MT"/>
          <w:lang w:val="es-ES"/>
        </w:rPr>
        <w:t>del artículo 23 de la Ley 80</w:t>
      </w:r>
      <w:r w:rsidRPr="00B234CF">
        <w:rPr>
          <w:rFonts w:ascii="Verdana" w:eastAsia="Arial MT" w:hAnsi="Verdana" w:cs="Arial MT"/>
          <w:spacing w:val="-2"/>
          <w:lang w:val="es-ES"/>
        </w:rPr>
        <w:t xml:space="preserve"> </w:t>
      </w:r>
      <w:r w:rsidRPr="00B234CF">
        <w:rPr>
          <w:rFonts w:ascii="Verdana" w:eastAsia="Arial MT" w:hAnsi="Verdana" w:cs="Arial MT"/>
          <w:lang w:val="es-ES"/>
        </w:rPr>
        <w:t>de 1993.</w:t>
      </w:r>
    </w:p>
    <w:p w14:paraId="27676AFE" w14:textId="77777777" w:rsidR="00C07830" w:rsidRPr="00D324C9" w:rsidRDefault="00C07830" w:rsidP="00C07830">
      <w:pPr>
        <w:widowControl w:val="0"/>
        <w:autoSpaceDE w:val="0"/>
        <w:autoSpaceDN w:val="0"/>
        <w:spacing w:before="120" w:after="120" w:line="276" w:lineRule="auto"/>
        <w:ind w:right="113" w:firstLine="708"/>
        <w:jc w:val="both"/>
        <w:rPr>
          <w:rFonts w:ascii="Verdana" w:eastAsia="Arial MT" w:hAnsi="Verdana" w:cs="Arial"/>
          <w:lang w:val="es-ES"/>
        </w:rPr>
      </w:pPr>
      <w:r w:rsidRPr="00B234CF">
        <w:rPr>
          <w:rFonts w:ascii="Verdana" w:eastAsia="Arial MT" w:hAnsi="Verdana" w:cs="Arial"/>
          <w:lang w:val="es-ES"/>
        </w:rPr>
        <w:t>Sin embargo, SECOP II solo permite la designación de un único supervisor, razón por la que en los procedimientos desarrollados en dicha plataforma no resulta posible dividir la labor de supervisor en más de una persona. En ese sentido, dado que estos procesos se desarrollan de manera totalmente transaccional al interior de la plataforma, al no resultar posible a la fecha asignar el rol de supervisor a más de una persona, es conveniente que se designe un único supervisor, sin perjuicio de la posibilidad de que este apoye en otros funcionarios o contratistas, ni de la posibilidad de que en los procedimientos no desarrollados mediante el SECOP II se designe más de un supervisor, conforme a lo expuesto</w:t>
      </w:r>
      <w:r>
        <w:rPr>
          <w:rFonts w:ascii="Verdana" w:eastAsia="Arial MT" w:hAnsi="Verdana" w:cs="Arial"/>
          <w:i/>
          <w:iCs/>
          <w:lang w:val="es-ES"/>
        </w:rPr>
        <w:t xml:space="preserve"> </w:t>
      </w:r>
      <w:r w:rsidRPr="00D324C9">
        <w:rPr>
          <w:rFonts w:ascii="Verdana" w:eastAsia="Arial MT" w:hAnsi="Verdana" w:cs="Arial"/>
          <w:lang w:val="es-ES"/>
        </w:rPr>
        <w:t>previamente.</w:t>
      </w:r>
      <w:r w:rsidRPr="00B234CF">
        <w:rPr>
          <w:rFonts w:ascii="Verdana" w:eastAsia="Arial MT" w:hAnsi="Verdana" w:cs="Arial"/>
          <w:lang w:val="es-ES"/>
        </w:rPr>
        <w:t xml:space="preserve"> </w:t>
      </w:r>
    </w:p>
    <w:p w14:paraId="45806AD7" w14:textId="77777777" w:rsidR="00C07830" w:rsidRDefault="00C07830" w:rsidP="00C07830">
      <w:pPr>
        <w:widowControl w:val="0"/>
        <w:autoSpaceDE w:val="0"/>
        <w:autoSpaceDN w:val="0"/>
        <w:spacing w:after="0" w:line="276" w:lineRule="auto"/>
        <w:ind w:firstLine="709"/>
        <w:jc w:val="both"/>
        <w:rPr>
          <w:rFonts w:ascii="Verdana" w:eastAsia="Arial MT" w:hAnsi="Verdana" w:cs="Arial"/>
          <w:spacing w:val="1"/>
        </w:rPr>
      </w:pPr>
      <w:r>
        <w:rPr>
          <w:rFonts w:ascii="Verdana" w:eastAsia="Arial MT" w:hAnsi="Verdana" w:cs="Arial"/>
          <w:spacing w:val="1"/>
        </w:rPr>
        <w:t>Así las cosas</w:t>
      </w:r>
      <w:r w:rsidRPr="00D67057">
        <w:rPr>
          <w:rFonts w:ascii="Verdana" w:eastAsia="Arial MT" w:hAnsi="Verdana" w:cs="Arial"/>
          <w:spacing w:val="1"/>
        </w:rPr>
        <w:t xml:space="preserve">, la actuación del supervisor debe orientarse siempre a la protección del interés público y a la correcta ejecución del contrato, lo que exige cumplir los plazos y deberes de verificación asignados. La aprobación oportuna de las cuentas de cobro no es un trámite accesorio, sino una obligación funcional que garantiza la continuidad del objeto contractual y evita impactos negativos para la entidad y para el contratista. Por ello, la supervisión responsable, diligente y ajustada a la normativa constituye </w:t>
      </w:r>
      <w:r>
        <w:rPr>
          <w:rFonts w:ascii="Verdana" w:eastAsia="Arial MT" w:hAnsi="Verdana" w:cs="Arial"/>
          <w:spacing w:val="1"/>
        </w:rPr>
        <w:t xml:space="preserve">un elemento esencial de una buena gestión administrativa </w:t>
      </w:r>
      <w:r w:rsidRPr="00D67057">
        <w:rPr>
          <w:rFonts w:ascii="Verdana" w:eastAsia="Arial MT" w:hAnsi="Verdana" w:cs="Arial"/>
          <w:spacing w:val="1"/>
        </w:rPr>
        <w:t>y un mecanismo para prevenir riesgos jurídicos, financieros y reputacionales en la gestión contractual.</w:t>
      </w:r>
    </w:p>
    <w:p w14:paraId="6A8F8867" w14:textId="77777777" w:rsidR="00C07830" w:rsidRDefault="00C07830" w:rsidP="00C07830">
      <w:pPr>
        <w:widowControl w:val="0"/>
        <w:autoSpaceDE w:val="0"/>
        <w:autoSpaceDN w:val="0"/>
        <w:spacing w:after="0" w:line="276" w:lineRule="auto"/>
        <w:ind w:firstLine="709"/>
        <w:jc w:val="both"/>
        <w:rPr>
          <w:rFonts w:ascii="Verdana" w:eastAsia="Arial MT" w:hAnsi="Verdana" w:cs="Arial"/>
          <w:spacing w:val="1"/>
        </w:rPr>
      </w:pPr>
    </w:p>
    <w:p w14:paraId="1F70D081" w14:textId="77777777" w:rsidR="00C07830" w:rsidRDefault="00C07830" w:rsidP="00C07830">
      <w:pPr>
        <w:spacing w:after="0" w:line="276" w:lineRule="auto"/>
        <w:jc w:val="both"/>
        <w:rPr>
          <w:rFonts w:ascii="Verdana" w:eastAsia="Calibri" w:hAnsi="Verdana" w:cs="Arial"/>
        </w:rPr>
      </w:pPr>
      <w:r w:rsidRPr="000724B7">
        <w:rPr>
          <w:rFonts w:ascii="Verdana" w:eastAsia="Calibri" w:hAnsi="Verdana" w:cs="Arial"/>
        </w:rPr>
        <w:t>Este deber se infiere de las responsabilidades que recaen sobre los servidores públicos, como se estipula en el</w:t>
      </w:r>
      <w:r>
        <w:rPr>
          <w:rFonts w:ascii="Verdana" w:eastAsia="Calibri" w:hAnsi="Verdana" w:cs="Arial"/>
        </w:rPr>
        <w:t xml:space="preserve"> numeral 1° del</w:t>
      </w:r>
      <w:r w:rsidRPr="000724B7">
        <w:rPr>
          <w:rFonts w:ascii="Verdana" w:eastAsia="Calibri" w:hAnsi="Verdana" w:cs="Arial"/>
        </w:rPr>
        <w:t xml:space="preserve"> </w:t>
      </w:r>
      <w:r w:rsidRPr="00AE6F74">
        <w:rPr>
          <w:rFonts w:ascii="Verdana" w:eastAsia="Calibri" w:hAnsi="Verdana" w:cs="Arial"/>
        </w:rPr>
        <w:t xml:space="preserve">artículo </w:t>
      </w:r>
      <w:r>
        <w:rPr>
          <w:rFonts w:ascii="Verdana" w:eastAsia="Calibri" w:hAnsi="Verdana" w:cs="Arial"/>
        </w:rPr>
        <w:t>11</w:t>
      </w:r>
      <w:r w:rsidRPr="00AE6F74">
        <w:rPr>
          <w:rFonts w:ascii="Verdana" w:eastAsia="Calibri" w:hAnsi="Verdana" w:cs="Arial"/>
        </w:rPr>
        <w:t xml:space="preserve"> de la misma Ley 80 de 1993</w:t>
      </w:r>
      <w:r>
        <w:rPr>
          <w:rFonts w:ascii="Verdana" w:eastAsia="Calibri" w:hAnsi="Verdana" w:cs="Arial"/>
        </w:rPr>
        <w:t xml:space="preserve"> que establece lo siguiente:</w:t>
      </w:r>
      <w:r w:rsidRPr="000724B7">
        <w:rPr>
          <w:rFonts w:ascii="Verdana" w:eastAsia="Calibri" w:hAnsi="Verdana" w:cs="Arial"/>
        </w:rPr>
        <w:t xml:space="preserve"> </w:t>
      </w:r>
    </w:p>
    <w:p w14:paraId="45FBACB8" w14:textId="77777777" w:rsidR="00C07830" w:rsidRDefault="00C07830" w:rsidP="00C07830">
      <w:pPr>
        <w:spacing w:after="0" w:line="276" w:lineRule="auto"/>
        <w:jc w:val="both"/>
        <w:rPr>
          <w:rFonts w:ascii="Verdana" w:eastAsia="Calibri" w:hAnsi="Verdana" w:cs="Arial"/>
        </w:rPr>
      </w:pPr>
    </w:p>
    <w:p w14:paraId="631DF019" w14:textId="77777777" w:rsidR="00C07830" w:rsidRPr="00AE6F74" w:rsidRDefault="00C07830" w:rsidP="00C07830">
      <w:pPr>
        <w:spacing w:after="0" w:line="240" w:lineRule="auto"/>
        <w:ind w:left="709" w:right="709"/>
        <w:jc w:val="both"/>
        <w:rPr>
          <w:rFonts w:ascii="Verdana" w:eastAsia="Calibri" w:hAnsi="Verdana" w:cs="Arial"/>
          <w:b/>
          <w:bCs/>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11. De la competencia.</w:t>
      </w:r>
    </w:p>
    <w:p w14:paraId="0E90E672" w14:textId="77777777" w:rsidR="00C07830" w:rsidRPr="00AE6F74" w:rsidRDefault="00C07830" w:rsidP="00C07830">
      <w:pPr>
        <w:spacing w:after="0" w:line="240" w:lineRule="auto"/>
        <w:ind w:left="709" w:right="709"/>
        <w:jc w:val="both"/>
        <w:rPr>
          <w:rFonts w:ascii="Verdana" w:eastAsia="Calibri" w:hAnsi="Verdana" w:cs="Arial"/>
          <w:b/>
          <w:bCs/>
          <w:sz w:val="20"/>
          <w:szCs w:val="20"/>
        </w:rPr>
      </w:pPr>
    </w:p>
    <w:p w14:paraId="67E56473" w14:textId="77777777" w:rsidR="00C07830" w:rsidRPr="00AE6F74" w:rsidRDefault="00C07830" w:rsidP="00C07830">
      <w:pPr>
        <w:pStyle w:val="Prrafodelista"/>
        <w:numPr>
          <w:ilvl w:val="0"/>
          <w:numId w:val="5"/>
        </w:numPr>
        <w:spacing w:after="0" w:line="240" w:lineRule="auto"/>
        <w:ind w:left="709" w:right="709" w:firstLine="0"/>
        <w:jc w:val="both"/>
        <w:rPr>
          <w:rFonts w:ascii="Verdana" w:eastAsia="Calibri" w:hAnsi="Verdana" w:cs="Arial"/>
          <w:sz w:val="20"/>
          <w:szCs w:val="20"/>
        </w:rPr>
      </w:pPr>
      <w:r w:rsidRPr="00AE6F74">
        <w:rPr>
          <w:rFonts w:ascii="Verdana" w:eastAsia="Calibri" w:hAnsi="Verdana" w:cs="Arial"/>
          <w:sz w:val="20"/>
          <w:szCs w:val="20"/>
        </w:rPr>
        <w:t>La competencia para ordenar y dirigir la celebración de licitaciones o concursos y para escoger contratistas será del jefe o representante de la entidad, según el caso</w:t>
      </w:r>
      <w:r>
        <w:rPr>
          <w:rFonts w:ascii="Verdana" w:eastAsia="Calibri" w:hAnsi="Verdana" w:cs="Arial"/>
          <w:sz w:val="20"/>
          <w:szCs w:val="20"/>
        </w:rPr>
        <w:t>”</w:t>
      </w:r>
      <w:r w:rsidRPr="00AE6F74">
        <w:rPr>
          <w:rFonts w:ascii="Verdana" w:eastAsia="Calibri" w:hAnsi="Verdana" w:cs="Arial"/>
          <w:sz w:val="20"/>
          <w:szCs w:val="20"/>
        </w:rPr>
        <w:t>.</w:t>
      </w:r>
    </w:p>
    <w:p w14:paraId="664B8317" w14:textId="77777777" w:rsidR="00C07830" w:rsidRPr="000724B7" w:rsidRDefault="00C07830" w:rsidP="00C07830">
      <w:pPr>
        <w:spacing w:after="0" w:line="276" w:lineRule="auto"/>
        <w:ind w:left="709" w:right="758"/>
        <w:jc w:val="both"/>
        <w:rPr>
          <w:rFonts w:ascii="Verdana" w:eastAsia="Calibri" w:hAnsi="Verdana" w:cs="Arial"/>
        </w:rPr>
      </w:pPr>
    </w:p>
    <w:p w14:paraId="79F0F819" w14:textId="77777777" w:rsidR="00C07830" w:rsidRDefault="00C07830" w:rsidP="00C07830">
      <w:pPr>
        <w:spacing w:after="0" w:line="276" w:lineRule="auto"/>
        <w:ind w:left="12"/>
        <w:jc w:val="both"/>
        <w:rPr>
          <w:rFonts w:ascii="Verdana" w:eastAsia="Calibri" w:hAnsi="Verdana" w:cs="Arial"/>
        </w:rPr>
      </w:pPr>
      <w:r w:rsidRPr="000724B7">
        <w:rPr>
          <w:rFonts w:ascii="Verdana" w:eastAsia="Calibri" w:hAnsi="Verdana" w:cs="Arial"/>
        </w:rPr>
        <w:t>Y, en cuanto a los deberes de los servidores públicos:</w:t>
      </w:r>
    </w:p>
    <w:p w14:paraId="2C6AC2C1" w14:textId="77777777" w:rsidR="00C07830" w:rsidRPr="000724B7" w:rsidRDefault="00C07830" w:rsidP="00C07830">
      <w:pPr>
        <w:spacing w:after="0" w:line="276" w:lineRule="auto"/>
        <w:ind w:left="709" w:right="758"/>
        <w:jc w:val="both"/>
        <w:rPr>
          <w:rFonts w:ascii="Verdana" w:eastAsia="Calibri" w:hAnsi="Verdana" w:cs="Arial"/>
        </w:rPr>
      </w:pPr>
    </w:p>
    <w:p w14:paraId="16BE40B4" w14:textId="77777777" w:rsidR="00C07830" w:rsidRPr="006545A5"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26. Del principio de responsabilidad.</w:t>
      </w:r>
      <w:r w:rsidRPr="006545A5">
        <w:rPr>
          <w:rFonts w:ascii="Verdana" w:eastAsia="Calibri" w:hAnsi="Verdana" w:cs="Arial"/>
          <w:sz w:val="20"/>
          <w:szCs w:val="20"/>
        </w:rPr>
        <w:t xml:space="preserve"> </w:t>
      </w:r>
      <w:r w:rsidRPr="000724B7">
        <w:rPr>
          <w:rFonts w:ascii="Verdana" w:eastAsia="Calibri" w:hAnsi="Verdana" w:cs="Arial"/>
          <w:sz w:val="20"/>
          <w:szCs w:val="20"/>
        </w:rPr>
        <w:t>En virtud de este principio:</w:t>
      </w:r>
    </w:p>
    <w:p w14:paraId="1BC50406" w14:textId="77777777" w:rsidR="00C07830" w:rsidRPr="000724B7" w:rsidRDefault="00C07830" w:rsidP="00C07830">
      <w:pPr>
        <w:spacing w:after="0" w:line="240" w:lineRule="auto"/>
        <w:ind w:left="709" w:right="709"/>
        <w:jc w:val="both"/>
        <w:rPr>
          <w:rFonts w:ascii="Verdana" w:eastAsia="Calibri" w:hAnsi="Verdana" w:cs="Arial"/>
          <w:sz w:val="20"/>
          <w:szCs w:val="20"/>
        </w:rPr>
      </w:pPr>
    </w:p>
    <w:p w14:paraId="70380A5B" w14:textId="77777777" w:rsidR="00C07830" w:rsidRPr="000724B7" w:rsidRDefault="00C07830" w:rsidP="00C07830">
      <w:pPr>
        <w:numPr>
          <w:ilvl w:val="0"/>
          <w:numId w:val="4"/>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t>Los servidores públicos están obligados a buscar el cumplimiento de los fines de la contratación, a vigilar la correcta ejecución del objeto contratado y a proteger los derechos de la entidad, del contratista y de los terceros que puedan verse afectados por la ejecución del contrato.</w:t>
      </w:r>
    </w:p>
    <w:p w14:paraId="30F23D65" w14:textId="77777777" w:rsidR="00C07830" w:rsidRPr="000724B7" w:rsidRDefault="00C07830" w:rsidP="00C07830">
      <w:pPr>
        <w:numPr>
          <w:ilvl w:val="0"/>
          <w:numId w:val="4"/>
        </w:numPr>
        <w:spacing w:after="0" w:line="240" w:lineRule="auto"/>
        <w:ind w:left="709" w:right="709" w:firstLine="0"/>
        <w:jc w:val="both"/>
        <w:rPr>
          <w:rFonts w:ascii="Verdana" w:eastAsia="Calibri" w:hAnsi="Verdana" w:cs="Arial"/>
          <w:sz w:val="20"/>
          <w:szCs w:val="20"/>
        </w:rPr>
      </w:pPr>
      <w:r w:rsidRPr="000724B7">
        <w:rPr>
          <w:rFonts w:ascii="Verdana" w:eastAsia="Calibri" w:hAnsi="Verdana" w:cs="Arial"/>
          <w:sz w:val="20"/>
          <w:szCs w:val="20"/>
        </w:rPr>
        <w:t>Los contratistas responderán también por la acción o la omisión en que incurran y que lesione los intereses de la administración. (...)</w:t>
      </w:r>
      <w:r>
        <w:rPr>
          <w:rFonts w:ascii="Verdana" w:eastAsia="Calibri" w:hAnsi="Verdana" w:cs="Arial"/>
          <w:sz w:val="20"/>
          <w:szCs w:val="20"/>
        </w:rPr>
        <w:t>”</w:t>
      </w:r>
    </w:p>
    <w:p w14:paraId="582A1ABD" w14:textId="77777777" w:rsidR="00C07830" w:rsidRDefault="00C07830" w:rsidP="00C07830">
      <w:pPr>
        <w:spacing w:after="0" w:line="276" w:lineRule="auto"/>
        <w:ind w:firstLine="708"/>
        <w:jc w:val="both"/>
        <w:rPr>
          <w:rFonts w:ascii="Verdana" w:eastAsia="Calibri" w:hAnsi="Verdana" w:cs="Arial"/>
        </w:rPr>
      </w:pPr>
    </w:p>
    <w:p w14:paraId="6250B6B3" w14:textId="77777777" w:rsidR="00C07830" w:rsidRPr="000724B7" w:rsidRDefault="00C07830" w:rsidP="00C07830">
      <w:pPr>
        <w:spacing w:after="0" w:line="276" w:lineRule="auto"/>
        <w:ind w:firstLine="708"/>
        <w:jc w:val="both"/>
        <w:rPr>
          <w:rFonts w:ascii="Verdana" w:eastAsia="Calibri" w:hAnsi="Verdana" w:cs="Arial"/>
        </w:rPr>
      </w:pPr>
      <w:r w:rsidRPr="000724B7">
        <w:rPr>
          <w:rFonts w:ascii="Verdana" w:eastAsia="Calibri" w:hAnsi="Verdana" w:cs="Arial"/>
        </w:rPr>
        <w:t>Asimismo, el ordenador del gasto debe asegurar que cada erogación presupuestal se ajuste estrictamente a los principios de eficacia, economía, celeridad, imparcialidad y moralidad, consagrados en el artículo 209 de la Constitución Política. Dicho artículo establece:</w:t>
      </w:r>
    </w:p>
    <w:p w14:paraId="4D7DDC66" w14:textId="77777777" w:rsidR="00C07830" w:rsidRDefault="00C07830" w:rsidP="00C07830">
      <w:pPr>
        <w:spacing w:after="0" w:line="240" w:lineRule="auto"/>
        <w:ind w:firstLine="708"/>
        <w:jc w:val="both"/>
        <w:rPr>
          <w:rFonts w:ascii="Verdana" w:eastAsia="Calibri" w:hAnsi="Verdana" w:cs="Arial"/>
          <w:b/>
          <w:bCs/>
        </w:rPr>
      </w:pPr>
    </w:p>
    <w:p w14:paraId="707D1A0E" w14:textId="77777777" w:rsidR="00C07830" w:rsidRPr="000724B7"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209.</w:t>
      </w:r>
      <w:r w:rsidRPr="000724B7">
        <w:rPr>
          <w:rFonts w:ascii="Verdana" w:eastAsia="Calibri" w:hAnsi="Verdana" w:cs="Arial"/>
          <w:sz w:val="20"/>
          <w:szCs w:val="20"/>
        </w:rPr>
        <w:t xml:space="preserve"> 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 Las autoridades administrativas deben coordinar sus actuaciones para el adecuado cumplimiento de los fines del Estado. La administración pública, en todos sus órdenes, tendrá un control interno de gestión y resultados</w:t>
      </w:r>
      <w:r>
        <w:rPr>
          <w:rFonts w:ascii="Verdana" w:eastAsia="Calibri" w:hAnsi="Verdana" w:cs="Arial"/>
          <w:sz w:val="20"/>
          <w:szCs w:val="20"/>
        </w:rPr>
        <w:t>”</w:t>
      </w:r>
      <w:r w:rsidRPr="000724B7">
        <w:rPr>
          <w:rFonts w:ascii="Verdana" w:eastAsia="Calibri" w:hAnsi="Verdana" w:cs="Arial"/>
          <w:sz w:val="20"/>
          <w:szCs w:val="20"/>
        </w:rPr>
        <w:t>.</w:t>
      </w:r>
    </w:p>
    <w:p w14:paraId="0A5D8599" w14:textId="77777777" w:rsidR="00C07830" w:rsidRDefault="00C07830" w:rsidP="00C07830">
      <w:pPr>
        <w:spacing w:after="0" w:line="276" w:lineRule="auto"/>
        <w:ind w:firstLine="708"/>
        <w:jc w:val="both"/>
        <w:rPr>
          <w:rFonts w:ascii="Verdana" w:eastAsia="Calibri" w:hAnsi="Verdana" w:cs="Arial"/>
        </w:rPr>
      </w:pPr>
    </w:p>
    <w:p w14:paraId="40DAF175" w14:textId="77777777" w:rsidR="00C07830" w:rsidRPr="000724B7" w:rsidRDefault="00C07830" w:rsidP="00C07830">
      <w:pPr>
        <w:spacing w:after="0" w:line="276" w:lineRule="auto"/>
        <w:ind w:firstLine="709"/>
        <w:jc w:val="both"/>
        <w:rPr>
          <w:rFonts w:ascii="Verdana" w:eastAsia="Calibri" w:hAnsi="Verdana" w:cs="Arial"/>
        </w:rPr>
      </w:pPr>
      <w:r w:rsidRPr="000724B7">
        <w:rPr>
          <w:rFonts w:ascii="Verdana" w:eastAsia="Calibri" w:hAnsi="Verdana" w:cs="Arial"/>
        </w:rPr>
        <w:t>Adicionalmente, el ordenador del gasto asume una responsabilidad solidaria en aquellos casos en que, teniendo conocimiento de incumplimientos contractuales, no actúa para subsanarlos. Esta crucial obligación se detalla en el parágrafo 3° del artículo 84 de la Ley 1474 de 2011 (Estatuto Anticorrupción):</w:t>
      </w:r>
    </w:p>
    <w:p w14:paraId="2A6DFC28" w14:textId="77777777" w:rsidR="00C07830" w:rsidRDefault="00C07830" w:rsidP="00C07830">
      <w:pPr>
        <w:spacing w:after="0" w:line="276" w:lineRule="auto"/>
        <w:ind w:firstLine="708"/>
        <w:jc w:val="both"/>
        <w:rPr>
          <w:rFonts w:ascii="Verdana" w:eastAsia="Calibri" w:hAnsi="Verdana" w:cs="Arial"/>
          <w:b/>
          <w:bCs/>
        </w:rPr>
      </w:pPr>
    </w:p>
    <w:p w14:paraId="586F5E86" w14:textId="77777777" w:rsidR="00C07830" w:rsidRPr="000724B7" w:rsidRDefault="00C07830" w:rsidP="00C07830">
      <w:pPr>
        <w:spacing w:after="0" w:line="240" w:lineRule="auto"/>
        <w:ind w:left="709" w:right="709"/>
        <w:jc w:val="both"/>
        <w:rPr>
          <w:rFonts w:ascii="Verdana" w:eastAsia="Calibri" w:hAnsi="Verdana" w:cs="Arial"/>
          <w:sz w:val="20"/>
          <w:szCs w:val="20"/>
        </w:rPr>
      </w:pPr>
      <w:r>
        <w:rPr>
          <w:rFonts w:ascii="Verdana" w:eastAsia="Calibri" w:hAnsi="Verdana" w:cs="Arial"/>
          <w:b/>
          <w:bCs/>
          <w:sz w:val="20"/>
          <w:szCs w:val="20"/>
        </w:rPr>
        <w:t>“</w:t>
      </w:r>
      <w:r w:rsidRPr="000724B7">
        <w:rPr>
          <w:rFonts w:ascii="Verdana" w:eastAsia="Calibri" w:hAnsi="Verdana" w:cs="Arial"/>
          <w:b/>
          <w:bCs/>
          <w:sz w:val="20"/>
          <w:szCs w:val="20"/>
        </w:rPr>
        <w:t>Artículo 84. Responsabilidad de la supervisión e interventoría.</w:t>
      </w:r>
      <w:r w:rsidRPr="000724B7">
        <w:rPr>
          <w:rFonts w:ascii="Verdana" w:eastAsia="Calibri" w:hAnsi="Verdana" w:cs="Arial"/>
          <w:sz w:val="20"/>
          <w:szCs w:val="20"/>
        </w:rPr>
        <w:t xml:space="preserve"> (...) </w:t>
      </w:r>
      <w:r w:rsidRPr="000724B7">
        <w:rPr>
          <w:rFonts w:ascii="Verdana" w:eastAsia="Calibri" w:hAnsi="Verdana" w:cs="Arial"/>
          <w:b/>
          <w:bCs/>
          <w:sz w:val="20"/>
          <w:szCs w:val="20"/>
        </w:rPr>
        <w:t>Parágrafo 3°.</w:t>
      </w:r>
      <w:r w:rsidRPr="000724B7">
        <w:rPr>
          <w:rFonts w:ascii="Verdana" w:eastAsia="Calibri" w:hAnsi="Verdana" w:cs="Arial"/>
          <w:sz w:val="20"/>
          <w:szCs w:val="20"/>
        </w:rPr>
        <w:t xml:space="preserve"> El ordenador del gasto o quien tenga la competencia para la ordenación del gasto, al ser informado de un incumplimiento por parte del supervisor o interventor, que sin justa causa no actúe, será solidariamente responsable con el contratista por los perjuicios que se causen a la entidad.</w:t>
      </w:r>
    </w:p>
    <w:p w14:paraId="438A2C45" w14:textId="77777777" w:rsidR="00C07830" w:rsidRPr="000724B7" w:rsidRDefault="00C07830" w:rsidP="00C07830">
      <w:pPr>
        <w:spacing w:after="0" w:line="276" w:lineRule="auto"/>
        <w:ind w:left="709"/>
        <w:jc w:val="both"/>
        <w:rPr>
          <w:rFonts w:ascii="Verdana" w:eastAsia="Calibri" w:hAnsi="Verdana" w:cs="Arial"/>
          <w:sz w:val="20"/>
          <w:szCs w:val="20"/>
        </w:rPr>
      </w:pPr>
    </w:p>
    <w:p w14:paraId="26D13AFE" w14:textId="77777777" w:rsidR="00C07830" w:rsidRPr="00B31C7B" w:rsidRDefault="00C07830" w:rsidP="00C07830">
      <w:pPr>
        <w:spacing w:after="120" w:line="276" w:lineRule="auto"/>
        <w:ind w:firstLine="708"/>
        <w:jc w:val="both"/>
        <w:rPr>
          <w:rFonts w:ascii="Verdana" w:eastAsia="Calibri" w:hAnsi="Verdana" w:cs="Arial"/>
        </w:rPr>
      </w:pPr>
      <w:r w:rsidRPr="00B31C7B">
        <w:rPr>
          <w:rFonts w:ascii="Verdana" w:eastAsia="Calibri" w:hAnsi="Verdana" w:cs="Arial"/>
          <w:bCs/>
        </w:rPr>
        <w:t xml:space="preserve">La competencia reside en la expedición de actos precontractuales, contractuales y poscontractuales en el marco del proceso de contratación pública. </w:t>
      </w:r>
      <w:r w:rsidRPr="00B31C7B">
        <w:rPr>
          <w:rFonts w:ascii="Verdana" w:eastAsia="Calibri" w:hAnsi="Verdana" w:cs="Arial"/>
        </w:rPr>
        <w:t>Sin embargo, esta competencia, puede delegarse total o parcialmente, de conformidad a lo regulado en el artículo 21 de la Ley 1150 de 2007, que modifica el artículo 12 de la Ley 80, y tiene como finalidad la posibilidad que los jefes y representantes legales de las entidades puedan delegar, total o parcialmente, la competencia para celebrar contratos a aquellos empleados que pertenezcan al nivel directivo.</w:t>
      </w:r>
    </w:p>
    <w:p w14:paraId="43D0F9A4" w14:textId="77777777" w:rsidR="00C07830" w:rsidRDefault="00C07830" w:rsidP="00C07830">
      <w:pPr>
        <w:widowControl w:val="0"/>
        <w:autoSpaceDE w:val="0"/>
        <w:autoSpaceDN w:val="0"/>
        <w:spacing w:after="120" w:line="276" w:lineRule="auto"/>
        <w:ind w:firstLine="708"/>
        <w:jc w:val="both"/>
        <w:rPr>
          <w:rFonts w:ascii="Verdana" w:hAnsi="Verdana"/>
        </w:rPr>
      </w:pPr>
      <w:r>
        <w:rPr>
          <w:rFonts w:ascii="Verdana" w:hAnsi="Verdana"/>
        </w:rPr>
        <w:t>Por su parte, el ordenador del gasto tiene responsabilidades en la dirección, vigilancia y control de la ejecución del gasto y del contrato. Sin embargo, esta responsabilidad no supone, por sí sola, que pueda sustituir las verificaciones o certificaciones que el contrato o los manuales internos hayan atribuido al supervisor como soporte del trámite de pago. Ante la ausencia, renuencia o demora del supervisor, corresponde a la Entidad Estatal aplicar los mecanismos previstos en su normativa interna y en los documentos contractuales para asegurar que, antes del reconocimiento y pago, exista una verificación suficiente del cumplimiento de las obligaciones y se observen los controles administrativos, financieros, presupuestales y contractuales aplicables.</w:t>
      </w:r>
    </w:p>
    <w:p w14:paraId="4305DA7A" w14:textId="77777777" w:rsidR="00C07830" w:rsidRDefault="00C07830" w:rsidP="00C07830">
      <w:pPr>
        <w:widowControl w:val="0"/>
        <w:autoSpaceDE w:val="0"/>
        <w:autoSpaceDN w:val="0"/>
        <w:spacing w:after="120" w:line="276" w:lineRule="auto"/>
        <w:ind w:firstLine="708"/>
        <w:jc w:val="both"/>
      </w:pPr>
      <w:r>
        <w:rPr>
          <w:rFonts w:ascii="Verdana" w:eastAsia="Calibri" w:hAnsi="Verdana" w:cs="Arial"/>
          <w:color w:val="000000" w:themeColor="text1"/>
          <w:lang w:val="es-ES"/>
        </w:rPr>
        <w:t xml:space="preserve">De acuerdo con la aclaración preliminar, corresponde a cada Entidad Estatal analizar las circunstancias del caso concreto y sus instrumentos contractuales e internos para determinar el procedimiento aplicable. Por ello, las consideraciones precedentes constituyen criterios generales de interpretación y no implican la validación de una actuación particular ni la determinación de responsabilidades </w:t>
      </w:r>
      <w:commentRangeStart w:id="5"/>
      <w:r>
        <w:rPr>
          <w:rFonts w:ascii="Verdana" w:eastAsia="Calibri" w:hAnsi="Verdana" w:cs="Arial"/>
          <w:color w:val="000000" w:themeColor="text1"/>
          <w:lang w:val="es-ES"/>
        </w:rPr>
        <w:t>individuales</w:t>
      </w:r>
      <w:commentRangeEnd w:id="5"/>
      <w:r>
        <w:rPr>
          <w:rStyle w:val="Refdecomentario"/>
          <w:sz w:val="22"/>
          <w:szCs w:val="22"/>
        </w:rPr>
        <w:commentReference w:id="5"/>
      </w:r>
    </w:p>
    <w:p w14:paraId="529B4240" w14:textId="77777777" w:rsidR="00C07830" w:rsidRPr="001827D1" w:rsidRDefault="00C07830" w:rsidP="00C07830">
      <w:pPr>
        <w:spacing w:after="120" w:line="276" w:lineRule="auto"/>
        <w:ind w:firstLine="709"/>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Por otra parte, l</w:t>
      </w:r>
      <w:r w:rsidRPr="001827D1">
        <w:rPr>
          <w:rFonts w:ascii="Verdana" w:eastAsia="Times New Roman" w:hAnsi="Verdana" w:cs="Arial"/>
          <w:lang w:val="es-ES_tradnl" w:eastAsia="es-MX"/>
        </w:rPr>
        <w:t xml:space="preserve">as Leyes 1150 de 2007 y 1474 de 2011, complementan el régimen jurídico de la obligación de vigilar la correcta ejecución de los contratos estatales. En dichas normas se impone el debido proceso como principio rector </w:t>
      </w:r>
      <w:r w:rsidRPr="001827D1">
        <w:rPr>
          <w:rFonts w:ascii="Verdana" w:eastAsia="Times New Roman" w:hAnsi="Verdana" w:cs="Arial"/>
          <w:lang w:val="es-ES_tradnl" w:eastAsia="es-MX"/>
        </w:rPr>
        <w:lastRenderedPageBreak/>
        <w:t>en materia sancionatoria contractual, entre otros, para la imposición de multas y la decisión de hacer efectiva la cláusula penal, principio que se debe respetar en el ejercicio del control y vigilancia de la ejecución contractual</w:t>
      </w:r>
      <w:r w:rsidRPr="001827D1">
        <w:rPr>
          <w:rFonts w:ascii="Verdana" w:eastAsia="Times New Roman" w:hAnsi="Verdana" w:cs="Arial"/>
          <w:vertAlign w:val="superscript"/>
          <w:lang w:val="es-ES_tradnl" w:eastAsia="es-MX"/>
        </w:rPr>
        <w:footnoteReference w:id="11"/>
      </w:r>
      <w:r w:rsidRPr="001827D1">
        <w:rPr>
          <w:rFonts w:ascii="Verdana" w:eastAsia="Times New Roman" w:hAnsi="Verdana" w:cs="Arial"/>
          <w:lang w:val="es-ES_tradnl" w:eastAsia="es-MX"/>
        </w:rPr>
        <w:t>. También se establecen los límites de la responsabilidad del representante legal ante la delegación de sus funciones en materia contractual</w:t>
      </w:r>
      <w:r w:rsidRPr="001827D1">
        <w:rPr>
          <w:rFonts w:ascii="Verdana" w:eastAsia="Times New Roman" w:hAnsi="Verdana" w:cs="Arial"/>
          <w:vertAlign w:val="superscript"/>
          <w:lang w:val="es-ES_tradnl" w:eastAsia="es-MX"/>
        </w:rPr>
        <w:footnoteReference w:id="12"/>
      </w:r>
      <w:r w:rsidRPr="001827D1">
        <w:rPr>
          <w:rFonts w:ascii="Verdana" w:eastAsia="Times New Roman" w:hAnsi="Verdana" w:cs="Arial"/>
          <w:lang w:val="es-ES_tradnl" w:eastAsia="es-MX"/>
        </w:rPr>
        <w:t xml:space="preserve"> y se regula la supervisión y la interventoría de los contratos estatales</w:t>
      </w:r>
      <w:r w:rsidRPr="001827D1">
        <w:rPr>
          <w:rFonts w:ascii="Verdana" w:eastAsia="Times New Roman" w:hAnsi="Verdana" w:cs="Arial"/>
          <w:vertAlign w:val="superscript"/>
          <w:lang w:val="es-ES_tradnl" w:eastAsia="es-MX"/>
        </w:rPr>
        <w:footnoteReference w:id="13"/>
      </w:r>
      <w:r w:rsidRPr="001827D1">
        <w:rPr>
          <w:rFonts w:ascii="Verdana" w:eastAsia="Times New Roman" w:hAnsi="Verdana" w:cs="Arial"/>
          <w:lang w:val="es-ES_tradnl" w:eastAsia="es-MX"/>
        </w:rPr>
        <w:t>.</w:t>
      </w:r>
    </w:p>
    <w:p w14:paraId="2949797A" w14:textId="77777777" w:rsidR="00C07830" w:rsidRPr="001827D1" w:rsidRDefault="00C07830" w:rsidP="00C07830">
      <w:pPr>
        <w:spacing w:before="120" w:after="120" w:line="276" w:lineRule="auto"/>
        <w:ind w:firstLine="709"/>
        <w:contextualSpacing/>
        <w:jc w:val="both"/>
        <w:textAlignment w:val="baseline"/>
        <w:rPr>
          <w:rFonts w:ascii="Verdana" w:eastAsia="Times New Roman" w:hAnsi="Verdana" w:cs="Arial"/>
          <w:lang w:val="es-ES_tradnl" w:eastAsia="es-MX"/>
        </w:rPr>
      </w:pPr>
      <w:r>
        <w:rPr>
          <w:rFonts w:ascii="Verdana" w:eastAsia="Times New Roman" w:hAnsi="Verdana" w:cs="Arial"/>
          <w:lang w:val="es-ES_tradnl" w:eastAsia="es-MX"/>
        </w:rPr>
        <w:t>Así mismo</w:t>
      </w:r>
      <w:r w:rsidRPr="001827D1">
        <w:rPr>
          <w:rFonts w:ascii="Verdana" w:eastAsia="Times New Roman" w:hAnsi="Verdana" w:cs="Arial"/>
          <w:lang w:val="es-ES_tradnl" w:eastAsia="es-MX"/>
        </w:rPr>
        <w:t xml:space="preserve">, se tiene que, la jurisprudencia contencioso-administrativa, ha considerado que la obligación de vigilar la correcta ejecución del objeto contractual es una función de la entidad contratante, en los siguientes términos: </w:t>
      </w:r>
    </w:p>
    <w:p w14:paraId="02C60A33" w14:textId="77777777" w:rsidR="00C07830" w:rsidRPr="001827D1" w:rsidRDefault="00C07830" w:rsidP="00C07830">
      <w:pPr>
        <w:spacing w:after="0"/>
        <w:ind w:left="709"/>
        <w:contextualSpacing/>
        <w:jc w:val="both"/>
        <w:rPr>
          <w:rFonts w:ascii="Verdana" w:eastAsia="Times New Roman" w:hAnsi="Verdana" w:cs="Arial"/>
          <w:lang w:val="es-ES_tradnl" w:eastAsia="es-MX"/>
        </w:rPr>
      </w:pPr>
    </w:p>
    <w:p w14:paraId="028207F2" w14:textId="77777777" w:rsidR="00C07830" w:rsidRPr="001827D1" w:rsidRDefault="00C07830" w:rsidP="00C07830">
      <w:pPr>
        <w:spacing w:after="0" w:line="240" w:lineRule="auto"/>
        <w:ind w:left="709" w:right="709"/>
        <w:contextualSpacing/>
        <w:jc w:val="both"/>
        <w:rPr>
          <w:rFonts w:ascii="Verdana" w:eastAsia="Times New Roman" w:hAnsi="Verdana" w:cs="Arial"/>
          <w:sz w:val="20"/>
          <w:szCs w:val="20"/>
          <w:lang w:val="es-ES_tradnl" w:eastAsia="es-MX"/>
        </w:rPr>
      </w:pPr>
      <w:bookmarkStart w:id="6" w:name="_Hlk178671999"/>
      <w:r w:rsidRPr="001827D1">
        <w:rPr>
          <w:rFonts w:ascii="Verdana" w:eastAsia="Times New Roman" w:hAnsi="Verdana" w:cs="Arial"/>
          <w:sz w:val="20"/>
          <w:szCs w:val="20"/>
          <w:lang w:val="es-ES_tradnl" w:eastAsia="es-MX"/>
        </w:rPr>
        <w:t>“La función de vigilancia y control del contrato estatal supone el cuidado y la supervisión, de forma tal que en ejercicio de esa función</w:t>
      </w:r>
      <w:bookmarkEnd w:id="6"/>
      <w:r w:rsidRPr="001827D1">
        <w:rPr>
          <w:rFonts w:ascii="Verdana" w:eastAsia="Times New Roman"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1827D1">
        <w:rPr>
          <w:rFonts w:ascii="Verdana" w:eastAsia="Times New Roman" w:hAnsi="Verdana" w:cs="Arial"/>
          <w:sz w:val="20"/>
          <w:szCs w:val="20"/>
          <w:vertAlign w:val="superscript"/>
          <w:lang w:val="es-ES_tradnl" w:eastAsia="es-MX"/>
        </w:rPr>
        <w:footnoteReference w:id="14"/>
      </w:r>
      <w:r w:rsidRPr="001827D1">
        <w:rPr>
          <w:rFonts w:ascii="Verdana" w:eastAsia="Times New Roman" w:hAnsi="Verdana" w:cs="Arial"/>
          <w:sz w:val="20"/>
          <w:szCs w:val="20"/>
          <w:lang w:val="es-ES_tradnl" w:eastAsia="es-MX"/>
        </w:rPr>
        <w:t>.</w:t>
      </w:r>
    </w:p>
    <w:p w14:paraId="517771FB" w14:textId="77777777" w:rsidR="00C07830" w:rsidRPr="001827D1" w:rsidRDefault="00C07830" w:rsidP="00C07830">
      <w:pPr>
        <w:spacing w:after="0" w:line="276" w:lineRule="auto"/>
        <w:ind w:left="720"/>
        <w:contextualSpacing/>
        <w:rPr>
          <w:rFonts w:ascii="Verdana" w:eastAsia="Times New Roman" w:hAnsi="Verdana" w:cs="Arial"/>
          <w:lang w:val="es-ES_tradnl" w:eastAsia="es-MX"/>
        </w:rPr>
      </w:pPr>
    </w:p>
    <w:p w14:paraId="6E5C9B51" w14:textId="77777777" w:rsidR="00C07830" w:rsidRPr="001827D1" w:rsidRDefault="00C07830" w:rsidP="00C07830">
      <w:pPr>
        <w:spacing w:after="0" w:line="276" w:lineRule="auto"/>
        <w:ind w:firstLine="709"/>
        <w:contextualSpacing/>
        <w:jc w:val="both"/>
        <w:textAlignment w:val="baseline"/>
        <w:rPr>
          <w:rFonts w:ascii="Verdana" w:eastAsia="Times New Roman" w:hAnsi="Verdana" w:cs="Arial"/>
          <w:lang w:val="es-ES" w:eastAsia="es-MX"/>
        </w:rPr>
      </w:pPr>
      <w:r w:rsidRPr="001827D1">
        <w:rPr>
          <w:rFonts w:ascii="Verdana" w:eastAsia="Times New Roman" w:hAnsi="Verdana" w:cs="Arial"/>
          <w:lang w:val="es-ES" w:eastAsia="es-MX"/>
        </w:rPr>
        <w:t xml:space="preserve">De esta forma,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71BF759F" w14:textId="77777777" w:rsidR="00C07830" w:rsidRPr="001827D1" w:rsidRDefault="00C07830" w:rsidP="00C07830">
      <w:pPr>
        <w:spacing w:after="0" w:line="276" w:lineRule="auto"/>
        <w:ind w:left="720" w:firstLine="709"/>
        <w:contextualSpacing/>
        <w:jc w:val="both"/>
        <w:textAlignment w:val="baseline"/>
        <w:rPr>
          <w:rFonts w:ascii="Verdana" w:eastAsia="Times New Roman" w:hAnsi="Verdana" w:cs="Arial"/>
          <w:lang w:val="es-ES_tradnl" w:eastAsia="es-MX"/>
        </w:rPr>
      </w:pPr>
    </w:p>
    <w:p w14:paraId="59105710" w14:textId="77777777" w:rsidR="00C07830"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62E8D5DB" w14:textId="77777777" w:rsidR="00C07830" w:rsidRPr="001827D1"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p>
    <w:p w14:paraId="1961129F" w14:textId="77777777" w:rsidR="00C07830" w:rsidRPr="001827D1" w:rsidRDefault="00C07830" w:rsidP="00C07830">
      <w:pPr>
        <w:spacing w:after="0" w:line="240" w:lineRule="auto"/>
        <w:ind w:left="709" w:right="709"/>
        <w:jc w:val="both"/>
        <w:textAlignment w:val="baseline"/>
        <w:rPr>
          <w:rFonts w:ascii="Verdana" w:eastAsia="Times New Roman" w:hAnsi="Verdana" w:cs="Arial"/>
          <w:sz w:val="20"/>
          <w:szCs w:val="20"/>
          <w:lang w:val="es-ES" w:eastAsia="es-MX"/>
        </w:rPr>
      </w:pPr>
      <w:r w:rsidRPr="001827D1">
        <w:rPr>
          <w:rFonts w:ascii="Verdana" w:eastAsia="Times New Roman"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1827D1">
        <w:rPr>
          <w:rFonts w:ascii="Verdana" w:eastAsia="Times New Roman" w:hAnsi="Verdana" w:cs="Arial"/>
          <w:sz w:val="20"/>
          <w:szCs w:val="20"/>
          <w:vertAlign w:val="superscript"/>
          <w:lang w:val="es-ES" w:eastAsia="es-MX"/>
        </w:rPr>
        <w:footnoteReference w:id="15"/>
      </w:r>
      <w:r w:rsidRPr="001827D1">
        <w:rPr>
          <w:rFonts w:ascii="Verdana" w:eastAsia="Times New Roman" w:hAnsi="Verdana" w:cs="Arial"/>
          <w:sz w:val="20"/>
          <w:szCs w:val="20"/>
          <w:lang w:val="es-ES" w:eastAsia="es-MX"/>
        </w:rPr>
        <w:t>.</w:t>
      </w:r>
    </w:p>
    <w:p w14:paraId="3C140BFE" w14:textId="77777777" w:rsidR="00C07830" w:rsidRDefault="00C07830" w:rsidP="00C07830">
      <w:pPr>
        <w:widowControl w:val="0"/>
        <w:autoSpaceDE w:val="0"/>
        <w:autoSpaceDN w:val="0"/>
        <w:spacing w:after="0" w:line="276" w:lineRule="auto"/>
        <w:ind w:firstLine="709"/>
        <w:jc w:val="both"/>
        <w:rPr>
          <w:rFonts w:ascii="Verdana" w:eastAsia="Arial MT" w:hAnsi="Verdana" w:cs="Arial MT"/>
          <w:lang w:val="es-ES"/>
        </w:rPr>
      </w:pPr>
    </w:p>
    <w:p w14:paraId="681CEBE2" w14:textId="77777777" w:rsidR="00C07830" w:rsidRPr="00617200" w:rsidRDefault="00C07830" w:rsidP="00C07830">
      <w:pPr>
        <w:widowControl w:val="0"/>
        <w:autoSpaceDE w:val="0"/>
        <w:autoSpaceDN w:val="0"/>
        <w:spacing w:after="120" w:line="276" w:lineRule="auto"/>
        <w:ind w:firstLine="708"/>
        <w:jc w:val="both"/>
        <w:rPr>
          <w:rFonts w:ascii="Verdana" w:eastAsia="Arial MT" w:hAnsi="Verdana" w:cs="Arial MT"/>
          <w:lang w:val="es-ES"/>
        </w:rPr>
      </w:pPr>
      <w:r>
        <w:rPr>
          <w:rFonts w:ascii="Verdana" w:eastAsia="Arial MT" w:hAnsi="Verdana" w:cs="Arial"/>
          <w:spacing w:val="1"/>
        </w:rPr>
        <w:t>En consecuencia, no resulta jurídicamente adecuado afirmar, de manera general y absoluta, que el supervisor sea en todos los casos el funcionario competente para aprobar el pago, ni que el ordenador del gasto pueda prescindir del informe, certificación o visto bueno del supervisor en cualquier circunstancia. La respuesta depende de las reglas establecidas en el contrato y en los instrumentos internos de la Entidad Estatal. Si dichos documentos prevén la certificación o aprobación del supervisor como requisito para el pago, la entidad deberá observar ese procedimiento mientras se encuentre vigente, sin perjuicio de las medidas administrativas que, conforme a su régimen interno, pueda adoptar para garantizar la continuidad y adecuada gestión de la ejecución contractual.</w:t>
      </w:r>
    </w:p>
    <w:p w14:paraId="38922A6C" w14:textId="77777777" w:rsidR="00C07830" w:rsidRPr="009037F6" w:rsidRDefault="00C07830" w:rsidP="00C07830">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5A724B99" w14:textId="77777777" w:rsidR="00C07830" w:rsidRPr="009037F6" w:rsidRDefault="00C07830" w:rsidP="00C07830">
      <w:pPr>
        <w:spacing w:after="0" w:line="276" w:lineRule="auto"/>
        <w:jc w:val="both"/>
        <w:rPr>
          <w:rFonts w:ascii="Verdana" w:eastAsia="Calibri" w:hAnsi="Verdana" w:cs="Arial"/>
          <w:lang w:val="es-ES" w:eastAsia="es-MX"/>
        </w:rPr>
      </w:pPr>
    </w:p>
    <w:p w14:paraId="6DCB08AB" w14:textId="77777777" w:rsidR="00C07830" w:rsidRPr="009037F6" w:rsidRDefault="00C07830" w:rsidP="00C07830">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Referencias normativas</w:t>
      </w:r>
      <w:r>
        <w:rPr>
          <w:rFonts w:ascii="Verdana" w:eastAsia="Century Gothic" w:hAnsi="Verdana" w:cs="Century Gothic"/>
          <w:b/>
          <w:bCs/>
          <w:lang w:val="es-ES"/>
        </w:rPr>
        <w:t>, jurisprudenciales y otras fuentes</w:t>
      </w:r>
    </w:p>
    <w:p w14:paraId="21186B07" w14:textId="77777777" w:rsidR="00C07830" w:rsidRPr="009037F6" w:rsidRDefault="00C07830" w:rsidP="00C07830">
      <w:pPr>
        <w:widowControl w:val="0"/>
        <w:autoSpaceDE w:val="0"/>
        <w:autoSpaceDN w:val="0"/>
        <w:spacing w:after="0" w:line="276" w:lineRule="auto"/>
        <w:jc w:val="both"/>
        <w:rPr>
          <w:rFonts w:ascii="Verdana" w:hAnsi="Verdana" w:cs="Arial"/>
        </w:rPr>
      </w:pPr>
    </w:p>
    <w:tbl>
      <w:tblPr>
        <w:tblStyle w:val="Tablaconcuadrcula11"/>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07830" w:rsidRPr="009037F6" w14:paraId="50694BF5" w14:textId="77777777" w:rsidTr="00C90BBB">
        <w:trPr>
          <w:trHeight w:val="487"/>
          <w:jc w:val="center"/>
        </w:trPr>
        <w:tc>
          <w:tcPr>
            <w:tcW w:w="8647" w:type="dxa"/>
          </w:tcPr>
          <w:p w14:paraId="40CEBC64" w14:textId="77777777" w:rsidR="00C07830" w:rsidRPr="00624EEC"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80 de 1993, artículos 4, 5, 12, 14, 26, 32</w:t>
            </w:r>
            <w:r>
              <w:rPr>
                <w:rFonts w:ascii="Verdana" w:eastAsia="Arial MT" w:hAnsi="Verdana" w:cs="Arial"/>
                <w:lang w:val="es-ES" w:eastAsia="es-ES" w:bidi="es-ES"/>
              </w:rPr>
              <w:t xml:space="preserve">, 50 y 51. </w:t>
            </w:r>
            <w:r w:rsidRPr="00624EEC">
              <w:rPr>
                <w:rFonts w:ascii="Verdana" w:eastAsia="Arial MT" w:hAnsi="Verdana" w:cs="Arial"/>
                <w:lang w:val="es-ES" w:eastAsia="es-ES" w:bidi="es-ES"/>
              </w:rPr>
              <w:t xml:space="preserve"> </w:t>
            </w:r>
          </w:p>
          <w:p w14:paraId="561E21CB"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624EEC">
              <w:rPr>
                <w:rFonts w:ascii="Verdana" w:eastAsia="Arial MT" w:hAnsi="Verdana" w:cs="Arial"/>
                <w:lang w:val="es-ES" w:eastAsia="es-ES" w:bidi="es-ES"/>
              </w:rPr>
              <w:t>Ley 1150 de 2007</w:t>
            </w:r>
            <w:r>
              <w:rPr>
                <w:rFonts w:ascii="Verdana" w:eastAsia="Arial MT" w:hAnsi="Verdana" w:cs="Arial"/>
                <w:lang w:val="es-ES" w:eastAsia="es-ES" w:bidi="es-ES"/>
              </w:rPr>
              <w:t>, a</w:t>
            </w:r>
            <w:r w:rsidRPr="00624EEC">
              <w:rPr>
                <w:rFonts w:ascii="Verdana" w:eastAsia="Arial MT" w:hAnsi="Verdana" w:cs="Arial"/>
                <w:lang w:val="es-ES" w:eastAsia="es-ES" w:bidi="es-ES"/>
              </w:rPr>
              <w:t xml:space="preserve">rtículos 17 y 21. </w:t>
            </w:r>
          </w:p>
          <w:p w14:paraId="5D033DF0"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Pr>
                <w:rFonts w:ascii="Verdana" w:eastAsia="Arial MT" w:hAnsi="Verdana" w:cs="Arial"/>
                <w:lang w:val="es-ES" w:eastAsia="es-ES" w:bidi="es-ES"/>
              </w:rPr>
              <w:t>Ley 1474 de 2011, artículos 83,</w:t>
            </w:r>
            <w:r w:rsidRPr="00624EEC">
              <w:rPr>
                <w:rFonts w:ascii="Verdana" w:eastAsia="Arial MT" w:hAnsi="Verdana" w:cs="Arial"/>
                <w:lang w:val="es-ES" w:eastAsia="es-ES" w:bidi="es-ES"/>
              </w:rPr>
              <w:t xml:space="preserve"> 84</w:t>
            </w:r>
            <w:r>
              <w:rPr>
                <w:rFonts w:ascii="Verdana" w:eastAsia="Arial MT" w:hAnsi="Verdana" w:cs="Arial"/>
                <w:lang w:val="es-ES" w:eastAsia="es-ES" w:bidi="es-ES"/>
              </w:rPr>
              <w:t xml:space="preserve"> y 86</w:t>
            </w:r>
            <w:r w:rsidRPr="00624EEC">
              <w:rPr>
                <w:rFonts w:ascii="Verdana" w:eastAsia="Arial MT" w:hAnsi="Verdana" w:cs="Arial"/>
                <w:lang w:val="es-ES" w:eastAsia="es-ES" w:bidi="es-ES"/>
              </w:rPr>
              <w:t xml:space="preserve">. </w:t>
            </w:r>
          </w:p>
          <w:p w14:paraId="606C0E2E" w14:textId="77777777" w:rsidR="00C07830"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r w:rsidRPr="005514E8">
              <w:rPr>
                <w:rFonts w:ascii="Verdana" w:eastAsia="Arial MT" w:hAnsi="Verdana" w:cs="Arial"/>
                <w:lang w:val="es-ES" w:eastAsia="es-ES" w:bidi="es-ES"/>
              </w:rPr>
              <w:t>Consejo de Estado. Sección Tercera –Subsección C. Sentencia del 27 de noviembre de 2017. Exp. 51.802. C.P. Jaime Orlando Santofimio Gamboa.</w:t>
            </w:r>
          </w:p>
          <w:p w14:paraId="2C68ED6D" w14:textId="77777777" w:rsidR="00C07830" w:rsidRPr="0020663C" w:rsidRDefault="00C07830" w:rsidP="00C07830">
            <w:pPr>
              <w:widowControl w:val="0"/>
              <w:numPr>
                <w:ilvl w:val="0"/>
                <w:numId w:val="3"/>
              </w:numPr>
              <w:autoSpaceDE w:val="0"/>
              <w:autoSpaceDN w:val="0"/>
              <w:spacing w:before="120" w:after="120" w:line="276" w:lineRule="auto"/>
              <w:ind w:left="714" w:hanging="357"/>
              <w:jc w:val="both"/>
              <w:rPr>
                <w:rFonts w:ascii="Verdana" w:eastAsia="Arial MT" w:hAnsi="Verdana" w:cs="Arial"/>
                <w:lang w:val="es-ES" w:eastAsia="es-ES" w:bidi="es-ES"/>
              </w:rPr>
            </w:pPr>
            <w:bookmarkStart w:id="7" w:name="_Hlk215586792"/>
            <w:r>
              <w:rPr>
                <w:rFonts w:ascii="Verdana" w:eastAsia="Arial MT" w:hAnsi="Verdana" w:cs="Arial"/>
                <w:lang w:val="es-ES" w:eastAsia="es-ES" w:bidi="es-ES"/>
              </w:rPr>
              <w:t xml:space="preserve">Agencia Nacional de Contratación Pública - </w:t>
            </w:r>
            <w:r w:rsidRPr="00624EEC">
              <w:rPr>
                <w:rFonts w:ascii="Verdana" w:eastAsia="Arial MT" w:hAnsi="Verdana" w:cs="Arial"/>
                <w:lang w:val="es-ES" w:eastAsia="es-ES" w:bidi="es-ES"/>
              </w:rPr>
              <w:t>Colombia Compra Eficiente, Guía para el ejercicio de las funciones de Supervisión e Interventoría de los contratos del Estado.</w:t>
            </w:r>
            <w:bookmarkEnd w:id="7"/>
          </w:p>
        </w:tc>
      </w:tr>
    </w:tbl>
    <w:p w14:paraId="7293DC47" w14:textId="77777777" w:rsidR="00C07830" w:rsidRPr="009037F6" w:rsidRDefault="00C07830" w:rsidP="00C07830">
      <w:pPr>
        <w:widowControl w:val="0"/>
        <w:autoSpaceDE w:val="0"/>
        <w:autoSpaceDN w:val="0"/>
        <w:spacing w:after="0" w:line="276" w:lineRule="auto"/>
        <w:jc w:val="both"/>
        <w:rPr>
          <w:rFonts w:ascii="Verdana" w:hAnsi="Verdana" w:cs="Arial"/>
        </w:rPr>
      </w:pPr>
    </w:p>
    <w:p w14:paraId="2D768DAD" w14:textId="77777777" w:rsidR="00C07830" w:rsidRPr="009037F6" w:rsidRDefault="00C07830" w:rsidP="00C07830">
      <w:pPr>
        <w:numPr>
          <w:ilvl w:val="0"/>
          <w:numId w:val="2"/>
        </w:numPr>
        <w:tabs>
          <w:tab w:val="left" w:pos="142"/>
          <w:tab w:val="left" w:pos="284"/>
        </w:tabs>
        <w:spacing w:after="0" w:line="276" w:lineRule="auto"/>
        <w:contextualSpacing/>
        <w:jc w:val="both"/>
        <w:rPr>
          <w:rFonts w:ascii="Verdana" w:eastAsia="Century Gothic" w:hAnsi="Verdana" w:cs="Century Gothic"/>
          <w:b/>
          <w:bCs/>
          <w:lang w:val="es-ES"/>
        </w:rPr>
      </w:pPr>
      <w:r w:rsidRPr="009037F6">
        <w:rPr>
          <w:rFonts w:ascii="Verdana" w:eastAsia="Century Gothic" w:hAnsi="Verdana" w:cs="Century Gothic"/>
          <w:b/>
          <w:bCs/>
          <w:lang w:val="es-ES"/>
        </w:rPr>
        <w:t>Doctrina de la Agencia Nacional de Contratación Pública:</w:t>
      </w:r>
    </w:p>
    <w:p w14:paraId="3825DF52" w14:textId="77777777" w:rsidR="00C07830" w:rsidRPr="009037F6" w:rsidRDefault="00C07830" w:rsidP="00C07830">
      <w:pPr>
        <w:widowControl w:val="0"/>
        <w:autoSpaceDE w:val="0"/>
        <w:autoSpaceDN w:val="0"/>
        <w:spacing w:after="0" w:line="276" w:lineRule="auto"/>
        <w:jc w:val="both"/>
        <w:rPr>
          <w:rFonts w:ascii="Verdana" w:hAnsi="Verdana" w:cs="Arial"/>
        </w:rPr>
      </w:pPr>
    </w:p>
    <w:p w14:paraId="1FF50C7B" w14:textId="77777777" w:rsidR="00C07830" w:rsidRPr="00AD7D5F" w:rsidRDefault="00C07830" w:rsidP="00C07830">
      <w:pPr>
        <w:widowControl w:val="0"/>
        <w:autoSpaceDE w:val="0"/>
        <w:autoSpaceDN w:val="0"/>
        <w:spacing w:after="0" w:line="276" w:lineRule="auto"/>
        <w:jc w:val="both"/>
        <w:rPr>
          <w:rFonts w:ascii="Verdana" w:eastAsia="Calibri" w:hAnsi="Verdana" w:cs="Arial"/>
          <w:lang w:val="es-ES"/>
        </w:rPr>
      </w:pPr>
      <w:r w:rsidRPr="00E7254D">
        <w:rPr>
          <w:rFonts w:ascii="Verdana" w:eastAsia="Aptos" w:hAnsi="Verdana" w:cs="Arial"/>
          <w:color w:val="000000"/>
          <w:shd w:val="clear" w:color="auto" w:fill="FFFFFF"/>
          <w:lang w:val="es-ES"/>
        </w:rPr>
        <w:t xml:space="preserve">Sobre la obligación de controlar y vigilar la ejecución de los contratos estatales, esta Subdirección se ha referido en los Conceptos </w:t>
      </w:r>
      <w:r w:rsidRPr="00E7254D">
        <w:rPr>
          <w:rFonts w:ascii="Verdana" w:eastAsia="Aptos" w:hAnsi="Verdana" w:cs="Arial"/>
          <w:color w:val="000000"/>
          <w:shd w:val="clear" w:color="auto" w:fill="FFFFFF"/>
          <w:lang w:val="es-ES_tradnl"/>
        </w:rPr>
        <w:t>radicado 4201913000004799 del 30 de agosto de 2019, 4201913000008240 del 20 de diciembre de 2019, C-064 del 28 de febrero de 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E7254D">
        <w:rPr>
          <w:rFonts w:ascii="Verdana" w:eastAsia="Aptos" w:hAnsi="Verdana" w:cs="Arial"/>
          <w:color w:val="000000"/>
          <w:shd w:val="clear" w:color="auto" w:fill="FFFFFF"/>
          <w:lang w:val="es-ES"/>
        </w:rPr>
        <w:t xml:space="preserve">,C-600 del 7 de octubre de 2024, C-800 del 13 de diciembre de 2025, C-972 de 22 de enero de 2025, C-987 del 21 de enero de 2025, C-091 del 13 de febrero de 2025, </w:t>
      </w:r>
      <w:r>
        <w:rPr>
          <w:rFonts w:ascii="Verdana" w:eastAsia="Aptos" w:hAnsi="Verdana" w:cs="Arial"/>
          <w:color w:val="000000"/>
          <w:shd w:val="clear" w:color="auto" w:fill="FFFFFF"/>
          <w:lang w:val="es-ES"/>
        </w:rPr>
        <w:t xml:space="preserve">C-219 del 28 de marzo de 2025, C-265 del 7 de abril de 2025, C-840 del 5 de agosto de 2025, C-1484 del 24 de noviembre de 2025, C-1553 del 3 de diciembre de 2025, C-039 del 30 de enero de 2026 y C-913 del 1 de julio de 2026, entre otros. </w:t>
      </w:r>
      <w:r w:rsidRPr="009037F6">
        <w:rPr>
          <w:rFonts w:ascii="Verdana" w:eastAsia="Calibri" w:hAnsi="Verdana" w:cs="Times New Roman"/>
        </w:rPr>
        <w:t xml:space="preserve">Estos y otros conceptos se encuentran disponibles para </w:t>
      </w:r>
      <w:r w:rsidRPr="009037F6">
        <w:rPr>
          <w:rFonts w:ascii="Verdana" w:eastAsia="Calibri" w:hAnsi="Verdana" w:cs="Times New Roman"/>
        </w:rPr>
        <w:lastRenderedPageBreak/>
        <w:t>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16EC8D4C" w14:textId="77777777" w:rsidR="00C07830" w:rsidRPr="009037F6" w:rsidRDefault="00C07830" w:rsidP="00C07830">
      <w:pPr>
        <w:spacing w:after="0" w:line="256" w:lineRule="auto"/>
        <w:jc w:val="both"/>
        <w:rPr>
          <w:rFonts w:ascii="Verdana" w:eastAsia="Calibri" w:hAnsi="Verdana" w:cs="Times New Roman"/>
        </w:rPr>
      </w:pPr>
      <w:hyperlink r:id="rId13" w:history="1">
        <w:r w:rsidRPr="009037F6">
          <w:rPr>
            <w:rFonts w:ascii="Verdana" w:eastAsia="Calibri" w:hAnsi="Verdana" w:cs="Times New Roman"/>
            <w:color w:val="0000FF"/>
            <w:u w:val="single"/>
            <w:lang w:val="es-ES"/>
          </w:rPr>
          <w:t>https://relatoria.colombiacompra.gov.co/busqueda/conceptos</w:t>
        </w:r>
      </w:hyperlink>
      <w:r w:rsidRPr="009037F6">
        <w:rPr>
          <w:rFonts w:ascii="Verdana" w:eastAsia="Calibri" w:hAnsi="Verdana" w:cs="Times New Roman"/>
        </w:rPr>
        <w:t xml:space="preserve">. </w:t>
      </w:r>
    </w:p>
    <w:p w14:paraId="0BF56272" w14:textId="77777777" w:rsidR="00C07830" w:rsidRPr="009037F6" w:rsidRDefault="00C07830" w:rsidP="00C07830">
      <w:pPr>
        <w:spacing w:after="0"/>
        <w:jc w:val="both"/>
        <w:rPr>
          <w:rFonts w:ascii="Verdana" w:hAnsi="Verdana"/>
        </w:rPr>
      </w:pPr>
    </w:p>
    <w:p w14:paraId="5FCE6DFA"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BE121F">
        <w:rPr>
          <w:rFonts w:ascii="Verdana" w:hAnsi="Verdana"/>
          <w:b/>
          <w:bCs/>
        </w:rPr>
        <w:t>Guía para la Exigencia y Constitución de Garantías en los Procesos de Contratación</w:t>
      </w:r>
      <w:r w:rsidRPr="00BE121F">
        <w:rPr>
          <w:rFonts w:ascii="Verdana" w:hAnsi="Verdana"/>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Dirección URL original: https://www.colombiacompra.gov.co/archivos/manual/guia-de-garantias-en-procesos-de-contratacion. Haga clic o pulse si confía en este vínculo." w:history="1">
        <w:r w:rsidRPr="00BE121F">
          <w:rPr>
            <w:rStyle w:val="Hipervnculo"/>
            <w:rFonts w:ascii="Verdana" w:hAnsi="Verdana"/>
          </w:rPr>
          <w:t>https://www.colombiacompra.gov.co/archivos/manual/guia-de-garantias-en-procesos-de-contratacion</w:t>
        </w:r>
      </w:hyperlink>
    </w:p>
    <w:p w14:paraId="0D5E035D"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De otro lado, te contamos que el Decreto 287 del 19 de marzo de 2026 sustituyó los artículos 2.2.1.2.4.2.6., 2.2.1.2.4.2.7. y 2.2.1.2.4.2.8. del Decreto 1082 de 2015 y estructuró el </w:t>
      </w:r>
      <w:r w:rsidRPr="00BE121F">
        <w:rPr>
          <w:rFonts w:ascii="Verdana" w:hAnsi="Verdana"/>
          <w:b/>
          <w:bCs/>
        </w:rPr>
        <w:t>Sistema Integral de Preferencias en favor de las personas con discapacidad</w:t>
      </w:r>
      <w:r w:rsidRPr="00BE121F">
        <w:rPr>
          <w:rFonts w:ascii="Verdana" w:hAnsi="Verdana"/>
        </w:rPr>
        <w:t>, en cumplimiento del artículo 13 de la Ley Estatutaria 1618 de 2013. Para orientar su aplicación, esta Agencia expidió la </w:t>
      </w:r>
      <w:r w:rsidRPr="00BE121F">
        <w:rPr>
          <w:rFonts w:ascii="Verdana" w:hAnsi="Verdana"/>
          <w:b/>
          <w:bCs/>
        </w:rPr>
        <w:t>Circular Externa 003 del 12 de mayo de 2026, </w:t>
      </w:r>
      <w:r w:rsidRPr="00BE121F">
        <w:rPr>
          <w:rFonts w:ascii="Verdana" w:hAnsi="Verdana"/>
        </w:rPr>
        <w:t>en la que precisa quiénes son los beneficiarios, las cinco medidas que integran el sistema y su obligatoriedad según la modalidad de selección, y el régimen de transición aplicable a los procesos en curso. Consúltala aquí: </w:t>
      </w:r>
      <w:hyperlink r:id="rId15" w:tooltip="Dirección URL original: https://www.colombiacompra.gov.co/archivos/circular/circular-externa-003-de-2026. Haga clic o pulse si confía en este vínculo." w:history="1">
        <w:r w:rsidRPr="00BE121F">
          <w:rPr>
            <w:rStyle w:val="Hipervnculo"/>
            <w:rFonts w:ascii="Verdana" w:hAnsi="Verdana"/>
          </w:rPr>
          <w:t>https://www.colombiacompra.gov.co/archivos/circular/circular-externa-003-de-2026</w:t>
        </w:r>
      </w:hyperlink>
    </w:p>
    <w:p w14:paraId="6AB3BDB5"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Recuerda también que la</w:t>
      </w:r>
      <w:r w:rsidRPr="00BE121F">
        <w:rPr>
          <w:rFonts w:ascii="Verdana" w:hAnsi="Verdana"/>
          <w:b/>
          <w:bCs/>
        </w:rPr>
        <w:t> información sobre sanciones e inhabilidades </w:t>
      </w:r>
      <w:r w:rsidRPr="00BE121F">
        <w:rPr>
          <w:rFonts w:ascii="Verdana" w:hAnsi="Verdana"/>
        </w:rPr>
        <w:t>solo cumple su función preventiva si llega oportunamente a los registros públicos. Sobre este deber, esta Agencia expidió la </w:t>
      </w:r>
      <w:r w:rsidRPr="00BE121F">
        <w:rPr>
          <w:rFonts w:ascii="Verdana" w:hAnsi="Verdana"/>
          <w:b/>
          <w:bCs/>
        </w:rPr>
        <w:t>Circular Externa 002 del 5 de mayo de 2026,</w:t>
      </w:r>
      <w:r w:rsidRPr="00BE121F">
        <w:rPr>
          <w:rFonts w:ascii="Verdana" w:hAnsi="Verdana"/>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BE121F">
        <w:rPr>
          <w:rFonts w:ascii="Verdana" w:hAnsi="Verdana"/>
        </w:rPr>
        <w:lastRenderedPageBreak/>
        <w:t>disciplinarias de omitir este deber. Consúltala aquí: </w:t>
      </w:r>
      <w:hyperlink r:id="rId16" w:tooltip="Dirección URL original: https://www.colombiacompra.gov.co/archivos/circular/circular-externa-002-de-2026. Haga clic o pulse si confía en este vínculo." w:history="1">
        <w:r w:rsidRPr="00BE121F">
          <w:rPr>
            <w:rStyle w:val="Hipervnculo"/>
            <w:rFonts w:ascii="Verdana" w:hAnsi="Verdana"/>
          </w:rPr>
          <w:t>https://www.colombiacompra.gov.co/archivos/circular/circular-externa-002-de-2026</w:t>
        </w:r>
      </w:hyperlink>
    </w:p>
    <w:p w14:paraId="0C81A811" w14:textId="77777777" w:rsidR="00C07830" w:rsidRPr="00BE121F" w:rsidRDefault="00C07830" w:rsidP="00C07830">
      <w:pPr>
        <w:widowControl w:val="0"/>
        <w:autoSpaceDE w:val="0"/>
        <w:autoSpaceDN w:val="0"/>
        <w:spacing w:after="120" w:line="276" w:lineRule="auto"/>
        <w:jc w:val="both"/>
        <w:rPr>
          <w:rFonts w:ascii="Verdana" w:hAnsi="Verdana"/>
        </w:rPr>
      </w:pPr>
      <w:r w:rsidRPr="00BE121F">
        <w:rPr>
          <w:rFonts w:ascii="Verdana" w:hAnsi="Verdana"/>
        </w:rPr>
        <w:t>Finalmente, si quieres seguir de cerca la actividad de la Agencia, la tercera edición de 2026 del</w:t>
      </w:r>
      <w:r w:rsidRPr="00BE121F">
        <w:rPr>
          <w:rFonts w:ascii="Verdana" w:hAnsi="Verdana"/>
          <w:b/>
          <w:bCs/>
        </w:rPr>
        <w:t> Radar de la Compra Pública</w:t>
      </w:r>
      <w:r w:rsidRPr="00BE121F">
        <w:rPr>
          <w:rFonts w:ascii="Verdana" w:hAnsi="Verdana"/>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Dirección URL original: https://www.colombiacompra.gov.co/archivos/boletin/boletin-edicion-n-3-de-2026-radar-de-la-compra-publica. Haga clic o pulse si confía en este vínculo." w:history="1">
        <w:r w:rsidRPr="00BE121F">
          <w:rPr>
            <w:rStyle w:val="Hipervnculo"/>
            <w:rFonts w:ascii="Verdana" w:hAnsi="Verdana"/>
          </w:rPr>
          <w:t>https://www.colombiacompra.gov.co/archivos/boletin/boletin-edicion-n-3-de-2026-radar-de-la-compra-publica</w:t>
        </w:r>
      </w:hyperlink>
    </w:p>
    <w:p w14:paraId="65194973" w14:textId="77777777" w:rsidR="00C07830" w:rsidRPr="00116940" w:rsidRDefault="00C07830" w:rsidP="00C07830">
      <w:pPr>
        <w:spacing w:after="0"/>
        <w:jc w:val="both"/>
        <w:rPr>
          <w:rFonts w:ascii="Verdana" w:hAnsi="Verdana"/>
        </w:rPr>
      </w:pPr>
      <w:r>
        <w:rPr>
          <w:rFonts w:ascii="Verdana" w:hAnsi="Verdana"/>
        </w:rPr>
        <w:t>A</w:t>
      </w:r>
      <w:r w:rsidRPr="00E02524">
        <w:rPr>
          <w:rFonts w:ascii="Verdana" w:hAnsi="Verdana"/>
        </w:rPr>
        <w:t xml:space="preserve">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1623A03D" w14:textId="77777777" w:rsidR="00C07830" w:rsidRPr="00116940" w:rsidRDefault="00C07830" w:rsidP="00C07830">
      <w:pPr>
        <w:spacing w:after="0"/>
        <w:jc w:val="both"/>
        <w:rPr>
          <w:rFonts w:ascii="Verdana" w:hAnsi="Verdana"/>
        </w:rPr>
      </w:pPr>
    </w:p>
    <w:p w14:paraId="6FC7075E" w14:textId="77777777" w:rsidR="00C07830" w:rsidRPr="00116940" w:rsidRDefault="00C07830" w:rsidP="00C07830">
      <w:pPr>
        <w:pStyle w:val="Prrafodelista"/>
        <w:numPr>
          <w:ilvl w:val="0"/>
          <w:numId w:val="1"/>
        </w:numPr>
        <w:spacing w:after="0" w:line="240" w:lineRule="auto"/>
        <w:jc w:val="both"/>
        <w:rPr>
          <w:rFonts w:ascii="Verdana" w:eastAsia="Verdana" w:hAnsi="Verdana" w:cs="Verdana"/>
          <w:color w:val="156082"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41729EBA" w14:textId="77777777" w:rsidR="00C07830" w:rsidRPr="00116940" w:rsidRDefault="00C07830" w:rsidP="00C07830">
      <w:pPr>
        <w:pStyle w:val="Prrafodelista"/>
        <w:numPr>
          <w:ilvl w:val="0"/>
          <w:numId w:val="1"/>
        </w:numPr>
        <w:spacing w:after="0"/>
        <w:rPr>
          <w:rFonts w:ascii="Verdana" w:eastAsia="Verdana" w:hAnsi="Verdana" w:cs="Verdana"/>
          <w:color w:val="156082"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65402FE4" w14:textId="77777777" w:rsidR="00C07830" w:rsidRPr="00116940" w:rsidRDefault="00C07830" w:rsidP="00C07830">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8">
        <w:r w:rsidRPr="00116940">
          <w:rPr>
            <w:rStyle w:val="Hipervnculo"/>
            <w:rFonts w:ascii="Verdana" w:eastAsia="Verdana" w:hAnsi="Verdana" w:cs="Verdana"/>
            <w:lang w:val="es-MX"/>
          </w:rPr>
          <w:t>ventanilladeradicacion@colombiacompra.gov.co</w:t>
        </w:r>
      </w:hyperlink>
    </w:p>
    <w:p w14:paraId="6A7A345D" w14:textId="77777777" w:rsidR="00C07830" w:rsidRPr="00116940" w:rsidRDefault="00C07830" w:rsidP="00C07830">
      <w:pPr>
        <w:pStyle w:val="Prrafodelista"/>
        <w:numPr>
          <w:ilvl w:val="0"/>
          <w:numId w:val="1"/>
        </w:numPr>
        <w:spacing w:after="0"/>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9">
        <w:r w:rsidRPr="00116940">
          <w:rPr>
            <w:rStyle w:val="Hipervnculo"/>
            <w:rFonts w:ascii="Verdana" w:eastAsia="Verdana" w:hAnsi="Verdana" w:cs="Verdana"/>
            <w:lang w:val="es-MX"/>
          </w:rPr>
          <w:t>https://www.colombiacompra.gov.co/pqrsd/informacion-importante-antes-de-formular-una-pqrsd</w:t>
        </w:r>
      </w:hyperlink>
    </w:p>
    <w:p w14:paraId="6D37BB42" w14:textId="77777777" w:rsidR="00C07830" w:rsidRPr="00116940" w:rsidRDefault="00C07830" w:rsidP="00C07830">
      <w:pPr>
        <w:spacing w:after="0" w:line="240" w:lineRule="auto"/>
        <w:ind w:left="720"/>
        <w:jc w:val="both"/>
        <w:rPr>
          <w:rFonts w:ascii="Verdana" w:hAnsi="Verdana"/>
        </w:rPr>
      </w:pPr>
    </w:p>
    <w:p w14:paraId="0E17CD43" w14:textId="77777777" w:rsidR="00C07830" w:rsidRPr="00116940" w:rsidRDefault="00C07830" w:rsidP="00C07830">
      <w:pPr>
        <w:spacing w:after="0" w:line="240" w:lineRule="auto"/>
        <w:rPr>
          <w:rFonts w:ascii="Verdana" w:hAnsi="Verdana"/>
        </w:rPr>
      </w:pPr>
      <w:r w:rsidRPr="00116940">
        <w:rPr>
          <w:rFonts w:ascii="Verdana" w:hAnsi="Verdana"/>
        </w:rPr>
        <w:t>Evalúa el servicio que ofrece la Agencia por el canal de atención de PQRSD en el siguiente enlace :</w:t>
      </w:r>
      <w:hyperlink r:id="rId20" w:tgtFrame="_blank" w:tooltip="https://forms.office.com/r/pphywvs2sz" w:history="1">
        <w:r w:rsidRPr="00116940">
          <w:rPr>
            <w:rStyle w:val="Hipervnculo"/>
            <w:rFonts w:ascii="Verdana" w:hAnsi="Verdana"/>
          </w:rPr>
          <w:t>https://forms.office.com/r/pPHyWVs2SZ</w:t>
        </w:r>
      </w:hyperlink>
      <w:r w:rsidRPr="00116940">
        <w:rPr>
          <w:rFonts w:ascii="Verdana" w:hAnsi="Verdana"/>
        </w:rPr>
        <w:t xml:space="preserve"> .¡Ayúdanos a mejorar porque el compromiso es de todos!</w:t>
      </w:r>
    </w:p>
    <w:p w14:paraId="422A479A" w14:textId="77777777" w:rsidR="00C07830" w:rsidRPr="00116940" w:rsidRDefault="00C07830" w:rsidP="00C07830">
      <w:pPr>
        <w:spacing w:after="0" w:line="240" w:lineRule="auto"/>
        <w:rPr>
          <w:rFonts w:ascii="Verdana" w:hAnsi="Verdana"/>
        </w:rPr>
      </w:pPr>
    </w:p>
    <w:p w14:paraId="6B09A4A0"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BFD8B7A" w14:textId="77777777" w:rsidR="00C07830" w:rsidRPr="00116940" w:rsidRDefault="00C07830" w:rsidP="00C07830">
      <w:pPr>
        <w:spacing w:after="0" w:line="240" w:lineRule="auto"/>
        <w:jc w:val="both"/>
        <w:rPr>
          <w:rFonts w:ascii="Verdana" w:hAnsi="Verdana"/>
        </w:rPr>
      </w:pPr>
    </w:p>
    <w:p w14:paraId="78DCC32C"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483878ED"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Facebook: </w:t>
      </w:r>
      <w:r w:rsidRPr="00116940">
        <w:rPr>
          <w:rStyle w:val="Hipervnculo"/>
          <w:rFonts w:ascii="Verdana" w:hAnsi="Verdana"/>
        </w:rPr>
        <w:t>ColombiaCompraEficiente</w:t>
      </w:r>
    </w:p>
    <w:p w14:paraId="3984055F" w14:textId="77777777" w:rsidR="00C07830" w:rsidRPr="00116940" w:rsidRDefault="00C07830" w:rsidP="00C07830">
      <w:pPr>
        <w:spacing w:after="0" w:line="240"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18CEEF39" w14:textId="77777777" w:rsidR="00C07830" w:rsidRPr="009C4035" w:rsidRDefault="00C07830" w:rsidP="00C07830">
      <w:pPr>
        <w:widowControl w:val="0"/>
        <w:autoSpaceDE w:val="0"/>
        <w:autoSpaceDN w:val="0"/>
        <w:spacing w:after="120" w:line="276" w:lineRule="auto"/>
        <w:jc w:val="both"/>
        <w:rPr>
          <w:rFonts w:ascii="Verdana" w:hAnsi="Verdana" w:cs="Arial"/>
          <w:color w:val="FF0000"/>
          <w:shd w:val="clear" w:color="auto" w:fill="FFFFFF"/>
          <w:lang w:val="es-ES_tradnl"/>
        </w:rPr>
      </w:pPr>
      <w:r w:rsidRPr="004A73EC">
        <w:rPr>
          <w:rStyle w:val="normaltextrun"/>
          <w:rFonts w:ascii="Verdana" w:hAnsi="Verdana" w:cs="Arial"/>
          <w:color w:val="FF0000"/>
          <w:shd w:val="clear" w:color="auto" w:fill="FFFFFF"/>
          <w:lang w:val="es-ES_tradnl"/>
        </w:rPr>
        <w:t xml:space="preserve">        </w:t>
      </w:r>
    </w:p>
    <w:p w14:paraId="55BC0BC9" w14:textId="77777777" w:rsidR="00C07830" w:rsidRPr="00593A5F" w:rsidRDefault="00C07830" w:rsidP="00C07830">
      <w:pPr>
        <w:widowControl w:val="0"/>
        <w:autoSpaceDE w:val="0"/>
        <w:autoSpaceDN w:val="0"/>
        <w:spacing w:after="0" w:line="276" w:lineRule="auto"/>
        <w:jc w:val="both"/>
        <w:rPr>
          <w:rFonts w:ascii="Verdana" w:hAnsi="Verdana" w:cs="Arial"/>
          <w:lang w:val="es-ES_tradnl"/>
        </w:rPr>
      </w:pPr>
      <w:r w:rsidRPr="00593A5F">
        <w:rPr>
          <w:rFonts w:ascii="Verdana" w:hAnsi="Verdana" w:cs="Arial"/>
        </w:rPr>
        <w:lastRenderedPageBreak/>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A1D130F" w14:textId="77777777" w:rsidR="00C07830" w:rsidRPr="00B57A1B" w:rsidRDefault="00C07830" w:rsidP="00C07830">
      <w:pPr>
        <w:spacing w:after="0" w:line="256" w:lineRule="auto"/>
        <w:jc w:val="both"/>
        <w:rPr>
          <w:rFonts w:ascii="Verdana" w:eastAsia="Calibri" w:hAnsi="Verdana" w:cs="Times New Roman"/>
        </w:rPr>
      </w:pPr>
    </w:p>
    <w:p w14:paraId="3870F5A6" w14:textId="77777777" w:rsidR="00C07830" w:rsidRDefault="00C07830" w:rsidP="00C07830">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608CBAEB" w14:textId="77777777" w:rsidR="00C07830" w:rsidRPr="00B57A1B" w:rsidRDefault="00C07830" w:rsidP="00C07830">
      <w:pPr>
        <w:spacing w:after="0" w:line="256" w:lineRule="auto"/>
        <w:jc w:val="both"/>
        <w:rPr>
          <w:rFonts w:ascii="Verdana" w:eastAsia="Calibri" w:hAnsi="Verdana" w:cs="Times New Roman"/>
        </w:rPr>
      </w:pPr>
    </w:p>
    <w:p w14:paraId="6EE389B5" w14:textId="61E2CF16" w:rsidR="00CC180E" w:rsidRPr="00CC180E" w:rsidRDefault="00CC180E" w:rsidP="00CC180E">
      <w:pPr>
        <w:spacing w:after="0" w:line="256" w:lineRule="auto"/>
        <w:jc w:val="center"/>
        <w:rPr>
          <w:noProof/>
        </w:rPr>
      </w:pPr>
      <w:r w:rsidRPr="00CC180E">
        <w:rPr>
          <w:noProof/>
        </w:rPr>
        <w:drawing>
          <wp:inline distT="0" distB="0" distL="0" distR="0" wp14:anchorId="57B5A764" wp14:editId="30B66F91">
            <wp:extent cx="3771900" cy="1400175"/>
            <wp:effectExtent l="0" t="0" r="0" b="9525"/>
            <wp:docPr id="139452554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71900" cy="1400175"/>
                    </a:xfrm>
                    <a:prstGeom prst="rect">
                      <a:avLst/>
                    </a:prstGeom>
                    <a:noFill/>
                    <a:ln>
                      <a:noFill/>
                    </a:ln>
                  </pic:spPr>
                </pic:pic>
              </a:graphicData>
            </a:graphic>
          </wp:inline>
        </w:drawing>
      </w:r>
    </w:p>
    <w:p w14:paraId="11EBAC81" w14:textId="0E2A4D9A" w:rsidR="00C07830" w:rsidRDefault="00C07830" w:rsidP="00C07830">
      <w:pPr>
        <w:spacing w:after="0" w:line="256" w:lineRule="auto"/>
        <w:jc w:val="center"/>
        <w:rPr>
          <w:noProof/>
          <w:lang w:val="en-US"/>
        </w:rPr>
      </w:pPr>
    </w:p>
    <w:p w14:paraId="19459041" w14:textId="77777777" w:rsidR="00C07830" w:rsidRPr="008B7171" w:rsidRDefault="00C07830" w:rsidP="00C07830">
      <w:pPr>
        <w:spacing w:after="0" w:line="256" w:lineRule="auto"/>
        <w:jc w:val="center"/>
        <w:rPr>
          <w:noProof/>
          <w:lang w:val="en-US"/>
        </w:rPr>
      </w:pP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C07830" w:rsidRPr="00206556" w14:paraId="369A1E79" w14:textId="77777777" w:rsidTr="00C90BBB">
        <w:trPr>
          <w:trHeight w:val="322"/>
        </w:trPr>
        <w:tc>
          <w:tcPr>
            <w:tcW w:w="733" w:type="dxa"/>
            <w:tcBorders>
              <w:top w:val="nil"/>
              <w:left w:val="nil"/>
              <w:bottom w:val="nil"/>
              <w:right w:val="nil"/>
            </w:tcBorders>
            <w:vAlign w:val="center"/>
            <w:hideMark/>
          </w:tcPr>
          <w:p w14:paraId="1CBBDAB8"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Elaboró:         </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6DC274CC" w14:textId="77777777" w:rsidR="00C07830" w:rsidRPr="00206556" w:rsidRDefault="00C07830" w:rsidP="00C90BBB">
            <w:pPr>
              <w:spacing w:after="0" w:line="256" w:lineRule="auto"/>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Natalia Montoya Jiménez</w:t>
            </w:r>
          </w:p>
          <w:p w14:paraId="5807998A" w14:textId="77777777" w:rsidR="00C07830" w:rsidRPr="00A5703A" w:rsidRDefault="00C07830" w:rsidP="00C90BBB">
            <w:pPr>
              <w:autoSpaceDE w:val="0"/>
              <w:autoSpaceDN w:val="0"/>
              <w:adjustRightInd w:val="0"/>
              <w:spacing w:after="0" w:line="276" w:lineRule="auto"/>
              <w:rPr>
                <w:rFonts w:ascii="Verdana" w:eastAsia="Calibri" w:hAnsi="Verdana" w:cs="Arial"/>
              </w:rPr>
            </w:pPr>
            <w:r w:rsidRPr="00206556">
              <w:rPr>
                <w:rFonts w:ascii="Verdana" w:eastAsia="Times New Roman" w:hAnsi="Verdana" w:cs="Arial"/>
                <w:sz w:val="16"/>
                <w:szCs w:val="16"/>
                <w:lang w:eastAsia="es-ES"/>
              </w:rPr>
              <w:t>Gestor T1-1</w:t>
            </w:r>
            <w:r>
              <w:rPr>
                <w:rFonts w:ascii="Verdana" w:eastAsia="Times New Roman" w:hAnsi="Verdana" w:cs="Arial"/>
                <w:sz w:val="16"/>
                <w:szCs w:val="16"/>
                <w:lang w:eastAsia="es-ES"/>
              </w:rPr>
              <w:t>5</w:t>
            </w:r>
            <w:r w:rsidRPr="00206556">
              <w:rPr>
                <w:rFonts w:ascii="Verdana" w:eastAsia="Times New Roman" w:hAnsi="Verdana" w:cs="Arial"/>
                <w:sz w:val="16"/>
                <w:szCs w:val="16"/>
                <w:lang w:eastAsia="es-ES"/>
              </w:rPr>
              <w:t xml:space="preserve"> de la Subdirección de Gestión Contractual</w:t>
            </w:r>
          </w:p>
        </w:tc>
      </w:tr>
      <w:tr w:rsidR="00C07830" w:rsidRPr="00206556" w14:paraId="2DFEF85D" w14:textId="77777777" w:rsidTr="00C90BBB">
        <w:trPr>
          <w:trHeight w:val="322"/>
        </w:trPr>
        <w:tc>
          <w:tcPr>
            <w:tcW w:w="733" w:type="dxa"/>
            <w:tcBorders>
              <w:top w:val="nil"/>
              <w:left w:val="nil"/>
              <w:bottom w:val="nil"/>
              <w:right w:val="nil"/>
            </w:tcBorders>
            <w:vAlign w:val="center"/>
            <w:hideMark/>
          </w:tcPr>
          <w:p w14:paraId="518FCB8B"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Revisó:</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14806732" w14:textId="77777777" w:rsidR="00C07830" w:rsidRPr="00206556" w:rsidRDefault="00C07830" w:rsidP="00C90BBB">
            <w:pPr>
              <w:spacing w:after="0" w:line="256" w:lineRule="auto"/>
              <w:rPr>
                <w:rFonts w:ascii="Verdana" w:eastAsia="Times New Roman" w:hAnsi="Verdana" w:cs="Arial"/>
                <w:sz w:val="16"/>
                <w:szCs w:val="16"/>
                <w:lang w:val="es-ES" w:eastAsia="es-ES"/>
              </w:rPr>
            </w:pPr>
            <w:r w:rsidRPr="27F8E5D1">
              <w:rPr>
                <w:rFonts w:ascii="Verdana" w:eastAsia="Times New Roman" w:hAnsi="Verdana" w:cs="Arial"/>
                <w:sz w:val="16"/>
                <w:szCs w:val="16"/>
                <w:lang w:val="es-ES" w:eastAsia="es-ES"/>
              </w:rPr>
              <w:t>Adriana Katherine López Rodriguez</w:t>
            </w:r>
          </w:p>
          <w:p w14:paraId="1D039885" w14:textId="77777777" w:rsidR="00C07830" w:rsidRPr="00A5703A" w:rsidRDefault="00C07830" w:rsidP="00C90BBB">
            <w:pPr>
              <w:autoSpaceDE w:val="0"/>
              <w:autoSpaceDN w:val="0"/>
              <w:adjustRightInd w:val="0"/>
              <w:spacing w:after="0" w:line="276" w:lineRule="auto"/>
              <w:rPr>
                <w:rFonts w:ascii="Verdana" w:eastAsia="Calibri" w:hAnsi="Verdana" w:cs="Arial"/>
              </w:rPr>
            </w:pPr>
            <w:r>
              <w:rPr>
                <w:rFonts w:ascii="Verdana" w:eastAsia="Times New Roman" w:hAnsi="Verdana" w:cs="Arial"/>
                <w:sz w:val="16"/>
                <w:szCs w:val="16"/>
                <w:lang w:eastAsia="es-ES"/>
              </w:rPr>
              <w:t>Contratista</w:t>
            </w:r>
            <w:r w:rsidRPr="00206556">
              <w:rPr>
                <w:rFonts w:ascii="Verdana" w:eastAsia="Times New Roman" w:hAnsi="Verdana" w:cs="Arial"/>
                <w:sz w:val="16"/>
                <w:szCs w:val="16"/>
                <w:lang w:eastAsia="es-ES"/>
              </w:rPr>
              <w:t xml:space="preserve"> de la Subdirección de Gestión Contractual</w:t>
            </w:r>
          </w:p>
        </w:tc>
      </w:tr>
      <w:tr w:rsidR="00C07830" w:rsidRPr="00206556" w14:paraId="6E3C08FA" w14:textId="77777777" w:rsidTr="00C90BBB">
        <w:trPr>
          <w:trHeight w:val="307"/>
        </w:trPr>
        <w:tc>
          <w:tcPr>
            <w:tcW w:w="733" w:type="dxa"/>
            <w:tcBorders>
              <w:top w:val="nil"/>
              <w:left w:val="nil"/>
              <w:bottom w:val="nil"/>
              <w:right w:val="nil"/>
            </w:tcBorders>
            <w:vAlign w:val="center"/>
            <w:hideMark/>
          </w:tcPr>
          <w:p w14:paraId="298ADDA8" w14:textId="77777777" w:rsidR="00C07830" w:rsidRPr="00206556" w:rsidRDefault="00C07830" w:rsidP="00C90BBB">
            <w:pPr>
              <w:spacing w:after="0" w:line="240" w:lineRule="auto"/>
              <w:textAlignment w:val="baseline"/>
              <w:rPr>
                <w:rFonts w:ascii="Verdana" w:eastAsia="Times New Roman" w:hAnsi="Verdana" w:cs="Times New Roman"/>
                <w:sz w:val="16"/>
                <w:szCs w:val="16"/>
                <w:lang w:eastAsia="es-CO"/>
              </w:rPr>
            </w:pPr>
            <w:r w:rsidRPr="00206556">
              <w:rPr>
                <w:rFonts w:ascii="Verdana" w:eastAsia="Times New Roman" w:hAnsi="Verdana" w:cs="Times New Roman"/>
                <w:sz w:val="16"/>
                <w:szCs w:val="16"/>
                <w:lang w:val="es-MX" w:eastAsia="es-CO"/>
              </w:rPr>
              <w:t>Aprobó:</w:t>
            </w:r>
            <w:r w:rsidRPr="00206556">
              <w:rPr>
                <w:rFonts w:ascii="Verdana" w:eastAsia="Times New Roman" w:hAnsi="Verdana" w:cs="Times New Roman"/>
                <w:sz w:val="16"/>
                <w:szCs w:val="16"/>
                <w:lang w:eastAsia="es-CO"/>
              </w:rPr>
              <w:t> </w:t>
            </w:r>
          </w:p>
        </w:tc>
        <w:tc>
          <w:tcPr>
            <w:tcW w:w="5837" w:type="dxa"/>
            <w:tcBorders>
              <w:top w:val="dotted" w:sz="6" w:space="0" w:color="7F7F7F" w:themeColor="text1" w:themeTint="80"/>
              <w:left w:val="nil"/>
              <w:bottom w:val="dotted" w:sz="6" w:space="0" w:color="7F7F7F" w:themeColor="text1" w:themeTint="80"/>
              <w:right w:val="nil"/>
            </w:tcBorders>
            <w:vAlign w:val="center"/>
            <w:hideMark/>
          </w:tcPr>
          <w:p w14:paraId="4F662FA7" w14:textId="77777777" w:rsidR="00C07830" w:rsidRPr="00206556" w:rsidRDefault="00C07830" w:rsidP="00C90BBB">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Carolina Quintero Gacharná</w:t>
            </w:r>
          </w:p>
          <w:p w14:paraId="1E3EE74C" w14:textId="77777777" w:rsidR="00C07830" w:rsidRPr="00206556" w:rsidRDefault="00C07830" w:rsidP="00C90BBB">
            <w:pPr>
              <w:spacing w:after="0" w:line="256" w:lineRule="auto"/>
              <w:rPr>
                <w:rFonts w:ascii="Verdana" w:eastAsia="Times New Roman" w:hAnsi="Verdana" w:cs="Arial"/>
                <w:sz w:val="16"/>
                <w:szCs w:val="16"/>
                <w:lang w:eastAsia="es-ES"/>
              </w:rPr>
            </w:pPr>
            <w:r w:rsidRPr="00206556">
              <w:rPr>
                <w:rFonts w:ascii="Verdana" w:eastAsia="Times New Roman" w:hAnsi="Verdana" w:cs="Arial"/>
                <w:sz w:val="16"/>
                <w:szCs w:val="16"/>
                <w:lang w:eastAsia="es-ES"/>
              </w:rPr>
              <w:t>Subdirectora de Gestión Contractual ANCP – CCE</w:t>
            </w:r>
          </w:p>
        </w:tc>
      </w:tr>
    </w:tbl>
    <w:p w14:paraId="10314BC5" w14:textId="77777777" w:rsidR="00C07830" w:rsidRPr="000E2B93" w:rsidRDefault="00C07830" w:rsidP="00C07830">
      <w:pPr>
        <w:spacing w:after="0" w:line="240" w:lineRule="auto"/>
        <w:textAlignment w:val="baseline"/>
        <w:rPr>
          <w:rFonts w:ascii="Verdana" w:eastAsia="Verdana" w:hAnsi="Verdana" w:cs="Verdana"/>
          <w:lang w:eastAsia="es-CO"/>
        </w:rPr>
      </w:pPr>
    </w:p>
    <w:p w14:paraId="4E347C3D" w14:textId="77777777" w:rsidR="00C07830" w:rsidRPr="000E2B93" w:rsidRDefault="00C07830" w:rsidP="00C07830">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E8F086D" w14:textId="77777777" w:rsidR="00C07830" w:rsidRPr="00225B29" w:rsidRDefault="00C07830" w:rsidP="00C07830"/>
    <w:p w14:paraId="60431663" w14:textId="0D298D9C" w:rsidR="00C07830" w:rsidRDefault="00C07830" w:rsidP="00C07830"/>
    <w:p w14:paraId="08BEB72C" w14:textId="77777777" w:rsidR="00C07830" w:rsidRPr="00627D51" w:rsidRDefault="00C07830" w:rsidP="00C07830"/>
    <w:p w14:paraId="2F519AD6" w14:textId="77777777" w:rsidR="00C07830" w:rsidRDefault="00C07830"/>
    <w:sectPr w:rsidR="00C07830" w:rsidSect="00C07830">
      <w:headerReference w:type="default" r:id="rId22"/>
      <w:footerReference w:type="default" r:id="rId23"/>
      <w:pgSz w:w="12240" w:h="15840" w:code="1"/>
      <w:pgMar w:top="1417" w:right="1701" w:bottom="1417"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driana Katerine" w:date="2026-09-03T16:23:00Z" w:initials="A">
    <w:p w14:paraId="4778D005" w14:textId="77777777" w:rsidR="00C07830" w:rsidRDefault="00C07830">
      <w:pPr>
        <w:pStyle w:val="Textocomentario"/>
      </w:pPr>
      <w:r>
        <w:rPr>
          <w:rStyle w:val="Refdecomentario"/>
        </w:rPr>
        <w:annotationRef/>
      </w:r>
      <w:r>
        <w:t xml:space="preserve">Por fa tener en cuenta lo acá descrito para los considerandos </w:t>
      </w:r>
    </w:p>
  </w:comment>
  <w:comment w:id="5" w:author="Adriana Katerine" w:date="2026-09-03T16:23:00Z" w:initials="A">
    <w:p w14:paraId="00D134AD" w14:textId="77777777" w:rsidR="00C07830" w:rsidRDefault="00C07830">
      <w:pPr>
        <w:pStyle w:val="Textocomentario"/>
      </w:pPr>
      <w:r>
        <w:rPr>
          <w:rStyle w:val="Refdecomentario"/>
        </w:rPr>
        <w:annotationRef/>
      </w:r>
      <w:r>
        <w:t xml:space="preserve">Por fa tener en cuenta lo acá descrito para los considerandos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78D005" w15:done="0"/>
  <w15:commentEx w15:paraId="00D134A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E441D86" w16cex:dateUtc="2026-09-03T21:23:00Z"/>
  <w16cex:commentExtensible w16cex:durableId="4EABF602" w16cex:dateUtc="2026-09-03T21: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78D005" w16cid:durableId="2E441D86"/>
  <w16cid:commentId w16cid:paraId="00D134AD" w16cid:durableId="4EABF6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60F9F" w14:textId="77777777" w:rsidR="00CF6DA6" w:rsidRDefault="00CF6DA6" w:rsidP="00C07830">
      <w:pPr>
        <w:spacing w:after="0" w:line="240" w:lineRule="auto"/>
      </w:pPr>
      <w:r>
        <w:separator/>
      </w:r>
    </w:p>
  </w:endnote>
  <w:endnote w:type="continuationSeparator" w:id="0">
    <w:p w14:paraId="04CCB036" w14:textId="77777777" w:rsidR="00CF6DA6" w:rsidRDefault="00CF6DA6" w:rsidP="00C0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71F2" w14:textId="77777777" w:rsidR="00C07830" w:rsidRDefault="00C07830">
    <w:pPr>
      <w:pStyle w:val="Piedepgina"/>
    </w:pPr>
  </w:p>
  <w:p w14:paraId="70F61000" w14:textId="77777777" w:rsidR="00C07830" w:rsidRPr="00174B77" w:rsidRDefault="00C07830"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Pr="07C73DD1">
      <w:rPr>
        <w:rFonts w:ascii="Verdana" w:eastAsia="Verdana" w:hAnsi="Verdana" w:cs="Verdana"/>
        <w:b/>
        <w:bCs/>
        <w:sz w:val="18"/>
        <w:szCs w:val="18"/>
      </w:rPr>
      <w:fldChar w:fldCharType="begin"/>
    </w:r>
    <w:r w:rsidRPr="07C73DD1">
      <w:rPr>
        <w:rFonts w:ascii="Verdana" w:hAnsi="Verdana"/>
        <w:b/>
        <w:bCs/>
        <w:sz w:val="16"/>
        <w:szCs w:val="16"/>
      </w:rPr>
      <w:instrText>PAGE    \* MERGEFORMAT</w:instrText>
    </w:r>
    <w:r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2AD0CDF5" w14:textId="77777777" w:rsidR="00C07830" w:rsidRDefault="00C07830"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2779F085" w14:textId="77777777" w:rsidR="00C07830" w:rsidRPr="00E41027" w:rsidRDefault="00C07830"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0C0CE0DB" w14:textId="77777777" w:rsidR="00C07830" w:rsidRDefault="00C07830"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5FB3D" w14:textId="77777777" w:rsidR="00CF6DA6" w:rsidRDefault="00CF6DA6" w:rsidP="00C07830">
      <w:pPr>
        <w:spacing w:after="0" w:line="240" w:lineRule="auto"/>
      </w:pPr>
      <w:r>
        <w:separator/>
      </w:r>
    </w:p>
  </w:footnote>
  <w:footnote w:type="continuationSeparator" w:id="0">
    <w:p w14:paraId="00E732F4" w14:textId="77777777" w:rsidR="00CF6DA6" w:rsidRDefault="00CF6DA6" w:rsidP="00C07830">
      <w:pPr>
        <w:spacing w:after="0" w:line="240" w:lineRule="auto"/>
      </w:pPr>
      <w:r>
        <w:continuationSeparator/>
      </w:r>
    </w:p>
  </w:footnote>
  <w:footnote w:id="1">
    <w:p w14:paraId="74DE70B0"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17 de la Ley 1150 de 2007</w:t>
      </w:r>
    </w:p>
  </w:footnote>
  <w:footnote w:id="2">
    <w:p w14:paraId="149617B6"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21 de la Ley 1150 de 2007</w:t>
      </w:r>
    </w:p>
  </w:footnote>
  <w:footnote w:id="3">
    <w:p w14:paraId="5D18653A"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Artículos 83 a 86 de la Ley 1474 de 2011</w:t>
      </w:r>
    </w:p>
  </w:footnote>
  <w:footnote w:id="4">
    <w:p w14:paraId="0BF0402F"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Consejo de Estado. Sección Tercera –Subsección C. Sentencia del 27 de noviembre de 2017.</w:t>
      </w:r>
      <w:r w:rsidRPr="005514E8">
        <w:rPr>
          <w:rFonts w:ascii="Verdana" w:hAnsi="Verdana"/>
          <w:sz w:val="16"/>
          <w:szCs w:val="16"/>
          <w:lang w:val="es-CO"/>
        </w:rPr>
        <w:t xml:space="preserve"> Exp. 51.802.</w:t>
      </w:r>
      <w:r w:rsidRPr="005514E8">
        <w:rPr>
          <w:rFonts w:ascii="Verdana" w:hAnsi="Verdana"/>
          <w:sz w:val="16"/>
          <w:szCs w:val="16"/>
        </w:rPr>
        <w:t xml:space="preserve"> C.P. Jaime Orlando Santofimio Gamboa. </w:t>
      </w:r>
    </w:p>
  </w:footnote>
  <w:footnote w:id="5">
    <w:p w14:paraId="1ADB03F3"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Artículo 83 de la Ley 1474 de 2011</w:t>
      </w:r>
    </w:p>
  </w:footnote>
  <w:footnote w:id="6">
    <w:p w14:paraId="5F332F95" w14:textId="77777777" w:rsidR="00C07830" w:rsidRPr="005514E8" w:rsidRDefault="00C07830" w:rsidP="00C07830">
      <w:pPr>
        <w:pStyle w:val="Textonotapie"/>
        <w:ind w:firstLine="709"/>
        <w:jc w:val="both"/>
        <w:rPr>
          <w:rFonts w:ascii="Verdana" w:hAnsi="Verdana"/>
          <w:sz w:val="16"/>
          <w:szCs w:val="16"/>
        </w:rPr>
      </w:pPr>
      <w:r w:rsidRPr="005514E8">
        <w:rPr>
          <w:rFonts w:ascii="Verdana" w:hAnsi="Verdana"/>
          <w:sz w:val="16"/>
          <w:szCs w:val="16"/>
          <w:vertAlign w:val="superscript"/>
        </w:rPr>
        <w:footnoteRef/>
      </w:r>
      <w:r w:rsidRPr="005514E8">
        <w:rPr>
          <w:rFonts w:ascii="Verdana" w:hAnsi="Verdana"/>
          <w:sz w:val="16"/>
          <w:szCs w:val="16"/>
        </w:rPr>
        <w:t xml:space="preserve"> A excepción de la interventoría del contrato de obra adjudicado por licitación pública que es obligatoria según el numeral 1° del artículo 32 de la Ley 80 de 1993.</w:t>
      </w:r>
    </w:p>
  </w:footnote>
  <w:footnote w:id="7">
    <w:p w14:paraId="49B54AB5" w14:textId="77777777" w:rsidR="00C07830" w:rsidRPr="005514E8" w:rsidRDefault="00C07830" w:rsidP="00C07830">
      <w:pPr>
        <w:pStyle w:val="Textonotapie"/>
        <w:adjustRightInd w:val="0"/>
        <w:snapToGrid w:val="0"/>
        <w:ind w:firstLine="709"/>
        <w:jc w:val="both"/>
        <w:rPr>
          <w:rFonts w:ascii="Verdana" w:hAnsi="Verdana" w:cs="Arial"/>
          <w:color w:val="161616"/>
          <w:sz w:val="16"/>
          <w:szCs w:val="16"/>
        </w:rPr>
      </w:pPr>
      <w:r w:rsidRPr="005514E8">
        <w:rPr>
          <w:rStyle w:val="Refdenotaalpie"/>
          <w:rFonts w:ascii="Verdana" w:hAnsi="Verdana"/>
          <w:sz w:val="16"/>
          <w:szCs w:val="16"/>
        </w:rPr>
        <w:footnoteRef/>
      </w:r>
      <w:r w:rsidRPr="005514E8">
        <w:rPr>
          <w:rFonts w:ascii="Verdana" w:hAnsi="Verdana"/>
          <w:sz w:val="16"/>
          <w:szCs w:val="16"/>
        </w:rPr>
        <w:t xml:space="preserve"> </w:t>
      </w:r>
      <w:r w:rsidRPr="005514E8">
        <w:rPr>
          <w:rFonts w:ascii="Verdana" w:hAnsi="Verdana" w:cs="Arial"/>
          <w:color w:val="161616"/>
          <w:sz w:val="16"/>
          <w:szCs w:val="16"/>
        </w:rPr>
        <w:t>“Son también contratos de consultoría los que tienen por objeto la interventoría […]”</w:t>
      </w:r>
    </w:p>
  </w:footnote>
  <w:footnote w:id="8">
    <w:p w14:paraId="4AFFEAF4" w14:textId="77777777" w:rsidR="00C07830" w:rsidRPr="005514E8" w:rsidRDefault="00C07830" w:rsidP="00C07830">
      <w:pPr>
        <w:pStyle w:val="Textonotapie"/>
        <w:ind w:firstLine="708"/>
        <w:jc w:val="both"/>
        <w:rPr>
          <w:rFonts w:ascii="Verdana" w:hAnsi="Verdana"/>
          <w:sz w:val="16"/>
          <w:szCs w:val="16"/>
          <w:lang w:val="es-ES"/>
        </w:rPr>
      </w:pPr>
      <w:r w:rsidRPr="005514E8">
        <w:rPr>
          <w:rStyle w:val="Refdenotaalpie"/>
          <w:rFonts w:ascii="Verdana" w:hAnsi="Verdana"/>
          <w:sz w:val="16"/>
          <w:szCs w:val="16"/>
        </w:rPr>
        <w:footnoteRef/>
      </w:r>
      <w:r w:rsidRPr="005514E8">
        <w:rPr>
          <w:rFonts w:ascii="Verdana" w:hAnsi="Verdana"/>
          <w:sz w:val="16"/>
          <w:szCs w:val="16"/>
        </w:rPr>
        <w:t xml:space="preserve"> Agencia Nacional de Contratación Pública -</w:t>
      </w:r>
      <w:r w:rsidRPr="005514E8">
        <w:rPr>
          <w:rFonts w:ascii="Verdana" w:hAnsi="Verdana"/>
          <w:sz w:val="16"/>
          <w:szCs w:val="16"/>
          <w:lang w:val="es-ES"/>
        </w:rPr>
        <w:t xml:space="preserve">Colombia Compra Eficiente, Guía para el ejercicio de las funciones de Supervisión e Interventoría de los contratos del Estado. 2018, p. 6. </w:t>
      </w:r>
    </w:p>
  </w:footnote>
  <w:footnote w:id="9">
    <w:p w14:paraId="56E56D61" w14:textId="77777777" w:rsidR="00C07830" w:rsidRPr="005514E8" w:rsidRDefault="00C07830" w:rsidP="00C07830">
      <w:pPr>
        <w:pStyle w:val="Textonotapie"/>
        <w:ind w:firstLine="708"/>
        <w:jc w:val="both"/>
        <w:rPr>
          <w:rFonts w:ascii="Verdana" w:hAnsi="Verdana"/>
          <w:sz w:val="16"/>
          <w:szCs w:val="16"/>
          <w:lang w:val="es-CO"/>
        </w:rPr>
      </w:pPr>
      <w:r w:rsidRPr="005514E8">
        <w:rPr>
          <w:rStyle w:val="Refdenotaalpie"/>
          <w:rFonts w:ascii="Verdana" w:hAnsi="Verdana"/>
          <w:sz w:val="16"/>
          <w:szCs w:val="16"/>
        </w:rPr>
        <w:footnoteRef/>
      </w:r>
      <w:r w:rsidRPr="005514E8">
        <w:rPr>
          <w:rFonts w:ascii="Verdana" w:hAnsi="Verdana"/>
          <w:sz w:val="16"/>
          <w:szCs w:val="16"/>
        </w:rPr>
        <w:t xml:space="preserve"> </w:t>
      </w:r>
      <w:bookmarkStart w:id="4" w:name="_Hlk215586879"/>
      <w:r w:rsidRPr="005514E8">
        <w:rPr>
          <w:rFonts w:ascii="Verdana" w:hAnsi="Verdana"/>
          <w:sz w:val="16"/>
          <w:szCs w:val="16"/>
        </w:rPr>
        <w:t xml:space="preserve">Ibídem., p. 6. </w:t>
      </w:r>
      <w:bookmarkEnd w:id="4"/>
    </w:p>
  </w:footnote>
  <w:footnote w:id="10">
    <w:p w14:paraId="3AA1FACE" w14:textId="77777777" w:rsidR="00C07830" w:rsidRPr="0020663C" w:rsidRDefault="00C07830" w:rsidP="00C07830">
      <w:pPr>
        <w:pStyle w:val="Textonotapie"/>
        <w:ind w:firstLine="708"/>
        <w:jc w:val="both"/>
        <w:rPr>
          <w:sz w:val="15"/>
          <w:szCs w:val="15"/>
          <w:lang w:val="es-CO"/>
        </w:rPr>
      </w:pPr>
      <w:r w:rsidRPr="005514E8">
        <w:rPr>
          <w:rStyle w:val="Refdenotaalpie"/>
          <w:rFonts w:ascii="Verdana" w:hAnsi="Verdana"/>
          <w:sz w:val="16"/>
          <w:szCs w:val="16"/>
        </w:rPr>
        <w:footnoteRef/>
      </w:r>
      <w:r w:rsidRPr="005514E8">
        <w:rPr>
          <w:rFonts w:ascii="Verdana" w:hAnsi="Verdana"/>
          <w:sz w:val="16"/>
          <w:szCs w:val="16"/>
        </w:rPr>
        <w:t xml:space="preserve"> Ibídem., p. 6.</w:t>
      </w:r>
    </w:p>
  </w:footnote>
  <w:footnote w:id="11">
    <w:p w14:paraId="731F7F22"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17 de la Ley 1150 de 2007</w:t>
      </w:r>
    </w:p>
    <w:p w14:paraId="1A5D3470" w14:textId="77777777" w:rsidR="00C07830" w:rsidRPr="007F469A" w:rsidRDefault="00C07830" w:rsidP="00C07830">
      <w:pPr>
        <w:pStyle w:val="Textonotapie"/>
        <w:ind w:firstLine="709"/>
        <w:jc w:val="both"/>
        <w:rPr>
          <w:rFonts w:ascii="Verdana" w:hAnsi="Verdana"/>
          <w:sz w:val="16"/>
          <w:szCs w:val="16"/>
        </w:rPr>
      </w:pPr>
    </w:p>
  </w:footnote>
  <w:footnote w:id="12">
    <w:p w14:paraId="04B1748C"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21 de la Ley 1150 de 2007</w:t>
      </w:r>
    </w:p>
    <w:p w14:paraId="26D0D9C1" w14:textId="77777777" w:rsidR="00C07830" w:rsidRPr="007F469A" w:rsidRDefault="00C07830" w:rsidP="00C07830">
      <w:pPr>
        <w:pStyle w:val="Textonotapie"/>
        <w:ind w:firstLine="709"/>
        <w:jc w:val="both"/>
        <w:rPr>
          <w:rFonts w:ascii="Verdana" w:hAnsi="Verdana"/>
          <w:sz w:val="16"/>
          <w:szCs w:val="16"/>
        </w:rPr>
      </w:pPr>
    </w:p>
  </w:footnote>
  <w:footnote w:id="13">
    <w:p w14:paraId="353E921D"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Artículos 83 a 86 de la Ley 1474 de 2011</w:t>
      </w:r>
    </w:p>
    <w:p w14:paraId="3C782393" w14:textId="77777777" w:rsidR="00C07830" w:rsidRPr="007F469A" w:rsidRDefault="00C07830" w:rsidP="00C07830">
      <w:pPr>
        <w:pStyle w:val="Textonotapie"/>
        <w:ind w:firstLine="709"/>
        <w:jc w:val="both"/>
        <w:rPr>
          <w:rFonts w:ascii="Verdana" w:hAnsi="Verdana"/>
          <w:sz w:val="16"/>
          <w:szCs w:val="16"/>
        </w:rPr>
      </w:pPr>
    </w:p>
  </w:footnote>
  <w:footnote w:id="14">
    <w:p w14:paraId="67F98B5A"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Consejo de Estado. Sección 3ª. Sentencia del 27 de noviembre de 2017. M.P. Jaime Orlando Santofimio. Exp. 51.802</w:t>
      </w:r>
    </w:p>
    <w:p w14:paraId="6B63EA70" w14:textId="77777777" w:rsidR="00C07830" w:rsidRPr="007F469A" w:rsidRDefault="00C07830" w:rsidP="00C07830">
      <w:pPr>
        <w:pStyle w:val="Textonotapie"/>
        <w:ind w:firstLine="709"/>
        <w:jc w:val="both"/>
        <w:rPr>
          <w:rFonts w:ascii="Verdana" w:hAnsi="Verdana"/>
          <w:sz w:val="16"/>
          <w:szCs w:val="16"/>
        </w:rPr>
      </w:pPr>
    </w:p>
  </w:footnote>
  <w:footnote w:id="15">
    <w:p w14:paraId="7325B65B" w14:textId="77777777" w:rsidR="00C07830" w:rsidRPr="007F469A" w:rsidRDefault="00C07830" w:rsidP="00C07830">
      <w:pPr>
        <w:pStyle w:val="Textonotapie"/>
        <w:ind w:firstLine="709"/>
        <w:jc w:val="both"/>
        <w:rPr>
          <w:rFonts w:ascii="Verdana" w:hAnsi="Verdana"/>
          <w:sz w:val="16"/>
          <w:szCs w:val="16"/>
        </w:rPr>
      </w:pPr>
      <w:r w:rsidRPr="007F469A">
        <w:rPr>
          <w:rFonts w:ascii="Verdana" w:hAnsi="Verdana"/>
          <w:sz w:val="16"/>
          <w:szCs w:val="16"/>
          <w:vertAlign w:val="superscript"/>
        </w:rPr>
        <w:footnoteRef/>
      </w:r>
      <w:r w:rsidRPr="007F469A">
        <w:rPr>
          <w:rFonts w:ascii="Verdana" w:hAnsi="Verdana"/>
          <w:sz w:val="16"/>
          <w:szCs w:val="16"/>
        </w:rPr>
        <w:t xml:space="preserve"> Artículo 83 de la Ley 1474 de 2011</w:t>
      </w:r>
    </w:p>
    <w:p w14:paraId="08D1C204" w14:textId="77777777" w:rsidR="00C07830" w:rsidRPr="007F469A" w:rsidRDefault="00C07830" w:rsidP="00C07830">
      <w:pPr>
        <w:pStyle w:val="Textonotapie"/>
        <w:ind w:firstLine="709"/>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3C441" w14:textId="77777777" w:rsidR="00C07830" w:rsidRDefault="00C0783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9C39FD9" wp14:editId="60D82F02">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60903E36" wp14:editId="18AF795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EBCE5D3" w14:textId="77777777" w:rsidR="00C07830" w:rsidRDefault="00C07830">
    <w:pPr>
      <w:pStyle w:val="Encabezado"/>
    </w:pPr>
  </w:p>
  <w:p w14:paraId="0FC9C55E" w14:textId="77777777" w:rsidR="00C07830" w:rsidRPr="004A305D" w:rsidRDefault="00C07830" w:rsidP="00B01B1A">
    <w:pPr>
      <w:spacing w:after="0" w:line="120" w:lineRule="auto"/>
      <w:rPr>
        <w:rFonts w:ascii="Century Gothic" w:eastAsia="Geo" w:hAnsi="Century Gothic" w:cs="Geo"/>
        <w:sz w:val="16"/>
        <w:szCs w:val="16"/>
        <w:lang w:eastAsia="es-CO"/>
      </w:rPr>
    </w:pPr>
  </w:p>
  <w:p w14:paraId="4AA56856" w14:textId="77777777" w:rsidR="00C07830" w:rsidRDefault="00C07830" w:rsidP="00844AE9">
    <w:pPr>
      <w:spacing w:after="0" w:line="240" w:lineRule="auto"/>
      <w:rPr>
        <w:rFonts w:ascii="Verdana" w:hAnsi="Verdana"/>
        <w:sz w:val="24"/>
        <w:szCs w:val="24"/>
      </w:rPr>
    </w:pPr>
  </w:p>
  <w:p w14:paraId="46A08621" w14:textId="77777777" w:rsidR="00C07830" w:rsidRPr="00C925AC" w:rsidRDefault="00C07830" w:rsidP="00844AE9">
    <w:pPr>
      <w:spacing w:after="0" w:line="240" w:lineRule="auto"/>
      <w:rPr>
        <w:rFonts w:ascii="Verdana" w:hAnsi="Verdana"/>
        <w:sz w:val="24"/>
        <w:szCs w:val="24"/>
      </w:rPr>
    </w:pPr>
  </w:p>
  <w:p w14:paraId="1746867E" w14:textId="77777777" w:rsidR="00C07830" w:rsidRPr="00C925AC" w:rsidRDefault="00C07830"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num w:numId="1" w16cid:durableId="390349800">
    <w:abstractNumId w:val="4"/>
  </w:num>
  <w:num w:numId="2" w16cid:durableId="426392047">
    <w:abstractNumId w:val="0"/>
  </w:num>
  <w:num w:numId="3" w16cid:durableId="2126734863">
    <w:abstractNumId w:val="1"/>
  </w:num>
  <w:num w:numId="4" w16cid:durableId="344594084">
    <w:abstractNumId w:val="3"/>
  </w:num>
  <w:num w:numId="5" w16cid:durableId="116262960">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riana Katerine">
    <w15:presenceInfo w15:providerId="None" w15:userId="Adriana Kateri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830"/>
    <w:rsid w:val="000C282F"/>
    <w:rsid w:val="003C039E"/>
    <w:rsid w:val="00AC14DC"/>
    <w:rsid w:val="00C07830"/>
    <w:rsid w:val="00CC180E"/>
    <w:rsid w:val="00CF6DA6"/>
    <w:rsid w:val="00EB2F6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BFA29"/>
  <w15:chartTrackingRefBased/>
  <w15:docId w15:val="{6EC34EEF-42EB-4336-BBB4-2188CE5A4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830"/>
    <w:pPr>
      <w:spacing w:line="259" w:lineRule="auto"/>
    </w:pPr>
    <w:rPr>
      <w:kern w:val="0"/>
      <w:sz w:val="22"/>
      <w:szCs w:val="22"/>
      <w14:ligatures w14:val="none"/>
    </w:rPr>
  </w:style>
  <w:style w:type="paragraph" w:styleId="Ttulo1">
    <w:name w:val="heading 1"/>
    <w:basedOn w:val="Normal"/>
    <w:next w:val="Normal"/>
    <w:link w:val="Ttulo1Car"/>
    <w:uiPriority w:val="9"/>
    <w:qFormat/>
    <w:rsid w:val="00C07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07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078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078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078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078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078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078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078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078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078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078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078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078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078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078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078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07830"/>
    <w:rPr>
      <w:rFonts w:eastAsiaTheme="majorEastAsia" w:cstheme="majorBidi"/>
      <w:color w:val="272727" w:themeColor="text1" w:themeTint="D8"/>
    </w:rPr>
  </w:style>
  <w:style w:type="paragraph" w:styleId="Ttulo">
    <w:name w:val="Title"/>
    <w:basedOn w:val="Normal"/>
    <w:next w:val="Normal"/>
    <w:link w:val="TtuloCar"/>
    <w:uiPriority w:val="10"/>
    <w:qFormat/>
    <w:rsid w:val="00C07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078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078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078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07830"/>
    <w:pPr>
      <w:spacing w:before="160"/>
      <w:jc w:val="center"/>
    </w:pPr>
    <w:rPr>
      <w:i/>
      <w:iCs/>
      <w:color w:val="404040" w:themeColor="text1" w:themeTint="BF"/>
    </w:rPr>
  </w:style>
  <w:style w:type="character" w:customStyle="1" w:styleId="CitaCar">
    <w:name w:val="Cita Car"/>
    <w:basedOn w:val="Fuentedeprrafopredeter"/>
    <w:link w:val="Cita"/>
    <w:uiPriority w:val="29"/>
    <w:rsid w:val="00C0783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C07830"/>
    <w:pPr>
      <w:ind w:left="720"/>
      <w:contextualSpacing/>
    </w:pPr>
  </w:style>
  <w:style w:type="character" w:styleId="nfasisintenso">
    <w:name w:val="Intense Emphasis"/>
    <w:basedOn w:val="Fuentedeprrafopredeter"/>
    <w:uiPriority w:val="21"/>
    <w:qFormat/>
    <w:rsid w:val="00C07830"/>
    <w:rPr>
      <w:i/>
      <w:iCs/>
      <w:color w:val="0F4761" w:themeColor="accent1" w:themeShade="BF"/>
    </w:rPr>
  </w:style>
  <w:style w:type="paragraph" w:styleId="Citadestacada">
    <w:name w:val="Intense Quote"/>
    <w:basedOn w:val="Normal"/>
    <w:next w:val="Normal"/>
    <w:link w:val="CitadestacadaCar"/>
    <w:uiPriority w:val="30"/>
    <w:qFormat/>
    <w:rsid w:val="00C07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07830"/>
    <w:rPr>
      <w:i/>
      <w:iCs/>
      <w:color w:val="0F4761" w:themeColor="accent1" w:themeShade="BF"/>
    </w:rPr>
  </w:style>
  <w:style w:type="character" w:styleId="Referenciaintensa">
    <w:name w:val="Intense Reference"/>
    <w:basedOn w:val="Fuentedeprrafopredeter"/>
    <w:uiPriority w:val="32"/>
    <w:qFormat/>
    <w:rsid w:val="00C07830"/>
    <w:rPr>
      <w:b/>
      <w:bCs/>
      <w:smallCaps/>
      <w:color w:val="0F4761" w:themeColor="accent1" w:themeShade="BF"/>
      <w:spacing w:val="5"/>
    </w:rPr>
  </w:style>
  <w:style w:type="paragraph" w:styleId="Encabezado">
    <w:name w:val="header"/>
    <w:basedOn w:val="Normal"/>
    <w:link w:val="EncabezadoCar"/>
    <w:uiPriority w:val="99"/>
    <w:unhideWhenUsed/>
    <w:rsid w:val="00C078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7830"/>
    <w:rPr>
      <w:kern w:val="0"/>
      <w:sz w:val="22"/>
      <w:szCs w:val="22"/>
      <w14:ligatures w14:val="none"/>
    </w:rPr>
  </w:style>
  <w:style w:type="paragraph" w:styleId="Piedepgina">
    <w:name w:val="footer"/>
    <w:basedOn w:val="Normal"/>
    <w:link w:val="PiedepginaCar"/>
    <w:uiPriority w:val="99"/>
    <w:unhideWhenUsed/>
    <w:rsid w:val="00C078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783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07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0783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0783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07830"/>
    <w:rPr>
      <w:vertAlign w:val="superscript"/>
    </w:rPr>
  </w:style>
  <w:style w:type="character" w:customStyle="1" w:styleId="normaltextrun">
    <w:name w:val="normaltextrun"/>
    <w:basedOn w:val="Fuentedeprrafopredeter"/>
    <w:rsid w:val="00C07830"/>
  </w:style>
  <w:style w:type="character" w:styleId="Hipervnculo">
    <w:name w:val="Hyperlink"/>
    <w:basedOn w:val="Fuentedeprrafopredeter"/>
    <w:uiPriority w:val="99"/>
    <w:unhideWhenUsed/>
    <w:rsid w:val="00C07830"/>
    <w:rPr>
      <w:color w:val="0000FF"/>
      <w:u w:val="single"/>
    </w:rPr>
  </w:style>
  <w:style w:type="paragraph" w:customStyle="1" w:styleId="Appelnotedebasde">
    <w:name w:val="Appel note de bas de..."/>
    <w:basedOn w:val="Normal"/>
    <w:link w:val="Refdenotaalpie"/>
    <w:uiPriority w:val="99"/>
    <w:rsid w:val="00C07830"/>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7830"/>
  </w:style>
  <w:style w:type="table" w:customStyle="1" w:styleId="Tablaconcuadrcula11">
    <w:name w:val="Tabla con cuadrícula11"/>
    <w:basedOn w:val="Tablanormal"/>
    <w:next w:val="Tablaconcuadrcula"/>
    <w:uiPriority w:val="59"/>
    <w:qFormat/>
    <w:rsid w:val="00C078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next w:val="Tablaconcuadrcula"/>
    <w:uiPriority w:val="39"/>
    <w:qFormat/>
    <w:rsid w:val="00C07830"/>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C07830"/>
    <w:rPr>
      <w:sz w:val="16"/>
      <w:szCs w:val="16"/>
    </w:rPr>
  </w:style>
  <w:style w:type="paragraph" w:styleId="Textocomentario">
    <w:name w:val="annotation text"/>
    <w:basedOn w:val="Normal"/>
    <w:link w:val="TextocomentarioCar"/>
    <w:uiPriority w:val="99"/>
    <w:semiHidden/>
    <w:unhideWhenUsed/>
    <w:rsid w:val="00C0783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7830"/>
    <w:rPr>
      <w:kern w:val="0"/>
      <w:sz w:val="20"/>
      <w:szCs w:val="20"/>
      <w14:ligatures w14:val="none"/>
    </w:rPr>
  </w:style>
  <w:style w:type="table" w:styleId="Tablaconcuadrcula">
    <w:name w:val="Table Grid"/>
    <w:basedOn w:val="Tablanormal"/>
    <w:uiPriority w:val="39"/>
    <w:rsid w:val="00C078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erencia@loteriadecundinamarca.com.co" TargetMode="Externa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emf"/><Relationship Id="rId12" Type="http://schemas.microsoft.com/office/2018/08/relationships/commentsExtensible" Target="commentsExtensible.xml"/><Relationship Id="rId17" Type="http://schemas.openxmlformats.org/officeDocument/2006/relationships/hyperlink" Target="https://nam02.safelinks.protection.outlook.com/?url=https%3A%2F%2Fwww.colombiacompra.gov.co%2Farchivos%2Fboletin%2Fboletin-edicion-n-3-de-2026-radar-de-la-compra-publica&amp;data=05%7C02%7Cnatalia.montoya%40colombiacompra.gov.co%7C7128555136e04fa6887d08dee99e1b50%7C7b09041e245149d08cb179d5e3d8c1be%7C0%7C0%7C639205062450108660%7CUnknown%7CTWFpbGZsb3d8eyJFbXB0eU1hcGkiOnRydWUsIlYiOiIwLjAuMDAwMCIsIlAiOiJXaW4zMiIsIkFOIjoiTWFpbCIsIldUIjoyfQ%3D%3D%7C0%7C%7C%7C&amp;sdata=JBPtG%2Bonp%2BY8lDrsLvADikytZuNpMBUEkglaHvtgJUQ%3D&amp;reserved=0"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s://nam02.safelinks.protection.outlook.com/?url=https%3A%2F%2Fwww.colombiacompra.gov.co%2Farchivos%2Fcircular%2Fcircular-externa-002-de-2026&amp;data=05%7C02%7Cnatalia.montoya%40colombiacompra.gov.co%7C7128555136e04fa6887d08dee99e1b50%7C7b09041e245149d08cb179d5e3d8c1be%7C0%7C0%7C639205062450088410%7CUnknown%7CTWFpbGZsb3d8eyJFbXB0eU1hcGkiOnRydWUsIlYiOiIwLjAuMDAwMCIsIlAiOiJXaW4zMiIsIkFOIjoiTWFpbCIsIldUIjoyfQ%3D%3D%7C0%7C%7C%7C&amp;sdata=t17%2FyzBHZ1WQJYV5XXw0A6fP6%2Fg5R%2FUHx2U6ykKcctg%3D&amp;reserved=0" TargetMode="External"/><Relationship Id="rId20" Type="http://schemas.openxmlformats.org/officeDocument/2006/relationships/hyperlink" Target="https://forms.office.com/r/pPHyWVs2SZ"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nam02.safelinks.protection.outlook.com/?url=https%3A%2F%2Fwww.colombiacompra.gov.co%2Farchivos%2Fcircular%2Fcircular-externa-003-de-2026&amp;data=05%7C02%7Cnatalia.montoya%40colombiacompra.gov.co%7C7128555136e04fa6887d08dee99e1b50%7C7b09041e245149d08cb179d5e3d8c1be%7C0%7C0%7C639205062450067561%7CUnknown%7CTWFpbGZsb3d8eyJFbXB0eU1hcGkiOnRydWUsIlYiOiIwLjAuMDAwMCIsIlAiOiJXaW4zMiIsIkFOIjoiTWFpbCIsIldUIjoyfQ%3D%3D%7C0%7C%7C%7C&amp;sdata=1KwAou0EiQlV8YOL9Bhd0Pc%2Fq1j%2FK5U%2FZlwtuu9D2pA%3D&amp;reserved=0" TargetMode="External"/><Relationship Id="rId23" Type="http://schemas.openxmlformats.org/officeDocument/2006/relationships/footer" Target="footer1.xml"/><Relationship Id="rId28" Type="http://schemas.openxmlformats.org/officeDocument/2006/relationships/customXml" Target="../customXml/item2.xml"/><Relationship Id="rId10" Type="http://schemas.microsoft.com/office/2011/relationships/commentsExtended" Target="commentsExtended.xml"/><Relationship Id="rId19" Type="http://schemas.openxmlformats.org/officeDocument/2006/relationships/hyperlink" Target="https://www.colombiacompra.gov.co/pqrsd/informacion-importante-antes-de-formular-una-pqrsd" TargetMode="External"/><Relationship Id="rId4" Type="http://schemas.openxmlformats.org/officeDocument/2006/relationships/webSettings" Target="webSettings.xml"/><Relationship Id="rId9" Type="http://schemas.openxmlformats.org/officeDocument/2006/relationships/comments" Target="comments.xml"/><Relationship Id="rId14" Type="http://schemas.openxmlformats.org/officeDocument/2006/relationships/hyperlink" Target="https://nam02.safelinks.protection.outlook.com/?url=https%3A%2F%2Fwww.colombiacompra.gov.co%2Farchivos%2Fmanual%2Fguia-de-garantias-en-procesos-de-contratacion&amp;data=05%7C02%7Cnatalia.montoya%40colombiacompra.gov.co%7C7128555136e04fa6887d08dee99e1b50%7C7b09041e245149d08cb179d5e3d8c1be%7C0%7C0%7C639205062450037018%7CUnknown%7CTWFpbGZsb3d8eyJFbXB0eU1hcGkiOnRydWUsIlYiOiIwLjAuMDAwMCIsIlAiOiJXaW4zMiIsIkFOIjoiTWFpbCIsIldUIjoyfQ%3D%3D%7C0%7C%7C%7C&amp;sdata=EAy8r5R98IFHp6RcTtQi8sFe%2BELt0mtEmpdWnOPnlKM%3D&amp;reserved=0" TargetMode="External"/><Relationship Id="rId22" Type="http://schemas.openxmlformats.org/officeDocument/2006/relationships/header" Target="header1.xml"/><Relationship Id="rId27"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913B5D-548D-459E-8ED6-74758526C2C4}"/>
</file>

<file path=customXml/itemProps2.xml><?xml version="1.0" encoding="utf-8"?>
<ds:datastoreItem xmlns:ds="http://schemas.openxmlformats.org/officeDocument/2006/customXml" ds:itemID="{6AA0F651-0A77-4A37-BA6A-097651A527FD}"/>
</file>

<file path=customXml/itemProps3.xml><?xml version="1.0" encoding="utf-8"?>
<ds:datastoreItem xmlns:ds="http://schemas.openxmlformats.org/officeDocument/2006/customXml" ds:itemID="{3AE711C7-D4DD-4119-9AE2-E44C10A1105A}"/>
</file>

<file path=docProps/app.xml><?xml version="1.0" encoding="utf-8"?>
<Properties xmlns="http://schemas.openxmlformats.org/officeDocument/2006/extended-properties" xmlns:vt="http://schemas.openxmlformats.org/officeDocument/2006/docPropsVTypes">
  <Template>Normal</Template>
  <TotalTime>1</TotalTime>
  <Pages>21</Pages>
  <Words>7644</Words>
  <Characters>42048</Characters>
  <Application>Microsoft Office Word</Application>
  <DocSecurity>0</DocSecurity>
  <Lines>350</Lines>
  <Paragraphs>99</Paragraphs>
  <ScaleCrop>false</ScaleCrop>
  <Company/>
  <LinksUpToDate>false</LinksUpToDate>
  <CharactersWithSpaces>49593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Montoya Jiménez</dc:creator>
  <cp:keywords/>
  <dc:description/>
  <cp:lastModifiedBy>Natalia Montoya Jiménez</cp:lastModifiedBy>
  <cp:revision>3</cp:revision>
  <dcterms:created xsi:type="dcterms:W3CDTF">2026-09-14T20:27:00Z</dcterms:created>
  <dcterms:modified xsi:type="dcterms:W3CDTF">2026-09-14T21:21:00Z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