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8FF0C" w14:textId="2E8BCD3E" w:rsidR="00DD3D10" w:rsidRPr="00BD43CF" w:rsidRDefault="00DD3D10" w:rsidP="00DD3D10">
      <w:pPr>
        <w:spacing w:after="0" w:line="240" w:lineRule="auto"/>
        <w:contextualSpacing/>
        <w:rPr>
          <w:rFonts w:ascii="Verdana" w:eastAsia="Calibri" w:hAnsi="Verdana" w:cs="Arial"/>
          <w:b/>
          <w:color w:val="000000" w:themeColor="text1"/>
          <w:lang w:val="es-ES_tradnl"/>
        </w:rPr>
      </w:pPr>
      <w:r w:rsidRPr="00BD43CF">
        <w:rPr>
          <w:rFonts w:ascii="Verdana" w:eastAsia="Calibri" w:hAnsi="Verdana" w:cs="Arial"/>
          <w:b/>
          <w:color w:val="000000" w:themeColor="text1"/>
          <w:lang w:val="es-ES_tradnl"/>
        </w:rPr>
        <w:t xml:space="preserve">URGENCIA MANIFIESTA – Situación de calamidad o desastre </w:t>
      </w:r>
      <w:r w:rsidR="00712280" w:rsidRPr="00712280">
        <w:rPr>
          <w:rFonts w:ascii="Verdana" w:eastAsia="Calibri" w:hAnsi="Verdana" w:cs="Arial"/>
          <w:b/>
          <w:bCs/>
          <w:color w:val="000000" w:themeColor="text1"/>
          <w:lang w:val="es-ES"/>
        </w:rPr>
        <w:t>–</w:t>
      </w:r>
      <w:r w:rsidRPr="00BD43CF">
        <w:rPr>
          <w:rFonts w:ascii="Verdana" w:eastAsia="Calibri" w:hAnsi="Verdana" w:cs="Arial"/>
          <w:b/>
          <w:color w:val="000000" w:themeColor="text1"/>
          <w:lang w:val="es-ES_tradnl"/>
        </w:rPr>
        <w:t xml:space="preserve"> Noción</w:t>
      </w:r>
    </w:p>
    <w:p w14:paraId="4C207DDA" w14:textId="77777777" w:rsidR="00DD3D10" w:rsidRDefault="00DD3D10" w:rsidP="00DD3D10">
      <w:pPr>
        <w:spacing w:after="0" w:line="240" w:lineRule="auto"/>
        <w:jc w:val="both"/>
        <w:rPr>
          <w:rFonts w:ascii="Verdana" w:eastAsia="Calibri" w:hAnsi="Verdana" w:cs="Arial"/>
          <w:lang w:val="es-ES_tradnl"/>
        </w:rPr>
      </w:pPr>
    </w:p>
    <w:p w14:paraId="417C66C0" w14:textId="3311C788" w:rsidR="00DD3D10" w:rsidRDefault="00DD3D10" w:rsidP="00EA3AB9">
      <w:pPr>
        <w:spacing w:after="0" w:line="240" w:lineRule="auto"/>
        <w:jc w:val="both"/>
        <w:rPr>
          <w:rFonts w:ascii="Verdana" w:eastAsia="Calibri" w:hAnsi="Verdana" w:cs="Arial"/>
          <w:sz w:val="20"/>
          <w:szCs w:val="20"/>
          <w:lang w:val="es-ES_tradnl"/>
        </w:rPr>
      </w:pPr>
      <w:r w:rsidRPr="00DD3D10">
        <w:rPr>
          <w:rFonts w:ascii="Verdana" w:eastAsia="Calibri" w:hAnsi="Verdana" w:cs="Arial"/>
          <w:sz w:val="20"/>
          <w:szCs w:val="20"/>
          <w:lang w:val="es-ES_tradnl"/>
        </w:rPr>
        <w:t xml:space="preserve">El artículo 42 de la Ley 80 de 1993 dispone que una de las tres circunstancias por la cuales se declara la urgencia es </w:t>
      </w:r>
      <w:proofErr w:type="gramStart"/>
      <w:r w:rsidRPr="00DD3D10">
        <w:rPr>
          <w:rFonts w:ascii="Verdana" w:eastAsia="Calibri" w:hAnsi="Verdana" w:cs="Arial"/>
          <w:sz w:val="20"/>
          <w:szCs w:val="20"/>
          <w:lang w:val="es-ES_tradnl"/>
        </w:rPr>
        <w:t>para“</w:t>
      </w:r>
      <w:proofErr w:type="gramEnd"/>
      <w:r w:rsidRPr="00DD3D10">
        <w:rPr>
          <w:rFonts w:ascii="Verdana" w:eastAsia="Calibri" w:hAnsi="Verdana" w:cs="Arial"/>
          <w:sz w:val="20"/>
          <w:szCs w:val="20"/>
          <w:lang w:val="es-ES_tradnl"/>
        </w:rPr>
        <w:t xml:space="preserve">[…] conjurar situaciones excepcionales relacionadas con hechos de calamidad </w:t>
      </w:r>
      <w:r w:rsidRPr="00DD3D10">
        <w:rPr>
          <w:rFonts w:ascii="Verdana" w:eastAsia="Calibri" w:hAnsi="Verdana" w:cs="Arial"/>
          <w:i/>
          <w:iCs/>
          <w:sz w:val="20"/>
          <w:szCs w:val="20"/>
          <w:lang w:val="es-ES_tradnl"/>
        </w:rPr>
        <w:t>o</w:t>
      </w:r>
      <w:r w:rsidRPr="00DD3D10">
        <w:rPr>
          <w:rFonts w:ascii="Verdana" w:eastAsia="Calibri" w:hAnsi="Verdana" w:cs="Arial"/>
          <w:sz w:val="20"/>
          <w:szCs w:val="20"/>
          <w:lang w:val="es-ES_tradnl"/>
        </w:rPr>
        <w:t xml:space="preserve"> constitutivos de fuerza mayor o desastre que demanden actuaciones inmediatas […]”. En la medida en que la norma utiliza la conjunción “o”, en principio asimilaría la </w:t>
      </w:r>
      <w:r w:rsidRPr="00DD3D10">
        <w:rPr>
          <w:rFonts w:ascii="Verdana" w:eastAsia="Calibri" w:hAnsi="Verdana" w:cs="Arial"/>
          <w:i/>
          <w:iCs/>
          <w:sz w:val="20"/>
          <w:szCs w:val="20"/>
          <w:lang w:val="es-ES_tradnl"/>
        </w:rPr>
        <w:t>calamidad</w:t>
      </w:r>
      <w:r w:rsidRPr="00DD3D10">
        <w:rPr>
          <w:rFonts w:ascii="Verdana" w:eastAsia="Calibri" w:hAnsi="Verdana" w:cs="Arial"/>
          <w:sz w:val="20"/>
          <w:szCs w:val="20"/>
          <w:lang w:val="es-ES_tradnl"/>
        </w:rPr>
        <w:t xml:space="preserve"> y el </w:t>
      </w:r>
      <w:r w:rsidRPr="00DD3D10">
        <w:rPr>
          <w:rFonts w:ascii="Verdana" w:eastAsia="Calibri" w:hAnsi="Verdana" w:cs="Arial"/>
          <w:i/>
          <w:iCs/>
          <w:sz w:val="20"/>
          <w:szCs w:val="20"/>
          <w:lang w:val="es-ES_tradnl"/>
        </w:rPr>
        <w:t xml:space="preserve">desastre </w:t>
      </w:r>
      <w:r w:rsidRPr="00DD3D10">
        <w:rPr>
          <w:rFonts w:ascii="Verdana" w:eastAsia="Calibri" w:hAnsi="Verdana" w:cs="Arial"/>
          <w:sz w:val="20"/>
          <w:szCs w:val="20"/>
          <w:lang w:val="es-ES_tradnl"/>
        </w:rPr>
        <w:t xml:space="preserve">con la </w:t>
      </w:r>
      <w:r w:rsidRPr="00DD3D10">
        <w:rPr>
          <w:rFonts w:ascii="Verdana" w:eastAsia="Calibri" w:hAnsi="Verdana" w:cs="Arial"/>
          <w:i/>
          <w:iCs/>
          <w:sz w:val="20"/>
          <w:szCs w:val="20"/>
          <w:lang w:val="es-ES_tradnl"/>
        </w:rPr>
        <w:t>fuerza mayor</w:t>
      </w:r>
      <w:r w:rsidRPr="00DD3D10">
        <w:rPr>
          <w:rFonts w:ascii="Verdana" w:eastAsia="Calibri" w:hAnsi="Verdana" w:cs="Arial"/>
          <w:sz w:val="20"/>
          <w:szCs w:val="20"/>
          <w:lang w:val="es-ES_tradnl"/>
        </w:rPr>
        <w:t xml:space="preserve"> o el </w:t>
      </w:r>
      <w:r w:rsidRPr="00DD3D10">
        <w:rPr>
          <w:rFonts w:ascii="Verdana" w:eastAsia="Calibri" w:hAnsi="Verdana" w:cs="Arial"/>
          <w:i/>
          <w:iCs/>
          <w:sz w:val="20"/>
          <w:szCs w:val="20"/>
          <w:lang w:val="es-ES_tradnl"/>
        </w:rPr>
        <w:t>caso fortuito</w:t>
      </w:r>
      <w:r w:rsidRPr="00DD3D10">
        <w:rPr>
          <w:rFonts w:ascii="Verdana" w:eastAsia="Calibri" w:hAnsi="Verdana" w:cs="Arial"/>
          <w:sz w:val="20"/>
          <w:szCs w:val="20"/>
          <w:lang w:val="es-ES_tradnl"/>
        </w:rPr>
        <w:t xml:space="preserve">. Lo anterior, en virtud del artículo 28 del Código Civil, el cual dispone que “Las palabras de la ley se entenderán en su sentido natural y obvio, según el uso general de las mismas palabras; pero cuando el legislador las haya definido expresamente para ciertas materias, se les dará en éstas su significado legal”. </w:t>
      </w:r>
    </w:p>
    <w:p w14:paraId="1B37FE1E" w14:textId="77777777" w:rsidR="00DD3D10" w:rsidRPr="00DD3D10" w:rsidRDefault="00DD3D10" w:rsidP="00EA3AB9">
      <w:pPr>
        <w:spacing w:after="0" w:line="240" w:lineRule="auto"/>
        <w:jc w:val="both"/>
        <w:rPr>
          <w:rFonts w:ascii="Verdana" w:eastAsia="Calibri" w:hAnsi="Verdana" w:cs="Arial"/>
          <w:sz w:val="20"/>
          <w:szCs w:val="20"/>
          <w:lang w:val="es-ES_tradnl"/>
        </w:rPr>
      </w:pPr>
    </w:p>
    <w:p w14:paraId="1C0151F0" w14:textId="70524927" w:rsidR="005E7C2E" w:rsidRPr="00DD3D10" w:rsidRDefault="00DD3D10" w:rsidP="00EA3AB9">
      <w:pPr>
        <w:widowControl w:val="0"/>
        <w:spacing w:after="0" w:line="240" w:lineRule="auto"/>
        <w:jc w:val="both"/>
        <w:rPr>
          <w:rFonts w:ascii="Verdana" w:hAnsi="Verdana"/>
          <w:sz w:val="20"/>
          <w:szCs w:val="20"/>
          <w:lang w:val="es-ES"/>
        </w:rPr>
      </w:pPr>
      <w:r w:rsidRPr="00DD3D10">
        <w:rPr>
          <w:rFonts w:ascii="Verdana" w:eastAsia="Calibri" w:hAnsi="Verdana" w:cs="Arial"/>
          <w:sz w:val="20"/>
          <w:szCs w:val="20"/>
          <w:lang w:val="es-ES_tradnl"/>
        </w:rPr>
        <w:t xml:space="preserve">Al respecto, el artículo 64 del Código Civil define como fuerza mayor o caso fortuito “[…] el imprevisto o que no es posible resistir, como un naufragio, un terremoto, el apresamiento de enemigos, los actos de autoridad ejercidos por un funcionario público, etc.”. 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la diferencia es el mayor alcance de la segunda respecto al primero. </w:t>
      </w:r>
      <w:r w:rsidR="005E7C2E" w:rsidRPr="00DD3D10">
        <w:rPr>
          <w:rFonts w:ascii="Verdana" w:hAnsi="Verdana"/>
          <w:sz w:val="20"/>
          <w:szCs w:val="20"/>
          <w:lang w:val="es-ES"/>
        </w:rPr>
        <w:t xml:space="preserve">Bogotá D.C., </w:t>
      </w:r>
      <w:r w:rsidRPr="00DD3D10">
        <w:rPr>
          <w:rFonts w:ascii="Verdana" w:hAnsi="Verdana"/>
          <w:sz w:val="20"/>
          <w:szCs w:val="20"/>
          <w:lang w:val="es-ES"/>
        </w:rPr>
        <w:t>07 de septiembre de 2026</w:t>
      </w:r>
      <w:r w:rsidR="00EA3AB9">
        <w:rPr>
          <w:rFonts w:ascii="Verdana" w:hAnsi="Verdana"/>
          <w:sz w:val="20"/>
          <w:szCs w:val="20"/>
          <w:lang w:val="es-ES"/>
        </w:rPr>
        <w:t>.</w:t>
      </w:r>
    </w:p>
    <w:p w14:paraId="768A3544" w14:textId="77777777" w:rsidR="00DD3D10" w:rsidRDefault="00DD3D10" w:rsidP="00DD3D10">
      <w:pPr>
        <w:widowControl w:val="0"/>
        <w:spacing w:after="0" w:line="240" w:lineRule="auto"/>
        <w:jc w:val="both"/>
        <w:rPr>
          <w:rFonts w:ascii="Verdana" w:hAnsi="Verdana"/>
          <w:lang w:val="es-ES"/>
        </w:rPr>
      </w:pPr>
    </w:p>
    <w:p w14:paraId="273D1F54" w14:textId="77777777" w:rsidR="00DD3D10" w:rsidRPr="00BD43CF" w:rsidRDefault="00DD3D10" w:rsidP="00DD3D10">
      <w:pPr>
        <w:spacing w:after="0" w:line="240" w:lineRule="auto"/>
        <w:contextualSpacing/>
        <w:jc w:val="both"/>
        <w:rPr>
          <w:rFonts w:ascii="Verdana" w:eastAsia="Calibri" w:hAnsi="Verdana" w:cs="Arial"/>
          <w:b/>
          <w:color w:val="000000" w:themeColor="text1"/>
          <w:lang w:val="es-ES_tradnl"/>
        </w:rPr>
      </w:pPr>
      <w:r w:rsidRPr="00BD43CF">
        <w:rPr>
          <w:rFonts w:ascii="Verdana" w:eastAsia="Calibri" w:hAnsi="Verdana" w:cs="Arial"/>
          <w:b/>
          <w:color w:val="000000" w:themeColor="text1"/>
          <w:lang w:val="es-ES_tradnl"/>
        </w:rPr>
        <w:t>URGENCIA MANIFIESTA – Situación de calamidad o desastre – Declaración de ocurrencia</w:t>
      </w:r>
    </w:p>
    <w:p w14:paraId="6EE79D53" w14:textId="77777777" w:rsidR="00DD3D10" w:rsidRPr="00BD43CF" w:rsidRDefault="00DD3D10" w:rsidP="00DD3D10">
      <w:pPr>
        <w:spacing w:after="0" w:line="240" w:lineRule="auto"/>
        <w:contextualSpacing/>
        <w:jc w:val="both"/>
        <w:rPr>
          <w:rFonts w:ascii="Verdana" w:eastAsia="Calibri" w:hAnsi="Verdana" w:cs="Arial"/>
          <w:b/>
          <w:bCs/>
          <w:color w:val="EE0000"/>
          <w:lang w:val="es-ES_tradnl"/>
        </w:rPr>
      </w:pPr>
    </w:p>
    <w:p w14:paraId="468B61C1" w14:textId="77777777" w:rsidR="00DD3D10" w:rsidRPr="00BD43CF" w:rsidRDefault="00DD3D10" w:rsidP="00DD3D10">
      <w:pPr>
        <w:spacing w:after="0" w:line="240" w:lineRule="auto"/>
        <w:contextualSpacing/>
        <w:jc w:val="both"/>
        <w:rPr>
          <w:rFonts w:ascii="Verdana" w:eastAsia="Calibri" w:hAnsi="Verdana" w:cs="Arial"/>
          <w:sz w:val="20"/>
          <w:szCs w:val="20"/>
          <w:lang w:val="es-ES"/>
        </w:rPr>
      </w:pPr>
      <w:r w:rsidRPr="00BD43CF">
        <w:rPr>
          <w:rFonts w:ascii="Verdana" w:eastAsia="Calibri" w:hAnsi="Verdana" w:cs="Arial"/>
          <w:sz w:val="20"/>
          <w:szCs w:val="20"/>
          <w:lang w:val="es-ES_tradnl"/>
        </w:rPr>
        <w:t xml:space="preserve">[…] </w:t>
      </w:r>
      <w:r w:rsidRPr="00BD43CF">
        <w:rPr>
          <w:rFonts w:ascii="Verdana" w:eastAsia="Calibri" w:hAnsi="Verdana" w:cs="Arial"/>
          <w:sz w:val="20"/>
          <w:szCs w:val="20"/>
          <w:lang w:val="es-ES"/>
        </w:rPr>
        <w:t xml:space="preserve">debe armonizarse con los artículos 56 y 57 ibidem, que asignan la competencia para declarar la ocurrencia de una situación de desastre o una situación de calamidad pública. Particularmente, disponen que al </w:t>
      </w:r>
      <w:proofErr w:type="gramStart"/>
      <w:r w:rsidRPr="00BD43CF">
        <w:rPr>
          <w:rFonts w:ascii="Verdana" w:eastAsia="Calibri" w:hAnsi="Verdana" w:cs="Arial"/>
          <w:sz w:val="20"/>
          <w:szCs w:val="20"/>
          <w:lang w:val="es-ES"/>
        </w:rPr>
        <w:t>Presidente</w:t>
      </w:r>
      <w:proofErr w:type="gramEnd"/>
      <w:r w:rsidRPr="00BD43CF">
        <w:rPr>
          <w:rFonts w:ascii="Verdana" w:eastAsia="Calibri" w:hAnsi="Verdana" w:cs="Arial"/>
          <w:sz w:val="20"/>
          <w:szCs w:val="20"/>
          <w:lang w:val="es-ES"/>
        </w:rPr>
        <w:t xml:space="preserve"> de la República le corresponde declarar la situación de desastre, tanto en el orden nacional, departamental, como en el municipal y distrital, facultad que no pueden ejercer los gobernadores y alcaldes, porque la norma no les asignó esta competencia. No obstante, a los gobernadores y alcaldes sí les corresponde declarar la situación de calamidad pública, en los respectivos ámbitos, facultad que, en cambio, no puede ejercer el presidente de la república. </w:t>
      </w:r>
    </w:p>
    <w:p w14:paraId="6C31F277" w14:textId="77777777" w:rsidR="00DD3D10" w:rsidRPr="00BD43CF" w:rsidRDefault="00DD3D10" w:rsidP="00DD3D10">
      <w:pPr>
        <w:spacing w:after="0" w:line="240" w:lineRule="auto"/>
        <w:contextualSpacing/>
        <w:jc w:val="both"/>
        <w:rPr>
          <w:rFonts w:ascii="Verdana" w:eastAsia="Calibri" w:hAnsi="Verdana" w:cs="Arial"/>
          <w:sz w:val="20"/>
          <w:szCs w:val="20"/>
          <w:lang w:val="es-ES"/>
        </w:rPr>
      </w:pPr>
    </w:p>
    <w:p w14:paraId="532FB8C3" w14:textId="77777777" w:rsidR="00DD3D10" w:rsidRPr="00BD43CF" w:rsidRDefault="00DD3D10" w:rsidP="00DD3D10">
      <w:pPr>
        <w:spacing w:after="0" w:line="240" w:lineRule="auto"/>
        <w:contextualSpacing/>
        <w:jc w:val="both"/>
        <w:rPr>
          <w:rFonts w:ascii="Verdana" w:eastAsia="Calibri" w:hAnsi="Verdana" w:cs="Arial"/>
          <w:sz w:val="20"/>
          <w:szCs w:val="20"/>
          <w:lang w:val="es-ES"/>
        </w:rPr>
      </w:pPr>
      <w:r w:rsidRPr="00BD43CF">
        <w:rPr>
          <w:rFonts w:ascii="Verdana" w:eastAsia="Calibri" w:hAnsi="Verdana" w:cs="Arial"/>
          <w:sz w:val="20"/>
          <w:szCs w:val="20"/>
          <w:lang w:val="es-ES_tradnl"/>
        </w:rPr>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68D002A7" w14:textId="77777777" w:rsidR="00DD3D10" w:rsidRPr="00BD43CF" w:rsidRDefault="00DD3D10" w:rsidP="00DD3D10">
      <w:pPr>
        <w:spacing w:after="0" w:line="240" w:lineRule="auto"/>
        <w:rPr>
          <w:rFonts w:ascii="Verdana" w:hAnsi="Verdana"/>
          <w:color w:val="EE0000"/>
          <w:lang w:val="es-ES_tradnl"/>
        </w:rPr>
      </w:pPr>
    </w:p>
    <w:p w14:paraId="4FEAD599" w14:textId="77777777" w:rsidR="00DD3D10" w:rsidRPr="00BD43CF" w:rsidRDefault="00DD3D10" w:rsidP="00DD3D10">
      <w:pPr>
        <w:spacing w:after="0" w:line="240" w:lineRule="auto"/>
        <w:jc w:val="both"/>
        <w:rPr>
          <w:rFonts w:ascii="Verdana" w:eastAsia="Calibri" w:hAnsi="Verdana" w:cs="Arial"/>
          <w:b/>
          <w:lang w:val="es-ES_tradnl"/>
        </w:rPr>
      </w:pPr>
      <w:r w:rsidRPr="00BD43CF">
        <w:rPr>
          <w:rFonts w:ascii="Verdana" w:eastAsia="Calibri" w:hAnsi="Verdana" w:cs="Arial"/>
          <w:b/>
          <w:lang w:val="es-ES_tradnl"/>
        </w:rPr>
        <w:t>CALAMIDAD Y DESASTRE – Fondo Nacional de Gestión de Riesgo</w:t>
      </w:r>
    </w:p>
    <w:p w14:paraId="7F11408B" w14:textId="77777777" w:rsidR="00DD3D10" w:rsidRPr="00BD43CF" w:rsidRDefault="00DD3D10" w:rsidP="00DD3D10">
      <w:pPr>
        <w:spacing w:after="0" w:line="240" w:lineRule="auto"/>
        <w:jc w:val="both"/>
        <w:rPr>
          <w:rFonts w:ascii="Verdana" w:eastAsia="Calibri" w:hAnsi="Verdana" w:cs="Arial"/>
          <w:b/>
          <w:bCs/>
          <w:color w:val="EE0000"/>
          <w:sz w:val="20"/>
          <w:szCs w:val="20"/>
          <w:lang w:val="es-ES_tradnl" w:eastAsia="es-ES"/>
        </w:rPr>
      </w:pPr>
    </w:p>
    <w:p w14:paraId="53E61F43" w14:textId="77777777" w:rsidR="00DD3D10" w:rsidRDefault="00DD3D10" w:rsidP="00DD3D10">
      <w:pPr>
        <w:spacing w:after="0" w:line="240" w:lineRule="auto"/>
        <w:jc w:val="both"/>
        <w:rPr>
          <w:rFonts w:ascii="Verdana" w:eastAsia="Calibri" w:hAnsi="Verdana" w:cs="Arial"/>
          <w:sz w:val="20"/>
          <w:szCs w:val="20"/>
          <w:lang w:val="es-ES"/>
        </w:rPr>
      </w:pPr>
      <w:r w:rsidRPr="00BD43CF">
        <w:rPr>
          <w:rFonts w:ascii="Verdana" w:eastAsia="Calibri" w:hAnsi="Verdana" w:cs="Arial"/>
          <w:sz w:val="20"/>
          <w:szCs w:val="20"/>
          <w:lang w:val="es-ES"/>
        </w:rPr>
        <w:lastRenderedPageBreak/>
        <w:t xml:space="preserve">[…] 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 </w:t>
      </w:r>
    </w:p>
    <w:p w14:paraId="36C11B59" w14:textId="77777777" w:rsidR="00DD3D10" w:rsidRPr="00BD43CF" w:rsidRDefault="00DD3D10" w:rsidP="00DD3D10">
      <w:pPr>
        <w:spacing w:after="0" w:line="240" w:lineRule="auto"/>
        <w:jc w:val="both"/>
        <w:rPr>
          <w:rFonts w:ascii="Verdana" w:eastAsia="Calibri" w:hAnsi="Verdana" w:cs="Arial"/>
          <w:sz w:val="20"/>
          <w:szCs w:val="20"/>
          <w:lang w:val="es-ES"/>
        </w:rPr>
      </w:pPr>
    </w:p>
    <w:p w14:paraId="3E4A3677" w14:textId="77777777" w:rsidR="00DD3D10" w:rsidRPr="00BD43CF" w:rsidRDefault="00DD3D10" w:rsidP="00DD3D10">
      <w:pPr>
        <w:spacing w:after="0" w:line="240" w:lineRule="auto"/>
        <w:jc w:val="both"/>
        <w:rPr>
          <w:rFonts w:ascii="Verdana" w:eastAsia="Calibri" w:hAnsi="Verdana" w:cs="Arial"/>
          <w:sz w:val="20"/>
          <w:szCs w:val="20"/>
          <w:lang w:val="es-ES"/>
        </w:rPr>
      </w:pPr>
      <w:r w:rsidRPr="00BD43CF">
        <w:rPr>
          <w:rFonts w:ascii="Verdana" w:eastAsia="Calibri" w:hAnsi="Verdana" w:cs="Arial"/>
          <w:sz w:val="20"/>
          <w:szCs w:val="20"/>
          <w:lang w:val="es-ES_tradnl"/>
        </w:rPr>
        <w:t>La interpretación de esta norma supone tener en cuenta que, de conformidad con el artículo 47, se constituyó el Fondo Nacional de Gestión de Riesgo de Desastres como un patrimonio autónomo –artículo 49–, administrado y representado en los términos del artículo 3° del Decreto 1547 de 1984 –modificado por el artículo 70 de Decreto-ley 919 de 1989  (artículo 48)–, destinado a adoptar medidas de conocimiento y reducción del riesgo de desastres, preparación, respuesta, rehabilitación y reconstrucción, a través de mecanismos de financiación dirigidos a las entidades involucradas en los procesos y a la población afectada por la ocurrencia de desastres, cuyo régimen contractual es el de las empresas industriales y comerciales, sin perjuicio de las facultades especiales para atender situaciones de desastres y evitar la extensión de los efectos –parágrafo 3 del artículo 50–. […]</w:t>
      </w:r>
    </w:p>
    <w:p w14:paraId="06BD4CEF" w14:textId="77777777" w:rsidR="00DD3D10" w:rsidRPr="00270E87" w:rsidRDefault="00DD3D10" w:rsidP="00DD3D10">
      <w:pPr>
        <w:widowControl w:val="0"/>
        <w:spacing w:after="0" w:line="276" w:lineRule="auto"/>
        <w:jc w:val="both"/>
        <w:rPr>
          <w:rFonts w:ascii="Verdana" w:hAnsi="Verdana"/>
          <w:lang w:val="es-ES"/>
        </w:rPr>
      </w:pPr>
    </w:p>
    <w:p w14:paraId="79B11975" w14:textId="7722248E" w:rsidR="005E7C2E" w:rsidRPr="00270E87" w:rsidRDefault="005E7C2E" w:rsidP="005E7C2E">
      <w:pPr>
        <w:spacing w:after="0"/>
        <w:rPr>
          <w:rFonts w:ascii="Verdana" w:hAnsi="Verdana"/>
          <w:lang w:val="es-ES"/>
        </w:rPr>
      </w:pPr>
    </w:p>
    <w:p w14:paraId="088C4072" w14:textId="77777777" w:rsidR="00DD3D10" w:rsidRDefault="00DD3D10" w:rsidP="005E7C2E">
      <w:pPr>
        <w:spacing w:after="0" w:line="240" w:lineRule="auto"/>
        <w:rPr>
          <w:rFonts w:ascii="Verdana" w:eastAsia="Calibri" w:hAnsi="Verdana" w:cs="Arial"/>
          <w:color w:val="000000" w:themeColor="text1"/>
          <w:lang w:val="es-ES" w:eastAsia="es-ES"/>
        </w:rPr>
      </w:pPr>
    </w:p>
    <w:p w14:paraId="647EA86F" w14:textId="77777777" w:rsidR="00DD3D10" w:rsidRDefault="00DD3D10" w:rsidP="005E7C2E">
      <w:pPr>
        <w:spacing w:after="0" w:line="240" w:lineRule="auto"/>
        <w:rPr>
          <w:rFonts w:ascii="Verdana" w:eastAsia="Calibri" w:hAnsi="Verdana" w:cs="Arial"/>
          <w:color w:val="000000" w:themeColor="text1"/>
          <w:lang w:val="es-ES" w:eastAsia="es-ES"/>
        </w:rPr>
      </w:pPr>
    </w:p>
    <w:p w14:paraId="1A90840E" w14:textId="77777777" w:rsidR="00DD3D10" w:rsidRDefault="00DD3D10" w:rsidP="005E7C2E">
      <w:pPr>
        <w:spacing w:after="0" w:line="240" w:lineRule="auto"/>
        <w:rPr>
          <w:rFonts w:ascii="Verdana" w:eastAsia="Calibri" w:hAnsi="Verdana" w:cs="Arial"/>
          <w:color w:val="000000" w:themeColor="text1"/>
          <w:lang w:val="es-ES" w:eastAsia="es-ES"/>
        </w:rPr>
      </w:pPr>
    </w:p>
    <w:p w14:paraId="2ECF56C8" w14:textId="77777777" w:rsidR="00DD3D10" w:rsidRDefault="00DD3D10" w:rsidP="005E7C2E">
      <w:pPr>
        <w:spacing w:after="0" w:line="240" w:lineRule="auto"/>
        <w:rPr>
          <w:rFonts w:ascii="Verdana" w:eastAsia="Calibri" w:hAnsi="Verdana" w:cs="Arial"/>
          <w:color w:val="000000" w:themeColor="text1"/>
          <w:lang w:val="es-ES" w:eastAsia="es-ES"/>
        </w:rPr>
      </w:pPr>
    </w:p>
    <w:p w14:paraId="50DDD86C" w14:textId="77777777" w:rsidR="00DD3D10" w:rsidRDefault="00DD3D10" w:rsidP="005E7C2E">
      <w:pPr>
        <w:spacing w:after="0" w:line="240" w:lineRule="auto"/>
        <w:rPr>
          <w:rFonts w:ascii="Verdana" w:eastAsia="Calibri" w:hAnsi="Verdana" w:cs="Arial"/>
          <w:color w:val="000000" w:themeColor="text1"/>
          <w:lang w:val="es-ES" w:eastAsia="es-ES"/>
        </w:rPr>
      </w:pPr>
    </w:p>
    <w:p w14:paraId="33535F2B" w14:textId="77777777" w:rsidR="00DD3D10" w:rsidRDefault="00DD3D10" w:rsidP="005E7C2E">
      <w:pPr>
        <w:spacing w:after="0" w:line="240" w:lineRule="auto"/>
        <w:rPr>
          <w:rFonts w:ascii="Verdana" w:eastAsia="Calibri" w:hAnsi="Verdana" w:cs="Arial"/>
          <w:color w:val="000000" w:themeColor="text1"/>
          <w:lang w:val="es-ES" w:eastAsia="es-ES"/>
        </w:rPr>
      </w:pPr>
    </w:p>
    <w:p w14:paraId="08E3F628" w14:textId="77777777" w:rsidR="00DD3D10" w:rsidRDefault="00DD3D10" w:rsidP="005E7C2E">
      <w:pPr>
        <w:spacing w:after="0" w:line="240" w:lineRule="auto"/>
        <w:rPr>
          <w:rFonts w:ascii="Verdana" w:eastAsia="Calibri" w:hAnsi="Verdana" w:cs="Arial"/>
          <w:color w:val="000000" w:themeColor="text1"/>
          <w:lang w:val="es-ES" w:eastAsia="es-ES"/>
        </w:rPr>
      </w:pPr>
    </w:p>
    <w:p w14:paraId="06F26484" w14:textId="77777777" w:rsidR="00DD3D10" w:rsidRDefault="00DD3D10" w:rsidP="005E7C2E">
      <w:pPr>
        <w:spacing w:after="0" w:line="240" w:lineRule="auto"/>
        <w:rPr>
          <w:rFonts w:ascii="Verdana" w:eastAsia="Calibri" w:hAnsi="Verdana" w:cs="Arial"/>
          <w:color w:val="000000" w:themeColor="text1"/>
          <w:lang w:val="es-ES" w:eastAsia="es-ES"/>
        </w:rPr>
      </w:pPr>
    </w:p>
    <w:p w14:paraId="4E5E88F7" w14:textId="77777777" w:rsidR="00DD3D10" w:rsidRDefault="00DD3D10" w:rsidP="005E7C2E">
      <w:pPr>
        <w:spacing w:after="0" w:line="240" w:lineRule="auto"/>
        <w:rPr>
          <w:rFonts w:ascii="Verdana" w:eastAsia="Calibri" w:hAnsi="Verdana" w:cs="Arial"/>
          <w:color w:val="000000" w:themeColor="text1"/>
          <w:lang w:val="es-ES" w:eastAsia="es-ES"/>
        </w:rPr>
      </w:pPr>
    </w:p>
    <w:p w14:paraId="2F948DDB" w14:textId="77777777" w:rsidR="00DD3D10" w:rsidRDefault="00DD3D10" w:rsidP="005E7C2E">
      <w:pPr>
        <w:spacing w:after="0" w:line="240" w:lineRule="auto"/>
        <w:rPr>
          <w:rFonts w:ascii="Verdana" w:eastAsia="Calibri" w:hAnsi="Verdana" w:cs="Arial"/>
          <w:color w:val="000000" w:themeColor="text1"/>
          <w:lang w:val="es-ES" w:eastAsia="es-ES"/>
        </w:rPr>
      </w:pPr>
    </w:p>
    <w:p w14:paraId="7BDC99B7" w14:textId="77777777" w:rsidR="00DD3D10" w:rsidRDefault="00DD3D10" w:rsidP="005E7C2E">
      <w:pPr>
        <w:spacing w:after="0" w:line="240" w:lineRule="auto"/>
        <w:rPr>
          <w:rFonts w:ascii="Verdana" w:eastAsia="Calibri" w:hAnsi="Verdana" w:cs="Arial"/>
          <w:color w:val="000000" w:themeColor="text1"/>
          <w:lang w:val="es-ES" w:eastAsia="es-ES"/>
        </w:rPr>
      </w:pPr>
    </w:p>
    <w:p w14:paraId="3DB9A04E" w14:textId="77777777" w:rsidR="00DD3D10" w:rsidRDefault="00DD3D10" w:rsidP="005E7C2E">
      <w:pPr>
        <w:spacing w:after="0" w:line="240" w:lineRule="auto"/>
        <w:rPr>
          <w:rFonts w:ascii="Verdana" w:eastAsia="Calibri" w:hAnsi="Verdana" w:cs="Arial"/>
          <w:color w:val="000000" w:themeColor="text1"/>
          <w:lang w:val="es-ES" w:eastAsia="es-ES"/>
        </w:rPr>
      </w:pPr>
    </w:p>
    <w:p w14:paraId="7686D27A" w14:textId="77777777" w:rsidR="00DD3D10" w:rsidRDefault="00DD3D10" w:rsidP="005E7C2E">
      <w:pPr>
        <w:spacing w:after="0" w:line="240" w:lineRule="auto"/>
        <w:rPr>
          <w:rFonts w:ascii="Verdana" w:eastAsia="Calibri" w:hAnsi="Verdana" w:cs="Arial"/>
          <w:color w:val="000000" w:themeColor="text1"/>
          <w:lang w:val="es-ES" w:eastAsia="es-ES"/>
        </w:rPr>
      </w:pPr>
    </w:p>
    <w:p w14:paraId="60CB13BC" w14:textId="77777777" w:rsidR="00DD3D10" w:rsidRDefault="00DD3D10" w:rsidP="005E7C2E">
      <w:pPr>
        <w:spacing w:after="0" w:line="240" w:lineRule="auto"/>
        <w:rPr>
          <w:rFonts w:ascii="Verdana" w:eastAsia="Calibri" w:hAnsi="Verdana" w:cs="Arial"/>
          <w:color w:val="000000" w:themeColor="text1"/>
          <w:lang w:val="es-ES" w:eastAsia="es-ES"/>
        </w:rPr>
      </w:pPr>
    </w:p>
    <w:p w14:paraId="298CC6EE" w14:textId="77777777" w:rsidR="00DD3D10" w:rsidRDefault="00DD3D10" w:rsidP="005E7C2E">
      <w:pPr>
        <w:spacing w:after="0" w:line="240" w:lineRule="auto"/>
        <w:rPr>
          <w:rFonts w:ascii="Verdana" w:eastAsia="Calibri" w:hAnsi="Verdana" w:cs="Arial"/>
          <w:color w:val="000000" w:themeColor="text1"/>
          <w:lang w:val="es-ES" w:eastAsia="es-ES"/>
        </w:rPr>
      </w:pPr>
    </w:p>
    <w:p w14:paraId="76B82922" w14:textId="77777777" w:rsidR="00DD3D10" w:rsidRDefault="00DD3D10" w:rsidP="005E7C2E">
      <w:pPr>
        <w:spacing w:after="0" w:line="240" w:lineRule="auto"/>
        <w:rPr>
          <w:rFonts w:ascii="Verdana" w:eastAsia="Calibri" w:hAnsi="Verdana" w:cs="Arial"/>
          <w:color w:val="000000" w:themeColor="text1"/>
          <w:lang w:val="es-ES" w:eastAsia="es-ES"/>
        </w:rPr>
      </w:pPr>
    </w:p>
    <w:p w14:paraId="637E29C7" w14:textId="77777777" w:rsidR="00DD3D10" w:rsidRDefault="00DD3D10" w:rsidP="005E7C2E">
      <w:pPr>
        <w:spacing w:after="0" w:line="240" w:lineRule="auto"/>
        <w:rPr>
          <w:rFonts w:ascii="Verdana" w:eastAsia="Calibri" w:hAnsi="Verdana" w:cs="Arial"/>
          <w:color w:val="000000" w:themeColor="text1"/>
          <w:lang w:val="es-ES" w:eastAsia="es-ES"/>
        </w:rPr>
      </w:pPr>
    </w:p>
    <w:p w14:paraId="2B281799" w14:textId="77777777" w:rsidR="00DD3D10" w:rsidRDefault="00DD3D10" w:rsidP="005E7C2E">
      <w:pPr>
        <w:spacing w:after="0" w:line="240" w:lineRule="auto"/>
        <w:rPr>
          <w:rFonts w:ascii="Verdana" w:eastAsia="Calibri" w:hAnsi="Verdana" w:cs="Arial"/>
          <w:color w:val="000000" w:themeColor="text1"/>
          <w:lang w:val="es-ES" w:eastAsia="es-ES"/>
        </w:rPr>
      </w:pPr>
    </w:p>
    <w:p w14:paraId="6A74A268" w14:textId="77777777" w:rsidR="00DD3D10" w:rsidRDefault="00DD3D10" w:rsidP="005E7C2E">
      <w:pPr>
        <w:spacing w:after="0" w:line="240" w:lineRule="auto"/>
        <w:rPr>
          <w:rFonts w:ascii="Verdana" w:eastAsia="Calibri" w:hAnsi="Verdana" w:cs="Arial"/>
          <w:color w:val="000000" w:themeColor="text1"/>
          <w:lang w:val="es-ES" w:eastAsia="es-ES"/>
        </w:rPr>
      </w:pPr>
    </w:p>
    <w:p w14:paraId="3D621BF3" w14:textId="77777777" w:rsidR="00DD3D10" w:rsidRDefault="00DD3D10" w:rsidP="005E7C2E">
      <w:pPr>
        <w:spacing w:after="0" w:line="240" w:lineRule="auto"/>
        <w:rPr>
          <w:rFonts w:ascii="Verdana" w:eastAsia="Calibri" w:hAnsi="Verdana" w:cs="Arial"/>
          <w:color w:val="000000" w:themeColor="text1"/>
          <w:lang w:val="es-ES" w:eastAsia="es-ES"/>
        </w:rPr>
      </w:pPr>
    </w:p>
    <w:p w14:paraId="10C5FA6B" w14:textId="77777777" w:rsidR="00DD3D10" w:rsidRDefault="00DD3D10" w:rsidP="005E7C2E">
      <w:pPr>
        <w:spacing w:after="0" w:line="240" w:lineRule="auto"/>
        <w:rPr>
          <w:rFonts w:ascii="Verdana" w:eastAsia="Calibri" w:hAnsi="Verdana" w:cs="Arial"/>
          <w:color w:val="000000" w:themeColor="text1"/>
          <w:lang w:val="es-ES" w:eastAsia="es-ES"/>
        </w:rPr>
      </w:pPr>
    </w:p>
    <w:p w14:paraId="157B26BA" w14:textId="77777777" w:rsidR="00DD3D10" w:rsidRDefault="00DD3D10" w:rsidP="005E7C2E">
      <w:pPr>
        <w:spacing w:after="0" w:line="240" w:lineRule="auto"/>
        <w:rPr>
          <w:rFonts w:ascii="Verdana" w:eastAsia="Calibri" w:hAnsi="Verdana" w:cs="Arial"/>
          <w:color w:val="000000" w:themeColor="text1"/>
          <w:lang w:val="es-ES" w:eastAsia="es-ES"/>
        </w:rPr>
      </w:pPr>
    </w:p>
    <w:p w14:paraId="515579B6" w14:textId="77777777" w:rsidR="00712280" w:rsidRDefault="00712280" w:rsidP="00EA3AB9">
      <w:pPr>
        <w:widowControl w:val="0"/>
        <w:spacing w:after="0" w:line="276" w:lineRule="auto"/>
        <w:jc w:val="both"/>
        <w:rPr>
          <w:rFonts w:ascii="Verdana" w:hAnsi="Verdana"/>
          <w:lang w:val="es-ES"/>
        </w:rPr>
      </w:pPr>
    </w:p>
    <w:p w14:paraId="55766338" w14:textId="2C624749" w:rsidR="00EA3AB9" w:rsidRPr="00E457C4" w:rsidRDefault="00EA3AB9" w:rsidP="00EA3AB9">
      <w:pPr>
        <w:widowControl w:val="0"/>
        <w:spacing w:after="0" w:line="276" w:lineRule="auto"/>
        <w:jc w:val="both"/>
        <w:rPr>
          <w:rFonts w:ascii="Verdana" w:hAnsi="Verdana"/>
          <w:lang w:val="es-ES"/>
        </w:rPr>
      </w:pPr>
      <w:r w:rsidRPr="00E457C4">
        <w:rPr>
          <w:rFonts w:ascii="Verdana" w:hAnsi="Verdana"/>
          <w:lang w:val="es-ES"/>
        </w:rPr>
        <w:lastRenderedPageBreak/>
        <w:t xml:space="preserve">Bogotá D.C., </w:t>
      </w:r>
      <w:r>
        <w:rPr>
          <w:rFonts w:ascii="Verdana" w:hAnsi="Verdana"/>
          <w:lang w:val="es-ES"/>
        </w:rPr>
        <w:t>07 de septiembre de 2026</w:t>
      </w:r>
    </w:p>
    <w:p w14:paraId="4337F9C9" w14:textId="77777777" w:rsidR="00EA3AB9" w:rsidRDefault="00EA3AB9" w:rsidP="005E7C2E">
      <w:pPr>
        <w:spacing w:after="0" w:line="240" w:lineRule="auto"/>
        <w:rPr>
          <w:rFonts w:ascii="Verdana" w:eastAsia="Calibri" w:hAnsi="Verdana" w:cs="Arial"/>
          <w:color w:val="000000" w:themeColor="text1"/>
          <w:lang w:val="es-ES" w:eastAsia="es-ES"/>
        </w:rPr>
      </w:pPr>
    </w:p>
    <w:p w14:paraId="1A2AA354" w14:textId="2D236DCC" w:rsidR="005E7C2E" w:rsidRPr="00270E87" w:rsidRDefault="00DD3D10" w:rsidP="005E7C2E">
      <w:pPr>
        <w:spacing w:after="0" w:line="240" w:lineRule="auto"/>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60288" behindDoc="0" locked="0" layoutInCell="1" allowOverlap="1" wp14:anchorId="2FC2E3D5" wp14:editId="17799372">
            <wp:simplePos x="0" y="0"/>
            <wp:positionH relativeFrom="column">
              <wp:posOffset>2958957</wp:posOffset>
            </wp:positionH>
            <wp:positionV relativeFrom="paragraph">
              <wp:posOffset>61766</wp:posOffset>
            </wp:positionV>
            <wp:extent cx="2543810" cy="702945"/>
            <wp:effectExtent l="0" t="0" r="0" b="0"/>
            <wp:wrapSquare wrapText="bothSides"/>
            <wp:docPr id="1608472386" name="Picture 1"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72386" name="Picture 1" descr="A close-up of a car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543810" cy="702945"/>
                    </a:xfrm>
                    <a:prstGeom prst="rect">
                      <a:avLst/>
                    </a:prstGeom>
                  </pic:spPr>
                </pic:pic>
              </a:graphicData>
            </a:graphic>
            <wp14:sizeRelH relativeFrom="page">
              <wp14:pctWidth>0</wp14:pctWidth>
            </wp14:sizeRelH>
            <wp14:sizeRelV relativeFrom="page">
              <wp14:pctHeight>0</wp14:pctHeight>
            </wp14:sizeRelV>
          </wp:anchor>
        </w:drawing>
      </w:r>
      <w:r w:rsidR="005E7C2E" w:rsidRPr="00270E87">
        <w:rPr>
          <w:rFonts w:ascii="Verdana" w:eastAsia="Calibri" w:hAnsi="Verdana" w:cs="Arial"/>
          <w:color w:val="000000" w:themeColor="text1"/>
          <w:lang w:val="es-ES" w:eastAsia="es-ES"/>
        </w:rPr>
        <w:t>Señor</w:t>
      </w:r>
    </w:p>
    <w:p w14:paraId="70C890E0" w14:textId="58208B49" w:rsidR="005E7C2E" w:rsidRPr="00D97BFF" w:rsidRDefault="005E7C2E" w:rsidP="005E7C2E">
      <w:pPr>
        <w:spacing w:after="0" w:line="240" w:lineRule="auto"/>
        <w:rPr>
          <w:rFonts w:ascii="Verdana" w:eastAsia="Calibri" w:hAnsi="Verdana" w:cs="Arial"/>
          <w:b/>
          <w:bCs/>
          <w:color w:val="000000" w:themeColor="text1"/>
          <w:lang w:val="es-ES" w:eastAsia="es-ES"/>
        </w:rPr>
      </w:pPr>
      <w:r w:rsidRPr="00D97BFF">
        <w:rPr>
          <w:rFonts w:ascii="Verdana" w:eastAsia="Calibri" w:hAnsi="Verdana" w:cs="Arial"/>
          <w:b/>
          <w:bCs/>
          <w:color w:val="000000" w:themeColor="text1"/>
          <w:lang w:val="es-ES" w:eastAsia="es-ES"/>
        </w:rPr>
        <w:t>Luis Alfonso Mogollón Behaine</w:t>
      </w:r>
    </w:p>
    <w:p w14:paraId="596AC687" w14:textId="431C8E71" w:rsidR="005E7C2E" w:rsidRPr="00D97BFF" w:rsidRDefault="005E7C2E" w:rsidP="005E7C2E">
      <w:pPr>
        <w:spacing w:after="0" w:line="240" w:lineRule="auto"/>
        <w:rPr>
          <w:rFonts w:ascii="Verdana" w:eastAsia="Calibri" w:hAnsi="Verdana" w:cs="Arial"/>
          <w:color w:val="000000" w:themeColor="text1"/>
          <w:lang w:val="es-ES" w:eastAsia="es-ES"/>
        </w:rPr>
      </w:pPr>
      <w:hyperlink r:id="rId11" w:history="1">
        <w:r w:rsidRPr="00D97BFF">
          <w:rPr>
            <w:rStyle w:val="Hipervnculo"/>
            <w:rFonts w:ascii="Verdana" w:eastAsia="Calibri" w:hAnsi="Verdana" w:cs="Arial"/>
            <w:lang w:val="es-ES" w:eastAsia="es-ES"/>
          </w:rPr>
          <w:t>luismogollon20@hotmail.com</w:t>
        </w:r>
      </w:hyperlink>
      <w:r w:rsidRPr="00D97BFF">
        <w:rPr>
          <w:rFonts w:ascii="Verdana" w:eastAsia="Calibri" w:hAnsi="Verdana" w:cs="Arial"/>
          <w:color w:val="000000" w:themeColor="text1"/>
          <w:lang w:val="es-ES" w:eastAsia="es-ES"/>
        </w:rPr>
        <w:t xml:space="preserve"> </w:t>
      </w:r>
    </w:p>
    <w:p w14:paraId="704F0B45" w14:textId="77777777" w:rsidR="005E7C2E" w:rsidRPr="00270E87" w:rsidRDefault="005E7C2E" w:rsidP="005E7C2E">
      <w:pPr>
        <w:spacing w:after="0" w:line="240" w:lineRule="auto"/>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5E7C2E" w:rsidRPr="00270E87" w14:paraId="67917E28" w14:textId="77777777" w:rsidTr="004E5137">
        <w:trPr>
          <w:trHeight w:val="300"/>
        </w:trPr>
        <w:tc>
          <w:tcPr>
            <w:tcW w:w="2410" w:type="dxa"/>
          </w:tcPr>
          <w:p w14:paraId="23705B4A" w14:textId="77777777" w:rsidR="005E7C2E" w:rsidRPr="00270E87" w:rsidRDefault="005E7C2E" w:rsidP="004E5137">
            <w:pPr>
              <w:ind w:left="-142"/>
              <w:jc w:val="both"/>
              <w:rPr>
                <w:rFonts w:ascii="Verdana" w:eastAsia="Calibri" w:hAnsi="Verdana" w:cs="Arial"/>
                <w:b/>
                <w:bCs/>
                <w:color w:val="000000" w:themeColor="text1"/>
                <w:lang w:val="es-ES" w:eastAsia="es-ES_tradnl"/>
              </w:rPr>
            </w:pPr>
          </w:p>
        </w:tc>
        <w:tc>
          <w:tcPr>
            <w:tcW w:w="6100" w:type="dxa"/>
          </w:tcPr>
          <w:p w14:paraId="286AFE3A" w14:textId="77777777" w:rsidR="005E7C2E" w:rsidRPr="00270E87" w:rsidRDefault="005E7C2E" w:rsidP="004E5137">
            <w:pPr>
              <w:ind w:left="3"/>
              <w:jc w:val="both"/>
              <w:rPr>
                <w:rFonts w:ascii="Verdana" w:eastAsia="Calibri" w:hAnsi="Verdana" w:cs="Arial"/>
                <w:b/>
                <w:bCs/>
                <w:color w:val="000000" w:themeColor="text1"/>
                <w:lang w:val="es-ES" w:eastAsia="es-ES"/>
              </w:rPr>
            </w:pPr>
          </w:p>
          <w:p w14:paraId="2BA7B078" w14:textId="77777777" w:rsidR="005E7C2E" w:rsidRPr="00270E87" w:rsidRDefault="005E7C2E" w:rsidP="004E5137">
            <w:pPr>
              <w:ind w:left="3"/>
              <w:jc w:val="both"/>
              <w:rPr>
                <w:rFonts w:ascii="Verdana" w:eastAsia="Calibri" w:hAnsi="Verdana" w:cs="Arial"/>
                <w:b/>
                <w:bCs/>
                <w:color w:val="000000" w:themeColor="text1"/>
                <w:lang w:val="es-ES" w:eastAsia="es-ES"/>
              </w:rPr>
            </w:pPr>
            <w:r w:rsidRPr="00270E87">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1279</w:t>
            </w:r>
            <w:r w:rsidRPr="00270E87">
              <w:rPr>
                <w:rFonts w:ascii="Verdana" w:eastAsia="Calibri" w:hAnsi="Verdana" w:cs="Arial"/>
                <w:b/>
                <w:bCs/>
                <w:color w:val="000000" w:themeColor="text1"/>
                <w:lang w:val="es-ES" w:eastAsia="es-ES"/>
              </w:rPr>
              <w:t xml:space="preserve"> de 2026</w:t>
            </w:r>
          </w:p>
          <w:p w14:paraId="5B29A450" w14:textId="77777777" w:rsidR="005E7C2E" w:rsidRPr="00270E87" w:rsidRDefault="005E7C2E" w:rsidP="004E5137">
            <w:pPr>
              <w:ind w:left="3"/>
              <w:jc w:val="both"/>
              <w:rPr>
                <w:rFonts w:ascii="Verdana" w:eastAsia="Calibri" w:hAnsi="Verdana" w:cs="Arial"/>
                <w:b/>
                <w:bCs/>
                <w:color w:val="000000" w:themeColor="text1"/>
                <w:lang w:val="es-ES" w:eastAsia="es-ES"/>
              </w:rPr>
            </w:pPr>
          </w:p>
        </w:tc>
      </w:tr>
      <w:tr w:rsidR="005E7C2E" w:rsidRPr="00270E87" w14:paraId="4FE7BC32" w14:textId="77777777" w:rsidTr="004E5137">
        <w:trPr>
          <w:trHeight w:val="300"/>
        </w:trPr>
        <w:tc>
          <w:tcPr>
            <w:tcW w:w="2410" w:type="dxa"/>
          </w:tcPr>
          <w:p w14:paraId="53A1B05A" w14:textId="77777777" w:rsidR="005E7C2E" w:rsidRPr="00270E87" w:rsidRDefault="005E7C2E" w:rsidP="004E5137">
            <w:pPr>
              <w:ind w:left="424" w:firstLine="142"/>
              <w:jc w:val="both"/>
              <w:rPr>
                <w:rFonts w:ascii="Verdana" w:eastAsia="Calibri" w:hAnsi="Verdana" w:cs="Arial"/>
                <w:color w:val="000000" w:themeColor="text1"/>
                <w:lang w:val="es-ES" w:eastAsia="es-ES_tradnl"/>
              </w:rPr>
            </w:pPr>
            <w:r w:rsidRPr="00270E87">
              <w:rPr>
                <w:rFonts w:ascii="Verdana" w:eastAsia="Calibri" w:hAnsi="Verdana" w:cs="Arial"/>
                <w:b/>
                <w:color w:val="000000" w:themeColor="text1"/>
                <w:lang w:val="es-ES" w:eastAsia="es-ES_tradnl"/>
              </w:rPr>
              <w:t>Temas:</w:t>
            </w:r>
            <w:r w:rsidRPr="00270E87">
              <w:rPr>
                <w:rFonts w:ascii="Verdana" w:eastAsia="Calibri" w:hAnsi="Verdana" w:cs="Arial"/>
                <w:color w:val="000000" w:themeColor="text1"/>
                <w:lang w:val="es-ES" w:eastAsia="es-ES_tradnl"/>
              </w:rPr>
              <w:t xml:space="preserve">                  </w:t>
            </w:r>
          </w:p>
        </w:tc>
        <w:tc>
          <w:tcPr>
            <w:tcW w:w="6100" w:type="dxa"/>
          </w:tcPr>
          <w:p w14:paraId="7CF75524" w14:textId="4B788099" w:rsidR="005E7C2E" w:rsidRPr="008B5E32" w:rsidRDefault="005E7C2E" w:rsidP="004E5137">
            <w:pPr>
              <w:spacing w:line="276" w:lineRule="auto"/>
              <w:jc w:val="both"/>
              <w:rPr>
                <w:rFonts w:ascii="Verdana" w:eastAsia="Calibri" w:hAnsi="Verdana" w:cs="Arial"/>
              </w:rPr>
            </w:pPr>
            <w:r w:rsidRPr="00BD43CF">
              <w:rPr>
                <w:rFonts w:ascii="Verdana" w:eastAsia="Calibri" w:hAnsi="Verdana" w:cs="Arial"/>
              </w:rPr>
              <w:t xml:space="preserve">URGENCIA MANIFIESTA – Situación de calamidad o desastre - Noción / URGENCIA MANIFIESTA – Situación de calamidad o desastre – Declaración de ocurrencia / CALAMIDAD Y DESASTRE – Fondo Nacional de Gestión de Riesgo </w:t>
            </w:r>
          </w:p>
          <w:p w14:paraId="378A4E39" w14:textId="77777777" w:rsidR="005E7C2E" w:rsidRPr="00270E87" w:rsidRDefault="005E7C2E" w:rsidP="004E5137">
            <w:pPr>
              <w:spacing w:line="276" w:lineRule="auto"/>
              <w:jc w:val="both"/>
              <w:rPr>
                <w:rFonts w:ascii="Verdana" w:eastAsia="Calibri" w:hAnsi="Verdana" w:cs="Arial"/>
                <w:color w:val="000000" w:themeColor="text1"/>
                <w:lang w:val="es-ES" w:eastAsia="es-ES"/>
              </w:rPr>
            </w:pPr>
          </w:p>
        </w:tc>
      </w:tr>
      <w:tr w:rsidR="005E7C2E" w:rsidRPr="00270E87" w14:paraId="096424CD" w14:textId="77777777" w:rsidTr="004E5137">
        <w:trPr>
          <w:trHeight w:val="300"/>
        </w:trPr>
        <w:tc>
          <w:tcPr>
            <w:tcW w:w="2410" w:type="dxa"/>
          </w:tcPr>
          <w:p w14:paraId="082B9BB1" w14:textId="77777777" w:rsidR="005E7C2E" w:rsidRPr="00270E87" w:rsidRDefault="005E7C2E" w:rsidP="004E5137">
            <w:pPr>
              <w:ind w:left="561"/>
              <w:jc w:val="both"/>
              <w:rPr>
                <w:rFonts w:ascii="Verdana" w:eastAsia="Calibri" w:hAnsi="Verdana" w:cs="Arial"/>
                <w:b/>
                <w:color w:val="000000" w:themeColor="text1"/>
                <w:lang w:val="es-ES" w:eastAsia="es-ES_tradnl"/>
              </w:rPr>
            </w:pPr>
            <w:r w:rsidRPr="00270E87">
              <w:rPr>
                <w:rFonts w:ascii="Verdana" w:eastAsia="Calibri" w:hAnsi="Verdana" w:cs="Arial"/>
                <w:b/>
                <w:color w:val="000000" w:themeColor="text1"/>
                <w:lang w:val="es-ES" w:eastAsia="es-ES_tradnl"/>
              </w:rPr>
              <w:t xml:space="preserve">Radicación:              </w:t>
            </w:r>
          </w:p>
        </w:tc>
        <w:tc>
          <w:tcPr>
            <w:tcW w:w="6100" w:type="dxa"/>
          </w:tcPr>
          <w:p w14:paraId="0C007A65" w14:textId="77777777" w:rsidR="005E7C2E" w:rsidRPr="00270E87" w:rsidRDefault="005E7C2E" w:rsidP="004E5137">
            <w:pPr>
              <w:ind w:left="3"/>
              <w:jc w:val="both"/>
              <w:rPr>
                <w:rFonts w:ascii="Verdana" w:hAnsi="Verdana"/>
                <w:bCs/>
                <w:color w:val="000000"/>
                <w:lang w:val="es-ES"/>
              </w:rPr>
            </w:pPr>
            <w:r w:rsidRPr="00270E87">
              <w:rPr>
                <w:rFonts w:ascii="Verdana" w:eastAsia="Calibri" w:hAnsi="Verdana" w:cs="Arial"/>
                <w:bCs/>
                <w:color w:val="000000" w:themeColor="text1"/>
                <w:lang w:val="es-ES" w:eastAsia="es-ES"/>
              </w:rPr>
              <w:t>Respuesta a consulta con radicado No.</w:t>
            </w:r>
            <w:r>
              <w:t xml:space="preserve"> </w:t>
            </w:r>
            <w:r w:rsidRPr="00D97BFF">
              <w:rPr>
                <w:rFonts w:ascii="Verdana" w:eastAsia="Calibri" w:hAnsi="Verdana" w:cs="Arial"/>
                <w:bCs/>
                <w:color w:val="000000" w:themeColor="text1"/>
                <w:lang w:val="es-ES" w:eastAsia="es-ES"/>
              </w:rPr>
              <w:t>1_2026_08_13_010729</w:t>
            </w:r>
            <w:r w:rsidRPr="00270E87">
              <w:rPr>
                <w:rFonts w:ascii="Verdana" w:hAnsi="Verdana" w:cs="Segoe UI"/>
                <w:bCs/>
                <w:color w:val="242424"/>
                <w:shd w:val="clear" w:color="auto" w:fill="FFFFFF"/>
                <w:lang w:val="es-ES"/>
              </w:rPr>
              <w:t xml:space="preserve"> </w:t>
            </w:r>
            <w:r w:rsidRPr="00270E87">
              <w:rPr>
                <w:rFonts w:ascii="Verdana" w:eastAsia="Calibri" w:hAnsi="Verdana" w:cs="Arial"/>
                <w:bCs/>
                <w:color w:val="000000" w:themeColor="text1"/>
                <w:lang w:val="es-ES" w:eastAsia="es-ES"/>
              </w:rPr>
              <w:t xml:space="preserve"> </w:t>
            </w:r>
          </w:p>
        </w:tc>
      </w:tr>
    </w:tbl>
    <w:p w14:paraId="61E4711C" w14:textId="77777777" w:rsidR="005E7C2E" w:rsidRPr="00270E87" w:rsidRDefault="005E7C2E" w:rsidP="005E7C2E">
      <w:pPr>
        <w:spacing w:after="0" w:line="276" w:lineRule="auto"/>
        <w:jc w:val="both"/>
        <w:rPr>
          <w:rFonts w:ascii="Verdana" w:eastAsia="Calibri" w:hAnsi="Verdana" w:cs="Arial"/>
          <w:color w:val="000000" w:themeColor="text1"/>
          <w:lang w:val="es-ES" w:eastAsia="es-ES"/>
        </w:rPr>
      </w:pPr>
    </w:p>
    <w:p w14:paraId="13D4388F" w14:textId="77777777" w:rsidR="005E7C2E" w:rsidRPr="00270E87" w:rsidRDefault="005E7C2E" w:rsidP="005E7C2E">
      <w:pPr>
        <w:spacing w:after="0" w:line="276" w:lineRule="auto"/>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 xml:space="preserve">Estimado señor </w:t>
      </w:r>
      <w:r>
        <w:rPr>
          <w:rFonts w:ascii="Verdana" w:eastAsia="Calibri" w:hAnsi="Verdana" w:cs="Arial"/>
          <w:color w:val="000000" w:themeColor="text1"/>
          <w:lang w:val="es-ES" w:eastAsia="es-ES"/>
        </w:rPr>
        <w:t>Mogollón</w:t>
      </w:r>
      <w:r w:rsidRPr="00270E87">
        <w:rPr>
          <w:rFonts w:ascii="Verdana" w:eastAsia="Calibri" w:hAnsi="Verdana" w:cs="Arial"/>
          <w:color w:val="000000" w:themeColor="text1"/>
          <w:lang w:val="es-ES" w:eastAsia="es-ES"/>
        </w:rPr>
        <w:t xml:space="preserve">: </w:t>
      </w:r>
    </w:p>
    <w:p w14:paraId="4F8A8351" w14:textId="77777777" w:rsidR="005E7C2E" w:rsidRPr="00270E87" w:rsidRDefault="005E7C2E" w:rsidP="005E7C2E">
      <w:pPr>
        <w:tabs>
          <w:tab w:val="left" w:pos="3768"/>
        </w:tabs>
        <w:spacing w:after="0" w:line="276" w:lineRule="auto"/>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ab/>
      </w:r>
    </w:p>
    <w:p w14:paraId="0FDC8B34" w14:textId="77777777" w:rsidR="005E7C2E" w:rsidRPr="00270E87" w:rsidRDefault="005E7C2E" w:rsidP="005E7C2E">
      <w:pPr>
        <w:spacing w:after="0" w:line="276" w:lineRule="auto"/>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En ejercicio de la competencia otorgada por los artículos 3, numeral 5º, y 11, numeral 8º, del Decreto Ley 4170 de 2011,</w:t>
      </w:r>
      <w:r w:rsidRPr="00270E87">
        <w:rPr>
          <w:rFonts w:ascii="Verdana" w:eastAsia="Arial MT" w:hAnsi="Verdana" w:cs="Arial MT"/>
          <w:color w:val="000000" w:themeColor="text1"/>
          <w:lang w:val="es-ES" w:eastAsia="es-ES"/>
        </w:rPr>
        <w:t xml:space="preserve"> </w:t>
      </w:r>
      <w:r w:rsidRPr="00270E87">
        <w:rPr>
          <w:rFonts w:ascii="Verdana" w:hAnsi="Verdana" w:cs="Arial"/>
          <w:color w:val="000000" w:themeColor="text1"/>
          <w:lang w:val="es-ES"/>
        </w:rPr>
        <w:t xml:space="preserve">así como lo establecido en el artículo 4 de la Resolución 1707 de 2018 expedida por esta Entidad, </w:t>
      </w:r>
      <w:r w:rsidRPr="00270E87">
        <w:rPr>
          <w:rFonts w:ascii="Verdana" w:eastAsia="Calibri" w:hAnsi="Verdana" w:cs="Arial"/>
          <w:color w:val="000000" w:themeColor="text1"/>
          <w:lang w:val="es-ES" w:eastAsia="es-ES"/>
        </w:rPr>
        <w:t>la Agencia Nacional de Contratación Pública – Colombia Compra Eficiente– responde su solicitud de consulta del 1</w:t>
      </w:r>
      <w:r>
        <w:rPr>
          <w:rFonts w:ascii="Verdana" w:eastAsia="Calibri" w:hAnsi="Verdana" w:cs="Arial"/>
          <w:color w:val="000000" w:themeColor="text1"/>
          <w:lang w:val="es-ES" w:eastAsia="es-ES"/>
        </w:rPr>
        <w:t>3 de agosto</w:t>
      </w:r>
      <w:r w:rsidRPr="00270E87">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de </w:t>
      </w:r>
      <w:r w:rsidRPr="00270E87">
        <w:rPr>
          <w:rFonts w:ascii="Verdana" w:eastAsia="Calibri" w:hAnsi="Verdana" w:cs="Arial"/>
          <w:color w:val="000000" w:themeColor="text1"/>
          <w:lang w:val="es-ES" w:eastAsia="es-ES"/>
        </w:rPr>
        <w:t xml:space="preserve">2026, en la cual manifiesta lo siguiente: </w:t>
      </w:r>
    </w:p>
    <w:p w14:paraId="1AD4F607" w14:textId="77777777" w:rsidR="005E7C2E" w:rsidRPr="00270E87" w:rsidRDefault="005E7C2E" w:rsidP="005E7C2E">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76EF1D7E" w14:textId="77777777" w:rsidR="005E7C2E" w:rsidRPr="008B5E32" w:rsidRDefault="005E7C2E" w:rsidP="005E7C2E">
      <w:pPr>
        <w:ind w:left="709" w:right="709"/>
        <w:jc w:val="both"/>
        <w:rPr>
          <w:rFonts w:ascii="Verdana" w:eastAsia="Calibri" w:hAnsi="Verdana" w:cs="Arial"/>
          <w:i/>
          <w:iCs/>
          <w:sz w:val="20"/>
          <w:szCs w:val="20"/>
          <w:lang w:val="es-ES"/>
        </w:rPr>
      </w:pPr>
      <w:r w:rsidRPr="00270E87">
        <w:rPr>
          <w:rFonts w:ascii="Verdana" w:eastAsia="Calibri" w:hAnsi="Verdana" w:cs="Arial"/>
          <w:i/>
          <w:iCs/>
          <w:sz w:val="20"/>
          <w:szCs w:val="20"/>
          <w:lang w:val="es-ES"/>
        </w:rPr>
        <w:t>“</w:t>
      </w:r>
      <w:r w:rsidRPr="00D97BFF">
        <w:rPr>
          <w:rFonts w:ascii="Verdana" w:eastAsia="Calibri" w:hAnsi="Verdana" w:cs="Arial"/>
          <w:i/>
          <w:iCs/>
          <w:sz w:val="20"/>
          <w:szCs w:val="20"/>
          <w:lang w:val="es-ES"/>
        </w:rPr>
        <w:t>Por medio del presente me permito formular la siguiente consulta: Se debe primero declarar la calamidad pública para</w:t>
      </w:r>
      <w:r>
        <w:rPr>
          <w:rFonts w:ascii="Verdana" w:eastAsia="Calibri" w:hAnsi="Verdana" w:cs="Arial"/>
          <w:i/>
          <w:iCs/>
          <w:sz w:val="20"/>
          <w:szCs w:val="20"/>
          <w:lang w:val="es-ES"/>
        </w:rPr>
        <w:t xml:space="preserve"> </w:t>
      </w:r>
      <w:r w:rsidRPr="00D97BFF">
        <w:rPr>
          <w:rFonts w:ascii="Verdana" w:eastAsia="Calibri" w:hAnsi="Verdana" w:cs="Arial"/>
          <w:i/>
          <w:iCs/>
          <w:sz w:val="20"/>
          <w:szCs w:val="20"/>
          <w:lang w:val="es-ES"/>
        </w:rPr>
        <w:t xml:space="preserve">posteriormente declarar la urgencia manifiesta y así poder adelantar la contratación de manera directa, </w:t>
      </w:r>
      <w:proofErr w:type="gramStart"/>
      <w:r w:rsidRPr="00D97BFF">
        <w:rPr>
          <w:rFonts w:ascii="Verdana" w:eastAsia="Calibri" w:hAnsi="Verdana" w:cs="Arial"/>
          <w:i/>
          <w:iCs/>
          <w:sz w:val="20"/>
          <w:szCs w:val="20"/>
          <w:lang w:val="es-ES"/>
        </w:rPr>
        <w:t>o</w:t>
      </w:r>
      <w:proofErr w:type="gramEnd"/>
      <w:r w:rsidRPr="00D97BFF">
        <w:rPr>
          <w:rFonts w:ascii="Verdana" w:eastAsia="Calibri" w:hAnsi="Verdana" w:cs="Arial"/>
          <w:i/>
          <w:iCs/>
          <w:sz w:val="20"/>
          <w:szCs w:val="20"/>
          <w:lang w:val="es-ES"/>
        </w:rPr>
        <w:t xml:space="preserve"> por el contrario, se puede adelantar la contratación directa sólo declarando la calamidad pública?</w:t>
      </w:r>
      <w:r w:rsidRPr="00D97BFF">
        <w:rPr>
          <w:rFonts w:ascii="Verdana" w:eastAsia="Calibri" w:hAnsi="Verdana" w:cs="Arial"/>
          <w:i/>
          <w:iCs/>
          <w:sz w:val="20"/>
          <w:szCs w:val="20"/>
          <w:lang/>
        </w:rPr>
        <w:t>”.</w:t>
      </w:r>
    </w:p>
    <w:p w14:paraId="4E4B5865" w14:textId="77777777" w:rsidR="005E7C2E" w:rsidRPr="00270E87" w:rsidRDefault="005E7C2E" w:rsidP="005E7C2E">
      <w:pPr>
        <w:spacing w:after="120" w:line="276" w:lineRule="auto"/>
        <w:ind w:firstLine="708"/>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270E87">
        <w:rPr>
          <w:rFonts w:ascii="Verdana" w:eastAsia="Calibri" w:hAnsi="Verdana" w:cs="Arial"/>
          <w:color w:val="000000" w:themeColor="text1"/>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0E87">
        <w:rPr>
          <w:lang w:val="es-ES"/>
        </w:rPr>
        <w:tab/>
      </w:r>
    </w:p>
    <w:p w14:paraId="3B8AEAA4" w14:textId="77777777" w:rsidR="005E7C2E" w:rsidRPr="00270E87" w:rsidRDefault="005E7C2E" w:rsidP="005E7C2E">
      <w:pPr>
        <w:spacing w:after="0" w:line="276" w:lineRule="auto"/>
        <w:ind w:firstLine="709"/>
        <w:jc w:val="both"/>
        <w:rPr>
          <w:rFonts w:ascii="Verdana" w:eastAsia="Calibri" w:hAnsi="Verdana" w:cs="Arial"/>
          <w:color w:val="000000" w:themeColor="text1"/>
          <w:lang w:val="es-ES" w:eastAsia="es-ES"/>
        </w:rPr>
      </w:pPr>
      <w:r w:rsidRPr="00270E87">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el</w:t>
      </w:r>
      <w:r w:rsidRPr="00270E87">
        <w:rPr>
          <w:rFonts w:ascii="Verdana" w:eastAsia="Calibri" w:hAnsi="Verdana" w:cs="Arial"/>
          <w:color w:val="000000" w:themeColor="text1"/>
          <w:lang w:val="es-ES" w:eastAsia="es-ES"/>
        </w:rPr>
        <w:t xml:space="preserve"> problema jurídico de su consulta. </w:t>
      </w:r>
    </w:p>
    <w:p w14:paraId="5B586826" w14:textId="77777777" w:rsidR="005E7C2E" w:rsidRPr="00270E87" w:rsidRDefault="005E7C2E" w:rsidP="005E7C2E">
      <w:pPr>
        <w:spacing w:after="0" w:line="276" w:lineRule="auto"/>
        <w:jc w:val="both"/>
        <w:rPr>
          <w:rFonts w:ascii="Verdana" w:eastAsia="Calibri" w:hAnsi="Verdana" w:cs="Arial"/>
          <w:color w:val="000000" w:themeColor="text1"/>
          <w:lang w:val="es-ES" w:eastAsia="es-ES"/>
        </w:rPr>
      </w:pPr>
    </w:p>
    <w:p w14:paraId="69A05A16" w14:textId="77777777" w:rsidR="005E7C2E" w:rsidRPr="00270E87" w:rsidRDefault="005E7C2E" w:rsidP="005E7C2E">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270E87">
        <w:rPr>
          <w:rFonts w:ascii="Verdana" w:eastAsia="Century Gothic" w:hAnsi="Verdana" w:cs="Century Gothic"/>
          <w:b/>
          <w:bCs/>
          <w:color w:val="000000" w:themeColor="text1"/>
        </w:rPr>
        <w:t>Problema planteado:</w:t>
      </w:r>
    </w:p>
    <w:p w14:paraId="47ACE77E" w14:textId="77777777" w:rsidR="005E7C2E" w:rsidRPr="00270E87" w:rsidRDefault="005E7C2E" w:rsidP="005E7C2E">
      <w:pPr>
        <w:tabs>
          <w:tab w:val="left" w:pos="426"/>
        </w:tabs>
        <w:spacing w:after="0" w:line="276" w:lineRule="auto"/>
        <w:jc w:val="both"/>
        <w:rPr>
          <w:rFonts w:ascii="Verdana" w:eastAsia="Century Gothic" w:hAnsi="Verdana" w:cs="Century Gothic"/>
          <w:color w:val="000000" w:themeColor="text1"/>
          <w:lang w:val="es-ES"/>
        </w:rPr>
      </w:pPr>
    </w:p>
    <w:p w14:paraId="4F399D05" w14:textId="77777777" w:rsidR="005E7C2E" w:rsidRPr="00270E87" w:rsidRDefault="005E7C2E" w:rsidP="005E7C2E">
      <w:pPr>
        <w:spacing w:after="140" w:line="276" w:lineRule="auto"/>
        <w:jc w:val="both"/>
        <w:rPr>
          <w:rFonts w:ascii="Verdana" w:eastAsia="Century Gothic" w:hAnsi="Verdana" w:cs="Century Gothic"/>
          <w:color w:val="000000" w:themeColor="text1"/>
          <w:lang w:val="es-ES"/>
        </w:rPr>
      </w:pPr>
      <w:r w:rsidRPr="00270E87">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el</w:t>
      </w:r>
      <w:r w:rsidRPr="00270E87">
        <w:rPr>
          <w:rFonts w:ascii="Verdana" w:eastAsia="Century Gothic" w:hAnsi="Verdana" w:cs="Century Gothic"/>
          <w:color w:val="000000" w:themeColor="text1"/>
          <w:lang w:val="es-ES"/>
        </w:rPr>
        <w:t xml:space="preserve"> siguiente problema jurídico: </w:t>
      </w:r>
      <w:r w:rsidRPr="006263D8">
        <w:rPr>
          <w:rFonts w:ascii="Verdana" w:eastAsia="Century Gothic" w:hAnsi="Verdana" w:cs="Century Gothic"/>
        </w:rPr>
        <w:t>¿</w:t>
      </w:r>
      <w:r>
        <w:rPr>
          <w:rFonts w:ascii="Verdana" w:eastAsia="Century Gothic" w:hAnsi="Verdana" w:cs="Century Gothic"/>
        </w:rPr>
        <w:t>Cuáles son los actos administrativos necesarios</w:t>
      </w:r>
      <w:r w:rsidRPr="006263D8">
        <w:rPr>
          <w:rFonts w:ascii="Verdana" w:eastAsia="Century Gothic" w:hAnsi="Verdana" w:cs="Century Gothic"/>
        </w:rPr>
        <w:t xml:space="preserve"> para celebrar un contrato de manera directa por urgencia manifiesta, con ocasión a la configuración de hechos de calamidad o constitutivos de fuerza mayor o desastre que demanden actuaciones inmediatas?</w:t>
      </w:r>
    </w:p>
    <w:p w14:paraId="7049B742" w14:textId="77777777" w:rsidR="005E7C2E" w:rsidRPr="00270E87" w:rsidRDefault="005E7C2E" w:rsidP="005E7C2E">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270E87">
        <w:rPr>
          <w:rFonts w:ascii="Verdana" w:eastAsia="Century Gothic" w:hAnsi="Verdana" w:cs="Century Gothic"/>
          <w:b/>
          <w:bCs/>
          <w:color w:val="000000" w:themeColor="text1"/>
        </w:rPr>
        <w:t>Respuesta:</w:t>
      </w:r>
    </w:p>
    <w:p w14:paraId="57085523" w14:textId="77777777" w:rsidR="005E7C2E" w:rsidRPr="00270E87" w:rsidRDefault="005E7C2E" w:rsidP="005E7C2E">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7C2E" w:rsidRPr="00270E87" w14:paraId="38DF6AA3" w14:textId="77777777" w:rsidTr="004E5137">
        <w:trPr>
          <w:trHeight w:val="300"/>
        </w:trPr>
        <w:tc>
          <w:tcPr>
            <w:tcW w:w="8828" w:type="dxa"/>
          </w:tcPr>
          <w:p w14:paraId="75B70AC9" w14:textId="77777777" w:rsidR="005E7C2E" w:rsidRPr="00D93A6C" w:rsidRDefault="005E7C2E" w:rsidP="004E5137">
            <w:pPr>
              <w:spacing w:after="120" w:line="276" w:lineRule="auto"/>
              <w:jc w:val="both"/>
              <w:rPr>
                <w:rFonts w:ascii="Verdana" w:eastAsia="Calibri" w:hAnsi="Verdana" w:cs="Arial"/>
                <w:lang w:val="es-ES"/>
              </w:rPr>
            </w:pPr>
            <w:r>
              <w:rPr>
                <w:rFonts w:ascii="Verdana" w:eastAsia="Calibri" w:hAnsi="Verdana" w:cs="Arial"/>
                <w:lang w:val="es-ES"/>
              </w:rPr>
              <w:t>L</w:t>
            </w:r>
            <w:r w:rsidRPr="1AE1532E">
              <w:rPr>
                <w:rFonts w:ascii="Verdana" w:eastAsia="Calibri" w:hAnsi="Verdana" w:cs="Arial"/>
                <w:lang w:val="es-ES"/>
              </w:rPr>
              <w:t xml:space="preserve">os artículos 56 y 57 </w:t>
            </w:r>
            <w:r w:rsidRPr="00D93A6C">
              <w:rPr>
                <w:rFonts w:ascii="Verdana" w:eastAsia="Calibri" w:hAnsi="Verdana" w:cs="Arial"/>
                <w:lang w:val="es-ES_tradnl"/>
              </w:rPr>
              <w:t>la Ley 1523 de 2012</w:t>
            </w:r>
            <w:r w:rsidRPr="1AE1532E">
              <w:rPr>
                <w:rFonts w:ascii="Verdana" w:eastAsia="Calibri" w:hAnsi="Verdana" w:cs="Arial"/>
                <w:lang w:val="es-ES"/>
              </w:rPr>
              <w:t xml:space="preserve"> asignan la competencia para declarar la ocurrencia de una </w:t>
            </w:r>
            <w:r w:rsidRPr="00967936">
              <w:rPr>
                <w:rFonts w:ascii="Verdana" w:eastAsia="Calibri" w:hAnsi="Verdana" w:cs="Arial"/>
                <w:i/>
                <w:iCs/>
                <w:lang w:val="es-ES"/>
              </w:rPr>
              <w:t>situación de</w:t>
            </w:r>
            <w:r w:rsidRPr="1AE1532E">
              <w:rPr>
                <w:rFonts w:ascii="Verdana" w:eastAsia="Calibri" w:hAnsi="Verdana" w:cs="Arial"/>
                <w:lang w:val="es-ES"/>
              </w:rPr>
              <w:t xml:space="preserve"> </w:t>
            </w:r>
            <w:r w:rsidRPr="1AE1532E">
              <w:rPr>
                <w:rFonts w:ascii="Verdana" w:eastAsia="Calibri" w:hAnsi="Verdana" w:cs="Arial"/>
                <w:i/>
                <w:iCs/>
                <w:lang w:val="es-ES"/>
              </w:rPr>
              <w:t>desastre</w:t>
            </w:r>
            <w:r w:rsidRPr="1AE1532E">
              <w:rPr>
                <w:rFonts w:ascii="Verdana" w:eastAsia="Calibri" w:hAnsi="Verdana" w:cs="Arial"/>
                <w:lang w:val="es-ES"/>
              </w:rPr>
              <w:t xml:space="preserve"> o una situación de </w:t>
            </w:r>
            <w:r w:rsidRPr="1AE1532E">
              <w:rPr>
                <w:rFonts w:ascii="Verdana" w:eastAsia="Calibri" w:hAnsi="Verdana" w:cs="Arial"/>
                <w:i/>
                <w:iCs/>
                <w:lang w:val="es-ES"/>
              </w:rPr>
              <w:t>calamidad pública</w:t>
            </w:r>
            <w:r w:rsidRPr="1AE1532E">
              <w:rPr>
                <w:rFonts w:ascii="Verdana" w:eastAsia="Calibri" w:hAnsi="Verdana" w:cs="Arial"/>
                <w:lang w:val="es-ES"/>
              </w:rPr>
              <w:t xml:space="preserve">. Particularmente, disponen que </w:t>
            </w:r>
            <w:r>
              <w:rPr>
                <w:rFonts w:ascii="Verdana" w:eastAsia="Calibri" w:hAnsi="Verdana" w:cs="Arial"/>
                <w:lang w:val="es-ES"/>
              </w:rPr>
              <w:t xml:space="preserve">corresponde </w:t>
            </w:r>
            <w:r w:rsidRPr="1AE1532E">
              <w:rPr>
                <w:rFonts w:ascii="Verdana" w:eastAsia="Calibri" w:hAnsi="Verdana" w:cs="Arial"/>
                <w:lang w:val="es-ES"/>
              </w:rPr>
              <w:t xml:space="preserve">al </w:t>
            </w:r>
            <w:proofErr w:type="gramStart"/>
            <w:r w:rsidRPr="1AE1532E">
              <w:rPr>
                <w:rFonts w:ascii="Verdana" w:eastAsia="Calibri" w:hAnsi="Verdana" w:cs="Arial"/>
                <w:lang w:val="es-ES"/>
              </w:rPr>
              <w:t>Presidente</w:t>
            </w:r>
            <w:proofErr w:type="gramEnd"/>
            <w:r w:rsidRPr="1AE1532E">
              <w:rPr>
                <w:rFonts w:ascii="Verdana" w:eastAsia="Calibri" w:hAnsi="Verdana" w:cs="Arial"/>
                <w:lang w:val="es-ES"/>
              </w:rPr>
              <w:t xml:space="preserve"> de la República declarar </w:t>
            </w:r>
            <w:r w:rsidRPr="00A4123E">
              <w:rPr>
                <w:rFonts w:ascii="Verdana" w:eastAsia="Calibri" w:hAnsi="Verdana" w:cs="Arial"/>
                <w:i/>
                <w:iCs/>
                <w:lang w:val="es-ES"/>
              </w:rPr>
              <w:t>la situación de</w:t>
            </w:r>
            <w:r w:rsidRPr="1AE1532E">
              <w:rPr>
                <w:rFonts w:ascii="Verdana" w:eastAsia="Calibri" w:hAnsi="Verdana" w:cs="Arial"/>
                <w:lang w:val="es-ES"/>
              </w:rPr>
              <w:t xml:space="preserve"> </w:t>
            </w:r>
            <w:r w:rsidRPr="1AE1532E">
              <w:rPr>
                <w:rFonts w:ascii="Verdana" w:eastAsia="Calibri" w:hAnsi="Verdana" w:cs="Arial"/>
                <w:i/>
                <w:iCs/>
                <w:lang w:val="es-ES"/>
              </w:rPr>
              <w:t>desastre</w:t>
            </w:r>
            <w:r w:rsidRPr="1AE1532E">
              <w:rPr>
                <w:rFonts w:ascii="Verdana" w:eastAsia="Calibri" w:hAnsi="Verdana" w:cs="Arial"/>
                <w:lang w:val="es-ES"/>
              </w:rPr>
              <w:t>, tanto en el orden nacional, departamental, como en el municipal y distrital</w:t>
            </w:r>
            <w:r w:rsidRPr="1AE1532E">
              <w:rPr>
                <w:rStyle w:val="Refdenotaalpie"/>
                <w:rFonts w:ascii="Verdana" w:eastAsia="Calibri" w:hAnsi="Verdana" w:cs="Arial"/>
                <w:lang w:val="es-ES"/>
              </w:rPr>
              <w:footnoteReference w:id="2"/>
            </w:r>
            <w:r w:rsidRPr="1AE1532E">
              <w:rPr>
                <w:rFonts w:ascii="Verdana" w:eastAsia="Calibri" w:hAnsi="Verdana" w:cs="Arial"/>
                <w:lang w:val="es-ES"/>
              </w:rPr>
              <w:t xml:space="preserve">, facultad que no pueden </w:t>
            </w:r>
            <w:r w:rsidRPr="1AE1532E">
              <w:rPr>
                <w:rFonts w:ascii="Verdana" w:eastAsia="Calibri" w:hAnsi="Verdana" w:cs="Arial"/>
                <w:lang w:val="es-ES"/>
              </w:rPr>
              <w:lastRenderedPageBreak/>
              <w:t xml:space="preserve">ejercer los gobernadores y alcaldes, </w:t>
            </w:r>
            <w:r>
              <w:rPr>
                <w:rFonts w:ascii="Verdana" w:eastAsia="Calibri" w:hAnsi="Verdana" w:cs="Arial"/>
                <w:lang w:val="es-ES"/>
              </w:rPr>
              <w:t xml:space="preserve">pues </w:t>
            </w:r>
            <w:r w:rsidRPr="1AE1532E">
              <w:rPr>
                <w:rFonts w:ascii="Verdana" w:eastAsia="Calibri" w:hAnsi="Verdana" w:cs="Arial"/>
                <w:lang w:val="es-ES"/>
              </w:rPr>
              <w:t xml:space="preserve">la norma no les asignó esta competencia. No obstante, </w:t>
            </w:r>
            <w:r>
              <w:rPr>
                <w:rFonts w:ascii="Verdana" w:eastAsia="Calibri" w:hAnsi="Verdana" w:cs="Arial"/>
                <w:lang w:val="es-ES"/>
              </w:rPr>
              <w:t xml:space="preserve">corresponde </w:t>
            </w:r>
            <w:r w:rsidRPr="1AE1532E">
              <w:rPr>
                <w:rFonts w:ascii="Verdana" w:eastAsia="Calibri" w:hAnsi="Verdana" w:cs="Arial"/>
                <w:lang w:val="es-ES"/>
              </w:rPr>
              <w:t xml:space="preserve">a los gobernadores y alcaldes declarar la </w:t>
            </w:r>
            <w:r w:rsidRPr="1AE1532E">
              <w:rPr>
                <w:rFonts w:ascii="Verdana" w:eastAsia="Calibri" w:hAnsi="Verdana" w:cs="Arial"/>
                <w:i/>
                <w:iCs/>
                <w:lang w:val="es-ES"/>
              </w:rPr>
              <w:t>situación de calamidad pública</w:t>
            </w:r>
            <w:r w:rsidRPr="1AE1532E">
              <w:rPr>
                <w:rFonts w:ascii="Verdana" w:eastAsia="Calibri" w:hAnsi="Verdana" w:cs="Arial"/>
                <w:lang w:val="es-ES"/>
              </w:rPr>
              <w:t xml:space="preserve">, en los respectivos ámbitos, facultad que, en cambio, no puede ejercer el </w:t>
            </w:r>
            <w:proofErr w:type="gramStart"/>
            <w:r>
              <w:rPr>
                <w:rFonts w:ascii="Verdana" w:eastAsia="Calibri" w:hAnsi="Verdana" w:cs="Arial"/>
                <w:lang w:val="es-ES"/>
              </w:rPr>
              <w:t>P</w:t>
            </w:r>
            <w:r w:rsidRPr="1AE1532E">
              <w:rPr>
                <w:rFonts w:ascii="Verdana" w:eastAsia="Calibri" w:hAnsi="Verdana" w:cs="Arial"/>
                <w:lang w:val="es-ES"/>
              </w:rPr>
              <w:t>residente</w:t>
            </w:r>
            <w:proofErr w:type="gramEnd"/>
            <w:r w:rsidRPr="1AE1532E">
              <w:rPr>
                <w:rFonts w:ascii="Verdana" w:eastAsia="Calibri" w:hAnsi="Verdana" w:cs="Arial"/>
                <w:lang w:val="es-ES"/>
              </w:rPr>
              <w:t xml:space="preserve"> de la </w:t>
            </w:r>
            <w:r>
              <w:rPr>
                <w:rFonts w:ascii="Verdana" w:eastAsia="Calibri" w:hAnsi="Verdana" w:cs="Arial"/>
                <w:lang w:val="es-ES"/>
              </w:rPr>
              <w:t>R</w:t>
            </w:r>
            <w:r w:rsidRPr="1AE1532E">
              <w:rPr>
                <w:rFonts w:ascii="Verdana" w:eastAsia="Calibri" w:hAnsi="Verdana" w:cs="Arial"/>
                <w:lang w:val="es-ES"/>
              </w:rPr>
              <w:t>epública</w:t>
            </w:r>
            <w:r w:rsidRPr="1AE1532E">
              <w:rPr>
                <w:rStyle w:val="Refdenotaalpie"/>
                <w:rFonts w:ascii="Verdana" w:eastAsia="Calibri" w:hAnsi="Verdana" w:cs="Arial"/>
                <w:lang w:val="es-ES"/>
              </w:rPr>
              <w:footnoteReference w:id="3"/>
            </w:r>
            <w:r w:rsidRPr="1AE1532E">
              <w:rPr>
                <w:rFonts w:ascii="Verdana" w:eastAsia="Calibri" w:hAnsi="Verdana" w:cs="Arial"/>
                <w:lang w:val="es-ES"/>
              </w:rPr>
              <w:t xml:space="preserve">. </w:t>
            </w:r>
          </w:p>
          <w:p w14:paraId="0A25B084" w14:textId="77777777" w:rsidR="005E7C2E" w:rsidRPr="00D93A6C" w:rsidRDefault="005E7C2E" w:rsidP="004E5137">
            <w:pPr>
              <w:spacing w:after="120" w:line="276" w:lineRule="auto"/>
              <w:ind w:firstLine="709"/>
              <w:jc w:val="both"/>
              <w:rPr>
                <w:rFonts w:ascii="Verdana" w:eastAsia="Calibri" w:hAnsi="Verdana" w:cs="Arial"/>
                <w:lang w:val="es-ES_tradnl"/>
              </w:rPr>
            </w:pPr>
            <w:r w:rsidRPr="00D93A6C">
              <w:rPr>
                <w:rFonts w:ascii="Verdana" w:eastAsia="Calibri" w:hAnsi="Verdana" w:cs="Arial"/>
                <w:lang w:val="es-ES_tradnl"/>
              </w:rPr>
              <w:t>De esta manera, una vez</w:t>
            </w:r>
            <w:r>
              <w:rPr>
                <w:rFonts w:ascii="Verdana" w:eastAsia="Calibri" w:hAnsi="Verdana" w:cs="Arial"/>
                <w:lang w:val="es-ES_tradnl"/>
              </w:rPr>
              <w:t xml:space="preserve"> la autoridad competente</w:t>
            </w:r>
            <w:r w:rsidRPr="00D93A6C">
              <w:rPr>
                <w:rFonts w:ascii="Verdana" w:eastAsia="Calibri" w:hAnsi="Verdana" w:cs="Arial"/>
                <w:lang w:val="es-ES_tradnl"/>
              </w:rPr>
              <w:t xml:space="preserve"> declara la situación de calamidad o la situación de desastre bajo los criterios señalados en el artículo 59 de la Ley 1523 de 2012, las demás </w:t>
            </w:r>
            <w:r>
              <w:rPr>
                <w:rFonts w:ascii="Verdana" w:eastAsia="Calibri" w:hAnsi="Verdana" w:cs="Arial"/>
                <w:lang w:val="es-ES_tradnl"/>
              </w:rPr>
              <w:t>E</w:t>
            </w:r>
            <w:r w:rsidRPr="00D93A6C">
              <w:rPr>
                <w:rFonts w:ascii="Verdana" w:eastAsia="Calibri" w:hAnsi="Verdana" w:cs="Arial"/>
                <w:lang w:val="es-ES_tradnl"/>
              </w:rPr>
              <w:t xml:space="preserve">ntidades </w:t>
            </w:r>
            <w:r>
              <w:rPr>
                <w:rFonts w:ascii="Verdana" w:eastAsia="Calibri" w:hAnsi="Verdana" w:cs="Arial"/>
                <w:lang w:val="es-ES_tradnl"/>
              </w:rPr>
              <w:t>E</w:t>
            </w:r>
            <w:r w:rsidRPr="00D93A6C">
              <w:rPr>
                <w:rFonts w:ascii="Verdana" w:eastAsia="Calibri" w:hAnsi="Verdana" w:cs="Arial"/>
                <w:lang w:val="es-ES_tradnl"/>
              </w:rPr>
              <w:t>statales –de conformidad con el artículo 42 de la Ley 80 de 1993– quedan facultadas para declarar</w:t>
            </w:r>
            <w:r>
              <w:rPr>
                <w:rFonts w:ascii="Verdana" w:eastAsia="Calibri" w:hAnsi="Verdana" w:cs="Arial"/>
                <w:lang w:val="es-ES_tradnl"/>
              </w:rPr>
              <w:t xml:space="preserve"> </w:t>
            </w:r>
            <w:r w:rsidRPr="00967936">
              <w:rPr>
                <w:rFonts w:ascii="Verdana" w:eastAsia="Calibri" w:hAnsi="Verdana" w:cs="Arial"/>
                <w:i/>
                <w:iCs/>
                <w:lang w:val="es-ES_tradnl"/>
              </w:rPr>
              <w:t>posteriormente</w:t>
            </w:r>
            <w:r>
              <w:rPr>
                <w:rFonts w:ascii="Verdana" w:eastAsia="Calibri" w:hAnsi="Verdana" w:cs="Arial"/>
                <w:lang w:val="es-ES_tradnl"/>
              </w:rPr>
              <w:t xml:space="preserve"> </w:t>
            </w:r>
            <w:r w:rsidRPr="00D93A6C">
              <w:rPr>
                <w:rFonts w:ascii="Verdana" w:eastAsia="Calibri" w:hAnsi="Verdana" w:cs="Arial"/>
                <w:lang w:val="es-ES_tradnl"/>
              </w:rPr>
              <w:t>la causal de contratación directa denominada “urgencia manifiesta”, mediante un acto administrativo propio</w:t>
            </w:r>
            <w:r>
              <w:rPr>
                <w:rFonts w:ascii="Verdana" w:eastAsia="Calibri" w:hAnsi="Verdana" w:cs="Arial"/>
                <w:lang w:val="es-ES_tradnl"/>
              </w:rPr>
              <w:t xml:space="preserve"> y</w:t>
            </w:r>
            <w:r w:rsidRPr="00D93A6C">
              <w:rPr>
                <w:rFonts w:ascii="Verdana" w:eastAsia="Calibri" w:hAnsi="Verdana" w:cs="Arial"/>
                <w:lang w:val="es-ES_tradnl"/>
              </w:rPr>
              <w:t xml:space="preserve"> autónomo, que tiene como fundamento fáctico y jurídico la declaración de situación de calamidad o </w:t>
            </w:r>
            <w:r>
              <w:rPr>
                <w:rFonts w:ascii="Verdana" w:eastAsia="Calibri" w:hAnsi="Verdana" w:cs="Arial"/>
                <w:lang w:val="es-ES_tradnl"/>
              </w:rPr>
              <w:t xml:space="preserve">de </w:t>
            </w:r>
            <w:r w:rsidRPr="00D93A6C">
              <w:rPr>
                <w:rFonts w:ascii="Verdana" w:eastAsia="Calibri" w:hAnsi="Verdana" w:cs="Arial"/>
                <w:lang w:val="es-ES_tradnl"/>
              </w:rPr>
              <w:t xml:space="preserve">la situación de desastre. </w:t>
            </w:r>
          </w:p>
          <w:p w14:paraId="62F17637" w14:textId="77777777" w:rsidR="005E7C2E" w:rsidRPr="00D93A6C" w:rsidRDefault="005E7C2E" w:rsidP="004E5137">
            <w:pPr>
              <w:spacing w:after="120" w:line="276" w:lineRule="auto"/>
              <w:ind w:firstLine="709"/>
              <w:jc w:val="both"/>
              <w:rPr>
                <w:rFonts w:ascii="Verdana" w:eastAsia="Calibri" w:hAnsi="Verdana" w:cs="Arial"/>
                <w:lang w:val="es-ES"/>
              </w:rPr>
            </w:pPr>
            <w:r w:rsidRPr="1AE1532E">
              <w:rPr>
                <w:rFonts w:ascii="Verdana" w:eastAsia="Calibri" w:hAnsi="Verdana" w:cs="Arial"/>
                <w:lang w:val="es-ES"/>
              </w:rPr>
              <w:t xml:space="preserve">Lo anterior significa que para </w:t>
            </w:r>
            <w:r>
              <w:rPr>
                <w:rFonts w:ascii="Verdana" w:eastAsia="Calibri" w:hAnsi="Verdana" w:cs="Arial"/>
                <w:lang w:val="es-ES"/>
              </w:rPr>
              <w:t xml:space="preserve">que las entidades </w:t>
            </w:r>
            <w:r w:rsidRPr="1AE1532E">
              <w:rPr>
                <w:rFonts w:ascii="Verdana" w:eastAsia="Calibri" w:hAnsi="Verdana" w:cs="Arial"/>
                <w:lang w:val="es-ES"/>
              </w:rPr>
              <w:t>contrat</w:t>
            </w:r>
            <w:r>
              <w:rPr>
                <w:rFonts w:ascii="Verdana" w:eastAsia="Calibri" w:hAnsi="Verdana" w:cs="Arial"/>
                <w:lang w:val="es-ES"/>
              </w:rPr>
              <w:t>en</w:t>
            </w:r>
            <w:r w:rsidRPr="1AE1532E">
              <w:rPr>
                <w:rFonts w:ascii="Verdana" w:eastAsia="Calibri" w:hAnsi="Verdana" w:cs="Arial"/>
                <w:lang w:val="es-ES"/>
              </w:rPr>
              <w:t xml:space="preserve"> directamente no basta con la declaración de desastre o de calamidad. Es decir, se necesitan dos (2) actos administrativos </w:t>
            </w:r>
            <w:r w:rsidRPr="00A4123E">
              <w:rPr>
                <w:rFonts w:ascii="Verdana" w:eastAsia="Calibri" w:hAnsi="Verdana" w:cs="Arial"/>
                <w:i/>
                <w:iCs/>
                <w:lang w:val="es-ES"/>
              </w:rPr>
              <w:t xml:space="preserve">concurrentes </w:t>
            </w:r>
            <w:r w:rsidRPr="1AE1532E">
              <w:rPr>
                <w:rFonts w:ascii="Verdana" w:eastAsia="Calibri" w:hAnsi="Verdana" w:cs="Arial"/>
                <w:lang w:val="es-ES"/>
              </w:rPr>
              <w:t>para que pueda</w:t>
            </w:r>
            <w:r>
              <w:rPr>
                <w:rFonts w:ascii="Verdana" w:eastAsia="Calibri" w:hAnsi="Verdana" w:cs="Arial"/>
                <w:lang w:val="es-ES"/>
              </w:rPr>
              <w:t>n</w:t>
            </w:r>
            <w:r w:rsidRPr="1AE1532E">
              <w:rPr>
                <w:rFonts w:ascii="Verdana" w:eastAsia="Calibri" w:hAnsi="Verdana" w:cs="Arial"/>
                <w:lang w:val="es-ES"/>
              </w:rPr>
              <w:t xml:space="preserve"> contratar directamente por urgencia manifiesta: i) el primero en el tiempo</w:t>
            </w:r>
            <w:r>
              <w:rPr>
                <w:rFonts w:ascii="Verdana" w:eastAsia="Calibri" w:hAnsi="Verdana" w:cs="Arial"/>
                <w:lang w:val="es-ES"/>
              </w:rPr>
              <w:t>:</w:t>
            </w:r>
            <w:r w:rsidRPr="1AE1532E">
              <w:rPr>
                <w:rFonts w:ascii="Verdana" w:eastAsia="Calibri" w:hAnsi="Verdana" w:cs="Arial"/>
                <w:lang w:val="es-ES"/>
              </w:rPr>
              <w:t xml:space="preserve"> la declaración de la situación de calamidad pública o la declaración de la situación de desastre, de conformidad con lo establecido en el Capítulo VI de la Ley 1523 de 2012; y ii) el segundo, la declaración propiamente dicha de “urgencia manifiesta” de que trata el artículo 42 del Estatuto General de Contratación</w:t>
            </w:r>
            <w:r>
              <w:rPr>
                <w:rFonts w:ascii="Verdana" w:eastAsia="Calibri" w:hAnsi="Verdana" w:cs="Arial"/>
                <w:lang w:val="es-ES"/>
              </w:rPr>
              <w:t xml:space="preserve"> de la Administración Pública</w:t>
            </w:r>
            <w:r w:rsidRPr="1AE1532E">
              <w:rPr>
                <w:rFonts w:ascii="Verdana" w:eastAsia="Calibri" w:hAnsi="Verdana" w:cs="Arial"/>
                <w:lang w:val="es-ES"/>
              </w:rPr>
              <w:t xml:space="preserve">, </w:t>
            </w:r>
            <w:r>
              <w:rPr>
                <w:rFonts w:ascii="Verdana" w:eastAsia="Calibri" w:hAnsi="Verdana" w:cs="Arial"/>
                <w:lang w:val="es-ES"/>
              </w:rPr>
              <w:t xml:space="preserve">el cual se encuentra </w:t>
            </w:r>
            <w:r w:rsidRPr="1AE1532E">
              <w:rPr>
                <w:rFonts w:ascii="Verdana" w:eastAsia="Calibri" w:hAnsi="Verdana" w:cs="Arial"/>
                <w:lang w:val="es-ES"/>
              </w:rPr>
              <w:t>amparado o fundamentado en la declaración previa del desastre o calamidad.</w:t>
            </w:r>
          </w:p>
          <w:p w14:paraId="64511A02" w14:textId="77777777" w:rsidR="005E7C2E" w:rsidRPr="00D93A6C" w:rsidRDefault="005E7C2E" w:rsidP="004E5137">
            <w:pPr>
              <w:spacing w:after="120" w:line="276" w:lineRule="auto"/>
              <w:ind w:firstLine="709"/>
              <w:jc w:val="both"/>
              <w:rPr>
                <w:rFonts w:ascii="Verdana" w:eastAsia="Calibri" w:hAnsi="Verdana" w:cs="Arial"/>
                <w:lang w:val="es-ES"/>
              </w:rPr>
            </w:pPr>
            <w:r>
              <w:rPr>
                <w:rFonts w:ascii="Verdana" w:eastAsia="Calibri" w:hAnsi="Verdana" w:cs="Arial"/>
                <w:lang w:val="es-ES"/>
              </w:rPr>
              <w:lastRenderedPageBreak/>
              <w:t>En suma, p</w:t>
            </w:r>
            <w:r w:rsidRPr="3683B926">
              <w:rPr>
                <w:rFonts w:ascii="Verdana" w:eastAsia="Calibri" w:hAnsi="Verdana" w:cs="Arial"/>
                <w:lang w:val="es-ES"/>
              </w:rPr>
              <w:t>ara declarar la urgencia manifiesta es imprescindible que el presidente de la república o el gobernador o el alcalde, según el caso, hayan declarado la situación de desastre o la declaración de calamidad.</w:t>
            </w:r>
            <w:r>
              <w:rPr>
                <w:rFonts w:ascii="Verdana" w:eastAsia="Calibri" w:hAnsi="Verdana" w:cs="Arial"/>
                <w:lang w:val="es-ES"/>
              </w:rPr>
              <w:t xml:space="preserve"> Tratándose de estos funcionarios, ambas declaraciones pueden realizarse en un mismo acto administrativo; es decir, el presidente, el gobernador o el alcalde declara el desastre o la calamidad y, como consecuencia, decreta la urgencia manifiesta en un único acto.</w:t>
            </w:r>
            <w:r w:rsidRPr="3683B926">
              <w:rPr>
                <w:rFonts w:ascii="Verdana" w:eastAsia="Calibri" w:hAnsi="Verdana" w:cs="Arial"/>
                <w:lang w:val="es-ES"/>
              </w:rPr>
              <w:t xml:space="preserve"> </w:t>
            </w:r>
          </w:p>
          <w:p w14:paraId="165FAC80" w14:textId="77777777" w:rsidR="005E7C2E" w:rsidRDefault="005E7C2E" w:rsidP="004E5137">
            <w:pPr>
              <w:spacing w:line="276" w:lineRule="auto"/>
              <w:ind w:firstLine="709"/>
              <w:jc w:val="both"/>
              <w:rPr>
                <w:rFonts w:ascii="Verdana" w:eastAsia="Calibri" w:hAnsi="Verdana" w:cs="Arial"/>
                <w:lang w:val="es-ES"/>
              </w:rPr>
            </w:pPr>
            <w:r w:rsidRPr="6F54C8AC">
              <w:rPr>
                <w:rFonts w:ascii="Verdana" w:eastAsia="Calibri" w:hAnsi="Verdana" w:cs="Arial"/>
                <w:lang w:val="es-ES"/>
              </w:rPr>
              <w:t xml:space="preserve">Cuando se trate de autoridades diferentes al presidente de la república, al gobernador y el alcalde –por ejemplo, los ministros, directores o presidentes de agencias, directores de establecimientos públicos, de sociedades de economía mixta, etc.–, deberán esperar a que se dicten los actos de declaratoria de situación de desastre o de calamidad pública por las entidades competentes de forma previa a declarar la urgencia manifiesta. En esta segunda hipótesis, se expiden dos (2) actos administrativos separados: i) por un lado, el presidente, gobernador o alcalde declaran el desastre o la calamidad; por otro, ii) los ministros, directores o presidentes de agencias, directores de establecimientos públicos, de sociedades de economía mixta, entre otros, decretan la urgencia manifiesta, por otro. </w:t>
            </w:r>
          </w:p>
          <w:p w14:paraId="6F6961F2" w14:textId="77777777" w:rsidR="005E7C2E" w:rsidRPr="009D6201" w:rsidRDefault="005E7C2E" w:rsidP="004E5137">
            <w:pPr>
              <w:spacing w:before="120" w:line="276" w:lineRule="auto"/>
              <w:ind w:firstLine="709"/>
              <w:jc w:val="both"/>
              <w:rPr>
                <w:rFonts w:ascii="Verdana" w:eastAsia="Calibri" w:hAnsi="Verdana" w:cs="Arial"/>
                <w:lang w:val="es-ES_tradnl"/>
              </w:rPr>
            </w:pPr>
            <w:r w:rsidRPr="0003776E">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E0AD471" w14:textId="77777777" w:rsidR="005E7C2E" w:rsidRPr="00270E87" w:rsidRDefault="005E7C2E" w:rsidP="005E7C2E">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084DC1A" w14:textId="77777777" w:rsidR="005E7C2E" w:rsidRPr="00270E87" w:rsidRDefault="005E7C2E" w:rsidP="005E7C2E">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270E87">
        <w:rPr>
          <w:rFonts w:ascii="Verdana" w:eastAsia="Century Gothic" w:hAnsi="Verdana" w:cs="Century Gothic"/>
          <w:b/>
          <w:color w:val="000000" w:themeColor="text1"/>
        </w:rPr>
        <w:t>Razones de la respuesta:</w:t>
      </w:r>
    </w:p>
    <w:p w14:paraId="73FC9E65" w14:textId="77777777" w:rsidR="005E7C2E" w:rsidRPr="00270E87" w:rsidRDefault="005E7C2E" w:rsidP="005E7C2E">
      <w:pPr>
        <w:spacing w:after="0" w:line="276" w:lineRule="auto"/>
        <w:jc w:val="both"/>
        <w:rPr>
          <w:rFonts w:ascii="Verdana" w:eastAsia="Calibri" w:hAnsi="Verdana" w:cs="Arial"/>
          <w:color w:val="000000" w:themeColor="text1"/>
          <w:lang w:val="es-ES"/>
        </w:rPr>
      </w:pPr>
    </w:p>
    <w:p w14:paraId="3D557770" w14:textId="77777777" w:rsidR="005E7C2E" w:rsidRPr="00D93A6C" w:rsidRDefault="005E7C2E" w:rsidP="005E7C2E">
      <w:pPr>
        <w:spacing w:after="120" w:line="276" w:lineRule="auto"/>
        <w:jc w:val="both"/>
        <w:rPr>
          <w:rFonts w:ascii="Verdana" w:eastAsia="Calibri" w:hAnsi="Verdana" w:cs="Arial"/>
          <w:lang w:val="es-ES_tradnl"/>
        </w:rPr>
      </w:pPr>
      <w:r w:rsidRPr="00270E87">
        <w:rPr>
          <w:rFonts w:ascii="Verdana" w:eastAsia="Verdana" w:hAnsi="Verdana" w:cs="Verdana"/>
          <w:lang w:val="es-ES"/>
        </w:rPr>
        <w:t xml:space="preserve">i. </w:t>
      </w:r>
      <w:r w:rsidRPr="00D93A6C">
        <w:rPr>
          <w:rFonts w:ascii="Verdana" w:eastAsia="Calibri" w:hAnsi="Verdana" w:cs="Arial"/>
          <w:lang w:val="es-ES_tradnl"/>
        </w:rPr>
        <w:t>El artículo 42 de la Ley 80 de 1993 dispone que</w:t>
      </w:r>
      <w:r>
        <w:rPr>
          <w:rFonts w:ascii="Verdana" w:eastAsia="Calibri" w:hAnsi="Verdana" w:cs="Arial"/>
          <w:lang w:val="es-ES_tradnl"/>
        </w:rPr>
        <w:t xml:space="preserve"> una de las tres circunstancias por la cuales se declara</w:t>
      </w:r>
      <w:r w:rsidRPr="00D93A6C">
        <w:rPr>
          <w:rFonts w:ascii="Verdana" w:eastAsia="Calibri" w:hAnsi="Verdana" w:cs="Arial"/>
          <w:lang w:val="es-ES_tradnl"/>
        </w:rPr>
        <w:t xml:space="preserve"> la urgencia </w:t>
      </w:r>
      <w:r>
        <w:rPr>
          <w:rFonts w:ascii="Verdana" w:eastAsia="Calibri" w:hAnsi="Verdana" w:cs="Arial"/>
          <w:lang w:val="es-ES_tradnl"/>
        </w:rPr>
        <w:t xml:space="preserve">es </w:t>
      </w:r>
      <w:proofErr w:type="gramStart"/>
      <w:r>
        <w:rPr>
          <w:rFonts w:ascii="Verdana" w:eastAsia="Calibri" w:hAnsi="Verdana" w:cs="Arial"/>
          <w:lang w:val="es-ES_tradnl"/>
        </w:rPr>
        <w:t>para</w:t>
      </w:r>
      <w:r w:rsidRPr="00D93A6C">
        <w:rPr>
          <w:rFonts w:ascii="Verdana" w:eastAsia="Calibri" w:hAnsi="Verdana" w:cs="Arial"/>
          <w:lang w:val="es-ES_tradnl"/>
        </w:rPr>
        <w:t>“</w:t>
      </w:r>
      <w:proofErr w:type="gramEnd"/>
      <w:r w:rsidRPr="00D93A6C">
        <w:rPr>
          <w:rFonts w:ascii="Verdana" w:eastAsia="Calibri" w:hAnsi="Verdana" w:cs="Arial"/>
          <w:lang w:val="es-ES_tradnl"/>
        </w:rPr>
        <w:t xml:space="preserve">[…] conjurar situaciones excepcionales relacionadas con hechos de calamidad </w:t>
      </w:r>
      <w:r w:rsidRPr="00416EF9">
        <w:rPr>
          <w:rFonts w:ascii="Verdana" w:eastAsia="Calibri" w:hAnsi="Verdana" w:cs="Arial"/>
          <w:i/>
          <w:iCs/>
          <w:lang w:val="es-ES_tradnl"/>
        </w:rPr>
        <w:t>o</w:t>
      </w:r>
      <w:r w:rsidRPr="00D93A6C">
        <w:rPr>
          <w:rFonts w:ascii="Verdana" w:eastAsia="Calibri" w:hAnsi="Verdana" w:cs="Arial"/>
          <w:lang w:val="es-ES_tradnl"/>
        </w:rPr>
        <w:t xml:space="preserve"> constitutivos de fuerza mayor o desastre que demanden actuaciones inmediatas […]”.</w:t>
      </w:r>
      <w:r>
        <w:rPr>
          <w:rFonts w:ascii="Verdana" w:eastAsia="Calibri" w:hAnsi="Verdana" w:cs="Arial"/>
          <w:lang w:val="es-ES_tradnl"/>
        </w:rPr>
        <w:t xml:space="preserve"> E</w:t>
      </w:r>
      <w:r w:rsidRPr="00D93A6C">
        <w:rPr>
          <w:rFonts w:ascii="Verdana" w:eastAsia="Calibri" w:hAnsi="Verdana" w:cs="Arial"/>
          <w:lang w:val="es-ES_tradnl"/>
        </w:rPr>
        <w:t xml:space="preserve">n la medida en que la norma utiliza la conjunción “o”, en principio asimilaría la </w:t>
      </w:r>
      <w:r w:rsidRPr="00D93A6C">
        <w:rPr>
          <w:rFonts w:ascii="Verdana" w:eastAsia="Calibri" w:hAnsi="Verdana" w:cs="Arial"/>
          <w:i/>
          <w:iCs/>
          <w:lang w:val="es-ES_tradnl"/>
        </w:rPr>
        <w:t>calamidad</w:t>
      </w:r>
      <w:r w:rsidRPr="00D93A6C">
        <w:rPr>
          <w:rFonts w:ascii="Verdana" w:eastAsia="Calibri" w:hAnsi="Verdana" w:cs="Arial"/>
          <w:lang w:val="es-ES_tradnl"/>
        </w:rPr>
        <w:t xml:space="preserve"> y el </w:t>
      </w:r>
      <w:r w:rsidRPr="00D93A6C">
        <w:rPr>
          <w:rFonts w:ascii="Verdana" w:eastAsia="Calibri" w:hAnsi="Verdana" w:cs="Arial"/>
          <w:i/>
          <w:iCs/>
          <w:lang w:val="es-ES_tradnl"/>
        </w:rPr>
        <w:lastRenderedPageBreak/>
        <w:t xml:space="preserve">desastre </w:t>
      </w:r>
      <w:r w:rsidRPr="00D93A6C">
        <w:rPr>
          <w:rFonts w:ascii="Verdana" w:eastAsia="Calibri" w:hAnsi="Verdana" w:cs="Arial"/>
          <w:lang w:val="es-ES_tradnl"/>
        </w:rPr>
        <w:t xml:space="preserve">con la </w:t>
      </w:r>
      <w:r w:rsidRPr="00D93A6C">
        <w:rPr>
          <w:rFonts w:ascii="Verdana" w:eastAsia="Calibri" w:hAnsi="Verdana" w:cs="Arial"/>
          <w:i/>
          <w:iCs/>
          <w:lang w:val="es-ES_tradnl"/>
        </w:rPr>
        <w:t>fuerza mayor</w:t>
      </w:r>
      <w:r w:rsidRPr="00D93A6C">
        <w:rPr>
          <w:rFonts w:ascii="Verdana" w:eastAsia="Calibri" w:hAnsi="Verdana" w:cs="Arial"/>
          <w:lang w:val="es-ES_tradnl"/>
        </w:rPr>
        <w:t xml:space="preserve"> o el </w:t>
      </w:r>
      <w:r w:rsidRPr="00D93A6C">
        <w:rPr>
          <w:rFonts w:ascii="Verdana" w:eastAsia="Calibri" w:hAnsi="Verdana" w:cs="Arial"/>
          <w:i/>
          <w:iCs/>
          <w:lang w:val="es-ES_tradnl"/>
        </w:rPr>
        <w:t>caso fortuito</w:t>
      </w:r>
      <w:r w:rsidRPr="00D93A6C">
        <w:rPr>
          <w:rFonts w:ascii="Verdana" w:eastAsia="Calibri" w:hAnsi="Verdana" w:cs="Arial"/>
          <w:lang w:val="es-ES_tradnl"/>
        </w:rPr>
        <w:t xml:space="preserve">. </w:t>
      </w:r>
      <w:r>
        <w:rPr>
          <w:rFonts w:ascii="Verdana" w:eastAsia="Calibri" w:hAnsi="Verdana" w:cs="Arial"/>
          <w:lang w:val="es-ES_tradnl"/>
        </w:rPr>
        <w:t>Lo anterior, en virtud d</w:t>
      </w:r>
      <w:r w:rsidRPr="00D93A6C">
        <w:rPr>
          <w:rFonts w:ascii="Verdana" w:eastAsia="Calibri" w:hAnsi="Verdana" w:cs="Arial"/>
          <w:lang w:val="es-ES_tradnl"/>
        </w:rPr>
        <w:t xml:space="preserve">el </w:t>
      </w:r>
      <w:bookmarkStart w:id="0" w:name="_Hlk35880053"/>
      <w:r w:rsidRPr="00D93A6C">
        <w:rPr>
          <w:rFonts w:ascii="Verdana" w:eastAsia="Calibri" w:hAnsi="Verdana" w:cs="Arial"/>
          <w:lang w:val="es-ES_tradnl"/>
        </w:rPr>
        <w:t>artículo 28 del Código Civil</w:t>
      </w:r>
      <w:bookmarkEnd w:id="0"/>
      <w:r>
        <w:rPr>
          <w:rFonts w:ascii="Verdana" w:eastAsia="Calibri" w:hAnsi="Verdana" w:cs="Arial"/>
          <w:lang w:val="es-ES_tradnl"/>
        </w:rPr>
        <w:t xml:space="preserve">, el cual </w:t>
      </w:r>
      <w:r w:rsidRPr="00D93A6C">
        <w:rPr>
          <w:rFonts w:ascii="Verdana" w:eastAsia="Calibri" w:hAnsi="Verdana" w:cs="Arial"/>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p>
    <w:p w14:paraId="12D3C926" w14:textId="77777777" w:rsidR="005E7C2E" w:rsidRPr="00D93A6C" w:rsidRDefault="005E7C2E" w:rsidP="005E7C2E">
      <w:pPr>
        <w:spacing w:after="0" w:line="276" w:lineRule="auto"/>
        <w:ind w:firstLine="708"/>
        <w:jc w:val="both"/>
        <w:rPr>
          <w:rFonts w:ascii="Verdana" w:eastAsia="Calibri" w:hAnsi="Verdana" w:cs="Arial"/>
          <w:lang w:val="es-ES_tradnl"/>
        </w:rPr>
      </w:pPr>
      <w:r w:rsidRPr="00D93A6C">
        <w:rPr>
          <w:rFonts w:ascii="Verdana" w:eastAsia="Calibri" w:hAnsi="Verdana" w:cs="Arial"/>
          <w:lang w:val="es-ES_tradnl"/>
        </w:rPr>
        <w:t xml:space="preserve">Al respecto, el artículo 64 del Código Civil define como </w:t>
      </w:r>
      <w:r>
        <w:rPr>
          <w:rFonts w:ascii="Verdana" w:eastAsia="Calibri" w:hAnsi="Verdana" w:cs="Arial"/>
          <w:lang w:val="es-ES_tradnl"/>
        </w:rPr>
        <w:t xml:space="preserve">fuerza mayor o caso fortuito </w:t>
      </w:r>
      <w:r w:rsidRPr="00D93A6C">
        <w:rPr>
          <w:rFonts w:ascii="Verdana" w:eastAsia="Calibri" w:hAnsi="Verdana" w:cs="Arial"/>
          <w:lang w:val="es-ES_tradnl"/>
        </w:rPr>
        <w:t xml:space="preserve">“[…] el imprevisto o que no es posible resistir, como un naufragio, un terremoto, </w:t>
      </w:r>
      <w:bookmarkStart w:id="1" w:name="_Hlk35871146"/>
      <w:r w:rsidRPr="00D93A6C">
        <w:rPr>
          <w:rFonts w:ascii="Verdana" w:eastAsia="Calibri" w:hAnsi="Verdana" w:cs="Arial"/>
          <w:lang w:val="es-ES_tradnl"/>
        </w:rPr>
        <w:t>el apresamiento de enemigos, los actos de autoridad ejercidos por un funcionario público</w:t>
      </w:r>
      <w:bookmarkEnd w:id="1"/>
      <w:r w:rsidRPr="00D93A6C">
        <w:rPr>
          <w:rFonts w:ascii="Verdana" w:eastAsia="Calibri" w:hAnsi="Verdana" w:cs="Arial"/>
          <w:lang w:val="es-ES_tradnl"/>
        </w:rPr>
        <w:t>, etc.”</w:t>
      </w:r>
      <w:r w:rsidRPr="00D93A6C">
        <w:rPr>
          <w:rFonts w:ascii="Verdana" w:eastAsia="Calibri" w:hAnsi="Verdana" w:cs="Arial"/>
          <w:sz w:val="21"/>
          <w:szCs w:val="21"/>
          <w:vertAlign w:val="superscript"/>
          <w:lang w:val="es-ES_tradnl"/>
        </w:rPr>
        <w:footnoteReference w:id="4"/>
      </w:r>
      <w:r w:rsidRPr="00D93A6C">
        <w:rPr>
          <w:rFonts w:ascii="Verdana" w:eastAsia="Calibri" w:hAnsi="Verdana" w:cs="Arial"/>
          <w:sz w:val="21"/>
          <w:szCs w:val="21"/>
          <w:lang w:val="es-ES_tradnl"/>
        </w:rPr>
        <w:t>.</w:t>
      </w:r>
      <w:r w:rsidRPr="00D93A6C">
        <w:rPr>
          <w:rFonts w:ascii="Verdana" w:eastAsia="Calibri" w:hAnsi="Verdana" w:cs="Arial"/>
          <w:lang w:val="es-ES_tradnl"/>
        </w:rPr>
        <w:t xml:space="preserve"> 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la diferencia es el mayor alcance de la segunda respecto al primero. No obstante, además de la ocurrencia de desastres y calamidades que –aunque irresistibles– se presentan con cierto grado de previsibilidad o que, incluso, se originan en la actuación humana intencional, </w:t>
      </w:r>
      <w:bookmarkStart w:id="2" w:name="_Hlk35879271"/>
      <w:r w:rsidRPr="00D93A6C">
        <w:rPr>
          <w:rFonts w:ascii="Verdana" w:eastAsia="Calibri" w:hAnsi="Verdana" w:cs="Arial"/>
          <w:lang w:val="es-ES_tradnl"/>
        </w:rPr>
        <w:t>el artículo 4, numerales 5 y 8, de la Ley 1523 de 2012</w:t>
      </w:r>
      <w:bookmarkEnd w:id="2"/>
      <w:r>
        <w:rPr>
          <w:rFonts w:ascii="Verdana" w:eastAsia="Calibri" w:hAnsi="Verdana" w:cs="Arial"/>
          <w:lang w:val="es-ES_tradnl"/>
        </w:rPr>
        <w:t xml:space="preserve"> también definió </w:t>
      </w:r>
      <w:r w:rsidRPr="00D93A6C">
        <w:rPr>
          <w:rFonts w:ascii="Verdana" w:eastAsia="Calibri" w:hAnsi="Verdana" w:cs="Arial"/>
          <w:lang w:val="es-ES_tradnl"/>
        </w:rPr>
        <w:t>estos dos conceptos</w:t>
      </w:r>
      <w:r>
        <w:rPr>
          <w:rFonts w:ascii="Verdana" w:eastAsia="Calibri" w:hAnsi="Verdana" w:cs="Arial"/>
          <w:lang w:val="es-ES_tradnl"/>
        </w:rPr>
        <w:t xml:space="preserve"> como sigue</w:t>
      </w:r>
      <w:r w:rsidRPr="00D93A6C">
        <w:rPr>
          <w:rFonts w:ascii="Verdana" w:eastAsia="Calibri" w:hAnsi="Verdana" w:cs="Arial"/>
          <w:lang w:val="es-ES_tradnl"/>
        </w:rPr>
        <w:t>:</w:t>
      </w:r>
    </w:p>
    <w:p w14:paraId="61D878E4" w14:textId="77777777" w:rsidR="005E7C2E" w:rsidRPr="00D93A6C" w:rsidRDefault="005E7C2E" w:rsidP="005E7C2E">
      <w:pPr>
        <w:spacing w:after="0" w:line="276" w:lineRule="auto"/>
        <w:ind w:firstLine="708"/>
        <w:jc w:val="both"/>
        <w:rPr>
          <w:rFonts w:ascii="Verdana" w:eastAsia="Calibri" w:hAnsi="Verdana" w:cs="Arial"/>
          <w:lang w:val="es-ES_tradnl"/>
        </w:rPr>
      </w:pPr>
    </w:p>
    <w:p w14:paraId="48A2A49C" w14:textId="77777777" w:rsidR="005E7C2E" w:rsidRPr="009D6201" w:rsidRDefault="005E7C2E" w:rsidP="005E7C2E">
      <w:pPr>
        <w:spacing w:after="0" w:line="240" w:lineRule="auto"/>
        <w:ind w:left="709" w:right="709"/>
        <w:jc w:val="both"/>
        <w:rPr>
          <w:rFonts w:ascii="Verdana" w:eastAsia="Calibri" w:hAnsi="Verdana" w:cs="Arial"/>
          <w:sz w:val="20"/>
          <w:szCs w:val="20"/>
          <w:lang w:val="es-ES_tradnl"/>
        </w:rPr>
      </w:pPr>
      <w:r w:rsidRPr="009D6201">
        <w:rPr>
          <w:rFonts w:ascii="Verdana" w:eastAsia="Calibri" w:hAnsi="Verdana" w:cs="Arial"/>
          <w:sz w:val="20"/>
          <w:szCs w:val="20"/>
          <w:lang w:val="es-ES_tradnl"/>
        </w:rPr>
        <w:lastRenderedPageBreak/>
        <w:t>“Art. 4. Para efectos de la presente ley se entenderá por:</w:t>
      </w:r>
    </w:p>
    <w:p w14:paraId="2291D016" w14:textId="77777777" w:rsidR="005E7C2E" w:rsidRPr="009D6201" w:rsidRDefault="005E7C2E" w:rsidP="005E7C2E">
      <w:pPr>
        <w:spacing w:after="120" w:line="240" w:lineRule="auto"/>
        <w:ind w:left="709" w:right="709"/>
        <w:jc w:val="both"/>
        <w:rPr>
          <w:rFonts w:ascii="Verdana" w:eastAsia="Calibri" w:hAnsi="Verdana" w:cs="Arial"/>
          <w:sz w:val="20"/>
          <w:szCs w:val="20"/>
          <w:lang w:val="es-ES_tradnl"/>
        </w:rPr>
      </w:pPr>
      <w:r w:rsidRPr="009D6201">
        <w:rPr>
          <w:rFonts w:ascii="Verdana" w:eastAsia="Calibri" w:hAnsi="Verdana" w:cs="Arial"/>
          <w:sz w:val="20"/>
          <w:szCs w:val="20"/>
          <w:lang w:val="es-ES_tradnl"/>
        </w:rPr>
        <w:t>[…]</w:t>
      </w:r>
    </w:p>
    <w:p w14:paraId="4EE8A68C" w14:textId="77777777" w:rsidR="005E7C2E" w:rsidRPr="009D6201" w:rsidRDefault="005E7C2E" w:rsidP="005E7C2E">
      <w:pPr>
        <w:spacing w:after="0" w:line="240" w:lineRule="auto"/>
        <w:ind w:left="709" w:right="709"/>
        <w:jc w:val="both"/>
        <w:rPr>
          <w:rFonts w:ascii="Verdana" w:eastAsia="Calibri" w:hAnsi="Verdana" w:cs="Arial"/>
          <w:sz w:val="20"/>
          <w:szCs w:val="20"/>
          <w:lang w:val="es-ES_tradnl"/>
        </w:rPr>
      </w:pPr>
      <w:r w:rsidRPr="009D6201">
        <w:rPr>
          <w:rFonts w:ascii="Verdana" w:eastAsia="Calibri" w:hAnsi="Verdana" w:cs="Arial"/>
          <w:sz w:val="20"/>
          <w:szCs w:val="20"/>
          <w:lang w:val="es-ES_tradnl"/>
        </w:rPr>
        <w:t xml:space="preserve">5. Calamidad pública: Es </w:t>
      </w:r>
      <w:bookmarkStart w:id="3" w:name="_Hlk35879333"/>
      <w:r w:rsidRPr="009D6201">
        <w:rPr>
          <w:rFonts w:ascii="Verdana" w:eastAsia="Calibri" w:hAnsi="Verdana" w:cs="Arial"/>
          <w:sz w:val="20"/>
          <w:szCs w:val="20"/>
          <w:lang w:val="es-ES_tradnl"/>
        </w:rPr>
        <w:t xml:space="preserve">el resultado que se desencadena de la manifestación de uno o varios eventos naturales </w:t>
      </w:r>
      <w:bookmarkStart w:id="4" w:name="_Hlk35870820"/>
      <w:r w:rsidRPr="009D6201">
        <w:rPr>
          <w:rFonts w:ascii="Verdana" w:eastAsia="Calibri" w:hAnsi="Verdana" w:cs="Arial"/>
          <w:sz w:val="20"/>
          <w:szCs w:val="20"/>
          <w:lang w:val="es-ES_tradnl"/>
        </w:rPr>
        <w:t xml:space="preserve">o antropogénicos no intencionales </w:t>
      </w:r>
      <w:bookmarkEnd w:id="4"/>
      <w:r w:rsidRPr="009D6201">
        <w:rPr>
          <w:rFonts w:ascii="Verdana" w:eastAsia="Calibri" w:hAnsi="Verdana" w:cs="Arial"/>
          <w:sz w:val="20"/>
          <w:szCs w:val="20"/>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3"/>
      <w:r w:rsidRPr="009D6201">
        <w:rPr>
          <w:rFonts w:ascii="Verdana" w:eastAsia="Calibri" w:hAnsi="Verdana" w:cs="Arial"/>
          <w:sz w:val="20"/>
          <w:szCs w:val="20"/>
          <w:lang w:val="es-ES_tradnl"/>
        </w:rPr>
        <w:t>de la población, en el respectivo territorio, que exige al municipio, distrito o departamento ejecutar acciones de respuesta a la emergencia, rehabilitación y reconstrucción.</w:t>
      </w:r>
    </w:p>
    <w:p w14:paraId="4E4A186F" w14:textId="77777777" w:rsidR="005E7C2E" w:rsidRPr="009D6201" w:rsidRDefault="005E7C2E" w:rsidP="005E7C2E">
      <w:pPr>
        <w:spacing w:after="120" w:line="240" w:lineRule="auto"/>
        <w:ind w:left="709" w:right="709"/>
        <w:jc w:val="both"/>
        <w:rPr>
          <w:rFonts w:ascii="Verdana" w:eastAsia="Calibri" w:hAnsi="Verdana" w:cs="Arial"/>
          <w:sz w:val="20"/>
          <w:szCs w:val="20"/>
          <w:lang w:val="es-ES_tradnl"/>
        </w:rPr>
      </w:pPr>
      <w:r w:rsidRPr="009D6201">
        <w:rPr>
          <w:rFonts w:ascii="Verdana" w:eastAsia="Calibri" w:hAnsi="Verdana" w:cs="Arial"/>
          <w:sz w:val="20"/>
          <w:szCs w:val="20"/>
          <w:lang w:val="es-ES_tradnl"/>
        </w:rPr>
        <w:t xml:space="preserve">[…] </w:t>
      </w:r>
    </w:p>
    <w:p w14:paraId="0B98306C" w14:textId="77777777" w:rsidR="005E7C2E" w:rsidRPr="009D6201" w:rsidRDefault="005E7C2E" w:rsidP="005E7C2E">
      <w:pPr>
        <w:spacing w:after="0" w:line="240" w:lineRule="auto"/>
        <w:ind w:left="709" w:right="709"/>
        <w:jc w:val="both"/>
        <w:rPr>
          <w:rFonts w:ascii="Verdana" w:eastAsia="Calibri" w:hAnsi="Verdana" w:cs="Arial"/>
          <w:sz w:val="21"/>
          <w:szCs w:val="21"/>
          <w:lang w:val="es-ES_tradnl"/>
        </w:rPr>
      </w:pPr>
      <w:r w:rsidRPr="009D6201">
        <w:rPr>
          <w:rFonts w:ascii="Verdana" w:eastAsia="Calibri" w:hAnsi="Verdana" w:cs="Arial"/>
          <w:sz w:val="20"/>
          <w:szCs w:val="20"/>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68864765" w14:textId="77777777" w:rsidR="005E7C2E" w:rsidRPr="00D93A6C" w:rsidRDefault="005E7C2E" w:rsidP="005E7C2E">
      <w:pPr>
        <w:spacing w:after="0" w:line="276" w:lineRule="auto"/>
        <w:ind w:left="709" w:right="709"/>
        <w:jc w:val="both"/>
        <w:rPr>
          <w:rFonts w:ascii="Verdana" w:eastAsia="Calibri" w:hAnsi="Verdana" w:cs="Arial"/>
          <w:lang w:val="es-ES_tradnl"/>
        </w:rPr>
      </w:pPr>
    </w:p>
    <w:p w14:paraId="026DD552" w14:textId="77777777" w:rsidR="005E7C2E" w:rsidRPr="00D93A6C" w:rsidRDefault="005E7C2E" w:rsidP="005E7C2E">
      <w:pPr>
        <w:spacing w:after="120" w:line="276" w:lineRule="auto"/>
        <w:ind w:firstLine="709"/>
        <w:jc w:val="both"/>
        <w:rPr>
          <w:rFonts w:ascii="Verdana" w:eastAsia="Calibri" w:hAnsi="Verdana" w:cs="Arial"/>
          <w:lang w:val="es-ES"/>
        </w:rPr>
      </w:pPr>
      <w:r w:rsidRPr="1AE1532E">
        <w:rPr>
          <w:rFonts w:ascii="Verdana" w:eastAsia="Calibri" w:hAnsi="Verdana" w:cs="Arial"/>
          <w:lang w:val="es-ES"/>
        </w:rPr>
        <w:t xml:space="preserve">Esta norma debe armonizarse con los artículos 56 y 57 </w:t>
      </w:r>
      <w:r w:rsidRPr="1AE1532E">
        <w:rPr>
          <w:rFonts w:ascii="Verdana" w:eastAsia="Calibri" w:hAnsi="Verdana" w:cs="Arial"/>
          <w:i/>
          <w:iCs/>
          <w:lang w:val="es-ES"/>
        </w:rPr>
        <w:t>ibidem</w:t>
      </w:r>
      <w:r w:rsidRPr="1AE1532E">
        <w:rPr>
          <w:rFonts w:ascii="Verdana" w:eastAsia="Calibri" w:hAnsi="Verdana" w:cs="Arial"/>
          <w:lang w:val="es-ES"/>
        </w:rPr>
        <w:t xml:space="preserve">, que asignan la competencia para declarar la ocurrencia de una situación de </w:t>
      </w:r>
      <w:r w:rsidRPr="1AE1532E">
        <w:rPr>
          <w:rFonts w:ascii="Verdana" w:eastAsia="Calibri" w:hAnsi="Verdana" w:cs="Arial"/>
          <w:i/>
          <w:iCs/>
          <w:lang w:val="es-ES"/>
        </w:rPr>
        <w:t>desastre</w:t>
      </w:r>
      <w:r w:rsidRPr="1AE1532E">
        <w:rPr>
          <w:rFonts w:ascii="Verdana" w:eastAsia="Calibri" w:hAnsi="Verdana" w:cs="Arial"/>
          <w:lang w:val="es-ES"/>
        </w:rPr>
        <w:t xml:space="preserve"> o una situación de </w:t>
      </w:r>
      <w:r w:rsidRPr="1AE1532E">
        <w:rPr>
          <w:rFonts w:ascii="Verdana" w:eastAsia="Calibri" w:hAnsi="Verdana" w:cs="Arial"/>
          <w:i/>
          <w:iCs/>
          <w:lang w:val="es-ES"/>
        </w:rPr>
        <w:t>calamidad pública</w:t>
      </w:r>
      <w:r w:rsidRPr="1AE1532E">
        <w:rPr>
          <w:rFonts w:ascii="Verdana" w:eastAsia="Calibri" w:hAnsi="Verdana" w:cs="Arial"/>
          <w:lang w:val="es-ES"/>
        </w:rPr>
        <w:t xml:space="preserve">. Particularmente, disponen que </w:t>
      </w:r>
      <w:r>
        <w:rPr>
          <w:rFonts w:ascii="Verdana" w:eastAsia="Calibri" w:hAnsi="Verdana" w:cs="Arial"/>
          <w:lang w:val="es-ES"/>
        </w:rPr>
        <w:t xml:space="preserve">corresponde </w:t>
      </w:r>
      <w:r w:rsidRPr="1AE1532E">
        <w:rPr>
          <w:rFonts w:ascii="Verdana" w:eastAsia="Calibri" w:hAnsi="Verdana" w:cs="Arial"/>
          <w:lang w:val="es-ES"/>
        </w:rPr>
        <w:t xml:space="preserve">al </w:t>
      </w:r>
      <w:proofErr w:type="gramStart"/>
      <w:r w:rsidRPr="1AE1532E">
        <w:rPr>
          <w:rFonts w:ascii="Verdana" w:eastAsia="Calibri" w:hAnsi="Verdana" w:cs="Arial"/>
          <w:lang w:val="es-ES"/>
        </w:rPr>
        <w:t>Presidente</w:t>
      </w:r>
      <w:proofErr w:type="gramEnd"/>
      <w:r w:rsidRPr="1AE1532E">
        <w:rPr>
          <w:rFonts w:ascii="Verdana" w:eastAsia="Calibri" w:hAnsi="Verdana" w:cs="Arial"/>
          <w:lang w:val="es-ES"/>
        </w:rPr>
        <w:t xml:space="preserve"> de la República declarar </w:t>
      </w:r>
      <w:r w:rsidRPr="00A4123E">
        <w:rPr>
          <w:rFonts w:ascii="Verdana" w:eastAsia="Calibri" w:hAnsi="Verdana" w:cs="Arial"/>
          <w:i/>
          <w:iCs/>
          <w:lang w:val="es-ES"/>
        </w:rPr>
        <w:t>la situación de</w:t>
      </w:r>
      <w:r w:rsidRPr="1AE1532E">
        <w:rPr>
          <w:rFonts w:ascii="Verdana" w:eastAsia="Calibri" w:hAnsi="Verdana" w:cs="Arial"/>
          <w:lang w:val="es-ES"/>
        </w:rPr>
        <w:t xml:space="preserve"> </w:t>
      </w:r>
      <w:r w:rsidRPr="1AE1532E">
        <w:rPr>
          <w:rFonts w:ascii="Verdana" w:eastAsia="Calibri" w:hAnsi="Verdana" w:cs="Arial"/>
          <w:i/>
          <w:iCs/>
          <w:lang w:val="es-ES"/>
        </w:rPr>
        <w:t>desastre</w:t>
      </w:r>
      <w:r w:rsidRPr="1AE1532E">
        <w:rPr>
          <w:rFonts w:ascii="Verdana" w:eastAsia="Calibri" w:hAnsi="Verdana" w:cs="Arial"/>
          <w:lang w:val="es-ES"/>
        </w:rPr>
        <w:t>, tanto en el orden nacional, departamental, como en el municipal y distrital</w:t>
      </w:r>
      <w:r w:rsidRPr="1AE1532E">
        <w:rPr>
          <w:rStyle w:val="Refdenotaalpie"/>
          <w:rFonts w:ascii="Verdana" w:eastAsia="Calibri" w:hAnsi="Verdana" w:cs="Arial"/>
          <w:lang w:val="es-ES"/>
        </w:rPr>
        <w:footnoteReference w:id="5"/>
      </w:r>
      <w:r w:rsidRPr="1AE1532E">
        <w:rPr>
          <w:rFonts w:ascii="Verdana" w:eastAsia="Calibri" w:hAnsi="Verdana" w:cs="Arial"/>
          <w:lang w:val="es-ES"/>
        </w:rPr>
        <w:t xml:space="preserve">, facultad </w:t>
      </w:r>
      <w:r w:rsidRPr="1AE1532E">
        <w:rPr>
          <w:rFonts w:ascii="Verdana" w:eastAsia="Calibri" w:hAnsi="Verdana" w:cs="Arial"/>
          <w:lang w:val="es-ES"/>
        </w:rPr>
        <w:lastRenderedPageBreak/>
        <w:t xml:space="preserve">que no pueden ejercer los gobernadores y alcaldes, </w:t>
      </w:r>
      <w:r>
        <w:rPr>
          <w:rFonts w:ascii="Verdana" w:eastAsia="Calibri" w:hAnsi="Verdana" w:cs="Arial"/>
          <w:lang w:val="es-ES"/>
        </w:rPr>
        <w:t xml:space="preserve">pues </w:t>
      </w:r>
      <w:r w:rsidRPr="1AE1532E">
        <w:rPr>
          <w:rFonts w:ascii="Verdana" w:eastAsia="Calibri" w:hAnsi="Verdana" w:cs="Arial"/>
          <w:lang w:val="es-ES"/>
        </w:rPr>
        <w:t xml:space="preserve">la norma no les asignó esta competencia. No obstante, </w:t>
      </w:r>
      <w:r>
        <w:rPr>
          <w:rFonts w:ascii="Verdana" w:eastAsia="Calibri" w:hAnsi="Verdana" w:cs="Arial"/>
          <w:lang w:val="es-ES"/>
        </w:rPr>
        <w:t xml:space="preserve">corresponde </w:t>
      </w:r>
      <w:r w:rsidRPr="1AE1532E">
        <w:rPr>
          <w:rFonts w:ascii="Verdana" w:eastAsia="Calibri" w:hAnsi="Verdana" w:cs="Arial"/>
          <w:lang w:val="es-ES"/>
        </w:rPr>
        <w:t xml:space="preserve">a los gobernadores y alcaldes declarar la </w:t>
      </w:r>
      <w:r w:rsidRPr="1AE1532E">
        <w:rPr>
          <w:rFonts w:ascii="Verdana" w:eastAsia="Calibri" w:hAnsi="Verdana" w:cs="Arial"/>
          <w:i/>
          <w:iCs/>
          <w:lang w:val="es-ES"/>
        </w:rPr>
        <w:t>situación de calamidad pública</w:t>
      </w:r>
      <w:r w:rsidRPr="1AE1532E">
        <w:rPr>
          <w:rFonts w:ascii="Verdana" w:eastAsia="Calibri" w:hAnsi="Verdana" w:cs="Arial"/>
          <w:lang w:val="es-ES"/>
        </w:rPr>
        <w:t xml:space="preserve">, en los respectivos ámbitos, facultad que, en cambio, no puede ejercer el </w:t>
      </w:r>
      <w:proofErr w:type="gramStart"/>
      <w:r>
        <w:rPr>
          <w:rFonts w:ascii="Verdana" w:eastAsia="Calibri" w:hAnsi="Verdana" w:cs="Arial"/>
          <w:lang w:val="es-ES"/>
        </w:rPr>
        <w:t>P</w:t>
      </w:r>
      <w:r w:rsidRPr="1AE1532E">
        <w:rPr>
          <w:rFonts w:ascii="Verdana" w:eastAsia="Calibri" w:hAnsi="Verdana" w:cs="Arial"/>
          <w:lang w:val="es-ES"/>
        </w:rPr>
        <w:t>residente</w:t>
      </w:r>
      <w:proofErr w:type="gramEnd"/>
      <w:r w:rsidRPr="1AE1532E">
        <w:rPr>
          <w:rFonts w:ascii="Verdana" w:eastAsia="Calibri" w:hAnsi="Verdana" w:cs="Arial"/>
          <w:lang w:val="es-ES"/>
        </w:rPr>
        <w:t xml:space="preserve"> de la </w:t>
      </w:r>
      <w:r>
        <w:rPr>
          <w:rFonts w:ascii="Verdana" w:eastAsia="Calibri" w:hAnsi="Verdana" w:cs="Arial"/>
          <w:lang w:val="es-ES"/>
        </w:rPr>
        <w:t>R</w:t>
      </w:r>
      <w:r w:rsidRPr="1AE1532E">
        <w:rPr>
          <w:rFonts w:ascii="Verdana" w:eastAsia="Calibri" w:hAnsi="Verdana" w:cs="Arial"/>
          <w:lang w:val="es-ES"/>
        </w:rPr>
        <w:t>epública</w:t>
      </w:r>
      <w:r w:rsidRPr="1AE1532E">
        <w:rPr>
          <w:rStyle w:val="Refdenotaalpie"/>
          <w:rFonts w:ascii="Verdana" w:eastAsia="Calibri" w:hAnsi="Verdana" w:cs="Arial"/>
          <w:lang w:val="es-ES"/>
        </w:rPr>
        <w:footnoteReference w:id="6"/>
      </w:r>
      <w:r w:rsidRPr="1AE1532E">
        <w:rPr>
          <w:rFonts w:ascii="Verdana" w:eastAsia="Calibri" w:hAnsi="Verdana" w:cs="Arial"/>
          <w:lang w:val="es-ES"/>
        </w:rPr>
        <w:t xml:space="preserve">. </w:t>
      </w:r>
    </w:p>
    <w:p w14:paraId="4A9D6648" w14:textId="77777777" w:rsidR="005E7C2E" w:rsidRPr="00D93A6C" w:rsidRDefault="005E7C2E" w:rsidP="005E7C2E">
      <w:pPr>
        <w:spacing w:after="120" w:line="276" w:lineRule="auto"/>
        <w:ind w:firstLine="709"/>
        <w:jc w:val="both"/>
        <w:rPr>
          <w:rFonts w:ascii="Verdana" w:eastAsia="Calibri" w:hAnsi="Verdana" w:cs="Arial"/>
          <w:lang w:val="es-ES_tradnl"/>
        </w:rPr>
      </w:pPr>
      <w:r w:rsidRPr="00D93A6C">
        <w:rPr>
          <w:rFonts w:ascii="Verdana" w:eastAsia="Calibri" w:hAnsi="Verdana" w:cs="Arial"/>
          <w:lang w:val="es-ES_tradnl"/>
        </w:rPr>
        <w:t>De esta manera, una vez</w:t>
      </w:r>
      <w:r>
        <w:rPr>
          <w:rFonts w:ascii="Verdana" w:eastAsia="Calibri" w:hAnsi="Verdana" w:cs="Arial"/>
          <w:lang w:val="es-ES_tradnl"/>
        </w:rPr>
        <w:t xml:space="preserve"> la autoridad competente</w:t>
      </w:r>
      <w:r w:rsidRPr="00D93A6C">
        <w:rPr>
          <w:rFonts w:ascii="Verdana" w:eastAsia="Calibri" w:hAnsi="Verdana" w:cs="Arial"/>
          <w:lang w:val="es-ES_tradnl"/>
        </w:rPr>
        <w:t xml:space="preserve"> declara la situación de calamidad o la situación de desastre bajo los criterios señalados en el artículo 59 de la Ley 1523 de 2012, las demás entidades estatales –de conformidad con el artículo 42 de la Ley 80 de 1993– quedan facultadas para declarar</w:t>
      </w:r>
      <w:r>
        <w:rPr>
          <w:rFonts w:ascii="Verdana" w:eastAsia="Calibri" w:hAnsi="Verdana" w:cs="Arial"/>
          <w:lang w:val="es-ES_tradnl"/>
        </w:rPr>
        <w:t xml:space="preserve"> posteriormente </w:t>
      </w:r>
      <w:r w:rsidRPr="00D93A6C">
        <w:rPr>
          <w:rFonts w:ascii="Verdana" w:eastAsia="Calibri" w:hAnsi="Verdana" w:cs="Arial"/>
          <w:lang w:val="es-ES_tradnl"/>
        </w:rPr>
        <w:t>la causal de contratación directa denominada “urgencia manifiesta”, mediante un acto administrativo propio</w:t>
      </w:r>
      <w:r>
        <w:rPr>
          <w:rFonts w:ascii="Verdana" w:eastAsia="Calibri" w:hAnsi="Verdana" w:cs="Arial"/>
          <w:lang w:val="es-ES_tradnl"/>
        </w:rPr>
        <w:t xml:space="preserve"> y</w:t>
      </w:r>
      <w:r w:rsidRPr="00D93A6C">
        <w:rPr>
          <w:rFonts w:ascii="Verdana" w:eastAsia="Calibri" w:hAnsi="Verdana" w:cs="Arial"/>
          <w:lang w:val="es-ES_tradnl"/>
        </w:rPr>
        <w:t xml:space="preserve"> autónomo, que tiene como fundamento fáctico y jurídico la declaración de situación de calamidad o </w:t>
      </w:r>
      <w:r>
        <w:rPr>
          <w:rFonts w:ascii="Verdana" w:eastAsia="Calibri" w:hAnsi="Verdana" w:cs="Arial"/>
          <w:lang w:val="es-ES_tradnl"/>
        </w:rPr>
        <w:t xml:space="preserve">de </w:t>
      </w:r>
      <w:r w:rsidRPr="00D93A6C">
        <w:rPr>
          <w:rFonts w:ascii="Verdana" w:eastAsia="Calibri" w:hAnsi="Verdana" w:cs="Arial"/>
          <w:lang w:val="es-ES_tradnl"/>
        </w:rPr>
        <w:t xml:space="preserve">la situación de desastre. </w:t>
      </w:r>
    </w:p>
    <w:p w14:paraId="1369BA8B" w14:textId="77777777" w:rsidR="005E7C2E" w:rsidRPr="00D93A6C" w:rsidRDefault="005E7C2E" w:rsidP="005E7C2E">
      <w:pPr>
        <w:spacing w:after="120" w:line="276" w:lineRule="auto"/>
        <w:ind w:firstLine="709"/>
        <w:jc w:val="both"/>
        <w:rPr>
          <w:rFonts w:ascii="Verdana" w:eastAsia="Calibri" w:hAnsi="Verdana" w:cs="Arial"/>
          <w:lang w:val="es-ES"/>
        </w:rPr>
      </w:pPr>
      <w:bookmarkStart w:id="6" w:name="_Hlk35959844"/>
      <w:r w:rsidRPr="1AE1532E">
        <w:rPr>
          <w:rFonts w:ascii="Verdana" w:eastAsia="Calibri" w:hAnsi="Verdana" w:cs="Arial"/>
          <w:lang w:val="es-ES"/>
        </w:rPr>
        <w:t xml:space="preserve">Lo anterior significa que </w:t>
      </w:r>
      <w:bookmarkStart w:id="7" w:name="_Hlk35959859"/>
      <w:r w:rsidRPr="1AE1532E">
        <w:rPr>
          <w:rFonts w:ascii="Verdana" w:eastAsia="Calibri" w:hAnsi="Verdana" w:cs="Arial"/>
          <w:lang w:val="es-ES"/>
        </w:rPr>
        <w:t xml:space="preserve">para </w:t>
      </w:r>
      <w:r>
        <w:rPr>
          <w:rFonts w:ascii="Verdana" w:eastAsia="Calibri" w:hAnsi="Verdana" w:cs="Arial"/>
          <w:lang w:val="es-ES"/>
        </w:rPr>
        <w:t xml:space="preserve">que las entidades </w:t>
      </w:r>
      <w:r w:rsidRPr="1AE1532E">
        <w:rPr>
          <w:rFonts w:ascii="Verdana" w:eastAsia="Calibri" w:hAnsi="Verdana" w:cs="Arial"/>
          <w:lang w:val="es-ES"/>
        </w:rPr>
        <w:t>contrat</w:t>
      </w:r>
      <w:r>
        <w:rPr>
          <w:rFonts w:ascii="Verdana" w:eastAsia="Calibri" w:hAnsi="Verdana" w:cs="Arial"/>
          <w:lang w:val="es-ES"/>
        </w:rPr>
        <w:t>en</w:t>
      </w:r>
      <w:r w:rsidRPr="1AE1532E">
        <w:rPr>
          <w:rFonts w:ascii="Verdana" w:eastAsia="Calibri" w:hAnsi="Verdana" w:cs="Arial"/>
          <w:lang w:val="es-ES"/>
        </w:rPr>
        <w:t xml:space="preserve"> </w:t>
      </w:r>
      <w:bookmarkEnd w:id="6"/>
      <w:r w:rsidRPr="1AE1532E">
        <w:rPr>
          <w:rFonts w:ascii="Verdana" w:eastAsia="Calibri" w:hAnsi="Verdana" w:cs="Arial"/>
          <w:lang w:val="es-ES"/>
        </w:rPr>
        <w:t xml:space="preserve">directamente no basta con la declaración de desastre o de calamidad. Es decir, se necesitan dos (2) actos administrativos </w:t>
      </w:r>
      <w:r w:rsidRPr="00A4123E">
        <w:rPr>
          <w:rFonts w:ascii="Verdana" w:eastAsia="Calibri" w:hAnsi="Verdana" w:cs="Arial"/>
          <w:i/>
          <w:iCs/>
          <w:lang w:val="es-ES"/>
        </w:rPr>
        <w:t xml:space="preserve">concurrentes </w:t>
      </w:r>
      <w:r w:rsidRPr="1AE1532E">
        <w:rPr>
          <w:rFonts w:ascii="Verdana" w:eastAsia="Calibri" w:hAnsi="Verdana" w:cs="Arial"/>
          <w:lang w:val="es-ES"/>
        </w:rPr>
        <w:t>para que pueda</w:t>
      </w:r>
      <w:r>
        <w:rPr>
          <w:rFonts w:ascii="Verdana" w:eastAsia="Calibri" w:hAnsi="Verdana" w:cs="Arial"/>
          <w:lang w:val="es-ES"/>
        </w:rPr>
        <w:t>n</w:t>
      </w:r>
      <w:r w:rsidRPr="1AE1532E">
        <w:rPr>
          <w:rFonts w:ascii="Verdana" w:eastAsia="Calibri" w:hAnsi="Verdana" w:cs="Arial"/>
          <w:lang w:val="es-ES"/>
        </w:rPr>
        <w:t xml:space="preserve"> contratar directamente por urgencia manifiesta: i) el primero en el tiempo</w:t>
      </w:r>
      <w:r>
        <w:rPr>
          <w:rFonts w:ascii="Verdana" w:eastAsia="Calibri" w:hAnsi="Verdana" w:cs="Arial"/>
          <w:lang w:val="es-ES"/>
        </w:rPr>
        <w:t>:</w:t>
      </w:r>
      <w:r w:rsidRPr="1AE1532E">
        <w:rPr>
          <w:rFonts w:ascii="Verdana" w:eastAsia="Calibri" w:hAnsi="Verdana" w:cs="Arial"/>
          <w:lang w:val="es-ES"/>
        </w:rPr>
        <w:t xml:space="preserve"> la declaración de la situación de calamidad pública o la declaración de la situación de desastre, de conformidad con lo establecido en el Capítulo VI de la Ley 1523 de 2012; y ii) el segundo, la declaración propiamente dicha de “urgencia manifiesta” de que trata el artículo 42 del Estatuto General de Contratación</w:t>
      </w:r>
      <w:r>
        <w:rPr>
          <w:rFonts w:ascii="Verdana" w:eastAsia="Calibri" w:hAnsi="Verdana" w:cs="Arial"/>
          <w:lang w:val="es-ES"/>
        </w:rPr>
        <w:t xml:space="preserve"> de la Administración Pública</w:t>
      </w:r>
      <w:r w:rsidRPr="1AE1532E">
        <w:rPr>
          <w:rFonts w:ascii="Verdana" w:eastAsia="Calibri" w:hAnsi="Verdana" w:cs="Arial"/>
          <w:lang w:val="es-ES"/>
        </w:rPr>
        <w:t xml:space="preserve">, </w:t>
      </w:r>
      <w:r>
        <w:rPr>
          <w:rFonts w:ascii="Verdana" w:eastAsia="Calibri" w:hAnsi="Verdana" w:cs="Arial"/>
          <w:lang w:val="es-ES"/>
        </w:rPr>
        <w:t xml:space="preserve">el cual se encuentra </w:t>
      </w:r>
      <w:r w:rsidRPr="1AE1532E">
        <w:rPr>
          <w:rFonts w:ascii="Verdana" w:eastAsia="Calibri" w:hAnsi="Verdana" w:cs="Arial"/>
          <w:lang w:val="es-ES"/>
        </w:rPr>
        <w:t>amparado o fundamentado en la declaración previa del desastre o calamidad.</w:t>
      </w:r>
    </w:p>
    <w:p w14:paraId="5A261D91" w14:textId="77777777" w:rsidR="005E7C2E" w:rsidRPr="00D93A6C" w:rsidRDefault="005E7C2E" w:rsidP="005E7C2E">
      <w:pPr>
        <w:spacing w:after="120" w:line="276" w:lineRule="auto"/>
        <w:ind w:firstLine="709"/>
        <w:jc w:val="both"/>
        <w:rPr>
          <w:rFonts w:ascii="Verdana" w:eastAsia="Calibri" w:hAnsi="Verdana" w:cs="Arial"/>
          <w:lang w:val="es-ES"/>
        </w:rPr>
      </w:pPr>
      <w:r w:rsidRPr="1AE1532E">
        <w:rPr>
          <w:rFonts w:ascii="Verdana" w:eastAsia="Calibri" w:hAnsi="Verdana" w:cs="Arial"/>
          <w:lang w:val="es-ES"/>
        </w:rPr>
        <w:t xml:space="preserve"> Sin el primer acto administrativo no es posible expedir el segundo</w:t>
      </w:r>
      <w:r>
        <w:rPr>
          <w:rFonts w:ascii="Verdana" w:eastAsia="Calibri" w:hAnsi="Verdana" w:cs="Arial"/>
          <w:lang w:val="es-ES"/>
        </w:rPr>
        <w:t>;</w:t>
      </w:r>
      <w:r w:rsidRPr="1AE1532E">
        <w:rPr>
          <w:rFonts w:ascii="Verdana" w:eastAsia="Calibri" w:hAnsi="Verdana" w:cs="Arial"/>
          <w:lang w:val="es-ES"/>
        </w:rPr>
        <w:t xml:space="preserve">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w:t>
      </w:r>
      <w:r w:rsidRPr="1AE1532E">
        <w:rPr>
          <w:rFonts w:ascii="Verdana" w:eastAsia="Calibri" w:hAnsi="Verdana" w:cs="Arial"/>
          <w:lang w:val="es-ES"/>
        </w:rPr>
        <w:lastRenderedPageBreak/>
        <w:t xml:space="preserve">ocurrencia de los hechos que dan lugar a las mismas como de la declaración del órgano competente, de manera que ninguna se configura a falta de alguna de estas condiciones. </w:t>
      </w:r>
    </w:p>
    <w:p w14:paraId="034930ED" w14:textId="77777777" w:rsidR="005E7C2E" w:rsidRDefault="005E7C2E" w:rsidP="005E7C2E">
      <w:pPr>
        <w:spacing w:after="0" w:line="276" w:lineRule="auto"/>
        <w:ind w:firstLine="709"/>
        <w:jc w:val="both"/>
        <w:rPr>
          <w:rFonts w:ascii="Verdana" w:eastAsia="Calibri" w:hAnsi="Verdana" w:cs="Arial"/>
          <w:lang w:val="es-ES_tradnl"/>
        </w:rPr>
      </w:pPr>
      <w:r w:rsidRPr="00D93A6C">
        <w:rPr>
          <w:rFonts w:ascii="Verdana" w:eastAsia="Calibri" w:hAnsi="Verdana" w:cs="Arial"/>
          <w:lang w:val="es-ES_tradnl"/>
        </w:rPr>
        <w:t xml:space="preserve">Por lo tanto, </w:t>
      </w:r>
      <w:r>
        <w:rPr>
          <w:rFonts w:ascii="Verdana" w:eastAsia="Calibri" w:hAnsi="Verdana" w:cs="Arial"/>
          <w:lang w:val="es-ES_tradnl"/>
        </w:rPr>
        <w:t>dado que las</w:t>
      </w:r>
      <w:r w:rsidRPr="00D93A6C">
        <w:rPr>
          <w:rFonts w:ascii="Verdana" w:eastAsia="Calibri" w:hAnsi="Verdana" w:cs="Arial"/>
          <w:lang w:val="es-ES_tradnl"/>
        </w:rPr>
        <w:t xml:space="preserve"> autoridad</w:t>
      </w:r>
      <w:r>
        <w:rPr>
          <w:rFonts w:ascii="Verdana" w:eastAsia="Calibri" w:hAnsi="Verdana" w:cs="Arial"/>
          <w:lang w:val="es-ES_tradnl"/>
        </w:rPr>
        <w:t>es</w:t>
      </w:r>
      <w:r w:rsidRPr="00D93A6C">
        <w:rPr>
          <w:rFonts w:ascii="Verdana" w:eastAsia="Calibri" w:hAnsi="Verdana" w:cs="Arial"/>
          <w:lang w:val="es-ES_tradnl"/>
        </w:rPr>
        <w:t xml:space="preserve"> diferente</w:t>
      </w:r>
      <w:r>
        <w:rPr>
          <w:rFonts w:ascii="Verdana" w:eastAsia="Calibri" w:hAnsi="Verdana" w:cs="Arial"/>
          <w:lang w:val="es-ES_tradnl"/>
        </w:rPr>
        <w:t>s</w:t>
      </w:r>
      <w:r w:rsidRPr="00D93A6C">
        <w:rPr>
          <w:rFonts w:ascii="Verdana" w:eastAsia="Calibri" w:hAnsi="Verdana" w:cs="Arial"/>
          <w:lang w:val="es-ES_tradnl"/>
        </w:rPr>
        <w:t xml:space="preserve"> al presidente de la república, al gobernador y el alcalde –por ejemplo, los ministros, directores o presidentes de agencias, directores de establecimientos públicos, de sociedades de economía mixta, etc.– carece</w:t>
      </w:r>
      <w:r>
        <w:rPr>
          <w:rFonts w:ascii="Verdana" w:eastAsia="Calibri" w:hAnsi="Verdana" w:cs="Arial"/>
          <w:lang w:val="es-ES_tradnl"/>
        </w:rPr>
        <w:t>n</w:t>
      </w:r>
      <w:r w:rsidRPr="00D93A6C">
        <w:rPr>
          <w:rFonts w:ascii="Verdana" w:eastAsia="Calibri" w:hAnsi="Verdana" w:cs="Arial"/>
          <w:lang w:val="es-ES_tradnl"/>
        </w:rPr>
        <w:t xml:space="preserve"> de competencia para declarar cualquiera de estas dos situaciones, deben esperar a que se dicten los actos respectivos para fundamentar la declaración de urgencia manifiesta </w:t>
      </w:r>
      <w:r>
        <w:rPr>
          <w:rFonts w:ascii="Verdana" w:eastAsia="Calibri" w:hAnsi="Verdana" w:cs="Arial"/>
          <w:lang w:val="es-ES_tradnl"/>
        </w:rPr>
        <w:t>ante</w:t>
      </w:r>
      <w:r w:rsidRPr="00D93A6C">
        <w:rPr>
          <w:rFonts w:ascii="Verdana" w:eastAsia="Calibri" w:hAnsi="Verdana" w:cs="Arial"/>
          <w:lang w:val="es-ES_tradnl"/>
        </w:rPr>
        <w:t xml:space="preserve"> la situación de desastre o la situación de calamidad</w:t>
      </w:r>
      <w:bookmarkEnd w:id="7"/>
      <w:r w:rsidRPr="00D93A6C">
        <w:rPr>
          <w:rFonts w:ascii="Verdana" w:eastAsia="Calibri" w:hAnsi="Verdana" w:cs="Arial"/>
          <w:lang w:val="es-ES_tradnl"/>
        </w:rPr>
        <w:t>. Por lo anterior, cuando el artículo 42 de la Ley 80 de 1993 dispone que la urgencia manifiesta se declara</w:t>
      </w:r>
      <w:r>
        <w:rPr>
          <w:rFonts w:ascii="Verdana" w:eastAsia="Calibri" w:hAnsi="Verdana" w:cs="Arial"/>
          <w:lang w:val="es-ES_tradnl"/>
        </w:rPr>
        <w:t xml:space="preserve"> </w:t>
      </w:r>
      <w:r w:rsidRPr="00D93A6C">
        <w:rPr>
          <w:rFonts w:ascii="Verdana" w:eastAsia="Calibri" w:hAnsi="Verdana" w:cs="Arial"/>
          <w:lang w:val="es-ES_tradnl"/>
        </w:rPr>
        <w:t xml:space="preserve">para “[…] </w:t>
      </w:r>
      <w:bookmarkStart w:id="8" w:name="_Hlk35879915"/>
      <w:r w:rsidRPr="00D93A6C">
        <w:rPr>
          <w:rFonts w:ascii="Verdana" w:eastAsia="Calibri" w:hAnsi="Verdana" w:cs="Arial"/>
          <w:lang w:val="es-ES_tradnl"/>
        </w:rPr>
        <w:t>conjurar situaciones excepcionales relacionadas con hechos de calamidad o constitutivos de fuerza mayor o desastre que demanden actuaciones inmediatas</w:t>
      </w:r>
      <w:bookmarkEnd w:id="8"/>
      <w:r w:rsidRPr="00D93A6C">
        <w:rPr>
          <w:rFonts w:ascii="Verdana" w:eastAsia="Calibri" w:hAnsi="Verdana" w:cs="Arial"/>
          <w:lang w:val="es-ES_tradnl"/>
        </w:rPr>
        <w:t xml:space="preserve"> […]”, las circunstancias de calamidad y desastre deben entenderse en los términos de la Ley 1523 de 2012, en la medida que forman una unidad jurídica completa.</w:t>
      </w:r>
    </w:p>
    <w:p w14:paraId="29E6A122" w14:textId="77777777" w:rsidR="005E7C2E" w:rsidRDefault="005E7C2E" w:rsidP="005E7C2E">
      <w:pPr>
        <w:spacing w:after="0" w:line="276" w:lineRule="auto"/>
        <w:ind w:firstLine="709"/>
        <w:jc w:val="both"/>
        <w:rPr>
          <w:rFonts w:ascii="Verdana" w:eastAsia="Calibri" w:hAnsi="Verdana" w:cs="Arial"/>
          <w:lang w:val="es-ES_tradnl"/>
        </w:rPr>
      </w:pPr>
    </w:p>
    <w:p w14:paraId="0FC04F34" w14:textId="77777777" w:rsidR="005E7C2E" w:rsidRPr="00916903" w:rsidRDefault="005E7C2E" w:rsidP="005E7C2E">
      <w:pPr>
        <w:spacing w:after="120" w:line="276" w:lineRule="auto"/>
        <w:jc w:val="both"/>
        <w:rPr>
          <w:rFonts w:ascii="Verdana" w:eastAsia="Calibri" w:hAnsi="Verdana" w:cs="Arial"/>
          <w:lang w:val="es-ES"/>
        </w:rPr>
      </w:pPr>
      <w:r w:rsidRPr="1AE1532E">
        <w:rPr>
          <w:rFonts w:ascii="Verdana" w:eastAsia="Calibri" w:hAnsi="Verdana" w:cs="Arial"/>
          <w:lang w:val="es-ES"/>
        </w:rPr>
        <w:t xml:space="preserve">ii. Si bien la necesidad de contar con los dos actos administrativos anteriormente mencionados es un principio general para el común de las entidades estatales, es necesario considerar el matiz introducido por el artículo 66 de la Ley 1523 de 2012, </w:t>
      </w:r>
      <w:r>
        <w:rPr>
          <w:rFonts w:ascii="Verdana" w:eastAsia="Calibri" w:hAnsi="Verdana" w:cs="Arial"/>
          <w:lang w:val="es-ES"/>
        </w:rPr>
        <w:t xml:space="preserve">supuesto </w:t>
      </w:r>
      <w:r w:rsidRPr="1AE1532E">
        <w:rPr>
          <w:rFonts w:ascii="Verdana" w:eastAsia="Calibri" w:hAnsi="Verdana" w:cs="Arial"/>
          <w:lang w:val="es-ES"/>
        </w:rPr>
        <w:t xml:space="preserve">en </w:t>
      </w:r>
      <w:r>
        <w:rPr>
          <w:rFonts w:ascii="Verdana" w:eastAsia="Calibri" w:hAnsi="Verdana" w:cs="Arial"/>
          <w:lang w:val="es-ES"/>
        </w:rPr>
        <w:t xml:space="preserve">el </w:t>
      </w:r>
      <w:r w:rsidRPr="1AE1532E">
        <w:rPr>
          <w:rFonts w:ascii="Verdana" w:eastAsia="Calibri" w:hAnsi="Verdana" w:cs="Arial"/>
          <w:lang w:val="es-ES"/>
        </w:rPr>
        <w:t xml:space="preserve">cual basta declarar la situación de desastre o la situación de calamidad pública para contratar </w:t>
      </w:r>
      <w:r>
        <w:rPr>
          <w:rFonts w:ascii="Verdana" w:eastAsia="Calibri" w:hAnsi="Verdana" w:cs="Arial"/>
          <w:lang w:val="es-ES"/>
        </w:rPr>
        <w:t>mediante</w:t>
      </w:r>
      <w:r w:rsidRPr="1AE1532E">
        <w:rPr>
          <w:rFonts w:ascii="Verdana" w:eastAsia="Calibri" w:hAnsi="Verdana" w:cs="Arial"/>
          <w:lang w:val="es-ES"/>
        </w:rPr>
        <w:t xml:space="preserve"> el derecho privado, </w:t>
      </w:r>
      <w:r>
        <w:rPr>
          <w:rFonts w:ascii="Verdana" w:eastAsia="Calibri" w:hAnsi="Verdana" w:cs="Arial"/>
          <w:lang w:val="es-ES"/>
        </w:rPr>
        <w:t>en cumplimiento de</w:t>
      </w:r>
      <w:r w:rsidRPr="1AE1532E">
        <w:rPr>
          <w:rFonts w:ascii="Verdana" w:eastAsia="Calibri" w:hAnsi="Verdana" w:cs="Arial"/>
          <w:lang w:val="es-ES"/>
        </w:rPr>
        <w:t xml:space="preserve"> los principios de la función administrativa y de la gestión fiscal. </w:t>
      </w:r>
    </w:p>
    <w:p w14:paraId="5FAB2AB2" w14:textId="77777777" w:rsidR="005E7C2E" w:rsidRDefault="005E7C2E" w:rsidP="005E7C2E">
      <w:pPr>
        <w:spacing w:after="120" w:line="276" w:lineRule="auto"/>
        <w:ind w:firstLine="709"/>
        <w:jc w:val="both"/>
        <w:rPr>
          <w:rFonts w:ascii="Verdana" w:eastAsia="Calibri" w:hAnsi="Verdana" w:cs="Arial"/>
          <w:lang w:val="es-ES_tradnl"/>
        </w:rPr>
      </w:pPr>
      <w:r>
        <w:rPr>
          <w:rFonts w:ascii="Verdana" w:eastAsia="Calibri" w:hAnsi="Verdana" w:cs="Arial"/>
          <w:lang w:val="es-ES_tradnl"/>
        </w:rPr>
        <w:t>D</w:t>
      </w:r>
      <w:r w:rsidRPr="00916903">
        <w:rPr>
          <w:rFonts w:ascii="Verdana" w:eastAsia="Calibri" w:hAnsi="Verdana" w:cs="Arial"/>
          <w:lang w:val="es-ES_tradnl"/>
        </w:rPr>
        <w:t xml:space="preserve">e conformidad con el artículo 47 se constituyó el </w:t>
      </w:r>
      <w:bookmarkStart w:id="9" w:name="_Hlk36225979"/>
      <w:r w:rsidRPr="00916903">
        <w:rPr>
          <w:rFonts w:ascii="Verdana" w:eastAsia="Calibri" w:hAnsi="Verdana" w:cs="Arial"/>
          <w:lang w:val="es-ES_tradnl"/>
        </w:rPr>
        <w:t>Fondo Nacional de Gestión de Riesgo de Desastres</w:t>
      </w:r>
      <w:bookmarkEnd w:id="9"/>
      <w:r w:rsidRPr="00916903">
        <w:rPr>
          <w:rFonts w:ascii="Verdana" w:eastAsia="Calibri" w:hAnsi="Verdana" w:cs="Arial"/>
          <w:lang w:val="es-ES_tradnl"/>
        </w:rPr>
        <w:t xml:space="preserve"> como un patrimonio autónomo, administrado y representado en los términos del artículo 3° del Decreto 1547 de 1984 –modificado por el artículo 70 de Decreto-ley 919 de 1989</w:t>
      </w:r>
      <w:r w:rsidRPr="00916903">
        <w:rPr>
          <w:rStyle w:val="Refdenotaalpie"/>
          <w:rFonts w:ascii="Verdana" w:eastAsia="Calibri" w:hAnsi="Verdana" w:cs="Arial"/>
          <w:lang w:val="es-ES_tradnl"/>
        </w:rPr>
        <w:footnoteReference w:id="7"/>
      </w:r>
      <w:r w:rsidRPr="00916903">
        <w:rPr>
          <w:rFonts w:ascii="Verdana" w:eastAsia="Calibri" w:hAnsi="Verdana" w:cs="Arial"/>
          <w:lang w:val="es-ES_tradnl"/>
        </w:rPr>
        <w:t>–, destinado a adoptar 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Verdana" w:eastAsia="Calibri" w:hAnsi="Verdana" w:cs="Arial"/>
          <w:lang w:val="es-ES_tradnl"/>
        </w:rPr>
        <w:t>.</w:t>
      </w:r>
      <w:r w:rsidRPr="00916903">
        <w:rPr>
          <w:rFonts w:ascii="Verdana" w:eastAsia="Calibri" w:hAnsi="Verdana" w:cs="Arial"/>
          <w:lang w:val="es-ES_tradnl"/>
        </w:rPr>
        <w:t xml:space="preserve"> </w:t>
      </w:r>
      <w:r>
        <w:rPr>
          <w:rFonts w:ascii="Verdana" w:eastAsia="Calibri" w:hAnsi="Verdana" w:cs="Arial"/>
          <w:lang w:val="es-ES_tradnl"/>
        </w:rPr>
        <w:t xml:space="preserve">El </w:t>
      </w:r>
      <w:r w:rsidRPr="00916903">
        <w:rPr>
          <w:rFonts w:ascii="Verdana" w:eastAsia="Calibri" w:hAnsi="Verdana" w:cs="Arial"/>
          <w:lang w:val="es-ES_tradnl"/>
        </w:rPr>
        <w:t xml:space="preserve">régimen contractual </w:t>
      </w:r>
      <w:r>
        <w:rPr>
          <w:rFonts w:ascii="Verdana" w:eastAsia="Calibri" w:hAnsi="Verdana" w:cs="Arial"/>
          <w:lang w:val="es-ES_tradnl"/>
        </w:rPr>
        <w:t xml:space="preserve">del Fondo </w:t>
      </w:r>
      <w:r w:rsidRPr="00916903">
        <w:rPr>
          <w:rFonts w:ascii="Verdana" w:eastAsia="Calibri" w:hAnsi="Verdana" w:cs="Arial"/>
          <w:lang w:val="es-ES_tradnl"/>
        </w:rPr>
        <w:t>es el de las empresas industriales y comerciales</w:t>
      </w:r>
      <w:r>
        <w:rPr>
          <w:rFonts w:ascii="Verdana" w:eastAsia="Calibri" w:hAnsi="Verdana" w:cs="Arial"/>
          <w:lang w:val="es-ES_tradnl"/>
        </w:rPr>
        <w:t xml:space="preserve"> del estado</w:t>
      </w:r>
      <w:r w:rsidRPr="00916903">
        <w:rPr>
          <w:rFonts w:ascii="Verdana" w:eastAsia="Calibri" w:hAnsi="Verdana" w:cs="Arial"/>
          <w:lang w:val="es-ES_tradnl"/>
        </w:rPr>
        <w:t xml:space="preserve">, sin perjuicio </w:t>
      </w:r>
      <w:r w:rsidRPr="00916903">
        <w:rPr>
          <w:rFonts w:ascii="Verdana" w:eastAsia="Calibri" w:hAnsi="Verdana" w:cs="Arial"/>
          <w:lang w:val="es-ES_tradnl"/>
        </w:rPr>
        <w:lastRenderedPageBreak/>
        <w:t xml:space="preserve">de las facultades especiales </w:t>
      </w:r>
      <w:r>
        <w:rPr>
          <w:rFonts w:ascii="Verdana" w:eastAsia="Calibri" w:hAnsi="Verdana" w:cs="Arial"/>
          <w:lang w:val="es-ES_tradnl"/>
        </w:rPr>
        <w:t xml:space="preserve">que </w:t>
      </w:r>
      <w:r w:rsidRPr="00916903">
        <w:rPr>
          <w:rFonts w:ascii="Verdana" w:eastAsia="Calibri" w:hAnsi="Verdana" w:cs="Arial"/>
          <w:lang w:val="es-ES_tradnl"/>
        </w:rPr>
        <w:t xml:space="preserve">para atender situaciones de desastres y evitar la extensión de los efectos </w:t>
      </w:r>
      <w:r>
        <w:rPr>
          <w:rFonts w:ascii="Verdana" w:eastAsia="Calibri" w:hAnsi="Verdana" w:cs="Arial"/>
          <w:lang w:val="es-ES_tradnl"/>
        </w:rPr>
        <w:t xml:space="preserve">consagra el </w:t>
      </w:r>
      <w:r w:rsidRPr="00916903">
        <w:rPr>
          <w:rFonts w:ascii="Verdana" w:eastAsia="Calibri" w:hAnsi="Verdana" w:cs="Arial"/>
          <w:lang w:val="es-ES_tradnl"/>
        </w:rPr>
        <w:t>parágrafo 3 del artículo 5</w:t>
      </w:r>
      <w:r>
        <w:rPr>
          <w:rFonts w:ascii="Verdana" w:eastAsia="Calibri" w:hAnsi="Verdana" w:cs="Arial"/>
          <w:lang w:val="es-ES_tradnl"/>
        </w:rPr>
        <w:t>0</w:t>
      </w:r>
      <w:r w:rsidRPr="00916903">
        <w:rPr>
          <w:rFonts w:ascii="Verdana" w:eastAsia="Calibri" w:hAnsi="Verdana" w:cs="Arial"/>
          <w:lang w:val="es-ES_tradnl"/>
        </w:rPr>
        <w:t xml:space="preserve">. </w:t>
      </w:r>
    </w:p>
    <w:p w14:paraId="4491E055" w14:textId="77777777" w:rsidR="005E7C2E" w:rsidRPr="009D7E06" w:rsidRDefault="005E7C2E" w:rsidP="005E7C2E">
      <w:pPr>
        <w:spacing w:after="120" w:line="276" w:lineRule="auto"/>
        <w:ind w:firstLine="708"/>
        <w:jc w:val="both"/>
        <w:rPr>
          <w:rFonts w:ascii="Verdana" w:eastAsia="Calibri" w:hAnsi="Verdana" w:cs="Arial"/>
          <w:b/>
          <w:bCs/>
          <w:color w:val="000000" w:themeColor="text1"/>
        </w:rPr>
      </w:pPr>
      <w:r w:rsidRPr="009D7E06">
        <w:rPr>
          <w:rFonts w:ascii="Verdana" w:eastAsia="Calibri" w:hAnsi="Verdana" w:cs="Arial"/>
          <w:lang w:val="es-ES_tradnl"/>
        </w:rPr>
        <w:t>Para interpretar el primer aparte</w:t>
      </w:r>
      <w:r>
        <w:rPr>
          <w:rFonts w:ascii="Verdana" w:eastAsia="Calibri" w:hAnsi="Verdana" w:cs="Arial"/>
          <w:lang w:val="es-ES_tradnl"/>
        </w:rPr>
        <w:t xml:space="preserve"> del</w:t>
      </w:r>
      <w:r w:rsidRPr="009D7E06">
        <w:rPr>
          <w:rFonts w:ascii="Verdana" w:eastAsia="Calibri" w:hAnsi="Verdana" w:cs="Arial"/>
          <w:lang w:val="es-ES_tradnl"/>
        </w:rPr>
        <w:t xml:space="preserve"> </w:t>
      </w:r>
      <w:r w:rsidRPr="00916903">
        <w:rPr>
          <w:rFonts w:ascii="Verdana" w:eastAsia="Calibri" w:hAnsi="Verdana" w:cs="Arial"/>
          <w:lang w:val="es-ES_tradnl"/>
        </w:rPr>
        <w:t>parágrafo 3 del artículo 50</w:t>
      </w:r>
      <w:r>
        <w:rPr>
          <w:rFonts w:ascii="Verdana" w:eastAsia="Calibri" w:hAnsi="Verdana" w:cs="Arial"/>
          <w:lang w:val="es-ES_tradnl"/>
        </w:rPr>
        <w:t xml:space="preserve"> de la Ley </w:t>
      </w:r>
      <w:r w:rsidRPr="00916903">
        <w:rPr>
          <w:rFonts w:ascii="Verdana" w:eastAsia="Calibri" w:hAnsi="Verdana" w:cs="Arial"/>
          <w:lang w:val="es-ES_tradnl"/>
        </w:rPr>
        <w:t>1523 de 2012</w:t>
      </w:r>
      <w:r w:rsidRPr="009D7E06">
        <w:rPr>
          <w:rFonts w:ascii="Verdana" w:eastAsia="Calibri" w:hAnsi="Verdana" w:cs="Arial"/>
          <w:lang w:val="es-ES_tradnl"/>
        </w:rPr>
        <w:t xml:space="preserve">, es necesario tener en cuenta que </w:t>
      </w:r>
      <w:r w:rsidRPr="009D7E06">
        <w:rPr>
          <w:rFonts w:ascii="Verdana" w:eastAsia="Calibri" w:hAnsi="Verdana" w:cs="Arial"/>
          <w:color w:val="000000" w:themeColor="text1"/>
        </w:rPr>
        <w:t>en la estructura de la Administración pública se encuentran las entidades descentralizadas por servicios, y dentro de dicha categoría se ubican las empresas industriales y comerciales del Estado, las cuales –sin perjuicio del control de tutela– tienen personería jurídica, autonomía administrativa y patrimonio propio.</w:t>
      </w:r>
      <w:r w:rsidRPr="009D7E06">
        <w:rPr>
          <w:rFonts w:ascii="Verdana" w:eastAsia="Calibri" w:hAnsi="Verdana" w:cs="Arial"/>
          <w:b/>
          <w:bCs/>
          <w:color w:val="000000" w:themeColor="text1"/>
        </w:rPr>
        <w:t xml:space="preserve"> </w:t>
      </w:r>
      <w:r w:rsidRPr="009D7E06">
        <w:rPr>
          <w:rFonts w:ascii="Verdana" w:eastAsia="Calibri" w:hAnsi="Verdana" w:cs="Arial"/>
          <w:color w:val="000000" w:themeColor="text1"/>
        </w:rPr>
        <w:t>Estas entidades, como su nombre lo indica,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p>
    <w:p w14:paraId="2B57E569" w14:textId="77777777" w:rsidR="005E7C2E" w:rsidRPr="009D7E06" w:rsidRDefault="005E7C2E" w:rsidP="005E7C2E">
      <w:pPr>
        <w:spacing w:after="120" w:line="276" w:lineRule="auto"/>
        <w:jc w:val="both"/>
        <w:rPr>
          <w:rFonts w:ascii="Verdana" w:eastAsia="Calibri" w:hAnsi="Verdana" w:cs="Arial"/>
          <w:color w:val="000000" w:themeColor="text1"/>
        </w:rPr>
      </w:pPr>
      <w:r w:rsidRPr="009D7E06">
        <w:rPr>
          <w:rFonts w:ascii="Verdana" w:eastAsia="Calibri" w:hAnsi="Verdana" w:cs="Arial"/>
          <w:color w:val="000000" w:themeColor="text1"/>
        </w:rPr>
        <w:tab/>
        <w:t xml:space="preserve">Considerando </w:t>
      </w:r>
      <w:r>
        <w:rPr>
          <w:rFonts w:ascii="Verdana" w:eastAsia="Calibri" w:hAnsi="Verdana" w:cs="Arial"/>
          <w:color w:val="000000" w:themeColor="text1"/>
        </w:rPr>
        <w:t xml:space="preserve">que </w:t>
      </w:r>
      <w:r w:rsidRPr="009D7E06">
        <w:rPr>
          <w:rFonts w:ascii="Verdana" w:eastAsia="Calibri" w:hAnsi="Verdana" w:cs="Arial"/>
          <w:color w:val="000000" w:themeColor="text1"/>
        </w:rPr>
        <w:t>la actividad desarrollada</w:t>
      </w:r>
      <w:r>
        <w:rPr>
          <w:rFonts w:ascii="Verdana" w:eastAsia="Calibri" w:hAnsi="Verdana" w:cs="Arial"/>
          <w:color w:val="000000" w:themeColor="text1"/>
        </w:rPr>
        <w:t xml:space="preserve"> es</w:t>
      </w:r>
      <w:r w:rsidRPr="009D7E06">
        <w:rPr>
          <w:rFonts w:ascii="Verdana" w:eastAsia="Calibri" w:hAnsi="Verdana" w:cs="Arial"/>
          <w:color w:val="000000" w:themeColor="text1"/>
        </w:rPr>
        <w:t xml:space="preserve"> de carácter industrial o comercial,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y las contenidas en el acto de creación o en los estatutos de la respectiva empresa industrial o comercial del Estado.         </w:t>
      </w:r>
    </w:p>
    <w:p w14:paraId="6608C063" w14:textId="77777777" w:rsidR="005E7C2E" w:rsidRPr="009D7E06" w:rsidRDefault="005E7C2E" w:rsidP="005E7C2E">
      <w:pPr>
        <w:spacing w:after="120" w:line="276" w:lineRule="auto"/>
        <w:jc w:val="both"/>
        <w:rPr>
          <w:rFonts w:ascii="Verdana" w:eastAsia="Calibri" w:hAnsi="Verdana" w:cs="Arial"/>
          <w:color w:val="000000" w:themeColor="text1"/>
        </w:rPr>
      </w:pPr>
      <w:r w:rsidRPr="009D7E06">
        <w:rPr>
          <w:rFonts w:ascii="Verdana" w:eastAsia="Calibri" w:hAnsi="Verdana" w:cs="Arial"/>
          <w:color w:val="000000" w:themeColor="text1"/>
        </w:rPr>
        <w:tab/>
        <w:t>Sobre el régimen de contratación, el artículo 2 de la Ley 80 de 1993 –en concordancia con el artículo 93 de la Ley 489 de 1998– incorporó a las empresas industriales y comerciales del Estado dentro de la categoría de entidades estatales</w:t>
      </w:r>
      <w:r w:rsidRPr="009D7E06">
        <w:rPr>
          <w:rStyle w:val="Refdenotaalpie"/>
          <w:rFonts w:ascii="Verdana" w:eastAsia="Calibri" w:hAnsi="Verdana" w:cs="Arial"/>
          <w:color w:val="000000" w:themeColor="text1"/>
        </w:rPr>
        <w:footnoteReference w:id="8"/>
      </w:r>
      <w:r w:rsidRPr="009D7E06">
        <w:rPr>
          <w:rFonts w:ascii="Verdana" w:eastAsia="Calibri" w:hAnsi="Verdana" w:cs="Arial"/>
          <w:color w:val="000000" w:themeColor="text1"/>
        </w:rPr>
        <w:t xml:space="preserve">. Para estos efectos, el numeral 1, literal m), del artículo 24 del Estatuto General –derogado por el artículo 32 de la Ley 1150 de 2007– permitía la contratación directa de los bienes y servicios requeridos para el desarrollo de </w:t>
      </w:r>
      <w:r w:rsidRPr="009D7E06">
        <w:rPr>
          <w:rFonts w:ascii="Verdana" w:eastAsia="Calibri" w:hAnsi="Verdana" w:cs="Arial"/>
          <w:color w:val="000000" w:themeColor="text1"/>
        </w:rPr>
        <w:lastRenderedPageBreak/>
        <w:t>su objeto social, exceptuado los contratos de obra, consultoría, concesión, encargos fiduciarios y fiducia pública</w:t>
      </w:r>
      <w:r w:rsidRPr="009D7E06">
        <w:rPr>
          <w:rStyle w:val="Refdenotaalpie"/>
          <w:rFonts w:ascii="Verdana" w:eastAsia="Calibri" w:hAnsi="Verdana" w:cs="Arial"/>
          <w:color w:val="000000" w:themeColor="text1"/>
        </w:rPr>
        <w:footnoteReference w:id="9"/>
      </w:r>
      <w:r w:rsidRPr="009D7E06">
        <w:rPr>
          <w:rFonts w:ascii="Verdana" w:eastAsia="Calibri" w:hAnsi="Verdana" w:cs="Arial"/>
          <w:color w:val="000000" w:themeColor="text1"/>
        </w:rPr>
        <w:t xml:space="preserve">. </w:t>
      </w:r>
    </w:p>
    <w:p w14:paraId="78C98E99" w14:textId="77777777" w:rsidR="005E7C2E" w:rsidRPr="009D7E06" w:rsidRDefault="005E7C2E" w:rsidP="005E7C2E">
      <w:pPr>
        <w:spacing w:after="0" w:line="276" w:lineRule="auto"/>
        <w:jc w:val="both"/>
        <w:rPr>
          <w:rFonts w:ascii="Verdana" w:eastAsia="Calibri" w:hAnsi="Verdana" w:cs="Arial"/>
          <w:color w:val="000000" w:themeColor="text1"/>
        </w:rPr>
      </w:pPr>
      <w:r w:rsidRPr="009D7E06">
        <w:rPr>
          <w:rFonts w:ascii="Verdana" w:eastAsia="Calibri" w:hAnsi="Verdana" w:cs="Arial"/>
          <w:color w:val="000000" w:themeColor="text1"/>
        </w:rPr>
        <w:tab/>
        <w:t xml:space="preserve">Actualmente, el artículo 14 de Ley 1150 de 2007 distingue entre las empresas industriales y comerciales del Estado que desarrollan sus actividades en competencia con los particulares y las que no: mientras los contratos de estas últimas </w:t>
      </w:r>
      <w:r>
        <w:rPr>
          <w:rFonts w:ascii="Verdana" w:eastAsia="Calibri" w:hAnsi="Verdana" w:cs="Arial"/>
          <w:color w:val="000000" w:themeColor="text1"/>
        </w:rPr>
        <w:t xml:space="preserve">se rigen por </w:t>
      </w:r>
      <w:r w:rsidRPr="009D7E06">
        <w:rPr>
          <w:rFonts w:ascii="Verdana" w:eastAsia="Calibri" w:hAnsi="Verdana" w:cs="Arial"/>
          <w:color w:val="000000" w:themeColor="text1"/>
        </w:rPr>
        <w:t xml:space="preserve">las normas de la Ley 80 de 1993, los de aquellas permanecen dentro del Código Civil y de Comercio, lo que –respecto al contenido del artículo 85 de la Ley 489 de 1998– implica un retorno parcial del derecho administrativo. </w:t>
      </w:r>
      <w:r>
        <w:rPr>
          <w:rFonts w:ascii="Verdana" w:eastAsia="Calibri" w:hAnsi="Verdana" w:cs="Arial"/>
          <w:color w:val="000000" w:themeColor="text1"/>
        </w:rPr>
        <w:t>L</w:t>
      </w:r>
      <w:r w:rsidRPr="009D7E06">
        <w:rPr>
          <w:rFonts w:ascii="Verdana" w:eastAsia="Calibri" w:hAnsi="Verdana" w:cs="Arial"/>
          <w:color w:val="000000" w:themeColor="text1"/>
        </w:rPr>
        <w:t>a norma anteriormente citada dispone lo siguiente:</w:t>
      </w:r>
    </w:p>
    <w:p w14:paraId="67706E5A" w14:textId="77777777" w:rsidR="005E7C2E" w:rsidRPr="009D7E06" w:rsidRDefault="005E7C2E" w:rsidP="005E7C2E">
      <w:pPr>
        <w:spacing w:after="0" w:line="276" w:lineRule="auto"/>
        <w:jc w:val="both"/>
        <w:rPr>
          <w:rFonts w:ascii="Verdana" w:eastAsia="Calibri" w:hAnsi="Verdana" w:cs="Arial"/>
          <w:color w:val="000000" w:themeColor="text1"/>
        </w:rPr>
      </w:pPr>
    </w:p>
    <w:p w14:paraId="5F466CC0" w14:textId="77777777" w:rsidR="005E7C2E" w:rsidRPr="009D6201" w:rsidRDefault="005E7C2E" w:rsidP="005E7C2E">
      <w:pPr>
        <w:spacing w:after="0" w:line="240" w:lineRule="auto"/>
        <w:ind w:left="709" w:right="709"/>
        <w:jc w:val="both"/>
        <w:rPr>
          <w:rFonts w:ascii="Verdana" w:eastAsia="Calibri" w:hAnsi="Verdana" w:cs="Arial"/>
          <w:color w:val="000000" w:themeColor="text1"/>
          <w:sz w:val="20"/>
          <w:szCs w:val="20"/>
        </w:rPr>
      </w:pPr>
      <w:r w:rsidRPr="009D6201">
        <w:rPr>
          <w:rFonts w:ascii="Verdana" w:eastAsia="Calibri" w:hAnsi="Verdana" w:cs="Arial"/>
          <w:color w:val="000000" w:themeColor="text1"/>
          <w:sz w:val="20"/>
          <w:szCs w:val="20"/>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2BC6FDD5" w14:textId="77777777" w:rsidR="005E7C2E" w:rsidRPr="009D7E06" w:rsidRDefault="005E7C2E" w:rsidP="005E7C2E">
      <w:pPr>
        <w:spacing w:after="0" w:line="276" w:lineRule="auto"/>
        <w:ind w:left="709" w:right="709"/>
        <w:jc w:val="both"/>
        <w:rPr>
          <w:rFonts w:ascii="Verdana" w:eastAsia="Calibri" w:hAnsi="Verdana" w:cs="Arial"/>
          <w:color w:val="000000" w:themeColor="text1"/>
        </w:rPr>
      </w:pPr>
    </w:p>
    <w:p w14:paraId="0C04A66E" w14:textId="77777777" w:rsidR="005E7C2E" w:rsidRPr="009D7E06" w:rsidRDefault="005E7C2E" w:rsidP="005E7C2E">
      <w:pPr>
        <w:spacing w:after="0" w:line="276" w:lineRule="auto"/>
        <w:jc w:val="both"/>
        <w:rPr>
          <w:rFonts w:ascii="Verdana" w:eastAsia="Calibri" w:hAnsi="Verdana" w:cs="Arial"/>
          <w:color w:val="000000" w:themeColor="text1"/>
        </w:rPr>
      </w:pPr>
      <w:r w:rsidRPr="009D7E06">
        <w:rPr>
          <w:rFonts w:ascii="Verdana" w:eastAsia="Calibri" w:hAnsi="Verdana" w:cs="Arial"/>
          <w:color w:val="000000" w:themeColor="text1"/>
        </w:rPr>
        <w:tab/>
        <w:t>En esta medida, las empresas industriales y comerciales del Estado que no estén en competencia ni desarrollen su actividad en mercados regulados están sometidas al Estatuto General de Contratación de la Administración Pública y las normas que lo complementan. Conforme al literal g) del artículo 2.2 de la Ley 1150 de 2007, estos contratos siguen las reglas del procedimiento de selección abreviada, exceptuados los del artículo 32 de la Ley 80 de 1993</w:t>
      </w:r>
      <w:r w:rsidRPr="009D7E06">
        <w:rPr>
          <w:rStyle w:val="Refdenotaalpie"/>
          <w:rFonts w:ascii="Verdana" w:eastAsia="Calibri" w:hAnsi="Verdana" w:cs="Arial"/>
          <w:color w:val="000000" w:themeColor="text1"/>
        </w:rPr>
        <w:footnoteReference w:id="10"/>
      </w:r>
      <w:r w:rsidRPr="009D7E06">
        <w:rPr>
          <w:rFonts w:ascii="Verdana" w:eastAsia="Calibri" w:hAnsi="Verdana" w:cs="Arial"/>
          <w:color w:val="000000" w:themeColor="text1"/>
        </w:rPr>
        <w:t xml:space="preserve">. En </w:t>
      </w:r>
      <w:r w:rsidRPr="009D7E06">
        <w:rPr>
          <w:rFonts w:ascii="Verdana" w:eastAsia="Calibri" w:hAnsi="Verdana" w:cs="Arial"/>
          <w:color w:val="000000" w:themeColor="text1"/>
        </w:rPr>
        <w:lastRenderedPageBreak/>
        <w:t xml:space="preserve">contraste, el régimen contractual de las empresas industriales y comerciales del Estado que se encuentren en competencia o en mercados regulados es el propio de tales actividades, esto es, por regla general, el derecho privado. De acuerdo con la jurisprudencia, la exclusión de estas últimas se justifica en el principio de igualdad, </w:t>
      </w:r>
      <w:proofErr w:type="gramStart"/>
      <w:r w:rsidRPr="009D7E06">
        <w:rPr>
          <w:rFonts w:ascii="Verdana" w:eastAsia="Calibri" w:hAnsi="Verdana" w:cs="Arial"/>
          <w:color w:val="000000" w:themeColor="text1"/>
        </w:rPr>
        <w:t>ya que</w:t>
      </w:r>
      <w:proofErr w:type="gramEnd"/>
      <w:r w:rsidRPr="009D7E06">
        <w:rPr>
          <w:rFonts w:ascii="Verdana" w:eastAsia="Calibri" w:hAnsi="Verdana" w:cs="Arial"/>
          <w:color w:val="000000" w:themeColor="text1"/>
        </w:rPr>
        <w:t xml:space="preserve"> si Estado desarrolla actividades de los particulares, debe actuar no solo desprovisto de poderes exorbitantes sino también con la misma eficacia y eficiencia que los sujetos de derecho privado. No en vano:</w:t>
      </w:r>
    </w:p>
    <w:p w14:paraId="29717978" w14:textId="77777777" w:rsidR="005E7C2E" w:rsidRPr="009D7E06" w:rsidRDefault="005E7C2E" w:rsidP="005E7C2E">
      <w:pPr>
        <w:spacing w:after="0" w:line="276" w:lineRule="auto"/>
        <w:jc w:val="both"/>
        <w:rPr>
          <w:rFonts w:ascii="Verdana" w:eastAsia="Calibri" w:hAnsi="Verdana" w:cs="Arial"/>
          <w:color w:val="000000" w:themeColor="text1"/>
        </w:rPr>
      </w:pPr>
    </w:p>
    <w:p w14:paraId="014DAA38" w14:textId="77777777" w:rsidR="005E7C2E" w:rsidRPr="009D6201" w:rsidRDefault="005E7C2E" w:rsidP="005E7C2E">
      <w:pPr>
        <w:spacing w:after="120" w:line="240" w:lineRule="auto"/>
        <w:ind w:left="709" w:right="709"/>
        <w:jc w:val="both"/>
        <w:rPr>
          <w:rFonts w:ascii="Verdana" w:eastAsia="Calibri" w:hAnsi="Verdana" w:cs="Arial"/>
          <w:color w:val="000000" w:themeColor="text1"/>
          <w:sz w:val="20"/>
          <w:szCs w:val="20"/>
        </w:rPr>
      </w:pPr>
      <w:r w:rsidRPr="009D6201">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1B87CD9C" w14:textId="77777777" w:rsidR="005E7C2E" w:rsidRPr="009D6201" w:rsidRDefault="005E7C2E" w:rsidP="005E7C2E">
      <w:pPr>
        <w:spacing w:after="120" w:line="240" w:lineRule="auto"/>
        <w:ind w:left="709" w:right="709"/>
        <w:jc w:val="both"/>
        <w:rPr>
          <w:rFonts w:ascii="Verdana" w:eastAsia="Calibri" w:hAnsi="Verdana" w:cs="Arial"/>
          <w:color w:val="000000" w:themeColor="text1"/>
          <w:sz w:val="20"/>
          <w:szCs w:val="20"/>
        </w:rPr>
      </w:pPr>
      <w:r w:rsidRPr="009D6201">
        <w:rPr>
          <w:rFonts w:ascii="Verdana" w:eastAsia="Calibri" w:hAnsi="Verdana" w:cs="Arial"/>
          <w:color w:val="000000" w:themeColor="text1"/>
          <w:sz w:val="20"/>
          <w:szCs w:val="20"/>
        </w:rPr>
        <w:t xml:space="preserve">Se trata pues, de que sus actividades de explotación industrial o comercial se desarrollen con las </w:t>
      </w:r>
      <w:proofErr w:type="gramStart"/>
      <w:r w:rsidRPr="009D6201">
        <w:rPr>
          <w:rFonts w:ascii="Verdana" w:eastAsia="Calibri" w:hAnsi="Verdana" w:cs="Arial"/>
          <w:color w:val="000000" w:themeColor="text1"/>
          <w:sz w:val="20"/>
          <w:szCs w:val="20"/>
        </w:rPr>
        <w:t>mismas oportunidades y las mismas ventajas</w:t>
      </w:r>
      <w:proofErr w:type="gramEnd"/>
      <w:r w:rsidRPr="009D6201">
        <w:rPr>
          <w:rFonts w:ascii="Verdana" w:eastAsia="Calibri" w:hAnsi="Verdana" w:cs="Arial"/>
          <w:color w:val="000000" w:themeColor="text1"/>
          <w:sz w:val="20"/>
          <w:szCs w:val="20"/>
        </w:rPr>
        <w:t xml:space="preserve"> o desventajas que las adelantadas por aquellos, sin que influya para nada su investidura de entidad estatal; que puedan actuar como particulares, frente a las exigencias de la economía y del mercado.</w:t>
      </w:r>
    </w:p>
    <w:p w14:paraId="43E7940B" w14:textId="77777777" w:rsidR="005E7C2E" w:rsidRPr="009D6201" w:rsidRDefault="005E7C2E" w:rsidP="005E7C2E">
      <w:pPr>
        <w:spacing w:after="0" w:line="240" w:lineRule="auto"/>
        <w:ind w:left="709" w:right="709"/>
        <w:jc w:val="both"/>
        <w:rPr>
          <w:rFonts w:ascii="Verdana" w:eastAsia="Calibri" w:hAnsi="Verdana" w:cs="Arial"/>
          <w:color w:val="000000" w:themeColor="text1"/>
          <w:sz w:val="20"/>
          <w:szCs w:val="20"/>
        </w:rPr>
      </w:pPr>
      <w:r w:rsidRPr="009D6201">
        <w:rPr>
          <w:rFonts w:ascii="Verdana" w:eastAsia="Calibri" w:hAnsi="Verdana" w:cs="Arial"/>
          <w:color w:val="000000" w:themeColor="text1"/>
          <w:sz w:val="20"/>
          <w:szCs w:val="20"/>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9D6201">
        <w:rPr>
          <w:rStyle w:val="Refdenotaalpie"/>
          <w:rFonts w:ascii="Verdana" w:eastAsia="Calibri" w:hAnsi="Verdana" w:cs="Arial"/>
          <w:color w:val="000000" w:themeColor="text1"/>
          <w:sz w:val="20"/>
          <w:szCs w:val="20"/>
        </w:rPr>
        <w:footnoteReference w:id="11"/>
      </w:r>
      <w:r w:rsidRPr="009D6201">
        <w:rPr>
          <w:rFonts w:ascii="Verdana" w:eastAsia="Calibri" w:hAnsi="Verdana" w:cs="Arial"/>
          <w:color w:val="000000" w:themeColor="text1"/>
          <w:sz w:val="20"/>
          <w:szCs w:val="20"/>
        </w:rPr>
        <w:t>.</w:t>
      </w:r>
    </w:p>
    <w:p w14:paraId="26273C15" w14:textId="77777777" w:rsidR="005E7C2E" w:rsidRPr="009D7E06" w:rsidRDefault="005E7C2E" w:rsidP="005E7C2E">
      <w:pPr>
        <w:spacing w:after="0" w:line="276" w:lineRule="auto"/>
        <w:jc w:val="both"/>
        <w:rPr>
          <w:rFonts w:ascii="Verdana" w:eastAsia="Calibri" w:hAnsi="Verdana" w:cs="Arial"/>
          <w:color w:val="000000" w:themeColor="text1"/>
        </w:rPr>
      </w:pPr>
    </w:p>
    <w:p w14:paraId="4A38B7C3" w14:textId="77777777" w:rsidR="005E7C2E" w:rsidRDefault="005E7C2E" w:rsidP="005E7C2E">
      <w:pPr>
        <w:spacing w:after="0" w:line="276" w:lineRule="auto"/>
        <w:ind w:firstLine="708"/>
        <w:jc w:val="both"/>
        <w:rPr>
          <w:rFonts w:ascii="Verdana" w:eastAsia="Calibri" w:hAnsi="Verdana" w:cs="Arial"/>
          <w:color w:val="000000" w:themeColor="text1"/>
        </w:rPr>
      </w:pPr>
      <w:r w:rsidRPr="009D7E06">
        <w:rPr>
          <w:rFonts w:ascii="Verdana" w:eastAsia="Calibri" w:hAnsi="Verdana" w:cs="Arial"/>
          <w:color w:val="000000" w:themeColor="text1"/>
        </w:rPr>
        <w:t xml:space="preserve">Por lo tanto, el régimen contractual de las empresas industriales y comerciales del Estado que estén en competencia o desarrollen su actividad en mercados regulados es el propio de tal actividad, esto es, por regla general, el derecho privado, salvo las excepciones legales o las contenidas en el acto de creación o en los estatutos de la respectiva empresa industrial o comercial del Estado.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w:t>
      </w:r>
      <w:r w:rsidRPr="009D7E06">
        <w:rPr>
          <w:rFonts w:ascii="Verdana" w:eastAsia="Calibri" w:hAnsi="Verdana" w:cs="Arial"/>
          <w:color w:val="000000" w:themeColor="text1"/>
        </w:rPr>
        <w:lastRenderedPageBreak/>
        <w:t xml:space="preserve">incompatibilidades. Por el contrario, aquellas empresas industriales y comerciales del Estado que no estén en competencia ni desarrollen su actividad en mercados regulados están sometidas al Estatuto General de Contratación de la Administración Pública y las normas que lo complementan, como lo dispone el artículo 14 de la Ley 1150 de 2007. </w:t>
      </w:r>
    </w:p>
    <w:p w14:paraId="7CEE8E46" w14:textId="77777777" w:rsidR="005E7C2E" w:rsidRPr="00C87BA7" w:rsidRDefault="005E7C2E" w:rsidP="005E7C2E">
      <w:pPr>
        <w:spacing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De esta forma, p</w:t>
      </w:r>
      <w:r w:rsidRPr="00BD43CF">
        <w:rPr>
          <w:rFonts w:ascii="Verdana" w:eastAsia="Calibri" w:hAnsi="Verdana" w:cs="Arial"/>
          <w:color w:val="000000" w:themeColor="text1"/>
        </w:rPr>
        <w:t xml:space="preserve">or </w:t>
      </w:r>
      <w:r w:rsidRPr="00BD43CF">
        <w:rPr>
          <w:rFonts w:ascii="Verdana" w:eastAsia="Calibri" w:hAnsi="Verdana" w:cs="Arial"/>
          <w:i/>
          <w:iCs/>
          <w:color w:val="000000" w:themeColor="text1"/>
        </w:rPr>
        <w:t>regla general</w:t>
      </w:r>
      <w:r w:rsidRPr="00BD43CF">
        <w:rPr>
          <w:rFonts w:ascii="Verdana" w:eastAsia="Calibri" w:hAnsi="Verdana" w:cs="Arial"/>
          <w:color w:val="000000" w:themeColor="text1"/>
        </w:rPr>
        <w:t xml:space="preserve">, </w:t>
      </w:r>
      <w:r w:rsidRPr="00BD43CF">
        <w:rPr>
          <w:rFonts w:ascii="Verdana" w:eastAsia="Calibri" w:hAnsi="Verdana" w:cs="Arial"/>
          <w:lang w:val="es-ES_tradnl"/>
        </w:rPr>
        <w:t xml:space="preserve">el parágrafo 3 del artículo 50 de la Ley 1523 de 2012 dispone que los contratos del </w:t>
      </w:r>
      <w:r w:rsidRPr="00BD43CF">
        <w:rPr>
          <w:rFonts w:ascii="Verdana" w:eastAsia="Century Gothic" w:hAnsi="Verdana" w:cs="Century Gothic"/>
          <w:lang w:val="es-ES_tradnl"/>
        </w:rPr>
        <w:t>Fondo Nacional de Gestión del Riesgo de Desastres</w:t>
      </w:r>
      <w:r w:rsidRPr="00BD43CF">
        <w:rPr>
          <w:rFonts w:ascii="Verdana" w:eastAsia="Calibri" w:hAnsi="Verdana" w:cs="Arial"/>
          <w:lang w:val="es-ES_tradnl"/>
        </w:rPr>
        <w:t xml:space="preserve"> se someten al régimen aplicable a las empresas industriales y comerciales del Estado en las condiciones explicadas </w:t>
      </w:r>
      <w:r w:rsidRPr="00BD43CF">
        <w:rPr>
          <w:rFonts w:ascii="Verdana" w:eastAsia="Calibri" w:hAnsi="Verdana" w:cs="Arial"/>
          <w:i/>
          <w:iCs/>
          <w:lang w:val="es-ES_tradnl"/>
        </w:rPr>
        <w:t>ut supra</w:t>
      </w:r>
      <w:r w:rsidRPr="00BD43CF">
        <w:rPr>
          <w:rFonts w:ascii="Verdana" w:eastAsia="Calibri" w:hAnsi="Verdana" w:cs="Arial"/>
          <w:lang w:val="es-ES_tradnl"/>
        </w:rPr>
        <w:t xml:space="preserve">. Sin embargo, establece una </w:t>
      </w:r>
      <w:r w:rsidRPr="00BD43CF">
        <w:rPr>
          <w:rFonts w:ascii="Verdana" w:eastAsia="Calibri" w:hAnsi="Verdana" w:cs="Arial"/>
          <w:i/>
          <w:iCs/>
          <w:lang w:val="es-ES_tradnl"/>
        </w:rPr>
        <w:t>excepción</w:t>
      </w:r>
      <w:r w:rsidRPr="00BD43CF">
        <w:rPr>
          <w:rFonts w:ascii="Verdana" w:eastAsia="Calibri" w:hAnsi="Verdana" w:cs="Arial"/>
          <w:lang w:val="es-ES_tradnl"/>
        </w:rPr>
        <w:t xml:space="preserve"> al salvaguardar el “[…] régimen de contratación previsto para las situaciones de desastres o de similar naturaleza y a evitar la extensión de los efectos”. En este contexto, el artículo 66 de la Ley 1523 de 2012 dispone lo siguiente:</w:t>
      </w:r>
    </w:p>
    <w:p w14:paraId="66D51CD9" w14:textId="77777777" w:rsidR="005E7C2E" w:rsidRPr="00BD43CF" w:rsidRDefault="005E7C2E" w:rsidP="005E7C2E">
      <w:pPr>
        <w:spacing w:after="0" w:line="276" w:lineRule="auto"/>
        <w:ind w:firstLine="708"/>
        <w:jc w:val="both"/>
        <w:rPr>
          <w:rFonts w:ascii="Verdana" w:eastAsia="Calibri" w:hAnsi="Verdana" w:cs="Arial"/>
          <w:lang w:val="es-ES_tradnl"/>
        </w:rPr>
      </w:pPr>
    </w:p>
    <w:p w14:paraId="18C08FC5" w14:textId="77777777" w:rsidR="005E7C2E" w:rsidRPr="00BD43CF" w:rsidRDefault="005E7C2E" w:rsidP="005E7C2E">
      <w:pPr>
        <w:spacing w:line="240" w:lineRule="auto"/>
        <w:ind w:left="709" w:right="709"/>
        <w:jc w:val="both"/>
        <w:rPr>
          <w:rFonts w:ascii="Verdana" w:eastAsia="Calibri" w:hAnsi="Verdana" w:cs="Arial"/>
          <w:sz w:val="20"/>
          <w:szCs w:val="20"/>
          <w:lang w:val="es-ES_tradnl"/>
        </w:rPr>
      </w:pPr>
      <w:r w:rsidRPr="00BD43CF">
        <w:rPr>
          <w:rFonts w:ascii="Verdana" w:eastAsia="Calibri" w:hAnsi="Verdana" w:cs="Arial"/>
          <w:sz w:val="20"/>
          <w:szCs w:val="20"/>
          <w:lang w:val="es-ES_tradnl"/>
        </w:rPr>
        <w:t xml:space="preserve">“Art. 66. Salvo lo dispuesto para los contratos de empréstito interno y externo, los contratos que celebre la sociedad fiduciaria para la ejecución de los bienes, derechos e intereses del </w:t>
      </w:r>
      <w:bookmarkStart w:id="10" w:name="_Hlk36227796"/>
      <w:r w:rsidRPr="00BD43CF">
        <w:rPr>
          <w:rFonts w:ascii="Verdana" w:eastAsia="Calibri" w:hAnsi="Verdana" w:cs="Arial"/>
          <w:sz w:val="20"/>
          <w:szCs w:val="20"/>
          <w:lang w:val="es-ES_tradnl"/>
        </w:rPr>
        <w:t>Fondo Nacional de Gestión del Riesgo</w:t>
      </w:r>
      <w:bookmarkEnd w:id="10"/>
      <w:r w:rsidRPr="00BD43CF">
        <w:rPr>
          <w:rFonts w:ascii="Verdana" w:eastAsia="Calibri" w:hAnsi="Verdana" w:cs="Arial"/>
          <w:sz w:val="20"/>
          <w:szCs w:val="20"/>
          <w:lang w:val="es-ES_tradnl"/>
        </w:rPr>
        <w:t xml:space="preserve"> o los celebrados </w:t>
      </w:r>
      <w:bookmarkStart w:id="11" w:name="_Hlk36227833"/>
      <w:r w:rsidRPr="00BD43CF">
        <w:rPr>
          <w:rFonts w:ascii="Verdana" w:eastAsia="Calibri" w:hAnsi="Verdana" w:cs="Arial"/>
          <w:sz w:val="20"/>
          <w:szCs w:val="20"/>
          <w:lang w:val="es-ES_tradnl"/>
        </w:rPr>
        <w:t>por las entidades ejecutoras que reciban recursos provenientes de este fondo</w:t>
      </w:r>
      <w:bookmarkEnd w:id="11"/>
      <w:r w:rsidRPr="00BD43CF">
        <w:rPr>
          <w:rFonts w:ascii="Verdana" w:eastAsia="Calibri" w:hAnsi="Verdana" w:cs="Arial"/>
          <w:sz w:val="20"/>
          <w:szCs w:val="20"/>
          <w:lang w:val="es-ES_tradnl"/>
        </w:rPr>
        <w:t xml:space="preserve"> o </w:t>
      </w:r>
      <w:bookmarkStart w:id="12" w:name="_Hlk36228014"/>
      <w:r w:rsidRPr="00BD43CF">
        <w:rPr>
          <w:rFonts w:ascii="Verdana" w:eastAsia="Calibri" w:hAnsi="Verdana" w:cs="Arial"/>
          <w:sz w:val="20"/>
          <w:szCs w:val="20"/>
          <w:lang w:val="es-ES_tradnl"/>
        </w:rPr>
        <w:t>los celebrados por las entidades territoriales y sus fondos de gestión del riesgo</w:t>
      </w:r>
      <w:bookmarkEnd w:id="12"/>
      <w:r w:rsidRPr="00BD43CF">
        <w:rPr>
          <w:rFonts w:ascii="Verdana" w:eastAsia="Calibri" w:hAnsi="Verdana" w:cs="Arial"/>
          <w:sz w:val="20"/>
          <w:szCs w:val="20"/>
          <w:lang w:val="es-ES_tradnl"/>
        </w:rPr>
        <w:t xml:space="preserve">, </w:t>
      </w:r>
      <w:bookmarkStart w:id="13" w:name="_Hlk36228190"/>
      <w:r w:rsidRPr="00BD43CF">
        <w:rPr>
          <w:rFonts w:ascii="Verdana" w:eastAsia="Calibri" w:hAnsi="Verdana" w:cs="Arial"/>
          <w:sz w:val="20"/>
          <w:szCs w:val="20"/>
          <w:lang w:val="es-ES_tradnl"/>
        </w:rPr>
        <w:t xml:space="preserve">relacionados </w:t>
      </w:r>
      <w:bookmarkStart w:id="14" w:name="_Hlk36229456"/>
      <w:r w:rsidRPr="00BD43CF">
        <w:rPr>
          <w:rFonts w:ascii="Verdana" w:eastAsia="Calibri" w:hAnsi="Verdana" w:cs="Arial"/>
          <w:sz w:val="20"/>
          <w:szCs w:val="20"/>
          <w:lang w:val="es-ES_tradnl"/>
        </w:rPr>
        <w:t>directamente con las actividades de respuesta, de rehabilitación y reconstrucción</w:t>
      </w:r>
      <w:bookmarkEnd w:id="14"/>
      <w:r w:rsidRPr="00BD43CF">
        <w:rPr>
          <w:rFonts w:ascii="Verdana" w:eastAsia="Calibri" w:hAnsi="Verdana" w:cs="Arial"/>
          <w:sz w:val="20"/>
          <w:szCs w:val="20"/>
          <w:lang w:val="es-ES_tradnl"/>
        </w:rPr>
        <w:t xml:space="preserve"> de las zonas declaradas en situación de desastre o calamidad pública</w:t>
      </w:r>
      <w:bookmarkEnd w:id="13"/>
      <w:r w:rsidRPr="00BD43CF">
        <w:rPr>
          <w:rFonts w:ascii="Verdana" w:eastAsia="Calibri" w:hAnsi="Verdana" w:cs="Arial"/>
          <w:sz w:val="20"/>
          <w:szCs w:val="20"/>
          <w:lang w:val="es-ES_tradnl"/>
        </w:rPr>
        <w:t xml:space="preserve">, </w:t>
      </w:r>
      <w:r w:rsidRPr="004D2438">
        <w:rPr>
          <w:rFonts w:ascii="Verdana" w:eastAsia="Calibri" w:hAnsi="Verdana" w:cs="Arial"/>
          <w:i/>
          <w:iCs/>
          <w:sz w:val="20"/>
          <w:szCs w:val="20"/>
          <w:lang w:val="es-ES_tradnl"/>
        </w:rPr>
        <w:t>se someterán a los requisitos y formalidades que exige la ley para la contratación entre particulares, c</w:t>
      </w:r>
      <w:r w:rsidRPr="00BD43CF">
        <w:rPr>
          <w:rFonts w:ascii="Verdana" w:eastAsia="Calibri" w:hAnsi="Verdana" w:cs="Arial"/>
          <w:sz w:val="20"/>
          <w:szCs w:val="20"/>
          <w:lang w:val="es-ES_tradnl"/>
        </w:rPr>
        <w:t>on sujeción al régimen especial dispuesto en el artículo 13 de la Ley 1150 de 2007, y podrán contemplar cláusulas excepcionales de conformidad con lo dispuesto en los artículos 14 a 18 de la Ley 80 de 1993.</w:t>
      </w:r>
    </w:p>
    <w:p w14:paraId="2E58315D" w14:textId="77777777" w:rsidR="005E7C2E" w:rsidRPr="00BD43CF" w:rsidRDefault="005E7C2E" w:rsidP="005E7C2E">
      <w:pPr>
        <w:spacing w:before="120" w:after="0" w:line="240" w:lineRule="auto"/>
        <w:ind w:left="709" w:right="709"/>
        <w:jc w:val="both"/>
        <w:rPr>
          <w:rFonts w:ascii="Verdana" w:eastAsia="Calibri" w:hAnsi="Verdana" w:cs="Arial"/>
          <w:lang w:val="es-ES_tradnl"/>
        </w:rPr>
      </w:pPr>
      <w:r w:rsidRPr="00BD43CF">
        <w:rPr>
          <w:rFonts w:ascii="Verdana" w:eastAsia="Calibri" w:hAnsi="Verdana" w:cs="Arial"/>
          <w:sz w:val="20"/>
          <w:szCs w:val="20"/>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086A8A7D" w14:textId="77777777" w:rsidR="005E7C2E" w:rsidRPr="00BD43CF" w:rsidRDefault="005E7C2E" w:rsidP="005E7C2E">
      <w:pPr>
        <w:spacing w:after="0" w:line="276" w:lineRule="auto"/>
        <w:jc w:val="both"/>
        <w:rPr>
          <w:rFonts w:ascii="Verdana" w:eastAsia="Calibri" w:hAnsi="Verdana" w:cs="Arial"/>
          <w:lang w:val="es-ES_tradnl"/>
        </w:rPr>
      </w:pPr>
    </w:p>
    <w:p w14:paraId="7A4F9EBF" w14:textId="77777777" w:rsidR="005E7C2E" w:rsidRPr="00BD43CF" w:rsidRDefault="005E7C2E" w:rsidP="005E7C2E">
      <w:pPr>
        <w:spacing w:after="120" w:line="276" w:lineRule="auto"/>
        <w:jc w:val="both"/>
        <w:rPr>
          <w:rFonts w:ascii="Verdana" w:eastAsia="Calibri" w:hAnsi="Verdana" w:cs="Arial"/>
          <w:lang w:val="es-ES"/>
        </w:rPr>
      </w:pPr>
      <w:r w:rsidRPr="00BD43CF">
        <w:rPr>
          <w:rFonts w:ascii="Verdana" w:eastAsia="Calibri" w:hAnsi="Verdana" w:cs="Arial"/>
          <w:lang w:val="es-ES_tradnl"/>
        </w:rPr>
        <w:tab/>
      </w:r>
      <w:r w:rsidRPr="00BD43CF">
        <w:rPr>
          <w:rFonts w:ascii="Verdana" w:eastAsia="Calibri" w:hAnsi="Verdana" w:cs="Arial"/>
          <w:lang w:val="es-ES"/>
        </w:rPr>
        <w:t>Respecto al Fondo Nacional de Gestión del Riesgo, esta norma es congruente con el artículo 3 del Decreto Ley 4702 de 2010, el cual está vigente conforme al inciso segundo del artículo 96 de la Ley 1523 de 2012</w:t>
      </w:r>
      <w:r w:rsidRPr="00BD43CF">
        <w:rPr>
          <w:rStyle w:val="Refdenotaalpie"/>
          <w:rFonts w:ascii="Verdana" w:eastAsia="Calibri" w:hAnsi="Verdana" w:cs="Arial"/>
          <w:lang w:val="es-ES"/>
        </w:rPr>
        <w:footnoteReference w:id="12"/>
      </w:r>
      <w:r w:rsidRPr="00BD43CF">
        <w:rPr>
          <w:rFonts w:ascii="Verdana" w:eastAsia="Calibri" w:hAnsi="Verdana" w:cs="Arial"/>
          <w:lang w:val="es-ES"/>
        </w:rPr>
        <w:t xml:space="preserve">. </w:t>
      </w:r>
      <w:r>
        <w:rPr>
          <w:rFonts w:ascii="Verdana" w:eastAsia="Calibri" w:hAnsi="Verdana" w:cs="Arial"/>
          <w:lang w:val="es-ES"/>
        </w:rPr>
        <w:t>D</w:t>
      </w:r>
      <w:r w:rsidRPr="00BD43CF">
        <w:rPr>
          <w:rFonts w:ascii="Verdana" w:eastAsia="Calibri" w:hAnsi="Verdana" w:cs="Arial"/>
          <w:lang w:val="es-ES"/>
        </w:rPr>
        <w:t xml:space="preserve">icha </w:t>
      </w:r>
      <w:r w:rsidRPr="00BD43CF">
        <w:rPr>
          <w:rFonts w:ascii="Verdana" w:eastAsia="Calibri" w:hAnsi="Verdana" w:cs="Arial"/>
          <w:lang w:val="es-ES"/>
        </w:rPr>
        <w:lastRenderedPageBreak/>
        <w:t xml:space="preserve">norma modificó el del Decreto Ley 919 de 1989 el cual organizaba anteriormente el Sistema Nacional para la Prevención y Atención de Desastres. Asimismo, el artículo 66 de la Ley 1523 de 2012 concuerda con el artículo 54 </w:t>
      </w:r>
      <w:r w:rsidRPr="00BD43CF">
        <w:rPr>
          <w:rFonts w:ascii="Verdana" w:eastAsia="Calibri" w:hAnsi="Verdana" w:cs="Arial"/>
          <w:i/>
          <w:lang w:val="es-ES"/>
        </w:rPr>
        <w:t>ibidem</w:t>
      </w:r>
      <w:r w:rsidRPr="00BD43CF">
        <w:rPr>
          <w:rFonts w:ascii="Verdana" w:eastAsia="Calibri" w:hAnsi="Verdana" w:cs="Arial"/>
          <w:lang w:val="es-ES"/>
        </w:rPr>
        <w:t xml:space="preserve">, pues este último establece que las entidades territoriales deben constituir sus propios </w:t>
      </w:r>
      <w:r w:rsidRPr="00BD43CF">
        <w:rPr>
          <w:rFonts w:ascii="Verdana" w:eastAsia="Calibri" w:hAnsi="Verdana" w:cs="Arial"/>
          <w:i/>
          <w:lang w:val="es-ES"/>
        </w:rPr>
        <w:t>fondos de gestión del riesgo</w:t>
      </w:r>
      <w:r w:rsidRPr="00BD43CF">
        <w:rPr>
          <w:rFonts w:ascii="Verdana" w:eastAsia="Calibri" w:hAnsi="Verdana" w:cs="Arial"/>
          <w:lang w:val="es-ES"/>
        </w:rPr>
        <w:t>, bajo el mismo esquema del Fondo Nacional, con el propósito de invertir, destinar y ejecutar sus recursos en la adopción de medidas de conocimiento y reducción del riesgo, preparación, respuesta, rehabilitación y reconstrucción en situaciones de desastre o calamidad pública</w:t>
      </w:r>
      <w:r w:rsidRPr="00BD43CF">
        <w:rPr>
          <w:rStyle w:val="Refdenotaalpie"/>
          <w:rFonts w:ascii="Verdana" w:eastAsia="Calibri" w:hAnsi="Verdana" w:cs="Arial"/>
          <w:lang w:val="es-ES"/>
        </w:rPr>
        <w:footnoteReference w:id="13"/>
      </w:r>
      <w:r w:rsidRPr="00BD43CF">
        <w:rPr>
          <w:rFonts w:ascii="Verdana" w:eastAsia="Calibri" w:hAnsi="Verdana" w:cs="Arial"/>
          <w:lang w:val="es-ES"/>
        </w:rPr>
        <w:t>.</w:t>
      </w:r>
    </w:p>
    <w:p w14:paraId="5B89EE36" w14:textId="77777777" w:rsidR="005E7C2E" w:rsidRPr="00BD43CF" w:rsidRDefault="005E7C2E" w:rsidP="005E7C2E">
      <w:pPr>
        <w:spacing w:after="120" w:line="276" w:lineRule="auto"/>
        <w:ind w:firstLine="708"/>
        <w:jc w:val="both"/>
        <w:rPr>
          <w:rFonts w:ascii="Verdana" w:eastAsia="Calibri" w:hAnsi="Verdana" w:cs="Arial"/>
          <w:lang w:val="es-ES"/>
        </w:rPr>
      </w:pPr>
      <w:bookmarkStart w:id="16" w:name="_Hlk37246222"/>
      <w:r w:rsidRPr="00BD43CF">
        <w:rPr>
          <w:rFonts w:ascii="Verdana" w:eastAsia="Calibri" w:hAnsi="Verdana" w:cs="Arial"/>
          <w:lang w:val="es-ES"/>
        </w:rPr>
        <w:t xml:space="preserve">Sin perjuicio de las potestades exorbitantes, la norma analizada exceptúa del Estatuto General de Contratación de la Administración Pública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ii) por las entidades ejecutoras que reciban recursos provenientes de este fondo y iii) los celebrados por las entidades territoriales y sus fondos de gestión del riesgo. </w:t>
      </w:r>
    </w:p>
    <w:p w14:paraId="55846BF3" w14:textId="77777777" w:rsidR="005E7C2E" w:rsidRPr="00BD43CF" w:rsidRDefault="005E7C2E" w:rsidP="005E7C2E">
      <w:pPr>
        <w:spacing w:after="120" w:line="276" w:lineRule="auto"/>
        <w:ind w:firstLine="708"/>
        <w:jc w:val="both"/>
        <w:rPr>
          <w:rFonts w:ascii="Verdana" w:eastAsia="Calibri" w:hAnsi="Verdana" w:cs="Arial"/>
          <w:lang w:val="es-ES_tradnl"/>
        </w:rPr>
      </w:pPr>
      <w:r w:rsidRPr="00BD43CF">
        <w:rPr>
          <w:rFonts w:ascii="Verdana" w:eastAsia="Calibri" w:hAnsi="Verdana" w:cs="Arial"/>
          <w:lang w:val="es-ES_tradnl"/>
        </w:rPr>
        <w:t xml:space="preserve">Al ser una norma excepcional, la expresión entrecomillada en el párrafo precedente debe interpretarse literalmente, por lo que no es susceptible extensión, restricción o analogía. Como establece los parámetros para su aplicabilidad, el control judicial sobre la motivación se realiza estrictamente sobre la base de los elementos ya mencionados, sin restar o adicionar otros distintos. </w:t>
      </w:r>
    </w:p>
    <w:p w14:paraId="542E3D6A" w14:textId="77777777" w:rsidR="005E7C2E" w:rsidRPr="00BD43CF" w:rsidRDefault="005E7C2E" w:rsidP="005E7C2E">
      <w:pPr>
        <w:spacing w:after="120" w:line="276" w:lineRule="auto"/>
        <w:ind w:firstLine="708"/>
        <w:jc w:val="both"/>
        <w:rPr>
          <w:rFonts w:ascii="Verdana" w:eastAsia="Calibri" w:hAnsi="Verdana" w:cs="Arial"/>
          <w:lang w:val="es-ES_tradnl"/>
        </w:rPr>
      </w:pPr>
      <w:r>
        <w:rPr>
          <w:rFonts w:ascii="Verdana" w:eastAsia="Calibri" w:hAnsi="Verdana" w:cs="Arial"/>
          <w:lang w:val="es-ES_tradnl"/>
        </w:rPr>
        <w:t>En efecto, c</w:t>
      </w:r>
      <w:r w:rsidRPr="00BD43CF">
        <w:rPr>
          <w:rFonts w:ascii="Verdana" w:eastAsia="Calibri" w:hAnsi="Verdana" w:cs="Arial"/>
          <w:lang w:val="es-ES_tradnl"/>
        </w:rPr>
        <w:t xml:space="preserve">uando se declare la situación de desastre o la situación de calamidad pública, las instituciones mencionadas son las únicas excluidas de la Ley 80 de 1993. Las demás siguen cubiertas por el Estatuto General de Contratación de la Administración Pública, como es el caso de los ministerios, todas las entidades descentralizadas por servicios del orden nacional y territorial, </w:t>
      </w:r>
      <w:r w:rsidRPr="00BD43CF">
        <w:rPr>
          <w:rFonts w:ascii="Verdana" w:eastAsia="Calibri" w:hAnsi="Verdana" w:cs="Arial"/>
          <w:lang w:val="es-ES_tradnl"/>
        </w:rPr>
        <w:lastRenderedPageBreak/>
        <w:t>las demás ramas del poder público, los órganos autónomos y</w:t>
      </w:r>
      <w:r>
        <w:rPr>
          <w:rFonts w:ascii="Verdana" w:eastAsia="Calibri" w:hAnsi="Verdana" w:cs="Arial"/>
          <w:lang w:val="es-ES_tradnl"/>
        </w:rPr>
        <w:t>,</w:t>
      </w:r>
      <w:r w:rsidRPr="00BD43CF">
        <w:rPr>
          <w:rFonts w:ascii="Verdana" w:eastAsia="Calibri" w:hAnsi="Verdana" w:cs="Arial"/>
          <w:lang w:val="es-ES_tradnl"/>
        </w:rPr>
        <w:t xml:space="preserve"> en general</w:t>
      </w:r>
      <w:r>
        <w:rPr>
          <w:rFonts w:ascii="Verdana" w:eastAsia="Calibri" w:hAnsi="Verdana" w:cs="Arial"/>
          <w:lang w:val="es-ES_tradnl"/>
        </w:rPr>
        <w:t>,</w:t>
      </w:r>
      <w:r w:rsidRPr="00BD43CF">
        <w:rPr>
          <w:rFonts w:ascii="Verdana" w:eastAsia="Calibri" w:hAnsi="Verdana" w:cs="Arial"/>
          <w:lang w:val="es-ES_tradnl"/>
        </w:rPr>
        <w:t xml:space="preserve"> casi todas las instituciones públicas del país. Estas últimas podrán contratar directamente por urgencia manifiesta bajo los parámetros de la Ley 80 de 1993, de donde se deriva que el régimen especial del artículo 66 de la Ley 1523 de 2012 es autónomo y, por tanto, distinto a la regulación contenida en el EGCAP.   </w:t>
      </w:r>
    </w:p>
    <w:p w14:paraId="0CF6FA2E" w14:textId="77777777" w:rsidR="005E7C2E" w:rsidRDefault="005E7C2E" w:rsidP="005E7C2E">
      <w:pPr>
        <w:spacing w:after="0" w:line="276" w:lineRule="auto"/>
        <w:ind w:firstLine="708"/>
        <w:jc w:val="both"/>
        <w:rPr>
          <w:rFonts w:ascii="Verdana" w:eastAsia="Calibri" w:hAnsi="Verdana" w:cs="Arial"/>
          <w:lang w:val="es-ES_tradnl"/>
        </w:rPr>
      </w:pPr>
      <w:r w:rsidRPr="00BD43CF">
        <w:rPr>
          <w:rFonts w:ascii="Verdana" w:eastAsia="Calibri" w:hAnsi="Verdana" w:cs="Arial"/>
          <w:lang w:val="es-ES_tradnl"/>
        </w:rPr>
        <w:t xml:space="preserve">Además, según el parágrafo </w:t>
      </w:r>
      <w:r w:rsidRPr="00BD43CF">
        <w:rPr>
          <w:rFonts w:ascii="Verdana" w:eastAsia="Calibri" w:hAnsi="Verdana" w:cs="Arial"/>
          <w:i/>
          <w:iCs/>
          <w:lang w:val="es-ES_tradnl"/>
        </w:rPr>
        <w:t>ibidem</w:t>
      </w:r>
      <w:r w:rsidRPr="00BD43CF">
        <w:rPr>
          <w:rFonts w:ascii="Verdana" w:eastAsia="Calibri" w:hAnsi="Verdana" w:cs="Arial"/>
          <w:lang w:val="es-ES_tradnl"/>
        </w:rPr>
        <w:t>, sólo los contratos celebrados por las entidades territoriales se someten al control fiscal, con independencia de que sean producto de la contratación directa; razón por la cual también recae sobre aquellos que son resultado de procesos de selección competitivos. En otras palabras, la pura y simple declaración de desastre o de calamidad pública conduce a que las autoridades mencionadas atrás se excluyan del EGCAP, y pasen a formar parte del régimen especial de contratación, siempre que los contratos estén relacionados directamente con las actividades de respuesta, de rehabilitación y reconstrucción para superar la situación de calamidad o desastre declarados, caso en el cual</w:t>
      </w:r>
      <w:r>
        <w:rPr>
          <w:rFonts w:ascii="Verdana" w:eastAsia="Calibri" w:hAnsi="Verdana" w:cs="Arial"/>
          <w:lang w:val="es-ES_tradnl"/>
        </w:rPr>
        <w:t xml:space="preserve"> </w:t>
      </w:r>
      <w:r w:rsidRPr="00BD43CF">
        <w:rPr>
          <w:rFonts w:ascii="Verdana" w:eastAsia="Calibri" w:hAnsi="Verdana" w:cs="Arial"/>
          <w:lang w:val="es-ES_tradnl"/>
        </w:rPr>
        <w:t xml:space="preserve">podrán pactar poderes excepcionales. </w:t>
      </w:r>
      <w:bookmarkEnd w:id="16"/>
    </w:p>
    <w:p w14:paraId="79E8750C" w14:textId="77777777" w:rsidR="005E7C2E" w:rsidRPr="00EC35A0" w:rsidRDefault="005E7C2E" w:rsidP="005E7C2E">
      <w:pPr>
        <w:spacing w:before="120" w:after="0" w:line="276" w:lineRule="auto"/>
        <w:ind w:firstLine="708"/>
        <w:jc w:val="both"/>
        <w:rPr>
          <w:rFonts w:ascii="Verdana" w:eastAsia="Calibri" w:hAnsi="Verdana" w:cs="Arial"/>
          <w:lang w:val="es-ES_tradnl"/>
        </w:rPr>
      </w:pPr>
      <w:r w:rsidRPr="00462654">
        <w:rPr>
          <w:rFonts w:ascii="Verdana" w:hAnsi="Verdana" w:cs="Arial"/>
          <w:lang w:val="es-ES_tradnl" w:eastAsia="es-ES"/>
        </w:rPr>
        <w:t xml:space="preserve">Al margen de la explicación precedente debe advertirse que el análisis requerido para resolver problemas específicos en torno </w:t>
      </w:r>
      <w:r>
        <w:rPr>
          <w:rFonts w:ascii="Verdana" w:hAnsi="Verdana" w:cs="Arial"/>
          <w:lang w:val="es-ES_tradnl" w:eastAsia="es-ES"/>
        </w:rPr>
        <w:t>al clausulado contractual</w:t>
      </w:r>
      <w:r w:rsidRPr="00462654">
        <w:rPr>
          <w:rFonts w:ascii="Verdana" w:hAnsi="Verdana" w:cs="Arial"/>
          <w:lang w:val="es-ES_tradnl" w:eastAsia="es-ES"/>
        </w:rPr>
        <w:t xml:space="preserve"> debe ser realizado por quienes tengan interés en ello, de acuerdo con lo explicado la aclaración preliminar del presente oficio.</w:t>
      </w:r>
      <w:r>
        <w:rPr>
          <w:rFonts w:ascii="Verdana" w:hAnsi="Verdana" w:cs="Arial"/>
          <w:lang w:val="es-ES_tradnl" w:eastAsia="es-ES"/>
        </w:rPr>
        <w:t xml:space="preserve"> </w:t>
      </w:r>
      <w:r w:rsidRPr="00462654">
        <w:rPr>
          <w:rFonts w:ascii="Verdana" w:hAnsi="Verdana" w:cs="Arial"/>
          <w:lang w:val="es-ES_tradnl" w:eastAsia="es-ES"/>
        </w:rPr>
        <w:t xml:space="preserve">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Pr>
          <w:rFonts w:ascii="Verdana" w:hAnsi="Verdana" w:cs="Arial"/>
          <w:lang w:val="es-ES_tradnl" w:eastAsia="es-ES"/>
        </w:rPr>
        <w:t xml:space="preserve">en </w:t>
      </w:r>
      <w:r w:rsidRPr="00462654">
        <w:rPr>
          <w:rFonts w:ascii="Verdana" w:hAnsi="Verdana" w:cs="Arial"/>
          <w:lang w:val="es-ES_tradnl" w:eastAsia="es-ES"/>
        </w:rPr>
        <w:t>adoptar la decisión correspondiente y, en caso de conflicto, a las autoridades judiciales, fiscales y disciplinarias.</w:t>
      </w:r>
    </w:p>
    <w:p w14:paraId="65DF525B" w14:textId="77777777" w:rsidR="005E7C2E" w:rsidRPr="00462654" w:rsidRDefault="005E7C2E" w:rsidP="005E7C2E">
      <w:pPr>
        <w:spacing w:before="120" w:after="0" w:line="276" w:lineRule="auto"/>
        <w:ind w:firstLine="709"/>
        <w:jc w:val="both"/>
        <w:rPr>
          <w:rFonts w:ascii="Verdana" w:hAnsi="Verdana" w:cs="Arial"/>
          <w:lang w:val="es-ES" w:eastAsia="es-ES"/>
        </w:rPr>
      </w:pPr>
      <w:r w:rsidRPr="1AE1532E">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36756C8" w14:textId="77777777" w:rsidR="005E7C2E" w:rsidRPr="00270E87" w:rsidRDefault="005E7C2E" w:rsidP="005E7C2E">
      <w:pPr>
        <w:spacing w:after="0" w:line="276" w:lineRule="auto"/>
        <w:jc w:val="both"/>
        <w:rPr>
          <w:rFonts w:ascii="Verdana" w:eastAsia="Times New Roman" w:hAnsi="Verdana" w:cs="Arial"/>
          <w:color w:val="000000" w:themeColor="text1"/>
          <w:lang w:val="es-ES"/>
        </w:rPr>
      </w:pPr>
    </w:p>
    <w:p w14:paraId="6E791BCF" w14:textId="77777777" w:rsidR="005E7C2E" w:rsidRPr="00270E87" w:rsidRDefault="005E7C2E" w:rsidP="005E7C2E">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404BC">
        <w:rPr>
          <w:rFonts w:ascii="Verdana" w:eastAsia="Century Gothic" w:hAnsi="Verdana" w:cs="Century Gothic"/>
          <w:b/>
          <w:color w:val="000000" w:themeColor="text1"/>
        </w:rPr>
        <w:lastRenderedPageBreak/>
        <w:t>Referencias normativas, jurisprudenciales y otras fuentes:</w:t>
      </w:r>
    </w:p>
    <w:p w14:paraId="372CB648" w14:textId="77777777" w:rsidR="005E7C2E" w:rsidRPr="00270E87" w:rsidRDefault="005E7C2E" w:rsidP="005E7C2E">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7C2E" w:rsidRPr="00270E87" w14:paraId="4E711379" w14:textId="77777777" w:rsidTr="004E5137">
        <w:trPr>
          <w:trHeight w:val="297"/>
        </w:trPr>
        <w:tc>
          <w:tcPr>
            <w:tcW w:w="8647" w:type="dxa"/>
          </w:tcPr>
          <w:p w14:paraId="4959B927" w14:textId="77777777" w:rsidR="005E7C2E" w:rsidRPr="00BD43CF" w:rsidRDefault="005E7C2E" w:rsidP="004E5137">
            <w:pPr>
              <w:widowControl w:val="0"/>
              <w:numPr>
                <w:ilvl w:val="0"/>
                <w:numId w:val="16"/>
              </w:numPr>
              <w:autoSpaceDE w:val="0"/>
              <w:autoSpaceDN w:val="0"/>
              <w:spacing w:line="276" w:lineRule="auto"/>
              <w:jc w:val="both"/>
              <w:rPr>
                <w:rFonts w:ascii="Verdana" w:eastAsia="Calibri" w:hAnsi="Verdana" w:cs="Arial"/>
                <w:lang w:val="es-ES"/>
              </w:rPr>
            </w:pPr>
            <w:r w:rsidRPr="00BD43CF">
              <w:rPr>
                <w:rFonts w:ascii="Verdana" w:eastAsia="Calibri" w:hAnsi="Verdana" w:cs="Arial"/>
                <w:lang w:val="es-ES"/>
              </w:rPr>
              <w:t>Constitución Política de Colombia. Artículos 209 y 267</w:t>
            </w:r>
          </w:p>
          <w:p w14:paraId="1220F492" w14:textId="77777777" w:rsidR="005E7C2E" w:rsidRPr="00BD43CF" w:rsidRDefault="005E7C2E" w:rsidP="004E5137">
            <w:pPr>
              <w:widowControl w:val="0"/>
              <w:numPr>
                <w:ilvl w:val="0"/>
                <w:numId w:val="16"/>
              </w:numPr>
              <w:autoSpaceDE w:val="0"/>
              <w:autoSpaceDN w:val="0"/>
              <w:spacing w:before="120" w:after="120" w:line="276" w:lineRule="auto"/>
              <w:jc w:val="both"/>
              <w:rPr>
                <w:rFonts w:ascii="Verdana" w:eastAsia="Calibri" w:hAnsi="Verdana" w:cs="Arial"/>
                <w:lang w:val="es-ES"/>
              </w:rPr>
            </w:pPr>
            <w:r w:rsidRPr="00BD43CF">
              <w:rPr>
                <w:rFonts w:ascii="Verdana" w:eastAsia="Calibri" w:hAnsi="Verdana" w:cs="Arial"/>
                <w:lang w:val="es-ES"/>
              </w:rPr>
              <w:t>Ley 84 de 1873. Artículo 28</w:t>
            </w:r>
          </w:p>
          <w:p w14:paraId="155351FE" w14:textId="77777777" w:rsidR="005E7C2E" w:rsidRPr="00BD43CF" w:rsidRDefault="005E7C2E" w:rsidP="004E5137">
            <w:pPr>
              <w:widowControl w:val="0"/>
              <w:numPr>
                <w:ilvl w:val="0"/>
                <w:numId w:val="16"/>
              </w:numPr>
              <w:autoSpaceDE w:val="0"/>
              <w:autoSpaceDN w:val="0"/>
              <w:spacing w:before="120" w:after="120" w:line="276" w:lineRule="auto"/>
              <w:jc w:val="both"/>
              <w:rPr>
                <w:rFonts w:ascii="Verdana" w:eastAsia="Calibri" w:hAnsi="Verdana" w:cs="Arial"/>
                <w:lang w:val="es-ES"/>
              </w:rPr>
            </w:pPr>
            <w:r w:rsidRPr="00BD43CF">
              <w:rPr>
                <w:rFonts w:ascii="Verdana" w:eastAsia="Calibri" w:hAnsi="Verdana" w:cs="Arial"/>
                <w:lang w:val="es-ES"/>
              </w:rPr>
              <w:t>Ley 80 de 1993. Artículos 2, 42, 64</w:t>
            </w:r>
          </w:p>
          <w:p w14:paraId="387D45A8" w14:textId="77777777" w:rsidR="005E7C2E" w:rsidRPr="00BD43CF" w:rsidRDefault="005E7C2E" w:rsidP="004E5137">
            <w:pPr>
              <w:widowControl w:val="0"/>
              <w:numPr>
                <w:ilvl w:val="0"/>
                <w:numId w:val="16"/>
              </w:numPr>
              <w:autoSpaceDE w:val="0"/>
              <w:autoSpaceDN w:val="0"/>
              <w:spacing w:before="120" w:after="120" w:line="276" w:lineRule="auto"/>
              <w:jc w:val="both"/>
              <w:rPr>
                <w:rFonts w:ascii="Verdana" w:eastAsia="Calibri" w:hAnsi="Verdana" w:cs="Arial"/>
                <w:lang w:val="es-ES"/>
              </w:rPr>
            </w:pPr>
            <w:r w:rsidRPr="00BD43CF">
              <w:rPr>
                <w:rFonts w:ascii="Verdana" w:eastAsia="Calibri" w:hAnsi="Verdana" w:cs="Arial"/>
                <w:lang w:val="es-ES"/>
              </w:rPr>
              <w:t>Ley 1150 de 2007. Artículo 13</w:t>
            </w:r>
          </w:p>
          <w:p w14:paraId="38E60357" w14:textId="77777777" w:rsidR="005E7C2E" w:rsidRPr="00BD43CF" w:rsidRDefault="005E7C2E" w:rsidP="004E5137">
            <w:pPr>
              <w:widowControl w:val="0"/>
              <w:numPr>
                <w:ilvl w:val="0"/>
                <w:numId w:val="16"/>
              </w:numPr>
              <w:autoSpaceDE w:val="0"/>
              <w:autoSpaceDN w:val="0"/>
              <w:spacing w:before="120" w:after="120" w:line="276" w:lineRule="auto"/>
              <w:jc w:val="both"/>
              <w:rPr>
                <w:rFonts w:ascii="Verdana" w:eastAsia="Calibri" w:hAnsi="Verdana" w:cs="Arial"/>
                <w:lang w:val="es-ES"/>
              </w:rPr>
            </w:pPr>
            <w:r w:rsidRPr="00BD43CF">
              <w:rPr>
                <w:rFonts w:ascii="Verdana" w:eastAsia="Calibri" w:hAnsi="Verdana" w:cs="Arial"/>
                <w:lang w:val="es-ES"/>
              </w:rPr>
              <w:t>Ley 1523 de 2012. Artículos 5, 8, 47, 49, 50, 56, 57, 59, 66</w:t>
            </w:r>
          </w:p>
          <w:p w14:paraId="6B1AFB1E" w14:textId="77777777" w:rsidR="005E7C2E" w:rsidRPr="00BD43CF" w:rsidRDefault="005E7C2E" w:rsidP="004E5137">
            <w:pPr>
              <w:widowControl w:val="0"/>
              <w:numPr>
                <w:ilvl w:val="0"/>
                <w:numId w:val="16"/>
              </w:numPr>
              <w:autoSpaceDE w:val="0"/>
              <w:autoSpaceDN w:val="0"/>
              <w:spacing w:before="120" w:after="120" w:line="276" w:lineRule="auto"/>
              <w:jc w:val="both"/>
              <w:rPr>
                <w:rFonts w:ascii="Verdana" w:eastAsia="Calibri" w:hAnsi="Verdana" w:cs="Arial"/>
                <w:lang w:val="es-ES"/>
              </w:rPr>
            </w:pPr>
            <w:r w:rsidRPr="00BD43CF">
              <w:rPr>
                <w:rFonts w:ascii="Verdana" w:eastAsia="Calibri" w:hAnsi="Verdana" w:cs="Arial"/>
                <w:lang w:val="es-ES"/>
              </w:rPr>
              <w:t>Ley 2195 de 2022. Artículo 53.</w:t>
            </w:r>
          </w:p>
          <w:p w14:paraId="052097ED" w14:textId="77777777" w:rsidR="005E7C2E" w:rsidRPr="00270E87" w:rsidRDefault="005E7C2E" w:rsidP="004E5137">
            <w:pPr>
              <w:widowControl w:val="0"/>
              <w:numPr>
                <w:ilvl w:val="0"/>
                <w:numId w:val="16"/>
              </w:numPr>
              <w:autoSpaceDE w:val="0"/>
              <w:autoSpaceDN w:val="0"/>
              <w:spacing w:before="120" w:after="120"/>
              <w:jc w:val="both"/>
              <w:rPr>
                <w:rFonts w:ascii="Verdana" w:hAnsi="Verdana" w:cs="Arial"/>
                <w:lang w:val="es-ES"/>
              </w:rPr>
            </w:pPr>
            <w:r w:rsidRPr="00BD43CF">
              <w:rPr>
                <w:rFonts w:ascii="Verdana" w:eastAsia="Calibri" w:hAnsi="Verdana" w:cs="Arial"/>
                <w:lang w:val="es-ES"/>
              </w:rPr>
              <w:t>Corte Suprema de Justicia. Sala de Casación Civil. Sentencia 20 de noviembre de 1989. MP. Alberto Ospina Botero. Publicada en la Gaceta Judicial. Tomo CXCVI. N° 2435. p. 93.</w:t>
            </w:r>
          </w:p>
        </w:tc>
      </w:tr>
    </w:tbl>
    <w:p w14:paraId="6304E185" w14:textId="77777777" w:rsidR="005E7C2E" w:rsidRPr="00270E87" w:rsidRDefault="005E7C2E" w:rsidP="005E7C2E">
      <w:pPr>
        <w:widowControl w:val="0"/>
        <w:autoSpaceDE w:val="0"/>
        <w:autoSpaceDN w:val="0"/>
        <w:spacing w:after="0" w:line="276" w:lineRule="auto"/>
        <w:jc w:val="both"/>
        <w:rPr>
          <w:rFonts w:ascii="Verdana" w:hAnsi="Verdana" w:cs="Arial"/>
          <w:color w:val="000000" w:themeColor="text1"/>
          <w:lang w:val="es-ES"/>
        </w:rPr>
      </w:pPr>
    </w:p>
    <w:p w14:paraId="4D4C9FFB" w14:textId="77777777" w:rsidR="005E7C2E" w:rsidRPr="00270E87" w:rsidRDefault="005E7C2E" w:rsidP="005E7C2E">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404BC">
        <w:rPr>
          <w:rFonts w:ascii="Verdana" w:eastAsia="Century Gothic" w:hAnsi="Verdana" w:cs="Century Gothic"/>
          <w:b/>
          <w:color w:val="000000" w:themeColor="text1"/>
        </w:rPr>
        <w:t>Doctrina de la Agencia Nacional de Contratación Pública:</w:t>
      </w:r>
    </w:p>
    <w:p w14:paraId="0FA232E8" w14:textId="77777777" w:rsidR="005E7C2E" w:rsidRPr="00270E87" w:rsidRDefault="005E7C2E" w:rsidP="005E7C2E">
      <w:pPr>
        <w:widowControl w:val="0"/>
        <w:autoSpaceDE w:val="0"/>
        <w:autoSpaceDN w:val="0"/>
        <w:spacing w:after="0" w:line="276" w:lineRule="auto"/>
        <w:jc w:val="both"/>
        <w:rPr>
          <w:rFonts w:ascii="Verdana" w:hAnsi="Verdana" w:cs="Arial"/>
          <w:color w:val="000000" w:themeColor="text1"/>
          <w:lang w:val="es-ES"/>
        </w:rPr>
      </w:pPr>
    </w:p>
    <w:p w14:paraId="5C87B623" w14:textId="77777777" w:rsidR="005E7C2E" w:rsidRPr="003A5C76" w:rsidRDefault="005E7C2E" w:rsidP="005E7C2E">
      <w:pPr>
        <w:jc w:val="both"/>
        <w:rPr>
          <w:rFonts w:ascii="Verdana" w:eastAsia="Calibri" w:hAnsi="Verdana" w:cs="Arial"/>
          <w:b/>
          <w:bCs/>
          <w:lang w:val="es-ES" w:eastAsia="es-ES"/>
        </w:rPr>
      </w:pPr>
      <w:r w:rsidRPr="00270E87">
        <w:rPr>
          <w:rFonts w:ascii="Verdana" w:eastAsia="Calibri" w:hAnsi="Verdana" w:cs="Arial"/>
          <w:lang w:val="es-ES"/>
        </w:rPr>
        <w:t>La Agencia Nacional de Contratación Pública – Colombia Compra Eficiente se ha pronunciado</w:t>
      </w:r>
      <w:r>
        <w:rPr>
          <w:rFonts w:ascii="Verdana" w:eastAsia="Calibri" w:hAnsi="Verdana" w:cs="Arial"/>
          <w:lang w:val="es-ES"/>
        </w:rPr>
        <w:t xml:space="preserve"> </w:t>
      </w:r>
      <w:r w:rsidRPr="00BD43CF">
        <w:rPr>
          <w:rFonts w:ascii="Verdana" w:hAnsi="Verdana" w:cs="Arial"/>
          <w:bCs/>
          <w:shd w:val="clear" w:color="auto" w:fill="FFFFFF"/>
        </w:rPr>
        <w:t>sobre la contratación por urgencia manifiesta y/o calamidad pública y desastre en los conceptos</w:t>
      </w:r>
      <w:r w:rsidRPr="00BD43CF">
        <w:rPr>
          <w:rFonts w:ascii="Verdana" w:eastAsia="Calibri" w:hAnsi="Verdana" w:cs="Arial"/>
          <w:lang w:val="es-ES" w:eastAsia="es-ES"/>
        </w:rPr>
        <w:t xml:space="preserve">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 C-033 del 29 de abril de 2024, C-111 del 05 agosto de 2024, C-691 del 14 de noviembre de 2024, C-062 del 21 de febrero de 2025, C-131 del 25 de mayo de 2023, C-993 del 04 de agosto de 2025, C-1045 del 08 de septiembre de 2025, C-1189 del 25 de septiembre de 2025, C-1352 del 29 de octubre de 2025, C-1793 del 10 de diciembre de 2025, C-1807 del 19 de enero de 2026</w:t>
      </w:r>
      <w:r>
        <w:rPr>
          <w:rFonts w:ascii="Verdana" w:eastAsia="Calibri" w:hAnsi="Verdana" w:cs="Arial"/>
          <w:lang w:val="es-ES" w:eastAsia="es-ES"/>
        </w:rPr>
        <w:t xml:space="preserve">, </w:t>
      </w:r>
      <w:r w:rsidRPr="00BD43CF">
        <w:rPr>
          <w:rFonts w:ascii="Verdana" w:eastAsia="Calibri" w:hAnsi="Verdana" w:cs="Arial"/>
          <w:lang w:val="es-ES" w:eastAsia="es-ES"/>
        </w:rPr>
        <w:t>C-758 del 28 de mayo de 2026</w:t>
      </w:r>
      <w:r>
        <w:rPr>
          <w:rFonts w:ascii="Verdana" w:eastAsia="Calibri" w:hAnsi="Verdana" w:cs="Arial"/>
          <w:lang w:val="es-ES" w:eastAsia="es-ES"/>
        </w:rPr>
        <w:t xml:space="preserve">, </w:t>
      </w:r>
      <w:r w:rsidRPr="00EC35A0">
        <w:rPr>
          <w:rFonts w:ascii="Verdana" w:eastAsia="Calibri" w:hAnsi="Verdana" w:cs="Arial"/>
          <w:lang w:val="es-ES" w:eastAsia="es-ES"/>
        </w:rPr>
        <w:t>C-702 del 10 de junio de 2026</w:t>
      </w:r>
      <w:r>
        <w:rPr>
          <w:rFonts w:ascii="Verdana" w:eastAsia="Calibri" w:hAnsi="Verdana" w:cs="Arial"/>
          <w:lang w:val="es-ES" w:eastAsia="es-ES"/>
        </w:rPr>
        <w:t xml:space="preserve"> y</w:t>
      </w:r>
      <w:r w:rsidRPr="003A5C76">
        <w:rPr>
          <w:rFonts w:ascii="Verdana" w:eastAsia="Calibri" w:hAnsi="Verdana" w:cs="Arial"/>
          <w:lang w:val="es-ES" w:eastAsia="es-ES"/>
        </w:rPr>
        <w:t xml:space="preserve"> C-1044 del 12 de agosto de 2026</w:t>
      </w:r>
      <w:r w:rsidRPr="003A5C76">
        <w:rPr>
          <w:rFonts w:ascii="Verdana" w:eastAsia="Arial" w:hAnsi="Verdana" w:cs="Arial"/>
          <w:lang w:val="es-ES"/>
        </w:rPr>
        <w:t>.</w:t>
      </w:r>
      <w:r w:rsidRPr="00211B92">
        <w:rPr>
          <w:rFonts w:ascii="Verdana" w:eastAsia="Arial" w:hAnsi="Verdana" w:cs="Arial"/>
          <w:lang w:val="es-ES"/>
        </w:rPr>
        <w:t xml:space="preserve"> Estos y</w:t>
      </w:r>
      <w:r w:rsidRPr="00211B92">
        <w:rPr>
          <w:rFonts w:ascii="Verdana" w:hAnsi="Verdana" w:cs="Arial"/>
          <w:shd w:val="clear" w:color="auto" w:fill="FFFFFF"/>
          <w:lang w:val="es-ES"/>
        </w:rPr>
        <w:t xml:space="preserve"> </w:t>
      </w:r>
      <w:r w:rsidRPr="00211B92">
        <w:rPr>
          <w:rFonts w:ascii="Verdana" w:hAnsi="Verdana"/>
          <w:lang w:val="es-ES"/>
        </w:rPr>
        <w:t>o</w:t>
      </w:r>
      <w:r w:rsidRPr="00270E87">
        <w:rPr>
          <w:rFonts w:ascii="Verdana" w:hAnsi="Verdana"/>
          <w:lang w:val="es-ES"/>
        </w:rPr>
        <w:t>tros conceptos se encuentran disponibles para consulta en el Sistema de relatoría de la Agencia, al cual se puede acceder a través del siguiente enlace:</w:t>
      </w:r>
      <w:r w:rsidRPr="00270E87">
        <w:rPr>
          <w:rFonts w:ascii="Verdana" w:hAnsi="Verdana" w:cs="Arial"/>
          <w:shd w:val="clear" w:color="auto" w:fill="FFFFFF"/>
          <w:lang w:val="es-ES"/>
        </w:rPr>
        <w:t xml:space="preserve"> </w:t>
      </w:r>
      <w:hyperlink r:id="rId12" w:history="1">
        <w:r w:rsidRPr="00270E87">
          <w:rPr>
            <w:rStyle w:val="Hipervnculo"/>
            <w:rFonts w:ascii="Verdana" w:hAnsi="Verdana"/>
            <w:lang w:val="es-ES"/>
          </w:rPr>
          <w:t>https://relatoria.colombiacompra.gov.co/busqueda/conceptos</w:t>
        </w:r>
      </w:hyperlink>
      <w:r w:rsidRPr="00270E87">
        <w:rPr>
          <w:rFonts w:ascii="Verdana" w:hAnsi="Verdana" w:cs="Arial"/>
          <w:shd w:val="clear" w:color="auto" w:fill="FFFFFF"/>
          <w:lang w:val="es-ES"/>
        </w:rPr>
        <w:t>.</w:t>
      </w:r>
      <w:r w:rsidRPr="00270E87">
        <w:rPr>
          <w:rFonts w:ascii="Verdana" w:hAnsi="Verdana" w:cs="Arial"/>
          <w:color w:val="FF0000"/>
          <w:shd w:val="clear" w:color="auto" w:fill="FFFFFF"/>
          <w:lang w:val="es-ES"/>
        </w:rPr>
        <w:t xml:space="preserve"> </w:t>
      </w:r>
      <w:r w:rsidRPr="00270E87">
        <w:rPr>
          <w:rFonts w:ascii="Verdana" w:hAnsi="Verdana" w:cs="Arial"/>
          <w:color w:val="000000" w:themeColor="text1"/>
          <w:shd w:val="clear" w:color="auto" w:fill="FFFFFF"/>
          <w:lang w:val="es-ES"/>
        </w:rPr>
        <w:t>  </w:t>
      </w:r>
    </w:p>
    <w:p w14:paraId="5D633DF8" w14:textId="77777777" w:rsidR="005E7C2E" w:rsidRPr="00C044BD" w:rsidRDefault="005E7C2E" w:rsidP="005E7C2E">
      <w:pPr>
        <w:spacing w:after="0" w:line="276" w:lineRule="auto"/>
        <w:jc w:val="both"/>
        <w:rPr>
          <w:rFonts w:ascii="Verdana" w:hAnsi="Verdana"/>
          <w:lang w:val="it-CH"/>
        </w:rPr>
      </w:pPr>
      <w:r w:rsidRPr="00270E87">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270E87">
        <w:rPr>
          <w:rFonts w:ascii="Verdana" w:hAnsi="Verdana"/>
          <w:lang w:val="es-ES"/>
        </w:rPr>
        <w:t>–  invita</w:t>
      </w:r>
      <w:proofErr w:type="gramEnd"/>
      <w:r w:rsidRPr="00270E87">
        <w:rPr>
          <w:rFonts w:ascii="Verdana" w:hAnsi="Verdana"/>
          <w:lang w:val="es-ES"/>
        </w:rPr>
        <w:t xml:space="preserve"> a consultar la nueva versión de la </w:t>
      </w:r>
      <w:r w:rsidRPr="00270E87">
        <w:rPr>
          <w:rFonts w:ascii="Verdana" w:hAnsi="Verdana"/>
          <w:b/>
          <w:bCs/>
          <w:lang w:val="es-ES"/>
        </w:rPr>
        <w:t xml:space="preserve">Guía para la Exigencia y Constitución de </w:t>
      </w:r>
      <w:r w:rsidRPr="00270E87">
        <w:rPr>
          <w:rFonts w:ascii="Verdana" w:hAnsi="Verdana"/>
          <w:b/>
          <w:bCs/>
          <w:lang w:val="es-ES"/>
        </w:rPr>
        <w:lastRenderedPageBreak/>
        <w:t>Garantías en los Procesos de Contratación</w:t>
      </w:r>
      <w:r w:rsidRPr="00270E87">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C044BD">
        <w:rPr>
          <w:rFonts w:ascii="Verdana" w:hAnsi="Verdana"/>
          <w:lang w:val="it-CH"/>
        </w:rPr>
        <w:t>Consúltela aquí: </w:t>
      </w:r>
      <w:hyperlink r:id="rId13">
        <w:r w:rsidRPr="00C044BD">
          <w:rPr>
            <w:rStyle w:val="Hipervnculo"/>
            <w:rFonts w:ascii="Verdana" w:hAnsi="Verdana"/>
            <w:lang w:val="it-CH"/>
          </w:rPr>
          <w:t>https://www.colombiacompra.gov.co/archivos/manual/guia-de-garantias-en-procesos-de-contratacion</w:t>
        </w:r>
      </w:hyperlink>
    </w:p>
    <w:p w14:paraId="434D4A74" w14:textId="77777777" w:rsidR="005E7C2E" w:rsidRPr="00C044BD" w:rsidRDefault="005E7C2E" w:rsidP="005E7C2E">
      <w:pPr>
        <w:spacing w:after="0" w:line="276" w:lineRule="auto"/>
        <w:jc w:val="both"/>
        <w:rPr>
          <w:rFonts w:ascii="Verdana" w:hAnsi="Verdana"/>
          <w:lang w:val="it-CH"/>
        </w:rPr>
      </w:pPr>
    </w:p>
    <w:p w14:paraId="072E2B8C" w14:textId="77777777" w:rsidR="005E7C2E" w:rsidRPr="00C044BD" w:rsidRDefault="005E7C2E" w:rsidP="005E7C2E">
      <w:pPr>
        <w:spacing w:after="0" w:line="276" w:lineRule="auto"/>
        <w:jc w:val="both"/>
        <w:rPr>
          <w:rFonts w:ascii="Verdana" w:hAnsi="Verdana"/>
          <w:lang w:val="it-CH"/>
        </w:rPr>
      </w:pPr>
      <w:r w:rsidRPr="00270E87">
        <w:rPr>
          <w:rFonts w:ascii="Verdana" w:hAnsi="Verdana"/>
          <w:lang w:val="es-ES"/>
        </w:rPr>
        <w:t xml:space="preserve">De otro lado, </w:t>
      </w:r>
      <w:r>
        <w:rPr>
          <w:rFonts w:ascii="Verdana" w:hAnsi="Verdana"/>
          <w:lang w:val="es-ES"/>
        </w:rPr>
        <w:t>l</w:t>
      </w:r>
      <w:r w:rsidRPr="00270E87">
        <w:rPr>
          <w:rFonts w:ascii="Verdana" w:hAnsi="Verdana"/>
          <w:lang w:val="es-ES"/>
        </w:rPr>
        <w:t>e contamos que el Decreto 287 del 19 de marzo de 2026 sustituyó los artículos 2.2.1.2.4.2.6., 2.2.1.2.4.2.7. y 2.2.1.2.4.2.8. del Decreto 1082 de 2015 y estructuró el </w:t>
      </w:r>
      <w:r w:rsidRPr="00270E87">
        <w:rPr>
          <w:rFonts w:ascii="Verdana" w:hAnsi="Verdana"/>
          <w:b/>
          <w:bCs/>
          <w:lang w:val="es-ES"/>
        </w:rPr>
        <w:t>Sistema Integral de Preferencias en favor de las personas con discapacidad</w:t>
      </w:r>
      <w:r w:rsidRPr="00270E87">
        <w:rPr>
          <w:rFonts w:ascii="Verdana" w:hAnsi="Verdana"/>
          <w:lang w:val="es-ES"/>
        </w:rPr>
        <w:t>, en cumplimiento del artículo 13 de la Ley Estatutaria 1618 de 2013. Para orientar su aplicación, esta Agencia expidió la </w:t>
      </w:r>
      <w:r w:rsidRPr="00270E87">
        <w:rPr>
          <w:rFonts w:ascii="Verdana" w:hAnsi="Verdana"/>
          <w:b/>
          <w:bCs/>
          <w:lang w:val="es-ES"/>
        </w:rPr>
        <w:t>Circular Externa 003 del 12 de mayo de 2026, </w:t>
      </w:r>
      <w:r w:rsidRPr="00270E87">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w:t>
      </w:r>
      <w:r w:rsidRPr="00C044BD">
        <w:rPr>
          <w:rFonts w:ascii="Verdana" w:hAnsi="Verdana"/>
          <w:lang w:val="it-CH"/>
        </w:rPr>
        <w:t>Consúltela aquí: </w:t>
      </w:r>
      <w:hyperlink r:id="rId14">
        <w:r w:rsidRPr="00C044BD">
          <w:rPr>
            <w:rStyle w:val="Hipervnculo"/>
            <w:rFonts w:ascii="Verdana" w:hAnsi="Verdana"/>
            <w:lang w:val="it-CH"/>
          </w:rPr>
          <w:t>https://www.colombiacompra.gov.co/archivos/circular/circular-externa-003-de-2026</w:t>
        </w:r>
      </w:hyperlink>
    </w:p>
    <w:p w14:paraId="11494073" w14:textId="77777777" w:rsidR="005E7C2E" w:rsidRPr="00C044BD" w:rsidRDefault="005E7C2E" w:rsidP="005E7C2E">
      <w:pPr>
        <w:spacing w:after="0" w:line="276" w:lineRule="auto"/>
        <w:jc w:val="both"/>
        <w:rPr>
          <w:rFonts w:ascii="Verdana" w:hAnsi="Verdana"/>
          <w:lang w:val="it-CH"/>
        </w:rPr>
      </w:pPr>
    </w:p>
    <w:p w14:paraId="423A4429" w14:textId="77777777" w:rsidR="005E7C2E" w:rsidRPr="00C044BD" w:rsidRDefault="005E7C2E" w:rsidP="005E7C2E">
      <w:pPr>
        <w:spacing w:after="0" w:line="276" w:lineRule="auto"/>
        <w:jc w:val="both"/>
        <w:rPr>
          <w:rFonts w:ascii="Verdana" w:hAnsi="Verdana"/>
          <w:lang w:val="it-CH"/>
        </w:rPr>
      </w:pPr>
      <w:r w:rsidRPr="00270E87">
        <w:rPr>
          <w:rFonts w:ascii="Verdana" w:hAnsi="Verdana"/>
          <w:lang w:val="es-ES"/>
        </w:rPr>
        <w:t>Recuerde también que la</w:t>
      </w:r>
      <w:r w:rsidRPr="00270E87">
        <w:rPr>
          <w:rFonts w:ascii="Verdana" w:hAnsi="Verdana"/>
          <w:b/>
          <w:bCs/>
          <w:lang w:val="es-ES"/>
        </w:rPr>
        <w:t> información sobre sanciones e inhabilidades </w:t>
      </w:r>
      <w:r w:rsidRPr="00270E87">
        <w:rPr>
          <w:rFonts w:ascii="Verdana" w:hAnsi="Verdana"/>
          <w:lang w:val="es-ES"/>
        </w:rPr>
        <w:t>solo cumple su función preventiva si llega oportunamente a los registros públicos. Sobre este deber, esta Agencia expidió la </w:t>
      </w:r>
      <w:r w:rsidRPr="00270E87">
        <w:rPr>
          <w:rFonts w:ascii="Verdana" w:hAnsi="Verdana"/>
          <w:b/>
          <w:bCs/>
          <w:lang w:val="es-ES"/>
        </w:rPr>
        <w:t>Circular Externa 002 del 5 de mayo de 2026,</w:t>
      </w:r>
      <w:r w:rsidRPr="00270E87">
        <w:rPr>
          <w:rFonts w:ascii="Verdana" w:hAnsi="Verdana"/>
          <w:lang w:val="es-ES"/>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C044BD">
        <w:rPr>
          <w:rFonts w:ascii="Verdana" w:hAnsi="Verdana"/>
          <w:lang w:val="it-CH"/>
        </w:rPr>
        <w:t>Consúltela aquí: </w:t>
      </w:r>
      <w:hyperlink r:id="rId15">
        <w:r w:rsidRPr="00C044BD">
          <w:rPr>
            <w:rStyle w:val="Hipervnculo"/>
            <w:rFonts w:ascii="Verdana" w:hAnsi="Verdana"/>
            <w:lang w:val="it-CH"/>
          </w:rPr>
          <w:t>https://www.colombiacompra.gov.co/archivos/circular/circular-externa-002-de-2026</w:t>
        </w:r>
      </w:hyperlink>
    </w:p>
    <w:p w14:paraId="50559E34" w14:textId="77777777" w:rsidR="005E7C2E" w:rsidRPr="00C044BD" w:rsidRDefault="005E7C2E" w:rsidP="005E7C2E">
      <w:pPr>
        <w:spacing w:after="0" w:line="276" w:lineRule="auto"/>
        <w:jc w:val="both"/>
        <w:rPr>
          <w:rFonts w:ascii="Verdana" w:hAnsi="Verdana"/>
          <w:lang w:val="it-CH"/>
        </w:rPr>
      </w:pPr>
    </w:p>
    <w:p w14:paraId="7FA30B67" w14:textId="77777777" w:rsidR="005E7C2E" w:rsidRDefault="005E7C2E" w:rsidP="005E7C2E">
      <w:pPr>
        <w:spacing w:after="0" w:line="276" w:lineRule="auto"/>
        <w:jc w:val="both"/>
        <w:rPr>
          <w:rFonts w:ascii="Verdana" w:hAnsi="Verdana"/>
          <w:lang w:val="es-ES"/>
        </w:rPr>
      </w:pPr>
      <w:r w:rsidRPr="00270E87">
        <w:rPr>
          <w:rFonts w:ascii="Verdana" w:hAnsi="Verdana"/>
          <w:lang w:val="es-ES"/>
        </w:rPr>
        <w:t>Finalmente, si quiere seguir de cerca la actividad de la Agencia, la tercera edición de 2026 del</w:t>
      </w:r>
      <w:r w:rsidRPr="00270E87">
        <w:rPr>
          <w:rFonts w:ascii="Verdana" w:hAnsi="Verdana"/>
          <w:b/>
          <w:bCs/>
          <w:lang w:val="es-ES"/>
        </w:rPr>
        <w:t> Radar de la Compra Pública</w:t>
      </w:r>
      <w:r w:rsidRPr="00270E87">
        <w:rPr>
          <w:rFonts w:ascii="Verdana" w:hAnsi="Verdana"/>
          <w:lang w:val="es-ES"/>
        </w:rPr>
        <w:t xml:space="preserve"> reúne, entre otros contenidos, la Circular Externa 003 de 2026, el Decreto 552 de 2026, un estudio sobre inteligencia artificial en la compra pública, los avances de la Relatoría, análisis </w:t>
      </w:r>
      <w:r w:rsidRPr="00270E87">
        <w:rPr>
          <w:rFonts w:ascii="Verdana" w:hAnsi="Verdana"/>
          <w:lang w:val="es-ES"/>
        </w:rPr>
        <w:lastRenderedPageBreak/>
        <w:t>jurisprudencial, conceptos jurídicos destacados y la oferta de la Escuela Virtual ANCP-CCE. Descárguelo aquí: </w:t>
      </w:r>
      <w:hyperlink r:id="rId16">
        <w:r w:rsidRPr="00270E87">
          <w:rPr>
            <w:rStyle w:val="Hipervnculo"/>
            <w:rFonts w:ascii="Verdana" w:hAnsi="Verdana"/>
            <w:lang w:val="es-ES"/>
          </w:rPr>
          <w:t>https://www.colombiacompra.gov.co/archivos/boletin/boletin-edicion-n-3-de-2026-radar-de-la-compra-publica</w:t>
        </w:r>
      </w:hyperlink>
    </w:p>
    <w:p w14:paraId="2CF95871" w14:textId="77777777" w:rsidR="005E7C2E" w:rsidRPr="00270E87" w:rsidRDefault="005E7C2E" w:rsidP="005E7C2E">
      <w:pPr>
        <w:spacing w:after="0" w:line="276" w:lineRule="auto"/>
        <w:jc w:val="both"/>
        <w:rPr>
          <w:rFonts w:ascii="Verdana" w:hAnsi="Verdana"/>
          <w:lang w:val="es-ES"/>
        </w:rPr>
      </w:pPr>
    </w:p>
    <w:p w14:paraId="74C2C1C9" w14:textId="77777777" w:rsidR="005E7C2E" w:rsidRPr="00270E87" w:rsidRDefault="005E7C2E" w:rsidP="005E7C2E">
      <w:pPr>
        <w:spacing w:after="0" w:line="276" w:lineRule="auto"/>
        <w:jc w:val="both"/>
        <w:rPr>
          <w:rFonts w:ascii="Verdana" w:hAnsi="Verdana"/>
          <w:lang w:val="es-ES"/>
        </w:rPr>
      </w:pPr>
      <w:r w:rsidRPr="00270E87">
        <w:rPr>
          <w:rFonts w:ascii="Verdana" w:hAnsi="Verdana"/>
          <w:lang w:val="es-ES"/>
        </w:rPr>
        <w:t xml:space="preserve">Por último, le invitamos a seguirnos en las redes sociales en las cuales se difunde información institucional: </w:t>
      </w:r>
    </w:p>
    <w:p w14:paraId="6E913AF2" w14:textId="77777777" w:rsidR="005E7C2E" w:rsidRPr="00270E87" w:rsidRDefault="005E7C2E" w:rsidP="005E7C2E">
      <w:pPr>
        <w:spacing w:after="0" w:line="276" w:lineRule="auto"/>
        <w:jc w:val="both"/>
        <w:rPr>
          <w:rFonts w:ascii="Verdana" w:hAnsi="Verdana"/>
          <w:lang w:val="es-ES"/>
        </w:rPr>
      </w:pPr>
    </w:p>
    <w:p w14:paraId="548F4ABA" w14:textId="77777777" w:rsidR="005E7C2E" w:rsidRPr="00270E87" w:rsidRDefault="005E7C2E" w:rsidP="005E7C2E">
      <w:pPr>
        <w:spacing w:after="0" w:line="276" w:lineRule="auto"/>
        <w:jc w:val="both"/>
        <w:rPr>
          <w:rFonts w:ascii="Verdana" w:hAnsi="Verdana"/>
          <w:lang w:val="es-ES"/>
        </w:rPr>
      </w:pPr>
      <w:r w:rsidRPr="00270E87">
        <w:rPr>
          <w:rFonts w:ascii="Verdana" w:hAnsi="Verdana"/>
          <w:lang w:val="es-ES"/>
        </w:rPr>
        <w:t xml:space="preserve">Twitter: </w:t>
      </w:r>
      <w:r w:rsidRPr="00270E87">
        <w:rPr>
          <w:rStyle w:val="Hipervnculo"/>
          <w:rFonts w:ascii="Verdana" w:hAnsi="Verdana" w:cs="Arial"/>
          <w:shd w:val="clear" w:color="auto" w:fill="FFFFFF"/>
          <w:lang w:val="es-ES"/>
        </w:rPr>
        <w:t>@colombiacompra</w:t>
      </w:r>
      <w:r w:rsidRPr="00270E87">
        <w:rPr>
          <w:rFonts w:ascii="Verdana" w:hAnsi="Verdana"/>
          <w:color w:val="4472C4" w:themeColor="accent1"/>
          <w:lang w:val="es-ES"/>
        </w:rPr>
        <w:t xml:space="preserve"> </w:t>
      </w:r>
    </w:p>
    <w:p w14:paraId="1832A24E" w14:textId="77777777" w:rsidR="005E7C2E" w:rsidRPr="00270E87" w:rsidRDefault="005E7C2E" w:rsidP="005E7C2E">
      <w:pPr>
        <w:spacing w:after="0" w:line="276" w:lineRule="auto"/>
        <w:jc w:val="both"/>
        <w:rPr>
          <w:rFonts w:ascii="Verdana" w:hAnsi="Verdana"/>
          <w:lang w:val="es-ES"/>
        </w:rPr>
      </w:pPr>
      <w:r w:rsidRPr="00270E87">
        <w:rPr>
          <w:rFonts w:ascii="Verdana" w:hAnsi="Verdana"/>
          <w:lang w:val="es-ES"/>
        </w:rPr>
        <w:t xml:space="preserve">Facebook: </w:t>
      </w:r>
      <w:r w:rsidRPr="00270E87">
        <w:rPr>
          <w:rStyle w:val="Hipervnculo"/>
          <w:rFonts w:ascii="Verdana" w:hAnsi="Verdana" w:cs="Arial"/>
          <w:shd w:val="clear" w:color="auto" w:fill="FFFFFF"/>
          <w:lang w:val="es-ES"/>
        </w:rPr>
        <w:t>ColombiaCompraEficiente</w:t>
      </w:r>
    </w:p>
    <w:p w14:paraId="698950EB" w14:textId="77777777" w:rsidR="005E7C2E" w:rsidRPr="00270E87" w:rsidRDefault="005E7C2E" w:rsidP="005E7C2E">
      <w:pPr>
        <w:spacing w:after="0" w:line="276" w:lineRule="auto"/>
        <w:jc w:val="both"/>
        <w:rPr>
          <w:rFonts w:ascii="Verdana" w:hAnsi="Verdana"/>
          <w:lang w:val="es-ES"/>
        </w:rPr>
      </w:pPr>
      <w:r w:rsidRPr="00270E87">
        <w:rPr>
          <w:rFonts w:ascii="Verdana" w:hAnsi="Verdana"/>
          <w:lang w:val="es-ES"/>
        </w:rPr>
        <w:t xml:space="preserve">LinkedIn: </w:t>
      </w:r>
      <w:r w:rsidRPr="00270E87">
        <w:rPr>
          <w:rStyle w:val="Hipervnculo"/>
          <w:rFonts w:ascii="Verdana" w:hAnsi="Verdana" w:cs="Arial"/>
          <w:shd w:val="clear" w:color="auto" w:fill="FFFFFF"/>
          <w:lang w:val="es-ES"/>
        </w:rPr>
        <w:t xml:space="preserve">Agencia Nacional de Contratación Pública - Colombia Compra Eficiente </w:t>
      </w:r>
      <w:r w:rsidRPr="00270E87">
        <w:rPr>
          <w:rFonts w:ascii="Verdana" w:hAnsi="Verdana"/>
          <w:lang w:val="es-ES"/>
        </w:rPr>
        <w:t xml:space="preserve">Instagram: </w:t>
      </w:r>
      <w:r w:rsidRPr="00270E87">
        <w:rPr>
          <w:rStyle w:val="Hipervnculo"/>
          <w:rFonts w:ascii="Verdana" w:hAnsi="Verdana" w:cs="Arial"/>
          <w:shd w:val="clear" w:color="auto" w:fill="FFFFFF"/>
          <w:lang w:val="es-ES"/>
        </w:rPr>
        <w:t>@colombiacompraeficiente_cce</w:t>
      </w:r>
    </w:p>
    <w:p w14:paraId="53F22541" w14:textId="77777777" w:rsidR="005E7C2E" w:rsidRPr="00270E87" w:rsidRDefault="005E7C2E" w:rsidP="005E7C2E">
      <w:pPr>
        <w:widowControl w:val="0"/>
        <w:autoSpaceDE w:val="0"/>
        <w:autoSpaceDN w:val="0"/>
        <w:spacing w:after="0" w:line="276" w:lineRule="auto"/>
        <w:jc w:val="both"/>
        <w:rPr>
          <w:rFonts w:ascii="Verdana" w:hAnsi="Verdana" w:cs="Arial"/>
          <w:lang w:val="es-ES"/>
        </w:rPr>
      </w:pPr>
    </w:p>
    <w:p w14:paraId="0B8C1F4F" w14:textId="77777777" w:rsidR="005E7C2E" w:rsidRPr="00270E87" w:rsidRDefault="005E7C2E" w:rsidP="005E7C2E">
      <w:pPr>
        <w:widowControl w:val="0"/>
        <w:autoSpaceDE w:val="0"/>
        <w:autoSpaceDN w:val="0"/>
        <w:spacing w:after="0" w:line="276" w:lineRule="auto"/>
        <w:jc w:val="both"/>
        <w:rPr>
          <w:rFonts w:ascii="Verdana" w:hAnsi="Verdana" w:cs="Arial"/>
          <w:lang w:val="es-ES"/>
        </w:rPr>
      </w:pPr>
      <w:r w:rsidRPr="00270E87">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99D45F" w14:textId="77777777" w:rsidR="005E7C2E" w:rsidRPr="00270E87" w:rsidRDefault="005E7C2E" w:rsidP="005E7C2E">
      <w:pPr>
        <w:widowControl w:val="0"/>
        <w:autoSpaceDE w:val="0"/>
        <w:autoSpaceDN w:val="0"/>
        <w:spacing w:after="0" w:line="276" w:lineRule="auto"/>
        <w:jc w:val="both"/>
        <w:rPr>
          <w:rFonts w:ascii="Verdana" w:hAnsi="Verdana" w:cs="Arial"/>
          <w:lang w:val="es-ES"/>
        </w:rPr>
      </w:pPr>
    </w:p>
    <w:p w14:paraId="3D74FC9B" w14:textId="77777777" w:rsidR="005E7C2E" w:rsidRPr="00270E87" w:rsidRDefault="005E7C2E" w:rsidP="005E7C2E">
      <w:pPr>
        <w:spacing w:after="0" w:line="276" w:lineRule="auto"/>
        <w:rPr>
          <w:rFonts w:ascii="Verdana" w:hAnsi="Verdana" w:cs="Arial"/>
          <w:color w:val="000000" w:themeColor="text1"/>
          <w:lang w:val="es-ES" w:eastAsia="es-CO"/>
        </w:rPr>
      </w:pPr>
      <w:r w:rsidRPr="00270E87">
        <w:rPr>
          <w:rFonts w:ascii="Verdana" w:eastAsia="Times New Roman" w:hAnsi="Verdana" w:cs="Arial"/>
          <w:color w:val="000000" w:themeColor="text1"/>
          <w:lang w:val="es-ES" w:eastAsia="es-CO"/>
        </w:rPr>
        <w:t>Atentamente,</w:t>
      </w:r>
      <w:r w:rsidRPr="00270E87">
        <w:rPr>
          <w:rFonts w:ascii="Verdana" w:hAnsi="Verdana" w:cs="Arial"/>
          <w:color w:val="000000" w:themeColor="text1"/>
          <w:lang w:val="es-ES" w:eastAsia="es-CO"/>
        </w:rPr>
        <w:t xml:space="preserve"> </w:t>
      </w:r>
    </w:p>
    <w:p w14:paraId="4C0B93B6" w14:textId="4A5E95F0" w:rsidR="005E7C2E" w:rsidRPr="00270E87" w:rsidRDefault="00EA3AB9" w:rsidP="005E7C2E">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62336" behindDoc="0" locked="0" layoutInCell="1" allowOverlap="1" wp14:anchorId="712DE031" wp14:editId="2903BF7B">
            <wp:simplePos x="0" y="0"/>
            <wp:positionH relativeFrom="column">
              <wp:posOffset>1068512</wp:posOffset>
            </wp:positionH>
            <wp:positionV relativeFrom="paragraph">
              <wp:posOffset>50971</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2E78F1" w14:textId="50E05D0D" w:rsidR="005E7C2E" w:rsidRPr="00270E87" w:rsidRDefault="005E7C2E" w:rsidP="005E7C2E">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7C2E" w:rsidRPr="00270E87" w14:paraId="4986279B" w14:textId="77777777" w:rsidTr="004E5137">
        <w:trPr>
          <w:trHeight w:val="315"/>
        </w:trPr>
        <w:tc>
          <w:tcPr>
            <w:tcW w:w="893" w:type="dxa"/>
            <w:vAlign w:val="center"/>
            <w:hideMark/>
          </w:tcPr>
          <w:p w14:paraId="58E2AEDC" w14:textId="77777777" w:rsidR="005E7C2E" w:rsidRPr="00270E87" w:rsidRDefault="005E7C2E" w:rsidP="004E5137">
            <w:pPr>
              <w:contextualSpacing/>
              <w:rPr>
                <w:rFonts w:ascii="Verdana" w:hAnsi="Verdana" w:cs="Arial"/>
                <w:sz w:val="16"/>
                <w:szCs w:val="16"/>
                <w:lang w:val="es-ES" w:eastAsia="es-ES"/>
              </w:rPr>
            </w:pPr>
            <w:r w:rsidRPr="00270E8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B5B0AC3" w14:textId="77777777" w:rsidR="005E7C2E" w:rsidRPr="00270E87" w:rsidRDefault="005E7C2E" w:rsidP="004E5137">
            <w:pPr>
              <w:contextualSpacing/>
              <w:rPr>
                <w:rFonts w:ascii="Verdana" w:eastAsia="Arial" w:hAnsi="Verdana" w:cs="Arial"/>
                <w:color w:val="000000" w:themeColor="text1"/>
                <w:sz w:val="16"/>
                <w:szCs w:val="16"/>
                <w:lang w:val="es-ES"/>
              </w:rPr>
            </w:pPr>
            <w:r w:rsidRPr="00270E87">
              <w:rPr>
                <w:rFonts w:ascii="Verdana" w:eastAsia="Arial" w:hAnsi="Verdana" w:cs="Arial"/>
                <w:color w:val="000000" w:themeColor="text1"/>
                <w:sz w:val="16"/>
                <w:szCs w:val="16"/>
                <w:lang w:val="es-ES"/>
              </w:rPr>
              <w:t>Anamaría Bonilla Prieto</w:t>
            </w:r>
          </w:p>
          <w:p w14:paraId="3EB89057" w14:textId="77777777" w:rsidR="005E7C2E" w:rsidRPr="00270E87" w:rsidRDefault="005E7C2E" w:rsidP="004E5137">
            <w:pPr>
              <w:contextualSpacing/>
              <w:rPr>
                <w:rFonts w:ascii="Verdana" w:eastAsia="Arial" w:hAnsi="Verdana" w:cs="Arial"/>
                <w:sz w:val="16"/>
                <w:szCs w:val="16"/>
                <w:lang w:val="es-ES"/>
              </w:rPr>
            </w:pPr>
            <w:r w:rsidRPr="00270E87">
              <w:rPr>
                <w:rStyle w:val="normaltextrun"/>
                <w:rFonts w:ascii="Verdana" w:eastAsia="Arial" w:hAnsi="Verdana" w:cs="Arial"/>
                <w:color w:val="000000" w:themeColor="text1"/>
                <w:sz w:val="16"/>
                <w:szCs w:val="16"/>
                <w:lang w:val="es-ES"/>
              </w:rPr>
              <w:t xml:space="preserve">Contratista de la Subdirección </w:t>
            </w:r>
            <w:r w:rsidRPr="00270E87">
              <w:rPr>
                <w:rStyle w:val="normaltextrun"/>
                <w:rFonts w:ascii="Verdana" w:eastAsia="Arial" w:hAnsi="Verdana" w:cs="Arial"/>
                <w:sz w:val="16"/>
                <w:szCs w:val="16"/>
                <w:lang w:val="es-ES"/>
              </w:rPr>
              <w:t>de Gestión Contractual</w:t>
            </w:r>
          </w:p>
        </w:tc>
      </w:tr>
      <w:tr w:rsidR="005E7C2E" w:rsidRPr="00270E87" w14:paraId="65924077" w14:textId="77777777" w:rsidTr="004E5137">
        <w:trPr>
          <w:trHeight w:val="330"/>
        </w:trPr>
        <w:tc>
          <w:tcPr>
            <w:tcW w:w="893" w:type="dxa"/>
            <w:vAlign w:val="center"/>
            <w:hideMark/>
          </w:tcPr>
          <w:p w14:paraId="3AAA4285" w14:textId="77777777" w:rsidR="005E7C2E" w:rsidRPr="00270E87" w:rsidRDefault="005E7C2E" w:rsidP="004E5137">
            <w:pPr>
              <w:contextualSpacing/>
              <w:rPr>
                <w:rFonts w:ascii="Verdana" w:hAnsi="Verdana" w:cs="Arial"/>
                <w:sz w:val="16"/>
                <w:szCs w:val="16"/>
                <w:lang w:val="es-ES" w:eastAsia="es-ES"/>
              </w:rPr>
            </w:pPr>
            <w:r w:rsidRPr="00270E8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0C6C0A8" w14:textId="77777777" w:rsidR="005E7C2E" w:rsidRPr="00270E87" w:rsidRDefault="005E7C2E" w:rsidP="004E5137">
            <w:pPr>
              <w:spacing w:line="276" w:lineRule="auto"/>
              <w:contextualSpacing/>
              <w:textAlignment w:val="baseline"/>
              <w:rPr>
                <w:rStyle w:val="normaltextrun"/>
                <w:rFonts w:ascii="Verdana" w:eastAsia="Arial" w:hAnsi="Verdana"/>
                <w:color w:val="000000" w:themeColor="text1"/>
                <w:sz w:val="16"/>
                <w:szCs w:val="16"/>
                <w:lang w:val="es-ES"/>
              </w:rPr>
            </w:pPr>
            <w:r w:rsidRPr="00270E87">
              <w:rPr>
                <w:rStyle w:val="normaltextrun"/>
                <w:rFonts w:ascii="Verdana" w:eastAsia="Arial" w:hAnsi="Verdana"/>
                <w:color w:val="000000" w:themeColor="text1"/>
                <w:sz w:val="16"/>
                <w:szCs w:val="16"/>
                <w:lang w:val="es-ES"/>
              </w:rPr>
              <w:t>Alejandro Sarmiento Cantillo</w:t>
            </w:r>
          </w:p>
          <w:p w14:paraId="53D9CCCA" w14:textId="77777777" w:rsidR="005E7C2E" w:rsidRPr="00270E87" w:rsidRDefault="005E7C2E" w:rsidP="004E5137">
            <w:pPr>
              <w:pStyle w:val="paragraph"/>
              <w:spacing w:before="0" w:beforeAutospacing="0" w:after="0" w:afterAutospacing="0"/>
              <w:contextualSpacing/>
              <w:textAlignment w:val="baseline"/>
              <w:rPr>
                <w:rFonts w:ascii="Verdana" w:hAnsi="Verdana" w:cs="Segoe UI"/>
                <w:sz w:val="16"/>
                <w:szCs w:val="16"/>
                <w:lang w:val="es-ES"/>
              </w:rPr>
            </w:pPr>
            <w:r w:rsidRPr="00270E87">
              <w:rPr>
                <w:rStyle w:val="normaltextrun"/>
                <w:rFonts w:ascii="Verdana" w:eastAsia="Arial" w:hAnsi="Verdana"/>
                <w:color w:val="000000" w:themeColor="text1"/>
                <w:sz w:val="16"/>
                <w:szCs w:val="16"/>
                <w:lang w:val="es-ES" w:eastAsia="en-US"/>
              </w:rPr>
              <w:t xml:space="preserve">Gestor T1 – 15 </w:t>
            </w:r>
            <w:r w:rsidRPr="00270E87">
              <w:rPr>
                <w:rStyle w:val="normaltextrun"/>
                <w:rFonts w:ascii="Verdana" w:eastAsia="Arial" w:hAnsi="Verdana" w:cs="Arial"/>
                <w:color w:val="000000" w:themeColor="text1"/>
                <w:sz w:val="16"/>
                <w:szCs w:val="16"/>
                <w:lang w:val="es-ES" w:eastAsia="en-US"/>
              </w:rPr>
              <w:t>de la Subdirección de Gestión Contractual</w:t>
            </w:r>
            <w:r w:rsidRPr="00270E87">
              <w:rPr>
                <w:rStyle w:val="eop"/>
                <w:rFonts w:ascii="Verdana" w:hAnsi="Verdana" w:cs="Arial"/>
                <w:sz w:val="16"/>
                <w:szCs w:val="16"/>
                <w:lang w:val="es-ES"/>
              </w:rPr>
              <w:t> </w:t>
            </w:r>
          </w:p>
        </w:tc>
      </w:tr>
      <w:tr w:rsidR="005E7C2E" w:rsidRPr="00270E87" w14:paraId="0E257B37" w14:textId="77777777" w:rsidTr="004E5137">
        <w:trPr>
          <w:trHeight w:val="300"/>
        </w:trPr>
        <w:tc>
          <w:tcPr>
            <w:tcW w:w="893" w:type="dxa"/>
            <w:vAlign w:val="center"/>
          </w:tcPr>
          <w:p w14:paraId="36C00254" w14:textId="77777777" w:rsidR="005E7C2E" w:rsidRPr="00270E87" w:rsidRDefault="005E7C2E" w:rsidP="004E5137">
            <w:pPr>
              <w:contextualSpacing/>
              <w:rPr>
                <w:rFonts w:ascii="Verdana" w:hAnsi="Verdana" w:cs="Arial"/>
                <w:sz w:val="16"/>
                <w:szCs w:val="16"/>
                <w:lang w:val="es-ES" w:eastAsia="es-ES"/>
              </w:rPr>
            </w:pPr>
            <w:r w:rsidRPr="00270E8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2615F8" w14:textId="77777777" w:rsidR="005E7C2E" w:rsidRPr="00270E87" w:rsidRDefault="005E7C2E" w:rsidP="004E5137">
            <w:pPr>
              <w:contextualSpacing/>
              <w:rPr>
                <w:rFonts w:ascii="Verdana" w:eastAsia="Calibri" w:hAnsi="Verdana" w:cs="Arial"/>
                <w:sz w:val="16"/>
                <w:szCs w:val="16"/>
                <w:lang w:val="es-ES" w:eastAsia="es-ES"/>
              </w:rPr>
            </w:pPr>
            <w:r w:rsidRPr="00270E87">
              <w:rPr>
                <w:rFonts w:ascii="Verdana" w:eastAsia="Calibri" w:hAnsi="Verdana" w:cs="Arial"/>
                <w:sz w:val="16"/>
                <w:szCs w:val="16"/>
                <w:lang w:val="es-ES" w:eastAsia="es-ES"/>
              </w:rPr>
              <w:t>Carolina Quintero Gacharná</w:t>
            </w:r>
          </w:p>
          <w:p w14:paraId="7325D9E7" w14:textId="77777777" w:rsidR="005E7C2E" w:rsidRPr="00270E87" w:rsidRDefault="005E7C2E" w:rsidP="004E5137">
            <w:pPr>
              <w:contextualSpacing/>
              <w:rPr>
                <w:rFonts w:ascii="Verdana" w:eastAsia="Calibri" w:hAnsi="Verdana" w:cs="Arial"/>
                <w:sz w:val="16"/>
                <w:szCs w:val="16"/>
                <w:lang w:val="es-ES" w:eastAsia="es-ES"/>
              </w:rPr>
            </w:pPr>
            <w:r w:rsidRPr="00270E87">
              <w:rPr>
                <w:rFonts w:ascii="Verdana" w:eastAsia="Calibri" w:hAnsi="Verdana" w:cs="Arial"/>
                <w:sz w:val="16"/>
                <w:szCs w:val="16"/>
                <w:lang w:val="es-ES" w:eastAsia="es-ES"/>
              </w:rPr>
              <w:t>Subdirectora de Gestión Contractual ANCP – CCE</w:t>
            </w:r>
          </w:p>
        </w:tc>
      </w:tr>
    </w:tbl>
    <w:p w14:paraId="4EF4B00A" w14:textId="246275EA" w:rsidR="005E7C2E" w:rsidRPr="00270E87" w:rsidRDefault="005E7C2E" w:rsidP="005E7C2E">
      <w:pPr>
        <w:spacing w:after="0" w:line="276" w:lineRule="auto"/>
        <w:jc w:val="center"/>
        <w:rPr>
          <w:lang w:val="es-ES"/>
        </w:rPr>
      </w:pPr>
    </w:p>
    <w:p w14:paraId="1C125F47" w14:textId="77777777" w:rsidR="005E7C2E" w:rsidRPr="00270E87" w:rsidRDefault="005E7C2E" w:rsidP="005E7C2E">
      <w:pPr>
        <w:spacing w:after="0" w:line="240" w:lineRule="auto"/>
        <w:textAlignment w:val="baseline"/>
        <w:rPr>
          <w:rFonts w:ascii="Verdana" w:eastAsia="Times New Roman" w:hAnsi="Verdana" w:cs="Segoe UI"/>
          <w:b/>
          <w:bCs/>
          <w:color w:val="46589C"/>
          <w:lang w:val="es-ES" w:eastAsia="es-CO"/>
        </w:rPr>
      </w:pPr>
    </w:p>
    <w:p w14:paraId="07DDF300" w14:textId="77777777" w:rsidR="005E7C2E" w:rsidRPr="00270E87" w:rsidRDefault="005E7C2E" w:rsidP="005E7C2E">
      <w:pPr>
        <w:rPr>
          <w:lang w:val="es-ES"/>
        </w:rPr>
      </w:pPr>
    </w:p>
    <w:p w14:paraId="0F293BF4" w14:textId="7A76CCB8" w:rsidR="00127233" w:rsidRPr="005E7C2E" w:rsidRDefault="00127233" w:rsidP="005E7C2E"/>
    <w:sectPr w:rsidR="00127233" w:rsidRPr="005E7C2E"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3D217" w14:textId="77777777" w:rsidR="004E7E31" w:rsidRDefault="004E7E31" w:rsidP="004A1847">
      <w:pPr>
        <w:spacing w:after="0" w:line="240" w:lineRule="auto"/>
      </w:pPr>
      <w:r>
        <w:separator/>
      </w:r>
    </w:p>
  </w:endnote>
  <w:endnote w:type="continuationSeparator" w:id="0">
    <w:p w14:paraId="5E5B3AB2" w14:textId="77777777" w:rsidR="004E7E31" w:rsidRDefault="004E7E31" w:rsidP="004A1847">
      <w:pPr>
        <w:spacing w:after="0" w:line="240" w:lineRule="auto"/>
      </w:pPr>
      <w:r>
        <w:continuationSeparator/>
      </w:r>
    </w:p>
  </w:endnote>
  <w:endnote w:type="continuationNotice" w:id="1">
    <w:p w14:paraId="0C5C5855" w14:textId="77777777" w:rsidR="004E7E31" w:rsidRDefault="004E7E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2621C" w14:textId="77777777" w:rsidR="004E7E31" w:rsidRDefault="004E7E31" w:rsidP="004A1847">
      <w:pPr>
        <w:spacing w:after="0" w:line="240" w:lineRule="auto"/>
      </w:pPr>
      <w:r>
        <w:separator/>
      </w:r>
    </w:p>
  </w:footnote>
  <w:footnote w:type="continuationSeparator" w:id="0">
    <w:p w14:paraId="11308B99" w14:textId="77777777" w:rsidR="004E7E31" w:rsidRDefault="004E7E31" w:rsidP="004A1847">
      <w:pPr>
        <w:spacing w:after="0" w:line="240" w:lineRule="auto"/>
      </w:pPr>
      <w:r>
        <w:continuationSeparator/>
      </w:r>
    </w:p>
  </w:footnote>
  <w:footnote w:type="continuationNotice" w:id="1">
    <w:p w14:paraId="4C85D268" w14:textId="77777777" w:rsidR="004E7E31" w:rsidRDefault="004E7E31">
      <w:pPr>
        <w:spacing w:after="0" w:line="240" w:lineRule="auto"/>
      </w:pPr>
    </w:p>
  </w:footnote>
  <w:footnote w:id="2">
    <w:p w14:paraId="6A177540" w14:textId="77777777" w:rsidR="005E7C2E" w:rsidRPr="00196ABA" w:rsidRDefault="005E7C2E" w:rsidP="005E7C2E">
      <w:pPr>
        <w:pStyle w:val="Textonotapie"/>
        <w:ind w:firstLine="708"/>
        <w:jc w:val="both"/>
        <w:rPr>
          <w:rFonts w:ascii="Verdana" w:hAnsi="Verdana" w:cs="Arial"/>
          <w:sz w:val="16"/>
          <w:szCs w:val="16"/>
          <w:lang w:val="es-ES"/>
        </w:rPr>
      </w:pPr>
      <w:r w:rsidRPr="00196ABA">
        <w:rPr>
          <w:rStyle w:val="Refdenotaalpie"/>
          <w:rFonts w:ascii="Verdana" w:hAnsi="Verdana" w:cs="Arial"/>
          <w:sz w:val="16"/>
          <w:szCs w:val="16"/>
        </w:rPr>
        <w:footnoteRef/>
      </w:r>
      <w:r w:rsidRPr="00196ABA">
        <w:rPr>
          <w:rFonts w:ascii="Verdana" w:hAnsi="Verdana" w:cs="Arial"/>
          <w:sz w:val="16"/>
          <w:szCs w:val="16"/>
        </w:rPr>
        <w:t xml:space="preserve"> “</w:t>
      </w:r>
      <w:r w:rsidRPr="00196ABA">
        <w:rPr>
          <w:rFonts w:ascii="Verdana" w:hAnsi="Verdana" w:cs="Arial"/>
          <w:sz w:val="16"/>
          <w:szCs w:val="16"/>
          <w:lang w:val="es-ES"/>
        </w:rPr>
        <w:t xml:space="preserve">Artículo 56. Declaratoria de situación de desastre. Previa recomendación del Consejo Nacional, el </w:t>
      </w:r>
      <w:proofErr w:type="gramStart"/>
      <w:r w:rsidRPr="00196ABA">
        <w:rPr>
          <w:rFonts w:ascii="Verdana" w:hAnsi="Verdana" w:cs="Arial"/>
          <w:sz w:val="16"/>
          <w:szCs w:val="16"/>
          <w:lang w:val="es-ES"/>
        </w:rPr>
        <w:t>Presidente</w:t>
      </w:r>
      <w:proofErr w:type="gramEnd"/>
      <w:r w:rsidRPr="00196ABA">
        <w:rPr>
          <w:rFonts w:ascii="Verdana" w:hAnsi="Verdana" w:cs="Arial"/>
          <w:sz w:val="16"/>
          <w:szCs w:val="16"/>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20FA0C2B"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1. Nacional. Existirá una situación de desastre nacional:</w:t>
      </w:r>
    </w:p>
    <w:p w14:paraId="33B18106"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3BAF8DE2"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b). Cuando se hayan producido efectos adversos en uno (1) o más departamentos y su impacto rebase la capacidad técnica y los recursos de las administraciones departamentales y municipales involucradas.</w:t>
      </w:r>
    </w:p>
    <w:p w14:paraId="58E2F49C"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15CEF8E3"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402EEBBD"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3">
    <w:p w14:paraId="6316923E" w14:textId="77777777" w:rsidR="005E7C2E" w:rsidRPr="00196ABA" w:rsidRDefault="005E7C2E" w:rsidP="005E7C2E">
      <w:pPr>
        <w:pStyle w:val="Textonotapie"/>
        <w:ind w:firstLine="708"/>
        <w:jc w:val="both"/>
        <w:rPr>
          <w:rFonts w:ascii="Verdana" w:hAnsi="Verdana" w:cs="Arial"/>
          <w:sz w:val="16"/>
          <w:szCs w:val="16"/>
          <w:lang w:val="es-CO"/>
        </w:rPr>
      </w:pPr>
      <w:r w:rsidRPr="00196ABA">
        <w:rPr>
          <w:rStyle w:val="Refdenotaalpie"/>
          <w:rFonts w:ascii="Verdana" w:hAnsi="Verdana" w:cs="Arial"/>
          <w:sz w:val="16"/>
          <w:szCs w:val="16"/>
        </w:rPr>
        <w:footnoteRef/>
      </w:r>
      <w:r w:rsidRPr="00196ABA">
        <w:rPr>
          <w:rFonts w:ascii="Verdana" w:hAnsi="Verdana" w:cs="Arial"/>
          <w:sz w:val="16"/>
          <w:szCs w:val="16"/>
        </w:rPr>
        <w:t xml:space="preserve"> “</w:t>
      </w:r>
      <w:r w:rsidRPr="00196ABA">
        <w:rPr>
          <w:rFonts w:ascii="Verdana" w:hAnsi="Verdana" w:cs="Arial"/>
          <w:sz w:val="16"/>
          <w:szCs w:val="16"/>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4">
    <w:p w14:paraId="73F53388" w14:textId="77777777" w:rsidR="005E7C2E" w:rsidRPr="00196ABA" w:rsidRDefault="005E7C2E" w:rsidP="005E7C2E">
      <w:pPr>
        <w:spacing w:after="0" w:line="240" w:lineRule="auto"/>
        <w:ind w:firstLine="708"/>
        <w:jc w:val="both"/>
        <w:rPr>
          <w:rFonts w:ascii="Verdana" w:eastAsia="Calibri" w:hAnsi="Verdana" w:cs="Arial"/>
          <w:sz w:val="16"/>
          <w:szCs w:val="16"/>
          <w:lang w:val="es-ES_tradnl"/>
        </w:rPr>
      </w:pPr>
      <w:r w:rsidRPr="00196ABA">
        <w:rPr>
          <w:rStyle w:val="Refdenotaalpie"/>
          <w:rFonts w:ascii="Verdana" w:hAnsi="Verdana" w:cs="Arial"/>
          <w:sz w:val="16"/>
          <w:szCs w:val="16"/>
        </w:rPr>
        <w:footnoteRef/>
      </w:r>
      <w:r w:rsidRPr="00196ABA">
        <w:rPr>
          <w:rFonts w:ascii="Verdana" w:hAnsi="Verdana" w:cs="Arial"/>
          <w:sz w:val="16"/>
          <w:szCs w:val="16"/>
        </w:rPr>
        <w:t xml:space="preserve"> </w:t>
      </w:r>
      <w:r w:rsidRPr="00196ABA">
        <w:rPr>
          <w:rFonts w:ascii="Verdana" w:hAnsi="Verdana" w:cs="Arial"/>
          <w:sz w:val="16"/>
          <w:szCs w:val="16"/>
          <w:lang w:val="es-ES_tradnl"/>
        </w:rPr>
        <w:t>La jurisprudencia delimita su sentido y alcance de la siguiente manera –</w:t>
      </w:r>
      <w:r w:rsidRPr="00196ABA">
        <w:rPr>
          <w:rFonts w:ascii="Verdana" w:hAnsi="Verdana" w:cs="Arial"/>
          <w:sz w:val="16"/>
          <w:szCs w:val="16"/>
          <w:lang w:val="es-ES"/>
        </w:rPr>
        <w:t>CORTE SUPREMA DE JUSTICIA. Sala de Casación Civil. Sentencia 20 de noviembre de 1989. MP. Alberto Ospina Botero. Publicada en la Gaceta Judicial. Tomo CXCVI. N° 2435. p. 93</w:t>
      </w:r>
      <w:r w:rsidRPr="00196ABA">
        <w:rPr>
          <w:rFonts w:ascii="Verdana" w:hAnsi="Verdana" w:cs="Arial"/>
          <w:sz w:val="16"/>
          <w:szCs w:val="16"/>
          <w:lang w:val="es-ES_tradnl"/>
        </w:rPr>
        <w:t>–:</w:t>
      </w:r>
    </w:p>
    <w:p w14:paraId="20C6CE89" w14:textId="77777777" w:rsidR="005E7C2E" w:rsidRPr="00196ABA" w:rsidRDefault="005E7C2E" w:rsidP="005E7C2E">
      <w:pPr>
        <w:spacing w:after="0" w:line="240" w:lineRule="auto"/>
        <w:ind w:right="49" w:firstLine="708"/>
        <w:jc w:val="both"/>
        <w:rPr>
          <w:rFonts w:ascii="Verdana" w:eastAsia="Calibri" w:hAnsi="Verdana" w:cs="Arial"/>
          <w:sz w:val="16"/>
          <w:szCs w:val="16"/>
          <w:lang w:val="es-ES_tradnl"/>
        </w:rPr>
      </w:pPr>
      <w:r w:rsidRPr="00196ABA">
        <w:rPr>
          <w:rFonts w:ascii="Verdana" w:eastAsia="Calibri" w:hAnsi="Verdana" w:cs="Arial"/>
          <w:sz w:val="16"/>
          <w:szCs w:val="16"/>
          <w:lang w:val="es-ES_tradnl"/>
        </w:rPr>
        <w:t>“6. […] la fuerza mayor o caso fortuito se configura por la concurrencia de dos factores:</w:t>
      </w:r>
    </w:p>
    <w:p w14:paraId="05EE276E" w14:textId="77777777" w:rsidR="005E7C2E" w:rsidRPr="00196ABA" w:rsidRDefault="005E7C2E" w:rsidP="005E7C2E">
      <w:pPr>
        <w:spacing w:after="0" w:line="240" w:lineRule="auto"/>
        <w:ind w:right="49" w:firstLine="708"/>
        <w:jc w:val="both"/>
        <w:rPr>
          <w:rFonts w:ascii="Verdana" w:eastAsia="Calibri" w:hAnsi="Verdana" w:cs="Arial"/>
          <w:sz w:val="16"/>
          <w:szCs w:val="16"/>
          <w:lang w:val="es-ES_tradnl"/>
        </w:rPr>
      </w:pPr>
      <w:r w:rsidRPr="00196ABA">
        <w:rPr>
          <w:rFonts w:ascii="Verdana" w:eastAsia="Calibri" w:hAnsi="Verdana" w:cs="Arial"/>
          <w:sz w:val="16"/>
          <w:szCs w:val="16"/>
          <w:lang w:val="es-ES_tradnl"/>
        </w:rPr>
        <w:t xml:space="preserve">a) Que el hecho sea imprevisible, esto es, </w:t>
      </w:r>
      <w:proofErr w:type="gramStart"/>
      <w:r w:rsidRPr="00196ABA">
        <w:rPr>
          <w:rFonts w:ascii="Verdana" w:eastAsia="Calibri" w:hAnsi="Verdana" w:cs="Arial"/>
          <w:sz w:val="16"/>
          <w:szCs w:val="16"/>
          <w:lang w:val="es-ES_tradnl"/>
        </w:rPr>
        <w:t>que</w:t>
      </w:r>
      <w:proofErr w:type="gramEnd"/>
      <w:r w:rsidRPr="00196ABA">
        <w:rPr>
          <w:rFonts w:ascii="Verdana" w:eastAsia="Calibri" w:hAnsi="Verdana" w:cs="Arial"/>
          <w:sz w:val="16"/>
          <w:szCs w:val="16"/>
          <w:lang w:val="es-ES_tradnl"/>
        </w:rPr>
        <w:t xml:space="preserv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1C6B4948" w14:textId="77777777" w:rsidR="005E7C2E" w:rsidRPr="00196ABA" w:rsidRDefault="005E7C2E" w:rsidP="005E7C2E">
      <w:pPr>
        <w:spacing w:after="0" w:line="240" w:lineRule="auto"/>
        <w:ind w:right="49" w:firstLine="708"/>
        <w:jc w:val="both"/>
        <w:rPr>
          <w:rFonts w:ascii="Verdana" w:eastAsia="Calibri" w:hAnsi="Verdana" w:cs="Arial"/>
          <w:sz w:val="16"/>
          <w:szCs w:val="16"/>
          <w:lang w:val="es-ES_tradnl"/>
        </w:rPr>
      </w:pPr>
      <w:r w:rsidRPr="00196ABA">
        <w:rPr>
          <w:rFonts w:ascii="Verdana" w:eastAsia="Calibri" w:hAnsi="Verdana" w:cs="Arial"/>
          <w:sz w:val="16"/>
          <w:szCs w:val="16"/>
          <w:lang w:val="es-ES_tradnl"/>
        </w:rPr>
        <w:t>b) Que el hecho sea irresistible, o sea, que el agente no pueda evitar su acaecimiento ni superar sus consecuencias.</w:t>
      </w:r>
    </w:p>
    <w:p w14:paraId="5AE709F9" w14:textId="77777777" w:rsidR="005E7C2E" w:rsidRPr="00196ABA" w:rsidRDefault="005E7C2E" w:rsidP="005E7C2E">
      <w:pPr>
        <w:spacing w:after="0" w:line="240" w:lineRule="auto"/>
        <w:ind w:right="49" w:firstLine="708"/>
        <w:jc w:val="both"/>
        <w:rPr>
          <w:rFonts w:ascii="Verdana" w:eastAsia="Calibri" w:hAnsi="Verdana" w:cs="Arial"/>
          <w:sz w:val="16"/>
          <w:szCs w:val="16"/>
          <w:lang w:val="es-ES_tradnl"/>
        </w:rPr>
      </w:pPr>
      <w:r w:rsidRPr="00196ABA">
        <w:rPr>
          <w:rFonts w:ascii="Verdana" w:eastAsia="Calibri" w:hAnsi="Verdana" w:cs="Arial"/>
          <w:sz w:val="16"/>
          <w:szCs w:val="16"/>
          <w:lang w:val="es-ES_tradnl"/>
        </w:rPr>
        <w:t xml:space="preserve">En este preciso punto es indispensable anotar la diferencia existente entre la imposibilidad para resistir o superar el hecho y la dificultad para enfrentarlo. Porque un hecho no constituye caso fortuito o fuerza mayor, por la sola circunstancia de que se haga </w:t>
      </w:r>
      <w:proofErr w:type="gramStart"/>
      <w:r w:rsidRPr="00196ABA">
        <w:rPr>
          <w:rFonts w:ascii="Verdana" w:eastAsia="Calibri" w:hAnsi="Verdana" w:cs="Arial"/>
          <w:sz w:val="16"/>
          <w:szCs w:val="16"/>
          <w:lang w:val="es-ES_tradnl"/>
        </w:rPr>
        <w:t>más difícil o más onerosa</w:t>
      </w:r>
      <w:proofErr w:type="gramEnd"/>
      <w:r w:rsidRPr="00196ABA">
        <w:rPr>
          <w:rFonts w:ascii="Verdana" w:eastAsia="Calibri" w:hAnsi="Verdana" w:cs="Arial"/>
          <w:sz w:val="16"/>
          <w:szCs w:val="16"/>
          <w:lang w:val="es-ES_tradnl"/>
        </w:rPr>
        <w:t xml:space="preserve"> de lo previsto inicialmente.</w:t>
      </w:r>
    </w:p>
    <w:p w14:paraId="6C7685D9" w14:textId="77777777" w:rsidR="005E7C2E" w:rsidRPr="00196ABA" w:rsidRDefault="005E7C2E" w:rsidP="005E7C2E">
      <w:pPr>
        <w:spacing w:after="0" w:line="240" w:lineRule="auto"/>
        <w:ind w:right="49" w:firstLine="708"/>
        <w:jc w:val="both"/>
        <w:rPr>
          <w:rFonts w:ascii="Verdana" w:eastAsia="Calibri" w:hAnsi="Verdana" w:cs="Arial"/>
          <w:sz w:val="16"/>
          <w:szCs w:val="16"/>
          <w:lang w:val="es-ES_tradnl"/>
        </w:rPr>
      </w:pPr>
      <w:r w:rsidRPr="00196ABA">
        <w:rPr>
          <w:rFonts w:ascii="Verdana" w:eastAsia="Calibri" w:hAnsi="Verdana" w:cs="Arial"/>
          <w:sz w:val="16"/>
          <w:szCs w:val="16"/>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19F9C15B" w14:textId="77777777" w:rsidR="005E7C2E" w:rsidRPr="00196ABA" w:rsidRDefault="005E7C2E" w:rsidP="005E7C2E">
      <w:pPr>
        <w:spacing w:after="0" w:line="240" w:lineRule="auto"/>
        <w:ind w:right="49"/>
        <w:jc w:val="both"/>
        <w:rPr>
          <w:rFonts w:ascii="Verdana" w:eastAsia="Calibri" w:hAnsi="Verdana" w:cs="Arial"/>
          <w:sz w:val="16"/>
          <w:szCs w:val="16"/>
          <w:lang w:val="es-ES_tradnl"/>
        </w:rPr>
      </w:pPr>
      <w:r w:rsidRPr="00196ABA">
        <w:rPr>
          <w:rFonts w:ascii="Verdana" w:eastAsia="Calibri" w:hAnsi="Verdana" w:cs="Arial"/>
          <w:sz w:val="16"/>
          <w:szCs w:val="16"/>
          <w:lang w:val="es-ES_tradnl"/>
        </w:rPr>
        <w:t>[…]</w:t>
      </w:r>
    </w:p>
    <w:p w14:paraId="1D7B8CB6" w14:textId="77777777" w:rsidR="005E7C2E" w:rsidRPr="00196ABA" w:rsidRDefault="005E7C2E" w:rsidP="005E7C2E">
      <w:pPr>
        <w:pStyle w:val="Textonotapie"/>
        <w:ind w:right="49" w:firstLine="708"/>
        <w:jc w:val="both"/>
        <w:rPr>
          <w:rFonts w:ascii="Verdana" w:hAnsi="Verdana" w:cs="Arial"/>
          <w:sz w:val="16"/>
          <w:szCs w:val="16"/>
          <w:lang w:val="es-CO"/>
        </w:rPr>
      </w:pPr>
      <w:r w:rsidRPr="00196ABA">
        <w:rPr>
          <w:rFonts w:ascii="Verdana" w:eastAsia="Calibri" w:hAnsi="Verdana" w:cs="Arial"/>
          <w:sz w:val="16"/>
          <w:szCs w:val="16"/>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5">
    <w:p w14:paraId="27D1F4FD" w14:textId="77777777" w:rsidR="005E7C2E" w:rsidRPr="00196ABA" w:rsidRDefault="005E7C2E" w:rsidP="005E7C2E">
      <w:pPr>
        <w:pStyle w:val="Textonotapie"/>
        <w:ind w:firstLine="708"/>
        <w:jc w:val="both"/>
        <w:rPr>
          <w:rFonts w:ascii="Verdana" w:hAnsi="Verdana" w:cs="Arial"/>
          <w:sz w:val="16"/>
          <w:szCs w:val="16"/>
          <w:lang w:val="es-ES"/>
        </w:rPr>
      </w:pPr>
      <w:r w:rsidRPr="00196ABA">
        <w:rPr>
          <w:rStyle w:val="Refdenotaalpie"/>
          <w:rFonts w:ascii="Verdana" w:hAnsi="Verdana" w:cs="Arial"/>
          <w:sz w:val="16"/>
          <w:szCs w:val="16"/>
        </w:rPr>
        <w:footnoteRef/>
      </w:r>
      <w:r w:rsidRPr="00196ABA">
        <w:rPr>
          <w:rFonts w:ascii="Verdana" w:hAnsi="Verdana" w:cs="Arial"/>
          <w:sz w:val="16"/>
          <w:szCs w:val="16"/>
        </w:rPr>
        <w:t xml:space="preserve"> “</w:t>
      </w:r>
      <w:r w:rsidRPr="00196ABA">
        <w:rPr>
          <w:rFonts w:ascii="Verdana" w:hAnsi="Verdana" w:cs="Arial"/>
          <w:sz w:val="16"/>
          <w:szCs w:val="16"/>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3CB063B4"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1. Nacional. Existirá una situación de desastre nacional:</w:t>
      </w:r>
    </w:p>
    <w:p w14:paraId="55EDC968"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1E546C88"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b). Cuando se hayan producido efectos adversos en uno (1) o más departamentos y su impacto rebase la capacidad técnica y los recursos de las administraciones departamentales y municipales involucradas.</w:t>
      </w:r>
    </w:p>
    <w:p w14:paraId="27D45767"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1829D486"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17CAE4CF" w14:textId="77777777" w:rsidR="005E7C2E" w:rsidRPr="00196ABA" w:rsidRDefault="005E7C2E" w:rsidP="005E7C2E">
      <w:pPr>
        <w:pStyle w:val="Textonotapie"/>
        <w:ind w:firstLine="708"/>
        <w:jc w:val="both"/>
        <w:rPr>
          <w:rFonts w:ascii="Verdana" w:hAnsi="Verdana" w:cs="Arial"/>
          <w:sz w:val="16"/>
          <w:szCs w:val="16"/>
          <w:lang w:val="es-ES"/>
        </w:rPr>
      </w:pPr>
      <w:r w:rsidRPr="00196ABA">
        <w:rPr>
          <w:rFonts w:ascii="Verdana" w:hAnsi="Verdana" w:cs="Arial"/>
          <w:sz w:val="16"/>
          <w:szCs w:val="16"/>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6">
    <w:p w14:paraId="5DB8A1A7" w14:textId="77777777" w:rsidR="005E7C2E" w:rsidRPr="00196ABA" w:rsidRDefault="005E7C2E" w:rsidP="005E7C2E">
      <w:pPr>
        <w:pStyle w:val="Textonotapie"/>
        <w:ind w:firstLine="708"/>
        <w:jc w:val="both"/>
        <w:rPr>
          <w:rFonts w:ascii="Verdana" w:hAnsi="Verdana" w:cs="Arial"/>
          <w:sz w:val="16"/>
          <w:szCs w:val="16"/>
          <w:lang w:val="es-CO"/>
        </w:rPr>
      </w:pPr>
      <w:r w:rsidRPr="00196ABA">
        <w:rPr>
          <w:rStyle w:val="Refdenotaalpie"/>
          <w:rFonts w:ascii="Verdana" w:hAnsi="Verdana" w:cs="Arial"/>
          <w:sz w:val="16"/>
          <w:szCs w:val="16"/>
        </w:rPr>
        <w:footnoteRef/>
      </w:r>
      <w:r w:rsidRPr="00196ABA">
        <w:rPr>
          <w:rFonts w:ascii="Verdana" w:hAnsi="Verdana" w:cs="Arial"/>
          <w:sz w:val="16"/>
          <w:szCs w:val="16"/>
        </w:rPr>
        <w:t xml:space="preserve"> “</w:t>
      </w:r>
      <w:r w:rsidRPr="00196ABA">
        <w:rPr>
          <w:rFonts w:ascii="Verdana" w:hAnsi="Verdana" w:cs="Arial"/>
          <w:sz w:val="16"/>
          <w:szCs w:val="16"/>
          <w:lang w:val="es-ES"/>
        </w:rPr>
        <w:t xml:space="preserve">Artículo 57. Declaratoria de situación de calamidad pública. </w:t>
      </w:r>
      <w:bookmarkStart w:id="5" w:name="_Hlk132729568"/>
      <w:r w:rsidRPr="00196ABA">
        <w:rPr>
          <w:rFonts w:ascii="Verdana" w:hAnsi="Verdana" w:cs="Arial"/>
          <w:sz w:val="16"/>
          <w:szCs w:val="16"/>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5"/>
      <w:r w:rsidRPr="00196ABA">
        <w:rPr>
          <w:rFonts w:ascii="Verdana" w:hAnsi="Verdana" w:cs="Arial"/>
          <w:sz w:val="16"/>
          <w:szCs w:val="16"/>
          <w:lang w:val="es-ES"/>
        </w:rPr>
        <w:t>”.</w:t>
      </w:r>
    </w:p>
  </w:footnote>
  <w:footnote w:id="7">
    <w:p w14:paraId="0F1E7650" w14:textId="77777777" w:rsidR="005E7C2E" w:rsidRPr="00196ABA" w:rsidRDefault="005E7C2E" w:rsidP="005E7C2E">
      <w:pPr>
        <w:pStyle w:val="Textonotapie"/>
        <w:ind w:firstLine="708"/>
        <w:jc w:val="both"/>
        <w:rPr>
          <w:rFonts w:ascii="Verdana" w:hAnsi="Verdana" w:cs="Arial"/>
          <w:sz w:val="16"/>
          <w:szCs w:val="16"/>
          <w:lang w:val="es-ES"/>
        </w:rPr>
      </w:pPr>
      <w:r w:rsidRPr="00196ABA">
        <w:rPr>
          <w:rStyle w:val="Refdenotaalpie"/>
          <w:rFonts w:ascii="Verdana" w:hAnsi="Verdana"/>
          <w:sz w:val="16"/>
          <w:szCs w:val="16"/>
        </w:rPr>
        <w:footnoteRef/>
      </w:r>
      <w:r w:rsidRPr="00196ABA">
        <w:rPr>
          <w:rFonts w:ascii="Verdana" w:hAnsi="Verdana"/>
          <w:sz w:val="16"/>
          <w:szCs w:val="16"/>
        </w:rPr>
        <w:t xml:space="preserve"> </w:t>
      </w:r>
      <w:r w:rsidRPr="00196ABA">
        <w:rPr>
          <w:rFonts w:ascii="Verdana" w:hAnsi="Verdana" w:cs="Arial"/>
          <w:sz w:val="16"/>
          <w:szCs w:val="16"/>
          <w:lang w:val="es-ES"/>
        </w:rPr>
        <w:t>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Estado, vinculada al Ministerio de Hacienda y Crédito Público” (Corchetes fuera de texto).</w:t>
      </w:r>
    </w:p>
  </w:footnote>
  <w:footnote w:id="8">
    <w:p w14:paraId="1EAD8B18" w14:textId="77777777" w:rsidR="005E7C2E" w:rsidRPr="00196ABA" w:rsidRDefault="005E7C2E" w:rsidP="005E7C2E">
      <w:pPr>
        <w:pStyle w:val="Textonotapie"/>
        <w:ind w:firstLine="708"/>
        <w:jc w:val="both"/>
        <w:rPr>
          <w:rFonts w:ascii="Verdana" w:hAnsi="Verdana" w:cs="Arial"/>
          <w:color w:val="000000" w:themeColor="text1"/>
          <w:sz w:val="16"/>
          <w:szCs w:val="16"/>
        </w:rPr>
      </w:pPr>
      <w:r w:rsidRPr="00196ABA">
        <w:rPr>
          <w:rStyle w:val="Refdenotaalpie"/>
          <w:rFonts w:ascii="Verdana" w:hAnsi="Verdana" w:cs="Arial"/>
          <w:color w:val="000000" w:themeColor="text1"/>
          <w:sz w:val="16"/>
          <w:szCs w:val="16"/>
        </w:rPr>
        <w:footnoteRef/>
      </w:r>
      <w:r w:rsidRPr="00196ABA">
        <w:rPr>
          <w:rFonts w:ascii="Verdana" w:hAnsi="Verdana" w:cs="Arial"/>
          <w:color w:val="000000" w:themeColor="text1"/>
          <w:sz w:val="16"/>
          <w:szCs w:val="16"/>
        </w:rPr>
        <w:t xml:space="preserve"> Al respecto, el artículo 2, literal a) del numeral 1, del Estatuto General de Contratación denomina como entidades estatales a “La Nación, las regiones, los departamentos, las provincias, el distrito capital y los distritos especiales, las áreas metropolitanas, las asociaciones de municipios, los territorios indígenas y los municipios; los establecimientos públicos, </w:t>
      </w:r>
      <w:r w:rsidRPr="00196ABA">
        <w:rPr>
          <w:rFonts w:ascii="Verdana" w:hAnsi="Verdana" w:cs="Arial"/>
          <w:i/>
          <w:iCs/>
          <w:color w:val="000000" w:themeColor="text1"/>
          <w:sz w:val="16"/>
          <w:szCs w:val="16"/>
        </w:rPr>
        <w:t>las empresas industriales y comerciales del Estado</w:t>
      </w:r>
      <w:r w:rsidRPr="00196ABA">
        <w:rPr>
          <w:rFonts w:ascii="Verdana" w:hAnsi="Verdana" w:cs="Arial"/>
          <w:color w:val="000000" w:themeColor="text1"/>
          <w:sz w:val="16"/>
          <w:szCs w:val="16"/>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p w14:paraId="02BDDBC2" w14:textId="77777777" w:rsidR="005E7C2E" w:rsidRPr="00196ABA" w:rsidRDefault="005E7C2E" w:rsidP="005E7C2E">
      <w:pPr>
        <w:pStyle w:val="Textonotapie"/>
        <w:ind w:firstLine="708"/>
        <w:jc w:val="both"/>
        <w:rPr>
          <w:rFonts w:ascii="Verdana" w:hAnsi="Verdana" w:cs="Arial"/>
          <w:color w:val="000000" w:themeColor="text1"/>
          <w:sz w:val="16"/>
          <w:szCs w:val="16"/>
        </w:rPr>
      </w:pPr>
      <w:r w:rsidRPr="00196ABA">
        <w:rPr>
          <w:rFonts w:ascii="Verdana" w:hAnsi="Verdana" w:cs="Arial"/>
          <w:color w:val="000000" w:themeColor="text1"/>
          <w:sz w:val="16"/>
          <w:szCs w:val="16"/>
        </w:rPr>
        <w:t xml:space="preserve">Igualmente, el artículo 93 de la Ley 489 de 1998 dispone lo siguiente: “Los actos que expidan las empresas industriales y comerciales del Estado para el desarrollo de su actividad propia, industrial o comercial o de gestión económica </w:t>
      </w:r>
      <w:r w:rsidRPr="00196ABA">
        <w:rPr>
          <w:rFonts w:ascii="Verdana" w:hAnsi="Verdana" w:cs="Arial"/>
          <w:sz w:val="16"/>
          <w:szCs w:val="16"/>
        </w:rPr>
        <w:t xml:space="preserve">se sujetarán a las disposiciones del Derecho Privado. </w:t>
      </w:r>
      <w:r w:rsidRPr="00196ABA">
        <w:rPr>
          <w:rFonts w:ascii="Verdana" w:hAnsi="Verdana" w:cs="Arial"/>
          <w:i/>
          <w:iCs/>
          <w:sz w:val="16"/>
          <w:szCs w:val="16"/>
        </w:rPr>
        <w:t>Los contratos que celebren para el cumplimiento de su objeto se sujetarán a las disposiciones del Estatuto General de Contratación de las entidades estatales</w:t>
      </w:r>
      <w:r w:rsidRPr="00196ABA">
        <w:rPr>
          <w:rFonts w:ascii="Verdana" w:hAnsi="Verdana" w:cs="Arial"/>
          <w:sz w:val="16"/>
          <w:szCs w:val="16"/>
        </w:rPr>
        <w:t>” (Énfasis fuera de texto</w:t>
      </w:r>
      <w:r w:rsidRPr="00196ABA">
        <w:rPr>
          <w:rFonts w:ascii="Verdana" w:hAnsi="Verdana" w:cs="Arial"/>
          <w:color w:val="000000" w:themeColor="text1"/>
          <w:sz w:val="16"/>
          <w:szCs w:val="16"/>
        </w:rPr>
        <w:t>).</w:t>
      </w:r>
    </w:p>
  </w:footnote>
  <w:footnote w:id="9">
    <w:p w14:paraId="48A45241" w14:textId="77777777" w:rsidR="005E7C2E" w:rsidRPr="00196ABA" w:rsidRDefault="005E7C2E" w:rsidP="005E7C2E">
      <w:pPr>
        <w:pStyle w:val="Textonotapie"/>
        <w:ind w:firstLine="708"/>
        <w:jc w:val="both"/>
        <w:rPr>
          <w:rFonts w:ascii="Verdana" w:hAnsi="Verdana" w:cs="Arial"/>
          <w:sz w:val="16"/>
          <w:szCs w:val="16"/>
        </w:rPr>
      </w:pPr>
      <w:r w:rsidRPr="00196ABA">
        <w:rPr>
          <w:rStyle w:val="Refdenotaalpie"/>
          <w:rFonts w:ascii="Verdana" w:hAnsi="Verdana" w:cs="Arial"/>
          <w:sz w:val="16"/>
          <w:szCs w:val="16"/>
        </w:rPr>
        <w:footnoteRef/>
      </w:r>
      <w:r w:rsidRPr="00196ABA">
        <w:rPr>
          <w:rFonts w:ascii="Verdana" w:hAnsi="Verdana" w:cs="Arial"/>
          <w:sz w:val="16"/>
          <w:szCs w:val="16"/>
        </w:rPr>
        <w:t xml:space="preserve"> El numeral derogado disponía que “La escogencia del contratista se efectuará siempre a través de licitación o concurso públicos, salvo en los siguientes casos en los que se podrá contratar directamente: […]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p>
  </w:footnote>
  <w:footnote w:id="10">
    <w:p w14:paraId="62F46AF8" w14:textId="77777777" w:rsidR="005E7C2E" w:rsidRPr="00196ABA" w:rsidRDefault="005E7C2E" w:rsidP="005E7C2E">
      <w:pPr>
        <w:pStyle w:val="Textonotapie"/>
        <w:ind w:firstLine="708"/>
        <w:jc w:val="both"/>
        <w:rPr>
          <w:rFonts w:ascii="Verdana" w:hAnsi="Verdana" w:cs="Arial"/>
          <w:sz w:val="16"/>
          <w:szCs w:val="16"/>
          <w:lang w:val="es-ES"/>
        </w:rPr>
      </w:pPr>
      <w:r w:rsidRPr="00196ABA">
        <w:rPr>
          <w:rStyle w:val="Refdenotaalpie"/>
          <w:rFonts w:ascii="Verdana" w:hAnsi="Verdana" w:cs="Arial"/>
          <w:sz w:val="16"/>
          <w:szCs w:val="16"/>
        </w:rPr>
        <w:footnoteRef/>
      </w:r>
      <w:r w:rsidRPr="00196ABA">
        <w:rPr>
          <w:rFonts w:ascii="Verdana" w:hAnsi="Verdana" w:cs="Arial"/>
          <w:sz w:val="16"/>
          <w:szCs w:val="16"/>
        </w:rPr>
        <w:t xml:space="preserve"> En concordancia, el artículo 2.2.1.2.1.2.24 del Decreto 1082 de 2015 prescribe que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11">
    <w:p w14:paraId="55B89764" w14:textId="77777777" w:rsidR="005E7C2E" w:rsidRPr="00196ABA" w:rsidRDefault="005E7C2E" w:rsidP="005E7C2E">
      <w:pPr>
        <w:pStyle w:val="Textonotapie"/>
        <w:ind w:firstLine="708"/>
        <w:jc w:val="both"/>
        <w:rPr>
          <w:rFonts w:ascii="Verdana" w:hAnsi="Verdana" w:cs="Arial"/>
          <w:sz w:val="16"/>
          <w:szCs w:val="16"/>
        </w:rPr>
      </w:pPr>
      <w:r w:rsidRPr="00196ABA">
        <w:rPr>
          <w:rStyle w:val="Refdenotaalpie"/>
          <w:rFonts w:ascii="Verdana" w:hAnsi="Verdana" w:cs="Arial"/>
          <w:sz w:val="16"/>
          <w:szCs w:val="16"/>
        </w:rPr>
        <w:footnoteRef/>
      </w:r>
      <w:r w:rsidRPr="00196ABA">
        <w:rPr>
          <w:rFonts w:ascii="Verdana" w:hAnsi="Verdana" w:cs="Arial"/>
          <w:sz w:val="16"/>
          <w:szCs w:val="16"/>
        </w:rPr>
        <w:t xml:space="preserve"> CONSEJO DE ESTADO. Sección Tercera. Sentencia del 19 de agosto de 2004. Exp. 12.342. C.P. Ramiro Saavedra Becerra. </w:t>
      </w:r>
    </w:p>
  </w:footnote>
  <w:footnote w:id="12">
    <w:p w14:paraId="2594B55D" w14:textId="77777777" w:rsidR="005E7C2E" w:rsidRPr="00196ABA" w:rsidRDefault="005E7C2E" w:rsidP="005E7C2E">
      <w:pPr>
        <w:pStyle w:val="Textonotapie"/>
        <w:ind w:firstLine="708"/>
        <w:jc w:val="both"/>
        <w:rPr>
          <w:rFonts w:ascii="Verdana" w:hAnsi="Verdana"/>
          <w:sz w:val="16"/>
          <w:szCs w:val="16"/>
          <w:lang w:val="es-CO"/>
        </w:rPr>
      </w:pPr>
      <w:r w:rsidRPr="00196ABA">
        <w:rPr>
          <w:rStyle w:val="Refdenotaalpie"/>
          <w:rFonts w:ascii="Verdana" w:hAnsi="Verdana"/>
          <w:sz w:val="16"/>
          <w:szCs w:val="16"/>
        </w:rPr>
        <w:footnoteRef/>
      </w:r>
      <w:r w:rsidRPr="00196ABA">
        <w:rPr>
          <w:rFonts w:ascii="Verdana" w:hAnsi="Verdana"/>
          <w:sz w:val="16"/>
          <w:szCs w:val="16"/>
        </w:rPr>
        <w:t xml:space="preserve"> La norma citada prescribe que “Salvo lo dispuesto para los contratos de empréstito interno y externo, los contratos que celebre la sociedad fiduciaria para la ejecución de los bienes, derechos e intereses del Fondo Nacional de Calamidades se someterán únicamente a los requisitos y formalidades que exige la ley para la contratación entre particulares, dando aplicación a los artículos 14 a 18 de la Ley 80 de 1993 y 13 de la Ley 1150 de 2007”. Por lo demás, el el inciso segundo del artículo 96 de la Ley 1523 de 2012 indica que “[…] mantendrán plena vigencia los artículos 2°, 3°, 4°, 9° y 10 del Decreto-ley 4702 de 2010 […]”.</w:t>
      </w:r>
    </w:p>
  </w:footnote>
  <w:footnote w:id="13">
    <w:p w14:paraId="54FE890D" w14:textId="77777777" w:rsidR="005E7C2E" w:rsidRPr="00196ABA" w:rsidRDefault="005E7C2E" w:rsidP="005E7C2E">
      <w:pPr>
        <w:pStyle w:val="NormalWeb"/>
        <w:spacing w:before="0" w:beforeAutospacing="0" w:after="0" w:afterAutospacing="0"/>
        <w:ind w:firstLine="708"/>
        <w:jc w:val="both"/>
        <w:rPr>
          <w:rFonts w:ascii="Verdana" w:hAnsi="Verdana" w:cs="Arial"/>
          <w:sz w:val="16"/>
          <w:szCs w:val="16"/>
          <w:lang w:eastAsia="es-ES_tradnl"/>
        </w:rPr>
      </w:pPr>
      <w:r w:rsidRPr="00196ABA">
        <w:rPr>
          <w:rStyle w:val="Refdenotaalpie"/>
          <w:rFonts w:ascii="Verdana" w:hAnsi="Verdana" w:cs="Arial"/>
          <w:sz w:val="16"/>
          <w:szCs w:val="16"/>
        </w:rPr>
        <w:footnoteRef/>
      </w:r>
      <w:r w:rsidRPr="00196ABA">
        <w:rPr>
          <w:rFonts w:ascii="Verdana" w:hAnsi="Verdana" w:cs="Arial"/>
          <w:sz w:val="16"/>
          <w:szCs w:val="16"/>
        </w:rPr>
        <w:t xml:space="preserve"> </w:t>
      </w:r>
      <w:bookmarkStart w:id="15" w:name="54"/>
      <w:r w:rsidRPr="00196ABA">
        <w:rPr>
          <w:rFonts w:ascii="Verdana" w:hAnsi="Verdana" w:cs="Arial"/>
          <w:sz w:val="16"/>
          <w:szCs w:val="16"/>
        </w:rPr>
        <w:t>“</w:t>
      </w:r>
      <w:r w:rsidRPr="00196ABA">
        <w:rPr>
          <w:rFonts w:ascii="Verdana" w:hAnsi="Verdana" w:cs="Arial"/>
          <w:sz w:val="16"/>
          <w:szCs w:val="16"/>
          <w:lang w:eastAsia="es-ES_tradnl"/>
        </w:rPr>
        <w:t>Artículo 54. Fondos territoriales.</w:t>
      </w:r>
      <w:bookmarkEnd w:id="15"/>
      <w:r w:rsidRPr="00196ABA">
        <w:rPr>
          <w:rFonts w:ascii="Verdana" w:hAnsi="Verdana" w:cs="Arial"/>
          <w:sz w:val="16"/>
          <w:szCs w:val="16"/>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43DC9083" w14:textId="77777777" w:rsidR="005E7C2E" w:rsidRPr="00196ABA" w:rsidRDefault="005E7C2E" w:rsidP="005E7C2E">
      <w:pPr>
        <w:spacing w:after="0" w:line="240" w:lineRule="auto"/>
        <w:ind w:firstLine="708"/>
        <w:jc w:val="both"/>
        <w:rPr>
          <w:rFonts w:ascii="Verdana" w:eastAsia="Times New Roman" w:hAnsi="Verdana" w:cs="Arial"/>
          <w:sz w:val="16"/>
          <w:szCs w:val="16"/>
          <w:lang w:eastAsia="es-ES_tradnl"/>
        </w:rPr>
      </w:pPr>
      <w:r w:rsidRPr="00196ABA">
        <w:rPr>
          <w:rFonts w:ascii="Verdana" w:eastAsia="Times New Roman" w:hAnsi="Verdana" w:cs="Arial"/>
          <w:sz w:val="16"/>
          <w:szCs w:val="16"/>
          <w:lang w:eastAsia="es-ES_tradnl"/>
        </w:rPr>
        <w:t>Parágrafo.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199D"/>
    <w:rsid w:val="000A683E"/>
    <w:rsid w:val="000B19B9"/>
    <w:rsid w:val="000D0334"/>
    <w:rsid w:val="000D5DA7"/>
    <w:rsid w:val="000F6486"/>
    <w:rsid w:val="00116940"/>
    <w:rsid w:val="00125105"/>
    <w:rsid w:val="00127233"/>
    <w:rsid w:val="0015699B"/>
    <w:rsid w:val="001A33BF"/>
    <w:rsid w:val="001D2691"/>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E5C3B"/>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7E31"/>
    <w:rsid w:val="004F21C4"/>
    <w:rsid w:val="004F685F"/>
    <w:rsid w:val="00507569"/>
    <w:rsid w:val="005566E8"/>
    <w:rsid w:val="00574867"/>
    <w:rsid w:val="00591460"/>
    <w:rsid w:val="005A65E0"/>
    <w:rsid w:val="005C3777"/>
    <w:rsid w:val="005C5CDC"/>
    <w:rsid w:val="005D476C"/>
    <w:rsid w:val="005E7C2E"/>
    <w:rsid w:val="006200BF"/>
    <w:rsid w:val="006219F8"/>
    <w:rsid w:val="006302F7"/>
    <w:rsid w:val="00646B9F"/>
    <w:rsid w:val="00665D70"/>
    <w:rsid w:val="006900D9"/>
    <w:rsid w:val="006B297B"/>
    <w:rsid w:val="006D743F"/>
    <w:rsid w:val="00706C16"/>
    <w:rsid w:val="00712280"/>
    <w:rsid w:val="007340C3"/>
    <w:rsid w:val="0075235A"/>
    <w:rsid w:val="00756841"/>
    <w:rsid w:val="007649AB"/>
    <w:rsid w:val="00771D0C"/>
    <w:rsid w:val="007833AC"/>
    <w:rsid w:val="007A593C"/>
    <w:rsid w:val="007B268C"/>
    <w:rsid w:val="007B7171"/>
    <w:rsid w:val="007C0C0F"/>
    <w:rsid w:val="007C3DC2"/>
    <w:rsid w:val="007E5497"/>
    <w:rsid w:val="00806F5F"/>
    <w:rsid w:val="00820278"/>
    <w:rsid w:val="008258C9"/>
    <w:rsid w:val="00844AE9"/>
    <w:rsid w:val="00867F95"/>
    <w:rsid w:val="008843B6"/>
    <w:rsid w:val="00891928"/>
    <w:rsid w:val="008A446D"/>
    <w:rsid w:val="008B09E6"/>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351D4"/>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811A7"/>
    <w:rsid w:val="00C925AC"/>
    <w:rsid w:val="00CB6357"/>
    <w:rsid w:val="00CC1B26"/>
    <w:rsid w:val="00D361FD"/>
    <w:rsid w:val="00D423A2"/>
    <w:rsid w:val="00D43B07"/>
    <w:rsid w:val="00D44E26"/>
    <w:rsid w:val="00D520D8"/>
    <w:rsid w:val="00D63AC2"/>
    <w:rsid w:val="00D7383B"/>
    <w:rsid w:val="00D7788A"/>
    <w:rsid w:val="00DA231B"/>
    <w:rsid w:val="00DC39FC"/>
    <w:rsid w:val="00DD3D10"/>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3AB9"/>
    <w:rsid w:val="00EC38A7"/>
    <w:rsid w:val="00EE1AA8"/>
    <w:rsid w:val="00F23FEA"/>
    <w:rsid w:val="00F31EDC"/>
    <w:rsid w:val="00F462B3"/>
    <w:rsid w:val="00F5664F"/>
    <w:rsid w:val="00F666C4"/>
    <w:rsid w:val="00F76AFC"/>
    <w:rsid w:val="00FA47C0"/>
    <w:rsid w:val="00FB5DD1"/>
    <w:rsid w:val="00FC2B5D"/>
    <w:rsid w:val="00FE0689"/>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6F54C8AC"/>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E7C2E"/>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E7C2E"/>
    <w:rPr>
      <w:rFonts w:ascii="Geomanist Light" w:hAnsi="Geomanist Light"/>
      <w:lang w:val="es-ES"/>
    </w:rPr>
  </w:style>
  <w:style w:type="character" w:customStyle="1" w:styleId="NormalWebCar">
    <w:name w:val="Normal (Web) Car"/>
    <w:link w:val="NormalWeb"/>
    <w:uiPriority w:val="99"/>
    <w:locked/>
    <w:rsid w:val="005E7C2E"/>
    <w:rPr>
      <w:rFonts w:ascii="Times New Roman" w:eastAsia="Times New Roman" w:hAnsi="Times New Roman" w:cs="Times New Roman"/>
      <w:sz w:val="24"/>
      <w:szCs w:val="24"/>
      <w:lang w:eastAsia="es-CO"/>
    </w:rPr>
  </w:style>
  <w:style w:type="character" w:customStyle="1" w:styleId="s15">
    <w:name w:val="s15"/>
    <w:basedOn w:val="Fuentedeprrafopredeter"/>
    <w:rsid w:val="005E7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mogollon20@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3FD9F0CA-F929-4E7F-89A3-B3D23FE64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19</Pages>
  <Words>6116</Words>
  <Characters>33644</Characters>
  <Application>Microsoft Office Word</Application>
  <DocSecurity>0</DocSecurity>
  <Lines>280</Lines>
  <Paragraphs>79</Paragraphs>
  <ScaleCrop>false</ScaleCrop>
  <Company/>
  <LinksUpToDate>false</LinksUpToDate>
  <CharactersWithSpaces>39681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2026-09-07T17:44:00Z</dcterms:created>
  <dcterms:modified xsi:type="dcterms:W3CDTF">2026-09-07T21:14:00Z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