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D651B" w14:textId="61A02228" w:rsidR="00E85C62" w:rsidRPr="00E85C62" w:rsidRDefault="00E85C62" w:rsidP="00E85C62">
      <w:pPr>
        <w:spacing w:after="0" w:line="240" w:lineRule="auto"/>
        <w:jc w:val="both"/>
        <w:rPr>
          <w:rFonts w:ascii="Verdana" w:eastAsia="Calibri" w:hAnsi="Verdana" w:cs="Arial"/>
          <w:b/>
          <w:bCs/>
          <w:kern w:val="2"/>
          <w:lang w:val="es-ES_tradnl" w:eastAsia="es-ES"/>
          <w14:ligatures w14:val="standardContextual"/>
        </w:rPr>
      </w:pPr>
      <w:bookmarkStart w:id="0" w:name="_Hlk143780582"/>
      <w:r w:rsidRPr="00E85C62">
        <w:rPr>
          <w:rFonts w:ascii="Verdana" w:eastAsia="Calibri" w:hAnsi="Verdana" w:cs="Arial"/>
          <w:b/>
          <w:bCs/>
          <w:kern w:val="2"/>
          <w:lang w:val="es-ES_tradnl" w:eastAsia="es-ES"/>
          <w14:ligatures w14:val="standardContextual"/>
        </w:rPr>
        <w:t xml:space="preserve">ADMINISTRACIÓN DELEGADA </w:t>
      </w:r>
      <w:r w:rsidRPr="00E85C62">
        <w:rPr>
          <w:rFonts w:ascii="Verdana" w:eastAsia="Calibri" w:hAnsi="Verdana" w:cs="Arial"/>
          <w:b/>
          <w:bCs/>
          <w:kern w:val="2"/>
          <w:lang w:eastAsia="es-ES"/>
          <w14:ligatures w14:val="standardContextual"/>
        </w:rPr>
        <w:t>–</w:t>
      </w:r>
      <w:r w:rsidRPr="00E85C62">
        <w:rPr>
          <w:rFonts w:ascii="Verdana" w:eastAsia="Calibri" w:hAnsi="Verdana" w:cs="Arial"/>
          <w:b/>
          <w:bCs/>
          <w:kern w:val="2"/>
          <w:lang w:val="es-ES_tradnl" w:eastAsia="es-ES"/>
          <w14:ligatures w14:val="standardContextual"/>
        </w:rPr>
        <w:t xml:space="preserve"> Noción </w:t>
      </w:r>
      <w:r w:rsidRPr="00E85C62">
        <w:rPr>
          <w:rFonts w:ascii="Verdana" w:eastAsia="Calibri" w:hAnsi="Verdana" w:cs="Arial"/>
          <w:b/>
          <w:bCs/>
          <w:kern w:val="2"/>
          <w:lang w:eastAsia="es-ES"/>
          <w14:ligatures w14:val="standardContextual"/>
        </w:rPr>
        <w:t>–</w:t>
      </w:r>
      <w:r w:rsidRPr="00E85C62">
        <w:rPr>
          <w:rFonts w:ascii="Verdana" w:eastAsia="Calibri" w:hAnsi="Verdana" w:cs="Arial"/>
          <w:b/>
          <w:bCs/>
          <w:kern w:val="2"/>
          <w:lang w:val="es-ES_tradnl" w:eastAsia="es-ES"/>
          <w14:ligatures w14:val="standardContextual"/>
        </w:rPr>
        <w:t xml:space="preserve"> Definición – Mandato – Administración y pago </w:t>
      </w:r>
    </w:p>
    <w:p w14:paraId="5A0C747B" w14:textId="77777777" w:rsidR="00E85C62" w:rsidRPr="00E85C62" w:rsidRDefault="00E85C62" w:rsidP="00E85C62">
      <w:pPr>
        <w:spacing w:after="0" w:line="240" w:lineRule="auto"/>
        <w:jc w:val="both"/>
        <w:rPr>
          <w:rFonts w:ascii="Verdana" w:eastAsia="Calibri" w:hAnsi="Verdana" w:cs="Arial"/>
          <w:b/>
          <w:bCs/>
          <w:kern w:val="2"/>
          <w:sz w:val="20"/>
          <w:szCs w:val="20"/>
          <w:lang w:eastAsia="es-ES"/>
          <w14:ligatures w14:val="standardContextual"/>
        </w:rPr>
      </w:pPr>
    </w:p>
    <w:p w14:paraId="2ADD6AF3" w14:textId="77777777" w:rsidR="00E85C62" w:rsidRPr="00E85C62" w:rsidRDefault="00E85C62" w:rsidP="00E85C62">
      <w:pPr>
        <w:spacing w:after="0" w:line="240" w:lineRule="auto"/>
        <w:jc w:val="both"/>
        <w:rPr>
          <w:rFonts w:ascii="Verdana" w:eastAsia="Calibri" w:hAnsi="Verdana" w:cs="Arial"/>
          <w:color w:val="000000"/>
          <w:kern w:val="2"/>
          <w:sz w:val="20"/>
          <w:szCs w:val="20"/>
          <w:lang w:val="es-ES"/>
          <w14:ligatures w14:val="standardContextual"/>
        </w:rPr>
      </w:pPr>
      <w:r w:rsidRPr="00E85C62">
        <w:rPr>
          <w:rFonts w:ascii="Verdana" w:eastAsia="Calibri" w:hAnsi="Verdana" w:cs="Arial"/>
          <w:color w:val="000000"/>
          <w:kern w:val="2"/>
          <w:sz w:val="20"/>
          <w:szCs w:val="20"/>
          <w:lang w:val="es-ES"/>
          <w14:ligatures w14:val="standardContextual"/>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E85C62">
        <w:rPr>
          <w:rFonts w:ascii="Verdana" w:eastAsia="Calibri" w:hAnsi="Verdana" w:cs="Arial"/>
          <w:color w:val="000000"/>
          <w:kern w:val="2"/>
          <w:sz w:val="20"/>
          <w:szCs w:val="20"/>
          <w:lang w:val="es-ES"/>
          <w14:ligatures w14:val="standardContextual"/>
        </w:rPr>
        <w:t>ii</w:t>
      </w:r>
      <w:proofErr w:type="spellEnd"/>
      <w:r w:rsidRPr="00E85C62">
        <w:rPr>
          <w:rFonts w:ascii="Verdana" w:eastAsia="Calibri" w:hAnsi="Verdana" w:cs="Arial"/>
          <w:color w:val="000000"/>
          <w:kern w:val="2"/>
          <w:sz w:val="20"/>
          <w:szCs w:val="20"/>
          <w:lang w:val="es-ES"/>
          <w14:ligatures w14:val="standardContextual"/>
        </w:rPr>
        <w:t xml:space="preserve">) como una modalidad de administración y pago, no necesariamente asociada al mandato. </w:t>
      </w:r>
    </w:p>
    <w:p w14:paraId="0B5CC512" w14:textId="77777777" w:rsidR="00E85C62" w:rsidRPr="00E85C62" w:rsidRDefault="00E85C62" w:rsidP="00E85C62">
      <w:pPr>
        <w:spacing w:after="0" w:line="240" w:lineRule="auto"/>
        <w:jc w:val="both"/>
        <w:rPr>
          <w:rFonts w:ascii="Verdana" w:eastAsia="Geomanist Light" w:hAnsi="Verdana" w:cs="Arial"/>
          <w:color w:val="000000"/>
          <w:kern w:val="2"/>
          <w:sz w:val="20"/>
          <w:szCs w:val="20"/>
          <w14:ligatures w14:val="standardContextual"/>
        </w:rPr>
      </w:pPr>
      <w:r w:rsidRPr="00E85C62">
        <w:rPr>
          <w:rFonts w:ascii="Verdana" w:eastAsia="Geomanist Light" w:hAnsi="Verdana" w:cs="Arial"/>
          <w:color w:val="201F1E"/>
          <w:kern w:val="2"/>
          <w:sz w:val="20"/>
          <w:szCs w:val="20"/>
          <w14:ligatures w14:val="standardContextual"/>
        </w:rPr>
        <w:t>[…]</w:t>
      </w:r>
    </w:p>
    <w:p w14:paraId="01010063" w14:textId="77777777" w:rsidR="00E85C62" w:rsidRPr="00E85C62" w:rsidRDefault="00E85C62" w:rsidP="00E85C62">
      <w:pPr>
        <w:spacing w:after="0" w:line="240" w:lineRule="auto"/>
        <w:jc w:val="both"/>
        <w:rPr>
          <w:rFonts w:ascii="Verdana" w:eastAsia="Geomanist Light" w:hAnsi="Verdana" w:cs="Arial"/>
          <w:color w:val="000000"/>
          <w:kern w:val="2"/>
          <w:sz w:val="20"/>
          <w:szCs w:val="20"/>
          <w14:ligatures w14:val="standardContextual"/>
        </w:rPr>
      </w:pPr>
    </w:p>
    <w:p w14:paraId="1E7875F6" w14:textId="77777777" w:rsidR="00E85C62" w:rsidRPr="00E85C62" w:rsidRDefault="00E85C62" w:rsidP="00E85C62">
      <w:pPr>
        <w:spacing w:after="0" w:line="240" w:lineRule="auto"/>
        <w:jc w:val="both"/>
        <w:rPr>
          <w:rFonts w:ascii="Verdana" w:eastAsia="Century Gothic" w:hAnsi="Verdana" w:cs="Century Gothic"/>
          <w:color w:val="000000"/>
          <w:kern w:val="2"/>
          <w:sz w:val="20"/>
          <w:szCs w:val="20"/>
          <w14:ligatures w14:val="standardContextual"/>
        </w:rPr>
      </w:pPr>
      <w:r w:rsidRPr="00E85C62">
        <w:rPr>
          <w:rFonts w:ascii="Verdana" w:eastAsia="Aptos" w:hAnsi="Verdana" w:cs="Arial"/>
          <w:bCs/>
          <w:kern w:val="2"/>
          <w:sz w:val="20"/>
          <w:szCs w:val="20"/>
          <w14:ligatures w14:val="standardContextual"/>
        </w:rPr>
        <w:t xml:space="preserve">Así pues, teniendo en cuenta que </w:t>
      </w:r>
      <w:r w:rsidRPr="00E85C62">
        <w:rPr>
          <w:rFonts w:ascii="Verdana" w:eastAsia="Aptos" w:hAnsi="Verdana" w:cs="Arial"/>
          <w:bCs/>
          <w:kern w:val="2"/>
          <w:sz w:val="20"/>
          <w:szCs w:val="20"/>
          <w:lang w:val="es-ES_tradnl"/>
          <w14:ligatures w14:val="standardContextua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E85C62">
        <w:rPr>
          <w:rFonts w:ascii="Verdana" w:eastAsia="Century Gothic" w:hAnsi="Verdana" w:cs="Century Gothic"/>
          <w:color w:val="000000"/>
          <w:kern w:val="2"/>
          <w:sz w:val="20"/>
          <w:szCs w:val="20"/>
          <w14:ligatures w14:val="standardContextual"/>
        </w:rPr>
        <w:t xml:space="preserve">por el cual la entidad estatal contratante –mandante– encomienda a la entidad estatal contratista –mandataria– la administración de un proyecto. </w:t>
      </w:r>
    </w:p>
    <w:p w14:paraId="0E52275A" w14:textId="77777777" w:rsidR="00E85C62" w:rsidRPr="00E85C62" w:rsidRDefault="00E85C62" w:rsidP="00E85C62">
      <w:pPr>
        <w:spacing w:after="0" w:line="240" w:lineRule="auto"/>
        <w:jc w:val="both"/>
        <w:rPr>
          <w:rFonts w:ascii="Verdana" w:eastAsia="Aptos" w:hAnsi="Verdana" w:cs="Arial"/>
          <w:bCs/>
          <w:kern w:val="2"/>
          <w:sz w:val="20"/>
          <w:szCs w:val="20"/>
          <w:lang w:val="es-ES_tradnl"/>
          <w14:ligatures w14:val="standardContextual"/>
        </w:rPr>
      </w:pPr>
    </w:p>
    <w:p w14:paraId="00BC6388" w14:textId="77777777" w:rsidR="00E85C62" w:rsidRPr="00E85C62" w:rsidRDefault="00E85C62" w:rsidP="00E85C62">
      <w:pPr>
        <w:spacing w:after="0" w:line="240" w:lineRule="auto"/>
        <w:jc w:val="both"/>
        <w:rPr>
          <w:rFonts w:ascii="Verdana" w:eastAsia="Arial" w:hAnsi="Verdana" w:cs="Arial"/>
          <w:kern w:val="2"/>
          <w:sz w:val="20"/>
          <w:szCs w:val="20"/>
          <w:lang w:val="es-ES"/>
          <w14:ligatures w14:val="standardContextual"/>
        </w:rPr>
      </w:pPr>
      <w:r w:rsidRPr="00E85C62">
        <w:rPr>
          <w:rFonts w:ascii="Verdana" w:eastAsia="Arial" w:hAnsi="Verdana" w:cs="Arial"/>
          <w:kern w:val="2"/>
          <w:sz w:val="20"/>
          <w:szCs w:val="20"/>
          <w:lang w:val="es-ES"/>
          <w14:ligatures w14:val="standardContextual"/>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E85C62">
        <w:rPr>
          <w:rFonts w:ascii="Verdana" w:eastAsia="Arial" w:hAnsi="Verdana" w:cs="Arial"/>
          <w:kern w:val="2"/>
          <w:sz w:val="20"/>
          <w:szCs w:val="20"/>
          <w:lang w:val="es-ES"/>
          <w14:ligatures w14:val="standardContextual"/>
        </w:rPr>
        <w:t>ii</w:t>
      </w:r>
      <w:proofErr w:type="spellEnd"/>
      <w:r w:rsidRPr="00E85C62">
        <w:rPr>
          <w:rFonts w:ascii="Verdana" w:eastAsia="Arial" w:hAnsi="Verdana" w:cs="Arial"/>
          <w:kern w:val="2"/>
          <w:sz w:val="20"/>
          <w:szCs w:val="20"/>
          <w:lang w:val="es-ES"/>
          <w14:ligatures w14:val="standardContextual"/>
        </w:rPr>
        <w:t xml:space="preserve">) los “precios unitarios” –en los cuales se suelen detallar los costos directos, diferenciándolos de los costos indirectos de administración (A), imprevistos (I) y utilidades (U)–, o </w:t>
      </w:r>
      <w:proofErr w:type="spellStart"/>
      <w:r w:rsidRPr="00E85C62">
        <w:rPr>
          <w:rFonts w:ascii="Verdana" w:eastAsia="Arial" w:hAnsi="Verdana" w:cs="Arial"/>
          <w:kern w:val="2"/>
          <w:sz w:val="20"/>
          <w:szCs w:val="20"/>
          <w:lang w:val="es-ES"/>
          <w14:ligatures w14:val="standardContextual"/>
        </w:rPr>
        <w:t>iii</w:t>
      </w:r>
      <w:proofErr w:type="spellEnd"/>
      <w:r w:rsidRPr="00E85C62">
        <w:rPr>
          <w:rFonts w:ascii="Verdana" w:eastAsia="Arial" w:hAnsi="Verdana" w:cs="Arial"/>
          <w:kern w:val="2"/>
          <w:sz w:val="20"/>
          <w:szCs w:val="20"/>
          <w:lang w:val="es-ES"/>
          <w14:ligatures w14:val="standardContextual"/>
        </w:rPr>
        <w:t>)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5642FA3C" w14:textId="77777777" w:rsidR="00E85C62" w:rsidRPr="00E85C62" w:rsidRDefault="00E85C62" w:rsidP="00E85C62">
      <w:pPr>
        <w:spacing w:after="0" w:line="240" w:lineRule="auto"/>
        <w:jc w:val="both"/>
        <w:rPr>
          <w:rFonts w:ascii="Verdana" w:eastAsia="Calibri" w:hAnsi="Verdana" w:cs="Arial"/>
          <w:b/>
          <w:bCs/>
          <w:lang w:val="es-ES_tradnl" w:eastAsia="es-MX"/>
        </w:rPr>
      </w:pPr>
    </w:p>
    <w:p w14:paraId="6286BD3B" w14:textId="77777777" w:rsidR="00E85C62" w:rsidRPr="00E85C62" w:rsidRDefault="00E85C62" w:rsidP="00E85C62">
      <w:pPr>
        <w:spacing w:after="0" w:line="240" w:lineRule="auto"/>
        <w:jc w:val="both"/>
        <w:rPr>
          <w:rFonts w:ascii="Verdana" w:eastAsia="Calibri" w:hAnsi="Verdana" w:cs="Arial"/>
          <w:b/>
          <w:bCs/>
          <w:lang w:val="es-ES_tradnl" w:eastAsia="es-MX"/>
        </w:rPr>
      </w:pPr>
      <w:r w:rsidRPr="00E85C62">
        <w:rPr>
          <w:rFonts w:ascii="Verdana" w:eastAsia="Calibri" w:hAnsi="Verdana" w:cs="Arial"/>
          <w:b/>
          <w:bCs/>
          <w:lang w:val="es-ES_tradnl" w:eastAsia="es-MX"/>
        </w:rPr>
        <w:t xml:space="preserve">DOCUMENTOS TIPO – Fundamento normativo – Obligatoriedad </w:t>
      </w:r>
    </w:p>
    <w:p w14:paraId="66165D91" w14:textId="77777777" w:rsidR="00E85C62" w:rsidRPr="00E85C62" w:rsidRDefault="00E85C62" w:rsidP="00E85C62">
      <w:pPr>
        <w:spacing w:after="0" w:line="240" w:lineRule="auto"/>
        <w:jc w:val="both"/>
        <w:rPr>
          <w:rFonts w:ascii="Verdana" w:eastAsia="Calibri" w:hAnsi="Verdana" w:cs="Arial"/>
          <w:b/>
          <w:bCs/>
          <w:sz w:val="20"/>
          <w:szCs w:val="20"/>
          <w:lang w:val="es-ES_tradnl" w:eastAsia="es-MX"/>
        </w:rPr>
      </w:pPr>
    </w:p>
    <w:p w14:paraId="03107B6A" w14:textId="77777777" w:rsidR="00E85C62" w:rsidRPr="00E85C62" w:rsidRDefault="00E85C62" w:rsidP="00E85C62">
      <w:pPr>
        <w:tabs>
          <w:tab w:val="left" w:pos="709"/>
        </w:tabs>
        <w:spacing w:after="0" w:line="240" w:lineRule="auto"/>
        <w:jc w:val="both"/>
        <w:rPr>
          <w:rFonts w:ascii="Verdana" w:eastAsia="Calibri" w:hAnsi="Verdana" w:cs="Arial"/>
          <w:sz w:val="20"/>
          <w:szCs w:val="20"/>
          <w:lang w:val="es-ES" w:eastAsia="es-MX"/>
        </w:rPr>
      </w:pPr>
      <w:r w:rsidRPr="00E85C62">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A5B4F07" w14:textId="77777777" w:rsidR="00E85C62" w:rsidRPr="00E85C62" w:rsidRDefault="00E85C62" w:rsidP="00E85C62">
      <w:pPr>
        <w:spacing w:after="0" w:line="240" w:lineRule="auto"/>
        <w:jc w:val="both"/>
        <w:rPr>
          <w:rFonts w:ascii="Verdana" w:eastAsia="Calibri" w:hAnsi="Verdana" w:cs="Arial"/>
          <w:b/>
          <w:bCs/>
          <w:lang w:val="es-ES_tradnl" w:eastAsia="es-MX"/>
        </w:rPr>
      </w:pPr>
    </w:p>
    <w:p w14:paraId="0BF377E5"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b/>
          <w:bCs/>
          <w:lang w:val="es-ES" w:eastAsia="es-MX"/>
        </w:rPr>
      </w:pPr>
      <w:r w:rsidRPr="00E85C62">
        <w:rPr>
          <w:rFonts w:ascii="Verdana" w:eastAsia="Calibri" w:hAnsi="Verdana" w:cs="Arial"/>
          <w:b/>
          <w:bCs/>
          <w:lang w:val="es-ES_tradnl" w:eastAsia="es-MX"/>
        </w:rPr>
        <w:t>SECTOR SOCIAL</w:t>
      </w:r>
      <w:r w:rsidRPr="00E85C62">
        <w:rPr>
          <w:rFonts w:ascii="Verdana" w:eastAsia="Calibri" w:hAnsi="Verdana" w:cs="Times New Roman"/>
          <w:lang w:val="es-ES" w:eastAsia="es-MX"/>
        </w:rPr>
        <w:t xml:space="preserve"> </w:t>
      </w:r>
      <w:r w:rsidRPr="00E85C62">
        <w:rPr>
          <w:rFonts w:ascii="Verdana" w:eastAsia="Calibri" w:hAnsi="Verdana" w:cs="Times New Roman"/>
          <w:b/>
          <w:bCs/>
          <w:lang w:val="es-ES" w:eastAsia="es-MX"/>
        </w:rPr>
        <w:t>– Documentos tipo – Vigentes</w:t>
      </w:r>
    </w:p>
    <w:p w14:paraId="164B4717"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b/>
          <w:bCs/>
          <w:lang w:val="es-ES" w:eastAsia="es-MX"/>
        </w:rPr>
      </w:pPr>
    </w:p>
    <w:p w14:paraId="60F2E7FD"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b/>
          <w:bCs/>
          <w:sz w:val="20"/>
          <w:szCs w:val="20"/>
          <w:lang w:val="es-ES" w:eastAsia="es-MX"/>
        </w:rPr>
      </w:pPr>
      <w:r w:rsidRPr="00E85C62">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61BABC4F"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lang w:val="es-ES" w:eastAsia="es-MX"/>
        </w:rPr>
      </w:pPr>
    </w:p>
    <w:p w14:paraId="53D71603" w14:textId="77777777" w:rsidR="00E85C62" w:rsidRPr="00E85C62" w:rsidRDefault="00E85C62" w:rsidP="00E85C62">
      <w:pPr>
        <w:spacing w:after="0" w:line="240" w:lineRule="auto"/>
        <w:jc w:val="both"/>
        <w:rPr>
          <w:rFonts w:ascii="Verdana" w:eastAsia="Calibri" w:hAnsi="Verdana" w:cs="Times New Roman"/>
          <w:sz w:val="20"/>
          <w:szCs w:val="20"/>
          <w:lang w:val="es-ES" w:eastAsia="es-MX"/>
        </w:rPr>
      </w:pPr>
      <w:r w:rsidRPr="00E85C62">
        <w:rPr>
          <w:rFonts w:ascii="Verdana" w:eastAsia="Calibri" w:hAnsi="Verdana" w:cs="Times New Roman"/>
          <w:b/>
          <w:bCs/>
          <w:lang w:val="es-ES" w:eastAsia="es-MX"/>
        </w:rPr>
        <w:t xml:space="preserve">DOCUMENTOS TIPO – Aplicación – Matriz de Experiencia </w:t>
      </w:r>
    </w:p>
    <w:p w14:paraId="7D745FD5" w14:textId="77777777" w:rsidR="00E85C62" w:rsidRPr="00E85C62" w:rsidRDefault="00E85C62" w:rsidP="00E85C62">
      <w:pPr>
        <w:spacing w:after="0" w:line="240" w:lineRule="auto"/>
        <w:rPr>
          <w:rFonts w:ascii="Verdana" w:eastAsia="Geomanist Light" w:hAnsi="Verdana" w:cs="Arial"/>
          <w:lang w:val="es-MX" w:eastAsia="es-MX"/>
        </w:rPr>
      </w:pPr>
    </w:p>
    <w:p w14:paraId="748D5A0C"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sz w:val="20"/>
          <w:szCs w:val="20"/>
          <w:lang w:val="es-ES" w:eastAsia="es-MX"/>
        </w:rPr>
      </w:pPr>
      <w:r w:rsidRPr="00E85C62">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DC47F4F"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sz w:val="20"/>
          <w:szCs w:val="20"/>
          <w:lang w:val="es-ES" w:eastAsia="es-MX"/>
        </w:rPr>
      </w:pPr>
    </w:p>
    <w:p w14:paraId="2654EAC5"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sz w:val="20"/>
          <w:szCs w:val="20"/>
          <w:lang w:val="es-ES" w:eastAsia="es-MX"/>
        </w:rPr>
      </w:pPr>
      <w:r w:rsidRPr="00E85C62">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2BF3ECA"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sz w:val="20"/>
          <w:szCs w:val="20"/>
          <w:lang w:val="es-ES" w:eastAsia="es-MX"/>
        </w:rPr>
      </w:pPr>
    </w:p>
    <w:p w14:paraId="1DD8A034" w14:textId="77777777" w:rsidR="00E85C62" w:rsidRPr="00E85C62" w:rsidRDefault="00E85C62" w:rsidP="00E85C62">
      <w:pPr>
        <w:spacing w:after="0" w:line="240" w:lineRule="auto"/>
        <w:jc w:val="both"/>
        <w:rPr>
          <w:rFonts w:ascii="Verdana" w:eastAsia="Calibri" w:hAnsi="Verdana" w:cs="Arial"/>
          <w:b/>
          <w:kern w:val="2"/>
          <w:lang w:val="es-MX"/>
          <w14:ligatures w14:val="standardContextual"/>
        </w:rPr>
      </w:pPr>
      <w:r w:rsidRPr="00E85C62">
        <w:rPr>
          <w:rFonts w:ascii="Verdana" w:eastAsia="Calibri" w:hAnsi="Verdana" w:cs="Arial"/>
          <w:b/>
          <w:kern w:val="2"/>
          <w:lang w:val="es-MX"/>
          <w14:ligatures w14:val="standardContextual"/>
        </w:rPr>
        <w:t>DOCUMENTOS TIPO – Inalterabilidad – Fundamentos</w:t>
      </w:r>
    </w:p>
    <w:p w14:paraId="1A86B60C" w14:textId="77777777" w:rsidR="00E85C62" w:rsidRPr="00E85C62" w:rsidRDefault="00E85C62" w:rsidP="00E85C62">
      <w:pPr>
        <w:spacing w:after="0" w:line="240" w:lineRule="auto"/>
        <w:jc w:val="both"/>
        <w:rPr>
          <w:rFonts w:ascii="Verdana" w:eastAsia="Calibri" w:hAnsi="Verdana" w:cs="Arial"/>
          <w:color w:val="000000"/>
          <w:kern w:val="2"/>
          <w:sz w:val="24"/>
          <w:szCs w:val="24"/>
          <w:lang w:val="es-ES_tradnl"/>
          <w14:ligatures w14:val="standardContextual"/>
        </w:rPr>
      </w:pPr>
    </w:p>
    <w:p w14:paraId="3D02A4F4" w14:textId="77777777" w:rsidR="00E85C62" w:rsidRPr="00E85C62" w:rsidRDefault="00E85C62" w:rsidP="00E85C62">
      <w:pPr>
        <w:spacing w:after="0" w:line="240" w:lineRule="auto"/>
        <w:jc w:val="both"/>
        <w:rPr>
          <w:rFonts w:ascii="Verdana" w:eastAsia="Calibri" w:hAnsi="Verdana" w:cs="Arial"/>
          <w:color w:val="000000"/>
          <w:kern w:val="2"/>
          <w:sz w:val="20"/>
          <w:szCs w:val="20"/>
          <w:lang w:val="es-ES"/>
          <w14:ligatures w14:val="standardContextual"/>
        </w:rPr>
      </w:pPr>
      <w:r w:rsidRPr="00E85C62">
        <w:rPr>
          <w:rFonts w:ascii="Verdana" w:eastAsia="Calibri" w:hAnsi="Verdana" w:cs="Arial"/>
          <w:color w:val="000000"/>
          <w:kern w:val="2"/>
          <w:sz w:val="20"/>
          <w:szCs w:val="20"/>
          <w:lang w:val="es-ES"/>
          <w14:ligatures w14:val="standardContextual"/>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E85C62">
        <w:rPr>
          <w:rFonts w:ascii="Verdana" w:eastAsia="Calibri" w:hAnsi="Verdana" w:cs="Arial"/>
          <w:i/>
          <w:iCs/>
          <w:color w:val="000000"/>
          <w:kern w:val="2"/>
          <w:sz w:val="20"/>
          <w:szCs w:val="20"/>
          <w:lang w:val="es-ES"/>
          <w14:ligatures w14:val="standardContextual"/>
        </w:rPr>
        <w:t>Documentos del Proceso</w:t>
      </w:r>
      <w:r w:rsidRPr="00E85C62">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97F0021" w14:textId="77777777" w:rsidR="00E85C62" w:rsidRPr="00E85C62" w:rsidRDefault="00E85C62" w:rsidP="00E85C62">
      <w:pPr>
        <w:spacing w:after="0" w:line="240" w:lineRule="auto"/>
        <w:jc w:val="both"/>
        <w:rPr>
          <w:rFonts w:ascii="Verdana" w:eastAsia="Calibri" w:hAnsi="Verdana" w:cs="Arial"/>
          <w:color w:val="000000"/>
          <w:kern w:val="2"/>
          <w:sz w:val="20"/>
          <w:szCs w:val="20"/>
          <w:lang w:val="es-ES_tradnl"/>
          <w14:ligatures w14:val="standardContextual"/>
        </w:rPr>
      </w:pPr>
    </w:p>
    <w:p w14:paraId="0834C384" w14:textId="77777777" w:rsidR="00E85C62" w:rsidRPr="00E85C62" w:rsidRDefault="00E85C62" w:rsidP="00E85C62">
      <w:pPr>
        <w:spacing w:after="0" w:line="240" w:lineRule="auto"/>
        <w:jc w:val="both"/>
        <w:rPr>
          <w:rFonts w:ascii="Verdana" w:eastAsia="Calibri" w:hAnsi="Verdana" w:cs="Arial"/>
          <w:kern w:val="2"/>
          <w:sz w:val="20"/>
          <w:szCs w:val="20"/>
          <w:lang w:val="es-ES_tradnl"/>
          <w14:ligatures w14:val="standardContextual"/>
        </w:rPr>
      </w:pPr>
      <w:r w:rsidRPr="00E85C62">
        <w:rPr>
          <w:rFonts w:ascii="Verdana" w:eastAsia="Calibri" w:hAnsi="Verdana" w:cs="Arial"/>
          <w:kern w:val="2"/>
          <w:sz w:val="20"/>
          <w:szCs w:val="20"/>
          <w:lang w:val="es-ES_tradnl"/>
          <w14:ligatures w14:val="standardContextual"/>
        </w:rPr>
        <w:lastRenderedPageBreak/>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B3D440A" w14:textId="77777777" w:rsidR="00E85C62" w:rsidRPr="00E85C62" w:rsidRDefault="00E85C62" w:rsidP="00E85C62">
      <w:pPr>
        <w:spacing w:after="0" w:line="240" w:lineRule="auto"/>
        <w:jc w:val="both"/>
        <w:rPr>
          <w:rFonts w:ascii="Arial" w:eastAsia="Calibri" w:hAnsi="Arial" w:cs="Arial"/>
          <w:b/>
          <w:kern w:val="2"/>
          <w:sz w:val="24"/>
          <w:szCs w:val="24"/>
          <w:lang w:val="es-MX"/>
          <w14:ligatures w14:val="standardContextual"/>
        </w:rPr>
      </w:pPr>
    </w:p>
    <w:p w14:paraId="28683077" w14:textId="77777777" w:rsidR="00E85C62" w:rsidRPr="00E85C62" w:rsidRDefault="00E85C62" w:rsidP="00E85C62">
      <w:pPr>
        <w:spacing w:after="0" w:line="240" w:lineRule="auto"/>
        <w:jc w:val="both"/>
        <w:rPr>
          <w:rFonts w:ascii="Verdana" w:eastAsia="Aptos" w:hAnsi="Verdana" w:cs="Arial"/>
          <w:b/>
          <w:kern w:val="2"/>
          <w:lang w:val="es-MX"/>
          <w14:ligatures w14:val="standardContextual"/>
        </w:rPr>
      </w:pPr>
      <w:r w:rsidRPr="00E85C62">
        <w:rPr>
          <w:rFonts w:ascii="Verdana" w:eastAsia="Calibri" w:hAnsi="Verdana" w:cs="Arial"/>
          <w:b/>
          <w:kern w:val="2"/>
          <w:lang w:val="es-MX"/>
          <w14:ligatures w14:val="standardContextual"/>
        </w:rPr>
        <w:t xml:space="preserve">DOCUMENTOS TIPO – Inalterabilidad – Información en corchetes y resaltado gris </w:t>
      </w:r>
    </w:p>
    <w:p w14:paraId="4018103C" w14:textId="77777777" w:rsidR="00E85C62" w:rsidRPr="00E85C62" w:rsidRDefault="00E85C62" w:rsidP="00E85C62">
      <w:pPr>
        <w:spacing w:after="0" w:line="240" w:lineRule="auto"/>
        <w:jc w:val="both"/>
        <w:rPr>
          <w:rFonts w:ascii="Arial" w:eastAsia="Aptos" w:hAnsi="Arial" w:cs="Arial"/>
          <w:kern w:val="2"/>
          <w:sz w:val="20"/>
          <w:szCs w:val="20"/>
          <w:lang w:val="es-MX"/>
          <w14:ligatures w14:val="standardContextual"/>
        </w:rPr>
      </w:pPr>
    </w:p>
    <w:p w14:paraId="7633A0D0" w14:textId="77777777" w:rsidR="00E85C62" w:rsidRPr="00E85C62" w:rsidRDefault="00E85C62" w:rsidP="00E85C62">
      <w:pPr>
        <w:spacing w:after="0" w:line="240" w:lineRule="auto"/>
        <w:jc w:val="both"/>
        <w:rPr>
          <w:rFonts w:ascii="Verdana" w:eastAsia="Calibri" w:hAnsi="Verdana" w:cs="Arial"/>
          <w:color w:val="000000"/>
          <w:kern w:val="2"/>
          <w:sz w:val="20"/>
          <w:szCs w:val="20"/>
          <w:lang w:val="es-ES"/>
          <w14:ligatures w14:val="standardContextual"/>
        </w:rPr>
      </w:pPr>
      <w:r w:rsidRPr="00E85C62">
        <w:rPr>
          <w:rFonts w:ascii="Verdana" w:eastAsia="Calibri" w:hAnsi="Verdana" w:cs="Arial"/>
          <w:kern w:val="2"/>
          <w:sz w:val="20"/>
          <w:szCs w:val="20"/>
          <w:lang w:val="es-MX"/>
          <w14:ligatures w14:val="standardContextual"/>
        </w:rPr>
        <w:t xml:space="preserve">(…) la parte introductoria de los documentos base de los documentos tipo disponen que los aspectos incluidos en corchetes y resaltados en gris </w:t>
      </w:r>
      <w:r w:rsidRPr="00E85C62">
        <w:rPr>
          <w:rFonts w:ascii="Verdana" w:eastAsia="Aptos" w:hAnsi="Verdana" w:cs="Arial"/>
          <w:kern w:val="2"/>
          <w:sz w:val="20"/>
          <w:szCs w:val="20"/>
          <w14:ligatures w14:val="standardContextual"/>
        </w:rPr>
        <w:t>–[</w:t>
      </w:r>
      <w:r w:rsidRPr="00E85C62">
        <w:rPr>
          <w:rFonts w:ascii="Verdana" w:eastAsia="Aptos" w:hAnsi="Verdana" w:cs="Arial"/>
          <w:kern w:val="2"/>
          <w:sz w:val="20"/>
          <w:szCs w:val="20"/>
          <w:highlight w:val="lightGray"/>
          <w14:ligatures w14:val="standardContextual"/>
        </w:rPr>
        <w:t>texto de ejemplo</w:t>
      </w:r>
      <w:r w:rsidRPr="00E85C62">
        <w:rPr>
          <w:rFonts w:ascii="Verdana" w:eastAsia="Aptos" w:hAnsi="Verdana" w:cs="Arial"/>
          <w:kern w:val="2"/>
          <w:sz w:val="20"/>
          <w:szCs w:val="20"/>
          <w14:ligatures w14:val="standardContextual"/>
        </w:rPr>
        <w:t xml:space="preserve">]– </w:t>
      </w:r>
      <w:r w:rsidRPr="00E85C62">
        <w:rPr>
          <w:rFonts w:ascii="Verdana" w:eastAsia="Calibri" w:hAnsi="Verdana" w:cs="Arial"/>
          <w:kern w:val="2"/>
          <w:sz w:val="20"/>
          <w:szCs w:val="20"/>
          <w:lang w:val="es-MX"/>
          <w14:ligatures w14:val="standardContextua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5AD55A8" w14:textId="77777777" w:rsidR="00E85C62" w:rsidRPr="00E85C62" w:rsidRDefault="00E85C62" w:rsidP="00E85C62">
      <w:pPr>
        <w:spacing w:after="0" w:line="240" w:lineRule="auto"/>
        <w:jc w:val="both"/>
        <w:rPr>
          <w:rFonts w:ascii="Verdana" w:eastAsia="Calibri" w:hAnsi="Verdana" w:cs="Arial"/>
          <w:bCs/>
          <w:kern w:val="2"/>
          <w:sz w:val="20"/>
          <w:szCs w:val="20"/>
          <w:lang w:val="es-MX"/>
          <w14:ligatures w14:val="standardContextual"/>
        </w:rPr>
      </w:pPr>
    </w:p>
    <w:p w14:paraId="55BBDEE1" w14:textId="77777777" w:rsidR="00E85C62" w:rsidRPr="00E85C62" w:rsidRDefault="00E85C62" w:rsidP="00E85C62">
      <w:pPr>
        <w:spacing w:after="0" w:line="240" w:lineRule="auto"/>
        <w:jc w:val="both"/>
        <w:rPr>
          <w:rFonts w:ascii="Verdana" w:eastAsia="Calibri" w:hAnsi="Verdana" w:cs="Arial"/>
          <w:bCs/>
          <w:kern w:val="2"/>
          <w:sz w:val="20"/>
          <w:szCs w:val="20"/>
          <w:lang w:val="es-MX"/>
          <w14:ligatures w14:val="standardContextual"/>
        </w:rPr>
      </w:pPr>
      <w:r w:rsidRPr="00E85C62">
        <w:rPr>
          <w:rFonts w:ascii="Verdana" w:eastAsia="Calibri" w:hAnsi="Verdana" w:cs="Arial"/>
          <w:bCs/>
          <w:kern w:val="2"/>
          <w:sz w:val="20"/>
          <w:szCs w:val="20"/>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3623734" w14:textId="77777777" w:rsidR="00E85C62" w:rsidRPr="00E85C62" w:rsidRDefault="00E85C62" w:rsidP="00E85C62">
      <w:pPr>
        <w:spacing w:after="0" w:line="240" w:lineRule="auto"/>
        <w:jc w:val="both"/>
        <w:rPr>
          <w:rFonts w:ascii="Verdana" w:eastAsia="Calibri" w:hAnsi="Verdana" w:cs="Arial"/>
          <w:bCs/>
          <w:kern w:val="2"/>
          <w:sz w:val="20"/>
          <w:szCs w:val="20"/>
          <w:lang w:val="es-MX"/>
          <w14:ligatures w14:val="standardContextual"/>
        </w:rPr>
      </w:pPr>
    </w:p>
    <w:p w14:paraId="09EC9B16" w14:textId="77777777" w:rsidR="00E85C62" w:rsidRPr="00E85C62" w:rsidRDefault="00E85C62" w:rsidP="00E85C62">
      <w:pPr>
        <w:spacing w:after="0" w:line="240" w:lineRule="auto"/>
        <w:jc w:val="both"/>
        <w:rPr>
          <w:rFonts w:ascii="Verdana" w:eastAsia="Calibri" w:hAnsi="Verdana" w:cs="Arial"/>
          <w:bCs/>
          <w:kern w:val="2"/>
          <w:sz w:val="20"/>
          <w:szCs w:val="20"/>
          <w:lang w:val="es-MX"/>
          <w14:ligatures w14:val="standardContextual"/>
        </w:rPr>
      </w:pPr>
      <w:r w:rsidRPr="00E85C62">
        <w:rPr>
          <w:rFonts w:ascii="Verdana" w:eastAsia="Calibri" w:hAnsi="Verdana" w:cs="Arial"/>
          <w:bCs/>
          <w:kern w:val="2"/>
          <w:sz w:val="20"/>
          <w:szCs w:val="20"/>
          <w:lang w:val="es-MX"/>
          <w14:ligatures w14:val="standardContextual"/>
        </w:rPr>
        <w:t xml:space="preserve">Esta regla de inalterabilidad </w:t>
      </w:r>
      <w:r w:rsidRPr="00E85C62">
        <w:rPr>
          <w:rFonts w:ascii="Verdana" w:eastAsia="Calibri" w:hAnsi="Verdana" w:cs="Arial"/>
          <w:bCs/>
          <w:i/>
          <w:iCs/>
          <w:kern w:val="2"/>
          <w:sz w:val="20"/>
          <w:szCs w:val="20"/>
          <w:lang w:val="es-MX"/>
          <w14:ligatures w14:val="standardContextual"/>
        </w:rPr>
        <w:t>también aplica a los formatos, anexos y matrices</w:t>
      </w:r>
      <w:r w:rsidRPr="00E85C62">
        <w:rPr>
          <w:rFonts w:ascii="Verdana" w:eastAsia="Calibri" w:hAnsi="Verdana" w:cs="Arial"/>
          <w:bCs/>
          <w:kern w:val="2"/>
          <w:sz w:val="20"/>
          <w:szCs w:val="20"/>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5506629F" w14:textId="77777777" w:rsidR="00E85C62" w:rsidRPr="00E85C62" w:rsidRDefault="00E85C62" w:rsidP="00E85C62">
      <w:pPr>
        <w:tabs>
          <w:tab w:val="left" w:pos="-142"/>
        </w:tabs>
        <w:autoSpaceDE w:val="0"/>
        <w:autoSpaceDN w:val="0"/>
        <w:adjustRightInd w:val="0"/>
        <w:spacing w:after="0" w:line="240" w:lineRule="auto"/>
        <w:jc w:val="both"/>
        <w:rPr>
          <w:rFonts w:ascii="Arial" w:eastAsia="Arial" w:hAnsi="Arial" w:cs="Arial"/>
          <w:kern w:val="2"/>
          <w:sz w:val="20"/>
          <w:szCs w:val="20"/>
          <w:lang w:eastAsia="es-ES"/>
          <w14:ligatures w14:val="standardContextual"/>
        </w:rPr>
      </w:pPr>
    </w:p>
    <w:p w14:paraId="71026079" w14:textId="77777777" w:rsidR="00E85C62" w:rsidRPr="00BE0234" w:rsidRDefault="00E85C62" w:rsidP="00E85C62">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BE0234">
        <w:rPr>
          <w:rFonts w:ascii="Verdana" w:eastAsia="Calibri" w:hAnsi="Verdana" w:cs="Arial"/>
          <w:b/>
          <w:bCs/>
          <w:kern w:val="2"/>
          <w:lang w:val="es-ES_tradnl" w:eastAsia="es-ES"/>
          <w14:ligatures w14:val="standardContextual"/>
        </w:rPr>
        <w:t xml:space="preserve">DOCUMENTOS TIPO </w:t>
      </w:r>
      <w:bookmarkStart w:id="1" w:name="_Hlk39666823"/>
      <w:r w:rsidRPr="00BE0234">
        <w:rPr>
          <w:rFonts w:ascii="Verdana" w:eastAsia="Calibri" w:hAnsi="Verdana" w:cs="Arial"/>
          <w:b/>
          <w:kern w:val="2"/>
          <w:lang w:val="x-none" w:eastAsia="es-ES"/>
          <w14:ligatures w14:val="standardContextual"/>
        </w:rPr>
        <w:t>–</w:t>
      </w:r>
      <w:bookmarkEnd w:id="1"/>
      <w:r w:rsidRPr="00BE0234">
        <w:rPr>
          <w:rFonts w:ascii="Verdana" w:eastAsia="Calibri" w:hAnsi="Verdana" w:cs="Arial"/>
          <w:b/>
          <w:bCs/>
          <w:kern w:val="2"/>
          <w:lang w:val="es-ES_tradnl" w:eastAsia="es-ES"/>
          <w14:ligatures w14:val="standardContextual"/>
        </w:rPr>
        <w:t xml:space="preserve"> Inalterabilidad </w:t>
      </w:r>
      <w:r w:rsidRPr="00BE0234">
        <w:rPr>
          <w:rFonts w:ascii="Verdana" w:eastAsia="Calibri" w:hAnsi="Verdana" w:cs="Arial"/>
          <w:b/>
          <w:kern w:val="2"/>
          <w:lang w:val="x-none" w:eastAsia="es-ES"/>
          <w14:ligatures w14:val="standardContextual"/>
        </w:rPr>
        <w:t>–</w:t>
      </w:r>
      <w:r w:rsidRPr="00BE0234">
        <w:rPr>
          <w:rFonts w:ascii="Verdana" w:eastAsia="Calibri" w:hAnsi="Verdana" w:cs="Arial"/>
          <w:b/>
          <w:bCs/>
          <w:kern w:val="2"/>
          <w:lang w:val="es-ES_tradnl" w:eastAsia="es-ES"/>
          <w14:ligatures w14:val="standardContextual"/>
        </w:rPr>
        <w:t xml:space="preserve"> Prevalencia del derecho sustancial</w:t>
      </w:r>
    </w:p>
    <w:p w14:paraId="033C05AF" w14:textId="77777777" w:rsidR="00E85C62" w:rsidRPr="00E85C62" w:rsidRDefault="00E85C62" w:rsidP="00E85C62">
      <w:pPr>
        <w:spacing w:after="0" w:line="240" w:lineRule="auto"/>
        <w:jc w:val="both"/>
        <w:rPr>
          <w:rFonts w:ascii="Arial" w:eastAsia="Calibri" w:hAnsi="Arial" w:cs="Arial"/>
          <w:b/>
          <w:bCs/>
          <w:kern w:val="2"/>
          <w:sz w:val="20"/>
          <w:szCs w:val="20"/>
          <w:lang w:val="es-ES_tradnl"/>
          <w14:ligatures w14:val="standardContextual"/>
        </w:rPr>
      </w:pPr>
    </w:p>
    <w:p w14:paraId="30B2CA7D" w14:textId="77777777" w:rsidR="00E85C62" w:rsidRPr="00E85C62" w:rsidRDefault="00E85C62" w:rsidP="00E85C62">
      <w:pPr>
        <w:spacing w:after="0" w:line="240" w:lineRule="auto"/>
        <w:jc w:val="both"/>
        <w:rPr>
          <w:rFonts w:ascii="Verdana" w:eastAsia="Calibri" w:hAnsi="Verdana" w:cs="Arial"/>
          <w:kern w:val="2"/>
          <w:sz w:val="20"/>
          <w:szCs w:val="20"/>
          <w:lang w:val="es-MX"/>
          <w14:ligatures w14:val="standardContextual"/>
        </w:rPr>
      </w:pPr>
      <w:r w:rsidRPr="00E85C62">
        <w:rPr>
          <w:rFonts w:ascii="Verdana" w:eastAsia="Calibri" w:hAnsi="Verdana" w:cs="Arial"/>
          <w:kern w:val="2"/>
          <w:sz w:val="20"/>
          <w:szCs w:val="20"/>
          <w:lang w:val="es-MX"/>
          <w14:ligatures w14:val="standardContextual"/>
        </w:rPr>
        <w:t xml:space="preserve">La regla de inalterabilidad de los documentos tipo debe armonizase con principios de orden constitucional, especialmente con el de prevalencia del derecho sustancial, </w:t>
      </w:r>
      <w:r w:rsidRPr="00E85C62">
        <w:rPr>
          <w:rFonts w:ascii="Verdana" w:eastAsia="Calibri" w:hAnsi="Verdana" w:cs="Arial"/>
          <w:kern w:val="2"/>
          <w:sz w:val="20"/>
          <w:szCs w:val="20"/>
          <w:lang w:val="es-MX"/>
          <w14:ligatures w14:val="standardContextual"/>
        </w:rPr>
        <w:lastRenderedPageBreak/>
        <w:t xml:space="preserve">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60EF4ED" w14:textId="77777777" w:rsidR="00E85C62" w:rsidRPr="00E85C62" w:rsidRDefault="00E85C62" w:rsidP="00E85C62">
      <w:pPr>
        <w:spacing w:after="0" w:line="240" w:lineRule="auto"/>
        <w:jc w:val="both"/>
        <w:rPr>
          <w:rFonts w:ascii="Verdana" w:eastAsia="Calibri" w:hAnsi="Verdana" w:cs="Arial"/>
          <w:kern w:val="2"/>
          <w:sz w:val="20"/>
          <w:szCs w:val="20"/>
          <w:lang w:val="es-MX"/>
          <w14:ligatures w14:val="standardContextual"/>
        </w:rPr>
      </w:pPr>
    </w:p>
    <w:p w14:paraId="16D71EF0" w14:textId="77777777" w:rsidR="00E85C62" w:rsidRPr="00E85C62" w:rsidRDefault="00E85C62" w:rsidP="00E85C62">
      <w:pPr>
        <w:spacing w:after="0" w:line="240" w:lineRule="auto"/>
        <w:jc w:val="both"/>
        <w:rPr>
          <w:rFonts w:ascii="Verdana" w:eastAsia="Calibri" w:hAnsi="Verdana" w:cs="Arial"/>
          <w:b/>
          <w:bCs/>
          <w:kern w:val="2"/>
          <w:lang w:val="es-MX"/>
          <w14:ligatures w14:val="standardContextual"/>
        </w:rPr>
      </w:pPr>
      <w:r w:rsidRPr="00E85C62">
        <w:rPr>
          <w:rFonts w:ascii="Verdana" w:eastAsia="Calibri" w:hAnsi="Verdana" w:cs="Arial"/>
          <w:b/>
          <w:bCs/>
          <w:kern w:val="2"/>
          <w:lang w:val="es-MX"/>
          <w14:ligatures w14:val="standardContextual"/>
        </w:rPr>
        <w:t>OFERTA ECONÓMICA – Forma de pago – Documentos tipo – Infraestructura social</w:t>
      </w:r>
    </w:p>
    <w:p w14:paraId="55CA93CF" w14:textId="77777777" w:rsidR="00E85C62" w:rsidRPr="00E85C62" w:rsidRDefault="00E85C62" w:rsidP="00E85C62">
      <w:pPr>
        <w:spacing w:after="0" w:line="240" w:lineRule="auto"/>
        <w:jc w:val="both"/>
        <w:rPr>
          <w:rFonts w:ascii="Verdana" w:eastAsia="Calibri" w:hAnsi="Verdana" w:cs="Arial"/>
          <w:bCs/>
          <w:color w:val="000000"/>
          <w:kern w:val="2"/>
          <w:sz w:val="20"/>
          <w:szCs w:val="20"/>
          <w:lang w:eastAsia="es-MX"/>
          <w14:ligatures w14:val="standardContextual"/>
        </w:rPr>
      </w:pPr>
    </w:p>
    <w:p w14:paraId="579555FF" w14:textId="77777777" w:rsidR="00E85C62" w:rsidRPr="00E85C62" w:rsidRDefault="00E85C62" w:rsidP="00E85C62">
      <w:pPr>
        <w:spacing w:after="0" w:line="240" w:lineRule="auto"/>
        <w:jc w:val="both"/>
        <w:rPr>
          <w:rFonts w:ascii="Verdana" w:eastAsia="Calibri" w:hAnsi="Verdana" w:cs="Arial"/>
          <w:kern w:val="2"/>
          <w:sz w:val="20"/>
          <w:szCs w:val="20"/>
          <w:lang w:val="es-ES_tradnl"/>
          <w14:ligatures w14:val="standardContextual"/>
        </w:rPr>
      </w:pPr>
      <w:r w:rsidRPr="00E85C62">
        <w:rPr>
          <w:rFonts w:ascii="Verdana" w:eastAsia="Calibri" w:hAnsi="Verdana" w:cs="Arial"/>
          <w:kern w:val="2"/>
          <w:sz w:val="20"/>
          <w:szCs w:val="20"/>
          <w:lang w:eastAsia="es-MX"/>
          <w14:ligatures w14:val="standardContextual"/>
        </w:rPr>
        <w:t xml:space="preserve">El numeral 4.1 del Documento </w:t>
      </w:r>
      <w:r w:rsidRPr="00E85C62">
        <w:rPr>
          <w:rFonts w:ascii="Verdana" w:eastAsia="Calibri" w:hAnsi="Verdana" w:cs="Arial"/>
          <w:kern w:val="2"/>
          <w:sz w:val="20"/>
          <w:szCs w:val="20"/>
          <w:lang w:val="es-ES_tradnl"/>
          <w14:ligatures w14:val="standardContextual"/>
        </w:rPr>
        <w:t>base de los documentos tipo de licitación de obra pública de infraestructura social – versión 2 establece lo siguiente en relación con la oferta económica:</w:t>
      </w:r>
    </w:p>
    <w:p w14:paraId="171103C3" w14:textId="77777777" w:rsidR="00E85C62" w:rsidRPr="00E85C62" w:rsidRDefault="00E85C62" w:rsidP="00E85C62">
      <w:pPr>
        <w:shd w:val="clear" w:color="auto" w:fill="FFFFFF"/>
        <w:spacing w:after="0" w:line="240" w:lineRule="auto"/>
        <w:ind w:right="709"/>
        <w:jc w:val="both"/>
        <w:rPr>
          <w:rFonts w:ascii="Arial" w:eastAsia="Calibri" w:hAnsi="Arial" w:cs="Arial"/>
          <w:kern w:val="2"/>
          <w:sz w:val="20"/>
          <w:szCs w:val="20"/>
          <w:lang w:val="es-ES_tradnl"/>
          <w14:ligatures w14:val="standardContextual"/>
        </w:rPr>
      </w:pPr>
    </w:p>
    <w:p w14:paraId="02CA0771" w14:textId="77777777" w:rsidR="00E85C62" w:rsidRPr="00E85C62" w:rsidRDefault="00E85C62" w:rsidP="00E85C62">
      <w:pPr>
        <w:shd w:val="clear" w:color="auto" w:fill="FFFFFF"/>
        <w:spacing w:after="0" w:line="240" w:lineRule="auto"/>
        <w:ind w:right="709"/>
        <w:jc w:val="both"/>
        <w:rPr>
          <w:rFonts w:ascii="Verdana" w:eastAsia="Aptos" w:hAnsi="Verdana" w:cs="Times New Roman"/>
          <w:kern w:val="2"/>
          <w:sz w:val="20"/>
          <w:szCs w:val="20"/>
          <w:lang w:val="es-MX"/>
          <w14:ligatures w14:val="standardContextual"/>
        </w:rPr>
      </w:pPr>
      <w:r w:rsidRPr="00E85C62">
        <w:rPr>
          <w:rFonts w:ascii="Arial" w:eastAsia="Calibri" w:hAnsi="Arial" w:cs="Arial"/>
          <w:kern w:val="2"/>
          <w:sz w:val="20"/>
          <w:szCs w:val="20"/>
          <w:lang w:val="es-ES_tradnl"/>
          <w14:ligatures w14:val="standardContextual"/>
        </w:rPr>
        <w:t>(…)</w:t>
      </w:r>
    </w:p>
    <w:p w14:paraId="1B8C24FD" w14:textId="77777777" w:rsidR="00E85C62" w:rsidRPr="00E85C62" w:rsidRDefault="00E85C62" w:rsidP="00E85C62">
      <w:pPr>
        <w:spacing w:after="0" w:line="240" w:lineRule="auto"/>
        <w:jc w:val="both"/>
        <w:rPr>
          <w:rFonts w:ascii="Arial" w:eastAsia="Calibri" w:hAnsi="Arial" w:cs="Arial"/>
          <w:kern w:val="2"/>
          <w:sz w:val="20"/>
          <w:szCs w:val="20"/>
          <w:lang w:val="es-MX"/>
          <w14:ligatures w14:val="standardContextual"/>
        </w:rPr>
      </w:pPr>
    </w:p>
    <w:p w14:paraId="6A73B475" w14:textId="77777777" w:rsidR="00E85C62" w:rsidRPr="00E85C62" w:rsidRDefault="00E85C62" w:rsidP="00E85C62">
      <w:pPr>
        <w:spacing w:after="0" w:line="240" w:lineRule="auto"/>
        <w:jc w:val="both"/>
        <w:rPr>
          <w:rFonts w:ascii="Verdana" w:eastAsia="Calibri" w:hAnsi="Verdana" w:cs="Arial"/>
          <w:bCs/>
          <w:color w:val="000000"/>
          <w:kern w:val="2"/>
          <w:sz w:val="20"/>
          <w:szCs w:val="20"/>
          <w:lang w:eastAsia="es-MX"/>
          <w14:ligatures w14:val="standardContextual"/>
        </w:rPr>
      </w:pPr>
      <w:r w:rsidRPr="00E85C62">
        <w:rPr>
          <w:rFonts w:ascii="Verdana" w:eastAsia="Calibri" w:hAnsi="Verdana" w:cs="Arial"/>
          <w:kern w:val="2"/>
          <w:sz w:val="20"/>
          <w:szCs w:val="20"/>
          <w:lang w:val="es-ES_tradnl"/>
          <w14:ligatures w14:val="standardContextual"/>
        </w:rPr>
        <w:t>Los párrafos que están en corchetes son notas aclaratorias o instrucciones para la entidad contratante, que deben ser seguidas sin vulnerar el carácter obligatorio y la regla</w:t>
      </w:r>
      <w:r w:rsidRPr="00E85C62">
        <w:rPr>
          <w:rFonts w:ascii="Arial" w:eastAsia="Calibri" w:hAnsi="Arial" w:cs="Arial"/>
          <w:kern w:val="2"/>
          <w:sz w:val="20"/>
          <w:szCs w:val="20"/>
          <w:lang w:val="es-ES_tradnl"/>
          <w14:ligatures w14:val="standardContextual"/>
        </w:rPr>
        <w:t xml:space="preserve"> </w:t>
      </w:r>
      <w:r w:rsidRPr="00E85C62">
        <w:rPr>
          <w:rFonts w:ascii="Verdana" w:eastAsia="Calibri" w:hAnsi="Verdana" w:cs="Arial"/>
          <w:kern w:val="2"/>
          <w:sz w:val="20"/>
          <w:szCs w:val="20"/>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expresamente la posibilidad </w:t>
      </w:r>
      <w:r w:rsidRPr="00E85C62">
        <w:rPr>
          <w:rFonts w:ascii="Verdana" w:eastAsia="Calibri" w:hAnsi="Verdana" w:cs="Arial"/>
          <w:bCs/>
          <w:color w:val="000000"/>
          <w:kern w:val="2"/>
          <w:sz w:val="20"/>
          <w:szCs w:val="20"/>
          <w:lang w:eastAsia="es-MX"/>
          <w14:ligatures w14:val="standardContextual"/>
        </w:rPr>
        <w:t xml:space="preserve">de que la entidad defina una modalidad distinta bajo la expresión “o la que determine”. </w:t>
      </w:r>
    </w:p>
    <w:p w14:paraId="73DEE656" w14:textId="77777777" w:rsidR="00E85C62" w:rsidRPr="00E85C62" w:rsidRDefault="00E85C62" w:rsidP="00E85C62">
      <w:pPr>
        <w:spacing w:after="0" w:line="240" w:lineRule="auto"/>
        <w:jc w:val="both"/>
        <w:rPr>
          <w:rFonts w:ascii="Verdana" w:eastAsia="Calibri" w:hAnsi="Verdana" w:cs="Arial"/>
          <w:bCs/>
          <w:color w:val="000000"/>
          <w:kern w:val="2"/>
          <w:sz w:val="20"/>
          <w:szCs w:val="20"/>
          <w:lang w:eastAsia="es-MX"/>
          <w14:ligatures w14:val="standardContextual"/>
        </w:rPr>
      </w:pPr>
    </w:p>
    <w:p w14:paraId="4937586B" w14:textId="77777777" w:rsidR="00E85C62" w:rsidRPr="00E85C62" w:rsidRDefault="00E85C62" w:rsidP="00E85C62">
      <w:pPr>
        <w:spacing w:after="0" w:line="240" w:lineRule="auto"/>
        <w:jc w:val="both"/>
        <w:rPr>
          <w:rFonts w:ascii="Verdana" w:eastAsia="Calibri" w:hAnsi="Verdana" w:cs="Arial"/>
          <w:kern w:val="2"/>
          <w:sz w:val="20"/>
          <w:szCs w:val="20"/>
          <w:lang w:val="es-ES_tradnl"/>
          <w14:ligatures w14:val="standardContextual"/>
        </w:rPr>
      </w:pPr>
      <w:r w:rsidRPr="00E85C62">
        <w:rPr>
          <w:rFonts w:ascii="Verdana" w:eastAsia="Calibri" w:hAnsi="Verdana" w:cs="Arial"/>
          <w:bCs/>
          <w:color w:val="000000"/>
          <w:kern w:val="2"/>
          <w:sz w:val="20"/>
          <w:szCs w:val="20"/>
          <w:lang w:eastAsia="es-MX"/>
          <w14:ligatures w14:val="standardContextual"/>
        </w:rPr>
        <w:t>En todo</w:t>
      </w:r>
      <w:r w:rsidRPr="00E85C62">
        <w:rPr>
          <w:rFonts w:ascii="Verdana" w:eastAsia="Calibri" w:hAnsi="Verdana" w:cs="Arial"/>
          <w:kern w:val="2"/>
          <w:sz w:val="20"/>
          <w:szCs w:val="20"/>
          <w:lang w:val="es-ES_tradnl"/>
          <w14:ligatures w14:val="standardContextua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6B47DF5A"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p>
    <w:p w14:paraId="3F5081C5" w14:textId="77777777" w:rsidR="00E85C62" w:rsidRPr="00E85C62" w:rsidRDefault="00E85C62" w:rsidP="00E85C62">
      <w:pPr>
        <w:snapToGrid w:val="0"/>
        <w:spacing w:after="0" w:line="240" w:lineRule="auto"/>
        <w:jc w:val="both"/>
        <w:rPr>
          <w:rFonts w:ascii="Verdana" w:eastAsia="Calibri" w:hAnsi="Verdana" w:cs="Arial"/>
          <w:b/>
          <w:color w:val="000000"/>
          <w:kern w:val="2"/>
          <w:lang w:eastAsia="es-MX"/>
          <w14:ligatures w14:val="standardContextual"/>
        </w:rPr>
      </w:pPr>
      <w:r w:rsidRPr="00E85C62">
        <w:rPr>
          <w:rFonts w:ascii="Verdana" w:eastAsia="Calibri" w:hAnsi="Verdana" w:cs="Arial"/>
          <w:b/>
          <w:color w:val="000000"/>
          <w:kern w:val="2"/>
          <w:lang w:eastAsia="es-MX"/>
          <w14:ligatures w14:val="standardContextual"/>
        </w:rPr>
        <w:t>FORMULARIO 1 – Presupuesto oficial – Forma de pago</w:t>
      </w:r>
    </w:p>
    <w:p w14:paraId="0E8F48FF" w14:textId="77777777" w:rsidR="00E85C62" w:rsidRPr="00E85C62" w:rsidRDefault="00E85C62" w:rsidP="00E85C62">
      <w:pPr>
        <w:snapToGrid w:val="0"/>
        <w:spacing w:after="0" w:line="240" w:lineRule="auto"/>
        <w:jc w:val="both"/>
        <w:rPr>
          <w:rFonts w:ascii="Verdana" w:eastAsia="Calibri" w:hAnsi="Verdana" w:cs="Arial"/>
          <w:b/>
          <w:color w:val="000000"/>
          <w:kern w:val="2"/>
          <w:lang w:eastAsia="es-MX"/>
          <w14:ligatures w14:val="standardContextual"/>
        </w:rPr>
      </w:pPr>
    </w:p>
    <w:p w14:paraId="29F01DBA"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r w:rsidRPr="00E85C62">
        <w:rPr>
          <w:rFonts w:ascii="Verdana" w:eastAsia="Calibri" w:hAnsi="Verdana" w:cs="Arial"/>
          <w:bCs/>
          <w:color w:val="000000"/>
          <w:kern w:val="2"/>
          <w:sz w:val="20"/>
          <w:szCs w:val="20"/>
          <w:lang w:eastAsia="es-MX"/>
          <w14:ligatures w14:val="standardContextual"/>
        </w:rPr>
        <w:t xml:space="preserve">Precisamente, la Agencia Nacional de Contratación Pública – Colombia Compra Eficiente, considerando que para establecer el valor y la forma de pago de los contratos de obra existen diferentes métodos, tales como: i) precios unitarios; </w:t>
      </w:r>
      <w:proofErr w:type="spellStart"/>
      <w:r w:rsidRPr="00E85C62">
        <w:rPr>
          <w:rFonts w:ascii="Verdana" w:eastAsia="Calibri" w:hAnsi="Verdana" w:cs="Arial"/>
          <w:bCs/>
          <w:color w:val="000000"/>
          <w:kern w:val="2"/>
          <w:sz w:val="20"/>
          <w:szCs w:val="20"/>
          <w:lang w:eastAsia="es-MX"/>
          <w14:ligatures w14:val="standardContextual"/>
        </w:rPr>
        <w:t>ii</w:t>
      </w:r>
      <w:proofErr w:type="spellEnd"/>
      <w:r w:rsidRPr="00E85C62">
        <w:rPr>
          <w:rFonts w:ascii="Verdana" w:eastAsia="Calibri" w:hAnsi="Verdana" w:cs="Arial"/>
          <w:bCs/>
          <w:color w:val="000000"/>
          <w:kern w:val="2"/>
          <w:sz w:val="20"/>
          <w:szCs w:val="20"/>
          <w:lang w:eastAsia="es-MX"/>
          <w14:ligatures w14:val="standardContextual"/>
        </w:rPr>
        <w:t xml:space="preserve">) precio global; </w:t>
      </w:r>
      <w:proofErr w:type="spellStart"/>
      <w:r w:rsidRPr="00E85C62">
        <w:rPr>
          <w:rFonts w:ascii="Verdana" w:eastAsia="Calibri" w:hAnsi="Verdana" w:cs="Arial"/>
          <w:bCs/>
          <w:color w:val="000000"/>
          <w:kern w:val="2"/>
          <w:sz w:val="20"/>
          <w:szCs w:val="20"/>
          <w:lang w:eastAsia="es-MX"/>
          <w14:ligatures w14:val="standardContextual"/>
        </w:rPr>
        <w:t>iii</w:t>
      </w:r>
      <w:proofErr w:type="spellEnd"/>
      <w:r w:rsidRPr="00E85C62">
        <w:rPr>
          <w:rFonts w:ascii="Verdana" w:eastAsia="Calibri" w:hAnsi="Verdana" w:cs="Arial"/>
          <w:bCs/>
          <w:color w:val="000000"/>
          <w:kern w:val="2"/>
          <w:sz w:val="20"/>
          <w:szCs w:val="20"/>
          <w:lang w:eastAsia="es-MX"/>
          <w14:ligatures w14:val="standardContextual"/>
        </w:rPr>
        <w:t xml:space="preserve">) llave en mano; </w:t>
      </w:r>
      <w:proofErr w:type="spellStart"/>
      <w:r w:rsidRPr="00E85C62">
        <w:rPr>
          <w:rFonts w:ascii="Verdana" w:eastAsia="Calibri" w:hAnsi="Verdana" w:cs="Arial"/>
          <w:bCs/>
          <w:color w:val="000000"/>
          <w:kern w:val="2"/>
          <w:sz w:val="20"/>
          <w:szCs w:val="20"/>
          <w:lang w:eastAsia="es-MX"/>
          <w14:ligatures w14:val="standardContextual"/>
        </w:rPr>
        <w:t>iv</w:t>
      </w:r>
      <w:proofErr w:type="spellEnd"/>
      <w:r w:rsidRPr="00E85C62">
        <w:rPr>
          <w:rFonts w:ascii="Verdana" w:eastAsia="Calibri" w:hAnsi="Verdana" w:cs="Arial"/>
          <w:bCs/>
          <w:color w:val="000000"/>
          <w:kern w:val="2"/>
          <w:sz w:val="20"/>
          <w:szCs w:val="20"/>
          <w:lang w:eastAsia="es-MX"/>
          <w14:ligatures w14:val="standardContextual"/>
        </w:rPr>
        <w:t>) administración delegada; y v) reembolso de gastos, entre otros, ha previsto en los documentos tipo en general, y en los de licitación de obra pública de infraestructura social – versión 2, que el “Formulario 1 – Propuesto Oficial” sea un instrumento flexible. La entidad estatal puede utilizarlo, modificarlo o reemplazarlo por un formulario distinto, según las particularidades del proceso de contratación, siempre que no se modifiquen, alteren o contraríen las condiciones habilitantes, los factores técnicos y económicos de escogencia ni los sistemas de ponderación definidos en el documento base.</w:t>
      </w:r>
    </w:p>
    <w:p w14:paraId="7BB14028"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p>
    <w:p w14:paraId="59F74BB2"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r w:rsidRPr="00E85C62">
        <w:rPr>
          <w:rFonts w:ascii="Verdana" w:eastAsia="Calibri" w:hAnsi="Verdana" w:cs="Arial"/>
          <w:bCs/>
          <w:color w:val="000000"/>
          <w:kern w:val="2"/>
          <w:sz w:val="20"/>
          <w:szCs w:val="20"/>
          <w:lang w:eastAsia="es-MX"/>
          <w14:ligatures w14:val="standardContextual"/>
        </w:rPr>
        <w:t>(…)</w:t>
      </w:r>
    </w:p>
    <w:p w14:paraId="7F1FCD98"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p>
    <w:p w14:paraId="021F2992"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r w:rsidRPr="00E85C62">
        <w:rPr>
          <w:rFonts w:ascii="Verdana" w:eastAsia="Calibri" w:hAnsi="Verdana" w:cs="Arial"/>
          <w:bCs/>
          <w:color w:val="000000"/>
          <w:kern w:val="2"/>
          <w:sz w:val="20"/>
          <w:szCs w:val="20"/>
          <w:lang w:eastAsia="es-MX"/>
          <w14:ligatures w14:val="standardContextual"/>
        </w:rPr>
        <w:t>Ahora bien, cuando la entidad decida aplicar formas de pago como precio global, llave en mano, administración delegada, reembolso de gastos o cualquier otra forma de precio, podrá adecuar el Formulario 1 – Formulario del Presupuesto Oficial a las particularidades de la modalidad escogida o establecer un formulario distinto, de tal manera que cumpla su doble función. Esta posibilidad ya no constituye una atenuación del principio de inalterabilidad, sino una facultad expresamente prevista en el propio formulario, que concilia la obligatoriedad de aplicar los documentos tipo con la potestad de las entidades para definir la forma de pago de sus contratos, siempre que ello no contravenga lo dispuesto en el documento base u otros documentos tipo. No obstante, con independencia de la modalidad de pago seleccionada y de los ajustes realizados, la entidad debe publicar el formulario que servirá de base para la estructuración de las propuestas económicas.</w:t>
      </w:r>
    </w:p>
    <w:p w14:paraId="008A885B"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p>
    <w:p w14:paraId="5D9DB505" w14:textId="77777777" w:rsidR="00E85C62" w:rsidRPr="00E85C62" w:rsidRDefault="00E85C62" w:rsidP="00E85C62">
      <w:pPr>
        <w:snapToGrid w:val="0"/>
        <w:spacing w:after="0" w:line="240" w:lineRule="auto"/>
        <w:jc w:val="both"/>
        <w:rPr>
          <w:rFonts w:ascii="Verdana" w:eastAsia="Calibri" w:hAnsi="Verdana" w:cs="Arial"/>
          <w:bCs/>
          <w:color w:val="000000"/>
          <w:kern w:val="2"/>
          <w:sz w:val="20"/>
          <w:szCs w:val="20"/>
          <w:lang w:eastAsia="es-MX"/>
          <w14:ligatures w14:val="standardContextual"/>
        </w:rPr>
      </w:pPr>
      <w:r w:rsidRPr="00E85C62">
        <w:rPr>
          <w:rFonts w:ascii="Verdana" w:eastAsia="Calibri" w:hAnsi="Verdana" w:cs="Arial"/>
          <w:bCs/>
          <w:color w:val="000000"/>
          <w:kern w:val="2"/>
          <w:sz w:val="20"/>
          <w:szCs w:val="20"/>
          <w:lang w:eastAsia="es-MX"/>
          <w14:ligatures w14:val="standardContextual"/>
        </w:rPr>
        <w:t>En conclusión, en el marco de la aplicación de los documentos tipo de licitación de obra pública de infraestructura social – versión 2, las entidades estatales tienen la facultad de decidir la metodología de determinación del Presupuesto Oficial y el sistema de pago que consideren adecuado. Cuando opten por precios unitarios, podrán utilizar el Formulario 1 en los términos previstos o con los ajustes que requiera el proceso, sin incluir reglas contrarias al documento base, y deberán aplicar las notas 1, 2 y 3 e incluir en el pliego de condiciones las causales de rechazo relacionadas con esa modalidad.</w:t>
      </w:r>
    </w:p>
    <w:p w14:paraId="063666DE" w14:textId="77777777" w:rsidR="00E85C62" w:rsidRPr="00E85C62" w:rsidRDefault="00E85C62" w:rsidP="00E85C62">
      <w:pPr>
        <w:spacing w:after="0" w:line="240" w:lineRule="auto"/>
        <w:jc w:val="both"/>
        <w:rPr>
          <w:rFonts w:ascii="Verdana" w:eastAsia="Calibri" w:hAnsi="Verdana" w:cs="Arial"/>
          <w:bCs/>
          <w:color w:val="000000"/>
          <w:kern w:val="2"/>
          <w:sz w:val="20"/>
          <w:szCs w:val="20"/>
          <w:lang w:eastAsia="es-MX"/>
          <w14:ligatures w14:val="standardContextual"/>
        </w:rPr>
      </w:pPr>
    </w:p>
    <w:p w14:paraId="70150226" w14:textId="77777777" w:rsidR="00E85C62" w:rsidRPr="00E85C62" w:rsidRDefault="00E85C62" w:rsidP="00E85C62">
      <w:pPr>
        <w:spacing w:after="0" w:line="240" w:lineRule="auto"/>
        <w:jc w:val="both"/>
        <w:rPr>
          <w:rFonts w:ascii="Verdana" w:eastAsia="Calibri" w:hAnsi="Verdana" w:cs="Arial"/>
          <w:b/>
          <w:color w:val="000000"/>
          <w:kern w:val="2"/>
          <w:lang w:eastAsia="es-MX"/>
          <w14:ligatures w14:val="standardContextual"/>
        </w:rPr>
      </w:pPr>
      <w:r w:rsidRPr="00E85C62">
        <w:rPr>
          <w:rFonts w:ascii="Verdana" w:eastAsia="Calibri" w:hAnsi="Verdana" w:cs="Arial"/>
          <w:b/>
          <w:color w:val="000000"/>
          <w:kern w:val="2"/>
          <w:lang w:eastAsia="es-MX"/>
          <w14:ligatures w14:val="standardContextual"/>
        </w:rPr>
        <w:t>RIESGO – Documentos tipo – Infraestructura social – Matriz 3 – Administración delegada</w:t>
      </w:r>
    </w:p>
    <w:p w14:paraId="71007226" w14:textId="77777777" w:rsidR="00E85C62" w:rsidRPr="00E85C62" w:rsidRDefault="00E85C62" w:rsidP="00E85C62">
      <w:pPr>
        <w:spacing w:after="0" w:line="240" w:lineRule="auto"/>
        <w:jc w:val="both"/>
        <w:rPr>
          <w:rFonts w:ascii="Verdana" w:eastAsia="Calibri" w:hAnsi="Verdana" w:cs="Arial"/>
          <w:bCs/>
          <w:color w:val="000000"/>
          <w:kern w:val="2"/>
          <w:sz w:val="20"/>
          <w:szCs w:val="20"/>
          <w:lang w:eastAsia="es-MX"/>
          <w14:ligatures w14:val="standardContextual"/>
        </w:rPr>
      </w:pPr>
    </w:p>
    <w:p w14:paraId="39280FDF"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r w:rsidRPr="00E85C62">
        <w:rPr>
          <w:rFonts w:ascii="Verdana" w:eastAsia="Times New Roman" w:hAnsi="Verdana" w:cs="Times New Roman"/>
          <w:sz w:val="20"/>
          <w:szCs w:val="20"/>
          <w:lang w:eastAsia="es-MX"/>
        </w:rPr>
        <w:t>En este sentido, la asignación de riesgos debe responder a la naturaleza de la modalidad de pago escogida. En la administración delegada, según lo señaló el concepto C-857 de 2026, “se distinguen los costos de inversión de los honorarios del administrador”. En consecuencia, la variación de precios de materiales, mano de obra y equipos, así como los mayores costos directos no imputables al contratista, corresponden a la entidad estatal. Por la misma razón, el AIU, que en los contratos por precios unitarios cubre la administración, los imprevistos y la utilidad del contratista, no opera de igual forma en esta modalidad de pago, pues los honorarios remuneran la gestión del administrador y la entidad asume los imprevistos asociados al costo directo.</w:t>
      </w:r>
    </w:p>
    <w:p w14:paraId="50F59F6C"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p>
    <w:p w14:paraId="79F1E206"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r w:rsidRPr="00E85C62">
        <w:rPr>
          <w:rFonts w:ascii="Verdana" w:eastAsia="Times New Roman" w:hAnsi="Verdana" w:cs="Times New Roman"/>
          <w:sz w:val="20"/>
          <w:szCs w:val="20"/>
          <w:lang w:eastAsia="es-MX"/>
        </w:rPr>
        <w:t>Así, la regla del numeral 4.1 del documento base, según la cual la “</w:t>
      </w:r>
      <w:r w:rsidRPr="00E85C62">
        <w:rPr>
          <w:rFonts w:ascii="Verdana" w:eastAsia="Times New Roman" w:hAnsi="Verdana" w:cs="Times New Roman"/>
          <w:sz w:val="20"/>
          <w:szCs w:val="20"/>
          <w:lang w:val="es-MX" w:eastAsia="es-MX"/>
        </w:rPr>
        <w:t>contemplar todos los costos directos e indirectos para la completa y adecuada ejecución de la obra del proceso, los riesgos y la administración de estos”</w:t>
      </w:r>
      <w:r w:rsidRPr="00E85C62">
        <w:rPr>
          <w:rFonts w:ascii="Verdana" w:eastAsia="Times New Roman" w:hAnsi="Verdana" w:cs="Times New Roman"/>
          <w:sz w:val="20"/>
          <w:szCs w:val="20"/>
          <w:lang w:eastAsia="es-MX"/>
        </w:rPr>
        <w:t xml:space="preserve">, debe interpretarse en concordancia con la modalidad de pago. En la administración delegada, los honorarios deben cubrir los costos indirectos de administración del contratista y los riesgos que le hayan sido asignados. Al contratista le corresponden los riesgos propios de su gestión, entre ellos: i) la deficiente dirección técnica o administrativa de la obra; </w:t>
      </w:r>
      <w:proofErr w:type="spellStart"/>
      <w:r w:rsidRPr="00E85C62">
        <w:rPr>
          <w:rFonts w:ascii="Verdana" w:eastAsia="Times New Roman" w:hAnsi="Verdana" w:cs="Times New Roman"/>
          <w:sz w:val="20"/>
          <w:szCs w:val="20"/>
          <w:lang w:eastAsia="es-MX"/>
        </w:rPr>
        <w:t>ii</w:t>
      </w:r>
      <w:proofErr w:type="spellEnd"/>
      <w:r w:rsidRPr="00E85C62">
        <w:rPr>
          <w:rFonts w:ascii="Verdana" w:eastAsia="Times New Roman" w:hAnsi="Verdana" w:cs="Times New Roman"/>
          <w:sz w:val="20"/>
          <w:szCs w:val="20"/>
          <w:lang w:eastAsia="es-MX"/>
        </w:rPr>
        <w:t xml:space="preserve">) el manejo indebido de los recursos entregados en administración; </w:t>
      </w:r>
      <w:proofErr w:type="spellStart"/>
      <w:r w:rsidRPr="00E85C62">
        <w:rPr>
          <w:rFonts w:ascii="Verdana" w:eastAsia="Times New Roman" w:hAnsi="Verdana" w:cs="Times New Roman"/>
          <w:sz w:val="20"/>
          <w:szCs w:val="20"/>
          <w:lang w:eastAsia="es-MX"/>
        </w:rPr>
        <w:t>iii</w:t>
      </w:r>
      <w:proofErr w:type="spellEnd"/>
      <w:r w:rsidRPr="00E85C62">
        <w:rPr>
          <w:rFonts w:ascii="Verdana" w:eastAsia="Times New Roman" w:hAnsi="Verdana" w:cs="Times New Roman"/>
          <w:sz w:val="20"/>
          <w:szCs w:val="20"/>
          <w:lang w:eastAsia="es-MX"/>
        </w:rPr>
        <w:t xml:space="preserve">) los sobrecostos causados por su </w:t>
      </w:r>
      <w:r w:rsidRPr="00E85C62">
        <w:rPr>
          <w:rFonts w:ascii="Verdana" w:eastAsia="Times New Roman" w:hAnsi="Verdana" w:cs="Times New Roman"/>
          <w:sz w:val="20"/>
          <w:szCs w:val="20"/>
          <w:lang w:eastAsia="es-MX"/>
        </w:rPr>
        <w:lastRenderedPageBreak/>
        <w:t xml:space="preserve">negligencia, incluidos los derivados de subcontrataciones mal gestionadas; y </w:t>
      </w:r>
      <w:proofErr w:type="spellStart"/>
      <w:r w:rsidRPr="00E85C62">
        <w:rPr>
          <w:rFonts w:ascii="Verdana" w:eastAsia="Times New Roman" w:hAnsi="Verdana" w:cs="Times New Roman"/>
          <w:sz w:val="20"/>
          <w:szCs w:val="20"/>
          <w:lang w:eastAsia="es-MX"/>
        </w:rPr>
        <w:t>iv</w:t>
      </w:r>
      <w:proofErr w:type="spellEnd"/>
      <w:r w:rsidRPr="00E85C62">
        <w:rPr>
          <w:rFonts w:ascii="Verdana" w:eastAsia="Times New Roman" w:hAnsi="Verdana" w:cs="Times New Roman"/>
          <w:sz w:val="20"/>
          <w:szCs w:val="20"/>
          <w:lang w:eastAsia="es-MX"/>
        </w:rPr>
        <w:t>) los incumplimientos de calidad y plazo que le sean imputables.</w:t>
      </w:r>
    </w:p>
    <w:p w14:paraId="4F7900AE"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p>
    <w:p w14:paraId="701C00D4" w14:textId="2A8E6303" w:rsidR="00E85C62" w:rsidRPr="00E85C62" w:rsidRDefault="00E85C62" w:rsidP="00E85C62">
      <w:pPr>
        <w:spacing w:after="0" w:line="240" w:lineRule="auto"/>
        <w:jc w:val="both"/>
        <w:rPr>
          <w:rFonts w:ascii="Verdana" w:eastAsia="Times New Roman" w:hAnsi="Verdana" w:cs="Times New Roman"/>
          <w:b/>
          <w:bCs/>
          <w:lang w:eastAsia="es-MX"/>
        </w:rPr>
      </w:pPr>
      <w:r w:rsidRPr="00E85C62">
        <w:rPr>
          <w:rFonts w:ascii="Verdana" w:eastAsia="Times New Roman" w:hAnsi="Verdana" w:cs="Times New Roman"/>
          <w:b/>
          <w:bCs/>
          <w:lang w:eastAsia="es-MX"/>
        </w:rPr>
        <w:t>ANEXO 4 – M</w:t>
      </w:r>
      <w:r w:rsidR="00F716A0" w:rsidRPr="00E85C62">
        <w:rPr>
          <w:rFonts w:ascii="Verdana" w:eastAsia="Times New Roman" w:hAnsi="Verdana" w:cs="Times New Roman"/>
          <w:b/>
          <w:bCs/>
          <w:lang w:eastAsia="es-MX"/>
        </w:rPr>
        <w:t xml:space="preserve">inuta del contrato </w:t>
      </w:r>
      <w:r w:rsidRPr="00E85C62">
        <w:rPr>
          <w:rFonts w:ascii="Verdana" w:eastAsia="Times New Roman" w:hAnsi="Verdana" w:cs="Times New Roman"/>
          <w:b/>
          <w:bCs/>
          <w:lang w:eastAsia="es-MX"/>
        </w:rPr>
        <w:t>– Configuración – Forma de pago</w:t>
      </w:r>
    </w:p>
    <w:p w14:paraId="7D58BB40" w14:textId="77777777" w:rsidR="00E85C62" w:rsidRPr="00E85C62" w:rsidRDefault="00E85C62" w:rsidP="00E85C62">
      <w:pPr>
        <w:spacing w:after="0" w:line="240" w:lineRule="auto"/>
        <w:jc w:val="both"/>
        <w:rPr>
          <w:rFonts w:ascii="Verdana" w:eastAsia="Times New Roman" w:hAnsi="Verdana" w:cs="Times New Roman"/>
          <w:b/>
          <w:bCs/>
          <w:lang w:eastAsia="es-MX"/>
        </w:rPr>
      </w:pPr>
    </w:p>
    <w:p w14:paraId="50147837"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r w:rsidRPr="00E85C62">
        <w:rPr>
          <w:rFonts w:ascii="Verdana" w:eastAsia="Times New Roman" w:hAnsi="Verdana" w:cs="Times New Roman"/>
          <w:sz w:val="20"/>
          <w:szCs w:val="20"/>
          <w:lang w:eastAsia="es-MX"/>
        </w:rPr>
        <w:t>En cuanto al “Anexo 4 – Minuta del Contrato”, la entidad debe incluir el contenido mínimo allí previsto, sin perjuicio de que pueda agregar condiciones adicionales o distintas que obedezcan a las necesidades de ejecución del contrato y no contradigan dicho anexo ni los demás Documentos Tipo. Igualmente, puede escoger entre las opciones de cláusula previstas, combinarlas o construir la suya. Al respecto, la parte introductoria del documento señala lo siguiente:</w:t>
      </w:r>
    </w:p>
    <w:p w14:paraId="3C54BA76" w14:textId="77777777" w:rsidR="00E85C62" w:rsidRPr="00E85C62" w:rsidRDefault="00E85C62" w:rsidP="00E85C62">
      <w:pPr>
        <w:spacing w:after="0" w:line="240" w:lineRule="auto"/>
        <w:ind w:right="709"/>
        <w:jc w:val="both"/>
        <w:rPr>
          <w:rFonts w:ascii="Verdana" w:eastAsia="Times New Roman" w:hAnsi="Verdana" w:cs="Times New Roman"/>
          <w:sz w:val="20"/>
          <w:szCs w:val="20"/>
          <w:lang w:eastAsia="es-MX"/>
        </w:rPr>
      </w:pPr>
    </w:p>
    <w:p w14:paraId="19820A99" w14:textId="77777777" w:rsidR="00E85C62" w:rsidRPr="00E85C62" w:rsidRDefault="00E85C62" w:rsidP="00E85C62">
      <w:pPr>
        <w:spacing w:after="0" w:line="240" w:lineRule="auto"/>
        <w:ind w:right="709"/>
        <w:jc w:val="both"/>
        <w:rPr>
          <w:rFonts w:ascii="Verdana" w:eastAsia="Times New Roman" w:hAnsi="Verdana" w:cs="Times New Roman"/>
          <w:sz w:val="20"/>
          <w:szCs w:val="20"/>
          <w:lang w:eastAsia="es-MX"/>
        </w:rPr>
      </w:pPr>
      <w:r w:rsidRPr="00E85C62">
        <w:rPr>
          <w:rFonts w:ascii="Verdana" w:eastAsia="Times New Roman" w:hAnsi="Verdana" w:cs="Times New Roman"/>
          <w:sz w:val="20"/>
          <w:szCs w:val="20"/>
          <w:lang w:eastAsia="es-MX"/>
        </w:rPr>
        <w:t>(…)</w:t>
      </w:r>
    </w:p>
    <w:p w14:paraId="2CDD5F3B" w14:textId="77777777" w:rsidR="00E85C62" w:rsidRPr="00E85C62" w:rsidRDefault="00E85C62" w:rsidP="00E85C62">
      <w:pPr>
        <w:spacing w:after="0" w:line="240" w:lineRule="auto"/>
        <w:ind w:right="709"/>
        <w:jc w:val="both"/>
        <w:rPr>
          <w:rFonts w:ascii="Verdana" w:eastAsia="Times New Roman" w:hAnsi="Verdana" w:cs="Times New Roman"/>
          <w:sz w:val="20"/>
          <w:szCs w:val="20"/>
          <w:lang w:eastAsia="es-MX"/>
        </w:rPr>
      </w:pPr>
    </w:p>
    <w:p w14:paraId="439B377F" w14:textId="77777777" w:rsidR="00E85C62" w:rsidRPr="00E85C62" w:rsidRDefault="00E85C62" w:rsidP="00E85C62">
      <w:pPr>
        <w:spacing w:after="0" w:line="240" w:lineRule="auto"/>
        <w:jc w:val="both"/>
        <w:rPr>
          <w:rFonts w:ascii="Verdana" w:eastAsia="Times New Roman" w:hAnsi="Verdana" w:cs="Times New Roman"/>
          <w:sz w:val="20"/>
          <w:szCs w:val="20"/>
          <w:lang w:eastAsia="es-MX"/>
        </w:rPr>
      </w:pPr>
      <w:r w:rsidRPr="00E85C62">
        <w:rPr>
          <w:rFonts w:ascii="Verdana" w:eastAsia="Times New Roman" w:hAnsi="Verdana" w:cs="Times New Roman"/>
          <w:sz w:val="20"/>
          <w:szCs w:val="20"/>
          <w:lang w:eastAsia="es-MX"/>
        </w:rPr>
        <w:t>De manera específica, frente a la “Cláusula 8 de forma de pago”, esta se trata de una cláusula cuyo contenido permite el ejercicio de la discrecionalidad administrativa, de modo que la entidad puede establecer las condiciones que considere necesarias, siempre que sean proporcionales, adecuadas y convenientes. En consecuencia, puede usar cualquiera de las opciones dispuestas en el documento tipo, crear una diferente o modificar en parte cualquiera de ellas.</w:t>
      </w:r>
    </w:p>
    <w:p w14:paraId="34ACCD8B" w14:textId="77777777" w:rsidR="00E85C62" w:rsidRPr="00E85C62" w:rsidRDefault="00E85C62" w:rsidP="00E85C62">
      <w:pPr>
        <w:spacing w:after="0" w:line="278" w:lineRule="auto"/>
        <w:jc w:val="both"/>
        <w:rPr>
          <w:rFonts w:ascii="Verdana" w:eastAsia="Calibri" w:hAnsi="Verdana" w:cs="Arial"/>
          <w:kern w:val="2"/>
          <w:sz w:val="20"/>
          <w:szCs w:val="20"/>
          <w:lang w:val="es-MX"/>
          <w14:ligatures w14:val="standardContextual"/>
        </w:rPr>
      </w:pPr>
    </w:p>
    <w:p w14:paraId="64560F22" w14:textId="77777777" w:rsidR="00E85C62" w:rsidRPr="00E85C62" w:rsidRDefault="00E85C62" w:rsidP="00E85C62">
      <w:pPr>
        <w:widowControl w:val="0"/>
        <w:autoSpaceDE w:val="0"/>
        <w:autoSpaceDN w:val="0"/>
        <w:spacing w:after="0" w:line="240" w:lineRule="auto"/>
        <w:jc w:val="both"/>
        <w:rPr>
          <w:rFonts w:ascii="Verdana" w:eastAsia="Calibri" w:hAnsi="Verdana" w:cs="Times New Roman"/>
          <w:sz w:val="20"/>
          <w:szCs w:val="20"/>
          <w:lang w:val="es-MX" w:eastAsia="es-MX"/>
        </w:rPr>
      </w:pPr>
    </w:p>
    <w:p w14:paraId="548F69AF"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1CD652B7"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652FFEC9"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7D4E49B8"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3F6F1CD8"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24B24DD5"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6760A32B"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01608AB5"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6FB5EC50"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3137997F"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3D0879AC"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0930A1D7"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29BD6D3A"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631425C8"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16FA5016"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1BDF1B16"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591ECC38"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0D8D6726"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04BAD860"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0F0B9DDD"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4BB3E999"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501562E8"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3AD30B2D" w14:textId="77777777" w:rsidR="00E85C62" w:rsidRPr="00E85C62" w:rsidRDefault="00E85C62" w:rsidP="00E85C62">
      <w:pPr>
        <w:spacing w:after="0" w:line="240" w:lineRule="auto"/>
        <w:jc w:val="both"/>
        <w:rPr>
          <w:rFonts w:ascii="Verdana" w:eastAsia="Calibri" w:hAnsi="Verdana" w:cs="Arial"/>
          <w:sz w:val="20"/>
          <w:szCs w:val="20"/>
          <w:lang w:val="es-ES" w:eastAsia="es-MX"/>
        </w:rPr>
      </w:pPr>
    </w:p>
    <w:p w14:paraId="4D609D08" w14:textId="7923292C" w:rsidR="00E85C62" w:rsidRDefault="00E85C62" w:rsidP="00E85C62">
      <w:pPr>
        <w:spacing w:after="0" w:line="240" w:lineRule="auto"/>
        <w:rPr>
          <w:rFonts w:ascii="Verdana" w:eastAsia="Verdana" w:hAnsi="Verdana" w:cs="Verdana"/>
          <w:kern w:val="2"/>
          <w14:ligatures w14:val="standardContextual"/>
        </w:rPr>
      </w:pPr>
      <w:r w:rsidRPr="00E85C62">
        <w:rPr>
          <w:rFonts w:ascii="Verdana" w:eastAsia="Verdana" w:hAnsi="Verdana" w:cs="Verdana"/>
          <w:kern w:val="2"/>
          <w14:ligatures w14:val="standardContextual"/>
        </w:rPr>
        <w:t xml:space="preserve">Bogotá D.C., </w:t>
      </w:r>
      <w:r w:rsidR="00AD3DA4">
        <w:rPr>
          <w:rFonts w:ascii="Verdana" w:eastAsia="Verdana" w:hAnsi="Verdana" w:cs="Verdana"/>
          <w:kern w:val="2"/>
          <w14:ligatures w14:val="standardContextual"/>
        </w:rPr>
        <w:t>23 de septiembre de 2026</w:t>
      </w:r>
    </w:p>
    <w:p w14:paraId="7EE5372C" w14:textId="12F603AD" w:rsidR="00AD3DA4" w:rsidRDefault="00BE0234" w:rsidP="00E85C62">
      <w:pPr>
        <w:spacing w:after="0" w:line="240" w:lineRule="auto"/>
        <w:rPr>
          <w:rFonts w:ascii="Verdana" w:eastAsia="Verdana" w:hAnsi="Verdana" w:cs="Verdana"/>
          <w:kern w:val="2"/>
          <w14:ligatures w14:val="standardContextual"/>
        </w:rPr>
      </w:pPr>
      <w:r w:rsidRPr="00AD3DA4">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37549420" wp14:editId="6223026A">
            <wp:simplePos x="0" y="0"/>
            <wp:positionH relativeFrom="column">
              <wp:posOffset>2760345</wp:posOffset>
            </wp:positionH>
            <wp:positionV relativeFrom="paragraph">
              <wp:posOffset>170180</wp:posOffset>
            </wp:positionV>
            <wp:extent cx="2854960" cy="992505"/>
            <wp:effectExtent l="0" t="0" r="2540" b="0"/>
            <wp:wrapSquare wrapText="bothSides"/>
            <wp:docPr id="42382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20688" name=""/>
                    <pic:cNvPicPr/>
                  </pic:nvPicPr>
                  <pic:blipFill>
                    <a:blip r:embed="rId10">
                      <a:extLst>
                        <a:ext uri="{28A0092B-C50C-407E-A947-70E740481C1C}">
                          <a14:useLocalDpi xmlns:a14="http://schemas.microsoft.com/office/drawing/2010/main" val="0"/>
                        </a:ext>
                      </a:extLst>
                    </a:blip>
                    <a:stretch>
                      <a:fillRect/>
                    </a:stretch>
                  </pic:blipFill>
                  <pic:spPr>
                    <a:xfrm>
                      <a:off x="0" y="0"/>
                      <a:ext cx="2854960" cy="992505"/>
                    </a:xfrm>
                    <a:prstGeom prst="rect">
                      <a:avLst/>
                    </a:prstGeom>
                  </pic:spPr>
                </pic:pic>
              </a:graphicData>
            </a:graphic>
            <wp14:sizeRelH relativeFrom="margin">
              <wp14:pctWidth>0</wp14:pctWidth>
            </wp14:sizeRelH>
            <wp14:sizeRelV relativeFrom="margin">
              <wp14:pctHeight>0</wp14:pctHeight>
            </wp14:sizeRelV>
          </wp:anchor>
        </w:drawing>
      </w:r>
    </w:p>
    <w:p w14:paraId="0E751406" w14:textId="71CE5093" w:rsidR="00E85C62" w:rsidRPr="00530857" w:rsidRDefault="00E85C62" w:rsidP="00530857">
      <w:pPr>
        <w:spacing w:after="0" w:line="240" w:lineRule="auto"/>
        <w:jc w:val="right"/>
        <w:rPr>
          <w:rFonts w:ascii="Verdana" w:eastAsia="Verdana" w:hAnsi="Verdana" w:cs="Verdana"/>
          <w:kern w:val="2"/>
          <w14:ligatures w14:val="standardContextual"/>
        </w:rPr>
      </w:pPr>
    </w:p>
    <w:p w14:paraId="3C8DF509" w14:textId="77777777" w:rsidR="00E85C62" w:rsidRPr="00E85C62" w:rsidRDefault="00E85C62" w:rsidP="00E85C62">
      <w:pPr>
        <w:spacing w:after="0" w:line="240" w:lineRule="auto"/>
        <w:rPr>
          <w:rFonts w:ascii="Verdana" w:eastAsia="Calibri" w:hAnsi="Verdana" w:cs="Arial"/>
          <w:lang w:val="es-ES" w:eastAsia="es-ES"/>
        </w:rPr>
      </w:pPr>
      <w:r w:rsidRPr="00E85C62">
        <w:rPr>
          <w:rFonts w:ascii="Verdana" w:eastAsia="Calibri" w:hAnsi="Verdana" w:cs="Arial"/>
          <w:lang w:val="es-ES" w:eastAsia="es-ES"/>
        </w:rPr>
        <w:t>Doctor</w:t>
      </w:r>
    </w:p>
    <w:p w14:paraId="2CFE1F5B" w14:textId="77777777" w:rsidR="00E85C62" w:rsidRPr="00E85C62" w:rsidRDefault="00E85C62" w:rsidP="00E85C62">
      <w:pPr>
        <w:spacing w:after="0" w:line="240" w:lineRule="auto"/>
        <w:rPr>
          <w:rFonts w:ascii="Verdana" w:eastAsia="Aptos" w:hAnsi="Verdana" w:cs="Times New Roman"/>
          <w:b/>
          <w:bCs/>
          <w:lang w:eastAsia="es-MX"/>
        </w:rPr>
      </w:pPr>
      <w:r w:rsidRPr="00E85C62">
        <w:rPr>
          <w:rFonts w:ascii="Verdana" w:eastAsia="Aptos" w:hAnsi="Verdana" w:cs="Times New Roman"/>
          <w:b/>
          <w:bCs/>
          <w:lang w:eastAsia="es-MX"/>
        </w:rPr>
        <w:t>Iván Mauricio Mejía Castro</w:t>
      </w:r>
    </w:p>
    <w:p w14:paraId="2C05ABAB" w14:textId="77777777" w:rsidR="00E85C62" w:rsidRPr="00E85C62" w:rsidRDefault="00E85C62" w:rsidP="00E85C62">
      <w:pPr>
        <w:spacing w:after="0" w:line="240" w:lineRule="auto"/>
        <w:rPr>
          <w:rFonts w:ascii="Verdana" w:eastAsia="Aptos" w:hAnsi="Verdana" w:cs="Times New Roman"/>
          <w:lang w:eastAsia="es-MX"/>
        </w:rPr>
      </w:pPr>
      <w:r w:rsidRPr="00E85C62">
        <w:rPr>
          <w:rFonts w:ascii="Verdana" w:eastAsia="Aptos" w:hAnsi="Verdana" w:cs="Times New Roman"/>
          <w:lang w:eastAsia="es-MX"/>
        </w:rPr>
        <w:t>Subdirector de Infraestructura</w:t>
      </w:r>
    </w:p>
    <w:p w14:paraId="70978F24" w14:textId="77777777" w:rsidR="00E85C62" w:rsidRPr="00E85C62" w:rsidRDefault="00E85C62" w:rsidP="00E85C62">
      <w:pPr>
        <w:spacing w:after="0" w:line="240" w:lineRule="auto"/>
        <w:rPr>
          <w:rFonts w:ascii="Verdana" w:eastAsia="Aptos" w:hAnsi="Verdana" w:cs="Times New Roman"/>
          <w:lang w:eastAsia="es-MX"/>
        </w:rPr>
      </w:pPr>
      <w:r w:rsidRPr="00E85C62">
        <w:rPr>
          <w:rFonts w:ascii="Verdana" w:eastAsia="Aptos" w:hAnsi="Verdana" w:cs="Times New Roman"/>
          <w:lang w:eastAsia="es-MX"/>
        </w:rPr>
        <w:t>Secretaría Distrital de Hábitat</w:t>
      </w:r>
    </w:p>
    <w:p w14:paraId="015B57FC" w14:textId="77777777" w:rsidR="00E85C62" w:rsidRPr="00E85C62" w:rsidRDefault="00E85C62" w:rsidP="00E85C62">
      <w:pPr>
        <w:spacing w:after="0" w:line="240" w:lineRule="auto"/>
        <w:rPr>
          <w:rFonts w:ascii="Verdana" w:eastAsia="Aptos" w:hAnsi="Verdana" w:cs="Times New Roman"/>
          <w:lang w:eastAsia="es-MX"/>
        </w:rPr>
      </w:pPr>
      <w:r w:rsidRPr="00E85C62">
        <w:rPr>
          <w:rFonts w:ascii="Verdana" w:eastAsia="Aptos" w:hAnsi="Verdana" w:cs="Times New Roman"/>
          <w:lang w:eastAsia="es-MX"/>
        </w:rPr>
        <w:t>Bogotá D.C</w:t>
      </w:r>
    </w:p>
    <w:p w14:paraId="284B146C" w14:textId="77777777" w:rsidR="00E85C62" w:rsidRPr="00E85C62" w:rsidRDefault="00E85C62" w:rsidP="00E85C62">
      <w:pPr>
        <w:spacing w:after="0" w:line="240" w:lineRule="auto"/>
        <w:rPr>
          <w:rFonts w:ascii="Verdana" w:eastAsia="Calibri" w:hAnsi="Verdana" w:cs="Arial"/>
          <w:b/>
          <w:bCs/>
          <w:lang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85C62" w:rsidRPr="00E85C62" w14:paraId="00F3498F" w14:textId="77777777" w:rsidTr="009E3879">
        <w:trPr>
          <w:trHeight w:val="229"/>
        </w:trPr>
        <w:tc>
          <w:tcPr>
            <w:tcW w:w="2268" w:type="dxa"/>
          </w:tcPr>
          <w:p w14:paraId="635B3DB6" w14:textId="77777777" w:rsidR="00E85C62" w:rsidRPr="00E85C62" w:rsidRDefault="00E85C62" w:rsidP="00E85C62">
            <w:pPr>
              <w:jc w:val="both"/>
              <w:rPr>
                <w:rFonts w:ascii="Verdana" w:eastAsia="Calibri" w:hAnsi="Verdana" w:cs="Arial"/>
                <w:b/>
                <w:bCs/>
                <w:lang w:val="es-ES_tradnl" w:eastAsia="es-ES_tradnl"/>
              </w:rPr>
            </w:pPr>
          </w:p>
        </w:tc>
        <w:tc>
          <w:tcPr>
            <w:tcW w:w="6100" w:type="dxa"/>
          </w:tcPr>
          <w:p w14:paraId="3E5B6997" w14:textId="77777777" w:rsidR="00E85C62" w:rsidRPr="00E85C62" w:rsidRDefault="00E85C62" w:rsidP="00E85C62">
            <w:pPr>
              <w:jc w:val="both"/>
              <w:rPr>
                <w:rFonts w:ascii="Verdana" w:eastAsia="Calibri" w:hAnsi="Verdana" w:cs="Arial"/>
                <w:b/>
                <w:bCs/>
                <w:lang w:val="es-ES" w:eastAsia="es-ES"/>
              </w:rPr>
            </w:pPr>
            <w:r w:rsidRPr="00E85C62">
              <w:rPr>
                <w:rFonts w:ascii="Verdana" w:eastAsia="Calibri" w:hAnsi="Verdana" w:cs="Arial"/>
                <w:b/>
                <w:bCs/>
                <w:lang w:val="es-ES" w:eastAsia="es-ES"/>
              </w:rPr>
              <w:t xml:space="preserve">Concepto </w:t>
            </w:r>
            <w:bookmarkStart w:id="2" w:name="OLE_LINK1"/>
            <w:r w:rsidRPr="00E85C62">
              <w:rPr>
                <w:rFonts w:ascii="Verdana" w:eastAsia="Calibri" w:hAnsi="Verdana" w:cs="Arial"/>
                <w:b/>
                <w:bCs/>
                <w:lang w:val="es-ES" w:eastAsia="es-ES"/>
              </w:rPr>
              <w:t>C-1280 de 2026</w:t>
            </w:r>
            <w:bookmarkEnd w:id="2"/>
          </w:p>
          <w:p w14:paraId="53EE8864" w14:textId="77777777" w:rsidR="00E85C62" w:rsidRPr="00E85C62" w:rsidRDefault="00E85C62" w:rsidP="00E85C62">
            <w:pPr>
              <w:jc w:val="both"/>
              <w:rPr>
                <w:rFonts w:ascii="Verdana" w:eastAsia="Calibri" w:hAnsi="Verdana" w:cs="Arial"/>
                <w:b/>
                <w:bCs/>
                <w:lang w:val="es-ES" w:eastAsia="es-ES"/>
              </w:rPr>
            </w:pPr>
          </w:p>
        </w:tc>
      </w:tr>
      <w:tr w:rsidR="00E85C62" w:rsidRPr="00E85C62" w14:paraId="19067914" w14:textId="77777777" w:rsidTr="009E3879">
        <w:trPr>
          <w:trHeight w:val="884"/>
        </w:trPr>
        <w:tc>
          <w:tcPr>
            <w:tcW w:w="2268" w:type="dxa"/>
          </w:tcPr>
          <w:p w14:paraId="1059B5A3" w14:textId="77777777" w:rsidR="00E85C62" w:rsidRPr="00E85C62" w:rsidRDefault="00E85C62" w:rsidP="00E85C62">
            <w:pPr>
              <w:jc w:val="both"/>
              <w:rPr>
                <w:rFonts w:ascii="Verdana" w:eastAsia="Calibri" w:hAnsi="Verdana" w:cs="Arial"/>
                <w:lang w:val="es-ES_tradnl" w:eastAsia="es-ES_tradnl"/>
              </w:rPr>
            </w:pPr>
            <w:r w:rsidRPr="00E85C62">
              <w:rPr>
                <w:rFonts w:ascii="Verdana" w:eastAsia="Calibri" w:hAnsi="Verdana" w:cs="Arial"/>
                <w:b/>
                <w:lang w:val="es-ES_tradnl" w:eastAsia="es-ES_tradnl"/>
              </w:rPr>
              <w:t>Temas:</w:t>
            </w:r>
            <w:r w:rsidRPr="00E85C62">
              <w:rPr>
                <w:rFonts w:ascii="Verdana" w:eastAsia="Calibri" w:hAnsi="Verdana" w:cs="Arial"/>
                <w:lang w:val="es-ES_tradnl" w:eastAsia="es-ES_tradnl"/>
              </w:rPr>
              <w:t xml:space="preserve">                   </w:t>
            </w:r>
          </w:p>
        </w:tc>
        <w:tc>
          <w:tcPr>
            <w:tcW w:w="6100" w:type="dxa"/>
          </w:tcPr>
          <w:p w14:paraId="5C99FB04" w14:textId="77777777" w:rsidR="00E85C62" w:rsidRPr="00E85C62" w:rsidRDefault="00E85C62" w:rsidP="00E85C62">
            <w:pPr>
              <w:jc w:val="both"/>
              <w:rPr>
                <w:rFonts w:ascii="Verdana" w:eastAsia="Times New Roman" w:hAnsi="Verdana" w:cs="Times New Roman"/>
                <w:lang w:eastAsia="es-MX"/>
              </w:rPr>
            </w:pPr>
            <w:r w:rsidRPr="00E85C62">
              <w:rPr>
                <w:rFonts w:ascii="Verdana" w:eastAsia="Calibri" w:hAnsi="Verdana" w:cs="Arial"/>
                <w:lang w:val="es-ES_tradnl" w:eastAsia="es-ES"/>
              </w:rPr>
              <w:t xml:space="preserve">ADMINISTRACIÓN DELEGADA </w:t>
            </w:r>
            <w:r w:rsidRPr="00E85C62">
              <w:rPr>
                <w:rFonts w:ascii="Verdana" w:eastAsia="Calibri" w:hAnsi="Verdana" w:cs="Arial"/>
                <w:lang w:eastAsia="es-ES"/>
              </w:rPr>
              <w:t>–</w:t>
            </w:r>
            <w:r w:rsidRPr="00E85C62">
              <w:rPr>
                <w:rFonts w:ascii="Verdana" w:eastAsia="Calibri" w:hAnsi="Verdana" w:cs="Arial"/>
                <w:lang w:val="es-ES_tradnl" w:eastAsia="es-ES"/>
              </w:rPr>
              <w:t xml:space="preserve"> Noción </w:t>
            </w:r>
            <w:r w:rsidRPr="00E85C62">
              <w:rPr>
                <w:rFonts w:ascii="Verdana" w:eastAsia="Calibri" w:hAnsi="Verdana" w:cs="Arial"/>
                <w:lang w:eastAsia="es-ES"/>
              </w:rPr>
              <w:t>–</w:t>
            </w:r>
            <w:r w:rsidRPr="00E85C62">
              <w:rPr>
                <w:rFonts w:ascii="Verdana" w:eastAsia="Calibri" w:hAnsi="Verdana" w:cs="Arial"/>
                <w:lang w:val="es-ES_tradnl" w:eastAsia="es-ES"/>
              </w:rPr>
              <w:t xml:space="preserve"> Definición – Mandato – Administración y pago / </w:t>
            </w:r>
            <w:r w:rsidRPr="00E85C62">
              <w:rPr>
                <w:rFonts w:ascii="Verdana" w:eastAsia="Calibri" w:hAnsi="Verdana" w:cs="Arial"/>
                <w:lang w:val="es-ES_tradnl" w:eastAsia="es-MX"/>
              </w:rPr>
              <w:t>DOCUMENTOS TIPO – Fundamento normativo – Obligatoriedad / SECTOR SOCIAL</w:t>
            </w:r>
            <w:r w:rsidRPr="00E85C62">
              <w:rPr>
                <w:rFonts w:ascii="Verdana" w:eastAsia="Calibri" w:hAnsi="Verdana" w:cs="Times New Roman"/>
                <w:lang w:val="es-ES" w:eastAsia="es-MX"/>
              </w:rPr>
              <w:t xml:space="preserve"> – Documentos tipo – Vigentes / DOCUMENTOS TIPO – Aplicación – Matriz de Experiencia  / </w:t>
            </w:r>
            <w:r w:rsidRPr="00E85C62">
              <w:rPr>
                <w:rFonts w:ascii="Verdana" w:eastAsia="Calibri" w:hAnsi="Verdana" w:cs="Arial"/>
                <w:lang w:val="es-MX" w:eastAsia="es-MX"/>
              </w:rPr>
              <w:t xml:space="preserve">DOCUMENTOS TIPO – Inalterabilidad – Fundamentos / DOCUMENTOS TIPO – Inalterabilidad – Información en corchetes y resaltado gris </w:t>
            </w:r>
            <w:r w:rsidRPr="00E85C62">
              <w:rPr>
                <w:rFonts w:ascii="Verdana" w:eastAsia="Times New Roman" w:hAnsi="Verdana" w:cs="Arial"/>
                <w:lang w:val="es-MX" w:eastAsia="es-MX"/>
              </w:rPr>
              <w:t xml:space="preserve">/ </w:t>
            </w:r>
            <w:r w:rsidRPr="00E85C62">
              <w:rPr>
                <w:rFonts w:ascii="Verdana" w:eastAsia="Calibri" w:hAnsi="Verdana" w:cs="Arial"/>
                <w:lang w:val="es-ES_tradnl" w:eastAsia="es-ES"/>
              </w:rPr>
              <w:t xml:space="preserve">DOCUMENTOS TIPO </w:t>
            </w:r>
            <w:r w:rsidRPr="00E85C62">
              <w:rPr>
                <w:rFonts w:ascii="Verdana" w:eastAsia="Calibri" w:hAnsi="Verdana" w:cs="Arial"/>
                <w:lang w:val="x-none" w:eastAsia="es-ES"/>
              </w:rPr>
              <w:t>–</w:t>
            </w:r>
            <w:r w:rsidRPr="00E85C62">
              <w:rPr>
                <w:rFonts w:ascii="Verdana" w:eastAsia="Calibri" w:hAnsi="Verdana" w:cs="Arial"/>
                <w:lang w:val="es-ES_tradnl" w:eastAsia="es-ES"/>
              </w:rPr>
              <w:t xml:space="preserve"> Inalterabilidad </w:t>
            </w:r>
            <w:r w:rsidRPr="00E85C62">
              <w:rPr>
                <w:rFonts w:ascii="Verdana" w:eastAsia="Calibri" w:hAnsi="Verdana" w:cs="Arial"/>
                <w:lang w:val="x-none" w:eastAsia="es-ES"/>
              </w:rPr>
              <w:t>–</w:t>
            </w:r>
            <w:r w:rsidRPr="00E85C62">
              <w:rPr>
                <w:rFonts w:ascii="Verdana" w:eastAsia="Calibri" w:hAnsi="Verdana" w:cs="Arial"/>
                <w:lang w:val="es-ES_tradnl" w:eastAsia="es-ES"/>
              </w:rPr>
              <w:t xml:space="preserve"> Prevalencia del derecho sustancial / </w:t>
            </w:r>
            <w:r w:rsidRPr="00E85C62">
              <w:rPr>
                <w:rFonts w:ascii="Verdana" w:eastAsia="Calibri" w:hAnsi="Verdana" w:cs="Arial"/>
                <w:lang w:val="es-MX" w:eastAsia="es-MX"/>
              </w:rPr>
              <w:t xml:space="preserve">OFERTA ECONÓMICA – Forma de pago – Documentos tipo – Infraestructura social / </w:t>
            </w:r>
            <w:r w:rsidRPr="00E85C62">
              <w:rPr>
                <w:rFonts w:ascii="Verdana" w:eastAsia="Calibri" w:hAnsi="Verdana" w:cs="Arial"/>
                <w:color w:val="000000"/>
                <w:lang w:eastAsia="es-MX"/>
              </w:rPr>
              <w:t xml:space="preserve">FORMULARIO 1 – Presupuesto oficial – Forma de pago / </w:t>
            </w:r>
            <w:r w:rsidRPr="00E85C62">
              <w:rPr>
                <w:rFonts w:ascii="Verdana" w:eastAsia="Calibri" w:hAnsi="Verdana" w:cs="Arial"/>
                <w:color w:val="000000"/>
                <w:kern w:val="2"/>
                <w:lang w:eastAsia="es-MX"/>
                <w14:ligatures w14:val="standardContextual"/>
              </w:rPr>
              <w:t xml:space="preserve">RIESGO – Documentos tipo – Infraestructura social – Matriz 3 – Administración delegada / </w:t>
            </w:r>
            <w:r w:rsidRPr="00E85C62">
              <w:rPr>
                <w:rFonts w:ascii="Verdana" w:eastAsia="Times New Roman" w:hAnsi="Verdana" w:cs="Times New Roman"/>
                <w:lang w:eastAsia="es-MX"/>
              </w:rPr>
              <w:t>ANEXO 4 – MINUTA DEL CONTRATO – Configuración – Forma de pago</w:t>
            </w:r>
          </w:p>
          <w:p w14:paraId="1A3FB4C4" w14:textId="77777777" w:rsidR="00E85C62" w:rsidRPr="00E85C62" w:rsidRDefault="00E85C62" w:rsidP="00E85C62">
            <w:pPr>
              <w:jc w:val="both"/>
              <w:rPr>
                <w:rFonts w:ascii="Verdana" w:eastAsia="Calibri" w:hAnsi="Verdana" w:cs="Arial"/>
                <w:bCs/>
                <w:lang w:eastAsia="es-ES"/>
              </w:rPr>
            </w:pPr>
          </w:p>
        </w:tc>
      </w:tr>
      <w:tr w:rsidR="00E85C62" w:rsidRPr="00E85C62" w14:paraId="42F9837D" w14:textId="77777777" w:rsidTr="009E3879">
        <w:tc>
          <w:tcPr>
            <w:tcW w:w="2268" w:type="dxa"/>
          </w:tcPr>
          <w:p w14:paraId="285FBEBF" w14:textId="77777777" w:rsidR="00E85C62" w:rsidRPr="00E85C62" w:rsidRDefault="00E85C62" w:rsidP="00E85C62">
            <w:pPr>
              <w:jc w:val="both"/>
              <w:rPr>
                <w:rFonts w:ascii="Verdana" w:eastAsia="Calibri" w:hAnsi="Verdana" w:cs="Arial"/>
                <w:b/>
                <w:lang w:val="es-ES_tradnl" w:eastAsia="es-ES_tradnl"/>
              </w:rPr>
            </w:pPr>
            <w:r w:rsidRPr="00E85C62">
              <w:rPr>
                <w:rFonts w:ascii="Verdana" w:eastAsia="Calibri" w:hAnsi="Verdana" w:cs="Arial"/>
                <w:b/>
                <w:lang w:val="es-ES_tradnl" w:eastAsia="es-ES_tradnl"/>
              </w:rPr>
              <w:t>Radicación:</w:t>
            </w:r>
            <w:r w:rsidRPr="00E85C62">
              <w:rPr>
                <w:rFonts w:ascii="Verdana" w:eastAsia="Calibri" w:hAnsi="Verdana" w:cs="Arial"/>
                <w:lang w:val="es-ES_tradnl" w:eastAsia="es-ES_tradnl"/>
              </w:rPr>
              <w:t xml:space="preserve">               </w:t>
            </w:r>
          </w:p>
        </w:tc>
        <w:tc>
          <w:tcPr>
            <w:tcW w:w="6100" w:type="dxa"/>
          </w:tcPr>
          <w:p w14:paraId="7C256DFD" w14:textId="77777777" w:rsidR="00E85C62" w:rsidRPr="00E85C62" w:rsidRDefault="00E85C62" w:rsidP="00E85C62">
            <w:pPr>
              <w:ind w:left="3" w:hanging="3"/>
              <w:jc w:val="both"/>
              <w:rPr>
                <w:rFonts w:ascii="Verdana" w:eastAsia="Calibri" w:hAnsi="Verdana" w:cs="Arial"/>
                <w:lang w:val="es-ES_tradnl" w:eastAsia="es-ES_tradnl"/>
              </w:rPr>
            </w:pPr>
            <w:r w:rsidRPr="00E85C62">
              <w:rPr>
                <w:rFonts w:ascii="Verdana" w:eastAsia="Calibri" w:hAnsi="Verdana" w:cs="Arial"/>
                <w:lang w:val="es-ES_tradnl" w:eastAsia="es-ES_tradnl"/>
              </w:rPr>
              <w:t>Respuesta a consulta con radicado No. 1_2026_08_13_010730</w:t>
            </w:r>
          </w:p>
        </w:tc>
      </w:tr>
    </w:tbl>
    <w:p w14:paraId="7936208F" w14:textId="77777777" w:rsidR="00E85C62" w:rsidRPr="00E85C62" w:rsidRDefault="00E85C62" w:rsidP="00E85C62">
      <w:pPr>
        <w:spacing w:after="0" w:line="240" w:lineRule="auto"/>
        <w:jc w:val="both"/>
        <w:rPr>
          <w:rFonts w:ascii="Verdana" w:eastAsia="Calibri" w:hAnsi="Verdana" w:cs="Arial"/>
          <w:lang w:val="es-ES_tradnl" w:eastAsia="es-ES_tradnl"/>
        </w:rPr>
      </w:pPr>
    </w:p>
    <w:p w14:paraId="2C8BF919" w14:textId="77777777" w:rsidR="00E85C62" w:rsidRPr="00E85C62" w:rsidRDefault="00E85C62" w:rsidP="00E85C62">
      <w:pPr>
        <w:spacing w:after="0" w:line="276" w:lineRule="auto"/>
        <w:jc w:val="both"/>
        <w:rPr>
          <w:rFonts w:ascii="Verdana" w:eastAsia="Calibri" w:hAnsi="Verdana" w:cs="Arial"/>
          <w:lang w:val="es-ES" w:eastAsia="es-ES"/>
        </w:rPr>
      </w:pPr>
      <w:r w:rsidRPr="00E85C62">
        <w:rPr>
          <w:rFonts w:ascii="Verdana" w:eastAsia="Calibri" w:hAnsi="Verdana" w:cs="Arial"/>
          <w:lang w:val="es-ES" w:eastAsia="es-ES"/>
        </w:rPr>
        <w:t xml:space="preserve">Estimado Doctor </w:t>
      </w:r>
      <w:r w:rsidRPr="00E85C62">
        <w:rPr>
          <w:rFonts w:ascii="Verdana" w:eastAsia="Aptos" w:hAnsi="Verdana" w:cs="Times New Roman"/>
          <w:lang w:eastAsia="es-MX"/>
        </w:rPr>
        <w:t>Mejía Castro</w:t>
      </w:r>
      <w:r w:rsidRPr="00E85C62">
        <w:rPr>
          <w:rFonts w:ascii="Verdana" w:eastAsia="Calibri" w:hAnsi="Verdana" w:cs="Arial"/>
          <w:lang w:val="es-ES" w:eastAsia="es-ES"/>
        </w:rPr>
        <w:t xml:space="preserve">: </w:t>
      </w:r>
    </w:p>
    <w:p w14:paraId="10E0042F" w14:textId="77777777" w:rsidR="00E85C62" w:rsidRPr="00E85C62" w:rsidRDefault="00E85C62" w:rsidP="00E85C62">
      <w:pPr>
        <w:tabs>
          <w:tab w:val="left" w:pos="3768"/>
        </w:tabs>
        <w:spacing w:after="0" w:line="276" w:lineRule="auto"/>
        <w:jc w:val="both"/>
        <w:rPr>
          <w:rFonts w:ascii="Verdana" w:eastAsia="Calibri" w:hAnsi="Verdana" w:cs="Arial"/>
          <w:lang w:val="es-ES" w:eastAsia="es-ES"/>
        </w:rPr>
      </w:pPr>
      <w:r w:rsidRPr="00E85C62">
        <w:rPr>
          <w:rFonts w:ascii="Verdana" w:eastAsia="Calibri" w:hAnsi="Verdana" w:cs="Arial"/>
          <w:lang w:val="es-ES" w:eastAsia="es-ES"/>
        </w:rPr>
        <w:tab/>
      </w:r>
    </w:p>
    <w:p w14:paraId="7D0D3937" w14:textId="77777777" w:rsidR="00E85C62" w:rsidRPr="00E85C62" w:rsidRDefault="00E85C62" w:rsidP="00E85C62">
      <w:pPr>
        <w:spacing w:after="0" w:line="276" w:lineRule="auto"/>
        <w:jc w:val="both"/>
        <w:rPr>
          <w:rFonts w:ascii="Verdana" w:eastAsia="Calibri" w:hAnsi="Verdana" w:cs="Arial"/>
          <w:lang w:val="es-ES" w:eastAsia="es-ES"/>
        </w:rPr>
      </w:pPr>
      <w:r w:rsidRPr="00E85C62">
        <w:rPr>
          <w:rFonts w:ascii="Verdana" w:eastAsia="Calibri" w:hAnsi="Verdana" w:cs="Arial"/>
          <w:lang w:val="es-ES" w:eastAsia="es-ES"/>
        </w:rPr>
        <w:t>En ejercicio de la competencia otorgada por los artículos 3, numeral 5º, y 11, numeral 8º, del Decreto Ley 4170 de 2011,</w:t>
      </w:r>
      <w:r w:rsidRPr="00E85C62">
        <w:rPr>
          <w:rFonts w:ascii="Verdana" w:eastAsia="Arial MT" w:hAnsi="Verdana" w:cs="Arial MT"/>
          <w:lang w:val="es-ES" w:eastAsia="es-ES"/>
        </w:rPr>
        <w:t xml:space="preserve"> </w:t>
      </w:r>
      <w:r w:rsidRPr="00E85C62">
        <w:rPr>
          <w:rFonts w:ascii="Verdana" w:eastAsia="Calibri" w:hAnsi="Verdana" w:cs="Arial"/>
          <w:lang w:eastAsia="es-MX"/>
        </w:rPr>
        <w:t xml:space="preserve">así como lo establecido por la </w:t>
      </w:r>
      <w:r w:rsidRPr="00E85C62">
        <w:rPr>
          <w:rFonts w:ascii="Verdana" w:eastAsia="Aptos" w:hAnsi="Verdana" w:cs="Arial"/>
          <w:bCs/>
          <w:lang w:eastAsia="es-ES" w:bidi="es-ES"/>
        </w:rPr>
        <w:t>Resolución 469 de 2025 expedida por esta Entidad</w:t>
      </w:r>
      <w:r w:rsidRPr="00E85C62">
        <w:rPr>
          <w:rFonts w:ascii="Verdana" w:eastAsia="Calibri" w:hAnsi="Verdana" w:cs="Arial"/>
          <w:lang w:eastAsia="es-MX"/>
        </w:rPr>
        <w:t xml:space="preserve">, </w:t>
      </w:r>
      <w:r w:rsidRPr="00E85C62">
        <w:rPr>
          <w:rFonts w:ascii="Verdana" w:eastAsia="Calibri" w:hAnsi="Verdana" w:cs="Arial"/>
          <w:lang w:val="es-ES" w:eastAsia="es-ES"/>
        </w:rPr>
        <w:t xml:space="preserve">la Agencia Nacional de Contratación Pública – Colombia Compra Eficiente– responde su solicitud de consulta del 13 de agosto de 2026, en la cual manifiesta lo siguiente: </w:t>
      </w:r>
    </w:p>
    <w:p w14:paraId="7F58F162" w14:textId="77777777" w:rsidR="00E85C62" w:rsidRPr="00E85C62" w:rsidRDefault="00E85C62" w:rsidP="00E85C62">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123126EE"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Century Gothic" w:hAnsi="Verdana" w:cs="Arial"/>
          <w:sz w:val="20"/>
          <w:szCs w:val="20"/>
          <w:lang w:val="es-ES" w:eastAsia="es-MX"/>
        </w:rPr>
        <w:lastRenderedPageBreak/>
        <w:t>“</w:t>
      </w:r>
      <w:r w:rsidRPr="00E85C62">
        <w:rPr>
          <w:rFonts w:ascii="Verdana" w:eastAsia="Aptos" w:hAnsi="Verdana" w:cs="Times New Roman"/>
          <w:kern w:val="2"/>
          <w:sz w:val="20"/>
          <w:szCs w:val="20"/>
          <w14:ligatures w14:val="standardContextual"/>
        </w:rPr>
        <w:t xml:space="preserve">El Instituto Distrital de las Artes -IDARTES-, a través de la Subdirección de Infraestructura, adelanta la estructuración de un proceso de Licitación Pública para la celebración de un contrato de obra cuya ejecución se realizará bajo el sistema de administración delegada, con el propósito de desarrollar la intervención integral del Teatro San Jorge, inmueble declarado Bien de Interés Cultural., ubicado en la ciudad de Bogotá D.C. </w:t>
      </w:r>
    </w:p>
    <w:p w14:paraId="02AF225A"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El alcance general de la intervención comprende la ejecución de obras de restauración, conservación patrimonial, adecuación arquitectónica e instalación de sistemas especializados propios de la infraestructura escénica, cuyos principales componentes son los siguientes:</w:t>
      </w:r>
    </w:p>
    <w:p w14:paraId="13C5786B" w14:textId="77777777" w:rsidR="00E85C62" w:rsidRPr="00E85C62" w:rsidRDefault="00E85C62" w:rsidP="00E85C62">
      <w:pPr>
        <w:spacing w:after="120" w:line="240" w:lineRule="auto"/>
        <w:ind w:left="709" w:right="709"/>
        <w:jc w:val="both"/>
        <w:rPr>
          <w:rFonts w:ascii="Verdana" w:eastAsia="Times New Roman" w:hAnsi="Verdana" w:cs="Times New Roman"/>
          <w:sz w:val="20"/>
          <w:szCs w:val="20"/>
          <w:lang w:eastAsia="es-MX"/>
        </w:rPr>
      </w:pPr>
      <w:r w:rsidRPr="00E85C62">
        <w:rPr>
          <w:rFonts w:ascii="Verdana" w:eastAsia="Times New Roman" w:hAnsi="Verdana" w:cs="Times New Roman"/>
          <w:noProof/>
          <w:sz w:val="20"/>
          <w:szCs w:val="20"/>
          <w:lang w:eastAsia="es-MX"/>
        </w:rPr>
        <w:drawing>
          <wp:inline distT="0" distB="0" distL="0" distR="0" wp14:anchorId="0C8D5D8D" wp14:editId="264AA80A">
            <wp:extent cx="3226373" cy="3517913"/>
            <wp:effectExtent l="0" t="0" r="0" b="0"/>
            <wp:docPr id="14139158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15849" name=""/>
                    <pic:cNvPicPr/>
                  </pic:nvPicPr>
                  <pic:blipFill>
                    <a:blip r:embed="rId11"/>
                    <a:stretch>
                      <a:fillRect/>
                    </a:stretch>
                  </pic:blipFill>
                  <pic:spPr>
                    <a:xfrm>
                      <a:off x="0" y="0"/>
                      <a:ext cx="3239252" cy="3531956"/>
                    </a:xfrm>
                    <a:prstGeom prst="rect">
                      <a:avLst/>
                    </a:prstGeom>
                  </pic:spPr>
                </pic:pic>
              </a:graphicData>
            </a:graphic>
          </wp:inline>
        </w:drawing>
      </w:r>
    </w:p>
    <w:p w14:paraId="19A94A50"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Mediante la Resolución No. 539 de 2025, la Agencia Nacional de Contratación Pública – Colombia Compra Eficiente, adoptó la Versión 2 de los Documentos Tipo para los procesos de selección de licitación de obra pública de infraestructura social, incluidos los correspondientes al sector Cultura, Recreación y Deporte los cuales resultan aplicables a procesos contractuales como el que actualmente estructura esta entidad. </w:t>
      </w:r>
    </w:p>
    <w:p w14:paraId="0E949457"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Dentro del numeral 4.1 Oferta Económica del Pliego de Condiciones Tipo publicado por la Agencia Colombiana de Contratación Pública Colombia Compra Eficiente, se establece expresamente que la entidad contratante </w:t>
      </w:r>
      <w:r w:rsidRPr="00E85C62">
        <w:rPr>
          <w:rFonts w:ascii="Verdana" w:eastAsia="Aptos" w:hAnsi="Verdana" w:cs="Times New Roman"/>
          <w:kern w:val="2"/>
          <w:sz w:val="20"/>
          <w:szCs w:val="20"/>
          <w14:ligatures w14:val="standardContextual"/>
        </w:rPr>
        <w:lastRenderedPageBreak/>
        <w:t>podrá definir, entre otras modalidades, la de administración delegada como forma de pago del contrato, en los siguientes términos:</w:t>
      </w:r>
    </w:p>
    <w:p w14:paraId="750B86B3"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“4.1 OFERTA ECONÓMICA</w:t>
      </w:r>
    </w:p>
    <w:p w14:paraId="563B6A9A"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[La Entidad debe indicar si la forma de pago es por precio global, llave en mano, precios unitarios, </w:t>
      </w:r>
      <w:r w:rsidRPr="00E85C62">
        <w:rPr>
          <w:rFonts w:ascii="Verdana" w:eastAsia="Aptos" w:hAnsi="Verdana" w:cs="Times New Roman"/>
          <w:b/>
          <w:bCs/>
          <w:kern w:val="2"/>
          <w:sz w:val="20"/>
          <w:szCs w:val="20"/>
          <w14:ligatures w14:val="standardContextual"/>
        </w:rPr>
        <w:t>administración delegada</w:t>
      </w:r>
      <w:r w:rsidRPr="00E85C62">
        <w:rPr>
          <w:rFonts w:ascii="Verdana" w:eastAsia="Aptos" w:hAnsi="Verdana" w:cs="Times New Roman"/>
          <w:kern w:val="2"/>
          <w:sz w:val="20"/>
          <w:szCs w:val="20"/>
          <w14:ligatures w14:val="standardContextual"/>
        </w:rPr>
        <w:t>, reembolso de gastos o la que determine. El Anexo 1 – Anexo Técnico y el Formulario 1– Formulario de Presupuesto Oficial debe ser concordante con la modalidad de pago seleccionada]” Negrilla fuera del texto.</w:t>
      </w:r>
    </w:p>
    <w:p w14:paraId="40756D3D"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En consecuencia, una primera lectura de los Documentos Tipo permite concluir que su aplicación resulta obligatoria para procesos de licitación de obra pública cuya ejecución se adelante bajo la forma de pago de administración delegada, toda vez que esta fue expresamente prevista por Colombia Compra Eficiente como una de las formas de pago admisibles dentro del propio documento tipo. </w:t>
      </w:r>
    </w:p>
    <w:p w14:paraId="73EC8816" w14:textId="77777777" w:rsidR="00E85C62" w:rsidRPr="00E85C62" w:rsidRDefault="00E85C62" w:rsidP="00E85C62">
      <w:pPr>
        <w:spacing w:after="120" w:line="240" w:lineRule="auto"/>
        <w:ind w:left="709" w:right="709"/>
        <w:jc w:val="both"/>
        <w:rPr>
          <w:rFonts w:ascii="Verdana" w:eastAsia="Times New Roman" w:hAnsi="Verdana" w:cs="Times New Roman"/>
          <w:sz w:val="20"/>
          <w:szCs w:val="20"/>
          <w:lang w:eastAsia="es-MX"/>
        </w:rPr>
      </w:pPr>
      <w:r w:rsidRPr="00E85C62">
        <w:rPr>
          <w:rFonts w:ascii="Verdana" w:eastAsia="Aptos" w:hAnsi="Verdana" w:cs="Times New Roman"/>
          <w:kern w:val="2"/>
          <w:sz w:val="20"/>
          <w:szCs w:val="20"/>
          <w14:ligatures w14:val="standardContextual"/>
        </w:rPr>
        <w:t xml:space="preserve">No obstante, es importante manifestar </w:t>
      </w:r>
      <w:proofErr w:type="gramStart"/>
      <w:r w:rsidRPr="00E85C62">
        <w:rPr>
          <w:rFonts w:ascii="Verdana" w:eastAsia="Aptos" w:hAnsi="Verdana" w:cs="Times New Roman"/>
          <w:kern w:val="2"/>
          <w:sz w:val="20"/>
          <w:szCs w:val="20"/>
          <w14:ligatures w14:val="standardContextual"/>
        </w:rPr>
        <w:t>que</w:t>
      </w:r>
      <w:proofErr w:type="gramEnd"/>
      <w:r w:rsidRPr="00E85C62">
        <w:rPr>
          <w:rFonts w:ascii="Verdana" w:eastAsia="Aptos" w:hAnsi="Verdana" w:cs="Times New Roman"/>
          <w:kern w:val="2"/>
          <w:sz w:val="20"/>
          <w:szCs w:val="20"/>
          <w14:ligatures w14:val="standardContextual"/>
        </w:rPr>
        <w:t xml:space="preserve"> en la administración delegada, el contratista actúa como gestor o administrador del contratante, encargándose de la dirección técnica, administrativa y financiera de la obra, sin soportar el riesgo económico derivado de las variaciones en los costos de materiales, mano de obra y equipos y demás costos directos de construcción. En esta forma de pago, es la entidad contratante quien financia directamente la ejecución de la obra y asume los costos de asociados a ella, mientras que el contratista percibe como contraprestación unos honorarios, fijos o porcentuales por la administración y gestión contractual.</w:t>
      </w:r>
    </w:p>
    <w:p w14:paraId="542DA668"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En ese contexto, si bien Colombia Compra Eficiente incorporó expresamente la administración delegada como una de las modalidades de pago que puede adoptar la entidad contratante dentro del Documento Tipo, del análisis integral de los documentos, formularios, anexos y matrices que lo conforman se evidencia que gran parte de su estructura técnica, económica y de distribución de riesgos responde a un esquema propio de contratos ejecutados a precio global o precios unitarios, circunstancia que genera interrogantes sobre su aplicación cuando la ejecución del contrato se realizará bajo administración delegada. </w:t>
      </w:r>
    </w:p>
    <w:p w14:paraId="7655CBB4" w14:textId="77777777" w:rsidR="00E85C62" w:rsidRPr="00E85C62" w:rsidRDefault="00E85C62" w:rsidP="00E85C62">
      <w:pPr>
        <w:spacing w:after="120" w:line="240" w:lineRule="auto"/>
        <w:ind w:left="709"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En particular, se identifican las siguientes situaciones:</w:t>
      </w:r>
    </w:p>
    <w:p w14:paraId="5474B61F"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1. Evaluación económica de las ofertas </w:t>
      </w:r>
    </w:p>
    <w:p w14:paraId="1C7B9529"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Los Documentos Tipo prevén que la evaluación económica de las propuestas se realice mediante la comparación del valor total ofertado por cada proponente para la ejecución de la obra, utilizando metodologías como la media geométrica, media aritmética, menor valor u otras fórmulas que permiten identificar la oferta más favorable en función del precio total de la obra. </w:t>
      </w:r>
    </w:p>
    <w:p w14:paraId="4C160DD3"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lastRenderedPageBreak/>
        <w:t>Sin embargo, en la licitación de obra pública bajo la forma de pago de administración delegada, la propuesta económica no recae sobre el valor de ejecución de la obra, pues los costos directos son asumidos por la entidad contratante. La oferta económica del proponente corresponde, principalmente, al valor de ejecución del proyecto y al porcentaje de los honorarios de administración, razón por la cual los mecanismos de evaluación previstos en los Documentos Tipo parecen estructurados sobre una lógica económica diferente a la propia de esta modalidad de pago.</w:t>
      </w:r>
    </w:p>
    <w:p w14:paraId="051D3FE2"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2. Presupuesto oficial, análisis de precios unitarios y oferta económica</w:t>
      </w:r>
    </w:p>
    <w:p w14:paraId="4E28679D"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Los Documentos Tipo exigen como parte de la propuesta la presentación de un presupuesto de obra por capítulos, análisis de precios unitarios (APU) y demás documentos que sirven de fundamento para la evaluación económica de la oferta. No obstante, para la forma de pago por administración delegada: </w:t>
      </w:r>
    </w:p>
    <w:p w14:paraId="7F1BD9CF"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Los análisis de precios unitarios constituyen un instrumento de planeación y estructuración del presupuesto oficial elaborado por la entidad, mas no un componente de la oferta económica del contratista. </w:t>
      </w:r>
    </w:p>
    <w:p w14:paraId="6A7FC9FD"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El presupuesto de obra es administrado y ejecutado por cuenta de la entidad contratante, razón por la cual la exigencia de presentar APU como parte de la oferta del proponente plantea interrogantes sobre su compatibilidad con la naturaleza jurídica y económica de esta modalidad contractual.</w:t>
      </w:r>
    </w:p>
    <w:p w14:paraId="4374EF6A"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En tal sentido, surge la inquietud sobre la forma en que deben aplicarse estas exigencias dentro de un proceso cuya ejecución se desarrollará mediante administración delegada.</w:t>
      </w:r>
    </w:p>
    <w:p w14:paraId="78117CB0"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3. Distribución y asignación de riesgos</w:t>
      </w:r>
    </w:p>
    <w:p w14:paraId="51E95B35"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Los Documentos Tipo contemplan la asignación al contratista de riesgos relacionados, entre otros, con: </w:t>
      </w:r>
    </w:p>
    <w:p w14:paraId="005CD00F"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Variaciones en los precios de materiales e insumos. </w:t>
      </w:r>
    </w:p>
    <w:p w14:paraId="03A66DB9"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Variaciones en los costos de mano de obra. </w:t>
      </w:r>
    </w:p>
    <w:p w14:paraId="22CC145F"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Variaciones en los costos de equipos y maquinaria. </w:t>
      </w:r>
    </w:p>
    <w:p w14:paraId="0A365146"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Symbol" w:eastAsia="Symbol" w:hAnsi="Symbol" w:cs="Symbol"/>
          <w:kern w:val="2"/>
          <w:sz w:val="20"/>
          <w:szCs w:val="20"/>
          <w14:ligatures w14:val="standardContextual"/>
        </w:rPr>
        <w:sym w:font="Symbol" w:char="F0B7"/>
      </w:r>
      <w:r w:rsidRPr="00E85C62">
        <w:rPr>
          <w:rFonts w:ascii="Verdana" w:eastAsia="Aptos" w:hAnsi="Verdana" w:cs="Times New Roman"/>
          <w:kern w:val="2"/>
          <w:sz w:val="20"/>
          <w:szCs w:val="20"/>
          <w14:ligatures w14:val="standardContextual"/>
        </w:rPr>
        <w:t xml:space="preserve"> Imprevistos asociados a la ejecución de la obra. </w:t>
      </w:r>
    </w:p>
    <w:p w14:paraId="60D8A609"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Sin embargo, una de las características esenciales en la obra pública con forma de pago por administración delegada consiste precisamente en que los costos directos de ejecución son financiados por la entidad contratante, quien asume las variaciones que puedan presentarse durante el desarrollo del proyecto. </w:t>
      </w:r>
    </w:p>
    <w:p w14:paraId="726680EB"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lastRenderedPageBreak/>
        <w:t>En consecuencia, la asignación al contratista de riesgos económicos propios de un contrato a precio global o a precios unitarios podría resultar incompatible con la naturaleza jurídica del contrato de obra pública bajo la modalidad de pago por administración delegada, en la medida en que terminaría trasladándole riesgos que, por definición, corresponden a la entidad contratante.</w:t>
      </w:r>
    </w:p>
    <w:p w14:paraId="616CB134"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En consecuencia, las anteriores consideraciones evidencian que, si bien los Documentos Tipo adoptados mediante la Resolución No. 539 de 2025 contemplan expresamente la administración delegada como una modalidad de pago, algunos de los formularios, criterios de evaluación económica, documentos técnicos y reglas de asignación de riesgos parecen haber sido estructurados bajo presupuestos propios de contratos ejecutados a precio global o por precios unitarios. Esta circunstancia genera para la entidad una dificultad jurídica y práctica en la estructuración del proceso de selección, pues simultáneamente debe garantizar el cumplimiento del carácter obligatorio e inmodificable de los Documentos Tipo y respetar la naturaleza jurídica de la administración delegada como modalidad de pago. En ese contexto, resulta necesario conocer el criterio interpretativo de esa Agencia respecto del alcance de la aplicación de dichos documentos en procesos con estas características.</w:t>
      </w:r>
    </w:p>
    <w:p w14:paraId="21D6FF12"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En virtud de lo anterior, amablemente solicito concepto sobre lo siguiente:</w:t>
      </w:r>
    </w:p>
    <w:p w14:paraId="50040D96" w14:textId="77777777" w:rsidR="00E85C62" w:rsidRPr="00E85C62" w:rsidRDefault="00E85C62" w:rsidP="00E85C62">
      <w:pPr>
        <w:spacing w:after="120" w:line="240" w:lineRule="auto"/>
        <w:ind w:left="700" w:right="709"/>
        <w:jc w:val="both"/>
        <w:rPr>
          <w:rFonts w:ascii="Verdana" w:eastAsia="Aptos" w:hAnsi="Verdana" w:cs="Times New Roman"/>
          <w:b/>
          <w:bCs/>
          <w:kern w:val="2"/>
          <w:sz w:val="20"/>
          <w:szCs w:val="20"/>
          <w14:ligatures w14:val="standardContextual"/>
        </w:rPr>
      </w:pPr>
      <w:r w:rsidRPr="00E85C62">
        <w:rPr>
          <w:rFonts w:ascii="Verdana" w:eastAsia="Aptos" w:hAnsi="Verdana" w:cs="Times New Roman"/>
          <w:kern w:val="2"/>
          <w:sz w:val="20"/>
          <w:szCs w:val="20"/>
          <w14:ligatures w14:val="standardContextual"/>
        </w:rPr>
        <w:t xml:space="preserve">Teniendo en cuenta que la Resolución No. 539 de 2025 incorpora expresamente la administración delegada como una de las formas de pago aplicables a los procesos de licitación de obra pública, pero que los documentos, formularios, anexos y criterios de evaluación previstos en los Documentos Tipo responden, en varios de sus apartados, a la lógica propia de contratos ejecutados a precio global o por precios unitarios, </w:t>
      </w:r>
      <w:r w:rsidRPr="00E85C62">
        <w:rPr>
          <w:rFonts w:ascii="Verdana" w:eastAsia="Aptos" w:hAnsi="Verdana" w:cs="Times New Roman"/>
          <w:b/>
          <w:bCs/>
          <w:kern w:val="2"/>
          <w:sz w:val="20"/>
          <w:szCs w:val="20"/>
          <w14:ligatures w14:val="standardContextual"/>
        </w:rPr>
        <w:t>¿es acertada la interpretación realizada por esta Subdirección en el sentido de considerar que existe una incompatibilidad entre algunos de dichos instrumentos y la naturaleza jurídica y económica de la forma de pago por administración delegada?</w:t>
      </w:r>
    </w:p>
    <w:p w14:paraId="468A083C"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2. Teniendo en cuenta las razones y argumentos expuestos, así como el carácter obligatorio e inmodificable de los Documentos Tipo adoptados mediante la Resolución No. 539 de 2025, y considerando las aparentes incompatibilidades identificadas entre algunos de sus formularios, criterios de evaluación y distribución de riesgos con la naturaleza jurídica y económica de la administración delegada, ¿puede el IDARTES, para la estructuración del proceso de licitación pública destinado a la intervención integral del Teatro San Jorge, inaplicar o prescindir de aquellos apartados cuya aplicación resulte materialmente incompatible con esta modalidad de pago? En caso negativo, agradeceríamos indicar cuál es el fundamento jurídico y el mecanismo que debe adoptar la entidad para armonizar dicha </w:t>
      </w:r>
      <w:r w:rsidRPr="00E85C62">
        <w:rPr>
          <w:rFonts w:ascii="Verdana" w:eastAsia="Aptos" w:hAnsi="Verdana" w:cs="Times New Roman"/>
          <w:kern w:val="2"/>
          <w:sz w:val="20"/>
          <w:szCs w:val="20"/>
          <w14:ligatures w14:val="standardContextual"/>
        </w:rPr>
        <w:lastRenderedPageBreak/>
        <w:t>incompatibilidad sin desconocer el carácter obligatorio de los Documentos Tipo.</w:t>
      </w:r>
    </w:p>
    <w:p w14:paraId="386AD058"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4. En particular, solicita esta entidad se sirva indicar cuáles son los criterios que deben observarse para estructurar un proceso de licitación pública bajo la modalidad de pago por administración delegada en relación con: </w:t>
      </w:r>
    </w:p>
    <w:p w14:paraId="74C7A50B"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a) La evaluación de la oferta económica, teniendo en cuenta que el proponente no oferta el valor de ejecución de la obra sino sus honorarios de administración. </w:t>
      </w:r>
    </w:p>
    <w:p w14:paraId="2A139879"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b) La procedencia y alcance de la exigencia de presentar presupuesto de obra, análisis de precios unitarios y demás documentos económicos previstos en los Documentos Tipo. </w:t>
      </w:r>
    </w:p>
    <w:p w14:paraId="4CCD2F00" w14:textId="77777777" w:rsidR="00E85C62" w:rsidRPr="00E85C62" w:rsidRDefault="00E85C62" w:rsidP="00E85C62">
      <w:pPr>
        <w:spacing w:after="120" w:line="240" w:lineRule="auto"/>
        <w:ind w:left="700" w:right="709"/>
        <w:jc w:val="both"/>
        <w:rPr>
          <w:rFonts w:ascii="Verdana" w:eastAsia="Aptos" w:hAnsi="Verdana" w:cs="Times New Roman"/>
          <w:kern w:val="2"/>
          <w:sz w:val="20"/>
          <w:szCs w:val="20"/>
          <w14:ligatures w14:val="standardContextual"/>
        </w:rPr>
      </w:pPr>
      <w:r w:rsidRPr="00E85C62">
        <w:rPr>
          <w:rFonts w:ascii="Verdana" w:eastAsia="Aptos" w:hAnsi="Verdana" w:cs="Times New Roman"/>
          <w:kern w:val="2"/>
          <w:sz w:val="20"/>
          <w:szCs w:val="20"/>
          <w14:ligatures w14:val="standardContextual"/>
        </w:rPr>
        <w:t xml:space="preserve">c) La asignación y distribución de riesgos, particularmente aquellos asociados a las variaciones en los costos directos de ejecución de la obra. </w:t>
      </w:r>
    </w:p>
    <w:p w14:paraId="7690F30E" w14:textId="77777777" w:rsidR="00E85C62" w:rsidRPr="00E85C62" w:rsidRDefault="00E85C62" w:rsidP="00E85C62">
      <w:pPr>
        <w:spacing w:after="120" w:line="240" w:lineRule="auto"/>
        <w:ind w:left="700" w:right="709"/>
        <w:jc w:val="both"/>
        <w:rPr>
          <w:rFonts w:ascii="Verdana" w:eastAsia="Times New Roman" w:hAnsi="Verdana" w:cs="Times New Roman"/>
          <w:sz w:val="20"/>
          <w:szCs w:val="20"/>
          <w:lang w:eastAsia="es-MX"/>
        </w:rPr>
      </w:pPr>
      <w:r w:rsidRPr="00E85C62">
        <w:rPr>
          <w:rFonts w:ascii="Verdana" w:eastAsia="Aptos" w:hAnsi="Verdana" w:cs="Times New Roman"/>
          <w:kern w:val="2"/>
          <w:sz w:val="20"/>
          <w:szCs w:val="20"/>
          <w14:ligatures w14:val="standardContextual"/>
        </w:rPr>
        <w:t>d) Cualquier otro lineamiento técnico o buena práctica que Colombia Compra Eficiente considere pertinente para garantizar la correcta estructuración del proceso contractual y la adecuada aplicación de los Documentos Tipo en contratos de obra cuya ejecución se adelante mediante administración delegada</w:t>
      </w:r>
      <w:r w:rsidRPr="00E85C62">
        <w:rPr>
          <w:rFonts w:ascii="Verdana" w:eastAsia="Times New Roman" w:hAnsi="Verdana" w:cs="Times New Roman"/>
          <w:sz w:val="20"/>
          <w:szCs w:val="20"/>
          <w:lang w:eastAsia="es-MX"/>
        </w:rPr>
        <w:t xml:space="preserve">”. </w:t>
      </w:r>
    </w:p>
    <w:p w14:paraId="31C95B0B" w14:textId="77777777" w:rsidR="00E85C62" w:rsidRPr="00E85C62" w:rsidRDefault="00E85C62" w:rsidP="00E85C62">
      <w:pPr>
        <w:spacing w:after="0" w:line="240" w:lineRule="auto"/>
        <w:ind w:left="709" w:right="709"/>
        <w:jc w:val="both"/>
        <w:rPr>
          <w:rFonts w:ascii="Arial" w:eastAsia="Aptos" w:hAnsi="Arial" w:cs="Arial"/>
          <w:sz w:val="21"/>
          <w:szCs w:val="21"/>
          <w:lang w:eastAsia="es-MX"/>
        </w:rPr>
      </w:pPr>
    </w:p>
    <w:p w14:paraId="14B691AF" w14:textId="77777777" w:rsidR="00E85C62" w:rsidRPr="00E85C62" w:rsidRDefault="00E85C62" w:rsidP="00E85C62">
      <w:pPr>
        <w:spacing w:after="120" w:line="276" w:lineRule="auto"/>
        <w:ind w:firstLine="709"/>
        <w:jc w:val="both"/>
        <w:rPr>
          <w:rFonts w:ascii="Verdana" w:eastAsia="Calibri" w:hAnsi="Verdana" w:cs="Arial"/>
          <w:color w:val="000000"/>
          <w:lang w:val="es-ES" w:eastAsia="es-ES"/>
        </w:rPr>
      </w:pPr>
      <w:r w:rsidRPr="00E85C62">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85C62">
        <w:rPr>
          <w:rFonts w:ascii="Verdana" w:eastAsia="Calibri" w:hAnsi="Verdana" w:cs="Arial"/>
          <w:color w:val="000000"/>
          <w:lang w:val="es-ES_tradnl" w:eastAsia="es-ES_tradnl"/>
        </w:rPr>
        <w:tab/>
      </w:r>
    </w:p>
    <w:p w14:paraId="3AFFB480" w14:textId="77777777" w:rsidR="00E85C62" w:rsidRPr="00E85C62" w:rsidRDefault="00E85C62" w:rsidP="00E85C62">
      <w:pPr>
        <w:spacing w:after="0" w:line="276" w:lineRule="auto"/>
        <w:ind w:firstLine="709"/>
        <w:jc w:val="both"/>
        <w:rPr>
          <w:rFonts w:ascii="Verdana" w:eastAsia="Calibri" w:hAnsi="Verdana" w:cs="Arial"/>
          <w:color w:val="000000"/>
          <w:lang w:val="es-ES" w:eastAsia="es-ES"/>
        </w:rPr>
      </w:pPr>
      <w:r w:rsidRPr="00E85C6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85C62">
        <w:rPr>
          <w:rFonts w:ascii="Verdana" w:eastAsia="Calibri" w:hAnsi="Verdana" w:cs="Arial"/>
          <w:color w:val="7030A0"/>
          <w:lang w:val="es-ES" w:eastAsia="es-ES"/>
        </w:rPr>
        <w:t xml:space="preserve"> </w:t>
      </w:r>
      <w:r w:rsidRPr="00E85C62">
        <w:rPr>
          <w:rFonts w:ascii="Verdana" w:eastAsia="Calibri" w:hAnsi="Verdana" w:cs="Arial"/>
          <w:color w:val="000000"/>
          <w:lang w:val="es-ES" w:eastAsia="es-ES"/>
        </w:rPr>
        <w:t>problema</w:t>
      </w:r>
      <w:r w:rsidRPr="00E85C62">
        <w:rPr>
          <w:rFonts w:ascii="Verdana" w:eastAsia="Calibri" w:hAnsi="Verdana" w:cs="Arial"/>
          <w:color w:val="7030A0"/>
          <w:lang w:val="es-ES" w:eastAsia="es-ES"/>
        </w:rPr>
        <w:t xml:space="preserve"> </w:t>
      </w:r>
      <w:r w:rsidRPr="00E85C62">
        <w:rPr>
          <w:rFonts w:ascii="Verdana" w:eastAsia="Calibri" w:hAnsi="Verdana" w:cs="Arial"/>
          <w:color w:val="000000"/>
          <w:lang w:val="es-ES" w:eastAsia="es-ES"/>
        </w:rPr>
        <w:t>jurídico</w:t>
      </w:r>
      <w:r w:rsidRPr="00E85C62">
        <w:rPr>
          <w:rFonts w:ascii="Verdana" w:eastAsia="Calibri" w:hAnsi="Verdana" w:cs="Arial"/>
          <w:color w:val="7030A0"/>
          <w:lang w:val="es-ES" w:eastAsia="es-ES"/>
        </w:rPr>
        <w:t xml:space="preserve"> </w:t>
      </w:r>
      <w:r w:rsidRPr="00E85C62">
        <w:rPr>
          <w:rFonts w:ascii="Verdana" w:eastAsia="Calibri" w:hAnsi="Verdana" w:cs="Arial"/>
          <w:color w:val="000000"/>
          <w:lang w:val="es-ES" w:eastAsia="es-ES"/>
        </w:rPr>
        <w:t xml:space="preserve">de su consulta. </w:t>
      </w:r>
    </w:p>
    <w:p w14:paraId="7EBC68BD" w14:textId="77777777" w:rsidR="00E85C62" w:rsidRPr="00E85C62" w:rsidRDefault="00E85C62" w:rsidP="00E85C62">
      <w:pPr>
        <w:spacing w:after="0" w:line="276" w:lineRule="auto"/>
        <w:jc w:val="both"/>
        <w:rPr>
          <w:rFonts w:ascii="Verdana" w:eastAsia="Calibri" w:hAnsi="Verdana" w:cs="Arial"/>
          <w:lang w:val="es-ES" w:eastAsia="es-ES"/>
        </w:rPr>
      </w:pPr>
    </w:p>
    <w:p w14:paraId="1D0B1D7D" w14:textId="77777777" w:rsidR="00E85C62" w:rsidRPr="00E85C62" w:rsidRDefault="00E85C62" w:rsidP="00E85C62">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E85C62">
        <w:rPr>
          <w:rFonts w:ascii="Verdana" w:eastAsia="Century Gothic" w:hAnsi="Verdana" w:cs="Century Gothic"/>
          <w:b/>
          <w:bCs/>
          <w:lang w:eastAsia="es-MX"/>
        </w:rPr>
        <w:t>Problema planteado:</w:t>
      </w:r>
    </w:p>
    <w:p w14:paraId="4E76FD6E" w14:textId="77777777" w:rsidR="00E85C62" w:rsidRPr="00E85C62" w:rsidRDefault="00E85C62" w:rsidP="00E85C62">
      <w:pPr>
        <w:tabs>
          <w:tab w:val="left" w:pos="426"/>
        </w:tabs>
        <w:spacing w:after="0" w:line="276" w:lineRule="auto"/>
        <w:jc w:val="both"/>
        <w:rPr>
          <w:rFonts w:ascii="Verdana" w:eastAsia="Century Gothic" w:hAnsi="Verdana" w:cs="Century Gothic"/>
          <w:lang w:val="es-ES" w:eastAsia="es-MX"/>
        </w:rPr>
      </w:pPr>
    </w:p>
    <w:p w14:paraId="45E54791" w14:textId="77777777" w:rsidR="00E85C62" w:rsidRPr="00E85C62" w:rsidRDefault="00E85C62" w:rsidP="00E85C62">
      <w:pPr>
        <w:spacing w:after="0" w:line="276" w:lineRule="auto"/>
        <w:jc w:val="both"/>
        <w:rPr>
          <w:rFonts w:ascii="Verdana" w:eastAsia="Times New Roman" w:hAnsi="Verdana" w:cs="Times New Roman"/>
          <w:lang w:eastAsia="es-MX"/>
        </w:rPr>
      </w:pPr>
      <w:r w:rsidRPr="00E85C62">
        <w:rPr>
          <w:rFonts w:ascii="Verdana" w:eastAsia="Century Gothic" w:hAnsi="Verdana" w:cs="Century Gothic"/>
          <w:lang w:eastAsia="es-MX"/>
        </w:rPr>
        <w:t>De acuerdo con el contenido de su solicitud, esta Agencia resolverá los siguientes problemas jurídicos: i) ¿Cuál es el alcance de la administración delegada en la contratación estatal?</w:t>
      </w:r>
      <w:r w:rsidRPr="00E85C62">
        <w:rPr>
          <w:rFonts w:ascii="Verdana" w:eastAsia="Arial" w:hAnsi="Verdana" w:cs="Arial"/>
          <w:lang w:val="es-ES" w:eastAsia="es-ES_tradnl"/>
        </w:rPr>
        <w:t xml:space="preserve">, </w:t>
      </w:r>
      <w:proofErr w:type="spellStart"/>
      <w:r w:rsidRPr="00E85C62">
        <w:rPr>
          <w:rFonts w:ascii="Verdana" w:eastAsia="Arial" w:hAnsi="Verdana" w:cs="Arial"/>
          <w:lang w:val="es-ES" w:eastAsia="es-ES_tradnl"/>
        </w:rPr>
        <w:t>ii</w:t>
      </w:r>
      <w:proofErr w:type="spellEnd"/>
      <w:r w:rsidRPr="00E85C62">
        <w:rPr>
          <w:rFonts w:ascii="Verdana" w:eastAsia="Arial" w:hAnsi="Verdana" w:cs="Arial"/>
          <w:lang w:val="es-ES" w:eastAsia="es-ES_tradnl"/>
        </w:rPr>
        <w:t xml:space="preserve">) ¿Cuál es el alcance de la regla de la inalterabilidad que recae sobre los documentos tipo?, </w:t>
      </w:r>
      <w:proofErr w:type="spellStart"/>
      <w:r w:rsidRPr="00E85C62">
        <w:rPr>
          <w:rFonts w:ascii="Verdana" w:eastAsia="Arial" w:hAnsi="Verdana" w:cs="Arial"/>
          <w:lang w:val="es-ES" w:eastAsia="es-ES_tradnl"/>
        </w:rPr>
        <w:t>iii</w:t>
      </w:r>
      <w:proofErr w:type="spellEnd"/>
      <w:r w:rsidRPr="00E85C62">
        <w:rPr>
          <w:rFonts w:ascii="Verdana" w:eastAsia="Arial" w:hAnsi="Verdana" w:cs="Arial"/>
          <w:lang w:val="es-ES" w:eastAsia="es-ES_tradnl"/>
        </w:rPr>
        <w:t xml:space="preserve">) </w:t>
      </w:r>
      <w:r w:rsidRPr="00E85C62">
        <w:rPr>
          <w:rFonts w:ascii="Verdana" w:eastAsia="Times New Roman" w:hAnsi="Verdana" w:cs="Times New Roman"/>
          <w:lang w:eastAsia="es-MX"/>
        </w:rPr>
        <w:t xml:space="preserve">¿Cómo deben configurarse el presupuesto oficial, el Formulario 1 y la evaluación de la oferta económica en los procesos adelantados con los documentos tipo de licitación de obra pública de infraestructura social – versión 2, cuando la forma de pago es la administración delegada?, </w:t>
      </w:r>
      <w:proofErr w:type="spellStart"/>
      <w:r w:rsidRPr="00E85C62">
        <w:rPr>
          <w:rFonts w:ascii="Verdana" w:eastAsia="Times New Roman" w:hAnsi="Verdana" w:cs="Times New Roman"/>
          <w:lang w:eastAsia="es-MX"/>
        </w:rPr>
        <w:t>iv</w:t>
      </w:r>
      <w:proofErr w:type="spellEnd"/>
      <w:r w:rsidRPr="00E85C62">
        <w:rPr>
          <w:rFonts w:ascii="Verdana" w:eastAsia="Times New Roman" w:hAnsi="Verdana" w:cs="Times New Roman"/>
          <w:lang w:eastAsia="es-MX"/>
        </w:rPr>
        <w:t>) ¿Cómo deben asignarse los riesgos en los procesos adelantados con los documentos tipo de licitación de obra pública de infraestructura social – versión 2, cuando la forma de pago es la administración delegada? y v) ¿Qué otros aspectos deben tenerse en cuenta al estructurar un proceso de licitación de obra pública bajo la modalidad de administración delegada con los documentos tipo de infraestructura social – versión 2?</w:t>
      </w:r>
    </w:p>
    <w:p w14:paraId="07F76104" w14:textId="77777777" w:rsidR="00E85C62" w:rsidRPr="00E85C62" w:rsidRDefault="00E85C62" w:rsidP="00E85C62">
      <w:pPr>
        <w:spacing w:after="0" w:line="276" w:lineRule="auto"/>
        <w:jc w:val="both"/>
        <w:rPr>
          <w:rFonts w:ascii="Verdana" w:eastAsia="Century Gothic" w:hAnsi="Verdana" w:cs="Century Gothic"/>
          <w:lang w:val="es-ES_tradnl" w:eastAsia="es-MX"/>
        </w:rPr>
      </w:pPr>
    </w:p>
    <w:p w14:paraId="38519A0A" w14:textId="77777777" w:rsidR="00E85C62" w:rsidRPr="00E85C62" w:rsidRDefault="00E85C62" w:rsidP="00E85C62">
      <w:pPr>
        <w:tabs>
          <w:tab w:val="left" w:pos="142"/>
          <w:tab w:val="left" w:pos="284"/>
        </w:tabs>
        <w:spacing w:after="0" w:line="276" w:lineRule="auto"/>
        <w:contextualSpacing/>
        <w:jc w:val="both"/>
        <w:rPr>
          <w:rFonts w:ascii="Verdana" w:eastAsia="Century Gothic" w:hAnsi="Verdana" w:cs="Century Gothic"/>
          <w:b/>
          <w:bCs/>
          <w:lang w:val="es-ES" w:eastAsia="es-MX"/>
        </w:rPr>
      </w:pPr>
      <w:r w:rsidRPr="00E85C62">
        <w:rPr>
          <w:rFonts w:ascii="Verdana" w:eastAsia="Century Gothic" w:hAnsi="Verdana" w:cs="Century Gothic"/>
          <w:b/>
          <w:bCs/>
          <w:lang w:val="es-ES" w:eastAsia="es-MX"/>
        </w:rPr>
        <w:t>2. Respuestas:</w:t>
      </w:r>
    </w:p>
    <w:p w14:paraId="2D8F4554" w14:textId="77777777" w:rsidR="00E85C62" w:rsidRPr="00E85C62" w:rsidRDefault="00E85C62" w:rsidP="00E85C62">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5C62" w:rsidRPr="00E85C62" w14:paraId="4FBE0D67" w14:textId="77777777" w:rsidTr="009E3879">
        <w:trPr>
          <w:trHeight w:val="40"/>
        </w:trPr>
        <w:tc>
          <w:tcPr>
            <w:tcW w:w="8828" w:type="dxa"/>
            <w:tcBorders>
              <w:top w:val="dotted" w:sz="4" w:space="0" w:color="auto"/>
              <w:left w:val="dotted" w:sz="4" w:space="0" w:color="auto"/>
              <w:bottom w:val="dotted" w:sz="4" w:space="0" w:color="auto"/>
              <w:right w:val="dotted" w:sz="4" w:space="0" w:color="auto"/>
            </w:tcBorders>
          </w:tcPr>
          <w:p w14:paraId="6C637D3B" w14:textId="77777777" w:rsidR="00E85C62" w:rsidRPr="00E85C62" w:rsidRDefault="00E85C62" w:rsidP="00E85C62">
            <w:pPr>
              <w:spacing w:after="120" w:line="276" w:lineRule="auto"/>
              <w:jc w:val="both"/>
              <w:rPr>
                <w:rFonts w:ascii="Verdana" w:eastAsia="Calibri" w:hAnsi="Verdana" w:cs="Arial"/>
                <w:color w:val="000000"/>
                <w:lang w:val="es-ES"/>
              </w:rPr>
            </w:pPr>
            <w:r w:rsidRPr="00E85C62">
              <w:rPr>
                <w:rFonts w:ascii="Verdana" w:eastAsia="Calibri" w:hAnsi="Verdana" w:cs="Arial"/>
                <w:color w:val="000000"/>
                <w:lang w:val="es-ES"/>
              </w:rPr>
              <w:t xml:space="preserve">i) 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E85C62">
              <w:rPr>
                <w:rFonts w:ascii="Verdana" w:eastAsia="Calibri" w:hAnsi="Verdana" w:cs="Arial"/>
                <w:color w:val="000000"/>
                <w:lang w:val="es-ES"/>
              </w:rPr>
              <w:t>ii</w:t>
            </w:r>
            <w:proofErr w:type="spellEnd"/>
            <w:r w:rsidRPr="00E85C62">
              <w:rPr>
                <w:rFonts w:ascii="Verdana" w:eastAsia="Calibri" w:hAnsi="Verdana" w:cs="Arial"/>
                <w:color w:val="000000"/>
                <w:lang w:val="es-ES"/>
              </w:rPr>
              <w:t xml:space="preserve">) como una modalidad de administración y pago, no necesariamente asociada al mandato. </w:t>
            </w:r>
          </w:p>
          <w:p w14:paraId="3FC838D8" w14:textId="77777777" w:rsidR="00E85C62" w:rsidRPr="00E85C62" w:rsidRDefault="00E85C62" w:rsidP="00E85C62">
            <w:pPr>
              <w:spacing w:after="120" w:line="276" w:lineRule="auto"/>
              <w:ind w:firstLine="708"/>
              <w:jc w:val="both"/>
              <w:rPr>
                <w:rFonts w:ascii="Verdana" w:eastAsia="Calibri" w:hAnsi="Verdana" w:cs="Arial"/>
                <w:color w:val="000000"/>
                <w:lang w:val="es-ES_tradnl"/>
              </w:rPr>
            </w:pPr>
            <w:r w:rsidRPr="00E85C62">
              <w:rPr>
                <w:rFonts w:ascii="Verdana" w:eastAsia="Calibri" w:hAnsi="Verdana" w:cs="Arial"/>
                <w:color w:val="000000"/>
                <w:lang w:val="es-ES_tradnl"/>
              </w:rPr>
              <w:t xml:space="preserve">Respecto de la administración delegada como un mandato, es preciso señalar que la jurisprudencia del Consejo de Estado ha señalado que </w:t>
            </w:r>
            <w:r w:rsidRPr="00E85C62">
              <w:rPr>
                <w:rFonts w:ascii="Verdana" w:eastAsia="Times New Roman" w:hAnsi="Verdana" w:cs="Arial"/>
                <w:bCs/>
                <w:lang w:val="es-ES" w:eastAsia="es-ES"/>
              </w:rPr>
              <w:t xml:space="preserve">si bien las normas del mandato se integren al contenido del contrato de obra por administración delegada no quiere decir que el contratista obre en nombre y representación del contratante frente a terceros. Además, se reitera que la representación no es un elemento de la esencia de este negocio jurídico, como se deduce del artículo 2.177 del Código Civil, que prescribe que el </w:t>
            </w:r>
            <w:r w:rsidRPr="00E85C62">
              <w:rPr>
                <w:rFonts w:ascii="Verdana" w:eastAsia="Calibri" w:hAnsi="Verdana" w:cs="Arial"/>
                <w:lang w:val="es-ES_tradnl" w:eastAsia="es-ES"/>
              </w:rPr>
              <w:t>“</w:t>
            </w:r>
            <w:r w:rsidRPr="00E85C62">
              <w:rPr>
                <w:rFonts w:ascii="Verdana" w:eastAsia="Times New Roman" w:hAnsi="Verdana" w:cs="Arial"/>
                <w:bCs/>
                <w:lang w:val="es-ES" w:eastAsia="es-ES"/>
              </w:rPr>
              <w:t xml:space="preserve">mandatario </w:t>
            </w:r>
            <w:r w:rsidRPr="00E85C62">
              <w:rPr>
                <w:rFonts w:ascii="Verdana" w:eastAsia="Times New Roman" w:hAnsi="Verdana" w:cs="Arial"/>
                <w:bCs/>
                <w:lang w:val="es-ES" w:eastAsia="es-ES"/>
              </w:rPr>
              <w:lastRenderedPageBreak/>
              <w:t xml:space="preserve">puede, en el ejercicio de su cargo, contratar a su propio nombre, caso en el cual no obliga respecto de terceros al mandante”. </w:t>
            </w:r>
          </w:p>
          <w:p w14:paraId="7F398C68" w14:textId="77777777" w:rsidR="00E85C62" w:rsidRPr="00E85C62" w:rsidRDefault="00E85C62" w:rsidP="00E85C62">
            <w:pPr>
              <w:spacing w:after="120" w:line="276" w:lineRule="auto"/>
              <w:ind w:firstLine="708"/>
              <w:jc w:val="both"/>
              <w:rPr>
                <w:rFonts w:ascii="Verdana" w:eastAsia="Arial" w:hAnsi="Verdana" w:cs="Arial"/>
                <w:lang w:val="es-ES"/>
              </w:rPr>
            </w:pPr>
            <w:r w:rsidRPr="00E85C62">
              <w:rPr>
                <w:rFonts w:ascii="Verdana" w:eastAsia="Arial" w:hAnsi="Verdana" w:cs="Arial"/>
                <w:lang w:val="es-ES"/>
              </w:rPr>
              <w:t>Por otro lado, la administración delegada puede ser empleada somo un sistema de pago consistente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w:t>
            </w:r>
          </w:p>
          <w:p w14:paraId="5DCC7F18" w14:textId="77777777" w:rsidR="00E85C62" w:rsidRPr="00E85C62" w:rsidRDefault="00E85C62" w:rsidP="00E85C62">
            <w:pPr>
              <w:spacing w:after="120" w:line="276" w:lineRule="auto"/>
              <w:jc w:val="both"/>
              <w:rPr>
                <w:rFonts w:ascii="Verdana" w:eastAsia="Arial" w:hAnsi="Verdana" w:cs="Arial"/>
                <w:lang w:val="es-ES"/>
              </w:rPr>
            </w:pPr>
            <w:r w:rsidRPr="00E85C62">
              <w:rPr>
                <w:rFonts w:ascii="Verdana" w:eastAsia="Arial" w:hAnsi="Verdana" w:cs="Arial"/>
                <w:lang w:val="es-ES"/>
              </w:rPr>
              <w:t>En consecuencia,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bien como forma de mandato o modalidad de pago.</w:t>
            </w:r>
          </w:p>
          <w:p w14:paraId="0934AB97" w14:textId="77777777" w:rsidR="00E85C62" w:rsidRPr="00E85C62" w:rsidRDefault="00E85C62" w:rsidP="00E85C62">
            <w:pPr>
              <w:widowControl w:val="0"/>
              <w:autoSpaceDE w:val="0"/>
              <w:autoSpaceDN w:val="0"/>
              <w:spacing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t xml:space="preserve">Ahora bien, en relación con su solicitud debe indicarse que, la obra pública existe con independencia de la modalidad de ejecución o de pago, sea que el objeto se ejecute a través de administración delegada o por administración de recursos, ambas categorías pertenecen a la tipología contractual del numeral 1 del artículo 32 de la Ley 80 de 1993. Es decir, al margen de la nominación asignada por las partes, cualquier negocio jurídico que implique un trabajo material sobre bienes inmuebles a favor de una entidad pública, tiene la naturaleza jurídica de una obra pública. Como este contrato tiene carácter bilateral y oneroso, en los términos del inciso primero del artículo 41 del EGCAP, las obligaciones básicas dependen del acuerdo sobre el inmueble objeto de construcción, mantenimiento, instalación, reforma o demolición, por un lado, y la remuneración del contratista de acuerdo con la forma de ejecución, por el otro. </w:t>
            </w:r>
          </w:p>
          <w:p w14:paraId="44A77A99" w14:textId="77777777" w:rsidR="00E85C62" w:rsidRPr="00E85C62" w:rsidRDefault="00E85C62" w:rsidP="00E85C62">
            <w:pPr>
              <w:widowControl w:val="0"/>
              <w:autoSpaceDE w:val="0"/>
              <w:autoSpaceDN w:val="0"/>
              <w:spacing w:line="276" w:lineRule="auto"/>
              <w:ind w:firstLine="708"/>
              <w:jc w:val="both"/>
              <w:rPr>
                <w:rFonts w:ascii="Verdana" w:eastAsia="Calibri" w:hAnsi="Verdana" w:cs="Times New Roman"/>
                <w:lang w:val="es-ES" w:eastAsia="es-MX"/>
              </w:rPr>
            </w:pPr>
          </w:p>
          <w:p w14:paraId="68172901" w14:textId="77777777" w:rsidR="00E85C62" w:rsidRPr="00E85C62" w:rsidRDefault="00E85C62" w:rsidP="00E85C62">
            <w:pPr>
              <w:spacing w:after="120" w:line="276" w:lineRule="auto"/>
              <w:jc w:val="both"/>
              <w:rPr>
                <w:rFonts w:ascii="Verdana" w:eastAsia="Calibri" w:hAnsi="Verdana" w:cs="Arial"/>
                <w:color w:val="000000"/>
                <w:lang w:val="es-ES"/>
              </w:rPr>
            </w:pPr>
            <w:proofErr w:type="spellStart"/>
            <w:r w:rsidRPr="00E85C62">
              <w:rPr>
                <w:rFonts w:ascii="Verdana" w:eastAsia="Calibri" w:hAnsi="Verdana" w:cs="Times New Roman"/>
                <w:lang w:val="es-ES"/>
              </w:rPr>
              <w:t>ii</w:t>
            </w:r>
            <w:proofErr w:type="spellEnd"/>
            <w:r w:rsidRPr="00E85C62">
              <w:rPr>
                <w:rFonts w:ascii="Verdana" w:eastAsia="Calibri" w:hAnsi="Verdana" w:cs="Times New Roman"/>
                <w:lang w:val="es-ES"/>
              </w:rPr>
              <w:t>) T</w:t>
            </w:r>
            <w:r w:rsidRPr="00E85C62">
              <w:rPr>
                <w:rFonts w:ascii="Verdana" w:eastAsia="Calibri" w:hAnsi="Verdana" w:cs="Arial"/>
                <w:color w:val="000000"/>
                <w:lang w:val="es-ES"/>
              </w:rPr>
              <w:t xml:space="preserve">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E85C62">
              <w:rPr>
                <w:rFonts w:ascii="Verdana" w:eastAsia="Calibri" w:hAnsi="Verdana" w:cs="Arial"/>
                <w:i/>
                <w:iCs/>
                <w:color w:val="000000"/>
                <w:lang w:val="es-ES"/>
              </w:rPr>
              <w:t>Documentos del Proceso</w:t>
            </w:r>
            <w:r w:rsidRPr="00E85C62">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w:t>
            </w:r>
            <w:r w:rsidRPr="00E85C62">
              <w:rPr>
                <w:rFonts w:ascii="Verdana" w:eastAsia="Calibri" w:hAnsi="Verdana" w:cs="Arial"/>
                <w:color w:val="000000"/>
                <w:lang w:val="es-ES"/>
              </w:rPr>
              <w:lastRenderedPageBreak/>
              <w:t>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B8CFB01" w14:textId="77777777" w:rsidR="00E85C62" w:rsidRPr="00E85C62" w:rsidRDefault="00E85C62" w:rsidP="00E85C62">
            <w:pPr>
              <w:spacing w:after="120" w:line="276" w:lineRule="auto"/>
              <w:jc w:val="both"/>
              <w:rPr>
                <w:rFonts w:ascii="Verdana" w:eastAsia="Calibri" w:hAnsi="Verdana" w:cs="Arial"/>
                <w:color w:val="000000"/>
                <w:lang w:val="es-ES"/>
              </w:rPr>
            </w:pPr>
            <w:r w:rsidRPr="00E85C62">
              <w:rPr>
                <w:rFonts w:ascii="Verdana" w:eastAsia="Calibri" w:hAnsi="Verdana" w:cs="Arial"/>
                <w:lang w:val="es-ES_tradnl"/>
              </w:rPr>
              <w:t xml:space="preserve">        L</w:t>
            </w:r>
            <w:proofErr w:type="spellStart"/>
            <w:r w:rsidRPr="00E85C62">
              <w:rPr>
                <w:rFonts w:ascii="Verdana" w:eastAsia="Calibri" w:hAnsi="Verdana" w:cs="Arial"/>
                <w:lang w:val="es-MX"/>
              </w:rPr>
              <w:t>a parte</w:t>
            </w:r>
            <w:proofErr w:type="spellEnd"/>
            <w:r w:rsidRPr="00E85C62">
              <w:rPr>
                <w:rFonts w:ascii="Verdana" w:eastAsia="Calibri" w:hAnsi="Verdana" w:cs="Arial"/>
                <w:lang w:val="es-MX"/>
              </w:rPr>
              <w:t xml:space="preserve"> introductoria de los documentos base de los documentos tipo disponen que los aspectos incluidos en corchetes y resaltados en gris </w:t>
            </w:r>
            <w:r w:rsidRPr="00E85C62">
              <w:rPr>
                <w:rFonts w:ascii="Verdana" w:eastAsia="Aptos" w:hAnsi="Verdana" w:cs="Arial"/>
              </w:rPr>
              <w:t>–[</w:t>
            </w:r>
            <w:r w:rsidRPr="00E85C62">
              <w:rPr>
                <w:rFonts w:ascii="Verdana" w:eastAsia="Aptos" w:hAnsi="Verdana" w:cs="Arial"/>
                <w:highlight w:val="lightGray"/>
              </w:rPr>
              <w:t>texto de ejemplo</w:t>
            </w:r>
            <w:r w:rsidRPr="00E85C62">
              <w:rPr>
                <w:rFonts w:ascii="Verdana" w:eastAsia="Aptos" w:hAnsi="Verdana" w:cs="Arial"/>
              </w:rPr>
              <w:t xml:space="preserve">]– </w:t>
            </w:r>
            <w:r w:rsidRPr="00E85C62">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A8647EE" w14:textId="77777777" w:rsidR="00E85C62" w:rsidRPr="00E85C62" w:rsidRDefault="00E85C62" w:rsidP="00E85C62">
            <w:pPr>
              <w:spacing w:before="120" w:after="120" w:line="276" w:lineRule="auto"/>
              <w:ind w:firstLine="709"/>
              <w:jc w:val="both"/>
              <w:rPr>
                <w:rFonts w:ascii="Verdana" w:eastAsia="Calibri" w:hAnsi="Verdana" w:cs="Arial"/>
                <w:bCs/>
                <w:lang w:val="es-MX"/>
              </w:rPr>
            </w:pPr>
            <w:r w:rsidRPr="00E85C62">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C8244E3" w14:textId="77777777" w:rsidR="00E85C62" w:rsidRPr="00E85C62" w:rsidRDefault="00E85C62" w:rsidP="00E85C62">
            <w:pPr>
              <w:spacing w:line="276" w:lineRule="auto"/>
              <w:ind w:firstLine="709"/>
              <w:jc w:val="both"/>
              <w:rPr>
                <w:rFonts w:ascii="Verdana" w:eastAsia="Calibri" w:hAnsi="Verdana" w:cs="Arial"/>
                <w:bCs/>
                <w:lang w:val="es-MX"/>
              </w:rPr>
            </w:pPr>
            <w:r w:rsidRPr="00E85C62">
              <w:rPr>
                <w:rFonts w:ascii="Verdana" w:eastAsia="Calibri" w:hAnsi="Verdana" w:cs="Arial"/>
                <w:bCs/>
                <w:lang w:val="es-MX"/>
              </w:rPr>
              <w:t xml:space="preserve">Esta regla de inalterabilidad </w:t>
            </w:r>
            <w:r w:rsidRPr="00E85C62">
              <w:rPr>
                <w:rFonts w:ascii="Verdana" w:eastAsia="Calibri" w:hAnsi="Verdana" w:cs="Arial"/>
                <w:bCs/>
                <w:i/>
                <w:iCs/>
                <w:lang w:val="es-MX"/>
              </w:rPr>
              <w:t>también aplica a los formatos, anexos y matrices</w:t>
            </w:r>
            <w:r w:rsidRPr="00E85C62">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C99809F" w14:textId="77777777" w:rsidR="00E85C62" w:rsidRPr="00E85C62" w:rsidRDefault="00E85C62" w:rsidP="00E85C62">
            <w:pPr>
              <w:spacing w:line="276" w:lineRule="auto"/>
              <w:ind w:firstLine="709"/>
              <w:jc w:val="both"/>
              <w:rPr>
                <w:rFonts w:ascii="Verdana" w:eastAsia="Calibri" w:hAnsi="Verdana" w:cs="Arial"/>
                <w:bCs/>
                <w:lang w:val="es-MX"/>
              </w:rPr>
            </w:pPr>
          </w:p>
          <w:p w14:paraId="37E82A88" w14:textId="77777777" w:rsidR="00E85C62" w:rsidRPr="00E85C62" w:rsidRDefault="00E85C62" w:rsidP="00E85C62">
            <w:pPr>
              <w:widowControl w:val="0"/>
              <w:autoSpaceDE w:val="0"/>
              <w:autoSpaceDN w:val="0"/>
              <w:spacing w:after="120" w:line="276" w:lineRule="auto"/>
              <w:jc w:val="both"/>
              <w:rPr>
                <w:rFonts w:ascii="Verdana" w:eastAsia="Calibri" w:hAnsi="Verdana" w:cs="Times New Roman"/>
                <w:lang w:val="es-ES" w:eastAsia="es-MX"/>
              </w:rPr>
            </w:pPr>
            <w:proofErr w:type="spellStart"/>
            <w:r w:rsidRPr="00E85C62">
              <w:rPr>
                <w:rFonts w:ascii="Verdana" w:eastAsia="Calibri" w:hAnsi="Verdana" w:cs="Times New Roman"/>
                <w:lang w:val="es-MX"/>
              </w:rPr>
              <w:t>iii</w:t>
            </w:r>
            <w:proofErr w:type="spellEnd"/>
            <w:r w:rsidRPr="00E85C62">
              <w:rPr>
                <w:rFonts w:ascii="Verdana" w:eastAsia="Calibri" w:hAnsi="Verdana" w:cs="Times New Roman"/>
                <w:lang w:val="es-MX"/>
              </w:rPr>
              <w:t xml:space="preserve">) </w:t>
            </w:r>
            <w:r w:rsidRPr="00E85C62">
              <w:rPr>
                <w:rFonts w:ascii="Verdana" w:eastAsia="Calibri" w:hAnsi="Verdana" w:cs="Arial"/>
                <w:bCs/>
                <w:color w:val="000000"/>
                <w:lang w:eastAsia="es-MX"/>
              </w:rPr>
              <w:t xml:space="preserve">Durante la etapa de planeación como resultado del estudio del sector y del análisis de riesgo, la entidad debe establecer las condiciones necesarias para garantizar la ejecución del contrato, teniendo en cuenta la necesidad que pretende satisfacer, el objeto, alcance, especificaciones técnicas, forma de pago y demás aspectos inherentes al proyecto. De allí que estas condiciones, </w:t>
            </w:r>
            <w:r w:rsidRPr="00E85C62">
              <w:rPr>
                <w:rFonts w:ascii="Verdana" w:eastAsia="Calibri" w:hAnsi="Verdana" w:cs="Arial"/>
                <w:bCs/>
                <w:color w:val="000000"/>
                <w:lang w:eastAsia="es-MX"/>
              </w:rPr>
              <w:lastRenderedPageBreak/>
              <w:t>al ser fijadas por parte de la entidad, pueden implicar modificaciones a los documentos tipo, las cuales deben ser adecuadas, proporcionales y consecuentes con su contenido, respetando el pr</w:t>
            </w:r>
            <w:r w:rsidRPr="00E85C62">
              <w:rPr>
                <w:rFonts w:ascii="Verdana" w:eastAsia="Calibri" w:hAnsi="Verdana" w:cs="Arial"/>
                <w:lang w:eastAsia="es-MX"/>
              </w:rPr>
              <w:t>incipio de inalterabilidad.</w:t>
            </w:r>
          </w:p>
          <w:p w14:paraId="60B463EB" w14:textId="77777777" w:rsidR="00E85C62" w:rsidRPr="00E85C62" w:rsidRDefault="00E85C62" w:rsidP="00E85C62">
            <w:pPr>
              <w:spacing w:line="276" w:lineRule="auto"/>
              <w:ind w:firstLine="708"/>
              <w:jc w:val="both"/>
              <w:rPr>
                <w:rFonts w:ascii="Verdana" w:eastAsia="Calibri" w:hAnsi="Verdana" w:cs="Arial"/>
                <w:kern w:val="2"/>
                <w:lang w:val="es-ES_tradnl"/>
                <w14:ligatures w14:val="standardContextual"/>
              </w:rPr>
            </w:pPr>
            <w:r w:rsidRPr="00E85C62">
              <w:rPr>
                <w:rFonts w:ascii="Verdana" w:eastAsia="Calibri" w:hAnsi="Verdana" w:cs="Arial"/>
                <w:lang w:eastAsia="es-MX"/>
              </w:rPr>
              <w:t xml:space="preserve">El numeral 4.1 del Documento </w:t>
            </w:r>
            <w:r w:rsidRPr="00E85C62">
              <w:rPr>
                <w:rFonts w:ascii="Verdana" w:eastAsia="Calibri" w:hAnsi="Verdana" w:cs="Arial"/>
                <w:kern w:val="2"/>
                <w:lang w:val="es-ES_tradnl"/>
                <w14:ligatures w14:val="standardContextual"/>
              </w:rPr>
              <w:t>base de los documentos tipo de licitación de obra pública de infraestructura social – versión 2 establece lo siguiente en relación con la oferta económica:</w:t>
            </w:r>
          </w:p>
          <w:p w14:paraId="036A1746" w14:textId="77777777" w:rsidR="00E85C62" w:rsidRPr="00E85C62" w:rsidRDefault="00E85C62" w:rsidP="00E85C62">
            <w:pPr>
              <w:spacing w:line="276" w:lineRule="auto"/>
              <w:jc w:val="both"/>
              <w:rPr>
                <w:rFonts w:ascii="Arial" w:eastAsia="Calibri" w:hAnsi="Arial" w:cs="Arial"/>
                <w:kern w:val="2"/>
                <w:lang w:val="es-ES_tradnl"/>
                <w14:ligatures w14:val="standardContextual"/>
              </w:rPr>
            </w:pPr>
          </w:p>
          <w:p w14:paraId="180B974C" w14:textId="77777777" w:rsidR="00E85C62" w:rsidRPr="00E85C62" w:rsidRDefault="00E85C62" w:rsidP="00E85C62">
            <w:pPr>
              <w:shd w:val="clear" w:color="auto" w:fill="FFFFFF"/>
              <w:spacing w:after="120"/>
              <w:ind w:left="709" w:right="709"/>
              <w:jc w:val="both"/>
              <w:rPr>
                <w:rFonts w:ascii="Verdana" w:eastAsia="Aptos" w:hAnsi="Verdana" w:cs="Times New Roman"/>
                <w:kern w:val="2"/>
                <w:sz w:val="21"/>
                <w:szCs w:val="21"/>
                <w14:ligatures w14:val="standardContextual"/>
              </w:rPr>
            </w:pPr>
            <w:r w:rsidRPr="00E85C62">
              <w:rPr>
                <w:rFonts w:ascii="Verdana" w:eastAsia="Arial" w:hAnsi="Verdana" w:cs="Arial"/>
                <w:kern w:val="2"/>
                <w:sz w:val="21"/>
                <w:szCs w:val="21"/>
                <w:lang w:val="es-MX"/>
                <w14:ligatures w14:val="standardContextual"/>
              </w:rPr>
              <w:t>“[</w:t>
            </w:r>
            <w:r w:rsidRPr="00E85C62">
              <w:rPr>
                <w:rFonts w:ascii="Verdana" w:eastAsia="Arial" w:hAnsi="Verdana" w:cs="Arial"/>
                <w:kern w:val="2"/>
                <w:sz w:val="21"/>
                <w:szCs w:val="21"/>
                <w:highlight w:val="lightGray"/>
                <w:lang w:val="es-MX"/>
                <w14:ligatures w14:val="standardContextual"/>
              </w:rPr>
              <w:t xml:space="preserve">La Entidad debe indicar si la forma de pago es por precio global, llave en mano, precios unitarios, </w:t>
            </w:r>
            <w:r w:rsidRPr="00E85C62">
              <w:rPr>
                <w:rFonts w:ascii="Verdana" w:eastAsia="Arial" w:hAnsi="Verdana" w:cs="Arial"/>
                <w:b/>
                <w:bCs/>
                <w:i/>
                <w:iCs/>
                <w:kern w:val="2"/>
                <w:sz w:val="21"/>
                <w:szCs w:val="21"/>
                <w:highlight w:val="lightGray"/>
                <w:lang w:val="es-MX"/>
                <w14:ligatures w14:val="standardContextual"/>
              </w:rPr>
              <w:t>administración delegada</w:t>
            </w:r>
            <w:r w:rsidRPr="00E85C62">
              <w:rPr>
                <w:rFonts w:ascii="Verdana" w:eastAsia="Arial" w:hAnsi="Verdana" w:cs="Arial"/>
                <w:kern w:val="2"/>
                <w:sz w:val="21"/>
                <w:szCs w:val="21"/>
                <w:highlight w:val="lightGray"/>
                <w:lang w:val="es-MX"/>
                <w14:ligatures w14:val="standardContextual"/>
              </w:rPr>
              <w:t>, reembolso de gastos o la que determine.</w:t>
            </w:r>
            <w:r w:rsidRPr="00E85C62">
              <w:rPr>
                <w:rFonts w:ascii="Verdana" w:eastAsia="Aptos" w:hAnsi="Verdana" w:cs="Times New Roman"/>
                <w:kern w:val="2"/>
                <w:sz w:val="21"/>
                <w:szCs w:val="21"/>
                <w:highlight w:val="lightGray"/>
                <w:lang w:val="es-MX"/>
                <w14:ligatures w14:val="standardContextual"/>
              </w:rPr>
              <w:t xml:space="preserve"> El Anexo 1 – Anexo Técnico y el Formulario 1– Formulario de </w:t>
            </w:r>
            <w:r w:rsidRPr="00E85C62">
              <w:rPr>
                <w:rFonts w:ascii="Verdana" w:eastAsia="Aptos" w:hAnsi="Verdana" w:cs="Times New Roman"/>
                <w:kern w:val="2"/>
                <w:sz w:val="21"/>
                <w:szCs w:val="21"/>
                <w:highlight w:val="lightGray"/>
                <w14:ligatures w14:val="standardContextual"/>
              </w:rPr>
              <w:t>Presupuesto Oficial debe ser concordante con la modalidad de pago seleccionada]</w:t>
            </w:r>
          </w:p>
          <w:p w14:paraId="0FB8014D" w14:textId="77777777" w:rsidR="00E85C62" w:rsidRPr="00E85C62" w:rsidRDefault="00E85C62" w:rsidP="00E85C62">
            <w:pPr>
              <w:shd w:val="clear" w:color="auto" w:fill="FFFFFF"/>
              <w:spacing w:after="120"/>
              <w:ind w:left="709" w:right="709"/>
              <w:jc w:val="both"/>
              <w:rPr>
                <w:rFonts w:ascii="Verdana" w:eastAsia="Aptos" w:hAnsi="Verdana" w:cs="Times New Roman"/>
                <w:kern w:val="2"/>
                <w:sz w:val="21"/>
                <w:szCs w:val="21"/>
                <w14:ligatures w14:val="standardContextual"/>
              </w:rPr>
            </w:pPr>
            <w:r w:rsidRPr="00E85C62">
              <w:rPr>
                <w:rFonts w:ascii="Verdana" w:eastAsia="Aptos" w:hAnsi="Verdana" w:cs="Times New Roman"/>
                <w:kern w:val="2"/>
                <w:sz w:val="21"/>
                <w:szCs w:val="21"/>
                <w:highlight w:val="lightGray"/>
                <w14:ligatures w14:val="standardContextual"/>
              </w:rPr>
              <w:t xml:space="preserve">[Cuando el presupuesto del Proceso de Contratación es estructurado por Precios Unitarios, la </w:t>
            </w:r>
            <w:r w:rsidRPr="00E85C62" w:rsidDel="1355DA3D">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ntidad debe aplicar las notas señaladas en el Formulario 1 – Formulario de Presupuesto oficial.]</w:t>
            </w:r>
          </w:p>
          <w:p w14:paraId="21168D6A" w14:textId="77777777" w:rsidR="00E85C62" w:rsidRPr="00E85C62" w:rsidRDefault="00E85C62" w:rsidP="00E85C62">
            <w:pPr>
              <w:shd w:val="clear" w:color="auto" w:fill="FFFFFF"/>
              <w:spacing w:after="120"/>
              <w:ind w:left="709" w:right="709"/>
              <w:jc w:val="both"/>
              <w:rPr>
                <w:rFonts w:ascii="Verdana" w:eastAsia="Aptos" w:hAnsi="Verdana" w:cs="Times New Roman"/>
                <w:kern w:val="2"/>
                <w:sz w:val="21"/>
                <w:szCs w:val="21"/>
                <w14:ligatures w14:val="standardContextual"/>
              </w:rPr>
            </w:pPr>
            <w:r w:rsidRPr="00E85C62">
              <w:rPr>
                <w:rFonts w:ascii="Verdana" w:eastAsia="Aptos" w:hAnsi="Verdana" w:cs="Times New Roman"/>
                <w:kern w:val="2"/>
                <w:sz w:val="21"/>
                <w:szCs w:val="21"/>
                <w14:ligatures w14:val="standardContextual"/>
              </w:rPr>
              <w:t>Para calificar este factor se tendrá en cuenta el valor total indicado en la propuesta económica o el obtenido de la corrección aritmética. La propuesta económica deberá ser allegada en el Sobre No. 2.</w:t>
            </w:r>
          </w:p>
          <w:p w14:paraId="793BD5F3" w14:textId="77777777" w:rsidR="00E85C62" w:rsidRPr="00E85C62" w:rsidRDefault="00E85C62" w:rsidP="00E85C62">
            <w:pPr>
              <w:shd w:val="clear" w:color="auto" w:fill="FFFFFF"/>
              <w:spacing w:after="120"/>
              <w:ind w:left="709" w:right="709"/>
              <w:jc w:val="both"/>
              <w:rPr>
                <w:rFonts w:ascii="Verdana" w:eastAsia="Aptos" w:hAnsi="Verdana" w:cs="Times New Roman"/>
                <w:kern w:val="2"/>
                <w:sz w:val="21"/>
                <w:szCs w:val="21"/>
                <w:highlight w:val="lightGray"/>
                <w14:ligatures w14:val="standardContextual"/>
              </w:rPr>
            </w:pPr>
            <w:r w:rsidRPr="00E85C62">
              <w:rPr>
                <w:rFonts w:ascii="Verdana" w:eastAsia="Aptos" w:hAnsi="Verdana" w:cs="Times New Roman"/>
                <w:kern w:val="2"/>
                <w:sz w:val="21"/>
                <w:szCs w:val="21"/>
                <w:highlight w:val="lightGray"/>
                <w14:ligatures w14:val="standardContextual"/>
              </w:rPr>
              <w:t xml:space="preserve">[La </w:t>
            </w:r>
            <w:r w:rsidRPr="00E85C62" w:rsidDel="57F4FB36">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 xml:space="preserve">ntidad debe configurar el </w:t>
            </w:r>
            <w:r w:rsidRPr="00E85C62" w:rsidDel="57F4FB36">
              <w:rPr>
                <w:rFonts w:ascii="Verdana" w:eastAsia="Aptos" w:hAnsi="Verdana" w:cs="Times New Roman"/>
                <w:kern w:val="2"/>
                <w:sz w:val="21"/>
                <w:szCs w:val="21"/>
                <w:highlight w:val="lightGray"/>
                <w14:ligatures w14:val="standardContextual"/>
              </w:rPr>
              <w:t>F</w:t>
            </w:r>
            <w:r w:rsidRPr="00E85C62">
              <w:rPr>
                <w:rFonts w:ascii="Verdana" w:eastAsia="Aptos" w:hAnsi="Verdana" w:cs="Times New Roman"/>
                <w:kern w:val="2"/>
                <w:sz w:val="21"/>
                <w:szCs w:val="21"/>
                <w:highlight w:val="lightGray"/>
                <w14:ligatures w14:val="standardContextual"/>
              </w:rPr>
              <w:t xml:space="preserve">ormato de oferta económica que se encuentra en el Formulario 1 – Formulario de Presupuesto Oficial, para que sea diligenciado por los </w:t>
            </w:r>
            <w:r w:rsidRPr="00E85C62" w:rsidDel="57F4FB36">
              <w:rPr>
                <w:rFonts w:ascii="Verdana" w:eastAsia="Aptos" w:hAnsi="Verdana" w:cs="Times New Roman"/>
                <w:kern w:val="2"/>
                <w:sz w:val="21"/>
                <w:szCs w:val="21"/>
                <w:highlight w:val="lightGray"/>
                <w14:ligatures w14:val="standardContextual"/>
              </w:rPr>
              <w:t>P</w:t>
            </w:r>
            <w:r w:rsidRPr="00E85C62">
              <w:rPr>
                <w:rFonts w:ascii="Verdana" w:eastAsia="Aptos" w:hAnsi="Verdana" w:cs="Times New Roman"/>
                <w:kern w:val="2"/>
                <w:sz w:val="21"/>
                <w:szCs w:val="21"/>
                <w:highlight w:val="lightGray"/>
                <w14:ligatures w14:val="standardContextual"/>
              </w:rPr>
              <w:t xml:space="preserve">roponentes. </w:t>
            </w:r>
          </w:p>
          <w:p w14:paraId="078BBF32" w14:textId="77777777" w:rsidR="00E85C62" w:rsidRPr="00E85C62" w:rsidRDefault="00E85C62" w:rsidP="00E85C62">
            <w:pPr>
              <w:shd w:val="clear" w:color="auto" w:fill="FFFFFF"/>
              <w:spacing w:after="120"/>
              <w:ind w:left="709" w:right="709"/>
              <w:jc w:val="both"/>
              <w:rPr>
                <w:rFonts w:ascii="Verdana" w:eastAsia="Aptos" w:hAnsi="Verdana" w:cs="Times New Roman"/>
                <w:kern w:val="2"/>
                <w:sz w:val="21"/>
                <w:szCs w:val="21"/>
                <w:lang w:val="es-MX"/>
                <w14:ligatures w14:val="standardContextual"/>
              </w:rPr>
            </w:pPr>
            <w:r w:rsidRPr="00E85C62">
              <w:rPr>
                <w:rFonts w:ascii="Verdana" w:eastAsia="Aptos" w:hAnsi="Verdana" w:cs="Times New Roman"/>
                <w:kern w:val="2"/>
                <w:sz w:val="21"/>
                <w:szCs w:val="21"/>
                <w:highlight w:val="lightGray"/>
                <w14:ligatures w14:val="standardContextual"/>
              </w:rPr>
              <w:t xml:space="preserve">[La </w:t>
            </w:r>
            <w:r w:rsidRPr="00E85C62" w:rsidDel="00DD3F5A">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ntidad debe incluir el Formulario</w:t>
            </w:r>
            <w:r w:rsidRPr="00E85C62">
              <w:rPr>
                <w:rFonts w:ascii="Verdana" w:eastAsia="Aptos" w:hAnsi="Verdana" w:cs="Times New Roman"/>
                <w:kern w:val="2"/>
                <w:sz w:val="21"/>
                <w:szCs w:val="21"/>
                <w:highlight w:val="lightGray"/>
                <w:lang w:val="es-MX"/>
                <w14:ligatures w14:val="standardContextual"/>
              </w:rPr>
              <w:t xml:space="preserve"> 1 – Formulario de Presupuesto Oficial y la oferta económica en formato Excel. En ningún caso la Entidad podrá incluir causales de rechazo o reglas que diferentes a las establecidas en el presente documento]</w:t>
            </w:r>
            <w:r w:rsidRPr="00E85C62">
              <w:rPr>
                <w:rFonts w:ascii="Verdana" w:eastAsia="Aptos" w:hAnsi="Verdana" w:cs="Times New Roman"/>
                <w:kern w:val="2"/>
                <w:sz w:val="21"/>
                <w:szCs w:val="21"/>
                <w:lang w:val="es-MX"/>
                <w14:ligatures w14:val="standardContextual"/>
              </w:rPr>
              <w:t xml:space="preserve"> </w:t>
            </w:r>
          </w:p>
          <w:p w14:paraId="173294A5" w14:textId="77777777" w:rsidR="00E85C62" w:rsidRPr="00E85C62" w:rsidRDefault="00E85C62" w:rsidP="00E85C62">
            <w:pPr>
              <w:shd w:val="clear" w:color="auto" w:fill="FFFFFF"/>
              <w:ind w:left="709" w:right="709"/>
              <w:jc w:val="both"/>
              <w:rPr>
                <w:rFonts w:ascii="Verdana" w:eastAsia="Aptos" w:hAnsi="Verdana" w:cs="Times New Roman"/>
                <w:kern w:val="2"/>
                <w:sz w:val="21"/>
                <w:szCs w:val="21"/>
                <w:lang w:val="es-MX"/>
                <w14:ligatures w14:val="standardContextual"/>
              </w:rPr>
            </w:pPr>
            <w:r w:rsidRPr="00E85C62">
              <w:rPr>
                <w:rFonts w:ascii="Verdana" w:eastAsia="Aptos" w:hAnsi="Verdana" w:cs="Times New Roman"/>
                <w:kern w:val="2"/>
                <w:sz w:val="21"/>
                <w:szCs w:val="21"/>
                <w:lang w:val="es-MX"/>
                <w14:ligatures w14:val="standardContextual"/>
              </w:rPr>
              <w:t xml:space="preserve">(…)”. </w:t>
            </w:r>
            <w:r w:rsidRPr="00E85C62">
              <w:rPr>
                <w:rFonts w:ascii="Verdana" w:eastAsia="Aptos" w:hAnsi="Verdana" w:cs="Times New Roman"/>
                <w:sz w:val="21"/>
                <w:szCs w:val="21"/>
                <w:lang w:val="es-MX"/>
              </w:rPr>
              <w:t>(</w:t>
            </w:r>
            <w:proofErr w:type="spellStart"/>
            <w:r w:rsidRPr="00E85C62">
              <w:rPr>
                <w:rFonts w:ascii="Verdana" w:eastAsia="Aptos" w:hAnsi="Verdana" w:cs="Times New Roman"/>
                <w:sz w:val="21"/>
                <w:szCs w:val="21"/>
                <w:lang w:val="es-MX"/>
              </w:rPr>
              <w:t>enfasis</w:t>
            </w:r>
            <w:proofErr w:type="spellEnd"/>
            <w:r w:rsidRPr="00E85C62">
              <w:rPr>
                <w:rFonts w:ascii="Verdana" w:eastAsia="Aptos" w:hAnsi="Verdana" w:cs="Times New Roman"/>
                <w:sz w:val="21"/>
                <w:szCs w:val="21"/>
                <w:lang w:val="es-MX"/>
              </w:rPr>
              <w:t xml:space="preserve"> fuera del texto original)</w:t>
            </w:r>
          </w:p>
          <w:p w14:paraId="0A7D2941" w14:textId="77777777" w:rsidR="00E85C62" w:rsidRPr="00E85C62" w:rsidRDefault="00E85C62" w:rsidP="00E85C62">
            <w:pPr>
              <w:shd w:val="clear" w:color="auto" w:fill="FFFFFF"/>
              <w:ind w:left="709" w:right="709"/>
              <w:jc w:val="both"/>
              <w:rPr>
                <w:rFonts w:ascii="Verdana" w:eastAsia="Aptos" w:hAnsi="Verdana" w:cs="Times New Roman"/>
                <w:kern w:val="2"/>
                <w:sz w:val="21"/>
                <w:szCs w:val="21"/>
                <w:lang w:val="es-MX"/>
                <w14:ligatures w14:val="standardContextual"/>
              </w:rPr>
            </w:pPr>
          </w:p>
          <w:p w14:paraId="7EA455A3" w14:textId="77777777" w:rsidR="00E85C62" w:rsidRPr="00E85C62" w:rsidRDefault="00E85C62" w:rsidP="00E85C62">
            <w:pPr>
              <w:spacing w:line="276" w:lineRule="auto"/>
              <w:jc w:val="both"/>
              <w:rPr>
                <w:rFonts w:ascii="Verdana" w:eastAsia="Calibri" w:hAnsi="Verdana" w:cs="Arial"/>
                <w:bCs/>
                <w:color w:val="000000"/>
                <w:lang w:eastAsia="es-MX"/>
              </w:rPr>
            </w:pPr>
            <w:r w:rsidRPr="00E85C62">
              <w:rPr>
                <w:rFonts w:ascii="Arial" w:eastAsia="Calibri" w:hAnsi="Arial" w:cs="Arial"/>
                <w:kern w:val="2"/>
                <w:sz w:val="24"/>
                <w:szCs w:val="24"/>
                <w:lang w:val="es-MX"/>
                <w14:ligatures w14:val="standardContextual"/>
              </w:rPr>
              <w:tab/>
            </w:r>
            <w:r w:rsidRPr="00E85C62">
              <w:rPr>
                <w:rFonts w:ascii="Verdana" w:eastAsia="Calibri" w:hAnsi="Verdana" w:cs="Arial"/>
                <w:kern w:val="2"/>
                <w:lang w:val="es-ES_tradnl"/>
                <w14:ligatures w14:val="standardContextual"/>
              </w:rPr>
              <w:t>Los párrafos que están en corchetes son notas aclaratorias o instrucciones para la entidad contratante, que deben ser seguidas sin vulnerar el carácter obligatorio y la regla</w:t>
            </w:r>
            <w:r w:rsidRPr="00E85C62">
              <w:rPr>
                <w:rFonts w:ascii="Arial" w:eastAsia="Calibri" w:hAnsi="Arial" w:cs="Arial"/>
                <w:kern w:val="2"/>
                <w:lang w:val="es-ES_tradnl"/>
                <w14:ligatures w14:val="standardContextual"/>
              </w:rPr>
              <w:t xml:space="preserve"> </w:t>
            </w:r>
            <w:r w:rsidRPr="00E85C62">
              <w:rPr>
                <w:rFonts w:ascii="Verdana" w:eastAsia="Calibri" w:hAnsi="Verdana" w:cs="Arial"/>
                <w:kern w:val="2"/>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w:t>
            </w:r>
            <w:r w:rsidRPr="00E85C62">
              <w:rPr>
                <w:rFonts w:ascii="Verdana" w:eastAsia="Calibri" w:hAnsi="Verdana" w:cs="Arial"/>
                <w:kern w:val="2"/>
                <w:lang w:val="es-ES_tradnl"/>
                <w14:ligatures w14:val="standardContextual"/>
              </w:rPr>
              <w:lastRenderedPageBreak/>
              <w:t xml:space="preserve">expresamente la posibilidad </w:t>
            </w:r>
            <w:r w:rsidRPr="00E85C62">
              <w:rPr>
                <w:rFonts w:ascii="Verdana" w:eastAsia="Calibri" w:hAnsi="Verdana" w:cs="Arial"/>
                <w:bCs/>
                <w:color w:val="000000"/>
                <w:lang w:eastAsia="es-MX"/>
              </w:rPr>
              <w:t xml:space="preserve">de que la entidad defina una modalidad distinta bajo la expresión “o la que determine”. </w:t>
            </w:r>
          </w:p>
          <w:p w14:paraId="017642CF" w14:textId="77777777" w:rsidR="00E85C62" w:rsidRPr="00E85C62" w:rsidRDefault="00E85C62" w:rsidP="00E85C62">
            <w:pPr>
              <w:spacing w:before="120" w:after="120" w:line="276" w:lineRule="auto"/>
              <w:ind w:firstLine="708"/>
              <w:jc w:val="both"/>
              <w:rPr>
                <w:rFonts w:ascii="Verdana" w:eastAsia="Calibri" w:hAnsi="Verdana" w:cs="Arial"/>
                <w:kern w:val="2"/>
                <w:lang w:val="es-ES_tradnl"/>
                <w14:ligatures w14:val="standardContextual"/>
              </w:rPr>
            </w:pPr>
            <w:r w:rsidRPr="00E85C62">
              <w:rPr>
                <w:rFonts w:ascii="Verdana" w:eastAsia="Calibri" w:hAnsi="Verdana" w:cs="Arial"/>
                <w:bCs/>
                <w:color w:val="000000"/>
                <w:lang w:eastAsia="es-MX"/>
              </w:rPr>
              <w:t>En todo</w:t>
            </w:r>
            <w:r w:rsidRPr="00E85C62">
              <w:rPr>
                <w:rFonts w:ascii="Verdana" w:eastAsia="Calibri" w:hAnsi="Verdana" w:cs="Arial"/>
                <w:kern w:val="2"/>
                <w:lang w:val="es-ES_tradnl"/>
                <w14:ligatures w14:val="standardContextua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30EDA497" w14:textId="77777777" w:rsidR="00E85C62" w:rsidRPr="00E85C62" w:rsidRDefault="00E85C62" w:rsidP="00E85C62">
            <w:pPr>
              <w:snapToGrid w:val="0"/>
              <w:spacing w:after="120" w:line="276" w:lineRule="auto"/>
              <w:ind w:firstLine="708"/>
              <w:jc w:val="both"/>
              <w:rPr>
                <w:rFonts w:ascii="Verdana" w:eastAsia="Calibri" w:hAnsi="Verdana" w:cs="Arial"/>
                <w:sz w:val="21"/>
                <w:szCs w:val="21"/>
                <w:lang w:val="es-MX"/>
              </w:rPr>
            </w:pPr>
            <w:r w:rsidRPr="00E85C62">
              <w:rPr>
                <w:rFonts w:ascii="Verdana" w:eastAsia="Calibri" w:hAnsi="Verdana" w:cs="Arial"/>
                <w:bCs/>
                <w:color w:val="000000"/>
                <w:lang w:eastAsia="es-MX"/>
              </w:rPr>
              <w:t xml:space="preserve">Precisamente, la Agencia Nacional de Contratación Pública – Colombia Compra Eficiente, considerando que para establecer el valor y la forma de pago de los contratos de obra existen diferentes métodos, tales como: i) precios unitarios; </w:t>
            </w:r>
            <w:proofErr w:type="spellStart"/>
            <w:r w:rsidRPr="00E85C62">
              <w:rPr>
                <w:rFonts w:ascii="Verdana" w:eastAsia="Calibri" w:hAnsi="Verdana" w:cs="Arial"/>
                <w:bCs/>
                <w:color w:val="000000"/>
                <w:lang w:eastAsia="es-MX"/>
              </w:rPr>
              <w:t>ii</w:t>
            </w:r>
            <w:proofErr w:type="spellEnd"/>
            <w:r w:rsidRPr="00E85C62">
              <w:rPr>
                <w:rFonts w:ascii="Verdana" w:eastAsia="Calibri" w:hAnsi="Verdana" w:cs="Arial"/>
                <w:bCs/>
                <w:color w:val="000000"/>
                <w:lang w:eastAsia="es-MX"/>
              </w:rPr>
              <w:t xml:space="preserve">) precio global; </w:t>
            </w:r>
            <w:proofErr w:type="spellStart"/>
            <w:r w:rsidRPr="00E85C62">
              <w:rPr>
                <w:rFonts w:ascii="Verdana" w:eastAsia="Calibri" w:hAnsi="Verdana" w:cs="Arial"/>
                <w:bCs/>
                <w:color w:val="000000"/>
                <w:lang w:eastAsia="es-MX"/>
              </w:rPr>
              <w:t>iii</w:t>
            </w:r>
            <w:proofErr w:type="spellEnd"/>
            <w:r w:rsidRPr="00E85C62">
              <w:rPr>
                <w:rFonts w:ascii="Verdana" w:eastAsia="Calibri" w:hAnsi="Verdana" w:cs="Arial"/>
                <w:bCs/>
                <w:color w:val="000000"/>
                <w:lang w:eastAsia="es-MX"/>
              </w:rPr>
              <w:t xml:space="preserve">) llave en mano; </w:t>
            </w:r>
            <w:proofErr w:type="spellStart"/>
            <w:r w:rsidRPr="00E85C62">
              <w:rPr>
                <w:rFonts w:ascii="Verdana" w:eastAsia="Calibri" w:hAnsi="Verdana" w:cs="Arial"/>
                <w:bCs/>
                <w:color w:val="000000"/>
                <w:lang w:eastAsia="es-MX"/>
              </w:rPr>
              <w:t>iv</w:t>
            </w:r>
            <w:proofErr w:type="spellEnd"/>
            <w:r w:rsidRPr="00E85C62">
              <w:rPr>
                <w:rFonts w:ascii="Verdana" w:eastAsia="Calibri" w:hAnsi="Verdana" w:cs="Arial"/>
                <w:bCs/>
                <w:color w:val="000000"/>
                <w:lang w:eastAsia="es-MX"/>
              </w:rPr>
              <w:t xml:space="preserve">) administración delegada; y v) reembolso de gastos, entre otros, ha previsto en los documentos tipo en general, y en los de licitación de obra pública de infraestructura social – versión 2, que el “Formulario 1 – Propuesto Oficial” sea un instrumento flexible. La entidad estatal puede utilizarlo, modificarlo o reemplazarlo por un formulario distinto, según las particularidades del proceso de contratación, siempre que no se modifiquen, alteren o contraríen las condiciones habilitantes, los factores técnicos y económicos de escogencia ni los sistemas de ponderación definidos en el documento base. </w:t>
            </w:r>
          </w:p>
          <w:p w14:paraId="27D000D6" w14:textId="77777777" w:rsidR="00E85C62" w:rsidRPr="00E85C62" w:rsidRDefault="00E85C62" w:rsidP="00E85C62">
            <w:pPr>
              <w:snapToGrid w:val="0"/>
              <w:spacing w:after="120" w:line="276" w:lineRule="auto"/>
              <w:ind w:firstLine="708"/>
              <w:jc w:val="both"/>
              <w:rPr>
                <w:rFonts w:ascii="Verdana" w:eastAsia="Calibri" w:hAnsi="Verdana" w:cs="Arial"/>
                <w:bCs/>
                <w:color w:val="000000"/>
                <w:lang w:eastAsia="es-MX"/>
              </w:rPr>
            </w:pPr>
            <w:r w:rsidRPr="00E85C62">
              <w:rPr>
                <w:rFonts w:ascii="Verdana" w:eastAsia="Calibri" w:hAnsi="Verdana" w:cs="Arial"/>
                <w:bCs/>
                <w:color w:val="000000"/>
                <w:lang w:eastAsia="es-MX"/>
              </w:rPr>
              <w:t>En efecto, el Formulario 1 – Presupuesto Oficial se compone de dos secciones. En la sección dirigida a la Entidad se indica que esta “puede utilizar este Formulario de detalle del Presupuesto Oficial para determinar las condiciones bajo las cuales los Proponentes analizarán y presentarán su propuesta económica de forma detallada, sin perjuicio que la Entidad pueda modificarlo o establecer la presentación de la oferta económica con un Formulario distinto al indicado”. En la sección dirigida al Proponente se reitera esta facultad y se precisa que “(l)os Proponentes emplearán el Formulario establecido por la Entidad para determinar su propuesta económica conforme al Formulario 1 - Presupuesto Oficial publicado por la Entidad”. De esta forma, se reconoce expresamente que la entidad puede utilizar, modificar o sustituir el formulario, cualquiera que sea la forma de pago escogida.</w:t>
            </w:r>
          </w:p>
          <w:p w14:paraId="71BCD7C3" w14:textId="77777777" w:rsidR="00E85C62" w:rsidRPr="00E85C62" w:rsidRDefault="00E85C62" w:rsidP="00E85C62">
            <w:pPr>
              <w:snapToGrid w:val="0"/>
              <w:spacing w:after="120" w:line="276" w:lineRule="auto"/>
              <w:ind w:firstLine="708"/>
              <w:jc w:val="both"/>
              <w:rPr>
                <w:rFonts w:ascii="Verdana" w:eastAsia="Calibri" w:hAnsi="Verdana" w:cs="Arial"/>
                <w:bCs/>
                <w:color w:val="000000"/>
                <w:lang w:eastAsia="es-MX"/>
              </w:rPr>
            </w:pPr>
            <w:r w:rsidRPr="00E85C62">
              <w:rPr>
                <w:rFonts w:ascii="Verdana" w:eastAsia="Calibri" w:hAnsi="Verdana" w:cs="Arial"/>
                <w:bCs/>
                <w:color w:val="000000"/>
                <w:lang w:eastAsia="es-MX"/>
              </w:rPr>
              <w:t xml:space="preserve">Esta facultad no es ilimitada. El propio formulario advierte que, en caso de modificarlo, no se deben incluir causales de rechazo, reglas o parámetros </w:t>
            </w:r>
            <w:r w:rsidRPr="00E85C62">
              <w:rPr>
                <w:rFonts w:ascii="Verdana" w:eastAsia="Calibri" w:hAnsi="Verdana" w:cs="Arial"/>
                <w:bCs/>
                <w:color w:val="000000"/>
                <w:lang w:eastAsia="es-MX"/>
              </w:rPr>
              <w:lastRenderedPageBreak/>
              <w:t>contrarios a los definidos en el documento base. Como las reglas del proceso solo se encuentran en dicho documento, la entidad no puede incorporar en el formulario notas que se configuren en reglas contrarias a las allí establecidas. Las notas que se incluyan únicamente pueden ser aclaratorias para efectos del diligenciamiento del formato.</w:t>
            </w:r>
          </w:p>
          <w:p w14:paraId="74AE3701" w14:textId="77777777" w:rsidR="00E85C62" w:rsidRPr="00E85C62" w:rsidRDefault="00E85C62" w:rsidP="00E85C62">
            <w:pPr>
              <w:snapToGrid w:val="0"/>
              <w:spacing w:after="120" w:line="276" w:lineRule="auto"/>
              <w:ind w:firstLine="708"/>
              <w:jc w:val="both"/>
              <w:rPr>
                <w:rFonts w:ascii="Verdana" w:eastAsia="Calibri" w:hAnsi="Verdana" w:cs="Arial"/>
                <w:bCs/>
                <w:color w:val="000000"/>
                <w:lang w:eastAsia="es-MX"/>
              </w:rPr>
            </w:pPr>
            <w:r w:rsidRPr="00E85C62">
              <w:rPr>
                <w:rFonts w:ascii="Verdana" w:eastAsia="Calibri" w:hAnsi="Verdana" w:cs="Arial"/>
                <w:bCs/>
                <w:color w:val="000000"/>
                <w:lang w:eastAsia="es-MX"/>
              </w:rPr>
              <w:t>Ahora bien, cuando la entidad decida aplicar formas de pago como precio global, llave en mano, administración delegada, reembolso de gastos o cualquier otra forma de precio, podrá adecuar el Formulario 1 – Formulario del Presupuesto Oficial a las particularidades de la modalidad escogida o establecer un formulario distinto, de tal manera que cumpla su doble función. Esta posibilidad ya no constituye una atenuación del principio de inalterabilidad, sino una facultad expresamente prevista en el propio formulario, que concilia la obligatoriedad de aplicar los documentos tipo con la potestad de las entidades para definir la forma de pago de sus contratos, siempre que ello no contravenga lo dispuesto en el documento base u otros documentos tipo. No obstante, con independencia de la modalidad de pago seleccionada y de los ajustes realizados, la entidad debe publicar el formulario que servirá de base para la estructuración de las propuestas económicas.</w:t>
            </w:r>
          </w:p>
          <w:p w14:paraId="5A811DD1" w14:textId="77777777" w:rsidR="00E85C62" w:rsidRPr="00E85C62" w:rsidRDefault="00E85C62" w:rsidP="00E85C62">
            <w:pPr>
              <w:snapToGrid w:val="0"/>
              <w:spacing w:after="120" w:line="276" w:lineRule="auto"/>
              <w:ind w:firstLine="708"/>
              <w:jc w:val="both"/>
              <w:rPr>
                <w:rFonts w:ascii="Verdana" w:eastAsia="Calibri" w:hAnsi="Verdana" w:cs="Arial"/>
                <w:bCs/>
                <w:color w:val="000000"/>
                <w:lang w:eastAsia="es-MX"/>
              </w:rPr>
            </w:pPr>
            <w:r w:rsidRPr="00E85C62">
              <w:rPr>
                <w:rFonts w:ascii="Verdana" w:eastAsia="Calibri" w:hAnsi="Verdana" w:cs="Arial"/>
                <w:bCs/>
                <w:color w:val="000000"/>
                <w:lang w:eastAsia="es-MX"/>
              </w:rPr>
              <w:t>En conclusión, en el marco de la aplicación de los documentos tipo de licitación de obra pública de infraestructura social – versión 2, las entidades estatales tienen la facultad de decidir la metodología de determinación del Presupuesto Oficial y el sistema de pago que consideren adecuado. Cuando opten por precios unitarios, podrán utilizar el Formulario 1 en los términos previstos o con los ajustes que requiera el proceso, sin incluir reglas contrarias al documento base, y deberán aplicar las notas 1, 2 y 3 e incluir en el pliego de condiciones las causales de rechazo relacionadas con esa modalidad.</w:t>
            </w:r>
          </w:p>
          <w:p w14:paraId="2661CFE4" w14:textId="77777777" w:rsidR="00E85C62" w:rsidRPr="00E85C62" w:rsidRDefault="00E85C62" w:rsidP="00E85C62">
            <w:pPr>
              <w:snapToGrid w:val="0"/>
              <w:spacing w:before="120" w:after="120" w:line="276" w:lineRule="auto"/>
              <w:ind w:firstLine="708"/>
              <w:jc w:val="both"/>
              <w:rPr>
                <w:rFonts w:ascii="Verdana" w:eastAsia="Calibri" w:hAnsi="Verdana" w:cs="Arial"/>
                <w:bCs/>
                <w:color w:val="000000"/>
                <w:lang w:eastAsia="es-MX"/>
              </w:rPr>
            </w:pPr>
            <w:r w:rsidRPr="00E85C62">
              <w:rPr>
                <w:rFonts w:ascii="Verdana" w:eastAsia="Calibri" w:hAnsi="Verdana" w:cs="Arial"/>
                <w:bCs/>
                <w:color w:val="000000"/>
                <w:lang w:eastAsia="es-MX"/>
              </w:rPr>
              <w:t xml:space="preserve">Por el contrario, cuando se opte por otra modalidad de pago, ya sea precio global, llave en mano, administración delegada, reembolso de gastos o cualquier otra forma de precio, la entidad podrá ajustar el Formulario 1 o establecer un formulario distinto que cumpla su doble finalidad de servir como formato del presupuesto oficial y para la presentación de las ofertas, de acuerdo con las particularidades de la forma de pago escogida. En este evento, en principio, se deberá prescindir de las causales de rechazo de los literales N, O y P en el pliego de condiciones, pues están establecidas para procesos con </w:t>
            </w:r>
            <w:r w:rsidRPr="00E85C62">
              <w:rPr>
                <w:rFonts w:ascii="Verdana" w:eastAsia="Calibri" w:hAnsi="Verdana" w:cs="Arial"/>
                <w:bCs/>
                <w:color w:val="000000"/>
                <w:lang w:eastAsia="es-MX"/>
              </w:rPr>
              <w:lastRenderedPageBreak/>
              <w:t>precios unitarios. Lo anterior sin perjuicio de que la causal del literal P, relativa a los procesos cuyo precio se estructura con la metodología del AIU, pueda aplicarse en contratos que no se estructuren por precios unitarios cuando en ellos se utilice dicha metodología, aunque el AIU suele emplearse principalmente en contratos por precios unitarios.</w:t>
            </w:r>
          </w:p>
          <w:p w14:paraId="11712610" w14:textId="77777777" w:rsidR="00E85C62" w:rsidRPr="00E85C62" w:rsidRDefault="00E85C62" w:rsidP="00E85C62">
            <w:pPr>
              <w:spacing w:before="120" w:after="120" w:line="276" w:lineRule="auto"/>
              <w:jc w:val="both"/>
              <w:rPr>
                <w:rFonts w:ascii="Verdana" w:eastAsia="Calibri" w:hAnsi="Verdana" w:cs="Arial"/>
                <w:bCs/>
                <w:color w:val="000000"/>
                <w:kern w:val="2"/>
                <w:lang w:eastAsia="es-MX"/>
                <w14:ligatures w14:val="standardContextual"/>
              </w:rPr>
            </w:pPr>
            <w:r w:rsidRPr="00E85C62">
              <w:rPr>
                <w:rFonts w:ascii="Verdana" w:eastAsia="Arial" w:hAnsi="Verdana" w:cs="Arial"/>
              </w:rPr>
              <w:tab/>
            </w:r>
            <w:r w:rsidRPr="00E85C62">
              <w:rPr>
                <w:rFonts w:ascii="Verdana" w:eastAsia="Calibri" w:hAnsi="Verdana" w:cs="Arial"/>
                <w:bCs/>
                <w:color w:val="000000"/>
                <w:kern w:val="2"/>
                <w:lang w:eastAsia="es-MX"/>
                <w14:ligatures w14:val="standardContextual"/>
              </w:rPr>
              <w:t xml:space="preserve">Por otra parte, de acuerdo con el numeral “4.1.4 Determinación del método para la ponderación de la propuesta económica”, del documento base de los Documentos Tipo de licitación de obra pública de infraestructura social – versión 2, el método de ponderación de la propuesta económica se determinará entre las siguientes alternativas: i) mediana con valor absoluto; </w:t>
            </w:r>
            <w:proofErr w:type="spellStart"/>
            <w:r w:rsidRPr="00E85C62">
              <w:rPr>
                <w:rFonts w:ascii="Verdana" w:eastAsia="Calibri" w:hAnsi="Verdana" w:cs="Arial"/>
                <w:bCs/>
                <w:color w:val="000000"/>
                <w:kern w:val="2"/>
                <w:lang w:eastAsia="es-MX"/>
                <w14:ligatures w14:val="standardContextual"/>
              </w:rPr>
              <w:t>ii</w:t>
            </w:r>
            <w:proofErr w:type="spellEnd"/>
            <w:r w:rsidRPr="00E85C62">
              <w:rPr>
                <w:rFonts w:ascii="Verdana" w:eastAsia="Calibri" w:hAnsi="Verdana" w:cs="Arial"/>
                <w:bCs/>
                <w:color w:val="000000"/>
                <w:kern w:val="2"/>
                <w:lang w:eastAsia="es-MX"/>
                <w14:ligatures w14:val="standardContextual"/>
              </w:rPr>
              <w:t xml:space="preserve">) media geométrica; </w:t>
            </w:r>
            <w:proofErr w:type="spellStart"/>
            <w:r w:rsidRPr="00E85C62">
              <w:rPr>
                <w:rFonts w:ascii="Verdana" w:eastAsia="Calibri" w:hAnsi="Verdana" w:cs="Arial"/>
                <w:bCs/>
                <w:color w:val="000000"/>
                <w:kern w:val="2"/>
                <w:lang w:eastAsia="es-MX"/>
                <w14:ligatures w14:val="standardContextual"/>
              </w:rPr>
              <w:t>iii</w:t>
            </w:r>
            <w:proofErr w:type="spellEnd"/>
            <w:r w:rsidRPr="00E85C62">
              <w:rPr>
                <w:rFonts w:ascii="Verdana" w:eastAsia="Calibri" w:hAnsi="Verdana" w:cs="Arial"/>
                <w:bCs/>
                <w:color w:val="000000"/>
                <w:kern w:val="2"/>
                <w:lang w:eastAsia="es-MX"/>
                <w14:ligatures w14:val="standardContextual"/>
              </w:rPr>
              <w:t xml:space="preserve">) media aritmética baja; y </w:t>
            </w:r>
            <w:proofErr w:type="spellStart"/>
            <w:r w:rsidRPr="00E85C62">
              <w:rPr>
                <w:rFonts w:ascii="Verdana" w:eastAsia="Calibri" w:hAnsi="Verdana" w:cs="Arial"/>
                <w:bCs/>
                <w:color w:val="000000"/>
                <w:kern w:val="2"/>
                <w:lang w:eastAsia="es-MX"/>
                <w14:ligatures w14:val="standardContextual"/>
              </w:rPr>
              <w:t>iv</w:t>
            </w:r>
            <w:proofErr w:type="spellEnd"/>
            <w:r w:rsidRPr="00E85C62">
              <w:rPr>
                <w:rFonts w:ascii="Verdana" w:eastAsia="Calibri" w:hAnsi="Verdana" w:cs="Arial"/>
                <w:bCs/>
                <w:color w:val="000000"/>
                <w:kern w:val="2"/>
                <w:lang w:eastAsia="es-MX"/>
                <w14:ligatures w14:val="standardContextual"/>
              </w:rPr>
              <w:t>) menor valor.</w:t>
            </w:r>
          </w:p>
          <w:p w14:paraId="3CCDEB2F" w14:textId="77777777" w:rsidR="00E85C62" w:rsidRPr="00E85C62" w:rsidRDefault="00E85C62" w:rsidP="00E85C62">
            <w:pPr>
              <w:spacing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Estos métodos están diseñados para ponderar la oferta económica con independencia del esquema de estructuración definido por la entidad, es decir, cualquiera que sea la forma de pago adoptada: precios unitarios, precio global, llave en mano, administración delegada, reembolso de gastos, entre otras. En consecuencia, y en armonía con la facultad que los documentos tipo otorgan a la entidad para utilizar, ajustar o sustituir el Formulario 1 – Propuesta económica según la modalidad de pago seleccionada, corresponde a la entidad configurar dicho formulario de manera que permita identificar con claridad el componente económico que será objeto de evaluación durante el proceso de selección, conforme a las reglas definidas en el documento base.</w:t>
            </w:r>
          </w:p>
          <w:p w14:paraId="42C44CD4" w14:textId="77777777" w:rsidR="00E85C62" w:rsidRPr="00E85C62" w:rsidRDefault="00E85C62" w:rsidP="00E85C62">
            <w:pPr>
              <w:spacing w:line="276" w:lineRule="auto"/>
              <w:ind w:firstLine="708"/>
              <w:jc w:val="both"/>
              <w:rPr>
                <w:rFonts w:ascii="Verdana" w:eastAsia="Calibri" w:hAnsi="Verdana" w:cs="Arial"/>
                <w:bCs/>
                <w:color w:val="000000"/>
                <w:kern w:val="2"/>
                <w:lang w:eastAsia="es-MX"/>
                <w14:ligatures w14:val="standardContextual"/>
              </w:rPr>
            </w:pPr>
          </w:p>
          <w:p w14:paraId="7FC44A49" w14:textId="77777777" w:rsidR="00E85C62" w:rsidRPr="00E85C62" w:rsidRDefault="00E85C62" w:rsidP="00E85C62">
            <w:pPr>
              <w:spacing w:after="120" w:line="276" w:lineRule="auto"/>
              <w:jc w:val="both"/>
              <w:rPr>
                <w:rFonts w:ascii="Verdana" w:eastAsia="Times New Roman" w:hAnsi="Verdana" w:cs="Times New Roman"/>
                <w:lang w:eastAsia="es-MX"/>
              </w:rPr>
            </w:pPr>
            <w:r w:rsidRPr="00E85C62">
              <w:rPr>
                <w:rFonts w:ascii="Verdana" w:eastAsia="Times New Roman" w:hAnsi="Verdana" w:cs="Times New Roman"/>
                <w:lang w:eastAsia="es-MX"/>
              </w:rPr>
              <w:t xml:space="preserve">El artículo 4 de la Ley 1150 de 2007, obliga a las entidades estatales a estimar, tipificar y asignar los riesgos previsibles involucrados en la contratación dentro de los pliegos de condiciones o en sus equivalentes. </w:t>
            </w:r>
          </w:p>
          <w:p w14:paraId="2862DA97"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 xml:space="preserve">En este sentido, la asignación de riesgos debe responder a la naturaleza de la modalidad de pago escogida. En la administración delegada, según lo señaló el concepto C-857 de 2026, “se distinguen los costos de inversión de los honorarios del administrador”. En consecuencia, la variación de precios de materiales, mano de obra y equipos, así como los mayores costos directos no imputables al contratista, corresponden a la entidad estatal. Por la misma razón, el AIU, que en los contratos por precios unitarios cubre la administración, los imprevistos y la utilidad del contratista, no opera de igual forma en esta modalidad de pago, pues los honorarios remuneran la gestión </w:t>
            </w:r>
            <w:r w:rsidRPr="00E85C62">
              <w:rPr>
                <w:rFonts w:ascii="Verdana" w:eastAsia="Times New Roman" w:hAnsi="Verdana" w:cs="Times New Roman"/>
                <w:lang w:eastAsia="es-MX"/>
              </w:rPr>
              <w:lastRenderedPageBreak/>
              <w:t>del administrador y la entidad asume los imprevistos asociados al costo directo.</w:t>
            </w:r>
          </w:p>
          <w:p w14:paraId="7368A74C"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Así, la regla del numeral 4.1 del documento base, según la cual la “</w:t>
            </w:r>
            <w:r w:rsidRPr="00E85C62">
              <w:rPr>
                <w:rFonts w:ascii="Verdana" w:eastAsia="Times New Roman" w:hAnsi="Verdana" w:cs="Times New Roman"/>
                <w:lang w:val="es-MX" w:eastAsia="es-MX"/>
              </w:rPr>
              <w:t>contemplar todos los costos directos e indirectos para la completa y adecuada ejecución de la obra del proceso, los riesgos y la administración de estos”</w:t>
            </w:r>
            <w:r w:rsidRPr="00E85C62">
              <w:rPr>
                <w:rFonts w:ascii="Verdana" w:eastAsia="Times New Roman" w:hAnsi="Verdana" w:cs="Times New Roman"/>
                <w:lang w:eastAsia="es-MX"/>
              </w:rPr>
              <w:t xml:space="preserve">, debe interpretarse en concordancia con la modalidad de pago. En la administración delegada, los honorarios deben cubrir los costos indirectos de administración del contratista y los riesgos que le hayan sido asignados. Al contratista le corresponden los riesgos propios de su gestión, entre ellos: i) la deficiente dirección técnica o administrativa de la obra; </w:t>
            </w:r>
            <w:proofErr w:type="spellStart"/>
            <w:r w:rsidRPr="00E85C62">
              <w:rPr>
                <w:rFonts w:ascii="Verdana" w:eastAsia="Times New Roman" w:hAnsi="Verdana" w:cs="Times New Roman"/>
                <w:lang w:eastAsia="es-MX"/>
              </w:rPr>
              <w:t>ii</w:t>
            </w:r>
            <w:proofErr w:type="spellEnd"/>
            <w:r w:rsidRPr="00E85C62">
              <w:rPr>
                <w:rFonts w:ascii="Verdana" w:eastAsia="Times New Roman" w:hAnsi="Verdana" w:cs="Times New Roman"/>
                <w:lang w:eastAsia="es-MX"/>
              </w:rPr>
              <w:t xml:space="preserve">) el manejo indebido de los recursos entregados en administración; </w:t>
            </w:r>
            <w:proofErr w:type="spellStart"/>
            <w:r w:rsidRPr="00E85C62">
              <w:rPr>
                <w:rFonts w:ascii="Verdana" w:eastAsia="Times New Roman" w:hAnsi="Verdana" w:cs="Times New Roman"/>
                <w:lang w:eastAsia="es-MX"/>
              </w:rPr>
              <w:t>iii</w:t>
            </w:r>
            <w:proofErr w:type="spellEnd"/>
            <w:r w:rsidRPr="00E85C62">
              <w:rPr>
                <w:rFonts w:ascii="Verdana" w:eastAsia="Times New Roman" w:hAnsi="Verdana" w:cs="Times New Roman"/>
                <w:lang w:eastAsia="es-MX"/>
              </w:rPr>
              <w:t xml:space="preserve">) los sobrecostos causados por su negligencia, incluidos los derivados de subcontrataciones mal gestionadas; y </w:t>
            </w:r>
            <w:proofErr w:type="spellStart"/>
            <w:r w:rsidRPr="00E85C62">
              <w:rPr>
                <w:rFonts w:ascii="Verdana" w:eastAsia="Times New Roman" w:hAnsi="Verdana" w:cs="Times New Roman"/>
                <w:lang w:eastAsia="es-MX"/>
              </w:rPr>
              <w:t>iv</w:t>
            </w:r>
            <w:proofErr w:type="spellEnd"/>
            <w:r w:rsidRPr="00E85C62">
              <w:rPr>
                <w:rFonts w:ascii="Verdana" w:eastAsia="Times New Roman" w:hAnsi="Verdana" w:cs="Times New Roman"/>
                <w:lang w:eastAsia="es-MX"/>
              </w:rPr>
              <w:t>) los incumplimientos de calidad y plazo que le sean imputables.</w:t>
            </w:r>
          </w:p>
          <w:p w14:paraId="10E703A7" w14:textId="77777777" w:rsidR="00E85C62" w:rsidRPr="00E85C62" w:rsidRDefault="00E85C62" w:rsidP="00E85C62">
            <w:pPr>
              <w:spacing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De esta forma, en los documentos tipo de licitación de obra pública de infraestructura social – versión 2, la matriz de riesgos del proceso debe reflejar esta distribución. La Matriz 3 – Riesgos de la versión 2 no contiene riesgos preasignados y dispone que la entidad debe diligenciarla “teniendo en cuenta la naturaleza del Contrato”. Sin embargo, incorpora una regla residual según la cual corresponde al contratista asumir los riesgos previsibles propios de este tipo de contratación, siempre que no estén expresamente a cargo de la entidad. Por lo anterior, en la administración delegada la entidad debe asumir de manera expresa en la matriz los riesgos de variación de los costos directos, pues de lo contrario estos quedarían a cargo del contratista por aplicación de dicha regla residual.</w:t>
            </w:r>
          </w:p>
          <w:p w14:paraId="0983C682" w14:textId="77777777" w:rsidR="00E85C62" w:rsidRPr="00E85C62" w:rsidRDefault="00E85C62" w:rsidP="00E85C62">
            <w:pPr>
              <w:spacing w:line="276" w:lineRule="auto"/>
              <w:jc w:val="both"/>
              <w:rPr>
                <w:rFonts w:ascii="Verdana" w:eastAsia="Times New Roman" w:hAnsi="Verdana" w:cs="Times New Roman"/>
                <w:lang w:eastAsia="es-MX"/>
              </w:rPr>
            </w:pPr>
          </w:p>
          <w:p w14:paraId="1F631C7B" w14:textId="77777777" w:rsidR="00E85C62" w:rsidRPr="00E85C62" w:rsidRDefault="00E85C62" w:rsidP="00E85C62">
            <w:pPr>
              <w:spacing w:after="120" w:line="276" w:lineRule="auto"/>
              <w:jc w:val="both"/>
              <w:rPr>
                <w:rFonts w:ascii="Verdana" w:eastAsia="Times New Roman" w:hAnsi="Verdana" w:cs="Times New Roman"/>
                <w:lang w:eastAsia="es-MX"/>
              </w:rPr>
            </w:pPr>
            <w:r w:rsidRPr="00E85C62">
              <w:rPr>
                <w:rFonts w:ascii="Verdana" w:eastAsia="Times New Roman" w:hAnsi="Verdana" w:cs="Times New Roman"/>
                <w:lang w:eastAsia="es-MX"/>
              </w:rPr>
              <w:t>v. Además de lo anterior, la Agencia Nacional de Contratación Pública – Colombia Compra Eficiente considera que los siguientes aspectos son relevantes al estructurar procesos bajo la modalidad de administración delegada.</w:t>
            </w:r>
          </w:p>
          <w:p w14:paraId="38485774" w14:textId="77777777" w:rsidR="00E85C62" w:rsidRPr="00E85C62" w:rsidRDefault="00E85C62" w:rsidP="00E85C62">
            <w:pPr>
              <w:spacing w:after="120" w:line="276" w:lineRule="auto"/>
              <w:jc w:val="both"/>
              <w:rPr>
                <w:rFonts w:ascii="Verdana" w:eastAsia="Times New Roman" w:hAnsi="Verdana" w:cs="Times New Roman"/>
                <w:highlight w:val="lightGray"/>
                <w:lang w:eastAsia="es-MX"/>
              </w:rPr>
            </w:pPr>
            <w:r w:rsidRPr="00E85C62">
              <w:rPr>
                <w:rFonts w:ascii="Verdana" w:eastAsia="Times New Roman" w:hAnsi="Verdana" w:cs="Times New Roman"/>
                <w:lang w:eastAsia="es-MX"/>
              </w:rPr>
              <w:t xml:space="preserve">En cuanto al “Anexo 4 – Minuta del Contrato”, la entidad debe incluir el contenido mínimo allí previsto, sin perjuicio de que pueda agregar condiciones adicionales o distintas que obedezcan a las necesidades de ejecución del contrato y no contradigan dicho anexo ni los demás Documentos Tipo. </w:t>
            </w:r>
            <w:r w:rsidRPr="00E85C62">
              <w:rPr>
                <w:rFonts w:ascii="Verdana" w:eastAsia="Times New Roman" w:hAnsi="Verdana" w:cs="Times New Roman"/>
                <w:lang w:eastAsia="es-MX"/>
              </w:rPr>
              <w:lastRenderedPageBreak/>
              <w:t xml:space="preserve">Igualmente, puede escoger entre las opciones de cláusula previstas, combinarlas o construir la suya. </w:t>
            </w:r>
          </w:p>
          <w:p w14:paraId="4A4FBC88"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De manera específica, frente a la “Cláusula 8 de forma de pago”, esta se trata de una cláusula cuyo contenido permite el ejercicio de la discrecionalidad administrativa, de modo que la entidad puede establecer las condiciones que considere necesarias, siempre que sean proporcionales, adecuadas y convenientes. En consecuencia, puede usar cualquiera de las opciones dispuestas en el documento tipo, crear una diferente o modificar en parte cualquiera de ellas.</w:t>
            </w:r>
          </w:p>
          <w:p w14:paraId="70007A81" w14:textId="77777777" w:rsidR="00E85C62" w:rsidRPr="00E85C62" w:rsidRDefault="00E85C62" w:rsidP="00E85C62">
            <w:pPr>
              <w:spacing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Por lo tanto, cuando la entidad opte por la administración delegada, podrá configurar la cláusula de forma de pago y las demás cláusulas que lo permitan de acuerdo con las particularidades de esta modalidad, por ejemplo, distinguiendo el pago de los costos directos de la obra del pago de los honorarios del administrador, y regulando el manejo de los recursos entregados en administración, la rendición de cuentas y la aprobación de subcontratos, siempre que no contradiga el contenido mínimo del anexo ni los demás documentos tipo.</w:t>
            </w:r>
          </w:p>
          <w:p w14:paraId="5D68A38B" w14:textId="77777777" w:rsidR="00E85C62" w:rsidRPr="00E85C62" w:rsidRDefault="00E85C62" w:rsidP="00E85C62">
            <w:pPr>
              <w:spacing w:line="276" w:lineRule="auto"/>
              <w:ind w:firstLine="708"/>
              <w:jc w:val="both"/>
              <w:rPr>
                <w:rFonts w:ascii="Verdana" w:eastAsia="Times New Roman" w:hAnsi="Verdana" w:cs="Times New Roman"/>
                <w:lang w:eastAsia="es-MX"/>
              </w:rPr>
            </w:pPr>
          </w:p>
          <w:p w14:paraId="1256EEEE" w14:textId="77777777" w:rsidR="00E85C62" w:rsidRPr="00E85C62" w:rsidRDefault="00E85C62" w:rsidP="00E85C62">
            <w:pPr>
              <w:spacing w:after="120" w:line="276" w:lineRule="auto"/>
              <w:jc w:val="both"/>
              <w:rPr>
                <w:rFonts w:ascii="Verdana" w:eastAsia="Aptos" w:hAnsi="Verdana" w:cs="Times New Roman"/>
              </w:rPr>
            </w:pPr>
            <w:r w:rsidRPr="00E85C62">
              <w:rPr>
                <w:rFonts w:ascii="Verdana" w:eastAsia="Calibri" w:hAnsi="Verdana" w:cs="Times New Roman"/>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C18D55D" w14:textId="77777777" w:rsidR="00E85C62" w:rsidRPr="00E85C62" w:rsidRDefault="00E85C62" w:rsidP="00E85C62">
            <w:pPr>
              <w:spacing w:after="120"/>
              <w:ind w:firstLine="709"/>
              <w:jc w:val="both"/>
              <w:rPr>
                <w:rFonts w:ascii="Verdana" w:eastAsia="Calibri" w:hAnsi="Verdana" w:cs="Times New Roman"/>
                <w:lang w:val="es-ES"/>
              </w:rPr>
            </w:pPr>
            <w:r w:rsidRPr="00E85C62">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915003C" w14:textId="77777777" w:rsidR="00E85C62" w:rsidRPr="00E85C62" w:rsidRDefault="00E85C62" w:rsidP="00E85C62">
      <w:pPr>
        <w:tabs>
          <w:tab w:val="left" w:pos="142"/>
          <w:tab w:val="left" w:pos="284"/>
        </w:tabs>
        <w:spacing w:after="0" w:line="276" w:lineRule="auto"/>
        <w:jc w:val="both"/>
        <w:rPr>
          <w:rFonts w:ascii="Verdana" w:eastAsia="Century Gothic" w:hAnsi="Verdana" w:cs="Century Gothic"/>
          <w:b/>
          <w:bCs/>
          <w:lang w:val="es-ES" w:eastAsia="es-MX"/>
        </w:rPr>
      </w:pPr>
    </w:p>
    <w:p w14:paraId="45B6D324" w14:textId="77777777" w:rsidR="00E85C62" w:rsidRPr="00E85C62" w:rsidRDefault="00E85C62" w:rsidP="00E85C62">
      <w:pPr>
        <w:tabs>
          <w:tab w:val="left" w:pos="142"/>
          <w:tab w:val="left" w:pos="284"/>
        </w:tabs>
        <w:spacing w:after="0" w:line="276" w:lineRule="auto"/>
        <w:jc w:val="both"/>
        <w:rPr>
          <w:rFonts w:ascii="Verdana" w:eastAsia="Century Gothic" w:hAnsi="Verdana" w:cs="Century Gothic"/>
          <w:b/>
          <w:bCs/>
          <w:lang w:val="es-ES" w:eastAsia="es-MX"/>
        </w:rPr>
      </w:pPr>
      <w:r w:rsidRPr="00E85C62">
        <w:rPr>
          <w:rFonts w:ascii="Verdana" w:eastAsia="Century Gothic" w:hAnsi="Verdana" w:cs="Century Gothic"/>
          <w:b/>
          <w:bCs/>
          <w:lang w:val="es-ES" w:eastAsia="es-MX"/>
        </w:rPr>
        <w:t>3. Razones de la respuesta:</w:t>
      </w:r>
    </w:p>
    <w:p w14:paraId="11CEE1A6" w14:textId="77777777" w:rsidR="00E85C62" w:rsidRPr="00E85C62" w:rsidRDefault="00E85C62" w:rsidP="00E85C62">
      <w:pPr>
        <w:spacing w:after="0" w:line="276" w:lineRule="auto"/>
        <w:jc w:val="both"/>
        <w:rPr>
          <w:rFonts w:ascii="Verdana" w:eastAsia="Calibri" w:hAnsi="Verdana" w:cs="Arial"/>
          <w:lang w:val="es-ES" w:eastAsia="es-MX"/>
        </w:rPr>
      </w:pPr>
    </w:p>
    <w:p w14:paraId="48B3616A" w14:textId="77777777" w:rsidR="00E85C62" w:rsidRPr="00E85C62" w:rsidRDefault="00E85C62" w:rsidP="00E85C62">
      <w:pPr>
        <w:spacing w:after="0" w:line="276" w:lineRule="auto"/>
        <w:jc w:val="both"/>
        <w:rPr>
          <w:rFonts w:ascii="Verdana" w:eastAsia="Calibri" w:hAnsi="Verdana" w:cs="Arial"/>
          <w:lang w:val="es-ES" w:eastAsia="es-MX"/>
        </w:rPr>
      </w:pPr>
      <w:r w:rsidRPr="00E85C62">
        <w:rPr>
          <w:rFonts w:ascii="Verdana" w:eastAsia="Calibri" w:hAnsi="Verdana" w:cs="Arial"/>
          <w:lang w:val="es-ES" w:eastAsia="es-MX"/>
        </w:rPr>
        <w:t xml:space="preserve">Lo anterior se sustenta en las siguientes consideraciones: </w:t>
      </w:r>
    </w:p>
    <w:p w14:paraId="24ACFD9F" w14:textId="77777777" w:rsidR="00E85C62" w:rsidRPr="00E85C62" w:rsidRDefault="00E85C62" w:rsidP="00E85C62">
      <w:pPr>
        <w:spacing w:after="0" w:line="276" w:lineRule="auto"/>
        <w:jc w:val="both"/>
        <w:rPr>
          <w:rFonts w:ascii="Verdana" w:eastAsia="Calibri" w:hAnsi="Verdana" w:cs="Arial"/>
          <w:lang w:val="es-ES" w:eastAsia="es-MX"/>
        </w:rPr>
      </w:pPr>
    </w:p>
    <w:p w14:paraId="1B8A75A3" w14:textId="77777777" w:rsidR="00E85C62" w:rsidRPr="00E85C62" w:rsidRDefault="00E85C62" w:rsidP="00E85C62">
      <w:pPr>
        <w:spacing w:after="120" w:line="276" w:lineRule="auto"/>
        <w:jc w:val="both"/>
        <w:rPr>
          <w:rFonts w:ascii="Verdana" w:eastAsia="Calibri" w:hAnsi="Verdana" w:cs="Arial"/>
          <w:color w:val="000000"/>
          <w:lang w:val="es-ES"/>
        </w:rPr>
      </w:pPr>
      <w:r w:rsidRPr="00E85C62">
        <w:rPr>
          <w:rFonts w:ascii="Verdana" w:eastAsia="Calibri" w:hAnsi="Verdana" w:cs="Arial"/>
          <w:lang w:val="es-ES" w:eastAsia="es-MX"/>
        </w:rPr>
        <w:t xml:space="preserve">i. </w:t>
      </w:r>
      <w:r w:rsidRPr="00E85C62">
        <w:rPr>
          <w:rFonts w:ascii="Verdana" w:eastAsia="Calibri" w:hAnsi="Verdana" w:cs="Arial"/>
          <w:color w:val="000000"/>
          <w:lang w:val="es-ES"/>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E85C62">
        <w:rPr>
          <w:rFonts w:ascii="Verdana" w:eastAsia="Calibri" w:hAnsi="Verdana" w:cs="Arial"/>
          <w:color w:val="000000"/>
          <w:lang w:val="es-ES"/>
        </w:rPr>
        <w:t>ii</w:t>
      </w:r>
      <w:proofErr w:type="spellEnd"/>
      <w:r w:rsidRPr="00E85C62">
        <w:rPr>
          <w:rFonts w:ascii="Verdana" w:eastAsia="Calibri" w:hAnsi="Verdana" w:cs="Arial"/>
          <w:color w:val="000000"/>
          <w:lang w:val="es-ES"/>
        </w:rPr>
        <w:t xml:space="preserve">) como una modalidad de administración y pago, no necesariamente asociada al mandato. </w:t>
      </w:r>
    </w:p>
    <w:p w14:paraId="29CF9C86" w14:textId="77777777" w:rsidR="00E85C62" w:rsidRPr="00E85C62" w:rsidRDefault="00E85C62" w:rsidP="00E85C62">
      <w:pPr>
        <w:spacing w:after="0" w:line="276" w:lineRule="auto"/>
        <w:ind w:firstLine="709"/>
        <w:jc w:val="both"/>
        <w:rPr>
          <w:rFonts w:ascii="Verdana" w:eastAsia="Calibri" w:hAnsi="Verdana" w:cs="Arial"/>
          <w:color w:val="000000"/>
          <w:lang w:val="es-ES_tradnl"/>
        </w:rPr>
      </w:pPr>
      <w:r w:rsidRPr="00E85C62">
        <w:rPr>
          <w:rFonts w:ascii="Verdana" w:eastAsia="Calibri" w:hAnsi="Verdana" w:cs="Arial"/>
          <w:color w:val="000000"/>
          <w:lang w:val="es-ES_tradnl"/>
        </w:rPr>
        <w:t xml:space="preserve">Al respecto, el Consejo de Estado se refirió a la administración delegada en el contrato de obra pública así: </w:t>
      </w:r>
    </w:p>
    <w:p w14:paraId="1CB47DE6" w14:textId="77777777" w:rsidR="00E85C62" w:rsidRPr="00E85C62" w:rsidRDefault="00E85C62" w:rsidP="00E85C62">
      <w:pPr>
        <w:spacing w:after="0" w:line="256" w:lineRule="auto"/>
        <w:ind w:left="709" w:right="709"/>
        <w:jc w:val="both"/>
        <w:rPr>
          <w:rFonts w:ascii="Verdana" w:eastAsia="Calibri" w:hAnsi="Verdana" w:cs="Arial"/>
          <w:color w:val="000000"/>
          <w:sz w:val="21"/>
          <w:szCs w:val="21"/>
          <w:lang w:val="es-ES_tradnl"/>
        </w:rPr>
      </w:pPr>
    </w:p>
    <w:p w14:paraId="534EA364" w14:textId="77777777" w:rsidR="00E85C62" w:rsidRPr="00E85C62" w:rsidRDefault="00E85C62" w:rsidP="00E85C62">
      <w:pPr>
        <w:spacing w:after="120" w:line="240" w:lineRule="auto"/>
        <w:ind w:left="709" w:right="709"/>
        <w:jc w:val="both"/>
        <w:rPr>
          <w:rFonts w:ascii="Verdana" w:eastAsia="Calibri" w:hAnsi="Verdana" w:cs="Arial"/>
          <w:color w:val="000000"/>
          <w:sz w:val="20"/>
          <w:szCs w:val="20"/>
          <w:lang w:val="es-ES_tradnl"/>
        </w:rPr>
      </w:pPr>
      <w:r w:rsidRPr="00E85C62">
        <w:rPr>
          <w:rFonts w:ascii="Verdana" w:eastAsia="Calibri" w:hAnsi="Verdana" w:cs="Arial"/>
          <w:color w:val="000000"/>
          <w:sz w:val="20"/>
          <w:szCs w:val="20"/>
          <w:lang w:val="es-ES_tradnl"/>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0ADF0E12" w14:textId="77777777" w:rsidR="00E85C62" w:rsidRPr="00E85C62" w:rsidRDefault="00E85C62" w:rsidP="00E85C62">
      <w:pPr>
        <w:spacing w:after="0" w:line="240" w:lineRule="auto"/>
        <w:ind w:left="709" w:right="709"/>
        <w:jc w:val="both"/>
        <w:rPr>
          <w:rFonts w:ascii="Verdana" w:eastAsia="Calibri" w:hAnsi="Verdana" w:cs="Arial"/>
          <w:color w:val="000000"/>
          <w:sz w:val="20"/>
          <w:szCs w:val="20"/>
          <w:lang w:val="es-ES_tradnl"/>
        </w:rPr>
      </w:pPr>
      <w:r w:rsidRPr="00E85C62">
        <w:rPr>
          <w:rFonts w:ascii="Verdana" w:eastAsia="Calibri" w:hAnsi="Verdana" w:cs="Arial"/>
          <w:color w:val="000000"/>
          <w:sz w:val="20"/>
          <w:szCs w:val="20"/>
          <w:lang w:val="es-ES_tradnl"/>
        </w:rPr>
        <w:t>Bajo este sistema la administración paga el costo real de la obra, más determinado porcentaje como retribución al contratista por concepto de honorarios de administración (en los que se incluyen costos de personal, oficinas, vehículos, desplazamientos etc.) y la utilidad”</w:t>
      </w:r>
      <w:r w:rsidRPr="00E85C62">
        <w:rPr>
          <w:rFonts w:ascii="Verdana" w:eastAsia="Calibri" w:hAnsi="Verdana" w:cs="Arial"/>
          <w:color w:val="000000"/>
          <w:sz w:val="20"/>
          <w:szCs w:val="20"/>
          <w:vertAlign w:val="superscript"/>
          <w:lang w:val="es-ES_tradnl"/>
        </w:rPr>
        <w:footnoteReference w:id="2"/>
      </w:r>
      <w:r w:rsidRPr="00E85C62">
        <w:rPr>
          <w:rFonts w:ascii="Verdana" w:eastAsia="Calibri" w:hAnsi="Verdana" w:cs="Arial"/>
          <w:color w:val="000000"/>
          <w:sz w:val="20"/>
          <w:szCs w:val="20"/>
          <w:lang w:val="es-ES_tradnl"/>
        </w:rPr>
        <w:t xml:space="preserve">. </w:t>
      </w:r>
    </w:p>
    <w:p w14:paraId="2A2B7ABE" w14:textId="77777777" w:rsidR="00E85C62" w:rsidRPr="00E85C62" w:rsidRDefault="00E85C62" w:rsidP="00E85C62">
      <w:pPr>
        <w:widowControl w:val="0"/>
        <w:autoSpaceDE w:val="0"/>
        <w:autoSpaceDN w:val="0"/>
        <w:spacing w:after="0" w:line="276" w:lineRule="auto"/>
        <w:ind w:firstLine="709"/>
        <w:jc w:val="both"/>
        <w:rPr>
          <w:rFonts w:ascii="Verdana" w:eastAsia="Arial" w:hAnsi="Verdana" w:cs="Arial"/>
          <w:lang w:val="es-ES"/>
        </w:rPr>
      </w:pPr>
    </w:p>
    <w:p w14:paraId="61109952" w14:textId="77777777" w:rsidR="00E85C62" w:rsidRPr="00E85C62" w:rsidRDefault="00E85C62" w:rsidP="00E85C62">
      <w:pPr>
        <w:widowControl w:val="0"/>
        <w:autoSpaceDE w:val="0"/>
        <w:autoSpaceDN w:val="0"/>
        <w:spacing w:after="0" w:line="276" w:lineRule="auto"/>
        <w:ind w:firstLine="709"/>
        <w:jc w:val="both"/>
        <w:rPr>
          <w:rFonts w:ascii="Verdana" w:eastAsia="Arial" w:hAnsi="Verdana" w:cs="Arial"/>
          <w:lang w:val="es-ES"/>
        </w:rPr>
      </w:pPr>
      <w:r w:rsidRPr="00E85C62">
        <w:rPr>
          <w:rFonts w:ascii="Verdana" w:eastAsia="Arial" w:hAnsi="Verdana" w:cs="Arial"/>
          <w:lang w:val="es-ES"/>
        </w:rPr>
        <w:t xml:space="preserve">En este mismo contexto, la Sección cuarta del Consejo de Estado precisó que la administración delegada reviste de la misma esencia de la relación contractual propia del mandato, en el entendido de que el contratista representa, </w:t>
      </w:r>
      <w:r w:rsidRPr="00E85C62">
        <w:rPr>
          <w:rFonts w:ascii="Verdana" w:eastAsia="Arial" w:hAnsi="Verdana" w:cs="Arial"/>
          <w:lang w:val="es-ES"/>
        </w:rPr>
        <w:lastRenderedPageBreak/>
        <w:t>administra y gestiona el contrato</w:t>
      </w:r>
      <w:r w:rsidRPr="00E85C62">
        <w:rPr>
          <w:rFonts w:ascii="Verdana" w:eastAsia="Arial" w:hAnsi="Verdana" w:cs="Arial"/>
          <w:vertAlign w:val="superscript"/>
          <w:lang w:val="es-ES"/>
        </w:rPr>
        <w:footnoteReference w:id="3"/>
      </w:r>
      <w:r w:rsidRPr="00E85C62">
        <w:rPr>
          <w:rFonts w:ascii="Verdana" w:eastAsia="Arial" w:hAnsi="Verdana" w:cs="Arial"/>
          <w:lang w:val="es-ES"/>
        </w:rPr>
        <w:t>.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Así lo ha señalado la Sala de Consulta y Servicio Civil del Consejo de Estado:</w:t>
      </w:r>
    </w:p>
    <w:p w14:paraId="54D6D7DF" w14:textId="77777777" w:rsidR="00E85C62" w:rsidRPr="00E85C62" w:rsidRDefault="00E85C62" w:rsidP="00E85C62">
      <w:pPr>
        <w:spacing w:after="0" w:line="256" w:lineRule="auto"/>
        <w:ind w:left="709" w:right="760"/>
        <w:jc w:val="both"/>
        <w:rPr>
          <w:rFonts w:ascii="Verdana" w:eastAsia="Calibri" w:hAnsi="Verdana" w:cs="Arial"/>
          <w:color w:val="000000"/>
          <w:sz w:val="21"/>
          <w:szCs w:val="21"/>
          <w:lang w:val="es-ES_tradnl"/>
        </w:rPr>
      </w:pPr>
    </w:p>
    <w:p w14:paraId="5124743B" w14:textId="77777777" w:rsidR="00E85C62" w:rsidRPr="00E85C62" w:rsidRDefault="00E85C62" w:rsidP="00E85C62">
      <w:pPr>
        <w:spacing w:after="120" w:line="240" w:lineRule="auto"/>
        <w:ind w:left="709" w:right="760"/>
        <w:jc w:val="both"/>
        <w:rPr>
          <w:rFonts w:ascii="Verdana" w:eastAsia="Calibri" w:hAnsi="Verdana" w:cs="Arial"/>
          <w:color w:val="000000"/>
          <w:sz w:val="20"/>
          <w:szCs w:val="20"/>
          <w:lang w:val="es-ES_tradnl"/>
        </w:rPr>
      </w:pPr>
      <w:r w:rsidRPr="00E85C62">
        <w:rPr>
          <w:rFonts w:ascii="Verdana" w:eastAsia="Calibri" w:hAnsi="Verdana" w:cs="Arial"/>
          <w:color w:val="000000"/>
          <w:sz w:val="20"/>
          <w:szCs w:val="20"/>
          <w:lang w:val="es-ES_tradnl"/>
        </w:rPr>
        <w:t>“Según la jurisprudencia del Consejo de Estado (sección tercera, sentencias de 12 de septiembre de 1994 y 23 de marzo de 1995), el sistema de administración delegada se realiza ‘por cuenta y riesgo del contratante’,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7E8BDCB0" w14:textId="77777777" w:rsidR="00E85C62" w:rsidRPr="00E85C62" w:rsidRDefault="00E85C62" w:rsidP="00E85C62">
      <w:pPr>
        <w:spacing w:after="0" w:line="240" w:lineRule="auto"/>
        <w:ind w:left="709" w:right="760"/>
        <w:jc w:val="both"/>
        <w:rPr>
          <w:rFonts w:ascii="Verdana" w:eastAsia="Calibri" w:hAnsi="Verdana" w:cs="Arial"/>
          <w:color w:val="000000"/>
          <w:sz w:val="20"/>
          <w:szCs w:val="20"/>
          <w:lang w:val="es-ES_tradnl"/>
        </w:rPr>
      </w:pPr>
      <w:r w:rsidRPr="00E85C62">
        <w:rPr>
          <w:rFonts w:ascii="Verdana" w:eastAsia="Calibri" w:hAnsi="Verdana" w:cs="Arial"/>
          <w:color w:val="000000"/>
          <w:sz w:val="20"/>
          <w:szCs w:val="20"/>
          <w:lang w:val="es-ES_tradnl"/>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Pr="00E85C62">
        <w:rPr>
          <w:rFonts w:ascii="Verdana" w:eastAsia="Calibri" w:hAnsi="Verdana" w:cs="Arial"/>
          <w:color w:val="000000"/>
          <w:sz w:val="20"/>
          <w:szCs w:val="20"/>
          <w:vertAlign w:val="superscript"/>
          <w:lang w:val="es-ES_tradnl"/>
        </w:rPr>
        <w:footnoteReference w:id="4"/>
      </w:r>
      <w:r w:rsidRPr="00E85C62">
        <w:rPr>
          <w:rFonts w:ascii="Verdana" w:eastAsia="Calibri" w:hAnsi="Verdana" w:cs="Arial"/>
          <w:color w:val="000000"/>
          <w:sz w:val="20"/>
          <w:szCs w:val="20"/>
          <w:lang w:val="es-ES_tradnl"/>
        </w:rPr>
        <w:t>.</w:t>
      </w:r>
    </w:p>
    <w:p w14:paraId="569E434C" w14:textId="77777777" w:rsidR="00E85C62" w:rsidRPr="00E85C62" w:rsidRDefault="00E85C62" w:rsidP="00E85C62">
      <w:pPr>
        <w:widowControl w:val="0"/>
        <w:autoSpaceDE w:val="0"/>
        <w:autoSpaceDN w:val="0"/>
        <w:spacing w:after="0" w:line="276" w:lineRule="auto"/>
        <w:ind w:firstLine="709"/>
        <w:jc w:val="both"/>
        <w:rPr>
          <w:rFonts w:ascii="Verdana" w:eastAsia="Calibri" w:hAnsi="Verdana" w:cs="Arial"/>
          <w:bCs/>
          <w:color w:val="000000"/>
          <w:lang w:val="es-ES_tradnl"/>
        </w:rPr>
      </w:pPr>
    </w:p>
    <w:p w14:paraId="1088A217" w14:textId="77777777" w:rsidR="00E85C62" w:rsidRPr="00E85C62" w:rsidRDefault="00E85C62" w:rsidP="00E85C62">
      <w:pPr>
        <w:widowControl w:val="0"/>
        <w:autoSpaceDE w:val="0"/>
        <w:autoSpaceDN w:val="0"/>
        <w:spacing w:after="120" w:line="276" w:lineRule="auto"/>
        <w:ind w:firstLine="709"/>
        <w:jc w:val="both"/>
        <w:rPr>
          <w:rFonts w:ascii="Verdana" w:eastAsia="Calibri" w:hAnsi="Verdana" w:cs="Arial"/>
          <w:bCs/>
          <w:color w:val="000000"/>
        </w:rPr>
      </w:pPr>
      <w:r w:rsidRPr="00E85C62">
        <w:rPr>
          <w:rFonts w:ascii="Verdana" w:eastAsia="Calibri" w:hAnsi="Verdana" w:cs="Arial"/>
          <w:bCs/>
          <w:color w:val="000000"/>
          <w:lang w:val="es-ES_tradnl"/>
        </w:rPr>
        <w:t>Posteriormente, el Consejo de Estado, en su Sala de consulta y servicio civil</w:t>
      </w:r>
      <w:r w:rsidRPr="00E85C62">
        <w:rPr>
          <w:rFonts w:ascii="Verdana" w:eastAsia="Calibri" w:hAnsi="Verdana" w:cs="Arial"/>
          <w:bCs/>
          <w:color w:val="000000"/>
          <w:vertAlign w:val="superscript"/>
          <w:lang w:val="es-ES_tradnl"/>
        </w:rPr>
        <w:footnoteReference w:id="5"/>
      </w:r>
      <w:r w:rsidRPr="00E85C62">
        <w:rPr>
          <w:rFonts w:ascii="Verdana" w:eastAsia="Calibri" w:hAnsi="Verdana" w:cs="Arial"/>
          <w:bCs/>
          <w:color w:val="000000"/>
          <w:lang w:val="es-ES_tradnl"/>
        </w:rPr>
        <w:t xml:space="preserve">, indicó que </w:t>
      </w:r>
      <w:r w:rsidRPr="00E85C62">
        <w:rPr>
          <w:rFonts w:ascii="Verdana" w:eastAsia="Calibri" w:hAnsi="Verdana" w:cs="Arial"/>
          <w:bCs/>
          <w:color w:val="000000"/>
        </w:rPr>
        <w:t xml:space="preserve">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que cuando se entrega a título de pago, se desplaza al patrimonio del contratista sin ningún condicionamiento. </w:t>
      </w:r>
    </w:p>
    <w:p w14:paraId="64BEF9E9" w14:textId="77777777" w:rsidR="00E85C62" w:rsidRPr="00E85C62" w:rsidRDefault="00E85C62" w:rsidP="00E85C62">
      <w:pPr>
        <w:widowControl w:val="0"/>
        <w:autoSpaceDE w:val="0"/>
        <w:autoSpaceDN w:val="0"/>
        <w:spacing w:after="120" w:line="276" w:lineRule="auto"/>
        <w:ind w:firstLine="709"/>
        <w:jc w:val="both"/>
        <w:rPr>
          <w:rFonts w:ascii="Verdana" w:eastAsia="Arial" w:hAnsi="Verdana" w:cs="Arial"/>
          <w:lang w:val="es-ES"/>
        </w:rPr>
      </w:pPr>
      <w:r w:rsidRPr="00E85C62">
        <w:rPr>
          <w:rFonts w:ascii="Verdana" w:eastAsia="Arial" w:hAnsi="Verdana" w:cs="Arial"/>
          <w:lang w:val="es-ES"/>
        </w:rPr>
        <w:lastRenderedPageBreak/>
        <w:t xml:space="preserve">En este contexto, </w:t>
      </w:r>
      <w:r w:rsidRPr="00E85C62">
        <w:rPr>
          <w:rFonts w:ascii="Verdana" w:eastAsia="Times New Roman" w:hAnsi="Verdana" w:cs="Arial"/>
          <w:bCs/>
          <w:lang w:val="es-ES" w:eastAsia="es-ES"/>
        </w:rPr>
        <w:t>es preciso citar la sentencia del 20 de noviembre de 2020</w:t>
      </w:r>
      <w:r w:rsidRPr="00E85C62">
        <w:rPr>
          <w:rFonts w:ascii="Verdana" w:eastAsia="Times New Roman" w:hAnsi="Verdana" w:cs="Arial"/>
          <w:bCs/>
          <w:vertAlign w:val="superscript"/>
          <w:lang w:val="es-ES" w:eastAsia="es-ES"/>
        </w:rPr>
        <w:footnoteReference w:id="6"/>
      </w:r>
      <w:r w:rsidRPr="00E85C62">
        <w:rPr>
          <w:rFonts w:ascii="Verdana" w:eastAsia="Times New Roman" w:hAnsi="Verdana" w:cs="Arial"/>
          <w:bCs/>
          <w:lang w:val="es-ES" w:eastAsia="es-ES"/>
        </w:rPr>
        <w:t xml:space="preserve">, que reiteró que si bien las normas del mandato se integren al contenido del contrato de obra por administración delegada no quiere decir que el contratista obre en nombre y representación del contratante frente a terceros. Sobre el tema, la providencia reiteró que la representación no es un elemento de la esencia de este negocio jurídico, como se deduce del artículo 2.177 del Código Civil, que prescribe que el </w:t>
      </w:r>
      <w:r w:rsidRPr="00E85C62">
        <w:rPr>
          <w:rFonts w:ascii="Verdana" w:eastAsia="Calibri" w:hAnsi="Verdana" w:cs="Arial"/>
          <w:lang w:val="es-ES_tradnl" w:eastAsia="es-ES"/>
        </w:rPr>
        <w:t>“</w:t>
      </w:r>
      <w:r w:rsidRPr="00E85C62">
        <w:rPr>
          <w:rFonts w:ascii="Verdana" w:eastAsia="Times New Roman" w:hAnsi="Verdana" w:cs="Arial"/>
          <w:bCs/>
          <w:lang w:val="es-ES" w:eastAsia="es-ES"/>
        </w:rPr>
        <w:t>mandatario puede, en el ejercicio de su cargo, contratar a su propio nombre, caso en el cual no obliga respecto de terceros al mandante</w:t>
      </w:r>
      <w:r w:rsidRPr="00E85C62">
        <w:rPr>
          <w:rFonts w:ascii="Verdana" w:eastAsia="Calibri" w:hAnsi="Verdana" w:cs="Arial"/>
          <w:lang w:val="es-ES_tradnl" w:eastAsia="es-ES"/>
        </w:rPr>
        <w:t>”</w:t>
      </w:r>
      <w:r w:rsidRPr="00E85C62">
        <w:rPr>
          <w:rFonts w:ascii="Verdana" w:eastAsia="Times New Roman" w:hAnsi="Verdana" w:cs="Arial"/>
          <w:bCs/>
          <w:lang w:val="es-ES" w:eastAsia="es-ES"/>
        </w:rPr>
        <w:t xml:space="preserve">.  De igual forma, el inciso segundo del artículo 1.262 del Código de Comercio también contempla que </w:t>
      </w:r>
      <w:r w:rsidRPr="00E85C62">
        <w:rPr>
          <w:rFonts w:ascii="Verdana" w:eastAsia="Calibri" w:hAnsi="Verdana" w:cs="Arial"/>
          <w:lang w:val="es-ES_tradnl" w:eastAsia="es-ES"/>
        </w:rPr>
        <w:t>“</w:t>
      </w:r>
      <w:r w:rsidRPr="00E85C62">
        <w:rPr>
          <w:rFonts w:ascii="Verdana" w:eastAsia="Times New Roman" w:hAnsi="Verdana" w:cs="Arial"/>
          <w:bCs/>
          <w:lang w:val="es-ES" w:eastAsia="es-ES"/>
        </w:rPr>
        <w:t>el mandato [comercial] puede conllevar o no la representación del mandante</w:t>
      </w:r>
      <w:r w:rsidRPr="00E85C62">
        <w:rPr>
          <w:rFonts w:ascii="Verdana" w:eastAsia="Calibri" w:hAnsi="Verdana" w:cs="Arial"/>
          <w:lang w:val="es-ES_tradnl" w:eastAsia="es-ES"/>
        </w:rPr>
        <w:t>”</w:t>
      </w:r>
      <w:r w:rsidRPr="00E85C62">
        <w:rPr>
          <w:rFonts w:ascii="Verdana" w:eastAsia="Times New Roman" w:hAnsi="Verdana" w:cs="Arial"/>
          <w:bCs/>
          <w:lang w:val="es-ES" w:eastAsia="es-ES"/>
        </w:rPr>
        <w:t xml:space="preserve">. </w:t>
      </w:r>
    </w:p>
    <w:p w14:paraId="0D864A45" w14:textId="77777777" w:rsidR="00E85C62" w:rsidRPr="00E85C62" w:rsidRDefault="00E85C62" w:rsidP="00E85C62">
      <w:pPr>
        <w:spacing w:line="276" w:lineRule="auto"/>
        <w:ind w:firstLine="708"/>
        <w:jc w:val="both"/>
        <w:rPr>
          <w:rFonts w:ascii="Verdana" w:eastAsia="Times New Roman" w:hAnsi="Verdana" w:cs="Arial"/>
          <w:bCs/>
          <w:lang w:val="es-ES" w:eastAsia="es-ES"/>
        </w:rPr>
      </w:pPr>
      <w:r w:rsidRPr="00E85C62">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E85C62">
        <w:rPr>
          <w:rFonts w:ascii="Verdana" w:eastAsia="Times New Roman" w:hAnsi="Verdana" w:cs="Arial"/>
          <w:bCs/>
          <w:vertAlign w:val="superscript"/>
          <w:lang w:val="es-ES" w:eastAsia="es-ES"/>
        </w:rPr>
        <w:footnoteReference w:id="7"/>
      </w:r>
      <w:r w:rsidRPr="00E85C62">
        <w:rPr>
          <w:rFonts w:ascii="Verdana" w:eastAsia="Times New Roman" w:hAnsi="Verdana" w:cs="Arial"/>
          <w:bCs/>
          <w:lang w:val="es-ES" w:eastAsia="es-ES"/>
        </w:rPr>
        <w:t xml:space="preserve">. </w:t>
      </w:r>
    </w:p>
    <w:p w14:paraId="73DBFEBF" w14:textId="77777777" w:rsidR="00E85C62" w:rsidRPr="00E85C62" w:rsidRDefault="00E85C62" w:rsidP="00E85C62">
      <w:pPr>
        <w:spacing w:after="0" w:line="276" w:lineRule="auto"/>
        <w:ind w:firstLine="708"/>
        <w:jc w:val="both"/>
        <w:rPr>
          <w:rFonts w:ascii="Verdana" w:eastAsia="Times New Roman" w:hAnsi="Verdana" w:cs="Arial"/>
          <w:bCs/>
          <w:lang w:val="es-ES" w:eastAsia="es-ES"/>
        </w:rPr>
      </w:pPr>
      <w:r w:rsidRPr="00E85C62">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p>
    <w:p w14:paraId="59C8E2BE" w14:textId="77777777" w:rsidR="00E85C62" w:rsidRPr="00E85C62" w:rsidRDefault="00E85C62" w:rsidP="00E85C62">
      <w:pPr>
        <w:spacing w:after="0" w:line="276" w:lineRule="auto"/>
        <w:ind w:firstLine="708"/>
        <w:jc w:val="both"/>
        <w:rPr>
          <w:rFonts w:ascii="Verdana" w:eastAsia="Times New Roman" w:hAnsi="Verdana" w:cs="Arial"/>
          <w:bCs/>
          <w:lang w:val="es-ES" w:eastAsia="es-ES"/>
        </w:rPr>
      </w:pPr>
    </w:p>
    <w:p w14:paraId="0AAF6885" w14:textId="77777777" w:rsidR="00E85C62" w:rsidRPr="00E85C62" w:rsidRDefault="00E85C62" w:rsidP="00E85C62">
      <w:pPr>
        <w:spacing w:after="0" w:line="240" w:lineRule="auto"/>
        <w:ind w:left="709" w:right="709"/>
        <w:jc w:val="both"/>
        <w:rPr>
          <w:rFonts w:ascii="Verdana" w:eastAsia="Times New Roman" w:hAnsi="Verdana" w:cs="Arial"/>
          <w:bCs/>
          <w:sz w:val="20"/>
          <w:szCs w:val="20"/>
          <w:lang w:val="es-ES" w:eastAsia="es-ES"/>
        </w:rPr>
      </w:pPr>
      <w:r w:rsidRPr="00E85C62">
        <w:rPr>
          <w:rFonts w:ascii="Verdana" w:eastAsia="Times New Roman" w:hAnsi="Verdana" w:cs="Arial"/>
          <w:bCs/>
          <w:sz w:val="20"/>
          <w:szCs w:val="20"/>
          <w:lang w:val="es-ES" w:eastAsia="es-ES"/>
        </w:rPr>
        <w:t xml:space="preserve"> “entre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cuenta ajena, la del mandante, y a riesgo de éste, cual lo define el </w:t>
      </w:r>
      <w:r w:rsidRPr="00E85C62">
        <w:rPr>
          <w:rFonts w:ascii="Verdana" w:eastAsia="Times New Roman" w:hAnsi="Verdana" w:cs="Arial"/>
          <w:bCs/>
          <w:sz w:val="20"/>
          <w:szCs w:val="20"/>
          <w:lang w:val="es-ES" w:eastAsia="es-ES"/>
        </w:rPr>
        <w:lastRenderedPageBreak/>
        <w:t>reseñado artículo 1262 del Código de Comercio, de modo que sobre su patrimonio habrán de recaer, en últimas, los resultados del acto”</w:t>
      </w:r>
      <w:r w:rsidRPr="00E85C62">
        <w:rPr>
          <w:rFonts w:ascii="Verdana" w:eastAsia="Times New Roman" w:hAnsi="Verdana" w:cs="Arial"/>
          <w:bCs/>
          <w:sz w:val="20"/>
          <w:szCs w:val="20"/>
          <w:vertAlign w:val="superscript"/>
          <w:lang w:val="es-ES" w:eastAsia="es-ES"/>
        </w:rPr>
        <w:footnoteReference w:id="8"/>
      </w:r>
      <w:r w:rsidRPr="00E85C62">
        <w:rPr>
          <w:rFonts w:ascii="Verdana" w:eastAsia="Times New Roman" w:hAnsi="Verdana" w:cs="Arial"/>
          <w:bCs/>
          <w:sz w:val="20"/>
          <w:szCs w:val="20"/>
          <w:lang w:val="es-ES" w:eastAsia="es-ES"/>
        </w:rPr>
        <w:t xml:space="preserve">. </w:t>
      </w:r>
    </w:p>
    <w:p w14:paraId="06497376" w14:textId="77777777" w:rsidR="00E85C62" w:rsidRPr="00E85C62" w:rsidRDefault="00E85C62" w:rsidP="00E85C62">
      <w:pPr>
        <w:spacing w:after="0" w:line="276" w:lineRule="auto"/>
        <w:ind w:left="709" w:right="709"/>
        <w:jc w:val="both"/>
        <w:rPr>
          <w:rFonts w:ascii="Verdana" w:eastAsia="Times New Roman" w:hAnsi="Verdana" w:cs="Arial"/>
          <w:bCs/>
          <w:sz w:val="20"/>
          <w:szCs w:val="20"/>
          <w:lang w:val="es-ES" w:eastAsia="es-ES"/>
        </w:rPr>
      </w:pPr>
    </w:p>
    <w:p w14:paraId="4ADF31BC" w14:textId="77777777" w:rsidR="00E85C62" w:rsidRPr="00E85C62" w:rsidRDefault="00E85C62" w:rsidP="00E85C62">
      <w:pPr>
        <w:spacing w:after="120" w:line="276" w:lineRule="auto"/>
        <w:ind w:firstLine="708"/>
        <w:jc w:val="both"/>
        <w:rPr>
          <w:rFonts w:ascii="Verdana" w:eastAsia="Times New Roman" w:hAnsi="Verdana" w:cs="Arial"/>
          <w:lang w:val="es-ES" w:eastAsia="es-CO"/>
        </w:rPr>
      </w:pPr>
      <w:r w:rsidRPr="00E85C62">
        <w:rPr>
          <w:rFonts w:ascii="Verdana" w:eastAsia="Times New Roman" w:hAnsi="Verdana" w:cs="Arial"/>
          <w:lang w:val="es-ES" w:eastAsia="es-CO"/>
        </w:rPr>
        <w:t xml:space="preserve"> En sentencia del 15 de octubre de 2021</w:t>
      </w:r>
      <w:r w:rsidRPr="00E85C62">
        <w:rPr>
          <w:rFonts w:ascii="Verdana" w:eastAsia="Times New Roman" w:hAnsi="Verdana" w:cs="Arial"/>
          <w:vertAlign w:val="superscript"/>
          <w:lang w:val="es-ES" w:eastAsia="es-CO"/>
        </w:rPr>
        <w:footnoteReference w:id="9"/>
      </w:r>
      <w:r w:rsidRPr="00E85C62">
        <w:rPr>
          <w:rFonts w:ascii="Verdana" w:eastAsia="Times New Roman" w:hAnsi="Verdana" w:cs="Arial"/>
          <w:lang w:val="es-ES" w:eastAsia="es-CO"/>
        </w:rPr>
        <w:t xml:space="preserve">, el Consejo de Estado precisó que la </w:t>
      </w:r>
      <w:r w:rsidRPr="00E85C62">
        <w:rPr>
          <w:rFonts w:ascii="Verdana" w:eastAsia="Calibri" w:hAnsi="Verdana" w:cs="Arial"/>
          <w:lang w:val="es-ES_tradnl"/>
        </w:rPr>
        <w:t xml:space="preserve">administración delegada </w:t>
      </w:r>
      <w:r w:rsidRPr="00E85C62">
        <w:rPr>
          <w:rFonts w:ascii="Verdana" w:eastAsia="Times New Roman" w:hAnsi="Verdana" w:cs="Arial"/>
          <w:lang w:val="es-ES" w:eastAsia="es-CO"/>
        </w:rPr>
        <w:t xml:space="preserve">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6F83D827" w14:textId="77777777" w:rsidR="00E85C62" w:rsidRPr="00E85C62" w:rsidRDefault="00E85C62" w:rsidP="00E85C62">
      <w:pPr>
        <w:spacing w:after="0" w:line="276" w:lineRule="auto"/>
        <w:ind w:firstLine="709"/>
        <w:jc w:val="both"/>
        <w:rPr>
          <w:rFonts w:ascii="Verdana" w:eastAsia="Times New Roman" w:hAnsi="Verdana" w:cs="Arial"/>
          <w:lang w:val="es-ES" w:eastAsia="es-CO"/>
        </w:rPr>
      </w:pPr>
      <w:bookmarkStart w:id="3" w:name="_Hlk186720228"/>
      <w:r w:rsidRPr="00E85C62">
        <w:rPr>
          <w:rFonts w:ascii="Verdana" w:eastAsia="Times New Roman" w:hAnsi="Verdana" w:cs="Arial"/>
          <w:lang w:val="es-ES" w:eastAsia="es-CO"/>
        </w:rPr>
        <w:t xml:space="preserve">Recientemente, el Consejo de Estado en sentencia del 20 de junio de 2023, reiterando lo expuesto por esta corporación frente a la esencia del mandato en la administración delegada, señaló lo siguiente: </w:t>
      </w:r>
    </w:p>
    <w:p w14:paraId="30084EB9" w14:textId="77777777" w:rsidR="00E85C62" w:rsidRPr="00E85C62" w:rsidRDefault="00E85C62" w:rsidP="00E85C62">
      <w:pPr>
        <w:spacing w:after="0" w:line="276" w:lineRule="auto"/>
        <w:ind w:firstLine="709"/>
        <w:jc w:val="both"/>
        <w:rPr>
          <w:rFonts w:ascii="Verdana" w:eastAsia="Times New Roman" w:hAnsi="Verdana" w:cs="Arial"/>
          <w:lang w:val="es-ES" w:eastAsia="es-CO"/>
        </w:rPr>
      </w:pPr>
    </w:p>
    <w:p w14:paraId="49C0E11A" w14:textId="77777777" w:rsidR="00E85C62" w:rsidRPr="00E85C62" w:rsidRDefault="00E85C62" w:rsidP="00E85C62">
      <w:pPr>
        <w:spacing w:after="120" w:line="240" w:lineRule="auto"/>
        <w:ind w:left="709" w:right="618"/>
        <w:jc w:val="both"/>
        <w:rPr>
          <w:rFonts w:ascii="Verdana" w:eastAsia="Times New Roman" w:hAnsi="Verdana" w:cs="Arial"/>
          <w:bCs/>
          <w:sz w:val="20"/>
          <w:szCs w:val="20"/>
          <w:lang w:val="es-ES" w:eastAsia="es-ES"/>
        </w:rPr>
      </w:pPr>
      <w:r w:rsidRPr="00E85C62">
        <w:rPr>
          <w:rFonts w:ascii="Verdana" w:eastAsia="Times New Roman" w:hAnsi="Verdana" w:cs="Arial"/>
          <w:lang w:val="es-ES" w:eastAsia="es-CO"/>
        </w:rPr>
        <w:t>“</w:t>
      </w:r>
      <w:r w:rsidRPr="00E85C62">
        <w:rPr>
          <w:rFonts w:ascii="Verdana" w:eastAsia="Times New Roman" w:hAnsi="Verdana" w:cs="Arial"/>
          <w:bCs/>
          <w:sz w:val="20"/>
          <w:szCs w:val="20"/>
          <w:lang w:val="es-ES" w:eastAsia="es-ES"/>
        </w:rPr>
        <w:t xml:space="preserve">En el contrato de obra por administración delegada, el administrador delegado, se encarga, por cuenta y riesgo del contratante, de la ejecución del objeto convenido, figura que por ende entraña la relación contractual propia del mandato, pues en los términos del artículo 2142 del Código Civil, el contratante “confía la gestión de uno más negocios a otra por cuenta y riesgo de la primera”, y con ocasión de la ejecución del encargo, el mandatario, a su vez y como regla general, contrata en nombre del mandante; no obstante, la regla general antes indicada tiene su excepción, pues tal como es dispuesto por el artículo 2177 </w:t>
      </w:r>
      <w:proofErr w:type="spellStart"/>
      <w:r w:rsidRPr="00E85C62">
        <w:rPr>
          <w:rFonts w:ascii="Verdana" w:eastAsia="Times New Roman" w:hAnsi="Verdana" w:cs="Arial"/>
          <w:bCs/>
          <w:sz w:val="20"/>
          <w:szCs w:val="20"/>
          <w:lang w:val="es-ES" w:eastAsia="es-ES"/>
        </w:rPr>
        <w:t>ejusdem</w:t>
      </w:r>
      <w:proofErr w:type="spellEnd"/>
      <w:r w:rsidRPr="00E85C62">
        <w:rPr>
          <w:rFonts w:ascii="Verdana" w:eastAsia="Times New Roman" w:hAnsi="Verdana" w:cs="Arial"/>
          <w:bCs/>
          <w:sz w:val="20"/>
          <w:szCs w:val="20"/>
          <w:lang w:val="es-ES" w:eastAsia="es-ES"/>
        </w:rPr>
        <w:t>, el mandatario “puede, en el ejercicio de su cargo, contratar a su propio nombre o al del mandante” y “si contrata a su propio nombre no obliga respecto de terceros al mandante</w:t>
      </w:r>
      <w:r w:rsidRPr="00E85C62">
        <w:rPr>
          <w:rFonts w:ascii="Verdana" w:eastAsia="Times New Roman" w:hAnsi="Verdana" w:cs="Arial"/>
          <w:bCs/>
          <w:sz w:val="20"/>
          <w:szCs w:val="20"/>
          <w:vertAlign w:val="superscript"/>
          <w:lang w:val="es-ES" w:eastAsia="es-ES"/>
        </w:rPr>
        <w:footnoteReference w:id="10"/>
      </w:r>
      <w:r w:rsidRPr="00E85C62">
        <w:rPr>
          <w:rFonts w:ascii="Verdana" w:eastAsia="Times New Roman" w:hAnsi="Verdana" w:cs="Arial"/>
          <w:bCs/>
          <w:sz w:val="20"/>
          <w:szCs w:val="20"/>
          <w:lang w:val="es-ES" w:eastAsia="es-ES"/>
        </w:rPr>
        <w:t>”</w:t>
      </w:r>
    </w:p>
    <w:p w14:paraId="078890BE" w14:textId="77777777" w:rsidR="00E85C62" w:rsidRPr="00E85C62" w:rsidRDefault="00E85C62" w:rsidP="00E85C62">
      <w:pPr>
        <w:spacing w:after="0" w:line="276" w:lineRule="auto"/>
        <w:ind w:left="709" w:right="618"/>
        <w:jc w:val="both"/>
        <w:rPr>
          <w:rFonts w:ascii="Verdana" w:eastAsia="Times New Roman" w:hAnsi="Verdana" w:cs="Arial"/>
          <w:bCs/>
          <w:sz w:val="20"/>
          <w:szCs w:val="20"/>
          <w:lang w:val="es-ES" w:eastAsia="es-ES"/>
        </w:rPr>
      </w:pPr>
    </w:p>
    <w:p w14:paraId="1D258AE3" w14:textId="77777777" w:rsidR="00E85C62" w:rsidRPr="00E85C62" w:rsidRDefault="00E85C62" w:rsidP="00E85C62">
      <w:pPr>
        <w:spacing w:after="120" w:line="276" w:lineRule="auto"/>
        <w:ind w:firstLine="709"/>
        <w:jc w:val="both"/>
        <w:rPr>
          <w:rFonts w:ascii="Verdana" w:eastAsia="Calibri" w:hAnsi="Verdana" w:cs="Arial"/>
          <w:bCs/>
        </w:rPr>
      </w:pPr>
      <w:r w:rsidRPr="00E85C62">
        <w:rPr>
          <w:rFonts w:ascii="Verdana" w:eastAsia="Times New Roman" w:hAnsi="Verdana" w:cs="Arial"/>
          <w:lang w:val="es-ES" w:eastAsia="es-CO"/>
        </w:rPr>
        <w:t>Así mismo, sobre la subcontratación en el marco de la administración delegada, indico que “</w:t>
      </w:r>
      <w:r w:rsidRPr="00E85C62">
        <w:rPr>
          <w:rFonts w:ascii="Verdana" w:eastAsia="Times New Roman" w:hAnsi="Verdana" w:cs="Arial"/>
          <w:lang w:eastAsia="es-CO"/>
        </w:rPr>
        <w:t xml:space="preserve">aunque el administrador delegado tiene como obligación esencial tomar bajo su responsabilidad la dirección técnica de la obra, la cual es </w:t>
      </w:r>
      <w:r w:rsidRPr="00E85C62">
        <w:rPr>
          <w:rFonts w:ascii="Verdana" w:eastAsia="Times New Roman" w:hAnsi="Verdana" w:cs="Arial"/>
          <w:lang w:eastAsia="es-CO"/>
        </w:rPr>
        <w:lastRenderedPageBreak/>
        <w:t xml:space="preserve">de propiedad de la entidad estatal, “en el evento de que el administrador delegado celebre subcontratos para efectos de la ejecución del objeto convenido, él será el único responsable de </w:t>
      </w:r>
      <w:proofErr w:type="gramStart"/>
      <w:r w:rsidRPr="00E85C62">
        <w:rPr>
          <w:rFonts w:ascii="Verdana" w:eastAsia="Times New Roman" w:hAnsi="Verdana" w:cs="Arial"/>
          <w:lang w:eastAsia="es-CO"/>
        </w:rPr>
        <w:t>los mismos</w:t>
      </w:r>
      <w:proofErr w:type="gramEnd"/>
      <w:r w:rsidRPr="00E85C62">
        <w:rPr>
          <w:rFonts w:ascii="Verdana" w:eastAsia="Times New Roman" w:hAnsi="Verdana" w:cs="Arial"/>
          <w:lang w:eastAsia="es-CO"/>
        </w:rPr>
        <w:t>”</w:t>
      </w:r>
      <w:r w:rsidRPr="00E85C62">
        <w:rPr>
          <w:rFonts w:ascii="Verdana" w:eastAsia="Times New Roman" w:hAnsi="Verdana" w:cs="Arial"/>
          <w:vertAlign w:val="superscript"/>
          <w:lang w:eastAsia="es-CO"/>
        </w:rPr>
        <w:footnoteReference w:id="11"/>
      </w:r>
      <w:r w:rsidRPr="00E85C62">
        <w:rPr>
          <w:rFonts w:ascii="Verdana" w:eastAsia="Times New Roman" w:hAnsi="Verdana" w:cs="Arial"/>
          <w:lang w:eastAsia="es-CO"/>
        </w:rPr>
        <w:t>.</w:t>
      </w:r>
      <w:r w:rsidRPr="00E85C62">
        <w:rPr>
          <w:rFonts w:ascii="Verdana" w:eastAsia="Calibri" w:hAnsi="Verdana" w:cs="Arial"/>
          <w:lang w:val="es-ES"/>
        </w:rPr>
        <w:t xml:space="preserve"> En este sentido, </w:t>
      </w:r>
      <w:r w:rsidRPr="00E85C62">
        <w:rPr>
          <w:rFonts w:ascii="Verdana" w:eastAsia="Calibri" w:hAnsi="Verdana" w:cs="Arial"/>
          <w:bCs/>
        </w:rPr>
        <w:t xml:space="preserve">si bien la administración delegada implica la realización o ejecución de la obra encomendada, junto con la administración de los fondos, en caso de que se celebren subcontratos no se genera una relación jurídica entre la entidad contratante y los terceros. </w:t>
      </w:r>
      <w:bookmarkEnd w:id="3"/>
    </w:p>
    <w:p w14:paraId="444DF357" w14:textId="77777777" w:rsidR="00E85C62" w:rsidRPr="00E85C62" w:rsidRDefault="00E85C62" w:rsidP="00E85C62">
      <w:pPr>
        <w:spacing w:after="120" w:line="276" w:lineRule="auto"/>
        <w:ind w:firstLine="709"/>
        <w:jc w:val="both"/>
        <w:rPr>
          <w:rFonts w:ascii="Calibri" w:eastAsia="Calibri" w:hAnsi="Calibri" w:cs="Times New Roman"/>
        </w:rPr>
      </w:pPr>
      <w:r w:rsidRPr="00E85C62">
        <w:rPr>
          <w:rFonts w:ascii="Verdana" w:eastAsia="Calibri" w:hAnsi="Verdana" w:cs="Arial"/>
          <w:bCs/>
        </w:rPr>
        <w:t xml:space="preserve">De igual forma, vale la pena señalar lo expuesto por la Corte Suprema de Justicia en sentencia del 18 de octubre de 2023, en el cual se precisa que el contrato de administración delegada </w:t>
      </w:r>
      <w:r w:rsidRPr="00E85C62">
        <w:rPr>
          <w:rFonts w:ascii="Verdana" w:eastAsia="Calibri" w:hAnsi="Verdana" w:cs="Times New Roman"/>
        </w:rPr>
        <w:t xml:space="preserve">es de los llamados contratos atípicos o innominados, de modo que, al no estar regulados, necesariamente debe consultarse lo pactado por las partes y desentrañar las intenciones y objetivos que acordaron al suscribir el acuerdo </w:t>
      </w:r>
      <w:r w:rsidRPr="00E85C62">
        <w:rPr>
          <w:rFonts w:ascii="Verdana" w:eastAsia="Calibri" w:hAnsi="Verdana" w:cs="Times New Roman"/>
          <w:vertAlign w:val="superscript"/>
        </w:rPr>
        <w:footnoteReference w:id="12"/>
      </w:r>
      <w:r w:rsidRPr="00E85C62">
        <w:rPr>
          <w:rFonts w:ascii="Verdana" w:eastAsia="Calibri" w:hAnsi="Verdana" w:cs="Times New Roman"/>
        </w:rPr>
        <w:t xml:space="preserve">. </w:t>
      </w:r>
    </w:p>
    <w:p w14:paraId="7D7D3861" w14:textId="77777777" w:rsidR="00E85C62" w:rsidRPr="00E85C62" w:rsidRDefault="00E85C62" w:rsidP="00E85C62">
      <w:pPr>
        <w:spacing w:after="120" w:line="276" w:lineRule="auto"/>
        <w:ind w:firstLine="709"/>
        <w:jc w:val="both"/>
        <w:rPr>
          <w:rFonts w:ascii="Verdana" w:eastAsia="Calibri" w:hAnsi="Verdana" w:cs="Arial"/>
          <w:bCs/>
          <w:lang w:val="es-ES_tradnl"/>
        </w:rPr>
      </w:pPr>
      <w:r w:rsidRPr="00E85C62">
        <w:rPr>
          <w:rFonts w:ascii="Verdana" w:eastAsia="Calibri" w:hAnsi="Verdana" w:cs="Arial"/>
          <w:bCs/>
        </w:rPr>
        <w:t xml:space="preserve">Así pues, teniendo en cuenta que </w:t>
      </w:r>
      <w:r w:rsidRPr="00E85C62">
        <w:rPr>
          <w:rFonts w:ascii="Verdana" w:eastAsia="Calibri" w:hAnsi="Verdana" w:cs="Arial"/>
          <w:bCs/>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E85C62">
        <w:rPr>
          <w:rFonts w:ascii="Verdana" w:eastAsia="Century Gothic" w:hAnsi="Verdana" w:cs="Century Gothic"/>
          <w:color w:val="000000"/>
        </w:rPr>
        <w:t xml:space="preserve">por el cual la entidad estatal contratante –mandante– encomienda a la entidad estatal contratista –mandataria– la administración de un proyecto. </w:t>
      </w:r>
    </w:p>
    <w:p w14:paraId="47E8D108" w14:textId="77777777" w:rsidR="00E85C62" w:rsidRPr="00E85C62" w:rsidRDefault="00E85C62" w:rsidP="00E85C62">
      <w:pPr>
        <w:widowControl w:val="0"/>
        <w:autoSpaceDE w:val="0"/>
        <w:autoSpaceDN w:val="0"/>
        <w:spacing w:after="120" w:line="276" w:lineRule="auto"/>
        <w:ind w:firstLine="709"/>
        <w:jc w:val="both"/>
        <w:rPr>
          <w:rFonts w:ascii="Verdana" w:eastAsia="Arial" w:hAnsi="Verdana" w:cs="Arial"/>
          <w:lang w:val="es-ES"/>
        </w:rPr>
      </w:pPr>
      <w:r w:rsidRPr="00E85C62">
        <w:rPr>
          <w:rFonts w:ascii="Verdana" w:eastAsia="Arial" w:hAnsi="Verdana" w:cs="Arial"/>
          <w:lang w:val="es-ES"/>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E85C62">
        <w:rPr>
          <w:rFonts w:ascii="Verdana" w:eastAsia="Arial" w:hAnsi="Verdana" w:cs="Arial"/>
          <w:lang w:val="es-ES"/>
        </w:rPr>
        <w:t>ii</w:t>
      </w:r>
      <w:proofErr w:type="spellEnd"/>
      <w:r w:rsidRPr="00E85C62">
        <w:rPr>
          <w:rFonts w:ascii="Verdana" w:eastAsia="Arial" w:hAnsi="Verdana" w:cs="Arial"/>
          <w:lang w:val="es-ES"/>
        </w:rPr>
        <w:t xml:space="preserve">) los “precios unitarios” –en los cuales se suelen detallar los costos directos, diferenciándolos de los costos </w:t>
      </w:r>
      <w:r w:rsidRPr="00E85C62">
        <w:rPr>
          <w:rFonts w:ascii="Verdana" w:eastAsia="Arial" w:hAnsi="Verdana" w:cs="Arial"/>
          <w:lang w:val="es-ES"/>
        </w:rPr>
        <w:lastRenderedPageBreak/>
        <w:t xml:space="preserve">indirectos de administración (A), imprevistos (I) y utilidades (U)–, o </w:t>
      </w:r>
      <w:proofErr w:type="spellStart"/>
      <w:r w:rsidRPr="00E85C62">
        <w:rPr>
          <w:rFonts w:ascii="Verdana" w:eastAsia="Arial" w:hAnsi="Verdana" w:cs="Arial"/>
          <w:lang w:val="es-ES"/>
        </w:rPr>
        <w:t>iii</w:t>
      </w:r>
      <w:proofErr w:type="spellEnd"/>
      <w:r w:rsidRPr="00E85C62">
        <w:rPr>
          <w:rFonts w:ascii="Verdana" w:eastAsia="Arial" w:hAnsi="Verdana" w:cs="Arial"/>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Sobre este aspecto, la doctrina ha señalado lo siguiente: </w:t>
      </w:r>
      <w:r w:rsidRPr="00E85C62">
        <w:rPr>
          <w:rFonts w:ascii="Verdana" w:eastAsia="Calibri" w:hAnsi="Verdana" w:cs="Arial"/>
          <w:lang w:val="es-ES"/>
        </w:rPr>
        <w:t xml:space="preserve"> </w:t>
      </w:r>
    </w:p>
    <w:p w14:paraId="49A7FA0B" w14:textId="77777777" w:rsidR="00E85C62" w:rsidRPr="00E85C62" w:rsidRDefault="00E85C62" w:rsidP="00E85C62">
      <w:pPr>
        <w:snapToGrid w:val="0"/>
        <w:spacing w:after="0" w:line="240" w:lineRule="auto"/>
        <w:ind w:firstLine="709"/>
        <w:jc w:val="both"/>
        <w:rPr>
          <w:rFonts w:ascii="Verdana" w:eastAsia="Calibri" w:hAnsi="Verdana" w:cs="Arial"/>
          <w:sz w:val="16"/>
          <w:szCs w:val="16"/>
          <w:lang w:val="es-ES"/>
        </w:rPr>
      </w:pPr>
    </w:p>
    <w:p w14:paraId="4C30658A" w14:textId="77777777" w:rsidR="00E85C62" w:rsidRPr="00E85C62" w:rsidRDefault="00E85C62" w:rsidP="00E85C62">
      <w:pPr>
        <w:snapToGrid w:val="0"/>
        <w:spacing w:after="120" w:line="240" w:lineRule="auto"/>
        <w:ind w:left="709" w:right="618"/>
        <w:jc w:val="both"/>
        <w:rPr>
          <w:rFonts w:ascii="Verdana" w:eastAsia="Calibri" w:hAnsi="Verdana" w:cs="Arial"/>
          <w:sz w:val="20"/>
          <w:szCs w:val="20"/>
          <w:lang w:val="es-ES"/>
        </w:rPr>
      </w:pPr>
      <w:r w:rsidRPr="00E85C62">
        <w:rPr>
          <w:rFonts w:ascii="Verdana" w:eastAsia="Calibri" w:hAnsi="Verdana" w:cs="Arial"/>
          <w:sz w:val="20"/>
          <w:szCs w:val="20"/>
          <w:lang w:val="es-ES"/>
        </w:rPr>
        <w:t>“La administración delegada es una modalidad de pago poco usada en la actualidad, pero, al fin y al cabo, empleada ocasionalmente. En ella el contratista se compromete a ejecutar un trabajo, pero con los recursos económicos, materiales y/o la maquinaria del Estado. Desde este punto de vista se diferencia sustancialmente del precio global y del unitario, donde lo normal es que el contratista pone estos recursos para ejecutar el trabajo.</w:t>
      </w:r>
    </w:p>
    <w:p w14:paraId="77B44E66" w14:textId="77777777" w:rsidR="00E85C62" w:rsidRPr="00E85C62" w:rsidRDefault="00E85C62" w:rsidP="00E85C62">
      <w:pPr>
        <w:snapToGrid w:val="0"/>
        <w:spacing w:after="120" w:line="240" w:lineRule="auto"/>
        <w:ind w:left="709" w:right="618"/>
        <w:jc w:val="both"/>
        <w:rPr>
          <w:rFonts w:ascii="Verdana" w:eastAsia="Calibri" w:hAnsi="Verdana" w:cs="Arial"/>
          <w:sz w:val="20"/>
          <w:szCs w:val="20"/>
          <w:lang w:val="es-ES"/>
        </w:rPr>
      </w:pPr>
      <w:r w:rsidRPr="00E85C62">
        <w:rPr>
          <w:rFonts w:ascii="Verdana" w:eastAsia="Calibri" w:hAnsi="Verdana" w:cs="Arial"/>
          <w:sz w:val="20"/>
          <w:szCs w:val="20"/>
          <w:lang w:val="es-ES"/>
        </w:rPr>
        <w:t>[…]</w:t>
      </w:r>
    </w:p>
    <w:p w14:paraId="5B309524" w14:textId="77777777" w:rsidR="00E85C62" w:rsidRPr="00E85C62" w:rsidRDefault="00E85C62" w:rsidP="00E85C62">
      <w:pPr>
        <w:widowControl w:val="0"/>
        <w:autoSpaceDE w:val="0"/>
        <w:autoSpaceDN w:val="0"/>
        <w:spacing w:after="120" w:line="240" w:lineRule="auto"/>
        <w:ind w:left="709" w:right="618"/>
        <w:jc w:val="both"/>
        <w:rPr>
          <w:rFonts w:ascii="Verdana" w:eastAsia="Calibri" w:hAnsi="Verdana" w:cs="Arial"/>
          <w:sz w:val="20"/>
          <w:szCs w:val="20"/>
          <w:lang w:val="es-ES"/>
        </w:rPr>
      </w:pPr>
      <w:r w:rsidRPr="00E85C62">
        <w:rPr>
          <w:rFonts w:ascii="Verdana" w:eastAsia="Calibri" w:hAnsi="Verdana" w:cs="Arial"/>
          <w:sz w:val="20"/>
          <w:szCs w:val="20"/>
          <w:lang w:val="es-ES"/>
        </w:rPr>
        <w:t xml:space="preserve">Los aspectos claves de este negocio, en función del precio, tienen que ver con el hecho de que la entidad estatal asume la obligación de poner el dinero para que el contratista compre los materiales, pague el arriendo de la maquinaria, del personal de trabajo, y demás elementos necesarios para la construcción; y el contratista se compromete a construir con estos recursos puestos a su disposición; no se le paga un precio unitario o global, sino una </w:t>
      </w:r>
      <w:r w:rsidRPr="00E85C62">
        <w:rPr>
          <w:rFonts w:ascii="Verdana" w:eastAsia="Calibri" w:hAnsi="Verdana" w:cs="Arial"/>
          <w:i/>
          <w:iCs/>
          <w:sz w:val="20"/>
          <w:szCs w:val="20"/>
          <w:lang w:val="es-ES"/>
        </w:rPr>
        <w:t>administración</w:t>
      </w:r>
      <w:r w:rsidRPr="00E85C62">
        <w:rPr>
          <w:rFonts w:ascii="Verdana" w:eastAsia="Calibri" w:hAnsi="Verdana" w:cs="Arial"/>
          <w:sz w:val="20"/>
          <w:szCs w:val="20"/>
          <w:lang w:val="es-ES"/>
        </w:rPr>
        <w:t>, por el hecho de poner su conocimiento y esfuerzo al servicio de la construcción de una obra, la cual ejecuta con los recursos del Estado</w:t>
      </w:r>
      <w:r w:rsidRPr="00E85C62">
        <w:rPr>
          <w:rFonts w:ascii="Verdana" w:eastAsia="Calibri" w:hAnsi="Verdana" w:cs="Arial"/>
          <w:sz w:val="20"/>
          <w:szCs w:val="20"/>
          <w:vertAlign w:val="superscript"/>
          <w:lang w:val="es-ES"/>
        </w:rPr>
        <w:footnoteReference w:id="13"/>
      </w:r>
      <w:r w:rsidRPr="00E85C62">
        <w:rPr>
          <w:rFonts w:ascii="Verdana" w:eastAsia="Calibri" w:hAnsi="Verdana" w:cs="Arial"/>
          <w:sz w:val="20"/>
          <w:szCs w:val="20"/>
          <w:lang w:val="es-ES"/>
        </w:rPr>
        <w:t>”</w:t>
      </w:r>
    </w:p>
    <w:p w14:paraId="71D66A1B" w14:textId="77777777" w:rsidR="00E85C62" w:rsidRPr="00E85C62" w:rsidRDefault="00E85C62" w:rsidP="00E85C62">
      <w:pPr>
        <w:widowControl w:val="0"/>
        <w:autoSpaceDE w:val="0"/>
        <w:autoSpaceDN w:val="0"/>
        <w:spacing w:after="0" w:line="240" w:lineRule="auto"/>
        <w:ind w:left="709" w:right="618"/>
        <w:jc w:val="both"/>
        <w:rPr>
          <w:rFonts w:ascii="Verdana" w:eastAsia="Arial" w:hAnsi="Verdana" w:cs="Arial"/>
          <w:sz w:val="20"/>
          <w:szCs w:val="20"/>
          <w:lang w:val="es-ES"/>
        </w:rPr>
      </w:pPr>
    </w:p>
    <w:p w14:paraId="49B17A74" w14:textId="77777777" w:rsidR="00E85C62" w:rsidRPr="00E85C62" w:rsidRDefault="00E85C62" w:rsidP="00E85C62">
      <w:pPr>
        <w:widowControl w:val="0"/>
        <w:autoSpaceDE w:val="0"/>
        <w:autoSpaceDN w:val="0"/>
        <w:spacing w:after="120" w:line="276" w:lineRule="auto"/>
        <w:ind w:firstLine="709"/>
        <w:jc w:val="both"/>
        <w:rPr>
          <w:rFonts w:ascii="Verdana" w:eastAsia="Arial" w:hAnsi="Verdana" w:cs="Arial"/>
          <w:lang w:val="es-ES"/>
        </w:rPr>
      </w:pPr>
      <w:r w:rsidRPr="00E85C62">
        <w:rPr>
          <w:rFonts w:ascii="Verdana" w:eastAsia="Arial" w:hAnsi="Verdana" w:cs="Arial"/>
          <w:lang w:val="es-ES"/>
        </w:rPr>
        <w:t xml:space="preserve">De igual forma, se ha señalado que “en la administración delegada el contratista se compromete a construir una obra y la entidad estatal asume los valores de los subcontratos que debe celebrar el contratista para cumplir con el objeto, con un valor adicional que corresponde a los honorarios de administración (costos de personal, oficinas, vehículos, </w:t>
      </w:r>
      <w:proofErr w:type="spellStart"/>
      <w:r w:rsidRPr="00E85C62">
        <w:rPr>
          <w:rFonts w:ascii="Verdana" w:eastAsia="Arial" w:hAnsi="Verdana" w:cs="Arial"/>
          <w:lang w:val="es-ES"/>
        </w:rPr>
        <w:t>etc</w:t>
      </w:r>
      <w:proofErr w:type="spellEnd"/>
      <w:r w:rsidRPr="00E85C62">
        <w:rPr>
          <w:rFonts w:ascii="Verdana" w:eastAsia="Arial" w:hAnsi="Verdana" w:cs="Arial"/>
          <w:lang w:val="es-ES"/>
        </w:rPr>
        <w:t xml:space="preserve">) y la utilidad”. De esta forma, se refiere a este sistema de pago como el de costes y costas: “Coste” comprende todos los gastos de construcción (materiales, mano de obra, </w:t>
      </w:r>
      <w:proofErr w:type="spellStart"/>
      <w:r w:rsidRPr="00E85C62">
        <w:rPr>
          <w:rFonts w:ascii="Verdana" w:eastAsia="Arial" w:hAnsi="Verdana" w:cs="Arial"/>
          <w:lang w:val="es-ES"/>
        </w:rPr>
        <w:t>ect</w:t>
      </w:r>
      <w:proofErr w:type="spellEnd"/>
      <w:r w:rsidRPr="00E85C62">
        <w:rPr>
          <w:rFonts w:ascii="Verdana" w:eastAsia="Arial" w:hAnsi="Verdana" w:cs="Arial"/>
          <w:lang w:val="es-ES"/>
        </w:rPr>
        <w:t xml:space="preserve">); “costas” comprende la utilidad del cocontratante. La suma de estos rubros </w:t>
      </w:r>
      <w:r w:rsidRPr="00E85C62">
        <w:rPr>
          <w:rFonts w:ascii="Verdana" w:eastAsia="Arial" w:hAnsi="Verdana" w:cs="Arial"/>
          <w:lang w:val="es-ES"/>
        </w:rPr>
        <w:lastRenderedPageBreak/>
        <w:t>traduce el precio de la obra”</w:t>
      </w:r>
      <w:r w:rsidRPr="00E85C62">
        <w:rPr>
          <w:rFonts w:ascii="Verdana" w:eastAsia="Arial" w:hAnsi="Verdana" w:cs="Arial"/>
          <w:vertAlign w:val="superscript"/>
          <w:lang w:val="es-ES"/>
        </w:rPr>
        <w:footnoteReference w:id="14"/>
      </w:r>
      <w:r w:rsidRPr="00E85C62">
        <w:rPr>
          <w:rFonts w:ascii="Verdana" w:eastAsia="Arial" w:hAnsi="Verdana" w:cs="Arial"/>
          <w:lang w:val="es-ES"/>
        </w:rPr>
        <w:t>.</w:t>
      </w:r>
    </w:p>
    <w:p w14:paraId="38B39C84" w14:textId="77777777" w:rsidR="00E85C62" w:rsidRPr="00E85C62" w:rsidRDefault="00E85C62" w:rsidP="00E85C62">
      <w:pPr>
        <w:widowControl w:val="0"/>
        <w:autoSpaceDE w:val="0"/>
        <w:autoSpaceDN w:val="0"/>
        <w:spacing w:after="120" w:line="276" w:lineRule="auto"/>
        <w:ind w:firstLine="709"/>
        <w:jc w:val="both"/>
        <w:rPr>
          <w:rFonts w:ascii="Verdana" w:eastAsia="Arial" w:hAnsi="Verdana" w:cs="Arial"/>
          <w:lang w:val="es-ES"/>
        </w:rPr>
      </w:pPr>
      <w:r w:rsidRPr="00E85C62">
        <w:rPr>
          <w:rFonts w:ascii="Verdana" w:eastAsia="Arial" w:hAnsi="Verdana" w:cs="Arial"/>
          <w:lang w:val="es-ES"/>
        </w:rPr>
        <w:t xml:space="preserve">En consecuencia, el principio de autonomía de la voluntad de las partes, reconocido en los artículos 13, 32 y 40 de la Ley 80 de 1993, así como en el artículo 1602 del Código Civil, es viable que las Entidades Estatales celebren contratos en los que se pacte la administración delegada de los recursos, bien como forma de mandato o modalidad de pago. </w:t>
      </w:r>
    </w:p>
    <w:p w14:paraId="5D884EC4" w14:textId="77777777" w:rsidR="00E85C62" w:rsidRPr="00E85C62" w:rsidRDefault="00E85C62" w:rsidP="00E85C62">
      <w:pPr>
        <w:widowControl w:val="0"/>
        <w:autoSpaceDE w:val="0"/>
        <w:autoSpaceDN w:val="0"/>
        <w:spacing w:after="0"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t xml:space="preserve">Finalmente, en relación con su solicitud debe indicarse que, la obra pública existe con independencia de la modalidad de ejecución o de pago, sea que el objeto se ejecute a través de administración delegada o por administración de recursos, ambas categorías pertenecen a la tipología contractual del numeral 1 del artículo 32 de la Ley 80 de 1993. Es decir, al margen de la nominación asignada por las partes, cualquier negocio jurídico que implique un trabajo material sobre bienes inmuebles a favor de una entidad pública, tiene la naturaleza jurídica de una obra pública. Como este contrato tiene carácter bilateral y oneroso, en los términos del inciso primero del artículo 41 del EGCAP, las obligaciones básicas dependen del acuerdo sobre el inmueble objeto de construcción, mantenimiento, instalación, reforma o demolición, por un lado, y la remuneración del contratista de acuerdo con la forma de ejecución, por el otro. </w:t>
      </w:r>
    </w:p>
    <w:p w14:paraId="514294BC" w14:textId="77777777" w:rsidR="00E85C62" w:rsidRPr="00E85C62" w:rsidRDefault="00E85C62" w:rsidP="00E85C62">
      <w:pPr>
        <w:widowControl w:val="0"/>
        <w:autoSpaceDE w:val="0"/>
        <w:autoSpaceDN w:val="0"/>
        <w:spacing w:after="0" w:line="276" w:lineRule="auto"/>
        <w:ind w:firstLine="709"/>
        <w:jc w:val="both"/>
        <w:rPr>
          <w:rFonts w:ascii="Verdana" w:eastAsia="Arial" w:hAnsi="Verdana" w:cs="Arial"/>
          <w:lang w:val="es-ES"/>
        </w:rPr>
      </w:pPr>
    </w:p>
    <w:p w14:paraId="0250E0D8" w14:textId="77777777" w:rsidR="00E85C62" w:rsidRPr="00E85C62" w:rsidRDefault="00E85C62" w:rsidP="00E85C62">
      <w:pPr>
        <w:spacing w:after="0" w:line="276" w:lineRule="auto"/>
        <w:jc w:val="both"/>
        <w:rPr>
          <w:rFonts w:ascii="Verdana" w:eastAsia="Aptos" w:hAnsi="Verdana" w:cs="Arial"/>
          <w:lang w:eastAsia="es-MX"/>
        </w:rPr>
      </w:pPr>
      <w:proofErr w:type="spellStart"/>
      <w:r w:rsidRPr="00E85C62">
        <w:rPr>
          <w:rFonts w:ascii="Verdana" w:eastAsia="Aptos" w:hAnsi="Verdana" w:cs="Arial"/>
          <w:lang w:eastAsia="es-MX"/>
        </w:rPr>
        <w:t>ii</w:t>
      </w:r>
      <w:proofErr w:type="spellEnd"/>
      <w:r w:rsidRPr="00E85C62">
        <w:rPr>
          <w:rFonts w:ascii="Verdana" w:eastAsia="Aptos" w:hAnsi="Verdana" w:cs="Arial"/>
          <w:lang w:eastAsia="es-MX"/>
        </w:rPr>
        <w:t>.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3CE6B33" w14:textId="77777777" w:rsidR="00E85C62" w:rsidRPr="00E85C62" w:rsidRDefault="00E85C62" w:rsidP="00E85C62">
      <w:pPr>
        <w:spacing w:after="120" w:line="276" w:lineRule="auto"/>
        <w:ind w:firstLine="708"/>
        <w:jc w:val="both"/>
        <w:rPr>
          <w:rFonts w:ascii="Verdana" w:eastAsia="Aptos" w:hAnsi="Verdana" w:cs="Arial"/>
          <w:lang w:eastAsia="es-MX"/>
        </w:rPr>
      </w:pPr>
      <w:r w:rsidRPr="00E85C62">
        <w:rPr>
          <w:rFonts w:ascii="Verdana" w:eastAsia="Aptos" w:hAnsi="Verdana" w:cs="Arial"/>
          <w:lang w:val="es-ES" w:eastAsia="es-MX"/>
        </w:rPr>
        <w:t xml:space="preserve">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w:t>
      </w:r>
      <w:r w:rsidRPr="00E85C62">
        <w:rPr>
          <w:rFonts w:ascii="Verdana" w:eastAsia="Aptos" w:hAnsi="Verdana" w:cs="Arial"/>
          <w:lang w:val="es-ES" w:eastAsia="es-MX"/>
        </w:rPr>
        <w:lastRenderedPageBreak/>
        <w:t>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0F36E3A"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r w:rsidRPr="00E85C62">
        <w:rPr>
          <w:rFonts w:ascii="Verdana" w:eastAsia="Aptos" w:hAnsi="Verdana" w:cs="Arial"/>
          <w:lang w:eastAsia="es-MX"/>
        </w:rPr>
        <w:t xml:space="preserve">En el sector social, </w:t>
      </w:r>
      <w:r w:rsidRPr="00E85C62">
        <w:rPr>
          <w:rFonts w:ascii="Verdana" w:eastAsia="Calibri" w:hAnsi="Verdana" w:cs="Arial"/>
          <w:lang w:val="es-MX" w:eastAsia="es-MX"/>
        </w:rPr>
        <w:t xml:space="preserve">la Agencia Nacional de Contratación Pública – Colombia Compra </w:t>
      </w:r>
      <w:r w:rsidRPr="00E85C62">
        <w:rPr>
          <w:rFonts w:ascii="Verdana" w:eastAsia="Calibri" w:hAnsi="Verdana" w:cs="Arial"/>
          <w:lang w:eastAsia="es-MX"/>
        </w:rPr>
        <w:t xml:space="preserve">Eficiente </w:t>
      </w:r>
      <w:r w:rsidRPr="00E85C62">
        <w:rPr>
          <w:rFonts w:ascii="Verdana" w:eastAsia="Times New Roman" w:hAnsi="Verdana" w:cs="Times New Roman"/>
          <w:color w:val="000000"/>
          <w:lang w:eastAsia="es-CO"/>
        </w:rPr>
        <w:t>en el segundo semestre del año 2025 adoptó las siguientes Resoluciones para contratar obra pública y concurso de méritos:</w:t>
      </w:r>
    </w:p>
    <w:p w14:paraId="25D88AA7"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r w:rsidRPr="00E85C62">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F4BEB80"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r w:rsidRPr="00E85C62">
        <w:rPr>
          <w:rFonts w:ascii="Verdana" w:eastAsia="Times New Roman" w:hAnsi="Verdana" w:cs="Times New Roman"/>
          <w:color w:val="000000"/>
          <w:lang w:eastAsia="es-CO"/>
        </w:rPr>
        <w:t xml:space="preserve"> </w:t>
      </w:r>
      <w:proofErr w:type="spellStart"/>
      <w:r w:rsidRPr="00E85C62">
        <w:rPr>
          <w:rFonts w:ascii="Verdana" w:eastAsia="Times New Roman" w:hAnsi="Verdana" w:cs="Times New Roman"/>
          <w:color w:val="000000"/>
          <w:lang w:eastAsia="es-CO"/>
        </w:rPr>
        <w:t>ii</w:t>
      </w:r>
      <w:proofErr w:type="spellEnd"/>
      <w:r w:rsidRPr="00E85C62">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E968E9B"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proofErr w:type="spellStart"/>
      <w:r w:rsidRPr="00E85C62">
        <w:rPr>
          <w:rFonts w:ascii="Verdana" w:eastAsia="Times New Roman" w:hAnsi="Verdana" w:cs="Times New Roman"/>
          <w:color w:val="000000"/>
          <w:lang w:eastAsia="es-CO"/>
        </w:rPr>
        <w:t>iii</w:t>
      </w:r>
      <w:proofErr w:type="spellEnd"/>
      <w:r w:rsidRPr="00E85C62">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0E98297"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proofErr w:type="spellStart"/>
      <w:r w:rsidRPr="00E85C62">
        <w:rPr>
          <w:rFonts w:ascii="Verdana" w:eastAsia="Times New Roman" w:hAnsi="Verdana" w:cs="Times New Roman"/>
          <w:color w:val="000000"/>
          <w:lang w:eastAsia="es-CO"/>
        </w:rPr>
        <w:t>iv</w:t>
      </w:r>
      <w:proofErr w:type="spellEnd"/>
      <w:r w:rsidRPr="00E85C62">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94389C2" w14:textId="77777777" w:rsidR="00E85C62" w:rsidRPr="00E85C62" w:rsidRDefault="00E85C62" w:rsidP="00E85C62">
      <w:pPr>
        <w:spacing w:after="120" w:line="276" w:lineRule="auto"/>
        <w:ind w:firstLine="708"/>
        <w:jc w:val="both"/>
        <w:rPr>
          <w:rFonts w:ascii="Verdana" w:eastAsia="Times New Roman" w:hAnsi="Verdana" w:cs="Times New Roman"/>
          <w:color w:val="000000"/>
          <w:lang w:eastAsia="es-CO"/>
        </w:rPr>
      </w:pPr>
      <w:r w:rsidRPr="00E85C62">
        <w:rPr>
          <w:rFonts w:ascii="Verdana" w:eastAsia="Times New Roman" w:hAnsi="Verdana" w:cs="Times New Roman"/>
          <w:color w:val="000000"/>
          <w:lang w:eastAsia="es-CO"/>
        </w:rPr>
        <w:lastRenderedPageBreak/>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E85C62">
        <w:rPr>
          <w:rFonts w:ascii="Verdana" w:eastAsia="Aptos" w:hAnsi="Verdana" w:cs="Times New Roman"/>
          <w:lang w:eastAsia="es-MX"/>
        </w:rPr>
        <w:t xml:space="preserve"> </w:t>
      </w:r>
    </w:p>
    <w:p w14:paraId="5F08CC70" w14:textId="77777777" w:rsidR="00E85C62" w:rsidRPr="00E85C62" w:rsidRDefault="00E85C62" w:rsidP="00E85C62">
      <w:pPr>
        <w:spacing w:after="120" w:line="276" w:lineRule="auto"/>
        <w:ind w:firstLine="708"/>
        <w:jc w:val="both"/>
        <w:textAlignment w:val="baseline"/>
        <w:rPr>
          <w:rFonts w:ascii="Verdana" w:eastAsia="Calibri" w:hAnsi="Verdana" w:cs="Arial"/>
          <w:lang w:eastAsia="es-MX"/>
        </w:rPr>
      </w:pPr>
      <w:r w:rsidRPr="00E85C62">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E85C62">
        <w:rPr>
          <w:rFonts w:ascii="Verdana" w:eastAsia="Calibri" w:hAnsi="Verdana" w:cs="Arial"/>
          <w:vertAlign w:val="superscript"/>
          <w:lang w:eastAsia="es-MX"/>
        </w:rPr>
        <w:footnoteReference w:id="15"/>
      </w:r>
      <w:r w:rsidRPr="00E85C62">
        <w:rPr>
          <w:rFonts w:ascii="Verdana" w:eastAsia="Calibri" w:hAnsi="Verdana" w:cs="Arial"/>
          <w:lang w:eastAsia="es-MX"/>
        </w:rPr>
        <w:t>.</w:t>
      </w:r>
    </w:p>
    <w:p w14:paraId="6F97D347" w14:textId="77777777" w:rsidR="00E85C62" w:rsidRPr="00E85C62" w:rsidRDefault="00E85C62" w:rsidP="00E85C62">
      <w:pPr>
        <w:widowControl w:val="0"/>
        <w:autoSpaceDE w:val="0"/>
        <w:autoSpaceDN w:val="0"/>
        <w:spacing w:after="120"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E914EE5" w14:textId="77777777" w:rsidR="00E85C62" w:rsidRPr="00E85C62" w:rsidRDefault="00E85C62" w:rsidP="00E85C62">
      <w:pPr>
        <w:widowControl w:val="0"/>
        <w:autoSpaceDE w:val="0"/>
        <w:autoSpaceDN w:val="0"/>
        <w:spacing w:after="120"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78C63A9" w14:textId="77777777" w:rsidR="00E85C62" w:rsidRPr="00E85C62" w:rsidRDefault="00E85C62" w:rsidP="00E85C62">
      <w:pPr>
        <w:widowControl w:val="0"/>
        <w:autoSpaceDE w:val="0"/>
        <w:autoSpaceDN w:val="0"/>
        <w:spacing w:after="120"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FD81445" w14:textId="77777777" w:rsidR="00E85C62" w:rsidRPr="00E85C62" w:rsidRDefault="00E85C62" w:rsidP="00E85C62">
      <w:pPr>
        <w:widowControl w:val="0"/>
        <w:autoSpaceDE w:val="0"/>
        <w:autoSpaceDN w:val="0"/>
        <w:spacing w:after="0" w:line="276" w:lineRule="auto"/>
        <w:ind w:firstLine="708"/>
        <w:jc w:val="both"/>
        <w:rPr>
          <w:rFonts w:ascii="Verdana" w:eastAsia="Calibri" w:hAnsi="Verdana" w:cs="Times New Roman"/>
          <w:lang w:val="es-ES" w:eastAsia="es-MX"/>
        </w:rPr>
      </w:pPr>
      <w:r w:rsidRPr="00E85C62">
        <w:rPr>
          <w:rFonts w:ascii="Verdana" w:eastAsia="Calibri" w:hAnsi="Verdana" w:cs="Times New Roman"/>
          <w:lang w:val="es-ES" w:eastAsia="es-MX"/>
        </w:rPr>
        <w:t xml:space="preserve">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w:t>
      </w:r>
      <w:r w:rsidRPr="00E85C62">
        <w:rPr>
          <w:rFonts w:ascii="Verdana" w:eastAsia="Calibri" w:hAnsi="Verdana" w:cs="Times New Roman"/>
          <w:lang w:val="es-ES" w:eastAsia="es-MX"/>
        </w:rPr>
        <w:lastRenderedPageBreak/>
        <w:t>sectores −según corresponda−, mientras que en el caso contrario no será forzosa su aplicación.</w:t>
      </w:r>
    </w:p>
    <w:p w14:paraId="1F8E9F04" w14:textId="77777777" w:rsidR="00E85C62" w:rsidRPr="00E85C62" w:rsidRDefault="00E85C62" w:rsidP="00E85C62">
      <w:pPr>
        <w:widowControl w:val="0"/>
        <w:autoSpaceDE w:val="0"/>
        <w:autoSpaceDN w:val="0"/>
        <w:spacing w:after="0" w:line="276" w:lineRule="auto"/>
        <w:jc w:val="both"/>
        <w:rPr>
          <w:rFonts w:ascii="Verdana" w:eastAsia="Calibri" w:hAnsi="Verdana" w:cs="Times New Roman"/>
          <w:lang w:val="es-ES" w:eastAsia="es-MX"/>
        </w:rPr>
      </w:pPr>
    </w:p>
    <w:p w14:paraId="3D773159" w14:textId="77777777" w:rsidR="00E85C62" w:rsidRPr="00E85C62" w:rsidRDefault="00E85C62" w:rsidP="00E85C62">
      <w:pPr>
        <w:spacing w:after="0" w:line="276" w:lineRule="auto"/>
        <w:jc w:val="both"/>
        <w:rPr>
          <w:rFonts w:ascii="Verdana" w:eastAsia="Calibri" w:hAnsi="Verdana" w:cs="Arial"/>
          <w:color w:val="000000"/>
          <w:kern w:val="2"/>
          <w:lang w:val="es-ES_tradnl"/>
          <w14:ligatures w14:val="standardContextual"/>
        </w:rPr>
      </w:pPr>
      <w:proofErr w:type="spellStart"/>
      <w:r w:rsidRPr="00E85C62">
        <w:rPr>
          <w:rFonts w:ascii="Verdana" w:eastAsia="Calibri" w:hAnsi="Verdana" w:cs="Times New Roman"/>
          <w:lang w:val="es-ES" w:eastAsia="es-MX"/>
        </w:rPr>
        <w:t>iii</w:t>
      </w:r>
      <w:proofErr w:type="spellEnd"/>
      <w:r w:rsidRPr="00E85C62">
        <w:rPr>
          <w:rFonts w:ascii="Verdana" w:eastAsia="Calibri" w:hAnsi="Verdana" w:cs="Times New Roman"/>
          <w:lang w:val="es-ES" w:eastAsia="es-MX"/>
        </w:rPr>
        <w:t xml:space="preserve">. </w:t>
      </w:r>
      <w:r w:rsidRPr="00E85C62">
        <w:rPr>
          <w:rFonts w:ascii="Verdana" w:eastAsia="Calibri" w:hAnsi="Verdana" w:cs="Arial"/>
          <w:color w:val="000000"/>
          <w:kern w:val="2"/>
          <w:lang w:val="es-ES_tradnl"/>
          <w14:ligatures w14:val="standardContextual"/>
        </w:rPr>
        <w:t>Todas las resoluciones</w:t>
      </w:r>
      <w:r w:rsidRPr="00E85C62">
        <w:rPr>
          <w:rFonts w:ascii="Verdana" w:eastAsia="Calibri" w:hAnsi="Verdana" w:cs="Arial"/>
          <w:color w:val="000000"/>
          <w:kern w:val="2"/>
          <w:vertAlign w:val="superscript"/>
          <w:lang w:val="es-ES_tradnl"/>
          <w14:ligatures w14:val="standardContextual"/>
        </w:rPr>
        <w:footnoteReference w:id="16"/>
      </w:r>
      <w:r w:rsidRPr="00E85C62">
        <w:rPr>
          <w:rFonts w:ascii="Verdana" w:eastAsia="Calibri" w:hAnsi="Verdana" w:cs="Arial"/>
          <w:color w:val="000000"/>
          <w:kern w:val="2"/>
          <w:lang w:val="es-ES_tradnl"/>
          <w14:ligatures w14:val="standardContextua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E85C62">
        <w:rPr>
          <w:rFonts w:ascii="Verdana" w:eastAsia="Calibri" w:hAnsi="Verdana" w:cs="Arial"/>
          <w:i/>
          <w:iCs/>
          <w:color w:val="000000"/>
          <w:kern w:val="2"/>
          <w:lang w:val="es-ES_tradnl"/>
          <w14:ligatures w14:val="standardContextual"/>
        </w:rPr>
        <w:t>Documentos del Proceso</w:t>
      </w:r>
      <w:r w:rsidRPr="00E85C62">
        <w:rPr>
          <w:rFonts w:ascii="Verdana" w:eastAsia="Calibri" w:hAnsi="Verdana" w:cs="Arial"/>
          <w:color w:val="000000"/>
          <w:kern w:val="2"/>
          <w:lang w:val="es-ES_tradnl"/>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0ACF575" w14:textId="77777777" w:rsidR="00E85C62" w:rsidRPr="00E85C62" w:rsidRDefault="00E85C62" w:rsidP="00E85C62">
      <w:pPr>
        <w:spacing w:before="120" w:after="120" w:line="276" w:lineRule="auto"/>
        <w:ind w:firstLine="709"/>
        <w:jc w:val="both"/>
        <w:rPr>
          <w:rFonts w:ascii="Verdana" w:eastAsia="Calibri" w:hAnsi="Verdana" w:cs="Arial"/>
          <w:kern w:val="2"/>
          <w:lang w:val="es-ES_tradnl"/>
          <w14:ligatures w14:val="standardContextual"/>
        </w:rPr>
      </w:pPr>
      <w:r w:rsidRPr="00E85C62">
        <w:rPr>
          <w:rFonts w:ascii="Verdana" w:eastAsia="Calibri" w:hAnsi="Verdana" w:cs="Arial"/>
          <w:kern w:val="2"/>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w:t>
      </w:r>
      <w:r w:rsidRPr="00E85C62">
        <w:rPr>
          <w:rFonts w:ascii="Verdana" w:eastAsia="Calibri" w:hAnsi="Verdana" w:cs="Arial"/>
          <w:kern w:val="2"/>
          <w:lang w:val="es-ES_tradnl"/>
          <w14:ligatures w14:val="standardContextual"/>
        </w:rPr>
        <w:lastRenderedPageBreak/>
        <w:t xml:space="preserve">hacer excepciones bajo una supuesta discrecionalidad a estas reglas que son obligatorias.  </w:t>
      </w:r>
    </w:p>
    <w:p w14:paraId="26513FFB" w14:textId="77777777" w:rsidR="00E85C62" w:rsidRPr="00E85C62" w:rsidRDefault="00E85C62" w:rsidP="00E85C62">
      <w:pPr>
        <w:spacing w:before="120" w:after="120" w:line="276" w:lineRule="auto"/>
        <w:ind w:firstLine="709"/>
        <w:jc w:val="both"/>
        <w:rPr>
          <w:rFonts w:ascii="Verdana" w:eastAsia="Calibri" w:hAnsi="Verdana" w:cs="Arial"/>
          <w:kern w:val="2"/>
          <w:lang w:val="es-ES_tradnl"/>
          <w14:ligatures w14:val="standardContextual"/>
        </w:rPr>
      </w:pPr>
      <w:r w:rsidRPr="00E85C62">
        <w:rPr>
          <w:rFonts w:ascii="Verdana" w:eastAsia="Calibri" w:hAnsi="Verdana" w:cs="Arial"/>
          <w:kern w:val="2"/>
          <w:lang w:val="es-ES_tradnl"/>
          <w14:ligatures w14:val="standardContextual"/>
        </w:rPr>
        <w:t>La inalterabilidad de los documentos tipo es una manifestación en mayor grado de las potestades regladas, lo cual implica una reducción de la discrecionalidad de la Administración en el momento de tomar una decisión en el proceso de contratación</w:t>
      </w:r>
      <w:r w:rsidRPr="00E85C62">
        <w:rPr>
          <w:rFonts w:ascii="Verdana" w:eastAsia="Calibri" w:hAnsi="Verdana" w:cs="Arial"/>
          <w:kern w:val="2"/>
          <w:vertAlign w:val="superscript"/>
          <w:lang w:val="es-ES_tradnl"/>
          <w14:ligatures w14:val="standardContextual"/>
        </w:rPr>
        <w:footnoteReference w:id="17"/>
      </w:r>
      <w:r w:rsidRPr="00E85C62">
        <w:rPr>
          <w:rFonts w:ascii="Verdana" w:eastAsia="Calibri" w:hAnsi="Verdana" w:cs="Arial"/>
          <w:kern w:val="2"/>
          <w:lang w:val="es-ES_tradnl"/>
          <w14:ligatures w14:val="standardContextua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161035AF" w14:textId="77777777" w:rsidR="00E85C62" w:rsidRPr="00E85C62" w:rsidRDefault="00E85C62" w:rsidP="00E85C62">
      <w:pPr>
        <w:spacing w:before="120" w:after="120" w:line="276" w:lineRule="auto"/>
        <w:ind w:firstLine="709"/>
        <w:jc w:val="both"/>
        <w:rPr>
          <w:rFonts w:ascii="Verdana" w:eastAsia="Calibri" w:hAnsi="Verdana" w:cs="Arial"/>
          <w:kern w:val="2"/>
          <w:lang w:val="es-ES"/>
          <w14:ligatures w14:val="standardContextual"/>
        </w:rPr>
      </w:pPr>
      <w:r w:rsidRPr="3CA9B2E8">
        <w:rPr>
          <w:rFonts w:ascii="Verdana" w:eastAsia="Calibri" w:hAnsi="Verdana" w:cs="Arial"/>
          <w:kern w:val="2"/>
          <w:lang w:val="es-ES"/>
          <w14:ligatures w14:val="standardContextual"/>
        </w:rPr>
        <w:t xml:space="preserve">Además, las entidades estatales deben garantizar el </w:t>
      </w:r>
      <w:r w:rsidRPr="3CA9B2E8">
        <w:rPr>
          <w:rFonts w:ascii="Verdana" w:eastAsia="Calibri" w:hAnsi="Verdana" w:cs="Arial"/>
          <w:i/>
          <w:kern w:val="2"/>
          <w:lang w:val="es-ES"/>
          <w14:ligatures w14:val="standardContextual"/>
        </w:rPr>
        <w:t>principio de economía</w:t>
      </w:r>
      <w:r w:rsidRPr="3CA9B2E8">
        <w:rPr>
          <w:rFonts w:ascii="Verdana" w:eastAsia="Calibri" w:hAnsi="Verdana" w:cs="Arial"/>
          <w:kern w:val="2"/>
          <w:lang w:val="es-ES"/>
          <w14:ligatures w14:val="standardContextual"/>
        </w:rPr>
        <w:t>, del cual se desprende que no pueden exigir documentos o requisitos más allá de los que permitan la Constitución, la ley y los reglamentos. Este postulado ha sido recogido no solo en la contratación estatal</w:t>
      </w:r>
      <w:r w:rsidRPr="3CA9B2E8">
        <w:rPr>
          <w:rFonts w:ascii="Verdana" w:eastAsia="Calibri" w:hAnsi="Verdana" w:cs="Arial"/>
          <w:kern w:val="2"/>
          <w:vertAlign w:val="superscript"/>
          <w:lang w:val="es-ES"/>
          <w14:ligatures w14:val="standardContextual"/>
        </w:rPr>
        <w:footnoteReference w:id="18"/>
      </w:r>
      <w:r w:rsidRPr="3CA9B2E8">
        <w:rPr>
          <w:rFonts w:ascii="Verdana" w:eastAsia="Calibri" w:hAnsi="Verdana" w:cs="Arial"/>
          <w:kern w:val="2"/>
          <w:lang w:val="es-ES"/>
          <w14:ligatures w14:val="standardContextual"/>
        </w:rPr>
        <w:t xml:space="preserve"> sino además en la normativa </w:t>
      </w:r>
      <w:proofErr w:type="spellStart"/>
      <w:r w:rsidRPr="3CA9B2E8">
        <w:rPr>
          <w:rFonts w:ascii="Verdana" w:eastAsia="Calibri" w:hAnsi="Verdana" w:cs="Arial"/>
          <w:kern w:val="2"/>
          <w:lang w:val="es-ES"/>
          <w14:ligatures w14:val="standardContextual"/>
        </w:rPr>
        <w:t>antitrámites</w:t>
      </w:r>
      <w:proofErr w:type="spellEnd"/>
      <w:r w:rsidRPr="3CA9B2E8">
        <w:rPr>
          <w:rFonts w:ascii="Verdana" w:eastAsia="Calibri" w:hAnsi="Verdana" w:cs="Arial"/>
          <w:kern w:val="2"/>
          <w:vertAlign w:val="superscript"/>
          <w:lang w:val="es-ES"/>
          <w14:ligatures w14:val="standardContextual"/>
        </w:rPr>
        <w:footnoteReference w:id="19"/>
      </w:r>
      <w:r w:rsidRPr="3CA9B2E8">
        <w:rPr>
          <w:rFonts w:ascii="Verdana" w:eastAsia="Calibri" w:hAnsi="Verdana" w:cs="Arial"/>
          <w:kern w:val="2"/>
          <w:lang w:val="es-ES"/>
          <w14:ligatures w14:val="standardContextual"/>
        </w:rPr>
        <w:t xml:space="preserve">; pues se inscribe dentro de la tendencia de </w:t>
      </w:r>
      <w:r w:rsidRPr="3CA9B2E8">
        <w:rPr>
          <w:rFonts w:ascii="Verdana" w:eastAsia="Calibri" w:hAnsi="Verdana" w:cs="Arial"/>
          <w:kern w:val="2"/>
          <w:lang w:val="es-ES"/>
          <w14:ligatures w14:val="standardContextual"/>
        </w:rPr>
        <w:lastRenderedPageBreak/>
        <w:t>simplificación y racionalización de los procedimientos administrativos. De ahí que cuando las autoridades solicitan la entrega de documentación innecesaria, desconocen el principio de economía.</w:t>
      </w:r>
    </w:p>
    <w:p w14:paraId="06E84894" w14:textId="77777777" w:rsidR="00E85C62" w:rsidRPr="00E85C62" w:rsidRDefault="00E85C62" w:rsidP="00E85C62">
      <w:pPr>
        <w:spacing w:after="120" w:line="276" w:lineRule="auto"/>
        <w:ind w:firstLine="708"/>
        <w:jc w:val="both"/>
        <w:rPr>
          <w:rFonts w:ascii="Verdana" w:eastAsia="Calibri" w:hAnsi="Verdana" w:cs="Arial"/>
          <w:color w:val="000000"/>
          <w:kern w:val="2"/>
          <w:lang w:val="es-ES"/>
          <w14:ligatures w14:val="standardContextual"/>
        </w:rPr>
      </w:pPr>
      <w:r w:rsidRPr="00E85C62">
        <w:rPr>
          <w:rFonts w:ascii="Verdana" w:eastAsia="Calibri" w:hAnsi="Verdana" w:cs="Arial"/>
          <w:color w:val="000000"/>
          <w:kern w:val="2"/>
          <w:lang w:val="es-ES"/>
          <w14:ligatures w14:val="standardContextual"/>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E85C62">
        <w:rPr>
          <w:rFonts w:ascii="Verdana" w:eastAsia="Calibri" w:hAnsi="Verdana" w:cs="Arial"/>
          <w:color w:val="000000"/>
          <w:kern w:val="2"/>
          <w:vertAlign w:val="superscript"/>
          <w:lang w:val="es-ES"/>
          <w14:ligatures w14:val="standardContextual"/>
        </w:rPr>
        <w:footnoteReference w:id="20"/>
      </w:r>
      <w:r w:rsidRPr="00E85C62">
        <w:rPr>
          <w:rFonts w:ascii="Verdana" w:eastAsia="Calibri" w:hAnsi="Verdana" w:cs="Arial"/>
          <w:color w:val="000000"/>
          <w:kern w:val="2"/>
          <w:lang w:val="es-ES"/>
          <w14:ligatures w14:val="standardContextual"/>
        </w:rPr>
        <w:t xml:space="preserve">. Si las autoridades pudiesen agregar, eliminar o modificar todos y cada uno de los aspectos contenidos en los pliegos tipo, estos documentos, llanamente, no podrían ser llamados pliegos tipo. </w:t>
      </w:r>
    </w:p>
    <w:p w14:paraId="18350C9E" w14:textId="77777777" w:rsidR="00E85C62" w:rsidRPr="00E85C62" w:rsidRDefault="00E85C62" w:rsidP="00E85C62">
      <w:pPr>
        <w:spacing w:after="120" w:line="276" w:lineRule="auto"/>
        <w:jc w:val="both"/>
        <w:rPr>
          <w:rFonts w:ascii="Verdana" w:eastAsia="Calibri" w:hAnsi="Verdana" w:cs="Arial"/>
          <w:color w:val="000000"/>
          <w:kern w:val="2"/>
          <w:lang w:val="es-ES"/>
          <w14:ligatures w14:val="standardContextual"/>
        </w:rPr>
      </w:pPr>
      <w:r w:rsidRPr="00E85C62">
        <w:rPr>
          <w:rFonts w:ascii="Verdana" w:eastAsia="Calibri" w:hAnsi="Verdana" w:cs="Arial"/>
          <w:color w:val="000000"/>
          <w:kern w:val="2"/>
          <w:lang w:val="es-ES"/>
          <w14:ligatures w14:val="standardContextual"/>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631BB60" w14:textId="77777777" w:rsidR="00E85C62" w:rsidRPr="00E85C62" w:rsidRDefault="00E85C62" w:rsidP="00E85C62">
      <w:pPr>
        <w:spacing w:line="276" w:lineRule="auto"/>
        <w:jc w:val="both"/>
        <w:rPr>
          <w:rFonts w:ascii="Verdana" w:eastAsia="Calibri" w:hAnsi="Verdana" w:cs="Arial"/>
          <w:color w:val="000000"/>
          <w:kern w:val="2"/>
          <w:lang w:val="es-ES"/>
          <w14:ligatures w14:val="standardContextual"/>
        </w:rPr>
      </w:pPr>
      <w:r w:rsidRPr="00E85C62">
        <w:rPr>
          <w:rFonts w:ascii="Verdana" w:eastAsia="Calibri" w:hAnsi="Verdana" w:cs="Arial"/>
          <w:color w:val="000000"/>
          <w:kern w:val="2"/>
          <w:lang w:val="es-ES"/>
          <w14:ligatures w14:val="standardContextual"/>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7CEE31A1" w14:textId="77777777" w:rsidR="00E85C62" w:rsidRPr="00E85C62" w:rsidRDefault="00E85C62" w:rsidP="00E85C62">
      <w:pPr>
        <w:spacing w:line="276" w:lineRule="auto"/>
        <w:ind w:firstLine="708"/>
        <w:jc w:val="both"/>
        <w:rPr>
          <w:rFonts w:ascii="Verdana" w:eastAsia="Calibri" w:hAnsi="Verdana" w:cs="Arial"/>
          <w:color w:val="000000"/>
          <w:kern w:val="2"/>
          <w:lang w:val="es-ES"/>
          <w14:ligatures w14:val="standardContextual"/>
        </w:rPr>
      </w:pPr>
      <w:r w:rsidRPr="00E85C62">
        <w:rPr>
          <w:rFonts w:ascii="Verdana" w:eastAsia="Calibri" w:hAnsi="Verdana" w:cs="Arial"/>
          <w:kern w:val="2"/>
          <w:lang w:val="es-MX"/>
          <w14:ligatures w14:val="standardContextual"/>
        </w:rPr>
        <w:t xml:space="preserve">No obstante, la parte introductoria de los documentos base de los documentos tipo disponen que los aspectos incluidos en corchetes y resaltados en gris </w:t>
      </w:r>
      <w:r w:rsidRPr="00E85C62">
        <w:rPr>
          <w:rFonts w:ascii="Verdana" w:eastAsia="Aptos" w:hAnsi="Verdana" w:cs="Arial"/>
          <w:kern w:val="2"/>
          <w14:ligatures w14:val="standardContextual"/>
        </w:rPr>
        <w:t>–[</w:t>
      </w:r>
      <w:r w:rsidRPr="00E85C62">
        <w:rPr>
          <w:rFonts w:ascii="Verdana" w:eastAsia="Aptos" w:hAnsi="Verdana" w:cs="Arial"/>
          <w:kern w:val="2"/>
          <w:highlight w:val="lightGray"/>
          <w14:ligatures w14:val="standardContextual"/>
        </w:rPr>
        <w:t>texto de ejemplo</w:t>
      </w:r>
      <w:r w:rsidRPr="00E85C62">
        <w:rPr>
          <w:rFonts w:ascii="Verdana" w:eastAsia="Aptos" w:hAnsi="Verdana" w:cs="Arial"/>
          <w:kern w:val="2"/>
          <w14:ligatures w14:val="standardContextual"/>
        </w:rPr>
        <w:t xml:space="preserve">]– </w:t>
      </w:r>
      <w:r w:rsidRPr="00E85C62">
        <w:rPr>
          <w:rFonts w:ascii="Verdana" w:eastAsia="Calibri" w:hAnsi="Verdana" w:cs="Arial"/>
          <w:kern w:val="2"/>
          <w:lang w:val="es-MX"/>
          <w14:ligatures w14:val="standardContextual"/>
        </w:rPr>
        <w:t xml:space="preserve">deben ser diligenciados por la entidad. Excepcionalmente le corresponde al proponente consignar la información </w:t>
      </w:r>
      <w:r w:rsidRPr="00E85C62">
        <w:rPr>
          <w:rFonts w:ascii="Verdana" w:eastAsia="Calibri" w:hAnsi="Verdana" w:cs="Arial"/>
          <w:kern w:val="2"/>
          <w:lang w:val="es-MX"/>
          <w14:ligatures w14:val="standardContextual"/>
        </w:rPr>
        <w:lastRenderedPageBreak/>
        <w:t xml:space="preserve">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8F2F2EF" w14:textId="77777777" w:rsidR="00E85C62" w:rsidRPr="00E85C62" w:rsidRDefault="00E85C62" w:rsidP="00E85C62">
      <w:pPr>
        <w:spacing w:before="120" w:after="120" w:line="276" w:lineRule="auto"/>
        <w:ind w:firstLine="709"/>
        <w:jc w:val="both"/>
        <w:rPr>
          <w:rFonts w:ascii="Verdana" w:eastAsia="Calibri" w:hAnsi="Verdana" w:cs="Arial"/>
          <w:bCs/>
          <w:kern w:val="2"/>
          <w:lang w:val="es-MX"/>
          <w14:ligatures w14:val="standardContextual"/>
        </w:rPr>
      </w:pPr>
      <w:r w:rsidRPr="00E85C62">
        <w:rPr>
          <w:rFonts w:ascii="Verdana" w:eastAsia="Calibri" w:hAnsi="Verdana" w:cs="Arial"/>
          <w:bCs/>
          <w:kern w:val="2"/>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B5EA7FE" w14:textId="77777777" w:rsidR="00E85C62" w:rsidRPr="00E85C62" w:rsidRDefault="00E85C62" w:rsidP="00E85C62">
      <w:pPr>
        <w:spacing w:before="120" w:after="120" w:line="276" w:lineRule="auto"/>
        <w:ind w:firstLine="709"/>
        <w:jc w:val="both"/>
        <w:rPr>
          <w:rFonts w:ascii="Verdana" w:eastAsia="Calibri" w:hAnsi="Verdana" w:cs="Arial"/>
          <w:bCs/>
          <w:kern w:val="2"/>
          <w:lang w:val="es-MX"/>
          <w14:ligatures w14:val="standardContextual"/>
        </w:rPr>
      </w:pPr>
      <w:r w:rsidRPr="00E85C62">
        <w:rPr>
          <w:rFonts w:ascii="Verdana" w:eastAsia="Calibri" w:hAnsi="Verdana" w:cs="Arial"/>
          <w:bCs/>
          <w:kern w:val="2"/>
          <w:lang w:val="es-MX"/>
          <w14:ligatures w14:val="standardContextual"/>
        </w:rPr>
        <w:t xml:space="preserve">Esta regla de inalterabilidad </w:t>
      </w:r>
      <w:r w:rsidRPr="00E85C62">
        <w:rPr>
          <w:rFonts w:ascii="Verdana" w:eastAsia="Calibri" w:hAnsi="Verdana" w:cs="Arial"/>
          <w:bCs/>
          <w:i/>
          <w:iCs/>
          <w:kern w:val="2"/>
          <w:lang w:val="es-MX"/>
          <w14:ligatures w14:val="standardContextual"/>
        </w:rPr>
        <w:t>también aplica a los formatos, anexos y matrices</w:t>
      </w:r>
      <w:r w:rsidRPr="00E85C62">
        <w:rPr>
          <w:rFonts w:ascii="Verdana" w:eastAsia="Calibri" w:hAnsi="Verdana" w:cs="Arial"/>
          <w:bCs/>
          <w:kern w:val="2"/>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95FAE0F" w14:textId="77777777" w:rsidR="00E85C62" w:rsidRPr="00E85C62" w:rsidRDefault="00E85C62" w:rsidP="00E85C62">
      <w:pPr>
        <w:spacing w:before="120" w:after="120" w:line="276" w:lineRule="auto"/>
        <w:ind w:firstLine="709"/>
        <w:jc w:val="both"/>
        <w:rPr>
          <w:rFonts w:ascii="Verdana" w:eastAsia="Calibri" w:hAnsi="Verdana" w:cs="Arial"/>
          <w:kern w:val="2"/>
          <w:lang w:val="es-MX"/>
          <w14:ligatures w14:val="standardContextual"/>
        </w:rPr>
      </w:pPr>
      <w:r w:rsidRPr="00E85C62">
        <w:rPr>
          <w:rFonts w:ascii="Verdana" w:eastAsia="Calibri" w:hAnsi="Verdana" w:cs="Arial"/>
          <w:kern w:val="2"/>
          <w:lang w:val="es-MX"/>
          <w14:ligatures w14:val="standardContextua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6A58024" w14:textId="77777777" w:rsidR="00E85C62" w:rsidRPr="00E85C62" w:rsidRDefault="00E85C62" w:rsidP="00E85C62">
      <w:pPr>
        <w:spacing w:before="120" w:line="276" w:lineRule="auto"/>
        <w:ind w:firstLine="709"/>
        <w:jc w:val="both"/>
        <w:rPr>
          <w:rFonts w:ascii="Verdana" w:eastAsia="Aptos" w:hAnsi="Verdana" w:cs="Arial"/>
          <w:kern w:val="2"/>
          <w14:ligatures w14:val="standardContextual"/>
        </w:rPr>
      </w:pPr>
      <w:r w:rsidRPr="00E85C62">
        <w:rPr>
          <w:rFonts w:ascii="Verdana" w:eastAsia="Aptos" w:hAnsi="Verdana" w:cs="Arial"/>
          <w:kern w:val="2"/>
          <w14:ligatures w14:val="standardContextual"/>
        </w:rPr>
        <w:t xml:space="preserve">En relación con el principio constitucional </w:t>
      </w:r>
      <w:r w:rsidRPr="00E85C62">
        <w:rPr>
          <w:rFonts w:ascii="Verdana" w:eastAsia="Aptos" w:hAnsi="Verdana" w:cs="Arial"/>
          <w:i/>
          <w:iCs/>
          <w:kern w:val="2"/>
          <w14:ligatures w14:val="standardContextual"/>
        </w:rPr>
        <w:t>sub examine</w:t>
      </w:r>
      <w:r w:rsidRPr="00E85C62">
        <w:rPr>
          <w:rFonts w:ascii="Verdana" w:eastAsia="Aptos" w:hAnsi="Verdana" w:cs="Arial"/>
          <w:kern w:val="2"/>
          <w14:ligatures w14:val="standardContextual"/>
        </w:rPr>
        <w:t xml:space="preserve">, la Corte Constitucional explica que “(…) por disposición del artículo 228 Superior, las formas no deben convertirse en un obstáculo para la efectividad del derecho sustancial, sino que deben propender por su realización. Es decir, que las normas </w:t>
      </w:r>
      <w:r w:rsidRPr="00E85C62">
        <w:rPr>
          <w:rFonts w:ascii="Verdana" w:eastAsia="Aptos" w:hAnsi="Verdana" w:cs="Arial"/>
          <w:kern w:val="2"/>
          <w14:ligatures w14:val="standardContextual"/>
        </w:rPr>
        <w:lastRenderedPageBreak/>
        <w:t>procesales son un medio para lograr la efectividad de los derechos subjetivos y no fines en sí mismas”</w:t>
      </w:r>
      <w:r w:rsidRPr="00E85C62">
        <w:rPr>
          <w:rFonts w:ascii="Verdana" w:eastAsia="Aptos" w:hAnsi="Verdana" w:cs="Arial"/>
          <w:kern w:val="2"/>
          <w:vertAlign w:val="superscript"/>
          <w14:ligatures w14:val="standardContextual"/>
        </w:rPr>
        <w:footnoteReference w:id="21"/>
      </w:r>
      <w:r w:rsidRPr="00E85C62">
        <w:rPr>
          <w:rFonts w:ascii="Verdana" w:eastAsia="Aptos" w:hAnsi="Verdana" w:cs="Arial"/>
          <w:kern w:val="2"/>
          <w14:ligatures w14:val="standardContextual"/>
        </w:rPr>
        <w:t xml:space="preserve">. </w:t>
      </w:r>
    </w:p>
    <w:p w14:paraId="7631C74E" w14:textId="77777777" w:rsidR="00E85C62" w:rsidRPr="00E85C62" w:rsidRDefault="00E85C62" w:rsidP="00E85C62">
      <w:pPr>
        <w:spacing w:after="0" w:line="276" w:lineRule="auto"/>
        <w:ind w:firstLine="709"/>
        <w:jc w:val="both"/>
        <w:rPr>
          <w:rFonts w:ascii="Verdana" w:eastAsia="Calibri" w:hAnsi="Verdana" w:cs="Arial"/>
          <w:kern w:val="2"/>
          <w:lang w:val="es-MX"/>
          <w14:ligatures w14:val="standardContextual"/>
        </w:rPr>
      </w:pPr>
      <w:r w:rsidRPr="00E85C62">
        <w:rPr>
          <w:rFonts w:ascii="Verdana" w:eastAsia="Calibri" w:hAnsi="Verdana" w:cs="Arial"/>
          <w:kern w:val="2"/>
          <w:lang w:val="es-MX"/>
          <w14:ligatures w14:val="standardContextual"/>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EB8008E" w14:textId="77777777" w:rsidR="00E85C62" w:rsidRPr="00E85C62" w:rsidRDefault="00E85C62" w:rsidP="00E85C62">
      <w:pPr>
        <w:widowControl w:val="0"/>
        <w:autoSpaceDE w:val="0"/>
        <w:autoSpaceDN w:val="0"/>
        <w:spacing w:after="0" w:line="276" w:lineRule="auto"/>
        <w:jc w:val="both"/>
        <w:rPr>
          <w:rFonts w:ascii="Verdana" w:eastAsia="Calibri" w:hAnsi="Verdana" w:cs="Times New Roman"/>
          <w:lang w:val="es-ES" w:eastAsia="es-MX"/>
        </w:rPr>
      </w:pPr>
    </w:p>
    <w:p w14:paraId="23FA4624" w14:textId="77777777" w:rsidR="00E85C62" w:rsidRPr="00E85C62" w:rsidRDefault="00E85C62" w:rsidP="00E85C62">
      <w:pPr>
        <w:widowControl w:val="0"/>
        <w:autoSpaceDE w:val="0"/>
        <w:autoSpaceDN w:val="0"/>
        <w:spacing w:after="120" w:line="276" w:lineRule="auto"/>
        <w:jc w:val="both"/>
        <w:rPr>
          <w:rFonts w:ascii="Verdana" w:eastAsia="Calibri" w:hAnsi="Verdana" w:cs="Times New Roman"/>
          <w:lang w:val="es-ES" w:eastAsia="es-MX"/>
        </w:rPr>
      </w:pPr>
      <w:proofErr w:type="spellStart"/>
      <w:r w:rsidRPr="00E85C62">
        <w:rPr>
          <w:rFonts w:ascii="Verdana" w:eastAsia="Calibri" w:hAnsi="Verdana" w:cs="Times New Roman"/>
          <w:lang w:val="es-ES" w:eastAsia="es-MX"/>
        </w:rPr>
        <w:t>iii</w:t>
      </w:r>
      <w:proofErr w:type="spellEnd"/>
      <w:r w:rsidRPr="00E85C62">
        <w:rPr>
          <w:rFonts w:ascii="Verdana" w:eastAsia="Calibri" w:hAnsi="Verdana" w:cs="Times New Roman"/>
          <w:lang w:val="es-ES" w:eastAsia="es-MX"/>
        </w:rPr>
        <w:t xml:space="preserve">. </w:t>
      </w:r>
      <w:r w:rsidRPr="00E85C62">
        <w:rPr>
          <w:rFonts w:ascii="Verdana" w:eastAsia="Calibri" w:hAnsi="Verdana" w:cs="Arial"/>
          <w:bCs/>
          <w:color w:val="000000"/>
          <w:kern w:val="2"/>
          <w:lang w:eastAsia="es-MX"/>
          <w14:ligatures w14:val="standardContextual"/>
        </w:rPr>
        <w:t>Durante la etapa de planeación como resultado del estudio del sector y del análisis de riesgo, la entidad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w:t>
      </w:r>
      <w:r w:rsidRPr="00E85C62">
        <w:rPr>
          <w:rFonts w:ascii="Verdana" w:eastAsia="Calibri" w:hAnsi="Verdana" w:cs="Arial"/>
          <w:kern w:val="2"/>
          <w:lang w:eastAsia="es-MX"/>
          <w14:ligatures w14:val="standardContextual"/>
        </w:rPr>
        <w:t>incipio de inalterabilidad.</w:t>
      </w:r>
    </w:p>
    <w:p w14:paraId="5361A4F9" w14:textId="77777777" w:rsidR="00E85C62" w:rsidRPr="00E85C62" w:rsidRDefault="00E85C62" w:rsidP="00E85C62">
      <w:pPr>
        <w:spacing w:after="0" w:line="276" w:lineRule="auto"/>
        <w:ind w:firstLine="708"/>
        <w:jc w:val="both"/>
        <w:rPr>
          <w:rFonts w:ascii="Verdana" w:eastAsia="Calibri" w:hAnsi="Verdana" w:cs="Arial"/>
          <w:kern w:val="2"/>
          <w:lang w:val="es-ES_tradnl"/>
          <w14:ligatures w14:val="standardContextual"/>
        </w:rPr>
      </w:pPr>
      <w:r w:rsidRPr="00E85C62">
        <w:rPr>
          <w:rFonts w:ascii="Verdana" w:eastAsia="Calibri" w:hAnsi="Verdana" w:cs="Arial"/>
          <w:kern w:val="2"/>
          <w:lang w:eastAsia="es-MX"/>
          <w14:ligatures w14:val="standardContextual"/>
        </w:rPr>
        <w:t xml:space="preserve">El numeral 4.1 del Documento </w:t>
      </w:r>
      <w:r w:rsidRPr="00E85C62">
        <w:rPr>
          <w:rFonts w:ascii="Verdana" w:eastAsia="Calibri" w:hAnsi="Verdana" w:cs="Arial"/>
          <w:kern w:val="2"/>
          <w:lang w:val="es-ES_tradnl"/>
          <w14:ligatures w14:val="standardContextual"/>
        </w:rPr>
        <w:t>base de los documentos tipo de licitación de obra pública de infraestructura social – versión 2 establece lo siguiente en relación con la oferta económica:</w:t>
      </w:r>
    </w:p>
    <w:p w14:paraId="6402D2C0" w14:textId="77777777" w:rsidR="00E85C62" w:rsidRPr="00E85C62" w:rsidRDefault="00E85C62" w:rsidP="00E85C62">
      <w:pPr>
        <w:spacing w:after="0" w:line="276" w:lineRule="auto"/>
        <w:jc w:val="both"/>
        <w:rPr>
          <w:rFonts w:ascii="Arial" w:eastAsia="Calibri" w:hAnsi="Arial" w:cs="Arial"/>
          <w:kern w:val="2"/>
          <w:lang w:val="es-ES_tradnl"/>
          <w14:ligatures w14:val="standardContextual"/>
        </w:rPr>
      </w:pPr>
    </w:p>
    <w:p w14:paraId="5B5BF7F9" w14:textId="77777777" w:rsidR="00E85C62" w:rsidRPr="00E85C62" w:rsidRDefault="00E85C62" w:rsidP="00E85C62">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E85C62">
        <w:rPr>
          <w:rFonts w:ascii="Verdana" w:eastAsia="Arial" w:hAnsi="Verdana" w:cs="Arial"/>
          <w:kern w:val="2"/>
          <w:sz w:val="21"/>
          <w:szCs w:val="21"/>
          <w:lang w:val="es-MX"/>
          <w14:ligatures w14:val="standardContextual"/>
        </w:rPr>
        <w:t>“[</w:t>
      </w:r>
      <w:r w:rsidRPr="00E85C62">
        <w:rPr>
          <w:rFonts w:ascii="Verdana" w:eastAsia="Arial" w:hAnsi="Verdana" w:cs="Arial"/>
          <w:kern w:val="2"/>
          <w:sz w:val="21"/>
          <w:szCs w:val="21"/>
          <w:highlight w:val="lightGray"/>
          <w:lang w:val="es-MX"/>
          <w14:ligatures w14:val="standardContextual"/>
        </w:rPr>
        <w:t xml:space="preserve">La Entidad debe indicar si la forma de pago es por precio global, llave en mano, precios unitarios, </w:t>
      </w:r>
      <w:r w:rsidRPr="00E85C62">
        <w:rPr>
          <w:rFonts w:ascii="Verdana" w:eastAsia="Arial" w:hAnsi="Verdana" w:cs="Arial"/>
          <w:b/>
          <w:bCs/>
          <w:i/>
          <w:iCs/>
          <w:kern w:val="2"/>
          <w:sz w:val="21"/>
          <w:szCs w:val="21"/>
          <w:highlight w:val="lightGray"/>
          <w:lang w:val="es-MX"/>
          <w14:ligatures w14:val="standardContextual"/>
        </w:rPr>
        <w:t>administración delegada</w:t>
      </w:r>
      <w:r w:rsidRPr="00E85C62">
        <w:rPr>
          <w:rFonts w:ascii="Verdana" w:eastAsia="Arial" w:hAnsi="Verdana" w:cs="Arial"/>
          <w:kern w:val="2"/>
          <w:sz w:val="21"/>
          <w:szCs w:val="21"/>
          <w:highlight w:val="lightGray"/>
          <w:lang w:val="es-MX"/>
          <w14:ligatures w14:val="standardContextual"/>
        </w:rPr>
        <w:t>, reembolso de gastos o la que determine.</w:t>
      </w:r>
      <w:r w:rsidRPr="00E85C62">
        <w:rPr>
          <w:rFonts w:ascii="Verdana" w:eastAsia="Aptos" w:hAnsi="Verdana" w:cs="Times New Roman"/>
          <w:kern w:val="2"/>
          <w:sz w:val="21"/>
          <w:szCs w:val="21"/>
          <w:highlight w:val="lightGray"/>
          <w:lang w:val="es-MX"/>
          <w14:ligatures w14:val="standardContextual"/>
        </w:rPr>
        <w:t xml:space="preserve"> El Anexo 1 – Anexo Técnico y el Formulario 1– Formulario de </w:t>
      </w:r>
      <w:r w:rsidRPr="00E85C62">
        <w:rPr>
          <w:rFonts w:ascii="Verdana" w:eastAsia="Aptos" w:hAnsi="Verdana" w:cs="Times New Roman"/>
          <w:kern w:val="2"/>
          <w:sz w:val="21"/>
          <w:szCs w:val="21"/>
          <w:highlight w:val="lightGray"/>
          <w14:ligatures w14:val="standardContextual"/>
        </w:rPr>
        <w:t>Presupuesto Oficial debe ser concordante con la modalidad de pago seleccionada]</w:t>
      </w:r>
    </w:p>
    <w:p w14:paraId="7244FEB2" w14:textId="77777777" w:rsidR="00E85C62" w:rsidRPr="00E85C62" w:rsidRDefault="00E85C62" w:rsidP="00E85C62">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E85C62">
        <w:rPr>
          <w:rFonts w:ascii="Verdana" w:eastAsia="Aptos" w:hAnsi="Verdana" w:cs="Times New Roman"/>
          <w:kern w:val="2"/>
          <w:sz w:val="21"/>
          <w:szCs w:val="21"/>
          <w:highlight w:val="lightGray"/>
          <w14:ligatures w14:val="standardContextual"/>
        </w:rPr>
        <w:lastRenderedPageBreak/>
        <w:t xml:space="preserve">[Cuando el presupuesto del Proceso de Contratación es estructurado por Precios Unitarios, la </w:t>
      </w:r>
      <w:r w:rsidRPr="00E85C62" w:rsidDel="1355DA3D">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ntidad debe aplicar las notas señaladas en el Formulario 1 – Formulario de Presupuesto oficial.]</w:t>
      </w:r>
    </w:p>
    <w:p w14:paraId="5BEBDA70" w14:textId="77777777" w:rsidR="00E85C62" w:rsidRPr="00E85C62" w:rsidRDefault="00E85C62" w:rsidP="00E85C62">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E85C62">
        <w:rPr>
          <w:rFonts w:ascii="Verdana" w:eastAsia="Aptos" w:hAnsi="Verdana" w:cs="Times New Roman"/>
          <w:kern w:val="2"/>
          <w:sz w:val="21"/>
          <w:szCs w:val="21"/>
          <w14:ligatures w14:val="standardContextual"/>
        </w:rPr>
        <w:t>Para calificar este factor se tendrá en cuenta el valor total indicado en la propuesta económica o el obtenido de la corrección aritmética. La propuesta económica deberá ser allegada en el Sobre No. 2.</w:t>
      </w:r>
    </w:p>
    <w:p w14:paraId="0227EA8F" w14:textId="77777777" w:rsidR="00E85C62" w:rsidRPr="00E85C62" w:rsidRDefault="00E85C62" w:rsidP="00E85C62">
      <w:pPr>
        <w:shd w:val="clear" w:color="auto" w:fill="FFFFFF"/>
        <w:spacing w:after="120" w:line="240" w:lineRule="auto"/>
        <w:ind w:left="709" w:right="709"/>
        <w:jc w:val="both"/>
        <w:rPr>
          <w:rFonts w:ascii="Verdana" w:eastAsia="Aptos" w:hAnsi="Verdana" w:cs="Times New Roman"/>
          <w:kern w:val="2"/>
          <w:sz w:val="21"/>
          <w:szCs w:val="21"/>
          <w:highlight w:val="lightGray"/>
          <w14:ligatures w14:val="standardContextual"/>
        </w:rPr>
      </w:pPr>
      <w:r w:rsidRPr="00E85C62">
        <w:rPr>
          <w:rFonts w:ascii="Verdana" w:eastAsia="Aptos" w:hAnsi="Verdana" w:cs="Times New Roman"/>
          <w:kern w:val="2"/>
          <w:sz w:val="21"/>
          <w:szCs w:val="21"/>
          <w:highlight w:val="lightGray"/>
          <w14:ligatures w14:val="standardContextual"/>
        </w:rPr>
        <w:t xml:space="preserve">[La </w:t>
      </w:r>
      <w:r w:rsidRPr="00E85C62" w:rsidDel="57F4FB36">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 xml:space="preserve">ntidad debe configurar el </w:t>
      </w:r>
      <w:r w:rsidRPr="00E85C62" w:rsidDel="57F4FB36">
        <w:rPr>
          <w:rFonts w:ascii="Verdana" w:eastAsia="Aptos" w:hAnsi="Verdana" w:cs="Times New Roman"/>
          <w:kern w:val="2"/>
          <w:sz w:val="21"/>
          <w:szCs w:val="21"/>
          <w:highlight w:val="lightGray"/>
          <w14:ligatures w14:val="standardContextual"/>
        </w:rPr>
        <w:t>F</w:t>
      </w:r>
      <w:r w:rsidRPr="00E85C62">
        <w:rPr>
          <w:rFonts w:ascii="Verdana" w:eastAsia="Aptos" w:hAnsi="Verdana" w:cs="Times New Roman"/>
          <w:kern w:val="2"/>
          <w:sz w:val="21"/>
          <w:szCs w:val="21"/>
          <w:highlight w:val="lightGray"/>
          <w14:ligatures w14:val="standardContextual"/>
        </w:rPr>
        <w:t xml:space="preserve">ormato de oferta económica que se encuentra en el Formulario 1 – Formulario de Presupuesto Oficial, para que sea diligenciado por los </w:t>
      </w:r>
      <w:r w:rsidRPr="00E85C62" w:rsidDel="57F4FB36">
        <w:rPr>
          <w:rFonts w:ascii="Verdana" w:eastAsia="Aptos" w:hAnsi="Verdana" w:cs="Times New Roman"/>
          <w:kern w:val="2"/>
          <w:sz w:val="21"/>
          <w:szCs w:val="21"/>
          <w:highlight w:val="lightGray"/>
          <w14:ligatures w14:val="standardContextual"/>
        </w:rPr>
        <w:t>P</w:t>
      </w:r>
      <w:r w:rsidRPr="00E85C62">
        <w:rPr>
          <w:rFonts w:ascii="Verdana" w:eastAsia="Aptos" w:hAnsi="Verdana" w:cs="Times New Roman"/>
          <w:kern w:val="2"/>
          <w:sz w:val="21"/>
          <w:szCs w:val="21"/>
          <w:highlight w:val="lightGray"/>
          <w14:ligatures w14:val="standardContextual"/>
        </w:rPr>
        <w:t xml:space="preserve">roponentes. </w:t>
      </w:r>
    </w:p>
    <w:p w14:paraId="505E2AB1" w14:textId="77777777" w:rsidR="00E85C62" w:rsidRPr="00E85C62" w:rsidRDefault="00E85C62" w:rsidP="00E85C62">
      <w:pPr>
        <w:shd w:val="clear" w:color="auto" w:fill="FFFFFF"/>
        <w:spacing w:after="120" w:line="240" w:lineRule="auto"/>
        <w:ind w:left="709" w:right="709"/>
        <w:jc w:val="both"/>
        <w:rPr>
          <w:rFonts w:ascii="Verdana" w:eastAsia="Aptos" w:hAnsi="Verdana" w:cs="Times New Roman"/>
          <w:kern w:val="2"/>
          <w:sz w:val="21"/>
          <w:szCs w:val="21"/>
          <w:lang w:val="es-MX"/>
          <w14:ligatures w14:val="standardContextual"/>
        </w:rPr>
      </w:pPr>
      <w:r w:rsidRPr="00E85C62">
        <w:rPr>
          <w:rFonts w:ascii="Verdana" w:eastAsia="Aptos" w:hAnsi="Verdana" w:cs="Times New Roman"/>
          <w:kern w:val="2"/>
          <w:sz w:val="21"/>
          <w:szCs w:val="21"/>
          <w:highlight w:val="lightGray"/>
          <w14:ligatures w14:val="standardContextual"/>
        </w:rPr>
        <w:t xml:space="preserve">[La </w:t>
      </w:r>
      <w:r w:rsidRPr="00E85C62" w:rsidDel="00DD3F5A">
        <w:rPr>
          <w:rFonts w:ascii="Verdana" w:eastAsia="Aptos" w:hAnsi="Verdana" w:cs="Times New Roman"/>
          <w:kern w:val="2"/>
          <w:sz w:val="21"/>
          <w:szCs w:val="21"/>
          <w:highlight w:val="lightGray"/>
          <w14:ligatures w14:val="standardContextual"/>
        </w:rPr>
        <w:t>E</w:t>
      </w:r>
      <w:r w:rsidRPr="00E85C62">
        <w:rPr>
          <w:rFonts w:ascii="Verdana" w:eastAsia="Aptos" w:hAnsi="Verdana" w:cs="Times New Roman"/>
          <w:kern w:val="2"/>
          <w:sz w:val="21"/>
          <w:szCs w:val="21"/>
          <w:highlight w:val="lightGray"/>
          <w14:ligatures w14:val="standardContextual"/>
        </w:rPr>
        <w:t>ntidad debe incluir el Formulario</w:t>
      </w:r>
      <w:r w:rsidRPr="00E85C62">
        <w:rPr>
          <w:rFonts w:ascii="Verdana" w:eastAsia="Aptos" w:hAnsi="Verdana" w:cs="Times New Roman"/>
          <w:kern w:val="2"/>
          <w:sz w:val="21"/>
          <w:szCs w:val="21"/>
          <w:highlight w:val="lightGray"/>
          <w:lang w:val="es-MX"/>
          <w14:ligatures w14:val="standardContextual"/>
        </w:rPr>
        <w:t xml:space="preserve"> 1 – Formulario de Presupuesto Oficial y la oferta económica en formato Excel. En ningún caso la Entidad podrá incluir causales de rechazo o reglas que diferentes a las establecidas en el presente documento]</w:t>
      </w:r>
      <w:r w:rsidRPr="00E85C62">
        <w:rPr>
          <w:rFonts w:ascii="Verdana" w:eastAsia="Aptos" w:hAnsi="Verdana" w:cs="Times New Roman"/>
          <w:kern w:val="2"/>
          <w:sz w:val="21"/>
          <w:szCs w:val="21"/>
          <w:lang w:val="es-MX"/>
          <w14:ligatures w14:val="standardContextual"/>
        </w:rPr>
        <w:t xml:space="preserve"> </w:t>
      </w:r>
    </w:p>
    <w:p w14:paraId="4798B1BA" w14:textId="77777777" w:rsidR="00E85C62" w:rsidRPr="00E85C62" w:rsidRDefault="00E85C62" w:rsidP="00E85C62">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r w:rsidRPr="00E85C62">
        <w:rPr>
          <w:rFonts w:ascii="Verdana" w:eastAsia="Aptos" w:hAnsi="Verdana" w:cs="Times New Roman"/>
          <w:kern w:val="2"/>
          <w:sz w:val="21"/>
          <w:szCs w:val="21"/>
          <w:lang w:val="es-MX"/>
          <w14:ligatures w14:val="standardContextual"/>
        </w:rPr>
        <w:t>(…)”. (</w:t>
      </w:r>
      <w:proofErr w:type="spellStart"/>
      <w:r w:rsidRPr="00E85C62">
        <w:rPr>
          <w:rFonts w:ascii="Verdana" w:eastAsia="Aptos" w:hAnsi="Verdana" w:cs="Times New Roman"/>
          <w:kern w:val="2"/>
          <w:sz w:val="21"/>
          <w:szCs w:val="21"/>
          <w:lang w:val="es-MX"/>
          <w14:ligatures w14:val="standardContextual"/>
        </w:rPr>
        <w:t>enfasis</w:t>
      </w:r>
      <w:proofErr w:type="spellEnd"/>
      <w:r w:rsidRPr="00E85C62">
        <w:rPr>
          <w:rFonts w:ascii="Verdana" w:eastAsia="Aptos" w:hAnsi="Verdana" w:cs="Times New Roman"/>
          <w:kern w:val="2"/>
          <w:sz w:val="21"/>
          <w:szCs w:val="21"/>
          <w:lang w:val="es-MX"/>
          <w14:ligatures w14:val="standardContextual"/>
        </w:rPr>
        <w:t xml:space="preserve"> fuera del texto original)</w:t>
      </w:r>
    </w:p>
    <w:p w14:paraId="47E70CDA" w14:textId="77777777" w:rsidR="00E85C62" w:rsidRPr="00E85C62" w:rsidRDefault="00E85C62" w:rsidP="00E85C62">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p>
    <w:p w14:paraId="05E4F0B3" w14:textId="77777777" w:rsidR="00E85C62" w:rsidRPr="00E85C62" w:rsidRDefault="00E85C62" w:rsidP="00E85C62">
      <w:pPr>
        <w:spacing w:after="0" w:line="276" w:lineRule="auto"/>
        <w:jc w:val="both"/>
        <w:rPr>
          <w:rFonts w:ascii="Verdana" w:eastAsia="Calibri" w:hAnsi="Verdana" w:cs="Arial"/>
          <w:bCs/>
          <w:color w:val="000000"/>
          <w:kern w:val="2"/>
          <w:lang w:eastAsia="es-MX"/>
          <w14:ligatures w14:val="standardContextual"/>
        </w:rPr>
      </w:pPr>
      <w:r w:rsidRPr="00E85C62">
        <w:rPr>
          <w:rFonts w:ascii="Arial" w:eastAsia="Calibri" w:hAnsi="Arial" w:cs="Arial"/>
          <w:kern w:val="2"/>
          <w:sz w:val="24"/>
          <w:szCs w:val="24"/>
          <w:lang w:val="es-MX"/>
          <w14:ligatures w14:val="standardContextual"/>
        </w:rPr>
        <w:tab/>
      </w:r>
      <w:r w:rsidRPr="00E85C62">
        <w:rPr>
          <w:rFonts w:ascii="Verdana" w:eastAsia="Calibri" w:hAnsi="Verdana" w:cs="Arial"/>
          <w:kern w:val="2"/>
          <w:lang w:val="es-ES_tradnl"/>
          <w14:ligatures w14:val="standardContextual"/>
        </w:rPr>
        <w:t>Los párrafos que están en corchetes son notas aclaratorias o instrucciones para la entidad contratante, que deben ser seguidas sin vulnerar el carácter obligatorio y la regla</w:t>
      </w:r>
      <w:r w:rsidRPr="00E85C62">
        <w:rPr>
          <w:rFonts w:ascii="Arial" w:eastAsia="Calibri" w:hAnsi="Arial" w:cs="Arial"/>
          <w:kern w:val="2"/>
          <w:lang w:val="es-ES_tradnl"/>
          <w14:ligatures w14:val="standardContextual"/>
        </w:rPr>
        <w:t xml:space="preserve"> </w:t>
      </w:r>
      <w:r w:rsidRPr="00E85C62">
        <w:rPr>
          <w:rFonts w:ascii="Verdana" w:eastAsia="Calibri" w:hAnsi="Verdana" w:cs="Arial"/>
          <w:kern w:val="2"/>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expresamente la posibilidad </w:t>
      </w:r>
      <w:r w:rsidRPr="00E85C62">
        <w:rPr>
          <w:rFonts w:ascii="Verdana" w:eastAsia="Calibri" w:hAnsi="Verdana" w:cs="Arial"/>
          <w:bCs/>
          <w:color w:val="000000"/>
          <w:kern w:val="2"/>
          <w:lang w:eastAsia="es-MX"/>
          <w14:ligatures w14:val="standardContextual"/>
        </w:rPr>
        <w:t xml:space="preserve">de que la entidad defina una modalidad distinta bajo la expresión “o la que determine”. </w:t>
      </w:r>
    </w:p>
    <w:p w14:paraId="3AF2ACEA" w14:textId="77777777" w:rsidR="00E85C62" w:rsidRPr="00E85C62" w:rsidRDefault="00E85C62" w:rsidP="00E85C62">
      <w:pPr>
        <w:spacing w:before="120" w:after="120" w:line="276" w:lineRule="auto"/>
        <w:ind w:firstLine="708"/>
        <w:jc w:val="both"/>
        <w:rPr>
          <w:rFonts w:ascii="Verdana" w:eastAsia="Calibri" w:hAnsi="Verdana" w:cs="Arial"/>
          <w:kern w:val="2"/>
          <w:lang w:val="es-ES_tradnl"/>
          <w14:ligatures w14:val="standardContextual"/>
        </w:rPr>
      </w:pPr>
      <w:r w:rsidRPr="00E85C62">
        <w:rPr>
          <w:rFonts w:ascii="Verdana" w:eastAsia="Calibri" w:hAnsi="Verdana" w:cs="Arial"/>
          <w:bCs/>
          <w:color w:val="000000"/>
          <w:kern w:val="2"/>
          <w:lang w:eastAsia="es-MX"/>
          <w14:ligatures w14:val="standardContextual"/>
        </w:rPr>
        <w:t>En todo</w:t>
      </w:r>
      <w:r w:rsidRPr="00E85C62">
        <w:rPr>
          <w:rFonts w:ascii="Verdana" w:eastAsia="Calibri" w:hAnsi="Verdana" w:cs="Arial"/>
          <w:kern w:val="2"/>
          <w:lang w:val="es-ES_tradnl"/>
          <w14:ligatures w14:val="standardContextua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0AE05518" w14:textId="77777777" w:rsidR="00E85C62" w:rsidRPr="00E85C62" w:rsidRDefault="00E85C62" w:rsidP="00E85C62">
      <w:pPr>
        <w:snapToGrid w:val="0"/>
        <w:spacing w:after="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 xml:space="preserve">Precisamente, la Agencia Nacional de Contratación Pública – Colombia Compra Eficiente, considerando que para establecer el valor y la forma de pago de los contratos de obra existen diferentes métodos, tales como: i) precios unitarios; </w:t>
      </w:r>
      <w:proofErr w:type="spellStart"/>
      <w:r w:rsidRPr="00E85C62">
        <w:rPr>
          <w:rFonts w:ascii="Verdana" w:eastAsia="Calibri" w:hAnsi="Verdana" w:cs="Arial"/>
          <w:bCs/>
          <w:color w:val="000000"/>
          <w:kern w:val="2"/>
          <w:lang w:eastAsia="es-MX"/>
          <w14:ligatures w14:val="standardContextual"/>
        </w:rPr>
        <w:t>ii</w:t>
      </w:r>
      <w:proofErr w:type="spellEnd"/>
      <w:r w:rsidRPr="00E85C62">
        <w:rPr>
          <w:rFonts w:ascii="Verdana" w:eastAsia="Calibri" w:hAnsi="Verdana" w:cs="Arial"/>
          <w:bCs/>
          <w:color w:val="000000"/>
          <w:kern w:val="2"/>
          <w:lang w:eastAsia="es-MX"/>
          <w14:ligatures w14:val="standardContextual"/>
        </w:rPr>
        <w:t xml:space="preserve">) precio global; </w:t>
      </w:r>
      <w:proofErr w:type="spellStart"/>
      <w:r w:rsidRPr="00E85C62">
        <w:rPr>
          <w:rFonts w:ascii="Verdana" w:eastAsia="Calibri" w:hAnsi="Verdana" w:cs="Arial"/>
          <w:bCs/>
          <w:color w:val="000000"/>
          <w:kern w:val="2"/>
          <w:lang w:eastAsia="es-MX"/>
          <w14:ligatures w14:val="standardContextual"/>
        </w:rPr>
        <w:t>iii</w:t>
      </w:r>
      <w:proofErr w:type="spellEnd"/>
      <w:r w:rsidRPr="00E85C62">
        <w:rPr>
          <w:rFonts w:ascii="Verdana" w:eastAsia="Calibri" w:hAnsi="Verdana" w:cs="Arial"/>
          <w:bCs/>
          <w:color w:val="000000"/>
          <w:kern w:val="2"/>
          <w:lang w:eastAsia="es-MX"/>
          <w14:ligatures w14:val="standardContextual"/>
        </w:rPr>
        <w:t xml:space="preserve">) llave en mano; </w:t>
      </w:r>
      <w:proofErr w:type="spellStart"/>
      <w:r w:rsidRPr="00E85C62">
        <w:rPr>
          <w:rFonts w:ascii="Verdana" w:eastAsia="Calibri" w:hAnsi="Verdana" w:cs="Arial"/>
          <w:bCs/>
          <w:color w:val="000000"/>
          <w:kern w:val="2"/>
          <w:lang w:eastAsia="es-MX"/>
          <w14:ligatures w14:val="standardContextual"/>
        </w:rPr>
        <w:t>iv</w:t>
      </w:r>
      <w:proofErr w:type="spellEnd"/>
      <w:r w:rsidRPr="00E85C62">
        <w:rPr>
          <w:rFonts w:ascii="Verdana" w:eastAsia="Calibri" w:hAnsi="Verdana" w:cs="Arial"/>
          <w:bCs/>
          <w:color w:val="000000"/>
          <w:kern w:val="2"/>
          <w:lang w:eastAsia="es-MX"/>
          <w14:ligatures w14:val="standardContextual"/>
        </w:rPr>
        <w:t xml:space="preserve">) administración delegada; y v) </w:t>
      </w:r>
      <w:r w:rsidRPr="00E85C62">
        <w:rPr>
          <w:rFonts w:ascii="Verdana" w:eastAsia="Calibri" w:hAnsi="Verdana" w:cs="Arial"/>
          <w:bCs/>
          <w:color w:val="000000"/>
          <w:kern w:val="2"/>
          <w:lang w:eastAsia="es-MX"/>
          <w14:ligatures w14:val="standardContextual"/>
        </w:rPr>
        <w:lastRenderedPageBreak/>
        <w:t>reembolso de gastos, entre otros, ha previsto en los documentos tipo en general, y en los de licitación de obra pública de infraestructura social – versión 2, que el “Formulario 1 – Propuesto Oficial” sea un instrumento flexible. La entidad estatal puede utilizarlo, modificarlo o reemplazarlo por un formulario distinto, según las particularidades del proceso de contratación, siempre que no se modifiquen, alteren o contraríen las condiciones habilitantes, los factores técnicos y económicos de escogencia ni los sistemas de ponderación definidos en el documento base. Al respecto en el documento se señala lo siguiente:</w:t>
      </w:r>
    </w:p>
    <w:p w14:paraId="5B2D2327" w14:textId="77777777" w:rsidR="00E85C62" w:rsidRPr="00E85C62" w:rsidRDefault="00E85C62" w:rsidP="00E85C62">
      <w:pPr>
        <w:snapToGrid w:val="0"/>
        <w:spacing w:after="0" w:line="276" w:lineRule="auto"/>
        <w:jc w:val="both"/>
        <w:rPr>
          <w:rFonts w:ascii="Verdana" w:eastAsia="Calibri" w:hAnsi="Verdana" w:cs="Arial"/>
          <w:kern w:val="2"/>
          <w:sz w:val="21"/>
          <w:szCs w:val="21"/>
          <w:lang w:val="es-MX"/>
          <w14:ligatures w14:val="standardContextual"/>
        </w:rPr>
      </w:pPr>
    </w:p>
    <w:p w14:paraId="6DAA7A2A" w14:textId="77777777" w:rsidR="00E85C62" w:rsidRPr="00E85C62" w:rsidRDefault="00E85C62" w:rsidP="00E85C62">
      <w:pPr>
        <w:snapToGrid w:val="0"/>
        <w:spacing w:after="120" w:line="276" w:lineRule="auto"/>
        <w:jc w:val="both"/>
        <w:rPr>
          <w:rFonts w:ascii="Verdana" w:eastAsia="Calibri" w:hAnsi="Verdana" w:cs="Arial"/>
          <w:kern w:val="2"/>
          <w:sz w:val="21"/>
          <w:szCs w:val="21"/>
          <w:lang w:val="es-MX"/>
          <w14:ligatures w14:val="standardContextual"/>
        </w:rPr>
      </w:pPr>
      <w:r w:rsidRPr="00E85C62">
        <w:rPr>
          <w:rFonts w:ascii="Verdana" w:eastAsia="Calibri" w:hAnsi="Verdana" w:cs="Arial"/>
          <w:kern w:val="2"/>
          <w:sz w:val="21"/>
          <w:szCs w:val="21"/>
          <w:lang w:val="es-MX"/>
          <w14:ligatures w14:val="standardContextual"/>
        </w:rPr>
        <w:tab/>
        <w:t>Formulario 1 – Propuesta económica (Entidad):</w:t>
      </w:r>
    </w:p>
    <w:p w14:paraId="401D85C8" w14:textId="77777777" w:rsidR="00E85C62" w:rsidRPr="00E85C62" w:rsidRDefault="00E85C62" w:rsidP="00E85C62">
      <w:pPr>
        <w:snapToGrid w:val="0"/>
        <w:spacing w:after="120" w:line="276" w:lineRule="auto"/>
        <w:ind w:left="708" w:right="709"/>
        <w:jc w:val="both"/>
        <w:rPr>
          <w:rFonts w:ascii="Verdana" w:eastAsia="Calibri" w:hAnsi="Verdana" w:cs="Arial"/>
          <w:kern w:val="2"/>
          <w:sz w:val="21"/>
          <w:szCs w:val="21"/>
          <w:lang w:val="es-MX"/>
          <w14:ligatures w14:val="standardContextual"/>
        </w:rPr>
      </w:pPr>
      <w:r w:rsidRPr="00E85C62">
        <w:rPr>
          <w:rFonts w:ascii="Verdana" w:eastAsia="Calibri" w:hAnsi="Verdana" w:cs="Arial"/>
          <w:kern w:val="2"/>
          <w:sz w:val="21"/>
          <w:szCs w:val="21"/>
          <w:lang w:val="es-MX"/>
          <w14:ligatures w14:val="standardContextual"/>
        </w:rPr>
        <w:t>“[</w:t>
      </w:r>
      <w:r w:rsidRPr="00E85C62">
        <w:rPr>
          <w:rFonts w:ascii="Verdana" w:eastAsia="Calibri" w:hAnsi="Verdana" w:cs="Arial"/>
          <w:kern w:val="2"/>
          <w:sz w:val="21"/>
          <w:szCs w:val="21"/>
          <w:shd w:val="clear" w:color="auto" w:fill="BFBFBF"/>
          <w:lang w:val="es-MX"/>
          <w14:ligatures w14:val="standardContextual"/>
        </w:rPr>
        <w:t>La Entidad puede utilizar este Formulario de detalle del Presupuesto Oficial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r w:rsidRPr="00E85C62">
        <w:rPr>
          <w:rFonts w:ascii="Verdana" w:eastAsia="Calibri" w:hAnsi="Verdana" w:cs="Arial"/>
          <w:kern w:val="2"/>
          <w:sz w:val="21"/>
          <w:szCs w:val="21"/>
          <w:lang w:val="es-MX"/>
          <w14:ligatures w14:val="standardContextual"/>
        </w:rPr>
        <w:t>.]</w:t>
      </w:r>
    </w:p>
    <w:p w14:paraId="47A2327B" w14:textId="77777777" w:rsidR="00E85C62" w:rsidRPr="00E85C62" w:rsidRDefault="00E85C62" w:rsidP="00E85C62">
      <w:pPr>
        <w:snapToGrid w:val="0"/>
        <w:spacing w:after="120" w:line="276" w:lineRule="auto"/>
        <w:ind w:firstLine="708"/>
        <w:jc w:val="both"/>
        <w:rPr>
          <w:rFonts w:ascii="Verdana" w:eastAsia="Calibri" w:hAnsi="Verdana" w:cs="Arial"/>
          <w:kern w:val="2"/>
          <w:sz w:val="21"/>
          <w:szCs w:val="21"/>
          <w:lang w:val="es-MX"/>
          <w14:ligatures w14:val="standardContextual"/>
        </w:rPr>
      </w:pPr>
      <w:r w:rsidRPr="00E85C62">
        <w:rPr>
          <w:rFonts w:ascii="Verdana" w:eastAsia="Calibri" w:hAnsi="Verdana" w:cs="Arial"/>
          <w:kern w:val="2"/>
          <w:sz w:val="21"/>
          <w:szCs w:val="21"/>
          <w:lang w:val="es-MX"/>
          <w14:ligatures w14:val="standardContextual"/>
        </w:rPr>
        <w:t>Formulario 1 – Propuesta económica (Proponente):</w:t>
      </w:r>
    </w:p>
    <w:p w14:paraId="347776F2" w14:textId="77777777" w:rsidR="00E85C62" w:rsidRPr="00E85C62" w:rsidRDefault="00E85C62" w:rsidP="00E85C62">
      <w:pPr>
        <w:snapToGrid w:val="0"/>
        <w:spacing w:after="120" w:line="276" w:lineRule="auto"/>
        <w:ind w:left="708" w:right="709"/>
        <w:jc w:val="both"/>
        <w:rPr>
          <w:rFonts w:ascii="Verdana" w:eastAsia="Calibri" w:hAnsi="Verdana" w:cs="Arial"/>
          <w:kern w:val="2"/>
          <w:sz w:val="21"/>
          <w:szCs w:val="21"/>
          <w:shd w:val="clear" w:color="auto" w:fill="BFBFBF"/>
          <w:lang w:val="es-MX"/>
          <w14:ligatures w14:val="standardContextual"/>
        </w:rPr>
      </w:pPr>
      <w:r w:rsidRPr="00E85C62">
        <w:rPr>
          <w:rFonts w:ascii="Verdana" w:eastAsia="Calibri" w:hAnsi="Verdana" w:cs="Arial"/>
          <w:kern w:val="2"/>
          <w:sz w:val="21"/>
          <w:szCs w:val="21"/>
          <w:lang w:val="es-MX"/>
          <w14:ligatures w14:val="standardContextual"/>
        </w:rPr>
        <w:t>[</w:t>
      </w:r>
      <w:r w:rsidRPr="00E85C62">
        <w:rPr>
          <w:rFonts w:ascii="Verdana" w:eastAsia="Calibri" w:hAnsi="Verdana" w:cs="Arial"/>
          <w:kern w:val="2"/>
          <w:sz w:val="21"/>
          <w:szCs w:val="21"/>
          <w:shd w:val="clear" w:color="auto" w:fill="BFBFBF"/>
          <w:lang w:val="es-MX"/>
          <w14:ligatures w14:val="standardContextual"/>
        </w:rPr>
        <w:t>La Entidad puede utilizar este Formulario de presentación de Propuesta Económica de forma detallada, sin perjuicio que la Entidad pueda modificarlo o establecer la presentación de la oferta económica con un Formulario distinto al indicado.]</w:t>
      </w:r>
    </w:p>
    <w:p w14:paraId="661AE8B8" w14:textId="77777777" w:rsidR="00E85C62" w:rsidRPr="00E85C62" w:rsidRDefault="00E85C62" w:rsidP="00E85C62">
      <w:pPr>
        <w:snapToGrid w:val="0"/>
        <w:spacing w:after="120" w:line="276" w:lineRule="auto"/>
        <w:ind w:left="708" w:right="709"/>
        <w:jc w:val="both"/>
        <w:rPr>
          <w:rFonts w:ascii="Verdana" w:eastAsia="Calibri" w:hAnsi="Verdana" w:cs="Arial"/>
          <w:kern w:val="2"/>
          <w:sz w:val="21"/>
          <w:szCs w:val="21"/>
          <w:shd w:val="clear" w:color="auto" w:fill="BFBFBF"/>
          <w:lang w:val="es-MX"/>
          <w14:ligatures w14:val="standardContextual"/>
        </w:rPr>
      </w:pPr>
      <w:r w:rsidRPr="00E85C62">
        <w:rPr>
          <w:rFonts w:ascii="Verdana" w:eastAsia="Calibri" w:hAnsi="Verdana" w:cs="Arial"/>
          <w:kern w:val="2"/>
          <w:sz w:val="21"/>
          <w:szCs w:val="21"/>
          <w:shd w:val="clear" w:color="auto" w:fill="BFBFBF"/>
          <w:lang w:val="es-MX"/>
          <w14:ligatures w14:val="standardContextual"/>
        </w:rPr>
        <w:t>[Los Proponentes emplearán el Formulario establecido por la Entidad para determinar su propuesta económica conforme al Formulario 1 - Presupuesto Oficial publicado por la Entidad]</w:t>
      </w:r>
    </w:p>
    <w:p w14:paraId="315ECDA3" w14:textId="77777777" w:rsidR="00E85C62" w:rsidRPr="00E85C62" w:rsidRDefault="00E85C62" w:rsidP="00E85C62">
      <w:pPr>
        <w:snapToGrid w:val="0"/>
        <w:spacing w:after="0" w:line="276" w:lineRule="auto"/>
        <w:ind w:left="708" w:right="709"/>
        <w:jc w:val="both"/>
        <w:rPr>
          <w:rFonts w:ascii="Verdana" w:eastAsia="Calibri" w:hAnsi="Verdana" w:cs="Arial"/>
          <w:kern w:val="2"/>
          <w:sz w:val="21"/>
          <w:szCs w:val="21"/>
          <w:lang w:val="es-MX"/>
          <w14:ligatures w14:val="standardContextual"/>
        </w:rPr>
      </w:pPr>
      <w:r w:rsidRPr="00E85C62">
        <w:rPr>
          <w:rFonts w:ascii="Verdana" w:eastAsia="Calibri" w:hAnsi="Verdana" w:cs="Arial"/>
          <w:kern w:val="2"/>
          <w:sz w:val="21"/>
          <w:szCs w:val="21"/>
          <w:shd w:val="clear" w:color="auto" w:fill="BFBFBF"/>
          <w:lang w:val="es-MX"/>
          <w14:ligatures w14:val="standardContextual"/>
        </w:rPr>
        <w:t>[En caso de modificar el formulario, es importante tener en cuenta que no se deben incluir causales de rechazo, reglas o parámetros contrarios a los definidos en el documento base. Los términos el proceso solo se encuentran en el Documento Base, por lo que la Entidad no deberá incluir ningún tipo de notas que se configuren en reglas contrarias a las definidas en dicho documento, las notas únicamente pueden ser aclaratorias para efectos del diligenciamiento del formato</w:t>
      </w:r>
      <w:r w:rsidRPr="00E85C62">
        <w:rPr>
          <w:rFonts w:ascii="Verdana" w:eastAsia="Calibri" w:hAnsi="Verdana" w:cs="Arial"/>
          <w:kern w:val="2"/>
          <w:sz w:val="21"/>
          <w:szCs w:val="21"/>
          <w:lang w:val="es-MX"/>
          <w14:ligatures w14:val="standardContextual"/>
        </w:rPr>
        <w:t>]”.</w:t>
      </w:r>
    </w:p>
    <w:p w14:paraId="1D03A42F" w14:textId="77777777" w:rsidR="00E85C62" w:rsidRPr="00E85C62" w:rsidRDefault="00E85C62" w:rsidP="00E85C62">
      <w:pPr>
        <w:snapToGrid w:val="0"/>
        <w:spacing w:after="0" w:line="276" w:lineRule="auto"/>
        <w:ind w:left="708" w:right="709"/>
        <w:jc w:val="both"/>
        <w:rPr>
          <w:rFonts w:ascii="Verdana" w:eastAsia="Calibri" w:hAnsi="Verdana" w:cs="Arial"/>
          <w:kern w:val="2"/>
          <w:sz w:val="21"/>
          <w:szCs w:val="21"/>
          <w:lang w:val="es-MX"/>
          <w14:ligatures w14:val="standardContextual"/>
        </w:rPr>
      </w:pPr>
    </w:p>
    <w:p w14:paraId="2FBE5ADE" w14:textId="77777777" w:rsidR="00E85C62" w:rsidRPr="00E85C62" w:rsidRDefault="00E85C62" w:rsidP="00E85C62">
      <w:pPr>
        <w:snapToGrid w:val="0"/>
        <w:spacing w:after="12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 xml:space="preserve">En efecto, el Formulario 1 – Presupuesto Oficial se compone de dos secciones. En la sección dirigida a la Entidad se indica que esta “puede utilizar este Formulario de detalle del Presupuesto Oficial para determinar las </w:t>
      </w:r>
      <w:r w:rsidRPr="00E85C62">
        <w:rPr>
          <w:rFonts w:ascii="Verdana" w:eastAsia="Calibri" w:hAnsi="Verdana" w:cs="Arial"/>
          <w:bCs/>
          <w:color w:val="000000"/>
          <w:kern w:val="2"/>
          <w:lang w:eastAsia="es-MX"/>
          <w14:ligatures w14:val="standardContextual"/>
        </w:rPr>
        <w:lastRenderedPageBreak/>
        <w:t>condiciones bajo las cuales los Proponentes analizarán y presentarán su propuesta económica de forma detallada, sin perjuicio que la Entidad pueda modificarlo o establecer la presentación de la oferta económica con un Formulario distinto al indicado”. En la sección dirigida al Proponente se reitera esta facultad y se precisa que “(l)os Proponentes emplearán el Formulario establecido por la Entidad para determinar su propuesta económica conforme al Formulario 1 - Presupuesto Oficial publicado por la Entidad”. De esta forma, se reconoce expresamente que la entidad puede utilizar, modificar o sustituir el formulario, cualquiera que sea la forma de pago escogida.</w:t>
      </w:r>
    </w:p>
    <w:p w14:paraId="34B0CE8A" w14:textId="77777777" w:rsidR="00E85C62" w:rsidRPr="00E85C62" w:rsidRDefault="00E85C62" w:rsidP="00E85C62">
      <w:pPr>
        <w:snapToGrid w:val="0"/>
        <w:spacing w:after="12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Esta facultad no es ilimitada. El propio formulario advierte que, en caso de modificarlo, no se deben incluir causales de rechazo, reglas o parámetros contrarios a los definidos en el documento base. Como las reglas del proceso solo se encuentran en dicho documento, la entidad no puede incorporar en el formulario notas que se configuren en reglas contrarias a las allí establecidas. Las notas que se incluyan únicamente pueden ser aclaratorias para efectos del diligenciamiento del formato.</w:t>
      </w:r>
    </w:p>
    <w:p w14:paraId="7DF06071" w14:textId="77777777" w:rsidR="00E85C62" w:rsidRPr="00E85C62" w:rsidRDefault="00E85C62" w:rsidP="00E85C62">
      <w:pPr>
        <w:snapToGrid w:val="0"/>
        <w:spacing w:after="12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Ahora bien, cuando la entidad decida aplicar formas de pago como precio global, llave en mano, administración delegada, reembolso de gastos o cualquier otra forma de precio, podrá adecuar el Formulario 1 – Formulario del Presupuesto Oficial a las particularidades de la modalidad escogida o establecer un formulario distinto, de tal manera que cumpla su doble función. Esta posibilidad ya no constituye una atenuación del principio de inalterabilidad, sino una facultad expresamente prevista en el propio formulario, que concilia la obligatoriedad de aplicar los documentos tipo con la potestad de las entidades para definir la forma de pago de sus contratos, siempre que ello no contravenga lo dispuesto en el documento base u otros documentos tipo. No obstante, con independencia de la modalidad de pago seleccionada y de los ajustes realizados, la entidad debe publicar el formulario que servirá de base para la estructuración de las propuestas económicas.</w:t>
      </w:r>
    </w:p>
    <w:p w14:paraId="09B0C6DD" w14:textId="77777777" w:rsidR="00E85C62" w:rsidRPr="00E85C62" w:rsidRDefault="00E85C62" w:rsidP="00E85C62">
      <w:pPr>
        <w:snapToGrid w:val="0"/>
        <w:spacing w:after="12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 xml:space="preserve">En conclusión, en el marco de la aplicación de los documentos tipo de licitación de obra pública de infraestructura social – versión 2, las entidades estatales tienen la facultad de decidir la metodología de determinación del Presupuesto Oficial y el sistema de pago que consideren adecuado. Cuando opten por precios unitarios, podrán utilizar el Formulario 1 en los términos </w:t>
      </w:r>
      <w:r w:rsidRPr="00E85C62">
        <w:rPr>
          <w:rFonts w:ascii="Verdana" w:eastAsia="Calibri" w:hAnsi="Verdana" w:cs="Arial"/>
          <w:bCs/>
          <w:color w:val="000000"/>
          <w:kern w:val="2"/>
          <w:lang w:eastAsia="es-MX"/>
          <w14:ligatures w14:val="standardContextual"/>
        </w:rPr>
        <w:lastRenderedPageBreak/>
        <w:t>previstos o con los ajustes que requiera el proceso, sin incluir reglas contrarias al documento base, y deberán aplicar las notas 1, 2 y 3 e incluir en el pliego de condiciones las causales de rechazo relacionadas con esa modalidad.</w:t>
      </w:r>
    </w:p>
    <w:p w14:paraId="5DC9D0D8" w14:textId="77777777" w:rsidR="00E85C62" w:rsidRPr="00E85C62" w:rsidRDefault="00E85C62" w:rsidP="00E85C62">
      <w:pPr>
        <w:snapToGrid w:val="0"/>
        <w:spacing w:before="120" w:after="12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Por el contrario, cuando se opte por otra modalidad de pago, ya sea precio global, llave en mano, administración delegada, reembolso de gastos o cualquier otra forma de precio, la entidad podrá ajustar el Formulario 1 o establecer un formulario distinto que cumpla su doble finalidad de servir como formato del presupuesto oficial y para la presentación de las ofertas, de acuerdo con las particularidades de la forma de pago escogida. En este evento, en principio, se deberá prescindir de las causales de rechazo de los literales N, O y P</w:t>
      </w:r>
      <w:r w:rsidRPr="00E85C62">
        <w:rPr>
          <w:rFonts w:ascii="Verdana" w:eastAsia="Calibri" w:hAnsi="Verdana" w:cs="Arial"/>
          <w:bCs/>
          <w:color w:val="000000"/>
          <w:kern w:val="2"/>
          <w:vertAlign w:val="superscript"/>
          <w:lang w:eastAsia="es-MX"/>
          <w14:ligatures w14:val="standardContextual"/>
        </w:rPr>
        <w:footnoteReference w:id="22"/>
      </w:r>
      <w:r w:rsidRPr="00E85C62">
        <w:rPr>
          <w:rFonts w:ascii="Verdana" w:eastAsia="Calibri" w:hAnsi="Verdana" w:cs="Arial"/>
          <w:bCs/>
          <w:color w:val="000000"/>
          <w:kern w:val="2"/>
          <w:lang w:eastAsia="es-MX"/>
          <w14:ligatures w14:val="standardContextual"/>
        </w:rPr>
        <w:t xml:space="preserve"> en el </w:t>
      </w:r>
      <w:r w:rsidRPr="00E85C62">
        <w:rPr>
          <w:rFonts w:ascii="Verdana" w:eastAsia="Calibri" w:hAnsi="Verdana" w:cs="Arial"/>
          <w:bCs/>
          <w:color w:val="000000"/>
          <w:kern w:val="2"/>
          <w:lang w:eastAsia="es-MX"/>
          <w14:ligatures w14:val="standardContextual"/>
        </w:rPr>
        <w:lastRenderedPageBreak/>
        <w:t>pliego de condiciones, pues están establecidas para procesos con precios unitarios. Lo anterior sin perjuicio de que la causal del literal P, relativa a los procesos cuyo precio se estructura con la metodología del AIU, pueda aplicarse en contratos que no se estructuren por precios unitarios cuando en ellos se utilice dicha metodología, aunque el AIU suele emplearse principalmente en contratos por precios unitarios.</w:t>
      </w:r>
    </w:p>
    <w:p w14:paraId="225DD007" w14:textId="77777777" w:rsidR="00E85C62" w:rsidRPr="00E85C62" w:rsidRDefault="00E85C62" w:rsidP="00E85C62">
      <w:pPr>
        <w:spacing w:before="120" w:after="120" w:line="276" w:lineRule="auto"/>
        <w:jc w:val="both"/>
        <w:rPr>
          <w:rFonts w:ascii="Verdana" w:eastAsia="Calibri" w:hAnsi="Verdana" w:cs="Arial"/>
          <w:bCs/>
          <w:color w:val="000000"/>
          <w:kern w:val="2"/>
          <w:lang w:eastAsia="es-MX"/>
          <w14:ligatures w14:val="standardContextual"/>
        </w:rPr>
      </w:pPr>
      <w:r w:rsidRPr="00E85C62">
        <w:rPr>
          <w:rFonts w:ascii="Verdana" w:eastAsia="Arial" w:hAnsi="Verdana" w:cs="Arial"/>
        </w:rPr>
        <w:tab/>
      </w:r>
      <w:r w:rsidRPr="00E85C62">
        <w:rPr>
          <w:rFonts w:ascii="Verdana" w:eastAsia="Calibri" w:hAnsi="Verdana" w:cs="Arial"/>
          <w:bCs/>
          <w:color w:val="000000"/>
          <w:kern w:val="2"/>
          <w:lang w:eastAsia="es-MX"/>
          <w14:ligatures w14:val="standardContextual"/>
        </w:rPr>
        <w:t xml:space="preserve">Por otra parte, de acuerdo con el numeral “4.1.4 Determinación del método para la ponderación de la propuesta económica”, del documento base de los Documentos Tipo de licitación de obra pública de infraestructura social – versión 2, el método de ponderación de la propuesta económica se determinará entre las siguientes alternativas: i) mediana con valor absoluto; </w:t>
      </w:r>
      <w:proofErr w:type="spellStart"/>
      <w:r w:rsidRPr="00E85C62">
        <w:rPr>
          <w:rFonts w:ascii="Verdana" w:eastAsia="Calibri" w:hAnsi="Verdana" w:cs="Arial"/>
          <w:bCs/>
          <w:color w:val="000000"/>
          <w:kern w:val="2"/>
          <w:lang w:eastAsia="es-MX"/>
          <w14:ligatures w14:val="standardContextual"/>
        </w:rPr>
        <w:t>ii</w:t>
      </w:r>
      <w:proofErr w:type="spellEnd"/>
      <w:r w:rsidRPr="00E85C62">
        <w:rPr>
          <w:rFonts w:ascii="Verdana" w:eastAsia="Calibri" w:hAnsi="Verdana" w:cs="Arial"/>
          <w:bCs/>
          <w:color w:val="000000"/>
          <w:kern w:val="2"/>
          <w:lang w:eastAsia="es-MX"/>
          <w14:ligatures w14:val="standardContextual"/>
        </w:rPr>
        <w:t xml:space="preserve">) media geométrica; </w:t>
      </w:r>
      <w:proofErr w:type="spellStart"/>
      <w:r w:rsidRPr="00E85C62">
        <w:rPr>
          <w:rFonts w:ascii="Verdana" w:eastAsia="Calibri" w:hAnsi="Verdana" w:cs="Arial"/>
          <w:bCs/>
          <w:color w:val="000000"/>
          <w:kern w:val="2"/>
          <w:lang w:eastAsia="es-MX"/>
          <w14:ligatures w14:val="standardContextual"/>
        </w:rPr>
        <w:t>iii</w:t>
      </w:r>
      <w:proofErr w:type="spellEnd"/>
      <w:r w:rsidRPr="00E85C62">
        <w:rPr>
          <w:rFonts w:ascii="Verdana" w:eastAsia="Calibri" w:hAnsi="Verdana" w:cs="Arial"/>
          <w:bCs/>
          <w:color w:val="000000"/>
          <w:kern w:val="2"/>
          <w:lang w:eastAsia="es-MX"/>
          <w14:ligatures w14:val="standardContextual"/>
        </w:rPr>
        <w:t xml:space="preserve">) media aritmética baja; y </w:t>
      </w:r>
      <w:proofErr w:type="spellStart"/>
      <w:r w:rsidRPr="00E85C62">
        <w:rPr>
          <w:rFonts w:ascii="Verdana" w:eastAsia="Calibri" w:hAnsi="Verdana" w:cs="Arial"/>
          <w:bCs/>
          <w:color w:val="000000"/>
          <w:kern w:val="2"/>
          <w:lang w:eastAsia="es-MX"/>
          <w14:ligatures w14:val="standardContextual"/>
        </w:rPr>
        <w:t>iv</w:t>
      </w:r>
      <w:proofErr w:type="spellEnd"/>
      <w:r w:rsidRPr="00E85C62">
        <w:rPr>
          <w:rFonts w:ascii="Verdana" w:eastAsia="Calibri" w:hAnsi="Verdana" w:cs="Arial"/>
          <w:bCs/>
          <w:color w:val="000000"/>
          <w:kern w:val="2"/>
          <w:lang w:eastAsia="es-MX"/>
          <w14:ligatures w14:val="standardContextual"/>
        </w:rPr>
        <w:t>) menor valor.</w:t>
      </w:r>
    </w:p>
    <w:p w14:paraId="0402630E" w14:textId="77777777" w:rsidR="00E85C62" w:rsidRPr="00E85C62" w:rsidRDefault="00E85C62" w:rsidP="00E85C62">
      <w:pPr>
        <w:spacing w:after="0" w:line="276" w:lineRule="auto"/>
        <w:ind w:firstLine="708"/>
        <w:jc w:val="both"/>
        <w:rPr>
          <w:rFonts w:ascii="Verdana" w:eastAsia="Calibri" w:hAnsi="Verdana" w:cs="Arial"/>
          <w:bCs/>
          <w:color w:val="000000"/>
          <w:kern w:val="2"/>
          <w:lang w:eastAsia="es-MX"/>
          <w14:ligatures w14:val="standardContextual"/>
        </w:rPr>
      </w:pPr>
      <w:r w:rsidRPr="00E85C62">
        <w:rPr>
          <w:rFonts w:ascii="Verdana" w:eastAsia="Calibri" w:hAnsi="Verdana" w:cs="Arial"/>
          <w:bCs/>
          <w:color w:val="000000"/>
          <w:kern w:val="2"/>
          <w:lang w:eastAsia="es-MX"/>
          <w14:ligatures w14:val="standardContextual"/>
        </w:rPr>
        <w:t>Estos métodos están diseñados para ponderar la oferta económica con independencia del esquema de estructuración definido por la entidad, es decir, cualquiera que sea la forma de pago adoptada: precios unitarios, precio global, llave en mano, administración delegada, reembolso de gastos, entre otras. En consecuencia, y en armonía con la facultad que los documentos tipo otorgan a la entidad para utilizar, ajustar o sustituir el Formulario 1 – Propuesta económica según la modalidad de pago seleccionada, corresponde a la entidad configurar dicho formulario de manera que permita identificar con claridad el componente económico que será objeto de evaluación durante el proceso de selección, conforme a las reglas definidas en el documento base.</w:t>
      </w:r>
    </w:p>
    <w:p w14:paraId="6A9EC0A3" w14:textId="77777777" w:rsidR="00E85C62" w:rsidRPr="00E85C62" w:rsidRDefault="00E85C62" w:rsidP="00E85C62">
      <w:pPr>
        <w:spacing w:after="0" w:line="276" w:lineRule="auto"/>
        <w:ind w:firstLine="708"/>
        <w:jc w:val="both"/>
        <w:rPr>
          <w:rFonts w:ascii="Verdana" w:eastAsia="Calibri" w:hAnsi="Verdana" w:cs="Arial"/>
          <w:bCs/>
          <w:color w:val="000000"/>
          <w:kern w:val="2"/>
          <w:lang w:eastAsia="es-MX"/>
          <w14:ligatures w14:val="standardContextual"/>
        </w:rPr>
      </w:pPr>
    </w:p>
    <w:p w14:paraId="67512207" w14:textId="77777777" w:rsidR="00E85C62" w:rsidRPr="00E85C62" w:rsidRDefault="00E85C62" w:rsidP="00E85C62">
      <w:pPr>
        <w:spacing w:after="120" w:line="276" w:lineRule="auto"/>
        <w:jc w:val="both"/>
        <w:rPr>
          <w:rFonts w:ascii="Verdana" w:eastAsia="Times New Roman" w:hAnsi="Verdana" w:cs="Times New Roman"/>
          <w:lang w:eastAsia="es-MX"/>
        </w:rPr>
      </w:pPr>
      <w:proofErr w:type="spellStart"/>
      <w:r w:rsidRPr="00E85C62">
        <w:rPr>
          <w:rFonts w:ascii="Verdana" w:eastAsia="Times New Roman" w:hAnsi="Verdana" w:cs="Times New Roman"/>
          <w:lang w:eastAsia="es-MX"/>
        </w:rPr>
        <w:t>iv</w:t>
      </w:r>
      <w:proofErr w:type="spellEnd"/>
      <w:r w:rsidRPr="00E85C62">
        <w:rPr>
          <w:rFonts w:ascii="Verdana" w:eastAsia="Times New Roman" w:hAnsi="Verdana" w:cs="Times New Roman"/>
          <w:lang w:eastAsia="es-MX"/>
        </w:rPr>
        <w:t>. El artículo 4 de la Ley 1150 de 2007, obliga a las entidades estatales a estimar, tipificar y asignar los riesgos previsibles involucrados en la contratación dentro de los pliegos de condiciones o en sus equivalentes. Los interesados pueden pronunciarse sobre esa asignación mediante observaciones al proyecto de pliego y en la audiencia de asignación de riesgos.</w:t>
      </w:r>
    </w:p>
    <w:p w14:paraId="2E934734"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 xml:space="preserve">En este sentido, la asignación de riesgos debe responder a la naturaleza de la modalidad de pago escogida. En la administración delegada, según lo señaló el concepto C-857 de 2026, “se distinguen los costos de inversión de los honorarios del administrador”. En consecuencia, la variación de precios de materiales, mano de obra y equipos, así como los mayores costos directos no imputables al contratista, corresponden a la entidad estatal. Por la misma razón, </w:t>
      </w:r>
      <w:r w:rsidRPr="00E85C62">
        <w:rPr>
          <w:rFonts w:ascii="Verdana" w:eastAsia="Times New Roman" w:hAnsi="Verdana" w:cs="Times New Roman"/>
          <w:lang w:eastAsia="es-MX"/>
        </w:rPr>
        <w:lastRenderedPageBreak/>
        <w:t>el AIU, que en los contratos por precios unitarios cubre la administración, los imprevistos y la utilidad del contratista, no opera de igual forma en esta modalidad de pago, pues los honorarios remuneran la gestión del administrador y la entidad asume los imprevistos asociados al costo directo.</w:t>
      </w:r>
    </w:p>
    <w:p w14:paraId="631F5581"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Así, la regla del numeral 4.1 del documento base, según la cual la “</w:t>
      </w:r>
      <w:r w:rsidRPr="00E85C62">
        <w:rPr>
          <w:rFonts w:ascii="Verdana" w:eastAsia="Times New Roman" w:hAnsi="Verdana" w:cs="Times New Roman"/>
          <w:szCs w:val="24"/>
          <w:lang w:val="es-MX" w:eastAsia="es-MX"/>
        </w:rPr>
        <w:t>contemplar todos los costos directos e indirectos para la completa y adecuada ejecución de la obra del proceso, los riesgos y la administración de estos”</w:t>
      </w:r>
      <w:r w:rsidRPr="00E85C62">
        <w:rPr>
          <w:rFonts w:ascii="Verdana" w:eastAsia="Times New Roman" w:hAnsi="Verdana" w:cs="Times New Roman"/>
          <w:lang w:eastAsia="es-MX"/>
        </w:rPr>
        <w:t xml:space="preserve">, debe interpretarse en concordancia con la modalidad de pago. En la administración delegada, los honorarios deben cubrir los costos indirectos de administración del contratista y los riesgos que le hayan sido asignados. Al contratista le corresponden los riesgos propios de su gestión, entre ellos: i) la deficiente dirección técnica o administrativa de la obra; </w:t>
      </w:r>
      <w:proofErr w:type="spellStart"/>
      <w:r w:rsidRPr="00E85C62">
        <w:rPr>
          <w:rFonts w:ascii="Verdana" w:eastAsia="Times New Roman" w:hAnsi="Verdana" w:cs="Times New Roman"/>
          <w:lang w:eastAsia="es-MX"/>
        </w:rPr>
        <w:t>ii</w:t>
      </w:r>
      <w:proofErr w:type="spellEnd"/>
      <w:r w:rsidRPr="00E85C62">
        <w:rPr>
          <w:rFonts w:ascii="Verdana" w:eastAsia="Times New Roman" w:hAnsi="Verdana" w:cs="Times New Roman"/>
          <w:lang w:eastAsia="es-MX"/>
        </w:rPr>
        <w:t xml:space="preserve">) el manejo indebido de los recursos entregados en administración; </w:t>
      </w:r>
      <w:proofErr w:type="spellStart"/>
      <w:r w:rsidRPr="00E85C62">
        <w:rPr>
          <w:rFonts w:ascii="Verdana" w:eastAsia="Times New Roman" w:hAnsi="Verdana" w:cs="Times New Roman"/>
          <w:lang w:eastAsia="es-MX"/>
        </w:rPr>
        <w:t>iii</w:t>
      </w:r>
      <w:proofErr w:type="spellEnd"/>
      <w:r w:rsidRPr="00E85C62">
        <w:rPr>
          <w:rFonts w:ascii="Verdana" w:eastAsia="Times New Roman" w:hAnsi="Verdana" w:cs="Times New Roman"/>
          <w:lang w:eastAsia="es-MX"/>
        </w:rPr>
        <w:t xml:space="preserve">) los sobrecostos causados por su negligencia, incluidos los derivados de subcontrataciones mal gestionadas; y </w:t>
      </w:r>
      <w:proofErr w:type="spellStart"/>
      <w:r w:rsidRPr="00E85C62">
        <w:rPr>
          <w:rFonts w:ascii="Verdana" w:eastAsia="Times New Roman" w:hAnsi="Verdana" w:cs="Times New Roman"/>
          <w:lang w:eastAsia="es-MX"/>
        </w:rPr>
        <w:t>iv</w:t>
      </w:r>
      <w:proofErr w:type="spellEnd"/>
      <w:r w:rsidRPr="00E85C62">
        <w:rPr>
          <w:rFonts w:ascii="Verdana" w:eastAsia="Times New Roman" w:hAnsi="Verdana" w:cs="Times New Roman"/>
          <w:lang w:eastAsia="es-MX"/>
        </w:rPr>
        <w:t>) los incumplimientos de calidad y plazo que le sean imputables.</w:t>
      </w:r>
    </w:p>
    <w:p w14:paraId="442017DF" w14:textId="77777777" w:rsidR="00E85C62" w:rsidRPr="00E85C62" w:rsidRDefault="00E85C62" w:rsidP="00E85C62">
      <w:pPr>
        <w:spacing w:after="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De esta forma, en los documentos tipo de licitación de obra pública de infraestructura social – versión 2, la matriz de riesgos del proceso debe reflejar esta distribución. La Matriz 3 – Riesgos de la versión 2 no contiene riesgos preasignados y dispone que la entidad debe diligenciarla “teniendo en cuenta la naturaleza del Contrato”. Sin embargo, incorpora una regla residual según la cual corresponde al contratista asumir los riesgos previsibles propios de este tipo de contratación, siempre que no estén expresamente a cargo de la entidad. Por lo anterior, en la administración delegada la entidad debe asumir de manera expresa en la matriz los riesgos de variación de los costos directos, pues de lo contrario estos quedarían a cargo del contratista por aplicación de dicha regla residual.</w:t>
      </w:r>
    </w:p>
    <w:p w14:paraId="1E408FF8" w14:textId="77777777" w:rsidR="00E85C62" w:rsidRPr="00E85C62" w:rsidRDefault="00E85C62" w:rsidP="00E85C62">
      <w:pPr>
        <w:spacing w:after="0" w:line="276" w:lineRule="auto"/>
        <w:jc w:val="both"/>
        <w:rPr>
          <w:rFonts w:ascii="Verdana" w:eastAsia="Times New Roman" w:hAnsi="Verdana" w:cs="Times New Roman"/>
          <w:lang w:eastAsia="es-MX"/>
        </w:rPr>
      </w:pPr>
    </w:p>
    <w:p w14:paraId="2DDFDB49" w14:textId="77777777" w:rsidR="00E85C62" w:rsidRPr="00E85C62" w:rsidRDefault="00E85C62" w:rsidP="00E85C62">
      <w:pPr>
        <w:spacing w:after="120" w:line="276" w:lineRule="auto"/>
        <w:jc w:val="both"/>
        <w:rPr>
          <w:rFonts w:ascii="Verdana" w:eastAsia="Times New Roman" w:hAnsi="Verdana" w:cs="Times New Roman"/>
          <w:lang w:eastAsia="es-MX"/>
        </w:rPr>
      </w:pPr>
      <w:r w:rsidRPr="00E85C62">
        <w:rPr>
          <w:rFonts w:ascii="Verdana" w:eastAsia="Times New Roman" w:hAnsi="Verdana" w:cs="Times New Roman"/>
          <w:lang w:eastAsia="es-MX"/>
        </w:rPr>
        <w:t>v. Además de lo anterior, la Agencia Nacional de Contratación Pública – Colombia Compra Eficiente considera que los siguientes aspectos son relevantes al estructurar procesos bajo la modalidad de administración delegada.</w:t>
      </w:r>
    </w:p>
    <w:p w14:paraId="7FEC5037" w14:textId="77777777" w:rsidR="00E85C62" w:rsidRPr="00E85C62" w:rsidRDefault="00E85C62" w:rsidP="00E85C62">
      <w:pPr>
        <w:spacing w:after="120" w:line="276" w:lineRule="auto"/>
        <w:jc w:val="both"/>
        <w:rPr>
          <w:rFonts w:ascii="Verdana" w:eastAsia="Times New Roman" w:hAnsi="Verdana" w:cs="Times New Roman"/>
          <w:lang w:eastAsia="es-MX"/>
        </w:rPr>
      </w:pPr>
      <w:r w:rsidRPr="00E85C62">
        <w:rPr>
          <w:rFonts w:ascii="Verdana" w:eastAsia="Times New Roman" w:hAnsi="Verdana" w:cs="Times New Roman"/>
          <w:lang w:eastAsia="es-MX"/>
        </w:rPr>
        <w:t xml:space="preserve">En cuanto al “Anexo 4 – Minuta del Contrato”, la entidad debe incluir el contenido mínimo allí previsto, sin perjuicio de que pueda agregar condiciones adicionales o distintas que obedezcan a las necesidades de ejecución del contrato y no contradigan dicho anexo ni los demás Documentos Tipo. Igualmente, puede </w:t>
      </w:r>
      <w:r w:rsidRPr="00E85C62">
        <w:rPr>
          <w:rFonts w:ascii="Verdana" w:eastAsia="Times New Roman" w:hAnsi="Verdana" w:cs="Times New Roman"/>
          <w:lang w:eastAsia="es-MX"/>
        </w:rPr>
        <w:lastRenderedPageBreak/>
        <w:t>escoger entre las opciones de cláusula previstas, combinarlas o construir la suya. Al respecto, la parte introductoria del documento señala lo siguiente:</w:t>
      </w:r>
    </w:p>
    <w:p w14:paraId="27CE3FE0" w14:textId="77777777" w:rsidR="00E85C62" w:rsidRPr="00E85C62" w:rsidRDefault="00E85C62" w:rsidP="00E85C62">
      <w:pPr>
        <w:spacing w:after="0" w:line="276" w:lineRule="auto"/>
        <w:ind w:left="709" w:right="709"/>
        <w:jc w:val="both"/>
        <w:rPr>
          <w:rFonts w:ascii="Verdana" w:eastAsia="Times New Roman" w:hAnsi="Verdana" w:cs="Times New Roman"/>
          <w:szCs w:val="24"/>
          <w:highlight w:val="lightGray"/>
          <w:lang w:eastAsia="es-MX"/>
        </w:rPr>
      </w:pPr>
      <w:r w:rsidRPr="00E85C62">
        <w:rPr>
          <w:rFonts w:ascii="Verdana" w:eastAsia="Times New Roman" w:hAnsi="Verdana" w:cs="Times New Roman"/>
          <w:szCs w:val="24"/>
          <w:highlight w:val="lightGray"/>
          <w:lang w:eastAsia="es-MX"/>
        </w:rPr>
        <w:t xml:space="preserve">“[La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 (…)”. </w:t>
      </w:r>
    </w:p>
    <w:p w14:paraId="2E752B73" w14:textId="77777777" w:rsidR="00E85C62" w:rsidRPr="00E85C62" w:rsidRDefault="00E85C62" w:rsidP="00E85C62">
      <w:pPr>
        <w:spacing w:after="0" w:line="276" w:lineRule="auto"/>
        <w:ind w:left="709" w:right="709"/>
        <w:jc w:val="both"/>
        <w:rPr>
          <w:rFonts w:ascii="Verdana" w:eastAsia="Times New Roman" w:hAnsi="Verdana" w:cs="Times New Roman"/>
          <w:szCs w:val="24"/>
          <w:highlight w:val="lightGray"/>
          <w:lang w:eastAsia="es-MX"/>
        </w:rPr>
      </w:pPr>
    </w:p>
    <w:p w14:paraId="6010A1A8"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De manera específica, frente a la “Cláusula 8 de forma de pago”, esta se trata de una cláusula cuyo contenido permite el ejercicio de la discrecionalidad administrativa, de modo que la entidad puede establecer las condiciones que considere necesarias, siempre que sean proporcionales, adecuadas y convenientes. En consecuencia, puede usar cualquiera de las opciones dispuestas en el documento tipo, crear una diferente o modificar en parte cualquiera de ellas.</w:t>
      </w:r>
    </w:p>
    <w:p w14:paraId="7916A3C9" w14:textId="77777777" w:rsidR="00E85C62" w:rsidRPr="00E85C62" w:rsidRDefault="00E85C62" w:rsidP="00E85C62">
      <w:pPr>
        <w:spacing w:after="120" w:line="276" w:lineRule="auto"/>
        <w:ind w:firstLine="708"/>
        <w:jc w:val="both"/>
        <w:rPr>
          <w:rFonts w:ascii="Verdana" w:eastAsia="Times New Roman" w:hAnsi="Verdana" w:cs="Times New Roman"/>
          <w:lang w:eastAsia="es-MX"/>
        </w:rPr>
      </w:pPr>
      <w:r w:rsidRPr="00E85C62">
        <w:rPr>
          <w:rFonts w:ascii="Verdana" w:eastAsia="Times New Roman" w:hAnsi="Verdana" w:cs="Times New Roman"/>
          <w:lang w:eastAsia="es-MX"/>
        </w:rPr>
        <w:t>Por lo tanto, cuando la entidad opte por la administración delegada, podrá configurar la cláusula de forma de pago y las demás cláusulas que lo permitan de acuerdo con las particularidades de esta modalidad, por ejemplo, distinguiendo el pago de los costos directos de la obra del pago de los honorarios del administrador, y regulando el manejo de los recursos entregados en administración, la rendición de cuentas y la aprobación de subcontratos, siempre que no contradiga el contenido mínimo del anexo ni los demás documentos tipo.</w:t>
      </w:r>
    </w:p>
    <w:p w14:paraId="74965C96" w14:textId="77777777" w:rsidR="00E85C62" w:rsidRPr="00E85C62" w:rsidRDefault="00E85C62" w:rsidP="00E85C62">
      <w:pPr>
        <w:spacing w:after="0" w:line="276" w:lineRule="auto"/>
        <w:ind w:firstLine="708"/>
        <w:jc w:val="both"/>
        <w:rPr>
          <w:rFonts w:ascii="Verdana" w:eastAsia="Times New Roman" w:hAnsi="Verdana" w:cs="Times New Roman"/>
          <w:lang w:eastAsia="es-MX"/>
        </w:rPr>
      </w:pPr>
    </w:p>
    <w:p w14:paraId="476AEF63" w14:textId="77777777" w:rsidR="00E85C62" w:rsidRPr="00E85C62" w:rsidRDefault="00E85C62" w:rsidP="00E85C62">
      <w:pPr>
        <w:spacing w:after="120" w:line="276" w:lineRule="auto"/>
        <w:jc w:val="both"/>
        <w:rPr>
          <w:rFonts w:ascii="Verdana" w:eastAsia="Aptos" w:hAnsi="Verdana" w:cs="Times New Roman"/>
        </w:rPr>
      </w:pPr>
      <w:r w:rsidRPr="00E85C62">
        <w:rPr>
          <w:rFonts w:ascii="Verdana" w:eastAsia="Calibri" w:hAnsi="Verdana" w:cs="Arial"/>
          <w:bCs/>
          <w:color w:val="000000"/>
          <w:kern w:val="2"/>
          <w:lang w:eastAsia="es-MX"/>
          <w14:ligatures w14:val="standardContextual"/>
        </w:rPr>
        <w:t xml:space="preserve">vi. </w:t>
      </w:r>
      <w:r w:rsidRPr="00E85C62">
        <w:rPr>
          <w:rFonts w:ascii="Verdana" w:eastAsia="Calibri" w:hAnsi="Verdana" w:cs="Times New Roman"/>
          <w:lang w:val="es-ES"/>
        </w:rPr>
        <w:t xml:space="preserve">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E85C62">
        <w:rPr>
          <w:rFonts w:ascii="Verdana" w:eastAsia="Calibri" w:hAnsi="Verdana" w:cs="Times New Roman"/>
          <w:lang w:val="es-ES"/>
        </w:rPr>
        <w:lastRenderedPageBreak/>
        <w:t>correspondiente y, en caso de conflicto, a las autoridades judiciales, fiscales y disciplinarias.</w:t>
      </w:r>
    </w:p>
    <w:p w14:paraId="6C6E7D68" w14:textId="77777777" w:rsidR="00E85C62" w:rsidRPr="00E85C62" w:rsidRDefault="00E85C62" w:rsidP="00E85C62">
      <w:pPr>
        <w:spacing w:after="0" w:line="278" w:lineRule="auto"/>
        <w:ind w:firstLine="709"/>
        <w:jc w:val="both"/>
        <w:rPr>
          <w:rFonts w:ascii="Verdana" w:eastAsia="Calibri" w:hAnsi="Verdana" w:cs="Times New Roman"/>
          <w:lang w:val="es-ES"/>
        </w:rPr>
      </w:pPr>
      <w:r w:rsidRPr="00E85C62">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5CDF3D1" w14:textId="77777777" w:rsidR="00E85C62" w:rsidRPr="00E85C62" w:rsidRDefault="00E85C62" w:rsidP="00E85C62">
      <w:pPr>
        <w:spacing w:after="0" w:line="276" w:lineRule="auto"/>
        <w:jc w:val="both"/>
        <w:rPr>
          <w:rFonts w:ascii="Verdana" w:eastAsia="Calibri" w:hAnsi="Verdana" w:cs="Times New Roman"/>
          <w:lang w:eastAsia="es-MX"/>
        </w:rPr>
      </w:pPr>
    </w:p>
    <w:p w14:paraId="290F8E7D" w14:textId="77777777" w:rsidR="00E85C62" w:rsidRPr="00E85C62" w:rsidRDefault="00E85C62" w:rsidP="00E85C62">
      <w:pPr>
        <w:tabs>
          <w:tab w:val="left" w:pos="142"/>
          <w:tab w:val="left" w:pos="284"/>
        </w:tabs>
        <w:spacing w:after="0" w:line="276" w:lineRule="auto"/>
        <w:jc w:val="both"/>
        <w:rPr>
          <w:rFonts w:ascii="Verdana" w:eastAsia="Century Gothic" w:hAnsi="Verdana" w:cs="Century Gothic"/>
          <w:b/>
          <w:bCs/>
          <w:lang w:val="es-ES_tradnl" w:eastAsia="es-MX"/>
        </w:rPr>
      </w:pPr>
      <w:r w:rsidRPr="00E85C62">
        <w:rPr>
          <w:rFonts w:ascii="Verdana" w:eastAsia="Century Gothic" w:hAnsi="Verdana" w:cs="Century Gothic"/>
          <w:b/>
          <w:bCs/>
          <w:lang w:val="es-ES_tradnl" w:eastAsia="es-MX"/>
        </w:rPr>
        <w:t>4. Referencias normativas, jurisprudenciales y otras fuentes:</w:t>
      </w:r>
    </w:p>
    <w:p w14:paraId="54DA2B06" w14:textId="77777777" w:rsidR="00E85C62" w:rsidRPr="00E85C62" w:rsidRDefault="00E85C62" w:rsidP="00E85C62">
      <w:pPr>
        <w:spacing w:after="0"/>
        <w:ind w:left="-15840"/>
        <w:jc w:val="both"/>
        <w:rPr>
          <w:rFonts w:ascii="Verdana" w:eastAsia="Calibri" w:hAnsi="Verdana" w:cs="Arial"/>
          <w:b/>
          <w:bCs/>
          <w:lang w:eastAsia="es-MX"/>
        </w:rPr>
      </w:pPr>
      <w:r w:rsidRPr="00E85C62">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85C62" w:rsidRPr="00E85C62" w14:paraId="5191F0E1"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50B1684F" w14:textId="77777777" w:rsidR="00E85C62" w:rsidRPr="00E85C62" w:rsidRDefault="00E85C62" w:rsidP="00E85C62">
            <w:pPr>
              <w:contextualSpacing/>
              <w:jc w:val="both"/>
              <w:rPr>
                <w:rFonts w:ascii="Verdana" w:eastAsia="Calibri" w:hAnsi="Verdana" w:cs="Arial"/>
                <w:bCs/>
                <w:lang w:eastAsia="es-MX"/>
              </w:rPr>
            </w:pPr>
          </w:p>
          <w:p w14:paraId="40FB8474"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Ley 80 de 1993. Artículos 13, 32 y 40</w:t>
            </w:r>
          </w:p>
          <w:p w14:paraId="0C15233F"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Consejo de Estado. Sección Tercera. Sentencia del 06 de junio de 2007. Radicación No. 25000-23-26-000-1996-02482-01(17.253). Consejera Ponente: Ruth Stella Correa Palacio.</w:t>
            </w:r>
          </w:p>
          <w:p w14:paraId="21F5D7D8"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Consejo de Estado, Sección Cuarta, de fecha 16 de septiembre de 2010. Consejera Ponente: CP. Carmen Teresa Ortiz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16605.</w:t>
            </w:r>
          </w:p>
          <w:p w14:paraId="6F663688"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Consejo de Estado, Sala de Consulta y Servicio Civil, Concepto de 7 febrero de 1997, Rad. 934, C. P. Javier Henao Hidrón. </w:t>
            </w:r>
          </w:p>
          <w:p w14:paraId="3F470108"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Consejo de Estado, Sala de Consulta y Servicio Civil en concepto 2298 del 8 de marzo de 2017. Consejero Ponente: Edgar González López.</w:t>
            </w:r>
          </w:p>
          <w:p w14:paraId="21FF72E4"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Consejo de Estado, Sala de lo Contencioso Administrativo, Sección Tercera, Subsección A, en sentencia del 20 de noviembre de 2020. Consejero Ponente: José Roberto Sáchica Méndez.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47201.</w:t>
            </w:r>
          </w:p>
          <w:p w14:paraId="5FE74647"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Consejo de Estado, Sección Tercera, Subsección A. Sentencia del 1 de octubre de 2018.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xml:space="preserve">. 57.897. C.P Marta Nubia Velásquez Rico. </w:t>
            </w:r>
          </w:p>
          <w:p w14:paraId="46800D80"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Corte Suprema de Justicia, Sala de Casación Civil. Sentencia del 17 de abril de 2007. Magistrado Ponente. Pedo Octavio Munar Cadena.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xml:space="preserve">. 00645. </w:t>
            </w:r>
          </w:p>
          <w:p w14:paraId="3992BD12"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Aptos" w:hAnsi="Verdana" w:cs="Arial"/>
                <w:lang w:val="es-ES"/>
              </w:rPr>
            </w:pPr>
            <w:r w:rsidRPr="00E85C62">
              <w:rPr>
                <w:rFonts w:ascii="Verdana" w:eastAsia="Aptos" w:hAnsi="Verdana" w:cs="Arial"/>
                <w:lang w:val="es-ES"/>
              </w:rPr>
              <w:t xml:space="preserve">Consejo de Estado, Sala de Lo Contencioso Administrativo, Sección Cuarta, en sentencia del 15 de octubre de 2021. Consejera Ponente: </w:t>
            </w:r>
            <w:r w:rsidRPr="00E85C62">
              <w:rPr>
                <w:rFonts w:ascii="Verdana" w:eastAsia="Aptos" w:hAnsi="Verdana" w:cs="Arial"/>
                <w:lang w:val="es-ES"/>
              </w:rPr>
              <w:lastRenderedPageBreak/>
              <w:t xml:space="preserve">Myriam Stella Gutiérrez Argüello.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24376.</w:t>
            </w:r>
          </w:p>
          <w:p w14:paraId="4D6C1FA6"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E85C62">
              <w:rPr>
                <w:rFonts w:ascii="Verdana" w:eastAsia="Aptos" w:hAnsi="Verdana" w:cs="Arial"/>
                <w:lang w:val="es-ES"/>
              </w:rPr>
              <w:t xml:space="preserve">Consejo de Estado, Sala de lo Contencioso Administrativo, Sección Tercera, en sentencia del 20 de junio de 2023. Consejero Ponente: José Roberto Sáchica Méndez. </w:t>
            </w:r>
            <w:proofErr w:type="spellStart"/>
            <w:r w:rsidRPr="00E85C62">
              <w:rPr>
                <w:rFonts w:ascii="Verdana" w:eastAsia="Aptos" w:hAnsi="Verdana" w:cs="Arial"/>
                <w:lang w:val="es-ES"/>
              </w:rPr>
              <w:t>Exp</w:t>
            </w:r>
            <w:proofErr w:type="spellEnd"/>
            <w:r w:rsidRPr="00E85C62">
              <w:rPr>
                <w:rFonts w:ascii="Verdana" w:eastAsia="Aptos" w:hAnsi="Verdana" w:cs="Arial"/>
                <w:lang w:val="es-ES"/>
              </w:rPr>
              <w:t>. 61.174</w:t>
            </w:r>
          </w:p>
          <w:p w14:paraId="4807016A" w14:textId="77777777" w:rsidR="00E85C62" w:rsidRPr="00E85C62" w:rsidRDefault="00E85C62" w:rsidP="00E85C62">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E85C62">
              <w:rPr>
                <w:rFonts w:ascii="Verdana" w:eastAsia="Calibri" w:hAnsi="Verdana" w:cs="Arial"/>
                <w:lang w:val="es-ES_tradnl" w:eastAsia="es-MX"/>
              </w:rPr>
              <w:t xml:space="preserve">Ley 2022 de 2020, artículo 1. </w:t>
            </w:r>
          </w:p>
          <w:p w14:paraId="4FCE1EBE" w14:textId="77777777" w:rsidR="00E85C62" w:rsidRPr="00E85C62" w:rsidRDefault="00E85C62" w:rsidP="00E85C62">
            <w:pPr>
              <w:widowControl w:val="0"/>
              <w:numPr>
                <w:ilvl w:val="0"/>
                <w:numId w:val="16"/>
              </w:numPr>
              <w:autoSpaceDE w:val="0"/>
              <w:autoSpaceDN w:val="0"/>
              <w:spacing w:line="276" w:lineRule="auto"/>
              <w:jc w:val="both"/>
              <w:rPr>
                <w:rFonts w:ascii="Verdana" w:eastAsia="Calibri" w:hAnsi="Verdana" w:cs="Arial"/>
                <w:lang w:eastAsia="es-MX"/>
              </w:rPr>
            </w:pPr>
            <w:r w:rsidRPr="00E85C62">
              <w:rPr>
                <w:rFonts w:ascii="Verdana" w:eastAsia="Calibri" w:hAnsi="Verdana" w:cs="Arial"/>
                <w:lang w:eastAsia="es-MX"/>
              </w:rPr>
              <w:t>Ley 1150 de 2007, artículo 2.</w:t>
            </w:r>
          </w:p>
          <w:p w14:paraId="317E33B2" w14:textId="77777777" w:rsidR="00E85C62" w:rsidRPr="00E85C62" w:rsidRDefault="00E85C62" w:rsidP="00E85C62">
            <w:pPr>
              <w:widowControl w:val="0"/>
              <w:numPr>
                <w:ilvl w:val="0"/>
                <w:numId w:val="16"/>
              </w:numPr>
              <w:autoSpaceDE w:val="0"/>
              <w:autoSpaceDN w:val="0"/>
              <w:spacing w:line="276" w:lineRule="auto"/>
              <w:contextualSpacing/>
              <w:jc w:val="both"/>
              <w:rPr>
                <w:rFonts w:ascii="Verdana" w:eastAsia="Calibri" w:hAnsi="Verdana" w:cs="Arial"/>
                <w:lang w:eastAsia="es-MX"/>
              </w:rPr>
            </w:pPr>
            <w:r w:rsidRPr="00E85C62">
              <w:rPr>
                <w:rFonts w:ascii="Verdana" w:eastAsia="Calibri" w:hAnsi="Verdana" w:cs="Arial"/>
                <w:lang w:val="es-ES_tradnl" w:eastAsia="es-MX"/>
              </w:rPr>
              <w:t xml:space="preserve">Documentos Tipo. Disponibles en: </w:t>
            </w:r>
            <w:hyperlink r:id="rId12" w:history="1">
              <w:r w:rsidRPr="00E85C62">
                <w:rPr>
                  <w:rFonts w:ascii="Verdana" w:eastAsia="Calibri" w:hAnsi="Verdana" w:cs="Arial"/>
                  <w:color w:val="0000FF"/>
                  <w:u w:val="single"/>
                  <w:lang w:val="es-ES_tradnl" w:eastAsia="es-MX"/>
                </w:rPr>
                <w:t>https://www.colombiacompra.gov.co/documentos-tipo/documentos-tipo</w:t>
              </w:r>
            </w:hyperlink>
            <w:r w:rsidRPr="00E85C62">
              <w:rPr>
                <w:rFonts w:ascii="Verdana" w:eastAsia="Calibri" w:hAnsi="Verdana" w:cs="Arial"/>
                <w:lang w:val="es-ES_tradnl" w:eastAsia="es-MX"/>
              </w:rPr>
              <w:t>.</w:t>
            </w:r>
          </w:p>
        </w:tc>
      </w:tr>
    </w:tbl>
    <w:p w14:paraId="66D2D0F0" w14:textId="77777777" w:rsidR="00E85C62" w:rsidRPr="00E85C62" w:rsidRDefault="00E85C62" w:rsidP="00E85C62">
      <w:pPr>
        <w:tabs>
          <w:tab w:val="left" w:pos="142"/>
          <w:tab w:val="left" w:pos="284"/>
        </w:tabs>
        <w:spacing w:after="0" w:line="276" w:lineRule="auto"/>
        <w:jc w:val="both"/>
        <w:rPr>
          <w:rFonts w:ascii="Verdana" w:eastAsia="Calibri" w:hAnsi="Verdana" w:cs="Arial"/>
          <w:lang w:eastAsia="es-MX"/>
        </w:rPr>
      </w:pPr>
    </w:p>
    <w:p w14:paraId="40A661ED" w14:textId="77777777" w:rsidR="00E85C62" w:rsidRPr="00E85C62" w:rsidRDefault="00E85C62" w:rsidP="00E85C62">
      <w:pPr>
        <w:tabs>
          <w:tab w:val="left" w:pos="142"/>
          <w:tab w:val="left" w:pos="284"/>
        </w:tabs>
        <w:spacing w:after="0" w:line="276" w:lineRule="auto"/>
        <w:jc w:val="both"/>
        <w:rPr>
          <w:rFonts w:ascii="Verdana" w:eastAsia="Century Gothic" w:hAnsi="Verdana" w:cs="Century Gothic"/>
          <w:b/>
          <w:bCs/>
          <w:lang w:val="es-ES" w:eastAsia="es-MX"/>
        </w:rPr>
      </w:pPr>
      <w:r w:rsidRPr="00E85C62">
        <w:rPr>
          <w:rFonts w:ascii="Verdana" w:eastAsia="Calibri" w:hAnsi="Verdana" w:cs="Arial"/>
          <w:b/>
          <w:bCs/>
          <w:lang w:eastAsia="es-MX"/>
        </w:rPr>
        <w:t>5</w:t>
      </w:r>
      <w:r w:rsidRPr="00E85C62">
        <w:rPr>
          <w:rFonts w:ascii="Verdana" w:eastAsia="Calibri" w:hAnsi="Verdana" w:cs="Arial"/>
          <w:lang w:eastAsia="es-MX"/>
        </w:rPr>
        <w:t>.</w:t>
      </w:r>
      <w:r w:rsidRPr="00E85C62">
        <w:rPr>
          <w:rFonts w:ascii="Verdana" w:eastAsia="Century Gothic" w:hAnsi="Verdana" w:cs="Century Gothic"/>
          <w:b/>
          <w:bCs/>
          <w:lang w:val="es-ES" w:eastAsia="es-MX"/>
        </w:rPr>
        <w:t>Doctrina de la Agencia Nacional de Contratación Pública:</w:t>
      </w:r>
    </w:p>
    <w:p w14:paraId="4A0799AA" w14:textId="77777777" w:rsidR="00E85C62" w:rsidRPr="00E85C62" w:rsidRDefault="00E85C62" w:rsidP="00E85C62">
      <w:pPr>
        <w:widowControl w:val="0"/>
        <w:autoSpaceDE w:val="0"/>
        <w:autoSpaceDN w:val="0"/>
        <w:spacing w:after="0" w:line="276" w:lineRule="auto"/>
        <w:jc w:val="both"/>
        <w:rPr>
          <w:rFonts w:ascii="Verdana" w:eastAsia="Calibri" w:hAnsi="Verdana" w:cs="Arial"/>
          <w:lang w:eastAsia="es-MX"/>
        </w:rPr>
      </w:pPr>
    </w:p>
    <w:p w14:paraId="209EDD0F" w14:textId="77777777" w:rsidR="00E85C62" w:rsidRPr="00E85C62" w:rsidRDefault="00E85C62" w:rsidP="00E85C62">
      <w:pPr>
        <w:widowControl w:val="0"/>
        <w:autoSpaceDE w:val="0"/>
        <w:autoSpaceDN w:val="0"/>
        <w:spacing w:after="0" w:line="276" w:lineRule="auto"/>
        <w:jc w:val="both"/>
        <w:rPr>
          <w:rFonts w:ascii="Verdana" w:eastAsia="Calibri" w:hAnsi="Verdana" w:cs="Arial"/>
          <w:color w:val="000000"/>
          <w:kern w:val="2"/>
          <w:lang w:val="es-ES_tradnl" w:eastAsia="es-ES_tradnl"/>
          <w14:ligatures w14:val="standardContextual"/>
        </w:rPr>
      </w:pPr>
      <w:r w:rsidRPr="00E85C62">
        <w:rPr>
          <w:rFonts w:ascii="Verdana" w:eastAsia="Aptos" w:hAnsi="Verdana" w:cs="Arial"/>
          <w:kern w:val="2"/>
          <w:shd w:val="clear" w:color="auto" w:fill="FFFFFF"/>
          <w:lang w:val="es-ES"/>
          <w14:ligatures w14:val="standardContextual"/>
        </w:rPr>
        <w:t xml:space="preserve">Sobre </w:t>
      </w:r>
      <w:r w:rsidRPr="00E85C62">
        <w:rPr>
          <w:rFonts w:ascii="Verdana" w:eastAsia="Aptos" w:hAnsi="Verdana" w:cs="Arial"/>
          <w:kern w:val="2"/>
          <w:shd w:val="clear" w:color="auto" w:fill="FFFFFF"/>
          <w14:ligatures w14:val="standardContextual"/>
        </w:rPr>
        <w:t>contratos cuyo objeto se contempla la administración delegada de recursos esta entidad se ha pronunciado en los conceptos C-593 de del 9 de octubre de 2020, C-691 del 27 de noviembre de 2020, C-173 del 23 de abril de 2021, C-021 de 24 de febrero de 2023, C-160 de 2023, C-911 del 31 de diciembre de 2024, C-134 del 24 de febrero de 2025 C-228 del 27 de marzo de 2025, C-597 del 17 de junio de 2026, entre otros</w:t>
      </w:r>
      <w:r w:rsidRPr="00E85C62">
        <w:rPr>
          <w:rFonts w:ascii="Verdana" w:eastAsia="Calibri" w:hAnsi="Verdana" w:cs="Arial"/>
          <w:color w:val="000000"/>
          <w:kern w:val="2"/>
          <w:lang w:val="es-ES_tradnl" w:eastAsia="es-ES_tradnl"/>
          <w14:ligatures w14:val="standardContextual"/>
        </w:rPr>
        <w:t>.</w:t>
      </w:r>
    </w:p>
    <w:p w14:paraId="09935B2C" w14:textId="77777777" w:rsidR="00E85C62" w:rsidRPr="00E85C62" w:rsidRDefault="00E85C62" w:rsidP="00E85C62">
      <w:pPr>
        <w:widowControl w:val="0"/>
        <w:autoSpaceDE w:val="0"/>
        <w:autoSpaceDN w:val="0"/>
        <w:spacing w:after="0" w:line="276" w:lineRule="auto"/>
        <w:jc w:val="both"/>
        <w:rPr>
          <w:rFonts w:ascii="Verdana" w:eastAsia="Calibri" w:hAnsi="Verdana" w:cs="Arial"/>
          <w:lang w:eastAsia="es-MX"/>
        </w:rPr>
      </w:pPr>
    </w:p>
    <w:p w14:paraId="751D6ED6" w14:textId="77777777" w:rsidR="00E85C62" w:rsidRPr="00E85C62" w:rsidRDefault="00E85C62" w:rsidP="00E85C62">
      <w:pPr>
        <w:spacing w:after="0" w:line="276" w:lineRule="auto"/>
        <w:jc w:val="both"/>
        <w:rPr>
          <w:rFonts w:ascii="Verdana" w:eastAsia="Calibri" w:hAnsi="Verdana" w:cs="Arial"/>
          <w:shd w:val="clear" w:color="auto" w:fill="FFFFFF"/>
          <w:lang w:val="es-ES" w:eastAsia="es-MX"/>
        </w:rPr>
      </w:pPr>
      <w:r w:rsidRPr="00E85C62">
        <w:rPr>
          <w:rFonts w:ascii="Verdana" w:eastAsia="Calibri" w:hAnsi="Verdana" w:cs="Arial"/>
          <w:shd w:val="clear" w:color="auto" w:fill="FFFFFF"/>
          <w:lang w:val="es-ES" w:eastAsia="es-MX"/>
        </w:rPr>
        <w:t>La Agencia Nacional de Contratación Pública – Colombia Compra Eficiente se pronunció</w:t>
      </w:r>
      <w:r w:rsidRPr="00E85C62">
        <w:rPr>
          <w:rFonts w:ascii="Verdana" w:eastAsia="Calibri" w:hAnsi="Verdana" w:cs="Times New Roman"/>
          <w:lang w:eastAsia="es-MX"/>
        </w:rPr>
        <w:t xml:space="preserve"> </w:t>
      </w:r>
      <w:r w:rsidRPr="00E85C62">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E85C62">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w:t>
      </w:r>
    </w:p>
    <w:p w14:paraId="05320F5E" w14:textId="77777777" w:rsidR="00E85C62" w:rsidRPr="00E85C62" w:rsidRDefault="00E85C62" w:rsidP="00E85C62">
      <w:pPr>
        <w:spacing w:after="0" w:line="240" w:lineRule="auto"/>
        <w:jc w:val="both"/>
        <w:rPr>
          <w:rFonts w:ascii="Verdana" w:eastAsia="Calibri" w:hAnsi="Verdana" w:cs="Arial"/>
          <w:color w:val="000000"/>
          <w:shd w:val="clear" w:color="auto" w:fill="FFFFFF"/>
          <w:lang w:eastAsia="es-MX"/>
        </w:rPr>
      </w:pPr>
    </w:p>
    <w:p w14:paraId="6C8433C8" w14:textId="77777777" w:rsidR="00E85C62" w:rsidRPr="00E85C62" w:rsidRDefault="00E85C62" w:rsidP="00E85C62">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E85C62">
        <w:rPr>
          <w:rFonts w:ascii="Verdana" w:eastAsia="Calibri" w:hAnsi="Verdana" w:cs="Arial"/>
          <w:kern w:val="2"/>
          <w:shd w:val="clear" w:color="auto" w:fill="FFFFFF"/>
          <w14:ligatures w14:val="standardContextual"/>
        </w:rPr>
        <w:t>L</w:t>
      </w:r>
      <w:r w:rsidRPr="00E85C62">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E85C62">
        <w:rPr>
          <w:rFonts w:ascii="Verdana" w:eastAsia="Times New Roman" w:hAnsi="Verdana" w:cs="Arial"/>
          <w:kern w:val="2"/>
          <w:shd w:val="clear" w:color="auto" w:fill="FFFFFF"/>
          <w:lang w:val="es-ES"/>
          <w14:ligatures w14:val="standardContextual"/>
        </w:rPr>
        <w:t xml:space="preserve">, </w:t>
      </w:r>
      <w:r w:rsidRPr="00E85C62">
        <w:rPr>
          <w:rFonts w:ascii="Verdana" w:eastAsia="Calibri" w:hAnsi="Verdana" w:cs="Arial"/>
          <w:kern w:val="2"/>
          <w:shd w:val="clear" w:color="auto" w:fill="FFFFFF"/>
          <w:lang w:val="es-ES"/>
          <w14:ligatures w14:val="standardContextual"/>
        </w:rPr>
        <w:t xml:space="preserve">C-513 del 7 de octubre de 2024, C-730 del 27 de noviembre de 2024, C-870 del 15 de diciembre de 2024, C-092 del 4 de </w:t>
      </w:r>
      <w:r w:rsidRPr="00E85C62">
        <w:rPr>
          <w:rFonts w:ascii="Verdana" w:eastAsia="Calibri" w:hAnsi="Verdana" w:cs="Arial"/>
          <w:kern w:val="2"/>
          <w:shd w:val="clear" w:color="auto" w:fill="FFFFFF"/>
          <w:lang w:val="es-ES"/>
          <w14:ligatures w14:val="standardContextual"/>
        </w:rPr>
        <w:lastRenderedPageBreak/>
        <w:t>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C497 del 5 de junio de 2025, C-522 del 9 de junio de 2025, C-562 del 19 de junio de 2025, C-582 del 25 de junio de 2025, C-960 del 26 de agosto de 2026 entre otros.</w:t>
      </w:r>
    </w:p>
    <w:p w14:paraId="26C3670F" w14:textId="77777777" w:rsidR="00E85C62" w:rsidRPr="00E85C62" w:rsidRDefault="00E85C62" w:rsidP="00E85C62">
      <w:pPr>
        <w:spacing w:after="0" w:line="240" w:lineRule="auto"/>
        <w:jc w:val="both"/>
        <w:rPr>
          <w:rFonts w:ascii="Verdana" w:eastAsia="Calibri" w:hAnsi="Verdana" w:cs="Arial"/>
          <w:color w:val="000000"/>
          <w:shd w:val="clear" w:color="auto" w:fill="FFFFFF"/>
          <w:lang w:eastAsia="es-MX"/>
        </w:rPr>
      </w:pPr>
    </w:p>
    <w:p w14:paraId="31557767" w14:textId="77777777" w:rsidR="00E85C62" w:rsidRPr="00E85C62" w:rsidRDefault="00E85C62" w:rsidP="00E85C62">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85C62">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E85C62">
          <w:rPr>
            <w:rFonts w:ascii="Verdana" w:eastAsia="Calibri" w:hAnsi="Verdana" w:cs="Arial"/>
            <w:color w:val="0000FF"/>
            <w:u w:val="single"/>
            <w:shd w:val="clear" w:color="auto" w:fill="FFFFFF"/>
            <w:lang w:eastAsia="es-MX"/>
          </w:rPr>
          <w:t>https://relatoria.colombiacompra.gov.co/</w:t>
        </w:r>
      </w:hyperlink>
      <w:r w:rsidRPr="00E85C62">
        <w:rPr>
          <w:rFonts w:ascii="Verdana" w:eastAsia="Calibri" w:hAnsi="Verdana" w:cs="Arial"/>
          <w:color w:val="0000FF"/>
          <w:u w:val="single"/>
          <w:shd w:val="clear" w:color="auto" w:fill="FFFFFF"/>
          <w:lang w:eastAsia="es-MX"/>
        </w:rPr>
        <w:t> .</w:t>
      </w:r>
    </w:p>
    <w:p w14:paraId="36D272CD" w14:textId="77777777" w:rsidR="00E85C62" w:rsidRPr="00E85C62" w:rsidRDefault="00E85C62" w:rsidP="00E85C62">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0C5541C7" w14:textId="77777777" w:rsidR="007245FF" w:rsidRPr="00C52BEA" w:rsidRDefault="007245FF" w:rsidP="007245FF">
      <w:pPr>
        <w:spacing w:after="0" w:line="276" w:lineRule="auto"/>
        <w:jc w:val="both"/>
        <w:rPr>
          <w:rFonts w:ascii="Verdana" w:eastAsia="Aptos" w:hAnsi="Verdana" w:cs="Times New Roman"/>
        </w:rPr>
      </w:pPr>
      <w:r w:rsidRPr="00C52BEA">
        <w:rPr>
          <w:rFonts w:ascii="Verdana" w:eastAsia="Aptos" w:hAnsi="Verdana" w:cs="Times New Roman"/>
          <w:color w:val="000000"/>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52BEA">
        <w:rPr>
          <w:rFonts w:ascii="Verdana" w:eastAsia="Aptos" w:hAnsi="Verdana" w:cs="Times New Roman"/>
          <w:b/>
          <w:bCs/>
          <w:color w:val="000000"/>
        </w:rPr>
        <w:t>Guía para la Exigencia y Constitución de Garantías en los Procesos de Contratación</w:t>
      </w:r>
      <w:r w:rsidRPr="00C52BEA">
        <w:rPr>
          <w:rFonts w:ascii="Verdana" w:eastAsia="Aptos" w:hAnsi="Verdana" w:cs="Times New Roman"/>
          <w:color w:val="000000"/>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C52BEA">
          <w:rPr>
            <w:rFonts w:ascii="Verdana" w:eastAsia="Aptos" w:hAnsi="Verdana" w:cs="Times New Roman"/>
            <w:color w:val="0078D7"/>
            <w:u w:val="single"/>
          </w:rPr>
          <w:t>https://www.colombiacompra.gov.co/archivos/manual/guia-de-garantias-en-procesos-de-contratacion</w:t>
        </w:r>
      </w:hyperlink>
    </w:p>
    <w:p w14:paraId="3DC91B20" w14:textId="77777777" w:rsidR="007245FF" w:rsidRPr="00C52BEA" w:rsidRDefault="007245FF" w:rsidP="007245FF">
      <w:pPr>
        <w:spacing w:after="0" w:line="276" w:lineRule="auto"/>
        <w:jc w:val="both"/>
        <w:rPr>
          <w:rFonts w:ascii="Verdana" w:eastAsia="Aptos" w:hAnsi="Verdana" w:cs="Times New Roman"/>
        </w:rPr>
      </w:pPr>
    </w:p>
    <w:p w14:paraId="67227E6D" w14:textId="77777777" w:rsidR="007245FF" w:rsidRPr="00C52BEA" w:rsidRDefault="007245FF" w:rsidP="007245FF">
      <w:pPr>
        <w:spacing w:after="0" w:line="276" w:lineRule="auto"/>
        <w:jc w:val="both"/>
        <w:rPr>
          <w:rFonts w:ascii="Verdana" w:eastAsia="Aptos" w:hAnsi="Verdana" w:cs="Times New Roman"/>
        </w:rPr>
      </w:pPr>
      <w:r w:rsidRPr="00C52BEA">
        <w:rPr>
          <w:rFonts w:ascii="Verdana" w:eastAsia="Aptos" w:hAnsi="Verdana" w:cs="Times New Roman"/>
          <w:color w:val="000000"/>
        </w:rPr>
        <w:t>De otro lado, te contamos que el Decreto 287 del 19 de marzo de 2026 sustituyó los artículos 2.2.1.2.4.2.6., 2.2.1.2.4.2.7. y 2.2.1.2.4.2.8. del Decreto 1082 de 2015 y estructuró el </w:t>
      </w:r>
      <w:r w:rsidRPr="00C52BEA">
        <w:rPr>
          <w:rFonts w:ascii="Verdana" w:eastAsia="Aptos" w:hAnsi="Verdana" w:cs="Times New Roman"/>
          <w:b/>
          <w:bCs/>
          <w:color w:val="000000"/>
        </w:rPr>
        <w:t>Sistema Integral de Preferencias en favor de las personas con discapacidad</w:t>
      </w:r>
      <w:r w:rsidRPr="00C52BEA">
        <w:rPr>
          <w:rFonts w:ascii="Verdana" w:eastAsia="Aptos" w:hAnsi="Verdana" w:cs="Times New Roman"/>
          <w:color w:val="000000"/>
        </w:rPr>
        <w:t>, en cumplimiento del artículo 13 de la Ley Estatutaria 1618 de 2013. Para orientar su aplicación, esta Agencia expidió la </w:t>
      </w:r>
      <w:r w:rsidRPr="00C52BEA">
        <w:rPr>
          <w:rFonts w:ascii="Verdana" w:eastAsia="Aptos" w:hAnsi="Verdana" w:cs="Times New Roman"/>
          <w:b/>
          <w:bCs/>
          <w:color w:val="000000"/>
        </w:rPr>
        <w:t>Circular Externa 003 del 12 de mayo de 2026, </w:t>
      </w:r>
      <w:r w:rsidRPr="00C52BEA">
        <w:rPr>
          <w:rFonts w:ascii="Verdana" w:eastAsia="Aptos" w:hAnsi="Verdana" w:cs="Times New Roman"/>
          <w:color w:val="000000"/>
        </w:rPr>
        <w:t xml:space="preserve">en la que precisa quiénes son los beneficiarios, las cinco medidas que integran el sistema y su obligatoriedad según la modalidad de selección, y el régimen de transición aplicable a los procesos en curso. Consúltala </w:t>
      </w:r>
      <w:r w:rsidRPr="00C52BEA">
        <w:rPr>
          <w:rFonts w:ascii="Verdana" w:eastAsia="Aptos" w:hAnsi="Verdana" w:cs="Times New Roman"/>
          <w:color w:val="000000"/>
        </w:rPr>
        <w:lastRenderedPageBreak/>
        <w:t>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C52BEA">
          <w:rPr>
            <w:rFonts w:ascii="Verdana" w:eastAsia="Aptos" w:hAnsi="Verdana" w:cs="Times New Roman"/>
            <w:color w:val="0078D7"/>
            <w:u w:val="single"/>
          </w:rPr>
          <w:t>https://www.colombiacompra.gov.co/archivos/circular/circular-externa-003-de-2026</w:t>
        </w:r>
      </w:hyperlink>
    </w:p>
    <w:p w14:paraId="315919B4" w14:textId="77777777" w:rsidR="007245FF" w:rsidRPr="00C52BEA" w:rsidRDefault="007245FF" w:rsidP="007245FF">
      <w:pPr>
        <w:spacing w:after="0" w:line="276" w:lineRule="auto"/>
        <w:jc w:val="both"/>
        <w:rPr>
          <w:rFonts w:ascii="Verdana" w:eastAsia="Aptos" w:hAnsi="Verdana" w:cs="Times New Roman"/>
          <w:color w:val="000000"/>
        </w:rPr>
      </w:pPr>
    </w:p>
    <w:p w14:paraId="423BDCC4" w14:textId="77777777" w:rsidR="007245FF" w:rsidRPr="00C52BEA" w:rsidRDefault="007245FF" w:rsidP="007245FF">
      <w:pPr>
        <w:spacing w:after="0" w:line="276" w:lineRule="auto"/>
        <w:jc w:val="both"/>
        <w:rPr>
          <w:rFonts w:ascii="Verdana" w:eastAsia="Aptos" w:hAnsi="Verdana" w:cs="Times New Roman"/>
        </w:rPr>
      </w:pPr>
      <w:r w:rsidRPr="00C52BEA">
        <w:rPr>
          <w:rFonts w:ascii="Verdana" w:eastAsia="Aptos" w:hAnsi="Verdana" w:cs="Times New Roman"/>
          <w:color w:val="000000"/>
        </w:rPr>
        <w:t>Recuerda también que la</w:t>
      </w:r>
      <w:r w:rsidRPr="00C52BEA">
        <w:rPr>
          <w:rFonts w:ascii="Verdana" w:eastAsia="Aptos" w:hAnsi="Verdana" w:cs="Times New Roman"/>
          <w:b/>
          <w:bCs/>
          <w:color w:val="000000"/>
        </w:rPr>
        <w:t> información sobre sanciones e inhabilidades </w:t>
      </w:r>
      <w:r w:rsidRPr="00C52BEA">
        <w:rPr>
          <w:rFonts w:ascii="Verdana" w:eastAsia="Aptos" w:hAnsi="Verdana" w:cs="Times New Roman"/>
          <w:color w:val="000000"/>
        </w:rPr>
        <w:t>solo cumple su función preventiva si llega oportunamente a los registros públicos. Sobre este deber, esta Agencia expidió la </w:t>
      </w:r>
      <w:r w:rsidRPr="00C52BEA">
        <w:rPr>
          <w:rFonts w:ascii="Verdana" w:eastAsia="Aptos" w:hAnsi="Verdana" w:cs="Times New Roman"/>
          <w:b/>
          <w:bCs/>
          <w:color w:val="000000"/>
        </w:rPr>
        <w:t>Circular Externa 002 del 5 de mayo de 2026,</w:t>
      </w:r>
      <w:r w:rsidRPr="00C52BEA">
        <w:rPr>
          <w:rFonts w:ascii="Verdana" w:eastAsia="Aptos" w:hAnsi="Verdana" w:cs="Times New Roman"/>
          <w:color w:val="000000"/>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C52BEA">
          <w:rPr>
            <w:rFonts w:ascii="Verdana" w:eastAsia="Aptos" w:hAnsi="Verdana" w:cs="Times New Roman"/>
            <w:color w:val="0078D7"/>
            <w:u w:val="single"/>
          </w:rPr>
          <w:t>https://www.colombiacompra.gov.co/archivos/circular/circular-externa-002-de-2026</w:t>
        </w:r>
      </w:hyperlink>
    </w:p>
    <w:p w14:paraId="0D9124E5" w14:textId="77777777" w:rsidR="007245FF" w:rsidRPr="00C52BEA" w:rsidRDefault="007245FF" w:rsidP="007245FF">
      <w:pPr>
        <w:spacing w:after="0" w:line="276" w:lineRule="auto"/>
        <w:jc w:val="both"/>
        <w:rPr>
          <w:rFonts w:ascii="Verdana" w:eastAsia="Aptos" w:hAnsi="Verdana" w:cs="Times New Roman"/>
          <w:color w:val="000000"/>
        </w:rPr>
      </w:pPr>
    </w:p>
    <w:p w14:paraId="144128EE" w14:textId="77777777" w:rsidR="007245FF" w:rsidRPr="00C52BEA" w:rsidRDefault="007245FF" w:rsidP="007245FF">
      <w:pPr>
        <w:spacing w:after="0" w:line="276" w:lineRule="auto"/>
        <w:jc w:val="both"/>
        <w:rPr>
          <w:rFonts w:ascii="Verdana" w:eastAsia="Aptos" w:hAnsi="Verdana" w:cs="Times New Roman"/>
          <w:color w:val="000000"/>
        </w:rPr>
      </w:pPr>
      <w:r w:rsidRPr="00C52BEA">
        <w:rPr>
          <w:rFonts w:ascii="Verdana" w:eastAsia="Aptos" w:hAnsi="Verdana" w:cs="Times New Roman"/>
          <w:color w:val="000000"/>
        </w:rPr>
        <w:t>Finalmente, si quieres seguir de cerca la actividad de la Agencia, la tercera edición de 2026 del</w:t>
      </w:r>
      <w:r w:rsidRPr="00C52BEA">
        <w:rPr>
          <w:rFonts w:ascii="Verdana" w:eastAsia="Aptos" w:hAnsi="Verdana" w:cs="Times New Roman"/>
          <w:b/>
          <w:bCs/>
          <w:color w:val="000000"/>
        </w:rPr>
        <w:t> Radar de la Compra Pública</w:t>
      </w:r>
      <w:r w:rsidRPr="00C52BEA">
        <w:rPr>
          <w:rFonts w:ascii="Verdana" w:eastAsia="Aptos" w:hAnsi="Verdana" w:cs="Times New Roman"/>
          <w:color w:val="000000"/>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C52BEA">
          <w:rPr>
            <w:rFonts w:ascii="Verdana" w:eastAsia="Aptos" w:hAnsi="Verdana" w:cs="Times New Roman"/>
            <w:color w:val="0078D7"/>
            <w:u w:val="single"/>
          </w:rPr>
          <w:t>https://www.colombiacompra.gov.co/archivos/boletin/boletin-edicion-n-3-de-2026-radar-de-la-compra-publica</w:t>
        </w:r>
      </w:hyperlink>
      <w:r w:rsidRPr="00C52BEA">
        <w:rPr>
          <w:rFonts w:ascii="Verdana" w:eastAsia="Aptos" w:hAnsi="Verdana" w:cs="Times New Roman"/>
          <w:color w:val="000000"/>
        </w:rPr>
        <w:t>"</w:t>
      </w:r>
    </w:p>
    <w:p w14:paraId="22CBEDBB" w14:textId="77777777" w:rsidR="007245FF" w:rsidRPr="00C52BEA" w:rsidRDefault="007245FF" w:rsidP="007245FF">
      <w:pPr>
        <w:spacing w:after="0" w:line="276" w:lineRule="auto"/>
        <w:jc w:val="both"/>
        <w:rPr>
          <w:rFonts w:ascii="Verdana" w:eastAsia="Aptos" w:hAnsi="Verdana" w:cs="Times New Roman"/>
          <w:color w:val="000000"/>
        </w:rPr>
      </w:pPr>
    </w:p>
    <w:p w14:paraId="046BEC6A" w14:textId="77777777" w:rsidR="007245FF" w:rsidRPr="00C52BEA" w:rsidRDefault="007245FF" w:rsidP="007245FF">
      <w:pPr>
        <w:spacing w:after="0" w:line="276" w:lineRule="auto"/>
        <w:jc w:val="both"/>
        <w:rPr>
          <w:rFonts w:ascii="Verdana" w:eastAsia="Aptos" w:hAnsi="Verdana" w:cs="Times New Roman"/>
          <w:lang w:eastAsia="es-MX"/>
        </w:rPr>
      </w:pPr>
      <w:r w:rsidRPr="00C52BEA">
        <w:rPr>
          <w:rFonts w:ascii="Verdana" w:eastAsia="Aptos" w:hAnsi="Verdana" w:cs="Times New Roman"/>
          <w:lang w:eastAsia="es-MX"/>
        </w:rPr>
        <w:t xml:space="preserve">Por último, lo invitamos a seguirnos en las redes sociales en las cuales se difunde información institucional: </w:t>
      </w:r>
    </w:p>
    <w:p w14:paraId="3B594AF1" w14:textId="77777777" w:rsidR="007245FF" w:rsidRPr="00C52BEA" w:rsidRDefault="007245FF" w:rsidP="007245FF">
      <w:pPr>
        <w:spacing w:after="0" w:line="276" w:lineRule="auto"/>
        <w:jc w:val="both"/>
        <w:rPr>
          <w:rFonts w:ascii="Verdana" w:eastAsia="Calibri" w:hAnsi="Verdana" w:cs="Times New Roman"/>
          <w:lang w:eastAsia="es-MX"/>
        </w:rPr>
      </w:pPr>
    </w:p>
    <w:p w14:paraId="6B9CCE5F" w14:textId="77777777" w:rsidR="007245FF" w:rsidRPr="00C52BEA" w:rsidRDefault="007245FF" w:rsidP="007245FF">
      <w:pPr>
        <w:spacing w:after="0" w:line="276" w:lineRule="auto"/>
        <w:jc w:val="both"/>
        <w:rPr>
          <w:rFonts w:ascii="Verdana" w:eastAsia="Aptos" w:hAnsi="Verdana" w:cs="Times New Roman"/>
          <w:lang w:eastAsia="es-MX"/>
        </w:rPr>
      </w:pPr>
      <w:r w:rsidRPr="00C52BEA">
        <w:rPr>
          <w:rFonts w:ascii="Verdana" w:eastAsia="Aptos" w:hAnsi="Verdana" w:cs="Times New Roman"/>
          <w:lang w:eastAsia="es-MX"/>
        </w:rPr>
        <w:t xml:space="preserve">Twitter: </w:t>
      </w:r>
      <w:r w:rsidRPr="00C52BEA">
        <w:rPr>
          <w:rFonts w:ascii="Verdana" w:eastAsia="Calibri" w:hAnsi="Verdana" w:cs="Times New Roman"/>
          <w:color w:val="156082"/>
          <w:u w:val="single"/>
          <w:lang w:eastAsia="es-MX"/>
        </w:rPr>
        <w:t>@colombiacompra</w:t>
      </w:r>
      <w:r w:rsidRPr="00C52BEA">
        <w:rPr>
          <w:rFonts w:ascii="Verdana" w:eastAsia="Calibri" w:hAnsi="Verdana" w:cs="Times New Roman"/>
          <w:color w:val="156082"/>
          <w:lang w:eastAsia="es-MX"/>
        </w:rPr>
        <w:t xml:space="preserve"> </w:t>
      </w:r>
    </w:p>
    <w:p w14:paraId="79A61602" w14:textId="77777777" w:rsidR="007245FF" w:rsidRPr="00C52BEA" w:rsidRDefault="007245FF" w:rsidP="007245FF">
      <w:pPr>
        <w:spacing w:after="0" w:line="276" w:lineRule="auto"/>
        <w:jc w:val="both"/>
        <w:rPr>
          <w:rFonts w:ascii="Verdana" w:eastAsia="Aptos" w:hAnsi="Verdana" w:cs="Times New Roman"/>
          <w:lang w:eastAsia="es-MX"/>
        </w:rPr>
      </w:pPr>
      <w:r w:rsidRPr="00C52BEA">
        <w:rPr>
          <w:rFonts w:ascii="Verdana" w:eastAsia="Aptos" w:hAnsi="Verdana" w:cs="Times New Roman"/>
          <w:lang w:eastAsia="es-MX"/>
        </w:rPr>
        <w:t xml:space="preserve">Facebook: </w:t>
      </w:r>
      <w:proofErr w:type="spellStart"/>
      <w:r w:rsidRPr="00C52BEA">
        <w:rPr>
          <w:rFonts w:ascii="Verdana" w:eastAsia="Calibri" w:hAnsi="Verdana" w:cs="Times New Roman"/>
          <w:color w:val="156082"/>
          <w:u w:val="single"/>
          <w:lang w:eastAsia="es-MX"/>
        </w:rPr>
        <w:t>ColombiaCompraEficiente</w:t>
      </w:r>
      <w:proofErr w:type="spellEnd"/>
    </w:p>
    <w:p w14:paraId="73A74289" w14:textId="77777777" w:rsidR="007245FF" w:rsidRPr="00C52BEA" w:rsidRDefault="007245FF" w:rsidP="007245FF">
      <w:pPr>
        <w:spacing w:after="0" w:line="276" w:lineRule="auto"/>
        <w:jc w:val="both"/>
        <w:rPr>
          <w:rFonts w:ascii="Verdana" w:eastAsia="Aptos" w:hAnsi="Verdana" w:cs="Times New Roman"/>
          <w:lang w:eastAsia="es-MX"/>
        </w:rPr>
      </w:pPr>
      <w:r w:rsidRPr="00C52BEA">
        <w:rPr>
          <w:rFonts w:ascii="Verdana" w:eastAsia="Aptos" w:hAnsi="Verdana" w:cs="Times New Roman"/>
          <w:lang w:eastAsia="es-MX"/>
        </w:rPr>
        <w:t xml:space="preserve">LinkedIn: </w:t>
      </w:r>
      <w:r w:rsidRPr="00C52BEA">
        <w:rPr>
          <w:rFonts w:ascii="Verdana" w:eastAsia="Calibri" w:hAnsi="Verdana" w:cs="Times New Roman"/>
          <w:color w:val="156082"/>
          <w:u w:val="single"/>
          <w:lang w:eastAsia="es-MX"/>
        </w:rPr>
        <w:t>Agencia Nacional de Contratación Pública - Colombia Compra Eficiente</w:t>
      </w:r>
      <w:r w:rsidRPr="00C52BEA">
        <w:rPr>
          <w:rFonts w:ascii="Verdana" w:eastAsia="Calibri" w:hAnsi="Verdana" w:cs="Times New Roman"/>
          <w:color w:val="156082"/>
          <w:lang w:eastAsia="es-MX"/>
        </w:rPr>
        <w:t xml:space="preserve"> </w:t>
      </w:r>
      <w:r w:rsidRPr="00C52BEA">
        <w:rPr>
          <w:rFonts w:ascii="Verdana" w:eastAsia="Aptos" w:hAnsi="Verdana" w:cs="Times New Roman"/>
          <w:lang w:eastAsia="es-MX"/>
        </w:rPr>
        <w:t xml:space="preserve">Instagram: </w:t>
      </w:r>
      <w:r w:rsidRPr="00C52BEA">
        <w:rPr>
          <w:rFonts w:ascii="Verdana" w:eastAsia="Calibri" w:hAnsi="Verdana" w:cs="Times New Roman"/>
          <w:color w:val="156082"/>
          <w:u w:val="single"/>
          <w:lang w:eastAsia="es-MX"/>
        </w:rPr>
        <w:t>@colombiacompraeficiente_cce</w:t>
      </w:r>
    </w:p>
    <w:p w14:paraId="72B06CB0" w14:textId="77777777" w:rsidR="007245FF" w:rsidRPr="00C52BEA" w:rsidRDefault="007245FF" w:rsidP="007245FF">
      <w:pPr>
        <w:spacing w:after="0" w:line="276" w:lineRule="auto"/>
        <w:jc w:val="both"/>
        <w:rPr>
          <w:rFonts w:ascii="Verdana" w:eastAsia="Aptos" w:hAnsi="Verdana" w:cs="Times New Roman"/>
          <w:lang w:eastAsia="es-MX"/>
        </w:rPr>
      </w:pPr>
    </w:p>
    <w:p w14:paraId="7546A3EE" w14:textId="77777777" w:rsidR="007245FF" w:rsidRPr="00C52BEA" w:rsidRDefault="007245FF" w:rsidP="007245FF">
      <w:pPr>
        <w:spacing w:after="0" w:line="276" w:lineRule="auto"/>
        <w:jc w:val="both"/>
        <w:rPr>
          <w:rFonts w:ascii="Verdana" w:eastAsia="Calibri" w:hAnsi="Verdana" w:cs="Times New Roman"/>
          <w:bCs/>
          <w:lang w:val="es-ES_tradnl" w:eastAsia="es-MX"/>
        </w:rPr>
      </w:pPr>
      <w:r w:rsidRPr="00C52BEA">
        <w:rPr>
          <w:rFonts w:ascii="Verdana" w:eastAsia="Calibri" w:hAnsi="Verdana" w:cs="Times New Roman"/>
          <w:lang w:val="es-ES_tradnl" w:eastAsia="es-MX"/>
        </w:rPr>
        <w:t xml:space="preserve">Este concepto tiene el alcance previsto en el artículo 28 del Código de Procedimiento Administrativo y de lo Contencioso Administrativo y las </w:t>
      </w:r>
      <w:r w:rsidRPr="00C52BEA">
        <w:rPr>
          <w:rFonts w:ascii="Verdana" w:eastAsia="Calibri" w:hAnsi="Verdana" w:cs="Times New Roman"/>
          <w:lang w:val="es-ES_tradnl" w:eastAsia="es-MX"/>
        </w:rPr>
        <w:lastRenderedPageBreak/>
        <w:t>expresiones utilizadas con mayúscula inicial deben ser entendidas con el significado que les otorga el artículo 2.2.1.1.1.3.1 del Decreto 1082 de 2015.</w:t>
      </w:r>
    </w:p>
    <w:p w14:paraId="320BD560" w14:textId="77777777" w:rsidR="007245FF" w:rsidRPr="00C52BEA" w:rsidRDefault="007245FF" w:rsidP="007245FF">
      <w:pPr>
        <w:spacing w:after="0" w:line="276" w:lineRule="auto"/>
        <w:jc w:val="both"/>
        <w:rPr>
          <w:rFonts w:ascii="Verdana" w:eastAsia="Calibri" w:hAnsi="Verdana" w:cs="Times New Roman"/>
          <w:lang w:eastAsia="es-MX"/>
        </w:rPr>
      </w:pPr>
    </w:p>
    <w:p w14:paraId="0B059DB8" w14:textId="1FEEDEAC" w:rsidR="007245FF" w:rsidRPr="00C52BEA" w:rsidRDefault="007245FF" w:rsidP="007245FF">
      <w:pPr>
        <w:spacing w:after="0" w:line="276" w:lineRule="auto"/>
        <w:jc w:val="both"/>
        <w:rPr>
          <w:rFonts w:ascii="Verdana" w:eastAsia="Calibri" w:hAnsi="Verdana" w:cs="Times New Roman"/>
          <w:lang w:eastAsia="es-MX"/>
        </w:rPr>
      </w:pPr>
      <w:r w:rsidRPr="00C52BEA">
        <w:rPr>
          <w:rFonts w:ascii="Verdana" w:eastAsia="Calibri" w:hAnsi="Verdana" w:cs="Times New Roman"/>
          <w:lang w:eastAsia="es-MX"/>
        </w:rPr>
        <w:t>Atentamente,</w:t>
      </w:r>
    </w:p>
    <w:p w14:paraId="6E7496BF" w14:textId="29E1297A" w:rsidR="00E85C62" w:rsidRDefault="00F716A0" w:rsidP="00E85C62">
      <w:pPr>
        <w:tabs>
          <w:tab w:val="left" w:pos="1320"/>
        </w:tabs>
        <w:spacing w:after="0"/>
        <w:jc w:val="center"/>
        <w:rPr>
          <w:rFonts w:ascii="Century Gothic" w:eastAsia="Calibri" w:hAnsi="Century Gothic" w:cs="Times New Roman"/>
          <w:lang w:eastAsia="es-MX"/>
        </w:rPr>
      </w:pPr>
      <w:r>
        <w:rPr>
          <w:rFonts w:ascii="Century Gothic" w:eastAsia="Calibri" w:hAnsi="Century Gothic" w:cs="Times New Roman"/>
          <w:noProof/>
          <w:lang w:eastAsia="es-MX"/>
        </w:rPr>
        <w:drawing>
          <wp:anchor distT="0" distB="0" distL="114300" distR="114300" simplePos="0" relativeHeight="251659264" behindDoc="0" locked="0" layoutInCell="1" allowOverlap="1" wp14:anchorId="2E2D1F95" wp14:editId="4156ED40">
            <wp:simplePos x="0" y="0"/>
            <wp:positionH relativeFrom="margin">
              <wp:align>center</wp:align>
            </wp:positionH>
            <wp:positionV relativeFrom="paragraph">
              <wp:posOffset>7951</wp:posOffset>
            </wp:positionV>
            <wp:extent cx="3771900" cy="1400175"/>
            <wp:effectExtent l="0" t="0" r="0" b="9525"/>
            <wp:wrapSquare wrapText="bothSides"/>
            <wp:docPr id="10512977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97718" name="Imagen 1051297718"/>
                    <pic:cNvPicPr/>
                  </pic:nvPicPr>
                  <pic:blipFill>
                    <a:blip r:embed="rId18">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6DAC652B" w14:textId="77777777" w:rsidR="00E85C62" w:rsidRDefault="00E85C62" w:rsidP="00E85C62">
      <w:pPr>
        <w:tabs>
          <w:tab w:val="left" w:pos="1320"/>
        </w:tabs>
        <w:spacing w:after="0"/>
        <w:jc w:val="center"/>
        <w:rPr>
          <w:rFonts w:ascii="Century Gothic" w:eastAsia="Calibri" w:hAnsi="Century Gothic" w:cs="Times New Roman"/>
          <w:lang w:eastAsia="es-MX"/>
        </w:rPr>
      </w:pPr>
    </w:p>
    <w:p w14:paraId="10763B45" w14:textId="77777777" w:rsidR="00E85C62" w:rsidRPr="00E85C62" w:rsidRDefault="00E85C62" w:rsidP="00E85C62">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85C62" w:rsidRPr="00E85C62" w14:paraId="3004220F" w14:textId="77777777" w:rsidTr="009E3879">
        <w:trPr>
          <w:trHeight w:val="323"/>
        </w:trPr>
        <w:tc>
          <w:tcPr>
            <w:tcW w:w="1041" w:type="dxa"/>
            <w:vAlign w:val="center"/>
            <w:hideMark/>
          </w:tcPr>
          <w:p w14:paraId="09C7FEF2" w14:textId="77777777" w:rsidR="00E85C62" w:rsidRPr="00E85C62" w:rsidRDefault="00E85C62" w:rsidP="00E85C62">
            <w:pPr>
              <w:rPr>
                <w:rFonts w:ascii="Verdana" w:eastAsia="Calibri" w:hAnsi="Verdana" w:cs="Arial"/>
                <w:sz w:val="16"/>
                <w:szCs w:val="16"/>
                <w:lang w:val="es-ES_tradnl" w:eastAsia="es-ES"/>
              </w:rPr>
            </w:pPr>
            <w:r w:rsidRPr="00E85C62">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88C506C" w14:textId="77777777" w:rsidR="00E85C62" w:rsidRPr="00E85C62" w:rsidRDefault="00E85C62" w:rsidP="00E85C62">
            <w:pPr>
              <w:rPr>
                <w:rFonts w:ascii="Verdana" w:eastAsia="Arial" w:hAnsi="Verdana" w:cs="Arial"/>
                <w:sz w:val="16"/>
                <w:szCs w:val="16"/>
                <w:lang w:val="es-ES" w:eastAsia="es-MX"/>
              </w:rPr>
            </w:pPr>
            <w:r w:rsidRPr="00E85C62">
              <w:rPr>
                <w:rFonts w:ascii="Verdana" w:eastAsia="Arial" w:hAnsi="Verdana" w:cs="Arial"/>
                <w:sz w:val="16"/>
                <w:szCs w:val="16"/>
                <w:lang w:val="es-ES" w:eastAsia="es-MX"/>
              </w:rPr>
              <w:t xml:space="preserve">Carlos Mario Castrillón Endo </w:t>
            </w:r>
          </w:p>
          <w:p w14:paraId="19F61627" w14:textId="77777777" w:rsidR="00E85C62" w:rsidRPr="00E85C62" w:rsidRDefault="00E85C62" w:rsidP="00E85C62">
            <w:pPr>
              <w:rPr>
                <w:rFonts w:ascii="Verdana" w:eastAsia="Arial" w:hAnsi="Verdana" w:cs="Arial"/>
                <w:sz w:val="16"/>
                <w:szCs w:val="16"/>
                <w:lang w:val="es-ES_tradnl" w:eastAsia="es-MX"/>
              </w:rPr>
            </w:pPr>
            <w:r w:rsidRPr="00E85C62">
              <w:rPr>
                <w:rFonts w:ascii="Verdana" w:eastAsia="Arial" w:hAnsi="Verdana" w:cs="Arial"/>
                <w:sz w:val="16"/>
                <w:szCs w:val="16"/>
                <w:lang w:val="es-ES_tradnl" w:eastAsia="es-MX"/>
              </w:rPr>
              <w:t>Contratista de la Subdirección de Gestión Contractual</w:t>
            </w:r>
          </w:p>
          <w:p w14:paraId="10BCA49F" w14:textId="77777777" w:rsidR="00E85C62" w:rsidRPr="00E85C62" w:rsidRDefault="00E85C62" w:rsidP="00E85C62">
            <w:pPr>
              <w:rPr>
                <w:rFonts w:ascii="Verdana" w:eastAsia="Arial" w:hAnsi="Verdana" w:cs="Arial"/>
                <w:sz w:val="16"/>
                <w:szCs w:val="16"/>
                <w:lang w:val="es-ES_tradnl" w:eastAsia="es-MX"/>
              </w:rPr>
            </w:pPr>
          </w:p>
        </w:tc>
      </w:tr>
      <w:tr w:rsidR="00E85C62" w:rsidRPr="00E85C62" w14:paraId="356C8F42" w14:textId="77777777" w:rsidTr="009E3879">
        <w:trPr>
          <w:trHeight w:val="338"/>
        </w:trPr>
        <w:tc>
          <w:tcPr>
            <w:tcW w:w="1041" w:type="dxa"/>
            <w:vAlign w:val="center"/>
            <w:hideMark/>
          </w:tcPr>
          <w:p w14:paraId="299B5911" w14:textId="77777777" w:rsidR="00E85C62" w:rsidRPr="00E85C62" w:rsidRDefault="00E85C62" w:rsidP="00E85C62">
            <w:pPr>
              <w:rPr>
                <w:rFonts w:ascii="Verdana" w:eastAsia="Calibri" w:hAnsi="Verdana" w:cs="Arial"/>
                <w:sz w:val="16"/>
                <w:szCs w:val="16"/>
                <w:lang w:val="es-ES_tradnl" w:eastAsia="es-ES"/>
              </w:rPr>
            </w:pPr>
            <w:r w:rsidRPr="00E85C62">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D997A5C" w14:textId="3FAF6D18" w:rsidR="00E85C62" w:rsidRDefault="00E85C62" w:rsidP="00E85C62">
            <w:pPr>
              <w:rPr>
                <w:rFonts w:ascii="Verdana" w:eastAsia="Arial" w:hAnsi="Verdana" w:cs="Arial"/>
                <w:sz w:val="16"/>
                <w:szCs w:val="16"/>
                <w:lang w:val="es-ES_tradnl" w:eastAsia="es-MX"/>
              </w:rPr>
            </w:pPr>
            <w:r>
              <w:rPr>
                <w:rFonts w:ascii="Verdana" w:eastAsia="Arial" w:hAnsi="Verdana" w:cs="Arial"/>
                <w:sz w:val="16"/>
                <w:szCs w:val="16"/>
                <w:lang w:val="es-ES_tradnl" w:eastAsia="es-MX"/>
              </w:rPr>
              <w:t>Alejandro Gambo Cárdenas</w:t>
            </w:r>
          </w:p>
          <w:p w14:paraId="76F0EE3E" w14:textId="50D60563" w:rsidR="00E85C62" w:rsidRPr="00E85C62" w:rsidRDefault="00E85C62" w:rsidP="00E85C62">
            <w:pPr>
              <w:rPr>
                <w:rFonts w:ascii="Verdana" w:eastAsia="Arial" w:hAnsi="Verdana" w:cs="Arial"/>
                <w:sz w:val="16"/>
                <w:szCs w:val="16"/>
                <w:lang w:val="es-ES" w:eastAsia="es-MX"/>
              </w:rPr>
            </w:pPr>
            <w:r w:rsidRPr="00E85C62">
              <w:rPr>
                <w:rFonts w:ascii="Verdana" w:eastAsia="Arial" w:hAnsi="Verdana" w:cs="Arial"/>
                <w:sz w:val="16"/>
                <w:szCs w:val="16"/>
                <w:lang w:val="es-ES_tradnl" w:eastAsia="es-MX"/>
              </w:rPr>
              <w:t>Contratista de la Subdirección de Gestión Contractual</w:t>
            </w:r>
          </w:p>
          <w:p w14:paraId="4FFD3239" w14:textId="724E9E12" w:rsidR="00E85C62" w:rsidRDefault="00E85C62" w:rsidP="00E85C62">
            <w:pPr>
              <w:rPr>
                <w:rFonts w:ascii="Verdana" w:eastAsia="Arial" w:hAnsi="Verdana" w:cs="Arial"/>
                <w:sz w:val="16"/>
                <w:szCs w:val="16"/>
                <w:lang w:val="es-ES_tradnl" w:eastAsia="es-MX"/>
              </w:rPr>
            </w:pPr>
            <w:r>
              <w:rPr>
                <w:rFonts w:ascii="Verdana" w:eastAsia="Arial" w:hAnsi="Verdana" w:cs="Arial"/>
                <w:sz w:val="16"/>
                <w:szCs w:val="16"/>
                <w:lang w:val="es-ES_tradnl" w:eastAsia="es-MX"/>
              </w:rPr>
              <w:t>Adriana Katherine López Rodriguéz</w:t>
            </w:r>
          </w:p>
          <w:p w14:paraId="11F9C0F7" w14:textId="68826872" w:rsidR="00E85C62" w:rsidRPr="00E85C62" w:rsidRDefault="00E85C62" w:rsidP="00E85C62">
            <w:pPr>
              <w:rPr>
                <w:rFonts w:ascii="Verdana" w:eastAsia="Arial" w:hAnsi="Verdana" w:cs="Arial"/>
                <w:sz w:val="16"/>
                <w:szCs w:val="16"/>
                <w:lang w:val="es-ES" w:eastAsia="es-MX"/>
              </w:rPr>
            </w:pPr>
            <w:r w:rsidRPr="00E85C62">
              <w:rPr>
                <w:rFonts w:ascii="Verdana" w:eastAsia="Arial" w:hAnsi="Verdana" w:cs="Arial"/>
                <w:sz w:val="16"/>
                <w:szCs w:val="16"/>
                <w:lang w:val="es-ES_tradnl" w:eastAsia="es-MX"/>
              </w:rPr>
              <w:t>Contratista de la Subdirección de Gestión Contractual</w:t>
            </w:r>
          </w:p>
        </w:tc>
      </w:tr>
      <w:tr w:rsidR="00E85C62" w:rsidRPr="00E85C62" w14:paraId="2AA6016B" w14:textId="77777777" w:rsidTr="009E3879">
        <w:trPr>
          <w:trHeight w:val="308"/>
        </w:trPr>
        <w:tc>
          <w:tcPr>
            <w:tcW w:w="1041" w:type="dxa"/>
            <w:vAlign w:val="center"/>
          </w:tcPr>
          <w:p w14:paraId="20C0B46A" w14:textId="77777777" w:rsidR="00E85C62" w:rsidRPr="00E85C62" w:rsidRDefault="00E85C62" w:rsidP="00E85C62">
            <w:pPr>
              <w:rPr>
                <w:rFonts w:ascii="Verdana" w:eastAsia="Calibri" w:hAnsi="Verdana" w:cs="Arial"/>
                <w:sz w:val="16"/>
                <w:szCs w:val="16"/>
                <w:lang w:val="es-ES_tradnl" w:eastAsia="es-ES"/>
              </w:rPr>
            </w:pPr>
            <w:r w:rsidRPr="00E85C62">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BD60D64" w14:textId="77777777" w:rsidR="00E85C62" w:rsidRPr="00E85C62" w:rsidRDefault="00E85C62" w:rsidP="00E85C62">
            <w:pPr>
              <w:rPr>
                <w:rFonts w:ascii="Verdana" w:eastAsia="Calibri" w:hAnsi="Verdana" w:cs="Arial"/>
                <w:sz w:val="16"/>
                <w:szCs w:val="16"/>
                <w:lang w:val="es-ES" w:eastAsia="es-ES"/>
              </w:rPr>
            </w:pPr>
            <w:r w:rsidRPr="00E85C62">
              <w:rPr>
                <w:rFonts w:ascii="Verdana" w:eastAsia="Calibri" w:hAnsi="Verdana" w:cs="Arial"/>
                <w:sz w:val="16"/>
                <w:szCs w:val="16"/>
                <w:lang w:val="es-ES" w:eastAsia="es-ES"/>
              </w:rPr>
              <w:t>Carolina Quintero Gacharná</w:t>
            </w:r>
          </w:p>
          <w:p w14:paraId="7DCC88B8" w14:textId="77777777" w:rsidR="00E85C62" w:rsidRPr="00E85C62" w:rsidRDefault="00E85C62" w:rsidP="00E85C62">
            <w:pPr>
              <w:rPr>
                <w:rFonts w:ascii="Verdana" w:eastAsia="Calibri" w:hAnsi="Verdana" w:cs="Arial"/>
                <w:sz w:val="16"/>
                <w:szCs w:val="16"/>
                <w:lang w:val="es-ES_tradnl" w:eastAsia="es-ES"/>
              </w:rPr>
            </w:pPr>
            <w:r w:rsidRPr="00E85C62">
              <w:rPr>
                <w:rFonts w:ascii="Verdana" w:eastAsia="Calibri" w:hAnsi="Verdana" w:cs="Arial"/>
                <w:sz w:val="16"/>
                <w:szCs w:val="16"/>
                <w:lang w:val="es-ES_tradnl" w:eastAsia="es-ES"/>
              </w:rPr>
              <w:t>Subdirectora de Gestión Contractual ANCP – CCE</w:t>
            </w:r>
          </w:p>
        </w:tc>
      </w:tr>
    </w:tbl>
    <w:p w14:paraId="1006A388" w14:textId="77777777" w:rsidR="00C15139" w:rsidRPr="00C06EDE" w:rsidRDefault="00C15139" w:rsidP="00C06EDE">
      <w:pPr>
        <w:spacing w:after="0" w:line="240" w:lineRule="auto"/>
        <w:textAlignment w:val="baseline"/>
        <w:rPr>
          <w:rFonts w:ascii="Aptos" w:eastAsia="Aptos" w:hAnsi="Aptos" w:cs="Times New Roman"/>
          <w:kern w:val="2"/>
          <w:sz w:val="24"/>
          <w:szCs w:val="24"/>
          <w14:ligatures w14:val="standardContextual"/>
        </w:rPr>
      </w:pPr>
    </w:p>
    <w:p w14:paraId="69BC4D14" w14:textId="7416C90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7F3D6" w14:textId="77777777" w:rsidR="003B0979" w:rsidRDefault="003B0979" w:rsidP="004A1847">
      <w:pPr>
        <w:spacing w:after="0" w:line="240" w:lineRule="auto"/>
      </w:pPr>
      <w:r>
        <w:separator/>
      </w:r>
    </w:p>
  </w:endnote>
  <w:endnote w:type="continuationSeparator" w:id="0">
    <w:p w14:paraId="226F8E2E" w14:textId="77777777" w:rsidR="003B0979" w:rsidRDefault="003B0979" w:rsidP="004A1847">
      <w:pPr>
        <w:spacing w:after="0" w:line="240" w:lineRule="auto"/>
      </w:pPr>
      <w:r>
        <w:continuationSeparator/>
      </w:r>
    </w:p>
  </w:endnote>
  <w:endnote w:type="continuationNotice" w:id="1">
    <w:p w14:paraId="34A13168" w14:textId="77777777" w:rsidR="003B0979" w:rsidRDefault="003B09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777A5B6F" w14:textId="77777777" w:rsidR="00530857" w:rsidRDefault="0053085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8F639" w14:textId="77777777" w:rsidR="003B0979" w:rsidRDefault="003B0979" w:rsidP="004A1847">
      <w:pPr>
        <w:spacing w:after="0" w:line="240" w:lineRule="auto"/>
      </w:pPr>
      <w:r>
        <w:separator/>
      </w:r>
    </w:p>
  </w:footnote>
  <w:footnote w:type="continuationSeparator" w:id="0">
    <w:p w14:paraId="1EAAAC18" w14:textId="77777777" w:rsidR="003B0979" w:rsidRDefault="003B0979" w:rsidP="004A1847">
      <w:pPr>
        <w:spacing w:after="0" w:line="240" w:lineRule="auto"/>
      </w:pPr>
      <w:r>
        <w:continuationSeparator/>
      </w:r>
    </w:p>
  </w:footnote>
  <w:footnote w:type="continuationNotice" w:id="1">
    <w:p w14:paraId="47C5CF7C" w14:textId="77777777" w:rsidR="003B0979" w:rsidRDefault="003B0979">
      <w:pPr>
        <w:spacing w:after="0" w:line="240" w:lineRule="auto"/>
      </w:pPr>
    </w:p>
  </w:footnote>
  <w:footnote w:id="2">
    <w:p w14:paraId="06826415" w14:textId="77777777" w:rsidR="00E85C62" w:rsidRPr="00144357" w:rsidRDefault="00E85C62" w:rsidP="00E85C62">
      <w:pPr>
        <w:pStyle w:val="Textonotapie"/>
        <w:snapToGrid w:val="0"/>
        <w:ind w:firstLine="709"/>
        <w:jc w:val="both"/>
        <w:rPr>
          <w:rFonts w:ascii="Verdana" w:eastAsia="Calibri" w:hAnsi="Verdana" w:cs="Arial"/>
          <w:color w:val="000000"/>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w:t>
      </w:r>
      <w:r w:rsidRPr="00144357">
        <w:rPr>
          <w:rFonts w:ascii="Verdana" w:hAnsi="Verdana" w:cs="Arial"/>
          <w:color w:val="000000"/>
          <w:sz w:val="18"/>
          <w:szCs w:val="18"/>
        </w:rPr>
        <w:t>Consejo de Estado. Sección Tercera. Sentencia del 06 de junio de 2007. Radicación No. 25000-23-26-000-1996-02482-01(17.253). Consejera Ponente: Ruth Stella Correa Palacio.</w:t>
      </w:r>
    </w:p>
    <w:p w14:paraId="53462BC1" w14:textId="77777777" w:rsidR="00E85C62" w:rsidRPr="00144357" w:rsidRDefault="00E85C62" w:rsidP="00E85C62">
      <w:pPr>
        <w:pStyle w:val="Textonotapie"/>
        <w:snapToGrid w:val="0"/>
        <w:ind w:firstLine="709"/>
        <w:jc w:val="both"/>
        <w:rPr>
          <w:rFonts w:ascii="Verdana" w:hAnsi="Verdana" w:cs="Arial"/>
          <w:sz w:val="18"/>
          <w:szCs w:val="18"/>
          <w:lang w:val="es-CO"/>
        </w:rPr>
      </w:pPr>
    </w:p>
  </w:footnote>
  <w:footnote w:id="3">
    <w:p w14:paraId="460978CF" w14:textId="77777777" w:rsidR="00E85C62" w:rsidRPr="00144357" w:rsidRDefault="00E85C62" w:rsidP="00E85C62">
      <w:pPr>
        <w:pStyle w:val="Textonotapie"/>
        <w:ind w:firstLine="709"/>
        <w:jc w:val="both"/>
        <w:rPr>
          <w:rFonts w:ascii="Verdana" w:hAnsi="Verdana" w:cs="Arial"/>
          <w:sz w:val="18"/>
          <w:szCs w:val="18"/>
        </w:rPr>
      </w:pPr>
      <w:r w:rsidRPr="00144357">
        <w:rPr>
          <w:rStyle w:val="Refdenotaalpie"/>
          <w:rFonts w:ascii="Verdana" w:hAnsi="Verdana"/>
          <w:sz w:val="18"/>
          <w:szCs w:val="18"/>
        </w:rPr>
        <w:footnoteRef/>
      </w:r>
      <w:r w:rsidRPr="00144357">
        <w:rPr>
          <w:rFonts w:ascii="Verdana" w:hAnsi="Verdana"/>
          <w:sz w:val="18"/>
          <w:szCs w:val="18"/>
        </w:rPr>
        <w:t xml:space="preserve"> </w:t>
      </w:r>
      <w:r w:rsidRPr="00144357">
        <w:rPr>
          <w:rFonts w:ascii="Verdana" w:hAnsi="Verdana" w:cs="Arial"/>
          <w:sz w:val="18"/>
          <w:szCs w:val="18"/>
        </w:rPr>
        <w:t>Consejo de Estado, Sección Cuarta, de fecha 16 de septiembre de 2010. Consejera Ponente: CP. Carmen Teresa Ortiz Exp. 16605.</w:t>
      </w:r>
    </w:p>
    <w:p w14:paraId="746C740A" w14:textId="77777777" w:rsidR="00E85C62" w:rsidRPr="00144357" w:rsidRDefault="00E85C62" w:rsidP="00E85C62">
      <w:pPr>
        <w:pStyle w:val="Textonotapie"/>
        <w:ind w:firstLine="709"/>
        <w:jc w:val="both"/>
        <w:rPr>
          <w:rFonts w:ascii="Verdana" w:hAnsi="Verdana"/>
          <w:sz w:val="18"/>
          <w:szCs w:val="18"/>
          <w:lang w:val="es-CO"/>
        </w:rPr>
      </w:pPr>
    </w:p>
  </w:footnote>
  <w:footnote w:id="4">
    <w:p w14:paraId="7FAC9179" w14:textId="77777777" w:rsidR="00E85C62" w:rsidRPr="00144357" w:rsidRDefault="00E85C62" w:rsidP="00E85C62">
      <w:pPr>
        <w:pStyle w:val="Textonotapie"/>
        <w:snapToGrid w:val="0"/>
        <w:ind w:firstLine="709"/>
        <w:jc w:val="both"/>
        <w:rPr>
          <w:rFonts w:ascii="Verdana" w:hAnsi="Verdana" w:cs="Arial"/>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w:t>
      </w:r>
      <w:r w:rsidRPr="00144357">
        <w:rPr>
          <w:rFonts w:ascii="Verdana" w:hAnsi="Verdana" w:cs="Arial"/>
          <w:color w:val="000000"/>
          <w:sz w:val="18"/>
          <w:szCs w:val="18"/>
        </w:rPr>
        <w:t>Consejo de Estado, Sala de Consulta y Servicio Civil, Concepto de 7 febrero de 1997, Rad. 934, C. P. Javier Henao Hidrón.</w:t>
      </w:r>
      <w:r w:rsidRPr="00144357">
        <w:rPr>
          <w:rFonts w:ascii="Verdana" w:hAnsi="Verdana" w:cs="Arial"/>
          <w:sz w:val="18"/>
          <w:szCs w:val="18"/>
        </w:rPr>
        <w:t xml:space="preserve"> </w:t>
      </w:r>
    </w:p>
    <w:p w14:paraId="1A55DA1A" w14:textId="77777777" w:rsidR="00E85C62" w:rsidRPr="00144357" w:rsidRDefault="00E85C62" w:rsidP="00E85C62">
      <w:pPr>
        <w:pStyle w:val="Textonotapie"/>
        <w:snapToGrid w:val="0"/>
        <w:ind w:firstLine="709"/>
        <w:jc w:val="both"/>
        <w:rPr>
          <w:rFonts w:ascii="Verdana" w:hAnsi="Verdana" w:cs="Arial"/>
          <w:sz w:val="18"/>
          <w:szCs w:val="18"/>
          <w:lang w:val="es-CO"/>
        </w:rPr>
      </w:pPr>
      <w:r w:rsidRPr="00144357">
        <w:rPr>
          <w:rFonts w:ascii="Verdana" w:hAnsi="Verdana" w:cs="Arial"/>
          <w:sz w:val="18"/>
          <w:szCs w:val="18"/>
        </w:rPr>
        <w:t xml:space="preserve"> </w:t>
      </w:r>
    </w:p>
  </w:footnote>
  <w:footnote w:id="5">
    <w:p w14:paraId="6A9CD6C2" w14:textId="77777777" w:rsidR="00E85C62" w:rsidRPr="00144357" w:rsidRDefault="00E85C62" w:rsidP="00E85C62">
      <w:pPr>
        <w:pStyle w:val="Textonotapie"/>
        <w:ind w:firstLine="709"/>
        <w:jc w:val="both"/>
        <w:rPr>
          <w:rFonts w:ascii="Verdana" w:hAnsi="Verdana" w:cs="Arial"/>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Consejo de Estado, Sala de Consulta y Servicio Civil en concepto 2298 del 8 de marzo de 2017. Consejero Ponente: Edgar González López.</w:t>
      </w:r>
    </w:p>
    <w:p w14:paraId="1DE7BCFA" w14:textId="77777777" w:rsidR="00E85C62" w:rsidRPr="00144357" w:rsidRDefault="00E85C62" w:rsidP="00E85C62">
      <w:pPr>
        <w:pStyle w:val="Textonotapie"/>
        <w:ind w:firstLine="709"/>
        <w:jc w:val="both"/>
        <w:rPr>
          <w:rFonts w:ascii="Verdana" w:hAnsi="Verdana" w:cs="Arial"/>
          <w:sz w:val="18"/>
          <w:szCs w:val="18"/>
        </w:rPr>
      </w:pPr>
    </w:p>
  </w:footnote>
  <w:footnote w:id="6">
    <w:p w14:paraId="5E4976E5" w14:textId="77777777" w:rsidR="00E85C62" w:rsidRPr="00144357" w:rsidRDefault="00E85C62" w:rsidP="00E85C62">
      <w:pPr>
        <w:pStyle w:val="Textonotapie"/>
        <w:ind w:firstLine="708"/>
        <w:jc w:val="both"/>
        <w:rPr>
          <w:rFonts w:ascii="Verdana" w:hAnsi="Verdana" w:cs="Arial"/>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Consejo de Estado, Sala de lo Contencioso Administrativo, Sección Tercera, Subsección A, en sentencia del 20 de noviembre de 2020. Consejero Ponente: José Roberto Sáchica Méndez. Exp. 47201.</w:t>
      </w:r>
    </w:p>
    <w:p w14:paraId="4363123F" w14:textId="77777777" w:rsidR="00E85C62" w:rsidRPr="00144357" w:rsidRDefault="00E85C62" w:rsidP="00E85C62">
      <w:pPr>
        <w:pStyle w:val="Textonotapie"/>
        <w:ind w:firstLine="708"/>
        <w:jc w:val="both"/>
        <w:rPr>
          <w:rFonts w:ascii="Verdana" w:hAnsi="Verdana" w:cs="Arial"/>
          <w:sz w:val="18"/>
          <w:szCs w:val="18"/>
        </w:rPr>
      </w:pPr>
    </w:p>
  </w:footnote>
  <w:footnote w:id="7">
    <w:p w14:paraId="4ABFD9AC" w14:textId="77777777" w:rsidR="00E85C62" w:rsidRPr="00144357" w:rsidRDefault="00E85C62" w:rsidP="00E85C62">
      <w:pPr>
        <w:spacing w:after="0" w:line="240" w:lineRule="auto"/>
        <w:ind w:firstLine="708"/>
        <w:jc w:val="both"/>
        <w:rPr>
          <w:rFonts w:ascii="Verdana" w:hAnsi="Verdana" w:cs="Arial"/>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En este sentido, la jurisprudencia de la Subsección ha destacado que “</w:t>
      </w:r>
      <w:r w:rsidRPr="00144357">
        <w:rPr>
          <w:rFonts w:ascii="Verdana" w:hAnsi="Verdana" w:cs="Arial"/>
          <w:i/>
          <w:iCs/>
          <w:sz w:val="18"/>
          <w:szCs w:val="18"/>
        </w:rPr>
        <w:t>[d]os de los elementos descriptores que tanto la legislación civil como la mercantil comparten en torno al mandato aluden a i) que la gestión confiada se hace por cuenta y riesgo del mandante y ii) los actos ejercidos por el mandatario no obligan al mandante si han excedido los límites del encargo</w:t>
      </w:r>
      <w:r w:rsidRPr="00144357">
        <w:rPr>
          <w:rFonts w:ascii="Verdana" w:hAnsi="Verdana" w:cs="Arial"/>
          <w:sz w:val="18"/>
          <w:szCs w:val="18"/>
        </w:rPr>
        <w:t xml:space="preserve">”. Consejo de Estado, Sección Tercera, Subsección A. Sentencia del 1 de octubre de 2018. Exp. 57.897. C.P Marta Nubia Velásquez Rico. </w:t>
      </w:r>
    </w:p>
  </w:footnote>
  <w:footnote w:id="8">
    <w:p w14:paraId="3D0E6CB5" w14:textId="77777777" w:rsidR="00E85C62" w:rsidRPr="00144357" w:rsidRDefault="00E85C62" w:rsidP="00E85C62">
      <w:pPr>
        <w:pStyle w:val="Textonotapie"/>
        <w:ind w:firstLine="708"/>
        <w:jc w:val="both"/>
        <w:rPr>
          <w:rFonts w:ascii="Verdana" w:hAnsi="Verdana" w:cs="Arial"/>
          <w:sz w:val="18"/>
          <w:szCs w:val="18"/>
        </w:rPr>
      </w:pPr>
      <w:r w:rsidRPr="00144357">
        <w:rPr>
          <w:rStyle w:val="Refdenotaalpie"/>
          <w:rFonts w:ascii="Verdana" w:hAnsi="Verdana" w:cs="Arial"/>
          <w:sz w:val="18"/>
          <w:szCs w:val="18"/>
        </w:rPr>
        <w:footnoteRef/>
      </w:r>
      <w:r w:rsidRPr="00144357">
        <w:rPr>
          <w:rFonts w:ascii="Verdana" w:hAnsi="Verdana" w:cs="Arial"/>
          <w:sz w:val="18"/>
          <w:szCs w:val="18"/>
        </w:rPr>
        <w:t xml:space="preserve"> Corte Suprema de Justicia, Sala de Casación Civil. Sentencia del 17 de abril de 2007. Magistrado Ponente. Pedo Octavio Munar Cadena.  Exp. 00645. </w:t>
      </w:r>
    </w:p>
    <w:p w14:paraId="6D6D31B2" w14:textId="77777777" w:rsidR="00E85C62" w:rsidRPr="00144357" w:rsidRDefault="00E85C62" w:rsidP="00E85C62">
      <w:pPr>
        <w:pStyle w:val="Textonotapie"/>
        <w:ind w:firstLine="708"/>
        <w:jc w:val="both"/>
        <w:rPr>
          <w:rFonts w:ascii="Verdana" w:hAnsi="Verdana" w:cs="Arial"/>
          <w:sz w:val="18"/>
          <w:szCs w:val="18"/>
        </w:rPr>
      </w:pPr>
    </w:p>
  </w:footnote>
  <w:footnote w:id="9">
    <w:p w14:paraId="1118609E" w14:textId="77777777" w:rsidR="00E85C62" w:rsidRPr="00144357" w:rsidRDefault="00E85C62" w:rsidP="00E85C62">
      <w:pPr>
        <w:spacing w:after="0"/>
        <w:ind w:firstLine="708"/>
        <w:jc w:val="both"/>
        <w:rPr>
          <w:rFonts w:ascii="Verdana" w:hAnsi="Verdana" w:cs="Arial"/>
          <w:sz w:val="18"/>
          <w:szCs w:val="18"/>
          <w:lang w:val="es-ES"/>
        </w:rPr>
      </w:pPr>
      <w:r w:rsidRPr="00144357">
        <w:rPr>
          <w:rStyle w:val="Refdenotaalpie"/>
          <w:rFonts w:ascii="Verdana" w:hAnsi="Verdana" w:cs="Arial"/>
          <w:sz w:val="18"/>
          <w:szCs w:val="18"/>
        </w:rPr>
        <w:footnoteRef/>
      </w:r>
      <w:r w:rsidRPr="00144357">
        <w:rPr>
          <w:rFonts w:ascii="Verdana" w:hAnsi="Verdana" w:cs="Arial"/>
          <w:sz w:val="18"/>
          <w:szCs w:val="18"/>
        </w:rPr>
        <w:t xml:space="preserve">  </w:t>
      </w:r>
      <w:r w:rsidRPr="00144357">
        <w:rPr>
          <w:rFonts w:ascii="Verdana" w:hAnsi="Verdana" w:cs="Arial"/>
          <w:sz w:val="18"/>
          <w:szCs w:val="18"/>
          <w:lang w:val="es-ES"/>
        </w:rPr>
        <w:t>Consejo de Estado, Sala de Lo Contencioso Administrativo, Sección Cuarta, en sentencia del 15 de octubre de 2021. Consejera Ponente: Myriam Stella Gutiérrez Argüello. Exp. 24376.</w:t>
      </w:r>
    </w:p>
  </w:footnote>
  <w:footnote w:id="10">
    <w:p w14:paraId="6F3F56E7" w14:textId="77777777" w:rsidR="00E85C62" w:rsidRPr="00144357" w:rsidRDefault="00E85C62" w:rsidP="00E85C62">
      <w:pPr>
        <w:pStyle w:val="Textonotapie"/>
        <w:ind w:firstLine="709"/>
        <w:jc w:val="both"/>
        <w:rPr>
          <w:rFonts w:ascii="Verdana" w:hAnsi="Verdana" w:cs="Arial"/>
          <w:sz w:val="18"/>
          <w:szCs w:val="18"/>
          <w:lang w:val="es-ES"/>
        </w:rPr>
      </w:pPr>
      <w:r w:rsidRPr="00144357">
        <w:rPr>
          <w:rStyle w:val="Refdenotaalpie"/>
          <w:rFonts w:ascii="Verdana" w:hAnsi="Verdana"/>
          <w:sz w:val="18"/>
          <w:szCs w:val="18"/>
        </w:rPr>
        <w:footnoteRef/>
      </w:r>
      <w:r w:rsidRPr="00144357">
        <w:rPr>
          <w:rFonts w:ascii="Verdana" w:hAnsi="Verdana"/>
          <w:sz w:val="18"/>
          <w:szCs w:val="18"/>
        </w:rPr>
        <w:t xml:space="preserve"> </w:t>
      </w:r>
      <w:r w:rsidRPr="00144357">
        <w:rPr>
          <w:rFonts w:ascii="Verdana" w:hAnsi="Verdana" w:cs="Arial"/>
          <w:sz w:val="18"/>
          <w:szCs w:val="18"/>
          <w:lang w:val="es-ES"/>
        </w:rPr>
        <w:t>Consejo de Estado, Sala de lo Contencioso Administrativo, Sección Tercera, en sentencia del 20 de junio de 2023. Consejero Ponente: José Roberto Sáchica Méndez. Exp. 61.174</w:t>
      </w:r>
    </w:p>
    <w:p w14:paraId="6BF5BD06" w14:textId="77777777" w:rsidR="00E85C62" w:rsidRPr="00144357" w:rsidRDefault="00E85C62" w:rsidP="00E85C62">
      <w:pPr>
        <w:pStyle w:val="Textonotapie"/>
        <w:ind w:firstLine="709"/>
        <w:jc w:val="both"/>
        <w:rPr>
          <w:rFonts w:ascii="Verdana" w:hAnsi="Verdana"/>
          <w:sz w:val="18"/>
          <w:szCs w:val="18"/>
          <w:lang w:val="es-CO"/>
        </w:rPr>
      </w:pPr>
    </w:p>
  </w:footnote>
  <w:footnote w:id="11">
    <w:p w14:paraId="4D61789A" w14:textId="77777777" w:rsidR="00E85C62" w:rsidRPr="00144357" w:rsidRDefault="00E85C62" w:rsidP="00E85C62">
      <w:pPr>
        <w:pStyle w:val="Textonotapie"/>
        <w:ind w:firstLine="709"/>
        <w:jc w:val="both"/>
        <w:rPr>
          <w:rFonts w:ascii="Verdana" w:hAnsi="Verdana"/>
          <w:sz w:val="18"/>
          <w:szCs w:val="18"/>
        </w:rPr>
      </w:pPr>
      <w:r w:rsidRPr="00144357">
        <w:rPr>
          <w:rStyle w:val="Refdenotaalpie"/>
          <w:rFonts w:ascii="Verdana" w:hAnsi="Verdana"/>
          <w:sz w:val="18"/>
          <w:szCs w:val="18"/>
        </w:rPr>
        <w:footnoteRef/>
      </w:r>
      <w:r w:rsidRPr="00144357">
        <w:rPr>
          <w:rFonts w:ascii="Verdana" w:hAnsi="Verdana"/>
          <w:sz w:val="18"/>
          <w:szCs w:val="18"/>
        </w:rPr>
        <w:t xml:space="preserve"> Ibidem.</w:t>
      </w:r>
    </w:p>
    <w:p w14:paraId="2F5C9BAA" w14:textId="77777777" w:rsidR="00E85C62" w:rsidRPr="00144357" w:rsidRDefault="00E85C62" w:rsidP="00E85C62">
      <w:pPr>
        <w:pStyle w:val="Textonotapie"/>
        <w:ind w:firstLine="709"/>
        <w:jc w:val="both"/>
        <w:rPr>
          <w:rFonts w:ascii="Verdana" w:hAnsi="Verdana"/>
          <w:sz w:val="18"/>
          <w:szCs w:val="18"/>
        </w:rPr>
      </w:pPr>
    </w:p>
  </w:footnote>
  <w:footnote w:id="12">
    <w:p w14:paraId="0ECC9BEE" w14:textId="77777777" w:rsidR="00E85C62" w:rsidRPr="00144357" w:rsidRDefault="00E85C62" w:rsidP="00E85C62">
      <w:pPr>
        <w:pStyle w:val="Textonotapie"/>
        <w:ind w:firstLine="709"/>
        <w:jc w:val="both"/>
        <w:rPr>
          <w:rFonts w:ascii="Verdana" w:hAnsi="Verdana"/>
          <w:sz w:val="18"/>
          <w:szCs w:val="18"/>
          <w:lang w:val="es-ES"/>
        </w:rPr>
      </w:pPr>
      <w:r w:rsidRPr="00144357">
        <w:rPr>
          <w:rStyle w:val="Refdenotaalpie"/>
          <w:rFonts w:ascii="Verdana" w:hAnsi="Verdana"/>
          <w:sz w:val="18"/>
          <w:szCs w:val="18"/>
        </w:rPr>
        <w:footnoteRef/>
      </w:r>
      <w:r w:rsidRPr="00144357">
        <w:rPr>
          <w:rFonts w:ascii="Verdana" w:hAnsi="Verdana"/>
          <w:sz w:val="18"/>
          <w:szCs w:val="18"/>
        </w:rPr>
        <w:t xml:space="preserve"> </w:t>
      </w:r>
      <w:r w:rsidRPr="00144357">
        <w:rPr>
          <w:rFonts w:ascii="Verdana" w:hAnsi="Verdana"/>
          <w:sz w:val="18"/>
          <w:szCs w:val="18"/>
          <w:lang w:val="es-CO"/>
        </w:rPr>
        <w:t>Corte Suprema de Justicia, Sala de Casación Laboral. Sentencia del 18 de octubre de 2023. Magistrado Ponente. Iván Mauricio Lenis Gómez.  Rad. 91382</w:t>
      </w:r>
    </w:p>
  </w:footnote>
  <w:footnote w:id="13">
    <w:p w14:paraId="5A86C4C3" w14:textId="77777777" w:rsidR="00E85C62" w:rsidRPr="00144357" w:rsidRDefault="00E85C62" w:rsidP="00E85C62">
      <w:pPr>
        <w:pStyle w:val="Textonotapie"/>
        <w:ind w:firstLine="709"/>
        <w:jc w:val="both"/>
        <w:rPr>
          <w:rFonts w:ascii="Verdana" w:hAnsi="Verdana" w:cs="Arial"/>
          <w:sz w:val="18"/>
          <w:szCs w:val="18"/>
          <w:lang w:val="es-ES"/>
        </w:rPr>
      </w:pPr>
      <w:r w:rsidRPr="00144357">
        <w:rPr>
          <w:rStyle w:val="Refdenotaalpie"/>
          <w:rFonts w:ascii="Verdana" w:hAnsi="Verdana"/>
          <w:sz w:val="18"/>
          <w:szCs w:val="18"/>
        </w:rPr>
        <w:footnoteRef/>
      </w:r>
      <w:r w:rsidRPr="00144357">
        <w:rPr>
          <w:rFonts w:ascii="Verdana" w:hAnsi="Verdana"/>
          <w:sz w:val="18"/>
          <w:szCs w:val="18"/>
        </w:rPr>
        <w:t xml:space="preserve"> </w:t>
      </w:r>
      <w:r w:rsidRPr="00144357">
        <w:rPr>
          <w:rFonts w:ascii="Verdana" w:hAnsi="Verdana" w:cs="Arial"/>
          <w:sz w:val="18"/>
          <w:szCs w:val="18"/>
          <w:lang w:val="es-ES"/>
        </w:rPr>
        <w:t xml:space="preserve">MARÍN CORTÉS, Fabián. </w:t>
      </w:r>
      <w:r w:rsidRPr="00144357">
        <w:rPr>
          <w:rFonts w:ascii="Verdana" w:hAnsi="Verdana" w:cs="Arial"/>
          <w:i/>
          <w:iCs/>
          <w:sz w:val="18"/>
          <w:szCs w:val="18"/>
          <w:lang w:val="es-ES"/>
        </w:rPr>
        <w:t>El precio</w:t>
      </w:r>
      <w:r w:rsidRPr="00144357">
        <w:rPr>
          <w:rFonts w:ascii="Verdana" w:hAnsi="Verdana" w:cs="Arial"/>
          <w:sz w:val="18"/>
          <w:szCs w:val="18"/>
          <w:lang w:val="es-ES"/>
        </w:rPr>
        <w:t>. Medellín: Librería Jurídica Sánchez, Centro de Estudios de Derecho Administrativo –CEDA–, 2012, pp. 149-150.</w:t>
      </w:r>
    </w:p>
    <w:p w14:paraId="7F375BBB" w14:textId="77777777" w:rsidR="00E85C62" w:rsidRPr="00144357" w:rsidRDefault="00E85C62" w:rsidP="00E85C62">
      <w:pPr>
        <w:pStyle w:val="Textonotapie"/>
        <w:ind w:firstLine="709"/>
        <w:jc w:val="both"/>
        <w:rPr>
          <w:rFonts w:ascii="Verdana" w:hAnsi="Verdana"/>
          <w:sz w:val="18"/>
          <w:szCs w:val="18"/>
          <w:lang w:val="es-CO"/>
        </w:rPr>
      </w:pPr>
    </w:p>
  </w:footnote>
  <w:footnote w:id="14">
    <w:p w14:paraId="09C70E8C" w14:textId="77777777" w:rsidR="00E85C62" w:rsidRPr="00144357" w:rsidRDefault="00E85C62" w:rsidP="00E85C62">
      <w:pPr>
        <w:pStyle w:val="Textonotapie"/>
        <w:ind w:firstLine="709"/>
        <w:jc w:val="both"/>
        <w:rPr>
          <w:rFonts w:ascii="Verdana" w:hAnsi="Verdana"/>
          <w:sz w:val="18"/>
          <w:szCs w:val="18"/>
          <w:lang w:val="es-CO"/>
        </w:rPr>
      </w:pPr>
      <w:r w:rsidRPr="00144357">
        <w:rPr>
          <w:rStyle w:val="Refdenotaalpie"/>
          <w:rFonts w:ascii="Verdana" w:hAnsi="Verdana"/>
          <w:sz w:val="18"/>
          <w:szCs w:val="18"/>
        </w:rPr>
        <w:footnoteRef/>
      </w:r>
      <w:r w:rsidRPr="00144357">
        <w:rPr>
          <w:rFonts w:ascii="Verdana" w:hAnsi="Verdana"/>
          <w:sz w:val="18"/>
          <w:szCs w:val="18"/>
        </w:rPr>
        <w:t xml:space="preserve"> </w:t>
      </w:r>
      <w:r w:rsidRPr="00144357">
        <w:rPr>
          <w:rFonts w:ascii="Verdana" w:eastAsia="Calibri" w:hAnsi="Verdana" w:cs="Arial"/>
          <w:sz w:val="18"/>
          <w:szCs w:val="18"/>
          <w:lang w:val="es-ES_tradnl" w:eastAsia="es-ES_tradnl"/>
        </w:rPr>
        <w:t>PINO RICCI, Jorge. El régimen jurídico de los contratos estatales. Universidad Externado de Colombia. Bogotá, 2005. pp. 423.</w:t>
      </w:r>
    </w:p>
  </w:footnote>
  <w:footnote w:id="15">
    <w:p w14:paraId="3485BCD8" w14:textId="77777777" w:rsidR="00E85C62" w:rsidRPr="00F830D6" w:rsidRDefault="00E85C62" w:rsidP="00E85C62">
      <w:pPr>
        <w:pStyle w:val="Textonotapie"/>
        <w:ind w:firstLine="708"/>
        <w:jc w:val="both"/>
        <w:rPr>
          <w:rFonts w:ascii="Verdana" w:hAnsi="Verdana"/>
          <w:sz w:val="18"/>
          <w:szCs w:val="18"/>
        </w:rPr>
      </w:pPr>
      <w:r w:rsidRPr="00F830D6">
        <w:rPr>
          <w:rStyle w:val="Refdenotaalpie"/>
          <w:rFonts w:ascii="Verdana" w:eastAsia="Times New Roman" w:hAnsi="Verdana"/>
          <w:sz w:val="18"/>
          <w:szCs w:val="18"/>
        </w:rPr>
        <w:footnoteRef/>
      </w:r>
      <w:r w:rsidRPr="00F830D6">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09AA75DA" w14:textId="77777777" w:rsidR="00E85C62" w:rsidRPr="00F830D6" w:rsidRDefault="00E85C62" w:rsidP="00E85C62">
      <w:pPr>
        <w:pStyle w:val="Textonotapie"/>
        <w:ind w:firstLine="708"/>
        <w:jc w:val="both"/>
        <w:rPr>
          <w:rFonts w:ascii="Verdana" w:hAnsi="Verdana"/>
          <w:sz w:val="18"/>
          <w:szCs w:val="18"/>
        </w:rPr>
      </w:pPr>
    </w:p>
    <w:p w14:paraId="6B77D554" w14:textId="77777777" w:rsidR="00E85C62" w:rsidRPr="00F830D6" w:rsidRDefault="00E85C62" w:rsidP="00E85C62">
      <w:pPr>
        <w:pStyle w:val="Textonotapie"/>
        <w:ind w:firstLine="708"/>
        <w:jc w:val="both"/>
        <w:rPr>
          <w:rFonts w:ascii="Verdana" w:hAnsi="Verdana"/>
          <w:sz w:val="18"/>
          <w:szCs w:val="18"/>
        </w:rPr>
      </w:pPr>
      <w:r w:rsidRPr="00F830D6">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F3FED00" w14:textId="77777777" w:rsidR="00E85C62" w:rsidRPr="00F830D6" w:rsidRDefault="00E85C62" w:rsidP="00E85C62">
      <w:pPr>
        <w:pStyle w:val="Textonotapie"/>
        <w:ind w:firstLine="708"/>
        <w:jc w:val="both"/>
        <w:rPr>
          <w:rFonts w:ascii="Verdana" w:hAnsi="Verdana"/>
          <w:sz w:val="18"/>
          <w:szCs w:val="18"/>
        </w:rPr>
      </w:pPr>
    </w:p>
    <w:p w14:paraId="02741203" w14:textId="77777777" w:rsidR="00E85C62" w:rsidRPr="00F830D6" w:rsidRDefault="00E85C62" w:rsidP="00E85C62">
      <w:pPr>
        <w:pStyle w:val="Textonotapie"/>
        <w:ind w:firstLine="708"/>
        <w:jc w:val="both"/>
        <w:rPr>
          <w:rFonts w:ascii="Verdana" w:hAnsi="Verdana"/>
          <w:sz w:val="18"/>
          <w:szCs w:val="18"/>
        </w:rPr>
      </w:pPr>
      <w:r w:rsidRPr="00F830D6">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39E3BE0E" w14:textId="77777777" w:rsidR="00E85C62" w:rsidRPr="00F830D6" w:rsidRDefault="00E85C62" w:rsidP="00E85C62">
      <w:pPr>
        <w:pStyle w:val="Textonotapie"/>
        <w:ind w:firstLine="708"/>
        <w:jc w:val="both"/>
        <w:rPr>
          <w:rFonts w:ascii="Verdana" w:hAnsi="Verdana"/>
          <w:sz w:val="18"/>
          <w:szCs w:val="18"/>
        </w:rPr>
      </w:pPr>
    </w:p>
    <w:p w14:paraId="70FEE512" w14:textId="77777777" w:rsidR="00E85C62" w:rsidRPr="00F830D6" w:rsidRDefault="00E85C62" w:rsidP="00E85C62">
      <w:pPr>
        <w:pStyle w:val="Textonotapie"/>
        <w:ind w:firstLine="708"/>
        <w:jc w:val="both"/>
        <w:rPr>
          <w:rFonts w:ascii="Verdana" w:hAnsi="Verdana"/>
          <w:sz w:val="18"/>
          <w:szCs w:val="18"/>
        </w:rPr>
      </w:pPr>
      <w:r w:rsidRPr="00F830D6">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7DA6C70A" w14:textId="77777777" w:rsidR="00E85C62" w:rsidRPr="00F830D6" w:rsidRDefault="00E85C62" w:rsidP="00E85C62">
      <w:pPr>
        <w:pStyle w:val="Textonotapie"/>
        <w:ind w:firstLine="708"/>
        <w:jc w:val="both"/>
        <w:rPr>
          <w:rFonts w:ascii="Verdana" w:hAnsi="Verdana"/>
          <w:sz w:val="18"/>
          <w:szCs w:val="18"/>
        </w:rPr>
      </w:pPr>
    </w:p>
    <w:p w14:paraId="022ED33B" w14:textId="77777777" w:rsidR="00E85C62" w:rsidRPr="00F830D6" w:rsidRDefault="00E85C62" w:rsidP="00E85C62">
      <w:pPr>
        <w:pStyle w:val="Textonotapie"/>
        <w:ind w:firstLine="708"/>
        <w:jc w:val="both"/>
        <w:rPr>
          <w:rFonts w:ascii="Verdana" w:hAnsi="Verdana"/>
          <w:sz w:val="18"/>
          <w:szCs w:val="18"/>
        </w:rPr>
      </w:pPr>
      <w:r w:rsidRPr="00F830D6">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16">
    <w:p w14:paraId="596A3701" w14:textId="77777777" w:rsidR="00E85C62" w:rsidRPr="00E85C62" w:rsidRDefault="00E85C62" w:rsidP="00E85C62">
      <w:pPr>
        <w:pStyle w:val="Textonotapie"/>
        <w:ind w:firstLine="709"/>
        <w:jc w:val="both"/>
        <w:rPr>
          <w:rFonts w:ascii="Verdana" w:hAnsi="Verdana" w:cs="Arial"/>
          <w:color w:val="000000"/>
          <w:sz w:val="18"/>
          <w:szCs w:val="18"/>
        </w:rPr>
      </w:pPr>
    </w:p>
    <w:p w14:paraId="5ACD0086" w14:textId="77777777" w:rsidR="00E85C62" w:rsidRPr="00E85C62" w:rsidRDefault="00E85C62" w:rsidP="00E85C62">
      <w:pPr>
        <w:pStyle w:val="Textonotapie"/>
        <w:ind w:firstLine="709"/>
        <w:jc w:val="both"/>
        <w:rPr>
          <w:rFonts w:ascii="Verdana" w:hAnsi="Verdana" w:cs="Arial"/>
          <w:color w:val="000000"/>
          <w:sz w:val="18"/>
          <w:szCs w:val="18"/>
          <w:lang w:val="es-ES"/>
        </w:rPr>
      </w:pPr>
      <w:r w:rsidRPr="00E85C62">
        <w:rPr>
          <w:rStyle w:val="Refdenotaalpie"/>
          <w:rFonts w:ascii="Verdana" w:hAnsi="Verdana" w:cs="Arial"/>
          <w:color w:val="000000"/>
          <w:sz w:val="18"/>
          <w:szCs w:val="18"/>
        </w:rPr>
        <w:footnoteRef/>
      </w:r>
      <w:r w:rsidRPr="00E85C62">
        <w:rPr>
          <w:rFonts w:ascii="Verdana" w:hAnsi="Verdana" w:cs="Arial"/>
          <w:color w:val="000000"/>
          <w:sz w:val="18"/>
          <w:szCs w:val="18"/>
        </w:rPr>
        <w:t xml:space="preserve"> </w:t>
      </w:r>
      <w:r w:rsidRPr="00E85C62">
        <w:rPr>
          <w:rFonts w:ascii="Verdana" w:hAnsi="Verdana" w:cs="Arial"/>
          <w:color w:val="000000"/>
          <w:sz w:val="18"/>
          <w:szCs w:val="18"/>
          <w:lang w:val="es-ES"/>
        </w:rPr>
        <w:t xml:space="preserve">En cuanto a las resoluciones vigentes, dicha regla se observa en el artículo 3 de las Resoluciones </w:t>
      </w:r>
      <w:bookmarkStart w:id="4" w:name="_Hlk82363077"/>
      <w:r w:rsidRPr="00E85C62">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539 de 2025, entre otras</w:t>
      </w:r>
      <w:bookmarkEnd w:id="4"/>
      <w:r w:rsidRPr="00E85C62">
        <w:rPr>
          <w:rFonts w:ascii="Verdana" w:hAnsi="Verdana" w:cs="Arial"/>
          <w:color w:val="000000"/>
          <w:sz w:val="18"/>
          <w:szCs w:val="18"/>
          <w:lang w:val="es-ES"/>
        </w:rPr>
        <w:t xml:space="preserve">. </w:t>
      </w:r>
    </w:p>
    <w:p w14:paraId="0599F963" w14:textId="77777777" w:rsidR="00E85C62" w:rsidRPr="00E85C62" w:rsidRDefault="00E85C62" w:rsidP="00E85C62">
      <w:pPr>
        <w:pStyle w:val="Textonotapie"/>
        <w:ind w:firstLine="709"/>
        <w:jc w:val="both"/>
        <w:rPr>
          <w:rFonts w:ascii="Verdana" w:hAnsi="Verdana" w:cs="Arial"/>
          <w:color w:val="000000"/>
          <w:sz w:val="18"/>
          <w:szCs w:val="18"/>
          <w:lang w:val="es-ES"/>
        </w:rPr>
      </w:pPr>
    </w:p>
  </w:footnote>
  <w:footnote w:id="17">
    <w:p w14:paraId="7F01033C" w14:textId="77777777" w:rsidR="00E85C62" w:rsidRPr="00E85C62" w:rsidRDefault="00E85C62" w:rsidP="00E85C62">
      <w:pPr>
        <w:pStyle w:val="Textonotapie"/>
        <w:ind w:firstLine="708"/>
        <w:jc w:val="both"/>
        <w:rPr>
          <w:rFonts w:ascii="Verdana" w:hAnsi="Verdana" w:cs="Arial"/>
          <w:color w:val="000000"/>
          <w:sz w:val="18"/>
          <w:szCs w:val="18"/>
        </w:rPr>
      </w:pPr>
      <w:r w:rsidRPr="00E85C62">
        <w:rPr>
          <w:rStyle w:val="Refdenotaalpie"/>
          <w:rFonts w:ascii="Verdana" w:hAnsi="Verdana" w:cs="Arial"/>
          <w:color w:val="000000"/>
          <w:sz w:val="18"/>
          <w:szCs w:val="18"/>
        </w:rPr>
        <w:footnoteRef/>
      </w:r>
      <w:r w:rsidRPr="00E85C62">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64E5FE72" w14:textId="77777777" w:rsidR="00E85C62" w:rsidRPr="00E85C62" w:rsidRDefault="00E85C62" w:rsidP="00E85C62">
      <w:pPr>
        <w:pStyle w:val="Textonotapie"/>
        <w:ind w:firstLine="708"/>
        <w:jc w:val="both"/>
        <w:rPr>
          <w:rFonts w:ascii="Verdana" w:hAnsi="Verdana" w:cs="Arial"/>
          <w:color w:val="000000"/>
          <w:sz w:val="18"/>
          <w:szCs w:val="18"/>
        </w:rPr>
      </w:pPr>
    </w:p>
  </w:footnote>
  <w:footnote w:id="18">
    <w:p w14:paraId="665F3999" w14:textId="77777777" w:rsidR="00E85C62" w:rsidRPr="00E85C62" w:rsidRDefault="00E85C62" w:rsidP="00E85C62">
      <w:pPr>
        <w:pStyle w:val="Textonotapie"/>
        <w:ind w:firstLine="709"/>
        <w:jc w:val="both"/>
        <w:rPr>
          <w:rFonts w:ascii="Verdana" w:hAnsi="Verdana" w:cs="Arial"/>
          <w:color w:val="000000"/>
          <w:sz w:val="18"/>
          <w:szCs w:val="18"/>
        </w:rPr>
      </w:pPr>
      <w:r w:rsidRPr="00E85C62">
        <w:rPr>
          <w:rStyle w:val="Refdenotaalpie"/>
          <w:rFonts w:ascii="Verdana" w:hAnsi="Verdana" w:cs="Arial"/>
          <w:color w:val="000000"/>
          <w:sz w:val="18"/>
          <w:szCs w:val="18"/>
        </w:rPr>
        <w:footnoteRef/>
      </w:r>
      <w:r w:rsidRPr="00E85C62">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E3188C8" w14:textId="77777777" w:rsidR="00E85C62" w:rsidRPr="00E85C62" w:rsidRDefault="00E85C62" w:rsidP="00E85C62">
      <w:pPr>
        <w:pStyle w:val="Textonotapie"/>
        <w:ind w:firstLine="709"/>
        <w:jc w:val="both"/>
        <w:rPr>
          <w:rFonts w:ascii="Verdana" w:hAnsi="Verdana" w:cs="Arial"/>
          <w:color w:val="000000"/>
          <w:sz w:val="18"/>
          <w:szCs w:val="18"/>
        </w:rPr>
      </w:pPr>
    </w:p>
  </w:footnote>
  <w:footnote w:id="19">
    <w:p w14:paraId="7D595790" w14:textId="77777777" w:rsidR="00E85C62" w:rsidRPr="00E85C62" w:rsidRDefault="00E85C62" w:rsidP="00E85C62">
      <w:pPr>
        <w:ind w:firstLine="709"/>
        <w:jc w:val="both"/>
        <w:rPr>
          <w:rFonts w:ascii="Verdana" w:hAnsi="Verdana" w:cs="Arial"/>
          <w:color w:val="000000"/>
          <w:sz w:val="18"/>
          <w:szCs w:val="18"/>
          <w:lang w:val="es-ES"/>
        </w:rPr>
      </w:pPr>
      <w:r w:rsidRPr="00E85C62">
        <w:rPr>
          <w:rStyle w:val="Refdenotaalpie"/>
          <w:rFonts w:ascii="Verdana" w:hAnsi="Verdana" w:cs="Arial"/>
          <w:color w:val="000000"/>
          <w:sz w:val="18"/>
          <w:szCs w:val="18"/>
        </w:rPr>
        <w:footnoteRef/>
      </w:r>
      <w:r w:rsidRPr="00E85C62">
        <w:rPr>
          <w:rFonts w:ascii="Verdana" w:hAnsi="Verdana" w:cs="Arial"/>
          <w:color w:val="000000"/>
          <w:sz w:val="18"/>
          <w:szCs w:val="18"/>
        </w:rPr>
        <w:t xml:space="preserve"> </w:t>
      </w:r>
      <w:r w:rsidRPr="00E85C62">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20">
    <w:p w14:paraId="678139B4" w14:textId="77777777" w:rsidR="00E85C62" w:rsidRPr="00F830D6" w:rsidRDefault="00E85C62" w:rsidP="00E85C62">
      <w:pPr>
        <w:pStyle w:val="Textonotapie"/>
        <w:ind w:firstLine="708"/>
        <w:jc w:val="both"/>
        <w:rPr>
          <w:rFonts w:ascii="Verdana" w:hAnsi="Verdana" w:cs="Arial"/>
          <w:sz w:val="18"/>
          <w:szCs w:val="18"/>
          <w:lang w:val="es-ES"/>
        </w:rPr>
      </w:pPr>
      <w:r w:rsidRPr="00F830D6">
        <w:rPr>
          <w:rStyle w:val="Refdenotaalpie"/>
          <w:rFonts w:ascii="Verdana" w:hAnsi="Verdana" w:cs="Arial"/>
          <w:sz w:val="18"/>
          <w:szCs w:val="18"/>
        </w:rPr>
        <w:footnoteRef/>
      </w:r>
      <w:r w:rsidRPr="00F830D6">
        <w:rPr>
          <w:rFonts w:ascii="Verdana" w:hAnsi="Verdana" w:cs="Arial"/>
          <w:sz w:val="18"/>
          <w:szCs w:val="18"/>
        </w:rPr>
        <w:t xml:space="preserve"> Diccionario de la Real Academia Española, versión online disponible en: </w:t>
      </w:r>
      <w:hyperlink r:id="rId1" w:history="1">
        <w:r w:rsidRPr="00F830D6">
          <w:rPr>
            <w:rStyle w:val="Hipervnculo"/>
            <w:rFonts w:ascii="Verdana" w:hAnsi="Verdana" w:cs="Arial"/>
            <w:sz w:val="18"/>
            <w:szCs w:val="18"/>
          </w:rPr>
          <w:t>https://dle.rae.es/est%C3%A1ndar</w:t>
        </w:r>
      </w:hyperlink>
      <w:r w:rsidRPr="00F830D6">
        <w:rPr>
          <w:rFonts w:ascii="Verdana" w:hAnsi="Verdana" w:cs="Arial"/>
          <w:sz w:val="18"/>
          <w:szCs w:val="18"/>
        </w:rPr>
        <w:t xml:space="preserve">, consultado el 2 de junio de 2020. </w:t>
      </w:r>
    </w:p>
  </w:footnote>
  <w:footnote w:id="21">
    <w:p w14:paraId="638F9B1C" w14:textId="77777777" w:rsidR="00E85C62" w:rsidRPr="00E85C62" w:rsidRDefault="00E85C62" w:rsidP="00E85C62">
      <w:pPr>
        <w:ind w:firstLine="708"/>
        <w:jc w:val="both"/>
        <w:rPr>
          <w:rFonts w:ascii="Verdana" w:hAnsi="Verdana" w:cs="Arial"/>
          <w:color w:val="000000"/>
          <w:sz w:val="18"/>
          <w:szCs w:val="18"/>
        </w:rPr>
      </w:pPr>
      <w:r w:rsidRPr="00E85C62">
        <w:rPr>
          <w:rStyle w:val="Refdenotaalpie"/>
          <w:rFonts w:ascii="Verdana" w:hAnsi="Verdana" w:cs="Arial"/>
          <w:color w:val="000000"/>
          <w:sz w:val="18"/>
          <w:szCs w:val="18"/>
        </w:rPr>
        <w:footnoteRef/>
      </w:r>
      <w:r w:rsidRPr="00E85C62">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173E7085" w14:textId="77777777" w:rsidR="00E85C62" w:rsidRPr="00E85C62" w:rsidRDefault="00E85C62" w:rsidP="00E85C62">
      <w:pPr>
        <w:ind w:firstLine="708"/>
        <w:jc w:val="both"/>
        <w:rPr>
          <w:rFonts w:ascii="Verdana" w:hAnsi="Verdana" w:cs="Arial"/>
          <w:color w:val="000000"/>
          <w:sz w:val="18"/>
          <w:szCs w:val="18"/>
        </w:rPr>
      </w:pPr>
    </w:p>
  </w:footnote>
  <w:footnote w:id="22">
    <w:p w14:paraId="516F4EA5" w14:textId="77777777" w:rsidR="00E85C62" w:rsidRPr="00144357" w:rsidRDefault="00E85C62" w:rsidP="00E85C62">
      <w:pPr>
        <w:pStyle w:val="Textonotapie"/>
        <w:ind w:firstLine="708"/>
        <w:rPr>
          <w:rFonts w:ascii="Verdana" w:hAnsi="Verdana"/>
          <w:sz w:val="18"/>
          <w:szCs w:val="18"/>
        </w:rPr>
      </w:pPr>
      <w:r w:rsidRPr="00144357">
        <w:rPr>
          <w:rStyle w:val="Refdenotaalpie"/>
          <w:rFonts w:ascii="Verdana" w:hAnsi="Verdana"/>
          <w:sz w:val="18"/>
          <w:szCs w:val="18"/>
        </w:rPr>
        <w:footnoteRef/>
      </w:r>
      <w:r w:rsidRPr="00144357">
        <w:rPr>
          <w:rFonts w:ascii="Verdana" w:hAnsi="Verdana"/>
          <w:sz w:val="18"/>
          <w:szCs w:val="18"/>
        </w:rPr>
        <w:t xml:space="preserve"> Documento base, numeral 1.15 “Causales de rechazo:</w:t>
      </w:r>
    </w:p>
    <w:p w14:paraId="3628EFDA" w14:textId="77777777" w:rsidR="00E85C62" w:rsidRDefault="00E85C62" w:rsidP="00E85C62">
      <w:pPr>
        <w:pStyle w:val="Textonotapie"/>
        <w:ind w:firstLine="708"/>
        <w:rPr>
          <w:rFonts w:ascii="Verdana" w:hAnsi="Verdana"/>
          <w:sz w:val="18"/>
          <w:szCs w:val="18"/>
        </w:rPr>
      </w:pPr>
    </w:p>
    <w:p w14:paraId="5B8644DA" w14:textId="77777777" w:rsidR="00E85C62" w:rsidRPr="00144357" w:rsidRDefault="00E85C62" w:rsidP="00E85C62">
      <w:pPr>
        <w:pStyle w:val="Textonotapie"/>
        <w:ind w:firstLine="708"/>
        <w:rPr>
          <w:rFonts w:ascii="Verdana" w:hAnsi="Verdana"/>
          <w:sz w:val="18"/>
          <w:szCs w:val="18"/>
        </w:rPr>
      </w:pPr>
      <w:r w:rsidRPr="00144357">
        <w:rPr>
          <w:rFonts w:ascii="Verdana" w:hAnsi="Verdana"/>
          <w:sz w:val="18"/>
          <w:szCs w:val="18"/>
        </w:rPr>
        <w:t>(…)</w:t>
      </w:r>
    </w:p>
    <w:p w14:paraId="490C440C" w14:textId="77777777" w:rsidR="00E85C62" w:rsidRDefault="00E85C62" w:rsidP="00E85C62">
      <w:pPr>
        <w:pStyle w:val="Prrafodelista"/>
        <w:spacing w:line="276" w:lineRule="auto"/>
        <w:jc w:val="both"/>
        <w:rPr>
          <w:rFonts w:ascii="Verdana" w:hAnsi="Verdana"/>
          <w:sz w:val="18"/>
          <w:szCs w:val="18"/>
          <w:lang w:val="es-MX"/>
        </w:rPr>
      </w:pPr>
    </w:p>
    <w:p w14:paraId="769B6CED" w14:textId="77777777" w:rsidR="00E85C62" w:rsidRPr="00144357" w:rsidRDefault="00E85C62" w:rsidP="00E85C62">
      <w:pPr>
        <w:pStyle w:val="Prrafodelista"/>
        <w:spacing w:line="276" w:lineRule="auto"/>
        <w:ind w:firstLine="282"/>
        <w:jc w:val="both"/>
        <w:rPr>
          <w:rFonts w:ascii="Verdana" w:hAnsi="Verdana"/>
          <w:sz w:val="18"/>
          <w:szCs w:val="18"/>
          <w:lang w:val="es-MX"/>
        </w:rPr>
      </w:pPr>
      <w:r>
        <w:rPr>
          <w:rFonts w:ascii="Verdana" w:hAnsi="Verdana"/>
          <w:sz w:val="18"/>
          <w:szCs w:val="18"/>
          <w:lang w:val="es-MX"/>
        </w:rPr>
        <w:t>N</w:t>
      </w:r>
      <w:r w:rsidRPr="00144357">
        <w:rPr>
          <w:rFonts w:ascii="Verdana" w:hAnsi="Verdana"/>
          <w:sz w:val="18"/>
          <w:szCs w:val="18"/>
          <w:lang w:val="es-MX"/>
        </w:rPr>
        <w:t xml:space="preserve">. </w:t>
      </w:r>
      <w:r w:rsidRPr="00144357">
        <w:rPr>
          <w:rFonts w:ascii="Verdana" w:hAnsi="Verdana"/>
          <w:sz w:val="18"/>
          <w:szCs w:val="18"/>
          <w:highlight w:val="lightGray"/>
          <w:lang w:val="es-MX"/>
        </w:rPr>
        <w:t>[Incluir solo cuando la forma de pago sea por precios unitarios]</w:t>
      </w:r>
      <w:r w:rsidRPr="00144357">
        <w:rPr>
          <w:rFonts w:ascii="Verdana" w:hAnsi="Verdana"/>
          <w:sz w:val="18"/>
          <w:szCs w:val="18"/>
          <w:lang w:val="es-MX"/>
        </w:rPr>
        <w:t xml:space="preserve"> No ofrecer el valor de un precio unitario u ofrecerlo en cero (0) pesos. </w:t>
      </w:r>
    </w:p>
    <w:p w14:paraId="43AEC7DE" w14:textId="77777777" w:rsidR="00E85C62" w:rsidRPr="00144357" w:rsidRDefault="00E85C62" w:rsidP="00E85C62">
      <w:pPr>
        <w:pStyle w:val="Prrafodelista"/>
        <w:spacing w:line="276" w:lineRule="auto"/>
        <w:rPr>
          <w:rFonts w:ascii="Verdana" w:hAnsi="Verdana"/>
          <w:sz w:val="18"/>
          <w:szCs w:val="18"/>
          <w:lang w:val="es-MX"/>
        </w:rPr>
      </w:pPr>
    </w:p>
    <w:p w14:paraId="23366E96" w14:textId="77777777" w:rsidR="00E85C62" w:rsidRPr="00144357" w:rsidRDefault="00E85C62" w:rsidP="00E85C62">
      <w:pPr>
        <w:pStyle w:val="Prrafodelista"/>
        <w:spacing w:line="276" w:lineRule="auto"/>
        <w:ind w:firstLine="282"/>
        <w:jc w:val="both"/>
        <w:rPr>
          <w:rFonts w:ascii="Verdana" w:hAnsi="Verdana"/>
          <w:sz w:val="18"/>
          <w:szCs w:val="18"/>
          <w:lang w:val="es-MX"/>
        </w:rPr>
      </w:pPr>
      <w:r>
        <w:rPr>
          <w:rFonts w:ascii="Verdana" w:hAnsi="Verdana"/>
          <w:sz w:val="18"/>
          <w:szCs w:val="18"/>
          <w:lang w:val="es-MX"/>
        </w:rPr>
        <w:t>O</w:t>
      </w:r>
      <w:r w:rsidRPr="00144357">
        <w:rPr>
          <w:rFonts w:ascii="Verdana" w:hAnsi="Verdana"/>
          <w:sz w:val="18"/>
          <w:szCs w:val="18"/>
          <w:lang w:val="es-MX"/>
        </w:rPr>
        <w:t xml:space="preserve">. </w:t>
      </w:r>
      <w:r w:rsidRPr="00144357">
        <w:rPr>
          <w:rFonts w:ascii="Verdana" w:hAnsi="Verdana"/>
          <w:sz w:val="18"/>
          <w:szCs w:val="18"/>
          <w:highlight w:val="lightGray"/>
          <w:lang w:val="es-MX"/>
        </w:rPr>
        <w:t>[Incluir solo cuando la forma de pago sea por precios unitarios]</w:t>
      </w:r>
      <w:r w:rsidRPr="00144357">
        <w:rPr>
          <w:rFonts w:ascii="Verdana" w:hAnsi="Verdana"/>
          <w:sz w:val="18"/>
          <w:szCs w:val="18"/>
          <w:lang w:val="es-MX"/>
        </w:rPr>
        <w:t xml:space="preserve"> Superar el valor unitario de alguno o algunos de los siguientes ítems ofrecidos con respecto al valor establecido para cada ítem del Presupuesto Oficial: </w:t>
      </w:r>
      <w:r w:rsidRPr="00144357">
        <w:rPr>
          <w:rFonts w:ascii="Verdana" w:hAnsi="Verdana"/>
          <w:sz w:val="18"/>
          <w:szCs w:val="18"/>
          <w:highlight w:val="lightGray"/>
          <w:lang w:val="es-MX"/>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144357">
        <w:rPr>
          <w:rFonts w:ascii="Verdana" w:hAnsi="Verdana"/>
          <w:sz w:val="18"/>
          <w:szCs w:val="18"/>
          <w:lang w:val="es-MX"/>
        </w:rPr>
        <w:t xml:space="preserve"> </w:t>
      </w:r>
    </w:p>
    <w:p w14:paraId="7A3D2949" w14:textId="77777777" w:rsidR="00E85C62" w:rsidRPr="00144357" w:rsidRDefault="00E85C62" w:rsidP="00E85C62">
      <w:pPr>
        <w:pStyle w:val="Prrafodelista"/>
        <w:spacing w:line="276" w:lineRule="auto"/>
        <w:rPr>
          <w:rFonts w:ascii="Verdana" w:hAnsi="Verdana"/>
          <w:sz w:val="18"/>
          <w:szCs w:val="18"/>
          <w:lang w:val="es-MX"/>
        </w:rPr>
      </w:pPr>
    </w:p>
    <w:p w14:paraId="1765C996" w14:textId="77777777" w:rsidR="00E85C62" w:rsidRPr="00144357" w:rsidRDefault="00E85C62" w:rsidP="00E85C62">
      <w:pPr>
        <w:pStyle w:val="Prrafodelista"/>
        <w:spacing w:line="276" w:lineRule="auto"/>
        <w:rPr>
          <w:rFonts w:ascii="Verdana" w:hAnsi="Verdana"/>
          <w:sz w:val="18"/>
          <w:szCs w:val="18"/>
          <w:lang w:val="es-MX"/>
        </w:rPr>
      </w:pPr>
      <w:r w:rsidRPr="00144357">
        <w:rPr>
          <w:rFonts w:ascii="Verdana" w:hAnsi="Verdana"/>
          <w:sz w:val="18"/>
          <w:szCs w:val="18"/>
          <w:highlight w:val="lightGray"/>
          <w:lang w:val="es-MX"/>
        </w:rPr>
        <w:t>[Para la aplicación de esta causal la Entidad debe tener en cuenta que el valor unitario establecido en el Formulario 1 – Formulario de Presupuesto Oficial incluye el valor de AIU]</w:t>
      </w:r>
      <w:r w:rsidRPr="00144357">
        <w:rPr>
          <w:rFonts w:ascii="Verdana" w:hAnsi="Verdana"/>
          <w:sz w:val="18"/>
          <w:szCs w:val="18"/>
          <w:lang w:val="es-MX"/>
        </w:rPr>
        <w:t xml:space="preserve"> </w:t>
      </w:r>
    </w:p>
    <w:p w14:paraId="36F340E8" w14:textId="77777777" w:rsidR="00E85C62" w:rsidRPr="00144357" w:rsidRDefault="00E85C62" w:rsidP="00E85C62">
      <w:pPr>
        <w:pStyle w:val="Prrafodelista"/>
        <w:spacing w:line="276" w:lineRule="auto"/>
        <w:rPr>
          <w:rFonts w:ascii="Verdana" w:hAnsi="Verdana"/>
          <w:sz w:val="18"/>
          <w:szCs w:val="18"/>
          <w:lang w:val="es-MX"/>
        </w:rPr>
      </w:pPr>
    </w:p>
    <w:p w14:paraId="2D0DCDB6" w14:textId="77777777" w:rsidR="00E85C62" w:rsidRPr="00144357" w:rsidRDefault="00E85C62" w:rsidP="00E85C62">
      <w:pPr>
        <w:pStyle w:val="Prrafodelista"/>
        <w:spacing w:line="276" w:lineRule="auto"/>
        <w:ind w:firstLine="282"/>
        <w:jc w:val="both"/>
        <w:rPr>
          <w:rFonts w:ascii="Verdana" w:hAnsi="Verdana"/>
          <w:sz w:val="18"/>
          <w:szCs w:val="18"/>
          <w:lang w:val="es-MX"/>
        </w:rPr>
      </w:pPr>
      <w:r w:rsidRPr="00144357">
        <w:rPr>
          <w:rFonts w:ascii="Verdana" w:hAnsi="Verdana"/>
          <w:sz w:val="18"/>
          <w:szCs w:val="18"/>
          <w:lang w:val="es-MX"/>
        </w:rPr>
        <w:t xml:space="preserve">P. </w:t>
      </w:r>
      <w:r w:rsidRPr="00144357">
        <w:rPr>
          <w:rFonts w:ascii="Verdana" w:hAnsi="Verdana"/>
          <w:sz w:val="18"/>
          <w:szCs w:val="18"/>
          <w:highlight w:val="lightGray"/>
          <w:lang w:val="es-MX"/>
        </w:rPr>
        <w:t>[Esta causal aplica de acuerdo con la configuración de la oferta económica por parte de la Entidad]</w:t>
      </w:r>
      <w:r w:rsidRPr="00144357">
        <w:rPr>
          <w:rFonts w:ascii="Verdana" w:hAnsi="Verdana"/>
          <w:sz w:val="18"/>
          <w:szCs w:val="18"/>
          <w:lang w:val="es-MX"/>
        </w:rPr>
        <w:t xml:space="preserve"> No discriminar en la oferta económica el porcentaje de AIU en la forma como lo establece el Pliego de Condiciones y el Formulario 1 – Formulario de Presupuesto Oficial. </w:t>
      </w:r>
    </w:p>
    <w:p w14:paraId="05999943" w14:textId="77777777" w:rsidR="00E85C62" w:rsidRPr="00144357" w:rsidRDefault="00E85C62" w:rsidP="00E85C62">
      <w:pPr>
        <w:pStyle w:val="Prrafodelista"/>
        <w:spacing w:line="276" w:lineRule="auto"/>
        <w:rPr>
          <w:rFonts w:ascii="Verdana" w:hAnsi="Verdana"/>
          <w:sz w:val="18"/>
          <w:szCs w:val="18"/>
          <w:lang w:val="es-MX"/>
        </w:rPr>
      </w:pPr>
    </w:p>
    <w:p w14:paraId="70994028" w14:textId="77777777" w:rsidR="00E85C62" w:rsidRPr="00144357" w:rsidRDefault="00E85C62" w:rsidP="00E85C62">
      <w:pPr>
        <w:pStyle w:val="Prrafodelista"/>
        <w:spacing w:line="276" w:lineRule="auto"/>
        <w:rPr>
          <w:rFonts w:ascii="Verdana" w:hAnsi="Verdana"/>
          <w:sz w:val="18"/>
          <w:szCs w:val="18"/>
          <w:lang w:val="es-MX"/>
        </w:rPr>
      </w:pPr>
      <w:r w:rsidRPr="00144357">
        <w:rPr>
          <w:rFonts w:ascii="Verdana" w:hAnsi="Verdana"/>
          <w:sz w:val="18"/>
          <w:szCs w:val="18"/>
          <w:highlight w:val="lightGray"/>
          <w:lang w:val="es-MX"/>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r>
        <w:rPr>
          <w:rFonts w:ascii="Verdana" w:hAnsi="Verdana"/>
          <w:sz w:val="18"/>
          <w:szCs w:val="18"/>
          <w:lang w:val="es-MX"/>
        </w:rPr>
        <w:t xml:space="preserve">”. </w:t>
      </w:r>
    </w:p>
    <w:p w14:paraId="423F2DCD" w14:textId="77777777" w:rsidR="00E85C62" w:rsidRPr="00144357" w:rsidRDefault="00E85C62" w:rsidP="00E85C62">
      <w:pPr>
        <w:pStyle w:val="Textonotapie"/>
        <w:ind w:firstLine="708"/>
        <w:rPr>
          <w:rFonts w:ascii="Verdana" w:hAnsi="Verdana"/>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988700460">
    <w:abstractNumId w:val="9"/>
  </w:num>
  <w:num w:numId="17" w16cid:durableId="1207447697">
    <w:abstractNumId w:val="0"/>
  </w:num>
  <w:num w:numId="18" w16cid:durableId="3914676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D0EF3"/>
    <w:rsid w:val="001E4177"/>
    <w:rsid w:val="001F0B24"/>
    <w:rsid w:val="001F7DC6"/>
    <w:rsid w:val="002229E0"/>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0979"/>
    <w:rsid w:val="003D0F4D"/>
    <w:rsid w:val="003D5B0D"/>
    <w:rsid w:val="003E0499"/>
    <w:rsid w:val="003E4F80"/>
    <w:rsid w:val="003E6439"/>
    <w:rsid w:val="003F3941"/>
    <w:rsid w:val="00406575"/>
    <w:rsid w:val="00414C74"/>
    <w:rsid w:val="0042722E"/>
    <w:rsid w:val="0044528D"/>
    <w:rsid w:val="00466E39"/>
    <w:rsid w:val="004A1847"/>
    <w:rsid w:val="004A305D"/>
    <w:rsid w:val="004E56DA"/>
    <w:rsid w:val="004F21C4"/>
    <w:rsid w:val="004F685F"/>
    <w:rsid w:val="0053085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245FF"/>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71A5"/>
    <w:rsid w:val="008D180B"/>
    <w:rsid w:val="008F0EA7"/>
    <w:rsid w:val="00923EEF"/>
    <w:rsid w:val="009419F9"/>
    <w:rsid w:val="0095685E"/>
    <w:rsid w:val="00961B09"/>
    <w:rsid w:val="00965334"/>
    <w:rsid w:val="0097093E"/>
    <w:rsid w:val="009A0DFA"/>
    <w:rsid w:val="009A1C6F"/>
    <w:rsid w:val="009B2D26"/>
    <w:rsid w:val="009B54F4"/>
    <w:rsid w:val="009C71FA"/>
    <w:rsid w:val="009C72E7"/>
    <w:rsid w:val="009C7F7E"/>
    <w:rsid w:val="009D3058"/>
    <w:rsid w:val="009F3A13"/>
    <w:rsid w:val="00A122D3"/>
    <w:rsid w:val="00A14468"/>
    <w:rsid w:val="00A17F13"/>
    <w:rsid w:val="00A20739"/>
    <w:rsid w:val="00A23AF9"/>
    <w:rsid w:val="00A33C78"/>
    <w:rsid w:val="00AB0ADB"/>
    <w:rsid w:val="00AB4DF8"/>
    <w:rsid w:val="00AD3DA4"/>
    <w:rsid w:val="00B00C0E"/>
    <w:rsid w:val="00B01B1A"/>
    <w:rsid w:val="00B0381D"/>
    <w:rsid w:val="00B44A47"/>
    <w:rsid w:val="00B72CD3"/>
    <w:rsid w:val="00B72FFF"/>
    <w:rsid w:val="00BC3D36"/>
    <w:rsid w:val="00BD54A6"/>
    <w:rsid w:val="00BD7F72"/>
    <w:rsid w:val="00BE0234"/>
    <w:rsid w:val="00BF7425"/>
    <w:rsid w:val="00C04FB3"/>
    <w:rsid w:val="00C06EDE"/>
    <w:rsid w:val="00C11D8B"/>
    <w:rsid w:val="00C15139"/>
    <w:rsid w:val="00C330EB"/>
    <w:rsid w:val="00C50D69"/>
    <w:rsid w:val="00C5365C"/>
    <w:rsid w:val="00C754BE"/>
    <w:rsid w:val="00C76B1C"/>
    <w:rsid w:val="00C925AC"/>
    <w:rsid w:val="00CB5CBD"/>
    <w:rsid w:val="00CB6357"/>
    <w:rsid w:val="00CC1B26"/>
    <w:rsid w:val="00D23222"/>
    <w:rsid w:val="00D361FD"/>
    <w:rsid w:val="00D423A2"/>
    <w:rsid w:val="00D44E26"/>
    <w:rsid w:val="00D520D8"/>
    <w:rsid w:val="00D63AC2"/>
    <w:rsid w:val="00D7383B"/>
    <w:rsid w:val="00D7788A"/>
    <w:rsid w:val="00DA231B"/>
    <w:rsid w:val="00DC39FC"/>
    <w:rsid w:val="00DF2F09"/>
    <w:rsid w:val="00DF5254"/>
    <w:rsid w:val="00E02524"/>
    <w:rsid w:val="00E16408"/>
    <w:rsid w:val="00E20894"/>
    <w:rsid w:val="00E245AB"/>
    <w:rsid w:val="00E2764C"/>
    <w:rsid w:val="00E27F2E"/>
    <w:rsid w:val="00E50AFE"/>
    <w:rsid w:val="00E75C92"/>
    <w:rsid w:val="00E771DC"/>
    <w:rsid w:val="00E85C62"/>
    <w:rsid w:val="00E8772A"/>
    <w:rsid w:val="00E90F6B"/>
    <w:rsid w:val="00E92C27"/>
    <w:rsid w:val="00EA0E3D"/>
    <w:rsid w:val="00EC38A7"/>
    <w:rsid w:val="00EE1AA8"/>
    <w:rsid w:val="00F23FEA"/>
    <w:rsid w:val="00F31EDC"/>
    <w:rsid w:val="00F3361D"/>
    <w:rsid w:val="00F462B3"/>
    <w:rsid w:val="00F5664F"/>
    <w:rsid w:val="00F666C4"/>
    <w:rsid w:val="00F716A0"/>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3CA9B2E8"/>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E85C62"/>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E85C62"/>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E85C62"/>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E85C62"/>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E85C62"/>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E85C62"/>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E85C62"/>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E85C62"/>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E85C62"/>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E85C62"/>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E85C62"/>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E85C62"/>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E85C62"/>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E85C62"/>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E85C62"/>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E85C62"/>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E85C62"/>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E85C62"/>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E85C62"/>
  </w:style>
  <w:style w:type="character" w:customStyle="1" w:styleId="Ttulo1Car">
    <w:name w:val="Título 1 Car"/>
    <w:basedOn w:val="Fuentedeprrafopredeter"/>
    <w:link w:val="Ttulo1"/>
    <w:uiPriority w:val="9"/>
    <w:rsid w:val="00E85C62"/>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E85C62"/>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E85C62"/>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E85C62"/>
    <w:rPr>
      <w:rFonts w:eastAsia="Times New Roman" w:cs="Times New Roman"/>
      <w:i/>
      <w:iCs/>
      <w:color w:val="0F4761"/>
    </w:rPr>
  </w:style>
  <w:style w:type="character" w:customStyle="1" w:styleId="Ttulo5Car">
    <w:name w:val="Título 5 Car"/>
    <w:basedOn w:val="Fuentedeprrafopredeter"/>
    <w:link w:val="Ttulo5"/>
    <w:uiPriority w:val="9"/>
    <w:semiHidden/>
    <w:rsid w:val="00E85C62"/>
    <w:rPr>
      <w:rFonts w:eastAsia="Times New Roman" w:cs="Times New Roman"/>
      <w:color w:val="0F4761"/>
    </w:rPr>
  </w:style>
  <w:style w:type="character" w:customStyle="1" w:styleId="Ttulo6Car">
    <w:name w:val="Título 6 Car"/>
    <w:basedOn w:val="Fuentedeprrafopredeter"/>
    <w:link w:val="Ttulo6"/>
    <w:uiPriority w:val="9"/>
    <w:semiHidden/>
    <w:rsid w:val="00E85C62"/>
    <w:rPr>
      <w:rFonts w:eastAsia="Times New Roman" w:cs="Times New Roman"/>
      <w:i/>
      <w:iCs/>
      <w:color w:val="595959"/>
    </w:rPr>
  </w:style>
  <w:style w:type="character" w:customStyle="1" w:styleId="Ttulo7Car">
    <w:name w:val="Título 7 Car"/>
    <w:basedOn w:val="Fuentedeprrafopredeter"/>
    <w:link w:val="Ttulo7"/>
    <w:uiPriority w:val="9"/>
    <w:semiHidden/>
    <w:rsid w:val="00E85C62"/>
    <w:rPr>
      <w:rFonts w:eastAsia="Times New Roman" w:cs="Times New Roman"/>
      <w:color w:val="595959"/>
    </w:rPr>
  </w:style>
  <w:style w:type="character" w:customStyle="1" w:styleId="Ttulo8Car">
    <w:name w:val="Título 8 Car"/>
    <w:basedOn w:val="Fuentedeprrafopredeter"/>
    <w:link w:val="Ttulo8"/>
    <w:uiPriority w:val="9"/>
    <w:semiHidden/>
    <w:rsid w:val="00E85C62"/>
    <w:rPr>
      <w:rFonts w:eastAsia="Times New Roman" w:cs="Times New Roman"/>
      <w:i/>
      <w:iCs/>
      <w:color w:val="272727"/>
    </w:rPr>
  </w:style>
  <w:style w:type="character" w:customStyle="1" w:styleId="Ttulo9Car">
    <w:name w:val="Título 9 Car"/>
    <w:basedOn w:val="Fuentedeprrafopredeter"/>
    <w:link w:val="Ttulo9"/>
    <w:uiPriority w:val="9"/>
    <w:semiHidden/>
    <w:rsid w:val="00E85C62"/>
    <w:rPr>
      <w:rFonts w:eastAsia="Times New Roman" w:cs="Times New Roman"/>
      <w:color w:val="272727"/>
    </w:rPr>
  </w:style>
  <w:style w:type="paragraph" w:customStyle="1" w:styleId="Subttulo1">
    <w:name w:val="Subtítulo1"/>
    <w:basedOn w:val="Normal"/>
    <w:next w:val="Normal"/>
    <w:uiPriority w:val="11"/>
    <w:qFormat/>
    <w:rsid w:val="00E85C62"/>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E85C62"/>
    <w:rPr>
      <w:rFonts w:eastAsia="Times New Roman" w:cs="Times New Roman"/>
      <w:color w:val="595959"/>
      <w:spacing w:val="15"/>
      <w:sz w:val="28"/>
      <w:szCs w:val="28"/>
    </w:rPr>
  </w:style>
  <w:style w:type="paragraph" w:customStyle="1" w:styleId="Cita1">
    <w:name w:val="Cita1"/>
    <w:basedOn w:val="Normal"/>
    <w:next w:val="Normal"/>
    <w:uiPriority w:val="29"/>
    <w:qFormat/>
    <w:rsid w:val="00E85C62"/>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E85C62"/>
    <w:rPr>
      <w:i/>
      <w:iCs/>
      <w:color w:val="404040"/>
    </w:rPr>
  </w:style>
  <w:style w:type="character" w:customStyle="1" w:styleId="nfasisintenso1">
    <w:name w:val="Énfasis intenso1"/>
    <w:basedOn w:val="Fuentedeprrafopredeter"/>
    <w:uiPriority w:val="21"/>
    <w:qFormat/>
    <w:rsid w:val="00E85C62"/>
    <w:rPr>
      <w:i/>
      <w:iCs/>
      <w:color w:val="0F4761"/>
    </w:rPr>
  </w:style>
  <w:style w:type="paragraph" w:customStyle="1" w:styleId="Citadestacada1">
    <w:name w:val="Cita destacada1"/>
    <w:basedOn w:val="Normal"/>
    <w:next w:val="Normal"/>
    <w:uiPriority w:val="30"/>
    <w:qFormat/>
    <w:rsid w:val="00E85C62"/>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E85C62"/>
    <w:rPr>
      <w:i/>
      <w:iCs/>
      <w:color w:val="0F4761"/>
    </w:rPr>
  </w:style>
  <w:style w:type="character" w:customStyle="1" w:styleId="Referenciaintensa1">
    <w:name w:val="Referencia intensa1"/>
    <w:basedOn w:val="Fuentedeprrafopredeter"/>
    <w:uiPriority w:val="32"/>
    <w:qFormat/>
    <w:rsid w:val="00E85C62"/>
    <w:rPr>
      <w:b/>
      <w:bCs/>
      <w:smallCaps/>
      <w:color w:val="0F4761"/>
      <w:spacing w:val="5"/>
    </w:rPr>
  </w:style>
  <w:style w:type="table" w:customStyle="1" w:styleId="Tablaconcuadrcula1">
    <w:name w:val="Tabla con cuadrícula1"/>
    <w:basedOn w:val="Tablanormal"/>
    <w:next w:val="Tablaconcuadrcula"/>
    <w:uiPriority w:val="39"/>
    <w:qFormat/>
    <w:rsid w:val="00E8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85C62"/>
    <w:pPr>
      <w:spacing w:after="0" w:line="240" w:lineRule="exact"/>
    </w:pPr>
    <w:rPr>
      <w:vertAlign w:val="superscript"/>
    </w:rPr>
  </w:style>
  <w:style w:type="character" w:styleId="nfasis">
    <w:name w:val="Emphasis"/>
    <w:basedOn w:val="Fuentedeprrafopredeter"/>
    <w:uiPriority w:val="20"/>
    <w:qFormat/>
    <w:rsid w:val="00E85C62"/>
    <w:rPr>
      <w:i/>
      <w:iCs/>
    </w:rPr>
  </w:style>
  <w:style w:type="paragraph" w:customStyle="1" w:styleId="InviasNormal">
    <w:name w:val="Invias Normal"/>
    <w:basedOn w:val="Normal"/>
    <w:link w:val="InviasNormalCar"/>
    <w:qFormat/>
    <w:rsid w:val="00E85C62"/>
    <w:pPr>
      <w:tabs>
        <w:tab w:val="left" w:pos="-142"/>
      </w:tabs>
      <w:autoSpaceDE w:val="0"/>
      <w:autoSpaceDN w:val="0"/>
      <w:adjustRightInd w:val="0"/>
      <w:spacing w:before="120" w:after="240" w:line="240" w:lineRule="auto"/>
      <w:jc w:val="both"/>
    </w:pPr>
    <w:rPr>
      <w:rFonts w:ascii="Arial Narrow" w:eastAsia="Times New Roman" w:hAnsi="Arial Narrow" w:cs="Times New Roman"/>
      <w:color w:val="3A3A3A"/>
      <w:sz w:val="24"/>
      <w:szCs w:val="24"/>
      <w:lang w:val="x-none" w:eastAsia="es-ES"/>
    </w:rPr>
  </w:style>
  <w:style w:type="character" w:customStyle="1" w:styleId="InviasNormalCar">
    <w:name w:val="Invias Normal Car"/>
    <w:link w:val="InviasNormal"/>
    <w:locked/>
    <w:rsid w:val="00E85C62"/>
    <w:rPr>
      <w:rFonts w:ascii="Arial Narrow" w:eastAsia="Times New Roman" w:hAnsi="Arial Narrow" w:cs="Times New Roman"/>
      <w:color w:val="3A3A3A"/>
      <w:sz w:val="24"/>
      <w:szCs w:val="24"/>
      <w:lang w:val="x-none"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E85C62"/>
    <w:rPr>
      <w:rFonts w:ascii="Geomanist Light" w:hAnsi="Geomanist Light"/>
      <w:lang w:val="es-ES"/>
    </w:rPr>
  </w:style>
  <w:style w:type="character" w:customStyle="1" w:styleId="Ttulo1Car1">
    <w:name w:val="Título 1 Car1"/>
    <w:basedOn w:val="Fuentedeprrafopredeter"/>
    <w:uiPriority w:val="9"/>
    <w:rsid w:val="00E85C62"/>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E85C62"/>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E85C62"/>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E85C62"/>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E85C62"/>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E85C62"/>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E85C62"/>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E85C6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E85C62"/>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E85C62"/>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E85C62"/>
    <w:rPr>
      <w:rFonts w:eastAsiaTheme="minorEastAsia"/>
      <w:color w:val="5A5A5A" w:themeColor="text1" w:themeTint="A5"/>
      <w:spacing w:val="15"/>
    </w:rPr>
  </w:style>
  <w:style w:type="paragraph" w:styleId="Cita">
    <w:name w:val="Quote"/>
    <w:basedOn w:val="Normal"/>
    <w:next w:val="Normal"/>
    <w:link w:val="CitaCar"/>
    <w:uiPriority w:val="29"/>
    <w:qFormat/>
    <w:rsid w:val="00E85C62"/>
    <w:pPr>
      <w:spacing w:before="200"/>
      <w:ind w:left="864" w:right="864"/>
      <w:jc w:val="center"/>
    </w:pPr>
    <w:rPr>
      <w:i/>
      <w:iCs/>
      <w:color w:val="404040"/>
    </w:rPr>
  </w:style>
  <w:style w:type="character" w:customStyle="1" w:styleId="CitaCar1">
    <w:name w:val="Cita Car1"/>
    <w:basedOn w:val="Fuentedeprrafopredeter"/>
    <w:uiPriority w:val="29"/>
    <w:rsid w:val="00E85C62"/>
    <w:rPr>
      <w:i/>
      <w:iCs/>
      <w:color w:val="404040" w:themeColor="text1" w:themeTint="BF"/>
    </w:rPr>
  </w:style>
  <w:style w:type="character" w:styleId="nfasisintenso">
    <w:name w:val="Intense Emphasis"/>
    <w:basedOn w:val="Fuentedeprrafopredeter"/>
    <w:uiPriority w:val="21"/>
    <w:qFormat/>
    <w:rsid w:val="00E85C62"/>
    <w:rPr>
      <w:i/>
      <w:iCs/>
      <w:color w:val="4472C4" w:themeColor="accent1"/>
    </w:rPr>
  </w:style>
  <w:style w:type="paragraph" w:styleId="Citadestacada">
    <w:name w:val="Intense Quote"/>
    <w:basedOn w:val="Normal"/>
    <w:next w:val="Normal"/>
    <w:link w:val="CitadestacadaCar"/>
    <w:uiPriority w:val="30"/>
    <w:qFormat/>
    <w:rsid w:val="00E85C62"/>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E85C62"/>
    <w:rPr>
      <w:i/>
      <w:iCs/>
      <w:color w:val="4472C4" w:themeColor="accent1"/>
    </w:rPr>
  </w:style>
  <w:style w:type="character" w:styleId="Referenciaintensa">
    <w:name w:val="Intense Reference"/>
    <w:basedOn w:val="Fuentedeprrafopredeter"/>
    <w:uiPriority w:val="32"/>
    <w:qFormat/>
    <w:rsid w:val="00E85C62"/>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BBA2432-E3F0-4C97-9EF3-006DC2198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48</Pages>
  <Words>16359</Words>
  <Characters>89976</Characters>
  <Application>Microsoft Office Word</Application>
  <DocSecurity>0</DocSecurity>
  <Lines>749</Lines>
  <Paragraphs>212</Paragraphs>
  <ScaleCrop>false</ScaleCrop>
  <Company/>
  <LinksUpToDate>false</LinksUpToDate>
  <CharactersWithSpaces>106123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2026-09-23T13:08:00Z</dcterms:created>
  <dcterms:modified xsi:type="dcterms:W3CDTF">2026-09-24T00:11:00Z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