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C666" w14:textId="77777777" w:rsidR="00E01383" w:rsidRPr="000D30A7" w:rsidRDefault="00E01383" w:rsidP="00E01383">
      <w:pPr>
        <w:spacing w:after="0" w:line="240" w:lineRule="auto"/>
        <w:contextualSpacing/>
        <w:jc w:val="both"/>
        <w:rPr>
          <w:rFonts w:ascii="Verdana" w:eastAsia="Calibri" w:hAnsi="Verdana" w:cs="Arial"/>
          <w:b/>
          <w:noProof/>
          <w:lang w:val="es-ES_tradnl" w:eastAsia="es-ES_tradnl"/>
        </w:rPr>
      </w:pPr>
      <w:bookmarkStart w:id="0" w:name="_Hlk143780582"/>
      <w:r w:rsidRPr="000D30A7">
        <w:rPr>
          <w:rFonts w:ascii="Verdana" w:eastAsia="Calibri" w:hAnsi="Verdana" w:cs="Arial"/>
          <w:b/>
          <w:noProof/>
          <w:lang w:val="es-ES_tradnl" w:eastAsia="es-ES_tradnl"/>
        </w:rPr>
        <w:t xml:space="preserve">PLANEACIÓN CONTRACTUAL – Noción </w:t>
      </w:r>
    </w:p>
    <w:p w14:paraId="762E0D5E" w14:textId="77777777" w:rsidR="00E01383" w:rsidRPr="000D30A7" w:rsidRDefault="00E01383" w:rsidP="00E01383">
      <w:pPr>
        <w:spacing w:after="0" w:line="240" w:lineRule="auto"/>
        <w:contextualSpacing/>
        <w:jc w:val="both"/>
        <w:rPr>
          <w:rFonts w:ascii="Verdana" w:eastAsia="Calibri" w:hAnsi="Verdana" w:cs="Arial"/>
          <w:b/>
          <w:noProof/>
          <w:sz w:val="20"/>
          <w:szCs w:val="20"/>
          <w:lang w:val="es-ES_tradnl" w:eastAsia="es-ES_tradnl"/>
        </w:rPr>
      </w:pPr>
    </w:p>
    <w:p w14:paraId="5FC3D8F1" w14:textId="77777777" w:rsidR="00E01383" w:rsidRPr="000D30A7" w:rsidRDefault="00E01383" w:rsidP="00E01383">
      <w:pPr>
        <w:spacing w:after="0" w:line="240" w:lineRule="auto"/>
        <w:contextualSpacing/>
        <w:jc w:val="both"/>
        <w:rPr>
          <w:rFonts w:ascii="Verdana" w:eastAsia="Calibri" w:hAnsi="Verdana" w:cs="Arial"/>
          <w:bCs/>
          <w:sz w:val="20"/>
          <w:szCs w:val="20"/>
          <w:lang w:val="es-ES_tradnl" w:eastAsia="es-MX"/>
        </w:rPr>
      </w:pPr>
      <w:r w:rsidRPr="000D30A7">
        <w:rPr>
          <w:rFonts w:ascii="Verdana" w:eastAsia="Calibri" w:hAnsi="Verdana" w:cs="Arial"/>
          <w:bCs/>
          <w:sz w:val="20"/>
          <w:szCs w:val="20"/>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776670E3" w14:textId="77777777" w:rsidR="00E01383" w:rsidRPr="000D30A7" w:rsidRDefault="00E01383" w:rsidP="00E01383">
      <w:pPr>
        <w:spacing w:after="0" w:line="240" w:lineRule="auto"/>
        <w:contextualSpacing/>
        <w:jc w:val="both"/>
        <w:rPr>
          <w:rFonts w:ascii="Verdana" w:eastAsia="Times New Roman" w:hAnsi="Verdana" w:cs="Arial"/>
          <w:sz w:val="20"/>
          <w:szCs w:val="20"/>
          <w:lang w:val="es-ES_tradnl" w:eastAsia="es-MX"/>
        </w:rPr>
      </w:pPr>
    </w:p>
    <w:p w14:paraId="30059E6A" w14:textId="77777777" w:rsidR="00E01383" w:rsidRPr="000D30A7" w:rsidRDefault="00E01383" w:rsidP="00E01383">
      <w:pPr>
        <w:spacing w:after="0" w:line="240" w:lineRule="auto"/>
        <w:contextualSpacing/>
        <w:jc w:val="both"/>
        <w:rPr>
          <w:rFonts w:ascii="Verdana" w:eastAsia="Calibri" w:hAnsi="Verdana" w:cs="Arial"/>
          <w:bCs/>
          <w:sz w:val="20"/>
          <w:szCs w:val="20"/>
          <w:lang w:val="es-MX" w:eastAsia="es-ES_tradnl"/>
        </w:rPr>
      </w:pPr>
      <w:r w:rsidRPr="000D30A7">
        <w:rPr>
          <w:rFonts w:ascii="Verdana" w:eastAsia="Calibri" w:hAnsi="Verdana" w:cs="Arial"/>
          <w:bCs/>
          <w:sz w:val="20"/>
          <w:szCs w:val="20"/>
          <w:lang w:val="es-MX" w:eastAsia="es-ES_tradnl"/>
        </w:rPr>
        <w:t>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w:t>
      </w:r>
    </w:p>
    <w:p w14:paraId="629B1C5A" w14:textId="77777777" w:rsidR="00E01383" w:rsidRPr="000D30A7" w:rsidRDefault="00E01383" w:rsidP="00E01383">
      <w:pPr>
        <w:spacing w:after="0" w:line="240" w:lineRule="auto"/>
        <w:contextualSpacing/>
        <w:jc w:val="both"/>
        <w:rPr>
          <w:rFonts w:ascii="Verdana" w:eastAsia="Calibri" w:hAnsi="Verdana" w:cs="Arial"/>
          <w:b/>
          <w:noProof/>
          <w:sz w:val="20"/>
          <w:szCs w:val="20"/>
          <w:lang w:val="es-ES_tradnl" w:eastAsia="es-ES_tradnl"/>
        </w:rPr>
      </w:pPr>
    </w:p>
    <w:p w14:paraId="739B8C59" w14:textId="77777777" w:rsidR="00E01383" w:rsidRPr="000D30A7" w:rsidRDefault="00E01383" w:rsidP="00E01383">
      <w:pPr>
        <w:spacing w:after="0" w:line="240" w:lineRule="auto"/>
        <w:contextualSpacing/>
        <w:jc w:val="both"/>
        <w:rPr>
          <w:rFonts w:ascii="Verdana" w:eastAsia="Times New Roman" w:hAnsi="Verdana" w:cs="Arial"/>
          <w:b/>
          <w:bCs/>
          <w:lang w:eastAsia="es-ES_tradnl"/>
        </w:rPr>
      </w:pPr>
      <w:r w:rsidRPr="000D30A7">
        <w:rPr>
          <w:rFonts w:ascii="Verdana" w:eastAsia="Times New Roman" w:hAnsi="Verdana" w:cs="Arial"/>
          <w:b/>
          <w:bCs/>
          <w:lang w:eastAsia="es-ES_tradnl"/>
        </w:rPr>
        <w:t>ESTUDIOS PREVIOS – Análisis del sector – Planeación en los procesos de contratación pública</w:t>
      </w:r>
    </w:p>
    <w:p w14:paraId="31642280" w14:textId="77777777" w:rsidR="00E01383" w:rsidRPr="000D30A7" w:rsidRDefault="00E01383" w:rsidP="00E01383">
      <w:pPr>
        <w:spacing w:after="0" w:line="240" w:lineRule="auto"/>
        <w:contextualSpacing/>
        <w:jc w:val="both"/>
        <w:rPr>
          <w:rFonts w:ascii="Verdana" w:eastAsia="Times New Roman" w:hAnsi="Verdana" w:cs="Arial"/>
          <w:sz w:val="20"/>
          <w:szCs w:val="20"/>
          <w:lang w:eastAsia="es-ES_tradnl"/>
        </w:rPr>
      </w:pPr>
    </w:p>
    <w:p w14:paraId="698C5F31" w14:textId="77777777" w:rsidR="00E01383" w:rsidRPr="000D30A7" w:rsidRDefault="00E01383" w:rsidP="00E01383">
      <w:pPr>
        <w:spacing w:after="0" w:line="240" w:lineRule="auto"/>
        <w:contextualSpacing/>
        <w:jc w:val="both"/>
        <w:rPr>
          <w:rFonts w:ascii="Verdana" w:eastAsia="Times New Roman" w:hAnsi="Verdana" w:cs="Arial"/>
          <w:sz w:val="20"/>
          <w:szCs w:val="20"/>
          <w:lang w:val="es-ES_tradnl" w:eastAsia="es-MX"/>
        </w:rPr>
      </w:pPr>
      <w:r w:rsidRPr="000D30A7">
        <w:rPr>
          <w:rFonts w:ascii="Verdana" w:eastAsia="Calibri" w:hAnsi="Verdana" w:cs="Arial"/>
          <w:sz w:val="20"/>
          <w:szCs w:val="20"/>
          <w:lang w:eastAsia="es-ES_tradnl"/>
        </w:rPr>
        <w:t xml:space="preserve">[…] </w:t>
      </w:r>
      <w:r w:rsidRPr="000D30A7">
        <w:rPr>
          <w:rFonts w:ascii="Verdana" w:eastAsia="Times New Roman" w:hAnsi="Verdana" w:cs="Arial"/>
          <w:sz w:val="20"/>
          <w:szCs w:val="20"/>
          <w:lang w:val="es-ES_tradnl" w:eastAsia="es-MX"/>
        </w:rPr>
        <w:t xml:space="preserve">antes de iniciar un procedimiento de selección, la Entidad Estatal podrá determinar con los estudios previos: i) la verdadera necesidad de la celebración del contrato; </w:t>
      </w:r>
      <w:proofErr w:type="spellStart"/>
      <w:r w:rsidRPr="000D30A7">
        <w:rPr>
          <w:rFonts w:ascii="Verdana" w:eastAsia="Times New Roman" w:hAnsi="Verdana" w:cs="Arial"/>
          <w:sz w:val="20"/>
          <w:szCs w:val="20"/>
          <w:lang w:val="es-ES_tradnl" w:eastAsia="es-MX"/>
        </w:rPr>
        <w:t>ii</w:t>
      </w:r>
      <w:proofErr w:type="spellEnd"/>
      <w:r w:rsidRPr="000D30A7">
        <w:rPr>
          <w:rFonts w:ascii="Verdana" w:eastAsia="Times New Roman" w:hAnsi="Verdana" w:cs="Arial"/>
          <w:sz w:val="20"/>
          <w:szCs w:val="20"/>
          <w:lang w:val="es-ES_tradnl" w:eastAsia="es-MX"/>
        </w:rPr>
        <w:t xml:space="preserve">) las modalidades existentes para satisfacer esa necesidad y las razones que justifiquen la modalidad o tipo contractual que se escoja; </w:t>
      </w:r>
      <w:proofErr w:type="spellStart"/>
      <w:r w:rsidRPr="000D30A7">
        <w:rPr>
          <w:rFonts w:ascii="Verdana" w:eastAsia="Times New Roman" w:hAnsi="Verdana" w:cs="Arial"/>
          <w:sz w:val="20"/>
          <w:szCs w:val="20"/>
          <w:lang w:val="es-ES_tradnl" w:eastAsia="es-MX"/>
        </w:rPr>
        <w:t>iii</w:t>
      </w:r>
      <w:proofErr w:type="spellEnd"/>
      <w:r w:rsidRPr="000D30A7">
        <w:rPr>
          <w:rFonts w:ascii="Verdana" w:eastAsia="Times New Roman" w:hAnsi="Verdana" w:cs="Arial"/>
          <w:sz w:val="20"/>
          <w:szCs w:val="20"/>
          <w:lang w:val="es-ES_tradnl" w:eastAsia="es-MX"/>
        </w:rPr>
        <w:t xml:space="preserve">) las calidades, especificaciones, cantidades y demás características que puedan o deban reunir los bienes, las obras o los servicios cuya contratación se haya determinado necesaria, </w:t>
      </w:r>
      <w:proofErr w:type="spellStart"/>
      <w:r w:rsidRPr="000D30A7">
        <w:rPr>
          <w:rFonts w:ascii="Verdana" w:eastAsia="Times New Roman" w:hAnsi="Verdana" w:cs="Arial"/>
          <w:sz w:val="20"/>
          <w:szCs w:val="20"/>
          <w:lang w:val="es-ES_tradnl" w:eastAsia="es-MX"/>
        </w:rPr>
        <w:t>iv</w:t>
      </w:r>
      <w:proofErr w:type="spellEnd"/>
      <w:r w:rsidRPr="000D30A7">
        <w:rPr>
          <w:rFonts w:ascii="Verdana" w:eastAsia="Times New Roman" w:hAnsi="Verdana" w:cs="Arial"/>
          <w:sz w:val="20"/>
          <w:szCs w:val="20"/>
          <w:lang w:val="es-ES_tradnl"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0D30A7">
        <w:rPr>
          <w:rFonts w:ascii="Verdana" w:eastAsia="Times New Roman" w:hAnsi="Verdana" w:cs="Arial"/>
          <w:sz w:val="20"/>
          <w:szCs w:val="20"/>
          <w:lang w:val="es-ES_tradnl" w:eastAsia="es-MX"/>
        </w:rPr>
        <w:t>vii</w:t>
      </w:r>
      <w:proofErr w:type="spellEnd"/>
      <w:r w:rsidRPr="000D30A7">
        <w:rPr>
          <w:rFonts w:ascii="Verdana" w:eastAsia="Times New Roman" w:hAnsi="Verdana" w:cs="Arial"/>
          <w:sz w:val="20"/>
          <w:szCs w:val="20"/>
          <w:lang w:val="es-ES_tradnl"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r w:rsidRPr="000D30A7">
        <w:rPr>
          <w:rFonts w:ascii="Verdana" w:eastAsia="Calibri" w:hAnsi="Verdana" w:cs="Arial"/>
          <w:bCs/>
          <w:sz w:val="20"/>
          <w:szCs w:val="20"/>
          <w:lang w:val="es-ES_tradnl" w:eastAsia="es-MX"/>
        </w:rPr>
        <w:t xml:space="preserve">permite que los contratos resultantes de la planeación cuenten con el sustento técnico, económico y jurídico que incidirá </w:t>
      </w:r>
      <w:r w:rsidRPr="000D30A7">
        <w:rPr>
          <w:rFonts w:ascii="Verdana" w:eastAsia="Times New Roman" w:hAnsi="Verdana" w:cs="Arial"/>
          <w:sz w:val="20"/>
          <w:szCs w:val="20"/>
          <w:lang w:val="es-ES_tradnl" w:eastAsia="es-MX"/>
        </w:rPr>
        <w:t>en una adecuada ejecución.</w:t>
      </w:r>
    </w:p>
    <w:p w14:paraId="492CBAB5" w14:textId="77777777" w:rsidR="00E01383" w:rsidRPr="000D30A7" w:rsidRDefault="00E01383" w:rsidP="00E01383">
      <w:pPr>
        <w:spacing w:after="0" w:line="240" w:lineRule="auto"/>
        <w:contextualSpacing/>
        <w:jc w:val="both"/>
        <w:rPr>
          <w:rFonts w:ascii="Verdana" w:eastAsia="Times New Roman" w:hAnsi="Verdana" w:cs="Arial"/>
          <w:sz w:val="20"/>
          <w:szCs w:val="20"/>
          <w:lang w:val="es-ES_tradnl" w:eastAsia="es-MX"/>
        </w:rPr>
      </w:pPr>
    </w:p>
    <w:p w14:paraId="3FBC19B5" w14:textId="77777777" w:rsidR="00C04FF3" w:rsidRPr="000D30A7" w:rsidRDefault="00C04FF3" w:rsidP="00C04FF3">
      <w:pPr>
        <w:spacing w:after="0" w:line="240" w:lineRule="auto"/>
        <w:jc w:val="both"/>
        <w:rPr>
          <w:rFonts w:ascii="Verdana" w:eastAsia="Calibri" w:hAnsi="Verdana" w:cs="Arial"/>
          <w:b/>
          <w:bCs/>
          <w:lang w:val="es-ES" w:eastAsia="es-ES"/>
        </w:rPr>
      </w:pPr>
      <w:r w:rsidRPr="000D30A7">
        <w:rPr>
          <w:rFonts w:ascii="Verdana" w:eastAsia="Calibri" w:hAnsi="Verdana" w:cs="Arial"/>
          <w:b/>
          <w:bCs/>
          <w:lang w:val="es-ES" w:eastAsia="es-ES"/>
        </w:rPr>
        <w:t>ESTUDIOS DE MERCADO – Finalidad – Recomendaciones – Colombia compra eficiente – Guía de elaboración de estudios del sector</w:t>
      </w:r>
    </w:p>
    <w:p w14:paraId="2E331B7B" w14:textId="77777777" w:rsidR="00C04FF3" w:rsidRPr="000D30A7" w:rsidRDefault="00C04FF3" w:rsidP="00C04FF3">
      <w:pPr>
        <w:spacing w:after="0" w:line="240" w:lineRule="auto"/>
        <w:rPr>
          <w:rFonts w:ascii="Verdana" w:eastAsia="Aptos" w:hAnsi="Verdana" w:cs="Times New Roman"/>
          <w:sz w:val="20"/>
          <w:szCs w:val="20"/>
        </w:rPr>
      </w:pPr>
    </w:p>
    <w:p w14:paraId="77D84AD7" w14:textId="00821BF5" w:rsidR="00C04FF3" w:rsidRPr="000D30A7" w:rsidRDefault="00C04FF3" w:rsidP="00E01383">
      <w:pPr>
        <w:spacing w:after="0" w:line="240" w:lineRule="auto"/>
        <w:jc w:val="both"/>
        <w:rPr>
          <w:rFonts w:ascii="Verdana" w:eastAsia="Aptos" w:hAnsi="Verdana" w:cs="Times New Roman"/>
          <w:sz w:val="20"/>
          <w:szCs w:val="20"/>
        </w:rPr>
      </w:pPr>
      <w:r w:rsidRPr="000D30A7">
        <w:rPr>
          <w:rFonts w:ascii="Verdana" w:eastAsia="Aptos" w:hAnsi="Verdana" w:cs="Times New Roman"/>
          <w:sz w:val="20"/>
          <w:szCs w:val="20"/>
        </w:rPr>
        <w:t xml:space="preserve">[…] este permite comprender la dinámica de los precios y establecer el presupuesto oficial de la contratación, el cual comprende la realización de un análisis de los diferentes precios de los bienes o servicios a contratar que se registran en el mercado, los cuales </w:t>
      </w:r>
      <w:r w:rsidRPr="000D30A7">
        <w:rPr>
          <w:rFonts w:ascii="Verdana" w:eastAsia="Aptos" w:hAnsi="Verdana" w:cs="Times New Roman"/>
          <w:sz w:val="20"/>
          <w:szCs w:val="20"/>
        </w:rPr>
        <w:lastRenderedPageBreak/>
        <w:t>pueden consultarse a través de mecanismos como la solicitud de cotizaciones, la consulta de bases de datos especializadas y el análisis de precios históricos. Este estudio de mercado debe responder claramente a las dinámicas de precio y, de esta manera, establecer el presupuesto oficial del proceso de contratación.</w:t>
      </w:r>
      <w:r w:rsidRPr="000D30A7">
        <w:rPr>
          <w:rFonts w:ascii="Verdana" w:hAnsi="Verdana"/>
        </w:rPr>
        <w:t xml:space="preserve"> </w:t>
      </w:r>
      <w:r w:rsidRPr="000D30A7">
        <w:rPr>
          <w:rFonts w:ascii="Verdana" w:eastAsia="Aptos" w:hAnsi="Verdana" w:cs="Times New Roman"/>
          <w:sz w:val="20"/>
          <w:szCs w:val="20"/>
        </w:rPr>
        <w:t xml:space="preserve">De esta forma, se tiene que, la Guía de Elaboración de Estudios del Sector en el numeral 1.3.4, propone a las Entidades Estatales los siguientes mecanismos para elaborar el estudio de precios de mercado: i) Revisión de precios por solicitud de cotizaciones […]. </w:t>
      </w:r>
      <w:proofErr w:type="spellStart"/>
      <w:r w:rsidRPr="000D30A7">
        <w:rPr>
          <w:rFonts w:ascii="Verdana" w:eastAsia="Aptos" w:hAnsi="Verdana" w:cs="Times New Roman"/>
          <w:sz w:val="20"/>
          <w:szCs w:val="20"/>
        </w:rPr>
        <w:t>ii</w:t>
      </w:r>
      <w:proofErr w:type="spellEnd"/>
      <w:r w:rsidRPr="000D30A7">
        <w:rPr>
          <w:rFonts w:ascii="Verdana" w:eastAsia="Aptos" w:hAnsi="Verdana" w:cs="Times New Roman"/>
          <w:sz w:val="20"/>
          <w:szCs w:val="20"/>
        </w:rPr>
        <w:t xml:space="preserve">) verificarse la ocurrencia de circunstancias que eventualmente pueden distorsionar los precios del mercado […]. </w:t>
      </w:r>
      <w:proofErr w:type="spellStart"/>
      <w:r w:rsidRPr="000D30A7">
        <w:rPr>
          <w:rFonts w:ascii="Verdana" w:eastAsia="Aptos" w:hAnsi="Verdana" w:cs="Times New Roman"/>
          <w:sz w:val="20"/>
          <w:szCs w:val="20"/>
        </w:rPr>
        <w:t>iii</w:t>
      </w:r>
      <w:proofErr w:type="spellEnd"/>
      <w:r w:rsidRPr="000D30A7">
        <w:rPr>
          <w:rFonts w:ascii="Verdana" w:eastAsia="Aptos" w:hAnsi="Verdana" w:cs="Times New Roman"/>
          <w:sz w:val="20"/>
          <w:szCs w:val="20"/>
        </w:rPr>
        <w:t>)</w:t>
      </w:r>
      <w:r w:rsidRPr="000D30A7">
        <w:rPr>
          <w:rFonts w:ascii="Verdana" w:hAnsi="Verdana"/>
        </w:rPr>
        <w:t xml:space="preserve"> </w:t>
      </w:r>
      <w:r w:rsidRPr="000D30A7">
        <w:rPr>
          <w:rFonts w:ascii="Verdana" w:eastAsia="Aptos" w:hAnsi="Verdana" w:cs="Times New Roman"/>
          <w:sz w:val="20"/>
          <w:szCs w:val="20"/>
        </w:rPr>
        <w:t xml:space="preserve">Revisión de bases de datos especializadas. </w:t>
      </w:r>
      <w:proofErr w:type="spellStart"/>
      <w:r w:rsidRPr="000D30A7">
        <w:rPr>
          <w:rFonts w:ascii="Verdana" w:eastAsia="Aptos" w:hAnsi="Verdana" w:cs="Times New Roman"/>
          <w:sz w:val="20"/>
          <w:szCs w:val="20"/>
        </w:rPr>
        <w:t>iv</w:t>
      </w:r>
      <w:proofErr w:type="spellEnd"/>
      <w:r w:rsidRPr="000D30A7">
        <w:rPr>
          <w:rFonts w:ascii="Verdana" w:eastAsia="Aptos" w:hAnsi="Verdana" w:cs="Times New Roman"/>
          <w:sz w:val="20"/>
          <w:szCs w:val="20"/>
        </w:rPr>
        <w:t>)</w:t>
      </w:r>
      <w:r w:rsidRPr="000D30A7">
        <w:rPr>
          <w:rFonts w:ascii="Verdana" w:hAnsi="Verdana"/>
        </w:rPr>
        <w:t xml:space="preserve"> </w:t>
      </w:r>
      <w:r w:rsidRPr="000D30A7">
        <w:rPr>
          <w:rFonts w:ascii="Verdana" w:eastAsia="Aptos" w:hAnsi="Verdana" w:cs="Times New Roman"/>
          <w:sz w:val="20"/>
          <w:szCs w:val="20"/>
        </w:rPr>
        <w:t>Revisión de precios históricos […]</w:t>
      </w:r>
    </w:p>
    <w:p w14:paraId="1B3FA51D" w14:textId="77777777" w:rsidR="00C04FF3" w:rsidRPr="000D30A7" w:rsidRDefault="00C04FF3" w:rsidP="00E01383">
      <w:pPr>
        <w:spacing w:after="0" w:line="240" w:lineRule="auto"/>
        <w:contextualSpacing/>
        <w:jc w:val="both"/>
        <w:rPr>
          <w:rFonts w:ascii="Verdana" w:eastAsia="Times New Roman" w:hAnsi="Verdana" w:cs="Arial"/>
          <w:sz w:val="20"/>
          <w:szCs w:val="20"/>
          <w:lang w:val="es-ES_tradnl" w:eastAsia="es-MX"/>
        </w:rPr>
      </w:pPr>
    </w:p>
    <w:p w14:paraId="54039EC6" w14:textId="77777777" w:rsidR="00E01383" w:rsidRPr="000D30A7" w:rsidRDefault="00E01383" w:rsidP="00E01383">
      <w:pPr>
        <w:spacing w:after="0" w:line="240" w:lineRule="auto"/>
        <w:contextualSpacing/>
        <w:rPr>
          <w:rFonts w:ascii="Verdana" w:eastAsia="Times New Roman" w:hAnsi="Verdana" w:cs="Arial"/>
          <w:b/>
          <w:bCs/>
          <w:lang w:eastAsia="es-ES_tradnl"/>
        </w:rPr>
      </w:pPr>
      <w:r w:rsidRPr="000D30A7">
        <w:rPr>
          <w:rFonts w:ascii="Verdana" w:eastAsia="Times New Roman" w:hAnsi="Verdana" w:cs="Arial"/>
          <w:b/>
          <w:bCs/>
          <w:lang w:eastAsia="es-ES_tradnl"/>
        </w:rPr>
        <w:t>ESTUDIOS PREVIOS – Estudio del mercado</w:t>
      </w:r>
    </w:p>
    <w:p w14:paraId="29EEF6C9" w14:textId="77777777" w:rsidR="00E01383" w:rsidRPr="000D30A7" w:rsidRDefault="00E01383" w:rsidP="00E01383">
      <w:pPr>
        <w:spacing w:after="0" w:line="240" w:lineRule="auto"/>
        <w:contextualSpacing/>
        <w:jc w:val="both"/>
        <w:rPr>
          <w:rFonts w:ascii="Verdana" w:eastAsia="Calibri" w:hAnsi="Verdana" w:cs="Arial"/>
          <w:sz w:val="20"/>
          <w:szCs w:val="20"/>
          <w:lang w:val="es-ES" w:eastAsia="es-ES_tradnl"/>
        </w:rPr>
      </w:pPr>
    </w:p>
    <w:p w14:paraId="4F7E433A" w14:textId="0D152F68" w:rsidR="00E01383" w:rsidRPr="000D30A7" w:rsidRDefault="004C7E9D" w:rsidP="00E01383">
      <w:pPr>
        <w:spacing w:after="0" w:line="240" w:lineRule="auto"/>
        <w:contextualSpacing/>
        <w:jc w:val="both"/>
        <w:rPr>
          <w:rFonts w:ascii="Verdana" w:eastAsia="Calibri" w:hAnsi="Verdana" w:cs="Arial"/>
          <w:sz w:val="20"/>
          <w:szCs w:val="20"/>
          <w:lang w:val="es-ES" w:eastAsia="es-ES_tradnl"/>
        </w:rPr>
      </w:pPr>
      <w:r w:rsidRPr="000D30A7">
        <w:rPr>
          <w:rFonts w:ascii="Verdana" w:eastAsia="Aptos" w:hAnsi="Verdana" w:cs="Times New Roman"/>
          <w:sz w:val="20"/>
          <w:szCs w:val="20"/>
        </w:rPr>
        <w:t>[…]</w:t>
      </w:r>
      <w:r w:rsidR="00E01383" w:rsidRPr="000D30A7">
        <w:rPr>
          <w:rFonts w:ascii="Verdana" w:eastAsia="Calibri" w:hAnsi="Verdana" w:cs="Arial"/>
          <w:sz w:val="20"/>
          <w:szCs w:val="20"/>
          <w:lang w:val="es-ES" w:eastAsia="es-ES_tradnl"/>
        </w:rPr>
        <w:t xml:space="preserve"> </w:t>
      </w:r>
      <w:r w:rsidRPr="000D30A7">
        <w:rPr>
          <w:rFonts w:ascii="Verdana" w:eastAsia="Calibri" w:hAnsi="Verdana" w:cs="Arial"/>
          <w:sz w:val="20"/>
          <w:szCs w:val="20"/>
          <w:lang w:val="es-ES" w:eastAsia="es-ES_tradnl"/>
        </w:rPr>
        <w:t>E</w:t>
      </w:r>
      <w:r w:rsidR="00E01383" w:rsidRPr="000D30A7">
        <w:rPr>
          <w:rFonts w:ascii="Verdana" w:eastAsia="Calibri" w:hAnsi="Verdana" w:cs="Arial"/>
          <w:sz w:val="20"/>
          <w:szCs w:val="20"/>
          <w:lang w:val="es-ES" w:eastAsia="es-ES_tradnl"/>
        </w:rPr>
        <w:t xml:space="preserve">l </w:t>
      </w:r>
      <w:r w:rsidR="00E01383" w:rsidRPr="000D30A7">
        <w:rPr>
          <w:rFonts w:ascii="Verdana" w:eastAsia="Calibri" w:hAnsi="Verdana" w:cs="Arial"/>
          <w:i/>
          <w:iCs/>
          <w:sz w:val="20"/>
          <w:szCs w:val="20"/>
          <w:lang w:val="es-ES" w:eastAsia="es-ES_tradnl"/>
        </w:rPr>
        <w:t xml:space="preserve">estudio del mercado, </w:t>
      </w:r>
      <w:r w:rsidR="00E01383" w:rsidRPr="000D30A7">
        <w:rPr>
          <w:rFonts w:ascii="Verdana" w:eastAsia="Calibri" w:hAnsi="Verdana" w:cs="Arial"/>
          <w:sz w:val="20"/>
          <w:szCs w:val="20"/>
          <w:lang w:val="es-ES" w:eastAsia="es-ES_tradnl"/>
        </w:rPr>
        <w:t xml:space="preserve">permite comprender la dinámica de los precios y establecer el presupuesto oficial de la contratación, el cual comprende la realización de un análisis de los diferentes precios de los bienes o servicios a contratar que se registran en el mercado, los cuales pueden consultarse a través de mecanismos como la solicitud de cotizaciones, la consulta de bases de datos especializadas y el análisis de precios históricos. Este estudio de mercado debe responder claramente cuáles son las dinámicas de precio y, de esta manera, establecer el presupuesto oficial del proceso de contratación. </w:t>
      </w:r>
    </w:p>
    <w:p w14:paraId="39E5E97A" w14:textId="77777777" w:rsidR="00E01383" w:rsidRPr="000D30A7" w:rsidRDefault="00E01383" w:rsidP="00E01383">
      <w:pPr>
        <w:spacing w:after="0" w:line="240" w:lineRule="auto"/>
        <w:contextualSpacing/>
        <w:jc w:val="both"/>
        <w:rPr>
          <w:rFonts w:ascii="Verdana" w:eastAsia="Calibri" w:hAnsi="Verdana" w:cs="Arial"/>
          <w:sz w:val="20"/>
          <w:szCs w:val="20"/>
          <w:lang w:val="es-ES" w:eastAsia="es-ES_tradnl"/>
        </w:rPr>
      </w:pPr>
    </w:p>
    <w:p w14:paraId="443ACC41" w14:textId="77777777" w:rsidR="00E01383" w:rsidRPr="000D30A7" w:rsidRDefault="00E01383" w:rsidP="00E01383">
      <w:pPr>
        <w:spacing w:after="0" w:line="240" w:lineRule="auto"/>
        <w:contextualSpacing/>
        <w:jc w:val="both"/>
        <w:rPr>
          <w:rFonts w:ascii="Verdana" w:eastAsia="Calibri" w:hAnsi="Verdana" w:cs="Arial"/>
          <w:sz w:val="20"/>
          <w:szCs w:val="20"/>
          <w:lang w:val="es-ES" w:eastAsia="es-ES_tradnl"/>
        </w:rPr>
      </w:pPr>
      <w:r w:rsidRPr="000D30A7">
        <w:rPr>
          <w:rFonts w:ascii="Verdana" w:eastAsia="Calibri" w:hAnsi="Verdana" w:cs="Arial"/>
          <w:sz w:val="20"/>
          <w:szCs w:val="20"/>
          <w:lang w:val="es-ES" w:eastAsia="es-ES_tradnl"/>
        </w:rPr>
        <w:t xml:space="preserve">En relación con la </w:t>
      </w:r>
      <w:r w:rsidRPr="000D30A7">
        <w:rPr>
          <w:rFonts w:ascii="Verdana" w:eastAsia="Calibri" w:hAnsi="Verdana" w:cs="Arial"/>
          <w:i/>
          <w:iCs/>
          <w:sz w:val="20"/>
          <w:szCs w:val="20"/>
          <w:lang w:val="es-ES" w:eastAsia="es-ES_tradnl"/>
        </w:rPr>
        <w:t>revisión de precios</w:t>
      </w:r>
      <w:r w:rsidRPr="000D30A7">
        <w:rPr>
          <w:rFonts w:ascii="Verdana" w:eastAsia="Calibri" w:hAnsi="Verdana" w:cs="Arial"/>
          <w:sz w:val="20"/>
          <w:szCs w:val="20"/>
          <w:lang w:val="es-ES" w:eastAsia="es-ES_tradnl"/>
        </w:rPr>
        <w:t xml:space="preserve">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 como, por ejemplo, especificaciones técnicas del bien o servicio a contratar, plazo del contrato, así como toda aquella información relevante que incida en el precio del bien o servicio. Así mismo, se indica que, al recibir las cotizaciones, debe verificarse la ocurrencia de circunstancias que eventualmente pueden distorsionar los precios del mercado, como ofertas especiales de almacenes de cadena, fenómenos de escasez o abundancia del producto, entre otros aspectos. </w:t>
      </w:r>
    </w:p>
    <w:p w14:paraId="1EBAB8C6" w14:textId="77777777" w:rsidR="00E01383" w:rsidRPr="000D30A7" w:rsidRDefault="00E01383" w:rsidP="00E01383">
      <w:pPr>
        <w:spacing w:after="0" w:line="240" w:lineRule="auto"/>
        <w:contextualSpacing/>
        <w:jc w:val="both"/>
        <w:rPr>
          <w:rFonts w:ascii="Verdana" w:eastAsia="Calibri" w:hAnsi="Verdana" w:cs="Arial"/>
          <w:b/>
          <w:noProof/>
          <w:sz w:val="20"/>
          <w:szCs w:val="20"/>
          <w:lang w:val="es-ES_tradnl" w:eastAsia="es-ES_tradnl"/>
        </w:rPr>
      </w:pPr>
    </w:p>
    <w:p w14:paraId="7C4F51A1" w14:textId="77777777" w:rsidR="00E01383" w:rsidRPr="000D30A7" w:rsidRDefault="00E01383" w:rsidP="00E01383">
      <w:pPr>
        <w:spacing w:after="0" w:line="240" w:lineRule="auto"/>
        <w:contextualSpacing/>
        <w:jc w:val="both"/>
        <w:rPr>
          <w:rFonts w:ascii="Verdana" w:eastAsia="Times New Roman" w:hAnsi="Verdana" w:cs="Arial"/>
          <w:b/>
          <w:bCs/>
          <w:lang w:eastAsia="es-ES_tradnl"/>
        </w:rPr>
      </w:pPr>
      <w:r w:rsidRPr="000D30A7">
        <w:rPr>
          <w:rFonts w:ascii="Verdana" w:eastAsia="Times New Roman" w:hAnsi="Verdana" w:cs="Arial"/>
          <w:b/>
          <w:bCs/>
          <w:lang w:eastAsia="es-ES_tradnl"/>
        </w:rPr>
        <w:t>ESTUDIOS PREVIOS – Metodologías – Cotizaciones – Autonomía</w:t>
      </w:r>
    </w:p>
    <w:p w14:paraId="09FB7531" w14:textId="77777777" w:rsidR="00E01383" w:rsidRPr="000D30A7" w:rsidRDefault="00E01383" w:rsidP="00E01383">
      <w:pPr>
        <w:spacing w:after="0" w:line="240" w:lineRule="auto"/>
        <w:jc w:val="both"/>
        <w:rPr>
          <w:rFonts w:ascii="Verdana" w:eastAsia="Times New Roman" w:hAnsi="Verdana" w:cs="Arial"/>
          <w:noProof/>
          <w:sz w:val="20"/>
          <w:szCs w:val="20"/>
          <w:highlight w:val="yellow"/>
          <w:lang w:val="es-ES_tradnl" w:eastAsia="es-ES_tradnl"/>
        </w:rPr>
      </w:pPr>
    </w:p>
    <w:p w14:paraId="0ECB9B44" w14:textId="77777777" w:rsidR="00E01383" w:rsidRPr="000D30A7" w:rsidRDefault="00E01383" w:rsidP="00E01383">
      <w:pPr>
        <w:spacing w:after="0" w:line="240" w:lineRule="auto"/>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En primer lugar, 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w:t>
      </w:r>
    </w:p>
    <w:p w14:paraId="3410379A" w14:textId="77777777" w:rsidR="00E01383" w:rsidRPr="000D30A7" w:rsidRDefault="00E01383" w:rsidP="00E01383">
      <w:pPr>
        <w:spacing w:after="0" w:line="240" w:lineRule="auto"/>
        <w:jc w:val="both"/>
        <w:rPr>
          <w:rFonts w:ascii="Verdana" w:eastAsia="Times New Roman" w:hAnsi="Verdana" w:cs="Arial"/>
          <w:sz w:val="20"/>
          <w:szCs w:val="20"/>
          <w:lang w:val="es-ES_tradnl" w:eastAsia="es-MX"/>
        </w:rPr>
      </w:pPr>
    </w:p>
    <w:p w14:paraId="6D31D5C0" w14:textId="77777777" w:rsidR="00E01383" w:rsidRPr="000D30A7" w:rsidRDefault="00E01383" w:rsidP="00E01383">
      <w:pPr>
        <w:spacing w:after="0" w:line="240" w:lineRule="auto"/>
        <w:jc w:val="both"/>
        <w:rPr>
          <w:rFonts w:ascii="Verdana" w:eastAsia="Times New Roman" w:hAnsi="Verdana" w:cs="Arial"/>
          <w:noProof/>
          <w:sz w:val="20"/>
          <w:szCs w:val="20"/>
          <w:lang w:val="es-ES" w:eastAsia="es-ES_tradnl"/>
        </w:rPr>
      </w:pPr>
      <w:r w:rsidRPr="000D30A7">
        <w:rPr>
          <w:rFonts w:ascii="Verdana" w:eastAsia="Times New Roman" w:hAnsi="Verdana" w:cs="Arial"/>
          <w:sz w:val="20"/>
          <w:szCs w:val="20"/>
          <w:lang w:val="es-ES_tradnl" w:eastAsia="es-MX"/>
        </w:rPr>
        <w:t xml:space="preserve">De acuerdo con la “Guía para la Elaboración de Estudios del Sector” expedida por Agencia Nacional de Contratación Pública – Colombia Compra Eficiente, allí se establecen varias metodologías, como las cotizaciones, que son un instrumento que sirve de apoyo para </w:t>
      </w:r>
      <w:r w:rsidRPr="000D30A7">
        <w:rPr>
          <w:rFonts w:ascii="Verdana" w:eastAsia="Times New Roman" w:hAnsi="Verdana" w:cs="Arial"/>
          <w:sz w:val="20"/>
          <w:szCs w:val="20"/>
          <w:lang w:val="es-ES_tradnl" w:eastAsia="es-MX"/>
        </w:rPr>
        <w:lastRenderedPageBreak/>
        <w:t>entender el mercado del bien, obra o servicio que la Entidad Estatal pretende adquirir para diseñar el Proceso de Contratación con la información necesaria para alcanzar los objetivos de eficacia, eficiencia, economía, promoción de la competencia y manejo del riesgo; no obstante, las Entidades Públicas gozan de autonomía razonada, a la hora de aplicar una metodología para elaborar el Estudio del Sector, para lo cual dentro de su Manual de Contratación establecerán aquella que consideren pertinente,  siempre y cuando acaten la Ley 1150 de 2007 y el Decreto 1082 de 2015 frente a esta materia.</w:t>
      </w:r>
    </w:p>
    <w:p w14:paraId="2BE2198B" w14:textId="77777777" w:rsidR="00E01383" w:rsidRPr="000D30A7" w:rsidRDefault="00E01383" w:rsidP="00E01383">
      <w:pPr>
        <w:spacing w:after="0" w:line="240" w:lineRule="auto"/>
        <w:jc w:val="both"/>
        <w:rPr>
          <w:rFonts w:ascii="Verdana" w:eastAsia="Times New Roman" w:hAnsi="Verdana" w:cs="Arial"/>
          <w:noProof/>
          <w:lang w:val="es-ES_tradnl" w:eastAsia="es-ES_tradnl"/>
        </w:rPr>
      </w:pPr>
    </w:p>
    <w:p w14:paraId="6093028D" w14:textId="77777777" w:rsidR="00E01383" w:rsidRPr="000D30A7" w:rsidRDefault="00E01383" w:rsidP="30821638">
      <w:pPr>
        <w:spacing w:after="0"/>
        <w:rPr>
          <w:rFonts w:ascii="Verdana" w:eastAsia="Verdana" w:hAnsi="Verdana" w:cs="Verdana"/>
          <w:lang w:val="es-ES_tradnl"/>
        </w:rPr>
      </w:pPr>
    </w:p>
    <w:p w14:paraId="04C340BD" w14:textId="77777777" w:rsidR="00E01383" w:rsidRPr="000D30A7" w:rsidRDefault="00E01383" w:rsidP="30821638">
      <w:pPr>
        <w:spacing w:after="0"/>
        <w:rPr>
          <w:rFonts w:ascii="Verdana" w:eastAsia="Verdana" w:hAnsi="Verdana" w:cs="Verdana"/>
          <w:lang w:val="es-ES_tradnl"/>
        </w:rPr>
      </w:pPr>
    </w:p>
    <w:p w14:paraId="4F3B56B5" w14:textId="77777777" w:rsidR="00E01383" w:rsidRPr="000D30A7" w:rsidRDefault="00E01383" w:rsidP="30821638">
      <w:pPr>
        <w:spacing w:after="0"/>
        <w:rPr>
          <w:rFonts w:ascii="Verdana" w:eastAsia="Verdana" w:hAnsi="Verdana" w:cs="Verdana"/>
          <w:lang w:val="es-ES_tradnl"/>
        </w:rPr>
      </w:pPr>
    </w:p>
    <w:p w14:paraId="12A75543" w14:textId="77777777" w:rsidR="00836EB4" w:rsidRPr="000D30A7" w:rsidRDefault="00836EB4" w:rsidP="30821638">
      <w:pPr>
        <w:spacing w:after="0"/>
        <w:rPr>
          <w:rFonts w:ascii="Verdana" w:eastAsia="Verdana" w:hAnsi="Verdana" w:cs="Verdana"/>
          <w:lang w:val="es-ES_tradnl"/>
        </w:rPr>
      </w:pPr>
    </w:p>
    <w:p w14:paraId="16602323" w14:textId="77777777" w:rsidR="00E01383" w:rsidRPr="000D30A7" w:rsidRDefault="00E01383" w:rsidP="30821638">
      <w:pPr>
        <w:spacing w:after="0"/>
        <w:rPr>
          <w:rFonts w:ascii="Verdana" w:eastAsia="Verdana" w:hAnsi="Verdana" w:cs="Verdana"/>
          <w:lang w:val="es-ES_tradnl"/>
        </w:rPr>
      </w:pPr>
    </w:p>
    <w:p w14:paraId="71A3AA88" w14:textId="77777777" w:rsidR="00A47E1F" w:rsidRPr="000D30A7" w:rsidRDefault="00A47E1F" w:rsidP="30821638">
      <w:pPr>
        <w:spacing w:after="0"/>
        <w:rPr>
          <w:rFonts w:ascii="Verdana" w:eastAsia="Verdana" w:hAnsi="Verdana" w:cs="Verdana"/>
          <w:lang w:val="es-ES_tradnl"/>
        </w:rPr>
      </w:pPr>
    </w:p>
    <w:p w14:paraId="4D3FD9C5" w14:textId="77777777" w:rsidR="00A47E1F" w:rsidRPr="000D30A7" w:rsidRDefault="00A47E1F" w:rsidP="30821638">
      <w:pPr>
        <w:spacing w:after="0"/>
        <w:rPr>
          <w:rFonts w:ascii="Verdana" w:eastAsia="Verdana" w:hAnsi="Verdana" w:cs="Verdana"/>
          <w:lang w:val="es-ES_tradnl"/>
        </w:rPr>
      </w:pPr>
    </w:p>
    <w:p w14:paraId="72D203E5" w14:textId="77777777" w:rsidR="00A47E1F" w:rsidRPr="000D30A7" w:rsidRDefault="00A47E1F" w:rsidP="30821638">
      <w:pPr>
        <w:spacing w:after="0"/>
        <w:rPr>
          <w:rFonts w:ascii="Verdana" w:eastAsia="Verdana" w:hAnsi="Verdana" w:cs="Verdana"/>
          <w:lang w:val="es-ES_tradnl"/>
        </w:rPr>
      </w:pPr>
    </w:p>
    <w:p w14:paraId="6D5A4B4E" w14:textId="77777777" w:rsidR="00A47E1F" w:rsidRPr="000D30A7" w:rsidRDefault="00A47E1F" w:rsidP="30821638">
      <w:pPr>
        <w:spacing w:after="0"/>
        <w:rPr>
          <w:rFonts w:ascii="Verdana" w:eastAsia="Verdana" w:hAnsi="Verdana" w:cs="Verdana"/>
          <w:lang w:val="es-ES_tradnl"/>
        </w:rPr>
      </w:pPr>
    </w:p>
    <w:p w14:paraId="176653EB" w14:textId="77777777" w:rsidR="00A47E1F" w:rsidRPr="000D30A7" w:rsidRDefault="00A47E1F" w:rsidP="30821638">
      <w:pPr>
        <w:spacing w:after="0"/>
        <w:rPr>
          <w:rFonts w:ascii="Verdana" w:eastAsia="Verdana" w:hAnsi="Verdana" w:cs="Verdana"/>
          <w:lang w:val="es-ES_tradnl"/>
        </w:rPr>
      </w:pPr>
    </w:p>
    <w:p w14:paraId="701AA190" w14:textId="77777777" w:rsidR="00A47E1F" w:rsidRPr="000D30A7" w:rsidRDefault="00A47E1F" w:rsidP="30821638">
      <w:pPr>
        <w:spacing w:after="0"/>
        <w:rPr>
          <w:rFonts w:ascii="Verdana" w:eastAsia="Verdana" w:hAnsi="Verdana" w:cs="Verdana"/>
          <w:lang w:val="es-ES_tradnl"/>
        </w:rPr>
      </w:pPr>
    </w:p>
    <w:p w14:paraId="61D8CFE1" w14:textId="77777777" w:rsidR="00A47E1F" w:rsidRPr="000D30A7" w:rsidRDefault="00A47E1F" w:rsidP="30821638">
      <w:pPr>
        <w:spacing w:after="0"/>
        <w:rPr>
          <w:rFonts w:ascii="Verdana" w:eastAsia="Verdana" w:hAnsi="Verdana" w:cs="Verdana"/>
          <w:lang w:val="es-ES_tradnl"/>
        </w:rPr>
      </w:pPr>
    </w:p>
    <w:p w14:paraId="3B19C27F" w14:textId="77777777" w:rsidR="00A47E1F" w:rsidRPr="000D30A7" w:rsidRDefault="00A47E1F" w:rsidP="30821638">
      <w:pPr>
        <w:spacing w:after="0"/>
        <w:rPr>
          <w:rFonts w:ascii="Verdana" w:eastAsia="Verdana" w:hAnsi="Verdana" w:cs="Verdana"/>
          <w:lang w:val="es-ES_tradnl"/>
        </w:rPr>
      </w:pPr>
    </w:p>
    <w:p w14:paraId="5A24BD0D" w14:textId="77777777" w:rsidR="00A47E1F" w:rsidRPr="000D30A7" w:rsidRDefault="00A47E1F" w:rsidP="30821638">
      <w:pPr>
        <w:spacing w:after="0"/>
        <w:rPr>
          <w:rFonts w:ascii="Verdana" w:eastAsia="Verdana" w:hAnsi="Verdana" w:cs="Verdana"/>
          <w:lang w:val="es-ES_tradnl"/>
        </w:rPr>
      </w:pPr>
    </w:p>
    <w:p w14:paraId="0EA9DEC4" w14:textId="77777777" w:rsidR="00A47E1F" w:rsidRPr="000D30A7" w:rsidRDefault="00A47E1F" w:rsidP="30821638">
      <w:pPr>
        <w:spacing w:after="0"/>
        <w:rPr>
          <w:rFonts w:ascii="Verdana" w:eastAsia="Verdana" w:hAnsi="Verdana" w:cs="Verdana"/>
          <w:lang w:val="es-ES_tradnl"/>
        </w:rPr>
      </w:pPr>
    </w:p>
    <w:p w14:paraId="49B67679" w14:textId="77777777" w:rsidR="00A47E1F" w:rsidRPr="000D30A7" w:rsidRDefault="00A47E1F" w:rsidP="30821638">
      <w:pPr>
        <w:spacing w:after="0"/>
        <w:rPr>
          <w:rFonts w:ascii="Verdana" w:eastAsia="Verdana" w:hAnsi="Verdana" w:cs="Verdana"/>
          <w:lang w:val="es-ES_tradnl"/>
        </w:rPr>
      </w:pPr>
    </w:p>
    <w:p w14:paraId="2E8AD339" w14:textId="77777777" w:rsidR="00A47E1F" w:rsidRPr="000D30A7" w:rsidRDefault="00A47E1F" w:rsidP="30821638">
      <w:pPr>
        <w:spacing w:after="0"/>
        <w:rPr>
          <w:rFonts w:ascii="Verdana" w:eastAsia="Verdana" w:hAnsi="Verdana" w:cs="Verdana"/>
          <w:lang w:val="es-ES_tradnl"/>
        </w:rPr>
      </w:pPr>
    </w:p>
    <w:p w14:paraId="10E8352D" w14:textId="77777777" w:rsidR="00A47E1F" w:rsidRPr="000D30A7" w:rsidRDefault="00A47E1F" w:rsidP="30821638">
      <w:pPr>
        <w:spacing w:after="0"/>
        <w:rPr>
          <w:rFonts w:ascii="Verdana" w:eastAsia="Verdana" w:hAnsi="Verdana" w:cs="Verdana"/>
          <w:lang w:val="es-ES_tradnl"/>
        </w:rPr>
      </w:pPr>
    </w:p>
    <w:p w14:paraId="17C7F40C" w14:textId="77777777" w:rsidR="00A47E1F" w:rsidRPr="000D30A7" w:rsidRDefault="00A47E1F" w:rsidP="30821638">
      <w:pPr>
        <w:spacing w:after="0"/>
        <w:rPr>
          <w:rFonts w:ascii="Verdana" w:eastAsia="Verdana" w:hAnsi="Verdana" w:cs="Verdana"/>
          <w:lang w:val="es-ES_tradnl"/>
        </w:rPr>
      </w:pPr>
    </w:p>
    <w:p w14:paraId="6E874DBD" w14:textId="77777777" w:rsidR="00A47E1F" w:rsidRPr="000D30A7" w:rsidRDefault="00A47E1F" w:rsidP="30821638">
      <w:pPr>
        <w:spacing w:after="0"/>
        <w:rPr>
          <w:rFonts w:ascii="Verdana" w:eastAsia="Verdana" w:hAnsi="Verdana" w:cs="Verdana"/>
          <w:lang w:val="es-ES_tradnl"/>
        </w:rPr>
      </w:pPr>
    </w:p>
    <w:p w14:paraId="3757D2BA" w14:textId="77777777" w:rsidR="00A47E1F" w:rsidRPr="000D30A7" w:rsidRDefault="00A47E1F" w:rsidP="30821638">
      <w:pPr>
        <w:spacing w:after="0"/>
        <w:rPr>
          <w:rFonts w:ascii="Verdana" w:eastAsia="Verdana" w:hAnsi="Verdana" w:cs="Verdana"/>
          <w:lang w:val="es-ES_tradnl"/>
        </w:rPr>
      </w:pPr>
    </w:p>
    <w:p w14:paraId="7B5050D7" w14:textId="77777777" w:rsidR="00A47E1F" w:rsidRPr="000D30A7" w:rsidRDefault="00A47E1F" w:rsidP="30821638">
      <w:pPr>
        <w:spacing w:after="0"/>
        <w:rPr>
          <w:rFonts w:ascii="Verdana" w:eastAsia="Verdana" w:hAnsi="Verdana" w:cs="Verdana"/>
          <w:lang w:val="es-ES_tradnl"/>
        </w:rPr>
      </w:pPr>
    </w:p>
    <w:p w14:paraId="7DD531CA" w14:textId="77777777" w:rsidR="00A47E1F" w:rsidRPr="000D30A7" w:rsidRDefault="00A47E1F" w:rsidP="30821638">
      <w:pPr>
        <w:spacing w:after="0"/>
        <w:rPr>
          <w:rFonts w:ascii="Verdana" w:eastAsia="Verdana" w:hAnsi="Verdana" w:cs="Verdana"/>
          <w:lang w:val="es-ES_tradnl"/>
        </w:rPr>
      </w:pPr>
    </w:p>
    <w:p w14:paraId="27A3EB10" w14:textId="77777777" w:rsidR="00A47E1F" w:rsidRDefault="00A47E1F" w:rsidP="30821638">
      <w:pPr>
        <w:spacing w:after="0"/>
        <w:rPr>
          <w:rFonts w:ascii="Verdana" w:eastAsia="Verdana" w:hAnsi="Verdana" w:cs="Verdana"/>
          <w:lang w:val="es-ES_tradnl"/>
        </w:rPr>
      </w:pPr>
    </w:p>
    <w:p w14:paraId="74F506CF" w14:textId="77777777" w:rsidR="00DC1DFF" w:rsidRPr="000D30A7" w:rsidRDefault="00DC1DFF" w:rsidP="30821638">
      <w:pPr>
        <w:spacing w:after="0"/>
        <w:rPr>
          <w:rFonts w:ascii="Verdana" w:eastAsia="Verdana" w:hAnsi="Verdana" w:cs="Verdana"/>
          <w:lang w:val="es-ES_tradnl"/>
        </w:rPr>
      </w:pPr>
    </w:p>
    <w:p w14:paraId="48F4CC44" w14:textId="77777777" w:rsidR="00FB0DB9" w:rsidRPr="000D30A7" w:rsidRDefault="00FB0DB9" w:rsidP="30821638">
      <w:pPr>
        <w:spacing w:after="0"/>
        <w:rPr>
          <w:rFonts w:ascii="Verdana" w:eastAsia="Verdana" w:hAnsi="Verdana" w:cs="Verdana"/>
          <w:lang w:val="es-ES_tradnl"/>
        </w:rPr>
      </w:pPr>
    </w:p>
    <w:p w14:paraId="2C47BDD3" w14:textId="77777777" w:rsidR="00A47E1F" w:rsidRPr="000D30A7" w:rsidRDefault="00A47E1F" w:rsidP="30821638">
      <w:pPr>
        <w:spacing w:after="0"/>
        <w:rPr>
          <w:rFonts w:ascii="Verdana" w:eastAsia="Verdana" w:hAnsi="Verdana" w:cs="Verdana"/>
          <w:lang w:val="es-ES_tradnl"/>
        </w:rPr>
      </w:pPr>
    </w:p>
    <w:p w14:paraId="4F6A0DAC" w14:textId="77777777" w:rsidR="00A47E1F" w:rsidRPr="000D30A7" w:rsidRDefault="00A47E1F" w:rsidP="30821638">
      <w:pPr>
        <w:spacing w:after="0"/>
        <w:rPr>
          <w:rFonts w:ascii="Verdana" w:eastAsia="Verdana" w:hAnsi="Verdana" w:cs="Verdana"/>
          <w:lang w:val="es-ES_tradnl"/>
        </w:rPr>
      </w:pPr>
    </w:p>
    <w:p w14:paraId="0E45853D" w14:textId="77777777" w:rsidR="00A47E1F" w:rsidRPr="000D30A7" w:rsidRDefault="00A47E1F" w:rsidP="30821638">
      <w:pPr>
        <w:spacing w:after="0"/>
        <w:rPr>
          <w:rFonts w:ascii="Verdana" w:eastAsia="Verdana" w:hAnsi="Verdana" w:cs="Verdana"/>
          <w:lang w:val="es-ES_tradnl"/>
        </w:rPr>
      </w:pPr>
    </w:p>
    <w:p w14:paraId="207AA8A7" w14:textId="77777777" w:rsidR="00A47E1F" w:rsidRPr="000D30A7" w:rsidRDefault="00A47E1F" w:rsidP="30821638">
      <w:pPr>
        <w:spacing w:after="0"/>
        <w:rPr>
          <w:rFonts w:ascii="Verdana" w:eastAsia="Verdana" w:hAnsi="Verdana" w:cs="Verdana"/>
          <w:lang w:val="es-ES_tradnl"/>
        </w:rPr>
      </w:pPr>
    </w:p>
    <w:p w14:paraId="53BDE599" w14:textId="77777777" w:rsidR="00A47E1F" w:rsidRPr="000D30A7" w:rsidRDefault="00A47E1F" w:rsidP="30821638">
      <w:pPr>
        <w:spacing w:after="0"/>
        <w:rPr>
          <w:rFonts w:ascii="Verdana" w:eastAsia="Verdana" w:hAnsi="Verdana" w:cs="Verdana"/>
          <w:lang w:val="es-ES_tradnl"/>
        </w:rPr>
      </w:pPr>
    </w:p>
    <w:p w14:paraId="0E084275" w14:textId="77777777" w:rsidR="00A70110" w:rsidRPr="000D30A7" w:rsidRDefault="00A70110" w:rsidP="30821638">
      <w:pPr>
        <w:spacing w:after="0"/>
        <w:rPr>
          <w:rFonts w:ascii="Verdana" w:eastAsia="Verdana" w:hAnsi="Verdana" w:cs="Verdana"/>
        </w:rPr>
      </w:pPr>
    </w:p>
    <w:p w14:paraId="36E262F6" w14:textId="77777777" w:rsidR="00DC1DFF" w:rsidRDefault="00C15139" w:rsidP="30821638">
      <w:pPr>
        <w:spacing w:after="0"/>
        <w:rPr>
          <w:rFonts w:ascii="Verdana" w:eastAsia="Verdana" w:hAnsi="Verdana" w:cs="Verdana"/>
        </w:rPr>
      </w:pPr>
      <w:r w:rsidRPr="000D30A7">
        <w:rPr>
          <w:rFonts w:ascii="Verdana" w:eastAsia="Verdana" w:hAnsi="Verdana" w:cs="Verdana"/>
        </w:rPr>
        <w:lastRenderedPageBreak/>
        <w:t>Bogotá D.C.,</w:t>
      </w:r>
      <w:r w:rsidR="00DC1DFF">
        <w:rPr>
          <w:rFonts w:ascii="Verdana" w:eastAsia="Verdana" w:hAnsi="Verdana" w:cs="Verdana"/>
        </w:rPr>
        <w:t xml:space="preserve"> 22 de septiembre del 2026</w:t>
      </w:r>
    </w:p>
    <w:p w14:paraId="34675B70" w14:textId="77777777" w:rsidR="00DC1DFF" w:rsidRDefault="00DC1DFF" w:rsidP="30821638">
      <w:pPr>
        <w:spacing w:after="0"/>
        <w:rPr>
          <w:rFonts w:ascii="Verdana" w:eastAsia="Verdana" w:hAnsi="Verdana" w:cs="Verdana"/>
        </w:rPr>
      </w:pPr>
    </w:p>
    <w:p w14:paraId="1468C46D" w14:textId="750FA026" w:rsidR="00C15139" w:rsidRPr="000D30A7" w:rsidRDefault="00DC1DFF" w:rsidP="00DC1DFF">
      <w:pPr>
        <w:spacing w:after="0"/>
        <w:jc w:val="right"/>
        <w:rPr>
          <w:rFonts w:ascii="Verdana" w:eastAsia="Verdana" w:hAnsi="Verdana" w:cs="Verdana"/>
        </w:rPr>
      </w:pPr>
      <w:r w:rsidRPr="00DC1DFF">
        <w:rPr>
          <w:rFonts w:ascii="Verdana" w:hAnsi="Verdana"/>
        </w:rPr>
        <w:drawing>
          <wp:inline distT="0" distB="0" distL="0" distR="0" wp14:anchorId="737FB72E" wp14:editId="640EC3A0">
            <wp:extent cx="2666365" cy="885825"/>
            <wp:effectExtent l="0" t="0" r="635" b="9525"/>
            <wp:docPr id="139601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1209" name=""/>
                    <pic:cNvPicPr/>
                  </pic:nvPicPr>
                  <pic:blipFill>
                    <a:blip r:embed="rId11"/>
                    <a:stretch>
                      <a:fillRect/>
                    </a:stretch>
                  </pic:blipFill>
                  <pic:spPr>
                    <a:xfrm>
                      <a:off x="0" y="0"/>
                      <a:ext cx="2670361" cy="887153"/>
                    </a:xfrm>
                    <a:prstGeom prst="rect">
                      <a:avLst/>
                    </a:prstGeom>
                  </pic:spPr>
                </pic:pic>
              </a:graphicData>
            </a:graphic>
          </wp:inline>
        </w:drawing>
      </w:r>
      <w:r w:rsidR="00C15139" w:rsidRPr="000D30A7">
        <w:rPr>
          <w:rFonts w:ascii="Verdana" w:hAnsi="Verdana"/>
        </w:rPr>
        <w:br/>
      </w:r>
      <w:r w:rsidR="00C15139" w:rsidRPr="000D30A7">
        <w:rPr>
          <w:rFonts w:ascii="Verdana" w:hAnsi="Verdana"/>
        </w:rPr>
        <w:tab/>
      </w:r>
    </w:p>
    <w:p w14:paraId="75F8CA29" w14:textId="5CDF3FB6" w:rsidR="00CF4648" w:rsidRPr="000D30A7" w:rsidRDefault="00761E1B" w:rsidP="00CF4648">
      <w:pPr>
        <w:spacing w:after="0" w:line="240" w:lineRule="auto"/>
        <w:rPr>
          <w:rFonts w:ascii="Verdana" w:hAnsi="Verdana"/>
        </w:rPr>
      </w:pPr>
      <w:r w:rsidRPr="000D30A7">
        <w:rPr>
          <w:rFonts w:ascii="Verdana" w:eastAsia="Calibri" w:hAnsi="Verdana" w:cs="Arial"/>
          <w:lang w:val="es-ES" w:eastAsia="es-ES"/>
        </w:rPr>
        <w:t>Doctor</w:t>
      </w:r>
      <w:r w:rsidR="00CF4648" w:rsidRPr="000D30A7">
        <w:rPr>
          <w:rFonts w:ascii="Verdana" w:eastAsia="Calibri" w:hAnsi="Verdana" w:cs="Arial"/>
          <w:lang w:val="es-ES" w:eastAsia="es-ES"/>
        </w:rPr>
        <w:t>:</w:t>
      </w:r>
    </w:p>
    <w:p w14:paraId="6470885E" w14:textId="0FB7486E" w:rsidR="00CF4648" w:rsidRPr="000D30A7" w:rsidRDefault="00761E1B" w:rsidP="00CF4648">
      <w:pPr>
        <w:spacing w:after="0" w:line="240" w:lineRule="auto"/>
        <w:rPr>
          <w:rFonts w:ascii="Verdana" w:eastAsia="Calibri" w:hAnsi="Verdana" w:cs="Arial"/>
          <w:b/>
          <w:bCs/>
          <w:lang w:eastAsia="es-ES"/>
        </w:rPr>
      </w:pPr>
      <w:r w:rsidRPr="000D30A7">
        <w:rPr>
          <w:rFonts w:ascii="Verdana" w:eastAsia="Calibri" w:hAnsi="Verdana" w:cs="Arial"/>
          <w:b/>
          <w:bCs/>
          <w:lang w:eastAsia="es-ES"/>
        </w:rPr>
        <w:t>Juan Carlos Mora Fierro</w:t>
      </w:r>
    </w:p>
    <w:p w14:paraId="2A08E69E" w14:textId="10BD3768" w:rsidR="00761E1B" w:rsidRPr="000D30A7" w:rsidRDefault="00761E1B" w:rsidP="00CF4648">
      <w:pPr>
        <w:spacing w:after="0" w:line="240" w:lineRule="auto"/>
        <w:rPr>
          <w:rFonts w:ascii="Verdana" w:eastAsia="Calibri" w:hAnsi="Verdana" w:cs="Arial"/>
          <w:lang w:eastAsia="es-ES"/>
        </w:rPr>
      </w:pPr>
      <w:r w:rsidRPr="000D30A7">
        <w:rPr>
          <w:rFonts w:ascii="Verdana" w:eastAsia="Calibri" w:hAnsi="Verdana" w:cs="Arial"/>
          <w:lang w:eastAsia="es-ES"/>
        </w:rPr>
        <w:t>Dirección De Estructuración de Proyectos (E)</w:t>
      </w:r>
    </w:p>
    <w:p w14:paraId="16746AE6" w14:textId="66AAA085" w:rsidR="00822A1C" w:rsidRPr="000D30A7" w:rsidRDefault="00822A1C" w:rsidP="00CF4648">
      <w:pPr>
        <w:spacing w:after="0" w:line="240" w:lineRule="auto"/>
        <w:rPr>
          <w:rFonts w:ascii="Verdana" w:hAnsi="Verdana"/>
        </w:rPr>
      </w:pPr>
      <w:hyperlink r:id="rId12" w:history="1">
        <w:r w:rsidRPr="000D30A7">
          <w:rPr>
            <w:rStyle w:val="Hipervnculo"/>
            <w:rFonts w:ascii="Verdana" w:hAnsi="Verdana"/>
          </w:rPr>
          <w:t>siga@habitatbogota.gov.co</w:t>
        </w:r>
      </w:hyperlink>
    </w:p>
    <w:p w14:paraId="61401CA4" w14:textId="11982FF4" w:rsidR="00CF4648" w:rsidRPr="000D30A7" w:rsidRDefault="00CF4648" w:rsidP="00CF4648">
      <w:pPr>
        <w:spacing w:after="0" w:line="240" w:lineRule="auto"/>
        <w:rPr>
          <w:rFonts w:ascii="Verdana" w:eastAsia="Calibri" w:hAnsi="Verdana" w:cs="Arial"/>
          <w:lang w:val="es-ES_tradnl" w:eastAsia="es-ES"/>
        </w:rPr>
      </w:pPr>
      <w:r w:rsidRPr="000D30A7">
        <w:rPr>
          <w:rFonts w:ascii="Verdana" w:eastAsia="Calibri" w:hAnsi="Verdana" w:cs="Arial"/>
          <w:lang w:val="es-ES_tradnl" w:eastAsia="es-ES"/>
        </w:rPr>
        <w:t>Bogotá D.C.</w:t>
      </w:r>
    </w:p>
    <w:p w14:paraId="7397BA88" w14:textId="77777777" w:rsidR="00CF4648" w:rsidRPr="000D30A7" w:rsidRDefault="00CF4648" w:rsidP="00CF4648">
      <w:pPr>
        <w:spacing w:after="0" w:line="240" w:lineRule="auto"/>
        <w:rPr>
          <w:rFonts w:ascii="Verdana" w:eastAsia="Calibri" w:hAnsi="Verdana" w:cs="Arial"/>
          <w:b/>
          <w:bCs/>
          <w:highlight w:val="cyan"/>
          <w:lang w:val="es-ES_tradnl" w:eastAsia="es-ES_tradnl"/>
        </w:rPr>
      </w:pPr>
    </w:p>
    <w:p w14:paraId="1EDBF662" w14:textId="3F1FB893" w:rsidR="00CF4648" w:rsidRPr="000D30A7" w:rsidRDefault="00CF4648" w:rsidP="00CF4648">
      <w:pPr>
        <w:spacing w:after="0" w:line="240" w:lineRule="auto"/>
        <w:rPr>
          <w:rFonts w:ascii="Verdana" w:eastAsia="Calibri" w:hAnsi="Verdana" w:cs="Arial"/>
          <w:b/>
          <w:bCs/>
          <w:lang w:val="es-ES_tradnl" w:eastAsia="es-ES_tradnl"/>
        </w:rPr>
      </w:pPr>
      <w:r w:rsidRPr="000D30A7">
        <w:rPr>
          <w:rFonts w:ascii="Verdana" w:eastAsia="Calibri" w:hAnsi="Verdana" w:cs="Arial"/>
          <w:b/>
          <w:bCs/>
          <w:lang w:val="es-ES_tradnl" w:eastAsia="es-ES_tradnl"/>
        </w:rPr>
        <w:t xml:space="preserve">                                   Concepto </w:t>
      </w:r>
      <w:r w:rsidR="000844C1" w:rsidRPr="000D30A7">
        <w:rPr>
          <w:rFonts w:ascii="Verdana" w:eastAsia="Calibri" w:hAnsi="Verdana" w:cs="Arial"/>
          <w:b/>
          <w:bCs/>
          <w:lang w:val="es-ES_tradnl" w:eastAsia="es-ES_tradnl"/>
        </w:rPr>
        <w:t xml:space="preserve">C-1282 </w:t>
      </w:r>
      <w:r w:rsidRPr="000D30A7">
        <w:rPr>
          <w:rFonts w:ascii="Verdana" w:eastAsia="Calibri" w:hAnsi="Verdana" w:cs="Arial"/>
          <w:b/>
          <w:bCs/>
          <w:lang w:val="es-ES_tradnl" w:eastAsia="es-ES_tradnl"/>
        </w:rPr>
        <w:t>del 2026</w:t>
      </w:r>
    </w:p>
    <w:p w14:paraId="7787D48E" w14:textId="77777777" w:rsidR="00CF4648" w:rsidRPr="000D30A7" w:rsidRDefault="00CF4648" w:rsidP="00CF4648">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F4648" w:rsidRPr="000D30A7" w14:paraId="793F8BBE" w14:textId="77777777" w:rsidTr="000F35FC">
        <w:trPr>
          <w:trHeight w:val="884"/>
        </w:trPr>
        <w:tc>
          <w:tcPr>
            <w:tcW w:w="2689" w:type="dxa"/>
          </w:tcPr>
          <w:p w14:paraId="30F24C50" w14:textId="77777777" w:rsidR="00CF4648" w:rsidRPr="000D30A7" w:rsidRDefault="00CF4648" w:rsidP="000F35FC">
            <w:pPr>
              <w:jc w:val="both"/>
              <w:rPr>
                <w:rFonts w:ascii="Verdana" w:eastAsia="Calibri" w:hAnsi="Verdana" w:cs="Arial"/>
                <w:lang w:val="es-ES_tradnl" w:eastAsia="es-ES_tradnl"/>
              </w:rPr>
            </w:pPr>
            <w:r w:rsidRPr="000D30A7">
              <w:rPr>
                <w:rFonts w:ascii="Verdana" w:eastAsia="Calibri" w:hAnsi="Verdana" w:cs="Arial"/>
                <w:b/>
                <w:lang w:val="es-ES_tradnl" w:eastAsia="es-ES_tradnl"/>
              </w:rPr>
              <w:t>Temas:</w:t>
            </w:r>
            <w:r w:rsidRPr="000D30A7">
              <w:rPr>
                <w:rFonts w:ascii="Verdana" w:eastAsia="Calibri" w:hAnsi="Verdana" w:cs="Arial"/>
                <w:lang w:val="es-ES_tradnl" w:eastAsia="es-ES_tradnl"/>
              </w:rPr>
              <w:t xml:space="preserve">                   </w:t>
            </w:r>
          </w:p>
        </w:tc>
        <w:tc>
          <w:tcPr>
            <w:tcW w:w="6100" w:type="dxa"/>
          </w:tcPr>
          <w:p w14:paraId="5B8D2AA2" w14:textId="77777777" w:rsidR="00CF4648" w:rsidRPr="000D30A7" w:rsidRDefault="006E2ACE" w:rsidP="000F35FC">
            <w:pPr>
              <w:jc w:val="both"/>
              <w:rPr>
                <w:rFonts w:ascii="Verdana" w:eastAsia="Times New Roman" w:hAnsi="Verdana" w:cs="Arial"/>
                <w:lang w:eastAsia="es-ES_tradnl"/>
              </w:rPr>
            </w:pPr>
            <w:r w:rsidRPr="000D30A7">
              <w:rPr>
                <w:rFonts w:ascii="Verdana" w:eastAsia="Times New Roman" w:hAnsi="Verdana" w:cs="Arial"/>
                <w:lang w:eastAsia="es-ES_tradnl"/>
              </w:rPr>
              <w:t>PLANEACIÓN CONTRACTUAL – Noción / ESTUDIOS PREVIOS – Análisis del sector – Planeación en los procesos de contratación pública / ESTUDIOS DE MERCADO – Finalidad – Recomendaciones – Colombia compra eficiente – Guía de elaboración de estudios del sector / ESTUDIOS PREVIOS – Estudio del mercado / ESTUDIOS PREVIOS – Metodologías – Cotizaciones – Autonomía</w:t>
            </w:r>
          </w:p>
          <w:p w14:paraId="27AED574" w14:textId="3D978386" w:rsidR="006E2ACE" w:rsidRPr="000D30A7" w:rsidRDefault="006E2ACE" w:rsidP="000F35FC">
            <w:pPr>
              <w:jc w:val="both"/>
              <w:rPr>
                <w:rFonts w:ascii="Verdana" w:eastAsia="Aptos" w:hAnsi="Verdana" w:cs="Times New Roman"/>
              </w:rPr>
            </w:pPr>
          </w:p>
        </w:tc>
      </w:tr>
      <w:tr w:rsidR="00CF4648" w:rsidRPr="000D30A7" w14:paraId="176055DE" w14:textId="77777777" w:rsidTr="000F35FC">
        <w:trPr>
          <w:trHeight w:val="342"/>
        </w:trPr>
        <w:tc>
          <w:tcPr>
            <w:tcW w:w="2689" w:type="dxa"/>
          </w:tcPr>
          <w:p w14:paraId="15E0F89A" w14:textId="77777777" w:rsidR="00CF4648" w:rsidRPr="000D30A7" w:rsidRDefault="00CF4648" w:rsidP="000F35FC">
            <w:pPr>
              <w:jc w:val="both"/>
              <w:rPr>
                <w:rFonts w:ascii="Verdana" w:eastAsia="Calibri" w:hAnsi="Verdana" w:cs="Arial"/>
                <w:b/>
                <w:lang w:val="es-ES_tradnl" w:eastAsia="es-ES_tradnl"/>
              </w:rPr>
            </w:pPr>
            <w:r w:rsidRPr="000D30A7">
              <w:rPr>
                <w:rFonts w:ascii="Verdana" w:eastAsia="Calibri" w:hAnsi="Verdana" w:cs="Arial"/>
                <w:b/>
                <w:lang w:val="es-ES_tradnl" w:eastAsia="es-ES_tradnl"/>
              </w:rPr>
              <w:t>Radicación:</w:t>
            </w:r>
            <w:r w:rsidRPr="000D30A7">
              <w:rPr>
                <w:rFonts w:ascii="Verdana" w:eastAsia="Calibri" w:hAnsi="Verdana" w:cs="Arial"/>
                <w:lang w:val="es-ES_tradnl" w:eastAsia="es-ES_tradnl"/>
              </w:rPr>
              <w:t xml:space="preserve">               </w:t>
            </w:r>
          </w:p>
        </w:tc>
        <w:tc>
          <w:tcPr>
            <w:tcW w:w="6100" w:type="dxa"/>
          </w:tcPr>
          <w:p w14:paraId="72ADFA18" w14:textId="61996737" w:rsidR="00CF4648" w:rsidRPr="000D30A7" w:rsidRDefault="00CF4648" w:rsidP="000F35FC">
            <w:pPr>
              <w:jc w:val="both"/>
              <w:rPr>
                <w:rFonts w:ascii="Verdana" w:eastAsia="Calibri" w:hAnsi="Verdana" w:cs="Arial"/>
                <w:lang w:eastAsia="es-ES_tradnl"/>
              </w:rPr>
            </w:pPr>
            <w:r w:rsidRPr="000D30A7">
              <w:rPr>
                <w:rFonts w:ascii="Verdana" w:eastAsia="Calibri" w:hAnsi="Verdana" w:cs="Arial"/>
                <w:lang w:val="es-ES_tradnl" w:eastAsia="es-ES_tradnl"/>
              </w:rPr>
              <w:t>Respuesta a la consulta con radicado No.</w:t>
            </w:r>
            <w:r w:rsidRPr="000D30A7">
              <w:rPr>
                <w:rFonts w:ascii="Verdana" w:hAnsi="Verdana"/>
              </w:rPr>
              <w:t xml:space="preserve"> </w:t>
            </w:r>
            <w:r w:rsidR="006B708E" w:rsidRPr="000D30A7">
              <w:rPr>
                <w:rFonts w:ascii="Verdana" w:hAnsi="Verdana"/>
              </w:rPr>
              <w:t>1_2026_08_13_010744</w:t>
            </w:r>
            <w:r w:rsidR="00A638F6" w:rsidRPr="000D30A7">
              <w:rPr>
                <w:rFonts w:ascii="Verdana" w:hAnsi="Verdana"/>
              </w:rPr>
              <w:t xml:space="preserve"> reiterada con la Nro. 1_2026_08_13_010747</w:t>
            </w:r>
          </w:p>
        </w:tc>
      </w:tr>
    </w:tbl>
    <w:p w14:paraId="65CAF5E5" w14:textId="0F1533A7" w:rsidR="00CF4648" w:rsidRPr="000D30A7" w:rsidRDefault="00CF4648" w:rsidP="00CF4648">
      <w:pPr>
        <w:spacing w:after="0" w:line="240" w:lineRule="auto"/>
        <w:jc w:val="both"/>
        <w:rPr>
          <w:rFonts w:ascii="Verdana" w:eastAsia="Calibri" w:hAnsi="Verdana" w:cs="Arial"/>
          <w:highlight w:val="cyan"/>
          <w:lang w:val="es-ES" w:eastAsia="es-ES"/>
        </w:rPr>
      </w:pPr>
    </w:p>
    <w:p w14:paraId="3B6B4AA9" w14:textId="77777777" w:rsidR="00A86AB8" w:rsidRPr="000D30A7" w:rsidRDefault="00A86AB8" w:rsidP="00CF4648">
      <w:pPr>
        <w:spacing w:after="0" w:line="240" w:lineRule="auto"/>
        <w:jc w:val="both"/>
        <w:rPr>
          <w:rFonts w:ascii="Verdana" w:eastAsia="Calibri" w:hAnsi="Verdana" w:cs="Arial"/>
          <w:highlight w:val="cyan"/>
          <w:lang w:val="es-ES" w:eastAsia="es-ES"/>
        </w:rPr>
      </w:pPr>
    </w:p>
    <w:p w14:paraId="364840A3" w14:textId="76874864" w:rsidR="00CF4648" w:rsidRPr="000D30A7" w:rsidRDefault="00CF4648" w:rsidP="00CF4648">
      <w:pPr>
        <w:spacing w:after="0" w:line="276" w:lineRule="auto"/>
        <w:jc w:val="both"/>
        <w:rPr>
          <w:rFonts w:ascii="Verdana" w:eastAsia="Calibri" w:hAnsi="Verdana" w:cs="Arial"/>
          <w:lang w:val="es-ES" w:eastAsia="es-ES"/>
        </w:rPr>
      </w:pPr>
      <w:r w:rsidRPr="000D30A7">
        <w:rPr>
          <w:rFonts w:ascii="Verdana" w:eastAsia="Calibri" w:hAnsi="Verdana" w:cs="Arial"/>
          <w:lang w:val="es-ES" w:eastAsia="es-ES"/>
        </w:rPr>
        <w:t xml:space="preserve">Estimado </w:t>
      </w:r>
      <w:r w:rsidR="00761E1B" w:rsidRPr="000D30A7">
        <w:rPr>
          <w:rFonts w:ascii="Verdana" w:eastAsia="Calibri" w:hAnsi="Verdana" w:cs="Arial"/>
          <w:lang w:val="es-ES" w:eastAsia="es-ES"/>
        </w:rPr>
        <w:t>Doctor</w:t>
      </w:r>
      <w:r w:rsidR="00761E1B" w:rsidRPr="000D30A7">
        <w:rPr>
          <w:rFonts w:ascii="Verdana" w:eastAsia="Calibri" w:hAnsi="Verdana" w:cs="Arial"/>
          <w:lang w:eastAsia="es-ES"/>
        </w:rPr>
        <w:t xml:space="preserve"> Mora</w:t>
      </w:r>
      <w:r w:rsidRPr="000D30A7">
        <w:rPr>
          <w:rFonts w:ascii="Verdana" w:eastAsia="Calibri" w:hAnsi="Verdana" w:cs="Arial"/>
          <w:lang w:val="es-ES" w:eastAsia="es-ES"/>
        </w:rPr>
        <w:t xml:space="preserve">: </w:t>
      </w:r>
    </w:p>
    <w:p w14:paraId="0CE47D04" w14:textId="77777777" w:rsidR="00CF4648" w:rsidRPr="000D30A7" w:rsidRDefault="00CF4648" w:rsidP="00CF4648">
      <w:pPr>
        <w:spacing w:after="0" w:line="276" w:lineRule="auto"/>
        <w:rPr>
          <w:rFonts w:ascii="Verdana" w:eastAsia="Times New Roman" w:hAnsi="Verdana" w:cs="Segoe UI"/>
          <w:highlight w:val="cyan"/>
          <w:lang w:eastAsia="es-CO"/>
        </w:rPr>
      </w:pPr>
    </w:p>
    <w:p w14:paraId="349CC717" w14:textId="2C375D41" w:rsidR="00CF4648" w:rsidRPr="000D30A7" w:rsidRDefault="00CF4648" w:rsidP="00CF4648">
      <w:pPr>
        <w:spacing w:after="0" w:line="276" w:lineRule="auto"/>
        <w:jc w:val="both"/>
        <w:rPr>
          <w:rFonts w:ascii="Verdana" w:eastAsia="Calibri" w:hAnsi="Verdana" w:cs="Arial"/>
          <w:lang w:val="es-ES" w:eastAsia="es-ES"/>
        </w:rPr>
      </w:pPr>
      <w:r w:rsidRPr="000D30A7">
        <w:rPr>
          <w:rFonts w:ascii="Verdana" w:eastAsia="Calibri" w:hAnsi="Verdana" w:cs="Arial"/>
          <w:lang w:val="es-ES" w:eastAsia="es-ES"/>
        </w:rPr>
        <w:t>En ejercicio de la competencia otorgada por los artículos 3, numeral 5º, y 11, numeral 8º, del Decreto Ley 4170 de 2011,</w:t>
      </w:r>
      <w:r w:rsidRPr="000D30A7">
        <w:rPr>
          <w:rFonts w:ascii="Verdana" w:eastAsia="Arial MT" w:hAnsi="Verdana" w:cs="Arial"/>
          <w:lang w:val="es-ES" w:eastAsia="es-ES"/>
        </w:rPr>
        <w:t xml:space="preserve"> </w:t>
      </w:r>
      <w:r w:rsidRPr="000D30A7">
        <w:rPr>
          <w:rFonts w:ascii="Verdana" w:hAnsi="Verdana" w:cs="Arial"/>
        </w:rPr>
        <w:t xml:space="preserve">así como lo establecido en el artículo 4 de la Resolución 1707 de 2018 expedida por esta Entidad, </w:t>
      </w:r>
      <w:r w:rsidRPr="000D30A7">
        <w:rPr>
          <w:rFonts w:ascii="Verdana" w:eastAsia="Calibri" w:hAnsi="Verdana" w:cs="Arial"/>
          <w:lang w:val="es-ES" w:eastAsia="es-ES"/>
        </w:rPr>
        <w:t xml:space="preserve">la Agencia Nacional de Contratación Pública – Colombia Compra Eficiente– responde su solicitud radicada el </w:t>
      </w:r>
      <w:r w:rsidR="00240706" w:rsidRPr="000D30A7">
        <w:rPr>
          <w:rFonts w:ascii="Verdana" w:eastAsia="Calibri" w:hAnsi="Verdana" w:cs="Arial"/>
          <w:lang w:val="es-ES" w:eastAsia="es-ES"/>
        </w:rPr>
        <w:t>12 de agosto del 2026</w:t>
      </w:r>
      <w:r w:rsidRPr="000D30A7">
        <w:rPr>
          <w:rFonts w:ascii="Verdana" w:eastAsia="Calibri" w:hAnsi="Verdana" w:cs="Arial"/>
          <w:lang w:val="es-ES" w:eastAsia="es-ES"/>
        </w:rPr>
        <w:t xml:space="preserve">, en la cual manifiesta lo siguiente: </w:t>
      </w:r>
    </w:p>
    <w:p w14:paraId="7D8E7F84" w14:textId="77777777" w:rsidR="00CF4648" w:rsidRPr="000D30A7" w:rsidRDefault="00CF4648" w:rsidP="00CF4648">
      <w:pPr>
        <w:spacing w:after="0" w:line="276" w:lineRule="auto"/>
        <w:jc w:val="both"/>
        <w:rPr>
          <w:rFonts w:ascii="Verdana" w:eastAsia="Calibri" w:hAnsi="Verdana" w:cs="Arial"/>
          <w:highlight w:val="cyan"/>
          <w:lang w:val="es-ES" w:eastAsia="es-ES"/>
        </w:rPr>
      </w:pPr>
    </w:p>
    <w:p w14:paraId="142EA671" w14:textId="77777777" w:rsidR="00310E6C" w:rsidRPr="000D30A7" w:rsidRDefault="00CF4648" w:rsidP="00310E6C">
      <w:pPr>
        <w:spacing w:after="0" w:line="240" w:lineRule="auto"/>
        <w:ind w:left="709" w:right="709"/>
        <w:jc w:val="both"/>
        <w:rPr>
          <w:rFonts w:ascii="Verdana" w:eastAsia="Century Gothic" w:hAnsi="Verdana" w:cs="Arial"/>
          <w:sz w:val="20"/>
          <w:szCs w:val="20"/>
        </w:rPr>
      </w:pPr>
      <w:r w:rsidRPr="000D30A7">
        <w:rPr>
          <w:rFonts w:ascii="Verdana" w:eastAsia="Century Gothic" w:hAnsi="Verdana" w:cs="Arial"/>
          <w:sz w:val="20"/>
          <w:szCs w:val="20"/>
          <w:lang w:val="es-ES"/>
        </w:rPr>
        <w:t xml:space="preserve">“[…] </w:t>
      </w:r>
      <w:r w:rsidR="001C5BC5" w:rsidRPr="000D30A7">
        <w:rPr>
          <w:rFonts w:ascii="Verdana" w:eastAsia="Century Gothic" w:hAnsi="Verdana" w:cs="Arial"/>
          <w:sz w:val="20"/>
          <w:szCs w:val="20"/>
        </w:rPr>
        <w:t xml:space="preserve">1. </w:t>
      </w:r>
      <w:r w:rsidR="001C5BC5" w:rsidRPr="000D30A7">
        <w:rPr>
          <w:rFonts w:ascii="Verdana" w:eastAsia="Century Gothic" w:hAnsi="Verdana" w:cs="Arial"/>
          <w:b/>
          <w:bCs/>
          <w:sz w:val="20"/>
          <w:szCs w:val="20"/>
        </w:rPr>
        <w:t xml:space="preserve">Ausencia de respuesta de los proveedores: </w:t>
      </w:r>
      <w:r w:rsidR="001C5BC5" w:rsidRPr="000D30A7">
        <w:rPr>
          <w:rFonts w:ascii="Verdana" w:eastAsia="Century Gothic" w:hAnsi="Verdana" w:cs="Arial"/>
          <w:sz w:val="20"/>
          <w:szCs w:val="20"/>
        </w:rPr>
        <w:t xml:space="preserve">si bien la Guía para la elaboración de Estudios de Sector de Colombia Compra Eficiente </w:t>
      </w:r>
      <w:r w:rsidR="001C5BC5" w:rsidRPr="000D30A7">
        <w:rPr>
          <w:rFonts w:ascii="Verdana" w:eastAsia="Century Gothic" w:hAnsi="Verdana" w:cs="Arial"/>
          <w:sz w:val="20"/>
          <w:szCs w:val="20"/>
        </w:rPr>
        <w:lastRenderedPageBreak/>
        <w:t>establece recomendaciones y mecanismos para la elaboración de estudios de mercado, tales como las solicitudes de información a proveedores (cotizaciones) a través del SECOP II y otras herramientas, ¿qué debe entenderse que ocurre, y cómo debería proceder la Entidad Estatal, ante la ausencia de respuesta por parte de los posibles proveedores requeridos?</w:t>
      </w:r>
      <w:r w:rsidRPr="000D30A7">
        <w:rPr>
          <w:rFonts w:ascii="Verdana" w:eastAsia="Century Gothic" w:hAnsi="Verdana" w:cs="Arial"/>
          <w:sz w:val="20"/>
          <w:szCs w:val="20"/>
        </w:rPr>
        <w:t xml:space="preserve"> </w:t>
      </w:r>
    </w:p>
    <w:p w14:paraId="005E22DB" w14:textId="77777777" w:rsidR="00310E6C" w:rsidRPr="000D30A7" w:rsidRDefault="00310E6C" w:rsidP="00310E6C">
      <w:pPr>
        <w:spacing w:after="0" w:line="240" w:lineRule="auto"/>
        <w:ind w:left="709" w:right="709"/>
        <w:jc w:val="both"/>
        <w:rPr>
          <w:rFonts w:ascii="Verdana" w:eastAsia="Century Gothic" w:hAnsi="Verdana" w:cs="Arial"/>
          <w:sz w:val="20"/>
          <w:szCs w:val="20"/>
        </w:rPr>
      </w:pPr>
    </w:p>
    <w:p w14:paraId="4AB3B7D1" w14:textId="5CB3FF83" w:rsidR="001C5BC5" w:rsidRPr="000D30A7" w:rsidRDefault="001C5BC5" w:rsidP="00310E6C">
      <w:pPr>
        <w:spacing w:after="0" w:line="240" w:lineRule="auto"/>
        <w:ind w:left="709" w:right="709"/>
        <w:jc w:val="both"/>
        <w:rPr>
          <w:rFonts w:ascii="Verdana" w:eastAsia="Century Gothic" w:hAnsi="Verdana" w:cs="Arial"/>
          <w:sz w:val="20"/>
          <w:szCs w:val="20"/>
        </w:rPr>
      </w:pPr>
      <w:r w:rsidRPr="000D30A7">
        <w:rPr>
          <w:rFonts w:ascii="Verdana" w:eastAsia="Century Gothic" w:hAnsi="Verdana" w:cs="Arial"/>
          <w:sz w:val="20"/>
          <w:szCs w:val="20"/>
        </w:rPr>
        <w:t>Si bien es cierto las guías de la ANCP-CCE no son un instrumento vinculante, son una</w:t>
      </w:r>
      <w:r w:rsidR="000D1B90" w:rsidRPr="000D30A7">
        <w:rPr>
          <w:rFonts w:ascii="Verdana" w:eastAsia="Century Gothic" w:hAnsi="Verdana" w:cs="Arial"/>
          <w:sz w:val="20"/>
          <w:szCs w:val="20"/>
        </w:rPr>
        <w:t xml:space="preserve"> </w:t>
      </w:r>
      <w:r w:rsidRPr="000D30A7">
        <w:rPr>
          <w:rFonts w:ascii="Verdana" w:eastAsia="Century Gothic" w:hAnsi="Verdana" w:cs="Arial"/>
          <w:sz w:val="20"/>
          <w:szCs w:val="20"/>
        </w:rPr>
        <w:t>herramienta de vital importancia para orientar a la actividad contractual de las Entidades; y no siempre resulta claro si los mecanismos propuestos son de aplicación sucesiva y excluyente, o si por el contrario reflejan las dinámicas reales del mercado, como es la inexistencia de interés en participar en eventos de cotización.</w:t>
      </w:r>
    </w:p>
    <w:p w14:paraId="1EBC2619" w14:textId="77777777" w:rsidR="001C5BC5" w:rsidRPr="000D30A7" w:rsidRDefault="001C5BC5" w:rsidP="001C5BC5">
      <w:pPr>
        <w:spacing w:after="0" w:line="240" w:lineRule="auto"/>
        <w:ind w:left="709" w:right="709"/>
        <w:jc w:val="both"/>
        <w:rPr>
          <w:rFonts w:ascii="Verdana" w:eastAsia="Century Gothic" w:hAnsi="Verdana" w:cs="Arial"/>
          <w:sz w:val="20"/>
          <w:szCs w:val="20"/>
        </w:rPr>
      </w:pPr>
    </w:p>
    <w:p w14:paraId="141DFF3F" w14:textId="4A1FBB73" w:rsidR="00CF4648" w:rsidRPr="000D30A7" w:rsidRDefault="00596B99" w:rsidP="00596B99">
      <w:pPr>
        <w:spacing w:after="0" w:line="240" w:lineRule="auto"/>
        <w:ind w:left="709" w:right="709"/>
        <w:jc w:val="both"/>
        <w:rPr>
          <w:rFonts w:ascii="Verdana" w:eastAsia="Century Gothic" w:hAnsi="Verdana" w:cs="Arial"/>
          <w:sz w:val="20"/>
          <w:szCs w:val="20"/>
        </w:rPr>
      </w:pPr>
      <w:r w:rsidRPr="000D30A7">
        <w:rPr>
          <w:rFonts w:ascii="Verdana" w:eastAsia="Century Gothic" w:hAnsi="Verdana" w:cs="Arial"/>
          <w:sz w:val="20"/>
          <w:szCs w:val="20"/>
        </w:rPr>
        <w:t xml:space="preserve">2. </w:t>
      </w:r>
      <w:r w:rsidRPr="000D30A7">
        <w:rPr>
          <w:rFonts w:ascii="Verdana" w:eastAsia="Century Gothic" w:hAnsi="Verdana" w:cs="Arial"/>
          <w:b/>
          <w:bCs/>
          <w:sz w:val="20"/>
          <w:szCs w:val="20"/>
        </w:rPr>
        <w:t xml:space="preserve">Falta de interés del mercado y expectativa de negocio: </w:t>
      </w:r>
      <w:r w:rsidRPr="000D30A7">
        <w:rPr>
          <w:rFonts w:ascii="Verdana" w:eastAsia="Century Gothic" w:hAnsi="Verdana" w:cs="Arial"/>
          <w:sz w:val="20"/>
          <w:szCs w:val="20"/>
        </w:rPr>
        <w:t>bajo el Modelo de Abastecimiento Estratégico de Colombia Compra Eficiente, ¿cómo se ha analizado, o cómo debe analizarse, la falta de interés de los posibles proveedores del mercado en atender solicitudes de cotización dirigidas por las Entidades Estatales, considerando que, de manera generalizada, los proveedores del mercado no manifiestan interés en cotizar para negocios cuya adjudicación no tienen certeza de obtener?</w:t>
      </w:r>
    </w:p>
    <w:p w14:paraId="5DD5D7B2" w14:textId="77777777" w:rsidR="00CF4648" w:rsidRPr="000D30A7" w:rsidRDefault="00CF4648" w:rsidP="00CF4648">
      <w:pPr>
        <w:spacing w:after="0" w:line="240" w:lineRule="auto"/>
        <w:ind w:left="709" w:right="709"/>
        <w:jc w:val="both"/>
        <w:rPr>
          <w:rFonts w:ascii="Verdana" w:eastAsia="Century Gothic" w:hAnsi="Verdana" w:cs="Arial"/>
          <w:sz w:val="20"/>
          <w:szCs w:val="20"/>
          <w:highlight w:val="cyan"/>
        </w:rPr>
      </w:pPr>
    </w:p>
    <w:p w14:paraId="2BBE14B2" w14:textId="1D5FA761" w:rsidR="00CF4648" w:rsidRPr="000D30A7" w:rsidRDefault="00D652A8" w:rsidP="00D652A8">
      <w:pPr>
        <w:spacing w:after="0" w:line="240" w:lineRule="auto"/>
        <w:ind w:left="709" w:right="709"/>
        <w:jc w:val="both"/>
        <w:rPr>
          <w:rFonts w:ascii="Verdana" w:eastAsia="Century Gothic" w:hAnsi="Verdana" w:cs="Arial"/>
          <w:sz w:val="20"/>
          <w:szCs w:val="20"/>
        </w:rPr>
      </w:pPr>
      <w:r w:rsidRPr="000D30A7">
        <w:rPr>
          <w:rFonts w:ascii="Verdana" w:eastAsia="Century Gothic" w:hAnsi="Verdana" w:cs="Arial"/>
          <w:sz w:val="20"/>
          <w:szCs w:val="20"/>
        </w:rPr>
        <w:t xml:space="preserve">3. </w:t>
      </w:r>
      <w:r w:rsidRPr="000D30A7">
        <w:rPr>
          <w:rFonts w:ascii="Verdana" w:eastAsia="Century Gothic" w:hAnsi="Verdana" w:cs="Arial"/>
          <w:b/>
          <w:bCs/>
          <w:sz w:val="20"/>
          <w:szCs w:val="20"/>
        </w:rPr>
        <w:t xml:space="preserve">Inexistencia de deber legal de cotizar y limitación de herramientas: </w:t>
      </w:r>
      <w:r w:rsidRPr="000D30A7">
        <w:rPr>
          <w:rFonts w:ascii="Verdana" w:eastAsia="Century Gothic" w:hAnsi="Verdana" w:cs="Arial"/>
          <w:sz w:val="20"/>
          <w:szCs w:val="20"/>
        </w:rPr>
        <w:t>¿cómo debería proceder una Entidad Estatal ante la inexistencia de un deber legal en cabeza del particular de atender la solicitud de cotización, y ante la limitación de las herramientas disponibles para adelantar un adecuado análisis de mercado en dichos escenarios? ¿La entidad debería adelantar un mínimo de eventos de cotización para respaldar dicha situación?</w:t>
      </w:r>
      <w:r w:rsidR="00CF4648" w:rsidRPr="000D30A7">
        <w:rPr>
          <w:rFonts w:ascii="Verdana" w:eastAsia="Century Gothic" w:hAnsi="Verdana" w:cs="Arial"/>
          <w:sz w:val="20"/>
          <w:szCs w:val="20"/>
        </w:rPr>
        <w:t xml:space="preserve"> </w:t>
      </w:r>
      <w:r w:rsidR="00CF4648" w:rsidRPr="000D30A7">
        <w:rPr>
          <w:rFonts w:ascii="Verdana" w:eastAsia="Century Gothic" w:hAnsi="Verdana" w:cs="Arial"/>
          <w:sz w:val="20"/>
          <w:szCs w:val="20"/>
          <w:lang w:val="es-ES"/>
        </w:rPr>
        <w:t>[…]”</w:t>
      </w:r>
    </w:p>
    <w:p w14:paraId="362CC2F0" w14:textId="77777777" w:rsidR="00CF4648" w:rsidRPr="00632256" w:rsidRDefault="00CF4648" w:rsidP="00632256">
      <w:pPr>
        <w:spacing w:after="0" w:line="276" w:lineRule="auto"/>
        <w:ind w:left="709" w:right="709"/>
        <w:jc w:val="both"/>
        <w:rPr>
          <w:rFonts w:ascii="Verdana" w:eastAsia="Century Gothic" w:hAnsi="Verdana" w:cs="Arial"/>
          <w:highlight w:val="cyan"/>
        </w:rPr>
      </w:pPr>
    </w:p>
    <w:p w14:paraId="6E3F3598" w14:textId="77777777" w:rsidR="00CF4648" w:rsidRPr="000D30A7" w:rsidRDefault="00CF4648" w:rsidP="00CF4648">
      <w:pPr>
        <w:spacing w:after="120" w:line="276" w:lineRule="auto"/>
        <w:ind w:firstLine="709"/>
        <w:jc w:val="both"/>
        <w:rPr>
          <w:rFonts w:ascii="Verdana" w:eastAsia="Calibri" w:hAnsi="Verdana" w:cs="Arial"/>
          <w:lang w:val="es-ES_tradnl" w:eastAsia="es-ES_tradnl"/>
        </w:rPr>
      </w:pPr>
      <w:r w:rsidRPr="000D30A7">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9F80235" w14:textId="77777777" w:rsidR="00CF4648" w:rsidRPr="000D30A7" w:rsidRDefault="00CF4648" w:rsidP="00CF4648">
      <w:pPr>
        <w:spacing w:after="0" w:line="276" w:lineRule="auto"/>
        <w:ind w:firstLine="709"/>
        <w:jc w:val="both"/>
        <w:rPr>
          <w:rFonts w:ascii="Verdana" w:eastAsia="Calibri" w:hAnsi="Verdana" w:cs="Arial"/>
          <w:lang w:val="es-ES" w:eastAsia="es-ES"/>
        </w:rPr>
      </w:pPr>
      <w:r w:rsidRPr="000D30A7">
        <w:rPr>
          <w:rFonts w:ascii="Verdana" w:eastAsia="Calibri" w:hAnsi="Verdana" w:cs="Arial"/>
          <w:lang w:val="es-ES" w:eastAsia="es-ES"/>
        </w:rPr>
        <w:lastRenderedPageBreak/>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A7953A5" w14:textId="77777777" w:rsidR="00CF4648" w:rsidRPr="000D30A7" w:rsidRDefault="00CF4648" w:rsidP="00CF4648">
      <w:pPr>
        <w:spacing w:after="0" w:line="276" w:lineRule="auto"/>
        <w:jc w:val="both"/>
        <w:rPr>
          <w:rStyle w:val="Hipervnculo"/>
          <w:rFonts w:ascii="Verdana" w:hAnsi="Verdana"/>
          <w:color w:val="auto"/>
          <w:highlight w:val="cyan"/>
          <w:u w:val="none"/>
          <w:lang w:val="es-ES"/>
        </w:rPr>
      </w:pPr>
    </w:p>
    <w:p w14:paraId="6B8A90BE" w14:textId="77777777" w:rsidR="00CF4648" w:rsidRPr="000D30A7" w:rsidRDefault="00CF4648" w:rsidP="00CF464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0D30A7">
        <w:rPr>
          <w:rFonts w:ascii="Verdana" w:eastAsia="Century Gothic" w:hAnsi="Verdana" w:cs="Arial"/>
          <w:b/>
          <w:bCs/>
        </w:rPr>
        <w:t>Problemas planteados:</w:t>
      </w:r>
    </w:p>
    <w:p w14:paraId="3DDFC4E1" w14:textId="77777777" w:rsidR="00CF4648" w:rsidRPr="000D30A7" w:rsidRDefault="00CF4648" w:rsidP="00CF4648">
      <w:pPr>
        <w:spacing w:after="0" w:line="276" w:lineRule="auto"/>
        <w:jc w:val="both"/>
        <w:rPr>
          <w:rStyle w:val="Hipervnculo"/>
          <w:rFonts w:ascii="Verdana" w:hAnsi="Verdana" w:cs="Arial"/>
          <w:color w:val="auto"/>
          <w:highlight w:val="cyan"/>
        </w:rPr>
      </w:pPr>
    </w:p>
    <w:p w14:paraId="6A6E3F9F" w14:textId="11BB7A84" w:rsidR="00CF4648" w:rsidRPr="000D30A7" w:rsidRDefault="00CF4648" w:rsidP="00CF4648">
      <w:pPr>
        <w:spacing w:after="0" w:line="276" w:lineRule="auto"/>
        <w:jc w:val="both"/>
        <w:rPr>
          <w:rFonts w:ascii="Verdana" w:eastAsia="Century Gothic" w:hAnsi="Verdana" w:cs="Century Gothic"/>
        </w:rPr>
      </w:pPr>
      <w:r w:rsidRPr="000D30A7">
        <w:rPr>
          <w:rFonts w:ascii="Verdana" w:eastAsia="Calibri" w:hAnsi="Verdana" w:cs="Times New Roman"/>
        </w:rPr>
        <w:t xml:space="preserve">De acuerdo con el contenido de su solicitud, la Agencia procede </w:t>
      </w:r>
      <w:r w:rsidR="00B04F04" w:rsidRPr="000D30A7">
        <w:rPr>
          <w:rFonts w:ascii="Verdana" w:eastAsia="Calibri" w:hAnsi="Verdana" w:cs="Times New Roman"/>
        </w:rPr>
        <w:t xml:space="preserve">en el presente concepto </w:t>
      </w:r>
      <w:r w:rsidRPr="000D30A7">
        <w:rPr>
          <w:rFonts w:ascii="Verdana" w:eastAsia="Calibri" w:hAnsi="Verdana" w:cs="Times New Roman"/>
        </w:rPr>
        <w:t xml:space="preserve">a resolver los siguientes problemas jurídicos: </w:t>
      </w:r>
      <w:r w:rsidRPr="000D30A7">
        <w:rPr>
          <w:rFonts w:ascii="Verdana" w:eastAsia="Century Gothic" w:hAnsi="Verdana" w:cs="Century Gothic"/>
        </w:rPr>
        <w:t xml:space="preserve">i) </w:t>
      </w:r>
      <w:r w:rsidR="005055B7" w:rsidRPr="000D30A7">
        <w:rPr>
          <w:rFonts w:ascii="Verdana" w:eastAsia="Century Gothic" w:hAnsi="Verdana" w:cs="Century Gothic"/>
        </w:rPr>
        <w:t>¿</w:t>
      </w:r>
      <w:r w:rsidR="004C5F5E" w:rsidRPr="000D30A7">
        <w:rPr>
          <w:rFonts w:ascii="Verdana" w:eastAsia="Century Gothic" w:hAnsi="Verdana" w:cs="Century Gothic"/>
        </w:rPr>
        <w:t>Q</w:t>
      </w:r>
      <w:r w:rsidR="005055B7" w:rsidRPr="000D30A7">
        <w:rPr>
          <w:rFonts w:ascii="Verdana" w:eastAsia="Century Gothic" w:hAnsi="Verdana" w:cs="Century Gothic"/>
        </w:rPr>
        <w:t xml:space="preserve">ué debe entenderse que ocurre, y cómo debería proceder la Entidad Estatal, ante la ausencia de respuesta por parte de los posibles proveedores requeridos?; </w:t>
      </w:r>
      <w:proofErr w:type="spellStart"/>
      <w:r w:rsidRPr="000D30A7">
        <w:rPr>
          <w:rFonts w:ascii="Verdana" w:eastAsia="Century Gothic" w:hAnsi="Verdana" w:cs="Century Gothic"/>
        </w:rPr>
        <w:t>ii</w:t>
      </w:r>
      <w:proofErr w:type="spellEnd"/>
      <w:r w:rsidRPr="000D30A7">
        <w:rPr>
          <w:rFonts w:ascii="Verdana" w:eastAsia="Century Gothic" w:hAnsi="Verdana" w:cs="Century Gothic"/>
        </w:rPr>
        <w:t xml:space="preserve">) </w:t>
      </w:r>
      <w:r w:rsidR="0056146B" w:rsidRPr="000D30A7">
        <w:rPr>
          <w:rFonts w:ascii="Verdana" w:eastAsia="Century Gothic" w:hAnsi="Verdana" w:cs="Century Gothic"/>
        </w:rPr>
        <w:t>¿De qué manera debe proceder jurídicamente una Entidad Estatal ante la ausencia de un deber legal del particular de atender solicitudes de cotización y frente a las restricciones de las herramientas disponibles para adelantar un análisis de mercado adecuado? En ese escenario, ¿es procedente exigir a la Entidad la realización de un mínimo de eventos de cotización como respaldo de la situación planteada?</w:t>
      </w:r>
    </w:p>
    <w:p w14:paraId="1336351C" w14:textId="77777777" w:rsidR="0056146B" w:rsidRPr="000D30A7" w:rsidRDefault="0056146B" w:rsidP="00CF4648">
      <w:pPr>
        <w:spacing w:after="0" w:line="276" w:lineRule="auto"/>
        <w:jc w:val="both"/>
        <w:rPr>
          <w:rStyle w:val="Hipervnculo"/>
          <w:rFonts w:ascii="Verdana" w:hAnsi="Verdana" w:cs="Arial"/>
          <w:color w:val="auto"/>
        </w:rPr>
      </w:pPr>
    </w:p>
    <w:p w14:paraId="228BB7DE" w14:textId="77777777" w:rsidR="00CF4648" w:rsidRPr="000D30A7" w:rsidRDefault="00CF4648" w:rsidP="00CF4648">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0D30A7">
        <w:rPr>
          <w:rFonts w:ascii="Verdana" w:eastAsia="Arial" w:hAnsi="Verdana" w:cs="Arial"/>
          <w:b/>
          <w:bCs/>
        </w:rPr>
        <w:t>Respuesta:</w:t>
      </w:r>
    </w:p>
    <w:p w14:paraId="70D74E5F" w14:textId="77777777" w:rsidR="002A0DD0" w:rsidRPr="000D30A7" w:rsidRDefault="002A0DD0" w:rsidP="30821638">
      <w:pPr>
        <w:spacing w:after="0" w:line="240" w:lineRule="auto"/>
        <w:jc w:val="both"/>
        <w:rPr>
          <w:rFonts w:ascii="Verdana" w:eastAsia="Verdana" w:hAnsi="Verdana" w:cs="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7347" w:rsidRPr="000D30A7" w14:paraId="2085B45E" w14:textId="77777777" w:rsidTr="000F35FC">
        <w:tc>
          <w:tcPr>
            <w:tcW w:w="8828" w:type="dxa"/>
          </w:tcPr>
          <w:p w14:paraId="72B11677" w14:textId="77777777" w:rsidR="008D7347" w:rsidRPr="000D30A7" w:rsidRDefault="008D7347" w:rsidP="000F35FC">
            <w:pPr>
              <w:spacing w:after="120" w:line="276" w:lineRule="auto"/>
              <w:jc w:val="both"/>
              <w:rPr>
                <w:rFonts w:ascii="Verdana" w:hAnsi="Verdana" w:cs="Arial"/>
              </w:rPr>
            </w:pPr>
            <w:bookmarkStart w:id="1" w:name="_Hlk171067516"/>
            <w:r w:rsidRPr="000D30A7">
              <w:rPr>
                <w:rFonts w:ascii="Verdana" w:hAnsi="Verdana" w:cs="Arial"/>
              </w:rPr>
              <w:t>En respuesta a los problemas antes planteados esta Subdirección manifiesta lo siguiente:</w:t>
            </w:r>
          </w:p>
          <w:p w14:paraId="20AD3322" w14:textId="39AD7FDB" w:rsidR="001530FB" w:rsidRPr="000D30A7" w:rsidRDefault="008D7347" w:rsidP="000F35FC">
            <w:pPr>
              <w:spacing w:after="120" w:line="276" w:lineRule="auto"/>
              <w:jc w:val="both"/>
              <w:rPr>
                <w:rFonts w:ascii="Verdana" w:hAnsi="Verdana"/>
              </w:rPr>
            </w:pPr>
            <w:r w:rsidRPr="000D30A7">
              <w:rPr>
                <w:rFonts w:ascii="Verdana" w:hAnsi="Verdana"/>
              </w:rPr>
              <w:t xml:space="preserve">i) En </w:t>
            </w:r>
            <w:r w:rsidRPr="000D30A7">
              <w:rPr>
                <w:rFonts w:ascii="Verdana" w:hAnsi="Verdana"/>
                <w:i/>
                <w:iCs/>
              </w:rPr>
              <w:t>primer lugar</w:t>
            </w:r>
            <w:r w:rsidRPr="000D30A7">
              <w:rPr>
                <w:rFonts w:ascii="Verdana" w:hAnsi="Verdana"/>
              </w:rPr>
              <w:t xml:space="preserve"> debe indicarse que </w:t>
            </w:r>
            <w:r w:rsidR="00C80A7D" w:rsidRPr="000D30A7">
              <w:rPr>
                <w:rFonts w:ascii="Verdana" w:hAnsi="Verdana"/>
              </w:rPr>
              <w:t xml:space="preserve">mediante el artículo 2.2.1.1.1.6.1 del Decreto 1082 de 2015 se estableció el deber </w:t>
            </w:r>
            <w:r w:rsidR="00837305" w:rsidRPr="000D30A7">
              <w:rPr>
                <w:rFonts w:ascii="Verdana" w:hAnsi="Verdana"/>
              </w:rPr>
              <w:t xml:space="preserve">de las Entidades Estatales </w:t>
            </w:r>
            <w:r w:rsidR="00C80A7D" w:rsidRPr="000D30A7">
              <w:rPr>
                <w:rFonts w:ascii="Verdana" w:hAnsi="Verdana"/>
              </w:rPr>
              <w:t>de analizar el sector relativo al objeto del Proceso de Contratación desde la perspectiva legal, comercial, financiera, organizacional, técnica y de análisis de riesgo, sin que dicha disposición condicione la validez del estudio a la obtención efectiva de respuestas por parte de los proveedores consultados. En consecuencia, la ausencia de respuesta por parte de los posibles proveedores requeridos</w:t>
            </w:r>
            <w:r w:rsidR="00A81AEE" w:rsidRPr="000D30A7">
              <w:rPr>
                <w:rFonts w:ascii="Verdana" w:hAnsi="Verdana"/>
              </w:rPr>
              <w:t xml:space="preserve">, </w:t>
            </w:r>
            <w:r w:rsidR="00C80A7D" w:rsidRPr="000D30A7">
              <w:rPr>
                <w:rFonts w:ascii="Verdana" w:hAnsi="Verdana"/>
              </w:rPr>
              <w:t>ya sea a través de SECOP II, correo electrónico u otro instrumento idóneo</w:t>
            </w:r>
            <w:r w:rsidR="00A81AEE" w:rsidRPr="000D30A7">
              <w:rPr>
                <w:rFonts w:ascii="Verdana" w:hAnsi="Verdana"/>
              </w:rPr>
              <w:t xml:space="preserve">, </w:t>
            </w:r>
            <w:r w:rsidR="00C80A7D" w:rsidRPr="000D30A7">
              <w:rPr>
                <w:rFonts w:ascii="Verdana" w:hAnsi="Verdana"/>
              </w:rPr>
              <w:t xml:space="preserve">no debe entenderse como una negativa tácita, ni como una circunstancia que </w:t>
            </w:r>
            <w:r w:rsidR="00A81AEE" w:rsidRPr="000D30A7">
              <w:rPr>
                <w:rFonts w:ascii="Verdana" w:hAnsi="Verdana"/>
              </w:rPr>
              <w:t>exánime</w:t>
            </w:r>
            <w:r w:rsidR="00C80A7D" w:rsidRPr="000D30A7">
              <w:rPr>
                <w:rFonts w:ascii="Verdana" w:hAnsi="Verdana"/>
              </w:rPr>
              <w:t xml:space="preserve"> por sí sola la validez o suficiencia del estudio de mercado, sino como una contingencia propia de la naturaleza no vinculante de </w:t>
            </w:r>
            <w:r w:rsidR="00C80A7D" w:rsidRPr="000D30A7">
              <w:rPr>
                <w:rFonts w:ascii="Verdana" w:hAnsi="Verdana"/>
              </w:rPr>
              <w:lastRenderedPageBreak/>
              <w:t>la solicitud de cotización, la cual constituye un acto de colaboración voluntaria del particular y no una carga exigible en su contra.</w:t>
            </w:r>
          </w:p>
          <w:p w14:paraId="33F3C11E" w14:textId="70983B5C" w:rsidR="005A4F47" w:rsidRPr="000D30A7" w:rsidRDefault="005A4F47" w:rsidP="00632256">
            <w:pPr>
              <w:spacing w:after="120" w:line="276" w:lineRule="auto"/>
              <w:ind w:firstLine="708"/>
              <w:jc w:val="both"/>
              <w:rPr>
                <w:rFonts w:ascii="Verdana" w:hAnsi="Verdana"/>
              </w:rPr>
            </w:pPr>
            <w:r w:rsidRPr="000D30A7">
              <w:rPr>
                <w:rFonts w:ascii="Verdana" w:hAnsi="Verdana"/>
              </w:rPr>
              <w:t xml:space="preserve">De conformidad con lo anterior, ante la ausencia de respuesta la Entidad Estatal </w:t>
            </w:r>
            <w:r w:rsidR="00AF0F58" w:rsidRPr="000D30A7">
              <w:rPr>
                <w:rFonts w:ascii="Verdana" w:hAnsi="Verdana"/>
              </w:rPr>
              <w:t>podrá</w:t>
            </w:r>
            <w:r w:rsidRPr="000D30A7">
              <w:rPr>
                <w:rFonts w:ascii="Verdana" w:hAnsi="Verdana"/>
              </w:rPr>
              <w:t xml:space="preserve"> proceder de la siguiente manera:</w:t>
            </w:r>
          </w:p>
          <w:p w14:paraId="294471FE" w14:textId="2C7B9723" w:rsidR="005A4F47" w:rsidRPr="000D30A7" w:rsidRDefault="005A4F47" w:rsidP="00632256">
            <w:pPr>
              <w:spacing w:after="120" w:line="276" w:lineRule="auto"/>
              <w:ind w:firstLine="708"/>
              <w:jc w:val="both"/>
              <w:rPr>
                <w:rFonts w:ascii="Verdana" w:hAnsi="Verdana"/>
              </w:rPr>
            </w:pPr>
            <w:r w:rsidRPr="000D30A7">
              <w:rPr>
                <w:rFonts w:ascii="Verdana" w:hAnsi="Verdana"/>
              </w:rPr>
              <w:t>(i) Dejar constancia documental de las gestiones adelantadas para la obtención de información de mercado</w:t>
            </w:r>
            <w:r w:rsidR="00D64787" w:rsidRPr="000D30A7">
              <w:rPr>
                <w:rFonts w:ascii="Verdana" w:hAnsi="Verdana"/>
              </w:rPr>
              <w:t xml:space="preserve">, </w:t>
            </w:r>
            <w:r w:rsidRPr="000D30A7">
              <w:rPr>
                <w:rFonts w:ascii="Verdana" w:hAnsi="Verdana"/>
              </w:rPr>
              <w:t>remisión de solicitudes, canales empleados, fechas y plazos otorgados a los proveedores, de manera que quede acreditada la diligencia desplegada en cumplimiento del principio de planeación.</w:t>
            </w:r>
          </w:p>
          <w:p w14:paraId="41D5EBCC" w14:textId="0FFFB780" w:rsidR="005A4F47" w:rsidRPr="000D30A7" w:rsidRDefault="005A4F47" w:rsidP="00632256">
            <w:pPr>
              <w:spacing w:after="120" w:line="276" w:lineRule="auto"/>
              <w:ind w:firstLine="708"/>
              <w:jc w:val="both"/>
              <w:rPr>
                <w:rFonts w:ascii="Verdana" w:hAnsi="Verdana"/>
              </w:rPr>
            </w:pPr>
            <w:r w:rsidRPr="000D30A7">
              <w:rPr>
                <w:rFonts w:ascii="Verdana" w:hAnsi="Verdana"/>
              </w:rPr>
              <w:t>(</w:t>
            </w:r>
            <w:proofErr w:type="spellStart"/>
            <w:r w:rsidRPr="000D30A7">
              <w:rPr>
                <w:rFonts w:ascii="Verdana" w:hAnsi="Verdana"/>
              </w:rPr>
              <w:t>ii</w:t>
            </w:r>
            <w:proofErr w:type="spellEnd"/>
            <w:r w:rsidRPr="000D30A7">
              <w:rPr>
                <w:rFonts w:ascii="Verdana" w:hAnsi="Verdana"/>
              </w:rPr>
              <w:t>) Acudir a fuentes de información alternativas o complementarias que permitan suplir la insuficiencia de cotizaciones, tales como el histórico de precios adjudicados en SECOP I y SECOP II para objetos contractuales análogos, presupuestos oficiales de procesos anteriores, listas de precios de referencia sectorial, información de gremios o asociaciones, bases de datos de entidades como el DANE</w:t>
            </w:r>
            <w:r w:rsidR="00E073DB" w:rsidRPr="000D30A7">
              <w:rPr>
                <w:rFonts w:ascii="Verdana" w:hAnsi="Verdana"/>
              </w:rPr>
              <w:t xml:space="preserve"> e incluso</w:t>
            </w:r>
            <w:r w:rsidR="00D40AD9" w:rsidRPr="000D30A7">
              <w:rPr>
                <w:rFonts w:ascii="Verdana" w:hAnsi="Verdana"/>
              </w:rPr>
              <w:t xml:space="preserve"> </w:t>
            </w:r>
            <w:r w:rsidR="00F558FD" w:rsidRPr="000D30A7">
              <w:rPr>
                <w:rFonts w:ascii="Verdana" w:hAnsi="Verdana"/>
              </w:rPr>
              <w:t>Ferias de Negocios Inclusivas</w:t>
            </w:r>
            <w:r w:rsidR="00D40AD9" w:rsidRPr="000D30A7">
              <w:rPr>
                <w:rFonts w:ascii="Verdana" w:hAnsi="Verdana"/>
              </w:rPr>
              <w:t>,</w:t>
            </w:r>
            <w:r w:rsidRPr="000D30A7">
              <w:rPr>
                <w:rFonts w:ascii="Verdana" w:hAnsi="Verdana"/>
              </w:rPr>
              <w:t xml:space="preserve"> cuando resulte pertinente.</w:t>
            </w:r>
          </w:p>
          <w:p w14:paraId="0B188E91" w14:textId="1E7D6203" w:rsidR="00C80A7D" w:rsidRPr="000D30A7" w:rsidRDefault="005A4F47" w:rsidP="00632256">
            <w:pPr>
              <w:spacing w:after="120" w:line="276" w:lineRule="auto"/>
              <w:ind w:firstLine="708"/>
              <w:jc w:val="both"/>
              <w:rPr>
                <w:rFonts w:ascii="Verdana" w:hAnsi="Verdana"/>
              </w:rPr>
            </w:pPr>
            <w:r w:rsidRPr="000D30A7">
              <w:rPr>
                <w:rFonts w:ascii="Verdana" w:hAnsi="Verdana"/>
              </w:rPr>
              <w:t>(</w:t>
            </w:r>
            <w:proofErr w:type="spellStart"/>
            <w:r w:rsidRPr="000D30A7">
              <w:rPr>
                <w:rFonts w:ascii="Verdana" w:hAnsi="Verdana"/>
              </w:rPr>
              <w:t>iii</w:t>
            </w:r>
            <w:proofErr w:type="spellEnd"/>
            <w:r w:rsidRPr="000D30A7">
              <w:rPr>
                <w:rFonts w:ascii="Verdana" w:hAnsi="Verdana"/>
              </w:rPr>
              <w:t>) Documentar de manera expresa y motivada, dentro del estudio de sector, tanto las gestiones infructuosas adelantadas como la metodología alternativa aplicada para la estimación del valor estimado del contrato, de suerte que quede acreditado el cumplimiento del principio de planeación, no obstante la imposibilidad material de obtener las cotizaciones inicialmente requeridas.</w:t>
            </w:r>
          </w:p>
          <w:p w14:paraId="6603340A" w14:textId="640BC78B" w:rsidR="008D7347" w:rsidRPr="000D30A7" w:rsidRDefault="008D7347" w:rsidP="00632256">
            <w:pPr>
              <w:spacing w:after="120" w:line="276" w:lineRule="auto"/>
              <w:jc w:val="both"/>
              <w:rPr>
                <w:rFonts w:ascii="Verdana" w:hAnsi="Verdana"/>
              </w:rPr>
            </w:pPr>
            <w:proofErr w:type="spellStart"/>
            <w:r w:rsidRPr="000D30A7">
              <w:rPr>
                <w:rFonts w:ascii="Verdana" w:hAnsi="Verdana"/>
              </w:rPr>
              <w:t>ii</w:t>
            </w:r>
            <w:proofErr w:type="spellEnd"/>
            <w:r w:rsidRPr="000D30A7">
              <w:rPr>
                <w:rFonts w:ascii="Verdana" w:hAnsi="Verdana"/>
              </w:rPr>
              <w:t xml:space="preserve">) Frente al </w:t>
            </w:r>
            <w:r w:rsidRPr="000D30A7">
              <w:rPr>
                <w:rFonts w:ascii="Verdana" w:hAnsi="Verdana"/>
                <w:i/>
                <w:iCs/>
              </w:rPr>
              <w:t>segundo problema planteado</w:t>
            </w:r>
            <w:r w:rsidRPr="000D30A7">
              <w:rPr>
                <w:rFonts w:ascii="Verdana" w:hAnsi="Verdana"/>
              </w:rPr>
              <w:t>, resulta pertinente indicar que</w:t>
            </w:r>
            <w:r w:rsidR="00B64DEB" w:rsidRPr="000D30A7">
              <w:rPr>
                <w:rFonts w:ascii="Verdana" w:hAnsi="Verdana"/>
              </w:rPr>
              <w:t xml:space="preserve"> no existe una norma que imponga a los particulares el deber legal de atender las solicitudes de cotización formuladas por las Entidades Estatales en la etapa de planeación</w:t>
            </w:r>
            <w:r w:rsidR="00520AB0" w:rsidRPr="000D30A7">
              <w:rPr>
                <w:rFonts w:ascii="Verdana" w:hAnsi="Verdana"/>
              </w:rPr>
              <w:t xml:space="preserve">, </w:t>
            </w:r>
            <w:r w:rsidR="00B64DEB" w:rsidRPr="000D30A7">
              <w:rPr>
                <w:rFonts w:ascii="Verdana" w:hAnsi="Verdana"/>
              </w:rPr>
              <w:t>lo anterior por cuanto dicha solicitud no genera relación contractual alguna, ni resulta exigible mediante los instrumentos propios de la actividad contractual del Estado. Se trata, en sentido estricto, de una carga de diligencia que recae sobre la Entidad y no de una obligación exigible frente al proveedor consultado.</w:t>
            </w:r>
          </w:p>
          <w:p w14:paraId="0467491F" w14:textId="1011CE55" w:rsidR="00D9097E" w:rsidRPr="000D30A7" w:rsidRDefault="00D9097E" w:rsidP="00632256">
            <w:pPr>
              <w:spacing w:after="120" w:line="276" w:lineRule="auto"/>
              <w:ind w:firstLine="708"/>
              <w:jc w:val="both"/>
              <w:rPr>
                <w:rFonts w:ascii="Verdana" w:eastAsia="Calibri" w:hAnsi="Verdana" w:cs="Arial"/>
                <w:color w:val="000000"/>
              </w:rPr>
            </w:pPr>
            <w:r w:rsidRPr="000D30A7">
              <w:rPr>
                <w:rFonts w:ascii="Verdana" w:eastAsia="Calibri" w:hAnsi="Verdana" w:cs="Arial"/>
                <w:color w:val="000000"/>
              </w:rPr>
              <w:t xml:space="preserve">Frente a esta limitación estructural, la Entidad Estatal </w:t>
            </w:r>
            <w:r w:rsidR="00785BF8" w:rsidRPr="000D30A7">
              <w:rPr>
                <w:rFonts w:ascii="Verdana" w:eastAsia="Calibri" w:hAnsi="Verdana" w:cs="Arial"/>
                <w:color w:val="000000"/>
              </w:rPr>
              <w:t>podrá</w:t>
            </w:r>
            <w:r w:rsidRPr="000D30A7">
              <w:rPr>
                <w:rFonts w:ascii="Verdana" w:eastAsia="Calibri" w:hAnsi="Verdana" w:cs="Arial"/>
                <w:color w:val="000000"/>
              </w:rPr>
              <w:t xml:space="preserve"> orientar su actuación bajo la lógica de una obligación de medio y no de resultado: no le es exigible garantizar un número determinado de respuestas, sino acreditar que agotó, de manera razonable y proporcional a la complejidad y cuantía del </w:t>
            </w:r>
            <w:r w:rsidRPr="000D30A7">
              <w:rPr>
                <w:rFonts w:ascii="Verdana" w:eastAsia="Calibri" w:hAnsi="Verdana" w:cs="Arial"/>
                <w:color w:val="000000"/>
              </w:rPr>
              <w:lastRenderedPageBreak/>
              <w:t>objeto contractual, los mecanismos disponibles para la obtención de información de mercado.</w:t>
            </w:r>
          </w:p>
          <w:p w14:paraId="096CDE0A" w14:textId="1FB55CB2" w:rsidR="00D9097E" w:rsidRPr="000D30A7" w:rsidRDefault="00D9097E" w:rsidP="00632256">
            <w:pPr>
              <w:spacing w:after="120" w:line="276" w:lineRule="auto"/>
              <w:ind w:firstLine="708"/>
              <w:jc w:val="both"/>
              <w:rPr>
                <w:rFonts w:ascii="Verdana" w:eastAsia="Calibri" w:hAnsi="Verdana" w:cs="Arial"/>
                <w:color w:val="000000"/>
              </w:rPr>
            </w:pPr>
            <w:r w:rsidRPr="000D30A7">
              <w:rPr>
                <w:rFonts w:ascii="Verdana" w:eastAsia="Calibri" w:hAnsi="Verdana" w:cs="Arial"/>
                <w:color w:val="000000"/>
              </w:rPr>
              <w:t>En lo que respecta a si la Entidad debería adelantar un mínimo de eventos de cotización, es preciso señalar que ni el Decreto 1082 de 2015 ni la Guía para la elaboración de Estudios de Sector establecen un número mínimo obligatorio de solicitudes de cotización. No obstante lo anterior, la práctica administrativa reiterada</w:t>
            </w:r>
            <w:r w:rsidR="00746155" w:rsidRPr="000D30A7">
              <w:rPr>
                <w:rFonts w:ascii="Verdana" w:eastAsia="Calibri" w:hAnsi="Verdana" w:cs="Arial"/>
                <w:color w:val="000000"/>
              </w:rPr>
              <w:t xml:space="preserve">, </w:t>
            </w:r>
            <w:r w:rsidRPr="000D30A7">
              <w:rPr>
                <w:rFonts w:ascii="Verdana" w:eastAsia="Calibri" w:hAnsi="Verdana" w:cs="Arial"/>
                <w:color w:val="000000"/>
              </w:rPr>
              <w:t>y recomendable a efectos de acreditar razonabilidad y suficiencia del estudio</w:t>
            </w:r>
            <w:r w:rsidR="00746155" w:rsidRPr="000D30A7">
              <w:rPr>
                <w:rFonts w:ascii="Verdana" w:eastAsia="Calibri" w:hAnsi="Verdana" w:cs="Arial"/>
                <w:color w:val="000000"/>
              </w:rPr>
              <w:t xml:space="preserve">, </w:t>
            </w:r>
            <w:r w:rsidRPr="000D30A7">
              <w:rPr>
                <w:rFonts w:ascii="Verdana" w:eastAsia="Calibri" w:hAnsi="Verdana" w:cs="Arial"/>
                <w:color w:val="000000"/>
              </w:rPr>
              <w:t>sugiere adelantar al menos tres (3) solicitudes de cotización, sin que ello constituya una regla de derecho positivo, sino un estándar de diligencia razonable susceptible de ajustarse según:</w:t>
            </w:r>
          </w:p>
          <w:p w14:paraId="308EECD1" w14:textId="77777777" w:rsidR="00D9097E" w:rsidRPr="005C011D" w:rsidRDefault="00D9097E" w:rsidP="00632256">
            <w:pPr>
              <w:pStyle w:val="Prrafodelista"/>
              <w:numPr>
                <w:ilvl w:val="0"/>
                <w:numId w:val="22"/>
              </w:numPr>
              <w:spacing w:after="120" w:line="276" w:lineRule="auto"/>
              <w:jc w:val="both"/>
              <w:rPr>
                <w:rFonts w:ascii="Verdana" w:eastAsia="Calibri" w:hAnsi="Verdana" w:cs="Arial"/>
                <w:color w:val="000000"/>
              </w:rPr>
            </w:pPr>
            <w:r w:rsidRPr="005C011D">
              <w:rPr>
                <w:rFonts w:ascii="Verdana" w:eastAsia="Calibri" w:hAnsi="Verdana" w:cs="Arial"/>
                <w:color w:val="000000"/>
              </w:rPr>
              <w:t>La complejidad y especialidad del objeto a contratar.</w:t>
            </w:r>
          </w:p>
          <w:p w14:paraId="761FD6D4" w14:textId="77777777" w:rsidR="00D9097E" w:rsidRPr="005C011D" w:rsidRDefault="00D9097E" w:rsidP="00632256">
            <w:pPr>
              <w:pStyle w:val="Prrafodelista"/>
              <w:numPr>
                <w:ilvl w:val="0"/>
                <w:numId w:val="22"/>
              </w:numPr>
              <w:spacing w:after="120" w:line="276" w:lineRule="auto"/>
              <w:jc w:val="both"/>
              <w:rPr>
                <w:rFonts w:ascii="Verdana" w:eastAsia="Calibri" w:hAnsi="Verdana" w:cs="Arial"/>
                <w:color w:val="000000"/>
              </w:rPr>
            </w:pPr>
            <w:r w:rsidRPr="005C011D">
              <w:rPr>
                <w:rFonts w:ascii="Verdana" w:eastAsia="Calibri" w:hAnsi="Verdana" w:cs="Arial"/>
                <w:color w:val="000000"/>
              </w:rPr>
              <w:t>El grado de concentración o atomización del mercado relevante (número de proveedores existentes).</w:t>
            </w:r>
          </w:p>
          <w:p w14:paraId="3E81791A" w14:textId="77777777" w:rsidR="00D9097E" w:rsidRPr="005C011D" w:rsidRDefault="00D9097E" w:rsidP="00632256">
            <w:pPr>
              <w:pStyle w:val="Prrafodelista"/>
              <w:numPr>
                <w:ilvl w:val="0"/>
                <w:numId w:val="22"/>
              </w:numPr>
              <w:spacing w:after="120" w:line="276" w:lineRule="auto"/>
              <w:jc w:val="both"/>
              <w:rPr>
                <w:rFonts w:ascii="Verdana" w:eastAsia="Calibri" w:hAnsi="Verdana" w:cs="Arial"/>
                <w:color w:val="000000"/>
              </w:rPr>
            </w:pPr>
            <w:r w:rsidRPr="005C011D">
              <w:rPr>
                <w:rFonts w:ascii="Verdana" w:eastAsia="Calibri" w:hAnsi="Verdana" w:cs="Arial"/>
                <w:color w:val="000000"/>
              </w:rPr>
              <w:t>La cuantía estimada del Proceso de Contratación.</w:t>
            </w:r>
          </w:p>
          <w:p w14:paraId="080FBE7A" w14:textId="77777777" w:rsidR="00D9097E" w:rsidRPr="005C011D" w:rsidRDefault="00D9097E" w:rsidP="00632256">
            <w:pPr>
              <w:pStyle w:val="Prrafodelista"/>
              <w:numPr>
                <w:ilvl w:val="0"/>
                <w:numId w:val="22"/>
              </w:numPr>
              <w:spacing w:after="120" w:line="276" w:lineRule="auto"/>
              <w:jc w:val="both"/>
              <w:rPr>
                <w:rFonts w:ascii="Verdana" w:eastAsia="Calibri" w:hAnsi="Verdana" w:cs="Arial"/>
                <w:color w:val="000000"/>
              </w:rPr>
            </w:pPr>
            <w:r w:rsidRPr="005C011D">
              <w:rPr>
                <w:rFonts w:ascii="Verdana" w:eastAsia="Calibri" w:hAnsi="Verdana" w:cs="Arial"/>
                <w:color w:val="000000"/>
              </w:rPr>
              <w:t>Los antecedentes contractuales de la Entidad frente a objetos similares.</w:t>
            </w:r>
          </w:p>
          <w:p w14:paraId="0F029B00" w14:textId="77777777" w:rsidR="005D7E08" w:rsidRPr="000D30A7" w:rsidRDefault="00D9097E" w:rsidP="00632256">
            <w:pPr>
              <w:spacing w:after="120" w:line="276" w:lineRule="auto"/>
              <w:ind w:firstLine="708"/>
              <w:jc w:val="both"/>
              <w:rPr>
                <w:rFonts w:ascii="Verdana" w:eastAsia="Calibri" w:hAnsi="Verdana" w:cs="Arial"/>
                <w:color w:val="000000"/>
              </w:rPr>
            </w:pPr>
            <w:r w:rsidRPr="000D30A7">
              <w:rPr>
                <w:rFonts w:ascii="Verdana" w:eastAsia="Calibri" w:hAnsi="Verdana" w:cs="Arial"/>
                <w:color w:val="000000"/>
              </w:rPr>
              <w:t>En los eventos en que no se logre reunir el número de cotizaciones inicialmente proyectado, la Entidad debe justificar motivadamente en el estudio de mercado las razones de dicha insuficiencia y soportar la estimación del presupuesto mediante fuentes alternativas idóneas, no solo para dar cumplimiento formal al deber de análisis del sector, sino que también para blindar la actuación administrativa frente a eventuales observaciones de los órganos de control fiscal, en tanto la suficiencia del estudio se valora en función de la razonabilidad de las gestiones adelantadas y no del número absoluto de respuestas obtenidas.</w:t>
            </w:r>
          </w:p>
          <w:p w14:paraId="4B543F0A" w14:textId="77777777" w:rsidR="00716DDC" w:rsidRPr="000D30A7" w:rsidRDefault="00627FA6" w:rsidP="00632256">
            <w:pPr>
              <w:spacing w:after="120" w:line="276" w:lineRule="auto"/>
              <w:ind w:firstLine="708"/>
              <w:jc w:val="both"/>
              <w:rPr>
                <w:rFonts w:ascii="Verdana" w:eastAsia="Calibri" w:hAnsi="Verdana" w:cs="Arial"/>
                <w:color w:val="000000"/>
              </w:rPr>
            </w:pPr>
            <w:r w:rsidRPr="000D30A7">
              <w:rPr>
                <w:rFonts w:ascii="Verdana" w:eastAsia="Calibri" w:hAnsi="Verdana" w:cs="Arial"/>
                <w:color w:val="000000"/>
              </w:rPr>
              <w:t xml:space="preserve">Finalmente, en lo que respecta al interrogante relacionado con el </w:t>
            </w:r>
            <w:r w:rsidRPr="000D30A7">
              <w:rPr>
                <w:rFonts w:ascii="Verdana" w:eastAsia="Calibri" w:hAnsi="Verdana" w:cs="Arial"/>
                <w:i/>
                <w:iCs/>
                <w:color w:val="000000"/>
              </w:rPr>
              <w:t>Modelo de Abastecimiento Estratégico</w:t>
            </w:r>
            <w:r w:rsidRPr="000D30A7">
              <w:rPr>
                <w:rFonts w:ascii="Verdana" w:eastAsia="Calibri" w:hAnsi="Verdana" w:cs="Arial"/>
                <w:color w:val="000000"/>
              </w:rPr>
              <w:t xml:space="preserve">, se anexa al presente concepto la respuesta emitida por la Subdirección de Estudios de Mercado y Abastecimiento Estratégico. Para la adecuada visualización de los anexos, se recomienda utilizar un lector de archivos PDF, como Adobe Reader, que permite la descarga de los documentos adjuntos. Asimismo, en el cuerpo del correo se encuentra habilitado un enlace para su descarga. En caso de presentar inconvenientes, podrá consultar el “Instructivo para visualizar anexos – ANCP Colombia Compra Eficiente” en el siguiente enlace: </w:t>
            </w:r>
            <w:hyperlink r:id="rId13" w:history="1">
              <w:r w:rsidR="00716DDC" w:rsidRPr="000D30A7">
                <w:rPr>
                  <w:rStyle w:val="Hipervnculo"/>
                  <w:rFonts w:ascii="Verdana" w:eastAsia="Calibri" w:hAnsi="Verdana" w:cs="Arial"/>
                </w:rPr>
                <w:t>Instructivo para visualizar anexos</w:t>
              </w:r>
            </w:hyperlink>
            <w:r w:rsidR="00716DDC" w:rsidRPr="000D30A7">
              <w:rPr>
                <w:rFonts w:ascii="Verdana" w:eastAsia="Calibri" w:hAnsi="Verdana" w:cs="Arial"/>
                <w:color w:val="000000"/>
              </w:rPr>
              <w:t xml:space="preserve"> </w:t>
            </w:r>
          </w:p>
          <w:p w14:paraId="54E2EC07" w14:textId="69325784" w:rsidR="000F1E00" w:rsidRPr="000D30A7" w:rsidRDefault="00D9097E" w:rsidP="00632256">
            <w:pPr>
              <w:spacing w:after="120" w:line="276" w:lineRule="auto"/>
              <w:ind w:firstLine="708"/>
              <w:jc w:val="both"/>
              <w:rPr>
                <w:rFonts w:ascii="Verdana" w:eastAsia="Calibri" w:hAnsi="Verdana" w:cs="Arial"/>
                <w:color w:val="000000"/>
              </w:rPr>
            </w:pPr>
            <w:r w:rsidRPr="000D30A7">
              <w:rPr>
                <w:rFonts w:ascii="Verdana" w:eastAsia="Arial" w:hAnsi="Verdana" w:cs="Arial"/>
              </w:rPr>
              <w:lastRenderedPageBreak/>
              <w:t xml:space="preserve">Al margen de lo expuesto,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 Además es </w:t>
            </w:r>
            <w:r w:rsidRPr="000D30A7">
              <w:rPr>
                <w:rFonts w:ascii="Verdana" w:eastAsia="Calibri" w:hAnsi="Verdana" w:cs="Arial"/>
                <w:color w:val="000000"/>
              </w:rPr>
              <w:t>importante resaltar que si se considera que el acto jurídico está viciado de nulidad por incompetencia, la declaratoria de esa nulidad corresponde al juez del contrato.</w:t>
            </w:r>
          </w:p>
        </w:tc>
      </w:tr>
      <w:bookmarkEnd w:id="1"/>
    </w:tbl>
    <w:p w14:paraId="67A44998" w14:textId="1197414E" w:rsidR="001A33BF" w:rsidRPr="000D30A7" w:rsidRDefault="001A33BF" w:rsidP="30821638">
      <w:pPr>
        <w:spacing w:after="0" w:line="240" w:lineRule="auto"/>
        <w:jc w:val="both"/>
        <w:rPr>
          <w:rFonts w:ascii="Verdana" w:eastAsia="Verdana" w:hAnsi="Verdana" w:cs="Verdana"/>
        </w:rPr>
      </w:pPr>
    </w:p>
    <w:p w14:paraId="1F5CF8D1" w14:textId="4CEE5486" w:rsidR="00C36C13" w:rsidRPr="000D30A7" w:rsidRDefault="00C36C13" w:rsidP="00C36C13">
      <w:pPr>
        <w:widowControl w:val="0"/>
        <w:autoSpaceDE w:val="0"/>
        <w:autoSpaceDN w:val="0"/>
        <w:spacing w:after="0" w:line="276" w:lineRule="auto"/>
        <w:ind w:left="360" w:hanging="360"/>
        <w:outlineLvl w:val="0"/>
        <w:rPr>
          <w:rFonts w:ascii="Verdana" w:eastAsia="Arial" w:hAnsi="Verdana" w:cs="Arial"/>
          <w:b/>
          <w:bCs/>
          <w:lang w:val="es-ES"/>
        </w:rPr>
      </w:pPr>
      <w:r w:rsidRPr="000D30A7">
        <w:rPr>
          <w:rFonts w:ascii="Verdana" w:eastAsia="Arial" w:hAnsi="Verdana" w:cs="Arial"/>
          <w:b/>
          <w:bCs/>
          <w:lang w:val="es-ES"/>
        </w:rPr>
        <w:t>3. Razones de la</w:t>
      </w:r>
      <w:r w:rsidR="00554579" w:rsidRPr="000D30A7">
        <w:rPr>
          <w:rFonts w:ascii="Verdana" w:eastAsia="Arial" w:hAnsi="Verdana" w:cs="Arial"/>
          <w:b/>
          <w:bCs/>
          <w:lang w:val="es-ES"/>
        </w:rPr>
        <w:t>s</w:t>
      </w:r>
      <w:r w:rsidRPr="000D30A7">
        <w:rPr>
          <w:rFonts w:ascii="Verdana" w:eastAsia="Arial" w:hAnsi="Verdana" w:cs="Arial"/>
          <w:b/>
          <w:bCs/>
          <w:lang w:val="es-ES"/>
        </w:rPr>
        <w:t xml:space="preserve"> respuesta</w:t>
      </w:r>
      <w:r w:rsidR="00554579" w:rsidRPr="000D30A7">
        <w:rPr>
          <w:rFonts w:ascii="Verdana" w:eastAsia="Arial" w:hAnsi="Verdana" w:cs="Arial"/>
          <w:b/>
          <w:bCs/>
          <w:lang w:val="es-ES"/>
        </w:rPr>
        <w:t>s</w:t>
      </w:r>
      <w:r w:rsidRPr="000D30A7">
        <w:rPr>
          <w:rFonts w:ascii="Verdana" w:eastAsia="Arial" w:hAnsi="Verdana" w:cs="Arial"/>
          <w:b/>
          <w:bCs/>
          <w:lang w:val="es-ES"/>
        </w:rPr>
        <w:t>:</w:t>
      </w:r>
    </w:p>
    <w:p w14:paraId="1B8D8611" w14:textId="77777777" w:rsidR="00C36C13" w:rsidRPr="000D30A7" w:rsidRDefault="00C36C13" w:rsidP="30821638">
      <w:pPr>
        <w:spacing w:after="0" w:line="240" w:lineRule="auto"/>
        <w:jc w:val="both"/>
        <w:rPr>
          <w:rFonts w:ascii="Verdana" w:eastAsia="Verdana" w:hAnsi="Verdana" w:cs="Verdana"/>
        </w:rPr>
      </w:pPr>
    </w:p>
    <w:p w14:paraId="72D4BA98" w14:textId="0611CB5D" w:rsidR="00554579" w:rsidRPr="000D30A7" w:rsidRDefault="00554579" w:rsidP="00554579">
      <w:pPr>
        <w:spacing w:after="0" w:line="276" w:lineRule="auto"/>
        <w:jc w:val="both"/>
        <w:rPr>
          <w:rFonts w:ascii="Verdana" w:eastAsia="Calibri" w:hAnsi="Verdana" w:cs="Arial"/>
          <w:lang w:val="es-ES"/>
        </w:rPr>
      </w:pPr>
      <w:r w:rsidRPr="000D30A7">
        <w:rPr>
          <w:rFonts w:ascii="Verdana" w:eastAsia="Calibri" w:hAnsi="Verdana" w:cs="Arial"/>
          <w:lang w:val="es-ES"/>
        </w:rPr>
        <w:t xml:space="preserve">Las respuestas anteriores se sustentan en las siguientes consideraciones: </w:t>
      </w:r>
    </w:p>
    <w:p w14:paraId="190BC016" w14:textId="77777777" w:rsidR="00554579" w:rsidRPr="000D30A7" w:rsidRDefault="00554579" w:rsidP="30821638">
      <w:pPr>
        <w:spacing w:after="0" w:line="240" w:lineRule="auto"/>
        <w:jc w:val="both"/>
        <w:rPr>
          <w:rFonts w:ascii="Verdana" w:eastAsia="Verdana" w:hAnsi="Verdana" w:cs="Verdana"/>
          <w:lang w:val="es-ES"/>
        </w:rPr>
      </w:pPr>
    </w:p>
    <w:p w14:paraId="4D8BFB18" w14:textId="150C9A51" w:rsidR="00C50F39" w:rsidRPr="000D30A7" w:rsidRDefault="00C50F39" w:rsidP="00632256">
      <w:pPr>
        <w:spacing w:after="120" w:line="276" w:lineRule="auto"/>
        <w:jc w:val="both"/>
        <w:rPr>
          <w:rFonts w:ascii="Verdana" w:eastAsia="Times New Roman" w:hAnsi="Verdana" w:cs="Arial"/>
          <w:lang w:val="es-ES_tradnl" w:eastAsia="es-MX"/>
        </w:rPr>
      </w:pPr>
      <w:bookmarkStart w:id="2" w:name="_Hlk54011258"/>
      <w:r w:rsidRPr="000D30A7">
        <w:rPr>
          <w:rFonts w:ascii="Verdana" w:eastAsia="Calibri" w:hAnsi="Verdana" w:cs="Arial"/>
          <w:bCs/>
          <w:lang w:val="es-ES_tradnl" w:eastAsia="es-MX"/>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2"/>
      <w:r w:rsidRPr="000D30A7">
        <w:rPr>
          <w:rFonts w:ascii="Verdana" w:eastAsia="Calibri" w:hAnsi="Verdana" w:cs="Arial"/>
          <w:bCs/>
          <w:lang w:val="es-ES_tradnl" w:eastAsia="es-MX"/>
        </w:rPr>
        <w:t>.</w:t>
      </w:r>
    </w:p>
    <w:p w14:paraId="0E2CA9E1" w14:textId="77777777" w:rsidR="00C50F39" w:rsidRPr="000D30A7" w:rsidRDefault="00C50F39" w:rsidP="00632256">
      <w:pPr>
        <w:spacing w:after="120" w:line="276" w:lineRule="auto"/>
        <w:ind w:firstLine="708"/>
        <w:contextualSpacing/>
        <w:jc w:val="both"/>
        <w:rPr>
          <w:rFonts w:ascii="Verdana" w:eastAsia="Times New Roman" w:hAnsi="Verdana" w:cs="Arial"/>
          <w:lang w:val="es-ES_tradnl" w:eastAsia="es-MX"/>
        </w:rPr>
      </w:pPr>
      <w:r w:rsidRPr="000D30A7">
        <w:rPr>
          <w:rFonts w:ascii="Verdana" w:eastAsia="Calibri" w:hAnsi="Verdana" w:cs="Arial"/>
          <w:bCs/>
          <w:lang w:val="es-MX" w:eastAsia="es-ES_tradnl"/>
        </w:rPr>
        <w:t xml:space="preserve">El Estatuto General de Contratación de la Administración Pública – EGCAP –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627DCE44" w14:textId="77777777" w:rsidR="00C50F39" w:rsidRPr="000D30A7" w:rsidRDefault="00C50F39" w:rsidP="00C50F39">
      <w:pPr>
        <w:spacing w:after="0" w:line="276" w:lineRule="auto"/>
        <w:ind w:firstLine="709"/>
        <w:jc w:val="both"/>
        <w:rPr>
          <w:rFonts w:ascii="Verdana" w:eastAsia="Calibri" w:hAnsi="Verdana" w:cs="Arial"/>
          <w:bCs/>
          <w:lang w:val="es-ES" w:eastAsia="es-ES_tradnl"/>
        </w:rPr>
      </w:pPr>
    </w:p>
    <w:p w14:paraId="0F5EE305"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r w:rsidRPr="000D30A7">
        <w:rPr>
          <w:rFonts w:ascii="Verdana" w:eastAsia="Calibri" w:hAnsi="Verdana" w:cs="Arial"/>
          <w:sz w:val="20"/>
          <w:szCs w:val="20"/>
          <w:lang w:val="es-MX" w:eastAsia="es-ES_tradnl"/>
        </w:rPr>
        <w:lastRenderedPageBreak/>
        <w:t>“7o. La conveniencia o inconveniencia del objeto a contratar y las autorizaciones y aprobaciones para ello, se analizarán o impartirán con antelación al inicio del proceso de selección del contratista o al de la firma del contrato, según el caso.</w:t>
      </w:r>
    </w:p>
    <w:p w14:paraId="4637E1E6"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p>
    <w:p w14:paraId="68E21F66"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r w:rsidRPr="000D30A7">
        <w:rPr>
          <w:rFonts w:ascii="Verdana" w:eastAsia="Calibri" w:hAnsi="Verdana" w:cs="Arial"/>
          <w:sz w:val="20"/>
          <w:szCs w:val="20"/>
          <w:lang w:val="es-MX" w:eastAsia="es-ES_tradnl"/>
        </w:rPr>
        <w:t>[…]</w:t>
      </w:r>
    </w:p>
    <w:p w14:paraId="45DB8D02"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p>
    <w:p w14:paraId="12BD505C"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r w:rsidRPr="000D30A7">
        <w:rPr>
          <w:rFonts w:ascii="Verdana" w:eastAsia="Calibri" w:hAnsi="Verdana" w:cs="Arial"/>
          <w:sz w:val="20"/>
          <w:szCs w:val="20"/>
          <w:lang w:val="es-MX" w:eastAsia="es-ES_tradnl"/>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03C0899B"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p>
    <w:p w14:paraId="0C6BAAEC"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r w:rsidRPr="000D30A7">
        <w:rPr>
          <w:rFonts w:ascii="Verdana" w:eastAsia="Calibri" w:hAnsi="Verdana" w:cs="Arial"/>
          <w:sz w:val="20"/>
          <w:szCs w:val="20"/>
          <w:lang w:val="es-MX" w:eastAsia="es-ES_tradnl"/>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1988C846" w14:textId="77777777" w:rsidR="00C50F39" w:rsidRPr="000D30A7" w:rsidRDefault="00C50F39" w:rsidP="00C50F39">
      <w:pPr>
        <w:spacing w:after="0" w:line="240" w:lineRule="auto"/>
        <w:ind w:left="709" w:right="709"/>
        <w:contextualSpacing/>
        <w:jc w:val="both"/>
        <w:rPr>
          <w:rFonts w:ascii="Verdana" w:eastAsia="Calibri" w:hAnsi="Verdana" w:cs="Arial"/>
          <w:sz w:val="20"/>
          <w:szCs w:val="20"/>
          <w:lang w:val="es-MX" w:eastAsia="es-ES_tradnl"/>
        </w:rPr>
      </w:pPr>
    </w:p>
    <w:p w14:paraId="2F77E32C"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2552DC3D"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76D7CE0C"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5008A3E9" w14:textId="77777777" w:rsidR="00C50F39" w:rsidRPr="000D30A7" w:rsidRDefault="00C50F39" w:rsidP="00C50F39">
      <w:pPr>
        <w:spacing w:after="0" w:line="276" w:lineRule="auto"/>
        <w:jc w:val="both"/>
        <w:rPr>
          <w:rFonts w:ascii="Verdana" w:eastAsia="Times New Roman" w:hAnsi="Verdana" w:cs="Arial"/>
          <w:lang w:val="es-ES_tradnl" w:eastAsia="es-MX"/>
        </w:rPr>
      </w:pPr>
    </w:p>
    <w:p w14:paraId="7684FDBA" w14:textId="77777777" w:rsidR="00C50F39" w:rsidRPr="000D30A7" w:rsidRDefault="00C50F39" w:rsidP="00C50F39">
      <w:pPr>
        <w:spacing w:after="120" w:line="276" w:lineRule="auto"/>
        <w:ind w:firstLine="709"/>
        <w:jc w:val="both"/>
        <w:rPr>
          <w:rFonts w:ascii="Verdana" w:eastAsia="Times New Roman" w:hAnsi="Verdana" w:cs="Arial"/>
          <w:lang w:val="es-ES_tradnl" w:eastAsia="es-MX"/>
        </w:rPr>
      </w:pPr>
      <w:r w:rsidRPr="000D30A7">
        <w:rPr>
          <w:rFonts w:ascii="Verdana" w:eastAsia="Times New Roman" w:hAnsi="Verdana" w:cs="Arial"/>
          <w:lang w:val="es-ES_tradnl" w:eastAsia="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es la importancia de los estudios y documentos previos que su deficiencia o ausencia, “genera prácticas indebidas, revocatoria de actos administrativos de apertura, declaratorias de desierta de procesos de selección, comisión de faltas </w:t>
      </w:r>
      <w:r w:rsidRPr="000D30A7">
        <w:rPr>
          <w:rFonts w:ascii="Verdana" w:eastAsia="Times New Roman" w:hAnsi="Verdana" w:cs="Arial"/>
          <w:lang w:val="es-ES_tradnl" w:eastAsia="es-MX"/>
        </w:rPr>
        <w:lastRenderedPageBreak/>
        <w:t>disciplinarias, mayores costos o mayor permanencia de la obra y, en general, el fracaso en la ejecución de contratos estatales”</w:t>
      </w:r>
      <w:r w:rsidRPr="000D30A7">
        <w:rPr>
          <w:rFonts w:ascii="Verdana" w:hAnsi="Verdana"/>
          <w:vertAlign w:val="superscript"/>
          <w:lang w:val="es-ES" w:eastAsia="es-MX"/>
        </w:rPr>
        <w:footnoteReference w:id="1"/>
      </w:r>
      <w:r w:rsidRPr="000D30A7">
        <w:rPr>
          <w:rFonts w:ascii="Verdana" w:eastAsia="Times New Roman" w:hAnsi="Verdana" w:cs="Arial"/>
          <w:lang w:val="es-ES_tradnl" w:eastAsia="es-MX"/>
        </w:rPr>
        <w:t xml:space="preserve">. </w:t>
      </w:r>
    </w:p>
    <w:p w14:paraId="6706D1D6" w14:textId="77777777" w:rsidR="00C50F39" w:rsidRPr="000D30A7" w:rsidRDefault="00C50F39" w:rsidP="00C50F39">
      <w:pPr>
        <w:spacing w:after="0" w:line="276" w:lineRule="auto"/>
        <w:ind w:firstLine="708"/>
        <w:contextualSpacing/>
        <w:jc w:val="both"/>
        <w:rPr>
          <w:rFonts w:ascii="Verdana" w:eastAsia="Times New Roman" w:hAnsi="Verdana" w:cs="Arial"/>
          <w:lang w:val="es-ES_tradnl" w:eastAsia="es-MX"/>
        </w:rPr>
      </w:pPr>
      <w:r w:rsidRPr="000D30A7">
        <w:rPr>
          <w:rFonts w:ascii="Verdana" w:eastAsia="Times New Roman" w:hAnsi="Verdana" w:cs="Arial"/>
          <w:lang w:val="es-ES_tradnl" w:eastAsia="es-MX"/>
        </w:rPr>
        <w:t>En congruencia con el artículo 25 de la Ley 80 de 1993, el Decreto Único Reglamentario del Sector Administrativo de Planeación Nacional –Decreto 1082 de 2015–, dispone en el artículo 2.2.1.1.2.1.1 el contenido mínimo de los estudios y documentos previos:</w:t>
      </w:r>
    </w:p>
    <w:p w14:paraId="0BACF5F5" w14:textId="77777777" w:rsidR="00C50F39" w:rsidRPr="000D30A7" w:rsidRDefault="00C50F39" w:rsidP="00C50F39">
      <w:pPr>
        <w:spacing w:after="0" w:line="276" w:lineRule="auto"/>
        <w:rPr>
          <w:rFonts w:ascii="Verdana" w:eastAsia="Times New Roman" w:hAnsi="Verdana" w:cs="Arial"/>
          <w:lang w:val="es-ES_tradnl" w:eastAsia="es-CO"/>
        </w:rPr>
      </w:pPr>
    </w:p>
    <w:p w14:paraId="05646B1C"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 </w:t>
      </w:r>
    </w:p>
    <w:p w14:paraId="786DC000"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256BADFF"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1. La descripción de la necesidad que la Entidad Estatal pretende satisfacer con el Proceso de Contratación. </w:t>
      </w:r>
      <w:r w:rsidRPr="000D30A7">
        <w:rPr>
          <w:rFonts w:ascii="Arial" w:eastAsia="Times New Roman" w:hAnsi="Arial" w:cs="Arial"/>
          <w:sz w:val="20"/>
          <w:szCs w:val="20"/>
          <w:lang w:val="es-ES_tradnl" w:eastAsia="es-MX"/>
        </w:rPr>
        <w:t>​</w:t>
      </w:r>
    </w:p>
    <w:p w14:paraId="2EFEDBFD"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024A5646"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2. El objeto a contratar, con sus especificaciones, las autorizaciones, permisos y licencias requeridos para su ejecución, y cuando el contrato incluye diseño y construcción, los documentos técnicos para el desarrollo del proyecto. </w:t>
      </w:r>
    </w:p>
    <w:p w14:paraId="78DC7B57"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3D74B67D"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3. La modalidad de selección del contratista y su justificación, incluyendo los fundamentos jurídicos. </w:t>
      </w:r>
    </w:p>
    <w:p w14:paraId="4189A9F5"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5949FFF5"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 w:eastAsia="es-MX"/>
        </w:rPr>
      </w:pPr>
      <w:r w:rsidRPr="000D30A7">
        <w:rPr>
          <w:rFonts w:ascii="Verdana" w:eastAsia="Times New Roman" w:hAnsi="Verdana" w:cs="Arial"/>
          <w:sz w:val="20"/>
          <w:szCs w:val="20"/>
          <w:lang w:val="es-ES" w:eastAsia="es-MX"/>
        </w:rPr>
        <w:t xml:space="preserve">4. El valor estimado del contrato y la justificación del mismo. Cuando el valor del contrato esté determinado por precios unitarios, la Entidad Estatal debe incluir la forma como los calculó y soportar sus cálculos presupuestales en la estimación de aquellos. Si el contrato es de concesión, la Entidad Estatal no debe publicar el modelo financiero utilizado en su estructuración. </w:t>
      </w:r>
    </w:p>
    <w:p w14:paraId="06ED3FAF"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56B0E2B5"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5. Los criterios para seleccionar la oferta más favorable. </w:t>
      </w:r>
    </w:p>
    <w:p w14:paraId="5AF61431"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2D717EDC"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6. El análisis de Riesgo y la forma de mitigarlo. </w:t>
      </w:r>
    </w:p>
    <w:p w14:paraId="761C7657"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3CF4DF31"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7. Las garantías que la Entidad Estatal contempla exigir en el proceso de contratación. </w:t>
      </w:r>
    </w:p>
    <w:p w14:paraId="192330BF"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7611CFF9"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 xml:space="preserve">8. La indicación de si el proceso de contratación está cobijado por un acuerdo comercial. </w:t>
      </w:r>
    </w:p>
    <w:p w14:paraId="24647354"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p>
    <w:p w14:paraId="3CA91856" w14:textId="77777777" w:rsidR="00C50F39" w:rsidRPr="000D30A7" w:rsidRDefault="00C50F39" w:rsidP="00C50F39">
      <w:pPr>
        <w:spacing w:after="0" w:line="240" w:lineRule="auto"/>
        <w:ind w:left="709" w:right="709"/>
        <w:contextualSpacing/>
        <w:jc w:val="both"/>
        <w:rPr>
          <w:rFonts w:ascii="Verdana" w:eastAsia="Times New Roman" w:hAnsi="Verdana" w:cs="Arial"/>
          <w:sz w:val="20"/>
          <w:szCs w:val="20"/>
          <w:lang w:val="es-ES_tradnl" w:eastAsia="es-MX"/>
        </w:rPr>
      </w:pPr>
      <w:r w:rsidRPr="000D30A7">
        <w:rPr>
          <w:rFonts w:ascii="Verdana" w:eastAsia="Times New Roman" w:hAnsi="Verdana" w:cs="Arial"/>
          <w:sz w:val="20"/>
          <w:szCs w:val="20"/>
          <w:lang w:val="es-ES_tradnl" w:eastAsia="es-MX"/>
        </w:rPr>
        <w:t>El presente artículo no es aplicable a la contratación por mínima cuantía”.</w:t>
      </w:r>
    </w:p>
    <w:p w14:paraId="3E176546" w14:textId="77777777" w:rsidR="00C50F39" w:rsidRPr="000D30A7" w:rsidRDefault="00C50F39" w:rsidP="00C50F39">
      <w:pPr>
        <w:widowControl w:val="0"/>
        <w:tabs>
          <w:tab w:val="left" w:pos="1305"/>
        </w:tabs>
        <w:autoSpaceDE w:val="0"/>
        <w:autoSpaceDN w:val="0"/>
        <w:spacing w:after="0" w:line="276" w:lineRule="auto"/>
        <w:ind w:left="828" w:right="822"/>
        <w:rPr>
          <w:rFonts w:ascii="Verdana" w:eastAsia="Calibri" w:hAnsi="Verdana" w:cs="Arial"/>
          <w:lang w:val="es-MX" w:eastAsia="es-ES_tradnl"/>
        </w:rPr>
      </w:pPr>
    </w:p>
    <w:p w14:paraId="4751B46F" w14:textId="7F948043" w:rsidR="00C50F39" w:rsidRPr="000D30A7" w:rsidRDefault="00C50F39" w:rsidP="00632256">
      <w:pPr>
        <w:spacing w:after="120" w:line="276" w:lineRule="auto"/>
        <w:ind w:firstLine="708"/>
        <w:jc w:val="both"/>
        <w:rPr>
          <w:rFonts w:ascii="Verdana" w:eastAsia="Times New Roman" w:hAnsi="Verdana" w:cs="Arial"/>
          <w:lang w:val="es-ES_tradnl" w:eastAsia="es-MX"/>
        </w:rPr>
      </w:pPr>
      <w:bookmarkStart w:id="3" w:name="_Hlk54011351"/>
      <w:r w:rsidRPr="000D30A7">
        <w:rPr>
          <w:rFonts w:ascii="Verdana" w:eastAsia="Times New Roman" w:hAnsi="Verdana" w:cs="Arial"/>
          <w:lang w:val="es-ES" w:eastAsia="es-MX"/>
        </w:rPr>
        <w:t xml:space="preserve">De esta manera, antes de iniciar un procedimiento de selección, la Entidad Estatal podrá determinar con los estudios previos: i) la verdadera necesidad de la celebración del contrato; </w:t>
      </w:r>
      <w:proofErr w:type="spellStart"/>
      <w:r w:rsidRPr="000D30A7">
        <w:rPr>
          <w:rFonts w:ascii="Verdana" w:eastAsia="Times New Roman" w:hAnsi="Verdana" w:cs="Arial"/>
          <w:lang w:val="es-ES" w:eastAsia="es-MX"/>
        </w:rPr>
        <w:t>ii</w:t>
      </w:r>
      <w:proofErr w:type="spellEnd"/>
      <w:r w:rsidRPr="000D30A7">
        <w:rPr>
          <w:rFonts w:ascii="Verdana" w:eastAsia="Times New Roman" w:hAnsi="Verdana" w:cs="Arial"/>
          <w:lang w:val="es-ES" w:eastAsia="es-MX"/>
        </w:rPr>
        <w:t xml:space="preserve">) las modalidades existentes para satisfacer esa necesidad y las razones que justifiquen la modalidad o tipo contractual que se escoja; </w:t>
      </w:r>
      <w:proofErr w:type="spellStart"/>
      <w:r w:rsidRPr="000D30A7">
        <w:rPr>
          <w:rFonts w:ascii="Verdana" w:eastAsia="Times New Roman" w:hAnsi="Verdana" w:cs="Arial"/>
          <w:lang w:val="es-ES" w:eastAsia="es-MX"/>
        </w:rPr>
        <w:t>iii</w:t>
      </w:r>
      <w:proofErr w:type="spellEnd"/>
      <w:r w:rsidRPr="000D30A7">
        <w:rPr>
          <w:rFonts w:ascii="Verdana" w:eastAsia="Times New Roman" w:hAnsi="Verdana" w:cs="Arial"/>
          <w:lang w:val="es-ES" w:eastAsia="es-MX"/>
        </w:rPr>
        <w:t xml:space="preserve">) las calidades, especificaciones, cantidades y demás características que puedan o deban reunir los bienes, las obras o los servicios cuya contratación se haya determinado necesaria, </w:t>
      </w:r>
      <w:proofErr w:type="spellStart"/>
      <w:r w:rsidRPr="000D30A7">
        <w:rPr>
          <w:rFonts w:ascii="Verdana" w:eastAsia="Times New Roman" w:hAnsi="Verdana" w:cs="Arial"/>
          <w:lang w:val="es-ES" w:eastAsia="es-MX"/>
        </w:rPr>
        <w:t>iv</w:t>
      </w:r>
      <w:proofErr w:type="spellEnd"/>
      <w:r w:rsidRPr="000D30A7">
        <w:rPr>
          <w:rFonts w:ascii="Verdana" w:eastAsia="Times New Roman" w:hAnsi="Verdana" w:cs="Arial"/>
          <w:lang w:val="es-ES" w:eastAsia="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0D30A7">
        <w:rPr>
          <w:rFonts w:ascii="Verdana" w:eastAsia="Times New Roman" w:hAnsi="Verdana" w:cs="Arial"/>
          <w:lang w:val="es-ES" w:eastAsia="es-MX"/>
        </w:rPr>
        <w:t>vii</w:t>
      </w:r>
      <w:proofErr w:type="spellEnd"/>
      <w:r w:rsidRPr="000D30A7">
        <w:rPr>
          <w:rFonts w:ascii="Verdana" w:eastAsia="Times New Roman" w:hAnsi="Verdana" w:cs="Arial"/>
          <w:lang w:val="es-ES" w:eastAsia="es-MX"/>
        </w:rPr>
        <w:t xml:space="preserve">) los procedimientos, trámites y requisitos que deban satisfacerse, reunirse u obtenerse para llevar a cabo la selección del respectivo contratista y la celebración del contrato que se pretenda celebrar. La consideración de todos estos aspectos </w:t>
      </w:r>
      <w:bookmarkEnd w:id="3"/>
      <w:r w:rsidRPr="000D30A7">
        <w:rPr>
          <w:rFonts w:ascii="Verdana" w:eastAsia="Calibri" w:hAnsi="Verdana" w:cs="Arial"/>
          <w:lang w:val="es-ES" w:eastAsia="es-MX"/>
        </w:rPr>
        <w:t xml:space="preserve">permite que los contratos resultantes de la planeación cuenten con el sustento técnico, económico y jurídico que incidirá </w:t>
      </w:r>
      <w:r w:rsidRPr="000D30A7">
        <w:rPr>
          <w:rFonts w:ascii="Verdana" w:eastAsia="Times New Roman" w:hAnsi="Verdana" w:cs="Arial"/>
          <w:lang w:val="es-ES" w:eastAsia="es-MX"/>
        </w:rPr>
        <w:t>en una adecuada ejecución.</w:t>
      </w:r>
    </w:p>
    <w:p w14:paraId="2483D23B" w14:textId="77777777" w:rsidR="00C50F39" w:rsidRPr="000D30A7" w:rsidRDefault="00C50F39" w:rsidP="00C50F39">
      <w:pPr>
        <w:spacing w:after="120" w:line="276" w:lineRule="auto"/>
        <w:ind w:right="102" w:firstLine="709"/>
        <w:jc w:val="both"/>
        <w:rPr>
          <w:rFonts w:ascii="Verdana" w:eastAsia="Times New Roman" w:hAnsi="Verdana" w:cs="Arial"/>
          <w:lang w:val="es-ES_tradnl" w:eastAsia="es-MX"/>
        </w:rPr>
      </w:pPr>
      <w:r w:rsidRPr="000D30A7">
        <w:rPr>
          <w:rFonts w:ascii="Verdana" w:eastAsia="Times New Roman" w:hAnsi="Verdana" w:cs="Arial"/>
          <w:lang w:val="es-ES_tradnl" w:eastAsia="es-MX"/>
        </w:rPr>
        <w:t>Más allá del cumplimiento de la normativa, “los estudios y documentos previos son el soporte para elaborar el proyecto de pliegos, los pliegos de condiciones, y el contrato”</w:t>
      </w:r>
      <w:r w:rsidRPr="000D30A7">
        <w:rPr>
          <w:rFonts w:ascii="Verdana" w:hAnsi="Verdana"/>
          <w:vertAlign w:val="superscript"/>
          <w:lang w:val="es-ES" w:eastAsia="es-MX"/>
        </w:rPr>
        <w:footnoteReference w:id="2"/>
      </w:r>
      <w:r w:rsidRPr="000D30A7">
        <w:rPr>
          <w:rFonts w:ascii="Verdana" w:eastAsia="Times New Roman" w:hAnsi="Verdana" w:cs="Arial"/>
          <w:lang w:val="es-ES_tradnl" w:eastAsia="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 En ese sentido, </w:t>
      </w:r>
      <w:bookmarkStart w:id="5" w:name="_Hlk54011438"/>
      <w:r w:rsidRPr="000D30A7">
        <w:rPr>
          <w:rFonts w:ascii="Verdana" w:eastAsia="Times New Roman" w:hAnsi="Verdana" w:cs="Arial"/>
          <w:lang w:val="es-ES_tradnl" w:eastAsia="es-MX"/>
        </w:rPr>
        <w:t xml:space="preserve">los estudios y documentos previos son necesarios antes de la celebración del contrato, pues fundamentan las condiciones que la Entidad Estatal exige en su Proceso de Contratación. Sin embargo, luego de la </w:t>
      </w:r>
      <w:r w:rsidRPr="000D30A7">
        <w:rPr>
          <w:rFonts w:ascii="Verdana" w:eastAsia="Times New Roman" w:hAnsi="Verdana" w:cs="Arial"/>
          <w:lang w:val="es-ES_tradnl" w:eastAsia="es-MX"/>
        </w:rPr>
        <w:lastRenderedPageBreak/>
        <w:t>suscripción del contrato la entidad no debe actuar unilateralmente, sino que debe respetar la buena fe contractual y proceder de acuerdo con lo pactado</w:t>
      </w:r>
      <w:bookmarkEnd w:id="5"/>
      <w:r w:rsidRPr="000D30A7">
        <w:rPr>
          <w:rFonts w:ascii="Verdana" w:hAnsi="Verdana"/>
          <w:vertAlign w:val="superscript"/>
          <w:lang w:val="es-ES" w:eastAsia="es-MX"/>
        </w:rPr>
        <w:footnoteReference w:id="3"/>
      </w:r>
      <w:r w:rsidRPr="000D30A7">
        <w:rPr>
          <w:rFonts w:ascii="Verdana" w:eastAsia="Times New Roman" w:hAnsi="Verdana" w:cs="Arial"/>
          <w:lang w:val="es-ES_tradnl" w:eastAsia="es-MX"/>
        </w:rPr>
        <w:t>.</w:t>
      </w:r>
    </w:p>
    <w:p w14:paraId="7024D4FB" w14:textId="77777777" w:rsidR="00C50F39" w:rsidRPr="000D30A7" w:rsidRDefault="00C50F39" w:rsidP="00C50F39">
      <w:pPr>
        <w:spacing w:after="120" w:line="276" w:lineRule="auto"/>
        <w:ind w:firstLine="709"/>
        <w:jc w:val="both"/>
        <w:rPr>
          <w:rFonts w:ascii="Verdana" w:eastAsia="Times New Roman" w:hAnsi="Verdana" w:cs="Arial"/>
          <w:szCs w:val="24"/>
          <w:lang w:val="es-ES" w:eastAsia="es-ES_tradnl"/>
        </w:rPr>
      </w:pPr>
      <w:r w:rsidRPr="000D30A7">
        <w:rPr>
          <w:rFonts w:ascii="Verdana" w:eastAsia="Times New Roman" w:hAnsi="Verdana" w:cs="Arial"/>
          <w:szCs w:val="24"/>
          <w:lang w:val="es-ES" w:eastAsia="es-ES_tradnl"/>
        </w:rPr>
        <w:t xml:space="preserve">Ahora bien, el numeral 12 del artículo 25 de la Ley 80 de 1993, antes citado, establece el deber de las entidades de realizar estudios previos en dos (2) momentos específicos: i) previo a la apertura de un proceso de selección y </w:t>
      </w:r>
      <w:proofErr w:type="spellStart"/>
      <w:r w:rsidRPr="000D30A7">
        <w:rPr>
          <w:rFonts w:ascii="Verdana" w:eastAsia="Times New Roman" w:hAnsi="Verdana" w:cs="Arial"/>
          <w:szCs w:val="24"/>
          <w:lang w:val="es-ES" w:eastAsia="es-ES_tradnl"/>
        </w:rPr>
        <w:t>ii</w:t>
      </w:r>
      <w:proofErr w:type="spellEnd"/>
      <w:r w:rsidRPr="000D30A7">
        <w:rPr>
          <w:rFonts w:ascii="Verdana" w:eastAsia="Times New Roman" w:hAnsi="Verdana" w:cs="Arial"/>
          <w:szCs w:val="24"/>
          <w:lang w:val="es-ES" w:eastAsia="es-ES_tradnl"/>
        </w:rPr>
        <w:t xml:space="preserve">) previo a la firma del contrato en el caso en que la modalidad de selección sea contratación directa. </w:t>
      </w:r>
    </w:p>
    <w:p w14:paraId="500BA030" w14:textId="77777777" w:rsidR="00C50F39" w:rsidRPr="000D30A7" w:rsidRDefault="00C50F39" w:rsidP="00632256">
      <w:pPr>
        <w:spacing w:after="120" w:line="276" w:lineRule="auto"/>
        <w:ind w:firstLine="708"/>
        <w:jc w:val="both"/>
        <w:rPr>
          <w:rFonts w:ascii="Verdana" w:eastAsia="Calibri" w:hAnsi="Verdana" w:cs="Arial"/>
          <w:bCs/>
          <w:lang w:val="es-ES_tradnl" w:eastAsia="es-MX"/>
        </w:rPr>
      </w:pPr>
      <w:r w:rsidRPr="000D30A7">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0D30A7">
        <w:rPr>
          <w:rFonts w:ascii="Verdana" w:eastAsia="Calibri" w:hAnsi="Verdana" w:cs="Arial"/>
          <w:bCs/>
          <w:lang w:val="es-ES_tradnl" w:eastAsia="es-MX"/>
        </w:rPr>
        <w:t xml:space="preserve">Para estos efectos resulta relevante </w:t>
      </w:r>
      <w:bookmarkStart w:id="6" w:name="_Hlk139465916"/>
      <w:r w:rsidRPr="000D30A7">
        <w:rPr>
          <w:rFonts w:ascii="Verdana" w:eastAsia="Calibri" w:hAnsi="Verdana" w:cs="Arial"/>
          <w:bCs/>
          <w:lang w:val="es-ES_tradnl" w:eastAsia="es-MX"/>
        </w:rPr>
        <w:t xml:space="preserve">la información recolectada en el marco del </w:t>
      </w:r>
      <w:r w:rsidRPr="000D30A7">
        <w:rPr>
          <w:rFonts w:ascii="Verdana" w:eastAsia="Calibri" w:hAnsi="Verdana" w:cs="Arial"/>
          <w:bCs/>
          <w:i/>
          <w:iCs/>
          <w:lang w:val="es-ES_tradnl" w:eastAsia="es-MX"/>
        </w:rPr>
        <w:t>estudio del mercado</w:t>
      </w:r>
      <w:r w:rsidRPr="000D30A7">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de contratación. </w:t>
      </w:r>
    </w:p>
    <w:p w14:paraId="690D26C7" w14:textId="77777777" w:rsidR="00C50F39" w:rsidRPr="000D30A7" w:rsidRDefault="00C50F39" w:rsidP="00632256">
      <w:pPr>
        <w:spacing w:after="120" w:line="276" w:lineRule="auto"/>
        <w:ind w:firstLine="708"/>
        <w:jc w:val="both"/>
        <w:rPr>
          <w:rFonts w:ascii="Verdana" w:eastAsia="Calibri" w:hAnsi="Verdana" w:cs="Arial"/>
          <w:bCs/>
          <w:lang w:val="es-ES_tradnl" w:eastAsia="es-MX"/>
        </w:rPr>
      </w:pPr>
      <w:r w:rsidRPr="000D30A7">
        <w:rPr>
          <w:rFonts w:ascii="Verdana" w:eastAsia="Calibri" w:hAnsi="Verdana" w:cs="Arial"/>
          <w:bCs/>
          <w:lang w:val="es-ES_tradnl" w:eastAsia="es-MX"/>
        </w:rPr>
        <w:t xml:space="preserve">En este sentido, el análisis del sector de las perspectivas legal, comercial, financiera, organizacional, técnica, y de análisis de Riesgo, al que se refiere el artículo </w:t>
      </w:r>
      <w:bookmarkStart w:id="7" w:name="_Hlk36117416"/>
      <w:r w:rsidRPr="000D30A7">
        <w:rPr>
          <w:rFonts w:ascii="Verdana" w:eastAsia="Calibri" w:hAnsi="Verdana" w:cs="Arial"/>
          <w:bCs/>
          <w:lang w:val="es-ES_tradnl" w:eastAsia="es-MX"/>
        </w:rPr>
        <w:t>2.2.1.1.1.6.1 del Decreto 1082 de 2015</w:t>
      </w:r>
      <w:bookmarkEnd w:id="7"/>
      <w:r w:rsidRPr="000D30A7">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6"/>
      <w:r w:rsidRPr="000D30A7">
        <w:rPr>
          <w:rFonts w:ascii="Verdana" w:eastAsia="Calibri" w:hAnsi="Verdana"/>
          <w:bCs/>
          <w:vertAlign w:val="superscript"/>
          <w:lang w:val="es-ES" w:eastAsia="es-MX"/>
        </w:rPr>
        <w:footnoteReference w:id="4"/>
      </w:r>
      <w:r w:rsidRPr="000D30A7">
        <w:rPr>
          <w:rFonts w:ascii="Verdana" w:eastAsia="Calibri" w:hAnsi="Verdana" w:cs="Arial"/>
          <w:bCs/>
          <w:lang w:val="es-ES_tradnl" w:eastAsia="es-MX"/>
        </w:rPr>
        <w:t xml:space="preserve">. </w:t>
      </w:r>
    </w:p>
    <w:p w14:paraId="38959C3A" w14:textId="77777777" w:rsidR="00C50F39" w:rsidRPr="000D30A7" w:rsidRDefault="00C50F39" w:rsidP="00632256">
      <w:pPr>
        <w:spacing w:after="120" w:line="276" w:lineRule="auto"/>
        <w:ind w:firstLine="708"/>
        <w:jc w:val="both"/>
        <w:rPr>
          <w:rFonts w:ascii="Verdana" w:eastAsia="Calibri" w:hAnsi="Verdana" w:cs="Arial"/>
          <w:bCs/>
          <w:lang w:val="es-ES_tradnl" w:eastAsia="es-MX"/>
        </w:rPr>
      </w:pPr>
      <w:r w:rsidRPr="000D30A7">
        <w:rPr>
          <w:rFonts w:ascii="Verdana" w:eastAsia="Calibri" w:hAnsi="Verdana" w:cs="Arial"/>
          <w:lang w:val="es-ES" w:eastAsia="es-MX"/>
        </w:rPr>
        <w:t xml:space="preserve">De acuerdo con la norma citada, </w:t>
      </w:r>
      <w:bookmarkStart w:id="8" w:name="_Hlk36140682"/>
      <w:r w:rsidRPr="000D30A7">
        <w:rPr>
          <w:rFonts w:ascii="Verdana" w:eastAsia="Calibri" w:hAnsi="Verdana" w:cs="Arial"/>
          <w:lang w:val="es-ES" w:eastAsia="es-MX"/>
        </w:rPr>
        <w:t xml:space="preserve">la entidad debe realizar el análisis necesario para conocer el sector relativo al objeto del Proceso de Contratación, sin que sea relevante la modalidad de selección. Hacer un análisis desde la </w:t>
      </w:r>
      <w:r w:rsidRPr="000D30A7">
        <w:rPr>
          <w:rFonts w:ascii="Verdana" w:eastAsia="Calibri" w:hAnsi="Verdana" w:cs="Arial"/>
          <w:lang w:val="es-ES" w:eastAsia="es-MX"/>
        </w:rPr>
        <w:lastRenderedPageBreak/>
        <w:t>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5E97212E" w14:textId="77777777" w:rsidR="00C50F39" w:rsidRPr="000D30A7" w:rsidRDefault="00C50F39" w:rsidP="00C50F39">
      <w:pPr>
        <w:spacing w:after="120" w:line="276" w:lineRule="auto"/>
        <w:ind w:firstLine="708"/>
        <w:jc w:val="both"/>
        <w:rPr>
          <w:rFonts w:ascii="Verdana" w:eastAsia="Calibri" w:hAnsi="Verdana" w:cs="Arial"/>
          <w:bCs/>
          <w:lang w:val="es-ES_tradnl" w:eastAsia="es-MX"/>
        </w:rPr>
      </w:pPr>
      <w:r w:rsidRPr="000D30A7">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66E0BFD2" w14:textId="77777777" w:rsidR="00C50F39" w:rsidRPr="000D30A7" w:rsidRDefault="00C50F39" w:rsidP="00632256">
      <w:pPr>
        <w:spacing w:after="120" w:line="276" w:lineRule="auto"/>
        <w:ind w:firstLine="708"/>
        <w:jc w:val="both"/>
        <w:rPr>
          <w:rFonts w:ascii="Verdana" w:eastAsia="Calibri" w:hAnsi="Verdana" w:cs="Arial"/>
          <w:bCs/>
          <w:lang w:val="es-ES_tradnl" w:eastAsia="es-MX"/>
        </w:rPr>
      </w:pPr>
      <w:r w:rsidRPr="000D30A7">
        <w:rPr>
          <w:rFonts w:ascii="Verdana" w:eastAsia="Calibri" w:hAnsi="Verdana" w:cs="Arial"/>
          <w:lang w:val="es-ES"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572BBA86" w14:textId="77777777" w:rsidR="00C50F39" w:rsidRPr="000D30A7" w:rsidRDefault="00C50F39" w:rsidP="00C50F39">
      <w:pPr>
        <w:spacing w:after="120" w:line="276" w:lineRule="auto"/>
        <w:ind w:firstLine="708"/>
        <w:jc w:val="both"/>
        <w:rPr>
          <w:rFonts w:ascii="Verdana" w:eastAsia="Calibri" w:hAnsi="Verdana" w:cs="Arial"/>
          <w:lang w:val="es-ES" w:eastAsia="es-MX"/>
        </w:rPr>
      </w:pPr>
      <w:r w:rsidRPr="5CA62098">
        <w:rPr>
          <w:rFonts w:ascii="Verdana" w:eastAsia="Calibri" w:hAnsi="Verdana" w:cs="Arial"/>
          <w:lang w:val="es-ES" w:eastAsia="es-MX"/>
        </w:rPr>
        <w:t xml:space="preserve">Si bien la normativa en materia de contratación estatal establece la obligatoriedad de realizar el análisis necesario para conocer el sector relativo al </w:t>
      </w:r>
      <w:r w:rsidRPr="5CA62098">
        <w:rPr>
          <w:rFonts w:ascii="Verdana" w:eastAsia="Calibri" w:hAnsi="Verdana" w:cs="Arial"/>
          <w:lang w:val="es-ES" w:eastAsia="es-MX"/>
        </w:rPr>
        <w:lastRenderedPageBreak/>
        <w:t xml:space="preserve">objeto del Proceso de Contratación, no determinan un procedimiento específico para efectuar dicho análisis por lo que las entidades </w:t>
      </w:r>
      <w:r w:rsidRPr="5CA62098">
        <w:rPr>
          <w:rFonts w:ascii="Verdana" w:eastAsia="Times New Roman" w:hAnsi="Verdana" w:cs="Arial"/>
          <w:lang w:val="es-ES" w:eastAsia="es-CO"/>
        </w:rPr>
        <w:t xml:space="preserve">son autónomas para estructurarlo, para lo cual deberán cumplir lo dispuesto en el artículo </w:t>
      </w:r>
      <w:r w:rsidRPr="5CA62098">
        <w:rPr>
          <w:rFonts w:ascii="Verdana" w:eastAsia="Calibri" w:hAnsi="Verdana" w:cs="Arial"/>
          <w:lang w:val="es-ES" w:eastAsia="es-MX"/>
        </w:rPr>
        <w:t xml:space="preserve">2.2.1.1.1.6.1 del Decreto 1082 de 2015 y realizar un análisis integral de planeación que </w:t>
      </w:r>
      <w:r w:rsidRPr="5CA62098">
        <w:rPr>
          <w:rFonts w:ascii="Verdana" w:eastAsia="Times New Roman" w:hAnsi="Verdana" w:cs="Arial"/>
          <w:lang w:val="es-ES" w:eastAsia="es-MX"/>
        </w:rPr>
        <w:t>sirva de sustento a la decisión de realizar un Proceso de Contratación.</w:t>
      </w:r>
    </w:p>
    <w:p w14:paraId="439F7B59" w14:textId="77777777" w:rsidR="00C50F39" w:rsidRPr="000D30A7" w:rsidRDefault="00C50F39" w:rsidP="00C50F39">
      <w:pPr>
        <w:spacing w:after="120" w:line="276" w:lineRule="auto"/>
        <w:ind w:firstLine="708"/>
        <w:jc w:val="both"/>
        <w:rPr>
          <w:rFonts w:ascii="Verdana" w:eastAsia="Calibri" w:hAnsi="Verdana" w:cs="Arial"/>
          <w:bCs/>
          <w:szCs w:val="24"/>
          <w:lang w:val="es-ES" w:eastAsia="es-ES_tradnl"/>
        </w:rPr>
      </w:pPr>
      <w:bookmarkStart w:id="9" w:name="_Hlk139466113"/>
      <w:bookmarkEnd w:id="8"/>
      <w:r w:rsidRPr="000D30A7">
        <w:rPr>
          <w:rFonts w:ascii="Verdana" w:eastAsia="Calibri" w:hAnsi="Verdana" w:cs="Arial"/>
          <w:bCs/>
          <w:lang w:val="es-ES_tradnl" w:eastAsia="es-MX"/>
        </w:rPr>
        <w:t>La Agencia Nacional de Contratación Pública – Colombia Compra Eficiente dispone de una “Guía para la Elaboración de Estudios del Sector”</w:t>
      </w:r>
      <w:r w:rsidRPr="000D30A7">
        <w:rPr>
          <w:rFonts w:ascii="Verdana" w:eastAsia="Times New Roman" w:hAnsi="Verdana" w:cs="Arial"/>
          <w:vertAlign w:val="superscript"/>
          <w:lang w:val="es-ES_tradnl" w:eastAsia="es-CO"/>
        </w:rPr>
        <w:t xml:space="preserve"> </w:t>
      </w:r>
      <w:r w:rsidRPr="000D30A7">
        <w:rPr>
          <w:rFonts w:ascii="Verdana" w:eastAsia="Times New Roman" w:hAnsi="Verdana"/>
          <w:vertAlign w:val="superscript"/>
          <w:lang w:val="es-ES" w:eastAsia="es-CO"/>
        </w:rPr>
        <w:footnoteReference w:id="5"/>
      </w:r>
      <w:r w:rsidRPr="000D30A7">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9"/>
      <w:r w:rsidRPr="000D30A7">
        <w:rPr>
          <w:rFonts w:ascii="Verdana" w:eastAsia="Calibri" w:hAnsi="Verdana" w:cs="Arial"/>
          <w:bCs/>
          <w:lang w:val="es-ES_tradnl" w:eastAsia="es-MX"/>
        </w:rPr>
        <w:t xml:space="preserve"> </w:t>
      </w:r>
      <w:r w:rsidRPr="000D30A7">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0D30A7">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584BE8E9" w14:textId="77777777" w:rsidR="00C50F39" w:rsidRPr="000D30A7" w:rsidRDefault="00C50F39" w:rsidP="00C50F39">
      <w:pPr>
        <w:spacing w:after="120" w:line="276" w:lineRule="auto"/>
        <w:ind w:firstLine="708"/>
        <w:jc w:val="both"/>
        <w:rPr>
          <w:rFonts w:ascii="Verdana" w:eastAsia="Calibri" w:hAnsi="Verdana" w:cs="Arial"/>
          <w:lang w:eastAsia="es-MX"/>
        </w:rPr>
      </w:pPr>
      <w:r w:rsidRPr="000D30A7">
        <w:rPr>
          <w:rFonts w:ascii="Verdana" w:eastAsia="Calibri" w:hAnsi="Verdana" w:cs="Arial"/>
          <w:lang w:eastAsia="es-MX"/>
        </w:rPr>
        <w:t xml:space="preserve">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 </w:t>
      </w:r>
    </w:p>
    <w:p w14:paraId="73331BD7" w14:textId="77777777" w:rsidR="00C50F39" w:rsidRPr="000D30A7" w:rsidRDefault="00C50F39" w:rsidP="00C50F39">
      <w:pPr>
        <w:spacing w:after="120" w:line="276" w:lineRule="auto"/>
        <w:ind w:firstLine="708"/>
        <w:jc w:val="both"/>
        <w:rPr>
          <w:rFonts w:ascii="Verdana" w:eastAsia="Calibri" w:hAnsi="Verdana" w:cs="Arial"/>
          <w:lang w:eastAsia="es-MX"/>
        </w:rPr>
      </w:pPr>
      <w:r w:rsidRPr="000D30A7">
        <w:rPr>
          <w:rFonts w:ascii="Verdana" w:eastAsia="Calibri" w:hAnsi="Verdana" w:cs="Arial"/>
          <w:bCs/>
          <w:szCs w:val="24"/>
          <w:lang w:val="es-ES_tradnl" w:eastAsia="es-ES_tradnl"/>
        </w:rPr>
        <w:t xml:space="preserve">Así mismo, en </w:t>
      </w:r>
      <w:bookmarkStart w:id="10" w:name="_Hlk139466181"/>
      <w:r w:rsidRPr="000D30A7">
        <w:rPr>
          <w:rFonts w:ascii="Verdana" w:eastAsia="Calibri" w:hAnsi="Verdana" w:cs="Arial"/>
          <w:bCs/>
          <w:szCs w:val="24"/>
          <w:lang w:val="es-ES_tradnl" w:eastAsia="es-ES_tradnl"/>
        </w:rPr>
        <w:t xml:space="preserve">la Guía se indica que como parte de la estructura del estudio del sector se debe realizar un análisis del comportamiento del gasto histórico, el estudio de la oferta y el estudio del mercado. </w:t>
      </w:r>
      <w:bookmarkStart w:id="11" w:name="_Hlk78204338"/>
      <w:bookmarkEnd w:id="10"/>
      <w:r w:rsidRPr="000D30A7">
        <w:rPr>
          <w:rFonts w:ascii="Verdana" w:eastAsia="Calibri" w:hAnsi="Verdana" w:cs="Arial"/>
          <w:lang w:eastAsia="es-ES_tradnl"/>
        </w:rPr>
        <w:t>D</w:t>
      </w:r>
      <w:r w:rsidRPr="000D30A7">
        <w:rPr>
          <w:rFonts w:ascii="Verdana" w:hAnsi="Verdana"/>
          <w:lang w:eastAsia="es-ES_tradnl"/>
        </w:rPr>
        <w:t xml:space="preserve">e forma puntual, la Guía indica que “la Entidad Estatal debe identificar los proveedores en el mercado del bien </w:t>
      </w:r>
      <w:r w:rsidRPr="000D30A7">
        <w:rPr>
          <w:rFonts w:ascii="Verdana" w:hAnsi="Verdana"/>
          <w:lang w:eastAsia="es-ES_tradnl"/>
        </w:rPr>
        <w:lastRenderedPageBreak/>
        <w:t>o servicio, así como sus principales características como tamaño empresarial, ubicación, esquemas de producción y comportamiento financiero”.</w:t>
      </w:r>
      <w:bookmarkEnd w:id="11"/>
      <w:r w:rsidRPr="000D30A7">
        <w:rPr>
          <w:rFonts w:ascii="Verdana" w:hAnsi="Verdana"/>
          <w:lang w:eastAsia="es-ES_tradnl"/>
        </w:rPr>
        <w:t xml:space="preserve"> </w:t>
      </w:r>
    </w:p>
    <w:p w14:paraId="0AC00836" w14:textId="2732E43B" w:rsidR="00C50F39" w:rsidRPr="000D30A7" w:rsidRDefault="00C50F39" w:rsidP="00C50F39">
      <w:pPr>
        <w:spacing w:after="120" w:line="276" w:lineRule="auto"/>
        <w:ind w:firstLine="708"/>
        <w:contextualSpacing/>
        <w:jc w:val="both"/>
        <w:rPr>
          <w:rFonts w:ascii="Verdana" w:eastAsia="Calibri" w:hAnsi="Verdana" w:cs="Arial"/>
          <w:lang w:eastAsia="es-MX"/>
        </w:rPr>
      </w:pPr>
      <w:r w:rsidRPr="000D30A7">
        <w:rPr>
          <w:rFonts w:ascii="Verdana" w:eastAsia="Calibri" w:hAnsi="Verdana" w:cs="Arial"/>
          <w:szCs w:val="24"/>
          <w:lang w:eastAsia="es-ES_tradnl"/>
        </w:rPr>
        <w:t xml:space="preserve">Ahora bien, </w:t>
      </w:r>
      <w:bookmarkStart w:id="12" w:name="_Hlk139466204"/>
      <w:r w:rsidRPr="000D30A7">
        <w:rPr>
          <w:rFonts w:ascii="Verdana" w:eastAsia="Calibri" w:hAnsi="Verdana" w:cs="Arial"/>
          <w:szCs w:val="24"/>
          <w:lang w:eastAsia="es-ES_tradnl"/>
        </w:rPr>
        <w:t xml:space="preserve">respecto a el </w:t>
      </w:r>
      <w:r w:rsidRPr="000D30A7">
        <w:rPr>
          <w:rFonts w:ascii="Verdana" w:eastAsia="Calibri" w:hAnsi="Verdana" w:cs="Arial"/>
          <w:i/>
          <w:iCs/>
          <w:szCs w:val="24"/>
          <w:lang w:eastAsia="es-ES_tradnl"/>
        </w:rPr>
        <w:t>estudio del mercado</w:t>
      </w:r>
      <w:r w:rsidRPr="000D30A7">
        <w:rPr>
          <w:rFonts w:ascii="Verdana" w:eastAsia="Calibri" w:hAnsi="Verdana" w:cs="Arial"/>
          <w:szCs w:val="24"/>
          <w:lang w:eastAsia="es-ES_tradnl"/>
        </w:rPr>
        <w:t>, este se encuentra inmerso dentro del análisis del sector y permite comprender la dinámica de los precios y establecer el presupuesto oficial de la contratación, el cual incluye la realización de un análisis de los diferentes precios de los bienes o servicios a contratar que se registran en el mercado, los cuales pueden consultarse a través de mecanismos como:</w:t>
      </w:r>
    </w:p>
    <w:p w14:paraId="0407B1E6" w14:textId="77777777" w:rsidR="00C50F39" w:rsidRPr="000D30A7" w:rsidRDefault="00C50F39" w:rsidP="00C50F39">
      <w:pPr>
        <w:pStyle w:val="Prrafodelista"/>
        <w:numPr>
          <w:ilvl w:val="0"/>
          <w:numId w:val="17"/>
        </w:numPr>
        <w:spacing w:after="120" w:line="276" w:lineRule="auto"/>
        <w:ind w:left="709" w:right="709"/>
        <w:jc w:val="both"/>
        <w:rPr>
          <w:rFonts w:ascii="Verdana" w:eastAsia="Calibri" w:hAnsi="Verdana" w:cs="Arial"/>
          <w:szCs w:val="24"/>
          <w:lang w:eastAsia="es-ES_tradnl"/>
        </w:rPr>
      </w:pPr>
      <w:r w:rsidRPr="000D30A7">
        <w:rPr>
          <w:rFonts w:ascii="Verdana" w:eastAsia="Calibri" w:hAnsi="Verdana" w:cs="Arial"/>
          <w:szCs w:val="24"/>
          <w:lang w:eastAsia="es-ES_tradnl"/>
        </w:rPr>
        <w:t>Revisión de precios por solicitud de cotizaciones: la Guía recomienda requerir a los potenciales proveedores de los bienes o servicios para que remitan la información necesaria para determinar, entre otros aspectos, el valor del servicio o del bien correspondiente. Para estos efectos, se sugiere incluir en la comunicación toda aquella información pertinente del contrato a ejecutar que permita a los potenciales proveedores estructurar una cotización integral y ajustada a las necesidades de la entidad.</w:t>
      </w:r>
    </w:p>
    <w:p w14:paraId="36407376" w14:textId="77777777" w:rsidR="00C50F39" w:rsidRPr="000D30A7" w:rsidRDefault="00C50F39" w:rsidP="00C50F39">
      <w:pPr>
        <w:pStyle w:val="Prrafodelista"/>
        <w:spacing w:after="120" w:line="276" w:lineRule="auto"/>
        <w:ind w:left="709" w:right="709"/>
        <w:jc w:val="both"/>
        <w:rPr>
          <w:rFonts w:ascii="Verdana" w:eastAsia="Calibri" w:hAnsi="Verdana" w:cs="Arial"/>
          <w:szCs w:val="24"/>
          <w:lang w:eastAsia="es-ES_tradnl"/>
        </w:rPr>
      </w:pPr>
    </w:p>
    <w:p w14:paraId="619A4477" w14:textId="77777777" w:rsidR="00C50F39" w:rsidRPr="000D30A7" w:rsidRDefault="00C50F39" w:rsidP="00C50F39">
      <w:pPr>
        <w:pStyle w:val="Prrafodelista"/>
        <w:spacing w:after="120" w:line="276" w:lineRule="auto"/>
        <w:ind w:left="709" w:right="709"/>
        <w:jc w:val="both"/>
        <w:rPr>
          <w:rFonts w:ascii="Verdana" w:eastAsia="Calibri" w:hAnsi="Verdana" w:cs="Arial"/>
          <w:szCs w:val="24"/>
          <w:lang w:eastAsia="es-ES_tradnl"/>
        </w:rPr>
      </w:pPr>
      <w:r w:rsidRPr="000D30A7">
        <w:rPr>
          <w:rFonts w:ascii="Verdana" w:eastAsia="Calibri" w:hAnsi="Verdana" w:cs="Arial"/>
          <w:szCs w:val="24"/>
          <w:lang w:eastAsia="es-ES_tradnl"/>
        </w:rPr>
        <w:t>Así mismo, se indica que, al recibir las cotizaciones, debe verificarse la ocurrencia de circunstancias que eventualmente pueden distorsionar los precios del mercado, como ofertas especiales de almacenes de cadena, fenómenos de escasez o abundancia del producto, entre otros aspectos.</w:t>
      </w:r>
    </w:p>
    <w:p w14:paraId="764177D2" w14:textId="77777777" w:rsidR="00C50F39" w:rsidRPr="000D30A7" w:rsidRDefault="00C50F39" w:rsidP="00C50F39">
      <w:pPr>
        <w:pStyle w:val="Prrafodelista"/>
        <w:spacing w:after="120" w:line="276" w:lineRule="auto"/>
        <w:ind w:left="709" w:right="709"/>
        <w:jc w:val="both"/>
        <w:rPr>
          <w:rFonts w:ascii="Verdana" w:eastAsia="Calibri" w:hAnsi="Verdana" w:cs="Arial"/>
          <w:szCs w:val="24"/>
          <w:lang w:eastAsia="es-ES_tradnl"/>
        </w:rPr>
      </w:pPr>
    </w:p>
    <w:p w14:paraId="489EB763" w14:textId="77777777" w:rsidR="00C50F39" w:rsidRPr="000D30A7" w:rsidRDefault="00C50F39" w:rsidP="00C50F39">
      <w:pPr>
        <w:pStyle w:val="Prrafodelista"/>
        <w:numPr>
          <w:ilvl w:val="0"/>
          <w:numId w:val="17"/>
        </w:numPr>
        <w:spacing w:after="120" w:line="276" w:lineRule="auto"/>
        <w:ind w:left="709" w:right="709"/>
        <w:jc w:val="both"/>
        <w:rPr>
          <w:rFonts w:ascii="Verdana" w:eastAsia="Calibri" w:hAnsi="Verdana" w:cs="Arial"/>
          <w:szCs w:val="24"/>
          <w:lang w:eastAsia="es-ES_tradnl"/>
        </w:rPr>
      </w:pPr>
      <w:r w:rsidRPr="000D30A7">
        <w:rPr>
          <w:rFonts w:ascii="Verdana" w:eastAsia="Calibri" w:hAnsi="Verdana" w:cs="Arial"/>
          <w:szCs w:val="24"/>
          <w:lang w:eastAsia="es-ES_tradnl"/>
        </w:rPr>
        <w:t xml:space="preserve">Revisión de bases de datos especializadas: la Guía señala que es conveniente adelantarla cuando por las condiciones del mercado del bien o servicio a contratar se requiera, y el responsable deberá dejar constancia de las consultas realizadas y de los precios que soportan su estudio. Las bases de datos consultadas deben ser especializadas y representativas en el mercado del bien o servicio a contratar. </w:t>
      </w:r>
    </w:p>
    <w:p w14:paraId="0BEE33CC" w14:textId="77777777" w:rsidR="00C50F39" w:rsidRPr="000D30A7" w:rsidRDefault="00C50F39" w:rsidP="00C50F39">
      <w:pPr>
        <w:pStyle w:val="Prrafodelista"/>
        <w:spacing w:after="120" w:line="276" w:lineRule="auto"/>
        <w:ind w:left="709" w:right="709"/>
        <w:jc w:val="both"/>
        <w:rPr>
          <w:rFonts w:ascii="Verdana" w:eastAsia="Calibri" w:hAnsi="Verdana" w:cs="Arial"/>
          <w:szCs w:val="24"/>
          <w:lang w:eastAsia="es-ES_tradnl"/>
        </w:rPr>
      </w:pPr>
    </w:p>
    <w:p w14:paraId="3021E17F" w14:textId="1C028F57" w:rsidR="00C50F39" w:rsidRPr="000D30A7" w:rsidRDefault="00C50F39" w:rsidP="00A755A0">
      <w:pPr>
        <w:pStyle w:val="Prrafodelista"/>
        <w:numPr>
          <w:ilvl w:val="0"/>
          <w:numId w:val="17"/>
        </w:numPr>
        <w:spacing w:after="240" w:line="276" w:lineRule="auto"/>
        <w:ind w:left="709" w:right="709"/>
        <w:jc w:val="both"/>
        <w:rPr>
          <w:rFonts w:ascii="Verdana" w:eastAsia="Calibri" w:hAnsi="Verdana" w:cs="Arial"/>
          <w:szCs w:val="24"/>
          <w:lang w:eastAsia="es-ES_tradnl"/>
        </w:rPr>
      </w:pPr>
      <w:r w:rsidRPr="000D30A7">
        <w:rPr>
          <w:rFonts w:ascii="Verdana" w:eastAsia="Calibri" w:hAnsi="Verdana" w:cs="Arial"/>
          <w:szCs w:val="24"/>
          <w:lang w:eastAsia="es-ES_tradnl"/>
        </w:rPr>
        <w:t xml:space="preserve">Revisión de precios históricos: se sugiere verificar la variación de los precios históricos derivados del índice de precios al consumidor en cada año, examinando si se han presentado fenómenos económicos que hayan implicado fluctuaciones importantes en el </w:t>
      </w:r>
      <w:r w:rsidRPr="000D30A7">
        <w:rPr>
          <w:rFonts w:ascii="Verdana" w:eastAsia="Calibri" w:hAnsi="Verdana" w:cs="Arial"/>
          <w:szCs w:val="24"/>
          <w:lang w:eastAsia="es-ES_tradnl"/>
        </w:rPr>
        <w:lastRenderedPageBreak/>
        <w:t xml:space="preserve">comercio del bien o servicio, siempre que las características del bien o servicio sean las mismas entre una contratación y otra.  </w:t>
      </w:r>
      <w:bookmarkEnd w:id="12"/>
    </w:p>
    <w:p w14:paraId="1ED499F5" w14:textId="77777777" w:rsidR="00C50F39" w:rsidRPr="000D30A7" w:rsidRDefault="00C50F39" w:rsidP="00632256">
      <w:pPr>
        <w:spacing w:after="120" w:line="276" w:lineRule="auto"/>
        <w:ind w:firstLine="708"/>
        <w:jc w:val="both"/>
        <w:rPr>
          <w:rFonts w:ascii="Verdana" w:eastAsia="Calibri" w:hAnsi="Verdana" w:cs="Arial"/>
          <w:szCs w:val="24"/>
          <w:lang w:eastAsia="es-ES_tradnl"/>
        </w:rPr>
      </w:pPr>
      <w:bookmarkStart w:id="13" w:name="_Hlk139466471"/>
      <w:r w:rsidRPr="000D30A7">
        <w:rPr>
          <w:rFonts w:ascii="Verdana" w:eastAsia="Calibri" w:hAnsi="Verdana" w:cs="Arial"/>
          <w:szCs w:val="24"/>
          <w:lang w:eastAsia="es-ES_tradnl"/>
        </w:rPr>
        <w:t xml:space="preserve">Como se observa, la “Guía de Elaboración de Estudios del Sector” recomienda como mecanismo para la elaboración de </w:t>
      </w:r>
      <w:r w:rsidRPr="000D30A7">
        <w:rPr>
          <w:rFonts w:ascii="Verdana" w:eastAsia="Calibri" w:hAnsi="Verdana" w:cs="Arial"/>
          <w:i/>
          <w:iCs/>
          <w:szCs w:val="24"/>
          <w:lang w:eastAsia="es-ES_tradnl"/>
        </w:rPr>
        <w:t>estudios del mercado</w:t>
      </w:r>
      <w:r w:rsidRPr="000D30A7">
        <w:rPr>
          <w:rFonts w:ascii="Verdana" w:eastAsia="Calibri" w:hAnsi="Verdana" w:cs="Arial"/>
          <w:szCs w:val="24"/>
          <w:lang w:eastAsia="es-ES_tradnl"/>
        </w:rPr>
        <w:t>, que sirvan para entender la dinámica de los precios y establecer el presupuesto oficial de la contratación, requerir a los potenciales proveedores a fin de que remitan la información necesaria para determinar diversos aspectos de los bienes o servicios a contratar, entre ellos su valor, especificaciones técnicas, el plazo, entre otra información relevante. En principio, que un potencial proveedor participe en estos estudios del mercado, remitiendo cotizaciones por citar un ejemplo, no implica que en el futuro no pueda participar del Proceso de Contratación que se adelante; ni tampoco estas son vinculantes para la entidad contratante.</w:t>
      </w:r>
      <w:bookmarkEnd w:id="13"/>
    </w:p>
    <w:p w14:paraId="5D231728" w14:textId="77777777" w:rsidR="00C50F39" w:rsidRPr="000D30A7" w:rsidRDefault="00C50F39" w:rsidP="00C50F39">
      <w:pPr>
        <w:spacing w:after="120" w:line="276" w:lineRule="auto"/>
        <w:ind w:firstLine="708"/>
        <w:jc w:val="both"/>
        <w:rPr>
          <w:rFonts w:ascii="Verdana" w:eastAsia="Times New Roman" w:hAnsi="Verdana" w:cs="Arial"/>
          <w:szCs w:val="24"/>
          <w:lang w:eastAsia="es-ES_tradnl"/>
        </w:rPr>
      </w:pPr>
      <w:r w:rsidRPr="000D30A7">
        <w:rPr>
          <w:rFonts w:ascii="Verdana" w:eastAsia="Calibri" w:hAnsi="Verdana" w:cs="Arial"/>
          <w:szCs w:val="24"/>
          <w:lang w:eastAsia="es-ES_tradnl"/>
        </w:rPr>
        <w:t>En ese orden de ideas,</w:t>
      </w:r>
      <w:r w:rsidRPr="000D30A7">
        <w:rPr>
          <w:rFonts w:ascii="Verdana" w:eastAsia="Calibri" w:hAnsi="Verdana" w:cs="Arial"/>
          <w:bCs/>
          <w:szCs w:val="24"/>
          <w:lang w:val="es-ES_tradnl" w:eastAsia="es-ES_tradnl"/>
        </w:rPr>
        <w:t xml:space="preserve"> el análisis del sector </w:t>
      </w:r>
      <w:r w:rsidRPr="000D30A7">
        <w:rPr>
          <w:rFonts w:ascii="Verdana" w:eastAsia="Times New Roman" w:hAnsi="Verdana" w:cs="Arial"/>
          <w:bCs/>
          <w:szCs w:val="24"/>
          <w:lang w:val="es-ES_tradnl" w:eastAsia="es-ES_tradnl"/>
        </w:rPr>
        <w:t xml:space="preserve">parte de un estudio desde una perspectiva multidisciplinaria, que implica los aspectos generales del mercado, el análisis de la demanda y de la oferta, así como el estudio del mercado que le permite a la entidad entender el mercado del bien, obra o servicio que pretenden adquirir, así como identificar los factores que inciden en el valor del contrato, tales como el análisis de precios, las cargas tributarias, la tasa de cambio, las garantías, los gastos de transporte, etc. Este análisis se </w:t>
      </w:r>
      <w:r w:rsidRPr="000D30A7">
        <w:rPr>
          <w:rFonts w:ascii="Verdana" w:eastAsia="Times New Roman" w:hAnsi="Verdana" w:cs="Arial"/>
          <w:szCs w:val="24"/>
          <w:lang w:eastAsia="es-ES_tradnl"/>
        </w:rPr>
        <w:t xml:space="preserve">debe consignar en los Documentos del Proceso, bien sea en los estudios previos o en la información soporte de estos. </w:t>
      </w:r>
    </w:p>
    <w:p w14:paraId="45520E23" w14:textId="33A88F78" w:rsidR="00CC28BD" w:rsidRPr="000D30A7" w:rsidRDefault="000410BE" w:rsidP="00CC28BD">
      <w:pPr>
        <w:spacing w:after="120" w:line="276" w:lineRule="auto"/>
        <w:ind w:firstLine="708"/>
        <w:jc w:val="both"/>
        <w:rPr>
          <w:rFonts w:ascii="Verdana" w:eastAsia="Times New Roman" w:hAnsi="Verdana" w:cs="Arial"/>
          <w:szCs w:val="24"/>
          <w:lang w:eastAsia="es-ES_tradnl"/>
        </w:rPr>
      </w:pPr>
      <w:r w:rsidRPr="000D30A7">
        <w:rPr>
          <w:rFonts w:ascii="Verdana" w:eastAsia="Times New Roman" w:hAnsi="Verdana" w:cs="Arial"/>
          <w:szCs w:val="24"/>
          <w:lang w:eastAsia="es-ES_tradnl"/>
        </w:rPr>
        <w:t xml:space="preserve">De lo expuesto, y en aras a dar respuesta a los problemas jurídicos planteados </w:t>
      </w:r>
      <w:r w:rsidR="00812E22" w:rsidRPr="000D30A7">
        <w:rPr>
          <w:rFonts w:ascii="Verdana" w:eastAsia="Times New Roman" w:hAnsi="Verdana" w:cs="Arial"/>
          <w:szCs w:val="24"/>
          <w:lang w:eastAsia="es-ES_tradnl"/>
        </w:rPr>
        <w:t xml:space="preserve">debe tenerse en cuenta en primer lugar </w:t>
      </w:r>
      <w:r w:rsidR="00CC28BD" w:rsidRPr="000D30A7">
        <w:rPr>
          <w:rFonts w:ascii="Verdana" w:hAnsi="Verdana"/>
        </w:rPr>
        <w:t xml:space="preserve">que mediante el artículo 2.2.1.1.1.6.1 del Decreto 1082 de 2015 se estableció el deber de las Entidades Estatales de analizar el sector relativo al objeto del Proceso de Contratación desde la perspectiva legal, comercial, financiera, organizacional, técnica y de análisis de riesgo, sin que dicha disposición condicione la validez del estudio a la obtención efectiva de respuestas por parte de los proveedores consultados. En consecuencia, la ausencia de respuesta por parte de los posibles proveedores requeridos, ya sea a través de SECOP II, correo electrónico u otro instrumento idóneo, no debe entenderse como una negativa tácita, ni como una circunstancia que exánime por sí sola la validez o suficiencia del estudio de mercado, sino como una contingencia propia de la naturaleza no vinculante de la solicitud de </w:t>
      </w:r>
      <w:r w:rsidR="00CC28BD" w:rsidRPr="000D30A7">
        <w:rPr>
          <w:rFonts w:ascii="Verdana" w:hAnsi="Verdana"/>
        </w:rPr>
        <w:lastRenderedPageBreak/>
        <w:t>cotización, la cual constituye un acto de colaboración voluntaria del particular y no una carga exigible en su contra.</w:t>
      </w:r>
    </w:p>
    <w:p w14:paraId="77F529FB" w14:textId="77777777" w:rsidR="00CC28BD" w:rsidRPr="000D30A7" w:rsidRDefault="00CC28BD" w:rsidP="00CC28BD">
      <w:pPr>
        <w:spacing w:after="240" w:line="276" w:lineRule="auto"/>
        <w:ind w:firstLine="708"/>
        <w:jc w:val="both"/>
        <w:rPr>
          <w:rFonts w:ascii="Verdana" w:hAnsi="Verdana"/>
        </w:rPr>
      </w:pPr>
      <w:r w:rsidRPr="000D30A7">
        <w:rPr>
          <w:rFonts w:ascii="Verdana" w:hAnsi="Verdana"/>
        </w:rPr>
        <w:t>De conformidad con lo anterior, ante la ausencia de respuesta la Entidad Estatal podrá proceder de la siguiente manera:</w:t>
      </w:r>
    </w:p>
    <w:p w14:paraId="13587726" w14:textId="77777777" w:rsidR="00CC28BD" w:rsidRPr="000D30A7" w:rsidRDefault="00CC28BD" w:rsidP="00CC28BD">
      <w:pPr>
        <w:spacing w:after="240" w:line="276" w:lineRule="auto"/>
        <w:ind w:firstLine="708"/>
        <w:jc w:val="both"/>
        <w:rPr>
          <w:rFonts w:ascii="Verdana" w:hAnsi="Verdana"/>
        </w:rPr>
      </w:pPr>
      <w:r w:rsidRPr="000D30A7">
        <w:rPr>
          <w:rFonts w:ascii="Verdana" w:hAnsi="Verdana"/>
        </w:rPr>
        <w:t>(i) Dejar constancia documental de las gestiones adelantadas para la obtención de información de mercado, remisión de solicitudes, canales empleados, fechas y plazos otorgados a los proveedores, de manera que quede acreditada la diligencia desplegada en cumplimiento del principio de planeación.</w:t>
      </w:r>
    </w:p>
    <w:p w14:paraId="43DFB51C" w14:textId="77777777" w:rsidR="00CC28BD" w:rsidRPr="000D30A7" w:rsidRDefault="00CC28BD" w:rsidP="00CC28BD">
      <w:pPr>
        <w:spacing w:after="240" w:line="276" w:lineRule="auto"/>
        <w:ind w:firstLine="708"/>
        <w:jc w:val="both"/>
        <w:rPr>
          <w:rFonts w:ascii="Verdana" w:hAnsi="Verdana"/>
        </w:rPr>
      </w:pPr>
      <w:r w:rsidRPr="000D30A7">
        <w:rPr>
          <w:rFonts w:ascii="Verdana" w:hAnsi="Verdana"/>
        </w:rPr>
        <w:t>(</w:t>
      </w:r>
      <w:proofErr w:type="spellStart"/>
      <w:r w:rsidRPr="000D30A7">
        <w:rPr>
          <w:rFonts w:ascii="Verdana" w:hAnsi="Verdana"/>
        </w:rPr>
        <w:t>ii</w:t>
      </w:r>
      <w:proofErr w:type="spellEnd"/>
      <w:r w:rsidRPr="000D30A7">
        <w:rPr>
          <w:rFonts w:ascii="Verdana" w:hAnsi="Verdana"/>
        </w:rPr>
        <w:t>) Acudir a fuentes de información alternativas o complementarias que permitan suplir la insuficiencia de cotizaciones, tales como el histórico de precios adjudicados en SECOP I y SECOP II para objetos contractuales análogos, presupuestos oficiales de procesos anteriores, listas de precios de referencia sectorial, información de gremios o asociaciones, bases de datos de entidades como el DANE e incluso Ferias de Negocios Inclusivas, cuando resulte pertinente.</w:t>
      </w:r>
    </w:p>
    <w:p w14:paraId="5ED0D6B5" w14:textId="77777777" w:rsidR="00D430DC" w:rsidRPr="000D30A7" w:rsidRDefault="00CC28BD" w:rsidP="00D430DC">
      <w:pPr>
        <w:spacing w:after="240" w:line="276" w:lineRule="auto"/>
        <w:ind w:firstLine="708"/>
        <w:jc w:val="both"/>
        <w:rPr>
          <w:rFonts w:ascii="Verdana" w:hAnsi="Verdana"/>
        </w:rPr>
      </w:pPr>
      <w:r w:rsidRPr="000D30A7">
        <w:rPr>
          <w:rFonts w:ascii="Verdana" w:hAnsi="Verdana"/>
        </w:rPr>
        <w:t>(</w:t>
      </w:r>
      <w:proofErr w:type="spellStart"/>
      <w:r w:rsidRPr="000D30A7">
        <w:rPr>
          <w:rFonts w:ascii="Verdana" w:hAnsi="Verdana"/>
        </w:rPr>
        <w:t>iii</w:t>
      </w:r>
      <w:proofErr w:type="spellEnd"/>
      <w:r w:rsidRPr="000D30A7">
        <w:rPr>
          <w:rFonts w:ascii="Verdana" w:hAnsi="Verdana"/>
        </w:rPr>
        <w:t>) Documentar de manera expresa y motivada, dentro del estudio de sector, tanto las gestiones infructuosas adelantadas como la metodología alternativa aplicada para la estimación del valor estimado del contrato, de suerte que quede acreditado el cumplimiento del principio de planeación, no obstante la imposibilidad material de obtener las cotizaciones inicialmente requeridas.</w:t>
      </w:r>
    </w:p>
    <w:p w14:paraId="77ED8B02" w14:textId="239972D8" w:rsidR="00CC28BD" w:rsidRPr="000D30A7" w:rsidRDefault="00D430DC" w:rsidP="00D430DC">
      <w:pPr>
        <w:spacing w:after="240" w:line="276" w:lineRule="auto"/>
        <w:ind w:firstLine="708"/>
        <w:jc w:val="both"/>
        <w:rPr>
          <w:rFonts w:ascii="Verdana" w:hAnsi="Verdana"/>
        </w:rPr>
      </w:pPr>
      <w:r w:rsidRPr="000D30A7">
        <w:rPr>
          <w:rFonts w:ascii="Verdana" w:hAnsi="Verdana"/>
        </w:rPr>
        <w:t>Por otro lado</w:t>
      </w:r>
      <w:r w:rsidR="00CC28BD" w:rsidRPr="000D30A7">
        <w:rPr>
          <w:rFonts w:ascii="Verdana" w:hAnsi="Verdana"/>
        </w:rPr>
        <w:t>, resulta pertinente indicar que no existe una norma que imponga a los particulares el deber legal de atender las solicitudes de cotización formuladas por las Entidades Estatales en la etapa de planeación, lo anterior por cuanto dicha solicitud no genera relación contractual alguna, ni resulta exigible mediante los instrumentos propios de la actividad contractual del Estado. Se trata, en sentido estricto, de una carga de diligencia que recae sobre la Entidad y no de una obligación exigible frente al proveedor consultado.</w:t>
      </w:r>
    </w:p>
    <w:p w14:paraId="6EFAB573" w14:textId="77777777" w:rsidR="00CC28BD" w:rsidRPr="000D30A7" w:rsidRDefault="00CC28BD" w:rsidP="00CC28BD">
      <w:pPr>
        <w:spacing w:line="276" w:lineRule="auto"/>
        <w:ind w:firstLine="708"/>
        <w:jc w:val="both"/>
        <w:rPr>
          <w:rFonts w:ascii="Verdana" w:eastAsia="Calibri" w:hAnsi="Verdana" w:cs="Arial"/>
          <w:color w:val="000000"/>
        </w:rPr>
      </w:pPr>
      <w:r w:rsidRPr="000D30A7">
        <w:rPr>
          <w:rFonts w:ascii="Verdana" w:eastAsia="Calibri" w:hAnsi="Verdana" w:cs="Arial"/>
          <w:color w:val="000000"/>
        </w:rPr>
        <w:t>Frente a esta limitación estructural, la Entidad Estatal podrá orientar su actuación bajo la lógica de una obligación de medio y no de resultado: no le es exigible garantizar un número determinado de respuestas, sino acreditar que agotó, de manera razonable y proporcional a la complejidad y cuantía del objeto contractual, los mecanismos disponibles para la obtención de información de mercado.</w:t>
      </w:r>
    </w:p>
    <w:p w14:paraId="230FE202" w14:textId="77777777" w:rsidR="00CC28BD" w:rsidRPr="000D30A7" w:rsidRDefault="00CC28BD" w:rsidP="00CC28BD">
      <w:pPr>
        <w:spacing w:line="276" w:lineRule="auto"/>
        <w:ind w:firstLine="708"/>
        <w:jc w:val="both"/>
        <w:rPr>
          <w:rFonts w:ascii="Verdana" w:eastAsia="Calibri" w:hAnsi="Verdana" w:cs="Arial"/>
          <w:color w:val="000000"/>
        </w:rPr>
      </w:pPr>
      <w:r w:rsidRPr="000D30A7">
        <w:rPr>
          <w:rFonts w:ascii="Verdana" w:eastAsia="Calibri" w:hAnsi="Verdana" w:cs="Arial"/>
          <w:color w:val="000000"/>
        </w:rPr>
        <w:lastRenderedPageBreak/>
        <w:t>En lo que respecta a si la Entidad debería adelantar un mínimo de eventos de cotización, es preciso señalar que ni el Decreto 1082 de 2015 ni la Guía para la elaboración de Estudios de Sector establecen un número mínimo obligatorio de solicitudes de cotización. No obstante lo anterior, la práctica administrativa reiterada, y recomendable a efectos de acreditar razonabilidad y suficiencia del estudio, sugiere adelantar al menos tres (3) solicitudes de cotización, sin que ello constituya una regla de derecho positivo, sino un estándar de diligencia razonable susceptible de ajustarse según:</w:t>
      </w:r>
    </w:p>
    <w:p w14:paraId="335E297D" w14:textId="77777777" w:rsidR="00CC28BD" w:rsidRPr="000D30A7" w:rsidRDefault="00CC28BD" w:rsidP="00CC28BD">
      <w:pPr>
        <w:numPr>
          <w:ilvl w:val="0"/>
          <w:numId w:val="21"/>
        </w:numPr>
        <w:spacing w:line="276" w:lineRule="auto"/>
        <w:jc w:val="both"/>
        <w:rPr>
          <w:rFonts w:ascii="Verdana" w:eastAsia="Calibri" w:hAnsi="Verdana" w:cs="Arial"/>
          <w:color w:val="000000"/>
        </w:rPr>
      </w:pPr>
      <w:r w:rsidRPr="000D30A7">
        <w:rPr>
          <w:rFonts w:ascii="Verdana" w:eastAsia="Calibri" w:hAnsi="Verdana" w:cs="Arial"/>
          <w:color w:val="000000"/>
        </w:rPr>
        <w:t>La complejidad y especialidad del objeto a contratar.</w:t>
      </w:r>
    </w:p>
    <w:p w14:paraId="3E6A742E" w14:textId="77777777" w:rsidR="00CC28BD" w:rsidRPr="000D30A7" w:rsidRDefault="00CC28BD" w:rsidP="00CC28BD">
      <w:pPr>
        <w:numPr>
          <w:ilvl w:val="0"/>
          <w:numId w:val="21"/>
        </w:numPr>
        <w:spacing w:line="276" w:lineRule="auto"/>
        <w:jc w:val="both"/>
        <w:rPr>
          <w:rFonts w:ascii="Verdana" w:eastAsia="Calibri" w:hAnsi="Verdana" w:cs="Arial"/>
          <w:color w:val="000000"/>
        </w:rPr>
      </w:pPr>
      <w:r w:rsidRPr="000D30A7">
        <w:rPr>
          <w:rFonts w:ascii="Verdana" w:eastAsia="Calibri" w:hAnsi="Verdana" w:cs="Arial"/>
          <w:color w:val="000000"/>
        </w:rPr>
        <w:t>El grado de concentración o atomización del mercado relevante (número de proveedores existentes).</w:t>
      </w:r>
    </w:p>
    <w:p w14:paraId="14F7E566" w14:textId="77777777" w:rsidR="00CC28BD" w:rsidRPr="000D30A7" w:rsidRDefault="00CC28BD" w:rsidP="00CC28BD">
      <w:pPr>
        <w:numPr>
          <w:ilvl w:val="0"/>
          <w:numId w:val="21"/>
        </w:numPr>
        <w:spacing w:line="276" w:lineRule="auto"/>
        <w:jc w:val="both"/>
        <w:rPr>
          <w:rFonts w:ascii="Verdana" w:eastAsia="Calibri" w:hAnsi="Verdana" w:cs="Arial"/>
          <w:color w:val="000000"/>
        </w:rPr>
      </w:pPr>
      <w:r w:rsidRPr="000D30A7">
        <w:rPr>
          <w:rFonts w:ascii="Verdana" w:eastAsia="Calibri" w:hAnsi="Verdana" w:cs="Arial"/>
          <w:color w:val="000000"/>
        </w:rPr>
        <w:t>La cuantía estimada del Proceso de Contratación.</w:t>
      </w:r>
    </w:p>
    <w:p w14:paraId="052847FC" w14:textId="77777777" w:rsidR="00CC28BD" w:rsidRPr="000D30A7" w:rsidRDefault="00CC28BD" w:rsidP="00CC28BD">
      <w:pPr>
        <w:numPr>
          <w:ilvl w:val="0"/>
          <w:numId w:val="21"/>
        </w:numPr>
        <w:spacing w:line="276" w:lineRule="auto"/>
        <w:jc w:val="both"/>
        <w:rPr>
          <w:rFonts w:ascii="Verdana" w:eastAsia="Calibri" w:hAnsi="Verdana" w:cs="Arial"/>
          <w:color w:val="000000"/>
        </w:rPr>
      </w:pPr>
      <w:r w:rsidRPr="000D30A7">
        <w:rPr>
          <w:rFonts w:ascii="Verdana" w:eastAsia="Calibri" w:hAnsi="Verdana" w:cs="Arial"/>
          <w:color w:val="000000"/>
        </w:rPr>
        <w:t>Los antecedentes contractuales de la Entidad frente a objetos similares.</w:t>
      </w:r>
    </w:p>
    <w:p w14:paraId="755E3E6C" w14:textId="77777777" w:rsidR="00CC28BD" w:rsidRPr="000D30A7" w:rsidRDefault="00CC28BD" w:rsidP="00CC28BD">
      <w:pPr>
        <w:spacing w:line="276" w:lineRule="auto"/>
        <w:ind w:firstLine="708"/>
        <w:jc w:val="both"/>
        <w:rPr>
          <w:rFonts w:ascii="Verdana" w:eastAsia="Calibri" w:hAnsi="Verdana" w:cs="Arial"/>
          <w:color w:val="000000"/>
        </w:rPr>
      </w:pPr>
      <w:r w:rsidRPr="000D30A7">
        <w:rPr>
          <w:rFonts w:ascii="Verdana" w:eastAsia="Calibri" w:hAnsi="Verdana" w:cs="Arial"/>
          <w:color w:val="000000"/>
        </w:rPr>
        <w:t>En los eventos en que no se logre reunir el número de cotizaciones inicialmente proyectado, la Entidad debe justificar motivadamente en el estudio de mercado las razones de dicha insuficiencia y soportar la estimación del presupuesto mediante fuentes alternativas idóneas, no solo para dar cumplimiento formal al deber de análisis del sector, sino que también para blindar la actuación administrativa frente a eventuales observaciones de los órganos de control fiscal, en tanto la suficiencia del estudio se valora en función de la razonabilidad de las gestiones adelantadas y no del número absoluto de respuestas obtenidas.</w:t>
      </w:r>
    </w:p>
    <w:p w14:paraId="35CF9C36" w14:textId="77777777" w:rsidR="00717455" w:rsidRPr="000D30A7" w:rsidRDefault="00CC28BD" w:rsidP="00717455">
      <w:pPr>
        <w:spacing w:line="276" w:lineRule="auto"/>
        <w:ind w:firstLine="708"/>
        <w:jc w:val="both"/>
        <w:rPr>
          <w:rFonts w:ascii="Verdana" w:eastAsia="Calibri" w:hAnsi="Verdana" w:cs="Arial"/>
          <w:color w:val="000000"/>
        </w:rPr>
      </w:pPr>
      <w:r w:rsidRPr="000D30A7">
        <w:rPr>
          <w:rFonts w:ascii="Verdana" w:eastAsia="Calibri" w:hAnsi="Verdana" w:cs="Arial"/>
          <w:color w:val="000000"/>
        </w:rPr>
        <w:t xml:space="preserve">Finalmente, en lo que respecta al interrogante relacionado con el </w:t>
      </w:r>
      <w:r w:rsidRPr="000D30A7">
        <w:rPr>
          <w:rFonts w:ascii="Verdana" w:eastAsia="Calibri" w:hAnsi="Verdana" w:cs="Arial"/>
          <w:i/>
          <w:iCs/>
          <w:color w:val="000000"/>
        </w:rPr>
        <w:t>Modelo de Abastecimiento Estratégico</w:t>
      </w:r>
      <w:r w:rsidRPr="000D30A7">
        <w:rPr>
          <w:rFonts w:ascii="Verdana" w:eastAsia="Calibri" w:hAnsi="Verdana" w:cs="Arial"/>
          <w:color w:val="000000"/>
        </w:rPr>
        <w:t xml:space="preserve">, se anexa al presente concepto la respuesta emitida por la Subdirección de Estudios de Mercado y Abastecimiento Estratégico. Para la adecuada visualización de los anexos, se recomienda utilizar un lector de archivos PDF, como Adobe Reader, que permite la descarga de los documentos adjuntos. Asimismo, en el cuerpo del correo se encuentra habilitado un enlace para su descarga. En caso de presentar inconvenientes, podrá consultar el “Instructivo para visualizar anexos – ANCP Colombia Compra Eficiente” en el siguiente enlace: </w:t>
      </w:r>
      <w:hyperlink r:id="rId14" w:history="1">
        <w:r w:rsidRPr="000D30A7">
          <w:rPr>
            <w:rStyle w:val="Hipervnculo"/>
            <w:rFonts w:ascii="Verdana" w:eastAsia="Calibri" w:hAnsi="Verdana" w:cs="Arial"/>
          </w:rPr>
          <w:t>Instructivo para visualizar anexos</w:t>
        </w:r>
      </w:hyperlink>
      <w:r w:rsidRPr="000D30A7">
        <w:rPr>
          <w:rFonts w:ascii="Verdana" w:eastAsia="Calibri" w:hAnsi="Verdana" w:cs="Arial"/>
          <w:color w:val="000000"/>
        </w:rPr>
        <w:t xml:space="preserve"> </w:t>
      </w:r>
    </w:p>
    <w:p w14:paraId="6EF05734" w14:textId="72F18030" w:rsidR="00717455" w:rsidRPr="000D30A7" w:rsidRDefault="00717455" w:rsidP="00717455">
      <w:pPr>
        <w:spacing w:line="276" w:lineRule="auto"/>
        <w:ind w:firstLine="708"/>
        <w:jc w:val="both"/>
        <w:rPr>
          <w:rFonts w:ascii="Verdana" w:eastAsia="Calibri" w:hAnsi="Verdana" w:cs="Arial"/>
          <w:color w:val="000000"/>
        </w:rPr>
      </w:pPr>
      <w:r w:rsidRPr="000D30A7">
        <w:rPr>
          <w:rFonts w:ascii="Verdana" w:hAnsi="Verdana" w:cs="Arial"/>
          <w:lang w:eastAsia="es-ES"/>
        </w:rPr>
        <w:t xml:space="preserve">Al margen de la explicación precedente debe advertirse que las afirmaciones aquí realizadas no pueden ser interpretadas como juicios de valor </w:t>
      </w:r>
      <w:r w:rsidRPr="000D30A7">
        <w:rPr>
          <w:rFonts w:ascii="Verdana" w:hAnsi="Verdana" w:cs="Arial"/>
          <w:lang w:eastAsia="es-ES"/>
        </w:rPr>
        <w:lastRenderedPageBreak/>
        <w:t xml:space="preserve">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154E5337" w14:textId="77777777" w:rsidR="00717455" w:rsidRPr="000D30A7" w:rsidRDefault="00717455" w:rsidP="00717455">
      <w:pPr>
        <w:spacing w:after="0" w:line="276" w:lineRule="auto"/>
        <w:ind w:firstLine="360"/>
        <w:jc w:val="both"/>
        <w:rPr>
          <w:rFonts w:ascii="Verdana" w:hAnsi="Verdana" w:cs="Arial"/>
          <w:lang w:eastAsia="es-ES"/>
        </w:rPr>
      </w:pPr>
      <w:r w:rsidRPr="000D30A7">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AF3496A" w14:textId="77777777" w:rsidR="003C7806" w:rsidRPr="000D30A7" w:rsidRDefault="003C7806" w:rsidP="003C7806">
      <w:pPr>
        <w:spacing w:after="0" w:line="276" w:lineRule="auto"/>
        <w:ind w:firstLine="709"/>
        <w:jc w:val="both"/>
        <w:rPr>
          <w:rFonts w:ascii="Verdana" w:hAnsi="Verdana" w:cs="Arial"/>
        </w:rPr>
      </w:pPr>
    </w:p>
    <w:p w14:paraId="4254470B" w14:textId="77777777" w:rsidR="003C7806" w:rsidRPr="000D30A7" w:rsidRDefault="003C7806" w:rsidP="003C7806">
      <w:pPr>
        <w:pStyle w:val="Prrafodelista"/>
        <w:numPr>
          <w:ilvl w:val="0"/>
          <w:numId w:val="19"/>
        </w:numPr>
        <w:tabs>
          <w:tab w:val="left" w:pos="142"/>
          <w:tab w:val="left" w:pos="284"/>
        </w:tabs>
        <w:spacing w:after="0" w:line="276" w:lineRule="auto"/>
        <w:ind w:left="360"/>
        <w:jc w:val="both"/>
        <w:rPr>
          <w:rFonts w:ascii="Verdana" w:eastAsia="Century Gothic" w:hAnsi="Verdana" w:cs="Century Gothic"/>
          <w:b/>
          <w:bCs/>
        </w:rPr>
      </w:pPr>
      <w:r w:rsidRPr="000D30A7">
        <w:rPr>
          <w:rFonts w:ascii="Verdana" w:eastAsia="Century Gothic" w:hAnsi="Verdana" w:cs="Century Gothic"/>
          <w:b/>
          <w:bCs/>
        </w:rPr>
        <w:t>Referencias normativas, jurisprudenciales y otras fuentes:</w:t>
      </w:r>
    </w:p>
    <w:p w14:paraId="36363B2D" w14:textId="77777777" w:rsidR="003C7806" w:rsidRPr="000D30A7" w:rsidRDefault="003C7806" w:rsidP="003C780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C7806" w:rsidRPr="000D30A7" w14:paraId="6683A0A2" w14:textId="77777777" w:rsidTr="000F35FC">
        <w:trPr>
          <w:trHeight w:val="870"/>
        </w:trPr>
        <w:tc>
          <w:tcPr>
            <w:tcW w:w="8647" w:type="dxa"/>
          </w:tcPr>
          <w:p w14:paraId="63DD641F" w14:textId="77777777" w:rsidR="00A553AD" w:rsidRPr="000D30A7" w:rsidRDefault="00A553AD" w:rsidP="002A1AAC">
            <w:pPr>
              <w:widowControl w:val="0"/>
              <w:numPr>
                <w:ilvl w:val="0"/>
                <w:numId w:val="18"/>
              </w:numPr>
              <w:autoSpaceDE w:val="0"/>
              <w:autoSpaceDN w:val="0"/>
              <w:spacing w:line="276" w:lineRule="auto"/>
              <w:jc w:val="both"/>
              <w:rPr>
                <w:rFonts w:ascii="Verdana" w:hAnsi="Verdana" w:cs="Arial"/>
                <w:lang w:val="es-ES"/>
              </w:rPr>
            </w:pPr>
            <w:r w:rsidRPr="000D30A7">
              <w:rPr>
                <w:rFonts w:ascii="Verdana" w:hAnsi="Verdana" w:cs="Arial"/>
                <w:lang w:val="es-ES"/>
              </w:rPr>
              <w:t xml:space="preserve">Ley 80 de 1993, artículo 25. </w:t>
            </w:r>
          </w:p>
          <w:p w14:paraId="3F56E396" w14:textId="77777777" w:rsidR="00A553AD" w:rsidRPr="000D30A7" w:rsidRDefault="00A553AD" w:rsidP="002A1AAC">
            <w:pPr>
              <w:widowControl w:val="0"/>
              <w:numPr>
                <w:ilvl w:val="0"/>
                <w:numId w:val="18"/>
              </w:numPr>
              <w:autoSpaceDE w:val="0"/>
              <w:autoSpaceDN w:val="0"/>
              <w:spacing w:line="276" w:lineRule="auto"/>
              <w:jc w:val="both"/>
              <w:rPr>
                <w:rFonts w:ascii="Verdana" w:hAnsi="Verdana" w:cs="Arial"/>
                <w:lang w:val="es-ES"/>
              </w:rPr>
            </w:pPr>
            <w:r w:rsidRPr="000D30A7">
              <w:rPr>
                <w:rFonts w:ascii="Verdana" w:hAnsi="Verdana" w:cs="Arial"/>
                <w:lang w:val="es-ES"/>
              </w:rPr>
              <w:t>Decreto 1082 de 2015, artículos 2.2.1.1.2.1.1. y 2.2.1.1.1.6.1.</w:t>
            </w:r>
          </w:p>
          <w:p w14:paraId="0365C1AB" w14:textId="77777777" w:rsidR="00A553AD" w:rsidRPr="000D30A7" w:rsidRDefault="00A553AD" w:rsidP="002A1AAC">
            <w:pPr>
              <w:widowControl w:val="0"/>
              <w:numPr>
                <w:ilvl w:val="0"/>
                <w:numId w:val="18"/>
              </w:numPr>
              <w:autoSpaceDE w:val="0"/>
              <w:autoSpaceDN w:val="0"/>
              <w:spacing w:line="276" w:lineRule="auto"/>
              <w:jc w:val="both"/>
              <w:rPr>
                <w:rFonts w:ascii="Verdana" w:hAnsi="Verdana" w:cs="Arial"/>
                <w:lang w:val="es-ES"/>
              </w:rPr>
            </w:pPr>
            <w:r w:rsidRPr="000D30A7">
              <w:rPr>
                <w:rFonts w:ascii="Verdana" w:hAnsi="Verdana" w:cs="Arial"/>
              </w:rPr>
              <w:t xml:space="preserve">Consejo de Estado. Sección Tercera. Subsección B. Sentencia del 31 de agosto de 2011. </w:t>
            </w:r>
            <w:proofErr w:type="spellStart"/>
            <w:r w:rsidRPr="000D30A7">
              <w:rPr>
                <w:rFonts w:ascii="Verdana" w:hAnsi="Verdana" w:cs="Arial"/>
              </w:rPr>
              <w:t>Exp</w:t>
            </w:r>
            <w:proofErr w:type="spellEnd"/>
            <w:r w:rsidRPr="000D30A7">
              <w:rPr>
                <w:rFonts w:ascii="Verdana" w:hAnsi="Verdana" w:cs="Arial"/>
              </w:rPr>
              <w:t>. 18.080.</w:t>
            </w:r>
          </w:p>
          <w:p w14:paraId="71C37E3B" w14:textId="554F89FA" w:rsidR="00A553AD" w:rsidRPr="000D30A7" w:rsidRDefault="00A553AD" w:rsidP="002A1AAC">
            <w:pPr>
              <w:widowControl w:val="0"/>
              <w:numPr>
                <w:ilvl w:val="0"/>
                <w:numId w:val="18"/>
              </w:numPr>
              <w:tabs>
                <w:tab w:val="left" w:pos="8419"/>
              </w:tabs>
              <w:autoSpaceDE w:val="0"/>
              <w:autoSpaceDN w:val="0"/>
              <w:spacing w:line="276" w:lineRule="auto"/>
              <w:jc w:val="both"/>
              <w:rPr>
                <w:rFonts w:ascii="Verdana" w:hAnsi="Verdana" w:cs="Arial"/>
                <w:lang w:val="es-ES"/>
              </w:rPr>
            </w:pPr>
            <w:r w:rsidRPr="000D30A7">
              <w:rPr>
                <w:rFonts w:ascii="Verdana" w:hAnsi="Verdana" w:cs="Arial"/>
                <w:lang w:val="es-ES"/>
              </w:rPr>
              <w:t xml:space="preserve">Colombia Compra Eficiente, Guía de Elaboración de Estudios de Sector. Disponible en: </w:t>
            </w:r>
            <w:hyperlink r:id="rId15" w:history="1">
              <w:r w:rsidR="002A1AAC" w:rsidRPr="000D30A7">
                <w:rPr>
                  <w:rStyle w:val="Hipervnculo"/>
                  <w:rFonts w:ascii="Verdana" w:hAnsi="Verdana" w:cs="Arial"/>
                  <w:lang w:val="es-ES"/>
                </w:rPr>
                <w:t>Guía para la Elaboración de Estudios del Sector</w:t>
              </w:r>
            </w:hyperlink>
            <w:r w:rsidRPr="000D30A7">
              <w:rPr>
                <w:rFonts w:ascii="Verdana" w:hAnsi="Verdana" w:cs="Arial"/>
                <w:lang w:val="es-ES"/>
              </w:rPr>
              <w:t xml:space="preserve"> </w:t>
            </w:r>
          </w:p>
          <w:p w14:paraId="79FC7E3B" w14:textId="73CE97B7" w:rsidR="003C7806" w:rsidRPr="000D30A7" w:rsidRDefault="00A553AD" w:rsidP="002A1AAC">
            <w:pPr>
              <w:pStyle w:val="Prrafodelista"/>
              <w:numPr>
                <w:ilvl w:val="0"/>
                <w:numId w:val="18"/>
              </w:numPr>
              <w:spacing w:line="276" w:lineRule="auto"/>
              <w:jc w:val="both"/>
              <w:rPr>
                <w:rFonts w:ascii="Verdana" w:hAnsi="Verdana" w:cs="Arial"/>
                <w:color w:val="000000"/>
              </w:rPr>
            </w:pPr>
            <w:r w:rsidRPr="000D30A7">
              <w:rPr>
                <w:rFonts w:ascii="Verdana" w:hAnsi="Verdana" w:cs="Arial"/>
              </w:rPr>
              <w:t>DEIK ACOSTAMADIEDO, Carolina, Guía de Contratación Estatal: Deber de planeación y modalidades de selección, Buenos Aires, 2015.</w:t>
            </w:r>
          </w:p>
        </w:tc>
      </w:tr>
    </w:tbl>
    <w:p w14:paraId="62B642C9" w14:textId="77777777" w:rsidR="003C7806" w:rsidRPr="000D30A7" w:rsidRDefault="003C7806" w:rsidP="003C7806">
      <w:pPr>
        <w:widowControl w:val="0"/>
        <w:autoSpaceDE w:val="0"/>
        <w:autoSpaceDN w:val="0"/>
        <w:spacing w:after="0" w:line="276" w:lineRule="auto"/>
        <w:jc w:val="both"/>
        <w:rPr>
          <w:rFonts w:ascii="Verdana" w:hAnsi="Verdana" w:cs="Arial"/>
        </w:rPr>
      </w:pPr>
    </w:p>
    <w:p w14:paraId="052D145B" w14:textId="77777777" w:rsidR="003C7806" w:rsidRPr="000D30A7" w:rsidRDefault="003C7806" w:rsidP="003C7806">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D30A7">
        <w:rPr>
          <w:rFonts w:ascii="Verdana" w:eastAsia="Century Gothic" w:hAnsi="Verdana" w:cs="Century Gothic"/>
          <w:b/>
          <w:bCs/>
        </w:rPr>
        <w:t>Doctrina de la Agencia Nacional de Contratación Pública:</w:t>
      </w:r>
    </w:p>
    <w:p w14:paraId="2D7299C9" w14:textId="77777777" w:rsidR="003C7806" w:rsidRPr="000D30A7" w:rsidRDefault="003C7806" w:rsidP="003C7806">
      <w:pPr>
        <w:widowControl w:val="0"/>
        <w:autoSpaceDE w:val="0"/>
        <w:autoSpaceDN w:val="0"/>
        <w:spacing w:after="0" w:line="276" w:lineRule="auto"/>
        <w:jc w:val="both"/>
        <w:rPr>
          <w:rFonts w:ascii="Verdana" w:hAnsi="Verdana" w:cs="Arial"/>
        </w:rPr>
      </w:pPr>
    </w:p>
    <w:p w14:paraId="330B729B" w14:textId="1B416C8B" w:rsidR="00A8596A" w:rsidRPr="000D30A7" w:rsidRDefault="00A8596A" w:rsidP="00A8596A">
      <w:pPr>
        <w:widowControl w:val="0"/>
        <w:autoSpaceDE w:val="0"/>
        <w:autoSpaceDN w:val="0"/>
        <w:spacing w:after="100" w:afterAutospacing="1" w:line="276" w:lineRule="auto"/>
        <w:jc w:val="both"/>
        <w:rPr>
          <w:rFonts w:ascii="Verdana" w:hAnsi="Verdana" w:cs="Arial"/>
          <w:color w:val="000000" w:themeColor="text1"/>
          <w:shd w:val="clear" w:color="auto" w:fill="FFFFFF"/>
          <w:lang w:val="es-ES"/>
        </w:rPr>
      </w:pPr>
      <w:r w:rsidRPr="000D30A7">
        <w:rPr>
          <w:rFonts w:ascii="Verdana" w:eastAsia="Calibri" w:hAnsi="Verdana" w:cs="Arial"/>
          <w:lang w:val="es-ES_tradnl" w:eastAsia="es-ES_tradnl"/>
        </w:rPr>
        <w:t xml:space="preserve">Sobre el deber de elaborar análisis del sector frente a procesos de contratación se pronunció esta Subdirección en los conceptos 2202013000000037 del 7 de enero de 2020, C-223 del 29 de abril de 2020 y C-148 de 2021. Igualmente, se reiteran los conceptos C-387 del 23 de junio de 2020, </w:t>
      </w:r>
      <w:r w:rsidRPr="000D30A7">
        <w:rPr>
          <w:rFonts w:ascii="Verdana" w:eastAsia="Calibri" w:hAnsi="Verdana" w:cs="Arial"/>
          <w:lang w:eastAsia="es-ES_tradnl"/>
        </w:rPr>
        <w:t xml:space="preserve">C-415 del 7 de julio </w:t>
      </w:r>
      <w:r w:rsidRPr="000D30A7">
        <w:rPr>
          <w:rFonts w:ascii="Verdana" w:eastAsia="Calibri" w:hAnsi="Verdana" w:cs="Arial"/>
          <w:lang w:val="es-ES_tradnl" w:eastAsia="es-ES_tradnl"/>
        </w:rPr>
        <w:t>de 2020</w:t>
      </w:r>
      <w:r w:rsidRPr="000D30A7">
        <w:rPr>
          <w:rFonts w:ascii="Verdana" w:eastAsia="Calibri" w:hAnsi="Verdana" w:cs="Arial"/>
          <w:lang w:eastAsia="es-ES_tradnl"/>
        </w:rPr>
        <w:t xml:space="preserve">, C-443 del 7 de julio de 2020, </w:t>
      </w:r>
      <w:r w:rsidRPr="000D30A7">
        <w:rPr>
          <w:rFonts w:ascii="Verdana" w:eastAsia="Times New Roman" w:hAnsi="Verdana" w:cs="Arial"/>
          <w:lang w:eastAsia="es-ES_tradnl"/>
        </w:rPr>
        <w:t>C-387 del 23 de junio de 2020</w:t>
      </w:r>
      <w:r w:rsidRPr="000D30A7">
        <w:rPr>
          <w:rFonts w:ascii="Verdana" w:eastAsia="Calibri" w:hAnsi="Verdana" w:cs="Arial"/>
          <w:lang w:val="es-ES_tradnl" w:eastAsia="es-ES_tradnl"/>
        </w:rPr>
        <w:t xml:space="preserve">, C-223 del 29 de abril de 2020, C-671 de 2020 de 23 de noviembre de 2020, C-215 del 12 de mayo de 2021, C-742 del 27 de diciembre de 2021, </w:t>
      </w:r>
      <w:r w:rsidRPr="000D30A7">
        <w:rPr>
          <w:rFonts w:ascii="Verdana" w:eastAsia="Calibri" w:hAnsi="Verdana" w:cs="Arial"/>
          <w:lang w:val="es-ES" w:eastAsia="es-ES_tradnl"/>
        </w:rPr>
        <w:t xml:space="preserve">C-519 del 13 de septiembre de 2022, C-716 del 15 de noviembre de 2022, C-856 del 13 de </w:t>
      </w:r>
      <w:r w:rsidRPr="000D30A7">
        <w:rPr>
          <w:rFonts w:ascii="Verdana" w:eastAsia="Calibri" w:hAnsi="Verdana" w:cs="Arial"/>
          <w:lang w:val="es-ES" w:eastAsia="es-ES_tradnl"/>
        </w:rPr>
        <w:lastRenderedPageBreak/>
        <w:t>diciembre de 2022, C-235 del 5 de julio de 2023, C-258 del 12 de agosto de 2024</w:t>
      </w:r>
      <w:r w:rsidR="005B08C7" w:rsidRPr="000D30A7">
        <w:rPr>
          <w:rFonts w:ascii="Verdana" w:eastAsia="Calibri" w:hAnsi="Verdana" w:cs="Arial"/>
          <w:lang w:val="es-ES" w:eastAsia="es-ES_tradnl"/>
        </w:rPr>
        <w:t xml:space="preserve"> y C-1686 del 08 de diciembre del 2025</w:t>
      </w:r>
      <w:r w:rsidRPr="000D30A7">
        <w:rPr>
          <w:rFonts w:ascii="Verdana" w:eastAsia="Calibri" w:hAnsi="Verdana" w:cs="Arial"/>
          <w:lang w:val="es-ES" w:eastAsia="es-ES_tradnl"/>
        </w:rPr>
        <w:t>.</w:t>
      </w:r>
      <w:r w:rsidR="005B08C7" w:rsidRPr="000D30A7">
        <w:rPr>
          <w:rFonts w:ascii="Verdana" w:eastAsia="Calibri" w:hAnsi="Verdana" w:cs="Arial"/>
          <w:lang w:val="es-ES" w:eastAsia="es-ES_tradnl"/>
        </w:rPr>
        <w:t xml:space="preserve"> </w:t>
      </w:r>
      <w:r w:rsidRPr="000D30A7">
        <w:rPr>
          <w:rFonts w:ascii="Verdana" w:eastAsia="Calibri" w:hAnsi="Verdana" w:cs="Arial"/>
          <w:lang w:val="es-ES" w:eastAsia="es-ES_tradnl"/>
        </w:rPr>
        <w:t>Estos</w:t>
      </w:r>
      <w:r w:rsidRPr="000D30A7">
        <w:rPr>
          <w:rFonts w:ascii="Verdana" w:hAnsi="Verdana"/>
        </w:rPr>
        <w:t xml:space="preserve"> y otros conceptos se encuentran disponibles para consulta en el Sistema de relatoría de la Agencia, al cual se puede acceder a través del siguiente enlace:</w:t>
      </w:r>
      <w:r w:rsidRPr="000D30A7">
        <w:rPr>
          <w:rFonts w:ascii="Verdana" w:hAnsi="Verdana" w:cs="Arial"/>
          <w:shd w:val="clear" w:color="auto" w:fill="FFFFFF"/>
          <w:lang w:val="es-ES"/>
        </w:rPr>
        <w:t xml:space="preserve"> </w:t>
      </w:r>
      <w:hyperlink r:id="rId16" w:history="1">
        <w:r w:rsidRPr="000D30A7">
          <w:rPr>
            <w:rFonts w:ascii="Verdana" w:hAnsi="Verdana" w:cs="Arial"/>
            <w:color w:val="0563C1" w:themeColor="hyperlink"/>
            <w:u w:val="single"/>
            <w:shd w:val="clear" w:color="auto" w:fill="FFFFFF"/>
            <w:lang w:val="es-ES"/>
          </w:rPr>
          <w:t>https://relatoria.colombiacompra.gov.co/busqueda/conceptos</w:t>
        </w:r>
      </w:hyperlink>
    </w:p>
    <w:p w14:paraId="6C15263F" w14:textId="60FBB2E9" w:rsidR="003C7806" w:rsidRPr="000D30A7" w:rsidRDefault="003C7806" w:rsidP="002B4E86">
      <w:pPr>
        <w:widowControl w:val="0"/>
        <w:autoSpaceDE w:val="0"/>
        <w:autoSpaceDN w:val="0"/>
        <w:spacing w:after="240" w:line="276" w:lineRule="auto"/>
        <w:jc w:val="both"/>
        <w:rPr>
          <w:rFonts w:ascii="Verdana" w:hAnsi="Verdana" w:cs="Arial"/>
          <w:color w:val="000000" w:themeColor="text1"/>
          <w:shd w:val="clear" w:color="auto" w:fill="FFFFFF"/>
          <w:lang w:val="es-ES"/>
        </w:rPr>
      </w:pPr>
      <w:r w:rsidRPr="000D30A7">
        <w:rPr>
          <w:rFonts w:ascii="Verdana" w:hAnsi="Verdana" w:cs="Arial"/>
          <w:shd w:val="clear" w:color="auto" w:fill="FFFFFF"/>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D30A7">
        <w:rPr>
          <w:rFonts w:ascii="Verdana" w:hAnsi="Verdana" w:cs="Arial"/>
          <w:b/>
          <w:bCs/>
          <w:shd w:val="clear" w:color="auto" w:fill="FFFFFF"/>
        </w:rPr>
        <w:t>Guía para la Exigencia y Constitución de Garantías en los Procesos de Contratación</w:t>
      </w:r>
      <w:r w:rsidRPr="000D30A7">
        <w:rPr>
          <w:rFonts w:ascii="Verdana" w:hAnsi="Verdana" w:cs="Arial"/>
          <w:shd w:val="clear" w:color="auto" w:fill="FFFFFF"/>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7" w:tgtFrame="_blank" w:tooltip="Dirección URL original: https://www.colombiacompra.gov.co/archivos/manual/guia-de-garantias-en-procesos-de-contratacion. Haga clic o pulse si confía en este vínculo." w:history="1">
        <w:r w:rsidRPr="000D30A7">
          <w:rPr>
            <w:rStyle w:val="Hipervnculo"/>
            <w:rFonts w:ascii="Verdana" w:hAnsi="Verdana" w:cs="Arial"/>
            <w:shd w:val="clear" w:color="auto" w:fill="FFFFFF"/>
          </w:rPr>
          <w:t>https://www.colombiacompra.gov.co/archivos/manual/guia-de-garantias-en-procesos-de-contratacion</w:t>
        </w:r>
      </w:hyperlink>
    </w:p>
    <w:p w14:paraId="02692DDC" w14:textId="77777777" w:rsidR="003C7806" w:rsidRPr="000D30A7" w:rsidRDefault="003C7806" w:rsidP="003C7806">
      <w:pPr>
        <w:spacing w:after="240" w:line="276" w:lineRule="auto"/>
        <w:jc w:val="both"/>
        <w:rPr>
          <w:rFonts w:ascii="Verdana" w:hAnsi="Verdana" w:cs="Arial"/>
          <w:color w:val="FF0000"/>
          <w:shd w:val="clear" w:color="auto" w:fill="FFFFFF"/>
        </w:rPr>
      </w:pPr>
      <w:r w:rsidRPr="000D30A7">
        <w:rPr>
          <w:rFonts w:ascii="Verdana" w:hAnsi="Verdana" w:cs="Arial"/>
          <w:shd w:val="clear" w:color="auto" w:fill="FFFFFF"/>
        </w:rPr>
        <w:t>De otro lado, te contamos que el Decreto 287 del 19 de marzo de 2026 sustituyó los artículos 2.2.1.2.4.2.6., 2.2.1.2.4.2.7. y 2.2.1.2.4.2.8. del Decreto 1082 de 2015 y estructuró el </w:t>
      </w:r>
      <w:r w:rsidRPr="000D30A7">
        <w:rPr>
          <w:rFonts w:ascii="Verdana" w:hAnsi="Verdana" w:cs="Arial"/>
          <w:b/>
          <w:bCs/>
          <w:shd w:val="clear" w:color="auto" w:fill="FFFFFF"/>
        </w:rPr>
        <w:t>Sistema Integral de Preferencias en favor de las personas con discapacidad</w:t>
      </w:r>
      <w:r w:rsidRPr="000D30A7">
        <w:rPr>
          <w:rFonts w:ascii="Verdana" w:hAnsi="Verdana" w:cs="Arial"/>
          <w:shd w:val="clear" w:color="auto" w:fill="FFFFFF"/>
        </w:rPr>
        <w:t>, en cumplimiento del artículo 13 de la Ley Estatutaria 1618 de 2013. Para orientar su aplicación, esta Agencia expidió la </w:t>
      </w:r>
      <w:r w:rsidRPr="000D30A7">
        <w:rPr>
          <w:rFonts w:ascii="Verdana" w:hAnsi="Verdana" w:cs="Arial"/>
          <w:b/>
          <w:bCs/>
          <w:shd w:val="clear" w:color="auto" w:fill="FFFFFF"/>
        </w:rPr>
        <w:t>Circular Externa 003 del 12 de mayo de 2026, </w:t>
      </w:r>
      <w:r w:rsidRPr="000D30A7">
        <w:rPr>
          <w:rFonts w:ascii="Verdana" w:hAnsi="Verdana" w:cs="Arial"/>
          <w:shd w:val="clear" w:color="auto" w:fill="FFFFFF"/>
        </w:rPr>
        <w:t>en la que precisa quiénes son los beneficiarios, las cinco medidas que integran el sistema y su obligatoriedad según la modalidad de selección, y el régimen de transición aplicable a los procesos en curso. Consúltala aquí: </w:t>
      </w:r>
      <w:hyperlink r:id="rId18" w:tgtFrame="_blank" w:tooltip="Dirección URL original: https://www.colombiacompra.gov.co/archivos/circular/circular-externa-003-de-2026. Haga clic o pulse si confía en este vínculo." w:history="1">
        <w:r w:rsidRPr="000D30A7">
          <w:rPr>
            <w:rStyle w:val="Hipervnculo"/>
            <w:rFonts w:ascii="Verdana" w:hAnsi="Verdana" w:cs="Arial"/>
            <w:shd w:val="clear" w:color="auto" w:fill="FFFFFF"/>
          </w:rPr>
          <w:t>https://www.colombiacompra.gov.co/archivos/circular/circular-externa-003-de-2026</w:t>
        </w:r>
      </w:hyperlink>
    </w:p>
    <w:p w14:paraId="181104DA" w14:textId="77777777" w:rsidR="003C7806" w:rsidRPr="000D30A7" w:rsidRDefault="003C7806" w:rsidP="003C7806">
      <w:pPr>
        <w:spacing w:after="240" w:line="276" w:lineRule="auto"/>
        <w:jc w:val="both"/>
        <w:rPr>
          <w:rFonts w:ascii="Verdana" w:hAnsi="Verdana" w:cs="Arial"/>
          <w:color w:val="FF0000"/>
          <w:shd w:val="clear" w:color="auto" w:fill="FFFFFF"/>
        </w:rPr>
      </w:pPr>
      <w:r w:rsidRPr="000D30A7">
        <w:rPr>
          <w:rFonts w:ascii="Verdana" w:hAnsi="Verdana" w:cs="Arial"/>
          <w:shd w:val="clear" w:color="auto" w:fill="FFFFFF"/>
        </w:rPr>
        <w:t>Recuerda también que la</w:t>
      </w:r>
      <w:r w:rsidRPr="000D30A7">
        <w:rPr>
          <w:rFonts w:ascii="Verdana" w:hAnsi="Verdana" w:cs="Arial"/>
          <w:b/>
          <w:bCs/>
          <w:shd w:val="clear" w:color="auto" w:fill="FFFFFF"/>
        </w:rPr>
        <w:t> información sobre sanciones e inhabilidades </w:t>
      </w:r>
      <w:r w:rsidRPr="000D30A7">
        <w:rPr>
          <w:rFonts w:ascii="Verdana" w:hAnsi="Verdana" w:cs="Arial"/>
          <w:shd w:val="clear" w:color="auto" w:fill="FFFFFF"/>
        </w:rPr>
        <w:t>solo cumple su función preventiva si llega oportunamente a los registros públicos. Sobre este deber, esta Agencia expidió la </w:t>
      </w:r>
      <w:r w:rsidRPr="000D30A7">
        <w:rPr>
          <w:rFonts w:ascii="Verdana" w:hAnsi="Verdana" w:cs="Arial"/>
          <w:b/>
          <w:bCs/>
          <w:shd w:val="clear" w:color="auto" w:fill="FFFFFF"/>
        </w:rPr>
        <w:t>Circular Externa 002 del 5 de mayo de 2026,</w:t>
      </w:r>
      <w:r w:rsidRPr="000D30A7">
        <w:rPr>
          <w:rFonts w:ascii="Verdana" w:hAnsi="Verdana" w:cs="Arial"/>
          <w:shd w:val="clear" w:color="auto" w:fill="FFFFFF"/>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w:t>
      </w:r>
      <w:r w:rsidRPr="000D30A7">
        <w:rPr>
          <w:rFonts w:ascii="Verdana" w:hAnsi="Verdana" w:cs="Arial"/>
          <w:shd w:val="clear" w:color="auto" w:fill="FFFFFF"/>
        </w:rPr>
        <w:lastRenderedPageBreak/>
        <w:t>responsables, los portales dispuestos para el efecto y las consecuencias disciplinarias de omitir este deber. Consúltala aquí: </w:t>
      </w:r>
      <w:hyperlink r:id="rId19" w:tgtFrame="_blank" w:tooltip="Dirección URL original: https://www.colombiacompra.gov.co/archivos/circular/circular-externa-002-de-2026. Haga clic o pulse si confía en este vínculo." w:history="1">
        <w:r w:rsidRPr="000D30A7">
          <w:rPr>
            <w:rStyle w:val="Hipervnculo"/>
            <w:rFonts w:ascii="Verdana" w:hAnsi="Verdana" w:cs="Arial"/>
            <w:shd w:val="clear" w:color="auto" w:fill="FFFFFF"/>
          </w:rPr>
          <w:t>https://www.colombiacompra.gov.co/archivos/circular/circular-externa-002-de-2026</w:t>
        </w:r>
      </w:hyperlink>
    </w:p>
    <w:p w14:paraId="5FF3CDF4" w14:textId="77777777" w:rsidR="003C7806" w:rsidRPr="000D30A7" w:rsidRDefault="003C7806" w:rsidP="003C7806">
      <w:pPr>
        <w:spacing w:after="0" w:line="276" w:lineRule="auto"/>
        <w:jc w:val="both"/>
        <w:rPr>
          <w:rFonts w:ascii="Verdana" w:hAnsi="Verdana" w:cs="Arial"/>
          <w:shd w:val="clear" w:color="auto" w:fill="FFFFFF"/>
        </w:rPr>
      </w:pPr>
      <w:r w:rsidRPr="000D30A7">
        <w:rPr>
          <w:rFonts w:ascii="Verdana" w:hAnsi="Verdana" w:cs="Arial"/>
          <w:shd w:val="clear" w:color="auto" w:fill="FFFFFF"/>
        </w:rPr>
        <w:t>Finalmente, si quieres seguir de cerca la actividad de la Agencia, la tercera edición de 2026 del</w:t>
      </w:r>
      <w:r w:rsidRPr="000D30A7">
        <w:rPr>
          <w:rFonts w:ascii="Verdana" w:hAnsi="Verdana" w:cs="Arial"/>
          <w:b/>
          <w:bCs/>
          <w:shd w:val="clear" w:color="auto" w:fill="FFFFFF"/>
        </w:rPr>
        <w:t> Radar de la Compra Pública</w:t>
      </w:r>
      <w:r w:rsidRPr="000D30A7">
        <w:rPr>
          <w:rFonts w:ascii="Verdana" w:hAnsi="Verdana" w:cs="Arial"/>
          <w:shd w:val="clear" w:color="auto" w:fill="FFFFFF"/>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20" w:tgtFrame="_blank" w:tooltip="Dirección URL original: https://www.colombiacompra.gov.co/archivos/boletin/boletin-edicion-n-3-de-2026-radar-de-la-compra-publica. Haga clic o pulse si confía en este vínculo." w:history="1">
        <w:r w:rsidRPr="000D30A7">
          <w:rPr>
            <w:rStyle w:val="Hipervnculo"/>
            <w:rFonts w:ascii="Verdana" w:hAnsi="Verdana" w:cs="Arial"/>
            <w:shd w:val="clear" w:color="auto" w:fill="FFFFFF"/>
          </w:rPr>
          <w:t>https://www.colombiacompra.gov.co/archivos/boletin/boletin-edicion-n-3-de-2026-radar-de-la-compra-publica</w:t>
        </w:r>
      </w:hyperlink>
      <w:r w:rsidRPr="000D30A7">
        <w:rPr>
          <w:rFonts w:ascii="Verdana" w:hAnsi="Verdana" w:cs="Arial"/>
          <w:shd w:val="clear" w:color="auto" w:fill="FFFFFF"/>
        </w:rPr>
        <w:t>"</w:t>
      </w:r>
    </w:p>
    <w:p w14:paraId="2730E14F" w14:textId="77777777" w:rsidR="003C7806" w:rsidRPr="000D30A7" w:rsidRDefault="003C7806" w:rsidP="003C7806">
      <w:pPr>
        <w:spacing w:after="0" w:line="276" w:lineRule="auto"/>
        <w:jc w:val="both"/>
        <w:rPr>
          <w:rFonts w:ascii="Verdana" w:hAnsi="Verdana" w:cs="Arial"/>
          <w:shd w:val="clear" w:color="auto" w:fill="FFFFFF"/>
        </w:rPr>
      </w:pPr>
    </w:p>
    <w:p w14:paraId="19405B1C" w14:textId="77777777" w:rsidR="003C7806" w:rsidRPr="000D30A7" w:rsidRDefault="003C7806" w:rsidP="003C7806">
      <w:pPr>
        <w:spacing w:after="0" w:line="276" w:lineRule="auto"/>
        <w:jc w:val="both"/>
        <w:rPr>
          <w:rFonts w:ascii="Verdana" w:hAnsi="Verdana"/>
        </w:rPr>
      </w:pPr>
      <w:r w:rsidRPr="000D30A7">
        <w:rPr>
          <w:rFonts w:ascii="Verdana" w:hAnsi="Verdana"/>
        </w:rPr>
        <w:t xml:space="preserve">Por último, lo invitamos a seguirnos en las redes sociales en las cuales se difunde información institucional: </w:t>
      </w:r>
    </w:p>
    <w:p w14:paraId="54F3F89E" w14:textId="77777777" w:rsidR="003C7806" w:rsidRPr="000D30A7" w:rsidRDefault="003C7806" w:rsidP="003C7806">
      <w:pPr>
        <w:spacing w:after="0" w:line="276" w:lineRule="auto"/>
        <w:jc w:val="both"/>
        <w:rPr>
          <w:rFonts w:ascii="Verdana" w:hAnsi="Verdana"/>
        </w:rPr>
      </w:pPr>
    </w:p>
    <w:p w14:paraId="2E95AF20" w14:textId="77777777" w:rsidR="003C7806" w:rsidRPr="000D30A7" w:rsidRDefault="003C7806" w:rsidP="003C7806">
      <w:pPr>
        <w:spacing w:after="0" w:line="276" w:lineRule="auto"/>
        <w:jc w:val="both"/>
        <w:rPr>
          <w:rFonts w:ascii="Verdana" w:hAnsi="Verdana"/>
        </w:rPr>
      </w:pPr>
      <w:r w:rsidRPr="000D30A7">
        <w:rPr>
          <w:rFonts w:ascii="Verdana" w:hAnsi="Verdana"/>
        </w:rPr>
        <w:t xml:space="preserve">Twitter: </w:t>
      </w:r>
      <w:r w:rsidRPr="000D30A7">
        <w:rPr>
          <w:rStyle w:val="Hipervnculo"/>
          <w:rFonts w:ascii="Verdana" w:hAnsi="Verdana"/>
          <w:color w:val="4472C4" w:themeColor="accent1"/>
        </w:rPr>
        <w:t>@colombiacompra</w:t>
      </w:r>
      <w:r w:rsidRPr="000D30A7">
        <w:rPr>
          <w:rFonts w:ascii="Verdana" w:hAnsi="Verdana"/>
          <w:color w:val="4472C4" w:themeColor="accent1"/>
        </w:rPr>
        <w:t xml:space="preserve"> </w:t>
      </w:r>
    </w:p>
    <w:p w14:paraId="3F6C1D6A" w14:textId="77777777" w:rsidR="003C7806" w:rsidRPr="000D30A7" w:rsidRDefault="003C7806" w:rsidP="003C7806">
      <w:pPr>
        <w:spacing w:after="0" w:line="276" w:lineRule="auto"/>
        <w:jc w:val="both"/>
        <w:rPr>
          <w:rFonts w:ascii="Verdana" w:hAnsi="Verdana"/>
        </w:rPr>
      </w:pPr>
      <w:r w:rsidRPr="000D30A7">
        <w:rPr>
          <w:rFonts w:ascii="Verdana" w:hAnsi="Verdana"/>
        </w:rPr>
        <w:t xml:space="preserve">Facebook: </w:t>
      </w:r>
      <w:proofErr w:type="spellStart"/>
      <w:r w:rsidRPr="000D30A7">
        <w:rPr>
          <w:rStyle w:val="Hipervnculo"/>
          <w:rFonts w:ascii="Verdana" w:hAnsi="Verdana"/>
          <w:color w:val="4472C4" w:themeColor="accent1"/>
        </w:rPr>
        <w:t>ColombiaCompraEficiente</w:t>
      </w:r>
      <w:proofErr w:type="spellEnd"/>
    </w:p>
    <w:p w14:paraId="31B14D97" w14:textId="77777777" w:rsidR="003C7806" w:rsidRPr="000D30A7" w:rsidRDefault="003C7806" w:rsidP="003C7806">
      <w:pPr>
        <w:spacing w:after="0" w:line="276" w:lineRule="auto"/>
        <w:jc w:val="both"/>
        <w:rPr>
          <w:rFonts w:ascii="Verdana" w:hAnsi="Verdana"/>
        </w:rPr>
      </w:pPr>
      <w:r w:rsidRPr="000D30A7">
        <w:rPr>
          <w:rFonts w:ascii="Verdana" w:hAnsi="Verdana"/>
        </w:rPr>
        <w:t xml:space="preserve">LinkedIn: </w:t>
      </w:r>
      <w:r w:rsidRPr="000D30A7">
        <w:rPr>
          <w:rStyle w:val="Hipervnculo"/>
          <w:rFonts w:ascii="Verdana" w:hAnsi="Verdana"/>
          <w:color w:val="4472C4" w:themeColor="accent1"/>
        </w:rPr>
        <w:t>Agencia Nacional de Contratación Pública - Colombia Compra Eficiente</w:t>
      </w:r>
      <w:r w:rsidRPr="000D30A7">
        <w:rPr>
          <w:rFonts w:ascii="Verdana" w:hAnsi="Verdana"/>
          <w:color w:val="4472C4" w:themeColor="accent1"/>
        </w:rPr>
        <w:t xml:space="preserve"> </w:t>
      </w:r>
      <w:r w:rsidRPr="000D30A7">
        <w:rPr>
          <w:rFonts w:ascii="Verdana" w:hAnsi="Verdana"/>
        </w:rPr>
        <w:t xml:space="preserve">Instagram: </w:t>
      </w:r>
      <w:r w:rsidRPr="000D30A7">
        <w:rPr>
          <w:rStyle w:val="Hipervnculo"/>
          <w:rFonts w:ascii="Verdana" w:hAnsi="Verdana"/>
          <w:color w:val="4472C4" w:themeColor="accent1"/>
        </w:rPr>
        <w:t>@colombiacompraeficiente_cce</w:t>
      </w:r>
    </w:p>
    <w:p w14:paraId="79FA6AC6" w14:textId="77777777" w:rsidR="003C7806" w:rsidRPr="000D30A7" w:rsidRDefault="003C7806" w:rsidP="003C7806">
      <w:pPr>
        <w:widowControl w:val="0"/>
        <w:autoSpaceDE w:val="0"/>
        <w:autoSpaceDN w:val="0"/>
        <w:spacing w:after="0" w:line="276" w:lineRule="auto"/>
        <w:jc w:val="both"/>
        <w:rPr>
          <w:rFonts w:ascii="Verdana" w:hAnsi="Verdana" w:cs="Arial"/>
        </w:rPr>
      </w:pPr>
    </w:p>
    <w:p w14:paraId="16DF34BB" w14:textId="77777777" w:rsidR="003C7806" w:rsidRPr="000D30A7" w:rsidRDefault="003C7806" w:rsidP="003C7806">
      <w:pPr>
        <w:widowControl w:val="0"/>
        <w:autoSpaceDE w:val="0"/>
        <w:autoSpaceDN w:val="0"/>
        <w:spacing w:after="0" w:line="276" w:lineRule="auto"/>
        <w:jc w:val="both"/>
        <w:rPr>
          <w:rFonts w:ascii="Verdana" w:hAnsi="Verdana" w:cs="Arial"/>
          <w:lang w:val="es-ES_tradnl"/>
        </w:rPr>
      </w:pPr>
      <w:r w:rsidRPr="000D30A7">
        <w:rPr>
          <w:rFonts w:ascii="Verdana" w:hAnsi="Verdana" w:cs="Arial"/>
        </w:rPr>
        <w:t xml:space="preserve">Este concepto tiene el alcance previsto en el artículo 28 del Código de Procedimiento Administrativo y de lo Contencioso Administrativo </w:t>
      </w:r>
      <w:r w:rsidRPr="000D30A7">
        <w:rPr>
          <w:rFonts w:ascii="Verdana" w:hAnsi="Verdana" w:cs="Arial"/>
          <w:lang w:val="es-ES_tradnl"/>
        </w:rPr>
        <w:t>y las expresiones aquí utilizadas con mayúscula inicial deben ser entendidas con el significado que les otorga el artículo 2.2.1.1.1.3.1. del Decreto 1082 de 2015.</w:t>
      </w:r>
    </w:p>
    <w:p w14:paraId="0BF694B9" w14:textId="77777777" w:rsidR="003C7806" w:rsidRPr="000D30A7" w:rsidRDefault="003C7806" w:rsidP="003C7806">
      <w:pPr>
        <w:widowControl w:val="0"/>
        <w:autoSpaceDE w:val="0"/>
        <w:autoSpaceDN w:val="0"/>
        <w:spacing w:after="0" w:line="276" w:lineRule="auto"/>
        <w:jc w:val="both"/>
        <w:rPr>
          <w:rFonts w:ascii="Verdana" w:hAnsi="Verdana" w:cs="Arial"/>
        </w:rPr>
      </w:pPr>
    </w:p>
    <w:p w14:paraId="0DB425D2" w14:textId="77777777" w:rsidR="003C7806" w:rsidRPr="000D30A7" w:rsidRDefault="003C7806" w:rsidP="003C7806">
      <w:pPr>
        <w:spacing w:after="0" w:line="276" w:lineRule="auto"/>
        <w:jc w:val="both"/>
        <w:rPr>
          <w:rFonts w:ascii="Verdana" w:hAnsi="Verdana" w:cs="Arial"/>
          <w:lang w:eastAsia="es-CO"/>
        </w:rPr>
      </w:pPr>
      <w:r w:rsidRPr="000D30A7">
        <w:rPr>
          <w:rFonts w:ascii="Verdana" w:eastAsia="Times New Roman" w:hAnsi="Verdana" w:cs="Arial"/>
          <w:lang w:eastAsia="es-CO"/>
        </w:rPr>
        <w:t>Atentamente,</w:t>
      </w:r>
      <w:r w:rsidRPr="000D30A7">
        <w:rPr>
          <w:rFonts w:ascii="Verdana" w:hAnsi="Verdana" w:cs="Arial"/>
          <w:lang w:eastAsia="es-CO"/>
        </w:rPr>
        <w:t xml:space="preserve"> </w:t>
      </w:r>
    </w:p>
    <w:p w14:paraId="531BADFF" w14:textId="3FDF35D8" w:rsidR="003C7806" w:rsidRPr="000D30A7" w:rsidRDefault="008D3BFA" w:rsidP="003C7806">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71216D9E" wp14:editId="2A77318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1"/>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C7806" w:rsidRPr="000D30A7" w14:paraId="64F3A595" w14:textId="77777777" w:rsidTr="000F35FC">
        <w:trPr>
          <w:trHeight w:val="315"/>
        </w:trPr>
        <w:tc>
          <w:tcPr>
            <w:tcW w:w="893" w:type="dxa"/>
            <w:vAlign w:val="center"/>
            <w:hideMark/>
          </w:tcPr>
          <w:p w14:paraId="67EEFF21" w14:textId="77777777" w:rsidR="003C7806" w:rsidRPr="000D30A7" w:rsidRDefault="003C7806" w:rsidP="000F35FC">
            <w:pPr>
              <w:contextualSpacing/>
              <w:rPr>
                <w:rFonts w:ascii="Verdana" w:hAnsi="Verdana" w:cs="Arial"/>
                <w:sz w:val="16"/>
                <w:szCs w:val="16"/>
                <w:lang w:val="es-ES" w:eastAsia="es-ES"/>
              </w:rPr>
            </w:pPr>
            <w:r w:rsidRPr="000D30A7">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56BE799E" w14:textId="77777777" w:rsidR="003C7806" w:rsidRPr="000D30A7" w:rsidRDefault="003C7806" w:rsidP="000F35FC">
            <w:pPr>
              <w:contextualSpacing/>
              <w:rPr>
                <w:rFonts w:ascii="Verdana" w:eastAsia="Arial" w:hAnsi="Verdana" w:cs="Arial"/>
                <w:sz w:val="16"/>
                <w:szCs w:val="16"/>
              </w:rPr>
            </w:pPr>
            <w:r w:rsidRPr="000D30A7">
              <w:rPr>
                <w:rStyle w:val="normaltextrun"/>
                <w:rFonts w:ascii="Verdana" w:hAnsi="Verdana"/>
                <w:sz w:val="16"/>
                <w:szCs w:val="16"/>
              </w:rPr>
              <w:t>Ana María Ortiz Ballesteros</w:t>
            </w:r>
          </w:p>
          <w:p w14:paraId="644C7A10" w14:textId="77777777" w:rsidR="003C7806" w:rsidRPr="000D30A7" w:rsidRDefault="003C7806" w:rsidP="000F35FC">
            <w:pPr>
              <w:contextualSpacing/>
              <w:rPr>
                <w:rFonts w:ascii="Verdana" w:eastAsia="Arial" w:hAnsi="Verdana" w:cs="Arial"/>
                <w:sz w:val="16"/>
                <w:szCs w:val="16"/>
              </w:rPr>
            </w:pPr>
            <w:r w:rsidRPr="000D30A7">
              <w:rPr>
                <w:rStyle w:val="normaltextrun"/>
                <w:rFonts w:ascii="Verdana" w:eastAsia="Arial" w:hAnsi="Verdana" w:cs="Arial"/>
                <w:sz w:val="16"/>
                <w:szCs w:val="16"/>
              </w:rPr>
              <w:t>C</w:t>
            </w:r>
            <w:r w:rsidRPr="000D30A7">
              <w:rPr>
                <w:rStyle w:val="normaltextrun"/>
                <w:rFonts w:ascii="Verdana" w:eastAsia="Arial" w:hAnsi="Verdana"/>
                <w:sz w:val="16"/>
                <w:szCs w:val="16"/>
              </w:rPr>
              <w:t>ontratista</w:t>
            </w:r>
            <w:r w:rsidRPr="000D30A7">
              <w:rPr>
                <w:rStyle w:val="normaltextrun"/>
                <w:rFonts w:ascii="Verdana" w:eastAsia="Arial" w:hAnsi="Verdana" w:cs="Arial"/>
                <w:sz w:val="16"/>
                <w:szCs w:val="16"/>
              </w:rPr>
              <w:t xml:space="preserve"> de la Subdirección de Gestión Contractual</w:t>
            </w:r>
          </w:p>
        </w:tc>
      </w:tr>
      <w:tr w:rsidR="003C7806" w:rsidRPr="000D30A7" w14:paraId="1E4B1123" w14:textId="77777777" w:rsidTr="000F35FC">
        <w:trPr>
          <w:trHeight w:val="330"/>
        </w:trPr>
        <w:tc>
          <w:tcPr>
            <w:tcW w:w="893" w:type="dxa"/>
            <w:vAlign w:val="center"/>
            <w:hideMark/>
          </w:tcPr>
          <w:p w14:paraId="722422F0" w14:textId="77777777" w:rsidR="003C7806" w:rsidRPr="000D30A7" w:rsidRDefault="003C7806" w:rsidP="000F35FC">
            <w:pPr>
              <w:contextualSpacing/>
              <w:rPr>
                <w:rFonts w:ascii="Verdana" w:hAnsi="Verdana" w:cs="Arial"/>
                <w:sz w:val="16"/>
                <w:szCs w:val="16"/>
                <w:lang w:val="es-ES" w:eastAsia="es-ES"/>
              </w:rPr>
            </w:pPr>
            <w:r w:rsidRPr="000D30A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F2D770A" w14:textId="2C120F02" w:rsidR="005F3A85" w:rsidRPr="000D30A7" w:rsidRDefault="005F3A85" w:rsidP="005F3A85">
            <w:pPr>
              <w:pStyle w:val="paragraph"/>
              <w:spacing w:after="0"/>
              <w:contextualSpacing/>
              <w:textAlignment w:val="baseline"/>
              <w:rPr>
                <w:rFonts w:ascii="Verdana" w:hAnsi="Verdana" w:cs="Arial"/>
                <w:sz w:val="16"/>
                <w:szCs w:val="16"/>
              </w:rPr>
            </w:pPr>
            <w:r w:rsidRPr="000D30A7">
              <w:rPr>
                <w:rFonts w:ascii="Verdana" w:hAnsi="Verdana" w:cs="Arial"/>
                <w:sz w:val="16"/>
                <w:szCs w:val="16"/>
              </w:rPr>
              <w:t>Diana Lucia Saavedra Castañeda</w:t>
            </w:r>
          </w:p>
          <w:p w14:paraId="66A9E1DF" w14:textId="77777777" w:rsidR="003C7806" w:rsidRPr="000D30A7" w:rsidRDefault="003C7806" w:rsidP="005F3A85">
            <w:pPr>
              <w:pStyle w:val="paragraph"/>
              <w:contextualSpacing/>
              <w:rPr>
                <w:rFonts w:ascii="Verdana" w:hAnsi="Verdana" w:cs="Arial"/>
                <w:sz w:val="16"/>
                <w:szCs w:val="16"/>
              </w:rPr>
            </w:pPr>
            <w:r w:rsidRPr="000D30A7">
              <w:rPr>
                <w:rStyle w:val="normaltextrun"/>
                <w:rFonts w:ascii="Verdana" w:eastAsia="Arial" w:hAnsi="Verdana" w:cs="Arial"/>
                <w:sz w:val="16"/>
                <w:szCs w:val="16"/>
              </w:rPr>
              <w:t>C</w:t>
            </w:r>
            <w:r w:rsidRPr="000D30A7">
              <w:rPr>
                <w:rStyle w:val="normaltextrun"/>
                <w:rFonts w:ascii="Verdana" w:eastAsia="Arial" w:hAnsi="Verdana"/>
                <w:sz w:val="16"/>
                <w:szCs w:val="16"/>
              </w:rPr>
              <w:t>ontratista</w:t>
            </w:r>
            <w:r w:rsidRPr="000D30A7">
              <w:rPr>
                <w:rStyle w:val="normaltextrun"/>
                <w:rFonts w:ascii="Verdana" w:eastAsia="Arial" w:hAnsi="Verdana" w:cs="Arial"/>
                <w:sz w:val="16"/>
                <w:szCs w:val="16"/>
              </w:rPr>
              <w:t xml:space="preserve"> de la Subdirección de Gestión Contractual</w:t>
            </w:r>
          </w:p>
        </w:tc>
      </w:tr>
      <w:tr w:rsidR="003C7806" w:rsidRPr="000D30A7" w14:paraId="69BB26F3" w14:textId="77777777" w:rsidTr="000F35FC">
        <w:trPr>
          <w:trHeight w:val="300"/>
        </w:trPr>
        <w:tc>
          <w:tcPr>
            <w:tcW w:w="893" w:type="dxa"/>
            <w:vAlign w:val="center"/>
          </w:tcPr>
          <w:p w14:paraId="40DD3F7C" w14:textId="77777777" w:rsidR="003C7806" w:rsidRPr="000D30A7" w:rsidRDefault="003C7806" w:rsidP="000F35FC">
            <w:pPr>
              <w:contextualSpacing/>
              <w:rPr>
                <w:rFonts w:ascii="Verdana" w:hAnsi="Verdana" w:cs="Arial"/>
                <w:sz w:val="16"/>
                <w:szCs w:val="16"/>
                <w:lang w:val="es-ES" w:eastAsia="es-ES"/>
              </w:rPr>
            </w:pPr>
            <w:r w:rsidRPr="000D30A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D954BD" w14:textId="77777777" w:rsidR="003C7806" w:rsidRPr="000D30A7" w:rsidRDefault="003C7806" w:rsidP="000F35FC">
            <w:pPr>
              <w:contextualSpacing/>
              <w:rPr>
                <w:rFonts w:ascii="Verdana" w:eastAsia="Calibri" w:hAnsi="Verdana" w:cs="Arial"/>
                <w:sz w:val="16"/>
                <w:szCs w:val="16"/>
                <w:lang w:val="pt-BR" w:eastAsia="es-ES"/>
              </w:rPr>
            </w:pPr>
            <w:r w:rsidRPr="000D30A7">
              <w:rPr>
                <w:rFonts w:ascii="Verdana" w:eastAsia="Calibri" w:hAnsi="Verdana" w:cs="Arial"/>
                <w:sz w:val="16"/>
                <w:szCs w:val="16"/>
                <w:lang w:val="pt-BR" w:eastAsia="es-ES"/>
              </w:rPr>
              <w:t xml:space="preserve">Carolina Quintero </w:t>
            </w:r>
            <w:proofErr w:type="spellStart"/>
            <w:r w:rsidRPr="000D30A7">
              <w:rPr>
                <w:rFonts w:ascii="Verdana" w:eastAsia="Calibri" w:hAnsi="Verdana" w:cs="Arial"/>
                <w:sz w:val="16"/>
                <w:szCs w:val="16"/>
                <w:lang w:val="pt-BR" w:eastAsia="es-ES"/>
              </w:rPr>
              <w:t>Gacharná</w:t>
            </w:r>
            <w:proofErr w:type="spellEnd"/>
          </w:p>
          <w:p w14:paraId="66947E38" w14:textId="77777777" w:rsidR="003C7806" w:rsidRPr="000D30A7" w:rsidRDefault="003C7806" w:rsidP="000F35FC">
            <w:pPr>
              <w:contextualSpacing/>
              <w:rPr>
                <w:rFonts w:ascii="Verdana" w:eastAsia="Calibri" w:hAnsi="Verdana" w:cs="Arial"/>
                <w:sz w:val="16"/>
                <w:szCs w:val="16"/>
                <w:lang w:val="pt-BR" w:eastAsia="es-ES"/>
              </w:rPr>
            </w:pPr>
            <w:r w:rsidRPr="000D30A7">
              <w:rPr>
                <w:rFonts w:ascii="Verdana" w:eastAsia="Calibri" w:hAnsi="Verdana" w:cs="Arial"/>
                <w:sz w:val="16"/>
                <w:szCs w:val="16"/>
                <w:lang w:eastAsia="es-ES"/>
              </w:rPr>
              <w:t>Subdirectora</w:t>
            </w:r>
            <w:r w:rsidRPr="000D30A7">
              <w:rPr>
                <w:rFonts w:ascii="Verdana" w:eastAsia="Calibri" w:hAnsi="Verdana" w:cs="Arial"/>
                <w:sz w:val="16"/>
                <w:szCs w:val="16"/>
                <w:lang w:val="pt-BR" w:eastAsia="es-ES"/>
              </w:rPr>
              <w:t xml:space="preserve"> de Gestión Contractual ANCP – CCE</w:t>
            </w:r>
          </w:p>
        </w:tc>
      </w:tr>
      <w:tr w:rsidR="00CB3E87" w:rsidRPr="000D30A7" w14:paraId="597F68DF" w14:textId="77777777" w:rsidTr="000F35FC">
        <w:trPr>
          <w:trHeight w:val="300"/>
        </w:trPr>
        <w:tc>
          <w:tcPr>
            <w:tcW w:w="893" w:type="dxa"/>
            <w:vAlign w:val="center"/>
          </w:tcPr>
          <w:p w14:paraId="6B594DAB" w14:textId="459265F0" w:rsidR="00CB3E87" w:rsidRPr="000D30A7" w:rsidRDefault="00CB3E87" w:rsidP="000F35FC">
            <w:pPr>
              <w:contextualSpacing/>
              <w:rPr>
                <w:rFonts w:ascii="Verdana" w:hAnsi="Verdana" w:cs="Arial"/>
                <w:sz w:val="16"/>
                <w:szCs w:val="16"/>
                <w:lang w:val="es-ES" w:eastAsia="es-ES"/>
              </w:rPr>
            </w:pPr>
            <w:r w:rsidRPr="000D30A7">
              <w:rPr>
                <w:rFonts w:ascii="Verdana" w:hAnsi="Verdana" w:cs="Arial"/>
                <w:sz w:val="16"/>
                <w:szCs w:val="16"/>
                <w:lang w:val="es-ES" w:eastAsia="es-ES"/>
              </w:rPr>
              <w:t xml:space="preserve">Anexo: </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C057C53" w14:textId="229F4DD1" w:rsidR="00CB3E87" w:rsidRPr="000D30A7" w:rsidRDefault="00CB3E87" w:rsidP="000F35FC">
            <w:pPr>
              <w:contextualSpacing/>
              <w:rPr>
                <w:rFonts w:ascii="Verdana" w:eastAsia="Calibri" w:hAnsi="Verdana" w:cs="Arial"/>
                <w:sz w:val="16"/>
                <w:szCs w:val="16"/>
                <w:lang w:eastAsia="es-ES"/>
              </w:rPr>
            </w:pPr>
            <w:r w:rsidRPr="000D30A7">
              <w:rPr>
                <w:rFonts w:ascii="Verdana" w:eastAsia="Calibri" w:hAnsi="Verdana" w:cs="Arial"/>
                <w:sz w:val="16"/>
                <w:szCs w:val="16"/>
                <w:lang w:eastAsia="es-ES"/>
              </w:rPr>
              <w:t>Respuesta EMAE</w:t>
            </w:r>
          </w:p>
        </w:tc>
      </w:tr>
      <w:bookmarkEnd w:id="0"/>
    </w:tbl>
    <w:p w14:paraId="22680200" w14:textId="2B5A0164" w:rsidR="00CB3E87" w:rsidRPr="000D30A7" w:rsidRDefault="00CB3E87" w:rsidP="00CB3E87">
      <w:pPr>
        <w:spacing w:after="0" w:line="240" w:lineRule="auto"/>
        <w:textAlignment w:val="baseline"/>
        <w:rPr>
          <w:rFonts w:ascii="Verdana" w:eastAsia="Verdana" w:hAnsi="Verdana" w:cs="Verdana"/>
          <w:lang w:eastAsia="es-CO"/>
        </w:rPr>
      </w:pPr>
    </w:p>
    <w:sectPr w:rsidR="00CB3E87" w:rsidRPr="000D30A7"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3B254" w14:textId="77777777" w:rsidR="00950FBD" w:rsidRDefault="00950FBD" w:rsidP="004A1847">
      <w:pPr>
        <w:spacing w:after="0" w:line="240" w:lineRule="auto"/>
      </w:pPr>
      <w:r>
        <w:separator/>
      </w:r>
    </w:p>
  </w:endnote>
  <w:endnote w:type="continuationSeparator" w:id="0">
    <w:p w14:paraId="4E63DB2E" w14:textId="77777777" w:rsidR="00950FBD" w:rsidRDefault="00950FB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409AA" w14:textId="77777777" w:rsidR="00950FBD" w:rsidRDefault="00950FBD" w:rsidP="004A1847">
      <w:pPr>
        <w:spacing w:after="0" w:line="240" w:lineRule="auto"/>
      </w:pPr>
      <w:r>
        <w:separator/>
      </w:r>
    </w:p>
  </w:footnote>
  <w:footnote w:type="continuationSeparator" w:id="0">
    <w:p w14:paraId="045E73D3" w14:textId="77777777" w:rsidR="00950FBD" w:rsidRDefault="00950FBD" w:rsidP="004A1847">
      <w:pPr>
        <w:spacing w:after="0" w:line="240" w:lineRule="auto"/>
      </w:pPr>
      <w:r>
        <w:continuationSeparator/>
      </w:r>
    </w:p>
  </w:footnote>
  <w:footnote w:id="1">
    <w:p w14:paraId="263C3A7E" w14:textId="77777777" w:rsidR="00C50F39" w:rsidRPr="00A47942" w:rsidRDefault="00C50F39" w:rsidP="00A47942">
      <w:pPr>
        <w:spacing w:after="0" w:line="240" w:lineRule="auto"/>
        <w:ind w:firstLine="707"/>
        <w:contextualSpacing/>
        <w:jc w:val="both"/>
        <w:rPr>
          <w:rFonts w:ascii="Verdana" w:hAnsi="Verdana" w:cs="Arial"/>
          <w:sz w:val="18"/>
          <w:szCs w:val="18"/>
        </w:rPr>
      </w:pPr>
      <w:r w:rsidRPr="00A47942">
        <w:rPr>
          <w:rStyle w:val="Refdenotaalpie"/>
          <w:rFonts w:ascii="Verdana" w:hAnsi="Verdana" w:cs="Arial"/>
          <w:sz w:val="18"/>
          <w:szCs w:val="18"/>
        </w:rPr>
        <w:footnoteRef/>
      </w:r>
      <w:r w:rsidRPr="00A47942">
        <w:rPr>
          <w:rFonts w:ascii="Verdana" w:hAnsi="Verdana" w:cs="Arial"/>
          <w:position w:val="6"/>
          <w:sz w:val="18"/>
          <w:szCs w:val="18"/>
        </w:rPr>
        <w:t xml:space="preserve"> </w:t>
      </w:r>
      <w:r w:rsidRPr="00A47942">
        <w:rPr>
          <w:rFonts w:ascii="Verdana" w:hAnsi="Verdana" w:cs="Arial"/>
          <w:sz w:val="18"/>
          <w:szCs w:val="18"/>
        </w:rPr>
        <w:t>DEIK ACOSTAMADIEDO, Carolina, Guía de Contratación Estatal: Deber de planeación y modalidades de selección, Buenos Aires, 2015, p. 59.</w:t>
      </w:r>
    </w:p>
    <w:p w14:paraId="6F9CA8E5" w14:textId="77777777" w:rsidR="00C50F39" w:rsidRPr="00A47942" w:rsidRDefault="00C50F39" w:rsidP="00A47942">
      <w:pPr>
        <w:pStyle w:val="Textonotapie"/>
        <w:contextualSpacing/>
        <w:jc w:val="both"/>
        <w:rPr>
          <w:rFonts w:ascii="Verdana" w:hAnsi="Verdana" w:cs="Arial"/>
          <w:sz w:val="18"/>
          <w:szCs w:val="18"/>
        </w:rPr>
      </w:pPr>
    </w:p>
  </w:footnote>
  <w:footnote w:id="2">
    <w:p w14:paraId="68085113" w14:textId="77777777" w:rsidR="00C50F39" w:rsidRPr="00A47942" w:rsidRDefault="00C50F39" w:rsidP="00A47942">
      <w:pPr>
        <w:pStyle w:val="Textoindependiente"/>
        <w:spacing w:after="0" w:line="240" w:lineRule="auto"/>
        <w:ind w:firstLine="709"/>
        <w:contextualSpacing/>
        <w:jc w:val="both"/>
        <w:rPr>
          <w:rFonts w:ascii="Verdana" w:hAnsi="Verdana" w:cs="Arial"/>
          <w:sz w:val="18"/>
          <w:szCs w:val="18"/>
        </w:rPr>
      </w:pPr>
      <w:r w:rsidRPr="00A47942">
        <w:rPr>
          <w:rStyle w:val="Refdenotaalpie"/>
          <w:rFonts w:ascii="Verdana" w:hAnsi="Verdana" w:cs="Arial"/>
          <w:sz w:val="18"/>
          <w:szCs w:val="18"/>
        </w:rPr>
        <w:footnoteRef/>
      </w:r>
      <w:r w:rsidRPr="00A47942">
        <w:rPr>
          <w:rFonts w:ascii="Verdana" w:hAnsi="Verdana" w:cs="Arial"/>
          <w:sz w:val="18"/>
          <w:szCs w:val="18"/>
        </w:rPr>
        <w:t xml:space="preserve"> “Artículo </w:t>
      </w:r>
      <w:bookmarkStart w:id="4" w:name="_Hlk54173885"/>
      <w:r w:rsidRPr="00A47942">
        <w:rPr>
          <w:rFonts w:ascii="Verdana" w:hAnsi="Verdana" w:cs="Arial"/>
          <w:sz w:val="18"/>
          <w:szCs w:val="18"/>
        </w:rPr>
        <w:t>2.2.1.1.2.1.1</w:t>
      </w:r>
      <w:bookmarkEnd w:id="4"/>
      <w:r w:rsidRPr="00A47942">
        <w:rPr>
          <w:rFonts w:ascii="Verdana" w:hAnsi="Verdana" w:cs="Arial"/>
          <w:sz w:val="18"/>
          <w:szCs w:val="18"/>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09356451" w14:textId="77777777" w:rsidR="00C50F39" w:rsidRPr="00A47942" w:rsidRDefault="00C50F39" w:rsidP="00632256">
      <w:pPr>
        <w:pStyle w:val="Textonotapie"/>
        <w:contextualSpacing/>
        <w:jc w:val="both"/>
        <w:rPr>
          <w:rFonts w:ascii="Verdana" w:hAnsi="Verdana" w:cs="Arial"/>
          <w:sz w:val="18"/>
          <w:szCs w:val="18"/>
        </w:rPr>
      </w:pPr>
    </w:p>
  </w:footnote>
  <w:footnote w:id="3">
    <w:p w14:paraId="60561C10" w14:textId="77777777" w:rsidR="00C50F39" w:rsidRPr="00A47942" w:rsidRDefault="00C50F39" w:rsidP="00A47942">
      <w:pPr>
        <w:pStyle w:val="Textoindependiente"/>
        <w:spacing w:after="0" w:line="240" w:lineRule="auto"/>
        <w:ind w:firstLine="709"/>
        <w:contextualSpacing/>
        <w:jc w:val="both"/>
        <w:rPr>
          <w:rFonts w:ascii="Verdana" w:hAnsi="Verdana" w:cs="Arial"/>
          <w:sz w:val="18"/>
          <w:szCs w:val="18"/>
        </w:rPr>
      </w:pPr>
      <w:r w:rsidRPr="00A47942">
        <w:rPr>
          <w:rStyle w:val="Refdenotaalpie"/>
          <w:rFonts w:ascii="Verdana" w:hAnsi="Verdana" w:cs="Arial"/>
          <w:sz w:val="18"/>
          <w:szCs w:val="18"/>
        </w:rPr>
        <w:footnoteRef/>
      </w:r>
      <w:r w:rsidRPr="00A47942">
        <w:rPr>
          <w:rFonts w:ascii="Verdana" w:hAnsi="Verdana" w:cs="Arial"/>
          <w:sz w:val="18"/>
          <w:szCs w:val="18"/>
        </w:rPr>
        <w:t xml:space="preserve"> Consejo de Estado. Sección Tercera. Subsección B. Sentencia del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p w14:paraId="627F8B32" w14:textId="77777777" w:rsidR="00C50F39" w:rsidRPr="00A47942" w:rsidRDefault="00C50F39" w:rsidP="00A47942">
      <w:pPr>
        <w:pStyle w:val="Textonotapie"/>
        <w:contextualSpacing/>
        <w:jc w:val="both"/>
        <w:rPr>
          <w:rFonts w:ascii="Verdana" w:hAnsi="Verdana" w:cs="Arial"/>
          <w:sz w:val="18"/>
          <w:szCs w:val="18"/>
        </w:rPr>
      </w:pPr>
    </w:p>
  </w:footnote>
  <w:footnote w:id="4">
    <w:p w14:paraId="520BE0E5" w14:textId="77777777" w:rsidR="00C50F39" w:rsidRPr="00A47942" w:rsidRDefault="00C50F39" w:rsidP="00A47942">
      <w:pPr>
        <w:pStyle w:val="Textonotapie"/>
        <w:ind w:firstLine="708"/>
        <w:contextualSpacing/>
        <w:jc w:val="both"/>
        <w:rPr>
          <w:rFonts w:ascii="Verdana" w:hAnsi="Verdana" w:cs="Arial"/>
          <w:sz w:val="18"/>
          <w:szCs w:val="18"/>
        </w:rPr>
      </w:pPr>
      <w:r w:rsidRPr="00A47942">
        <w:rPr>
          <w:rStyle w:val="Refdenotaalpie"/>
          <w:rFonts w:ascii="Verdana" w:hAnsi="Verdana" w:cs="Arial"/>
          <w:sz w:val="18"/>
          <w:szCs w:val="18"/>
        </w:rPr>
        <w:footnoteRef/>
      </w:r>
      <w:r w:rsidRPr="00A47942">
        <w:rPr>
          <w:rFonts w:ascii="Verdana" w:hAnsi="Verdana" w:cs="Arial"/>
          <w:sz w:val="18"/>
          <w:szCs w:val="18"/>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5">
    <w:p w14:paraId="49E9B33A" w14:textId="3FBA4EAC" w:rsidR="00C50F39" w:rsidRPr="00C22B88" w:rsidRDefault="00C50F39" w:rsidP="00A47942">
      <w:pPr>
        <w:pStyle w:val="Textonotapie"/>
        <w:ind w:firstLine="708"/>
        <w:contextualSpacing/>
        <w:jc w:val="both"/>
        <w:rPr>
          <w:rFonts w:ascii="Verdana" w:hAnsi="Verdana" w:cs="Arial"/>
          <w:sz w:val="18"/>
          <w:szCs w:val="18"/>
          <w:lang w:val="es-CO"/>
        </w:rPr>
      </w:pPr>
      <w:r w:rsidRPr="00A47942">
        <w:rPr>
          <w:rStyle w:val="Refdenotaalpie"/>
          <w:rFonts w:ascii="Verdana" w:hAnsi="Verdana" w:cs="Arial"/>
          <w:sz w:val="18"/>
          <w:szCs w:val="18"/>
        </w:rPr>
        <w:footnoteRef/>
      </w:r>
      <w:r w:rsidRPr="00A47942">
        <w:rPr>
          <w:rFonts w:ascii="Verdana" w:hAnsi="Verdana" w:cs="Arial"/>
          <w:sz w:val="18"/>
          <w:szCs w:val="18"/>
        </w:rPr>
        <w:t xml:space="preserve"> Colombia Compra Eficiente. </w:t>
      </w:r>
      <w:r w:rsidRPr="00A47942">
        <w:rPr>
          <w:rFonts w:ascii="Verdana" w:eastAsia="Calibri" w:hAnsi="Verdana" w:cs="Arial"/>
          <w:bCs/>
          <w:sz w:val="18"/>
          <w:szCs w:val="18"/>
          <w:lang w:val="es-ES_tradnl" w:eastAsia="es-ES_tradnl"/>
        </w:rPr>
        <w:t>Guía de Elaboración de Estudios del Sector</w:t>
      </w:r>
      <w:r w:rsidRPr="00A47942">
        <w:rPr>
          <w:rFonts w:ascii="Verdana" w:hAnsi="Verdana" w:cs="Arial"/>
          <w:sz w:val="18"/>
          <w:szCs w:val="18"/>
        </w:rPr>
        <w:t xml:space="preserve">. Disponible en: </w:t>
      </w:r>
      <w:hyperlink r:id="rId1" w:history="1">
        <w:r w:rsidR="00C22B88" w:rsidRPr="00A47942">
          <w:rPr>
            <w:rStyle w:val="Hipervnculo"/>
            <w:sz w:val="18"/>
            <w:szCs w:val="18"/>
          </w:rPr>
          <w:t>https://www.colombiacompra.gov.co/archivos/manual/guia-para-la-elaboracion-de-estudios-del-sector</w:t>
        </w:r>
      </w:hyperlink>
      <w:r w:rsidR="00C22B88" w:rsidRPr="00C22B88">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141912"/>
    <w:multiLevelType w:val="hybridMultilevel"/>
    <w:tmpl w:val="08F85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7E14E84"/>
    <w:multiLevelType w:val="multilevel"/>
    <w:tmpl w:val="EBF6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287C72"/>
    <w:multiLevelType w:val="hybridMultilevel"/>
    <w:tmpl w:val="013EFD6E"/>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4C466FB6"/>
    <w:multiLevelType w:val="hybridMultilevel"/>
    <w:tmpl w:val="E168DEFA"/>
    <w:lvl w:ilvl="0" w:tplc="240A0017">
      <w:start w:val="1"/>
      <w:numFmt w:val="lowerLetter"/>
      <w:lvlText w:val="%1)"/>
      <w:lvlJc w:val="left"/>
      <w:pPr>
        <w:ind w:left="2220" w:hanging="360"/>
      </w:pPr>
    </w:lvl>
    <w:lvl w:ilvl="1" w:tplc="240A0019" w:tentative="1">
      <w:start w:val="1"/>
      <w:numFmt w:val="lowerLetter"/>
      <w:lvlText w:val="%2."/>
      <w:lvlJc w:val="left"/>
      <w:pPr>
        <w:ind w:left="2940" w:hanging="360"/>
      </w:pPr>
    </w:lvl>
    <w:lvl w:ilvl="2" w:tplc="240A001B" w:tentative="1">
      <w:start w:val="1"/>
      <w:numFmt w:val="lowerRoman"/>
      <w:lvlText w:val="%3."/>
      <w:lvlJc w:val="right"/>
      <w:pPr>
        <w:ind w:left="3660" w:hanging="180"/>
      </w:pPr>
    </w:lvl>
    <w:lvl w:ilvl="3" w:tplc="240A000F" w:tentative="1">
      <w:start w:val="1"/>
      <w:numFmt w:val="decimal"/>
      <w:lvlText w:val="%4."/>
      <w:lvlJc w:val="left"/>
      <w:pPr>
        <w:ind w:left="4380" w:hanging="360"/>
      </w:pPr>
    </w:lvl>
    <w:lvl w:ilvl="4" w:tplc="240A0019" w:tentative="1">
      <w:start w:val="1"/>
      <w:numFmt w:val="lowerLetter"/>
      <w:lvlText w:val="%5."/>
      <w:lvlJc w:val="left"/>
      <w:pPr>
        <w:ind w:left="5100" w:hanging="360"/>
      </w:pPr>
    </w:lvl>
    <w:lvl w:ilvl="5" w:tplc="240A001B" w:tentative="1">
      <w:start w:val="1"/>
      <w:numFmt w:val="lowerRoman"/>
      <w:lvlText w:val="%6."/>
      <w:lvlJc w:val="right"/>
      <w:pPr>
        <w:ind w:left="5820" w:hanging="180"/>
      </w:pPr>
    </w:lvl>
    <w:lvl w:ilvl="6" w:tplc="240A000F" w:tentative="1">
      <w:start w:val="1"/>
      <w:numFmt w:val="decimal"/>
      <w:lvlText w:val="%7."/>
      <w:lvlJc w:val="left"/>
      <w:pPr>
        <w:ind w:left="6540" w:hanging="360"/>
      </w:pPr>
    </w:lvl>
    <w:lvl w:ilvl="7" w:tplc="240A0019" w:tentative="1">
      <w:start w:val="1"/>
      <w:numFmt w:val="lowerLetter"/>
      <w:lvlText w:val="%8."/>
      <w:lvlJc w:val="left"/>
      <w:pPr>
        <w:ind w:left="7260" w:hanging="360"/>
      </w:pPr>
    </w:lvl>
    <w:lvl w:ilvl="8" w:tplc="240A001B" w:tentative="1">
      <w:start w:val="1"/>
      <w:numFmt w:val="lowerRoman"/>
      <w:lvlText w:val="%9."/>
      <w:lvlJc w:val="right"/>
      <w:pPr>
        <w:ind w:left="79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8E67E27"/>
    <w:multiLevelType w:val="hybridMultilevel"/>
    <w:tmpl w:val="6E0EAE62"/>
    <w:lvl w:ilvl="0" w:tplc="734CC976">
      <w:start w:val="4"/>
      <w:numFmt w:val="decimal"/>
      <w:lvlText w:val="%1."/>
      <w:lvlJc w:val="left"/>
      <w:pPr>
        <w:ind w:left="2061" w:hanging="360"/>
      </w:pPr>
      <w:rPr>
        <w:rFonts w:hint="default"/>
      </w:rPr>
    </w:lvl>
    <w:lvl w:ilvl="1" w:tplc="240A0019" w:tentative="1">
      <w:start w:val="1"/>
      <w:numFmt w:val="lowerLetter"/>
      <w:lvlText w:val="%2."/>
      <w:lvlJc w:val="left"/>
      <w:pPr>
        <w:ind w:left="2781" w:hanging="360"/>
      </w:pPr>
    </w:lvl>
    <w:lvl w:ilvl="2" w:tplc="240A001B" w:tentative="1">
      <w:start w:val="1"/>
      <w:numFmt w:val="lowerRoman"/>
      <w:lvlText w:val="%3."/>
      <w:lvlJc w:val="right"/>
      <w:pPr>
        <w:ind w:left="3501" w:hanging="180"/>
      </w:pPr>
    </w:lvl>
    <w:lvl w:ilvl="3" w:tplc="240A000F" w:tentative="1">
      <w:start w:val="1"/>
      <w:numFmt w:val="decimal"/>
      <w:lvlText w:val="%4."/>
      <w:lvlJc w:val="left"/>
      <w:pPr>
        <w:ind w:left="4221" w:hanging="360"/>
      </w:pPr>
    </w:lvl>
    <w:lvl w:ilvl="4" w:tplc="240A0019" w:tentative="1">
      <w:start w:val="1"/>
      <w:numFmt w:val="lowerLetter"/>
      <w:lvlText w:val="%5."/>
      <w:lvlJc w:val="left"/>
      <w:pPr>
        <w:ind w:left="4941" w:hanging="360"/>
      </w:pPr>
    </w:lvl>
    <w:lvl w:ilvl="5" w:tplc="240A001B" w:tentative="1">
      <w:start w:val="1"/>
      <w:numFmt w:val="lowerRoman"/>
      <w:lvlText w:val="%6."/>
      <w:lvlJc w:val="right"/>
      <w:pPr>
        <w:ind w:left="5661" w:hanging="180"/>
      </w:pPr>
    </w:lvl>
    <w:lvl w:ilvl="6" w:tplc="240A000F" w:tentative="1">
      <w:start w:val="1"/>
      <w:numFmt w:val="decimal"/>
      <w:lvlText w:val="%7."/>
      <w:lvlJc w:val="left"/>
      <w:pPr>
        <w:ind w:left="6381" w:hanging="360"/>
      </w:pPr>
    </w:lvl>
    <w:lvl w:ilvl="7" w:tplc="240A0019" w:tentative="1">
      <w:start w:val="1"/>
      <w:numFmt w:val="lowerLetter"/>
      <w:lvlText w:val="%8."/>
      <w:lvlJc w:val="left"/>
      <w:pPr>
        <w:ind w:left="7101" w:hanging="360"/>
      </w:pPr>
    </w:lvl>
    <w:lvl w:ilvl="8" w:tplc="240A001B" w:tentative="1">
      <w:start w:val="1"/>
      <w:numFmt w:val="lowerRoman"/>
      <w:lvlText w:val="%9."/>
      <w:lvlJc w:val="right"/>
      <w:pPr>
        <w:ind w:left="7821" w:hanging="180"/>
      </w:p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8"/>
  </w:num>
  <w:num w:numId="8" w16cid:durableId="152644682">
    <w:abstractNumId w:val="17"/>
  </w:num>
  <w:num w:numId="9" w16cid:durableId="1317221377">
    <w:abstractNumId w:val="10"/>
  </w:num>
  <w:num w:numId="10" w16cid:durableId="1471245386">
    <w:abstractNumId w:val="16"/>
  </w:num>
  <w:num w:numId="11" w16cid:durableId="289172385">
    <w:abstractNumId w:val="11"/>
  </w:num>
  <w:num w:numId="12" w16cid:durableId="1470781324">
    <w:abstractNumId w:val="1"/>
  </w:num>
  <w:num w:numId="13" w16cid:durableId="1512908409">
    <w:abstractNumId w:val="6"/>
  </w:num>
  <w:num w:numId="14" w16cid:durableId="895897244">
    <w:abstractNumId w:val="19"/>
  </w:num>
  <w:num w:numId="15" w16cid:durableId="390349800">
    <w:abstractNumId w:val="14"/>
  </w:num>
  <w:num w:numId="16" w16cid:durableId="1489201040">
    <w:abstractNumId w:val="0"/>
  </w:num>
  <w:num w:numId="17" w16cid:durableId="472218517">
    <w:abstractNumId w:val="13"/>
  </w:num>
  <w:num w:numId="18" w16cid:durableId="817453128">
    <w:abstractNumId w:val="3"/>
  </w:num>
  <w:num w:numId="19" w16cid:durableId="354692520">
    <w:abstractNumId w:val="15"/>
  </w:num>
  <w:num w:numId="20" w16cid:durableId="679089576">
    <w:abstractNumId w:val="12"/>
  </w:num>
  <w:num w:numId="21" w16cid:durableId="1426999303">
    <w:abstractNumId w:val="4"/>
  </w:num>
  <w:num w:numId="22" w16cid:durableId="15193899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10BE"/>
    <w:rsid w:val="00046945"/>
    <w:rsid w:val="00061B2A"/>
    <w:rsid w:val="00082362"/>
    <w:rsid w:val="000844C1"/>
    <w:rsid w:val="0009023C"/>
    <w:rsid w:val="000A683E"/>
    <w:rsid w:val="000B19B9"/>
    <w:rsid w:val="000D0334"/>
    <w:rsid w:val="000D1B90"/>
    <w:rsid w:val="000D30A7"/>
    <w:rsid w:val="000D5DA7"/>
    <w:rsid w:val="000F1E00"/>
    <w:rsid w:val="000F6486"/>
    <w:rsid w:val="00116940"/>
    <w:rsid w:val="00125105"/>
    <w:rsid w:val="00127233"/>
    <w:rsid w:val="001530FB"/>
    <w:rsid w:val="0015699B"/>
    <w:rsid w:val="00165894"/>
    <w:rsid w:val="001A33BF"/>
    <w:rsid w:val="001C5BC5"/>
    <w:rsid w:val="001E4177"/>
    <w:rsid w:val="001F0B24"/>
    <w:rsid w:val="001F7DC6"/>
    <w:rsid w:val="0022400B"/>
    <w:rsid w:val="00240706"/>
    <w:rsid w:val="002421BB"/>
    <w:rsid w:val="0025796E"/>
    <w:rsid w:val="002707A2"/>
    <w:rsid w:val="002951A0"/>
    <w:rsid w:val="002962BC"/>
    <w:rsid w:val="002A093D"/>
    <w:rsid w:val="002A0DD0"/>
    <w:rsid w:val="002A1AAC"/>
    <w:rsid w:val="002A49AC"/>
    <w:rsid w:val="002A64FD"/>
    <w:rsid w:val="002B3D58"/>
    <w:rsid w:val="002B4E86"/>
    <w:rsid w:val="002C7A84"/>
    <w:rsid w:val="002E2BF8"/>
    <w:rsid w:val="002E4318"/>
    <w:rsid w:val="002E4FD9"/>
    <w:rsid w:val="0030657A"/>
    <w:rsid w:val="00310E6C"/>
    <w:rsid w:val="00322A85"/>
    <w:rsid w:val="00324168"/>
    <w:rsid w:val="00330834"/>
    <w:rsid w:val="00331C21"/>
    <w:rsid w:val="00341760"/>
    <w:rsid w:val="003448F4"/>
    <w:rsid w:val="00374F5E"/>
    <w:rsid w:val="00377E3E"/>
    <w:rsid w:val="003A779E"/>
    <w:rsid w:val="003B1D62"/>
    <w:rsid w:val="003C7806"/>
    <w:rsid w:val="003D0F4D"/>
    <w:rsid w:val="003D5B0D"/>
    <w:rsid w:val="003E0499"/>
    <w:rsid w:val="003E4F80"/>
    <w:rsid w:val="003E6439"/>
    <w:rsid w:val="003E650A"/>
    <w:rsid w:val="003F3941"/>
    <w:rsid w:val="00406575"/>
    <w:rsid w:val="00414C74"/>
    <w:rsid w:val="0042722E"/>
    <w:rsid w:val="0044528D"/>
    <w:rsid w:val="0046024E"/>
    <w:rsid w:val="00466E39"/>
    <w:rsid w:val="004A1847"/>
    <w:rsid w:val="004A305D"/>
    <w:rsid w:val="004C5F5E"/>
    <w:rsid w:val="004C7E9D"/>
    <w:rsid w:val="004D1A6A"/>
    <w:rsid w:val="004D4447"/>
    <w:rsid w:val="004E7A3D"/>
    <w:rsid w:val="004F21C4"/>
    <w:rsid w:val="004F685F"/>
    <w:rsid w:val="005055B7"/>
    <w:rsid w:val="00520AB0"/>
    <w:rsid w:val="00554579"/>
    <w:rsid w:val="005562BE"/>
    <w:rsid w:val="005566E8"/>
    <w:rsid w:val="0056146B"/>
    <w:rsid w:val="00574867"/>
    <w:rsid w:val="00591460"/>
    <w:rsid w:val="00596B99"/>
    <w:rsid w:val="005A4F47"/>
    <w:rsid w:val="005A65E0"/>
    <w:rsid w:val="005B08C7"/>
    <w:rsid w:val="005C011D"/>
    <w:rsid w:val="005C3777"/>
    <w:rsid w:val="005C5CDC"/>
    <w:rsid w:val="005D476C"/>
    <w:rsid w:val="005D7E08"/>
    <w:rsid w:val="005F3A85"/>
    <w:rsid w:val="006200BF"/>
    <w:rsid w:val="006219F8"/>
    <w:rsid w:val="00627FA6"/>
    <w:rsid w:val="006302F7"/>
    <w:rsid w:val="00632256"/>
    <w:rsid w:val="00646B9F"/>
    <w:rsid w:val="00665D70"/>
    <w:rsid w:val="006900D9"/>
    <w:rsid w:val="006B708E"/>
    <w:rsid w:val="006E2ACE"/>
    <w:rsid w:val="00706C16"/>
    <w:rsid w:val="00716DDC"/>
    <w:rsid w:val="00717455"/>
    <w:rsid w:val="00722110"/>
    <w:rsid w:val="007340C3"/>
    <w:rsid w:val="00746155"/>
    <w:rsid w:val="0075235A"/>
    <w:rsid w:val="00756841"/>
    <w:rsid w:val="00761E1B"/>
    <w:rsid w:val="007649AB"/>
    <w:rsid w:val="00771D0C"/>
    <w:rsid w:val="007833AC"/>
    <w:rsid w:val="007836A4"/>
    <w:rsid w:val="00785BF8"/>
    <w:rsid w:val="007B268C"/>
    <w:rsid w:val="007B7171"/>
    <w:rsid w:val="007C0C0F"/>
    <w:rsid w:val="007C3DC2"/>
    <w:rsid w:val="007E5497"/>
    <w:rsid w:val="00806F5F"/>
    <w:rsid w:val="00812E22"/>
    <w:rsid w:val="00820278"/>
    <w:rsid w:val="00822A1C"/>
    <w:rsid w:val="008258C9"/>
    <w:rsid w:val="00836EB4"/>
    <w:rsid w:val="00837305"/>
    <w:rsid w:val="00844304"/>
    <w:rsid w:val="00844AE9"/>
    <w:rsid w:val="0086796E"/>
    <w:rsid w:val="00867F95"/>
    <w:rsid w:val="008843B6"/>
    <w:rsid w:val="00890051"/>
    <w:rsid w:val="00891928"/>
    <w:rsid w:val="008A005B"/>
    <w:rsid w:val="008A446D"/>
    <w:rsid w:val="008B25F1"/>
    <w:rsid w:val="008D180B"/>
    <w:rsid w:val="008D1DBB"/>
    <w:rsid w:val="008D3BFA"/>
    <w:rsid w:val="008D7347"/>
    <w:rsid w:val="008F09F3"/>
    <w:rsid w:val="008F0EA7"/>
    <w:rsid w:val="00911068"/>
    <w:rsid w:val="0091191D"/>
    <w:rsid w:val="00923EEF"/>
    <w:rsid w:val="009419F9"/>
    <w:rsid w:val="00950FBD"/>
    <w:rsid w:val="0095685E"/>
    <w:rsid w:val="00961B09"/>
    <w:rsid w:val="00965334"/>
    <w:rsid w:val="0097093E"/>
    <w:rsid w:val="009A0DFA"/>
    <w:rsid w:val="009A1C6F"/>
    <w:rsid w:val="009B2D26"/>
    <w:rsid w:val="009C71FA"/>
    <w:rsid w:val="009C72E7"/>
    <w:rsid w:val="009C7F7E"/>
    <w:rsid w:val="009D3058"/>
    <w:rsid w:val="009F092D"/>
    <w:rsid w:val="009F3A13"/>
    <w:rsid w:val="00A122D3"/>
    <w:rsid w:val="00A14468"/>
    <w:rsid w:val="00A17F13"/>
    <w:rsid w:val="00A20739"/>
    <w:rsid w:val="00A23AF9"/>
    <w:rsid w:val="00A25684"/>
    <w:rsid w:val="00A33C78"/>
    <w:rsid w:val="00A47942"/>
    <w:rsid w:val="00A47E1F"/>
    <w:rsid w:val="00A53739"/>
    <w:rsid w:val="00A553AD"/>
    <w:rsid w:val="00A638F6"/>
    <w:rsid w:val="00A70110"/>
    <w:rsid w:val="00A755A0"/>
    <w:rsid w:val="00A81AEE"/>
    <w:rsid w:val="00A84CFB"/>
    <w:rsid w:val="00A8596A"/>
    <w:rsid w:val="00A86AB8"/>
    <w:rsid w:val="00A93A46"/>
    <w:rsid w:val="00AB0ADB"/>
    <w:rsid w:val="00AF0F58"/>
    <w:rsid w:val="00B00C0E"/>
    <w:rsid w:val="00B01B1A"/>
    <w:rsid w:val="00B0381D"/>
    <w:rsid w:val="00B04F04"/>
    <w:rsid w:val="00B166CE"/>
    <w:rsid w:val="00B25471"/>
    <w:rsid w:val="00B3199F"/>
    <w:rsid w:val="00B375FD"/>
    <w:rsid w:val="00B44A47"/>
    <w:rsid w:val="00B57529"/>
    <w:rsid w:val="00B64DEB"/>
    <w:rsid w:val="00B72CD3"/>
    <w:rsid w:val="00B72FFF"/>
    <w:rsid w:val="00BC3D36"/>
    <w:rsid w:val="00BD54A6"/>
    <w:rsid w:val="00BD7389"/>
    <w:rsid w:val="00BD7F72"/>
    <w:rsid w:val="00BF7425"/>
    <w:rsid w:val="00C04FB3"/>
    <w:rsid w:val="00C04FF3"/>
    <w:rsid w:val="00C11D8B"/>
    <w:rsid w:val="00C15139"/>
    <w:rsid w:val="00C22B88"/>
    <w:rsid w:val="00C330EB"/>
    <w:rsid w:val="00C36C13"/>
    <w:rsid w:val="00C50D69"/>
    <w:rsid w:val="00C50F39"/>
    <w:rsid w:val="00C5365C"/>
    <w:rsid w:val="00C656F0"/>
    <w:rsid w:val="00C754BE"/>
    <w:rsid w:val="00C76B1C"/>
    <w:rsid w:val="00C80A7D"/>
    <w:rsid w:val="00C925AC"/>
    <w:rsid w:val="00CA2C00"/>
    <w:rsid w:val="00CB3E87"/>
    <w:rsid w:val="00CB4BD5"/>
    <w:rsid w:val="00CB6357"/>
    <w:rsid w:val="00CC1B26"/>
    <w:rsid w:val="00CC28BD"/>
    <w:rsid w:val="00CE2D01"/>
    <w:rsid w:val="00CE6E5B"/>
    <w:rsid w:val="00CF4648"/>
    <w:rsid w:val="00D151A8"/>
    <w:rsid w:val="00D24839"/>
    <w:rsid w:val="00D361FD"/>
    <w:rsid w:val="00D40AD9"/>
    <w:rsid w:val="00D423A2"/>
    <w:rsid w:val="00D430DC"/>
    <w:rsid w:val="00D44E26"/>
    <w:rsid w:val="00D520D8"/>
    <w:rsid w:val="00D63AC2"/>
    <w:rsid w:val="00D64787"/>
    <w:rsid w:val="00D652A8"/>
    <w:rsid w:val="00D7383B"/>
    <w:rsid w:val="00D7788A"/>
    <w:rsid w:val="00D9097E"/>
    <w:rsid w:val="00DA231B"/>
    <w:rsid w:val="00DC1DFF"/>
    <w:rsid w:val="00DC39FC"/>
    <w:rsid w:val="00DD090B"/>
    <w:rsid w:val="00DF5254"/>
    <w:rsid w:val="00E01383"/>
    <w:rsid w:val="00E02524"/>
    <w:rsid w:val="00E073DB"/>
    <w:rsid w:val="00E15ED8"/>
    <w:rsid w:val="00E16408"/>
    <w:rsid w:val="00E20894"/>
    <w:rsid w:val="00E22353"/>
    <w:rsid w:val="00E245AB"/>
    <w:rsid w:val="00E25E86"/>
    <w:rsid w:val="00E2764C"/>
    <w:rsid w:val="00E27F2E"/>
    <w:rsid w:val="00E50AFE"/>
    <w:rsid w:val="00E75C92"/>
    <w:rsid w:val="00E771DC"/>
    <w:rsid w:val="00E8772A"/>
    <w:rsid w:val="00E90F6B"/>
    <w:rsid w:val="00E92C27"/>
    <w:rsid w:val="00EA0E3D"/>
    <w:rsid w:val="00EC38A7"/>
    <w:rsid w:val="00EE1AA8"/>
    <w:rsid w:val="00EF5FA5"/>
    <w:rsid w:val="00F23FEA"/>
    <w:rsid w:val="00F31EDC"/>
    <w:rsid w:val="00F462B3"/>
    <w:rsid w:val="00F54B88"/>
    <w:rsid w:val="00F558FD"/>
    <w:rsid w:val="00F5664F"/>
    <w:rsid w:val="00F666C4"/>
    <w:rsid w:val="00F70E7C"/>
    <w:rsid w:val="00F76AFC"/>
    <w:rsid w:val="00FA47C0"/>
    <w:rsid w:val="00FB0DB9"/>
    <w:rsid w:val="00FB2546"/>
    <w:rsid w:val="00FB5DD1"/>
    <w:rsid w:val="00FC2B5D"/>
    <w:rsid w:val="00FE7AC5"/>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5CA62098"/>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F4648"/>
    <w:rPr>
      <w:rFonts w:ascii="Geomanist Light" w:hAnsi="Geomanist Light"/>
      <w:lang w:val="es-ES"/>
    </w:rPr>
  </w:style>
  <w:style w:type="paragraph" w:styleId="Textoindependiente">
    <w:name w:val="Body Text"/>
    <w:basedOn w:val="Normal"/>
    <w:link w:val="TextoindependienteCar"/>
    <w:uiPriority w:val="99"/>
    <w:semiHidden/>
    <w:unhideWhenUsed/>
    <w:rsid w:val="00C50F39"/>
    <w:pPr>
      <w:spacing w:after="120"/>
    </w:pPr>
  </w:style>
  <w:style w:type="character" w:customStyle="1" w:styleId="TextoindependienteCar">
    <w:name w:val="Texto independiente Car"/>
    <w:basedOn w:val="Fuentedeprrafopredeter"/>
    <w:link w:val="Textoindependiente"/>
    <w:uiPriority w:val="99"/>
    <w:semiHidden/>
    <w:rsid w:val="00C50F39"/>
  </w:style>
  <w:style w:type="paragraph" w:customStyle="1" w:styleId="Appelnotedebasde">
    <w:name w:val="Appel note de bas de..."/>
    <w:basedOn w:val="Normal"/>
    <w:link w:val="Refdenotaalpie"/>
    <w:uiPriority w:val="99"/>
    <w:rsid w:val="00C50F3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infografia/instructivo-para-visualizar-anexos-en-un-archivo-pdf" TargetMode="External"/><Relationship Id="rId18"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siga@habitatbogota.gov.co" TargetMode="External"/><Relationship Id="rId17"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olombiacompra.gov.co/archivos/manual/guia-para-la-elaboracion-de-estudios-del-secto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archivos/infografia/instructivo-para-visualizar-anexos-en-un-archivo-pdf"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la-elaboracion-de-estudios-del-sec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0A6D32-C6FF-4DFE-88E0-43721D7140A0}">
  <ds:schemaRefs>
    <ds:schemaRef ds:uri="http://schemas.openxmlformats.org/officeDocument/2006/bibliography"/>
  </ds:schemaRefs>
</ds:datastoreItem>
</file>

<file path=customXml/itemProps4.xml><?xml version="1.0" encoding="utf-8"?>
<ds:datastoreItem xmlns:ds="http://schemas.openxmlformats.org/officeDocument/2006/customXml" ds:itemID="{44BAB007-6244-4018-BD56-2BE08CBD5A6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23</Pages>
  <Words>7862</Words>
  <Characters>43247</Characters>
  <Application>Microsoft Office Word</Application>
  <DocSecurity>0</DocSecurity>
  <Lines>360</Lines>
  <Paragraphs>102</Paragraphs>
  <ScaleCrop>false</ScaleCrop>
  <Company/>
  <LinksUpToDate>false</LinksUpToDate>
  <CharactersWithSpaces>51007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4</cp:revision>
  <cp:lastPrinted>2023-01-10T21:18:00Z</cp:lastPrinted>
  <dcterms:created xsi:type="dcterms:W3CDTF">2026-09-22T00:36:00Z</dcterms:created>
  <dcterms:modified xsi:type="dcterms:W3CDTF">2026-09-22T13:36:00Z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