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3322"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INHABILIDADES E INCOMPATIBILIDADES ‒ Fundamento ‒ Taxatividad ‒ Interpretación restrictiva</w:t>
      </w:r>
    </w:p>
    <w:p w14:paraId="411B7871" w14:textId="77777777" w:rsidR="00F931C4" w:rsidRDefault="00F931C4">
      <w:pPr>
        <w:spacing w:after="0" w:line="240" w:lineRule="auto"/>
        <w:contextualSpacing/>
        <w:jc w:val="both"/>
        <w:rPr>
          <w:rFonts w:ascii="Verdana" w:eastAsia="Calibri" w:hAnsi="Verdana" w:cs="Arial"/>
          <w:b/>
          <w:bCs/>
          <w:lang w:eastAsia="es-ES"/>
        </w:rPr>
      </w:pPr>
    </w:p>
    <w:p w14:paraId="55E85FC4"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inhabilidades e incompatibilidades constituyen restricciones o límites especiales a la capacidad para contratar con las entidades estatales. En cuanto excepciones al principio general de capacidad, solo pueden tipificarse en la Constitución o en la ley, son taxativas y su interpretación debe ser restrictiva. Esa interpretación restrictiva opera en doble vía: impide extender las causales a supuestos no previstos, pero también impide crear, por vía interpretativa, excepciones que la ley no contempla; cuando los elementos de la causal se reúnen, esta se configura plenamente.</w:t>
      </w:r>
    </w:p>
    <w:p w14:paraId="4EAEBE70" w14:textId="77777777" w:rsidR="00F931C4" w:rsidRDefault="00F931C4">
      <w:pPr>
        <w:spacing w:after="0" w:line="240" w:lineRule="auto"/>
        <w:contextualSpacing/>
        <w:jc w:val="both"/>
        <w:rPr>
          <w:rFonts w:ascii="Verdana" w:eastAsia="Calibri" w:hAnsi="Verdana" w:cs="Arial"/>
          <w:b/>
          <w:bCs/>
          <w:lang w:eastAsia="es-ES"/>
        </w:rPr>
      </w:pPr>
    </w:p>
    <w:p w14:paraId="20CCBF88"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INCOMPATIBILIDAD DEL LITERAL C) DEL NUMERAL 2 DEL ARTÍCULO 8 DE LA LEY 80 DE 1993 ‒ Cónyuge o compañero permanente ‒ Configuración objetiva</w:t>
      </w:r>
    </w:p>
    <w:p w14:paraId="69DC8D02" w14:textId="77777777" w:rsidR="00F931C4" w:rsidRDefault="00F931C4">
      <w:pPr>
        <w:spacing w:after="0" w:line="240" w:lineRule="auto"/>
        <w:contextualSpacing/>
        <w:jc w:val="both"/>
        <w:rPr>
          <w:rFonts w:ascii="Verdana" w:eastAsia="Calibri" w:hAnsi="Verdana" w:cs="Arial"/>
          <w:b/>
          <w:bCs/>
          <w:lang w:eastAsia="es-ES"/>
        </w:rPr>
      </w:pPr>
    </w:p>
    <w:p w14:paraId="4D1A864E"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literal c) del numeral 2 del artículo 8 de la Ley 80 de 1993 impide al cónyuge, compañero o compañera permanente del servidor público de los niveles directivo, asesor o ejecutivo, de un miembro de la junta o consejo directivo, o de quien ejerza funciones de control interno o de control fiscal, participar en licitaciones y celebrar contratos con la entidad respectiva. La causal es objetiva: se configura por la concurrencia del vínculo y de la condición del servidor en la entidad contratante, sin que la norma exija que el servidor intervenga en el proceso de contratación, que supervise el contrato o que las actividades contratadas guarden relación con sus funciones.</w:t>
      </w:r>
    </w:p>
    <w:p w14:paraId="0D9F2C7D" w14:textId="77777777" w:rsidR="00F931C4" w:rsidRDefault="00F931C4">
      <w:pPr>
        <w:spacing w:after="0" w:line="240" w:lineRule="auto"/>
        <w:contextualSpacing/>
        <w:jc w:val="both"/>
        <w:rPr>
          <w:rFonts w:ascii="Verdana" w:eastAsia="Calibri" w:hAnsi="Verdana" w:cs="Arial"/>
          <w:b/>
          <w:bCs/>
          <w:lang w:eastAsia="es-ES"/>
        </w:rPr>
      </w:pPr>
    </w:p>
    <w:p w14:paraId="2E7A7C32"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SECRETARIOS DE DESPACHO ‒ Nivel directivo ‒ Entidad territorial ‒ Dependencias sin personería jurídica</w:t>
      </w:r>
    </w:p>
    <w:p w14:paraId="2BFB5A44" w14:textId="77777777" w:rsidR="00F931C4" w:rsidRDefault="00F931C4">
      <w:pPr>
        <w:spacing w:after="0" w:line="240" w:lineRule="auto"/>
        <w:contextualSpacing/>
        <w:jc w:val="both"/>
        <w:rPr>
          <w:rFonts w:ascii="Verdana" w:eastAsia="Calibri" w:hAnsi="Verdana" w:cs="Arial"/>
          <w:b/>
          <w:bCs/>
          <w:lang w:eastAsia="es-ES"/>
        </w:rPr>
      </w:pPr>
    </w:p>
    <w:p w14:paraId="64C29CD8"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Los empleos de secretario de despacho de las entidades territoriales pertenecen al nivel directivo, conforme a la clasificación del artículo 4 del Decreto 785 de 2005. Las secretarías de despacho son dependencias del municipio, que es una sola persona jurídica: por ello, cuando el municipio contrata —cualquiera que sea la secretaría que estructure el proceso o ejerza la supervisión—, la entidad contratante es el municipio en su conjunto, y respecto de él se predica la incompatibilidad.</w:t>
      </w:r>
    </w:p>
    <w:p w14:paraId="190808E0" w14:textId="77777777" w:rsidR="00F931C4" w:rsidRDefault="00F931C4">
      <w:pPr>
        <w:spacing w:after="0" w:line="240" w:lineRule="auto"/>
        <w:contextualSpacing/>
        <w:jc w:val="both"/>
        <w:rPr>
          <w:rFonts w:ascii="Verdana" w:eastAsia="Calibri" w:hAnsi="Verdana" w:cs="Arial"/>
          <w:b/>
          <w:bCs/>
          <w:lang w:eastAsia="es-ES"/>
        </w:rPr>
      </w:pPr>
    </w:p>
    <w:p w14:paraId="64493D42"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INCOMPATIBILIDADES ‒ Ausencia de excepciones ‒ Categoría del municipio ‒ Disponibilidad de personal</w:t>
      </w:r>
    </w:p>
    <w:p w14:paraId="68BFFC8B" w14:textId="77777777" w:rsidR="00F931C4" w:rsidRDefault="00F931C4">
      <w:pPr>
        <w:spacing w:after="0" w:line="240" w:lineRule="auto"/>
        <w:contextualSpacing/>
        <w:jc w:val="both"/>
        <w:rPr>
          <w:rFonts w:ascii="Verdana" w:eastAsia="Calibri" w:hAnsi="Verdana" w:cs="Arial"/>
          <w:b/>
          <w:bCs/>
          <w:lang w:eastAsia="es-ES"/>
        </w:rPr>
      </w:pPr>
    </w:p>
    <w:p w14:paraId="28484C18"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excepciones al régimen de inhabilidades e incompatibilidades son igualmente taxativas, como las previstas en el artículo 10 de la Ley 80 de 1993. Ni la categoría del municipio, ni la escasez de personal profesional disponible para contratar, ni la procedencia de los demás contratistas están contempladas en la ley como circunstancias que enerven la configuración de las causales.</w:t>
      </w:r>
    </w:p>
    <w:p w14:paraId="789C0843" w14:textId="77777777" w:rsidR="00F931C4" w:rsidRDefault="00F931C4">
      <w:pPr>
        <w:spacing w:after="0" w:line="240" w:lineRule="auto"/>
        <w:contextualSpacing/>
        <w:jc w:val="both"/>
        <w:rPr>
          <w:rFonts w:ascii="Verdana" w:eastAsia="Calibri" w:hAnsi="Verdana" w:cs="Arial"/>
          <w:b/>
          <w:bCs/>
          <w:lang w:eastAsia="es-ES"/>
        </w:rPr>
      </w:pPr>
    </w:p>
    <w:p w14:paraId="12BDE33C" w14:textId="77777777" w:rsidR="00F931C4" w:rsidRDefault="00F931C4">
      <w:pPr>
        <w:spacing w:after="0" w:line="240" w:lineRule="auto"/>
        <w:contextualSpacing/>
        <w:jc w:val="both"/>
        <w:rPr>
          <w:rFonts w:ascii="Verdana" w:eastAsia="Calibri" w:hAnsi="Verdana" w:cs="Arial"/>
          <w:b/>
          <w:bCs/>
          <w:lang w:eastAsia="es-ES"/>
        </w:rPr>
      </w:pPr>
    </w:p>
    <w:p w14:paraId="148B141C" w14:textId="070EF721" w:rsidR="00DD0FDA" w:rsidRDefault="00AD5A64" w:rsidP="00DD0FDA">
      <w:pPr>
        <w:spacing w:after="0" w:line="240" w:lineRule="auto"/>
        <w:rPr>
          <w:rFonts w:ascii="Verdana" w:hAnsi="Verdana"/>
        </w:rPr>
      </w:pPr>
      <w:r w:rsidRPr="00AD5A64">
        <w:rPr>
          <w:rFonts w:ascii="Verdana" w:hAnsi="Verdana"/>
        </w:rPr>
        <w:lastRenderedPageBreak/>
        <w:t xml:space="preserve">Bogotá D.C., 15 de </w:t>
      </w:r>
      <w:r w:rsidR="00D80BA0" w:rsidRPr="00AD5A64">
        <w:rPr>
          <w:rFonts w:ascii="Verdana" w:hAnsi="Verdana"/>
        </w:rPr>
        <w:t>septiembre</w:t>
      </w:r>
      <w:r w:rsidRPr="00AD5A64">
        <w:rPr>
          <w:rFonts w:ascii="Verdana" w:hAnsi="Verdana"/>
        </w:rPr>
        <w:t xml:space="preserve"> de 2026 </w:t>
      </w:r>
    </w:p>
    <w:p w14:paraId="66F95239" w14:textId="720F105F" w:rsidR="007741C2" w:rsidRPr="00960F72" w:rsidRDefault="00D80BA0" w:rsidP="007741C2">
      <w:pPr>
        <w:spacing w:after="0" w:line="240" w:lineRule="auto"/>
        <w:rPr>
          <w:rFonts w:ascii="Verdana" w:eastAsia="Calibri" w:hAnsi="Verdana" w:cs="Arial"/>
          <w:bCs/>
          <w:sz w:val="20"/>
          <w:szCs w:val="20"/>
          <w:lang w:eastAsia="es-ES_tradnl"/>
        </w:rPr>
      </w:pPr>
      <w:r w:rsidRPr="00AD5A64">
        <w:rPr>
          <w:rFonts w:ascii="Verdana" w:eastAsia="Calibri" w:hAnsi="Verdana" w:cs="Arial"/>
          <w:noProof/>
          <w:lang w:val="es-ES" w:eastAsia="es-ES"/>
        </w:rPr>
        <w:drawing>
          <wp:anchor distT="0" distB="0" distL="114300" distR="114300" simplePos="0" relativeHeight="251658240" behindDoc="1" locked="0" layoutInCell="1" allowOverlap="1" wp14:anchorId="00223230" wp14:editId="5BCF4AC7">
            <wp:simplePos x="0" y="0"/>
            <wp:positionH relativeFrom="margin">
              <wp:posOffset>2948277</wp:posOffset>
            </wp:positionH>
            <wp:positionV relativeFrom="paragraph">
              <wp:posOffset>93815</wp:posOffset>
            </wp:positionV>
            <wp:extent cx="2644140" cy="909320"/>
            <wp:effectExtent l="0" t="0" r="3810" b="5080"/>
            <wp:wrapSquare wrapText="bothSides"/>
            <wp:docPr id="3327648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6489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4140" cy="909320"/>
                    </a:xfrm>
                    <a:prstGeom prst="rect">
                      <a:avLst/>
                    </a:prstGeom>
                  </pic:spPr>
                </pic:pic>
              </a:graphicData>
            </a:graphic>
            <wp14:sizeRelH relativeFrom="page">
              <wp14:pctWidth>0</wp14:pctWidth>
            </wp14:sizeRelH>
            <wp14:sizeRelV relativeFrom="page">
              <wp14:pctHeight>0</wp14:pctHeight>
            </wp14:sizeRelV>
          </wp:anchor>
        </w:drawing>
      </w:r>
    </w:p>
    <w:p w14:paraId="05D440D5" w14:textId="1838AAD7" w:rsidR="007871E6" w:rsidRDefault="007871E6" w:rsidP="003248CC">
      <w:pPr>
        <w:spacing w:after="0" w:line="240" w:lineRule="auto"/>
        <w:rPr>
          <w:rFonts w:ascii="Verdana" w:hAnsi="Verdana"/>
        </w:rPr>
      </w:pPr>
    </w:p>
    <w:p w14:paraId="215B621F" w14:textId="76E2B38D" w:rsidR="00F931C4" w:rsidRPr="00D80BA0" w:rsidRDefault="00000000">
      <w:pPr>
        <w:spacing w:after="0" w:line="240" w:lineRule="auto"/>
        <w:rPr>
          <w:rFonts w:ascii="Verdana" w:hAnsi="Verdana"/>
          <w:lang w:val="es-ES_tradnl"/>
        </w:rPr>
      </w:pPr>
      <w:r>
        <w:rPr>
          <w:rFonts w:ascii="Verdana" w:eastAsia="Calibri" w:hAnsi="Verdana" w:cs="Arial"/>
          <w:lang w:val="es-ES" w:eastAsia="es-ES"/>
        </w:rPr>
        <w:t>Señora</w:t>
      </w:r>
    </w:p>
    <w:p w14:paraId="49CFF5CF" w14:textId="3154F437" w:rsidR="00F931C4" w:rsidRPr="00DD0FDA" w:rsidRDefault="00000000">
      <w:pPr>
        <w:spacing w:after="0" w:line="240" w:lineRule="auto"/>
        <w:rPr>
          <w:rFonts w:ascii="Verdana" w:hAnsi="Verdana"/>
          <w:b/>
          <w:bCs/>
          <w:lang w:val="es-ES"/>
        </w:rPr>
      </w:pPr>
      <w:r>
        <w:rPr>
          <w:rFonts w:ascii="Verdana" w:eastAsia="Calibri" w:hAnsi="Verdana" w:cs="Arial"/>
          <w:b/>
          <w:bCs/>
          <w:lang w:val="es-ES" w:eastAsia="es-ES"/>
        </w:rPr>
        <w:t>Sonia Mesa</w:t>
      </w:r>
    </w:p>
    <w:p w14:paraId="4A15E908" w14:textId="7831378A" w:rsidR="00F931C4" w:rsidRDefault="00000000">
      <w:pPr>
        <w:spacing w:after="0" w:line="240" w:lineRule="auto"/>
        <w:rPr>
          <w:rFonts w:ascii="Verdana" w:hAnsi="Verdana"/>
          <w:lang w:val="es-ES"/>
        </w:rPr>
      </w:pPr>
      <w:r>
        <w:rPr>
          <w:rFonts w:ascii="Verdana" w:eastAsia="Calibri" w:hAnsi="Verdana" w:cs="Arial"/>
          <w:lang w:val="es-ES" w:eastAsia="es-ES"/>
        </w:rPr>
        <w:t>sonialadino13@hotmail.com</w:t>
      </w:r>
    </w:p>
    <w:p w14:paraId="4599A1C9" w14:textId="77777777" w:rsidR="00F931C4" w:rsidRDefault="00000000">
      <w:pPr>
        <w:spacing w:after="0" w:line="240" w:lineRule="auto"/>
        <w:rPr>
          <w:rFonts w:ascii="Verdana" w:hAnsi="Verdana"/>
          <w:lang w:val="es-ES"/>
        </w:rPr>
      </w:pPr>
      <w:r>
        <w:rPr>
          <w:rFonts w:ascii="Verdana" w:eastAsia="Calibri" w:hAnsi="Verdana" w:cs="Arial"/>
          <w:lang w:val="es-ES" w:eastAsia="es-ES"/>
        </w:rPr>
        <w:t>Villavicencio, Meta</w:t>
      </w:r>
    </w:p>
    <w:p w14:paraId="0BA60422"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5C67A63C" w14:textId="77777777" w:rsidTr="000A1473">
        <w:trPr>
          <w:trHeight w:val="190"/>
        </w:trPr>
        <w:tc>
          <w:tcPr>
            <w:tcW w:w="2689" w:type="dxa"/>
          </w:tcPr>
          <w:p w14:paraId="7AF93123" w14:textId="77777777" w:rsidR="007871E6" w:rsidRDefault="007871E6" w:rsidP="005B1993">
            <w:pPr>
              <w:jc w:val="both"/>
              <w:rPr>
                <w:rFonts w:ascii="Verdana" w:eastAsia="Calibri" w:hAnsi="Verdana" w:cs="Arial"/>
                <w:b/>
                <w:bCs/>
                <w:lang w:eastAsia="es-ES_tradnl"/>
              </w:rPr>
            </w:pPr>
          </w:p>
          <w:p w14:paraId="44DF1309" w14:textId="77777777" w:rsidR="005B1993" w:rsidRPr="00777292" w:rsidRDefault="005B1993" w:rsidP="005B1993">
            <w:pPr>
              <w:jc w:val="both"/>
              <w:rPr>
                <w:rFonts w:ascii="Verdana" w:eastAsia="Calibri" w:hAnsi="Verdana" w:cs="Arial"/>
                <w:b/>
                <w:bCs/>
                <w:lang w:eastAsia="es-ES_tradnl"/>
              </w:rPr>
            </w:pPr>
          </w:p>
        </w:tc>
        <w:tc>
          <w:tcPr>
            <w:tcW w:w="6100" w:type="dxa"/>
          </w:tcPr>
          <w:p w14:paraId="3CEA1BE8" w14:textId="46F3F8EF"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C-1285 de 2026</w:t>
            </w:r>
          </w:p>
          <w:p w14:paraId="7C3D72BD" w14:textId="77777777" w:rsidR="007871E6" w:rsidRPr="00777292" w:rsidRDefault="007871E6">
            <w:pPr>
              <w:jc w:val="both"/>
              <w:rPr>
                <w:rFonts w:ascii="Verdana" w:eastAsia="Calibri" w:hAnsi="Verdana" w:cs="Arial"/>
                <w:b/>
                <w:bCs/>
                <w:lang w:eastAsia="es-ES"/>
              </w:rPr>
            </w:pPr>
          </w:p>
        </w:tc>
      </w:tr>
      <w:tr w:rsidR="007871E6" w:rsidRPr="00777292" w14:paraId="40276092" w14:textId="77777777" w:rsidTr="000A1473">
        <w:trPr>
          <w:trHeight w:val="884"/>
        </w:trPr>
        <w:tc>
          <w:tcPr>
            <w:tcW w:w="2689" w:type="dxa"/>
          </w:tcPr>
          <w:p w14:paraId="0F612317"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1C8BF449" w14:textId="77777777" w:rsidR="007871E6" w:rsidRPr="00777292" w:rsidRDefault="007871E6" w:rsidP="00C00CDF">
            <w:pPr>
              <w:contextualSpacing/>
              <w:jc w:val="both"/>
              <w:rPr>
                <w:rFonts w:ascii="Verdana" w:eastAsia="Calibri" w:hAnsi="Verdana" w:cs="Arial"/>
                <w:lang w:eastAsia="es-ES"/>
              </w:rPr>
            </w:pPr>
            <w:r>
              <w:rPr>
                <w:rFonts w:ascii="Verdana" w:eastAsia="Calibri" w:hAnsi="Verdana" w:cs="Arial"/>
                <w:lang w:eastAsia="es-ES"/>
              </w:rPr>
              <w:t>INHABILIDADES E INCOMPATIBILIDADES ‒ Fundamento ‒ Taxatividad ‒ Interpretación restrictiva / INCOMPATIBILIDAD DEL LITERAL C) DEL NUMERAL 2 DEL ARTÍCULO 8 DE LA LEY 80 DE 1993 ‒ Cónyuge o compañero permanente ‒ Configuración objetiva / SECRETARIOS DE DESPACHO ‒ Nivel directivo ‒ Entidad territorial ‒ Dependencias sin personería jurídica / INCOMPATIBILIDADES ‒ Ausencia de excepciones ‒ Categoría del municipio ‒ Disponibilidad de personal</w:t>
            </w:r>
          </w:p>
        </w:tc>
      </w:tr>
      <w:tr w:rsidR="007871E6" w:rsidRPr="00777292" w14:paraId="4C249E16" w14:textId="77777777" w:rsidTr="000A1473">
        <w:tc>
          <w:tcPr>
            <w:tcW w:w="2689" w:type="dxa"/>
          </w:tcPr>
          <w:p w14:paraId="41B0A8E4"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314C033A"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 1_2026_08_13_010773</w:t>
            </w:r>
          </w:p>
        </w:tc>
      </w:tr>
    </w:tbl>
    <w:p w14:paraId="33D19FEA"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0BF09965"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283972D0"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 Mesa:</w:t>
      </w:r>
    </w:p>
    <w:p w14:paraId="3EF6551A"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0B2BA17D" w14:textId="76717D9C"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5 de agosto de 2026, trasladada a esta Agencia por el Departamento Administrativo de la Función Pública mediante oficio con radicado No. 20262040291941 del 6 de agosto de 2026, en la cual manifiesta lo siguiente: </w:t>
      </w:r>
    </w:p>
    <w:p w14:paraId="23DEE020"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3848E971"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“puede trabajar una persona mediante contrato de prestacion de servicio en la alcaldia donde el esposo es un secretario de hacienda, pero el supervisor del contrato es el secretario de gobierno y las actividades que desempeña no tienen relación con su esposo, si es un municipio de 6 categoría donde el casi no hay personal profesional para contratar y la mayoría de contratistas vienen de otras departamentos” (sic).</w:t>
      </w:r>
    </w:p>
    <w:p w14:paraId="588A01D8"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4175A92A"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59E78719"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236B7EE"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283AE3E1"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7644EDFA"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4D6A7559"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 solicitud, esta Agencia resolverá el siguiente problema jurídico: ¿Existe inhabilidad o incompatibilidad para que una persona celebre un contrato de prestación de servicios con una alcaldía municipal cuando su cónyuge ejerce como secretario de despacho, aunque este no intervenga en la contratación ni en la supervisión del contrato?</w:t>
      </w:r>
    </w:p>
    <w:p w14:paraId="0365AE62"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6EDF9D6C"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13A71E71"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32121596" w14:textId="77777777" w:rsidTr="000A1473">
        <w:tc>
          <w:tcPr>
            <w:tcW w:w="8828" w:type="dxa"/>
          </w:tcPr>
          <w:p w14:paraId="0D477F3D" w14:textId="77777777" w:rsidR="00F931C4" w:rsidRDefault="00000000">
            <w:pPr>
              <w:spacing w:line="276" w:lineRule="auto"/>
              <w:ind w:firstLine="709"/>
              <w:jc w:val="both"/>
              <w:rPr>
                <w:rFonts w:ascii="Verdana" w:eastAsia="Calibri" w:hAnsi="Verdana" w:cs="Arial"/>
              </w:rPr>
            </w:pPr>
            <w:r>
              <w:rPr>
                <w:rFonts w:ascii="Verdana" w:eastAsia="Calibri" w:hAnsi="Verdana" w:cs="Arial"/>
              </w:rPr>
              <w:t xml:space="preserve">En atención al problema jurídico planteado, es necesario precisar que las inhabilidades e incompatibilidades constituyen restricciones a la capacidad para contratar con las entidades estatales, que solo pueden tipificarse en la Constitución o en la ley, son taxativas y de interpretación restrictiva; esa interpretación restrictiva impide extenderlas a supuestos no previstos, pero </w:t>
            </w:r>
            <w:r>
              <w:rPr>
                <w:rFonts w:ascii="Verdana" w:eastAsia="Calibri" w:hAnsi="Verdana" w:cs="Arial"/>
              </w:rPr>
              <w:lastRenderedPageBreak/>
              <w:t>también impide exceptuar su aplicación por circunstancias que la ley no contempla. Sobre el particular se precisa:</w:t>
            </w:r>
          </w:p>
          <w:p w14:paraId="3C9BC85E" w14:textId="77777777" w:rsidR="00DD0FDA" w:rsidRDefault="00DD0FDA">
            <w:pPr>
              <w:spacing w:line="276" w:lineRule="auto"/>
              <w:ind w:firstLine="709"/>
              <w:jc w:val="both"/>
              <w:rPr>
                <w:rFonts w:ascii="Verdana" w:eastAsia="Calibri" w:hAnsi="Verdana" w:cs="Arial"/>
              </w:rPr>
            </w:pPr>
          </w:p>
          <w:p w14:paraId="0AE904C1" w14:textId="2E473651" w:rsidR="00F931C4" w:rsidRDefault="00000000">
            <w:pPr>
              <w:spacing w:line="276" w:lineRule="auto"/>
              <w:ind w:firstLine="709"/>
              <w:jc w:val="both"/>
              <w:rPr>
                <w:rFonts w:ascii="Verdana" w:eastAsia="Calibri" w:hAnsi="Verdana" w:cs="Arial"/>
              </w:rPr>
            </w:pPr>
            <w:r>
              <w:rPr>
                <w:rFonts w:ascii="Verdana" w:eastAsia="Calibri" w:hAnsi="Verdana" w:cs="Arial"/>
              </w:rPr>
              <w:t>(i) El literal c) del numeral 2 del artículo 8 de la Ley 80 de 1993 impide al cónyuge, compañero o compañera permanente del servidor público de los niveles directivo, asesor o ejecutivo participar en licitaciones y celebrar contratos con la entidad respectiva, esto es, con la entidad estatal contratante en la que dicho servidor ejerce su cargo. Los secretarios de despacho de las entidades territoriales pertenecen al nivel directivo, y las secretarías de hacienda, de gobierno o cualquier otra son dependencias del municipio, que es una sola persona jurídica. En consecuencia, en abstracto, el cónyuge o compañero permanente de un secretario de despacho municipal se encuentra incurso en la referida incompatibilidad respecto de la celebración de contratos —incluidos los de prestación de servicios— con ese mismo municipio.</w:t>
            </w:r>
          </w:p>
          <w:p w14:paraId="56FCC55D" w14:textId="77777777" w:rsidR="005C0BB2" w:rsidRDefault="005C0BB2">
            <w:pPr>
              <w:spacing w:line="276" w:lineRule="auto"/>
              <w:ind w:firstLine="709"/>
              <w:jc w:val="both"/>
              <w:rPr>
                <w:rFonts w:ascii="Verdana" w:eastAsia="Calibri" w:hAnsi="Verdana" w:cs="Arial"/>
              </w:rPr>
            </w:pPr>
          </w:p>
          <w:p w14:paraId="28681F6E" w14:textId="77777777" w:rsidR="00F931C4" w:rsidRDefault="00000000">
            <w:pPr>
              <w:spacing w:line="276" w:lineRule="auto"/>
              <w:ind w:firstLine="709"/>
              <w:jc w:val="both"/>
              <w:rPr>
                <w:rFonts w:ascii="Verdana" w:eastAsia="Calibri" w:hAnsi="Verdana" w:cs="Arial"/>
              </w:rPr>
            </w:pPr>
            <w:r>
              <w:rPr>
                <w:rFonts w:ascii="Verdana" w:eastAsia="Calibri" w:hAnsi="Verdana" w:cs="Arial"/>
              </w:rPr>
              <w:t>(ii) La causal es objetiva: la norma no condiciona su configuración a que el servidor público intervenga en el proceso de contratación, actúe como supervisor del contrato o tenga relación funcional con las actividades contratadas. Por ello, la circunstancia de que la supervisión esté a cargo de una dependencia distinta de aquella que dirige el cónyuge, o de que el objeto contractual no se relacione con las funciones de este, no impide la configuración de la incompatibilidad, cuya finalidad es preservar, de manera preventiva y en abstracto, la transparencia, la imparcialidad y la moralidad administrativa en la contratación de la entidad.</w:t>
            </w:r>
          </w:p>
          <w:p w14:paraId="5F00D761" w14:textId="77777777" w:rsidR="00DD0FDA" w:rsidRDefault="00DD0FDA">
            <w:pPr>
              <w:spacing w:line="276" w:lineRule="auto"/>
              <w:ind w:firstLine="709"/>
              <w:jc w:val="both"/>
              <w:rPr>
                <w:rFonts w:ascii="Verdana" w:eastAsia="Calibri" w:hAnsi="Verdana" w:cs="Arial"/>
              </w:rPr>
            </w:pPr>
          </w:p>
          <w:p w14:paraId="3D8A8518" w14:textId="66E05AF8" w:rsidR="00F931C4" w:rsidRDefault="00000000">
            <w:pPr>
              <w:spacing w:line="276" w:lineRule="auto"/>
              <w:ind w:firstLine="709"/>
              <w:jc w:val="both"/>
              <w:rPr>
                <w:rFonts w:ascii="Verdana" w:eastAsia="Calibri" w:hAnsi="Verdana" w:cs="Arial"/>
              </w:rPr>
            </w:pPr>
            <w:r>
              <w:rPr>
                <w:rFonts w:ascii="Verdana" w:eastAsia="Calibri" w:hAnsi="Verdana" w:cs="Arial"/>
              </w:rPr>
              <w:t>(iii) Las excepciones al régimen de inhabilidades e incompatibilidades son igualmente taxativas. La categoría del municipio, la escasez de personal profesional disponible para contratar o la procedencia de los demás contratistas no están previstas en la ley como circunstancias que enerven la causal, por lo que no habilitan la celebración del contrato. La verificación de la situación particular</w:t>
            </w:r>
            <w:r w:rsidR="005C0BB2">
              <w:rPr>
                <w:rFonts w:ascii="Verdana" w:eastAsia="Calibri" w:hAnsi="Verdana" w:cs="Arial"/>
              </w:rPr>
              <w:t xml:space="preserve">, </w:t>
            </w:r>
            <w:r>
              <w:rPr>
                <w:rFonts w:ascii="Verdana" w:eastAsia="Calibri" w:hAnsi="Verdana" w:cs="Arial"/>
              </w:rPr>
              <w:t>incluida la condición efectiva del servidor y la naturaleza del vínculo</w:t>
            </w:r>
            <w:r w:rsidR="005C0BB2">
              <w:rPr>
                <w:rFonts w:ascii="Verdana" w:eastAsia="Calibri" w:hAnsi="Verdana" w:cs="Arial"/>
              </w:rPr>
              <w:t>,</w:t>
            </w:r>
            <w:r>
              <w:rPr>
                <w:rFonts w:ascii="Verdana" w:eastAsia="Calibri" w:hAnsi="Verdana" w:cs="Arial"/>
              </w:rPr>
              <w:t xml:space="preserve"> corresponde a los partícipes y a la entidad en cada caso concreto.</w:t>
            </w:r>
          </w:p>
          <w:p w14:paraId="26E7369C" w14:textId="77777777" w:rsidR="00DD0FDA" w:rsidRDefault="00DD0FDA">
            <w:pPr>
              <w:spacing w:line="276" w:lineRule="auto"/>
              <w:ind w:firstLine="709"/>
              <w:jc w:val="both"/>
              <w:rPr>
                <w:rFonts w:ascii="Verdana" w:eastAsia="Calibri" w:hAnsi="Verdana" w:cs="Arial"/>
              </w:rPr>
            </w:pPr>
          </w:p>
          <w:p w14:paraId="0620C429" w14:textId="77777777" w:rsidR="00F931C4" w:rsidRDefault="00000000">
            <w:pPr>
              <w:spacing w:line="276" w:lineRule="auto"/>
              <w:ind w:firstLine="709"/>
              <w:jc w:val="both"/>
              <w:rPr>
                <w:rFonts w:ascii="Verdana" w:eastAsia="Calibri" w:hAnsi="Verdana" w:cs="Arial"/>
              </w:rPr>
            </w:pPr>
            <w:r>
              <w:rPr>
                <w:rFonts w:ascii="Verdana" w:eastAsia="Calibri" w:hAnsi="Verdana" w:cs="Arial"/>
              </w:rPr>
              <w:t xml:space="preserve">Dentro de este marco, la entidad contratante definirá en cada caso concreto lo relacionado con el tema objeto de consulta. Al tratarse de un análisis que debe realizarse en un asunto particular y concreto, esta Agencia </w:t>
            </w:r>
            <w:r>
              <w:rPr>
                <w:rFonts w:ascii="Verdana" w:eastAsia="Calibri" w:hAnsi="Verdana" w:cs="Arial"/>
              </w:rPr>
              <w:lastRenderedPageBreak/>
              <w:t>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tc>
      </w:tr>
    </w:tbl>
    <w:p w14:paraId="7AD2FA46"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0AD84705"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26293A66"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16B21BA5"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9DB5272" w14:textId="77777777" w:rsidR="007871E6" w:rsidRPr="00206556" w:rsidRDefault="007871E6" w:rsidP="007871E6">
      <w:pPr>
        <w:spacing w:after="0" w:line="276" w:lineRule="auto"/>
        <w:jc w:val="both"/>
        <w:rPr>
          <w:rFonts w:ascii="Verdana" w:eastAsia="Calibri" w:hAnsi="Verdana" w:cs="Arial"/>
          <w:lang w:val="es-ES"/>
        </w:rPr>
      </w:pPr>
    </w:p>
    <w:p w14:paraId="7DF6C085"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esta Agencia considera necesario partir del fundamento y de las características del régimen de inhabilidades e incompatibilidades en la contratación estatal, para luego examinar los elementos de la causal prevista en el literal c) del numeral 2 del artículo 8 de la Ley 80 de 1993 y su aplicación en la estructura de las entidades territoriales, y, finalmente, analizar la relevancia de las circunstancias mencionadas en la consulta.</w:t>
      </w:r>
    </w:p>
    <w:p w14:paraId="7E4497BD"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artículo 6 de la Ley 80 de 1993 consagra, como regla general, la capacidad de las personas legalmente capaces para celebrar contratos con las entidades estatales. Las inhabilidades e incompatibilidades son excepciones a esa regla, establecidas por el constituyente o el legislador para preservar la moralidad administrativa, la transparencia, la imparcialidad y la prevalencia del interés general. Dentro de ese régimen, el numeral 2 del artículo 8 de la Ley 80 de 1993 –que integra, junto con la Ley 1150 de 2007, el Estatuto General de Contratación de la Administración Pública– dispone, en su encabezado y en su literal c), lo siguiente:</w:t>
      </w:r>
    </w:p>
    <w:p w14:paraId="140C26A8"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“Tampoco podrán participar en licitaciones o concursos ni celebrar contratos estatales con la entidad respectiva: […] c) El cónyuge compañero o compañera permanente del servidor público en los niveles directivo, asesor, ejecutivo, o de un miembro de la junta o consejo directivo, o de quien ejerza funciones de control interno o de control fiscal”.</w:t>
      </w:r>
    </w:p>
    <w:p w14:paraId="287E1D61"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Sobre la naturaleza de estas causales existe línea consolidada de esta Subdirección conforme a la cual las inhabilidades e incompatibilidades, al ser restricciones o límites especiales a la capacidad contractual, solo pueden tipificarse en la ley o la Constitución, son taxativas y su interpretación debe ser </w:t>
      </w:r>
      <w:r>
        <w:rPr>
          <w:rFonts w:ascii="Verdana" w:eastAsia="Times New Roman" w:hAnsi="Verdana" w:cs="Times New Roman"/>
        </w:rPr>
        <w:lastRenderedPageBreak/>
        <w:t>restrictiva</w:t>
      </w:r>
      <w:r>
        <w:rPr>
          <w:rStyle w:val="Refdenotaalpie"/>
          <w:rFonts w:ascii="Verdana" w:eastAsia="Times New Roman" w:hAnsi="Verdana" w:cs="Times New Roman"/>
        </w:rPr>
        <w:footnoteReference w:id="2"/>
      </w:r>
      <w:r>
        <w:rPr>
          <w:rFonts w:ascii="Verdana" w:eastAsia="Times New Roman" w:hAnsi="Verdana" w:cs="Times New Roman"/>
        </w:rPr>
        <w:t>. La interpretación restrictiva, sin embargo, opera en doble vía: así como impide extender las causales a supuestos no previstos por el legislador, también impide dejar de aplicarlas, o crear excepciones por vía interpretativa, cuando los elementos del supuesto de hecho se reúnen; en tal caso la causal se configura plenamente y produce sus efectos, y solo las dudas razonables sobre su configuración se resuelven en el sentido que menos restrinja la capacidad de contratar</w:t>
      </w:r>
      <w:r>
        <w:rPr>
          <w:rStyle w:val="Refdenotaalpie"/>
          <w:rFonts w:ascii="Verdana" w:eastAsia="Times New Roman" w:hAnsi="Verdana" w:cs="Times New Roman"/>
        </w:rPr>
        <w:footnoteReference w:id="3"/>
      </w:r>
      <w:r>
        <w:rPr>
          <w:rFonts w:ascii="Verdana" w:eastAsia="Times New Roman" w:hAnsi="Verdana" w:cs="Times New Roman"/>
        </w:rPr>
        <w:t>.</w:t>
      </w:r>
    </w:p>
    <w:p w14:paraId="0939E57D"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La causal del literal c) exige la concurrencia de tres elementos: (a) el vínculo matrimonial o la unión marital de hecho con un servidor público; (b) que dicho servidor pertenezca a los niveles directivo, asesor o ejecutivo, sea miembro de la junta o consejo directivo, o ejerza funciones de control interno o de control fiscal; y (c) que tal condición se ostente en la entidad con la cual se pretende participar en el proceso de selección o celebrar el contrato. En las entidades territoriales, los empleos de secretario de despacho pertenecen al nivel directivo, conforme a la clasificación del artículo 4 del Decreto 785 de 2005, que comprende los empleos cuyas funciones corresponden a la dirección general, la formulación de políticas institucionales y la adopción de planes, programas y proyectos</w:t>
      </w:r>
      <w:r>
        <w:rPr>
          <w:rStyle w:val="Refdenotaalpie"/>
          <w:rFonts w:ascii="Verdana" w:eastAsia="Times New Roman" w:hAnsi="Verdana" w:cs="Times New Roman"/>
        </w:rPr>
        <w:footnoteReference w:id="4"/>
      </w:r>
      <w:r>
        <w:rPr>
          <w:rFonts w:ascii="Verdana" w:eastAsia="Times New Roman" w:hAnsi="Verdana" w:cs="Times New Roman"/>
        </w:rPr>
        <w:t>. Adicionalmente, las secretarías de despacho —de hacienda, de gobierno o cualquier otra— no son personas jurídicas distintas del municipio: son dependencias de su estructura administrativa, de modo que la entidad contratante es el municipio en su conjunto, cualquiera que sea la secretaría u ordenador del gasto que adelante el proceso o la dependencia que ejerza la supervisión. En ese orden, en abstracto, el cónyuge o compañero permanente de un secretario de despacho municipal se encuentra incurso en la incompatibilidad del literal c) respecto de la celebración de contratos con ese mismo municipio, incluidos los contratos de prestación de servicios</w:t>
      </w:r>
      <w:r>
        <w:rPr>
          <w:rStyle w:val="Refdenotaalpie"/>
          <w:rFonts w:ascii="Verdana" w:eastAsia="Times New Roman" w:hAnsi="Verdana" w:cs="Times New Roman"/>
        </w:rPr>
        <w:footnoteReference w:id="5"/>
      </w:r>
      <w:r>
        <w:rPr>
          <w:rFonts w:ascii="Verdana" w:eastAsia="Times New Roman" w:hAnsi="Verdana" w:cs="Times New Roman"/>
        </w:rPr>
        <w:t>.</w:t>
      </w:r>
    </w:p>
    <w:p w14:paraId="0D259852"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La configuración de la causal es objetiva. El literal c) no exige que el servidor público con quien existe el vínculo participe en la etapa precontractual, integre el comité evaluador, funja como supervisor del contrato o tenga relación funcional alguna con su objeto: la prohibición opera por la sola concurrencia de los elementos descritos, pues su finalidad es preventiva y busca preservar, en abstracto, la transparencia, la imparcialidad, la igualdad de los oferentes y la moralidad administrativa, evitando incluso la apariencia de que el vínculo con un servidor de dirección pueda influir en la contratación de la entidad. Por ello, la circunstancia de que la supervisión del contrato esté a cargo de un secretario distinto, o de que las actividades contratadas no se relacionen con las funciones del cónyuge servidor, no impide la configuración de la incompatibilidad.</w:t>
      </w:r>
    </w:p>
    <w:p w14:paraId="76514632"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Tampoco la enervan la categoría del municipio ni la disponibilidad de personal profesional. Las excepciones al régimen de inhabilidades e incompatibilidades son taxativas, como las contempladas en el artículo 10 de la Ley 80 de 1993 para quienes contratan por obligación legal, para el uso de bienes o servicios que las entidades ofrezcan al público en condiciones comunes, y demás supuestos allí previstos</w:t>
      </w:r>
      <w:r>
        <w:rPr>
          <w:rStyle w:val="Refdenotaalpie"/>
          <w:rFonts w:ascii="Verdana" w:eastAsia="Times New Roman" w:hAnsi="Verdana" w:cs="Times New Roman"/>
        </w:rPr>
        <w:footnoteReference w:id="6"/>
      </w:r>
      <w:r>
        <w:rPr>
          <w:rFonts w:ascii="Verdana" w:eastAsia="Times New Roman" w:hAnsi="Verdana" w:cs="Times New Roman"/>
        </w:rPr>
        <w:t>. Ninguna disposición del Estatuto General de Contratación de la Administración Pública exceptúa la aplicación del literal c) en los municipios de sexta categoría, ni por razón de la escasez de personal profesional en el territorio o de la procedencia de los demás contratistas; admitir tales excepciones equivaldría a crearlas por vía interpretativa, en contravía de la taxatividad del régimen.</w:t>
      </w:r>
    </w:p>
    <w:p w14:paraId="26FEE626"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conviene precisar que el análisis efectuado se refiere a la causal consultada y no agota el examen que corresponde a los partícipes en cada caso: la verificación de la condición efectiva del servidor, de la naturaleza del vínculo y de la eventual concurrencia de otras causales de inhabilidad o incompatibilidad —incluidas las previstas en los regímenes especiales de las entidades territoriales— o de conflictos de interés, corresponde a los interesados y a la entidad contratante al momento de adelantar el respectivo proceso.</w:t>
      </w:r>
    </w:p>
    <w:p w14:paraId="17CB33C2"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w:t>
      </w:r>
      <w:r>
        <w:rPr>
          <w:rFonts w:ascii="Verdana" w:eastAsia="Times New Roman" w:hAnsi="Verdana" w:cs="Times New Roman"/>
        </w:rPr>
        <w:lastRenderedPageBreak/>
        <w:t>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cada entidad definirá, en ejercicio de su competencia y previa valoración de los elementos fácticos y jurídicos de su proceso, la forma de adelantar su gestión contractual, sin que sea atribución de Colombia Compra Eficiente validar sus actuaciones.</w:t>
      </w:r>
    </w:p>
    <w:p w14:paraId="698D489B" w14:textId="77777777" w:rsidR="007871E6" w:rsidRPr="00EE1130" w:rsidRDefault="007871E6" w:rsidP="00EE1130">
      <w:pPr>
        <w:spacing w:after="0" w:line="276" w:lineRule="auto"/>
        <w:jc w:val="both"/>
        <w:rPr>
          <w:rFonts w:ascii="Verdana" w:eastAsia="Calibri" w:hAnsi="Verdana" w:cs="Arial"/>
        </w:rPr>
      </w:pPr>
    </w:p>
    <w:p w14:paraId="6C2745D0"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9AE1ECB"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0DB3D2DB" w14:textId="77777777" w:rsidTr="000A1473">
        <w:trPr>
          <w:trHeight w:val="297"/>
        </w:trPr>
        <w:tc>
          <w:tcPr>
            <w:tcW w:w="8647" w:type="dxa"/>
          </w:tcPr>
          <w:p w14:paraId="67E030AE"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209 y 311.</w:t>
            </w:r>
          </w:p>
          <w:p w14:paraId="1EB8625F"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6, 8 y 10.</w:t>
            </w:r>
          </w:p>
          <w:p w14:paraId="22A2A437"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w:t>
            </w:r>
          </w:p>
          <w:p w14:paraId="54829351"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785 de 2005. Artículo 4.</w:t>
            </w:r>
          </w:p>
          <w:p w14:paraId="305A7340"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19043C83"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tc>
      </w:tr>
    </w:tbl>
    <w:p w14:paraId="46ACD028"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6EBA7C00"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0333F44E"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7B3001D0" w14:textId="77777777" w:rsidR="00F931C4" w:rsidRDefault="00000000">
      <w:pPr>
        <w:spacing w:after="120" w:line="276" w:lineRule="auto"/>
        <w:jc w:val="both"/>
        <w:rPr>
          <w:rFonts w:ascii="Verdana" w:hAnsi="Verdana"/>
        </w:rPr>
      </w:pPr>
      <w:r>
        <w:rPr>
          <w:rFonts w:ascii="Verdana" w:hAnsi="Verdana"/>
        </w:rPr>
        <w:t>Sobre el fundamento, la taxatividad y la interpretación restrictiva de las inhabilidades e incompatibilidades, y sobre las causales del numeral 2 del artículo 8 de la Ley 80 de 1993, esta Subdirección se pronunció, entre otros, en los Conceptos C-884 del 14 de agosto de 2025, C-1107 del 17 de septiembre de 2025, C-1111 del 11 de septiembre de 2025 y C-981 del 30 de julio de 2026. Estos y otros conceptos se encuentran disponibles para consulta en el Sistema de relatoría de la Agencia, al cual se puede acceder a través del siguiente enlace: https://relatoria.colombiacompra.gov.co/busqueda/conceptos</w:t>
      </w:r>
    </w:p>
    <w:p w14:paraId="7BC29294"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727E3F02"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w:t>
      </w:r>
      <w:r>
        <w:rPr>
          <w:rFonts w:ascii="Verdana" w:hAnsi="Verdana" w:cs="Arial"/>
          <w:shd w:val="clear" w:color="auto" w:fill="FFFFFF"/>
        </w:rPr>
        <w:lastRenderedPageBreak/>
        <w:t xml:space="preserve">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70442AAE" w14:textId="77777777" w:rsidR="007871E6" w:rsidRPr="001B3CBA" w:rsidRDefault="007871E6">
      <w:pPr>
        <w:spacing w:after="0" w:line="276" w:lineRule="auto"/>
        <w:jc w:val="both"/>
        <w:rPr>
          <w:rFonts w:ascii="Verdana" w:hAnsi="Verdana" w:cs="Arial"/>
          <w:shd w:val="clear" w:color="auto" w:fill="FFFFFF"/>
        </w:rPr>
      </w:pPr>
    </w:p>
    <w:p w14:paraId="02265844"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1414D058" w14:textId="77777777" w:rsidR="007871E6" w:rsidRPr="00EE1130" w:rsidRDefault="007871E6">
      <w:pPr>
        <w:spacing w:after="0" w:line="276" w:lineRule="auto"/>
        <w:jc w:val="both"/>
        <w:rPr>
          <w:rFonts w:ascii="Verdana" w:hAnsi="Verdana" w:cs="Arial"/>
          <w:shd w:val="clear" w:color="auto" w:fill="FFFFFF"/>
        </w:rPr>
      </w:pPr>
    </w:p>
    <w:p w14:paraId="7D8976D1"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1DA01F46"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22DC70E9"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7DE4621F" w14:textId="77777777" w:rsidR="007871E6" w:rsidRPr="00EE1130" w:rsidRDefault="007871E6" w:rsidP="003248CC">
      <w:pPr>
        <w:spacing w:after="0" w:line="276" w:lineRule="auto"/>
        <w:jc w:val="both"/>
        <w:rPr>
          <w:rFonts w:ascii="Verdana" w:hAnsi="Verdana" w:cs="Arial"/>
          <w:shd w:val="clear" w:color="auto" w:fill="FFFFFF"/>
        </w:rPr>
      </w:pPr>
    </w:p>
    <w:p w14:paraId="3D954A67"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23543719"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70D28036"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68D986B"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111D2401"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25FAF9C1"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84C2E37" w14:textId="77777777" w:rsidR="007871E6" w:rsidRPr="00EE1130" w:rsidRDefault="007871E6">
      <w:pPr>
        <w:widowControl w:val="0"/>
        <w:autoSpaceDE w:val="0"/>
        <w:autoSpaceDN w:val="0"/>
        <w:spacing w:after="0" w:line="276" w:lineRule="auto"/>
        <w:jc w:val="both"/>
        <w:rPr>
          <w:rFonts w:ascii="Verdana" w:hAnsi="Verdana" w:cs="Arial"/>
          <w:lang w:val="es-ES"/>
        </w:rPr>
      </w:pPr>
    </w:p>
    <w:p w14:paraId="0D95CA4D"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467EA90A" w14:textId="7611230B" w:rsidR="007871E6" w:rsidRPr="00206556" w:rsidRDefault="00AD5A64" w:rsidP="007871E6">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0A7A5D6D" wp14:editId="1F3428AE">
            <wp:extent cx="3639058" cy="1343212"/>
            <wp:effectExtent l="0" t="0" r="0" b="0"/>
            <wp:docPr id="106811950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19509"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0427BFE6" w14:textId="77777777" w:rsidR="007871E6" w:rsidRPr="00206556" w:rsidRDefault="007871E6" w:rsidP="003248C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63F97A7E" w14:textId="77777777" w:rsidTr="000A1473">
        <w:trPr>
          <w:trHeight w:val="322"/>
        </w:trPr>
        <w:tc>
          <w:tcPr>
            <w:tcW w:w="733" w:type="dxa"/>
            <w:tcBorders>
              <w:top w:val="nil"/>
              <w:left w:val="nil"/>
              <w:bottom w:val="nil"/>
              <w:right w:val="nil"/>
            </w:tcBorders>
            <w:vAlign w:val="center"/>
            <w:hideMark/>
          </w:tcPr>
          <w:p w14:paraId="03F9972D"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9294ACE"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60276FD0"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41B5B4AE" w14:textId="77777777" w:rsidTr="000A1473">
        <w:trPr>
          <w:trHeight w:val="322"/>
        </w:trPr>
        <w:tc>
          <w:tcPr>
            <w:tcW w:w="733" w:type="dxa"/>
            <w:tcBorders>
              <w:top w:val="nil"/>
              <w:left w:val="nil"/>
              <w:bottom w:val="nil"/>
              <w:right w:val="nil"/>
            </w:tcBorders>
            <w:vAlign w:val="center"/>
            <w:hideMark/>
          </w:tcPr>
          <w:p w14:paraId="74DD1E3E"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1DE34FF" w14:textId="3A74B086" w:rsidR="007871E6" w:rsidRPr="00206556" w:rsidRDefault="00DD0FD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Adriana </w:t>
            </w:r>
            <w:proofErr w:type="spellStart"/>
            <w:r>
              <w:rPr>
                <w:rFonts w:ascii="Verdana" w:eastAsia="Times New Roman" w:hAnsi="Verdana" w:cs="Arial"/>
                <w:sz w:val="16"/>
                <w:szCs w:val="16"/>
                <w:lang w:val="es-ES_tradnl" w:eastAsia="es-ES"/>
              </w:rPr>
              <w:t>Katerine</w:t>
            </w:r>
            <w:proofErr w:type="spellEnd"/>
            <w:r>
              <w:rPr>
                <w:rFonts w:ascii="Verdana" w:eastAsia="Times New Roman" w:hAnsi="Verdana" w:cs="Arial"/>
                <w:sz w:val="16"/>
                <w:szCs w:val="16"/>
                <w:lang w:val="es-ES_tradnl" w:eastAsia="es-ES"/>
              </w:rPr>
              <w:t xml:space="preserve"> López</w:t>
            </w:r>
            <w:r w:rsidR="005C0BB2">
              <w:rPr>
                <w:rFonts w:ascii="Verdana" w:eastAsia="Times New Roman" w:hAnsi="Verdana" w:cs="Arial"/>
                <w:sz w:val="16"/>
                <w:szCs w:val="16"/>
                <w:lang w:val="es-ES_tradnl" w:eastAsia="es-ES"/>
              </w:rPr>
              <w:t xml:space="preserve"> Rodríguez</w:t>
            </w:r>
          </w:p>
          <w:p w14:paraId="24A3F9DF"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325DB337" w14:textId="77777777" w:rsidTr="000A1473">
        <w:trPr>
          <w:trHeight w:val="307"/>
        </w:trPr>
        <w:tc>
          <w:tcPr>
            <w:tcW w:w="733" w:type="dxa"/>
            <w:tcBorders>
              <w:top w:val="nil"/>
              <w:left w:val="nil"/>
              <w:bottom w:val="nil"/>
              <w:right w:val="nil"/>
            </w:tcBorders>
            <w:vAlign w:val="center"/>
            <w:hideMark/>
          </w:tcPr>
          <w:p w14:paraId="72E15ACA"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A64E095"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1B088EDF"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4FB11348"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573D83E0"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6DF91698"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07E4A67B" w14:textId="77777777" w:rsidR="002A0DD0" w:rsidRPr="007871E6" w:rsidRDefault="002A0DD0" w:rsidP="30821638">
      <w:pPr>
        <w:spacing w:after="0" w:line="240" w:lineRule="auto"/>
        <w:jc w:val="both"/>
        <w:rPr>
          <w:rFonts w:ascii="Verdana" w:eastAsia="Verdana" w:hAnsi="Verdana" w:cs="Verdana"/>
          <w:b/>
          <w:bCs/>
        </w:rPr>
      </w:pPr>
    </w:p>
    <w:p w14:paraId="69D36777"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E353591"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3BD02" w14:textId="77777777" w:rsidR="00DF5ED1" w:rsidRDefault="00DF5ED1" w:rsidP="004A1847">
      <w:pPr>
        <w:spacing w:after="0" w:line="240" w:lineRule="auto"/>
      </w:pPr>
      <w:r>
        <w:separator/>
      </w:r>
    </w:p>
  </w:endnote>
  <w:endnote w:type="continuationSeparator" w:id="0">
    <w:p w14:paraId="514243E4" w14:textId="77777777" w:rsidR="00DF5ED1" w:rsidRDefault="00DF5ED1" w:rsidP="004A1847">
      <w:pPr>
        <w:spacing w:after="0" w:line="240" w:lineRule="auto"/>
      </w:pPr>
      <w:r>
        <w:continuationSeparator/>
      </w:r>
    </w:p>
  </w:endnote>
  <w:endnote w:type="continuationNotice" w:id="1">
    <w:p w14:paraId="2ADD85F8" w14:textId="77777777" w:rsidR="00DF5ED1" w:rsidRDefault="00DF5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2304C" w14:textId="77777777" w:rsidR="004A1847" w:rsidRDefault="004A1847">
    <w:pPr>
      <w:pStyle w:val="Piedepgina"/>
    </w:pPr>
  </w:p>
  <w:p w14:paraId="1573C5A7"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5725CD4"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F5FFD97"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0907C20"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6D557" w14:textId="77777777" w:rsidR="00DF5ED1" w:rsidRDefault="00DF5ED1" w:rsidP="004A1847">
      <w:pPr>
        <w:spacing w:after="0" w:line="240" w:lineRule="auto"/>
      </w:pPr>
      <w:r>
        <w:separator/>
      </w:r>
    </w:p>
  </w:footnote>
  <w:footnote w:type="continuationSeparator" w:id="0">
    <w:p w14:paraId="562244FD" w14:textId="77777777" w:rsidR="00DF5ED1" w:rsidRDefault="00DF5ED1" w:rsidP="004A1847">
      <w:pPr>
        <w:spacing w:after="0" w:line="240" w:lineRule="auto"/>
      </w:pPr>
      <w:r>
        <w:continuationSeparator/>
      </w:r>
    </w:p>
  </w:footnote>
  <w:footnote w:type="continuationNotice" w:id="1">
    <w:p w14:paraId="2D7CDFE0" w14:textId="77777777" w:rsidR="00DF5ED1" w:rsidRDefault="00DF5ED1">
      <w:pPr>
        <w:spacing w:after="0" w:line="240" w:lineRule="auto"/>
      </w:pPr>
    </w:p>
  </w:footnote>
  <w:footnote w:id="2">
    <w:p w14:paraId="5BA33565"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 C-1107 del 17 de septiembre de 2025: “las inhabilidades e incompatibilidades al ser restricciones o límites especiales […] solo pueden tipificarse en la ley o la Constitución […] y su interpretación debe ser restrictiva”. En el mismo sentido, Concepto C-1111 del 11 de septiembre de 2025.</w:t>
      </w:r>
    </w:p>
  </w:footnote>
  <w:footnote w:id="3">
    <w:p w14:paraId="1F444626"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 C-884 del 14 de agosto de 2025, sobre la aplicación del principio pro libertate en la interpretación de las causales.</w:t>
      </w:r>
    </w:p>
  </w:footnote>
  <w:footnote w:id="4">
    <w:p w14:paraId="1943ED35"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785 de 2005, artículo 4, sobre la clasificación por niveles jerárquicos de los empleos de las entidades territoriales; la nomenclatura del nivel directivo comprende, entre otros, el empleo de secretario de despacho.</w:t>
      </w:r>
    </w:p>
  </w:footnote>
  <w:footnote w:id="5">
    <w:p w14:paraId="5DEFD614"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 C-981 del 30 de julio de 2026, en el que, a propósito de la causal del literal b) del numeral 2 del artículo 8 de la Ley 80 de 1993, se precisó la condición de servidor público del nivel directivo para efectos de estas causales.</w:t>
      </w:r>
    </w:p>
  </w:footnote>
  <w:footnote w:id="6">
    <w:p w14:paraId="54F4B693"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10, sobre los supuestos exceptuados del régimen de inhabilidades e incompatibilidades.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2222"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DC66BA4" wp14:editId="201C5F8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7B897590" wp14:editId="6370060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6C83A5C" w14:textId="77777777" w:rsidR="00756841" w:rsidRDefault="00756841">
    <w:pPr>
      <w:pStyle w:val="Encabezado"/>
    </w:pPr>
  </w:p>
  <w:p w14:paraId="3A73A441" w14:textId="77777777" w:rsidR="004A305D" w:rsidRPr="004A305D" w:rsidRDefault="004A305D" w:rsidP="00B01B1A">
    <w:pPr>
      <w:spacing w:after="0" w:line="120" w:lineRule="auto"/>
      <w:rPr>
        <w:rFonts w:ascii="Century Gothic" w:eastAsia="Geo" w:hAnsi="Century Gothic" w:cs="Geo"/>
        <w:sz w:val="16"/>
        <w:szCs w:val="16"/>
        <w:lang w:eastAsia="es-CO"/>
      </w:rPr>
    </w:pPr>
  </w:p>
  <w:p w14:paraId="01711A5F" w14:textId="77777777" w:rsidR="00C925AC" w:rsidRDefault="00C925AC" w:rsidP="00844AE9">
    <w:pPr>
      <w:spacing w:after="0" w:line="240" w:lineRule="auto"/>
      <w:rPr>
        <w:rFonts w:ascii="Verdana" w:hAnsi="Verdana"/>
        <w:sz w:val="24"/>
        <w:szCs w:val="24"/>
      </w:rPr>
    </w:pPr>
  </w:p>
  <w:p w14:paraId="6B0D704C" w14:textId="77777777" w:rsidR="00A14468" w:rsidRPr="00C925AC" w:rsidRDefault="00A14468" w:rsidP="00844AE9">
    <w:pPr>
      <w:spacing w:after="0" w:line="240" w:lineRule="auto"/>
      <w:rPr>
        <w:rFonts w:ascii="Verdana" w:hAnsi="Verdana"/>
        <w:sz w:val="24"/>
        <w:szCs w:val="24"/>
      </w:rPr>
    </w:pPr>
  </w:p>
  <w:p w14:paraId="7D99FFE1"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4891"/>
    <w:rsid w:val="00046945"/>
    <w:rsid w:val="00061B2A"/>
    <w:rsid w:val="000706F1"/>
    <w:rsid w:val="00082362"/>
    <w:rsid w:val="000A683E"/>
    <w:rsid w:val="000B19B9"/>
    <w:rsid w:val="000D0334"/>
    <w:rsid w:val="000D5DA7"/>
    <w:rsid w:val="000F4313"/>
    <w:rsid w:val="000F6486"/>
    <w:rsid w:val="00116940"/>
    <w:rsid w:val="00125105"/>
    <w:rsid w:val="00127233"/>
    <w:rsid w:val="0015699B"/>
    <w:rsid w:val="001868CD"/>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2BF8"/>
    <w:rsid w:val="002E4FD9"/>
    <w:rsid w:val="002F15DA"/>
    <w:rsid w:val="00300EA6"/>
    <w:rsid w:val="0030657A"/>
    <w:rsid w:val="00321092"/>
    <w:rsid w:val="00322A85"/>
    <w:rsid w:val="00324168"/>
    <w:rsid w:val="003248CC"/>
    <w:rsid w:val="00330834"/>
    <w:rsid w:val="003448F4"/>
    <w:rsid w:val="00366EF7"/>
    <w:rsid w:val="00374F5E"/>
    <w:rsid w:val="00377E3E"/>
    <w:rsid w:val="003A779E"/>
    <w:rsid w:val="003D0F4D"/>
    <w:rsid w:val="003D5B0D"/>
    <w:rsid w:val="003E0499"/>
    <w:rsid w:val="003E05FC"/>
    <w:rsid w:val="003E281C"/>
    <w:rsid w:val="003E4F80"/>
    <w:rsid w:val="003E6439"/>
    <w:rsid w:val="003F3941"/>
    <w:rsid w:val="00406575"/>
    <w:rsid w:val="00414C74"/>
    <w:rsid w:val="0042722E"/>
    <w:rsid w:val="00430FA2"/>
    <w:rsid w:val="00430FE2"/>
    <w:rsid w:val="0044528D"/>
    <w:rsid w:val="00465584"/>
    <w:rsid w:val="00466E39"/>
    <w:rsid w:val="00467E7D"/>
    <w:rsid w:val="00485BA6"/>
    <w:rsid w:val="004A1847"/>
    <w:rsid w:val="004A305D"/>
    <w:rsid w:val="004D0406"/>
    <w:rsid w:val="004F21C4"/>
    <w:rsid w:val="004F685F"/>
    <w:rsid w:val="0052334E"/>
    <w:rsid w:val="00540C3A"/>
    <w:rsid w:val="005544FB"/>
    <w:rsid w:val="005566E8"/>
    <w:rsid w:val="00567481"/>
    <w:rsid w:val="00574867"/>
    <w:rsid w:val="00574FCA"/>
    <w:rsid w:val="00575F54"/>
    <w:rsid w:val="00591460"/>
    <w:rsid w:val="005A65E0"/>
    <w:rsid w:val="005B1993"/>
    <w:rsid w:val="005C0BB2"/>
    <w:rsid w:val="005C3777"/>
    <w:rsid w:val="005C5CDC"/>
    <w:rsid w:val="005D476C"/>
    <w:rsid w:val="00607073"/>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D2B1C"/>
    <w:rsid w:val="007E5497"/>
    <w:rsid w:val="007F167A"/>
    <w:rsid w:val="00806F5F"/>
    <w:rsid w:val="00820278"/>
    <w:rsid w:val="008258C9"/>
    <w:rsid w:val="00840403"/>
    <w:rsid w:val="00844AE9"/>
    <w:rsid w:val="00867F95"/>
    <w:rsid w:val="008843B6"/>
    <w:rsid w:val="00890E35"/>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B2D26"/>
    <w:rsid w:val="009C71FA"/>
    <w:rsid w:val="009C72E7"/>
    <w:rsid w:val="009C7F7E"/>
    <w:rsid w:val="009D1776"/>
    <w:rsid w:val="009D3058"/>
    <w:rsid w:val="009F3A13"/>
    <w:rsid w:val="00A122D3"/>
    <w:rsid w:val="00A14468"/>
    <w:rsid w:val="00A17F13"/>
    <w:rsid w:val="00A20739"/>
    <w:rsid w:val="00A23AF9"/>
    <w:rsid w:val="00A33C78"/>
    <w:rsid w:val="00AA3569"/>
    <w:rsid w:val="00AA4FEB"/>
    <w:rsid w:val="00AB0ADB"/>
    <w:rsid w:val="00AB15F5"/>
    <w:rsid w:val="00AD5A64"/>
    <w:rsid w:val="00B00C0E"/>
    <w:rsid w:val="00B01B1A"/>
    <w:rsid w:val="00B0381D"/>
    <w:rsid w:val="00B154FA"/>
    <w:rsid w:val="00B44A47"/>
    <w:rsid w:val="00B72CD3"/>
    <w:rsid w:val="00B72FFF"/>
    <w:rsid w:val="00BC3D36"/>
    <w:rsid w:val="00BC57BE"/>
    <w:rsid w:val="00BD54A6"/>
    <w:rsid w:val="00BD7F72"/>
    <w:rsid w:val="00BF2DD4"/>
    <w:rsid w:val="00BF7425"/>
    <w:rsid w:val="00C00CDF"/>
    <w:rsid w:val="00C04FB3"/>
    <w:rsid w:val="00C11D8B"/>
    <w:rsid w:val="00C15139"/>
    <w:rsid w:val="00C330EB"/>
    <w:rsid w:val="00C50D69"/>
    <w:rsid w:val="00C5365C"/>
    <w:rsid w:val="00C62946"/>
    <w:rsid w:val="00C754BE"/>
    <w:rsid w:val="00C76B1C"/>
    <w:rsid w:val="00C925AC"/>
    <w:rsid w:val="00CB6357"/>
    <w:rsid w:val="00CC1B26"/>
    <w:rsid w:val="00CF5DED"/>
    <w:rsid w:val="00D13655"/>
    <w:rsid w:val="00D361FD"/>
    <w:rsid w:val="00D423A2"/>
    <w:rsid w:val="00D44E26"/>
    <w:rsid w:val="00D520D8"/>
    <w:rsid w:val="00D63AC2"/>
    <w:rsid w:val="00D66164"/>
    <w:rsid w:val="00D7383B"/>
    <w:rsid w:val="00D7788A"/>
    <w:rsid w:val="00D80BA0"/>
    <w:rsid w:val="00DA231B"/>
    <w:rsid w:val="00DC39FC"/>
    <w:rsid w:val="00DD0FDA"/>
    <w:rsid w:val="00DD19AE"/>
    <w:rsid w:val="00DD71D8"/>
    <w:rsid w:val="00DF5254"/>
    <w:rsid w:val="00DF5ED1"/>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158E3"/>
    <w:rsid w:val="00F23FEA"/>
    <w:rsid w:val="00F31EDC"/>
    <w:rsid w:val="00F462B3"/>
    <w:rsid w:val="00F5664F"/>
    <w:rsid w:val="00F61940"/>
    <w:rsid w:val="00F666C4"/>
    <w:rsid w:val="00F76AFC"/>
    <w:rsid w:val="00F91202"/>
    <w:rsid w:val="00F931C4"/>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5DC4A"/>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1AEA81-1BFD-43F1-82C5-18613DC49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10</Pages>
  <Words>3151</Words>
  <Characters>17332</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20443</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2026-08-31T22:29:00Z</dcterms:created>
  <dcterms:modified xsi:type="dcterms:W3CDTF">2026-09-21T16:39:00Z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