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BB08" w14:textId="77777777" w:rsidR="0080447A" w:rsidRPr="009C3027" w:rsidRDefault="0080447A" w:rsidP="00526AF5">
      <w:pPr>
        <w:jc w:val="both"/>
        <w:rPr>
          <w:rFonts w:ascii="Verdana" w:eastAsia="Verdana" w:hAnsi="Verdana" w:cs="Verdana"/>
          <w:b/>
          <w:bCs/>
          <w:sz w:val="22"/>
          <w:szCs w:val="22"/>
          <w:lang w:val="es-MX" w:eastAsia="en-US"/>
        </w:rPr>
      </w:pPr>
      <w:bookmarkStart w:id="0" w:name="_Hlk143780582"/>
      <w:r w:rsidRPr="009C3027">
        <w:rPr>
          <w:rFonts w:ascii="Verdana" w:eastAsia="Verdana" w:hAnsi="Verdana" w:cs="Verdana"/>
          <w:b/>
          <w:bCs/>
          <w:sz w:val="22"/>
          <w:szCs w:val="22"/>
          <w:lang w:val="es-MX" w:eastAsia="en-US"/>
        </w:rPr>
        <w:t>INHABILIDADES ─ Definición ─ Finalidad ─ Limitación capacidad contractual</w:t>
      </w:r>
    </w:p>
    <w:p w14:paraId="1EE462D9" w14:textId="77777777" w:rsidR="0080447A" w:rsidRPr="009C3027" w:rsidRDefault="0080447A" w:rsidP="00526AF5">
      <w:pPr>
        <w:jc w:val="both"/>
        <w:rPr>
          <w:rFonts w:ascii="Verdana" w:eastAsia="Verdana" w:hAnsi="Verdana" w:cs="Verdana"/>
          <w:sz w:val="20"/>
          <w:szCs w:val="20"/>
          <w:lang w:val="es-MX" w:eastAsia="en-US"/>
        </w:rPr>
      </w:pPr>
    </w:p>
    <w:p w14:paraId="724CA7FD" w14:textId="26228234" w:rsidR="009C3027" w:rsidRPr="009C3027" w:rsidRDefault="009C3027" w:rsidP="00526AF5">
      <w:pPr>
        <w:jc w:val="both"/>
        <w:rPr>
          <w:rFonts w:ascii="Verdana" w:eastAsia="Verdana" w:hAnsi="Verdana" w:cs="Verdana"/>
          <w:iCs/>
          <w:sz w:val="20"/>
          <w:szCs w:val="20"/>
          <w:lang w:val="es-ES" w:eastAsia="en-US"/>
        </w:rPr>
      </w:pPr>
      <w:r w:rsidRPr="009C3027">
        <w:rPr>
          <w:rFonts w:ascii="Verdana" w:eastAsia="Verdana" w:hAnsi="Verdana" w:cs="Verdana"/>
          <w:sz w:val="20"/>
          <w:szCs w:val="20"/>
          <w:lang w:val="es-MX" w:eastAsia="en-US"/>
        </w:rPr>
        <w:t xml:space="preserve">Las inhabilidades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 </w:t>
      </w:r>
    </w:p>
    <w:p w14:paraId="01D57B31" w14:textId="66B3B85B" w:rsidR="009C3027" w:rsidRPr="009C3027" w:rsidRDefault="009C3027" w:rsidP="00526AF5">
      <w:pPr>
        <w:jc w:val="both"/>
        <w:rPr>
          <w:rFonts w:ascii="Verdana" w:eastAsia="Verdana" w:hAnsi="Verdana" w:cs="Verdana"/>
          <w:iCs/>
          <w:sz w:val="20"/>
          <w:szCs w:val="20"/>
          <w:lang w:val="es-ES_tradnl" w:eastAsia="en-US"/>
        </w:rPr>
      </w:pPr>
      <w:r w:rsidRPr="009C3027">
        <w:rPr>
          <w:rFonts w:ascii="Verdana" w:eastAsia="Verdana" w:hAnsi="Verdana" w:cs="Verdana"/>
          <w:iCs/>
          <w:sz w:val="20"/>
          <w:szCs w:val="20"/>
          <w:lang w:val="es-ES_tradnl" w:eastAsia="en-US"/>
        </w:rPr>
        <w:t xml:space="preserve">[…] </w:t>
      </w:r>
    </w:p>
    <w:p w14:paraId="75E3B807" w14:textId="77777777" w:rsidR="009C3027" w:rsidRPr="009C3027" w:rsidRDefault="009C3027" w:rsidP="00526AF5">
      <w:pPr>
        <w:jc w:val="both"/>
        <w:rPr>
          <w:rFonts w:ascii="Verdana" w:eastAsia="Verdana" w:hAnsi="Verdana" w:cs="Verdana"/>
          <w:sz w:val="20"/>
          <w:szCs w:val="20"/>
          <w:lang w:val="es-MX" w:eastAsia="en-US"/>
        </w:rPr>
      </w:pPr>
      <w:r w:rsidRPr="009C3027">
        <w:rPr>
          <w:rFonts w:ascii="Verdana" w:eastAsia="Verdana" w:hAnsi="Verdana" w:cs="Verdana"/>
          <w:sz w:val="20"/>
          <w:szCs w:val="20"/>
          <w:lang w:val="es-MX" w:eastAsia="en-US"/>
        </w:rPr>
        <w:t>Las inhabilidades e incompatibilidades pueden enfocarse en varios asuntos: en primer lugar, se encuentran las inhabilidades e incompatibilidades que impiden que u</w:t>
      </w:r>
      <w:proofErr w:type="spellStart"/>
      <w:r w:rsidRPr="009C3027">
        <w:rPr>
          <w:rFonts w:ascii="Verdana" w:eastAsia="Verdana" w:hAnsi="Verdana" w:cs="Verdana"/>
          <w:sz w:val="20"/>
          <w:szCs w:val="20"/>
          <w:lang w:eastAsia="en-US"/>
        </w:rPr>
        <w:t>na</w:t>
      </w:r>
      <w:proofErr w:type="spellEnd"/>
      <w:r w:rsidRPr="009C3027">
        <w:rPr>
          <w:rFonts w:ascii="Verdana" w:eastAsia="Verdana" w:hAnsi="Verdana" w:cs="Verdana"/>
          <w:sz w:val="20"/>
          <w:szCs w:val="20"/>
          <w:lang w:eastAsia="en-US"/>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9C3027">
        <w:rPr>
          <w:rFonts w:ascii="Verdana" w:eastAsia="Verdana" w:hAnsi="Verdana" w:cs="Verdana"/>
          <w:sz w:val="20"/>
          <w:szCs w:val="20"/>
          <w:lang w:val="es-MX" w:eastAsia="en-US"/>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con lo expuesto, se señala que la Agencia Nacional de Contratación Pública es competente para resolver consultas sobre normas del sistema de compras y contratación públicas que establezca inhabilidades e incompatibilidades para contratar con el Estado. </w:t>
      </w:r>
    </w:p>
    <w:p w14:paraId="576A6EBF" w14:textId="77777777" w:rsidR="009C3027" w:rsidRPr="009C3027" w:rsidRDefault="009C3027" w:rsidP="00526AF5">
      <w:pPr>
        <w:jc w:val="both"/>
        <w:rPr>
          <w:rFonts w:ascii="Verdana" w:eastAsia="Verdana" w:hAnsi="Verdana" w:cs="Verdana"/>
          <w:b/>
          <w:bCs/>
          <w:sz w:val="20"/>
          <w:szCs w:val="20"/>
          <w:lang w:val="es-MX" w:eastAsia="en-US"/>
        </w:rPr>
      </w:pPr>
    </w:p>
    <w:p w14:paraId="0115FB00" w14:textId="77777777" w:rsidR="0080447A" w:rsidRPr="00592414" w:rsidRDefault="0080447A" w:rsidP="00526AF5">
      <w:pPr>
        <w:jc w:val="both"/>
        <w:rPr>
          <w:rFonts w:ascii="Verdana" w:eastAsia="Verdana" w:hAnsi="Verdana" w:cs="Verdana"/>
          <w:b/>
          <w:bCs/>
          <w:sz w:val="22"/>
          <w:szCs w:val="22"/>
          <w:lang w:val="es-ES_tradnl" w:eastAsia="en-US"/>
        </w:rPr>
      </w:pPr>
      <w:r w:rsidRPr="00592414">
        <w:rPr>
          <w:rFonts w:ascii="Verdana" w:eastAsia="Verdana" w:hAnsi="Verdana" w:cs="Verdana"/>
          <w:b/>
          <w:bCs/>
          <w:sz w:val="22"/>
          <w:szCs w:val="22"/>
          <w:lang w:val="es-ES_tradnl" w:eastAsia="en-US"/>
        </w:rPr>
        <w:t>INHABILIDADES – Taxatividad – Principio de legalidad – Interpretación restrictiva</w:t>
      </w:r>
      <w:r w:rsidRPr="00592414" w:rsidDel="00A75E55">
        <w:rPr>
          <w:rFonts w:ascii="Verdana" w:eastAsia="Verdana" w:hAnsi="Verdana" w:cs="Verdana"/>
          <w:b/>
          <w:bCs/>
          <w:sz w:val="22"/>
          <w:szCs w:val="22"/>
          <w:lang w:val="es-ES_tradnl" w:eastAsia="en-US"/>
        </w:rPr>
        <w:t xml:space="preserve"> </w:t>
      </w:r>
    </w:p>
    <w:p w14:paraId="2B2710C3" w14:textId="77777777" w:rsidR="0080447A" w:rsidRPr="00526AF5" w:rsidRDefault="0080447A" w:rsidP="00526AF5">
      <w:pPr>
        <w:jc w:val="both"/>
        <w:rPr>
          <w:rFonts w:ascii="Verdana" w:eastAsia="Verdana" w:hAnsi="Verdana" w:cs="Verdana"/>
          <w:sz w:val="20"/>
          <w:szCs w:val="20"/>
          <w:lang w:val="es-ES_tradnl" w:eastAsia="en-US"/>
        </w:rPr>
      </w:pPr>
    </w:p>
    <w:p w14:paraId="0AC924B2" w14:textId="731B5F39" w:rsidR="00526AF5" w:rsidRPr="00526AF5" w:rsidRDefault="00526AF5" w:rsidP="00526AF5">
      <w:pPr>
        <w:jc w:val="both"/>
        <w:rPr>
          <w:rFonts w:ascii="Verdana" w:eastAsia="Verdana" w:hAnsi="Verdana" w:cs="Verdana"/>
          <w:sz w:val="20"/>
          <w:szCs w:val="20"/>
          <w:lang w:val="es-ES_tradnl" w:eastAsia="en-US"/>
        </w:rPr>
      </w:pPr>
      <w:r w:rsidRPr="00526AF5">
        <w:rPr>
          <w:rFonts w:ascii="Verdana" w:eastAsia="Verdana" w:hAnsi="Verdana" w:cs="Verdana"/>
          <w:sz w:val="20"/>
          <w:szCs w:val="20"/>
          <w:lang w:val="es-ES_tradnl" w:eastAsia="en-US"/>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526AF5">
        <w:rPr>
          <w:rFonts w:ascii="Verdana" w:eastAsia="Verdana" w:hAnsi="Verdana" w:cs="Verdana"/>
          <w:i/>
          <w:iCs/>
          <w:sz w:val="20"/>
          <w:szCs w:val="20"/>
          <w:lang w:val="es-ES_tradnl" w:eastAsia="en-US"/>
        </w:rPr>
        <w:t xml:space="preserve">restrictiva, </w:t>
      </w:r>
      <w:r w:rsidRPr="00526AF5">
        <w:rPr>
          <w:rFonts w:ascii="Verdana" w:eastAsia="Verdana" w:hAnsi="Verdana" w:cs="Verdana"/>
          <w:sz w:val="20"/>
          <w:szCs w:val="20"/>
          <w:lang w:val="es-ES_tradnl" w:eastAsia="en-US"/>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286EC64" w14:textId="77777777" w:rsidR="00526AF5" w:rsidRPr="00526AF5" w:rsidRDefault="00526AF5" w:rsidP="00526AF5">
      <w:pPr>
        <w:jc w:val="both"/>
        <w:rPr>
          <w:rFonts w:ascii="Verdana" w:eastAsia="Verdana" w:hAnsi="Verdana" w:cs="Verdana"/>
          <w:sz w:val="20"/>
          <w:szCs w:val="20"/>
          <w:lang w:val="es-ES_tradnl" w:eastAsia="en-US"/>
        </w:rPr>
      </w:pPr>
    </w:p>
    <w:p w14:paraId="6191721D" w14:textId="032A41E2" w:rsidR="00526AF5" w:rsidRPr="00526AF5" w:rsidRDefault="00526AF5" w:rsidP="00526AF5">
      <w:pPr>
        <w:jc w:val="both"/>
        <w:rPr>
          <w:rFonts w:ascii="Verdana" w:eastAsia="Verdana" w:hAnsi="Verdana" w:cs="Verdana"/>
          <w:sz w:val="20"/>
          <w:szCs w:val="20"/>
          <w:lang w:val="es-ES_tradnl" w:eastAsia="en-US"/>
        </w:rPr>
      </w:pPr>
      <w:r w:rsidRPr="00526AF5">
        <w:rPr>
          <w:rFonts w:ascii="Verdana" w:eastAsia="Verdana" w:hAnsi="Verdana" w:cs="Verdana"/>
          <w:sz w:val="20"/>
          <w:szCs w:val="20"/>
          <w:lang w:val="es-ES_tradnl" w:eastAsia="en-US"/>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w:t>
      </w:r>
    </w:p>
    <w:p w14:paraId="36DB012E" w14:textId="77777777" w:rsidR="00526AF5" w:rsidRPr="00526AF5" w:rsidRDefault="00526AF5" w:rsidP="00526AF5">
      <w:pPr>
        <w:jc w:val="both"/>
        <w:rPr>
          <w:rFonts w:ascii="Verdana" w:eastAsia="Verdana" w:hAnsi="Verdana" w:cs="Verdana"/>
          <w:b/>
          <w:bCs/>
          <w:sz w:val="20"/>
          <w:szCs w:val="20"/>
          <w:lang w:val="es-ES_tradnl" w:eastAsia="en-US"/>
        </w:rPr>
      </w:pPr>
    </w:p>
    <w:p w14:paraId="1B85AFA3" w14:textId="77777777" w:rsidR="0080447A" w:rsidRPr="00592414" w:rsidRDefault="0080447A" w:rsidP="00592414">
      <w:pPr>
        <w:spacing w:line="259" w:lineRule="auto"/>
        <w:jc w:val="both"/>
        <w:rPr>
          <w:rFonts w:ascii="Verdana" w:eastAsia="Verdana" w:hAnsi="Verdana" w:cs="Verdana"/>
          <w:b/>
          <w:bCs/>
          <w:sz w:val="22"/>
          <w:szCs w:val="22"/>
          <w:lang w:val="es-ES" w:eastAsia="en-US"/>
        </w:rPr>
      </w:pPr>
      <w:r w:rsidRPr="00592414">
        <w:rPr>
          <w:rFonts w:ascii="Verdana" w:eastAsia="Verdana" w:hAnsi="Verdana" w:cs="Verdana"/>
          <w:b/>
          <w:bCs/>
          <w:sz w:val="22"/>
          <w:szCs w:val="22"/>
          <w:lang w:val="es-ES" w:eastAsia="en-US"/>
        </w:rPr>
        <w:t xml:space="preserve">SELECCIÓN OBJETIVA – Alcance </w:t>
      </w:r>
    </w:p>
    <w:p w14:paraId="6970BBB8" w14:textId="43B67405" w:rsidR="00526AF5" w:rsidRDefault="00526AF5" w:rsidP="00526AF5">
      <w:pPr>
        <w:jc w:val="both"/>
        <w:rPr>
          <w:rFonts w:ascii="Verdana" w:eastAsia="Verdana" w:hAnsi="Verdana" w:cs="Verdana"/>
          <w:sz w:val="20"/>
          <w:szCs w:val="20"/>
          <w:lang w:eastAsia="en-US"/>
        </w:rPr>
      </w:pPr>
      <w:r w:rsidRPr="00526AF5">
        <w:rPr>
          <w:rFonts w:ascii="Verdana" w:eastAsia="Verdana" w:hAnsi="Verdana" w:cs="Verdana"/>
          <w:sz w:val="20"/>
          <w:szCs w:val="20"/>
          <w:lang w:eastAsia="en-US"/>
        </w:rPr>
        <w:lastRenderedPageBreak/>
        <w:t xml:space="preserve">Por otra parte, es importante señalar que, uno de los principios transversales de los procedimientos de selección es el de </w:t>
      </w:r>
      <w:r w:rsidRPr="00526AF5">
        <w:rPr>
          <w:rFonts w:ascii="Verdana" w:eastAsia="Verdana" w:hAnsi="Verdana" w:cs="Verdana"/>
          <w:i/>
          <w:sz w:val="20"/>
          <w:szCs w:val="20"/>
          <w:lang w:eastAsia="en-US"/>
        </w:rPr>
        <w:t>selección objetiva</w:t>
      </w:r>
      <w:r w:rsidRPr="00526AF5">
        <w:rPr>
          <w:rFonts w:ascii="Verdana" w:eastAsia="Verdana" w:hAnsi="Verdana" w:cs="Verdana"/>
          <w:sz w:val="20"/>
          <w:szCs w:val="20"/>
          <w:lang w:eastAsia="en-US"/>
        </w:rPr>
        <w:t>. Se trata del postulado que exige que la escogencia de la oferta ganadora deba fundamentarse en factores objetivos, de carácter técnico, jurídico y financiero, y no en criterios subjetivos, como el afecto, la amistad, el ánimo de ayuda, el interés personal, entre otros. Si bien dentro de la historia de la contratación pública en Colombia se vislumbran antecedentes normativos que consagraban dicho principio, en la actualidad la disposición legal que lo prevé de manera más clara y contundente es el artículo 5 de la Ley 1150 de 2007, modificado por el artículo 88 de la Ley 1474 de 2011 y por el artículo 5 de la Ley 1882 de 2018.</w:t>
      </w:r>
    </w:p>
    <w:p w14:paraId="26451B36" w14:textId="77777777" w:rsidR="00526AF5" w:rsidRPr="00526AF5" w:rsidRDefault="00526AF5" w:rsidP="00526AF5">
      <w:pPr>
        <w:jc w:val="both"/>
        <w:rPr>
          <w:rFonts w:ascii="Verdana" w:eastAsia="Verdana" w:hAnsi="Verdana" w:cs="Verdana"/>
          <w:sz w:val="20"/>
          <w:szCs w:val="20"/>
          <w:lang w:val="es-ES" w:eastAsia="en-US"/>
        </w:rPr>
      </w:pPr>
    </w:p>
    <w:p w14:paraId="24DE6187" w14:textId="77777777" w:rsidR="00526AF5" w:rsidRDefault="00526AF5" w:rsidP="00526AF5">
      <w:pPr>
        <w:jc w:val="both"/>
        <w:rPr>
          <w:rFonts w:ascii="Verdana" w:eastAsia="Verdana" w:hAnsi="Verdana" w:cs="Verdana"/>
          <w:sz w:val="20"/>
          <w:szCs w:val="20"/>
          <w:lang w:eastAsia="en-US"/>
        </w:rPr>
      </w:pPr>
      <w:r w:rsidRPr="00526AF5">
        <w:rPr>
          <w:rFonts w:ascii="Verdana" w:eastAsia="Verdana" w:hAnsi="Verdana" w:cs="Verdana"/>
          <w:sz w:val="20"/>
          <w:szCs w:val="20"/>
          <w:lang w:eastAsia="en-US"/>
        </w:rPr>
        <w:t>Para garantizar la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la selección objetiva se encuentra ligada a la obligación que tienen las entidades estatales de permitir la subsanación de los requisitos de participación, bajo las condiciones indicadas en la ley, antes de tomar la decisión de rechazar las propuestas que hayan omitido la observancia de requisitos no necesarios para la comparación de las ofertas.</w:t>
      </w:r>
    </w:p>
    <w:p w14:paraId="50773CCC" w14:textId="77777777" w:rsidR="00526AF5" w:rsidRPr="00526AF5" w:rsidRDefault="00526AF5" w:rsidP="00526AF5">
      <w:pPr>
        <w:jc w:val="both"/>
        <w:rPr>
          <w:rFonts w:ascii="Verdana" w:eastAsia="Verdana" w:hAnsi="Verdana" w:cs="Verdana"/>
          <w:sz w:val="20"/>
          <w:szCs w:val="20"/>
          <w:lang w:val="es-ES" w:eastAsia="en-US"/>
        </w:rPr>
      </w:pPr>
    </w:p>
    <w:p w14:paraId="0EFEBB8E" w14:textId="77777777" w:rsidR="00592414" w:rsidRPr="00592414" w:rsidRDefault="0080447A" w:rsidP="00592414">
      <w:pPr>
        <w:spacing w:line="259" w:lineRule="auto"/>
        <w:jc w:val="both"/>
        <w:rPr>
          <w:rFonts w:ascii="Verdana" w:eastAsia="Verdana" w:hAnsi="Verdana" w:cs="Verdana"/>
          <w:b/>
          <w:bCs/>
          <w:sz w:val="22"/>
          <w:szCs w:val="22"/>
          <w:lang w:val="es-ES" w:eastAsia="en-US"/>
        </w:rPr>
      </w:pPr>
      <w:r w:rsidRPr="00592414">
        <w:rPr>
          <w:rFonts w:ascii="Verdana" w:eastAsia="Verdana" w:hAnsi="Verdana" w:cs="Verdana"/>
          <w:b/>
          <w:bCs/>
          <w:sz w:val="22"/>
          <w:szCs w:val="22"/>
          <w:lang w:val="es-ES" w:eastAsia="en-US"/>
        </w:rPr>
        <w:t xml:space="preserve">CAUSALES DE RECHAZO – Alcance </w:t>
      </w:r>
    </w:p>
    <w:p w14:paraId="601D526D" w14:textId="77777777" w:rsidR="00592414" w:rsidRPr="00592414" w:rsidRDefault="00592414" w:rsidP="00592414">
      <w:pPr>
        <w:spacing w:line="259" w:lineRule="auto"/>
        <w:jc w:val="both"/>
        <w:rPr>
          <w:rFonts w:ascii="Verdana" w:eastAsia="Verdana" w:hAnsi="Verdana" w:cs="Verdana"/>
          <w:b/>
          <w:bCs/>
          <w:sz w:val="22"/>
          <w:szCs w:val="22"/>
          <w:lang w:val="es-ES" w:eastAsia="en-US"/>
        </w:rPr>
      </w:pPr>
    </w:p>
    <w:p w14:paraId="0964315C" w14:textId="77777777" w:rsidR="00526AF5" w:rsidRPr="00526AF5" w:rsidRDefault="00526AF5" w:rsidP="00526AF5">
      <w:pPr>
        <w:jc w:val="both"/>
        <w:rPr>
          <w:rFonts w:ascii="Verdana" w:eastAsia="Verdana" w:hAnsi="Verdana" w:cs="Verdana"/>
          <w:sz w:val="20"/>
          <w:szCs w:val="20"/>
          <w:lang w:eastAsia="en-US"/>
        </w:rPr>
      </w:pPr>
      <w:r w:rsidRPr="00526AF5">
        <w:rPr>
          <w:rFonts w:ascii="Verdana" w:eastAsia="Verdana" w:hAnsi="Verdana" w:cs="Verdana"/>
          <w:sz w:val="20"/>
          <w:szCs w:val="20"/>
          <w:lang w:eastAsia="en-US"/>
        </w:rPr>
        <w:t xml:space="preserve">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En ese orden de ideas, el rechazo de las ofertas debe provenir entre otros factores, de la imposibilidad de hacer una escogencia favorable a la entidad estatal y a los fines que ella busca en cumplimiento del deber de selección objetiva, que garantiza la libertad de competencia regulado en el artículo 333 constitucional. </w:t>
      </w:r>
    </w:p>
    <w:p w14:paraId="6A457485" w14:textId="77777777" w:rsidR="00526AF5" w:rsidRDefault="00526AF5" w:rsidP="00526AF5">
      <w:pPr>
        <w:jc w:val="both"/>
        <w:rPr>
          <w:rFonts w:ascii="Verdana" w:eastAsia="Verdana" w:hAnsi="Verdana" w:cs="Verdana"/>
          <w:sz w:val="20"/>
          <w:szCs w:val="20"/>
          <w:lang w:eastAsia="en-US"/>
        </w:rPr>
      </w:pPr>
    </w:p>
    <w:p w14:paraId="63C64254" w14:textId="5B5BC29A" w:rsidR="00526AF5" w:rsidRPr="00526AF5" w:rsidRDefault="00526AF5" w:rsidP="00526AF5">
      <w:pPr>
        <w:jc w:val="both"/>
        <w:rPr>
          <w:rFonts w:ascii="Verdana" w:eastAsia="Verdana" w:hAnsi="Verdana" w:cs="Verdana"/>
          <w:sz w:val="20"/>
          <w:szCs w:val="20"/>
          <w:lang w:val="es-ES" w:eastAsia="en-US"/>
        </w:rPr>
      </w:pPr>
      <w:r w:rsidRPr="00526AF5">
        <w:rPr>
          <w:rFonts w:ascii="Verdana" w:eastAsia="Verdana" w:hAnsi="Verdana" w:cs="Verdana"/>
          <w:sz w:val="20"/>
          <w:szCs w:val="20"/>
          <w:lang w:eastAsia="en-US"/>
        </w:rPr>
        <w:t>En este sentido, resulta pertinente efectuar un análisis bajo el principio de proporcionalidad, a fin de determinar si el incumplimiento en la actualización del registro profesional por parte del contador del proponente puede constituirse en una causal de rechazo dentro de un proceso de contratación pública. Dicho examen debe considerar, por un lado, la finalidad de la exigencia normativa de mantener vigente y actualizado el registro, como garantía de idoneidad y habilitación para el ejercicio de la profesión contable. Por otro lado, debe ponderarse el impacto que la omisión pueda tener sobre la capacidad real del proponente para cumplir con las obligaciones contractuales, evitando que una exigencia meramente formal se convierta en un obstáculo desproporcionado frente al derecho de participación en la contratación estatal. En este contexto, resulta necesario examinar el papel que cumplen tanto el registro profesional del Contador Público y con ello los antecedentes expedidos por la Junta Central de Contadores dentro de los procesos de contratación pública.</w:t>
      </w:r>
    </w:p>
    <w:p w14:paraId="1765EB27" w14:textId="77777777" w:rsidR="00592414" w:rsidRPr="00592414" w:rsidRDefault="00592414" w:rsidP="00592414">
      <w:pPr>
        <w:spacing w:line="259" w:lineRule="auto"/>
        <w:jc w:val="both"/>
        <w:rPr>
          <w:rFonts w:ascii="Verdana" w:eastAsia="Verdana" w:hAnsi="Verdana" w:cs="Verdana"/>
          <w:b/>
          <w:bCs/>
          <w:sz w:val="22"/>
          <w:szCs w:val="22"/>
          <w:lang w:val="es-ES" w:eastAsia="en-US"/>
        </w:rPr>
      </w:pPr>
    </w:p>
    <w:p w14:paraId="13AD4F80" w14:textId="77777777" w:rsidR="00592414" w:rsidRPr="00592414" w:rsidRDefault="0080447A" w:rsidP="00592414">
      <w:pPr>
        <w:spacing w:line="259" w:lineRule="auto"/>
        <w:jc w:val="both"/>
        <w:rPr>
          <w:rFonts w:ascii="Verdana" w:eastAsia="Verdana" w:hAnsi="Verdana" w:cs="Verdana"/>
          <w:b/>
          <w:bCs/>
          <w:sz w:val="22"/>
          <w:szCs w:val="22"/>
          <w:lang w:val="es-ES" w:eastAsia="en-US"/>
        </w:rPr>
      </w:pPr>
      <w:r w:rsidRPr="00592414">
        <w:rPr>
          <w:rFonts w:ascii="Verdana" w:eastAsia="Verdana" w:hAnsi="Verdana" w:cs="Verdana"/>
          <w:b/>
          <w:bCs/>
          <w:sz w:val="22"/>
          <w:szCs w:val="22"/>
          <w:lang w:val="es-ES" w:eastAsia="en-US"/>
        </w:rPr>
        <w:t xml:space="preserve">CAPACIDAD DE ORGANIZACIÓN – Acreditación </w:t>
      </w:r>
    </w:p>
    <w:p w14:paraId="07BE5611" w14:textId="77777777" w:rsidR="00592414" w:rsidRPr="00592414" w:rsidRDefault="00592414" w:rsidP="00592414">
      <w:pPr>
        <w:spacing w:line="259" w:lineRule="auto"/>
        <w:jc w:val="both"/>
        <w:rPr>
          <w:rFonts w:ascii="Verdana" w:eastAsia="Verdana" w:hAnsi="Verdana" w:cs="Verdana"/>
          <w:b/>
          <w:bCs/>
          <w:sz w:val="22"/>
          <w:szCs w:val="22"/>
          <w:lang w:val="es-ES" w:eastAsia="en-US"/>
        </w:rPr>
      </w:pPr>
    </w:p>
    <w:p w14:paraId="769D457A" w14:textId="4DC0289A" w:rsidR="00592414" w:rsidRDefault="00D12958" w:rsidP="00D12958">
      <w:pPr>
        <w:jc w:val="both"/>
        <w:rPr>
          <w:rFonts w:ascii="Verdana" w:eastAsia="Verdana" w:hAnsi="Verdana" w:cs="Verdana"/>
          <w:sz w:val="20"/>
          <w:szCs w:val="20"/>
          <w:lang w:eastAsia="en-US"/>
        </w:rPr>
      </w:pPr>
      <w:r w:rsidRPr="00D12958">
        <w:rPr>
          <w:rFonts w:ascii="Verdana" w:eastAsia="Verdana" w:hAnsi="Verdana" w:cs="Verdana"/>
          <w:sz w:val="20"/>
          <w:szCs w:val="20"/>
          <w:lang w:eastAsia="en-US"/>
        </w:rPr>
        <w:t xml:space="preserve">Ahora bien, para acreditar la Capacidad de la Organización, el proponente obligado a tener RUP debe presentar los siguientes documentos: i) estado de resultados integral -estado de resultado o pérdida o ganancias- del año en que hayan obtenido el mayor ingreso operacional en los últimos cinco (5) años o de los años de vida del oferente, según corresponda, debidamente firmado por el representante legal y el contador público bajo cuya responsabilidad se han preparado y por el revisor fiscal o, en caso de no haberlo, por no estar obligado a tenerlo, por contador público independiente, acompañados de su dictamen, de conformidad con el artículo 38 de la Ley 222 de 1995; </w:t>
      </w:r>
      <w:proofErr w:type="spellStart"/>
      <w:r w:rsidRPr="00D12958">
        <w:rPr>
          <w:rFonts w:ascii="Verdana" w:eastAsia="Verdana" w:hAnsi="Verdana" w:cs="Verdana"/>
          <w:sz w:val="20"/>
          <w:szCs w:val="20"/>
          <w:lang w:eastAsia="en-US"/>
        </w:rPr>
        <w:t>ii</w:t>
      </w:r>
      <w:proofErr w:type="spellEnd"/>
      <w:r w:rsidRPr="00D12958">
        <w:rPr>
          <w:rFonts w:ascii="Verdana" w:eastAsia="Verdana" w:hAnsi="Verdana" w:cs="Verdana"/>
          <w:sz w:val="20"/>
          <w:szCs w:val="20"/>
          <w:lang w:eastAsia="en-US"/>
        </w:rPr>
        <w:t>) copia de la tarjeta profesional y certificado de antecedentes disciplinarios vigentes de los Contadores Públicos, Revisores Fiscales, Contadores independientes (externos), quienes suscribieron los documentos señalados en el presente literal</w:t>
      </w:r>
      <w:r>
        <w:rPr>
          <w:rFonts w:ascii="Verdana" w:eastAsia="Verdana" w:hAnsi="Verdana" w:cs="Verdana"/>
          <w:sz w:val="20"/>
          <w:szCs w:val="20"/>
          <w:lang w:eastAsia="en-US"/>
        </w:rPr>
        <w:t>.</w:t>
      </w:r>
    </w:p>
    <w:p w14:paraId="103775E4" w14:textId="77777777" w:rsidR="00D12958" w:rsidRPr="00D12958" w:rsidRDefault="00D12958" w:rsidP="00D12958">
      <w:pPr>
        <w:jc w:val="both"/>
        <w:rPr>
          <w:rFonts w:ascii="Verdana" w:eastAsia="Verdana" w:hAnsi="Verdana" w:cs="Verdana"/>
          <w:sz w:val="20"/>
          <w:szCs w:val="20"/>
          <w:lang w:val="es-ES" w:eastAsia="en-US"/>
        </w:rPr>
      </w:pPr>
    </w:p>
    <w:p w14:paraId="3EAEF97F" w14:textId="025DD706" w:rsidR="00592414" w:rsidRPr="00592414" w:rsidRDefault="0080447A" w:rsidP="00592414">
      <w:pPr>
        <w:spacing w:line="259" w:lineRule="auto"/>
        <w:jc w:val="both"/>
        <w:rPr>
          <w:rFonts w:ascii="Verdana" w:eastAsia="Verdana" w:hAnsi="Verdana" w:cs="Verdana"/>
          <w:b/>
          <w:bCs/>
          <w:sz w:val="22"/>
          <w:szCs w:val="22"/>
          <w:lang w:val="es-ES" w:eastAsia="en-US"/>
        </w:rPr>
      </w:pPr>
      <w:r w:rsidRPr="00592414">
        <w:rPr>
          <w:rFonts w:ascii="Verdana" w:eastAsia="Verdana" w:hAnsi="Verdana" w:cs="Verdana"/>
          <w:b/>
          <w:bCs/>
          <w:sz w:val="22"/>
          <w:szCs w:val="22"/>
          <w:lang w:eastAsia="en-US"/>
        </w:rPr>
        <w:t>CERTIFICADO DE VIGENCIA DE INSCRIPCIÓN Y DE ANTECEDENTES DISCIPLINARIOS</w:t>
      </w:r>
      <w:r w:rsidR="004B65B2">
        <w:rPr>
          <w:rFonts w:ascii="Verdana" w:eastAsia="Verdana" w:hAnsi="Verdana" w:cs="Verdana"/>
          <w:b/>
          <w:bCs/>
          <w:sz w:val="22"/>
          <w:szCs w:val="22"/>
          <w:lang w:val="es-ES" w:eastAsia="en-US"/>
        </w:rPr>
        <w:t xml:space="preserve"> </w:t>
      </w:r>
      <w:r w:rsidR="004B65B2" w:rsidRPr="004B65B2">
        <w:rPr>
          <w:rFonts w:ascii="Verdana" w:eastAsia="Verdana" w:hAnsi="Verdana" w:cs="Verdana"/>
          <w:b/>
          <w:bCs/>
          <w:sz w:val="22"/>
          <w:szCs w:val="22"/>
          <w:lang w:val="es-ES" w:eastAsia="en-US"/>
        </w:rPr>
        <w:t>–</w:t>
      </w:r>
      <w:r w:rsidR="004B65B2">
        <w:rPr>
          <w:rFonts w:ascii="Verdana" w:eastAsia="Verdana" w:hAnsi="Verdana" w:cs="Verdana"/>
          <w:b/>
          <w:bCs/>
          <w:sz w:val="22"/>
          <w:szCs w:val="22"/>
          <w:lang w:val="es-ES" w:eastAsia="en-US"/>
        </w:rPr>
        <w:t xml:space="preserve"> </w:t>
      </w:r>
      <w:r w:rsidRPr="00592414">
        <w:rPr>
          <w:rFonts w:ascii="Verdana" w:eastAsia="Verdana" w:hAnsi="Verdana" w:cs="Verdana"/>
          <w:b/>
          <w:bCs/>
          <w:sz w:val="22"/>
          <w:szCs w:val="22"/>
          <w:lang w:val="es-ES" w:eastAsia="en-US"/>
        </w:rPr>
        <w:t xml:space="preserve">Contador Público </w:t>
      </w:r>
      <w:r w:rsidR="004B65B2" w:rsidRPr="004B65B2">
        <w:rPr>
          <w:rFonts w:ascii="Verdana" w:eastAsia="Verdana" w:hAnsi="Verdana" w:cs="Verdana"/>
          <w:b/>
          <w:bCs/>
          <w:sz w:val="22"/>
          <w:szCs w:val="22"/>
          <w:lang w:val="es-ES" w:eastAsia="en-US"/>
        </w:rPr>
        <w:t>–</w:t>
      </w:r>
      <w:r w:rsidRPr="00592414">
        <w:rPr>
          <w:rFonts w:ascii="Verdana" w:eastAsia="Verdana" w:hAnsi="Verdana" w:cs="Verdana"/>
          <w:b/>
          <w:bCs/>
          <w:sz w:val="22"/>
          <w:szCs w:val="22"/>
          <w:lang w:val="es-ES" w:eastAsia="en-US"/>
        </w:rPr>
        <w:t xml:space="preserve"> Deber de actualización – Antecedentes disciplinarios </w:t>
      </w:r>
    </w:p>
    <w:p w14:paraId="5B443EEF" w14:textId="77777777" w:rsidR="00592414" w:rsidRPr="002754C0" w:rsidRDefault="00592414" w:rsidP="002754C0">
      <w:pPr>
        <w:jc w:val="both"/>
        <w:rPr>
          <w:rFonts w:ascii="Verdana" w:eastAsia="Verdana" w:hAnsi="Verdana" w:cs="Verdana"/>
          <w:sz w:val="20"/>
          <w:szCs w:val="20"/>
          <w:lang w:val="es-ES" w:eastAsia="en-US"/>
        </w:rPr>
      </w:pPr>
    </w:p>
    <w:p w14:paraId="63C27F4A" w14:textId="77777777" w:rsidR="002754C0" w:rsidRPr="002754C0" w:rsidRDefault="002754C0" w:rsidP="002754C0">
      <w:pPr>
        <w:jc w:val="both"/>
        <w:rPr>
          <w:rFonts w:ascii="Verdana" w:eastAsia="Verdana" w:hAnsi="Verdana" w:cs="Verdana"/>
          <w:sz w:val="20"/>
          <w:szCs w:val="20"/>
          <w:lang w:eastAsia="en-US"/>
        </w:rPr>
      </w:pPr>
      <w:r w:rsidRPr="002754C0">
        <w:rPr>
          <w:rFonts w:ascii="Verdana" w:eastAsia="Verdana" w:hAnsi="Verdana" w:cs="Verdana"/>
          <w:sz w:val="20"/>
          <w:szCs w:val="20"/>
          <w:lang w:eastAsia="en-US"/>
        </w:rPr>
        <w:t xml:space="preserve">Para ello, hay que tener en cuenta la Resolución D-0035-2024 del 19 de junio de 2024, “Por la cual se derogan las Resoluciones 000-0973 del 23 de diciembre de 2015, 000-1002 del 18 de diciembre de 2017, 000-1794 de 2021 y se establecen los requisitos y el procedimiento en línea para la inscripción en el registro profesional y expedición de la tarjeta profesional de Contador Público o tarjeta de las entidades que presten servicios propios de la ciencia contable, modificación o cancelación de registro profesional, al igual que los Certificados de Vigencia de Inscripción y de Antecedentes Disciplinarios”. </w:t>
      </w:r>
    </w:p>
    <w:p w14:paraId="3E62C75C" w14:textId="77777777" w:rsidR="002754C0" w:rsidRDefault="002754C0" w:rsidP="002754C0">
      <w:pPr>
        <w:jc w:val="both"/>
        <w:rPr>
          <w:rFonts w:ascii="Verdana" w:eastAsia="Verdana" w:hAnsi="Verdana" w:cs="Verdana"/>
          <w:sz w:val="20"/>
          <w:szCs w:val="20"/>
          <w:lang w:eastAsia="en-US"/>
        </w:rPr>
      </w:pPr>
    </w:p>
    <w:p w14:paraId="379A1D04" w14:textId="51E44CCA" w:rsidR="002754C0" w:rsidRPr="002754C0" w:rsidRDefault="002754C0" w:rsidP="002754C0">
      <w:pPr>
        <w:jc w:val="both"/>
        <w:rPr>
          <w:rFonts w:ascii="Verdana" w:eastAsia="Verdana" w:hAnsi="Verdana" w:cs="Verdana"/>
          <w:sz w:val="20"/>
          <w:szCs w:val="20"/>
          <w:lang w:eastAsia="en-US"/>
        </w:rPr>
      </w:pPr>
      <w:r w:rsidRPr="002754C0">
        <w:rPr>
          <w:rFonts w:ascii="Verdana" w:eastAsia="Verdana" w:hAnsi="Verdana" w:cs="Verdana"/>
          <w:sz w:val="20"/>
          <w:szCs w:val="20"/>
          <w:lang w:eastAsia="en-US"/>
        </w:rPr>
        <w:t>Al respecto, se destaca que el artículo 25 de la precitada Resolución prescribe: “Los Contadores Públicos y las entidades que presten servicios propios de la ciencia contable a los cuales se les hubiere expedido la tarjeta profesional o tarjeta de registro profesional, según sea el caso, deberán actualizar los datos registrados, de forma anual y antes del primero (1°) de Marzo de cada año, a través de la página web de la Entidad”. En tal sentido, dicho artículo establece una obligación periódica para los contadores públicos y las entidades que prestan servicios contables: deben actualizar anualmente, antes del 1° de marzo, los datos registrados en la Junta Central de Contadores a través de la página web de la entidad. Esta exigencia busca mantener vigente y confiable la información profesional, garantizando que los registros reflejen la situación real de quienes ejercen la contaduría pública. En la práctica, el cumplimiento de este deber posibilita a la autoridad verificar la idoneidad y habilitación de los profesionales, facilita el control disciplinario y asegura transparencia en los procesos en los que intervienen, en especial, en escenarios como la contratación pública y la presentación de estados financieros.</w:t>
      </w:r>
    </w:p>
    <w:p w14:paraId="42A52CA3" w14:textId="77777777" w:rsidR="002754C0" w:rsidRDefault="002754C0" w:rsidP="002754C0">
      <w:pPr>
        <w:jc w:val="both"/>
        <w:rPr>
          <w:rFonts w:ascii="Verdana" w:eastAsia="Verdana" w:hAnsi="Verdana" w:cs="Verdana"/>
          <w:sz w:val="20"/>
          <w:szCs w:val="20"/>
          <w:lang w:eastAsia="en-US"/>
        </w:rPr>
      </w:pPr>
    </w:p>
    <w:p w14:paraId="0317082A" w14:textId="55AE40E1" w:rsidR="00592414" w:rsidRDefault="002754C0" w:rsidP="002754C0">
      <w:pPr>
        <w:jc w:val="both"/>
        <w:rPr>
          <w:rFonts w:ascii="Verdana" w:eastAsia="Verdana" w:hAnsi="Verdana" w:cs="Verdana"/>
          <w:sz w:val="20"/>
          <w:szCs w:val="20"/>
          <w:lang w:eastAsia="en-US"/>
        </w:rPr>
      </w:pPr>
      <w:r w:rsidRPr="002754C0">
        <w:rPr>
          <w:rFonts w:ascii="Verdana" w:eastAsia="Verdana" w:hAnsi="Verdana" w:cs="Verdana"/>
          <w:sz w:val="20"/>
          <w:szCs w:val="20"/>
          <w:lang w:eastAsia="en-US"/>
        </w:rPr>
        <w:t xml:space="preserve">En este contexto, el parágrafo 1 del artículo 25 de la Resolución D-0035 de 2024 dispone: “En el evento que los Contadores Públicos y las entidades que presten servicios </w:t>
      </w:r>
      <w:r w:rsidRPr="002754C0">
        <w:rPr>
          <w:rFonts w:ascii="Verdana" w:eastAsia="Verdana" w:hAnsi="Verdana" w:cs="Verdana"/>
          <w:sz w:val="20"/>
          <w:szCs w:val="20"/>
          <w:lang w:eastAsia="en-US"/>
        </w:rPr>
        <w:lastRenderedPageBreak/>
        <w:t>propios de la ciencia contable no actualicen la información registrada en la fecha establecida en este artículo, los certificados de vigencia de inscripción y de antecedentes disciplinarios contendrán anotación del incumplimiento de la obligación de actualizar, sin que ello invalide el registro del Contador Público o de las entidades que presten servicios de la ciencia contable y la información contenida en el mismo”. En efecto, cuando los contadores públicos o las entidades que prestan servicios propios de la ciencia contable no actualicen la información registrada dentro del término establecido, los respectivos certificados contendrán una anotación sobre dicho incumplimiento. Sin embargo, la misma disposición precisa expresamente que esa circunstancia no invalida el registro del contador público o de la entidad correspondiente ni la información contenida en este</w:t>
      </w:r>
      <w:r>
        <w:rPr>
          <w:rFonts w:ascii="Verdana" w:eastAsia="Verdana" w:hAnsi="Verdana" w:cs="Verdana"/>
          <w:sz w:val="20"/>
          <w:szCs w:val="20"/>
          <w:lang w:eastAsia="en-US"/>
        </w:rPr>
        <w:t>.</w:t>
      </w:r>
    </w:p>
    <w:p w14:paraId="12A08A0A" w14:textId="77777777" w:rsidR="002754C0" w:rsidRPr="002754C0" w:rsidRDefault="002754C0" w:rsidP="002754C0">
      <w:pPr>
        <w:jc w:val="both"/>
        <w:rPr>
          <w:rFonts w:ascii="Verdana" w:eastAsia="Verdana" w:hAnsi="Verdana" w:cs="Verdana"/>
          <w:sz w:val="20"/>
          <w:szCs w:val="20"/>
          <w:lang w:val="es-ES" w:eastAsia="en-US"/>
        </w:rPr>
      </w:pPr>
    </w:p>
    <w:p w14:paraId="130D1943" w14:textId="3608737E" w:rsidR="0080447A" w:rsidRPr="00592414" w:rsidRDefault="0080447A" w:rsidP="00592414">
      <w:pPr>
        <w:spacing w:line="259" w:lineRule="auto"/>
        <w:jc w:val="both"/>
        <w:rPr>
          <w:rFonts w:ascii="Verdana" w:eastAsia="Verdana" w:hAnsi="Verdana" w:cs="Verdana"/>
          <w:b/>
          <w:bCs/>
          <w:sz w:val="22"/>
          <w:szCs w:val="22"/>
          <w:lang w:eastAsia="en-US"/>
        </w:rPr>
      </w:pPr>
      <w:r w:rsidRPr="00592414">
        <w:rPr>
          <w:rFonts w:ascii="Verdana" w:eastAsia="Verdana" w:hAnsi="Verdana" w:cs="Verdana"/>
          <w:b/>
          <w:bCs/>
          <w:sz w:val="22"/>
          <w:szCs w:val="22"/>
          <w:lang w:eastAsia="en-US"/>
        </w:rPr>
        <w:t xml:space="preserve">CERTIFICADO DE VIGENCIA DE INSCRIPCIÓN Y DE ANTECEDENTES DISCIPLINARIOS </w:t>
      </w:r>
      <w:r w:rsidRPr="00592414">
        <w:rPr>
          <w:rFonts w:ascii="Verdana" w:eastAsia="Verdana" w:hAnsi="Verdana" w:cs="Verdana"/>
          <w:b/>
          <w:bCs/>
          <w:sz w:val="22"/>
          <w:szCs w:val="22"/>
          <w:lang w:val="es-ES" w:eastAsia="en-US"/>
        </w:rPr>
        <w:t>– Incumplimiento del deber – No procedencia – Inhabilidad – Causal de Rechazo</w:t>
      </w:r>
    </w:p>
    <w:p w14:paraId="0519E021" w14:textId="77777777" w:rsidR="0080447A" w:rsidRDefault="0080447A" w:rsidP="002E7652">
      <w:pPr>
        <w:spacing w:line="259" w:lineRule="auto"/>
        <w:rPr>
          <w:rFonts w:ascii="Verdana" w:eastAsia="Verdana" w:hAnsi="Verdana" w:cs="Verdana"/>
          <w:sz w:val="22"/>
          <w:szCs w:val="22"/>
          <w:lang w:eastAsia="en-US"/>
        </w:rPr>
      </w:pPr>
    </w:p>
    <w:p w14:paraId="4D2B14FB" w14:textId="77777777" w:rsidR="002754C0" w:rsidRPr="002754C0" w:rsidRDefault="002754C0" w:rsidP="002754C0">
      <w:pPr>
        <w:jc w:val="both"/>
        <w:rPr>
          <w:rFonts w:ascii="Verdana" w:eastAsia="Verdana" w:hAnsi="Verdana" w:cs="Verdana"/>
          <w:bCs/>
          <w:sz w:val="20"/>
          <w:szCs w:val="20"/>
          <w:lang w:eastAsia="en-US"/>
        </w:rPr>
      </w:pPr>
      <w:r w:rsidRPr="002754C0">
        <w:rPr>
          <w:rFonts w:ascii="Verdana" w:eastAsia="Verdana" w:hAnsi="Verdana" w:cs="Verdana"/>
          <w:bCs/>
          <w:sz w:val="20"/>
          <w:szCs w:val="20"/>
          <w:lang w:eastAsia="en-US"/>
        </w:rPr>
        <w:t>Así las cosas, la sola inclusión de la referida anotación no permite concluir que el oferente se encuentra inhabilitado ni constituye motivo para rechazar o excluir su propuesta del procedimiento de selección. Sin perjuicio de ello, corresponde a la entidad estatal verificar, en cada proceso, el cumplimiento de los requisitos establecidos en la ley y en los documentos del proceso, así como determinar si concurre alguna causal de rechazo expresamente prevista. Esta decisión no podrá sustentarse exclusivamente en la falta de actualización del registro ni atribuirle a dicha anotación efectos jurídicos distintos de los previstos en la regulación expedida por la Junta Central de Contadores. Por tanto, la anotación sobre la falta de actualización del registro debe interpretarse como un llamado de atención administrativo, mas no como una inhabilidad ni mucho menos como causal automática de rechazo, salvo que exista una sanción disciplinaria vigente que restrinja expresamente el ejercicio de la profesión contable.</w:t>
      </w:r>
    </w:p>
    <w:p w14:paraId="2D3F3023" w14:textId="77777777" w:rsidR="002754C0" w:rsidRDefault="002754C0" w:rsidP="002E7652">
      <w:pPr>
        <w:spacing w:line="259" w:lineRule="auto"/>
        <w:rPr>
          <w:rFonts w:ascii="Verdana" w:eastAsia="Verdana" w:hAnsi="Verdana" w:cs="Verdana"/>
          <w:sz w:val="22"/>
          <w:szCs w:val="22"/>
          <w:lang w:eastAsia="en-US"/>
        </w:rPr>
      </w:pPr>
    </w:p>
    <w:p w14:paraId="678BB76B" w14:textId="77777777" w:rsidR="002754C0" w:rsidRDefault="002754C0" w:rsidP="002E7652">
      <w:pPr>
        <w:spacing w:line="259" w:lineRule="auto"/>
        <w:rPr>
          <w:rFonts w:ascii="Verdana" w:eastAsia="Verdana" w:hAnsi="Verdana" w:cs="Verdana"/>
          <w:sz w:val="22"/>
          <w:szCs w:val="22"/>
          <w:lang w:eastAsia="en-US"/>
        </w:rPr>
      </w:pPr>
    </w:p>
    <w:p w14:paraId="3E77ED51" w14:textId="77777777" w:rsidR="002754C0" w:rsidRDefault="002754C0" w:rsidP="002E7652">
      <w:pPr>
        <w:spacing w:line="259" w:lineRule="auto"/>
        <w:rPr>
          <w:rFonts w:ascii="Verdana" w:eastAsia="Verdana" w:hAnsi="Verdana" w:cs="Verdana"/>
          <w:sz w:val="22"/>
          <w:szCs w:val="22"/>
          <w:lang w:eastAsia="en-US"/>
        </w:rPr>
      </w:pPr>
    </w:p>
    <w:p w14:paraId="1333F0DC" w14:textId="77777777" w:rsidR="002754C0" w:rsidRDefault="002754C0" w:rsidP="002E7652">
      <w:pPr>
        <w:spacing w:line="259" w:lineRule="auto"/>
        <w:rPr>
          <w:rFonts w:ascii="Verdana" w:eastAsia="Verdana" w:hAnsi="Verdana" w:cs="Verdana"/>
          <w:sz w:val="22"/>
          <w:szCs w:val="22"/>
          <w:lang w:eastAsia="en-US"/>
        </w:rPr>
      </w:pPr>
    </w:p>
    <w:p w14:paraId="3E9C6343" w14:textId="77777777" w:rsidR="002754C0" w:rsidRDefault="002754C0" w:rsidP="002E7652">
      <w:pPr>
        <w:spacing w:line="259" w:lineRule="auto"/>
        <w:rPr>
          <w:rFonts w:ascii="Verdana" w:eastAsia="Verdana" w:hAnsi="Verdana" w:cs="Verdana"/>
          <w:sz w:val="22"/>
          <w:szCs w:val="22"/>
          <w:lang w:eastAsia="en-US"/>
        </w:rPr>
      </w:pPr>
    </w:p>
    <w:p w14:paraId="50E9DEBB" w14:textId="77777777" w:rsidR="002754C0" w:rsidRDefault="002754C0" w:rsidP="002E7652">
      <w:pPr>
        <w:spacing w:line="259" w:lineRule="auto"/>
        <w:rPr>
          <w:rFonts w:ascii="Verdana" w:eastAsia="Verdana" w:hAnsi="Verdana" w:cs="Verdana"/>
          <w:sz w:val="22"/>
          <w:szCs w:val="22"/>
          <w:lang w:eastAsia="en-US"/>
        </w:rPr>
      </w:pPr>
    </w:p>
    <w:p w14:paraId="5CE20BC1" w14:textId="77777777" w:rsidR="002754C0" w:rsidRDefault="002754C0" w:rsidP="002E7652">
      <w:pPr>
        <w:spacing w:line="259" w:lineRule="auto"/>
        <w:rPr>
          <w:rFonts w:ascii="Verdana" w:eastAsia="Verdana" w:hAnsi="Verdana" w:cs="Verdana"/>
          <w:sz w:val="22"/>
          <w:szCs w:val="22"/>
          <w:lang w:eastAsia="en-US"/>
        </w:rPr>
      </w:pPr>
    </w:p>
    <w:p w14:paraId="34CD6CEE" w14:textId="77777777" w:rsidR="002754C0" w:rsidRDefault="002754C0" w:rsidP="002E7652">
      <w:pPr>
        <w:spacing w:line="259" w:lineRule="auto"/>
        <w:rPr>
          <w:rFonts w:ascii="Verdana" w:eastAsia="Verdana" w:hAnsi="Verdana" w:cs="Verdana"/>
          <w:sz w:val="22"/>
          <w:szCs w:val="22"/>
          <w:lang w:eastAsia="en-US"/>
        </w:rPr>
      </w:pPr>
    </w:p>
    <w:p w14:paraId="5F1CF540" w14:textId="77777777" w:rsidR="002754C0" w:rsidRDefault="002754C0" w:rsidP="002E7652">
      <w:pPr>
        <w:spacing w:line="259" w:lineRule="auto"/>
        <w:rPr>
          <w:rFonts w:ascii="Verdana" w:eastAsia="Verdana" w:hAnsi="Verdana" w:cs="Verdana"/>
          <w:sz w:val="22"/>
          <w:szCs w:val="22"/>
          <w:lang w:eastAsia="en-US"/>
        </w:rPr>
      </w:pPr>
    </w:p>
    <w:p w14:paraId="22161CF5" w14:textId="77777777" w:rsidR="002754C0" w:rsidRDefault="002754C0" w:rsidP="002E7652">
      <w:pPr>
        <w:spacing w:line="259" w:lineRule="auto"/>
        <w:rPr>
          <w:rFonts w:ascii="Verdana" w:eastAsia="Verdana" w:hAnsi="Verdana" w:cs="Verdana"/>
          <w:sz w:val="22"/>
          <w:szCs w:val="22"/>
          <w:lang w:eastAsia="en-US"/>
        </w:rPr>
      </w:pPr>
    </w:p>
    <w:p w14:paraId="5082888E" w14:textId="77777777" w:rsidR="002754C0" w:rsidRDefault="002754C0" w:rsidP="002E7652">
      <w:pPr>
        <w:spacing w:line="259" w:lineRule="auto"/>
        <w:rPr>
          <w:rFonts w:ascii="Verdana" w:eastAsia="Verdana" w:hAnsi="Verdana" w:cs="Verdana"/>
          <w:sz w:val="22"/>
          <w:szCs w:val="22"/>
          <w:lang w:eastAsia="en-US"/>
        </w:rPr>
      </w:pPr>
    </w:p>
    <w:p w14:paraId="1608985B" w14:textId="77777777" w:rsidR="002754C0" w:rsidRDefault="002754C0" w:rsidP="002E7652">
      <w:pPr>
        <w:spacing w:line="259" w:lineRule="auto"/>
        <w:rPr>
          <w:rFonts w:ascii="Verdana" w:eastAsia="Verdana" w:hAnsi="Verdana" w:cs="Verdana"/>
          <w:sz w:val="22"/>
          <w:szCs w:val="22"/>
          <w:lang w:eastAsia="en-US"/>
        </w:rPr>
      </w:pPr>
    </w:p>
    <w:p w14:paraId="6BFD51F4" w14:textId="77777777" w:rsidR="002754C0" w:rsidRDefault="002754C0" w:rsidP="002E7652">
      <w:pPr>
        <w:spacing w:line="259" w:lineRule="auto"/>
        <w:rPr>
          <w:rFonts w:ascii="Verdana" w:eastAsia="Verdana" w:hAnsi="Verdana" w:cs="Verdana"/>
          <w:sz w:val="22"/>
          <w:szCs w:val="22"/>
          <w:lang w:eastAsia="en-US"/>
        </w:rPr>
      </w:pPr>
    </w:p>
    <w:p w14:paraId="125A7A96" w14:textId="77777777" w:rsidR="002754C0" w:rsidRDefault="002754C0" w:rsidP="002E7652">
      <w:pPr>
        <w:spacing w:line="259" w:lineRule="auto"/>
        <w:rPr>
          <w:rFonts w:ascii="Verdana" w:eastAsia="Verdana" w:hAnsi="Verdana" w:cs="Verdana"/>
          <w:sz w:val="22"/>
          <w:szCs w:val="22"/>
          <w:lang w:eastAsia="en-US"/>
        </w:rPr>
      </w:pPr>
    </w:p>
    <w:p w14:paraId="6A1C6644" w14:textId="77777777" w:rsidR="002754C0" w:rsidRDefault="002754C0" w:rsidP="002E7652">
      <w:pPr>
        <w:spacing w:line="259" w:lineRule="auto"/>
        <w:rPr>
          <w:rFonts w:ascii="Verdana" w:eastAsia="Verdana" w:hAnsi="Verdana" w:cs="Verdana"/>
          <w:sz w:val="22"/>
          <w:szCs w:val="22"/>
          <w:lang w:eastAsia="en-US"/>
        </w:rPr>
      </w:pPr>
    </w:p>
    <w:p w14:paraId="11F2B2BD" w14:textId="20752FBF" w:rsidR="002E7652" w:rsidRPr="002E7652" w:rsidRDefault="002E7652" w:rsidP="002E7652">
      <w:pPr>
        <w:spacing w:line="259" w:lineRule="auto"/>
        <w:rPr>
          <w:rFonts w:ascii="Verdana" w:eastAsia="Calibri" w:hAnsi="Verdana" w:cs="Arial"/>
          <w:color w:val="000000"/>
          <w:sz w:val="22"/>
          <w:szCs w:val="22"/>
          <w:lang w:val="es-ES"/>
        </w:rPr>
      </w:pPr>
      <w:r w:rsidRPr="002E7652">
        <w:rPr>
          <w:rFonts w:ascii="Verdana" w:eastAsia="Verdana" w:hAnsi="Verdana" w:cs="Verdana"/>
          <w:sz w:val="22"/>
          <w:szCs w:val="22"/>
          <w:lang w:eastAsia="en-US"/>
        </w:rPr>
        <w:lastRenderedPageBreak/>
        <w:t xml:space="preserve">Bogotá D.C., </w:t>
      </w:r>
      <w:r w:rsidR="00662988">
        <w:rPr>
          <w:rFonts w:ascii="Verdana" w:eastAsia="Verdana" w:hAnsi="Verdana" w:cs="Verdana"/>
          <w:sz w:val="22"/>
          <w:szCs w:val="22"/>
          <w:lang w:eastAsia="en-US"/>
        </w:rPr>
        <w:t>22 de septiembre de 2026</w:t>
      </w:r>
      <w:r w:rsidRPr="002E7652">
        <w:rPr>
          <w:rFonts w:asciiTheme="minorHAnsi" w:eastAsiaTheme="minorHAnsi" w:hAnsiTheme="minorHAnsi" w:cstheme="minorBidi"/>
          <w:sz w:val="22"/>
          <w:szCs w:val="22"/>
          <w:lang w:eastAsia="en-US"/>
        </w:rPr>
        <w:tab/>
      </w:r>
      <w:r w:rsidRPr="002E7652">
        <w:rPr>
          <w:rFonts w:asciiTheme="minorHAnsi" w:eastAsiaTheme="minorHAnsi" w:hAnsiTheme="minorHAnsi" w:cstheme="minorBidi"/>
          <w:sz w:val="22"/>
          <w:szCs w:val="22"/>
          <w:lang w:eastAsia="en-US"/>
        </w:rPr>
        <w:br/>
      </w:r>
    </w:p>
    <w:p w14:paraId="26BFB216" w14:textId="1B9DE7E8" w:rsidR="002E7652" w:rsidRPr="002E7652" w:rsidRDefault="002E7652" w:rsidP="002E7652">
      <w:pPr>
        <w:jc w:val="both"/>
        <w:rPr>
          <w:rFonts w:ascii="Verdana" w:eastAsia="Calibri" w:hAnsi="Verdana" w:cs="Arial"/>
          <w:color w:val="000000"/>
          <w:sz w:val="22"/>
          <w:szCs w:val="22"/>
          <w:lang w:val="es-ES"/>
        </w:rPr>
      </w:pPr>
    </w:p>
    <w:p w14:paraId="231FBD07" w14:textId="13D67BC0" w:rsidR="002E7652" w:rsidRPr="002E7652" w:rsidRDefault="004B65B2" w:rsidP="002E7652">
      <w:pPr>
        <w:jc w:val="both"/>
        <w:rPr>
          <w:rFonts w:ascii="Verdana" w:eastAsia="Calibri" w:hAnsi="Verdana" w:cs="Arial"/>
          <w:sz w:val="22"/>
          <w:szCs w:val="22"/>
          <w:lang w:val="es-ES" w:eastAsia="es-ES"/>
        </w:rPr>
      </w:pPr>
      <w:r w:rsidRPr="009564A1">
        <w:rPr>
          <w:rFonts w:asciiTheme="minorHAnsi" w:eastAsiaTheme="minorHAnsi" w:hAnsiTheme="minorHAnsi" w:cstheme="minorBidi"/>
          <w:noProof/>
          <w:sz w:val="22"/>
          <w:szCs w:val="22"/>
          <w:lang w:eastAsia="en-US"/>
        </w:rPr>
        <w:drawing>
          <wp:anchor distT="0" distB="0" distL="114300" distR="114300" simplePos="0" relativeHeight="251658240" behindDoc="0" locked="0" layoutInCell="1" allowOverlap="1" wp14:anchorId="7067A2CE" wp14:editId="315FC992">
            <wp:simplePos x="0" y="0"/>
            <wp:positionH relativeFrom="margin">
              <wp:align>right</wp:align>
            </wp:positionH>
            <wp:positionV relativeFrom="paragraph">
              <wp:posOffset>6985</wp:posOffset>
            </wp:positionV>
            <wp:extent cx="2657475" cy="763270"/>
            <wp:effectExtent l="0" t="0" r="9525" b="0"/>
            <wp:wrapSquare wrapText="bothSides"/>
            <wp:docPr id="771465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7475"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7652" w:rsidRPr="002E7652">
        <w:rPr>
          <w:rFonts w:ascii="Verdana" w:eastAsia="Calibri" w:hAnsi="Verdana" w:cs="Arial"/>
          <w:sz w:val="22"/>
          <w:szCs w:val="22"/>
          <w:lang w:val="es-ES" w:eastAsia="es-ES"/>
        </w:rPr>
        <w:t>Señor</w:t>
      </w:r>
    </w:p>
    <w:p w14:paraId="13A37084" w14:textId="77777777" w:rsidR="002E7652" w:rsidRPr="002E7652" w:rsidRDefault="002E7652" w:rsidP="002E7652">
      <w:pPr>
        <w:rPr>
          <w:b/>
          <w:bCs/>
          <w:i/>
          <w:iCs/>
          <w:sz w:val="22"/>
          <w:szCs w:val="22"/>
        </w:rPr>
      </w:pPr>
      <w:r w:rsidRPr="002E7652">
        <w:rPr>
          <w:rFonts w:ascii="Verdana" w:eastAsia="Calibri" w:hAnsi="Verdana" w:cs="Arial"/>
          <w:b/>
          <w:bCs/>
          <w:sz w:val="22"/>
          <w:szCs w:val="22"/>
          <w:lang w:val="es-ES" w:eastAsia="es-ES"/>
        </w:rPr>
        <w:t xml:space="preserve">Miguel Pérez Galeano </w:t>
      </w:r>
    </w:p>
    <w:p w14:paraId="0020298F" w14:textId="77777777" w:rsidR="002E7652" w:rsidRPr="002E7652" w:rsidRDefault="002E7652" w:rsidP="002E7652">
      <w:pPr>
        <w:rPr>
          <w:rFonts w:ascii="Verdana" w:hAnsi="Verdana"/>
          <w:sz w:val="22"/>
          <w:szCs w:val="22"/>
          <w:highlight w:val="yellow"/>
        </w:rPr>
      </w:pPr>
      <w:hyperlink r:id="rId12" w:history="1">
        <w:r w:rsidRPr="002E7652">
          <w:rPr>
            <w:rFonts w:ascii="Verdana" w:hAnsi="Verdana"/>
            <w:color w:val="0000FF"/>
            <w:sz w:val="22"/>
            <w:szCs w:val="22"/>
            <w:u w:val="single"/>
          </w:rPr>
          <w:t>mperezg13@eafit.edu.co</w:t>
        </w:r>
      </w:hyperlink>
      <w:r w:rsidRPr="002E7652">
        <w:rPr>
          <w:rFonts w:ascii="Verdana" w:hAnsi="Verdana"/>
          <w:sz w:val="22"/>
          <w:szCs w:val="22"/>
        </w:rPr>
        <w:t xml:space="preserve"> </w:t>
      </w:r>
    </w:p>
    <w:p w14:paraId="6CE70FDD" w14:textId="02570DC7" w:rsidR="002E7652" w:rsidRPr="002E7652" w:rsidRDefault="002E7652" w:rsidP="002E7652">
      <w:pPr>
        <w:rPr>
          <w:rFonts w:ascii="Verdana" w:eastAsia="Calibri" w:hAnsi="Verdana" w:cs="Arial"/>
          <w:b/>
          <w:bCs/>
          <w:color w:val="000000"/>
          <w:sz w:val="22"/>
          <w:szCs w:val="22"/>
          <w:lang w:val="es-ES_tradnl"/>
        </w:rPr>
      </w:pPr>
      <w:r w:rsidRPr="002E7652">
        <w:rPr>
          <w:rFonts w:ascii="Verdana" w:eastAsia="Calibri" w:hAnsi="Verdana" w:cs="Arial"/>
          <w:sz w:val="22"/>
          <w:szCs w:val="22"/>
          <w:lang w:val="es-ES" w:eastAsia="es-ES"/>
        </w:rPr>
        <w:t>Medellín, Antioquia</w:t>
      </w:r>
    </w:p>
    <w:p w14:paraId="775884F9" w14:textId="77777777" w:rsidR="002E7652" w:rsidRPr="002E7652" w:rsidRDefault="002E7652" w:rsidP="002E7652">
      <w:pPr>
        <w:rPr>
          <w:rFonts w:ascii="Verdana" w:eastAsia="Calibri" w:hAnsi="Verdana" w:cs="Arial"/>
          <w:b/>
          <w:bCs/>
          <w:color w:val="000000"/>
          <w:sz w:val="22"/>
          <w:szCs w:val="22"/>
          <w:lang w:val="es-ES_tradnl"/>
        </w:rPr>
      </w:pPr>
    </w:p>
    <w:p w14:paraId="19F23E11" w14:textId="77777777" w:rsidR="002E7652" w:rsidRPr="002E7652" w:rsidRDefault="002E7652" w:rsidP="002E7652">
      <w:pPr>
        <w:rPr>
          <w:rFonts w:ascii="Verdana" w:eastAsia="Calibri" w:hAnsi="Verdana" w:cs="Arial"/>
          <w:b/>
          <w:bCs/>
          <w:color w:val="000000"/>
          <w:sz w:val="22"/>
          <w:szCs w:val="22"/>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7652" w:rsidRPr="002E7652" w14:paraId="6CE27318" w14:textId="77777777" w:rsidTr="005A6833">
        <w:trPr>
          <w:trHeight w:val="884"/>
        </w:trPr>
        <w:tc>
          <w:tcPr>
            <w:tcW w:w="2689" w:type="dxa"/>
          </w:tcPr>
          <w:p w14:paraId="7D43E485" w14:textId="77777777" w:rsidR="002E7652" w:rsidRPr="002E7652" w:rsidRDefault="002E7652" w:rsidP="002E7652">
            <w:pPr>
              <w:jc w:val="both"/>
              <w:rPr>
                <w:rFonts w:ascii="Verdana" w:eastAsia="Calibri" w:hAnsi="Verdana" w:cs="Arial"/>
                <w:b/>
                <w:bCs/>
                <w:color w:val="7030A0"/>
                <w:sz w:val="22"/>
                <w:szCs w:val="22"/>
                <w:lang w:val="es-ES_tradnl"/>
              </w:rPr>
            </w:pPr>
          </w:p>
        </w:tc>
        <w:tc>
          <w:tcPr>
            <w:tcW w:w="6100" w:type="dxa"/>
          </w:tcPr>
          <w:p w14:paraId="30A2B40F" w14:textId="77777777" w:rsidR="002E7652" w:rsidRPr="002E7652" w:rsidRDefault="002E7652" w:rsidP="002E7652">
            <w:pPr>
              <w:jc w:val="both"/>
              <w:rPr>
                <w:rFonts w:ascii="Verdana" w:eastAsia="Calibri" w:hAnsi="Verdana" w:cs="Arial"/>
                <w:b/>
                <w:bCs/>
                <w:color w:val="7030A0"/>
                <w:sz w:val="22"/>
                <w:szCs w:val="22"/>
                <w:lang w:val="es-ES" w:eastAsia="es-ES"/>
              </w:rPr>
            </w:pPr>
            <w:r w:rsidRPr="002E7652">
              <w:rPr>
                <w:rFonts w:ascii="Verdana" w:eastAsia="Calibri" w:hAnsi="Verdana" w:cs="Arial"/>
                <w:b/>
                <w:bCs/>
                <w:sz w:val="22"/>
                <w:szCs w:val="22"/>
                <w:lang w:val="es-ES" w:eastAsia="es-ES"/>
              </w:rPr>
              <w:t>Concepto C-1286 de 2026</w:t>
            </w:r>
          </w:p>
        </w:tc>
      </w:tr>
      <w:tr w:rsidR="002E7652" w:rsidRPr="002E7652" w14:paraId="019D5FA5" w14:textId="77777777" w:rsidTr="005A6833">
        <w:trPr>
          <w:trHeight w:val="1012"/>
        </w:trPr>
        <w:tc>
          <w:tcPr>
            <w:tcW w:w="2689" w:type="dxa"/>
          </w:tcPr>
          <w:p w14:paraId="46666325" w14:textId="77777777" w:rsidR="002E7652" w:rsidRPr="002E7652" w:rsidRDefault="002E7652" w:rsidP="002E7652">
            <w:pPr>
              <w:spacing w:line="276" w:lineRule="auto"/>
              <w:jc w:val="both"/>
              <w:rPr>
                <w:rFonts w:ascii="Verdana" w:eastAsia="Calibri" w:hAnsi="Verdana" w:cs="Arial"/>
                <w:color w:val="000000"/>
                <w:sz w:val="22"/>
                <w:szCs w:val="22"/>
                <w:lang w:val="es-ES_tradnl"/>
              </w:rPr>
            </w:pPr>
            <w:r w:rsidRPr="002E7652">
              <w:rPr>
                <w:rFonts w:ascii="Verdana" w:eastAsia="Calibri" w:hAnsi="Verdana" w:cs="Arial"/>
                <w:b/>
                <w:color w:val="000000"/>
                <w:sz w:val="22"/>
                <w:szCs w:val="22"/>
                <w:lang w:val="es-ES_tradnl"/>
              </w:rPr>
              <w:t>Temas:</w:t>
            </w:r>
            <w:r w:rsidRPr="002E7652">
              <w:rPr>
                <w:rFonts w:ascii="Verdana" w:eastAsia="Calibri" w:hAnsi="Verdana" w:cs="Arial"/>
                <w:color w:val="000000"/>
                <w:sz w:val="22"/>
                <w:szCs w:val="22"/>
                <w:lang w:val="es-ES_tradnl"/>
              </w:rPr>
              <w:t xml:space="preserve">                   </w:t>
            </w:r>
          </w:p>
        </w:tc>
        <w:tc>
          <w:tcPr>
            <w:tcW w:w="6100" w:type="dxa"/>
          </w:tcPr>
          <w:p w14:paraId="60F64CFE" w14:textId="16E561E6" w:rsidR="002E7652" w:rsidRPr="002E7652" w:rsidRDefault="002E7652" w:rsidP="002E7652">
            <w:pPr>
              <w:spacing w:line="276" w:lineRule="auto"/>
              <w:jc w:val="both"/>
              <w:rPr>
                <w:rFonts w:ascii="Verdana" w:eastAsia="Calibri" w:hAnsi="Verdana" w:cs="Arial"/>
                <w:sz w:val="22"/>
                <w:szCs w:val="22"/>
                <w:lang w:eastAsia="es-ES"/>
              </w:rPr>
            </w:pPr>
            <w:r w:rsidRPr="002E7652">
              <w:rPr>
                <w:rFonts w:ascii="Verdana" w:eastAsia="Calibri" w:hAnsi="Verdana" w:cs="Arial"/>
                <w:sz w:val="22"/>
                <w:szCs w:val="22"/>
                <w:lang w:val="es-MX" w:eastAsia="es-ES"/>
              </w:rPr>
              <w:t xml:space="preserve">INHABILIDADES ─ Definición ─ Finalidad ─ Limitación capacidad contractual </w:t>
            </w:r>
            <w:r w:rsidRPr="002E7652">
              <w:rPr>
                <w:rFonts w:ascii="Verdana" w:eastAsia="Calibri" w:hAnsi="Verdana" w:cs="Arial"/>
                <w:sz w:val="22"/>
                <w:szCs w:val="22"/>
                <w:lang w:val="es-ES_tradnl" w:eastAsia="es-ES"/>
              </w:rPr>
              <w:t>/ INHABILIDADES – Taxatividad – Principio de legalidad – Interpretación restrictiva</w:t>
            </w:r>
            <w:r w:rsidRPr="002E7652" w:rsidDel="00A75E55">
              <w:rPr>
                <w:rFonts w:ascii="Verdana" w:eastAsia="Calibri" w:hAnsi="Verdana" w:cs="Arial"/>
                <w:sz w:val="22"/>
                <w:szCs w:val="22"/>
                <w:lang w:val="es-ES_tradnl" w:eastAsia="es-ES"/>
              </w:rPr>
              <w:t xml:space="preserve"> </w:t>
            </w:r>
            <w:r w:rsidRPr="002E7652">
              <w:rPr>
                <w:rFonts w:ascii="Verdana" w:eastAsia="Calibri" w:hAnsi="Verdana" w:cs="Arial"/>
                <w:sz w:val="22"/>
                <w:szCs w:val="22"/>
                <w:lang w:val="es-ES" w:eastAsia="es-ES"/>
              </w:rPr>
              <w:t xml:space="preserve">/ SELECCIÓN OBJETIVA – Alcance / CAUSALES DE RECHAZO – Alcance / CAPACIDAD DE ORGANIZACIÓN – Acreditación / </w:t>
            </w:r>
            <w:r w:rsidRPr="002E7652">
              <w:rPr>
                <w:rFonts w:ascii="Verdana" w:eastAsia="Calibri" w:hAnsi="Verdana" w:cs="Arial"/>
                <w:sz w:val="22"/>
                <w:szCs w:val="22"/>
                <w:lang w:eastAsia="es-ES"/>
              </w:rPr>
              <w:t>CERTIFICADO DE VIGENCIA DE INSCRIPCIÓN Y DE ANTECEDENTES DISCIPLINARIOS</w:t>
            </w:r>
            <w:r w:rsidRPr="002E7652">
              <w:rPr>
                <w:rFonts w:ascii="Verdana" w:eastAsia="Calibri" w:hAnsi="Verdana" w:cs="Arial"/>
                <w:sz w:val="22"/>
                <w:szCs w:val="22"/>
                <w:lang w:val="es-ES" w:eastAsia="es-ES"/>
              </w:rPr>
              <w:t xml:space="preserve">– - Contador Público - Deber de actualización – Antecedentes disciplinarios / </w:t>
            </w:r>
            <w:r w:rsidRPr="002E7652">
              <w:rPr>
                <w:rFonts w:ascii="Verdana" w:eastAsia="Calibri" w:hAnsi="Verdana" w:cs="Arial"/>
                <w:sz w:val="22"/>
                <w:szCs w:val="22"/>
                <w:lang w:eastAsia="es-ES"/>
              </w:rPr>
              <w:t xml:space="preserve">CERTIFICADO DE VIGENCIA DE INSCRIPCIÓN Y DE ANTECEDENTES DISCIPLINARIOS </w:t>
            </w:r>
            <w:r w:rsidRPr="002E7652">
              <w:rPr>
                <w:rFonts w:ascii="Verdana" w:eastAsia="Calibri" w:hAnsi="Verdana" w:cs="Arial"/>
                <w:sz w:val="22"/>
                <w:szCs w:val="22"/>
                <w:lang w:val="es-ES" w:eastAsia="es-ES"/>
              </w:rPr>
              <w:t>– Incumplimiento del deber – No procedencia – Inhabilidad – Causal de Rechazo</w:t>
            </w:r>
          </w:p>
          <w:p w14:paraId="63F4A235" w14:textId="77777777" w:rsidR="002E7652" w:rsidRPr="002E7652" w:rsidRDefault="002E7652" w:rsidP="002E7652">
            <w:pPr>
              <w:spacing w:line="276" w:lineRule="auto"/>
              <w:jc w:val="both"/>
              <w:rPr>
                <w:rFonts w:ascii="Verdana" w:eastAsia="Calibri" w:hAnsi="Verdana" w:cs="Arial"/>
                <w:sz w:val="22"/>
                <w:szCs w:val="22"/>
                <w:lang w:val="es-ES_tradnl" w:eastAsia="es-ES"/>
              </w:rPr>
            </w:pPr>
          </w:p>
          <w:p w14:paraId="3AFFC7B6" w14:textId="77777777" w:rsidR="002E7652" w:rsidRPr="002E7652" w:rsidRDefault="002E7652" w:rsidP="002E7652">
            <w:pPr>
              <w:spacing w:line="276" w:lineRule="auto"/>
              <w:jc w:val="both"/>
              <w:rPr>
                <w:rFonts w:ascii="Verdana" w:eastAsia="Calibri" w:hAnsi="Verdana" w:cs="Arial"/>
                <w:sz w:val="22"/>
                <w:szCs w:val="22"/>
                <w:lang w:val="es-ES" w:eastAsia="es-ES"/>
              </w:rPr>
            </w:pPr>
          </w:p>
        </w:tc>
      </w:tr>
      <w:tr w:rsidR="002E7652" w:rsidRPr="002E7652" w14:paraId="0BBB7746" w14:textId="77777777" w:rsidTr="005A6833">
        <w:tc>
          <w:tcPr>
            <w:tcW w:w="2689" w:type="dxa"/>
          </w:tcPr>
          <w:p w14:paraId="0D6AFE35" w14:textId="77777777" w:rsidR="002E7652" w:rsidRPr="002E7652" w:rsidRDefault="002E7652" w:rsidP="002E7652">
            <w:pPr>
              <w:jc w:val="both"/>
              <w:rPr>
                <w:rFonts w:ascii="Verdana" w:eastAsia="Calibri" w:hAnsi="Verdana" w:cs="Arial"/>
                <w:b/>
                <w:sz w:val="22"/>
                <w:szCs w:val="22"/>
                <w:lang w:val="es-ES_tradnl"/>
              </w:rPr>
            </w:pPr>
            <w:r w:rsidRPr="002E7652">
              <w:rPr>
                <w:rFonts w:ascii="Verdana" w:eastAsia="Calibri" w:hAnsi="Verdana" w:cs="Arial"/>
                <w:b/>
                <w:sz w:val="22"/>
                <w:szCs w:val="22"/>
                <w:lang w:val="es-ES_tradnl"/>
              </w:rPr>
              <w:t>Radicación:</w:t>
            </w:r>
            <w:r w:rsidRPr="002E7652">
              <w:rPr>
                <w:rFonts w:ascii="Verdana" w:eastAsia="Calibri" w:hAnsi="Verdana" w:cs="Arial"/>
                <w:sz w:val="22"/>
                <w:szCs w:val="22"/>
                <w:lang w:val="es-ES_tradnl"/>
              </w:rPr>
              <w:t xml:space="preserve">               </w:t>
            </w:r>
          </w:p>
        </w:tc>
        <w:tc>
          <w:tcPr>
            <w:tcW w:w="6100" w:type="dxa"/>
          </w:tcPr>
          <w:p w14:paraId="5CA6F2BF" w14:textId="77777777" w:rsidR="002E7652" w:rsidRPr="002E7652" w:rsidRDefault="002E7652" w:rsidP="002E7652">
            <w:pPr>
              <w:jc w:val="both"/>
              <w:rPr>
                <w:rFonts w:ascii="Verdana" w:eastAsia="Calibri" w:hAnsi="Verdana" w:cs="Arial"/>
                <w:sz w:val="22"/>
                <w:szCs w:val="22"/>
                <w:highlight w:val="yellow"/>
                <w:lang w:val="es-ES_tradnl"/>
              </w:rPr>
            </w:pPr>
            <w:r w:rsidRPr="002E7652">
              <w:rPr>
                <w:rFonts w:ascii="Verdana" w:eastAsia="Calibri" w:hAnsi="Verdana" w:cs="Arial"/>
                <w:sz w:val="22"/>
                <w:szCs w:val="22"/>
                <w:lang w:val="es-ES_tradnl"/>
              </w:rPr>
              <w:t xml:space="preserve">Respuesta a la consulta con radicado No. </w:t>
            </w:r>
            <w:r w:rsidRPr="002E7652">
              <w:rPr>
                <w:rFonts w:ascii="Verdana" w:eastAsia="Calibri" w:hAnsi="Verdana" w:cs="Arial"/>
                <w:sz w:val="22"/>
                <w:szCs w:val="22"/>
              </w:rPr>
              <w:t>1_2026_08_13_010772</w:t>
            </w:r>
            <w:r w:rsidRPr="002E7652">
              <w:rPr>
                <w:rFonts w:ascii="Verdana" w:eastAsia="Calibri" w:hAnsi="Verdana" w:cs="Arial"/>
                <w:sz w:val="22"/>
                <w:szCs w:val="22"/>
                <w:lang w:val="es-ES_tradnl"/>
              </w:rPr>
              <w:t xml:space="preserve"> </w:t>
            </w:r>
          </w:p>
        </w:tc>
      </w:tr>
    </w:tbl>
    <w:p w14:paraId="31DB6730" w14:textId="77777777" w:rsidR="002E7652" w:rsidRPr="002E7652" w:rsidRDefault="002E7652" w:rsidP="002E7652">
      <w:pPr>
        <w:jc w:val="both"/>
        <w:rPr>
          <w:rFonts w:ascii="Verdana" w:eastAsia="Calibri" w:hAnsi="Verdana" w:cs="Arial"/>
          <w:color w:val="000000"/>
          <w:sz w:val="22"/>
          <w:szCs w:val="22"/>
          <w:lang w:val="es-ES_tradnl"/>
        </w:rPr>
      </w:pPr>
    </w:p>
    <w:p w14:paraId="49125D1A" w14:textId="77777777" w:rsidR="002E7652" w:rsidRPr="002E7652" w:rsidRDefault="002E7652" w:rsidP="002E7652">
      <w:pPr>
        <w:jc w:val="both"/>
        <w:rPr>
          <w:rFonts w:ascii="Verdana" w:eastAsia="Calibri" w:hAnsi="Verdana" w:cs="Arial"/>
          <w:color w:val="000000"/>
          <w:sz w:val="22"/>
          <w:szCs w:val="22"/>
          <w:lang w:val="es-ES_tradnl"/>
        </w:rPr>
      </w:pPr>
    </w:p>
    <w:p w14:paraId="608A7EEB" w14:textId="77777777" w:rsidR="002E7652" w:rsidRPr="002E7652" w:rsidRDefault="002E7652" w:rsidP="002E7652">
      <w:pPr>
        <w:jc w:val="both"/>
        <w:rPr>
          <w:rFonts w:ascii="Verdana" w:eastAsia="Calibri" w:hAnsi="Verdana" w:cs="Arial"/>
          <w:sz w:val="22"/>
          <w:szCs w:val="22"/>
          <w:lang w:val="es-ES" w:eastAsia="es-ES"/>
        </w:rPr>
      </w:pPr>
      <w:r w:rsidRPr="002E7652">
        <w:rPr>
          <w:rFonts w:ascii="Verdana" w:eastAsia="Calibri" w:hAnsi="Verdana" w:cs="Arial"/>
          <w:sz w:val="22"/>
          <w:szCs w:val="22"/>
          <w:lang w:val="es-ES" w:eastAsia="es-ES"/>
        </w:rPr>
        <w:t xml:space="preserve">Estimado Señor Pérez: </w:t>
      </w:r>
    </w:p>
    <w:p w14:paraId="3C33DA5C" w14:textId="77777777" w:rsidR="002E7652" w:rsidRPr="002E7652" w:rsidRDefault="002E7652" w:rsidP="002E7652">
      <w:pPr>
        <w:tabs>
          <w:tab w:val="left" w:pos="3768"/>
        </w:tabs>
        <w:jc w:val="both"/>
        <w:rPr>
          <w:rFonts w:ascii="Verdana" w:eastAsia="Calibri" w:hAnsi="Verdana" w:cs="Arial"/>
          <w:color w:val="000000" w:themeColor="text1"/>
          <w:sz w:val="22"/>
          <w:szCs w:val="22"/>
          <w:lang w:val="es-ES" w:eastAsia="es-ES"/>
        </w:rPr>
      </w:pPr>
    </w:p>
    <w:p w14:paraId="2C4CBEDC" w14:textId="77777777" w:rsidR="002E7652" w:rsidRPr="002E7652" w:rsidRDefault="002E7652" w:rsidP="002E7652">
      <w:pPr>
        <w:tabs>
          <w:tab w:val="left" w:pos="3768"/>
        </w:tabs>
        <w:spacing w:line="276" w:lineRule="auto"/>
        <w:jc w:val="both"/>
        <w:rPr>
          <w:rFonts w:ascii="Verdana" w:eastAsia="Calibri" w:hAnsi="Verdana" w:cs="Arial"/>
          <w:color w:val="000000" w:themeColor="text1"/>
          <w:sz w:val="22"/>
          <w:szCs w:val="22"/>
          <w:lang w:val="es-ES" w:eastAsia="es-ES"/>
        </w:rPr>
      </w:pPr>
      <w:r w:rsidRPr="002E7652">
        <w:rPr>
          <w:rFonts w:ascii="Verdana" w:eastAsia="Calibri" w:hAnsi="Verdana" w:cs="Arial"/>
          <w:color w:val="000000" w:themeColor="text1"/>
          <w:sz w:val="22"/>
          <w:szCs w:val="22"/>
          <w:lang w:val="es-ES" w:eastAsia="es-ES"/>
        </w:rPr>
        <w:t>En ejercicio de la competencia otorgada por los artículos 3, numeral 5º, y 11, numeral 8º, del Decreto Ley 4170 de 2011,</w:t>
      </w:r>
      <w:r w:rsidRPr="002E7652">
        <w:rPr>
          <w:rFonts w:ascii="Verdana" w:eastAsia="Arial MT" w:hAnsi="Verdana" w:cs="Arial MT"/>
          <w:sz w:val="22"/>
          <w:szCs w:val="22"/>
          <w:lang w:val="es-ES" w:eastAsia="es-ES"/>
        </w:rPr>
        <w:t xml:space="preserve"> </w:t>
      </w:r>
      <w:r w:rsidRPr="002E7652">
        <w:rPr>
          <w:rFonts w:ascii="Verdana" w:hAnsi="Verdana" w:cs="Arial"/>
          <w:sz w:val="22"/>
          <w:szCs w:val="22"/>
        </w:rPr>
        <w:t xml:space="preserve">así como lo establecido en el artículo 4 de la Resolución 469 de 2025 expedida por esta Entidad, </w:t>
      </w:r>
      <w:r w:rsidRPr="002E7652">
        <w:rPr>
          <w:rFonts w:ascii="Verdana" w:eastAsia="Calibri" w:hAnsi="Verdana" w:cs="Arial"/>
          <w:color w:val="000000" w:themeColor="text1"/>
          <w:sz w:val="22"/>
          <w:szCs w:val="22"/>
          <w:lang w:val="es-ES" w:eastAsia="es-ES"/>
        </w:rPr>
        <w:t>la Agencia Nacional de Contratación Pública – Colombia Compra Eficiente responde su solicitud de consulta del 13</w:t>
      </w:r>
      <w:r w:rsidRPr="002E7652">
        <w:rPr>
          <w:rFonts w:ascii="Verdana" w:eastAsia="Calibri" w:hAnsi="Verdana" w:cs="Arial"/>
          <w:sz w:val="22"/>
          <w:szCs w:val="22"/>
          <w:lang w:val="es-ES" w:eastAsia="es-ES"/>
        </w:rPr>
        <w:t xml:space="preserve"> de agosto de 2026, donde realiza las siguientes preguntas:   </w:t>
      </w:r>
    </w:p>
    <w:p w14:paraId="1742C3AF" w14:textId="77777777" w:rsidR="002E7652" w:rsidRPr="002E7652" w:rsidRDefault="002E7652" w:rsidP="002E7652">
      <w:pPr>
        <w:autoSpaceDE w:val="0"/>
        <w:autoSpaceDN w:val="0"/>
        <w:adjustRightInd w:val="0"/>
        <w:rPr>
          <w:rFonts w:ascii="Verdana" w:eastAsiaTheme="minorHAnsi" w:hAnsi="Verdana" w:cs="Arial"/>
          <w:color w:val="000000"/>
          <w:sz w:val="20"/>
          <w:szCs w:val="20"/>
          <w:lang w:eastAsia="en-US"/>
        </w:rPr>
      </w:pPr>
    </w:p>
    <w:p w14:paraId="7759C82B" w14:textId="77777777" w:rsidR="002E7652" w:rsidRPr="002E7652" w:rsidRDefault="002E7652" w:rsidP="002E7652">
      <w:pPr>
        <w:autoSpaceDE w:val="0"/>
        <w:autoSpaceDN w:val="0"/>
        <w:adjustRightInd w:val="0"/>
        <w:ind w:left="709" w:right="709"/>
        <w:jc w:val="both"/>
        <w:rPr>
          <w:rFonts w:ascii="Verdana" w:eastAsiaTheme="minorHAnsi" w:hAnsi="Verdana" w:cs="Arial"/>
          <w:color w:val="000000"/>
          <w:sz w:val="20"/>
          <w:szCs w:val="20"/>
          <w:lang w:eastAsia="en-US"/>
        </w:rPr>
      </w:pPr>
      <w:r w:rsidRPr="002E7652">
        <w:rPr>
          <w:rFonts w:ascii="Verdana" w:eastAsiaTheme="minorHAnsi" w:hAnsi="Verdana" w:cs="Arial"/>
          <w:color w:val="000000"/>
          <w:sz w:val="20"/>
          <w:szCs w:val="20"/>
          <w:lang w:eastAsia="en-US"/>
        </w:rPr>
        <w:lastRenderedPageBreak/>
        <w:t xml:space="preserve">1. Solicito su pronunciamiento para que indique si existe o no causal de inhabilidad o rechazo, para el oferente que presente el Certificado de antecedentes disciplinarios expedido por la Junta Central de Contadores con la nota que indica </w:t>
      </w:r>
      <w:r w:rsidRPr="002E7652">
        <w:rPr>
          <w:rFonts w:ascii="Verdana" w:eastAsiaTheme="minorHAnsi" w:hAnsi="Verdana" w:cs="Arial"/>
          <w:b/>
          <w:bCs/>
          <w:color w:val="000000"/>
          <w:sz w:val="20"/>
          <w:szCs w:val="20"/>
          <w:lang w:eastAsia="en-US"/>
        </w:rPr>
        <w:t>EL CONTADOR PUBLICO NO HA CUMPLIDO CON LA OBLIGACION DE ACTUALIZAR EL REGISTRO</w:t>
      </w:r>
      <w:r w:rsidRPr="002E7652">
        <w:rPr>
          <w:rFonts w:ascii="Verdana" w:eastAsiaTheme="minorHAnsi" w:hAnsi="Verdana" w:cs="Arial"/>
          <w:color w:val="000000"/>
          <w:sz w:val="20"/>
          <w:szCs w:val="20"/>
          <w:lang w:eastAsia="en-US"/>
        </w:rPr>
        <w:t xml:space="preserve">, y conociendo que también en el mismo certificado se expresa </w:t>
      </w:r>
      <w:r w:rsidRPr="002E7652">
        <w:rPr>
          <w:rFonts w:ascii="Verdana" w:eastAsiaTheme="minorHAnsi" w:hAnsi="Verdana" w:cs="Arial"/>
          <w:b/>
          <w:bCs/>
          <w:color w:val="000000"/>
          <w:sz w:val="20"/>
          <w:szCs w:val="20"/>
          <w:lang w:eastAsia="en-US"/>
        </w:rPr>
        <w:t xml:space="preserve">NO REGISTRA ANTECEDENTES DISCIPLINARIOS. </w:t>
      </w:r>
      <w:r w:rsidRPr="002E7652">
        <w:rPr>
          <w:rFonts w:ascii="Verdana" w:eastAsiaTheme="minorHAnsi" w:hAnsi="Verdana" w:cs="Arial"/>
          <w:color w:val="000000"/>
          <w:sz w:val="20"/>
          <w:szCs w:val="20"/>
          <w:lang w:eastAsia="en-US"/>
        </w:rPr>
        <w:t xml:space="preserve">Esto, de acuerdo con lo expresado en el Parágrafo 1 del Artículo 24 de la RESOLUCIÓN NÚMERO D-0035-2024 (19 DE JUNIO DE 2024) de la UNIDAD ADMINISTRATIVA ESPECIAL JUNTA CENTRAL DE CONTADORES, que se muestra a continuación: </w:t>
      </w:r>
    </w:p>
    <w:p w14:paraId="4A611148" w14:textId="77777777" w:rsidR="002E7652" w:rsidRPr="002E7652" w:rsidRDefault="002E7652" w:rsidP="002E7652">
      <w:pPr>
        <w:autoSpaceDE w:val="0"/>
        <w:autoSpaceDN w:val="0"/>
        <w:adjustRightInd w:val="0"/>
        <w:ind w:left="709" w:right="709"/>
        <w:jc w:val="both"/>
        <w:rPr>
          <w:rFonts w:ascii="Verdana" w:eastAsiaTheme="minorHAnsi" w:hAnsi="Verdana" w:cs="Arial"/>
          <w:color w:val="000000"/>
          <w:sz w:val="20"/>
          <w:szCs w:val="20"/>
          <w:lang w:eastAsia="en-US"/>
        </w:rPr>
      </w:pPr>
    </w:p>
    <w:p w14:paraId="08E0D425" w14:textId="77777777" w:rsidR="002E7652" w:rsidRPr="002E7652" w:rsidRDefault="002E7652" w:rsidP="002E7652">
      <w:pPr>
        <w:autoSpaceDE w:val="0"/>
        <w:autoSpaceDN w:val="0"/>
        <w:adjustRightInd w:val="0"/>
        <w:ind w:left="709" w:right="709"/>
        <w:jc w:val="both"/>
        <w:rPr>
          <w:rFonts w:ascii="Verdana" w:eastAsiaTheme="minorHAnsi" w:hAnsi="Verdana" w:cs="Arial"/>
          <w:color w:val="000000"/>
          <w:sz w:val="20"/>
          <w:szCs w:val="20"/>
          <w:lang w:eastAsia="en-US"/>
        </w:rPr>
      </w:pPr>
      <w:r w:rsidRPr="002E7652">
        <w:rPr>
          <w:rFonts w:ascii="Verdana" w:eastAsiaTheme="minorHAnsi" w:hAnsi="Verdana" w:cs="Arial"/>
          <w:b/>
          <w:bCs/>
          <w:color w:val="000000"/>
          <w:sz w:val="20"/>
          <w:szCs w:val="20"/>
          <w:lang w:eastAsia="en-US"/>
        </w:rPr>
        <w:t xml:space="preserve">PARÁGRAFO 1°. </w:t>
      </w:r>
      <w:r w:rsidRPr="002E7652">
        <w:rPr>
          <w:rFonts w:ascii="Verdana" w:eastAsiaTheme="minorHAnsi" w:hAnsi="Verdana" w:cs="Arial"/>
          <w:color w:val="000000"/>
          <w:sz w:val="20"/>
          <w:szCs w:val="20"/>
          <w:lang w:eastAsia="en-US"/>
        </w:rPr>
        <w:t xml:space="preserve">En el evento que los Contadores Públicos y las entidades que presten servicios propios de la ciencia contable no actualicen la información registrada en la fecha establecida en este artículo, los certificados de vigencia de inscripción y de antecedentes disciplinarios </w:t>
      </w:r>
      <w:r w:rsidRPr="002E7652">
        <w:rPr>
          <w:rFonts w:ascii="Verdana" w:eastAsiaTheme="minorHAnsi" w:hAnsi="Verdana" w:cs="Arial"/>
          <w:b/>
          <w:bCs/>
          <w:color w:val="000000"/>
          <w:sz w:val="20"/>
          <w:szCs w:val="20"/>
          <w:lang w:eastAsia="en-US"/>
        </w:rPr>
        <w:t xml:space="preserve">contendrán anotación del incumplimiento de la obligación de actualizar, sin que ello invalide el registro del Contador Público </w:t>
      </w:r>
      <w:r w:rsidRPr="002E7652">
        <w:rPr>
          <w:rFonts w:ascii="Verdana" w:eastAsiaTheme="minorHAnsi" w:hAnsi="Verdana" w:cs="Arial"/>
          <w:color w:val="000000"/>
          <w:sz w:val="20"/>
          <w:szCs w:val="20"/>
          <w:lang w:eastAsia="en-US"/>
        </w:rPr>
        <w:t xml:space="preserve">o de las entidades que presten servicios de la ciencia contable y la información contenida en el mismo (cursiva, negrita y subrayada fuera del texto original)  </w:t>
      </w:r>
    </w:p>
    <w:p w14:paraId="343752E1" w14:textId="77777777" w:rsidR="002E7652" w:rsidRPr="002E7652" w:rsidRDefault="002E7652" w:rsidP="002E7652">
      <w:pPr>
        <w:autoSpaceDE w:val="0"/>
        <w:autoSpaceDN w:val="0"/>
        <w:adjustRightInd w:val="0"/>
        <w:ind w:left="709" w:right="709"/>
        <w:jc w:val="both"/>
        <w:rPr>
          <w:rFonts w:ascii="Verdana" w:eastAsiaTheme="minorHAnsi" w:hAnsi="Verdana" w:cs="Arial"/>
          <w:color w:val="000000"/>
          <w:sz w:val="20"/>
          <w:szCs w:val="20"/>
          <w:lang w:eastAsia="en-US"/>
        </w:rPr>
      </w:pPr>
    </w:p>
    <w:p w14:paraId="4973477F" w14:textId="77777777" w:rsidR="002E7652" w:rsidRPr="002E7652" w:rsidRDefault="002E7652" w:rsidP="002E7652">
      <w:pPr>
        <w:autoSpaceDE w:val="0"/>
        <w:autoSpaceDN w:val="0"/>
        <w:adjustRightInd w:val="0"/>
        <w:ind w:left="709" w:right="709"/>
        <w:jc w:val="both"/>
        <w:rPr>
          <w:rFonts w:ascii="Verdana" w:eastAsiaTheme="minorHAnsi" w:hAnsi="Verdana" w:cs="Arial"/>
          <w:color w:val="000000"/>
          <w:sz w:val="20"/>
          <w:szCs w:val="20"/>
          <w:lang w:eastAsia="en-US"/>
        </w:rPr>
      </w:pPr>
      <w:r w:rsidRPr="002E7652">
        <w:rPr>
          <w:rFonts w:ascii="Verdana" w:eastAsiaTheme="minorHAnsi" w:hAnsi="Verdana" w:cs="Arial"/>
          <w:color w:val="000000"/>
          <w:sz w:val="20"/>
          <w:szCs w:val="20"/>
          <w:lang w:eastAsia="en-US"/>
        </w:rPr>
        <w:t xml:space="preserve">2. Solicito indicar si las entidades contratantes podrán calcular la Capacidad de Organización (CO) de la capacidad residual de un oferente, que corresponde al mejor ingreso operacional de los últimos 5 años, al oferente que presente el Certificado de antecedentes disciplinarios expedido por la Junta Central de Contadores, del contador o revisor fiscal que firma los Estados Financieros del año con mejor ingreso operacional, con la nota que indica </w:t>
      </w:r>
      <w:r w:rsidRPr="002E7652">
        <w:rPr>
          <w:rFonts w:ascii="Verdana" w:eastAsiaTheme="minorHAnsi" w:hAnsi="Verdana" w:cs="Arial"/>
          <w:b/>
          <w:bCs/>
          <w:color w:val="000000"/>
          <w:sz w:val="20"/>
          <w:szCs w:val="20"/>
          <w:lang w:eastAsia="en-US"/>
        </w:rPr>
        <w:t>EL CONTADOR PUBLICO NO HA CUMPLIDO CON LA OBLIGACION DE ACTUALIZAR EL REGISTRO</w:t>
      </w:r>
      <w:r w:rsidRPr="002E7652">
        <w:rPr>
          <w:rFonts w:ascii="Verdana" w:eastAsiaTheme="minorHAnsi" w:hAnsi="Verdana" w:cs="Arial"/>
          <w:color w:val="000000"/>
          <w:sz w:val="20"/>
          <w:szCs w:val="20"/>
          <w:lang w:eastAsia="en-US"/>
        </w:rPr>
        <w:t xml:space="preserve">, y conociendo que también en el mismo certificado se expresa </w:t>
      </w:r>
      <w:r w:rsidRPr="002E7652">
        <w:rPr>
          <w:rFonts w:ascii="Verdana" w:eastAsiaTheme="minorHAnsi" w:hAnsi="Verdana" w:cs="Arial"/>
          <w:b/>
          <w:bCs/>
          <w:color w:val="000000"/>
          <w:sz w:val="20"/>
          <w:szCs w:val="20"/>
          <w:lang w:eastAsia="en-US"/>
        </w:rPr>
        <w:t xml:space="preserve">NO REGISTRA ANTECEDENTES DISCIPLINARIOS. </w:t>
      </w:r>
      <w:r w:rsidRPr="002E7652">
        <w:rPr>
          <w:rFonts w:ascii="Verdana" w:eastAsiaTheme="minorHAnsi" w:hAnsi="Verdana" w:cs="Arial"/>
          <w:color w:val="000000"/>
          <w:sz w:val="20"/>
          <w:szCs w:val="20"/>
          <w:lang w:eastAsia="en-US"/>
        </w:rPr>
        <w:t xml:space="preserve">Y considerando que el Certificado de antecedentes disciplinarios expedido por la Junta Central de Contadores, debe corresponder al periodo en el que suscribió los estados financieros motivo de análisis, razón por la cual no se debe requerir un Certificado de antecedentes disciplinarios actualizado para la fecha de cierre del proceso. </w:t>
      </w:r>
    </w:p>
    <w:p w14:paraId="668AB118" w14:textId="77777777" w:rsidR="002E7652" w:rsidRPr="002E7652" w:rsidRDefault="002E7652" w:rsidP="002E7652">
      <w:pPr>
        <w:spacing w:after="120"/>
        <w:ind w:right="709"/>
        <w:jc w:val="both"/>
        <w:rPr>
          <w:rFonts w:ascii="Verdana" w:eastAsia="Calibri" w:hAnsi="Verdana" w:cs="Arial"/>
          <w:color w:val="000000"/>
          <w:sz w:val="22"/>
          <w:szCs w:val="22"/>
          <w:lang w:val="es-ES" w:eastAsia="es-ES"/>
        </w:rPr>
      </w:pPr>
    </w:p>
    <w:p w14:paraId="71B8DD60" w14:textId="77777777" w:rsidR="002E7652" w:rsidRPr="002E7652" w:rsidRDefault="002E7652" w:rsidP="002E7652">
      <w:pPr>
        <w:spacing w:after="120" w:line="276" w:lineRule="auto"/>
        <w:ind w:firstLine="709"/>
        <w:jc w:val="both"/>
        <w:rPr>
          <w:rFonts w:ascii="Verdana" w:eastAsia="Calibri" w:hAnsi="Verdana" w:cs="Arial"/>
          <w:color w:val="000000"/>
          <w:sz w:val="22"/>
          <w:szCs w:val="22"/>
          <w:lang w:val="es-ES" w:eastAsia="es-ES"/>
        </w:rPr>
      </w:pPr>
      <w:r w:rsidRPr="002E7652">
        <w:rPr>
          <w:rFonts w:ascii="Verdana" w:eastAsia="Calibri" w:hAnsi="Verdana" w:cs="Arial"/>
          <w:color w:val="000000"/>
          <w:sz w:val="22"/>
          <w:szCs w:val="22"/>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w:t>
      </w:r>
      <w:r w:rsidRPr="002E7652">
        <w:rPr>
          <w:rFonts w:ascii="Verdana" w:eastAsia="Calibri" w:hAnsi="Verdana" w:cs="Arial"/>
          <w:color w:val="000000"/>
          <w:sz w:val="22"/>
          <w:szCs w:val="22"/>
          <w:lang w:val="es-ES" w:eastAsia="es-ES"/>
        </w:rPr>
        <w:lastRenderedPageBreak/>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7652">
        <w:rPr>
          <w:rFonts w:ascii="Verdana" w:eastAsia="Calibri" w:hAnsi="Verdana" w:cs="Arial"/>
          <w:color w:val="000000"/>
          <w:sz w:val="22"/>
          <w:szCs w:val="22"/>
          <w:lang w:val="es-ES_tradnl"/>
        </w:rPr>
        <w:tab/>
      </w:r>
    </w:p>
    <w:p w14:paraId="5C11AF26" w14:textId="77777777" w:rsidR="002E7652" w:rsidRPr="002E7652" w:rsidRDefault="002E7652" w:rsidP="002E7652">
      <w:pPr>
        <w:spacing w:line="276" w:lineRule="auto"/>
        <w:ind w:firstLine="709"/>
        <w:jc w:val="both"/>
        <w:rPr>
          <w:rFonts w:ascii="Verdana" w:eastAsia="Calibri" w:hAnsi="Verdana" w:cs="Arial"/>
          <w:color w:val="000000"/>
          <w:sz w:val="22"/>
          <w:szCs w:val="22"/>
          <w:lang w:val="es-ES" w:eastAsia="es-ES"/>
        </w:rPr>
      </w:pPr>
      <w:r w:rsidRPr="002E7652">
        <w:rPr>
          <w:rFonts w:ascii="Verdana" w:eastAsia="Calibri" w:hAnsi="Verdana" w:cs="Arial"/>
          <w:color w:val="000000"/>
          <w:sz w:val="22"/>
          <w:szCs w:val="22"/>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2E7652">
        <w:rPr>
          <w:rFonts w:ascii="Verdana" w:eastAsia="Calibri" w:hAnsi="Verdana" w:cs="Arial"/>
          <w:color w:val="7030A0"/>
          <w:sz w:val="22"/>
          <w:szCs w:val="22"/>
          <w:lang w:val="es-ES" w:eastAsia="es-ES"/>
        </w:rPr>
        <w:t xml:space="preserve"> </w:t>
      </w:r>
      <w:r w:rsidRPr="002E7652">
        <w:rPr>
          <w:rFonts w:ascii="Verdana" w:eastAsia="Calibri" w:hAnsi="Verdana" w:cs="Arial"/>
          <w:color w:val="000000"/>
          <w:sz w:val="22"/>
          <w:szCs w:val="22"/>
          <w:lang w:val="es-ES" w:eastAsia="es-ES"/>
        </w:rPr>
        <w:t>problema</w:t>
      </w:r>
      <w:r w:rsidRPr="002E7652">
        <w:rPr>
          <w:rFonts w:ascii="Verdana" w:eastAsia="Calibri" w:hAnsi="Verdana" w:cs="Arial"/>
          <w:color w:val="7030A0"/>
          <w:sz w:val="22"/>
          <w:szCs w:val="22"/>
          <w:lang w:val="es-ES" w:eastAsia="es-ES"/>
        </w:rPr>
        <w:t xml:space="preserve"> </w:t>
      </w:r>
      <w:r w:rsidRPr="002E7652">
        <w:rPr>
          <w:rFonts w:ascii="Verdana" w:eastAsia="Calibri" w:hAnsi="Verdana" w:cs="Arial"/>
          <w:color w:val="000000"/>
          <w:sz w:val="22"/>
          <w:szCs w:val="22"/>
          <w:lang w:val="es-ES" w:eastAsia="es-ES"/>
        </w:rPr>
        <w:t>jurídico</w:t>
      </w:r>
      <w:r w:rsidRPr="002E7652">
        <w:rPr>
          <w:rFonts w:ascii="Verdana" w:eastAsia="Calibri" w:hAnsi="Verdana" w:cs="Arial"/>
          <w:color w:val="7030A0"/>
          <w:sz w:val="22"/>
          <w:szCs w:val="22"/>
          <w:lang w:val="es-ES" w:eastAsia="es-ES"/>
        </w:rPr>
        <w:t xml:space="preserve"> </w:t>
      </w:r>
      <w:r w:rsidRPr="002E7652">
        <w:rPr>
          <w:rFonts w:ascii="Verdana" w:eastAsia="Calibri" w:hAnsi="Verdana" w:cs="Arial"/>
          <w:color w:val="000000"/>
          <w:sz w:val="22"/>
          <w:szCs w:val="22"/>
          <w:lang w:val="es-ES" w:eastAsia="es-ES"/>
        </w:rPr>
        <w:t xml:space="preserve">de su consulta.  </w:t>
      </w:r>
    </w:p>
    <w:p w14:paraId="2D7927A3" w14:textId="77777777" w:rsidR="002E7652" w:rsidRPr="002E7652" w:rsidRDefault="002E7652" w:rsidP="002E7652">
      <w:pPr>
        <w:ind w:firstLine="709"/>
        <w:jc w:val="both"/>
        <w:rPr>
          <w:rFonts w:ascii="Verdana" w:eastAsia="Calibri" w:hAnsi="Verdana" w:cs="Arial"/>
          <w:color w:val="000000"/>
          <w:sz w:val="22"/>
          <w:szCs w:val="22"/>
          <w:lang w:val="es-ES" w:eastAsia="es-ES"/>
        </w:rPr>
      </w:pPr>
    </w:p>
    <w:p w14:paraId="1BF26219" w14:textId="77777777" w:rsidR="002E7652" w:rsidRPr="002E7652" w:rsidRDefault="002E7652" w:rsidP="002E7652">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2E7652">
        <w:rPr>
          <w:rFonts w:ascii="Verdana" w:eastAsia="Century Gothic" w:hAnsi="Verdana" w:cs="Century Gothic"/>
          <w:b/>
          <w:bCs/>
          <w:sz w:val="22"/>
          <w:szCs w:val="22"/>
          <w:lang w:val="es-ES"/>
        </w:rPr>
        <w:t>Problemas planteados:</w:t>
      </w:r>
    </w:p>
    <w:p w14:paraId="3CAA104E" w14:textId="77777777" w:rsidR="002E7652" w:rsidRPr="002E7652" w:rsidRDefault="002E7652" w:rsidP="002E7652">
      <w:pPr>
        <w:tabs>
          <w:tab w:val="left" w:pos="426"/>
        </w:tabs>
        <w:jc w:val="both"/>
        <w:rPr>
          <w:rFonts w:ascii="Verdana" w:eastAsia="Century Gothic" w:hAnsi="Verdana" w:cs="Century Gothic"/>
          <w:sz w:val="22"/>
          <w:szCs w:val="22"/>
          <w:lang w:val="es-ES"/>
        </w:rPr>
      </w:pPr>
    </w:p>
    <w:p w14:paraId="63405527" w14:textId="77777777" w:rsidR="002E7652" w:rsidRPr="002E7652" w:rsidRDefault="002E7652" w:rsidP="002E7652">
      <w:pPr>
        <w:tabs>
          <w:tab w:val="left" w:pos="0"/>
        </w:tabs>
        <w:spacing w:line="276" w:lineRule="auto"/>
        <w:jc w:val="both"/>
        <w:rPr>
          <w:rFonts w:ascii="Verdana" w:eastAsia="Calibri" w:hAnsi="Verdana" w:cs="Arial"/>
          <w:bCs/>
          <w:color w:val="000000" w:themeColor="text1"/>
          <w:sz w:val="22"/>
          <w:szCs w:val="22"/>
        </w:rPr>
      </w:pPr>
      <w:r w:rsidRPr="002E7652">
        <w:rPr>
          <w:rFonts w:ascii="Verdana" w:eastAsia="Century Gothic" w:hAnsi="Verdana" w:cs="Century Gothic"/>
          <w:sz w:val="22"/>
          <w:szCs w:val="22"/>
        </w:rPr>
        <w:t>De acuerdo con el contenido de sus solicitudes, esta Agencia resolverá en el siguiente problema jurídico: ¿La anotación consignada en el certificado de vigencia de inscripción y antecedentes disciplinarios, en la que se indica que el contador público no ha cumplido con la obligación de actualizar su registro, puede considerarse una inhabilidad del oferente o una causal de rechazo de su propuesta, aun cuando el mismo documento señale que el profesional no registra antecedentes disciplinarios y dicha anotación no invalide ni su inscripción ni la información certificada y en ese sentido, cuáles serían sus efectos jurídicos?</w:t>
      </w:r>
    </w:p>
    <w:p w14:paraId="360FAAAF" w14:textId="77777777" w:rsidR="002E7652" w:rsidRPr="002E7652" w:rsidRDefault="002E7652" w:rsidP="002E7652">
      <w:pPr>
        <w:spacing w:line="276" w:lineRule="auto"/>
        <w:jc w:val="both"/>
        <w:rPr>
          <w:rFonts w:ascii="Verdana" w:eastAsia="Century Gothic" w:hAnsi="Verdana" w:cs="Century Gothic"/>
          <w:sz w:val="22"/>
          <w:szCs w:val="22"/>
        </w:rPr>
      </w:pPr>
    </w:p>
    <w:p w14:paraId="1213DC89" w14:textId="77777777" w:rsidR="002E7652" w:rsidRPr="002E7652" w:rsidRDefault="002E7652" w:rsidP="002E7652">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2E7652">
        <w:rPr>
          <w:rFonts w:ascii="Verdana" w:eastAsia="Century Gothic" w:hAnsi="Verdana" w:cs="Century Gothic"/>
          <w:b/>
          <w:bCs/>
          <w:sz w:val="22"/>
          <w:szCs w:val="22"/>
          <w:lang w:val="es-ES"/>
        </w:rPr>
        <w:t>Respuestas:</w:t>
      </w:r>
    </w:p>
    <w:p w14:paraId="1F0028E5" w14:textId="77777777" w:rsidR="002E7652" w:rsidRPr="002E7652" w:rsidRDefault="002E7652" w:rsidP="002E7652">
      <w:pPr>
        <w:tabs>
          <w:tab w:val="left" w:pos="142"/>
          <w:tab w:val="left" w:pos="284"/>
        </w:tabs>
        <w:jc w:val="both"/>
        <w:rPr>
          <w:rFonts w:ascii="Verdana" w:eastAsia="Century Gothic" w:hAnsi="Verdana" w:cs="Century Gothic"/>
          <w:b/>
          <w:bCs/>
          <w:sz w:val="22"/>
          <w:szCs w:val="22"/>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7652" w:rsidRPr="002E7652" w14:paraId="6DDC96C8" w14:textId="77777777" w:rsidTr="005A6833">
        <w:trPr>
          <w:jc w:val="center"/>
        </w:trPr>
        <w:tc>
          <w:tcPr>
            <w:tcW w:w="8828" w:type="dxa"/>
          </w:tcPr>
          <w:p w14:paraId="642DAAB6" w14:textId="77777777" w:rsidR="002E7652" w:rsidRPr="002E7652" w:rsidRDefault="002E7652" w:rsidP="002E7652">
            <w:pPr>
              <w:tabs>
                <w:tab w:val="left" w:pos="0"/>
              </w:tabs>
              <w:spacing w:after="120" w:line="276" w:lineRule="auto"/>
              <w:jc w:val="both"/>
              <w:rPr>
                <w:rFonts w:ascii="Verdana" w:eastAsia="Calibri" w:hAnsi="Verdana" w:cs="Arial"/>
                <w:bCs/>
                <w:color w:val="000000" w:themeColor="text1"/>
                <w:sz w:val="22"/>
                <w:szCs w:val="22"/>
              </w:rPr>
            </w:pPr>
            <w:bookmarkStart w:id="1" w:name="_Hlk171694685"/>
            <w:r w:rsidRPr="002E7652">
              <w:rPr>
                <w:rFonts w:ascii="Verdana" w:eastAsia="Calibri" w:hAnsi="Verdana" w:cs="Arial"/>
                <w:bCs/>
                <w:color w:val="000000" w:themeColor="text1"/>
                <w:sz w:val="22"/>
                <w:szCs w:val="22"/>
              </w:rPr>
              <w:t>De acuerdo con el contenido de la solicitud y conforme a la interpretación general de las normas que regulan el sistema de compras públicas para resolver el problema jurídico de su consulta, esta Agencia concluye que la anotación incluida en el certificado de vigencia de inscripción y antecedentes disciplinarios —según la cual el contador público no ha cumplido con la obligación de actualizar la información registrada— no constituye, por sí misma, una inhabilidad del oferente, así mismo, no configura una causal de rechazo de su propuesta ni afecta como documento para acreditar la Capacidad de Organización de un proponente explicada en este concepto.</w:t>
            </w:r>
          </w:p>
          <w:p w14:paraId="46FAF9EF"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 xml:space="preserve">En este aspecto, debe precisarse que las inhabilidades e incompatibilidades para participar en procedimientos de selección y contratar </w:t>
            </w:r>
            <w:r w:rsidRPr="002E7652">
              <w:rPr>
                <w:rFonts w:ascii="Verdana" w:eastAsia="Calibri" w:hAnsi="Verdana" w:cs="Arial"/>
                <w:bCs/>
                <w:color w:val="000000" w:themeColor="text1"/>
                <w:sz w:val="22"/>
                <w:szCs w:val="22"/>
              </w:rPr>
              <w:lastRenderedPageBreak/>
              <w:t>con el Estado deben estar previstas de manera expresa en la Constitución o en la ley. Por tratarse de restricciones a la capacidad jurídica, están sometidas a los principios de legalidad y con ello a la taxatividad, lo que implica que su interpretación debe ser restrictiva. En esta línea, no es posible extender sus efectos a hechos o circunstancias que el ordenamiento jurídico no haya establecido expresamente como causales de inhabilidad.</w:t>
            </w:r>
          </w:p>
          <w:p w14:paraId="25531C4B"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En este sentido, el incumplimiento del deber de actualización de la información registrada por parte del contador público tampoco puede asimilarse a la existencia de un antecedente disciplinario, a la imposición de una sanción o a la pérdida de vigencia de su inscripción profesional. Esta precisión resulta especialmente relevante cuando el mismo certificado en el parágrafo 1 del artículo 25 de la Resolución D-0035 del 9 de junio de 2024 prescribe que el profesional no registra antecedentes disciplinarios, lo cual reafirma que la anotación no afecta la validez de la inscripción ni la habilitación para el ejercicio de la profesión.</w:t>
            </w:r>
          </w:p>
          <w:p w14:paraId="00713441"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 xml:space="preserve">Sin embargo, debe diferenciarse la falta de actualización de la información registrada, la vigencia de la inscripción profesional y las condiciones de expedición y vigencia del certificado aportado. La primera circunstancia genera la anotación regulada por el artículo 25 de la Resolución D-0035 de 2024, pero no equivale, por sí sola, a la cancelación o pérdida de vigencia del registro ni a la existencia de antecedentes disciplinarios. Por su parte, las condiciones del certificado presentado deben examinarse de acuerdo con las normas aplicables y con las exigencias contenidas en los documentos del proceso. En esa medida, la entidad estatal debe establecer si la observación advertida corresponde únicamente a la anotación derivada de la falta de actualización o si el documento presenta una deficiencia diferente, como su falta de aportación, el vencimiento del término de vigencia o la imposibilidad de comprobar mediante este la situación profesional o disciplinaria del contador. </w:t>
            </w:r>
          </w:p>
          <w:p w14:paraId="11EE4E46"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 xml:space="preserve">En este escenario, la entidad contratante sí podría calcular la Capacidad de Organización con base en el mejor ingreso operacional de los últimos cinco años, aun cuando el certificado de antecedentes disciplinarios del contador o revisor fiscal que suscribió los estados financieros indique la nota de “no actualización del registro”, siempre que dicho certificado corresponda al período en el cual se elaboraron los estados financieros objeto de análisis y se </w:t>
            </w:r>
            <w:r w:rsidRPr="002E7652">
              <w:rPr>
                <w:rFonts w:ascii="Verdana" w:eastAsia="Calibri" w:hAnsi="Verdana" w:cs="Arial"/>
                <w:bCs/>
                <w:color w:val="000000" w:themeColor="text1"/>
                <w:sz w:val="22"/>
                <w:szCs w:val="22"/>
              </w:rPr>
              <w:lastRenderedPageBreak/>
              <w:t>constate que no registra antecedentes disciplinarios. Ello se sustenta en que la exigencia normativa se centra en verificar la idoneidad y ausencia de sanciones disciplinarias del profesional en el momento de la suscripción de los estados financieros, sin que resulte necesario exigir un certificado actualizado a la fecha de cierre del proceso, pues lo relevante es la vigencia y validez del documento en el período de referencia.</w:t>
            </w:r>
          </w:p>
          <w:p w14:paraId="7E3D90CB"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Por tanto, la inclusión de la anotación mencionada no permite concluir que el oferente se encuentra inhabilitado ni constituye motivo suficiente para rechazar o excluir su propuesta del procedimiento de selección. Sin perjuicio de lo anterior, corresponde a la entidad estatal verificar, en cada proceso, el cumplimiento de los requisitos legales y de los documentos del proceso, así como determinar si concurre alguna causal de rechazo expresamente prevista. Esta decisión no podrá sustentarse exclusivamente en la falta de actualización del registro ni atribuirle a dicha anotación efectos jurídicos distintos de los previstos en la regulación expedida por la Junta Central de Contadores en Resolución D-0035 de 2024.</w:t>
            </w:r>
          </w:p>
          <w:p w14:paraId="1AE8BE63"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p>
        </w:tc>
      </w:tr>
    </w:tbl>
    <w:p w14:paraId="4291670D" w14:textId="77777777" w:rsidR="002E7652" w:rsidRPr="002E7652" w:rsidRDefault="002E7652" w:rsidP="002E7652">
      <w:pPr>
        <w:tabs>
          <w:tab w:val="left" w:pos="142"/>
          <w:tab w:val="left" w:pos="284"/>
        </w:tabs>
        <w:spacing w:line="276" w:lineRule="auto"/>
        <w:jc w:val="both"/>
        <w:rPr>
          <w:rFonts w:ascii="Verdana" w:eastAsia="Century Gothic" w:hAnsi="Verdana" w:cs="Century Gothic"/>
          <w:b/>
          <w:bCs/>
          <w:sz w:val="22"/>
          <w:szCs w:val="22"/>
          <w:lang w:val="es-ES"/>
        </w:rPr>
      </w:pPr>
    </w:p>
    <w:bookmarkEnd w:id="1"/>
    <w:p w14:paraId="5F2B22E1" w14:textId="77777777" w:rsidR="002E7652" w:rsidRPr="002E7652" w:rsidRDefault="002E7652" w:rsidP="002E7652">
      <w:pPr>
        <w:numPr>
          <w:ilvl w:val="0"/>
          <w:numId w:val="16"/>
        </w:numPr>
        <w:tabs>
          <w:tab w:val="left" w:pos="142"/>
          <w:tab w:val="left" w:pos="284"/>
        </w:tabs>
        <w:spacing w:after="160" w:line="276" w:lineRule="auto"/>
        <w:jc w:val="both"/>
        <w:rPr>
          <w:rFonts w:ascii="Verdana" w:eastAsia="Century Gothic" w:hAnsi="Verdana" w:cs="Century Gothic"/>
          <w:b/>
          <w:bCs/>
          <w:sz w:val="22"/>
          <w:szCs w:val="22"/>
          <w:lang w:val="es-ES"/>
        </w:rPr>
      </w:pPr>
      <w:r w:rsidRPr="002E7652">
        <w:rPr>
          <w:rFonts w:ascii="Verdana" w:eastAsia="Century Gothic" w:hAnsi="Verdana" w:cs="Century Gothic"/>
          <w:b/>
          <w:bCs/>
          <w:sz w:val="22"/>
          <w:szCs w:val="22"/>
          <w:lang w:val="es-ES"/>
        </w:rPr>
        <w:t>Razones de la respuesta:</w:t>
      </w:r>
    </w:p>
    <w:p w14:paraId="14E604AE" w14:textId="77777777" w:rsidR="002E7652" w:rsidRPr="002E7652" w:rsidRDefault="002E7652" w:rsidP="002E7652">
      <w:pPr>
        <w:spacing w:line="276" w:lineRule="auto"/>
        <w:jc w:val="both"/>
        <w:rPr>
          <w:rFonts w:ascii="Verdana" w:eastAsia="Calibri" w:hAnsi="Verdana" w:cs="Arial"/>
          <w:sz w:val="22"/>
          <w:szCs w:val="22"/>
          <w:lang w:val="es-ES" w:eastAsia="en-US"/>
        </w:rPr>
      </w:pPr>
    </w:p>
    <w:p w14:paraId="574E531D" w14:textId="77777777" w:rsidR="002E7652" w:rsidRPr="002E7652" w:rsidRDefault="002E7652" w:rsidP="002E7652">
      <w:pPr>
        <w:spacing w:line="276" w:lineRule="auto"/>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 xml:space="preserve">i) Las inhabilidades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 De igual modo, en torno a la incompatibilidad, la Corte Constitucional ha señalado: </w:t>
      </w:r>
    </w:p>
    <w:p w14:paraId="72D75972" w14:textId="77777777" w:rsidR="002E7652" w:rsidRPr="002E7652" w:rsidRDefault="002E7652" w:rsidP="002E7652">
      <w:pPr>
        <w:spacing w:line="276" w:lineRule="auto"/>
        <w:jc w:val="both"/>
        <w:rPr>
          <w:rFonts w:ascii="Verdana" w:eastAsia="Calibri" w:hAnsi="Verdana" w:cs="Arial"/>
          <w:sz w:val="22"/>
          <w:szCs w:val="22"/>
          <w:lang w:val="es-MX" w:eastAsia="en-US"/>
        </w:rPr>
      </w:pPr>
    </w:p>
    <w:p w14:paraId="4A8F696B" w14:textId="77777777" w:rsidR="002E7652" w:rsidRPr="002E7652" w:rsidRDefault="002E7652" w:rsidP="002E7652">
      <w:pPr>
        <w:ind w:left="709" w:right="709"/>
        <w:jc w:val="both"/>
        <w:rPr>
          <w:rFonts w:ascii="Verdana" w:eastAsia="Calibri" w:hAnsi="Verdana" w:cs="Arial"/>
          <w:bCs/>
          <w:iCs/>
          <w:sz w:val="20"/>
          <w:szCs w:val="20"/>
          <w:lang w:val="es-ES" w:eastAsia="en-US"/>
        </w:rPr>
      </w:pPr>
      <w:r w:rsidRPr="002E7652">
        <w:rPr>
          <w:rFonts w:ascii="Verdana" w:eastAsia="Calibri" w:hAnsi="Verdana" w:cs="Arial"/>
          <w:sz w:val="20"/>
          <w:szCs w:val="20"/>
          <w:lang w:val="es-MX" w:eastAsia="en-US"/>
        </w:rPr>
        <w:lastRenderedPageBreak/>
        <w:t xml:space="preserve"> </w:t>
      </w:r>
      <w:r w:rsidRPr="002E7652">
        <w:rPr>
          <w:rFonts w:ascii="Verdana" w:eastAsia="Calibri" w:hAnsi="Verdana" w:cs="Arial"/>
          <w:bCs/>
          <w:iCs/>
          <w:sz w:val="20"/>
          <w:szCs w:val="20"/>
          <w:lang w:val="es-ES" w:eastAsia="en-U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2E7652">
        <w:rPr>
          <w:rFonts w:ascii="Verdana" w:eastAsia="Calibri" w:hAnsi="Verdana" w:cs="Arial"/>
          <w:bCs/>
          <w:iCs/>
          <w:sz w:val="20"/>
          <w:szCs w:val="20"/>
          <w:vertAlign w:val="superscript"/>
          <w:lang w:val="es-ES" w:eastAsia="en-US"/>
        </w:rPr>
        <w:footnoteReference w:id="1"/>
      </w:r>
      <w:r w:rsidRPr="002E7652">
        <w:rPr>
          <w:rFonts w:ascii="Verdana" w:eastAsia="Calibri" w:hAnsi="Verdana" w:cs="Arial"/>
          <w:bCs/>
          <w:iCs/>
          <w:sz w:val="20"/>
          <w:szCs w:val="20"/>
          <w:lang w:val="es-ES" w:eastAsia="en-US"/>
        </w:rPr>
        <w:t>.</w:t>
      </w:r>
    </w:p>
    <w:p w14:paraId="7ACC0336" w14:textId="77777777" w:rsidR="002E7652" w:rsidRPr="002E7652" w:rsidRDefault="002E7652" w:rsidP="002E7652">
      <w:pPr>
        <w:ind w:left="709" w:right="709"/>
        <w:jc w:val="both"/>
        <w:rPr>
          <w:rFonts w:ascii="Verdana" w:eastAsia="Calibri" w:hAnsi="Verdana" w:cs="Arial"/>
          <w:bCs/>
          <w:iCs/>
          <w:sz w:val="21"/>
          <w:szCs w:val="21"/>
          <w:lang w:val="es-ES_tradnl" w:eastAsia="en-US"/>
        </w:rPr>
      </w:pPr>
    </w:p>
    <w:p w14:paraId="7FA42A8C" w14:textId="77777777" w:rsidR="002E7652" w:rsidRPr="002E7652" w:rsidRDefault="002E7652" w:rsidP="002E7652">
      <w:pPr>
        <w:spacing w:after="120"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Las inhabilidades e incompatibilidades pueden enfocarse en varios asuntos: en primer lugar, se encuentran las inhabilidades e incompatibilidades que impiden que u</w:t>
      </w:r>
      <w:proofErr w:type="spellStart"/>
      <w:r w:rsidRPr="002E7652">
        <w:rPr>
          <w:rFonts w:ascii="Verdana" w:eastAsia="Calibri" w:hAnsi="Verdana" w:cs="Arial"/>
          <w:sz w:val="22"/>
          <w:szCs w:val="22"/>
          <w:lang w:eastAsia="en-US"/>
        </w:rPr>
        <w:t>na</w:t>
      </w:r>
      <w:proofErr w:type="spellEnd"/>
      <w:r w:rsidRPr="002E7652">
        <w:rPr>
          <w:rFonts w:ascii="Verdana" w:eastAsia="Calibri" w:hAnsi="Verdana" w:cs="Arial"/>
          <w:sz w:val="22"/>
          <w:szCs w:val="22"/>
          <w:lang w:eastAsia="en-US"/>
        </w:rPr>
        <w:t xml:space="preserve">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2E7652">
        <w:rPr>
          <w:rFonts w:ascii="Verdana" w:eastAsia="Calibri" w:hAnsi="Verdana" w:cs="Arial"/>
          <w:sz w:val="22"/>
          <w:szCs w:val="22"/>
          <w:lang w:val="es-MX" w:eastAsia="en-US"/>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con lo expuesto, se señala que la Agencia Nacional de Contratación Pública es competente para resolver consultas sobre normas del sistema de compras y contratación públicas que establezca inhabilidades e incompatibilidades para contratar con el Estado. </w:t>
      </w:r>
    </w:p>
    <w:p w14:paraId="5801277B" w14:textId="77777777" w:rsidR="002E7652" w:rsidRPr="002E7652" w:rsidRDefault="002E7652" w:rsidP="002E7652">
      <w:pPr>
        <w:spacing w:after="120"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2E7652">
        <w:rPr>
          <w:rFonts w:ascii="Verdana" w:eastAsia="Calibri" w:hAnsi="Verdana" w:cs="Arial"/>
          <w:sz w:val="22"/>
          <w:szCs w:val="22"/>
          <w:vertAlign w:val="superscript"/>
          <w:lang w:val="es-MX" w:eastAsia="en-US"/>
        </w:rPr>
        <w:footnoteReference w:id="2"/>
      </w:r>
    </w:p>
    <w:p w14:paraId="3F5485CE" w14:textId="77777777" w:rsidR="002E7652" w:rsidRPr="002E7652" w:rsidRDefault="002E7652" w:rsidP="002E7652">
      <w:pPr>
        <w:spacing w:before="120"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lastRenderedPageBreak/>
        <w:t xml:space="preserve">La regulación de las inhabilidades que implican limitaciones a la capacidad jurídica para contratar, que desarrolla los principios de la función administrativa consagrados en el artículo 209 de la Constitución Política, con especial énfasis, el de moralidad. Así lo entiende el Consejo de Estado: </w:t>
      </w:r>
    </w:p>
    <w:p w14:paraId="289E0DCC" w14:textId="77777777" w:rsidR="002E7652" w:rsidRPr="002E7652" w:rsidRDefault="002E7652" w:rsidP="002E7652">
      <w:pPr>
        <w:spacing w:line="276" w:lineRule="auto"/>
        <w:jc w:val="both"/>
        <w:rPr>
          <w:rFonts w:ascii="Verdana" w:eastAsia="Calibri" w:hAnsi="Verdana" w:cs="Arial"/>
          <w:sz w:val="22"/>
          <w:szCs w:val="22"/>
          <w:lang w:val="es-MX" w:eastAsia="en-US"/>
        </w:rPr>
      </w:pPr>
    </w:p>
    <w:p w14:paraId="52841C68" w14:textId="77777777" w:rsidR="002E7652" w:rsidRPr="002E7652" w:rsidRDefault="002E7652" w:rsidP="002E7652">
      <w:pPr>
        <w:shd w:val="clear" w:color="auto" w:fill="FFFFFF"/>
        <w:ind w:left="709" w:right="709"/>
        <w:jc w:val="both"/>
        <w:rPr>
          <w:rFonts w:ascii="Verdana" w:eastAsia="Calibri" w:hAnsi="Verdana" w:cs="Arial"/>
          <w:sz w:val="20"/>
          <w:szCs w:val="20"/>
          <w:lang w:val="es-ES" w:eastAsia="en-US"/>
        </w:rPr>
      </w:pPr>
      <w:r w:rsidRPr="002E7652">
        <w:rPr>
          <w:rFonts w:ascii="Verdana" w:eastAsia="Calibri" w:hAnsi="Verdana" w:cs="Arial"/>
          <w:sz w:val="20"/>
          <w:szCs w:val="20"/>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1429EB2" w14:textId="77777777" w:rsidR="002E7652" w:rsidRPr="002E7652" w:rsidRDefault="002E7652" w:rsidP="002E7652">
      <w:pPr>
        <w:shd w:val="clear" w:color="auto" w:fill="FFFFFF"/>
        <w:ind w:left="709" w:right="709"/>
        <w:jc w:val="both"/>
        <w:rPr>
          <w:rFonts w:ascii="Verdana" w:eastAsia="Calibri" w:hAnsi="Verdana" w:cs="Arial"/>
          <w:sz w:val="20"/>
          <w:szCs w:val="20"/>
          <w:lang w:val="es-ES" w:eastAsia="en-US"/>
        </w:rPr>
      </w:pPr>
    </w:p>
    <w:p w14:paraId="63CECF21" w14:textId="77777777" w:rsidR="002E7652" w:rsidRPr="002E7652" w:rsidRDefault="002E7652" w:rsidP="002E7652">
      <w:pPr>
        <w:shd w:val="clear" w:color="auto" w:fill="FFFFFF"/>
        <w:ind w:left="709" w:right="709"/>
        <w:jc w:val="both"/>
        <w:rPr>
          <w:rFonts w:ascii="Verdana" w:eastAsia="Calibri" w:hAnsi="Verdana" w:cs="Arial"/>
          <w:sz w:val="20"/>
          <w:szCs w:val="20"/>
          <w:lang w:val="es-ES" w:eastAsia="en-US"/>
        </w:rPr>
      </w:pPr>
      <w:r w:rsidRPr="002E7652">
        <w:rPr>
          <w:rFonts w:ascii="Verdana" w:eastAsia="Calibri" w:hAnsi="Verdana" w:cs="Arial"/>
          <w:sz w:val="20"/>
          <w:szCs w:val="20"/>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2E7652">
        <w:rPr>
          <w:rFonts w:ascii="Verdana" w:eastAsia="Calibri" w:hAnsi="Verdana" w:cs="Arial"/>
          <w:sz w:val="20"/>
          <w:szCs w:val="20"/>
          <w:vertAlign w:val="superscript"/>
          <w:lang w:val="es-ES" w:eastAsia="en-US"/>
        </w:rPr>
        <w:footnoteReference w:id="3"/>
      </w:r>
    </w:p>
    <w:p w14:paraId="0FED153C" w14:textId="77777777" w:rsidR="002E7652" w:rsidRPr="002E7652" w:rsidRDefault="002E7652" w:rsidP="002E7652">
      <w:pPr>
        <w:shd w:val="clear" w:color="auto" w:fill="FFFFFF"/>
        <w:ind w:left="709" w:right="709"/>
        <w:jc w:val="both"/>
        <w:rPr>
          <w:rFonts w:ascii="Verdana" w:eastAsia="Calibri" w:hAnsi="Verdana" w:cs="Arial"/>
          <w:sz w:val="20"/>
          <w:szCs w:val="20"/>
          <w:lang w:val="es-ES" w:eastAsia="en-US"/>
        </w:rPr>
      </w:pPr>
    </w:p>
    <w:p w14:paraId="15545606" w14:textId="77777777" w:rsidR="002E7652" w:rsidRPr="002E7652" w:rsidRDefault="002E7652" w:rsidP="002E7652">
      <w:pPr>
        <w:spacing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5F74D2A2" w14:textId="77777777" w:rsidR="002E7652" w:rsidRPr="002E7652" w:rsidRDefault="002E7652" w:rsidP="002E7652">
      <w:pPr>
        <w:spacing w:line="276" w:lineRule="auto"/>
        <w:rPr>
          <w:rFonts w:ascii="Verdana" w:hAnsi="Verdana" w:cs="Arial"/>
          <w:sz w:val="21"/>
          <w:szCs w:val="21"/>
          <w:shd w:val="clear" w:color="auto" w:fill="FFFFFF"/>
        </w:rPr>
      </w:pPr>
    </w:p>
    <w:p w14:paraId="1FC1825F" w14:textId="77777777" w:rsidR="002E7652" w:rsidRPr="002E7652" w:rsidRDefault="002E7652" w:rsidP="002E7652">
      <w:pPr>
        <w:ind w:left="709" w:right="709"/>
        <w:jc w:val="both"/>
        <w:rPr>
          <w:rFonts w:ascii="Verdana" w:eastAsia="Calibri" w:hAnsi="Verdana" w:cs="Arial"/>
          <w:sz w:val="20"/>
          <w:szCs w:val="20"/>
          <w:lang w:val="es-MX" w:eastAsia="en-US"/>
        </w:rPr>
      </w:pPr>
      <w:r w:rsidRPr="002E7652">
        <w:rPr>
          <w:rFonts w:ascii="Verdana" w:eastAsia="Calibri" w:hAnsi="Verdana" w:cs="Arial"/>
          <w:sz w:val="20"/>
          <w:szCs w:val="20"/>
          <w:lang w:val="es-MX" w:eastAsia="en-US"/>
        </w:rPr>
        <w:t xml:space="preserve">“Todo régimen de inhabilidades e incompatibilidades de suyo excluye a ciertas categorías de personas del proceso de contratación, generando </w:t>
      </w:r>
      <w:r w:rsidRPr="002E7652">
        <w:rPr>
          <w:rFonts w:ascii="Verdana" w:eastAsia="Calibri" w:hAnsi="Verdana" w:cs="Arial"/>
          <w:sz w:val="20"/>
          <w:szCs w:val="20"/>
          <w:lang w:val="es-MX" w:eastAsia="en-US"/>
        </w:rPr>
        <w:lastRenderedPageBreak/>
        <w:t xml:space="preserve">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2E7652">
        <w:rPr>
          <w:rFonts w:ascii="Verdana" w:eastAsia="Calibri" w:hAnsi="Verdana" w:cs="Arial"/>
          <w:sz w:val="20"/>
          <w:szCs w:val="20"/>
          <w:lang w:val="es-MX" w:eastAsia="en-US"/>
        </w:rPr>
        <w:t>incompatibilidades,</w:t>
      </w:r>
      <w:proofErr w:type="gramEnd"/>
      <w:r w:rsidRPr="002E7652">
        <w:rPr>
          <w:rFonts w:ascii="Verdana" w:eastAsia="Calibri" w:hAnsi="Verdana" w:cs="Arial"/>
          <w:sz w:val="20"/>
          <w:szCs w:val="20"/>
          <w:lang w:val="es-MX" w:eastAsia="en-US"/>
        </w:rPr>
        <w:t xml:space="preserve"> se erige en causal de nulidad del contrato celebrado en esas condiciones (ley 80 de 1993, art. 44).</w:t>
      </w:r>
    </w:p>
    <w:p w14:paraId="5DB3311B" w14:textId="77777777" w:rsidR="002E7652" w:rsidRPr="002E7652" w:rsidRDefault="002E7652" w:rsidP="002E7652">
      <w:pPr>
        <w:ind w:left="709" w:right="709"/>
        <w:jc w:val="both"/>
        <w:rPr>
          <w:rFonts w:ascii="Verdana" w:eastAsia="Calibri" w:hAnsi="Verdana" w:cs="Arial"/>
          <w:sz w:val="20"/>
          <w:szCs w:val="20"/>
          <w:lang w:val="es-MX" w:eastAsia="en-US"/>
        </w:rPr>
      </w:pPr>
    </w:p>
    <w:p w14:paraId="3E6FB44C" w14:textId="77777777" w:rsidR="002E7652" w:rsidRPr="002E7652" w:rsidRDefault="002E7652" w:rsidP="002E7652">
      <w:pPr>
        <w:ind w:left="709" w:right="709"/>
        <w:jc w:val="both"/>
        <w:rPr>
          <w:rFonts w:ascii="Verdana" w:eastAsia="Calibri" w:hAnsi="Verdana" w:cs="Arial"/>
          <w:sz w:val="20"/>
          <w:szCs w:val="20"/>
          <w:lang w:val="es-MX" w:eastAsia="en-US"/>
        </w:rPr>
      </w:pPr>
      <w:r w:rsidRPr="002E7652">
        <w:rPr>
          <w:rFonts w:ascii="Verdana" w:eastAsia="Calibri" w:hAnsi="Verdana" w:cs="Arial"/>
          <w:sz w:val="20"/>
          <w:szCs w:val="20"/>
          <w:lang w:val="es-MX" w:eastAsia="en-U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2E7652">
        <w:rPr>
          <w:rFonts w:ascii="Verdana" w:eastAsia="Calibri" w:hAnsi="Verdana" w:cs="Arial"/>
          <w:sz w:val="20"/>
          <w:szCs w:val="20"/>
          <w:vertAlign w:val="superscript"/>
          <w:lang w:val="es-MX" w:eastAsia="en-US"/>
        </w:rPr>
        <w:footnoteReference w:id="4"/>
      </w:r>
      <w:r w:rsidRPr="002E7652">
        <w:rPr>
          <w:rFonts w:ascii="Verdana" w:eastAsia="Calibri" w:hAnsi="Verdana" w:cs="Arial"/>
          <w:sz w:val="20"/>
          <w:szCs w:val="20"/>
          <w:lang w:val="es-MX" w:eastAsia="en-US"/>
        </w:rPr>
        <w:t xml:space="preserve">. </w:t>
      </w:r>
    </w:p>
    <w:p w14:paraId="5E649921" w14:textId="77777777" w:rsidR="002E7652" w:rsidRPr="002E7652" w:rsidRDefault="002E7652" w:rsidP="002E7652">
      <w:pPr>
        <w:spacing w:line="276" w:lineRule="auto"/>
        <w:ind w:right="709"/>
        <w:jc w:val="both"/>
        <w:rPr>
          <w:rFonts w:ascii="Verdana" w:eastAsia="Calibri" w:hAnsi="Verdana" w:cs="Arial"/>
          <w:sz w:val="20"/>
          <w:szCs w:val="20"/>
          <w:lang w:val="es-MX" w:eastAsia="en-US"/>
        </w:rPr>
      </w:pPr>
    </w:p>
    <w:p w14:paraId="545378CE" w14:textId="77777777" w:rsidR="002E7652" w:rsidRPr="002E7652" w:rsidRDefault="002E7652" w:rsidP="002E7652">
      <w:pPr>
        <w:spacing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214E4D4E" w14:textId="77777777" w:rsidR="002E7652" w:rsidRPr="002E7652" w:rsidRDefault="002E7652" w:rsidP="002E7652">
      <w:pPr>
        <w:tabs>
          <w:tab w:val="left" w:pos="1532"/>
        </w:tabs>
        <w:spacing w:line="276" w:lineRule="auto"/>
        <w:jc w:val="both"/>
        <w:rPr>
          <w:rFonts w:ascii="Verdana" w:eastAsia="Calibri" w:hAnsi="Verdana" w:cs="Arial"/>
          <w:sz w:val="22"/>
          <w:szCs w:val="22"/>
          <w:lang w:val="es-MX" w:eastAsia="en-US"/>
        </w:rPr>
      </w:pPr>
    </w:p>
    <w:p w14:paraId="53F87457" w14:textId="77777777" w:rsidR="002E7652" w:rsidRPr="002E7652" w:rsidRDefault="002E7652" w:rsidP="002E7652">
      <w:pPr>
        <w:ind w:left="709" w:right="709"/>
        <w:jc w:val="both"/>
        <w:rPr>
          <w:rFonts w:ascii="Verdana" w:eastAsia="Calibri" w:hAnsi="Verdana" w:cs="Arial"/>
          <w:sz w:val="20"/>
          <w:szCs w:val="20"/>
          <w:lang w:val="es-MX" w:eastAsia="en-US"/>
        </w:rPr>
      </w:pPr>
      <w:r w:rsidRPr="002E7652">
        <w:rPr>
          <w:rFonts w:ascii="Verdana" w:eastAsia="Calibri" w:hAnsi="Verdana" w:cs="Arial"/>
          <w:sz w:val="20"/>
          <w:szCs w:val="20"/>
          <w:lang w:val="es-MX" w:eastAsia="en-U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2E7652">
        <w:rPr>
          <w:rFonts w:ascii="Verdana" w:eastAsia="Calibri" w:hAnsi="Verdana" w:cs="Arial"/>
          <w:sz w:val="20"/>
          <w:szCs w:val="20"/>
          <w:lang w:val="es-MX" w:eastAsia="en-US"/>
        </w:rPr>
        <w:t>libertate</w:t>
      </w:r>
      <w:proofErr w:type="spellEnd"/>
      <w:r w:rsidRPr="002E7652">
        <w:rPr>
          <w:rFonts w:ascii="Verdana" w:eastAsia="Calibri" w:hAnsi="Verdana" w:cs="Arial"/>
          <w:sz w:val="20"/>
          <w:szCs w:val="20"/>
          <w:lang w:val="es-MX" w:eastAsia="en-US"/>
        </w:rPr>
        <w:t xml:space="preserve">, sino el de legalidad, el que ordena que la función pública debe someterse estrictamente a lo que disponga la Constitución y la ley (CP art. 6). </w:t>
      </w:r>
    </w:p>
    <w:p w14:paraId="7D94009F" w14:textId="77777777" w:rsidR="002E7652" w:rsidRPr="002E7652" w:rsidRDefault="002E7652" w:rsidP="002E7652">
      <w:pPr>
        <w:ind w:left="709" w:right="709"/>
        <w:jc w:val="both"/>
        <w:rPr>
          <w:rFonts w:ascii="Verdana" w:eastAsia="Calibri" w:hAnsi="Verdana" w:cs="Arial"/>
          <w:sz w:val="20"/>
          <w:szCs w:val="20"/>
          <w:lang w:val="es-MX" w:eastAsia="en-US"/>
        </w:rPr>
      </w:pPr>
      <w:r w:rsidRPr="002E7652">
        <w:rPr>
          <w:rFonts w:ascii="Verdana" w:eastAsia="Calibri" w:hAnsi="Verdana" w:cs="Arial"/>
          <w:sz w:val="20"/>
          <w:szCs w:val="20"/>
          <w:lang w:val="es-MX" w:eastAsia="en-US"/>
        </w:rPr>
        <w:t xml:space="preserve">[…] </w:t>
      </w:r>
    </w:p>
    <w:p w14:paraId="31E8DDDB" w14:textId="77777777" w:rsidR="002E7652" w:rsidRPr="002E7652" w:rsidRDefault="002E7652" w:rsidP="002E7652">
      <w:pPr>
        <w:ind w:left="709" w:right="709"/>
        <w:jc w:val="both"/>
        <w:rPr>
          <w:rFonts w:ascii="Verdana" w:eastAsia="Calibri" w:hAnsi="Verdana" w:cs="Arial"/>
          <w:sz w:val="20"/>
          <w:szCs w:val="20"/>
          <w:lang w:val="es-MX" w:eastAsia="en-US"/>
        </w:rPr>
      </w:pPr>
      <w:r w:rsidRPr="002E7652">
        <w:rPr>
          <w:rFonts w:ascii="Verdana" w:eastAsia="Calibri" w:hAnsi="Verdana" w:cs="Arial"/>
          <w:sz w:val="20"/>
          <w:szCs w:val="20"/>
          <w:lang w:val="es-MX" w:eastAsia="en-US"/>
        </w:rPr>
        <w:t xml:space="preserve">Se comprende con facilidad que el régimen de inhabilidades e </w:t>
      </w:r>
      <w:proofErr w:type="gramStart"/>
      <w:r w:rsidRPr="002E7652">
        <w:rPr>
          <w:rFonts w:ascii="Verdana" w:eastAsia="Calibri" w:hAnsi="Verdana" w:cs="Arial"/>
          <w:sz w:val="20"/>
          <w:szCs w:val="20"/>
          <w:lang w:val="es-MX" w:eastAsia="en-US"/>
        </w:rPr>
        <w:t>incompatibilidades,</w:t>
      </w:r>
      <w:proofErr w:type="gramEnd"/>
      <w:r w:rsidRPr="002E7652">
        <w:rPr>
          <w:rFonts w:ascii="Verdana" w:eastAsia="Calibri" w:hAnsi="Verdana" w:cs="Arial"/>
          <w:sz w:val="20"/>
          <w:szCs w:val="20"/>
          <w:lang w:val="es-MX" w:eastAsia="en-US"/>
        </w:rPr>
        <w:t xml:space="preserve"> corresponde a una materia de normal y obligada inclusión en un estatuto contractual. El legislador, a quien se ha confiado </w:t>
      </w:r>
      <w:r w:rsidRPr="002E7652">
        <w:rPr>
          <w:rFonts w:ascii="Verdana" w:eastAsia="Calibri" w:hAnsi="Verdana" w:cs="Arial"/>
          <w:sz w:val="20"/>
          <w:szCs w:val="20"/>
          <w:lang w:val="es-MX" w:eastAsia="en-US"/>
        </w:rPr>
        <w:lastRenderedPageBreak/>
        <w:t>expedir el indicado estatuto, tiene, pues, competencia para establecerlo (CP art. 150)”</w:t>
      </w:r>
      <w:r w:rsidRPr="002E7652">
        <w:rPr>
          <w:rFonts w:ascii="Verdana" w:eastAsia="Calibri" w:hAnsi="Verdana" w:cs="Arial"/>
          <w:sz w:val="20"/>
          <w:szCs w:val="20"/>
          <w:vertAlign w:val="superscript"/>
          <w:lang w:val="es-MX" w:eastAsia="en-US"/>
        </w:rPr>
        <w:footnoteReference w:id="5"/>
      </w:r>
      <w:r w:rsidRPr="002E7652">
        <w:rPr>
          <w:rFonts w:ascii="Verdana" w:eastAsia="Calibri" w:hAnsi="Verdana" w:cs="Arial"/>
          <w:sz w:val="20"/>
          <w:szCs w:val="20"/>
          <w:lang w:val="es-MX" w:eastAsia="en-US"/>
        </w:rPr>
        <w:t>.</w:t>
      </w:r>
    </w:p>
    <w:p w14:paraId="4D93EB68" w14:textId="77777777" w:rsidR="002E7652" w:rsidRPr="002E7652" w:rsidRDefault="002E7652" w:rsidP="002E7652">
      <w:pPr>
        <w:spacing w:line="276" w:lineRule="auto"/>
        <w:ind w:left="709" w:right="709"/>
        <w:jc w:val="both"/>
        <w:rPr>
          <w:rFonts w:ascii="Verdana" w:eastAsia="Calibri" w:hAnsi="Verdana" w:cs="Arial"/>
          <w:sz w:val="20"/>
          <w:szCs w:val="20"/>
          <w:lang w:val="es-MX" w:eastAsia="en-US"/>
        </w:rPr>
      </w:pPr>
    </w:p>
    <w:p w14:paraId="3EBACE3F" w14:textId="77777777" w:rsidR="002E7652" w:rsidRPr="002E7652" w:rsidRDefault="002E7652" w:rsidP="002E7652">
      <w:pPr>
        <w:spacing w:after="120"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 xml:space="preserve">Conviene también distinguir las fuentes de las inhabilidades, las cuales han sido clasificadas en dos (2) grupos: i) inhabilidades-sanción y </w:t>
      </w:r>
      <w:proofErr w:type="spellStart"/>
      <w:r w:rsidRPr="002E7652">
        <w:rPr>
          <w:rFonts w:ascii="Verdana" w:eastAsia="Calibri" w:hAnsi="Verdana" w:cs="Arial"/>
          <w:sz w:val="22"/>
          <w:szCs w:val="22"/>
          <w:lang w:val="es-MX" w:eastAsia="en-US"/>
        </w:rPr>
        <w:t>ii</w:t>
      </w:r>
      <w:proofErr w:type="spellEnd"/>
      <w:r w:rsidRPr="002E7652">
        <w:rPr>
          <w:rFonts w:ascii="Verdana" w:eastAsia="Calibri" w:hAnsi="Verdana" w:cs="Arial"/>
          <w:sz w:val="22"/>
          <w:szCs w:val="22"/>
          <w:lang w:val="es-MX" w:eastAsia="en-US"/>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2E7652">
        <w:rPr>
          <w:rFonts w:ascii="Verdana" w:eastAsia="Calibri" w:hAnsi="Verdana" w:cs="Arial"/>
          <w:sz w:val="22"/>
          <w:szCs w:val="22"/>
          <w:vertAlign w:val="superscript"/>
          <w:lang w:val="es-MX" w:eastAsia="en-US"/>
        </w:rPr>
        <w:footnoteReference w:id="6"/>
      </w:r>
      <w:r w:rsidRPr="002E7652">
        <w:rPr>
          <w:rFonts w:ascii="Verdana" w:eastAsia="Calibri" w:hAnsi="Verdana" w:cs="Arial"/>
          <w:sz w:val="22"/>
          <w:szCs w:val="22"/>
          <w:lang w:val="es-MX" w:eastAsia="en-US"/>
        </w:rPr>
        <w:t>.</w:t>
      </w:r>
    </w:p>
    <w:p w14:paraId="1F871C15" w14:textId="77777777" w:rsidR="002E7652" w:rsidRPr="002E7652" w:rsidRDefault="002E7652" w:rsidP="002E7652">
      <w:pPr>
        <w:spacing w:before="120" w:after="120" w:line="276" w:lineRule="auto"/>
        <w:ind w:firstLine="708"/>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A manera de ejemplo, en materia contractual, los literales c), d) y j) del numeral 1 del artículo 8 de la Ley 80 de 1993</w:t>
      </w:r>
      <w:r w:rsidRPr="002E7652">
        <w:rPr>
          <w:rFonts w:ascii="Verdana" w:eastAsia="Calibri" w:hAnsi="Verdana" w:cs="Arial"/>
          <w:sz w:val="22"/>
          <w:szCs w:val="22"/>
          <w:vertAlign w:val="superscript"/>
          <w:lang w:val="es-MX" w:eastAsia="en-US"/>
        </w:rPr>
        <w:footnoteReference w:id="7"/>
      </w:r>
      <w:r w:rsidRPr="002E7652">
        <w:rPr>
          <w:rFonts w:ascii="Verdana" w:eastAsia="Calibri" w:hAnsi="Verdana" w:cs="Arial"/>
          <w:sz w:val="22"/>
          <w:szCs w:val="22"/>
          <w:lang w:val="es-MX" w:eastAsia="en-US"/>
        </w:rPr>
        <w:t xml:space="preserve"> establecen inhabilidades-sanción, </w:t>
      </w:r>
      <w:r w:rsidRPr="002E7652">
        <w:rPr>
          <w:rFonts w:ascii="Verdana" w:eastAsia="Calibri" w:hAnsi="Verdana" w:cs="Arial"/>
          <w:sz w:val="22"/>
          <w:szCs w:val="22"/>
          <w:lang w:val="es-MX" w:eastAsia="en-US"/>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1D4D1943" w14:textId="77777777" w:rsidR="002E7652" w:rsidRPr="002E7652" w:rsidRDefault="002E7652" w:rsidP="002E7652">
      <w:pPr>
        <w:spacing w:before="120" w:after="120" w:line="276" w:lineRule="auto"/>
        <w:ind w:firstLine="709"/>
        <w:jc w:val="both"/>
        <w:rPr>
          <w:rFonts w:ascii="Verdana" w:eastAsia="Calibri" w:hAnsi="Verdana" w:cs="Arial"/>
          <w:sz w:val="22"/>
          <w:szCs w:val="22"/>
          <w:lang w:val="es-MX" w:eastAsia="en-US"/>
        </w:rPr>
      </w:pPr>
      <w:r w:rsidRPr="002E7652">
        <w:rPr>
          <w:rFonts w:ascii="Verdana" w:eastAsia="Calibri" w:hAnsi="Verdana" w:cs="Arial"/>
          <w:sz w:val="22"/>
          <w:szCs w:val="22"/>
          <w:lang w:val="es-MX" w:eastAsia="en-US"/>
        </w:rPr>
        <w:t xml:space="preserve">En ambos eventos, la inhabilidad tiene como fuente una situación o un hecho propio del proponente –una conducta o una condición– ajena a la oferta. La inhabilidad surge, entre otros, por su grado de parentesco o afinidad, por su </w:t>
      </w:r>
      <w:r w:rsidRPr="002E7652">
        <w:rPr>
          <w:rFonts w:ascii="Verdana" w:eastAsia="Calibri" w:hAnsi="Verdana" w:cs="Arial"/>
          <w:sz w:val="22"/>
          <w:szCs w:val="22"/>
          <w:lang w:val="es-MX" w:eastAsia="en-US"/>
        </w:rPr>
        <w:lastRenderedPageBreak/>
        <w:t xml:space="preserve">condición de servidor público o por una declaratoria de responsabilidad penal, disciplinaria o sancionatoria contractual sobre él. </w:t>
      </w:r>
    </w:p>
    <w:p w14:paraId="31CEEBB1" w14:textId="77777777" w:rsidR="002E7652" w:rsidRPr="002E7652" w:rsidRDefault="002E7652" w:rsidP="002E7652">
      <w:pPr>
        <w:spacing w:before="120" w:after="120" w:line="276" w:lineRule="auto"/>
        <w:ind w:firstLine="709"/>
        <w:jc w:val="both"/>
        <w:rPr>
          <w:rFonts w:ascii="Verdana" w:eastAsia="Calibri" w:hAnsi="Verdana" w:cs="Arial"/>
          <w:sz w:val="22"/>
          <w:szCs w:val="22"/>
          <w:lang w:val="es-ES_tradnl" w:eastAsia="en-US"/>
        </w:rPr>
      </w:pPr>
      <w:r w:rsidRPr="002E7652">
        <w:rPr>
          <w:rFonts w:ascii="Verdana" w:eastAsia="Calibri" w:hAnsi="Verdana" w:cs="Arial"/>
          <w:sz w:val="22"/>
          <w:szCs w:val="22"/>
          <w:lang w:val="es-ES_tradnl" w:eastAsia="en-US"/>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2E7652">
        <w:rPr>
          <w:rFonts w:ascii="Verdana" w:eastAsia="Calibri" w:hAnsi="Verdana" w:cs="Arial"/>
          <w:i/>
          <w:iCs/>
          <w:sz w:val="22"/>
          <w:szCs w:val="22"/>
          <w:lang w:val="es-ES_tradnl" w:eastAsia="en-US"/>
        </w:rPr>
        <w:t>restrictiva</w:t>
      </w:r>
      <w:r w:rsidRPr="002E7652">
        <w:rPr>
          <w:rFonts w:ascii="Verdana" w:eastAsia="Calibri" w:hAnsi="Verdana" w:cs="Arial"/>
          <w:i/>
          <w:iCs/>
          <w:sz w:val="22"/>
          <w:szCs w:val="22"/>
          <w:vertAlign w:val="superscript"/>
          <w:lang w:val="es-ES_tradnl" w:eastAsia="en-US"/>
        </w:rPr>
        <w:footnoteReference w:id="8"/>
      </w:r>
      <w:r w:rsidRPr="002E7652">
        <w:rPr>
          <w:rFonts w:ascii="Verdana" w:eastAsia="Calibri" w:hAnsi="Verdana" w:cs="Arial"/>
          <w:i/>
          <w:iCs/>
          <w:sz w:val="22"/>
          <w:szCs w:val="22"/>
          <w:lang w:val="es-ES_tradnl" w:eastAsia="en-US"/>
        </w:rPr>
        <w:t xml:space="preserve">, </w:t>
      </w:r>
      <w:r w:rsidRPr="002E7652">
        <w:rPr>
          <w:rFonts w:ascii="Verdana" w:eastAsia="Calibri" w:hAnsi="Verdana" w:cs="Arial"/>
          <w:sz w:val="22"/>
          <w:szCs w:val="22"/>
          <w:lang w:val="es-ES_tradnl" w:eastAsia="en-US"/>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6A34C2A9" w14:textId="77777777" w:rsidR="002E7652" w:rsidRPr="002E7652" w:rsidRDefault="002E7652" w:rsidP="002E7652">
      <w:pPr>
        <w:spacing w:after="120" w:line="276" w:lineRule="auto"/>
        <w:ind w:firstLine="709"/>
        <w:jc w:val="both"/>
        <w:rPr>
          <w:rFonts w:ascii="Verdana" w:eastAsia="Calibri" w:hAnsi="Verdana" w:cs="Arial"/>
          <w:sz w:val="22"/>
          <w:szCs w:val="22"/>
          <w:lang w:val="es-ES_tradnl" w:eastAsia="en-US"/>
        </w:rPr>
      </w:pPr>
      <w:r w:rsidRPr="002E7652">
        <w:rPr>
          <w:rFonts w:ascii="Verdana" w:eastAsia="Calibri" w:hAnsi="Verdana" w:cs="Arial"/>
          <w:sz w:val="22"/>
          <w:szCs w:val="22"/>
          <w:lang w:val="es-ES_tradnl" w:eastAsia="en-US"/>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E7652">
        <w:rPr>
          <w:rFonts w:ascii="Verdana" w:eastAsia="Calibri" w:hAnsi="Verdana" w:cs="Arial"/>
          <w:sz w:val="22"/>
          <w:szCs w:val="22"/>
          <w:vertAlign w:val="superscript"/>
          <w:lang w:val="es-ES_tradnl" w:eastAsia="en-US"/>
        </w:rPr>
        <w:footnoteReference w:id="9"/>
      </w:r>
      <w:r w:rsidRPr="002E7652">
        <w:rPr>
          <w:rFonts w:ascii="Verdana" w:eastAsia="Calibri" w:hAnsi="Verdana" w:cs="Arial"/>
          <w:sz w:val="22"/>
          <w:szCs w:val="22"/>
          <w:lang w:val="es-ES_tradnl" w:eastAsia="en-US"/>
        </w:rPr>
        <w:t xml:space="preserve">. </w:t>
      </w:r>
    </w:p>
    <w:p w14:paraId="051CB3AD" w14:textId="77777777" w:rsidR="002E7652" w:rsidRPr="002E7652" w:rsidRDefault="002E7652" w:rsidP="002E7652">
      <w:pPr>
        <w:spacing w:line="276" w:lineRule="auto"/>
        <w:ind w:firstLine="709"/>
        <w:jc w:val="both"/>
        <w:rPr>
          <w:rFonts w:ascii="Verdana" w:eastAsia="Calibri" w:hAnsi="Verdana" w:cs="Arial"/>
          <w:sz w:val="22"/>
          <w:szCs w:val="22"/>
          <w:lang w:val="es-ES_tradnl" w:eastAsia="en-US"/>
        </w:rPr>
      </w:pPr>
      <w:r w:rsidRPr="002E7652">
        <w:rPr>
          <w:rFonts w:ascii="Verdana" w:eastAsia="Calibri" w:hAnsi="Verdana" w:cs="Arial"/>
          <w:sz w:val="22"/>
          <w:szCs w:val="22"/>
          <w:lang w:val="es-ES_tradnl" w:eastAsia="en-US"/>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E7652">
        <w:rPr>
          <w:rFonts w:ascii="Verdana" w:eastAsia="Calibri" w:hAnsi="Verdana" w:cs="Arial"/>
          <w:sz w:val="22"/>
          <w:szCs w:val="22"/>
          <w:vertAlign w:val="superscript"/>
          <w:lang w:val="es-ES_tradnl" w:eastAsia="en-US"/>
        </w:rPr>
        <w:footnoteReference w:id="10"/>
      </w:r>
      <w:r w:rsidRPr="002E7652">
        <w:rPr>
          <w:rFonts w:ascii="Verdana" w:eastAsia="Calibri" w:hAnsi="Verdana" w:cs="Arial"/>
          <w:sz w:val="22"/>
          <w:szCs w:val="22"/>
          <w:lang w:val="es-ES_tradnl" w:eastAsia="en-US"/>
        </w:rPr>
        <w:t>. En tal sentido, la Sección Tercera ha señalado que:</w:t>
      </w:r>
    </w:p>
    <w:p w14:paraId="3925A500" w14:textId="77777777" w:rsidR="002E7652" w:rsidRPr="002E7652" w:rsidRDefault="002E7652" w:rsidP="002E7652">
      <w:pPr>
        <w:spacing w:line="276" w:lineRule="auto"/>
        <w:ind w:firstLine="709"/>
        <w:jc w:val="both"/>
        <w:rPr>
          <w:rFonts w:ascii="Verdana" w:eastAsia="Calibri" w:hAnsi="Verdana" w:cs="Arial"/>
          <w:sz w:val="22"/>
          <w:szCs w:val="22"/>
          <w:lang w:val="es-ES_tradnl" w:eastAsia="en-US"/>
        </w:rPr>
      </w:pPr>
    </w:p>
    <w:p w14:paraId="7437D0D5" w14:textId="77777777" w:rsidR="002E7652" w:rsidRPr="002E7652" w:rsidRDefault="002E7652" w:rsidP="002E7652">
      <w:pPr>
        <w:ind w:left="709" w:right="709"/>
        <w:jc w:val="both"/>
        <w:rPr>
          <w:rFonts w:ascii="Verdana" w:eastAsia="Calibri" w:hAnsi="Verdana" w:cs="Arial"/>
          <w:sz w:val="20"/>
          <w:szCs w:val="20"/>
          <w:lang w:val="es-ES_tradnl" w:eastAsia="en-US"/>
        </w:rPr>
      </w:pPr>
      <w:r w:rsidRPr="002E7652">
        <w:rPr>
          <w:rFonts w:ascii="Verdana" w:eastAsia="Calibri" w:hAnsi="Verdana" w:cs="Arial"/>
          <w:sz w:val="20"/>
          <w:szCs w:val="20"/>
          <w:lang w:val="es-ES_tradnl" w:eastAsia="en-US"/>
        </w:rPr>
        <w:t xml:space="preserve">“[…] de conformidad con la jurisprudencia uniforme y reiterada de esta Corporación, la aplicación de las normas que contemplan inhabilidades e incompatibilidades, como en general de todas aquellas que comportan </w:t>
      </w:r>
      <w:r w:rsidRPr="002E7652">
        <w:rPr>
          <w:rFonts w:ascii="Verdana" w:eastAsia="Calibri" w:hAnsi="Verdana" w:cs="Arial"/>
          <w:sz w:val="20"/>
          <w:szCs w:val="20"/>
          <w:lang w:val="es-ES_tradnl" w:eastAsia="en-US"/>
        </w:rPr>
        <w:lastRenderedPageBreak/>
        <w:t>prohibiciones o limitaciones, deben responder a una interpretación restrictiva que no permite su extensión, por vía de la figura de la analogía, a supuestos no contemplados por el ordenamiento</w:t>
      </w:r>
      <w:r w:rsidRPr="002E7652">
        <w:rPr>
          <w:rFonts w:ascii="Verdana" w:eastAsia="Calibri" w:hAnsi="Verdana" w:cs="Arial"/>
          <w:sz w:val="20"/>
          <w:szCs w:val="20"/>
          <w:vertAlign w:val="superscript"/>
          <w:lang w:val="es-ES_tradnl" w:eastAsia="en-US"/>
        </w:rPr>
        <w:footnoteReference w:id="11"/>
      </w:r>
      <w:r w:rsidRPr="002E7652">
        <w:rPr>
          <w:rFonts w:ascii="Verdana" w:eastAsia="Calibri" w:hAnsi="Verdana" w:cs="Arial"/>
          <w:sz w:val="20"/>
          <w:szCs w:val="20"/>
          <w:lang w:val="es-ES_tradnl" w:eastAsia="en-US"/>
        </w:rPr>
        <w:t>.</w:t>
      </w:r>
    </w:p>
    <w:p w14:paraId="1C53616F" w14:textId="77777777" w:rsidR="002E7652" w:rsidRPr="002E7652" w:rsidRDefault="002E7652" w:rsidP="002E7652">
      <w:pPr>
        <w:ind w:firstLine="709"/>
        <w:jc w:val="both"/>
        <w:rPr>
          <w:rFonts w:ascii="Verdana" w:eastAsia="Calibri" w:hAnsi="Verdana" w:cs="Arial"/>
          <w:sz w:val="20"/>
          <w:szCs w:val="20"/>
          <w:lang w:val="es-ES_tradnl" w:eastAsia="en-US"/>
        </w:rPr>
      </w:pPr>
    </w:p>
    <w:p w14:paraId="45CDA216" w14:textId="77777777" w:rsidR="002E7652" w:rsidRPr="002E7652" w:rsidRDefault="002E7652" w:rsidP="002E7652">
      <w:pPr>
        <w:ind w:firstLine="709"/>
        <w:jc w:val="both"/>
        <w:rPr>
          <w:rFonts w:ascii="Verdana" w:eastAsia="Calibri" w:hAnsi="Verdana" w:cs="Arial"/>
          <w:sz w:val="20"/>
          <w:szCs w:val="20"/>
          <w:lang w:val="es-ES_tradnl" w:eastAsia="en-US"/>
        </w:rPr>
      </w:pPr>
      <w:r w:rsidRPr="002E7652">
        <w:rPr>
          <w:rFonts w:ascii="Verdana" w:eastAsia="Calibri" w:hAnsi="Verdana" w:cs="Arial"/>
          <w:sz w:val="20"/>
          <w:szCs w:val="20"/>
          <w:lang w:val="es-ES_tradnl" w:eastAsia="en-US"/>
        </w:rPr>
        <w:t>También ha dicho que:</w:t>
      </w:r>
    </w:p>
    <w:p w14:paraId="7CCFF9C2" w14:textId="77777777" w:rsidR="002E7652" w:rsidRPr="002E7652" w:rsidRDefault="002E7652" w:rsidP="002E7652">
      <w:pPr>
        <w:ind w:left="709" w:right="616"/>
        <w:jc w:val="both"/>
        <w:rPr>
          <w:rFonts w:ascii="Verdana" w:eastAsia="Calibri" w:hAnsi="Verdana" w:cs="Arial"/>
          <w:sz w:val="20"/>
          <w:szCs w:val="20"/>
          <w:lang w:val="es-ES" w:eastAsia="en-US"/>
        </w:rPr>
      </w:pPr>
      <w:r w:rsidRPr="002E7652">
        <w:rPr>
          <w:rFonts w:ascii="Verdana" w:eastAsia="Calibri" w:hAnsi="Verdana" w:cs="Arial"/>
          <w:sz w:val="20"/>
          <w:szCs w:val="20"/>
          <w:lang w:val="es-ES" w:eastAsia="en-US"/>
        </w:rPr>
        <w:t xml:space="preserve">[…] la aplicación de estos preceptos exige una interpretación restrictiva, dado que según el principio hermenéutico </w:t>
      </w:r>
      <w:r w:rsidRPr="002E7652">
        <w:rPr>
          <w:rFonts w:ascii="Verdana" w:eastAsia="Calibri" w:hAnsi="Verdana" w:cs="Arial"/>
          <w:i/>
          <w:iCs/>
          <w:sz w:val="20"/>
          <w:szCs w:val="20"/>
          <w:lang w:val="es-ES" w:eastAsia="en-US"/>
        </w:rPr>
        <w:t xml:space="preserve">pro </w:t>
      </w:r>
      <w:proofErr w:type="spellStart"/>
      <w:r w:rsidRPr="002E7652">
        <w:rPr>
          <w:rFonts w:ascii="Verdana" w:eastAsia="Calibri" w:hAnsi="Verdana" w:cs="Arial"/>
          <w:i/>
          <w:iCs/>
          <w:sz w:val="20"/>
          <w:szCs w:val="20"/>
          <w:lang w:val="es-ES" w:eastAsia="en-US"/>
        </w:rPr>
        <w:t>libertate</w:t>
      </w:r>
      <w:proofErr w:type="spellEnd"/>
      <w:r w:rsidRPr="002E7652">
        <w:rPr>
          <w:rFonts w:ascii="Verdana" w:eastAsia="Calibri" w:hAnsi="Verdana" w:cs="Arial"/>
          <w:sz w:val="20"/>
          <w:szCs w:val="20"/>
          <w:lang w:val="es-ES" w:eastAsia="en-U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2E7652">
        <w:rPr>
          <w:rFonts w:ascii="Verdana" w:eastAsia="Calibri" w:hAnsi="Verdana" w:cs="Arial"/>
          <w:sz w:val="20"/>
          <w:szCs w:val="20"/>
          <w:vertAlign w:val="superscript"/>
          <w:lang w:val="es-ES" w:eastAsia="en-US"/>
        </w:rPr>
        <w:footnoteReference w:id="12"/>
      </w:r>
      <w:r w:rsidRPr="002E7652">
        <w:rPr>
          <w:rFonts w:ascii="Verdana" w:eastAsia="Calibri" w:hAnsi="Verdana" w:cs="Arial"/>
          <w:sz w:val="20"/>
          <w:szCs w:val="20"/>
          <w:lang w:val="es-ES" w:eastAsia="en-US"/>
        </w:rPr>
        <w:t>.</w:t>
      </w:r>
    </w:p>
    <w:p w14:paraId="51AD8A87" w14:textId="77777777" w:rsidR="002E7652" w:rsidRPr="002E7652" w:rsidRDefault="002E7652" w:rsidP="002E7652">
      <w:pPr>
        <w:spacing w:line="276" w:lineRule="auto"/>
        <w:jc w:val="both"/>
        <w:rPr>
          <w:rFonts w:ascii="Verdana" w:eastAsia="Arial" w:hAnsi="Verdana" w:cs="Arial"/>
          <w:color w:val="000000"/>
          <w:sz w:val="20"/>
          <w:szCs w:val="20"/>
          <w:lang w:val="es-ES_tradnl" w:eastAsia="en-US"/>
        </w:rPr>
      </w:pPr>
    </w:p>
    <w:p w14:paraId="09A82B0C" w14:textId="77777777" w:rsidR="002E7652" w:rsidRPr="002E7652" w:rsidRDefault="002E7652" w:rsidP="002E7652">
      <w:pPr>
        <w:spacing w:after="120" w:line="276" w:lineRule="auto"/>
        <w:ind w:firstLine="708"/>
        <w:jc w:val="both"/>
        <w:rPr>
          <w:rFonts w:ascii="Verdana" w:eastAsia="Calibri" w:hAnsi="Verdana" w:cs="Arial"/>
          <w:color w:val="000000"/>
          <w:sz w:val="22"/>
          <w:szCs w:val="22"/>
          <w:lang w:val="es-MX" w:eastAsia="en-US"/>
        </w:rPr>
      </w:pPr>
      <w:r w:rsidRPr="002E7652">
        <w:rPr>
          <w:rFonts w:ascii="Verdana" w:eastAsia="Arial" w:hAnsi="Verdana" w:cs="Arial"/>
          <w:color w:val="000000"/>
          <w:sz w:val="22"/>
          <w:szCs w:val="22"/>
          <w:lang w:val="es-ES_tradnl" w:eastAsia="en-US"/>
        </w:rPr>
        <w:t xml:space="preserve">Como se aprecia, el principio </w:t>
      </w:r>
      <w:r w:rsidRPr="002E7652">
        <w:rPr>
          <w:rFonts w:ascii="Verdana" w:eastAsia="Arial" w:hAnsi="Verdana" w:cs="Arial"/>
          <w:i/>
          <w:iCs/>
          <w:color w:val="000000"/>
          <w:sz w:val="22"/>
          <w:szCs w:val="22"/>
          <w:lang w:val="es-ES_tradnl" w:eastAsia="en-US"/>
        </w:rPr>
        <w:t xml:space="preserve">pro </w:t>
      </w:r>
      <w:proofErr w:type="spellStart"/>
      <w:r w:rsidRPr="002E7652">
        <w:rPr>
          <w:rFonts w:ascii="Verdana" w:eastAsia="Arial" w:hAnsi="Verdana" w:cs="Arial"/>
          <w:i/>
          <w:iCs/>
          <w:color w:val="000000"/>
          <w:sz w:val="22"/>
          <w:szCs w:val="22"/>
          <w:lang w:val="es-ES_tradnl" w:eastAsia="en-US"/>
        </w:rPr>
        <w:t>libertate</w:t>
      </w:r>
      <w:proofErr w:type="spellEnd"/>
      <w:r w:rsidRPr="002E7652">
        <w:rPr>
          <w:rFonts w:ascii="Verdana" w:eastAsia="Arial" w:hAnsi="Verdana" w:cs="Arial"/>
          <w:color w:val="000000"/>
          <w:sz w:val="22"/>
          <w:szCs w:val="22"/>
          <w:lang w:val="es-ES_tradnl" w:eastAsia="en-US"/>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2E7652">
        <w:rPr>
          <w:rFonts w:ascii="Verdana" w:eastAsia="Calibri" w:hAnsi="Verdana" w:cs="Arial"/>
          <w:color w:val="000000"/>
          <w:sz w:val="22"/>
          <w:szCs w:val="22"/>
          <w:lang w:val="es-MX" w:eastAsia="en-US"/>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2E7652">
        <w:rPr>
          <w:rFonts w:ascii="Verdana" w:eastAsia="Calibri" w:hAnsi="Verdana" w:cs="Arial"/>
          <w:color w:val="000000"/>
          <w:sz w:val="22"/>
          <w:szCs w:val="22"/>
          <w:vertAlign w:val="superscript"/>
          <w:lang w:val="es-MX" w:eastAsia="en-US"/>
        </w:rPr>
        <w:footnoteReference w:id="13"/>
      </w:r>
    </w:p>
    <w:p w14:paraId="13882236" w14:textId="77777777" w:rsidR="002E7652" w:rsidRPr="002E7652" w:rsidRDefault="002E7652" w:rsidP="002E7652">
      <w:pPr>
        <w:spacing w:after="120" w:line="276" w:lineRule="auto"/>
        <w:ind w:firstLine="709"/>
        <w:jc w:val="both"/>
        <w:rPr>
          <w:rFonts w:ascii="Verdana" w:eastAsia="MS Mincho" w:hAnsi="Verdana" w:cs="Arial"/>
          <w:color w:val="000000"/>
          <w:sz w:val="22"/>
          <w:szCs w:val="22"/>
          <w:shd w:val="clear" w:color="auto" w:fill="FFFFFF"/>
          <w:lang w:eastAsia="en-US"/>
        </w:rPr>
      </w:pPr>
      <w:r w:rsidRPr="002E7652">
        <w:rPr>
          <w:rFonts w:ascii="Verdana" w:eastAsia="Calibri" w:hAnsi="Verdana" w:cs="Arial"/>
          <w:sz w:val="22"/>
          <w:szCs w:val="22"/>
          <w:shd w:val="clear" w:color="auto" w:fill="FFFFFF"/>
          <w:lang w:val="es-MX" w:eastAsia="en-US"/>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2E7652">
        <w:rPr>
          <w:rFonts w:ascii="Verdana" w:eastAsia="Calibri" w:hAnsi="Verdana" w:cs="Arial"/>
          <w:sz w:val="22"/>
          <w:szCs w:val="22"/>
          <w:shd w:val="clear" w:color="auto" w:fill="FFFFFF"/>
          <w:vertAlign w:val="superscript"/>
          <w:lang w:val="es-MX" w:eastAsia="en-US"/>
        </w:rPr>
        <w:footnoteReference w:id="14"/>
      </w:r>
      <w:r w:rsidRPr="002E7652">
        <w:rPr>
          <w:rFonts w:ascii="Verdana" w:eastAsia="Calibri" w:hAnsi="Verdana" w:cs="Arial"/>
          <w:sz w:val="22"/>
          <w:szCs w:val="22"/>
          <w:shd w:val="clear" w:color="auto" w:fill="FFFFFF"/>
          <w:lang w:val="es-MX" w:eastAsia="en-US"/>
        </w:rPr>
        <w:t xml:space="preserve"> En similar sentido, </w:t>
      </w:r>
      <w:r w:rsidRPr="002E7652">
        <w:rPr>
          <w:rFonts w:ascii="Verdana" w:eastAsia="Calibri" w:hAnsi="Verdana" w:cs="Arial"/>
          <w:sz w:val="22"/>
          <w:szCs w:val="22"/>
          <w:shd w:val="clear" w:color="auto" w:fill="FFFFFF"/>
          <w:lang w:val="es-MX" w:eastAsia="en-US"/>
        </w:rPr>
        <w:lastRenderedPageBreak/>
        <w:t xml:space="preserve">la Sala de Consulta y Servicio Civil del Consejo de Estado expresó </w:t>
      </w:r>
      <w:r w:rsidRPr="002E7652">
        <w:rPr>
          <w:rFonts w:ascii="Verdana" w:eastAsia="Calibri" w:hAnsi="Verdana" w:cs="Arial"/>
          <w:color w:val="000000"/>
          <w:sz w:val="22"/>
          <w:szCs w:val="22"/>
          <w:shd w:val="clear" w:color="auto" w:fill="FFFFFF"/>
          <w:lang w:val="es-MX" w:eastAsia="en-US"/>
        </w:rPr>
        <w:t>que “[…] las causales de inhabilidad e incompatibilidad deben estar expresa y taxativamente establecidas en la Constitución o en la ley y son de aplicación e interpretación restrictivas […]”</w:t>
      </w:r>
      <w:r w:rsidRPr="002E7652">
        <w:rPr>
          <w:rFonts w:ascii="Verdana" w:eastAsia="Calibri" w:hAnsi="Verdana" w:cs="Arial"/>
          <w:color w:val="000000"/>
          <w:sz w:val="22"/>
          <w:szCs w:val="22"/>
          <w:shd w:val="clear" w:color="auto" w:fill="FFFFFF"/>
          <w:vertAlign w:val="superscript"/>
          <w:lang w:val="es-MX" w:eastAsia="en-US"/>
        </w:rPr>
        <w:footnoteReference w:id="15"/>
      </w:r>
      <w:r w:rsidRPr="002E7652">
        <w:rPr>
          <w:rFonts w:ascii="Verdana" w:eastAsia="Calibri" w:hAnsi="Verdana" w:cs="Arial"/>
          <w:color w:val="000000"/>
          <w:sz w:val="22"/>
          <w:szCs w:val="22"/>
          <w:shd w:val="clear" w:color="auto" w:fill="FFFFFF"/>
          <w:lang w:val="es-MX" w:eastAsia="en-US"/>
        </w:rPr>
        <w:t xml:space="preserve">. </w:t>
      </w:r>
      <w:r w:rsidRPr="002E7652">
        <w:rPr>
          <w:rFonts w:ascii="Verdana" w:eastAsia="MS Mincho" w:hAnsi="Verdana" w:cs="Arial"/>
          <w:color w:val="000000"/>
          <w:sz w:val="22"/>
          <w:szCs w:val="22"/>
          <w:shd w:val="clear" w:color="auto" w:fill="FFFFFF"/>
          <w:lang w:val="es-MX" w:eastAsia="en-US"/>
        </w:rPr>
        <w:t xml:space="preserve">Como se observa, </w:t>
      </w:r>
      <w:r w:rsidRPr="002E7652">
        <w:rPr>
          <w:rFonts w:ascii="Verdana" w:eastAsia="MS Mincho" w:hAnsi="Verdana" w:cs="Arial"/>
          <w:color w:val="000000"/>
          <w:sz w:val="22"/>
          <w:szCs w:val="22"/>
          <w:shd w:val="clear" w:color="auto" w:fill="FFFFFF"/>
          <w:lang w:eastAsia="en-US"/>
        </w:rPr>
        <w:t>existe consenso, incluso como lo ha expresado esta Agencia en ocasiones anteriores, que la creación de inhabilidades o incompatibilidades está reservada al constituyente o al legislador.</w:t>
      </w:r>
    </w:p>
    <w:p w14:paraId="68952398" w14:textId="77777777" w:rsidR="002E7652" w:rsidRPr="002E7652" w:rsidRDefault="002E7652" w:rsidP="002E7652">
      <w:pPr>
        <w:spacing w:after="120" w:line="276" w:lineRule="auto"/>
        <w:ind w:firstLine="709"/>
        <w:jc w:val="both"/>
        <w:rPr>
          <w:rFonts w:ascii="Verdana" w:eastAsia="MS Mincho" w:hAnsi="Verdana" w:cs="Arial"/>
          <w:color w:val="000000"/>
          <w:sz w:val="22"/>
          <w:szCs w:val="22"/>
          <w:shd w:val="clear" w:color="auto" w:fill="FFFFFF"/>
          <w:lang w:eastAsia="en-US"/>
        </w:rPr>
      </w:pPr>
      <w:r w:rsidRPr="002E7652">
        <w:rPr>
          <w:rFonts w:ascii="Verdana" w:eastAsia="MS Mincho" w:hAnsi="Verdana" w:cs="Arial"/>
          <w:color w:val="000000"/>
          <w:sz w:val="22"/>
          <w:szCs w:val="22"/>
          <w:shd w:val="clear" w:color="auto" w:fill="FFFFFF"/>
          <w:lang w:eastAsia="en-US"/>
        </w:rPr>
        <w:t xml:space="preserve">Ahora bien, con respecto a lo explicado en los primeros párrafos de este considerando, se señala que existen inhabilidades para el ejercicio de la profesión, </w:t>
      </w:r>
      <w:proofErr w:type="gramStart"/>
      <w:r w:rsidRPr="002E7652">
        <w:rPr>
          <w:rFonts w:ascii="Verdana" w:eastAsia="MS Mincho" w:hAnsi="Verdana" w:cs="Arial"/>
          <w:color w:val="000000"/>
          <w:sz w:val="22"/>
          <w:szCs w:val="22"/>
          <w:shd w:val="clear" w:color="auto" w:fill="FFFFFF"/>
          <w:lang w:eastAsia="en-US"/>
        </w:rPr>
        <w:t>que</w:t>
      </w:r>
      <w:proofErr w:type="gramEnd"/>
      <w:r w:rsidRPr="002E7652">
        <w:rPr>
          <w:rFonts w:ascii="Verdana" w:eastAsia="MS Mincho" w:hAnsi="Verdana" w:cs="Arial"/>
          <w:color w:val="000000"/>
          <w:sz w:val="22"/>
          <w:szCs w:val="22"/>
          <w:shd w:val="clear" w:color="auto" w:fill="FFFFFF"/>
          <w:lang w:eastAsia="en-US"/>
        </w:rPr>
        <w:t xml:space="preserve"> en principio, no son restricciones ni afectan la capacidad jurídica de una persona jurídica. En tal sentido</w:t>
      </w:r>
      <w:r w:rsidRPr="002E7652">
        <w:rPr>
          <w:rFonts w:ascii="Verdana" w:eastAsia="Arial MT" w:hAnsi="Verdana" w:cs="Arial"/>
          <w:bCs/>
          <w:iCs/>
          <w:sz w:val="22"/>
          <w:szCs w:val="22"/>
          <w:lang w:eastAsia="es-ES" w:bidi="es-ES"/>
        </w:rPr>
        <w:t xml:space="preserve">, la Agencia Nacional de Contratación Pública –Colombia Compra Eficiente no puede definir o catalogar una inhabilidad o incompatibilidad en razón a la profesión de la contaduría, pues no es competencia de esta, sino revisar si estas implican una restricción para contratar con el Estado. En efecto, </w:t>
      </w:r>
      <w:r w:rsidRPr="002E7652">
        <w:rPr>
          <w:rFonts w:ascii="Verdana" w:eastAsia="Arial MT" w:hAnsi="Verdana" w:cs="Arial"/>
          <w:bCs/>
          <w:sz w:val="22"/>
          <w:szCs w:val="22"/>
          <w:lang w:val="es-ES_tradnl" w:eastAsia="es-ES" w:bidi="es-ES"/>
        </w:rPr>
        <w:t xml:space="preserve">se destaca que </w:t>
      </w:r>
      <w:r w:rsidRPr="002E7652">
        <w:rPr>
          <w:rFonts w:ascii="Verdana" w:eastAsia="Arial MT" w:hAnsi="Verdana" w:cs="Arial"/>
          <w:bCs/>
          <w:sz w:val="22"/>
          <w:szCs w:val="22"/>
          <w:lang w:eastAsia="es-ES" w:bidi="es-ES"/>
        </w:rPr>
        <w:t xml:space="preserve">la falta de actualización del registro profesional del contador público </w:t>
      </w:r>
      <w:r w:rsidRPr="002E7652">
        <w:rPr>
          <w:rFonts w:ascii="Verdana" w:eastAsia="Arial MT" w:hAnsi="Verdana" w:cs="Arial"/>
          <w:bCs/>
          <w:sz w:val="22"/>
          <w:szCs w:val="22"/>
          <w:lang w:val="es-ES_tradnl" w:eastAsia="es-ES" w:bidi="es-ES"/>
        </w:rPr>
        <w:t xml:space="preserve">no genera una inhabilidad o incompatibilidad, teniendo en cuenta que, de las normas del sistema de compras y contratación pública, no existe una causal contemplada para ello. </w:t>
      </w:r>
    </w:p>
    <w:p w14:paraId="3C835DFA" w14:textId="77777777" w:rsidR="002E7652" w:rsidRPr="002E7652" w:rsidRDefault="002E7652" w:rsidP="002E7652">
      <w:pPr>
        <w:spacing w:line="276" w:lineRule="auto"/>
        <w:ind w:firstLine="709"/>
        <w:jc w:val="both"/>
        <w:rPr>
          <w:rFonts w:ascii="Verdana" w:eastAsia="MS Mincho" w:hAnsi="Verdana" w:cs="Arial"/>
          <w:color w:val="000000"/>
          <w:sz w:val="22"/>
          <w:szCs w:val="22"/>
          <w:shd w:val="clear" w:color="auto" w:fill="FFFFFF"/>
          <w:lang w:eastAsia="en-US"/>
        </w:rPr>
      </w:pPr>
      <w:r w:rsidRPr="002E7652">
        <w:rPr>
          <w:rFonts w:ascii="Verdana" w:eastAsia="Arial MT" w:hAnsi="Verdana" w:cs="Arial"/>
          <w:bCs/>
          <w:sz w:val="22"/>
          <w:szCs w:val="22"/>
          <w:lang w:eastAsia="es-ES" w:bidi="es-ES"/>
        </w:rPr>
        <w:t xml:space="preserve">No obstante, es importante recordar que no es permitido hacer una interpretación extensiva de los efectos de inhabilidades e incompatibilidades en razón a una profesión en torno a los contratos estatales, pues estas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determinada inhabilidad o incompatibilidad implica restricciones para contratar con el Estado. </w:t>
      </w:r>
      <w:r w:rsidRPr="002E7652">
        <w:rPr>
          <w:rFonts w:ascii="Verdana" w:eastAsia="MS Mincho" w:hAnsi="Verdana" w:cs="Arial"/>
          <w:color w:val="000000"/>
          <w:sz w:val="22"/>
          <w:szCs w:val="22"/>
          <w:shd w:val="clear" w:color="auto" w:fill="FFFFFF"/>
          <w:lang w:eastAsia="en-US"/>
        </w:rPr>
        <w:t>En todo caso, corresponde examinar si la ausencia de actualización del registro podría configurarse como una causal de rechazo en la etapa de presentación de ofertas dentro de un proceso de contratación pública.</w:t>
      </w:r>
    </w:p>
    <w:p w14:paraId="16B91EE8" w14:textId="77777777" w:rsidR="002E7652" w:rsidRPr="002E7652" w:rsidRDefault="002E7652" w:rsidP="002E7652">
      <w:pPr>
        <w:tabs>
          <w:tab w:val="left" w:pos="709"/>
        </w:tabs>
        <w:jc w:val="both"/>
        <w:rPr>
          <w:rFonts w:ascii="Verdana" w:hAnsi="Verdana" w:cs="Arial"/>
          <w:color w:val="000000" w:themeColor="text1"/>
          <w:sz w:val="22"/>
          <w:szCs w:val="22"/>
        </w:rPr>
      </w:pPr>
    </w:p>
    <w:p w14:paraId="56E37103" w14:textId="77777777" w:rsidR="002E7652" w:rsidRPr="002E7652" w:rsidRDefault="002E7652" w:rsidP="002E7652">
      <w:pPr>
        <w:spacing w:line="276" w:lineRule="auto"/>
        <w:jc w:val="both"/>
        <w:rPr>
          <w:rFonts w:ascii="Verdana" w:eastAsia="Century Gothic" w:hAnsi="Verdana" w:cs="Century Gothic"/>
          <w:sz w:val="22"/>
          <w:szCs w:val="22"/>
          <w:lang w:eastAsia="en-US"/>
        </w:rPr>
      </w:pPr>
      <w:proofErr w:type="spellStart"/>
      <w:r w:rsidRPr="002E7652">
        <w:rPr>
          <w:rFonts w:ascii="Verdana" w:hAnsi="Verdana" w:cs="Arial"/>
          <w:color w:val="000000" w:themeColor="text1"/>
          <w:sz w:val="22"/>
          <w:szCs w:val="22"/>
        </w:rPr>
        <w:t>ii</w:t>
      </w:r>
      <w:proofErr w:type="spellEnd"/>
      <w:r w:rsidRPr="002E7652">
        <w:rPr>
          <w:rFonts w:ascii="Verdana" w:hAnsi="Verdana" w:cs="Arial"/>
          <w:color w:val="000000" w:themeColor="text1"/>
          <w:sz w:val="22"/>
          <w:szCs w:val="22"/>
        </w:rPr>
        <w:t xml:space="preserve">. </w:t>
      </w:r>
      <w:r w:rsidRPr="002E7652">
        <w:rPr>
          <w:rFonts w:ascii="Verdana" w:eastAsia="Verdana" w:hAnsi="Verdana" w:cs="Verdana"/>
          <w:sz w:val="22"/>
          <w:szCs w:val="22"/>
          <w:lang w:eastAsia="en-US"/>
        </w:rPr>
        <w:t xml:space="preserve">Es importante destacar que </w:t>
      </w:r>
      <w:r w:rsidRPr="002E7652">
        <w:rPr>
          <w:rFonts w:ascii="Verdana" w:eastAsia="Century Gothic" w:hAnsi="Verdana" w:cs="Century Gothic"/>
          <w:sz w:val="22"/>
          <w:szCs w:val="22"/>
          <w:lang w:eastAsia="en-US"/>
        </w:rPr>
        <w:t xml:space="preserve">las causales de rechazo son las establecidas en la ley y las fijadas por la Entidad Estatal en los pliegos de condiciones. No obstante, en el ejercicio de esta facultad las entidades no deben establecer causales de </w:t>
      </w:r>
      <w:r w:rsidRPr="002E7652">
        <w:rPr>
          <w:rFonts w:ascii="Verdana" w:eastAsia="Century Gothic" w:hAnsi="Verdana" w:cs="Century Gothic"/>
          <w:sz w:val="22"/>
          <w:szCs w:val="22"/>
          <w:lang w:eastAsia="en-US"/>
        </w:rPr>
        <w:lastRenderedPageBreak/>
        <w:t>rechazo que afecten la selección objetiva en la contratación. Sobre el particular, el Consejo de Estado</w:t>
      </w:r>
      <w:r w:rsidRPr="002E7652">
        <w:rPr>
          <w:rFonts w:ascii="Verdana" w:eastAsia="Century Gothic" w:hAnsi="Verdana" w:cs="Century Gothic"/>
          <w:sz w:val="22"/>
          <w:szCs w:val="22"/>
          <w:vertAlign w:val="superscript"/>
          <w:lang w:eastAsia="en-US"/>
        </w:rPr>
        <w:footnoteReference w:id="16"/>
      </w:r>
      <w:r w:rsidRPr="002E7652">
        <w:rPr>
          <w:rFonts w:ascii="Verdana" w:eastAsia="Century Gothic" w:hAnsi="Verdana" w:cs="Century Gothic"/>
          <w:sz w:val="22"/>
          <w:szCs w:val="22"/>
          <w:lang w:eastAsia="en-US"/>
        </w:rPr>
        <w:t xml:space="preserve"> señala:</w:t>
      </w:r>
    </w:p>
    <w:p w14:paraId="6E736BE9" w14:textId="77777777" w:rsidR="002E7652" w:rsidRPr="002E7652" w:rsidRDefault="002E7652" w:rsidP="002E7652">
      <w:pPr>
        <w:jc w:val="both"/>
        <w:rPr>
          <w:rFonts w:ascii="Verdana" w:eastAsia="Century Gothic" w:hAnsi="Verdana" w:cs="Century Gothic"/>
          <w:sz w:val="22"/>
          <w:szCs w:val="22"/>
          <w:lang w:eastAsia="en-US"/>
        </w:rPr>
      </w:pPr>
    </w:p>
    <w:p w14:paraId="5CFFB218" w14:textId="77777777" w:rsidR="002E7652" w:rsidRPr="002E7652" w:rsidRDefault="002E7652" w:rsidP="002E7652">
      <w:pPr>
        <w:ind w:left="567" w:right="618"/>
        <w:jc w:val="both"/>
        <w:rPr>
          <w:rFonts w:ascii="Verdana" w:eastAsia="Calibri" w:hAnsi="Verdana" w:cs="Arial"/>
          <w:sz w:val="20"/>
          <w:szCs w:val="20"/>
          <w:lang w:eastAsia="en-US"/>
        </w:rPr>
      </w:pPr>
      <w:r w:rsidRPr="002E7652">
        <w:rPr>
          <w:rFonts w:ascii="Verdana" w:eastAsia="Century Gothic" w:hAnsi="Verdana" w:cs="Century Gothic"/>
          <w:sz w:val="20"/>
          <w:szCs w:val="20"/>
          <w:lang w:eastAsia="en-US"/>
        </w:rPr>
        <w:t>“</w:t>
      </w:r>
      <w:r w:rsidRPr="002E7652">
        <w:rPr>
          <w:rFonts w:ascii="Verdana" w:eastAsia="Calibri" w:hAnsi="Verdana" w:cs="Arial"/>
          <w:sz w:val="20"/>
          <w:szCs w:val="20"/>
          <w:lang w:eastAsia="en-US"/>
        </w:rPr>
        <w:t xml:space="preserve">Quiere con esto destacar la Sala que las causales de rechazo de las propuestas pueden ser legales y por lo mismo generan el efecto del descarte o exclusión de la oferta </w:t>
      </w:r>
      <w:proofErr w:type="spellStart"/>
      <w:r w:rsidRPr="002E7652">
        <w:rPr>
          <w:rFonts w:ascii="Verdana" w:eastAsia="Calibri" w:hAnsi="Verdana" w:cs="Arial"/>
          <w:sz w:val="20"/>
          <w:szCs w:val="20"/>
          <w:lang w:eastAsia="en-US"/>
        </w:rPr>
        <w:t>ope</w:t>
      </w:r>
      <w:proofErr w:type="spellEnd"/>
      <w:r w:rsidRPr="002E7652">
        <w:rPr>
          <w:rFonts w:ascii="Verdana" w:eastAsia="Calibri" w:hAnsi="Verdana" w:cs="Arial"/>
          <w:sz w:val="20"/>
          <w:szCs w:val="20"/>
          <w:lang w:eastAsia="en-US"/>
        </w:rPr>
        <w:t xml:space="preserve"> </w:t>
      </w:r>
      <w:proofErr w:type="spellStart"/>
      <w:r w:rsidRPr="002E7652">
        <w:rPr>
          <w:rFonts w:ascii="Verdana" w:eastAsia="Calibri" w:hAnsi="Verdana" w:cs="Arial"/>
          <w:sz w:val="20"/>
          <w:szCs w:val="20"/>
          <w:lang w:eastAsia="en-US"/>
        </w:rPr>
        <w:t>legis</w:t>
      </w:r>
      <w:proofErr w:type="spellEnd"/>
      <w:r w:rsidRPr="002E7652">
        <w:rPr>
          <w:rFonts w:ascii="Verdana" w:eastAsia="Calibri" w:hAnsi="Verdana" w:cs="Arial"/>
          <w:sz w:val="20"/>
          <w:szCs w:val="20"/>
          <w:lang w:eastAsia="en-U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586024A6" w14:textId="77777777" w:rsidR="002E7652" w:rsidRPr="002E7652" w:rsidRDefault="002E7652" w:rsidP="002E7652">
      <w:pPr>
        <w:spacing w:line="276" w:lineRule="auto"/>
        <w:ind w:firstLine="709"/>
        <w:jc w:val="both"/>
        <w:rPr>
          <w:rFonts w:ascii="Verdana" w:eastAsia="Century Gothic" w:hAnsi="Verdana" w:cs="Century Gothic"/>
          <w:sz w:val="22"/>
          <w:szCs w:val="22"/>
          <w:lang w:eastAsia="en-US"/>
        </w:rPr>
      </w:pPr>
    </w:p>
    <w:p w14:paraId="7B6ADDA7" w14:textId="77777777" w:rsidR="002E7652" w:rsidRPr="002E7652" w:rsidRDefault="002E7652" w:rsidP="002E7652">
      <w:pPr>
        <w:spacing w:after="120" w:line="276" w:lineRule="auto"/>
        <w:ind w:firstLine="709"/>
        <w:jc w:val="both"/>
        <w:rPr>
          <w:rFonts w:ascii="Verdana" w:eastAsia="Century Gothic" w:hAnsi="Verdana" w:cs="Century Gothic"/>
          <w:sz w:val="22"/>
          <w:szCs w:val="22"/>
          <w:lang w:eastAsia="en-US"/>
        </w:rPr>
      </w:pPr>
      <w:r w:rsidRPr="002E7652">
        <w:rPr>
          <w:rFonts w:ascii="Verdana" w:eastAsia="Century Gothic" w:hAnsi="Verdana" w:cs="Century Gothic"/>
          <w:sz w:val="22"/>
          <w:szCs w:val="22"/>
          <w:lang w:eastAsia="en-US"/>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2E7652">
        <w:rPr>
          <w:rFonts w:ascii="Verdana" w:eastAsia="Century Gothic" w:hAnsi="Verdana" w:cs="Century Gothic"/>
          <w:sz w:val="22"/>
          <w:szCs w:val="22"/>
          <w:vertAlign w:val="superscript"/>
          <w:lang w:eastAsia="en-US"/>
        </w:rPr>
        <w:footnoteReference w:id="17"/>
      </w:r>
      <w:r w:rsidRPr="002E7652">
        <w:rPr>
          <w:rFonts w:ascii="Verdana" w:eastAsia="Century Gothic" w:hAnsi="Verdana" w:cs="Century Gothic"/>
          <w:sz w:val="22"/>
          <w:szCs w:val="22"/>
          <w:lang w:eastAsia="en-US"/>
        </w:rPr>
        <w:t xml:space="preserve"> sostuvo:</w:t>
      </w:r>
    </w:p>
    <w:p w14:paraId="4DC63858" w14:textId="77777777" w:rsidR="002E7652" w:rsidRPr="002E7652" w:rsidRDefault="002E7652" w:rsidP="002E7652">
      <w:pPr>
        <w:spacing w:line="276" w:lineRule="auto"/>
        <w:ind w:firstLine="709"/>
        <w:jc w:val="both"/>
        <w:rPr>
          <w:rFonts w:ascii="Verdana" w:eastAsia="Century Gothic" w:hAnsi="Verdana" w:cs="Century Gothic"/>
          <w:sz w:val="22"/>
          <w:szCs w:val="22"/>
          <w:lang w:eastAsia="en-US"/>
        </w:rPr>
      </w:pPr>
    </w:p>
    <w:p w14:paraId="486C585E" w14:textId="77777777" w:rsidR="002E7652" w:rsidRPr="002E7652" w:rsidRDefault="002E7652" w:rsidP="002E7652">
      <w:pPr>
        <w:tabs>
          <w:tab w:val="left" w:pos="8222"/>
        </w:tabs>
        <w:ind w:left="567" w:right="618"/>
        <w:jc w:val="both"/>
        <w:rPr>
          <w:rFonts w:ascii="Verdana" w:eastAsia="Calibri" w:hAnsi="Verdana" w:cs="Arial"/>
          <w:sz w:val="20"/>
          <w:szCs w:val="20"/>
          <w:lang w:eastAsia="en-US"/>
        </w:rPr>
      </w:pPr>
      <w:r w:rsidRPr="002E7652">
        <w:rPr>
          <w:rFonts w:ascii="Verdana" w:eastAsia="Century Gothic" w:hAnsi="Verdana" w:cs="Century Gothic"/>
          <w:sz w:val="20"/>
          <w:szCs w:val="20"/>
          <w:lang w:eastAsia="en-US"/>
        </w:rPr>
        <w:t>“</w:t>
      </w:r>
      <w:r w:rsidRPr="002E7652">
        <w:rPr>
          <w:rFonts w:ascii="Verdana" w:eastAsia="Calibri" w:hAnsi="Verdana" w:cs="Arial"/>
          <w:sz w:val="20"/>
          <w:szCs w:val="20"/>
          <w:lang w:eastAsia="en-US"/>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w:t>
      </w:r>
      <w:r w:rsidRPr="002E7652">
        <w:rPr>
          <w:rFonts w:ascii="Verdana" w:eastAsia="Calibri" w:hAnsi="Verdana" w:cs="Arial"/>
          <w:sz w:val="20"/>
          <w:szCs w:val="20"/>
          <w:lang w:eastAsia="en-US"/>
        </w:rPr>
        <w:lastRenderedPageBreak/>
        <w:t>vez que no tendría justificación excluir una propuesta por una deficiencia que no tenga incidencia alguna en la contratación”.</w:t>
      </w:r>
    </w:p>
    <w:p w14:paraId="7F86E42A" w14:textId="77777777" w:rsidR="002E7652" w:rsidRPr="002E7652" w:rsidRDefault="002E7652" w:rsidP="002E7652">
      <w:pPr>
        <w:spacing w:line="276" w:lineRule="auto"/>
        <w:ind w:firstLine="709"/>
        <w:jc w:val="both"/>
        <w:rPr>
          <w:rFonts w:ascii="Verdana" w:eastAsia="Calibri" w:hAnsi="Verdana" w:cs="Arial"/>
          <w:sz w:val="22"/>
          <w:szCs w:val="22"/>
          <w:lang w:val="es-ES" w:eastAsia="en-US"/>
        </w:rPr>
      </w:pPr>
    </w:p>
    <w:p w14:paraId="74EC0D2D" w14:textId="77777777" w:rsidR="002E7652" w:rsidRPr="002E7652" w:rsidRDefault="002E7652" w:rsidP="002E7652">
      <w:pPr>
        <w:spacing w:before="120" w:after="120" w:line="276" w:lineRule="auto"/>
        <w:ind w:firstLine="708"/>
        <w:jc w:val="both"/>
        <w:rPr>
          <w:rFonts w:ascii="Verdana" w:eastAsia="Calibri" w:hAnsi="Verdana" w:cs="Arial"/>
          <w:sz w:val="22"/>
          <w:szCs w:val="22"/>
          <w:lang w:val="es-ES" w:eastAsia="en-US"/>
        </w:rPr>
      </w:pPr>
      <w:r w:rsidRPr="002E7652">
        <w:rPr>
          <w:rFonts w:ascii="Verdana" w:eastAsia="Calibri" w:hAnsi="Verdana" w:cs="Arial"/>
          <w:sz w:val="22"/>
          <w:szCs w:val="22"/>
          <w:lang w:val="es-ES" w:eastAsia="en-U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1EC2632C" w14:textId="77777777" w:rsidR="002E7652" w:rsidRPr="002E7652" w:rsidRDefault="002E7652" w:rsidP="002E7652">
      <w:pPr>
        <w:spacing w:before="120" w:after="120" w:line="276" w:lineRule="auto"/>
        <w:ind w:firstLine="708"/>
        <w:jc w:val="both"/>
        <w:rPr>
          <w:rFonts w:ascii="Verdana" w:eastAsia="Calibri" w:hAnsi="Verdana" w:cs="Arial"/>
          <w:sz w:val="22"/>
          <w:szCs w:val="22"/>
          <w:lang w:val="es-ES" w:eastAsia="en-US"/>
        </w:rPr>
      </w:pPr>
      <w:r w:rsidRPr="002E7652">
        <w:rPr>
          <w:rFonts w:ascii="Verdana" w:eastAsia="Arial" w:hAnsi="Verdana" w:cs="Arial"/>
          <w:color w:val="000000"/>
          <w:sz w:val="22"/>
          <w:szCs w:val="22"/>
          <w:lang w:eastAsia="en-US"/>
        </w:rPr>
        <w:t xml:space="preserve">Por otra parte, es importante señalar que, uno de los principios transversales de los procedimientos de selección es el de </w:t>
      </w:r>
      <w:r w:rsidRPr="002E7652">
        <w:rPr>
          <w:rFonts w:ascii="Verdana" w:eastAsia="Arial" w:hAnsi="Verdana" w:cs="Arial"/>
          <w:i/>
          <w:color w:val="000000"/>
          <w:sz w:val="22"/>
          <w:szCs w:val="22"/>
          <w:lang w:eastAsia="en-US"/>
        </w:rPr>
        <w:t>selección objetiva</w:t>
      </w:r>
      <w:r w:rsidRPr="002E7652">
        <w:rPr>
          <w:rFonts w:ascii="Verdana" w:eastAsia="Arial" w:hAnsi="Verdana" w:cs="Arial"/>
          <w:color w:val="000000"/>
          <w:sz w:val="22"/>
          <w:szCs w:val="22"/>
          <w:lang w:eastAsia="en-US"/>
        </w:rPr>
        <w:t>. Se trata del postulado que exige que la escogencia de la oferta ganadora deba fundamentarse en factores objetivos, de carácter técnico, jurídico y financiero, y no en criterios subjetivos, como el afecto, la amistad, el ánimo de ayuda, el interés personal, entre otros. Si bien dentro de la historia de la contratación pública en Colombia se vislumbran antecedentes normativos que consagraban dicho principio</w:t>
      </w:r>
      <w:r w:rsidRPr="002E7652">
        <w:rPr>
          <w:rFonts w:ascii="Aptos" w:eastAsia="Aptos" w:hAnsi="Aptos"/>
          <w:vertAlign w:val="superscript"/>
          <w:lang w:eastAsia="en-US"/>
        </w:rPr>
        <w:footnoteReference w:id="18"/>
      </w:r>
      <w:r w:rsidRPr="002E7652">
        <w:rPr>
          <w:rFonts w:ascii="Verdana" w:eastAsia="Arial" w:hAnsi="Verdana" w:cs="Arial"/>
          <w:color w:val="000000"/>
          <w:sz w:val="22"/>
          <w:szCs w:val="22"/>
          <w:lang w:eastAsia="en-US"/>
        </w:rPr>
        <w:t>, en la actualidad la disposición legal que lo prevé de manera más clara y contundente es el artículo 5 de la Ley 1150 de 2007, modificado por el artículo 88 de la Ley 1474 de 2011 y por el artículo 5 de la Ley 1882 de 2018.</w:t>
      </w:r>
    </w:p>
    <w:p w14:paraId="22635126" w14:textId="77777777" w:rsidR="002E7652" w:rsidRPr="002E7652" w:rsidRDefault="002E7652" w:rsidP="002E7652">
      <w:pPr>
        <w:spacing w:before="120" w:after="120" w:line="276" w:lineRule="auto"/>
        <w:ind w:firstLine="708"/>
        <w:jc w:val="both"/>
        <w:rPr>
          <w:rFonts w:ascii="Verdana" w:eastAsia="Calibri" w:hAnsi="Verdana" w:cs="Arial"/>
          <w:sz w:val="22"/>
          <w:szCs w:val="22"/>
          <w:lang w:val="es-ES" w:eastAsia="en-US"/>
        </w:rPr>
      </w:pPr>
      <w:r w:rsidRPr="002E7652">
        <w:rPr>
          <w:rFonts w:ascii="Verdana" w:eastAsia="Arial" w:hAnsi="Verdana" w:cs="Arial"/>
          <w:color w:val="000000"/>
          <w:sz w:val="22"/>
          <w:szCs w:val="22"/>
          <w:lang w:eastAsia="en-US"/>
        </w:rPr>
        <w:t xml:space="preserve">Para garantizar la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la selección objetiva se encuentra ligada a la </w:t>
      </w:r>
      <w:r w:rsidRPr="002E7652">
        <w:rPr>
          <w:rFonts w:ascii="Verdana" w:eastAsia="Arial" w:hAnsi="Verdana" w:cs="Arial"/>
          <w:color w:val="000000"/>
          <w:sz w:val="22"/>
          <w:szCs w:val="22"/>
          <w:lang w:eastAsia="en-US"/>
        </w:rPr>
        <w:lastRenderedPageBreak/>
        <w:t>obligación que tienen las entidades estatales de permitir la subsanación de los requisitos de participación, bajo las condiciones indicadas en la ley, antes de tomar la decisión de rechazar las propuestas que hayan omitido la observancia de requisitos no necesarios para la comparación de las ofertas.</w:t>
      </w:r>
    </w:p>
    <w:p w14:paraId="572CE131" w14:textId="77777777" w:rsidR="002E7652" w:rsidRPr="002E7652" w:rsidRDefault="002E7652" w:rsidP="002E7652">
      <w:pPr>
        <w:spacing w:before="120" w:after="120" w:line="276" w:lineRule="auto"/>
        <w:ind w:firstLine="708"/>
        <w:jc w:val="both"/>
        <w:rPr>
          <w:rFonts w:ascii="Verdana" w:eastAsiaTheme="minorHAnsi" w:hAnsi="Verdana" w:cs="Arial"/>
          <w:bCs/>
          <w:color w:val="000000" w:themeColor="text1"/>
          <w:sz w:val="22"/>
          <w:szCs w:val="22"/>
          <w:lang w:eastAsia="en-US"/>
        </w:rPr>
      </w:pPr>
      <w:r w:rsidRPr="002E7652">
        <w:rPr>
          <w:rFonts w:ascii="Verdana" w:eastAsia="Arial" w:hAnsi="Verdana" w:cs="Arial"/>
          <w:color w:val="000000"/>
          <w:sz w:val="22"/>
          <w:szCs w:val="22"/>
          <w:lang w:eastAsia="en-US"/>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2E7652">
        <w:rPr>
          <w:rFonts w:ascii="Verdana" w:eastAsiaTheme="minorHAnsi" w:hAnsi="Verdana" w:cs="Arial"/>
          <w:bCs/>
          <w:color w:val="000000" w:themeColor="text1"/>
          <w:sz w:val="22"/>
          <w:szCs w:val="22"/>
          <w:lang w:eastAsia="en-US"/>
        </w:rPr>
        <w:t xml:space="preserve"> En ese orden de ideas, el rechazo de las ofertas debe provenir entre otros factores, de la imposibilidad de hacer una escogencia favorable a la entidad estatal y a los fines que ella busca en cumplimiento del deber de selección objetiva, que garantiza la libertad de competencia regulado en el artículo 333 constitucional. </w:t>
      </w:r>
    </w:p>
    <w:p w14:paraId="6FC7EC17" w14:textId="77777777" w:rsidR="002E7652" w:rsidRPr="002E7652" w:rsidRDefault="002E7652" w:rsidP="002E7652">
      <w:pPr>
        <w:tabs>
          <w:tab w:val="left" w:pos="709"/>
        </w:tabs>
        <w:spacing w:line="276" w:lineRule="auto"/>
        <w:jc w:val="both"/>
        <w:rPr>
          <w:rFonts w:ascii="Verdana" w:hAnsi="Verdana" w:cs="Arial"/>
          <w:color w:val="000000" w:themeColor="text1"/>
          <w:sz w:val="22"/>
          <w:szCs w:val="22"/>
        </w:rPr>
      </w:pPr>
      <w:r w:rsidRPr="002E7652">
        <w:rPr>
          <w:rFonts w:ascii="Verdana" w:hAnsi="Verdana" w:cs="Arial"/>
          <w:color w:val="000000" w:themeColor="text1"/>
          <w:sz w:val="22"/>
          <w:szCs w:val="22"/>
        </w:rPr>
        <w:tab/>
        <w:t>En este sentido, resulta pertinente efectuar un análisis bajo el principio de proporcionalidad, a fin de determinar si el incumplimiento en la actualización del registro profesional por parte del contador del proponente puede constituirse en una causal de rechazo dentro de un proceso de contratación pública. Dicho examen debe considerar, por un lado, la finalidad de la exigencia normativa de mantener vigente y actualizado el registro, como garantía de idoneidad y habilitación para el ejercicio de la profesión contable. Por otro lado, debe ponderarse el impacto que la omisión pueda tener sobre la capacidad real del proponente para cumplir con las obligaciones contractuales, evitando que una exigencia meramente formal se convierta en un obstáculo desproporcionado frente al derecho de participación en la contratación estatal. En este contexto, resulta necesario examinar el papel que cumplen tanto el registro profesional del Contador Público y con ello los antecedentes expedidos por la Junta Central de Contadores dentro de los procesos de contratación pública.</w:t>
      </w:r>
    </w:p>
    <w:p w14:paraId="63B91FA5" w14:textId="77777777" w:rsidR="002E7652" w:rsidRPr="002E7652" w:rsidRDefault="002E7652" w:rsidP="002E7652">
      <w:pPr>
        <w:tabs>
          <w:tab w:val="left" w:pos="709"/>
        </w:tabs>
        <w:spacing w:line="276" w:lineRule="auto"/>
        <w:jc w:val="both"/>
        <w:rPr>
          <w:rFonts w:ascii="Verdana" w:hAnsi="Verdana" w:cs="Arial"/>
          <w:color w:val="000000" w:themeColor="text1"/>
          <w:sz w:val="22"/>
          <w:szCs w:val="22"/>
        </w:rPr>
      </w:pPr>
    </w:p>
    <w:p w14:paraId="4FFFEF5B" w14:textId="77777777" w:rsidR="002E7652" w:rsidRPr="002E7652" w:rsidRDefault="002E7652" w:rsidP="002E7652">
      <w:pPr>
        <w:tabs>
          <w:tab w:val="left" w:pos="709"/>
        </w:tabs>
        <w:spacing w:after="120" w:line="276" w:lineRule="auto"/>
        <w:jc w:val="both"/>
        <w:rPr>
          <w:rFonts w:ascii="Verdana" w:hAnsi="Verdana" w:cs="Arial"/>
          <w:color w:val="000000" w:themeColor="text1"/>
          <w:sz w:val="22"/>
          <w:szCs w:val="22"/>
        </w:rPr>
      </w:pPr>
      <w:proofErr w:type="spellStart"/>
      <w:r w:rsidRPr="002E7652">
        <w:rPr>
          <w:rFonts w:ascii="Verdana" w:hAnsi="Verdana" w:cs="Arial"/>
          <w:color w:val="000000" w:themeColor="text1"/>
          <w:sz w:val="22"/>
          <w:szCs w:val="22"/>
        </w:rPr>
        <w:t>iii</w:t>
      </w:r>
      <w:proofErr w:type="spellEnd"/>
      <w:r w:rsidRPr="002E7652">
        <w:rPr>
          <w:rFonts w:ascii="Verdana" w:hAnsi="Verdana" w:cs="Arial"/>
          <w:color w:val="000000" w:themeColor="text1"/>
          <w:sz w:val="22"/>
          <w:szCs w:val="22"/>
        </w:rPr>
        <w:t xml:space="preserve">. Es importante señalar que la “Guía para determinar y verificar la capacidad residual del proponente en los procesos de contratación de obra pública” señala la Capacidad de Organización de la Capacidad Residual, corresponde a los ingresos operacionales teniendo en cuenta lo siguiente:  </w:t>
      </w:r>
    </w:p>
    <w:p w14:paraId="288E5DE9" w14:textId="77777777" w:rsidR="002E7652" w:rsidRPr="002E7652" w:rsidRDefault="002E7652" w:rsidP="002E7652">
      <w:pPr>
        <w:tabs>
          <w:tab w:val="left" w:pos="709"/>
        </w:tabs>
        <w:spacing w:after="120" w:line="276" w:lineRule="auto"/>
        <w:jc w:val="center"/>
        <w:rPr>
          <w:rFonts w:ascii="Verdana" w:hAnsi="Verdana" w:cs="Arial"/>
          <w:color w:val="000000" w:themeColor="text1"/>
          <w:sz w:val="22"/>
          <w:szCs w:val="22"/>
        </w:rPr>
      </w:pPr>
      <w:r w:rsidRPr="002E7652">
        <w:rPr>
          <w:rFonts w:ascii="Verdana" w:hAnsi="Verdana" w:cs="Arial"/>
          <w:noProof/>
          <w:color w:val="000000" w:themeColor="text1"/>
          <w:sz w:val="22"/>
          <w:szCs w:val="22"/>
        </w:rPr>
        <w:lastRenderedPageBreak/>
        <w:drawing>
          <wp:inline distT="0" distB="0" distL="0" distR="0" wp14:anchorId="3C0DB955" wp14:editId="758BC1D3">
            <wp:extent cx="5400675" cy="1530825"/>
            <wp:effectExtent l="0" t="0" r="0" b="0"/>
            <wp:docPr id="20667717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71756" name=""/>
                    <pic:cNvPicPr/>
                  </pic:nvPicPr>
                  <pic:blipFill>
                    <a:blip r:embed="rId13"/>
                    <a:stretch>
                      <a:fillRect/>
                    </a:stretch>
                  </pic:blipFill>
                  <pic:spPr>
                    <a:xfrm>
                      <a:off x="0" y="0"/>
                      <a:ext cx="5408319" cy="1532992"/>
                    </a:xfrm>
                    <a:prstGeom prst="rect">
                      <a:avLst/>
                    </a:prstGeom>
                  </pic:spPr>
                </pic:pic>
              </a:graphicData>
            </a:graphic>
          </wp:inline>
        </w:drawing>
      </w:r>
    </w:p>
    <w:p w14:paraId="78B5840A" w14:textId="77777777" w:rsidR="002E7652" w:rsidRPr="002E7652" w:rsidRDefault="002E7652" w:rsidP="002E7652">
      <w:pPr>
        <w:tabs>
          <w:tab w:val="left" w:pos="709"/>
        </w:tabs>
        <w:spacing w:after="120" w:line="276" w:lineRule="auto"/>
        <w:jc w:val="center"/>
        <w:rPr>
          <w:rFonts w:ascii="Verdana" w:hAnsi="Verdana" w:cs="Arial"/>
          <w:color w:val="000000" w:themeColor="text1"/>
          <w:sz w:val="20"/>
          <w:szCs w:val="20"/>
        </w:rPr>
      </w:pPr>
      <w:r w:rsidRPr="002E7652">
        <w:rPr>
          <w:rFonts w:ascii="Verdana" w:hAnsi="Verdana" w:cs="Arial"/>
          <w:color w:val="000000" w:themeColor="text1"/>
          <w:sz w:val="20"/>
          <w:szCs w:val="20"/>
        </w:rPr>
        <w:t>Tomado de la Guía para determinar y verificar la capacidad residual del proponente en los procesos de contratación de obra pública</w:t>
      </w:r>
    </w:p>
    <w:p w14:paraId="66977003" w14:textId="77777777" w:rsidR="002E7652" w:rsidRPr="002E7652" w:rsidRDefault="002E7652" w:rsidP="002E7652">
      <w:pPr>
        <w:tabs>
          <w:tab w:val="left" w:pos="709"/>
        </w:tabs>
        <w:spacing w:after="120" w:line="276" w:lineRule="auto"/>
        <w:jc w:val="both"/>
        <w:rPr>
          <w:rFonts w:ascii="Verdana" w:hAnsi="Verdana" w:cs="Arial"/>
          <w:color w:val="000000" w:themeColor="text1"/>
          <w:sz w:val="22"/>
          <w:szCs w:val="22"/>
        </w:rPr>
      </w:pPr>
      <w:r w:rsidRPr="002E7652">
        <w:rPr>
          <w:rFonts w:ascii="Verdana" w:hAnsi="Verdana" w:cs="Arial"/>
          <w:color w:val="000000" w:themeColor="text1"/>
          <w:sz w:val="22"/>
          <w:szCs w:val="22"/>
        </w:rPr>
        <w:tab/>
      </w:r>
    </w:p>
    <w:p w14:paraId="5AB11102" w14:textId="77777777" w:rsidR="002E7652" w:rsidRPr="002E7652" w:rsidRDefault="002E7652" w:rsidP="002E7652">
      <w:pPr>
        <w:tabs>
          <w:tab w:val="left" w:pos="709"/>
        </w:tabs>
        <w:spacing w:after="120" w:line="276" w:lineRule="auto"/>
        <w:jc w:val="both"/>
        <w:rPr>
          <w:rFonts w:ascii="Verdana" w:hAnsi="Verdana" w:cs="Arial"/>
          <w:color w:val="000000" w:themeColor="text1"/>
          <w:sz w:val="22"/>
          <w:szCs w:val="22"/>
        </w:rPr>
      </w:pPr>
      <w:r w:rsidRPr="002E7652">
        <w:rPr>
          <w:rFonts w:ascii="Verdana" w:hAnsi="Verdana" w:cs="Arial"/>
          <w:color w:val="000000" w:themeColor="text1"/>
          <w:sz w:val="22"/>
          <w:szCs w:val="22"/>
        </w:rPr>
        <w:tab/>
        <w:t xml:space="preserve">Ahora bien, para acreditar la Capacidad de la Organización, el proponente obligado a tener RUP debe presentar los siguientes documentos: i) estado de resultados integral -estado de resultado o pérdida o ganancias- del año en que hayan obtenido el mayor ingreso operacional en los últimos cinco (5) años o de los años de vida del oferente, según corresponda, debidamente firmado por el representante legal y el contador público bajo cuya responsabilidad se han preparado y por el revisor fiscal o, en caso de no haberlo, por no estar obligado a tenerlo, por contador público independiente, acompañados de su dictamen, de conformidad con el artículo 38 de la Ley 222 de 1995; </w:t>
      </w:r>
      <w:proofErr w:type="spellStart"/>
      <w:r w:rsidRPr="002E7652">
        <w:rPr>
          <w:rFonts w:ascii="Verdana" w:hAnsi="Verdana" w:cs="Arial"/>
          <w:color w:val="000000" w:themeColor="text1"/>
          <w:sz w:val="22"/>
          <w:szCs w:val="22"/>
        </w:rPr>
        <w:t>ii</w:t>
      </w:r>
      <w:proofErr w:type="spellEnd"/>
      <w:r w:rsidRPr="002E7652">
        <w:rPr>
          <w:rFonts w:ascii="Verdana" w:hAnsi="Verdana" w:cs="Arial"/>
          <w:color w:val="000000" w:themeColor="text1"/>
          <w:sz w:val="22"/>
          <w:szCs w:val="22"/>
        </w:rPr>
        <w:t>) copia de la tarjeta profesional y certificado de antecedentes disciplinarios vigentes de los Contadores Públicos, Revisores Fiscales, Contadores independientes (externos), quienes suscribieron los documentos señalados en el presente literal</w:t>
      </w:r>
      <w:r w:rsidRPr="002E7652">
        <w:rPr>
          <w:rFonts w:ascii="Verdana" w:hAnsi="Verdana" w:cs="Arial"/>
          <w:color w:val="000000" w:themeColor="text1"/>
          <w:sz w:val="22"/>
          <w:szCs w:val="22"/>
          <w:vertAlign w:val="superscript"/>
        </w:rPr>
        <w:footnoteReference w:id="19"/>
      </w:r>
      <w:r w:rsidRPr="002E7652">
        <w:rPr>
          <w:rFonts w:ascii="Verdana" w:hAnsi="Verdana" w:cs="Arial"/>
          <w:color w:val="000000" w:themeColor="text1"/>
          <w:sz w:val="22"/>
          <w:szCs w:val="22"/>
        </w:rPr>
        <w:t xml:space="preserve">.  </w:t>
      </w:r>
    </w:p>
    <w:p w14:paraId="55E66579" w14:textId="77777777" w:rsidR="002E7652" w:rsidRPr="002E7652" w:rsidRDefault="002E7652" w:rsidP="002E7652">
      <w:pPr>
        <w:tabs>
          <w:tab w:val="left" w:pos="709"/>
        </w:tabs>
        <w:spacing w:after="120" w:line="276" w:lineRule="auto"/>
        <w:jc w:val="both"/>
        <w:rPr>
          <w:rFonts w:ascii="Verdana" w:hAnsi="Verdana" w:cs="Arial"/>
          <w:color w:val="000000" w:themeColor="text1"/>
          <w:sz w:val="22"/>
          <w:szCs w:val="22"/>
        </w:rPr>
      </w:pPr>
      <w:r w:rsidRPr="002E7652">
        <w:rPr>
          <w:rFonts w:ascii="Verdana" w:hAnsi="Verdana" w:cs="Arial"/>
          <w:color w:val="000000" w:themeColor="text1"/>
          <w:sz w:val="22"/>
          <w:szCs w:val="22"/>
        </w:rPr>
        <w:tab/>
        <w:t xml:space="preserve">Ahora bien, este segundo requisito orientado a acreditar la capacidad organizacional del proponente se refiere a la presentación de la copia de la tarjeta profesional del contador público y del certificado de antecedentes disciplinarios expedido por la Junta Central de Contadores. Sin embargo, la anotación que suele incluirse en el certificado de vigencia de inscripción y antecedentes disciplinarios —según la cual el contador no ha cumplido con la obligación de actualizar la información registrada— no puede entenderse, por sí </w:t>
      </w:r>
      <w:r w:rsidRPr="002E7652">
        <w:rPr>
          <w:rFonts w:ascii="Verdana" w:hAnsi="Verdana" w:cs="Arial"/>
          <w:color w:val="000000" w:themeColor="text1"/>
          <w:sz w:val="22"/>
          <w:szCs w:val="22"/>
        </w:rPr>
        <w:lastRenderedPageBreak/>
        <w:t>sola, como una inhabilidad para el ejercicio de la profesión ni como una causal de rechazo de la propuesta dentro de un proceso de contratación pública.</w:t>
      </w:r>
    </w:p>
    <w:p w14:paraId="02CFB471" w14:textId="77777777" w:rsidR="002E7652" w:rsidRPr="002E7652" w:rsidRDefault="002E7652" w:rsidP="002E7652">
      <w:pPr>
        <w:tabs>
          <w:tab w:val="left" w:pos="709"/>
        </w:tabs>
        <w:spacing w:after="120" w:line="276" w:lineRule="auto"/>
        <w:jc w:val="both"/>
        <w:rPr>
          <w:rFonts w:ascii="Verdana" w:eastAsia="Calibri" w:hAnsi="Verdana" w:cs="Arial"/>
          <w:bCs/>
          <w:color w:val="000000" w:themeColor="text1"/>
          <w:sz w:val="22"/>
          <w:szCs w:val="22"/>
        </w:rPr>
      </w:pPr>
      <w:r w:rsidRPr="002E7652">
        <w:rPr>
          <w:rFonts w:ascii="Verdana" w:hAnsi="Verdana" w:cs="Arial"/>
          <w:color w:val="000000" w:themeColor="text1"/>
          <w:sz w:val="22"/>
          <w:szCs w:val="22"/>
        </w:rPr>
        <w:tab/>
        <w:t xml:space="preserve">En efecto, dicha observación constituye una advertencia administrativa sobre el incumplimiento de un deber de actualización, pero no implica la pérdida de la habilitación profesional ni la imposibilidad de ejercer la contaduría pública. Por tanto, no puede derivarse de manera directa que el oferente carezca para acreditar la capacidad organizacional. </w:t>
      </w:r>
      <w:r w:rsidRPr="002E7652">
        <w:rPr>
          <w:rFonts w:ascii="Verdana" w:eastAsia="Calibri" w:hAnsi="Verdana" w:cs="Arial"/>
          <w:bCs/>
          <w:color w:val="000000" w:themeColor="text1"/>
          <w:sz w:val="22"/>
          <w:szCs w:val="22"/>
        </w:rPr>
        <w:t>En esta línea, el incumplimiento del deber de actualización de la información registrada por parte del contador público tampoco puede asimilarse a la existencia de un antecedente disciplinario, una sanción o una pérdida de vigencia de su inscripción profesional. Esto resulta especialmente relevante cuando el mismo certificado indica que el profesional no registra antecedentes disciplinarios.</w:t>
      </w:r>
    </w:p>
    <w:p w14:paraId="754A1296" w14:textId="77777777" w:rsidR="002E7652" w:rsidRPr="002E7652" w:rsidRDefault="002E7652" w:rsidP="002E7652">
      <w:pPr>
        <w:tabs>
          <w:tab w:val="left" w:pos="709"/>
        </w:tabs>
        <w:spacing w:after="120" w:line="276" w:lineRule="auto"/>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ab/>
        <w:t xml:space="preserve">Para ello, hay que tener en cuenta la Resolución D-0035-2024 del 19 de junio de 2024, “Por la cual se derogan las Resoluciones 000-0973 del 23 de diciembre de 2015, 000-1002 del 18 de diciembre de 2017, 000-1794 de 2021 y se establecen los requisitos y el procedimiento en línea para la inscripción en el registro profesional y expedición de la tarjeta profesional de Contador Público o tarjeta de las entidades que presten servicios propios de la ciencia contable, modificación o cancelación de registro profesional, al igual que los Certificados de Vigencia de Inscripción y de Antecedentes Disciplinarios”. </w:t>
      </w:r>
    </w:p>
    <w:p w14:paraId="35B805E6" w14:textId="77777777" w:rsidR="002E7652" w:rsidRPr="002E7652" w:rsidRDefault="002E7652" w:rsidP="002E7652">
      <w:pPr>
        <w:tabs>
          <w:tab w:val="left" w:pos="709"/>
        </w:tabs>
        <w:spacing w:after="120" w:line="276" w:lineRule="auto"/>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ab/>
        <w:t xml:space="preserve">Al respecto, se destaca que el artículo 25 de la precitada Resolución prescribe: “Los Contadores Públicos y las entidades que presten servicios propios de la ciencia contable a los cuales se les hubiere expedido la tarjeta profesional o tarjeta de registro profesional, según sea el caso, deberán actualizar los datos registrados, de forma anual y antes del primero (1°) de Marzo de cada año, a través de la página web de la Entidad”. En tal sentido, dicho artículo establece una obligación periódica para los contadores públicos y las entidades que prestan servicios contables: deben actualizar anualmente, antes del 1° de marzo, los datos registrados en la Junta Central de Contadores a través de la página web de la entidad. Esta exigencia busca mantener vigente y confiable la información profesional, garantizando que los registros reflejen la situación real de quienes ejercen la contaduría pública. En la práctica, el cumplimiento de este deber posibilita a la autoridad verificar la idoneidad y habilitación de los profesionales, facilita el control disciplinario y asegura transparencia en los procesos en los que </w:t>
      </w:r>
      <w:r w:rsidRPr="002E7652">
        <w:rPr>
          <w:rFonts w:ascii="Verdana" w:eastAsia="Calibri" w:hAnsi="Verdana" w:cs="Arial"/>
          <w:bCs/>
          <w:color w:val="000000" w:themeColor="text1"/>
          <w:sz w:val="22"/>
          <w:szCs w:val="22"/>
        </w:rPr>
        <w:lastRenderedPageBreak/>
        <w:t>intervienen, en especial, en escenarios como la contratación pública y la presentación de estados financieros.</w:t>
      </w:r>
    </w:p>
    <w:p w14:paraId="6FC70744" w14:textId="77777777" w:rsidR="002E7652" w:rsidRPr="002E7652" w:rsidRDefault="002E7652" w:rsidP="002E7652">
      <w:pPr>
        <w:tabs>
          <w:tab w:val="left" w:pos="709"/>
        </w:tabs>
        <w:spacing w:after="120" w:line="276" w:lineRule="auto"/>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ab/>
        <w:t>En este contexto, el parágrafo 1 del artículo 25 de la Resolución D-0035 de 2024 dispone: “En el evento que los Contadores Públicos y las entidades que presten servicios propios de la ciencia contable no actualicen la información registrada en la fecha establecida en este artículo, los certificados de vigencia de inscripción y de antecedentes disciplinarios contendrán anotación del incumplimiento de la obligación de actualizar, sin que ello invalide el registro del Contador Público o de las entidades que presten servicios de la ciencia contable y la información contenida en el mismo”. En efecto, cuando los contadores públicos o las entidades que prestan servicios propios de la ciencia contable no actualicen la información registrada dentro del término establecido, los respectivos certificados contendrán una anotación sobre dicho incumplimiento. Sin embargo, la misma disposición precisa expresamente que esa circunstancia no invalida el registro del contador público o de la entidad correspondiente ni la información contenida en este</w:t>
      </w:r>
      <w:r w:rsidRPr="002E7652">
        <w:rPr>
          <w:rFonts w:ascii="Verdana" w:eastAsia="Calibri" w:hAnsi="Verdana" w:cs="Arial"/>
          <w:bCs/>
          <w:color w:val="000000" w:themeColor="text1"/>
          <w:sz w:val="22"/>
          <w:szCs w:val="22"/>
          <w:vertAlign w:val="superscript"/>
        </w:rPr>
        <w:footnoteReference w:id="20"/>
      </w:r>
      <w:r w:rsidRPr="002E7652">
        <w:rPr>
          <w:rFonts w:ascii="Verdana" w:eastAsia="Calibri" w:hAnsi="Verdana" w:cs="Arial"/>
          <w:bCs/>
          <w:color w:val="000000" w:themeColor="text1"/>
          <w:sz w:val="22"/>
          <w:szCs w:val="22"/>
        </w:rPr>
        <w:t>.</w:t>
      </w:r>
    </w:p>
    <w:p w14:paraId="416EBD2E"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No obstante, deben diferenciarse la falta de actualización de la información registrada, la vigencia de la inscripción profesional y las condiciones de expedición y vigencia del certificado aportado. La primera circunstancia genera la anotación regulada por el artículo 25 de la Resolución D-0035 de 2024, pero no equivale, por sí sola, a la cancelación o pérdida de vigencia del registro ni a la existencia de antecedentes disciplinarios. Por su parte, las condiciones del certificado presentado deben examinarse, de acuerdo con las normas aplicables y con las exigencias contenidas en los documentos del proceso.</w:t>
      </w:r>
    </w:p>
    <w:p w14:paraId="505C62C1"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 xml:space="preserve">En esa medida, la entidad estatal debe establecer si la observación advertida corresponde únicamente a la anotación derivada de la falta de actualización o si el documento presenta una deficiencia diferente, como su falta de aportación, el vencimiento del término de vigencia o la imposibilidad de comprobar mediante este la situación profesional o disciplinaria del contador. La anotación contemplada en el parágrafo 1 del artículo 25 de la Resolución D-0035 de 2024 no puede tratarse automáticamente como uno de esos defectos, porque </w:t>
      </w:r>
      <w:r w:rsidRPr="002E7652">
        <w:rPr>
          <w:rFonts w:ascii="Verdana" w:eastAsia="Calibri" w:hAnsi="Verdana" w:cs="Arial"/>
          <w:bCs/>
          <w:color w:val="000000" w:themeColor="text1"/>
          <w:sz w:val="22"/>
          <w:szCs w:val="22"/>
        </w:rPr>
        <w:lastRenderedPageBreak/>
        <w:t>la propia disposición conserva la validez del registro y de la información contenida en él.</w:t>
      </w:r>
    </w:p>
    <w:p w14:paraId="0345662D" w14:textId="77777777" w:rsidR="002E7652" w:rsidRPr="002E7652" w:rsidRDefault="002E7652" w:rsidP="002E7652">
      <w:pPr>
        <w:tabs>
          <w:tab w:val="left" w:pos="0"/>
        </w:tabs>
        <w:spacing w:after="120" w:line="276" w:lineRule="auto"/>
        <w:ind w:firstLine="709"/>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En este escenario, la entidad contratante sí podría calcular la Capacidad de Organización con base en el mejor ingreso operacional de los últimos cinco años, aun cuando el certificado de antecedentes disciplinarios del contador o revisor fiscal que suscribió los estados financieros indique la nota de “no actualización del registro”, siempre que dicho certificado corresponda al período en el cual se elaboraron los estados financieros objeto de análisis y se constate que no registra antecedentes disciplinarios. Ello se sustenta en que la exigencia normativa se centra en verificar la idoneidad y ausencia de sanciones disciplinarias del profesional en el momento de la suscripción de los estados financieros, sin que resulte necesario exigir un certificado actualizado a la fecha de cierre del proceso, pues lo relevante es la vigencia y validez del documento en el período de referencia.</w:t>
      </w:r>
    </w:p>
    <w:p w14:paraId="186D7A95" w14:textId="77777777" w:rsidR="002E7652" w:rsidRPr="002E7652" w:rsidRDefault="002E7652" w:rsidP="002E7652">
      <w:pPr>
        <w:tabs>
          <w:tab w:val="left" w:pos="709"/>
        </w:tabs>
        <w:spacing w:after="120" w:line="276" w:lineRule="auto"/>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ab/>
        <w:t>Así las cosas, la sola inclusión de la referida anotación no permite concluir que el oferente se encuentra inhabilitado ni constituye motivo para rechazar o excluir su propuesta del procedimiento de selección. Sin perjuicio de ello, corresponde a la entidad estatal verificar, en cada proceso, el cumplimiento de los requisitos establecidos en la ley y en los documentos del proceso, así como determinar si concurre alguna causal de rechazo expresamente prevista. Esta decisión no podrá sustentarse exclusivamente en la falta de actualización del registro ni atribuirle a dicha anotación efectos jurídicos distintos de los previstos en la regulación expedida por la Junta Central de Contadores. Por tanto, la anotación sobre la falta de actualización del registro debe interpretarse como un llamado de atención administrativo, mas no como una inhabilidad ni mucho menos como causal automática de rechazo, salvo que exista una sanción disciplinaria vigente que restrinja expresamente el ejercicio de la profesión contable.</w:t>
      </w:r>
    </w:p>
    <w:p w14:paraId="3B045C61" w14:textId="77777777" w:rsidR="002E7652" w:rsidRPr="002E7652" w:rsidRDefault="002E7652" w:rsidP="002E7652">
      <w:pPr>
        <w:spacing w:line="276" w:lineRule="auto"/>
        <w:ind w:firstLine="709"/>
        <w:jc w:val="both"/>
        <w:rPr>
          <w:rFonts w:ascii="Verdana" w:eastAsiaTheme="minorHAnsi" w:hAnsi="Verdana" w:cs="Arial"/>
          <w:bCs/>
          <w:color w:val="000000" w:themeColor="text1"/>
          <w:sz w:val="22"/>
          <w:szCs w:val="22"/>
          <w:lang w:val="es-ES_tradnl" w:eastAsia="en-US"/>
        </w:rPr>
      </w:pPr>
      <w:r w:rsidRPr="002E7652">
        <w:rPr>
          <w:rFonts w:ascii="Verdana" w:eastAsiaTheme="minorHAnsi" w:hAnsi="Verdana" w:cs="Arial"/>
          <w:bCs/>
          <w:color w:val="000000" w:themeColor="text1"/>
          <w:sz w:val="22"/>
          <w:szCs w:val="22"/>
          <w:lang w:eastAsia="en-US"/>
        </w:rPr>
        <w:t xml:space="preserve">En todo caso, es la Entidad Estatal quién determina en los documentos del proceso las circunstancias que no permitan admitir una propuesta u oferta en un proceso de contratación. En otras palabras, en el ejercicio de esta facultad discrecional, las entidades deben respetar el deber de selección objetiva, de manera que las causales de rechazo que dispongan no impongan barreras injustificadas a la participación, y respondan a criterios de proporcionalidad y </w:t>
      </w:r>
      <w:r w:rsidRPr="002E7652">
        <w:rPr>
          <w:rFonts w:ascii="Verdana" w:eastAsiaTheme="minorHAnsi" w:hAnsi="Verdana" w:cs="Arial"/>
          <w:bCs/>
          <w:color w:val="000000" w:themeColor="text1"/>
          <w:sz w:val="22"/>
          <w:szCs w:val="22"/>
          <w:lang w:eastAsia="en-US"/>
        </w:rPr>
        <w:lastRenderedPageBreak/>
        <w:t>razonabilidad, con el fin de garantizar la pluralidad de oferentes y la participación en el respectivo proceso.</w:t>
      </w:r>
    </w:p>
    <w:p w14:paraId="3158D333" w14:textId="77777777" w:rsidR="002E7652" w:rsidRPr="002E7652" w:rsidRDefault="002E7652" w:rsidP="002E7652">
      <w:pPr>
        <w:spacing w:line="276" w:lineRule="auto"/>
        <w:jc w:val="both"/>
        <w:rPr>
          <w:rFonts w:ascii="Verdana" w:hAnsi="Verdana" w:cs="Arial"/>
          <w:sz w:val="22"/>
          <w:szCs w:val="22"/>
        </w:rPr>
      </w:pPr>
    </w:p>
    <w:p w14:paraId="37AB1CD3" w14:textId="77777777" w:rsidR="002E7652" w:rsidRPr="002E7652" w:rsidRDefault="002E7652" w:rsidP="002E7652">
      <w:pPr>
        <w:tabs>
          <w:tab w:val="left" w:pos="709"/>
        </w:tabs>
        <w:spacing w:after="120" w:line="276" w:lineRule="auto"/>
        <w:jc w:val="both"/>
        <w:rPr>
          <w:rFonts w:ascii="Verdana" w:eastAsia="Calibri" w:hAnsi="Verdana" w:cs="Arial"/>
          <w:bCs/>
          <w:color w:val="000000" w:themeColor="text1"/>
          <w:sz w:val="22"/>
          <w:szCs w:val="22"/>
        </w:rPr>
      </w:pPr>
      <w:proofErr w:type="spellStart"/>
      <w:r w:rsidRPr="002E7652">
        <w:rPr>
          <w:rFonts w:ascii="Verdana" w:eastAsia="Calibri" w:hAnsi="Verdana" w:cs="Arial"/>
          <w:bCs/>
          <w:color w:val="000000" w:themeColor="text1"/>
          <w:sz w:val="22"/>
          <w:szCs w:val="22"/>
        </w:rPr>
        <w:t>iv</w:t>
      </w:r>
      <w:proofErr w:type="spellEnd"/>
      <w:r w:rsidRPr="002E7652">
        <w:rPr>
          <w:rFonts w:ascii="Verdana" w:eastAsia="Calibri" w:hAnsi="Verdana" w:cs="Arial"/>
          <w:bCs/>
          <w:color w:val="000000" w:themeColor="text1"/>
          <w:sz w:val="22"/>
          <w:szCs w:val="22"/>
        </w:rPr>
        <w:t>. Al margen de la explicación precedente debe advertirse que el análisis requerido para resolver problemas específicos en torno a la gestión contractual de las entidades públicas sobre las inhabilidades e incompatibilidades reguladas en el ordenamiento jurídico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A7DA790" w14:textId="77777777" w:rsidR="002E7652" w:rsidRPr="002E7652" w:rsidRDefault="002E7652" w:rsidP="002E7652">
      <w:pPr>
        <w:tabs>
          <w:tab w:val="left" w:pos="709"/>
        </w:tabs>
        <w:spacing w:line="276" w:lineRule="auto"/>
        <w:jc w:val="both"/>
        <w:rPr>
          <w:rFonts w:ascii="Verdana" w:eastAsia="Calibri" w:hAnsi="Verdana" w:cs="Arial"/>
          <w:bCs/>
          <w:color w:val="000000" w:themeColor="text1"/>
          <w:sz w:val="22"/>
          <w:szCs w:val="22"/>
        </w:rPr>
      </w:pPr>
      <w:r w:rsidRPr="002E7652">
        <w:rPr>
          <w:rFonts w:ascii="Verdana" w:eastAsia="Calibri" w:hAnsi="Verdana" w:cs="Arial"/>
          <w:bCs/>
          <w:color w:val="000000" w:themeColor="text1"/>
          <w:sz w:val="22"/>
          <w:szCs w:val="22"/>
        </w:rPr>
        <w:tab/>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1922226" w14:textId="77777777" w:rsidR="002E7652" w:rsidRPr="002E7652" w:rsidRDefault="002E7652" w:rsidP="002E7652">
      <w:pPr>
        <w:tabs>
          <w:tab w:val="left" w:pos="709"/>
        </w:tabs>
        <w:jc w:val="both"/>
        <w:rPr>
          <w:rFonts w:ascii="Verdana" w:eastAsia="Calibri" w:hAnsi="Verdana" w:cs="Arial"/>
          <w:color w:val="000000" w:themeColor="text1"/>
          <w:sz w:val="22"/>
          <w:szCs w:val="22"/>
        </w:rPr>
      </w:pPr>
    </w:p>
    <w:p w14:paraId="5E34AF52" w14:textId="77777777" w:rsidR="002E7652" w:rsidRPr="002E7652" w:rsidRDefault="002E7652" w:rsidP="002E7652">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2E7652">
        <w:rPr>
          <w:rFonts w:ascii="Verdana" w:eastAsia="Century Gothic" w:hAnsi="Verdana" w:cs="Century Gothic"/>
          <w:b/>
          <w:bCs/>
          <w:sz w:val="22"/>
          <w:szCs w:val="22"/>
          <w:lang w:val="es-ES"/>
        </w:rPr>
        <w:t>Referencias normativas:</w:t>
      </w:r>
    </w:p>
    <w:p w14:paraId="2636BA61" w14:textId="77777777" w:rsidR="002E7652" w:rsidRPr="002E7652" w:rsidRDefault="002E7652" w:rsidP="002E7652">
      <w:pPr>
        <w:widowControl w:val="0"/>
        <w:autoSpaceDE w:val="0"/>
        <w:autoSpaceDN w:val="0"/>
        <w:jc w:val="both"/>
        <w:rPr>
          <w:rFonts w:ascii="Verdana" w:hAnsi="Verdana" w:cs="Arial"/>
          <w:sz w:val="22"/>
          <w:szCs w:val="22"/>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E7652" w:rsidRPr="002E7652" w14:paraId="42A05336" w14:textId="77777777" w:rsidTr="005A6833">
        <w:trPr>
          <w:trHeight w:val="56"/>
          <w:jc w:val="center"/>
        </w:trPr>
        <w:tc>
          <w:tcPr>
            <w:tcW w:w="8647" w:type="dxa"/>
          </w:tcPr>
          <w:p w14:paraId="1C98D529"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sz w:val="22"/>
                <w:szCs w:val="22"/>
                <w:lang w:val="es-ES"/>
              </w:rPr>
              <w:t xml:space="preserve">Constitución Política, artículos 6, 150, 209 y 333. </w:t>
            </w:r>
          </w:p>
          <w:p w14:paraId="2E364908"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sz w:val="22"/>
                <w:szCs w:val="22"/>
                <w:lang w:val="es-ES"/>
              </w:rPr>
              <w:t xml:space="preserve">Ley 80 de 1993, artículos y 25.  </w:t>
            </w:r>
          </w:p>
          <w:p w14:paraId="739C8827"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sz w:val="22"/>
                <w:szCs w:val="22"/>
                <w:lang w:val="es-ES"/>
              </w:rPr>
              <w:t xml:space="preserve">Ley 222 de 1995, artículo 38. </w:t>
            </w:r>
          </w:p>
          <w:p w14:paraId="57202E9C"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sz w:val="22"/>
                <w:szCs w:val="22"/>
                <w:lang w:val="es-ES"/>
              </w:rPr>
              <w:t xml:space="preserve">Ley 1150 de 2007, artículo 5.  </w:t>
            </w:r>
          </w:p>
          <w:p w14:paraId="08A90CFD"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sz w:val="22"/>
                <w:szCs w:val="22"/>
                <w:lang w:val="es-ES"/>
              </w:rPr>
              <w:t xml:space="preserve">Ley 1882 de 2018, artículo 5.  </w:t>
            </w:r>
          </w:p>
          <w:p w14:paraId="5863F21E"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bCs/>
                <w:sz w:val="22"/>
                <w:szCs w:val="22"/>
              </w:rPr>
              <w:t xml:space="preserve">Resolución D-0035 de 2024 de la Junta Central de Contadores, artículos 25 y 26. </w:t>
            </w:r>
          </w:p>
          <w:p w14:paraId="0D4C492F" w14:textId="77777777" w:rsidR="002E7652" w:rsidRPr="002E7652" w:rsidRDefault="002E7652" w:rsidP="002E7652">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2E7652">
              <w:rPr>
                <w:rFonts w:ascii="Verdana" w:hAnsi="Verdana" w:cs="Arial"/>
                <w:sz w:val="22"/>
                <w:szCs w:val="22"/>
              </w:rPr>
              <w:lastRenderedPageBreak/>
              <w:t xml:space="preserve">Agencia Nacional de Contratación Pública –Colombia Compra Eficiente. Guía para Determinar y Verificar la Capacidad Residual del Proponente en los Procesos de Contratación de Obra Pública. Disponible en línea: </w:t>
            </w:r>
            <w:hyperlink r:id="rId14" w:history="1">
              <w:r w:rsidRPr="002E7652">
                <w:rPr>
                  <w:rFonts w:ascii="Verdana" w:hAnsi="Verdana" w:cs="Arial"/>
                  <w:color w:val="0000FF"/>
                  <w:sz w:val="22"/>
                  <w:szCs w:val="22"/>
                  <w:u w:val="single"/>
                </w:rPr>
                <w:t>https://www.colombiacompra.gov.co/archivos/manual/guia-para-determinar-y-verificar-la-capacidad-residual-del-proponente-en-los-procesos-de-contratacion-de-obra-publica</w:t>
              </w:r>
            </w:hyperlink>
            <w:r w:rsidRPr="002E7652">
              <w:rPr>
                <w:rFonts w:ascii="Verdana" w:hAnsi="Verdana" w:cs="Arial"/>
                <w:sz w:val="22"/>
                <w:szCs w:val="22"/>
              </w:rPr>
              <w:t xml:space="preserve">. 2023.  </w:t>
            </w:r>
          </w:p>
        </w:tc>
      </w:tr>
    </w:tbl>
    <w:p w14:paraId="1BA50EDE" w14:textId="77777777" w:rsidR="002E7652" w:rsidRPr="002E7652" w:rsidRDefault="002E7652" w:rsidP="002E7652">
      <w:pPr>
        <w:widowControl w:val="0"/>
        <w:autoSpaceDE w:val="0"/>
        <w:autoSpaceDN w:val="0"/>
        <w:jc w:val="both"/>
        <w:rPr>
          <w:rFonts w:ascii="Verdana" w:hAnsi="Verdana" w:cs="Arial"/>
          <w:sz w:val="22"/>
          <w:szCs w:val="22"/>
        </w:rPr>
      </w:pPr>
    </w:p>
    <w:p w14:paraId="263822BB" w14:textId="77777777" w:rsidR="002E7652" w:rsidRPr="002E7652" w:rsidRDefault="002E7652" w:rsidP="002E7652">
      <w:pPr>
        <w:numPr>
          <w:ilvl w:val="0"/>
          <w:numId w:val="16"/>
        </w:numPr>
        <w:tabs>
          <w:tab w:val="left" w:pos="142"/>
          <w:tab w:val="left" w:pos="284"/>
        </w:tabs>
        <w:spacing w:after="160" w:line="276" w:lineRule="auto"/>
        <w:jc w:val="both"/>
        <w:rPr>
          <w:rFonts w:ascii="Verdana" w:eastAsia="Century Gothic" w:hAnsi="Verdana" w:cs="Century Gothic"/>
          <w:b/>
          <w:bCs/>
          <w:sz w:val="22"/>
          <w:szCs w:val="22"/>
          <w:lang w:val="es-ES"/>
        </w:rPr>
      </w:pPr>
      <w:r w:rsidRPr="002E7652">
        <w:rPr>
          <w:rFonts w:ascii="Verdana" w:eastAsia="Century Gothic" w:hAnsi="Verdana" w:cs="Century Gothic"/>
          <w:b/>
          <w:bCs/>
          <w:sz w:val="22"/>
          <w:szCs w:val="22"/>
          <w:lang w:val="es-ES"/>
        </w:rPr>
        <w:t>Doctrina de la Agencia Nacional de Contratación Pública:</w:t>
      </w:r>
    </w:p>
    <w:p w14:paraId="52992FBB" w14:textId="77777777" w:rsidR="002E7652" w:rsidRPr="002E7652" w:rsidRDefault="002E7652" w:rsidP="002E7652">
      <w:pPr>
        <w:widowControl w:val="0"/>
        <w:autoSpaceDE w:val="0"/>
        <w:autoSpaceDN w:val="0"/>
        <w:spacing w:line="276" w:lineRule="auto"/>
        <w:jc w:val="both"/>
        <w:rPr>
          <w:rFonts w:ascii="Verdana" w:hAnsi="Verdana" w:cs="Arial"/>
          <w:sz w:val="22"/>
          <w:szCs w:val="22"/>
        </w:rPr>
      </w:pPr>
    </w:p>
    <w:p w14:paraId="59C903EE" w14:textId="77777777" w:rsidR="002E7652" w:rsidRPr="002E7652" w:rsidRDefault="002E7652" w:rsidP="002E7652">
      <w:pPr>
        <w:widowControl w:val="0"/>
        <w:autoSpaceDE w:val="0"/>
        <w:autoSpaceDN w:val="0"/>
        <w:spacing w:line="276" w:lineRule="auto"/>
        <w:jc w:val="both"/>
        <w:rPr>
          <w:rFonts w:ascii="Verdana" w:eastAsia="Verdana" w:hAnsi="Verdana" w:cs="Verdana"/>
          <w:sz w:val="22"/>
          <w:szCs w:val="22"/>
        </w:rPr>
      </w:pPr>
      <w:r w:rsidRPr="002E7652">
        <w:rPr>
          <w:rFonts w:ascii="Verdana" w:hAnsi="Verdana" w:cs="Arial"/>
          <w:sz w:val="22"/>
          <w:szCs w:val="22"/>
          <w:shd w:val="clear" w:color="auto" w:fill="FFFFFF"/>
        </w:rPr>
        <w:t xml:space="preserve">Esta Subdirección se ha pronunciado sobre el régimen de inhabilidades e incompatibilidades en los Conceptos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 C-408 del 21 de agosto de 2024, C-975 del 16 de diciembre de 2024, C-1027 del 29 de enero de 2015, C-053 del 30 de enero de 2025, C-030 del 21 de febrero de 2025, C-344 del 28 de abril de 2025, C-434 del 14 de mayo de 2025, C-595 del 4 de junio de 2025 </w:t>
      </w:r>
      <w:r w:rsidRPr="002E7652">
        <w:rPr>
          <w:rFonts w:ascii="Verdana" w:eastAsia="Verdana" w:hAnsi="Verdana" w:cs="Verdana"/>
          <w:sz w:val="22"/>
          <w:szCs w:val="22"/>
        </w:rPr>
        <w:t xml:space="preserve">, C-1390 del 4 de noviembre de 2025, C-1447 del 16 de octubre de 2025, C-552 del 19 de mayo de 2026, C-1073 del 23 de julio de 2026, entre otros. </w:t>
      </w:r>
      <w:r w:rsidRPr="002E7652">
        <w:rPr>
          <w:rFonts w:ascii="Verdana" w:hAnsi="Verdana" w:cs="Arial"/>
          <w:sz w:val="22"/>
          <w:szCs w:val="22"/>
          <w:shd w:val="clear" w:color="auto" w:fill="FFFFFF"/>
        </w:rPr>
        <w:t>. En torno a las causales de rechazo en torno a Consorcios y Uniones Temporales, se han expedido los siguientes conceptos C-226 del 26 de marzo de 2025, C-295 del 15 de abril de 2025, CU-636 del 2 de julio de 2025</w:t>
      </w:r>
      <w:r w:rsidRPr="002E7652">
        <w:rPr>
          <w:rFonts w:ascii="Verdana" w:hAnsi="Verdana" w:cs="Arial"/>
          <w:sz w:val="22"/>
          <w:szCs w:val="22"/>
          <w:shd w:val="clear" w:color="auto" w:fill="FFFFFF"/>
          <w:lang w:val="es-ES"/>
        </w:rPr>
        <w:t xml:space="preserve"> Por </w:t>
      </w:r>
      <w:r w:rsidRPr="002E7652">
        <w:rPr>
          <w:rFonts w:ascii="Verdana" w:hAnsi="Verdana" w:cs="Arial"/>
          <w:sz w:val="22"/>
          <w:szCs w:val="22"/>
          <w:shd w:val="clear" w:color="auto" w:fill="FFFFFF"/>
          <w:lang w:val="es-ES"/>
        </w:rPr>
        <w:lastRenderedPageBreak/>
        <w:t xml:space="preserve">último, frente a las conductas colusorias como prácticas anticompetitivas se han expedido los Conceptos C- 235 del 5 de julio de 2025, C-429 del 16 de septiembre de 2024, C-200 del 25 de marzo de 2025, C-732 del 17 de julio de 2025, entre otros, </w:t>
      </w:r>
      <w:r w:rsidRPr="002E7652">
        <w:rPr>
          <w:rFonts w:ascii="Verdana" w:hAnsi="Verdana" w:cs="Arial"/>
          <w:sz w:val="22"/>
          <w:szCs w:val="22"/>
          <w:shd w:val="clear" w:color="auto" w:fill="FFFFFF"/>
        </w:rPr>
        <w:t xml:space="preserve">En todo caso, este concepto realiza un análisis sobre el alcance jurídico del certificado de antecedentes del contador público y, en consecuencia, sobre la pertinencia de su exigencia como requisito de capacidad organizacional dentro de los procesos de contratación pública. </w:t>
      </w:r>
      <w:r w:rsidRPr="002E7652">
        <w:rPr>
          <w:rFonts w:ascii="Verdana" w:eastAsia="Calibri" w:hAnsi="Verdana"/>
          <w:sz w:val="22"/>
          <w:szCs w:val="22"/>
          <w:lang w:eastAsia="en-U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2E7652">
          <w:rPr>
            <w:rFonts w:ascii="Verdana" w:eastAsia="Calibri" w:hAnsi="Verdana"/>
            <w:color w:val="0000FF"/>
            <w:sz w:val="22"/>
            <w:szCs w:val="22"/>
            <w:u w:val="single"/>
            <w:lang w:val="es-ES" w:eastAsia="en-US"/>
          </w:rPr>
          <w:t>https://relatoria.colombiacompra.gov.co/busqueda/conceptos</w:t>
        </w:r>
      </w:hyperlink>
      <w:r w:rsidRPr="002E7652">
        <w:rPr>
          <w:rFonts w:ascii="Verdana" w:eastAsia="Calibri" w:hAnsi="Verdana"/>
          <w:sz w:val="22"/>
          <w:szCs w:val="22"/>
          <w:lang w:eastAsia="en-US"/>
        </w:rPr>
        <w:t xml:space="preserve">. </w:t>
      </w:r>
    </w:p>
    <w:p w14:paraId="0FA8A9FD" w14:textId="77777777" w:rsidR="002E7652" w:rsidRPr="002E7652" w:rsidRDefault="002E7652" w:rsidP="002E7652">
      <w:pPr>
        <w:widowControl w:val="0"/>
        <w:autoSpaceDE w:val="0"/>
        <w:autoSpaceDN w:val="0"/>
        <w:spacing w:line="276" w:lineRule="auto"/>
        <w:jc w:val="both"/>
        <w:rPr>
          <w:rFonts w:ascii="Verdana" w:hAnsi="Verdana" w:cs="Arial"/>
          <w:color w:val="000000" w:themeColor="text1"/>
          <w:sz w:val="22"/>
          <w:szCs w:val="22"/>
          <w:shd w:val="clear" w:color="auto" w:fill="FFFFFF"/>
        </w:rPr>
      </w:pPr>
    </w:p>
    <w:p w14:paraId="548E114C" w14:textId="77777777" w:rsidR="002E7652" w:rsidRPr="002E7652" w:rsidRDefault="002E7652" w:rsidP="002E7652">
      <w:pPr>
        <w:spacing w:line="276" w:lineRule="auto"/>
        <w:jc w:val="both"/>
        <w:rPr>
          <w:rFonts w:ascii="Verdana" w:hAnsi="Verdana"/>
          <w:color w:val="000000"/>
          <w:sz w:val="22"/>
          <w:szCs w:val="22"/>
          <w:lang w:eastAsia="es-MX"/>
        </w:rPr>
      </w:pPr>
      <w:r w:rsidRPr="002E7652">
        <w:rPr>
          <w:rFonts w:ascii="Verdana" w:hAnsi="Verdana"/>
          <w:color w:val="000000"/>
          <w:sz w:val="22"/>
          <w:szCs w:val="22"/>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2E7652">
        <w:rPr>
          <w:rFonts w:ascii="Verdana" w:hAnsi="Verdana"/>
          <w:b/>
          <w:bCs/>
          <w:color w:val="000000"/>
          <w:sz w:val="22"/>
          <w:szCs w:val="22"/>
          <w:lang w:eastAsia="es-MX"/>
        </w:rPr>
        <w:t>Guía para la Exigencia y Constitución de Garantías en los Procesos de Contratación</w:t>
      </w:r>
      <w:r w:rsidRPr="002E7652">
        <w:rPr>
          <w:rFonts w:ascii="Verdana" w:hAnsi="Verdana"/>
          <w:color w:val="000000"/>
          <w:sz w:val="22"/>
          <w:szCs w:val="22"/>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ooltip="Original URL:&#10;https://www.colombiacompra.gov.co/archivos/manual/guia-de-garantias-en-procesos-de-contratacion&#10;&#10;Click to follow link." w:history="1">
        <w:r w:rsidRPr="002E7652">
          <w:rPr>
            <w:rFonts w:ascii="Verdana" w:hAnsi="Verdana"/>
            <w:color w:val="0086F0"/>
            <w:sz w:val="22"/>
            <w:szCs w:val="22"/>
            <w:u w:val="single"/>
            <w:lang w:eastAsia="es-MX"/>
          </w:rPr>
          <w:t>https://www.colombiacompra.gov.co/archivos/manual/guia-de-garantias-en-procesos-de-contratacion</w:t>
        </w:r>
      </w:hyperlink>
    </w:p>
    <w:p w14:paraId="693A67E6" w14:textId="77777777" w:rsidR="002E7652" w:rsidRPr="002E7652" w:rsidRDefault="002E7652" w:rsidP="002E7652">
      <w:pPr>
        <w:spacing w:line="276" w:lineRule="auto"/>
        <w:jc w:val="both"/>
        <w:rPr>
          <w:rFonts w:ascii="Verdana" w:hAnsi="Verdana"/>
          <w:color w:val="000000"/>
          <w:sz w:val="22"/>
          <w:szCs w:val="22"/>
          <w:lang w:eastAsia="es-MX"/>
        </w:rPr>
      </w:pPr>
    </w:p>
    <w:p w14:paraId="00B0D3DA" w14:textId="77777777" w:rsidR="002E7652" w:rsidRPr="002E7652" w:rsidRDefault="002E7652" w:rsidP="002E7652">
      <w:pPr>
        <w:spacing w:line="276" w:lineRule="auto"/>
        <w:jc w:val="both"/>
        <w:rPr>
          <w:rFonts w:ascii="Verdana" w:hAnsi="Verdana"/>
          <w:color w:val="000000"/>
          <w:sz w:val="22"/>
          <w:szCs w:val="22"/>
          <w:lang w:eastAsia="es-MX"/>
        </w:rPr>
      </w:pPr>
      <w:r w:rsidRPr="002E7652">
        <w:rPr>
          <w:rFonts w:ascii="Verdana" w:hAnsi="Verdana"/>
          <w:color w:val="000000"/>
          <w:sz w:val="22"/>
          <w:szCs w:val="22"/>
          <w:lang w:eastAsia="es-MX"/>
        </w:rPr>
        <w:t>De otro lado, te contamos que el Decreto 287 del 19 de marzo de 2026 sustituyó los artículos 2.2.1.2.4.2.6., 2.2.1.2.4.2.7. y 2.2.1.2.4.2.8. del Decreto 1082 de 2015 y estructuró el </w:t>
      </w:r>
      <w:r w:rsidRPr="002E7652">
        <w:rPr>
          <w:rFonts w:ascii="Verdana" w:hAnsi="Verdana"/>
          <w:b/>
          <w:bCs/>
          <w:color w:val="000000"/>
          <w:sz w:val="22"/>
          <w:szCs w:val="22"/>
          <w:lang w:eastAsia="es-MX"/>
        </w:rPr>
        <w:t>Sistema Integral de Preferencias en favor de las personas con discapacidad</w:t>
      </w:r>
      <w:r w:rsidRPr="002E7652">
        <w:rPr>
          <w:rFonts w:ascii="Verdana" w:hAnsi="Verdana"/>
          <w:color w:val="000000"/>
          <w:sz w:val="22"/>
          <w:szCs w:val="22"/>
          <w:lang w:eastAsia="es-MX"/>
        </w:rPr>
        <w:t>, en cumplimiento del artículo 13 de la Ley Estatutaria 1618 de 2013. Para orientar su aplicación, esta Agencia expidió la </w:t>
      </w:r>
      <w:r w:rsidRPr="002E7652">
        <w:rPr>
          <w:rFonts w:ascii="Verdana" w:hAnsi="Verdana"/>
          <w:b/>
          <w:bCs/>
          <w:color w:val="000000"/>
          <w:sz w:val="22"/>
          <w:szCs w:val="22"/>
          <w:lang w:eastAsia="es-MX"/>
        </w:rPr>
        <w:t>Circular Externa 003 del 12 de mayo de 2026, </w:t>
      </w:r>
      <w:r w:rsidRPr="002E7652">
        <w:rPr>
          <w:rFonts w:ascii="Verdana" w:hAnsi="Verdana"/>
          <w:color w:val="000000"/>
          <w:sz w:val="22"/>
          <w:szCs w:val="22"/>
          <w:lang w:eastAsia="es-MX"/>
        </w:rPr>
        <w:t>en la que precisa quiénes son los beneficiarios, las cinco medidas que integran el sistema y su obligatoriedad según la modalidad de selección, y el régimen de transición aplicable a los procesos en curso. Consúltala aquí: </w:t>
      </w:r>
      <w:hyperlink r:id="rId17" w:tooltip="Original URL:&#10;https://www.colombiacompra.gov.co/archivos/circular/circular-externa-003-de-2026&#10;&#10;Click to follow link." w:history="1">
        <w:r w:rsidRPr="002E7652">
          <w:rPr>
            <w:rFonts w:ascii="Verdana" w:hAnsi="Verdana"/>
            <w:color w:val="0086F0"/>
            <w:sz w:val="22"/>
            <w:szCs w:val="22"/>
            <w:u w:val="single"/>
            <w:lang w:eastAsia="es-MX"/>
          </w:rPr>
          <w:t>https://www.colombiacompra.gov.co/archivos/circular/circular-externa-003-de-2026</w:t>
        </w:r>
      </w:hyperlink>
    </w:p>
    <w:p w14:paraId="1ABBF7E3" w14:textId="77777777" w:rsidR="002E7652" w:rsidRPr="002E7652" w:rsidRDefault="002E7652" w:rsidP="002E7652">
      <w:pPr>
        <w:spacing w:line="276" w:lineRule="auto"/>
        <w:jc w:val="both"/>
        <w:rPr>
          <w:rFonts w:ascii="Verdana" w:hAnsi="Verdana"/>
          <w:color w:val="000000"/>
          <w:sz w:val="22"/>
          <w:szCs w:val="22"/>
          <w:lang w:eastAsia="es-MX"/>
        </w:rPr>
      </w:pPr>
    </w:p>
    <w:p w14:paraId="382180F4" w14:textId="77777777" w:rsidR="002E7652" w:rsidRPr="002E7652" w:rsidRDefault="002E7652" w:rsidP="002E7652">
      <w:pPr>
        <w:spacing w:line="276" w:lineRule="auto"/>
        <w:jc w:val="both"/>
        <w:rPr>
          <w:rFonts w:ascii="Verdana" w:hAnsi="Verdana"/>
          <w:color w:val="000000"/>
          <w:sz w:val="22"/>
          <w:szCs w:val="22"/>
          <w:lang w:eastAsia="es-MX"/>
        </w:rPr>
      </w:pPr>
      <w:r w:rsidRPr="002E7652">
        <w:rPr>
          <w:rFonts w:ascii="Verdana" w:hAnsi="Verdana"/>
          <w:color w:val="000000"/>
          <w:sz w:val="22"/>
          <w:szCs w:val="22"/>
          <w:lang w:eastAsia="es-MX"/>
        </w:rPr>
        <w:lastRenderedPageBreak/>
        <w:t>Recuerda también que la</w:t>
      </w:r>
      <w:r w:rsidRPr="002E7652">
        <w:rPr>
          <w:rFonts w:ascii="Verdana" w:hAnsi="Verdana"/>
          <w:b/>
          <w:bCs/>
          <w:color w:val="000000"/>
          <w:sz w:val="22"/>
          <w:szCs w:val="22"/>
          <w:lang w:eastAsia="es-MX"/>
        </w:rPr>
        <w:t> información sobre sanciones e inhabilidades </w:t>
      </w:r>
      <w:r w:rsidRPr="002E7652">
        <w:rPr>
          <w:rFonts w:ascii="Verdana" w:hAnsi="Verdana"/>
          <w:color w:val="000000"/>
          <w:sz w:val="22"/>
          <w:szCs w:val="22"/>
          <w:lang w:eastAsia="es-MX"/>
        </w:rPr>
        <w:t>solo cumple su función preventiva si llega oportunamente a los registros públicos. Sobre este deber, esta Agencia expidió la </w:t>
      </w:r>
      <w:r w:rsidRPr="002E7652">
        <w:rPr>
          <w:rFonts w:ascii="Verdana" w:hAnsi="Verdana"/>
          <w:b/>
          <w:bCs/>
          <w:color w:val="000000"/>
          <w:sz w:val="22"/>
          <w:szCs w:val="22"/>
          <w:lang w:eastAsia="es-MX"/>
        </w:rPr>
        <w:t xml:space="preserve">Circular Externa 002 del 5 de mayo de </w:t>
      </w:r>
      <w:proofErr w:type="gramStart"/>
      <w:r w:rsidRPr="002E7652">
        <w:rPr>
          <w:rFonts w:ascii="Verdana" w:hAnsi="Verdana"/>
          <w:b/>
          <w:bCs/>
          <w:color w:val="000000"/>
          <w:sz w:val="22"/>
          <w:szCs w:val="22"/>
          <w:lang w:eastAsia="es-MX"/>
        </w:rPr>
        <w:t>2026,</w:t>
      </w:r>
      <w:r w:rsidRPr="002E7652">
        <w:rPr>
          <w:rFonts w:ascii="Verdana" w:hAnsi="Verdana"/>
          <w:color w:val="000000"/>
          <w:sz w:val="22"/>
          <w:szCs w:val="22"/>
          <w:lang w:eastAsia="es-MX"/>
        </w:rPr>
        <w:t>dirigida</w:t>
      </w:r>
      <w:proofErr w:type="gramEnd"/>
      <w:r w:rsidRPr="002E7652">
        <w:rPr>
          <w:rFonts w:ascii="Verdana" w:hAnsi="Verdana"/>
          <w:color w:val="000000"/>
          <w:sz w:val="22"/>
          <w:szCs w:val="22"/>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ooltip="Original URL:&#10;https://www.colombiacompra.gov.co/archivos/circular/circular-externa-002-de-2026&#10;&#10;Click to follow link." w:history="1">
        <w:r w:rsidRPr="002E7652">
          <w:rPr>
            <w:rFonts w:ascii="Verdana" w:hAnsi="Verdana"/>
            <w:color w:val="0086F0"/>
            <w:sz w:val="22"/>
            <w:szCs w:val="22"/>
            <w:u w:val="single"/>
            <w:lang w:eastAsia="es-MX"/>
          </w:rPr>
          <w:t>https://www.colombiacompra.gov.co/archivos/circular/circular-externa-002-de-2026</w:t>
        </w:r>
      </w:hyperlink>
    </w:p>
    <w:p w14:paraId="785CEC89" w14:textId="77777777" w:rsidR="002E7652" w:rsidRPr="002E7652" w:rsidRDefault="002E7652" w:rsidP="002E7652">
      <w:pPr>
        <w:spacing w:line="276" w:lineRule="auto"/>
        <w:jc w:val="both"/>
        <w:rPr>
          <w:rFonts w:ascii="Verdana" w:hAnsi="Verdana"/>
          <w:color w:val="000000"/>
          <w:sz w:val="22"/>
          <w:szCs w:val="22"/>
          <w:lang w:eastAsia="es-MX"/>
        </w:rPr>
      </w:pPr>
    </w:p>
    <w:p w14:paraId="1FEB4ED7" w14:textId="77777777" w:rsidR="002E7652" w:rsidRPr="002E7652" w:rsidRDefault="002E7652" w:rsidP="002E7652">
      <w:pPr>
        <w:spacing w:line="276" w:lineRule="auto"/>
        <w:jc w:val="both"/>
        <w:rPr>
          <w:rFonts w:ascii="Aptos" w:hAnsi="Aptos"/>
          <w:color w:val="000000"/>
          <w:sz w:val="22"/>
          <w:szCs w:val="22"/>
          <w:lang w:eastAsia="es-MX"/>
        </w:rPr>
      </w:pPr>
      <w:r w:rsidRPr="002E7652">
        <w:rPr>
          <w:rFonts w:ascii="Verdana" w:hAnsi="Verdana"/>
          <w:color w:val="000000"/>
          <w:sz w:val="22"/>
          <w:szCs w:val="22"/>
          <w:lang w:eastAsia="es-MX"/>
        </w:rPr>
        <w:t>Finalmente, si quieres seguir de cerca la actividad de la Agencia, la tercera edición de 2026 del</w:t>
      </w:r>
      <w:r w:rsidRPr="002E7652">
        <w:rPr>
          <w:rFonts w:ascii="Verdana" w:hAnsi="Verdana"/>
          <w:b/>
          <w:bCs/>
          <w:color w:val="000000"/>
          <w:sz w:val="22"/>
          <w:szCs w:val="22"/>
          <w:lang w:eastAsia="es-MX"/>
        </w:rPr>
        <w:t> Radar de la Compra Pública</w:t>
      </w:r>
      <w:r w:rsidRPr="002E7652">
        <w:rPr>
          <w:rFonts w:ascii="Verdana" w:hAnsi="Verdana"/>
          <w:color w:val="000000"/>
          <w:sz w:val="22"/>
          <w:szCs w:val="22"/>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ooltip="Original URL:&#10;https://www.colombiacompra.gov.co/archivos/boletin/boletin-edicion-n-3-de-2026-radar-de-la-compra-publica&#10;&#10;Click to follow link." w:history="1">
        <w:r w:rsidRPr="002E7652">
          <w:rPr>
            <w:rFonts w:ascii="Verdana" w:hAnsi="Verdana"/>
            <w:color w:val="0086F0"/>
            <w:sz w:val="22"/>
            <w:szCs w:val="22"/>
            <w:u w:val="single"/>
            <w:lang w:eastAsia="es-MX"/>
          </w:rPr>
          <w:t>https://www.colombiacompra.gov.co/archivos/boletin/boletin-edicion-n-3-de-2026-radar-de-la-compra-publica</w:t>
        </w:r>
      </w:hyperlink>
    </w:p>
    <w:p w14:paraId="213C4661" w14:textId="77777777" w:rsidR="002E7652" w:rsidRPr="002E7652" w:rsidRDefault="002E7652" w:rsidP="002E7652">
      <w:pPr>
        <w:shd w:val="clear" w:color="auto" w:fill="FFFFFF"/>
        <w:spacing w:line="276" w:lineRule="auto"/>
        <w:jc w:val="both"/>
        <w:rPr>
          <w:rFonts w:ascii="Verdana" w:hAnsi="Verdana"/>
          <w:color w:val="000000"/>
          <w:sz w:val="22"/>
          <w:szCs w:val="22"/>
          <w:u w:val="single"/>
        </w:rPr>
      </w:pPr>
    </w:p>
    <w:p w14:paraId="2064BA87" w14:textId="77777777" w:rsidR="002E7652" w:rsidRPr="002E7652" w:rsidRDefault="002E7652" w:rsidP="002E7652">
      <w:pPr>
        <w:spacing w:line="276" w:lineRule="auto"/>
        <w:jc w:val="both"/>
        <w:rPr>
          <w:rFonts w:ascii="Verdana" w:hAnsi="Verdana"/>
          <w:sz w:val="22"/>
          <w:szCs w:val="22"/>
        </w:rPr>
      </w:pPr>
      <w:r w:rsidRPr="002E7652">
        <w:rPr>
          <w:rFonts w:ascii="Verdana" w:hAnsi="Verdana"/>
          <w:sz w:val="22"/>
          <w:szCs w:val="22"/>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35484DD" w14:textId="77777777" w:rsidR="002E7652" w:rsidRPr="002E7652" w:rsidRDefault="002E7652" w:rsidP="002E7652">
      <w:pPr>
        <w:spacing w:line="276" w:lineRule="auto"/>
        <w:jc w:val="both"/>
        <w:rPr>
          <w:rFonts w:ascii="Verdana" w:hAnsi="Verdana"/>
          <w:sz w:val="22"/>
          <w:szCs w:val="22"/>
        </w:rPr>
      </w:pPr>
    </w:p>
    <w:p w14:paraId="6C79F87C" w14:textId="77777777" w:rsidR="002E7652" w:rsidRPr="002E7652" w:rsidRDefault="002E7652" w:rsidP="002E7652">
      <w:pPr>
        <w:numPr>
          <w:ilvl w:val="0"/>
          <w:numId w:val="15"/>
        </w:numPr>
        <w:spacing w:after="160" w:line="276" w:lineRule="auto"/>
        <w:jc w:val="both"/>
        <w:rPr>
          <w:rFonts w:ascii="Verdana" w:eastAsia="Verdana" w:hAnsi="Verdana" w:cs="Verdana"/>
          <w:color w:val="4472C4" w:themeColor="accent1"/>
          <w:sz w:val="22"/>
          <w:szCs w:val="22"/>
          <w:u w:val="single"/>
          <w:lang w:val="es-MX"/>
        </w:rPr>
      </w:pPr>
      <w:r w:rsidRPr="002E7652">
        <w:rPr>
          <w:rFonts w:ascii="Verdana" w:eastAsia="Verdana" w:hAnsi="Verdana" w:cs="Verdana"/>
          <w:sz w:val="22"/>
          <w:szCs w:val="22"/>
          <w:lang w:val="es-MX"/>
        </w:rPr>
        <w:t xml:space="preserve">Línea nacional gratuita o servicio a la ciudadanía (Mesa de servicio): </w:t>
      </w:r>
      <w:r w:rsidRPr="002E7652">
        <w:rPr>
          <w:rFonts w:ascii="Verdana" w:hAnsi="Verdana"/>
          <w:color w:val="0000FF"/>
          <w:sz w:val="22"/>
          <w:szCs w:val="22"/>
          <w:u w:val="single"/>
          <w:lang w:val="es-ES"/>
        </w:rPr>
        <w:t>01800 0520808</w:t>
      </w:r>
    </w:p>
    <w:p w14:paraId="1E3EA3F6" w14:textId="77777777" w:rsidR="002E7652" w:rsidRPr="002E7652" w:rsidRDefault="002E7652" w:rsidP="002E7652">
      <w:pPr>
        <w:numPr>
          <w:ilvl w:val="0"/>
          <w:numId w:val="15"/>
        </w:numPr>
        <w:spacing w:after="160" w:line="276" w:lineRule="auto"/>
        <w:rPr>
          <w:rFonts w:ascii="Verdana" w:eastAsia="Verdana" w:hAnsi="Verdana" w:cs="Verdana"/>
          <w:color w:val="4472C4" w:themeColor="accent1"/>
          <w:sz w:val="22"/>
          <w:szCs w:val="22"/>
          <w:u w:val="single"/>
          <w:lang w:val="es-MX"/>
        </w:rPr>
      </w:pPr>
      <w:r w:rsidRPr="002E7652">
        <w:rPr>
          <w:rFonts w:ascii="Verdana" w:eastAsia="Verdana" w:hAnsi="Verdana" w:cs="Verdana"/>
          <w:sz w:val="22"/>
          <w:szCs w:val="22"/>
          <w:lang w:val="es-MX"/>
        </w:rPr>
        <w:t>Línea en Bogotá (Mesa de servicio</w:t>
      </w:r>
      <w:proofErr w:type="gramStart"/>
      <w:r w:rsidRPr="002E7652">
        <w:rPr>
          <w:rFonts w:ascii="Verdana" w:eastAsia="Verdana" w:hAnsi="Verdana" w:cs="Verdana"/>
          <w:sz w:val="22"/>
          <w:szCs w:val="22"/>
          <w:lang w:val="es-MX"/>
        </w:rPr>
        <w:t>):</w:t>
      </w:r>
      <w:r w:rsidRPr="002E7652">
        <w:rPr>
          <w:rFonts w:ascii="Verdana" w:hAnsi="Verdana"/>
          <w:color w:val="0000FF"/>
          <w:sz w:val="22"/>
          <w:szCs w:val="22"/>
          <w:u w:val="single"/>
          <w:lang w:val="es-ES"/>
        </w:rPr>
        <w:t>+</w:t>
      </w:r>
      <w:proofErr w:type="gramEnd"/>
      <w:r w:rsidRPr="002E7652">
        <w:rPr>
          <w:rFonts w:ascii="Verdana" w:hAnsi="Verdana"/>
          <w:color w:val="0000FF"/>
          <w:sz w:val="22"/>
          <w:szCs w:val="22"/>
          <w:u w:val="single"/>
          <w:lang w:val="es-ES"/>
        </w:rPr>
        <w:t>57 601 7456788</w:t>
      </w:r>
    </w:p>
    <w:p w14:paraId="6424D208" w14:textId="77777777" w:rsidR="002E7652" w:rsidRPr="002E7652" w:rsidRDefault="002E7652" w:rsidP="002E7652">
      <w:pPr>
        <w:numPr>
          <w:ilvl w:val="0"/>
          <w:numId w:val="15"/>
        </w:numPr>
        <w:spacing w:after="160" w:line="276" w:lineRule="auto"/>
        <w:rPr>
          <w:rFonts w:ascii="Verdana" w:eastAsia="Verdana" w:hAnsi="Verdana" w:cs="Verdana"/>
          <w:color w:val="0000FF"/>
          <w:sz w:val="22"/>
          <w:szCs w:val="22"/>
          <w:u w:val="single"/>
          <w:lang w:val="es-MX"/>
        </w:rPr>
      </w:pPr>
      <w:r w:rsidRPr="002E7652">
        <w:rPr>
          <w:rFonts w:ascii="Verdana" w:eastAsia="Verdana" w:hAnsi="Verdana" w:cs="Verdana"/>
          <w:sz w:val="22"/>
          <w:szCs w:val="22"/>
          <w:lang w:val="es-MX"/>
        </w:rPr>
        <w:t xml:space="preserve">Correo de radicación de correspondencia: </w:t>
      </w:r>
      <w:hyperlink r:id="rId20">
        <w:r w:rsidRPr="002E7652">
          <w:rPr>
            <w:rFonts w:ascii="Verdana" w:eastAsia="Verdana" w:hAnsi="Verdana" w:cs="Verdana"/>
            <w:color w:val="0000FF"/>
            <w:sz w:val="22"/>
            <w:szCs w:val="22"/>
            <w:u w:val="single"/>
            <w:lang w:val="es-MX"/>
          </w:rPr>
          <w:t>ventanilladeradicacion@colombiacompra.gov.co</w:t>
        </w:r>
      </w:hyperlink>
    </w:p>
    <w:p w14:paraId="739A698D" w14:textId="77777777" w:rsidR="002E7652" w:rsidRPr="002E7652" w:rsidRDefault="002E7652" w:rsidP="002E7652">
      <w:pPr>
        <w:numPr>
          <w:ilvl w:val="0"/>
          <w:numId w:val="15"/>
        </w:numPr>
        <w:spacing w:after="160" w:line="276" w:lineRule="auto"/>
        <w:rPr>
          <w:rFonts w:ascii="Verdana" w:eastAsia="Verdana" w:hAnsi="Verdana" w:cs="Verdana"/>
          <w:color w:val="0000FF"/>
          <w:sz w:val="22"/>
          <w:szCs w:val="22"/>
          <w:u w:val="single"/>
          <w:lang w:val="es-MX"/>
        </w:rPr>
      </w:pPr>
      <w:r w:rsidRPr="002E7652">
        <w:rPr>
          <w:rFonts w:ascii="Verdana" w:eastAsia="Verdana" w:hAnsi="Verdana" w:cs="Verdana"/>
          <w:sz w:val="22"/>
          <w:szCs w:val="22"/>
          <w:lang w:val="es-ES"/>
        </w:rPr>
        <w:t>Formulario web para</w:t>
      </w:r>
      <w:r w:rsidRPr="002E7652">
        <w:rPr>
          <w:rFonts w:ascii="Verdana" w:eastAsia="Verdana" w:hAnsi="Verdana" w:cs="Verdana"/>
          <w:sz w:val="22"/>
          <w:szCs w:val="22"/>
          <w:lang w:val="es"/>
        </w:rPr>
        <w:t xml:space="preserve"> PQRSD: </w:t>
      </w:r>
      <w:hyperlink r:id="rId21">
        <w:r w:rsidRPr="002E7652">
          <w:rPr>
            <w:rFonts w:ascii="Verdana" w:eastAsia="Verdana" w:hAnsi="Verdana" w:cs="Verdana"/>
            <w:color w:val="0000FF"/>
            <w:sz w:val="22"/>
            <w:szCs w:val="22"/>
            <w:u w:val="single"/>
            <w:lang w:val="es-MX"/>
          </w:rPr>
          <w:t>https://www.colombiacompra.gov.co/pqrsd/informacion-importante-antes-de-formular-una-pqrsd</w:t>
        </w:r>
      </w:hyperlink>
    </w:p>
    <w:p w14:paraId="05D02E9A" w14:textId="77777777" w:rsidR="002E7652" w:rsidRPr="002E7652" w:rsidRDefault="002E7652" w:rsidP="002E7652">
      <w:pPr>
        <w:spacing w:line="276" w:lineRule="auto"/>
        <w:ind w:left="720"/>
        <w:jc w:val="both"/>
        <w:rPr>
          <w:rFonts w:ascii="Verdana" w:hAnsi="Verdana"/>
          <w:sz w:val="22"/>
          <w:szCs w:val="22"/>
        </w:rPr>
      </w:pPr>
    </w:p>
    <w:p w14:paraId="1E987E79" w14:textId="77777777" w:rsidR="002E7652" w:rsidRPr="002E7652" w:rsidRDefault="002E7652" w:rsidP="002E7652">
      <w:pPr>
        <w:spacing w:line="276" w:lineRule="auto"/>
        <w:rPr>
          <w:rFonts w:ascii="Verdana" w:hAnsi="Verdana"/>
          <w:sz w:val="22"/>
          <w:szCs w:val="22"/>
        </w:rPr>
      </w:pPr>
      <w:r w:rsidRPr="002E7652">
        <w:rPr>
          <w:rFonts w:ascii="Verdana" w:hAnsi="Verdana"/>
          <w:sz w:val="22"/>
          <w:szCs w:val="22"/>
        </w:rPr>
        <w:t xml:space="preserve">Evalúa el servicio que ofrece la Agencia por el canal de atención de PQRSD en el siguiente </w:t>
      </w:r>
      <w:proofErr w:type="gramStart"/>
      <w:r w:rsidRPr="002E7652">
        <w:rPr>
          <w:rFonts w:ascii="Verdana" w:hAnsi="Verdana"/>
          <w:sz w:val="22"/>
          <w:szCs w:val="22"/>
        </w:rPr>
        <w:t>enlace :</w:t>
      </w:r>
      <w:proofErr w:type="gramEnd"/>
      <w:hyperlink r:id="rId22" w:tgtFrame="_blank" w:tooltip="https://forms.office.com/r/pphywvs2sz" w:history="1">
        <w:r w:rsidRPr="002E7652">
          <w:rPr>
            <w:rFonts w:ascii="Verdana" w:hAnsi="Verdana"/>
            <w:color w:val="0000FF"/>
            <w:sz w:val="22"/>
            <w:szCs w:val="22"/>
            <w:u w:val="single"/>
          </w:rPr>
          <w:t>https://forms.office.com/r/pPHyWVs2SZ</w:t>
        </w:r>
      </w:hyperlink>
      <w:r w:rsidRPr="002E7652">
        <w:rPr>
          <w:rFonts w:ascii="Verdana" w:hAnsi="Verdana"/>
          <w:sz w:val="22"/>
          <w:szCs w:val="22"/>
        </w:rPr>
        <w:t xml:space="preserve"> .¡Ayúdanos a mejorar porque el compromiso es de todos!</w:t>
      </w:r>
    </w:p>
    <w:p w14:paraId="5B38A818" w14:textId="77777777" w:rsidR="002E7652" w:rsidRPr="002E7652" w:rsidRDefault="002E7652" w:rsidP="002E7652">
      <w:pPr>
        <w:spacing w:line="276" w:lineRule="auto"/>
        <w:rPr>
          <w:rFonts w:ascii="Verdana" w:hAnsi="Verdana"/>
          <w:sz w:val="22"/>
          <w:szCs w:val="22"/>
        </w:rPr>
      </w:pPr>
    </w:p>
    <w:p w14:paraId="27958D24" w14:textId="77777777" w:rsidR="002E7652" w:rsidRPr="002E7652" w:rsidRDefault="002E7652" w:rsidP="002E7652">
      <w:pPr>
        <w:spacing w:line="276" w:lineRule="auto"/>
        <w:jc w:val="both"/>
        <w:rPr>
          <w:rFonts w:ascii="Verdana" w:hAnsi="Verdana"/>
          <w:sz w:val="22"/>
          <w:szCs w:val="22"/>
        </w:rPr>
      </w:pPr>
      <w:r w:rsidRPr="002E7652">
        <w:rPr>
          <w:rFonts w:ascii="Verdana" w:hAnsi="Verdana"/>
          <w:sz w:val="22"/>
          <w:szCs w:val="22"/>
        </w:rPr>
        <w:t xml:space="preserve">Por último, lo invitamos a seguirnos en las redes sociales en las cuales se difunde información institucional: </w:t>
      </w:r>
    </w:p>
    <w:p w14:paraId="2F54718D" w14:textId="77777777" w:rsidR="002E7652" w:rsidRPr="002E7652" w:rsidRDefault="002E7652" w:rsidP="002E7652">
      <w:pPr>
        <w:spacing w:line="276" w:lineRule="auto"/>
        <w:jc w:val="both"/>
        <w:rPr>
          <w:rFonts w:ascii="Verdana" w:hAnsi="Verdana"/>
          <w:sz w:val="22"/>
          <w:szCs w:val="22"/>
        </w:rPr>
      </w:pPr>
    </w:p>
    <w:p w14:paraId="5594EF09" w14:textId="77777777" w:rsidR="002E7652" w:rsidRPr="002E7652" w:rsidRDefault="002E7652" w:rsidP="002E7652">
      <w:pPr>
        <w:spacing w:line="276" w:lineRule="auto"/>
        <w:jc w:val="both"/>
        <w:rPr>
          <w:rFonts w:ascii="Verdana" w:hAnsi="Verdana"/>
          <w:sz w:val="22"/>
          <w:szCs w:val="22"/>
        </w:rPr>
      </w:pPr>
      <w:r w:rsidRPr="002E7652">
        <w:rPr>
          <w:rFonts w:ascii="Verdana" w:hAnsi="Verdana"/>
          <w:sz w:val="22"/>
          <w:szCs w:val="22"/>
        </w:rPr>
        <w:t xml:space="preserve">Twitter: </w:t>
      </w:r>
      <w:r w:rsidRPr="002E7652">
        <w:rPr>
          <w:rFonts w:ascii="Verdana" w:hAnsi="Verdana"/>
          <w:color w:val="0000FF"/>
          <w:sz w:val="22"/>
          <w:szCs w:val="22"/>
          <w:u w:val="single"/>
        </w:rPr>
        <w:t>@colombiacompra</w:t>
      </w:r>
      <w:r w:rsidRPr="002E7652">
        <w:rPr>
          <w:rFonts w:ascii="Verdana" w:hAnsi="Verdana"/>
          <w:sz w:val="22"/>
          <w:szCs w:val="22"/>
        </w:rPr>
        <w:t xml:space="preserve"> </w:t>
      </w:r>
    </w:p>
    <w:p w14:paraId="4DA30AAE" w14:textId="77777777" w:rsidR="002E7652" w:rsidRPr="002E7652" w:rsidRDefault="002E7652" w:rsidP="002E7652">
      <w:pPr>
        <w:spacing w:line="276" w:lineRule="auto"/>
        <w:jc w:val="both"/>
        <w:rPr>
          <w:rFonts w:ascii="Verdana" w:hAnsi="Verdana"/>
          <w:sz w:val="22"/>
          <w:szCs w:val="22"/>
        </w:rPr>
      </w:pPr>
      <w:r w:rsidRPr="002E7652">
        <w:rPr>
          <w:rFonts w:ascii="Verdana" w:hAnsi="Verdana"/>
          <w:sz w:val="22"/>
          <w:szCs w:val="22"/>
        </w:rPr>
        <w:t xml:space="preserve">Facebook: </w:t>
      </w:r>
      <w:proofErr w:type="spellStart"/>
      <w:r w:rsidRPr="002E7652">
        <w:rPr>
          <w:rFonts w:ascii="Verdana" w:hAnsi="Verdana"/>
          <w:color w:val="0000FF"/>
          <w:sz w:val="22"/>
          <w:szCs w:val="22"/>
          <w:u w:val="single"/>
        </w:rPr>
        <w:t>ColombiaCompraEficiente</w:t>
      </w:r>
      <w:proofErr w:type="spellEnd"/>
    </w:p>
    <w:p w14:paraId="02DD89F5" w14:textId="77777777" w:rsidR="002E7652" w:rsidRPr="002E7652" w:rsidRDefault="002E7652" w:rsidP="002E7652">
      <w:pPr>
        <w:spacing w:line="276" w:lineRule="auto"/>
        <w:jc w:val="both"/>
        <w:rPr>
          <w:rFonts w:ascii="Verdana" w:hAnsi="Verdana"/>
          <w:sz w:val="22"/>
          <w:szCs w:val="22"/>
        </w:rPr>
      </w:pPr>
      <w:r w:rsidRPr="002E7652">
        <w:rPr>
          <w:rFonts w:ascii="Verdana" w:hAnsi="Verdana"/>
          <w:sz w:val="22"/>
          <w:szCs w:val="22"/>
        </w:rPr>
        <w:t xml:space="preserve">LinkedIn: </w:t>
      </w:r>
      <w:r w:rsidRPr="002E7652">
        <w:rPr>
          <w:rFonts w:ascii="Verdana" w:hAnsi="Verdana"/>
          <w:color w:val="0000FF"/>
          <w:sz w:val="22"/>
          <w:szCs w:val="22"/>
          <w:u w:val="single"/>
        </w:rPr>
        <w:t>Agencia Nacional de Contratación Pública - Colombia Compra Eficiente</w:t>
      </w:r>
      <w:r w:rsidRPr="002E7652">
        <w:rPr>
          <w:rFonts w:ascii="Verdana" w:hAnsi="Verdana"/>
          <w:sz w:val="22"/>
          <w:szCs w:val="22"/>
        </w:rPr>
        <w:t xml:space="preserve"> Instagram: </w:t>
      </w:r>
      <w:r w:rsidRPr="002E7652">
        <w:rPr>
          <w:rFonts w:ascii="Verdana" w:hAnsi="Verdana"/>
          <w:color w:val="0000FF"/>
          <w:sz w:val="22"/>
          <w:szCs w:val="22"/>
          <w:u w:val="single"/>
        </w:rPr>
        <w:t>@colombiacompraeficiente_cce</w:t>
      </w:r>
    </w:p>
    <w:p w14:paraId="08024031" w14:textId="77777777" w:rsidR="002E7652" w:rsidRPr="002E7652" w:rsidRDefault="002E7652" w:rsidP="002E7652">
      <w:pPr>
        <w:widowControl w:val="0"/>
        <w:autoSpaceDE w:val="0"/>
        <w:autoSpaceDN w:val="0"/>
        <w:spacing w:line="276" w:lineRule="auto"/>
        <w:jc w:val="both"/>
        <w:rPr>
          <w:rFonts w:ascii="Verdana" w:hAnsi="Verdana" w:cs="Arial"/>
          <w:color w:val="FF0000"/>
          <w:sz w:val="22"/>
          <w:szCs w:val="22"/>
          <w:shd w:val="clear" w:color="auto" w:fill="FFFFFF"/>
          <w:lang w:val="es-ES_tradnl"/>
        </w:rPr>
      </w:pPr>
      <w:r w:rsidRPr="002E7652">
        <w:rPr>
          <w:rFonts w:ascii="Verdana" w:hAnsi="Verdana" w:cs="Arial"/>
          <w:color w:val="FF0000"/>
          <w:sz w:val="22"/>
          <w:szCs w:val="22"/>
          <w:shd w:val="clear" w:color="auto" w:fill="FFFFFF"/>
          <w:lang w:val="es-ES_tradnl"/>
        </w:rPr>
        <w:t xml:space="preserve">        </w:t>
      </w:r>
    </w:p>
    <w:p w14:paraId="59655684" w14:textId="77777777" w:rsidR="002E7652" w:rsidRPr="002E7652" w:rsidRDefault="002E7652" w:rsidP="002E7652">
      <w:pPr>
        <w:widowControl w:val="0"/>
        <w:autoSpaceDE w:val="0"/>
        <w:autoSpaceDN w:val="0"/>
        <w:spacing w:line="276" w:lineRule="auto"/>
        <w:jc w:val="both"/>
        <w:rPr>
          <w:rFonts w:ascii="Verdana" w:hAnsi="Verdana" w:cs="Arial"/>
          <w:sz w:val="22"/>
          <w:szCs w:val="22"/>
          <w:lang w:val="es-ES_tradnl"/>
        </w:rPr>
      </w:pPr>
      <w:r w:rsidRPr="002E7652">
        <w:rPr>
          <w:rFonts w:ascii="Verdana" w:hAnsi="Verdana" w:cs="Arial"/>
          <w:sz w:val="22"/>
          <w:szCs w:val="22"/>
        </w:rPr>
        <w:t xml:space="preserve">Este concepto tiene el alcance previsto en el artículo 28 del Código de Procedimiento Administrativo y de lo Contencioso Administrativo </w:t>
      </w:r>
      <w:r w:rsidRPr="002E7652">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1FB4F810" w14:textId="77777777" w:rsidR="002E7652" w:rsidRPr="002E7652" w:rsidRDefault="002E7652" w:rsidP="002E7652">
      <w:pPr>
        <w:widowControl w:val="0"/>
        <w:autoSpaceDE w:val="0"/>
        <w:autoSpaceDN w:val="0"/>
        <w:spacing w:line="276" w:lineRule="auto"/>
        <w:jc w:val="both"/>
        <w:rPr>
          <w:rFonts w:ascii="Verdana" w:hAnsi="Verdana" w:cs="Arial"/>
          <w:sz w:val="22"/>
          <w:szCs w:val="22"/>
        </w:rPr>
      </w:pPr>
    </w:p>
    <w:p w14:paraId="7C9D3A80" w14:textId="77777777" w:rsidR="002E7652" w:rsidRPr="002E7652" w:rsidRDefault="002E7652" w:rsidP="002E7652">
      <w:pPr>
        <w:spacing w:after="120" w:line="276" w:lineRule="auto"/>
        <w:rPr>
          <w:rFonts w:ascii="Verdana" w:hAnsi="Verdana" w:cs="Arial"/>
          <w:sz w:val="22"/>
          <w:szCs w:val="22"/>
          <w:lang w:eastAsia="es-CO"/>
        </w:rPr>
      </w:pPr>
      <w:r w:rsidRPr="002E7652">
        <w:rPr>
          <w:rFonts w:ascii="Verdana" w:hAnsi="Verdana" w:cs="Arial"/>
          <w:sz w:val="22"/>
          <w:szCs w:val="22"/>
          <w:lang w:eastAsia="es-CO"/>
        </w:rPr>
        <w:t xml:space="preserve">Atentamente, </w:t>
      </w:r>
    </w:p>
    <w:p w14:paraId="36DA45A6" w14:textId="77777777" w:rsidR="002E7652" w:rsidRPr="002E7652" w:rsidRDefault="002E7652" w:rsidP="002E7652"/>
    <w:p w14:paraId="6EAEC299" w14:textId="250914F5" w:rsidR="002E7652" w:rsidRPr="002E7652" w:rsidRDefault="00B2286C" w:rsidP="002E7652">
      <w:pPr>
        <w:spacing w:line="256" w:lineRule="auto"/>
        <w:jc w:val="center"/>
        <w:rPr>
          <w:rFonts w:ascii="Century Gothic" w:eastAsiaTheme="minorHAnsi" w:hAnsi="Century Gothic" w:cstheme="minorBidi"/>
          <w:noProof/>
          <w:sz w:val="16"/>
          <w:szCs w:val="16"/>
          <w:lang w:val="en-US" w:eastAsia="en-US"/>
        </w:rPr>
      </w:pPr>
      <w:r w:rsidRPr="002C3AD6">
        <w:rPr>
          <w:rFonts w:ascii="Century Gothic" w:hAnsi="Century Gothic"/>
          <w:noProof/>
          <w:lang w:val="en-US"/>
        </w:rPr>
        <w:drawing>
          <wp:inline distT="0" distB="0" distL="0" distR="0" wp14:anchorId="6875C9FA" wp14:editId="09D266E5">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891299" cy="1509270"/>
                    </a:xfrm>
                    <a:prstGeom prst="rect">
                      <a:avLst/>
                    </a:prstGeom>
                  </pic:spPr>
                </pic:pic>
              </a:graphicData>
            </a:graphic>
          </wp:inline>
        </w:drawing>
      </w:r>
    </w:p>
    <w:p w14:paraId="416C6ADB" w14:textId="77777777" w:rsidR="002E7652" w:rsidRPr="002E7652" w:rsidRDefault="002E7652" w:rsidP="002E7652">
      <w:pPr>
        <w:spacing w:line="256" w:lineRule="auto"/>
        <w:jc w:val="center"/>
        <w:rPr>
          <w:rFonts w:ascii="Century Gothic" w:eastAsiaTheme="minorHAnsi" w:hAnsi="Century Gothic" w:cstheme="minorBidi"/>
          <w:noProof/>
          <w:sz w:val="16"/>
          <w:szCs w:val="16"/>
          <w:lang w:val="en-US" w:eastAsia="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E7652" w:rsidRPr="002E7652" w14:paraId="6CFF26AA" w14:textId="77777777" w:rsidTr="005A6833">
        <w:trPr>
          <w:trHeight w:val="409"/>
        </w:trPr>
        <w:tc>
          <w:tcPr>
            <w:tcW w:w="817" w:type="dxa"/>
            <w:tcBorders>
              <w:top w:val="nil"/>
              <w:left w:val="nil"/>
              <w:bottom w:val="nil"/>
              <w:right w:val="nil"/>
            </w:tcBorders>
            <w:vAlign w:val="center"/>
            <w:hideMark/>
          </w:tcPr>
          <w:p w14:paraId="774C3663"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Elaboró: </w:t>
            </w:r>
          </w:p>
        </w:tc>
        <w:tc>
          <w:tcPr>
            <w:tcW w:w="4937" w:type="dxa"/>
            <w:tcBorders>
              <w:top w:val="nil"/>
              <w:left w:val="nil"/>
              <w:bottom w:val="dotted" w:sz="6" w:space="0" w:color="7F7F7F" w:themeColor="text1" w:themeTint="80"/>
              <w:right w:val="nil"/>
            </w:tcBorders>
            <w:vAlign w:val="center"/>
            <w:hideMark/>
          </w:tcPr>
          <w:p w14:paraId="41CF6435"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José Luis Sánchez Cardona</w:t>
            </w:r>
          </w:p>
          <w:p w14:paraId="4C4422FD"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Contratista de la Subdirección de Gestión Contractual</w:t>
            </w:r>
          </w:p>
        </w:tc>
      </w:tr>
      <w:tr w:rsidR="002E7652" w:rsidRPr="002E7652" w14:paraId="5C9E5F3F" w14:textId="77777777" w:rsidTr="005A6833">
        <w:trPr>
          <w:trHeight w:val="409"/>
        </w:trPr>
        <w:tc>
          <w:tcPr>
            <w:tcW w:w="817" w:type="dxa"/>
            <w:tcBorders>
              <w:top w:val="nil"/>
              <w:left w:val="nil"/>
              <w:bottom w:val="nil"/>
              <w:right w:val="nil"/>
            </w:tcBorders>
            <w:vAlign w:val="center"/>
            <w:hideMark/>
          </w:tcPr>
          <w:p w14:paraId="137B3109"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814E1AF"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Alejandro R. Sarmiento Cantillo</w:t>
            </w:r>
          </w:p>
          <w:p w14:paraId="5422F859"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Gestor T1-15 de la Subdirección de Gestión Contractual </w:t>
            </w:r>
          </w:p>
        </w:tc>
      </w:tr>
      <w:tr w:rsidR="002E7652" w:rsidRPr="002E7652" w14:paraId="219A0C46" w14:textId="77777777" w:rsidTr="005A6833">
        <w:trPr>
          <w:trHeight w:val="389"/>
        </w:trPr>
        <w:tc>
          <w:tcPr>
            <w:tcW w:w="817" w:type="dxa"/>
            <w:tcBorders>
              <w:top w:val="nil"/>
              <w:left w:val="nil"/>
              <w:bottom w:val="nil"/>
              <w:right w:val="nil"/>
            </w:tcBorders>
            <w:vAlign w:val="center"/>
            <w:hideMark/>
          </w:tcPr>
          <w:p w14:paraId="42B8E9D3"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AEF19BF"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Carolina Quintero Gacharná</w:t>
            </w:r>
          </w:p>
          <w:p w14:paraId="51BB82E9" w14:textId="77777777" w:rsidR="002E7652" w:rsidRPr="002E7652" w:rsidRDefault="002E7652" w:rsidP="002E7652">
            <w:pPr>
              <w:spacing w:line="256" w:lineRule="auto"/>
              <w:rPr>
                <w:rFonts w:ascii="Verdana" w:eastAsia="Calibri" w:hAnsi="Verdana"/>
                <w:sz w:val="16"/>
                <w:szCs w:val="16"/>
                <w:lang w:eastAsia="en-US"/>
              </w:rPr>
            </w:pPr>
            <w:r w:rsidRPr="002E7652">
              <w:rPr>
                <w:rFonts w:ascii="Verdana" w:eastAsia="Calibri" w:hAnsi="Verdana"/>
                <w:sz w:val="16"/>
                <w:szCs w:val="16"/>
                <w:lang w:eastAsia="en-US"/>
              </w:rPr>
              <w:t>Subdirectora de Gestión Contractual ANCP – CCE</w:t>
            </w:r>
          </w:p>
        </w:tc>
      </w:tr>
    </w:tbl>
    <w:p w14:paraId="2DD594ED" w14:textId="77777777" w:rsidR="002E7652" w:rsidRPr="002E7652" w:rsidRDefault="002E7652" w:rsidP="002E7652">
      <w:pPr>
        <w:jc w:val="both"/>
        <w:textAlignment w:val="baseline"/>
        <w:rPr>
          <w:rFonts w:ascii="Verdana" w:eastAsia="Verdana" w:hAnsi="Verdana" w:cs="Verdana"/>
          <w:sz w:val="22"/>
          <w:szCs w:val="22"/>
          <w:lang w:eastAsia="es-CO"/>
        </w:rPr>
      </w:pPr>
    </w:p>
    <w:p w14:paraId="75BF041D" w14:textId="28A6AD23" w:rsidR="002E7652" w:rsidRPr="002E7652" w:rsidRDefault="002E7652" w:rsidP="002E7652">
      <w:pPr>
        <w:textAlignment w:val="baseline"/>
        <w:rPr>
          <w:rFonts w:ascii="Verdana" w:eastAsia="Verdana" w:hAnsi="Verdana" w:cs="Verdana"/>
          <w:sz w:val="22"/>
          <w:szCs w:val="22"/>
          <w:lang w:eastAsia="es-CO"/>
        </w:rPr>
      </w:pPr>
      <w:r w:rsidRPr="002E7652">
        <w:rPr>
          <w:rFonts w:ascii="Verdana" w:eastAsia="Verdana" w:hAnsi="Verdana" w:cs="Verdana"/>
          <w:sz w:val="22"/>
          <w:szCs w:val="22"/>
          <w:lang w:eastAsia="es-CO"/>
        </w:rPr>
        <w:t> </w:t>
      </w:r>
      <w:bookmarkEnd w:id="0"/>
    </w:p>
    <w:p w14:paraId="04A4241F" w14:textId="5D58F524" w:rsidR="004A4033" w:rsidRPr="002E7652" w:rsidRDefault="004A4033" w:rsidP="002E7652"/>
    <w:sectPr w:rsidR="004A4033" w:rsidRPr="002E7652"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76249" w14:textId="77777777" w:rsidR="00BC29C4" w:rsidRDefault="00BC29C4" w:rsidP="004A1847">
      <w:r>
        <w:separator/>
      </w:r>
    </w:p>
  </w:endnote>
  <w:endnote w:type="continuationSeparator" w:id="0">
    <w:p w14:paraId="7E2076F6" w14:textId="77777777" w:rsidR="00BC29C4" w:rsidRDefault="00BC29C4"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8A1F41"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val="pt-BR" w:eastAsia="es-CO"/>
      </w:rPr>
    </w:pPr>
    <w:r w:rsidRPr="008A1F41">
      <w:rPr>
        <w:rFonts w:ascii="Verdana" w:eastAsia="Verdana" w:hAnsi="Verdana" w:cs="Verdana"/>
        <w:b/>
        <w:color w:val="000000" w:themeColor="text1"/>
        <w:sz w:val="18"/>
        <w:szCs w:val="18"/>
        <w:lang w:val="pt-BR" w:eastAsia="es-CO"/>
      </w:rPr>
      <w:t xml:space="preserve">Código: </w:t>
    </w:r>
    <w:r w:rsidRPr="008A1F41">
      <w:rPr>
        <w:rFonts w:ascii="Verdana" w:eastAsia="Verdana" w:hAnsi="Verdana" w:cs="Verdana"/>
        <w:color w:val="000000" w:themeColor="text1"/>
        <w:sz w:val="18"/>
        <w:szCs w:val="18"/>
        <w:lang w:val="pt-BR" w:eastAsia="es-CO"/>
      </w:rPr>
      <w:t xml:space="preserve">CCE-REC-FM-17 </w:t>
    </w:r>
    <w:r w:rsidRPr="008A1F41">
      <w:rPr>
        <w:rFonts w:ascii="Verdana" w:eastAsia="Verdana" w:hAnsi="Verdana" w:cs="Verdana"/>
        <w:b/>
        <w:color w:val="000000" w:themeColor="text1"/>
        <w:sz w:val="18"/>
        <w:szCs w:val="18"/>
        <w:lang w:val="pt-BR" w:eastAsia="es-CO"/>
      </w:rPr>
      <w:t xml:space="preserve">V: </w:t>
    </w:r>
    <w:r w:rsidRPr="008A1F41">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9D73" w14:textId="77777777" w:rsidR="00BC29C4" w:rsidRDefault="00BC29C4" w:rsidP="004A1847">
      <w:r>
        <w:separator/>
      </w:r>
    </w:p>
  </w:footnote>
  <w:footnote w:type="continuationSeparator" w:id="0">
    <w:p w14:paraId="60DA23AA" w14:textId="77777777" w:rsidR="00BC29C4" w:rsidRDefault="00BC29C4" w:rsidP="004A1847">
      <w:r>
        <w:continuationSeparator/>
      </w:r>
    </w:p>
  </w:footnote>
  <w:footnote w:id="1">
    <w:p w14:paraId="3A50CF1B" w14:textId="77777777" w:rsidR="002E7652" w:rsidRPr="00DB7B3E" w:rsidRDefault="002E7652" w:rsidP="002E7652">
      <w:pPr>
        <w:pStyle w:val="Textonotapie"/>
        <w:ind w:firstLine="708"/>
        <w:jc w:val="both"/>
        <w:rPr>
          <w:rFonts w:ascii="Verdana" w:hAnsi="Verdana"/>
          <w:sz w:val="16"/>
          <w:szCs w:val="16"/>
        </w:rPr>
      </w:pPr>
      <w:r w:rsidRPr="00DB7B3E">
        <w:rPr>
          <w:rFonts w:ascii="Verdana" w:hAnsi="Verdana"/>
          <w:sz w:val="16"/>
          <w:szCs w:val="16"/>
          <w:vertAlign w:val="superscript"/>
        </w:rPr>
        <w:footnoteRef/>
      </w:r>
      <w:r w:rsidRPr="00DB7B3E">
        <w:rPr>
          <w:rFonts w:ascii="Verdana" w:hAnsi="Verdana"/>
          <w:sz w:val="16"/>
          <w:szCs w:val="16"/>
        </w:rPr>
        <w:t xml:space="preserve"> Corte Constitucional. Sentencia C-181 de 1997. M.P. Fabio Morón Díaz. Ver también las Sentencias C-540 de 2001, C-893 de 2003 y C-903 de 2008, entre otras.</w:t>
      </w:r>
    </w:p>
  </w:footnote>
  <w:footnote w:id="2">
    <w:p w14:paraId="49260790" w14:textId="77777777" w:rsidR="002E7652" w:rsidRPr="00E34BBF" w:rsidRDefault="002E7652" w:rsidP="002E7652">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C-1016 de 2012. M.P. Jorge Iván Palacio.</w:t>
      </w:r>
    </w:p>
  </w:footnote>
  <w:footnote w:id="3">
    <w:p w14:paraId="52FD0776" w14:textId="77777777" w:rsidR="002E7652" w:rsidRPr="00E34BBF" w:rsidRDefault="002E7652" w:rsidP="002E7652">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sz w:val="16"/>
          <w:szCs w:val="16"/>
        </w:rPr>
        <w:t>Consejo d</w:t>
      </w:r>
      <w:r w:rsidRPr="00E34BBF">
        <w:rPr>
          <w:rFonts w:ascii="Verdana" w:hAnsi="Verdana"/>
          <w:sz w:val="16"/>
          <w:szCs w:val="16"/>
        </w:rPr>
        <w:t xml:space="preserve">e Estado. Sección Tercera. Subsección A. Sentencia del 13 de noviembre de 2013. </w:t>
      </w:r>
      <w:r w:rsidRPr="00E34BBF">
        <w:rPr>
          <w:rFonts w:ascii="Verdana" w:hAnsi="Verdana"/>
          <w:sz w:val="16"/>
          <w:szCs w:val="16"/>
          <w:lang w:val="pt-BR"/>
        </w:rPr>
        <w:t xml:space="preserve">Rad. 25.646. C.P. Mauricio Fajardo Gómez. </w:t>
      </w:r>
    </w:p>
  </w:footnote>
  <w:footnote w:id="4">
    <w:p w14:paraId="50142623" w14:textId="77777777" w:rsidR="002E7652" w:rsidRPr="00E34BBF" w:rsidRDefault="002E7652" w:rsidP="002E7652">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Sentencia C-415 de 1994. M.P. Eduardo Cifuentes Muñoz.</w:t>
      </w:r>
    </w:p>
  </w:footnote>
  <w:footnote w:id="5">
    <w:p w14:paraId="3007F89D" w14:textId="77777777" w:rsidR="002E7652" w:rsidRPr="00E34BBF" w:rsidRDefault="002E7652" w:rsidP="002E7652">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Ibídem.</w:t>
      </w:r>
    </w:p>
  </w:footnote>
  <w:footnote w:id="6">
    <w:p w14:paraId="3CD96817" w14:textId="77777777" w:rsidR="002E7652" w:rsidRPr="00E34BBF" w:rsidRDefault="002E7652" w:rsidP="002E7652">
      <w:pPr>
        <w:pStyle w:val="Textonotapie"/>
        <w:ind w:firstLine="708"/>
        <w:jc w:val="both"/>
        <w:rPr>
          <w:rFonts w:ascii="Verdana" w:hAnsi="Verdana"/>
          <w:sz w:val="16"/>
          <w:szCs w:val="16"/>
          <w:lang w:val="es-CO"/>
        </w:rPr>
      </w:pPr>
      <w:r w:rsidRPr="00E34BBF">
        <w:rPr>
          <w:rStyle w:val="Refdenotaalpie"/>
          <w:rFonts w:ascii="Verdana" w:hAnsi="Verdana"/>
          <w:sz w:val="16"/>
          <w:szCs w:val="16"/>
        </w:rPr>
        <w:footnoteRef/>
      </w:r>
      <w:r w:rsidRPr="00E34BBF">
        <w:rPr>
          <w:rFonts w:ascii="Verdana" w:hAnsi="Verdana"/>
          <w:sz w:val="16"/>
          <w:szCs w:val="16"/>
          <w:lang w:val="pt-BR"/>
        </w:rPr>
        <w:t xml:space="preserve"> Corte Constitucional. </w:t>
      </w:r>
      <w:r w:rsidRPr="00E34BBF">
        <w:rPr>
          <w:rFonts w:ascii="Verdana" w:hAnsi="Verdana"/>
          <w:sz w:val="16"/>
          <w:szCs w:val="16"/>
        </w:rPr>
        <w:t xml:space="preserve">Sentencia C-780 de 2001. </w:t>
      </w:r>
      <w:r w:rsidRPr="00E34BBF">
        <w:rPr>
          <w:rFonts w:ascii="Verdana" w:hAnsi="Verdana"/>
          <w:sz w:val="16"/>
          <w:szCs w:val="16"/>
          <w:lang w:val="es-CO"/>
        </w:rPr>
        <w:t xml:space="preserve">M.P. Jaime Córdoba Triviño. </w:t>
      </w:r>
    </w:p>
  </w:footnote>
  <w:footnote w:id="7">
    <w:p w14:paraId="7B7B1803" w14:textId="77777777" w:rsidR="002E7652" w:rsidRPr="00E34BBF" w:rsidRDefault="002E7652" w:rsidP="002E7652">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eastAsia="Calibri" w:hAnsi="Verdana" w:cs="Arial"/>
          <w:sz w:val="16"/>
          <w:szCs w:val="16"/>
          <w:lang w:val="es-ES" w:eastAsia="en-US"/>
        </w:rPr>
        <w:t>Ley 80 de 1993: “</w:t>
      </w:r>
      <w:r w:rsidRPr="00E34BBF">
        <w:rPr>
          <w:rFonts w:ascii="Verdana" w:eastAsia="Calibri" w:hAnsi="Verdana" w:cs="Arial"/>
          <w:sz w:val="16"/>
          <w:szCs w:val="16"/>
          <w:lang w:val="es-ES" w:eastAsia="en-US"/>
        </w:rPr>
        <w:t>Artículo 8: 1o. Son inhábiles para participar en licitaciones o concursos y para celebrar contratos con las entidades estatales: </w:t>
      </w:r>
    </w:p>
    <w:p w14:paraId="3C552D3E"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Las personas que se hallen inhabilitadas para contratar por la Constitución y las leyes. </w:t>
      </w:r>
    </w:p>
    <w:p w14:paraId="2AB56AA2"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Quienes participaron en las licitaciones o concursos o celebraron los contratos de que trata el literal anterior estando inhabilitados. </w:t>
      </w:r>
    </w:p>
    <w:p w14:paraId="0CC88ACB"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Quienes dieron lugar a la declaratoria de caducidad. </w:t>
      </w:r>
    </w:p>
    <w:p w14:paraId="04813B3B"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6CCA03B9"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Quienes sin justa causa se abstengan de suscribir el contrato estatal adjudicado. </w:t>
      </w:r>
    </w:p>
    <w:p w14:paraId="1CFDC061"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f) Los servidores públicos. </w:t>
      </w:r>
    </w:p>
    <w:p w14:paraId="4DC9F991"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58780F95" w14:textId="77777777" w:rsidR="002E7652" w:rsidRPr="00E34BBF" w:rsidRDefault="002E7652" w:rsidP="002E7652">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0FAB427"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7CDDFAA8"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6AE5EB9A"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118C546E"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34BBF">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34BBF">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E34BBF">
        <w:rPr>
          <w:rFonts w:ascii="Verdana" w:eastAsia="Calibri" w:hAnsi="Verdana" w:cs="Arial"/>
          <w:sz w:val="16"/>
          <w:szCs w:val="16"/>
          <w:lang w:val="es-ES" w:eastAsia="en-US"/>
        </w:rPr>
        <w:softHyphen/>
        <w:t>nería jurídica en los términos de ley, o cuyos representantes legales, ad</w:t>
      </w:r>
      <w:r w:rsidRPr="00E34BBF">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34BBF">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F8FBF93"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w:t>
      </w:r>
    </w:p>
    <w:p w14:paraId="58B54C68" w14:textId="77777777" w:rsidR="002E7652" w:rsidRPr="00E34BBF" w:rsidRDefault="002E7652" w:rsidP="002E7652">
      <w:pPr>
        <w:pStyle w:val="NormalWeb"/>
        <w:spacing w:before="0" w:beforeAutospacing="0" w:after="0" w:afterAutospacing="0"/>
        <w:ind w:firstLine="708"/>
        <w:jc w:val="both"/>
        <w:rPr>
          <w:rFonts w:ascii="Verdana" w:eastAsia="Calibri" w:hAnsi="Verdana" w:cs="Arial"/>
          <w:sz w:val="16"/>
          <w:szCs w:val="16"/>
          <w:lang w:val="es-ES" w:eastAsia="en-US"/>
        </w:rPr>
      </w:pPr>
      <w:r w:rsidRPr="00E34BBF">
        <w:rPr>
          <w:rFonts w:ascii="Verdana" w:eastAsia="Calibri" w:hAnsi="Verdana" w:cs="Arial"/>
          <w:sz w:val="16"/>
          <w:szCs w:val="16"/>
          <w:lang w:val="es-ES" w:eastAsia="en-US"/>
        </w:rPr>
        <w:t>2o. Tampoco podrán participar en licitaciones o concursos ni celebrar contratos estatales con la entidad respectiva: </w:t>
      </w:r>
    </w:p>
    <w:p w14:paraId="3E412219"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63C5FDA2"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3DA026EA"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4401AA89"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0EF82735" w14:textId="77777777" w:rsidR="002E7652" w:rsidRPr="00E34BBF" w:rsidRDefault="002E7652" w:rsidP="002E7652">
      <w:pPr>
        <w:pStyle w:val="NormalWeb"/>
        <w:spacing w:before="0" w:beforeAutospacing="0" w:after="0" w:afterAutospacing="0"/>
        <w:jc w:val="both"/>
        <w:rPr>
          <w:rFonts w:ascii="Verdana" w:eastAsia="Calibri" w:hAnsi="Verdana" w:cs="Arial"/>
          <w:sz w:val="16"/>
          <w:szCs w:val="16"/>
          <w:lang w:val="es-ES" w:eastAsia="en-US"/>
        </w:rPr>
      </w:pPr>
      <w:r>
        <w:rPr>
          <w:rFonts w:ascii="Verdana" w:eastAsia="Calibri" w:hAnsi="Verdana" w:cs="Arial"/>
          <w:sz w:val="16"/>
          <w:szCs w:val="16"/>
          <w:lang w:val="es-ES" w:eastAsia="en-US"/>
        </w:rPr>
        <w:t>  </w:t>
      </w:r>
      <w:r>
        <w:rPr>
          <w:rFonts w:ascii="Verdana" w:eastAsia="Calibri" w:hAnsi="Verdana" w:cs="Arial"/>
          <w:sz w:val="16"/>
          <w:szCs w:val="16"/>
          <w:lang w:val="es-ES" w:eastAsia="en-US"/>
        </w:rPr>
        <w:tab/>
      </w:r>
      <w:r w:rsidRPr="00E34BBF">
        <w:rPr>
          <w:rFonts w:ascii="Verdana" w:eastAsia="Calibri" w:hAnsi="Verdana"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6104E322" w14:textId="77777777" w:rsidR="002E7652" w:rsidRPr="0045272C" w:rsidRDefault="002E7652" w:rsidP="002E7652">
      <w:pPr>
        <w:pStyle w:val="NormalWeb"/>
        <w:spacing w:before="0" w:beforeAutospacing="0" w:after="0" w:afterAutospacing="0"/>
        <w:ind w:firstLine="708"/>
        <w:jc w:val="both"/>
        <w:rPr>
          <w:rFonts w:ascii="Verdana" w:eastAsia="Calibri" w:hAnsi="Verdana" w:cs="Arial"/>
          <w:sz w:val="16"/>
          <w:szCs w:val="16"/>
          <w:lang w:val="pt-BR" w:eastAsia="en-US"/>
        </w:rPr>
      </w:pPr>
      <w:r w:rsidRPr="00E34BBF">
        <w:rPr>
          <w:rFonts w:ascii="Verdana" w:eastAsia="Calibri" w:hAnsi="Verdana" w:cs="Arial"/>
          <w:sz w:val="16"/>
          <w:szCs w:val="16"/>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w:t>
      </w:r>
      <w:r>
        <w:rPr>
          <w:rFonts w:ascii="Verdana" w:eastAsia="Calibri" w:hAnsi="Verdana" w:cs="Arial"/>
          <w:sz w:val="16"/>
          <w:szCs w:val="16"/>
          <w:lang w:val="es-ES" w:eastAsia="en-US"/>
        </w:rPr>
        <w:t xml:space="preserve">o civil del </w:t>
      </w:r>
      <w:r>
        <w:rPr>
          <w:rFonts w:ascii="Verdana" w:eastAsia="Calibri" w:hAnsi="Verdana" w:cs="Arial"/>
          <w:sz w:val="16"/>
          <w:szCs w:val="16"/>
          <w:lang w:val="es-ES" w:eastAsia="en-US"/>
        </w:rPr>
        <w:t>ex empleado público”</w:t>
      </w:r>
      <w:r w:rsidRPr="00E34BBF">
        <w:rPr>
          <w:rFonts w:ascii="Verdana" w:eastAsia="Calibri" w:hAnsi="Verdana" w:cs="Arial"/>
          <w:sz w:val="16"/>
          <w:szCs w:val="16"/>
          <w:lang w:val="es-ES" w:eastAsia="en-US"/>
        </w:rPr>
        <w:t xml:space="preserve">. </w:t>
      </w:r>
      <w:r w:rsidRPr="00E34BBF">
        <w:rPr>
          <w:rFonts w:ascii="Verdana" w:eastAsia="Calibri" w:hAnsi="Verdana" w:cs="Arial"/>
          <w:sz w:val="16"/>
          <w:szCs w:val="16"/>
          <w:lang w:val="pt-BR" w:eastAsia="en-US"/>
        </w:rPr>
        <w:t xml:space="preserve">(…). </w:t>
      </w:r>
    </w:p>
  </w:footnote>
  <w:footnote w:id="8">
    <w:p w14:paraId="138A891D" w14:textId="77777777" w:rsidR="002E7652" w:rsidRPr="00E34BBF" w:rsidRDefault="002E7652" w:rsidP="002E7652">
      <w:pPr>
        <w:pStyle w:val="Textonotapie"/>
        <w:ind w:firstLine="708"/>
        <w:jc w:val="both"/>
        <w:rPr>
          <w:rFonts w:ascii="Verdana" w:hAnsi="Verdana"/>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Ibídem. p. 69.</w:t>
      </w:r>
    </w:p>
  </w:footnote>
  <w:footnote w:id="9">
    <w:p w14:paraId="44BAD761" w14:textId="77777777" w:rsidR="002E7652" w:rsidRPr="00E34BBF" w:rsidRDefault="002E7652" w:rsidP="002E7652">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 xml:space="preserve">Corte Constitucional. Sentencia T-1039 de 2006. M.P. Humberto Sierra Porto. </w:t>
      </w:r>
      <w:r w:rsidRPr="00E34BBF">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footnote>
  <w:footnote w:id="10">
    <w:p w14:paraId="4EE586C5" w14:textId="77777777" w:rsidR="002E7652" w:rsidRPr="0045272C" w:rsidRDefault="002E7652" w:rsidP="002E7652">
      <w:pPr>
        <w:pStyle w:val="Textonotapie"/>
        <w:ind w:firstLine="708"/>
        <w:jc w:val="both"/>
        <w:rPr>
          <w:rFonts w:ascii="Verdana" w:hAnsi="Verdana" w:cs="Arial"/>
          <w:sz w:val="16"/>
          <w:szCs w:val="16"/>
          <w:lang w:val="es-ES"/>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lang w:val="es-ES"/>
        </w:rPr>
        <w:t>Consejo d</w:t>
      </w:r>
      <w:r w:rsidRPr="00E34BBF">
        <w:rPr>
          <w:rFonts w:ascii="Verdana" w:hAnsi="Verdana" w:cs="Arial"/>
          <w:sz w:val="16"/>
          <w:szCs w:val="16"/>
          <w:lang w:val="es-ES"/>
        </w:rPr>
        <w:t xml:space="preserve">e Estado. Sala de Consulta y Servicio Civil. Concepto del 30 de abril de 2015. </w:t>
      </w:r>
      <w:r w:rsidRPr="00E34BBF">
        <w:rPr>
          <w:rFonts w:ascii="Verdana" w:hAnsi="Verdana" w:cs="Arial"/>
          <w:sz w:val="16"/>
          <w:szCs w:val="16"/>
          <w:lang w:val="es-ES"/>
        </w:rPr>
        <w:t>Exp. 2251. C.P. Álvaro Namén Vargas.</w:t>
      </w:r>
    </w:p>
  </w:footnote>
  <w:footnote w:id="11">
    <w:p w14:paraId="567007EF" w14:textId="77777777" w:rsidR="002E7652" w:rsidRPr="0045272C" w:rsidRDefault="002E7652" w:rsidP="002E7652">
      <w:pPr>
        <w:pStyle w:val="Textonotapie"/>
        <w:ind w:firstLine="708"/>
        <w:jc w:val="both"/>
        <w:rPr>
          <w:rFonts w:ascii="Verdana" w:hAnsi="Verdana" w:cs="Arial"/>
          <w:sz w:val="16"/>
          <w:szCs w:val="16"/>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rPr>
        <w:t>Consejo d</w:t>
      </w:r>
      <w:r w:rsidRPr="00E34BBF">
        <w:rPr>
          <w:rFonts w:ascii="Verdana" w:hAnsi="Verdana" w:cs="Arial"/>
          <w:sz w:val="16"/>
          <w:szCs w:val="16"/>
        </w:rPr>
        <w:t>e Estado. Sección Tercera. Subsección A. Sentencia del 24 de junio de 2015. Exp. 40.635. C.P. Hernán Andrade Rincón (E).</w:t>
      </w:r>
    </w:p>
  </w:footnote>
  <w:footnote w:id="12">
    <w:p w14:paraId="22ED49E5" w14:textId="77777777" w:rsidR="002E7652" w:rsidRPr="00E34BBF" w:rsidRDefault="002E7652" w:rsidP="002E7652">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sz w:val="16"/>
          <w:szCs w:val="16"/>
        </w:rPr>
        <w:t>Consejo d</w:t>
      </w:r>
      <w:r w:rsidRPr="00E34BBF">
        <w:rPr>
          <w:rFonts w:ascii="Verdana" w:hAnsi="Verdana" w:cs="Arial"/>
          <w:sz w:val="16"/>
          <w:szCs w:val="16"/>
        </w:rPr>
        <w:t xml:space="preserve">e Estado. Sección Tercera. Subsección C. Sentencia del 22 de mayo de 2013. Rad. 24.057. C.P. Olga Mélida Valle De </w:t>
      </w:r>
      <w:r w:rsidRPr="00E34BBF">
        <w:rPr>
          <w:rFonts w:ascii="Verdana" w:hAnsi="Verdana" w:cs="Arial"/>
          <w:sz w:val="16"/>
          <w:szCs w:val="16"/>
        </w:rPr>
        <w:t>De La Hoz.</w:t>
      </w:r>
    </w:p>
  </w:footnote>
  <w:footnote w:id="13">
    <w:p w14:paraId="0438A984" w14:textId="77777777" w:rsidR="002E7652" w:rsidRPr="0045272C" w:rsidRDefault="002E7652" w:rsidP="002E7652">
      <w:pPr>
        <w:pStyle w:val="Textonotapie"/>
        <w:ind w:firstLine="708"/>
        <w:jc w:val="both"/>
        <w:rPr>
          <w:rFonts w:ascii="Verdana" w:hAnsi="Verdana" w:cs="Arial"/>
          <w:sz w:val="16"/>
          <w:szCs w:val="16"/>
          <w:lang w:val="pt-BR"/>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sidRPr="00E34BBF">
        <w:rPr>
          <w:rFonts w:ascii="Verdana" w:hAnsi="Verdana" w:cs="Arial"/>
          <w:sz w:val="16"/>
          <w:szCs w:val="16"/>
          <w:lang w:val="pt-BR"/>
        </w:rPr>
        <w:t>Corte Constitucional. Sentencia C-415 de 1994. M.P. Eduardo Cifuentes Muñoz.</w:t>
      </w:r>
    </w:p>
  </w:footnote>
  <w:footnote w:id="14">
    <w:p w14:paraId="0CCBDFD5" w14:textId="77777777" w:rsidR="002E7652" w:rsidRPr="0045272C" w:rsidRDefault="002E7652" w:rsidP="002E7652">
      <w:pPr>
        <w:pStyle w:val="Textonotapie"/>
        <w:ind w:firstLine="708"/>
        <w:jc w:val="both"/>
        <w:rPr>
          <w:rFonts w:ascii="Verdana" w:hAnsi="Verdana" w:cs="Arial"/>
          <w:color w:val="000000"/>
          <w:sz w:val="16"/>
          <w:szCs w:val="16"/>
        </w:rPr>
      </w:pPr>
      <w:r w:rsidRPr="00E34BBF">
        <w:rPr>
          <w:rStyle w:val="Refdenotaalpie"/>
          <w:rFonts w:ascii="Verdana" w:hAnsi="Verdana"/>
          <w:sz w:val="16"/>
          <w:szCs w:val="16"/>
        </w:rPr>
        <w:footnoteRef/>
      </w:r>
      <w:r w:rsidRPr="00E34BBF">
        <w:rPr>
          <w:rFonts w:ascii="Verdana" w:hAnsi="Verdana"/>
          <w:sz w:val="16"/>
          <w:szCs w:val="16"/>
          <w:lang w:val="pt-BR"/>
        </w:rPr>
        <w:t xml:space="preserve"> </w:t>
      </w:r>
      <w:r>
        <w:rPr>
          <w:rFonts w:ascii="Verdana" w:hAnsi="Verdana" w:cs="Arial"/>
          <w:color w:val="000000"/>
          <w:sz w:val="16"/>
          <w:szCs w:val="16"/>
          <w:lang w:val="pt-BR"/>
        </w:rPr>
        <w:t>Consejo d</w:t>
      </w:r>
      <w:r w:rsidRPr="00E34BBF">
        <w:rPr>
          <w:rFonts w:ascii="Verdana" w:hAnsi="Verdana" w:cs="Arial"/>
          <w:color w:val="000000"/>
          <w:sz w:val="16"/>
          <w:szCs w:val="16"/>
          <w:lang w:val="pt-BR"/>
        </w:rPr>
        <w:t xml:space="preserve">e Estado. Sala de lo contencioso administrativo. Sentencia del 12 de diciembre de 2014. Exp. 26496. C.P. Ramiro Pazos Guerrero. </w:t>
      </w:r>
      <w:r w:rsidRPr="00E34BBF">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15">
    <w:p w14:paraId="0456AEAC" w14:textId="77777777" w:rsidR="002E7652" w:rsidRPr="00E34BBF" w:rsidRDefault="002E7652" w:rsidP="002E7652">
      <w:pPr>
        <w:pStyle w:val="Textonotapie"/>
        <w:ind w:firstLine="708"/>
        <w:jc w:val="both"/>
        <w:rPr>
          <w:rFonts w:ascii="Verdana" w:hAnsi="Verdana"/>
          <w:sz w:val="16"/>
          <w:szCs w:val="16"/>
          <w:lang w:val="es-ES_tradnl"/>
        </w:rPr>
      </w:pPr>
      <w:r w:rsidRPr="00E34BBF">
        <w:rPr>
          <w:rStyle w:val="Refdenotaalpie"/>
          <w:rFonts w:ascii="Verdana" w:hAnsi="Verdana"/>
          <w:sz w:val="16"/>
          <w:szCs w:val="16"/>
        </w:rPr>
        <w:footnoteRef/>
      </w:r>
      <w:r w:rsidRPr="00E34BBF">
        <w:rPr>
          <w:rFonts w:ascii="Verdana" w:hAnsi="Verdana"/>
          <w:sz w:val="16"/>
          <w:szCs w:val="16"/>
        </w:rPr>
        <w:t xml:space="preserve"> </w:t>
      </w:r>
      <w:r>
        <w:rPr>
          <w:rFonts w:ascii="Verdana" w:hAnsi="Verdana" w:cs="Arial"/>
          <w:color w:val="000000"/>
          <w:sz w:val="16"/>
          <w:szCs w:val="16"/>
        </w:rPr>
        <w:t>Consejo d</w:t>
      </w:r>
      <w:r w:rsidRPr="00E34BBF">
        <w:rPr>
          <w:rFonts w:ascii="Verdana" w:hAnsi="Verdana" w:cs="Arial"/>
          <w:color w:val="000000"/>
          <w:sz w:val="16"/>
          <w:szCs w:val="16"/>
        </w:rPr>
        <w:t>e Estado. Sala de Consulta y Servicio Civil. Concepto del 29 de abril de 1998. Rad. 1097. C.P. Augusto Trejos Jaramillo.</w:t>
      </w:r>
    </w:p>
  </w:footnote>
  <w:footnote w:id="16">
    <w:p w14:paraId="0C77AA1F" w14:textId="77777777" w:rsidR="002E7652" w:rsidRPr="000A5EAC" w:rsidRDefault="002E7652" w:rsidP="002E7652">
      <w:pPr>
        <w:pStyle w:val="Textonotapie"/>
        <w:ind w:firstLine="708"/>
        <w:jc w:val="both"/>
        <w:rPr>
          <w:rFonts w:ascii="Verdana" w:hAnsi="Verdana"/>
          <w:sz w:val="16"/>
          <w:szCs w:val="16"/>
          <w:lang w:val="es-ES"/>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w:t>
      </w:r>
      <w:r>
        <w:rPr>
          <w:rFonts w:ascii="Verdana" w:hAnsi="Verdana"/>
          <w:sz w:val="16"/>
          <w:szCs w:val="16"/>
        </w:rPr>
        <w:t xml:space="preserve">Subsección B. </w:t>
      </w:r>
      <w:r w:rsidRPr="000A5EAC">
        <w:rPr>
          <w:rFonts w:ascii="Verdana" w:hAnsi="Verdana"/>
          <w:sz w:val="16"/>
          <w:szCs w:val="16"/>
        </w:rPr>
        <w:t xml:space="preserve">Sentencia del 27 de abril de 2011. </w:t>
      </w:r>
      <w:r w:rsidRPr="000A5EAC">
        <w:rPr>
          <w:rFonts w:ascii="Verdana" w:hAnsi="Verdana"/>
          <w:sz w:val="16"/>
          <w:szCs w:val="16"/>
        </w:rPr>
        <w:t>Exp. 18.293. C.P. Ruth Stella Correa Palacio.</w:t>
      </w:r>
    </w:p>
  </w:footnote>
  <w:footnote w:id="17">
    <w:p w14:paraId="65C60C20" w14:textId="77777777" w:rsidR="002E7652" w:rsidRDefault="002E7652" w:rsidP="002E7652">
      <w:pPr>
        <w:pStyle w:val="Textonotapie"/>
        <w:ind w:firstLine="708"/>
        <w:jc w:val="both"/>
        <w:rPr>
          <w:rFonts w:ascii="Verdana" w:hAnsi="Verdana"/>
          <w:sz w:val="16"/>
          <w:szCs w:val="16"/>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w:t>
      </w:r>
      <w:r>
        <w:rPr>
          <w:rFonts w:ascii="Verdana" w:hAnsi="Verdana"/>
          <w:sz w:val="16"/>
          <w:szCs w:val="16"/>
        </w:rPr>
        <w:t xml:space="preserve">Subsección A. </w:t>
      </w:r>
      <w:r w:rsidRPr="000A5EAC">
        <w:rPr>
          <w:rFonts w:ascii="Verdana" w:hAnsi="Verdana"/>
          <w:sz w:val="16"/>
          <w:szCs w:val="16"/>
        </w:rPr>
        <w:t xml:space="preserve">Sentencia del 21 de noviembre de 2013 </w:t>
      </w:r>
      <w:r w:rsidRPr="000A5EAC">
        <w:rPr>
          <w:rFonts w:ascii="Verdana" w:hAnsi="Verdana"/>
          <w:sz w:val="16"/>
          <w:szCs w:val="16"/>
        </w:rPr>
        <w:t>Exp. 25397. C.P. Carlos Alberto Zambrano Barrera.</w:t>
      </w:r>
    </w:p>
    <w:p w14:paraId="79CC0F8C" w14:textId="77777777" w:rsidR="002E7652" w:rsidRPr="007E5CE5" w:rsidRDefault="002E7652" w:rsidP="002E7652">
      <w:pPr>
        <w:pStyle w:val="Textonotapie"/>
        <w:ind w:firstLine="708"/>
        <w:jc w:val="both"/>
        <w:rPr>
          <w:rFonts w:ascii="Verdana" w:hAnsi="Verdana"/>
          <w:sz w:val="16"/>
          <w:szCs w:val="16"/>
          <w:lang w:val="es-ES"/>
        </w:rPr>
      </w:pPr>
    </w:p>
  </w:footnote>
  <w:footnote w:id="18">
    <w:p w14:paraId="247D6B97" w14:textId="77777777" w:rsidR="002E7652" w:rsidRPr="000A5EAC" w:rsidRDefault="002E7652" w:rsidP="002E7652">
      <w:pPr>
        <w:ind w:firstLine="708"/>
        <w:jc w:val="both"/>
        <w:rPr>
          <w:rFonts w:ascii="Verdana" w:eastAsia="Arial" w:hAnsi="Verdana" w:cs="Arial"/>
          <w:color w:val="000000"/>
          <w:sz w:val="16"/>
          <w:szCs w:val="16"/>
        </w:rPr>
      </w:pPr>
      <w:r w:rsidRPr="000A5EAC">
        <w:rPr>
          <w:rFonts w:ascii="Verdana" w:hAnsi="Verdana" w:cs="Arial"/>
          <w:sz w:val="16"/>
          <w:szCs w:val="16"/>
          <w:vertAlign w:val="superscript"/>
        </w:rPr>
        <w:footnoteRef/>
      </w:r>
      <w:r w:rsidRPr="000A5EAC">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7A9551E6" w14:textId="77777777" w:rsidR="002E7652" w:rsidRPr="000A5EAC" w:rsidRDefault="002E7652" w:rsidP="002E7652">
      <w:pPr>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4D73E0C9" w14:textId="77777777" w:rsidR="002E7652" w:rsidRPr="000A5EAC" w:rsidRDefault="002E7652" w:rsidP="002E7652">
      <w:pPr>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r w:rsidRPr="000A5EAC">
        <w:rPr>
          <w:rFonts w:ascii="Verdana" w:eastAsia="Arial" w:hAnsi="Verdana" w:cs="Arial"/>
          <w:color w:val="000000"/>
          <w:sz w:val="16"/>
          <w:szCs w:val="16"/>
        </w:rPr>
        <w:t>pliegos, no será objeto de evaluación”.</w:t>
      </w:r>
    </w:p>
    <w:p w14:paraId="71835F26" w14:textId="77777777" w:rsidR="002E7652" w:rsidRPr="000A5EAC" w:rsidRDefault="002E7652" w:rsidP="002E7652">
      <w:pPr>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7E636BB" w14:textId="77777777" w:rsidR="002E7652" w:rsidRPr="000A5EAC" w:rsidRDefault="002E7652" w:rsidP="002E7652">
      <w:pPr>
        <w:jc w:val="both"/>
        <w:rPr>
          <w:rFonts w:ascii="Verdana" w:eastAsia="Arial" w:hAnsi="Verdana" w:cs="Arial"/>
          <w:color w:val="000000"/>
          <w:sz w:val="16"/>
          <w:szCs w:val="16"/>
        </w:rPr>
      </w:pPr>
      <w:r w:rsidRPr="000A5EAC">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19">
    <w:p w14:paraId="35CE7C93" w14:textId="77777777" w:rsidR="002E7652" w:rsidRPr="004E693F" w:rsidRDefault="002E7652" w:rsidP="002E7652">
      <w:pPr>
        <w:pStyle w:val="Textonotapie"/>
        <w:ind w:firstLine="708"/>
        <w:jc w:val="both"/>
        <w:rPr>
          <w:rFonts w:ascii="Verdana" w:hAnsi="Verdana"/>
          <w:sz w:val="16"/>
          <w:szCs w:val="16"/>
          <w:lang w:bidi="es-ES"/>
        </w:rPr>
      </w:pPr>
      <w:r w:rsidRPr="004E693F">
        <w:rPr>
          <w:rStyle w:val="Refdenotaalpie"/>
          <w:rFonts w:ascii="Verdana" w:hAnsi="Verdana"/>
          <w:sz w:val="16"/>
          <w:szCs w:val="16"/>
        </w:rPr>
        <w:footnoteRef/>
      </w:r>
      <w:r w:rsidRPr="004E693F">
        <w:rPr>
          <w:rFonts w:ascii="Verdana" w:hAnsi="Verdana"/>
          <w:sz w:val="16"/>
          <w:szCs w:val="16"/>
        </w:rPr>
        <w:t xml:space="preserve"> </w:t>
      </w:r>
      <w:r w:rsidRPr="004E693F">
        <w:rPr>
          <w:rFonts w:ascii="Verdana" w:hAnsi="Verdana"/>
          <w:sz w:val="16"/>
          <w:szCs w:val="16"/>
          <w:lang w:bidi="es-ES"/>
        </w:rPr>
        <w:t xml:space="preserve">Agencia Nacional de Contratación Pública –Colombia Compra Eficiente. Guía para Determinar y Verificar la Capacidad Residual del Proponente en los Procesos de Contratación de Obra Pública. Disponible en línea: </w:t>
      </w:r>
      <w:hyperlink r:id="rId1" w:history="1">
        <w:r w:rsidRPr="004E693F">
          <w:rPr>
            <w:rStyle w:val="Hipervnculo"/>
            <w:rFonts w:ascii="Verdana" w:hAnsi="Verdana"/>
            <w:sz w:val="16"/>
            <w:szCs w:val="16"/>
            <w:lang w:bidi="es-ES"/>
          </w:rPr>
          <w:t>https://www.colombiacompra.gov.co/archivos/manual/guia-para-determinar-y-verificar-la-capacidad-residual-del-proponente-en-los-procesos-de-contratacion-de-obra-publica</w:t>
        </w:r>
      </w:hyperlink>
      <w:r w:rsidRPr="004E693F">
        <w:rPr>
          <w:rFonts w:ascii="Verdana" w:hAnsi="Verdana"/>
          <w:sz w:val="16"/>
          <w:szCs w:val="16"/>
          <w:lang w:bidi="es-ES"/>
        </w:rPr>
        <w:t xml:space="preserve">. 2023. p. 11. </w:t>
      </w:r>
    </w:p>
    <w:p w14:paraId="4D8DE8AC" w14:textId="77777777" w:rsidR="002E7652" w:rsidRPr="006D78EB" w:rsidRDefault="002E7652" w:rsidP="002E7652">
      <w:pPr>
        <w:pStyle w:val="Textonotapie"/>
        <w:ind w:firstLine="708"/>
      </w:pPr>
    </w:p>
  </w:footnote>
  <w:footnote w:id="20">
    <w:p w14:paraId="5823DD15" w14:textId="77777777" w:rsidR="002E7652" w:rsidRPr="00C05CAD" w:rsidRDefault="002E7652" w:rsidP="002E7652">
      <w:pPr>
        <w:pStyle w:val="Textonotapie"/>
        <w:ind w:firstLine="708"/>
        <w:jc w:val="both"/>
        <w:rPr>
          <w:rFonts w:ascii="Verdana" w:hAnsi="Verdana"/>
          <w:sz w:val="16"/>
          <w:szCs w:val="16"/>
          <w:lang w:val="es-CO"/>
        </w:rPr>
      </w:pPr>
      <w:r w:rsidRPr="00C05CAD">
        <w:rPr>
          <w:rStyle w:val="Refdenotaalpie"/>
          <w:rFonts w:ascii="Verdana" w:hAnsi="Verdana"/>
          <w:sz w:val="16"/>
          <w:szCs w:val="16"/>
        </w:rPr>
        <w:footnoteRef/>
      </w:r>
      <w:r w:rsidRPr="00C05CAD">
        <w:rPr>
          <w:rFonts w:ascii="Verdana" w:hAnsi="Verdana"/>
          <w:sz w:val="16"/>
          <w:szCs w:val="16"/>
        </w:rPr>
        <w:t xml:space="preserve"> En torno a la información que debe actualizar los contadores públicos, el artículo 26 de la Resolución prescribe: “</w:t>
      </w:r>
      <w:r w:rsidRPr="00C05CAD">
        <w:rPr>
          <w:rFonts w:ascii="Verdana" w:hAnsi="Verdana"/>
          <w:sz w:val="16"/>
          <w:szCs w:val="16"/>
          <w:lang w:val="es-CO"/>
        </w:rPr>
        <w:t>Los Contadores Públicos en la información anual por actualizar deberán reportar los cambios que hubieren tenido en el último año concerniente a la dirección de domicilio, estudios realizados y experiencia profesional. Lo anterior con el objeto de cumplir con las funciones misionales de la Entidad</w:t>
      </w:r>
      <w:r>
        <w:rPr>
          <w:rFonts w:ascii="Verdana" w:hAnsi="Verdana"/>
          <w:sz w:val="16"/>
          <w:szCs w:val="16"/>
          <w:lang w:val="es-CO"/>
        </w:rPr>
        <w:t>”</w:t>
      </w:r>
      <w:r w:rsidRPr="00C05CAD">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so1B13"/>
      </v:shape>
    </w:pict>
  </w:numPicBullet>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8C76E41"/>
    <w:multiLevelType w:val="multilevel"/>
    <w:tmpl w:val="02D6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5D1376CE"/>
    <w:multiLevelType w:val="hybridMultilevel"/>
    <w:tmpl w:val="0DE68D62"/>
    <w:lvl w:ilvl="0" w:tplc="040A0001">
      <w:start w:val="1"/>
      <w:numFmt w:val="bullet"/>
      <w:lvlText w:val=""/>
      <w:lvlJc w:val="left"/>
      <w:pPr>
        <w:ind w:left="1434" w:hanging="360"/>
      </w:pPr>
      <w:rPr>
        <w:rFonts w:ascii="Symbol" w:hAnsi="Symbol" w:hint="default"/>
      </w:rPr>
    </w:lvl>
    <w:lvl w:ilvl="1" w:tplc="040A0003" w:tentative="1">
      <w:start w:val="1"/>
      <w:numFmt w:val="bullet"/>
      <w:lvlText w:val="o"/>
      <w:lvlJc w:val="left"/>
      <w:pPr>
        <w:ind w:left="2154" w:hanging="360"/>
      </w:pPr>
      <w:rPr>
        <w:rFonts w:ascii="Courier New" w:hAnsi="Courier New" w:cs="Courier New" w:hint="default"/>
      </w:rPr>
    </w:lvl>
    <w:lvl w:ilvl="2" w:tplc="040A0005" w:tentative="1">
      <w:start w:val="1"/>
      <w:numFmt w:val="bullet"/>
      <w:lvlText w:val=""/>
      <w:lvlJc w:val="left"/>
      <w:pPr>
        <w:ind w:left="2874" w:hanging="360"/>
      </w:pPr>
      <w:rPr>
        <w:rFonts w:ascii="Wingdings" w:hAnsi="Wingdings" w:hint="default"/>
      </w:rPr>
    </w:lvl>
    <w:lvl w:ilvl="3" w:tplc="040A0001" w:tentative="1">
      <w:start w:val="1"/>
      <w:numFmt w:val="bullet"/>
      <w:lvlText w:val=""/>
      <w:lvlJc w:val="left"/>
      <w:pPr>
        <w:ind w:left="3594" w:hanging="360"/>
      </w:pPr>
      <w:rPr>
        <w:rFonts w:ascii="Symbol" w:hAnsi="Symbol" w:hint="default"/>
      </w:rPr>
    </w:lvl>
    <w:lvl w:ilvl="4" w:tplc="040A0003" w:tentative="1">
      <w:start w:val="1"/>
      <w:numFmt w:val="bullet"/>
      <w:lvlText w:val="o"/>
      <w:lvlJc w:val="left"/>
      <w:pPr>
        <w:ind w:left="4314" w:hanging="360"/>
      </w:pPr>
      <w:rPr>
        <w:rFonts w:ascii="Courier New" w:hAnsi="Courier New" w:cs="Courier New" w:hint="default"/>
      </w:rPr>
    </w:lvl>
    <w:lvl w:ilvl="5" w:tplc="040A0005" w:tentative="1">
      <w:start w:val="1"/>
      <w:numFmt w:val="bullet"/>
      <w:lvlText w:val=""/>
      <w:lvlJc w:val="left"/>
      <w:pPr>
        <w:ind w:left="5034" w:hanging="360"/>
      </w:pPr>
      <w:rPr>
        <w:rFonts w:ascii="Wingdings" w:hAnsi="Wingdings" w:hint="default"/>
      </w:rPr>
    </w:lvl>
    <w:lvl w:ilvl="6" w:tplc="040A0001" w:tentative="1">
      <w:start w:val="1"/>
      <w:numFmt w:val="bullet"/>
      <w:lvlText w:val=""/>
      <w:lvlJc w:val="left"/>
      <w:pPr>
        <w:ind w:left="5754" w:hanging="360"/>
      </w:pPr>
      <w:rPr>
        <w:rFonts w:ascii="Symbol" w:hAnsi="Symbol" w:hint="default"/>
      </w:rPr>
    </w:lvl>
    <w:lvl w:ilvl="7" w:tplc="040A0003" w:tentative="1">
      <w:start w:val="1"/>
      <w:numFmt w:val="bullet"/>
      <w:lvlText w:val="o"/>
      <w:lvlJc w:val="left"/>
      <w:pPr>
        <w:ind w:left="6474" w:hanging="360"/>
      </w:pPr>
      <w:rPr>
        <w:rFonts w:ascii="Courier New" w:hAnsi="Courier New" w:cs="Courier New" w:hint="default"/>
      </w:rPr>
    </w:lvl>
    <w:lvl w:ilvl="8" w:tplc="040A0005" w:tentative="1">
      <w:start w:val="1"/>
      <w:numFmt w:val="bullet"/>
      <w:lvlText w:val=""/>
      <w:lvlJc w:val="left"/>
      <w:pPr>
        <w:ind w:left="7194"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54691B"/>
    <w:multiLevelType w:val="multilevel"/>
    <w:tmpl w:val="1A68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2"/>
  </w:num>
  <w:num w:numId="13" w16cid:durableId="1512908409">
    <w:abstractNumId w:val="6"/>
  </w:num>
  <w:num w:numId="14" w16cid:durableId="895897244">
    <w:abstractNumId w:val="18"/>
  </w:num>
  <w:num w:numId="15" w16cid:durableId="390349800">
    <w:abstractNumId w:val="14"/>
  </w:num>
  <w:num w:numId="16" w16cid:durableId="1330140246">
    <w:abstractNumId w:val="1"/>
  </w:num>
  <w:num w:numId="17" w16cid:durableId="679089576">
    <w:abstractNumId w:val="12"/>
  </w:num>
  <w:num w:numId="18" w16cid:durableId="1956014718">
    <w:abstractNumId w:val="0"/>
  </w:num>
  <w:num w:numId="19" w16cid:durableId="1341468668">
    <w:abstractNumId w:val="4"/>
  </w:num>
  <w:num w:numId="20" w16cid:durableId="84695097">
    <w:abstractNumId w:val="13"/>
  </w:num>
  <w:num w:numId="21" w16cid:durableId="792796158">
    <w:abstractNumId w:val="5"/>
  </w:num>
  <w:num w:numId="22" w16cid:durableId="10325319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69"/>
    <w:rsid w:val="000103C9"/>
    <w:rsid w:val="00010DDA"/>
    <w:rsid w:val="00015E3F"/>
    <w:rsid w:val="00016F78"/>
    <w:rsid w:val="00017CDE"/>
    <w:rsid w:val="00021CEB"/>
    <w:rsid w:val="00046945"/>
    <w:rsid w:val="00061B2A"/>
    <w:rsid w:val="000625FF"/>
    <w:rsid w:val="00064A50"/>
    <w:rsid w:val="000666C3"/>
    <w:rsid w:val="00067612"/>
    <w:rsid w:val="00082362"/>
    <w:rsid w:val="00082A14"/>
    <w:rsid w:val="00086569"/>
    <w:rsid w:val="00095FD8"/>
    <w:rsid w:val="00097569"/>
    <w:rsid w:val="000A0F7B"/>
    <w:rsid w:val="000A3E96"/>
    <w:rsid w:val="000A4C81"/>
    <w:rsid w:val="000A5329"/>
    <w:rsid w:val="000A683E"/>
    <w:rsid w:val="000B17F8"/>
    <w:rsid w:val="000B19B9"/>
    <w:rsid w:val="000D0334"/>
    <w:rsid w:val="000D0B7F"/>
    <w:rsid w:val="000D35BF"/>
    <w:rsid w:val="000D3DDE"/>
    <w:rsid w:val="000D5DA7"/>
    <w:rsid w:val="000D6C39"/>
    <w:rsid w:val="000D717A"/>
    <w:rsid w:val="000E11C3"/>
    <w:rsid w:val="000E3032"/>
    <w:rsid w:val="000E64DA"/>
    <w:rsid w:val="000F3FA4"/>
    <w:rsid w:val="000F471A"/>
    <w:rsid w:val="000F6486"/>
    <w:rsid w:val="000F7317"/>
    <w:rsid w:val="00110A40"/>
    <w:rsid w:val="00110CD2"/>
    <w:rsid w:val="0011302F"/>
    <w:rsid w:val="00116940"/>
    <w:rsid w:val="00122024"/>
    <w:rsid w:val="001239B4"/>
    <w:rsid w:val="001247D7"/>
    <w:rsid w:val="00125105"/>
    <w:rsid w:val="00127233"/>
    <w:rsid w:val="00130B68"/>
    <w:rsid w:val="00133097"/>
    <w:rsid w:val="00144187"/>
    <w:rsid w:val="001517BB"/>
    <w:rsid w:val="0015699B"/>
    <w:rsid w:val="00163853"/>
    <w:rsid w:val="00164ADD"/>
    <w:rsid w:val="001714FB"/>
    <w:rsid w:val="0017283C"/>
    <w:rsid w:val="0017701C"/>
    <w:rsid w:val="0018564C"/>
    <w:rsid w:val="00195E1E"/>
    <w:rsid w:val="001A2E17"/>
    <w:rsid w:val="001A2FD6"/>
    <w:rsid w:val="001A33BF"/>
    <w:rsid w:val="001B177F"/>
    <w:rsid w:val="001B49C2"/>
    <w:rsid w:val="001C29FB"/>
    <w:rsid w:val="001C3440"/>
    <w:rsid w:val="001C6AF9"/>
    <w:rsid w:val="001C70AC"/>
    <w:rsid w:val="001C75FC"/>
    <w:rsid w:val="001E32DE"/>
    <w:rsid w:val="001E3995"/>
    <w:rsid w:val="001E3DD9"/>
    <w:rsid w:val="001E4177"/>
    <w:rsid w:val="001E4B33"/>
    <w:rsid w:val="001F0B24"/>
    <w:rsid w:val="001F2D3D"/>
    <w:rsid w:val="001F2E0B"/>
    <w:rsid w:val="001F4D85"/>
    <w:rsid w:val="001F6F7B"/>
    <w:rsid w:val="001F7DC6"/>
    <w:rsid w:val="00205C7C"/>
    <w:rsid w:val="00207EC0"/>
    <w:rsid w:val="0021064C"/>
    <w:rsid w:val="0021257A"/>
    <w:rsid w:val="0022104F"/>
    <w:rsid w:val="0022400B"/>
    <w:rsid w:val="00226791"/>
    <w:rsid w:val="00237093"/>
    <w:rsid w:val="00241113"/>
    <w:rsid w:val="002421BB"/>
    <w:rsid w:val="002426E8"/>
    <w:rsid w:val="002455EC"/>
    <w:rsid w:val="00253499"/>
    <w:rsid w:val="00253B30"/>
    <w:rsid w:val="00255036"/>
    <w:rsid w:val="0025796E"/>
    <w:rsid w:val="00263336"/>
    <w:rsid w:val="00264BBF"/>
    <w:rsid w:val="002707A2"/>
    <w:rsid w:val="00271791"/>
    <w:rsid w:val="002754C0"/>
    <w:rsid w:val="00275C87"/>
    <w:rsid w:val="00275F38"/>
    <w:rsid w:val="00280D29"/>
    <w:rsid w:val="0029330A"/>
    <w:rsid w:val="00294480"/>
    <w:rsid w:val="00294B5B"/>
    <w:rsid w:val="002951A0"/>
    <w:rsid w:val="002962BC"/>
    <w:rsid w:val="002A093D"/>
    <w:rsid w:val="002A0DD0"/>
    <w:rsid w:val="002A4499"/>
    <w:rsid w:val="002A49AC"/>
    <w:rsid w:val="002A64FD"/>
    <w:rsid w:val="002C2646"/>
    <w:rsid w:val="002C2E58"/>
    <w:rsid w:val="002C3DCA"/>
    <w:rsid w:val="002C54CA"/>
    <w:rsid w:val="002C6C96"/>
    <w:rsid w:val="002C7A84"/>
    <w:rsid w:val="002D1E0E"/>
    <w:rsid w:val="002E1D17"/>
    <w:rsid w:val="002E2A62"/>
    <w:rsid w:val="002E2BF8"/>
    <w:rsid w:val="002E4FD9"/>
    <w:rsid w:val="002E7652"/>
    <w:rsid w:val="002F3212"/>
    <w:rsid w:val="00300DB3"/>
    <w:rsid w:val="003014D9"/>
    <w:rsid w:val="00301559"/>
    <w:rsid w:val="00302D5E"/>
    <w:rsid w:val="0030657A"/>
    <w:rsid w:val="00314EAC"/>
    <w:rsid w:val="003213C7"/>
    <w:rsid w:val="00322A85"/>
    <w:rsid w:val="00324168"/>
    <w:rsid w:val="003246D3"/>
    <w:rsid w:val="00330834"/>
    <w:rsid w:val="00337EB7"/>
    <w:rsid w:val="003416F2"/>
    <w:rsid w:val="003448F4"/>
    <w:rsid w:val="003472C0"/>
    <w:rsid w:val="00347BD0"/>
    <w:rsid w:val="003529A7"/>
    <w:rsid w:val="00353D9E"/>
    <w:rsid w:val="003548DD"/>
    <w:rsid w:val="00355CE3"/>
    <w:rsid w:val="003570F9"/>
    <w:rsid w:val="003579FC"/>
    <w:rsid w:val="00361949"/>
    <w:rsid w:val="00361EC8"/>
    <w:rsid w:val="00374647"/>
    <w:rsid w:val="00374F5E"/>
    <w:rsid w:val="00375B9A"/>
    <w:rsid w:val="00377E3E"/>
    <w:rsid w:val="0038119B"/>
    <w:rsid w:val="00383D3A"/>
    <w:rsid w:val="00386C9B"/>
    <w:rsid w:val="00390A81"/>
    <w:rsid w:val="00391EFD"/>
    <w:rsid w:val="00394830"/>
    <w:rsid w:val="003A07E3"/>
    <w:rsid w:val="003A1B16"/>
    <w:rsid w:val="003A1BF4"/>
    <w:rsid w:val="003A3EC0"/>
    <w:rsid w:val="003A779E"/>
    <w:rsid w:val="003C30AD"/>
    <w:rsid w:val="003C37BD"/>
    <w:rsid w:val="003D0F4D"/>
    <w:rsid w:val="003D1A44"/>
    <w:rsid w:val="003D44A3"/>
    <w:rsid w:val="003D5B0D"/>
    <w:rsid w:val="003D6C1E"/>
    <w:rsid w:val="003E0499"/>
    <w:rsid w:val="003E4F80"/>
    <w:rsid w:val="003E6439"/>
    <w:rsid w:val="003F3941"/>
    <w:rsid w:val="00402B88"/>
    <w:rsid w:val="004050A8"/>
    <w:rsid w:val="00406575"/>
    <w:rsid w:val="00406605"/>
    <w:rsid w:val="004068F3"/>
    <w:rsid w:val="00414C74"/>
    <w:rsid w:val="00416DA0"/>
    <w:rsid w:val="00421F41"/>
    <w:rsid w:val="00421F74"/>
    <w:rsid w:val="004220B0"/>
    <w:rsid w:val="00422E63"/>
    <w:rsid w:val="00426A6E"/>
    <w:rsid w:val="0042722E"/>
    <w:rsid w:val="0044528D"/>
    <w:rsid w:val="004458D0"/>
    <w:rsid w:val="004469FB"/>
    <w:rsid w:val="00447B74"/>
    <w:rsid w:val="00451F23"/>
    <w:rsid w:val="004527B8"/>
    <w:rsid w:val="00454FE4"/>
    <w:rsid w:val="00455E83"/>
    <w:rsid w:val="0045788B"/>
    <w:rsid w:val="00466E39"/>
    <w:rsid w:val="00471A95"/>
    <w:rsid w:val="00475918"/>
    <w:rsid w:val="00476BFE"/>
    <w:rsid w:val="0047728E"/>
    <w:rsid w:val="00490F09"/>
    <w:rsid w:val="0049554D"/>
    <w:rsid w:val="0049603E"/>
    <w:rsid w:val="00497A01"/>
    <w:rsid w:val="004A1847"/>
    <w:rsid w:val="004A305D"/>
    <w:rsid w:val="004A3410"/>
    <w:rsid w:val="004A4033"/>
    <w:rsid w:val="004A52C8"/>
    <w:rsid w:val="004A645B"/>
    <w:rsid w:val="004B4EA2"/>
    <w:rsid w:val="004B65B2"/>
    <w:rsid w:val="004C54BB"/>
    <w:rsid w:val="004C6F0D"/>
    <w:rsid w:val="004D190F"/>
    <w:rsid w:val="004D292B"/>
    <w:rsid w:val="004D3569"/>
    <w:rsid w:val="004D36B9"/>
    <w:rsid w:val="004E3717"/>
    <w:rsid w:val="004E37EA"/>
    <w:rsid w:val="004E693F"/>
    <w:rsid w:val="004E7655"/>
    <w:rsid w:val="004F21C4"/>
    <w:rsid w:val="004F4609"/>
    <w:rsid w:val="004F685F"/>
    <w:rsid w:val="005014F0"/>
    <w:rsid w:val="005063BD"/>
    <w:rsid w:val="005073F9"/>
    <w:rsid w:val="00524522"/>
    <w:rsid w:val="00526AF5"/>
    <w:rsid w:val="0053193C"/>
    <w:rsid w:val="00536E5F"/>
    <w:rsid w:val="00540012"/>
    <w:rsid w:val="005435C8"/>
    <w:rsid w:val="00543E93"/>
    <w:rsid w:val="00544BB7"/>
    <w:rsid w:val="00544BB8"/>
    <w:rsid w:val="00546DC2"/>
    <w:rsid w:val="0055133D"/>
    <w:rsid w:val="005521B4"/>
    <w:rsid w:val="0055413F"/>
    <w:rsid w:val="005566E8"/>
    <w:rsid w:val="005675B8"/>
    <w:rsid w:val="00570358"/>
    <w:rsid w:val="00574867"/>
    <w:rsid w:val="00574A81"/>
    <w:rsid w:val="00576460"/>
    <w:rsid w:val="00583676"/>
    <w:rsid w:val="00587FBF"/>
    <w:rsid w:val="00591460"/>
    <w:rsid w:val="00592414"/>
    <w:rsid w:val="005A1BA3"/>
    <w:rsid w:val="005A5F5E"/>
    <w:rsid w:val="005A65E0"/>
    <w:rsid w:val="005B2120"/>
    <w:rsid w:val="005B4665"/>
    <w:rsid w:val="005B6192"/>
    <w:rsid w:val="005C142E"/>
    <w:rsid w:val="005C1C75"/>
    <w:rsid w:val="005C3777"/>
    <w:rsid w:val="005C5CDC"/>
    <w:rsid w:val="005D007F"/>
    <w:rsid w:val="005D2561"/>
    <w:rsid w:val="005D3C03"/>
    <w:rsid w:val="005D476C"/>
    <w:rsid w:val="005D4B75"/>
    <w:rsid w:val="005D5A9E"/>
    <w:rsid w:val="005E17E0"/>
    <w:rsid w:val="005E27C7"/>
    <w:rsid w:val="005E39C8"/>
    <w:rsid w:val="005F1F15"/>
    <w:rsid w:val="005F7950"/>
    <w:rsid w:val="005F7FE3"/>
    <w:rsid w:val="00611025"/>
    <w:rsid w:val="006147B6"/>
    <w:rsid w:val="006200BF"/>
    <w:rsid w:val="006219F8"/>
    <w:rsid w:val="006302F7"/>
    <w:rsid w:val="00636FFB"/>
    <w:rsid w:val="00643AD3"/>
    <w:rsid w:val="0064644B"/>
    <w:rsid w:val="00646B9F"/>
    <w:rsid w:val="00647B26"/>
    <w:rsid w:val="00662988"/>
    <w:rsid w:val="00665D70"/>
    <w:rsid w:val="00670668"/>
    <w:rsid w:val="00680B37"/>
    <w:rsid w:val="00684E12"/>
    <w:rsid w:val="006900D9"/>
    <w:rsid w:val="00690A64"/>
    <w:rsid w:val="006B1189"/>
    <w:rsid w:val="006B35DE"/>
    <w:rsid w:val="006C24AC"/>
    <w:rsid w:val="006C497C"/>
    <w:rsid w:val="006D42FD"/>
    <w:rsid w:val="006D78EB"/>
    <w:rsid w:val="006E7B69"/>
    <w:rsid w:val="006F0082"/>
    <w:rsid w:val="007023F6"/>
    <w:rsid w:val="00702840"/>
    <w:rsid w:val="00702E9D"/>
    <w:rsid w:val="00706C16"/>
    <w:rsid w:val="00713908"/>
    <w:rsid w:val="00720A44"/>
    <w:rsid w:val="007220E6"/>
    <w:rsid w:val="00725483"/>
    <w:rsid w:val="00726A8F"/>
    <w:rsid w:val="007340C3"/>
    <w:rsid w:val="0073609B"/>
    <w:rsid w:val="00737FB0"/>
    <w:rsid w:val="007408BF"/>
    <w:rsid w:val="007413E0"/>
    <w:rsid w:val="00742FDE"/>
    <w:rsid w:val="0074497A"/>
    <w:rsid w:val="00751F59"/>
    <w:rsid w:val="0075235A"/>
    <w:rsid w:val="00753C14"/>
    <w:rsid w:val="00756841"/>
    <w:rsid w:val="007649AB"/>
    <w:rsid w:val="00771D0C"/>
    <w:rsid w:val="0078152C"/>
    <w:rsid w:val="00782402"/>
    <w:rsid w:val="00782638"/>
    <w:rsid w:val="007833AC"/>
    <w:rsid w:val="007A4289"/>
    <w:rsid w:val="007A69A3"/>
    <w:rsid w:val="007B05CF"/>
    <w:rsid w:val="007B121C"/>
    <w:rsid w:val="007B268C"/>
    <w:rsid w:val="007B5B6F"/>
    <w:rsid w:val="007B7171"/>
    <w:rsid w:val="007C0C0F"/>
    <w:rsid w:val="007C27BA"/>
    <w:rsid w:val="007C3DC2"/>
    <w:rsid w:val="007C6BDE"/>
    <w:rsid w:val="007D7BFB"/>
    <w:rsid w:val="007E5497"/>
    <w:rsid w:val="007E724B"/>
    <w:rsid w:val="007E7D24"/>
    <w:rsid w:val="007F2808"/>
    <w:rsid w:val="007F7546"/>
    <w:rsid w:val="0080447A"/>
    <w:rsid w:val="00806F5F"/>
    <w:rsid w:val="00820278"/>
    <w:rsid w:val="00820585"/>
    <w:rsid w:val="00823619"/>
    <w:rsid w:val="008258C9"/>
    <w:rsid w:val="00834AB7"/>
    <w:rsid w:val="00836AA4"/>
    <w:rsid w:val="00844AE9"/>
    <w:rsid w:val="0084791A"/>
    <w:rsid w:val="00853C4D"/>
    <w:rsid w:val="00855D50"/>
    <w:rsid w:val="00857E66"/>
    <w:rsid w:val="00864932"/>
    <w:rsid w:val="00866444"/>
    <w:rsid w:val="00867F95"/>
    <w:rsid w:val="00872132"/>
    <w:rsid w:val="0087683E"/>
    <w:rsid w:val="008771B4"/>
    <w:rsid w:val="00880D43"/>
    <w:rsid w:val="00881669"/>
    <w:rsid w:val="008843B6"/>
    <w:rsid w:val="00891928"/>
    <w:rsid w:val="00897C9E"/>
    <w:rsid w:val="008A1F41"/>
    <w:rsid w:val="008A41DB"/>
    <w:rsid w:val="008A446D"/>
    <w:rsid w:val="008B25F1"/>
    <w:rsid w:val="008D180B"/>
    <w:rsid w:val="008E2278"/>
    <w:rsid w:val="008E45F6"/>
    <w:rsid w:val="008E62C2"/>
    <w:rsid w:val="008E6E90"/>
    <w:rsid w:val="008F0EA7"/>
    <w:rsid w:val="00906603"/>
    <w:rsid w:val="00920C0F"/>
    <w:rsid w:val="00923EEF"/>
    <w:rsid w:val="00927251"/>
    <w:rsid w:val="00931D69"/>
    <w:rsid w:val="00934446"/>
    <w:rsid w:val="009419F9"/>
    <w:rsid w:val="009426E8"/>
    <w:rsid w:val="00954D51"/>
    <w:rsid w:val="009564A1"/>
    <w:rsid w:val="0095685E"/>
    <w:rsid w:val="00957C19"/>
    <w:rsid w:val="00961B09"/>
    <w:rsid w:val="00965334"/>
    <w:rsid w:val="00966A49"/>
    <w:rsid w:val="0097093E"/>
    <w:rsid w:val="00971E9D"/>
    <w:rsid w:val="00976387"/>
    <w:rsid w:val="00976503"/>
    <w:rsid w:val="00983007"/>
    <w:rsid w:val="009853DE"/>
    <w:rsid w:val="0098642B"/>
    <w:rsid w:val="009915A5"/>
    <w:rsid w:val="009962F1"/>
    <w:rsid w:val="009964C9"/>
    <w:rsid w:val="00997D39"/>
    <w:rsid w:val="009A0C53"/>
    <w:rsid w:val="009A0DFA"/>
    <w:rsid w:val="009A11A3"/>
    <w:rsid w:val="009A1C6F"/>
    <w:rsid w:val="009A49DC"/>
    <w:rsid w:val="009B2D26"/>
    <w:rsid w:val="009B3CC8"/>
    <w:rsid w:val="009C0850"/>
    <w:rsid w:val="009C3027"/>
    <w:rsid w:val="009C49E0"/>
    <w:rsid w:val="009C6379"/>
    <w:rsid w:val="009C71FA"/>
    <w:rsid w:val="009C72E7"/>
    <w:rsid w:val="009C7F7E"/>
    <w:rsid w:val="009D2298"/>
    <w:rsid w:val="009D2C33"/>
    <w:rsid w:val="009D3058"/>
    <w:rsid w:val="009D4616"/>
    <w:rsid w:val="009D713D"/>
    <w:rsid w:val="009E1881"/>
    <w:rsid w:val="009E31DC"/>
    <w:rsid w:val="009E67A4"/>
    <w:rsid w:val="009E7522"/>
    <w:rsid w:val="009F3A13"/>
    <w:rsid w:val="00A0015F"/>
    <w:rsid w:val="00A055BC"/>
    <w:rsid w:val="00A059DF"/>
    <w:rsid w:val="00A05A03"/>
    <w:rsid w:val="00A05B75"/>
    <w:rsid w:val="00A072A7"/>
    <w:rsid w:val="00A122D3"/>
    <w:rsid w:val="00A14468"/>
    <w:rsid w:val="00A17F13"/>
    <w:rsid w:val="00A20739"/>
    <w:rsid w:val="00A217F2"/>
    <w:rsid w:val="00A236C8"/>
    <w:rsid w:val="00A23AF9"/>
    <w:rsid w:val="00A25555"/>
    <w:rsid w:val="00A260CF"/>
    <w:rsid w:val="00A3207B"/>
    <w:rsid w:val="00A3310C"/>
    <w:rsid w:val="00A33C78"/>
    <w:rsid w:val="00A44301"/>
    <w:rsid w:val="00A44E8F"/>
    <w:rsid w:val="00A5140C"/>
    <w:rsid w:val="00A57DB0"/>
    <w:rsid w:val="00A61C55"/>
    <w:rsid w:val="00A626AB"/>
    <w:rsid w:val="00A62AD4"/>
    <w:rsid w:val="00A80118"/>
    <w:rsid w:val="00A80E42"/>
    <w:rsid w:val="00A83A72"/>
    <w:rsid w:val="00A915B2"/>
    <w:rsid w:val="00A9171C"/>
    <w:rsid w:val="00AB0ADB"/>
    <w:rsid w:val="00AB176B"/>
    <w:rsid w:val="00AB2E68"/>
    <w:rsid w:val="00AC17F6"/>
    <w:rsid w:val="00AC7B2F"/>
    <w:rsid w:val="00AF292A"/>
    <w:rsid w:val="00AF2F86"/>
    <w:rsid w:val="00AF44BA"/>
    <w:rsid w:val="00B00C0E"/>
    <w:rsid w:val="00B01023"/>
    <w:rsid w:val="00B01B1A"/>
    <w:rsid w:val="00B0381D"/>
    <w:rsid w:val="00B073C0"/>
    <w:rsid w:val="00B0792B"/>
    <w:rsid w:val="00B17524"/>
    <w:rsid w:val="00B20670"/>
    <w:rsid w:val="00B223EF"/>
    <w:rsid w:val="00B22447"/>
    <w:rsid w:val="00B22684"/>
    <w:rsid w:val="00B2286C"/>
    <w:rsid w:val="00B27B35"/>
    <w:rsid w:val="00B302C2"/>
    <w:rsid w:val="00B30E48"/>
    <w:rsid w:val="00B36F96"/>
    <w:rsid w:val="00B42882"/>
    <w:rsid w:val="00B44A47"/>
    <w:rsid w:val="00B45F75"/>
    <w:rsid w:val="00B604FF"/>
    <w:rsid w:val="00B636DD"/>
    <w:rsid w:val="00B664A0"/>
    <w:rsid w:val="00B67317"/>
    <w:rsid w:val="00B72CD3"/>
    <w:rsid w:val="00B72FFF"/>
    <w:rsid w:val="00B80326"/>
    <w:rsid w:val="00B81BB5"/>
    <w:rsid w:val="00B828BE"/>
    <w:rsid w:val="00B83E46"/>
    <w:rsid w:val="00B92A98"/>
    <w:rsid w:val="00B97D5A"/>
    <w:rsid w:val="00BA1336"/>
    <w:rsid w:val="00BA73A4"/>
    <w:rsid w:val="00BA7B12"/>
    <w:rsid w:val="00BB0FF5"/>
    <w:rsid w:val="00BB2A59"/>
    <w:rsid w:val="00BC29C4"/>
    <w:rsid w:val="00BC3D36"/>
    <w:rsid w:val="00BC4837"/>
    <w:rsid w:val="00BC5328"/>
    <w:rsid w:val="00BD0A63"/>
    <w:rsid w:val="00BD18CA"/>
    <w:rsid w:val="00BD54A6"/>
    <w:rsid w:val="00BD7F72"/>
    <w:rsid w:val="00BE223C"/>
    <w:rsid w:val="00BE263F"/>
    <w:rsid w:val="00BE2AF5"/>
    <w:rsid w:val="00BF1C93"/>
    <w:rsid w:val="00BF22DA"/>
    <w:rsid w:val="00BF7425"/>
    <w:rsid w:val="00C0028A"/>
    <w:rsid w:val="00C04FB3"/>
    <w:rsid w:val="00C05700"/>
    <w:rsid w:val="00C05CAD"/>
    <w:rsid w:val="00C1059D"/>
    <w:rsid w:val="00C10A58"/>
    <w:rsid w:val="00C11D8B"/>
    <w:rsid w:val="00C15139"/>
    <w:rsid w:val="00C153F8"/>
    <w:rsid w:val="00C16320"/>
    <w:rsid w:val="00C17E94"/>
    <w:rsid w:val="00C27882"/>
    <w:rsid w:val="00C27A18"/>
    <w:rsid w:val="00C31EE1"/>
    <w:rsid w:val="00C330EB"/>
    <w:rsid w:val="00C3775D"/>
    <w:rsid w:val="00C418CD"/>
    <w:rsid w:val="00C45670"/>
    <w:rsid w:val="00C4731C"/>
    <w:rsid w:val="00C50D69"/>
    <w:rsid w:val="00C50FAE"/>
    <w:rsid w:val="00C51AAD"/>
    <w:rsid w:val="00C522D2"/>
    <w:rsid w:val="00C5365C"/>
    <w:rsid w:val="00C7094F"/>
    <w:rsid w:val="00C70D15"/>
    <w:rsid w:val="00C754BE"/>
    <w:rsid w:val="00C76B1C"/>
    <w:rsid w:val="00C80D0D"/>
    <w:rsid w:val="00C8466D"/>
    <w:rsid w:val="00C925AC"/>
    <w:rsid w:val="00CA23CD"/>
    <w:rsid w:val="00CA26F7"/>
    <w:rsid w:val="00CB5B49"/>
    <w:rsid w:val="00CB6357"/>
    <w:rsid w:val="00CB7864"/>
    <w:rsid w:val="00CC1B26"/>
    <w:rsid w:val="00CC3ADD"/>
    <w:rsid w:val="00CC4F57"/>
    <w:rsid w:val="00CC6A2A"/>
    <w:rsid w:val="00CD1B09"/>
    <w:rsid w:val="00CE0984"/>
    <w:rsid w:val="00CE2E3E"/>
    <w:rsid w:val="00CF1248"/>
    <w:rsid w:val="00CF4A27"/>
    <w:rsid w:val="00CF4CC1"/>
    <w:rsid w:val="00D12958"/>
    <w:rsid w:val="00D13816"/>
    <w:rsid w:val="00D144CA"/>
    <w:rsid w:val="00D14946"/>
    <w:rsid w:val="00D2194D"/>
    <w:rsid w:val="00D22CA8"/>
    <w:rsid w:val="00D23271"/>
    <w:rsid w:val="00D2530C"/>
    <w:rsid w:val="00D31C2C"/>
    <w:rsid w:val="00D361FD"/>
    <w:rsid w:val="00D3620A"/>
    <w:rsid w:val="00D423A2"/>
    <w:rsid w:val="00D42FB1"/>
    <w:rsid w:val="00D44E26"/>
    <w:rsid w:val="00D51572"/>
    <w:rsid w:val="00D520D8"/>
    <w:rsid w:val="00D551BD"/>
    <w:rsid w:val="00D6107D"/>
    <w:rsid w:val="00D61E56"/>
    <w:rsid w:val="00D6219A"/>
    <w:rsid w:val="00D63AC2"/>
    <w:rsid w:val="00D666D6"/>
    <w:rsid w:val="00D67880"/>
    <w:rsid w:val="00D7383B"/>
    <w:rsid w:val="00D74D1B"/>
    <w:rsid w:val="00D7788A"/>
    <w:rsid w:val="00D84696"/>
    <w:rsid w:val="00D864D5"/>
    <w:rsid w:val="00D907F2"/>
    <w:rsid w:val="00D94372"/>
    <w:rsid w:val="00D94A10"/>
    <w:rsid w:val="00DA01A2"/>
    <w:rsid w:val="00DA231B"/>
    <w:rsid w:val="00DB2B32"/>
    <w:rsid w:val="00DB4AE4"/>
    <w:rsid w:val="00DC1EB1"/>
    <w:rsid w:val="00DC39FC"/>
    <w:rsid w:val="00DD11AE"/>
    <w:rsid w:val="00DD2E40"/>
    <w:rsid w:val="00DD6B3A"/>
    <w:rsid w:val="00DE68BD"/>
    <w:rsid w:val="00DE6DAA"/>
    <w:rsid w:val="00DF5254"/>
    <w:rsid w:val="00DF6026"/>
    <w:rsid w:val="00DF7E23"/>
    <w:rsid w:val="00E02524"/>
    <w:rsid w:val="00E03931"/>
    <w:rsid w:val="00E0521F"/>
    <w:rsid w:val="00E10721"/>
    <w:rsid w:val="00E11FE2"/>
    <w:rsid w:val="00E16408"/>
    <w:rsid w:val="00E20894"/>
    <w:rsid w:val="00E208EE"/>
    <w:rsid w:val="00E22B72"/>
    <w:rsid w:val="00E245AB"/>
    <w:rsid w:val="00E2764C"/>
    <w:rsid w:val="00E27F2E"/>
    <w:rsid w:val="00E31EE7"/>
    <w:rsid w:val="00E4167E"/>
    <w:rsid w:val="00E4212B"/>
    <w:rsid w:val="00E50844"/>
    <w:rsid w:val="00E50AFE"/>
    <w:rsid w:val="00E54C58"/>
    <w:rsid w:val="00E61996"/>
    <w:rsid w:val="00E668A3"/>
    <w:rsid w:val="00E66AE4"/>
    <w:rsid w:val="00E673EB"/>
    <w:rsid w:val="00E70104"/>
    <w:rsid w:val="00E75C92"/>
    <w:rsid w:val="00E771DC"/>
    <w:rsid w:val="00E77641"/>
    <w:rsid w:val="00E779AA"/>
    <w:rsid w:val="00E81ED8"/>
    <w:rsid w:val="00E82BE9"/>
    <w:rsid w:val="00E871F0"/>
    <w:rsid w:val="00E8772A"/>
    <w:rsid w:val="00E90F6B"/>
    <w:rsid w:val="00E92C27"/>
    <w:rsid w:val="00E95519"/>
    <w:rsid w:val="00E9594D"/>
    <w:rsid w:val="00E95EE4"/>
    <w:rsid w:val="00EA0E3D"/>
    <w:rsid w:val="00EA18A6"/>
    <w:rsid w:val="00EA4D54"/>
    <w:rsid w:val="00EA6802"/>
    <w:rsid w:val="00EB43C0"/>
    <w:rsid w:val="00EC1B44"/>
    <w:rsid w:val="00EC38A7"/>
    <w:rsid w:val="00EC69EC"/>
    <w:rsid w:val="00EE1AA8"/>
    <w:rsid w:val="00EE1D7C"/>
    <w:rsid w:val="00EE2451"/>
    <w:rsid w:val="00EE2923"/>
    <w:rsid w:val="00EF5051"/>
    <w:rsid w:val="00EF6D98"/>
    <w:rsid w:val="00EF6DE0"/>
    <w:rsid w:val="00F17F2C"/>
    <w:rsid w:val="00F23FEA"/>
    <w:rsid w:val="00F31EDC"/>
    <w:rsid w:val="00F35981"/>
    <w:rsid w:val="00F43332"/>
    <w:rsid w:val="00F46241"/>
    <w:rsid w:val="00F462B3"/>
    <w:rsid w:val="00F503BF"/>
    <w:rsid w:val="00F5664F"/>
    <w:rsid w:val="00F61F22"/>
    <w:rsid w:val="00F65D7D"/>
    <w:rsid w:val="00F666C4"/>
    <w:rsid w:val="00F67870"/>
    <w:rsid w:val="00F67C70"/>
    <w:rsid w:val="00F76AFC"/>
    <w:rsid w:val="00F76BAE"/>
    <w:rsid w:val="00F77000"/>
    <w:rsid w:val="00F7758B"/>
    <w:rsid w:val="00F77C56"/>
    <w:rsid w:val="00F96CA8"/>
    <w:rsid w:val="00FA1489"/>
    <w:rsid w:val="00FA1A23"/>
    <w:rsid w:val="00FA278B"/>
    <w:rsid w:val="00FA34E2"/>
    <w:rsid w:val="00FA47C0"/>
    <w:rsid w:val="00FA5CF5"/>
    <w:rsid w:val="00FB35F0"/>
    <w:rsid w:val="00FB3B0F"/>
    <w:rsid w:val="00FB4633"/>
    <w:rsid w:val="00FB5D24"/>
    <w:rsid w:val="00FB5DD1"/>
    <w:rsid w:val="00FB7FB3"/>
    <w:rsid w:val="00FC2B5D"/>
    <w:rsid w:val="00FD4198"/>
    <w:rsid w:val="00FD724F"/>
    <w:rsid w:val="00FE0407"/>
    <w:rsid w:val="00FE1263"/>
    <w:rsid w:val="00FE4B76"/>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DD5EE4A"/>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40C"/>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semiHidden/>
    <w:unhideWhenUsed/>
    <w:qFormat/>
    <w:rsid w:val="003C37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0E11C3"/>
    <w:pPr>
      <w:spacing w:before="100" w:beforeAutospacing="1" w:after="100" w:afterAutospacing="1"/>
      <w:outlineLvl w:val="2"/>
    </w:pPr>
    <w:rPr>
      <w:b/>
      <w:bCs/>
      <w:sz w:val="27"/>
      <w:szCs w:val="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426E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26E8"/>
    <w:rPr>
      <w:rFonts w:ascii="Geomanist Light" w:hAnsi="Geomanist Light"/>
      <w:lang w:val="es-ES"/>
    </w:rPr>
  </w:style>
  <w:style w:type="character" w:customStyle="1" w:styleId="s15">
    <w:name w:val="s15"/>
    <w:basedOn w:val="Fuentedeprrafopredeter"/>
    <w:rsid w:val="002426E8"/>
  </w:style>
  <w:style w:type="character" w:customStyle="1" w:styleId="NormalWebCar">
    <w:name w:val="Normal (Web) Car"/>
    <w:link w:val="NormalWeb"/>
    <w:uiPriority w:val="99"/>
    <w:rsid w:val="002426E8"/>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2426E8"/>
    <w:rPr>
      <w:b/>
      <w:bCs/>
    </w:rPr>
  </w:style>
  <w:style w:type="paragraph" w:styleId="Sinespaciado">
    <w:name w:val="No Spacing"/>
    <w:aliases w:val="No Indent"/>
    <w:uiPriority w:val="3"/>
    <w:qFormat/>
    <w:rsid w:val="002426E8"/>
    <w:pPr>
      <w:spacing w:after="0" w:line="240" w:lineRule="auto"/>
    </w:pPr>
    <w:rPr>
      <w:sz w:val="24"/>
      <w:lang w:val="es-MX"/>
    </w:rPr>
  </w:style>
  <w:style w:type="character" w:styleId="nfasis">
    <w:name w:val="Emphasis"/>
    <w:basedOn w:val="Fuentedeprrafopredeter"/>
    <w:uiPriority w:val="20"/>
    <w:qFormat/>
    <w:rsid w:val="002426E8"/>
    <w:rPr>
      <w:i/>
      <w:iCs/>
    </w:rPr>
  </w:style>
  <w:style w:type="character" w:customStyle="1" w:styleId="Ttulo3Car">
    <w:name w:val="Título 3 Car"/>
    <w:basedOn w:val="Fuentedeprrafopredeter"/>
    <w:link w:val="Ttulo3"/>
    <w:uiPriority w:val="9"/>
    <w:rsid w:val="000E11C3"/>
    <w:rPr>
      <w:rFonts w:ascii="Times New Roman" w:eastAsia="Times New Roman" w:hAnsi="Times New Roman" w:cs="Times New Roman"/>
      <w:b/>
      <w:bCs/>
      <w:sz w:val="27"/>
      <w:szCs w:val="27"/>
      <w:lang w:eastAsia="es-ES_tradnl"/>
    </w:rPr>
  </w:style>
  <w:style w:type="paragraph" w:customStyle="1" w:styleId="pdq2pgselectionanchorcontainer">
    <w:name w:val="pdq2pg_selectionanchorcontainer"/>
    <w:basedOn w:val="Normal"/>
    <w:rsid w:val="00122024"/>
    <w:pPr>
      <w:spacing w:before="100" w:beforeAutospacing="1" w:after="100" w:afterAutospacing="1"/>
    </w:pPr>
  </w:style>
  <w:style w:type="character" w:customStyle="1" w:styleId="Ttulo2Car">
    <w:name w:val="Título 2 Car"/>
    <w:basedOn w:val="Fuentedeprrafopredeter"/>
    <w:link w:val="Ttulo2"/>
    <w:uiPriority w:val="9"/>
    <w:semiHidden/>
    <w:rsid w:val="003C37BD"/>
    <w:rPr>
      <w:rFonts w:asciiTheme="majorHAnsi" w:eastAsiaTheme="majorEastAsia" w:hAnsiTheme="majorHAnsi" w:cstheme="majorBidi"/>
      <w:color w:val="2F5496"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pqrsd/informacion-importante-antes-de-formular-una-pqrsd" TargetMode="External"/><Relationship Id="rId7" Type="http://schemas.openxmlformats.org/officeDocument/2006/relationships/settings" Target="settings.xml"/><Relationship Id="rId12" Type="http://schemas.openxmlformats.org/officeDocument/2006/relationships/hyperlink" Target="mailto:mperezg13@eafit.edu.co" TargetMode="External"/><Relationship Id="rId17"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0" Type="http://schemas.openxmlformats.org/officeDocument/2006/relationships/hyperlink" Target="mailto:ventanilladeradicacion@colombiacompra.gov.c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para-determinar-y-verificar-la-capacidad-residual-del-proponente-en-los-procesos-de-contratacion-de-obra-publica" TargetMode="External"/><Relationship Id="rId22" Type="http://schemas.openxmlformats.org/officeDocument/2006/relationships/hyperlink" Target="https://forms.office.com/r/pPHyWVs2SZ"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determinar-y-verificar-la-capacidad-residual-del-proponente-en-los-procesos-de-contratacion-de-obra-publi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F34B50-B224-CE49-882F-7F4641A8D675}">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7634496-2EEB-467E-A805-B17484999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25</TotalTime>
  <Pages>29</Pages>
  <Words>10308</Words>
  <Characters>56699</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66874</CharactersWithSpaces>
  <SharedDoc>false</SharedDoc>
  <HLinks>
    <vt:vector size="60"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2752625</vt:i4>
      </vt:variant>
      <vt:variant>
        <vt:i4>15</vt:i4>
      </vt:variant>
      <vt:variant>
        <vt:i4>0</vt:i4>
      </vt:variant>
      <vt:variant>
        <vt:i4>5</vt:i4>
      </vt:variant>
      <vt:variant>
        <vt:lpwstr>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vt:lpwstr>
      </vt:variant>
      <vt:variant>
        <vt:lpwstr/>
      </vt:variant>
      <vt:variant>
        <vt:i4>8192122</vt:i4>
      </vt:variant>
      <vt:variant>
        <vt:i4>12</vt:i4>
      </vt:variant>
      <vt:variant>
        <vt:i4>0</vt:i4>
      </vt:variant>
      <vt:variant>
        <vt:i4>5</vt:i4>
      </vt:variant>
      <vt:variant>
        <vt:lpwstr>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vt:lpwstr>
      </vt:variant>
      <vt:variant>
        <vt:lpwstr/>
      </vt:variant>
      <vt:variant>
        <vt:i4>8126586</vt:i4>
      </vt:variant>
      <vt:variant>
        <vt:i4>9</vt:i4>
      </vt:variant>
      <vt:variant>
        <vt:i4>0</vt:i4>
      </vt:variant>
      <vt:variant>
        <vt:i4>5</vt:i4>
      </vt:variant>
      <vt:variant>
        <vt:lpwstr>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vt:lpwstr>
      </vt:variant>
      <vt:variant>
        <vt:lpwstr/>
      </vt:variant>
      <vt:variant>
        <vt:i4>2490422</vt:i4>
      </vt:variant>
      <vt:variant>
        <vt:i4>6</vt:i4>
      </vt:variant>
      <vt:variant>
        <vt:i4>0</vt:i4>
      </vt:variant>
      <vt:variant>
        <vt:i4>5</vt:i4>
      </vt:variant>
      <vt:variant>
        <vt:lpwstr>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7077967</vt:i4>
      </vt:variant>
      <vt:variant>
        <vt:i4>0</vt:i4>
      </vt:variant>
      <vt:variant>
        <vt:i4>0</vt:i4>
      </vt:variant>
      <vt:variant>
        <vt:i4>5</vt:i4>
      </vt:variant>
      <vt:variant>
        <vt:lpwstr>mailto:info@alvaroperezcastro.com</vt:lpwstr>
      </vt:variant>
      <vt:variant>
        <vt:lpwstr/>
      </vt:variant>
      <vt:variant>
        <vt:i4>2752556</vt:i4>
      </vt:variant>
      <vt:variant>
        <vt:i4>0</vt:i4>
      </vt:variant>
      <vt:variant>
        <vt:i4>0</vt:i4>
      </vt:variant>
      <vt:variant>
        <vt:i4>5</vt:i4>
      </vt:variant>
      <vt:variant>
        <vt:lpwstr>https://www.funcionpublica.gov.co/eva/gestornormativo/norma.php?i=98077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13</cp:revision>
  <cp:lastPrinted>2023-01-10T21:18:00Z</cp:lastPrinted>
  <dcterms:created xsi:type="dcterms:W3CDTF">2026-09-22T17:16:00Z</dcterms:created>
  <dcterms:modified xsi:type="dcterms:W3CDTF">2026-09-22T21:25:00Z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