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E60BF" w14:textId="77777777" w:rsidR="007F157E" w:rsidRPr="00D71888" w:rsidRDefault="007F157E" w:rsidP="007F157E">
      <w:pPr>
        <w:spacing w:after="0" w:line="240" w:lineRule="auto"/>
        <w:rPr>
          <w:rFonts w:ascii="Verdana" w:eastAsia="Times New Roman" w:hAnsi="Verdana" w:cs="Arial"/>
          <w:b/>
          <w:bCs/>
          <w:lang w:eastAsia="es-ES_tradnl"/>
        </w:rPr>
      </w:pPr>
      <w:bookmarkStart w:id="0" w:name="_Hlk143780582"/>
      <w:r w:rsidRPr="00D71888">
        <w:rPr>
          <w:rFonts w:ascii="Verdana" w:eastAsia="Times New Roman" w:hAnsi="Verdana" w:cs="Arial"/>
          <w:b/>
          <w:bCs/>
          <w:lang w:eastAsia="es-ES_tradnl"/>
        </w:rPr>
        <w:t>CONTRATOS DE PRESTACIÓN DE SERVICIOS – Costos administrativos y estampillas</w:t>
      </w:r>
    </w:p>
    <w:p w14:paraId="6B3247FD" w14:textId="77777777" w:rsidR="007F157E" w:rsidRPr="00D71888" w:rsidRDefault="007F157E" w:rsidP="007F157E">
      <w:pPr>
        <w:spacing w:after="0" w:line="240" w:lineRule="auto"/>
        <w:rPr>
          <w:rFonts w:ascii="Verdana" w:eastAsia="Times New Roman" w:hAnsi="Verdana" w:cs="Arial"/>
          <w:b/>
          <w:bCs/>
          <w:lang w:eastAsia="es-ES_tradnl"/>
        </w:rPr>
      </w:pPr>
    </w:p>
    <w:p w14:paraId="0300B57E"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r w:rsidRPr="00D71888">
        <w:rPr>
          <w:rFonts w:ascii="Verdana" w:eastAsia="Times New Roman" w:hAnsi="Verdana" w:cs="Arial"/>
          <w:sz w:val="20"/>
          <w:szCs w:val="20"/>
          <w:lang w:eastAsia="es-ES_tradnl"/>
        </w:rPr>
        <w:t>En el marco de los contratos de prestación de servicios, es posible que para efectos de la ejecución contractual el contratista incurra en distintos costos y gastos asociados al cumplimiento del objeto contratado, los cuales pueden reflejarse en la estructura económica del contrato y en el valor de la remuneración pactada. Estos costos pueden comprender aspectos de carácter técnico, operativo, logístico o administrativo necesarios para la adecuada prestación del servicio contratado.</w:t>
      </w:r>
    </w:p>
    <w:p w14:paraId="4D3F4A8F"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p>
    <w:p w14:paraId="101C3B1A"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r w:rsidRPr="00D71888">
        <w:rPr>
          <w:rFonts w:ascii="Verdana" w:eastAsia="Times New Roman" w:hAnsi="Verdana" w:cs="Arial"/>
          <w:sz w:val="20"/>
          <w:szCs w:val="20"/>
          <w:lang w:eastAsia="es-ES_tradnl"/>
        </w:rPr>
        <w:t>En este sentido, tales costos o gastos deben estar debidamente justificados en los estudios previos y en el análisis del sector, de forma que resulte claro que corresponden a erogaciones necesarias, razonables y proporcionales para la ejecución del objeto contractual. En todo caso, estos costos hacen parte de la estructura del precio o valor del contrato, el cual constituye la contraprestación que la entidad estatal paga al contratista por la prestación efectiva del servicio.</w:t>
      </w:r>
    </w:p>
    <w:p w14:paraId="2614152F"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p>
    <w:p w14:paraId="6B7D8383"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r w:rsidRPr="00D71888">
        <w:rPr>
          <w:rFonts w:ascii="Verdana" w:eastAsia="Times New Roman" w:hAnsi="Verdana" w:cs="Arial"/>
          <w:sz w:val="20"/>
          <w:szCs w:val="20"/>
          <w:lang w:eastAsia="es-ES_tradnl"/>
        </w:rPr>
        <w:t>Así las cosas, en los contratos de prestación de servicios la entidad estatal debe asegurar que la determinación del valor del contrato responda a criterios técnicos, financieros y de mercado que permitan garantizar el cumplimiento del objeto contractual, así como la adecuada utilización de los recursos públicos.</w:t>
      </w:r>
    </w:p>
    <w:p w14:paraId="492B37D1"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p>
    <w:p w14:paraId="1A093740"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r w:rsidRPr="00D71888">
        <w:rPr>
          <w:rFonts w:ascii="Verdana" w:eastAsia="Times New Roman" w:hAnsi="Verdana" w:cs="Arial"/>
          <w:sz w:val="20"/>
          <w:szCs w:val="20"/>
          <w:lang w:eastAsia="es-ES_tradnl"/>
        </w:rPr>
        <w:t>[…]</w:t>
      </w:r>
    </w:p>
    <w:p w14:paraId="6E99626C"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p>
    <w:p w14:paraId="0D61B0B7"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r w:rsidRPr="00D71888">
        <w:rPr>
          <w:rFonts w:ascii="Verdana" w:eastAsia="Times New Roman" w:hAnsi="Verdana" w:cs="Arial"/>
          <w:sz w:val="20"/>
          <w:szCs w:val="20"/>
          <w:lang w:eastAsia="es-ES_tradnl"/>
        </w:rPr>
        <w:t>Ahora bien, en lo que respecta a los descuentos por concepto de estampillas en los contratos de prestación de servicios, debe precisarse que su inclusión dependerá de las condiciones establecidas en las normas que regulan estos tributos. En efecto, la incorporación en el ordenamiento jurídico de las denominadas “estampillas” solo puede darse por disposición legal o mediante ordenanzas departamentales o acuerdos distritales o municipales, en los cuales se deben establecer de manera expresa las condiciones de su emisión, pago o adherencia, así como los elementos del tributo, tales como el hecho generador, los sujetos obligados, la base gravable y la tarifa aplicable.</w:t>
      </w:r>
    </w:p>
    <w:p w14:paraId="77C50A1C"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p>
    <w:p w14:paraId="5D21C5C3" w14:textId="77777777" w:rsidR="007F157E" w:rsidRPr="00D71888" w:rsidRDefault="007F157E" w:rsidP="007F157E">
      <w:pPr>
        <w:spacing w:after="0" w:line="240" w:lineRule="auto"/>
        <w:jc w:val="both"/>
        <w:rPr>
          <w:rFonts w:ascii="Verdana" w:eastAsia="Times New Roman" w:hAnsi="Verdana" w:cs="Arial"/>
          <w:sz w:val="20"/>
          <w:szCs w:val="20"/>
          <w:lang w:eastAsia="es-ES_tradnl"/>
        </w:rPr>
      </w:pPr>
      <w:r w:rsidRPr="00D71888">
        <w:rPr>
          <w:rFonts w:ascii="Verdana" w:eastAsia="Times New Roman" w:hAnsi="Verdana" w:cs="Arial"/>
          <w:sz w:val="20"/>
          <w:szCs w:val="20"/>
          <w:lang w:eastAsia="es-ES_tradnl"/>
        </w:rPr>
        <w:t>En consecuencia, la procedencia del descuento de estampillas en los contratos de prestación de servicios dependerá de lo dispuesto en la respectiva norma territorial que las haya creado, particularmente en lo relativo al hecho generador asociado a la suscripción o ejecución de contratos con entidades públicas, así como de las reglas que determinen quién es el sujeto obligado al pago y la forma de recaudo del tributo.</w:t>
      </w:r>
    </w:p>
    <w:p w14:paraId="73ACB1C3" w14:textId="77777777" w:rsidR="007F157E" w:rsidRPr="00D71888" w:rsidRDefault="007F157E" w:rsidP="007F157E">
      <w:pPr>
        <w:spacing w:after="0" w:line="240" w:lineRule="auto"/>
        <w:rPr>
          <w:rFonts w:ascii="Verdana" w:eastAsia="Times New Roman" w:hAnsi="Verdana" w:cs="Arial"/>
          <w:b/>
          <w:bCs/>
          <w:sz w:val="20"/>
          <w:szCs w:val="20"/>
          <w:lang w:eastAsia="es-ES_tradnl"/>
        </w:rPr>
      </w:pPr>
    </w:p>
    <w:p w14:paraId="432C8392" w14:textId="77777777" w:rsidR="007F157E" w:rsidRPr="00D71888" w:rsidRDefault="007F157E" w:rsidP="007F157E">
      <w:pPr>
        <w:spacing w:after="0" w:line="240" w:lineRule="auto"/>
        <w:rPr>
          <w:rFonts w:ascii="Verdana" w:eastAsia="Geomanist Light" w:hAnsi="Verdana" w:cs="Arial"/>
          <w:color w:val="000000" w:themeColor="text1"/>
          <w:sz w:val="20"/>
          <w:szCs w:val="20"/>
        </w:rPr>
      </w:pPr>
    </w:p>
    <w:p w14:paraId="1DC04A17" w14:textId="77777777" w:rsidR="007F157E" w:rsidRPr="00D71888" w:rsidRDefault="007F157E" w:rsidP="007F157E">
      <w:pPr>
        <w:spacing w:after="0" w:line="240" w:lineRule="auto"/>
        <w:rPr>
          <w:rFonts w:ascii="Verdana" w:eastAsia="Geomanist Light" w:hAnsi="Verdana" w:cs="Arial"/>
          <w:color w:val="000000" w:themeColor="text1"/>
          <w:sz w:val="20"/>
          <w:szCs w:val="20"/>
        </w:rPr>
      </w:pPr>
    </w:p>
    <w:p w14:paraId="74E703DB" w14:textId="77777777" w:rsidR="007F157E" w:rsidRPr="00D71888" w:rsidRDefault="007F157E" w:rsidP="007F157E">
      <w:pPr>
        <w:spacing w:after="0" w:line="240" w:lineRule="auto"/>
        <w:rPr>
          <w:rFonts w:ascii="Verdana" w:eastAsia="Geomanist Light" w:hAnsi="Verdana" w:cs="Arial"/>
          <w:color w:val="000000" w:themeColor="text1"/>
          <w:sz w:val="20"/>
          <w:szCs w:val="20"/>
          <w:lang w:val="es-MX"/>
        </w:rPr>
      </w:pPr>
    </w:p>
    <w:p w14:paraId="5D8BEEE7" w14:textId="77777777" w:rsidR="007F157E" w:rsidRDefault="007F157E" w:rsidP="007F157E">
      <w:pPr>
        <w:spacing w:after="0" w:line="240" w:lineRule="auto"/>
        <w:rPr>
          <w:rFonts w:ascii="Verdana" w:eastAsia="Geomanist Light" w:hAnsi="Verdana" w:cs="Arial"/>
          <w:color w:val="000000" w:themeColor="text1"/>
          <w:sz w:val="20"/>
          <w:szCs w:val="20"/>
          <w:lang w:val="es-MX"/>
        </w:rPr>
      </w:pPr>
    </w:p>
    <w:p w14:paraId="5C5907FB" w14:textId="77777777" w:rsidR="007F157E" w:rsidRPr="00D71888" w:rsidRDefault="007F157E" w:rsidP="007F157E">
      <w:pPr>
        <w:spacing w:after="0" w:line="240" w:lineRule="auto"/>
        <w:rPr>
          <w:rFonts w:ascii="Verdana" w:eastAsia="Geomanist Light" w:hAnsi="Verdana" w:cs="Arial"/>
          <w:color w:val="000000" w:themeColor="text1"/>
          <w:sz w:val="20"/>
          <w:szCs w:val="20"/>
          <w:lang w:val="es-MX"/>
        </w:rPr>
      </w:pPr>
    </w:p>
    <w:p w14:paraId="5E940FE2" w14:textId="77777777" w:rsidR="007F157E" w:rsidRDefault="007F157E" w:rsidP="007F157E">
      <w:pPr>
        <w:spacing w:after="0" w:line="240" w:lineRule="auto"/>
        <w:rPr>
          <w:rFonts w:ascii="Verdana" w:eastAsia="Geomanist Light" w:hAnsi="Verdana" w:cs="Arial"/>
          <w:color w:val="000000" w:themeColor="text1"/>
          <w:lang w:val="es-MX"/>
        </w:rPr>
      </w:pPr>
    </w:p>
    <w:p w14:paraId="713239EC" w14:textId="77777777" w:rsidR="007F157E" w:rsidRPr="0040025D" w:rsidRDefault="007F157E" w:rsidP="0040025D">
      <w:pPr>
        <w:spacing w:line="240" w:lineRule="auto"/>
        <w:jc w:val="both"/>
        <w:rPr>
          <w:rFonts w:ascii="Verdana" w:eastAsia="Verdana" w:hAnsi="Verdana" w:cs="Verdana"/>
          <w:color w:val="000000" w:themeColor="text1"/>
          <w:lang w:val="es"/>
        </w:rPr>
      </w:pPr>
      <w:r w:rsidRPr="0040025D">
        <w:rPr>
          <w:rFonts w:ascii="Verdana" w:eastAsia="Verdana" w:hAnsi="Verdana" w:cs="Verdana"/>
          <w:color w:val="000000" w:themeColor="text1"/>
          <w:lang w:val="es"/>
        </w:rPr>
        <w:lastRenderedPageBreak/>
        <w:t>Bogotá D.C., 22 de septiembre de 2026</w:t>
      </w:r>
    </w:p>
    <w:p w14:paraId="2EE5175C" w14:textId="77777777" w:rsidR="007F157E" w:rsidRDefault="007F157E" w:rsidP="0040025D">
      <w:pPr>
        <w:spacing w:after="0" w:line="240" w:lineRule="auto"/>
        <w:jc w:val="both"/>
        <w:textAlignment w:val="baseline"/>
        <w:rPr>
          <w:rFonts w:ascii="Verdana" w:eastAsia="Verdana" w:hAnsi="Verdana" w:cs="Verdana"/>
          <w:color w:val="000000" w:themeColor="text1"/>
          <w:lang w:val="es"/>
        </w:rPr>
      </w:pPr>
    </w:p>
    <w:p w14:paraId="1003F6A5" w14:textId="257C8622" w:rsidR="00C61E22" w:rsidRDefault="00C61E22" w:rsidP="00C61E22">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0BE04E1E" wp14:editId="27C757B5">
            <wp:extent cx="3009900" cy="952500"/>
            <wp:effectExtent l="0" t="0" r="0" b="0"/>
            <wp:docPr id="1181070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900" cy="952500"/>
                    </a:xfrm>
                    <a:prstGeom prst="rect">
                      <a:avLst/>
                    </a:prstGeom>
                    <a:noFill/>
                    <a:ln>
                      <a:noFill/>
                    </a:ln>
                  </pic:spPr>
                </pic:pic>
              </a:graphicData>
            </a:graphic>
          </wp:inline>
        </w:drawing>
      </w:r>
    </w:p>
    <w:p w14:paraId="0DFFAC2B" w14:textId="77777777" w:rsidR="00C61E22" w:rsidRDefault="00C61E22" w:rsidP="0040025D">
      <w:pPr>
        <w:spacing w:after="0" w:line="240" w:lineRule="auto"/>
        <w:jc w:val="both"/>
        <w:textAlignment w:val="baseline"/>
        <w:rPr>
          <w:rFonts w:ascii="Verdana" w:eastAsia="Verdana" w:hAnsi="Verdana" w:cs="Verdana"/>
          <w:color w:val="000000" w:themeColor="text1"/>
          <w:lang w:val="es"/>
        </w:rPr>
      </w:pPr>
    </w:p>
    <w:p w14:paraId="5EDDC67E" w14:textId="77777777" w:rsidR="00C61E22" w:rsidRPr="0040025D" w:rsidRDefault="00C61E22" w:rsidP="0040025D">
      <w:pPr>
        <w:spacing w:after="0" w:line="240" w:lineRule="auto"/>
        <w:jc w:val="both"/>
        <w:textAlignment w:val="baseline"/>
        <w:rPr>
          <w:rFonts w:ascii="Verdana" w:eastAsia="Verdana" w:hAnsi="Verdana" w:cs="Verdana"/>
          <w:color w:val="000000" w:themeColor="text1"/>
          <w:lang w:val="es"/>
        </w:rPr>
      </w:pPr>
    </w:p>
    <w:p w14:paraId="25BDEB62" w14:textId="77777777" w:rsidR="007F157E" w:rsidRPr="0040025D" w:rsidRDefault="007F157E" w:rsidP="0040025D">
      <w:pPr>
        <w:spacing w:after="0" w:line="240" w:lineRule="auto"/>
        <w:jc w:val="both"/>
        <w:textAlignment w:val="baseline"/>
        <w:rPr>
          <w:rFonts w:ascii="Verdana" w:eastAsia="Verdana" w:hAnsi="Verdana" w:cs="Verdana"/>
          <w:color w:val="000000" w:themeColor="text1"/>
          <w:lang w:val="es"/>
        </w:rPr>
      </w:pPr>
      <w:r w:rsidRPr="0040025D">
        <w:rPr>
          <w:rFonts w:ascii="Verdana" w:eastAsia="Verdana" w:hAnsi="Verdana" w:cs="Verdana"/>
          <w:color w:val="000000" w:themeColor="text1"/>
          <w:lang w:val="es"/>
        </w:rPr>
        <w:t>Señor</w:t>
      </w:r>
    </w:p>
    <w:p w14:paraId="01FBC29B" w14:textId="77777777" w:rsidR="007F157E" w:rsidRPr="0040025D" w:rsidRDefault="007F157E" w:rsidP="0040025D">
      <w:pPr>
        <w:spacing w:after="0" w:line="240" w:lineRule="auto"/>
        <w:jc w:val="both"/>
        <w:textAlignment w:val="baseline"/>
        <w:rPr>
          <w:rFonts w:ascii="Verdana" w:hAnsi="Verdana"/>
          <w:b/>
          <w:bCs/>
        </w:rPr>
      </w:pPr>
      <w:r w:rsidRPr="0040025D">
        <w:rPr>
          <w:rFonts w:ascii="Verdana" w:hAnsi="Verdana"/>
          <w:b/>
          <w:bCs/>
        </w:rPr>
        <w:t>DAVID ANAYA CARDONA</w:t>
      </w:r>
    </w:p>
    <w:p w14:paraId="32656A09" w14:textId="77777777" w:rsidR="007F157E" w:rsidRPr="0040025D" w:rsidRDefault="007F157E" w:rsidP="0040025D">
      <w:pPr>
        <w:spacing w:after="0" w:line="240" w:lineRule="auto"/>
        <w:jc w:val="both"/>
        <w:textAlignment w:val="baseline"/>
        <w:rPr>
          <w:rFonts w:ascii="Verdana" w:hAnsi="Verdana"/>
        </w:rPr>
      </w:pPr>
      <w:hyperlink r:id="rId11" w:history="1">
        <w:r w:rsidRPr="0040025D">
          <w:rPr>
            <w:rStyle w:val="Hipervnculo"/>
            <w:rFonts w:ascii="Verdana" w:hAnsi="Verdana"/>
          </w:rPr>
          <w:t>oscar.anaya85@yahoo.es</w:t>
        </w:r>
      </w:hyperlink>
      <w:r w:rsidRPr="0040025D">
        <w:rPr>
          <w:rFonts w:ascii="Verdana" w:hAnsi="Verdana"/>
          <w:b/>
          <w:bCs/>
        </w:rPr>
        <w:t xml:space="preserve"> </w:t>
      </w:r>
    </w:p>
    <w:p w14:paraId="77A197D0" w14:textId="77777777" w:rsidR="007F157E" w:rsidRPr="00AA23BB" w:rsidRDefault="007F157E" w:rsidP="0040025D">
      <w:pPr>
        <w:spacing w:after="0" w:line="240" w:lineRule="auto"/>
        <w:jc w:val="both"/>
        <w:textAlignment w:val="baseline"/>
        <w:rPr>
          <w:rFonts w:ascii="Verdana" w:hAnsi="Verdana"/>
        </w:rPr>
      </w:pPr>
      <w:r w:rsidRPr="0040025D">
        <w:rPr>
          <w:rFonts w:ascii="Verdana" w:hAnsi="Verdana"/>
        </w:rPr>
        <w:t>El Plato (</w:t>
      </w:r>
      <w:r w:rsidRPr="00AA6FF8">
        <w:rPr>
          <w:rFonts w:ascii="Verdana" w:hAnsi="Verdana"/>
        </w:rPr>
        <w:t>Magdalena)</w:t>
      </w:r>
    </w:p>
    <w:p w14:paraId="0D49EE6B" w14:textId="384CE0CD" w:rsidR="007F157E" w:rsidRPr="00B75EA5" w:rsidRDefault="007F157E" w:rsidP="00AA23BB">
      <w:pPr>
        <w:spacing w:after="0" w:line="240" w:lineRule="auto"/>
        <w:jc w:val="both"/>
        <w:textAlignment w:val="baseline"/>
        <w:rPr>
          <w:rFonts w:ascii="Verdana" w:hAnsi="Verdana"/>
        </w:rPr>
      </w:pPr>
    </w:p>
    <w:p w14:paraId="7858F65B" w14:textId="77777777" w:rsidR="00CC50A0" w:rsidRPr="00E45351" w:rsidRDefault="00CC50A0" w:rsidP="00E45351">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7F157E" w:rsidRPr="0040025D" w14:paraId="5E1F7F4F" w14:textId="77777777" w:rsidTr="00177867">
        <w:trPr>
          <w:trHeight w:val="615"/>
        </w:trPr>
        <w:tc>
          <w:tcPr>
            <w:tcW w:w="2265" w:type="dxa"/>
            <w:shd w:val="clear" w:color="auto" w:fill="FFFFFF" w:themeFill="background1"/>
            <w:tcMar>
              <w:left w:w="108" w:type="dxa"/>
              <w:right w:w="108" w:type="dxa"/>
            </w:tcMar>
          </w:tcPr>
          <w:p w14:paraId="684C290E" w14:textId="77777777" w:rsidR="007F157E" w:rsidRPr="0040025D" w:rsidRDefault="007F157E">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4CCFE20A" w14:textId="77777777" w:rsidR="007F157E" w:rsidRPr="00055B0F" w:rsidRDefault="007F157E">
            <w:pPr>
              <w:jc w:val="both"/>
              <w:rPr>
                <w:rFonts w:ascii="Verdana" w:hAnsi="Verdana"/>
              </w:rPr>
            </w:pPr>
            <w:r w:rsidRPr="0040025D">
              <w:rPr>
                <w:rFonts w:ascii="Verdana" w:eastAsia="Verdana" w:hAnsi="Verdana" w:cs="Verdana"/>
                <w:b/>
                <w:bCs/>
                <w:color w:val="000000" w:themeColor="text1"/>
                <w:lang w:val="es"/>
              </w:rPr>
              <w:t>Concepto C- 1287 de 2026</w:t>
            </w:r>
          </w:p>
        </w:tc>
      </w:tr>
      <w:tr w:rsidR="007F157E" w:rsidRPr="0040025D" w14:paraId="6BE86D21" w14:textId="77777777" w:rsidTr="00055B0F">
        <w:trPr>
          <w:trHeight w:val="358"/>
        </w:trPr>
        <w:tc>
          <w:tcPr>
            <w:tcW w:w="2265" w:type="dxa"/>
            <w:shd w:val="clear" w:color="auto" w:fill="FFFFFF" w:themeFill="background1"/>
            <w:tcMar>
              <w:left w:w="108" w:type="dxa"/>
              <w:right w:w="108" w:type="dxa"/>
            </w:tcMar>
          </w:tcPr>
          <w:p w14:paraId="7963E631" w14:textId="77777777" w:rsidR="007F157E" w:rsidRPr="00055B0F" w:rsidRDefault="007F157E" w:rsidP="0040025D">
            <w:pPr>
              <w:jc w:val="both"/>
              <w:rPr>
                <w:rFonts w:ascii="Verdana" w:hAnsi="Verdana"/>
              </w:rPr>
            </w:pPr>
            <w:r w:rsidRPr="0040025D">
              <w:rPr>
                <w:rFonts w:ascii="Verdana" w:eastAsia="Verdana" w:hAnsi="Verdana" w:cs="Verdana"/>
                <w:b/>
                <w:bCs/>
                <w:color w:val="000000" w:themeColor="text1"/>
              </w:rPr>
              <w:t>Temas:</w:t>
            </w:r>
            <w:r w:rsidRPr="0040025D">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0882E69B" w14:textId="77777777" w:rsidR="007F157E" w:rsidRPr="0040025D" w:rsidRDefault="007F157E" w:rsidP="00055B0F">
            <w:pPr>
              <w:jc w:val="both"/>
              <w:rPr>
                <w:rFonts w:ascii="Verdana" w:eastAsia="Times New Roman" w:hAnsi="Verdana" w:cs="Arial"/>
                <w:lang w:eastAsia="es-ES_tradnl"/>
              </w:rPr>
            </w:pPr>
            <w:r w:rsidRPr="0040025D">
              <w:rPr>
                <w:rFonts w:ascii="Verdana" w:eastAsia="Times New Roman" w:hAnsi="Verdana" w:cs="Arial"/>
                <w:lang w:eastAsia="es-ES_tradnl"/>
              </w:rPr>
              <w:t>CONTRATOS DE PRESTACIÓN DE SERVICIOS – Costos</w:t>
            </w:r>
          </w:p>
          <w:p w14:paraId="20D58514" w14:textId="77777777" w:rsidR="007F157E" w:rsidRPr="0040025D" w:rsidRDefault="007F157E" w:rsidP="00055B0F">
            <w:pPr>
              <w:jc w:val="both"/>
              <w:rPr>
                <w:rFonts w:ascii="Verdana" w:eastAsia="Aptos" w:hAnsi="Verdana" w:cs="Times New Roman"/>
                <w:lang w:val="es-ES"/>
              </w:rPr>
            </w:pPr>
            <w:r w:rsidRPr="0040025D">
              <w:rPr>
                <w:rFonts w:ascii="Verdana" w:eastAsia="Times New Roman" w:hAnsi="Verdana" w:cs="Arial"/>
                <w:lang w:eastAsia="es-ES_tradnl"/>
              </w:rPr>
              <w:t>administrativos y estampillas.</w:t>
            </w:r>
          </w:p>
          <w:p w14:paraId="3A5F0FA8" w14:textId="77777777" w:rsidR="007F157E" w:rsidRPr="00055B0F" w:rsidRDefault="007F157E" w:rsidP="00055B0F">
            <w:pPr>
              <w:jc w:val="both"/>
              <w:rPr>
                <w:rFonts w:ascii="Verdana" w:hAnsi="Verdana"/>
              </w:rPr>
            </w:pPr>
          </w:p>
        </w:tc>
      </w:tr>
      <w:tr w:rsidR="007F157E" w:rsidRPr="0040025D" w14:paraId="470D927C" w14:textId="77777777" w:rsidTr="00177867">
        <w:trPr>
          <w:trHeight w:val="660"/>
        </w:trPr>
        <w:tc>
          <w:tcPr>
            <w:tcW w:w="2265" w:type="dxa"/>
            <w:shd w:val="clear" w:color="auto" w:fill="FFFFFF" w:themeFill="background1"/>
            <w:tcMar>
              <w:left w:w="108" w:type="dxa"/>
              <w:right w:w="108" w:type="dxa"/>
            </w:tcMar>
          </w:tcPr>
          <w:p w14:paraId="4EAF87AB" w14:textId="77777777" w:rsidR="007F157E" w:rsidRPr="00055B0F" w:rsidRDefault="007F157E" w:rsidP="0040025D">
            <w:pPr>
              <w:jc w:val="both"/>
              <w:rPr>
                <w:rFonts w:ascii="Verdana" w:hAnsi="Verdana"/>
              </w:rPr>
            </w:pPr>
            <w:r w:rsidRPr="0040025D">
              <w:rPr>
                <w:rFonts w:ascii="Verdana" w:eastAsia="Verdana" w:hAnsi="Verdana" w:cs="Verdana"/>
                <w:b/>
                <w:bCs/>
                <w:color w:val="000000" w:themeColor="text1"/>
              </w:rPr>
              <w:t>Radicación:</w:t>
            </w:r>
            <w:r w:rsidRPr="0040025D">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EF48E8D" w14:textId="77777777" w:rsidR="007F157E" w:rsidRPr="00055B0F" w:rsidRDefault="007F157E" w:rsidP="0040025D">
            <w:pPr>
              <w:ind w:right="1"/>
              <w:jc w:val="both"/>
              <w:rPr>
                <w:rFonts w:ascii="Verdana" w:hAnsi="Verdana"/>
              </w:rPr>
            </w:pPr>
            <w:r w:rsidRPr="0040025D">
              <w:rPr>
                <w:rFonts w:ascii="Verdana" w:eastAsia="Verdana" w:hAnsi="Verdana" w:cs="Verdana"/>
                <w:color w:val="000000" w:themeColor="text1"/>
              </w:rPr>
              <w:t>Respuesta a consulta con radicado N.º 1_2026_08_13_010775.</w:t>
            </w:r>
          </w:p>
        </w:tc>
      </w:tr>
    </w:tbl>
    <w:p w14:paraId="6EB98206" w14:textId="77777777" w:rsidR="007F157E" w:rsidRPr="0040025D" w:rsidRDefault="007F157E" w:rsidP="0040025D">
      <w:pPr>
        <w:spacing w:after="0" w:line="240" w:lineRule="auto"/>
        <w:jc w:val="both"/>
        <w:textAlignment w:val="baseline"/>
        <w:rPr>
          <w:rFonts w:ascii="Verdana" w:eastAsia="Verdana" w:hAnsi="Verdana" w:cs="Verdana"/>
          <w:b/>
          <w:bCs/>
          <w:color w:val="000000" w:themeColor="text1"/>
          <w:lang w:val="es"/>
        </w:rPr>
      </w:pPr>
    </w:p>
    <w:p w14:paraId="5DBE1E5C" w14:textId="61992603" w:rsidR="007F157E" w:rsidRDefault="007F157E" w:rsidP="0040025D">
      <w:pPr>
        <w:spacing w:after="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22</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4B543A67" w14:textId="77777777" w:rsidR="0040025D" w:rsidRDefault="0040025D" w:rsidP="00055B0F">
      <w:pPr>
        <w:spacing w:after="0" w:line="276" w:lineRule="auto"/>
        <w:jc w:val="both"/>
        <w:textAlignment w:val="baseline"/>
        <w:rPr>
          <w:rFonts w:ascii="Verdana" w:eastAsia="Verdana" w:hAnsi="Verdana" w:cs="Verdana"/>
          <w:color w:val="000000" w:themeColor="text1"/>
          <w:lang w:val="es-ES"/>
        </w:rPr>
      </w:pPr>
    </w:p>
    <w:p w14:paraId="619F84C3" w14:textId="77777777" w:rsidR="007F157E" w:rsidRPr="00055B0F" w:rsidRDefault="007F157E" w:rsidP="00055B0F">
      <w:pPr>
        <w:spacing w:after="0" w:line="240" w:lineRule="auto"/>
        <w:ind w:left="709" w:right="709"/>
        <w:jc w:val="both"/>
        <w:textAlignment w:val="baseline"/>
        <w:rPr>
          <w:rFonts w:ascii="Verdana" w:eastAsia="Verdana" w:hAnsi="Verdana" w:cs="Verdana"/>
          <w:color w:val="000000" w:themeColor="text1"/>
          <w:sz w:val="20"/>
          <w:szCs w:val="20"/>
        </w:rPr>
      </w:pPr>
      <w:r w:rsidRPr="00055B0F">
        <w:rPr>
          <w:rFonts w:ascii="Verdana" w:eastAsia="Verdana" w:hAnsi="Verdana" w:cs="Verdana"/>
          <w:color w:val="000000" w:themeColor="text1"/>
          <w:sz w:val="20"/>
          <w:szCs w:val="20"/>
        </w:rPr>
        <w:t>“Quiero saber si el cobro de estampillas es legal ya que como contratista del hospital nos están cobrando un sin números de estampillas”</w:t>
      </w:r>
    </w:p>
    <w:p w14:paraId="3FB528C6" w14:textId="77777777" w:rsidR="007F157E" w:rsidRPr="00055B0F" w:rsidRDefault="007F157E" w:rsidP="007F157E">
      <w:pPr>
        <w:spacing w:after="0" w:line="276" w:lineRule="auto"/>
        <w:ind w:left="567" w:right="1043"/>
        <w:jc w:val="both"/>
        <w:textAlignment w:val="baseline"/>
        <w:rPr>
          <w:rFonts w:ascii="Verdana" w:eastAsia="Verdana" w:hAnsi="Verdana" w:cs="Verdana"/>
          <w:color w:val="000000" w:themeColor="text1"/>
        </w:rPr>
      </w:pPr>
    </w:p>
    <w:p w14:paraId="23E9F80B" w14:textId="77777777" w:rsidR="007F157E" w:rsidRPr="0015699B" w:rsidRDefault="007F157E" w:rsidP="007F157E">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w:t>
      </w:r>
      <w:r w:rsidRPr="39124533">
        <w:rPr>
          <w:rFonts w:ascii="Verdana" w:eastAsia="Verdana" w:hAnsi="Verdana" w:cs="Verdana"/>
          <w:color w:val="000000" w:themeColor="text1"/>
          <w:lang w:val="es"/>
        </w:rPr>
        <w:lastRenderedPageBreak/>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61DD75BE" w14:textId="77777777" w:rsidR="007F157E" w:rsidRPr="0015699B" w:rsidRDefault="007F157E" w:rsidP="007F157E">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7FAD943" w14:textId="77777777" w:rsidR="007F157E" w:rsidRDefault="007F157E" w:rsidP="0040025D">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D6D8DA5" w14:textId="77777777" w:rsidR="007F157E" w:rsidRPr="0015699B" w:rsidRDefault="007F157E" w:rsidP="00AA23BB">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2EDFD686" w14:textId="77777777" w:rsidR="007F157E" w:rsidRPr="0015699B" w:rsidRDefault="007F157E" w:rsidP="00E45351">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C359584" w14:textId="647A7114" w:rsidR="007F157E" w:rsidRPr="00444014" w:rsidRDefault="007F157E">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E41D86">
        <w:rPr>
          <w:rFonts w:ascii="Verdana" w:eastAsia="Verdana" w:hAnsi="Verdana" w:cs="Verdana"/>
          <w:color w:val="000000" w:themeColor="text1"/>
        </w:rPr>
        <w:t>De conformidad con el régimen jurídico aplicable a las estampillas territoriales</w:t>
      </w:r>
      <w:r w:rsidR="00034AF7">
        <w:rPr>
          <w:rFonts w:ascii="Verdana" w:eastAsia="Verdana" w:hAnsi="Verdana" w:cs="Verdana"/>
          <w:color w:val="000000" w:themeColor="text1"/>
        </w:rPr>
        <w:t xml:space="preserve"> ¿R</w:t>
      </w:r>
      <w:r w:rsidRPr="00E41D86">
        <w:rPr>
          <w:rFonts w:ascii="Verdana" w:eastAsia="Verdana" w:hAnsi="Verdana" w:cs="Verdana"/>
          <w:color w:val="000000" w:themeColor="text1"/>
        </w:rPr>
        <w:t>esulta procedente exigir y descontar a los contratistas de un hospital o Empresa Social del Estado el pago de una o varias estampillas con ocasión de la celebración y ejecución de contratos de prestación de servicios</w:t>
      </w:r>
      <w:r w:rsidRPr="00EC0247">
        <w:rPr>
          <w:rFonts w:ascii="Verdana" w:eastAsia="Verdana" w:hAnsi="Verdana" w:cs="Verdana"/>
          <w:color w:val="000000" w:themeColor="text1"/>
        </w:rPr>
        <w:t>?</w:t>
      </w:r>
    </w:p>
    <w:p w14:paraId="0EB5C3B2" w14:textId="77777777" w:rsidR="007F157E" w:rsidRDefault="007F157E">
      <w:pPr>
        <w:spacing w:after="0" w:line="276" w:lineRule="auto"/>
        <w:jc w:val="both"/>
        <w:textAlignment w:val="baseline"/>
        <w:rPr>
          <w:rFonts w:ascii="Verdana" w:eastAsia="Verdana" w:hAnsi="Verdana" w:cs="Verdana"/>
          <w:color w:val="000000" w:themeColor="text1"/>
        </w:rPr>
      </w:pPr>
    </w:p>
    <w:p w14:paraId="6E2135DD" w14:textId="77777777" w:rsidR="007F157E" w:rsidRPr="0015699B" w:rsidRDefault="007F157E" w:rsidP="00055B0F">
      <w:pPr>
        <w:pStyle w:val="Prrafodelista"/>
        <w:numPr>
          <w:ilvl w:val="0"/>
          <w:numId w:val="16"/>
        </w:numPr>
        <w:spacing w:after="0" w:line="276"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0B1C53F4" w14:textId="77777777" w:rsidR="007F157E" w:rsidRPr="0015699B" w:rsidRDefault="007F157E" w:rsidP="0040025D">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7F157E" w14:paraId="0105DE24" w14:textId="77777777" w:rsidTr="00177867">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19D2BF82" w14:textId="4D01E919" w:rsidR="007F157E" w:rsidRPr="00E45351" w:rsidRDefault="007F157E" w:rsidP="00E45351">
            <w:pPr>
              <w:spacing w:after="120" w:line="276" w:lineRule="auto"/>
              <w:jc w:val="both"/>
              <w:rPr>
                <w:rFonts w:ascii="Verdana" w:eastAsia="Verdana" w:hAnsi="Verdana" w:cs="Verdana"/>
              </w:rPr>
            </w:pPr>
            <w:r w:rsidRPr="00E45351">
              <w:rPr>
                <w:rFonts w:ascii="Verdana" w:eastAsia="Verdana" w:hAnsi="Verdana" w:cs="Verdana"/>
              </w:rPr>
              <w:t>De conformidad con el régimen jurídico aplicable, la exigibilidad de estampillas a los contratistas de una Empresa Social del Estado no opera de manera general o automática por el solo hecho de celebrar o ejecutar un contrato. La procedencia de cada estampilla dependerá de que exista fundamento legal y territorial para su establecimiento y de que, en el caso concreto, se configuren los elementos esenciales del respectivo tributo.</w:t>
            </w:r>
          </w:p>
          <w:p w14:paraId="4104B9E8" w14:textId="5D58354E" w:rsidR="00E45351" w:rsidRPr="00055B0F" w:rsidRDefault="00E45351" w:rsidP="00055B0F">
            <w:pPr>
              <w:pStyle w:val="NormalWeb"/>
              <w:spacing w:before="0" w:beforeAutospacing="0" w:after="120" w:afterAutospacing="0" w:line="276" w:lineRule="auto"/>
              <w:ind w:firstLine="709"/>
              <w:jc w:val="both"/>
              <w:rPr>
                <w:rFonts w:ascii="Verdana" w:hAnsi="Verdana" w:cs="Segoe UI"/>
                <w:sz w:val="22"/>
                <w:szCs w:val="22"/>
              </w:rPr>
            </w:pPr>
            <w:r w:rsidRPr="00055B0F">
              <w:rPr>
                <w:rFonts w:ascii="Verdana" w:hAnsi="Verdana" w:cs="Segoe UI"/>
                <w:sz w:val="22"/>
                <w:szCs w:val="22"/>
              </w:rPr>
              <w:t xml:space="preserve">La procedencia de estos descuentos depende de lo dispuesto en la ley que autoriza el tributo y en la respectiva ordenanza departamental o acuerdo municipal o distrital que lo adopta, los cuales deben definir los elementos esenciales de la obligación tributaria, particularmente el hecho generador, los </w:t>
            </w:r>
            <w:r w:rsidRPr="00055B0F">
              <w:rPr>
                <w:rFonts w:ascii="Verdana" w:hAnsi="Verdana" w:cs="Segoe UI"/>
                <w:sz w:val="22"/>
                <w:szCs w:val="22"/>
              </w:rPr>
              <w:lastRenderedPageBreak/>
              <w:t>sujetos obligados al pago, la base gravable, la tarifa y las condiciones de recaudo.</w:t>
            </w:r>
          </w:p>
          <w:p w14:paraId="6D5CC8ED" w14:textId="77777777" w:rsidR="00E45351" w:rsidRPr="00055B0F" w:rsidRDefault="00E45351" w:rsidP="00055B0F">
            <w:pPr>
              <w:pStyle w:val="NormalWeb"/>
              <w:spacing w:before="0" w:beforeAutospacing="0" w:after="120" w:afterAutospacing="0" w:line="276" w:lineRule="auto"/>
              <w:ind w:firstLine="709"/>
              <w:jc w:val="both"/>
              <w:rPr>
                <w:rFonts w:ascii="Verdana" w:hAnsi="Verdana" w:cs="Segoe UI"/>
                <w:sz w:val="22"/>
                <w:szCs w:val="22"/>
              </w:rPr>
            </w:pPr>
            <w:r w:rsidRPr="00055B0F">
              <w:rPr>
                <w:rFonts w:ascii="Verdana" w:hAnsi="Verdana" w:cs="Segoe UI"/>
                <w:sz w:val="22"/>
                <w:szCs w:val="22"/>
              </w:rPr>
              <w:t>En consecuencia, para determinar si resulta procedente exigir y descontar una estampilla a un contratista de una Empresa Social del Estado, debe verificarse en cada caso si el contrato correspondiente se encuentra expresamente comprendido dentro del hecho generador previsto en la normativa aplicable y si el contratista tiene la condición de sujeto pasivo del tributo.</w:t>
            </w:r>
          </w:p>
          <w:p w14:paraId="5416BA18" w14:textId="6E080AB9" w:rsidR="007F157E" w:rsidRPr="00E45351" w:rsidRDefault="007F157E" w:rsidP="00055B0F">
            <w:pPr>
              <w:spacing w:after="120" w:line="276" w:lineRule="auto"/>
              <w:ind w:firstLine="709"/>
              <w:jc w:val="both"/>
              <w:rPr>
                <w:rFonts w:ascii="Verdana" w:eastAsia="Verdana" w:hAnsi="Verdana" w:cs="Verdana"/>
              </w:rPr>
            </w:pPr>
            <w:r w:rsidRPr="00E45351">
              <w:rPr>
                <w:rFonts w:ascii="Verdana" w:eastAsia="Verdana" w:hAnsi="Verdana" w:cs="Verdana"/>
              </w:rPr>
              <w:t>De esta manera, la naturaleza pública de la entidad contratante no constituye, por sí sola, fundamento suficiente para exigir al contratista el pago de todas las estampillas existentes en el respectivo territorio. La obligación tributaria deberá determinarse respecto de cada estampilla, atendiendo a las disposiciones específicas que regulan su creación, adopción y aplicación.</w:t>
            </w:r>
          </w:p>
          <w:p w14:paraId="12ED4CF1" w14:textId="34E3B461" w:rsidR="007F157E" w:rsidRPr="00E45351" w:rsidRDefault="007F157E" w:rsidP="00E45351">
            <w:pPr>
              <w:spacing w:after="120" w:line="276" w:lineRule="auto"/>
              <w:jc w:val="both"/>
              <w:rPr>
                <w:rFonts w:ascii="Verdana" w:eastAsia="Verdana" w:hAnsi="Verdana" w:cs="Verdana"/>
              </w:rPr>
            </w:pPr>
            <w:r w:rsidRPr="00E45351">
              <w:rPr>
                <w:rFonts w:ascii="Verdana" w:eastAsia="Verdana" w:hAnsi="Verdana" w:cs="Verdana"/>
              </w:rPr>
              <w:t xml:space="preserve">   </w:t>
            </w:r>
            <w:r w:rsidR="00E45351">
              <w:rPr>
                <w:rFonts w:ascii="Verdana" w:eastAsia="Verdana" w:hAnsi="Verdana" w:cs="Verdana"/>
              </w:rPr>
              <w:t xml:space="preserve">       </w:t>
            </w:r>
            <w:r w:rsidRPr="00E45351">
              <w:rPr>
                <w:rFonts w:ascii="Verdana" w:eastAsia="Verdana" w:hAnsi="Verdana" w:cs="Verdana"/>
              </w:rPr>
              <w:t>De acuerdo con este criterio, la procedencia del descuento por concepto de estampillas debe verificarse caso por caso, atendiendo a la literalidad de la ley que autoriza el tributo y de la respectiva ordenanza o acuerdo que lo desarrolla. Por tanto, la administración no podría extender mediante interpretación, analogía o aplicación general el ámbito de una estampilla a contratos o hechos que no se encuentren comprendidos dentro de su hecho generador.</w:t>
            </w:r>
          </w:p>
          <w:p w14:paraId="34AD751F" w14:textId="1E8BB8FE" w:rsidR="007F157E" w:rsidRPr="00E45351" w:rsidRDefault="007F157E" w:rsidP="00055B0F">
            <w:pPr>
              <w:spacing w:after="120" w:line="276" w:lineRule="auto"/>
              <w:ind w:firstLine="709"/>
              <w:jc w:val="both"/>
              <w:rPr>
                <w:rFonts w:ascii="Verdana" w:eastAsia="Verdana" w:hAnsi="Verdana" w:cs="Verdana"/>
              </w:rPr>
            </w:pPr>
            <w:r w:rsidRPr="00E45351">
              <w:rPr>
                <w:rFonts w:ascii="Verdana" w:eastAsia="Verdana" w:hAnsi="Verdana" w:cs="Verdana"/>
              </w:rPr>
              <w:t>En consecuencia, frente a los descuentos efectuados por una Empresa Social del Estado a sus contratistas, deberá identificarse individualmente cada estampilla y verificar: (i) la ley que autoriza su creación; (ii) la ordenanza departamental o acuerdo municipal o distrital mediante el cual fue adoptada; (iii) el hecho generador; (iv) los sujetos pasivos u obligados; (v) la base gravable; (vi) la tarifa; y (vii) las reglas relativas a su recaudo. Solo después de efectuar esta confrontación podrá establecerse si el descuento realizado encuentra fundamento jurídico.</w:t>
            </w:r>
          </w:p>
          <w:p w14:paraId="3C6AFE90" w14:textId="2640D827" w:rsidR="007F157E" w:rsidRPr="00E45351" w:rsidRDefault="007F157E" w:rsidP="00055B0F">
            <w:pPr>
              <w:spacing w:after="120" w:line="276" w:lineRule="auto"/>
              <w:ind w:firstLine="709"/>
              <w:jc w:val="both"/>
              <w:rPr>
                <w:rFonts w:ascii="Verdana" w:eastAsia="Calibri" w:hAnsi="Verdana" w:cs="Times New Roman"/>
                <w:lang w:val="es-ES"/>
              </w:rPr>
            </w:pPr>
            <w:r w:rsidRPr="00E45351">
              <w:rPr>
                <w:rFonts w:ascii="Verdana" w:eastAsia="Arial" w:hAnsi="Verdana" w:cs="Arial"/>
              </w:rPr>
              <w:t>F</w:t>
            </w:r>
            <w:r w:rsidRPr="00E45351">
              <w:rPr>
                <w:rFonts w:ascii="Verdana" w:eastAsia="Calibri" w:hAnsi="Verdana" w:cs="Arial"/>
                <w:bCs/>
                <w:color w:val="000000" w:themeColor="text1"/>
              </w:rPr>
              <w:t>inalmente</w:t>
            </w:r>
            <w:r w:rsidRPr="00E45351">
              <w:rPr>
                <w:rFonts w:ascii="Verdana" w:eastAsia="Calibri" w:hAnsi="Verdana" w:cs="Times New Roman"/>
                <w:lang w:val="es-ES"/>
              </w:rPr>
              <w:t xml:space="preserv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Pr="00E45351">
              <w:rPr>
                <w:rFonts w:ascii="Verdana" w:eastAsia="Calibri" w:hAnsi="Verdana" w:cs="Times New Roman"/>
                <w:lang w:val="es-ES"/>
              </w:rPr>
              <w:lastRenderedPageBreak/>
              <w:t>interesados de adoptar la decisión y, en caso de conflicto, a las autoridades judiciales, fiscales y disciplinarias.</w:t>
            </w:r>
          </w:p>
          <w:p w14:paraId="6FB4AAB5" w14:textId="20B11029" w:rsidR="007F157E" w:rsidRDefault="007F157E" w:rsidP="00055B0F">
            <w:pPr>
              <w:spacing w:after="120" w:line="276" w:lineRule="auto"/>
              <w:ind w:firstLine="709"/>
              <w:jc w:val="both"/>
              <w:rPr>
                <w:rFonts w:ascii="Verdana" w:eastAsia="Verdana" w:hAnsi="Verdana" w:cs="Verdana"/>
              </w:rPr>
            </w:pPr>
            <w:r w:rsidRPr="00E45351">
              <w:rPr>
                <w:rFonts w:ascii="Verdana" w:eastAsia="Calibri" w:hAnsi="Verdana" w:cs="Times New Roman"/>
                <w:lang w:val="es-ES"/>
              </w:rPr>
              <w:t>Así las cosas,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208BED0" w14:textId="284287B0" w:rsidR="007F157E" w:rsidRPr="0015699B" w:rsidRDefault="007F157E" w:rsidP="00D13ECA">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048D1E83" w14:textId="77777777" w:rsidR="007F157E" w:rsidRPr="0015699B" w:rsidRDefault="007F157E" w:rsidP="00055B0F">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34D83F1D" w14:textId="77777777" w:rsidR="007F157E" w:rsidRPr="0015699B" w:rsidRDefault="007F157E" w:rsidP="00D13ECA">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6FA05DD" w14:textId="77777777" w:rsidR="007F157E" w:rsidRDefault="007F157E" w:rsidP="00C060F9">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20BFD052" w14:textId="77777777" w:rsidR="007F157E" w:rsidRPr="0015699B" w:rsidRDefault="007F157E" w:rsidP="00AA23BB">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79A795E1" w14:textId="5BC9C699" w:rsidR="007F157E" w:rsidRPr="009E6071" w:rsidRDefault="007F157E" w:rsidP="00055B0F">
      <w:pPr>
        <w:spacing w:after="120" w:line="276" w:lineRule="auto"/>
        <w:jc w:val="both"/>
        <w:rPr>
          <w:rFonts w:ascii="Verdana" w:eastAsia="Calibri" w:hAnsi="Verdana" w:cs="Arial"/>
          <w:color w:val="000000"/>
          <w:lang w:val="es-ES"/>
        </w:rPr>
      </w:pPr>
      <w:bookmarkStart w:id="1" w:name="_Hlk35876968"/>
      <w:bookmarkStart w:id="2" w:name="_Hlk98159514"/>
      <w:r w:rsidRPr="4C21B453">
        <w:rPr>
          <w:rFonts w:ascii="Verdana" w:eastAsia="Calibri" w:hAnsi="Verdana" w:cs="Arial"/>
          <w:color w:val="000000"/>
          <w:lang w:val="es-ES"/>
        </w:rPr>
        <w:t xml:space="preserve">La incorporación de las denominadas “estampillas” </w:t>
      </w:r>
      <w:r w:rsidR="009F39CC" w:rsidRPr="4C21B453">
        <w:rPr>
          <w:rFonts w:ascii="Verdana" w:eastAsia="Calibri" w:hAnsi="Verdana" w:cs="Arial"/>
          <w:color w:val="000000" w:themeColor="text1"/>
          <w:lang w:val="es-ES"/>
        </w:rPr>
        <w:t xml:space="preserve">al ordenamiento jurídico </w:t>
      </w:r>
      <w:r w:rsidR="00FC33CD" w:rsidRPr="4C21B453">
        <w:rPr>
          <w:rFonts w:ascii="Verdana" w:eastAsia="Calibri" w:hAnsi="Verdana" w:cs="Arial"/>
          <w:color w:val="000000" w:themeColor="text1"/>
          <w:lang w:val="es-ES"/>
        </w:rPr>
        <w:t xml:space="preserve">colombiano </w:t>
      </w:r>
      <w:r w:rsidRPr="4C21B453">
        <w:rPr>
          <w:rFonts w:ascii="Verdana" w:eastAsia="Calibri" w:hAnsi="Verdana" w:cs="Arial"/>
          <w:color w:val="000000"/>
          <w:lang w:val="es-ES"/>
        </w:rPr>
        <w:t xml:space="preserve">tan sólo puede darse por disposición legal </w:t>
      </w:r>
      <w:r w:rsidR="00FC33CD" w:rsidRPr="4C21B453">
        <w:rPr>
          <w:rFonts w:ascii="Verdana" w:eastAsia="Calibri" w:hAnsi="Verdana" w:cs="Arial"/>
          <w:color w:val="000000" w:themeColor="text1"/>
          <w:lang w:val="es-ES"/>
        </w:rPr>
        <w:t xml:space="preserve">y, tratándose de tributos territoriales, </w:t>
      </w:r>
      <w:r w:rsidRPr="4C21B453">
        <w:rPr>
          <w:rFonts w:ascii="Verdana" w:eastAsia="Calibri" w:hAnsi="Verdana" w:cs="Arial"/>
          <w:color w:val="000000"/>
          <w:lang w:val="es-ES"/>
        </w:rPr>
        <w:t>por disposición expresa de</w:t>
      </w:r>
      <w:r w:rsidR="0077136D" w:rsidRPr="4C21B453">
        <w:rPr>
          <w:rFonts w:ascii="Verdana" w:eastAsia="Calibri" w:hAnsi="Verdana" w:cs="Arial"/>
          <w:color w:val="000000" w:themeColor="text1"/>
          <w:lang w:val="es-ES"/>
        </w:rPr>
        <w:t xml:space="preserve"> las correspondientes</w:t>
      </w:r>
      <w:r w:rsidRPr="4C21B453">
        <w:rPr>
          <w:rFonts w:ascii="Verdana" w:eastAsia="Calibri" w:hAnsi="Verdana" w:cs="Arial"/>
          <w:color w:val="000000"/>
          <w:lang w:val="es-ES"/>
        </w:rPr>
        <w:t xml:space="preserve"> ordenanzas departamentales o acuerdos distritales o municipales</w:t>
      </w:r>
      <w:r w:rsidR="00D96CC5" w:rsidRPr="4C21B453">
        <w:rPr>
          <w:rFonts w:ascii="Verdana" w:eastAsia="Calibri" w:hAnsi="Verdana" w:cs="Arial"/>
          <w:color w:val="000000" w:themeColor="text1"/>
          <w:lang w:val="es-ES"/>
        </w:rPr>
        <w:t xml:space="preserve">. Estas normas </w:t>
      </w:r>
      <w:r w:rsidRPr="4C21B453">
        <w:rPr>
          <w:rFonts w:ascii="Verdana" w:eastAsia="Calibri" w:hAnsi="Verdana" w:cs="Arial"/>
          <w:color w:val="000000"/>
          <w:lang w:val="es-ES"/>
        </w:rPr>
        <w:t>debe</w:t>
      </w:r>
      <w:r w:rsidR="00D96CC5" w:rsidRPr="4C21B453">
        <w:rPr>
          <w:rFonts w:ascii="Verdana" w:eastAsia="Calibri" w:hAnsi="Verdana" w:cs="Arial"/>
          <w:color w:val="000000" w:themeColor="text1"/>
          <w:lang w:val="es-ES"/>
        </w:rPr>
        <w:t>n</w:t>
      </w:r>
      <w:r w:rsidRPr="4C21B453">
        <w:rPr>
          <w:rFonts w:ascii="Verdana" w:eastAsia="Calibri" w:hAnsi="Verdana" w:cs="Arial"/>
          <w:color w:val="000000"/>
          <w:lang w:val="es-ES"/>
        </w:rPr>
        <w:t xml:space="preserve"> indicar a detalle las condiciones de su emisión</w:t>
      </w:r>
      <w:r w:rsidR="00C060F9" w:rsidRPr="4C21B453">
        <w:rPr>
          <w:rFonts w:ascii="Verdana" w:eastAsia="Calibri" w:hAnsi="Verdana" w:cs="Arial"/>
          <w:color w:val="000000" w:themeColor="text1"/>
          <w:lang w:val="es-ES"/>
        </w:rPr>
        <w:t xml:space="preserve">, recaudo, causación y aplicación del gravamen, así como los demás elementos necesarios para determinar la obligación tributaria. Dependiendo de su configuración normativa, las </w:t>
      </w:r>
      <w:r w:rsidR="00C060F9" w:rsidRPr="4C21B453">
        <w:rPr>
          <w:rFonts w:ascii="Verdana" w:eastAsia="Calibri" w:hAnsi="Verdana" w:cs="Arial"/>
          <w:color w:val="000000" w:themeColor="text1"/>
          <w:lang w:val="es-ES"/>
        </w:rPr>
        <w:lastRenderedPageBreak/>
        <w:t xml:space="preserve">estampillas pueden ser </w:t>
      </w:r>
      <w:proofErr w:type="spellStart"/>
      <w:r w:rsidRPr="4C21B453">
        <w:rPr>
          <w:rFonts w:ascii="Verdana" w:eastAsia="Calibri" w:hAnsi="Verdana" w:cs="Arial"/>
          <w:color w:val="000000"/>
          <w:lang w:val="es-ES"/>
        </w:rPr>
        <w:t>concib</w:t>
      </w:r>
      <w:r w:rsidR="00C060F9" w:rsidRPr="4C21B453">
        <w:rPr>
          <w:rFonts w:ascii="Verdana" w:eastAsia="Calibri" w:hAnsi="Verdana" w:cs="Arial"/>
          <w:color w:val="000000" w:themeColor="text1"/>
          <w:lang w:val="es-ES"/>
        </w:rPr>
        <w:t>idas</w:t>
      </w:r>
      <w:proofErr w:type="spellEnd"/>
      <w:r w:rsidR="00C060F9" w:rsidRPr="4C21B453">
        <w:rPr>
          <w:rFonts w:ascii="Verdana" w:eastAsia="Calibri" w:hAnsi="Verdana" w:cs="Arial"/>
          <w:color w:val="000000" w:themeColor="text1"/>
          <w:lang w:val="es-ES"/>
        </w:rPr>
        <w:t xml:space="preserve"> </w:t>
      </w:r>
      <w:r w:rsidRPr="4C21B453">
        <w:rPr>
          <w:rFonts w:ascii="Verdana" w:eastAsia="Calibri" w:hAnsi="Verdana" w:cs="Arial"/>
          <w:color w:val="000000"/>
          <w:lang w:val="es-ES"/>
        </w:rPr>
        <w:t>como una tasa parafiscal</w:t>
      </w:r>
      <w:r w:rsidRPr="4C21B453">
        <w:rPr>
          <w:rStyle w:val="Refdenotaalpie"/>
          <w:rFonts w:ascii="Verdana" w:eastAsia="Calibri" w:hAnsi="Verdana" w:cs="Arial"/>
          <w:color w:val="000000"/>
          <w:lang w:val="es-ES"/>
        </w:rPr>
        <w:footnoteReference w:id="1"/>
      </w:r>
      <w:r w:rsidRPr="4C21B453">
        <w:rPr>
          <w:rFonts w:ascii="Verdana" w:eastAsia="Calibri" w:hAnsi="Verdana" w:cs="Arial"/>
          <w:color w:val="000000"/>
          <w:lang w:val="es-ES"/>
        </w:rPr>
        <w:t>, o como impuesto con destinación específica</w:t>
      </w:r>
      <w:r w:rsidRPr="4C21B453">
        <w:rPr>
          <w:rStyle w:val="Refdenotaalpie"/>
          <w:rFonts w:ascii="Verdana" w:eastAsia="Calibri" w:hAnsi="Verdana" w:cs="Arial"/>
          <w:color w:val="000000"/>
          <w:lang w:val="es-ES"/>
        </w:rPr>
        <w:footnoteReference w:id="2"/>
      </w:r>
      <w:r w:rsidRPr="4C21B453">
        <w:rPr>
          <w:rFonts w:ascii="Verdana" w:eastAsia="Calibri" w:hAnsi="Verdana" w:cs="Arial"/>
          <w:color w:val="000000"/>
          <w:lang w:val="es-ES"/>
        </w:rPr>
        <w:t>.</w:t>
      </w:r>
    </w:p>
    <w:p w14:paraId="2D2DCC81" w14:textId="0DEC5FD7" w:rsidR="007F157E" w:rsidRPr="009E6071" w:rsidRDefault="007F157E" w:rsidP="4C21B453">
      <w:pPr>
        <w:spacing w:after="120" w:line="276" w:lineRule="auto"/>
        <w:ind w:firstLine="708"/>
        <w:jc w:val="both"/>
        <w:rPr>
          <w:rFonts w:ascii="Verdana" w:eastAsia="Calibri" w:hAnsi="Verdana" w:cs="Arial"/>
          <w:color w:val="000000"/>
          <w:lang w:val="es-ES"/>
        </w:rPr>
      </w:pPr>
      <w:r w:rsidRPr="4C21B453">
        <w:rPr>
          <w:rFonts w:ascii="Verdana" w:eastAsia="Calibri" w:hAnsi="Verdana" w:cs="Arial"/>
          <w:color w:val="000000" w:themeColor="text1"/>
          <w:lang w:val="es-ES"/>
        </w:rPr>
        <w:t xml:space="preserve">Sobre el tema, es importante indicar que tanto la naturaleza de cada estampilla, </w:t>
      </w:r>
      <w:r w:rsidR="00C060F9" w:rsidRPr="4C21B453">
        <w:rPr>
          <w:rFonts w:ascii="Verdana" w:eastAsia="Calibri" w:hAnsi="Verdana" w:cs="Arial"/>
          <w:color w:val="000000" w:themeColor="text1"/>
          <w:lang w:val="es-ES"/>
        </w:rPr>
        <w:t xml:space="preserve">así </w:t>
      </w:r>
      <w:r w:rsidRPr="4C21B453">
        <w:rPr>
          <w:rFonts w:ascii="Verdana" w:eastAsia="Calibri" w:hAnsi="Verdana" w:cs="Arial"/>
          <w:color w:val="000000" w:themeColor="text1"/>
          <w:lang w:val="es-ES"/>
        </w:rPr>
        <w:t>como las condiciones que se deben tener en cuenta para su  causación</w:t>
      </w:r>
      <w:r w:rsidR="00C060F9" w:rsidRPr="4C21B453">
        <w:rPr>
          <w:rFonts w:ascii="Verdana" w:eastAsia="Calibri" w:hAnsi="Verdana" w:cs="Arial"/>
          <w:color w:val="000000" w:themeColor="text1"/>
          <w:lang w:val="es-ES"/>
        </w:rPr>
        <w:t>, recaudo, destinación</w:t>
      </w:r>
      <w:r w:rsidRPr="4C21B453">
        <w:rPr>
          <w:rFonts w:ascii="Verdana" w:eastAsia="Calibri" w:hAnsi="Verdana" w:cs="Arial"/>
          <w:color w:val="000000" w:themeColor="text1"/>
          <w:lang w:val="es-ES"/>
        </w:rPr>
        <w:t xml:space="preserve"> y objetivos pueden diferir en función de las decisiones que en su configuración adoptó el Legislador </w:t>
      </w:r>
      <w:r w:rsidR="00C060F9" w:rsidRPr="4C21B453">
        <w:rPr>
          <w:rFonts w:ascii="Verdana" w:eastAsia="Calibri" w:hAnsi="Verdana" w:cs="Arial"/>
          <w:color w:val="000000" w:themeColor="text1"/>
          <w:lang w:val="es-ES"/>
        </w:rPr>
        <w:t xml:space="preserve">al autorizar su creación </w:t>
      </w:r>
      <w:r w:rsidRPr="4C21B453">
        <w:rPr>
          <w:rFonts w:ascii="Verdana" w:eastAsia="Calibri" w:hAnsi="Verdana" w:cs="Arial"/>
          <w:color w:val="000000" w:themeColor="text1"/>
          <w:lang w:val="es-ES"/>
        </w:rPr>
        <w:t xml:space="preserve">y, de manera complementaria, </w:t>
      </w:r>
      <w:r w:rsidR="00C060F9" w:rsidRPr="4C21B453">
        <w:rPr>
          <w:rFonts w:ascii="Verdana" w:eastAsia="Calibri" w:hAnsi="Verdana" w:cs="Arial"/>
          <w:color w:val="000000" w:themeColor="text1"/>
          <w:lang w:val="es-ES"/>
        </w:rPr>
        <w:t xml:space="preserve">por </w:t>
      </w:r>
      <w:r w:rsidRPr="4C21B453">
        <w:rPr>
          <w:rFonts w:ascii="Verdana" w:eastAsia="Calibri" w:hAnsi="Verdana" w:cs="Arial"/>
          <w:color w:val="000000" w:themeColor="text1"/>
          <w:lang w:val="es-ES"/>
        </w:rPr>
        <w:t>los órganos colegiados de las autoridades territoriales</w:t>
      </w:r>
      <w:r w:rsidR="00C060F9" w:rsidRPr="4C21B453">
        <w:rPr>
          <w:rFonts w:ascii="Verdana" w:eastAsia="Calibri" w:hAnsi="Verdana" w:cs="Arial"/>
          <w:color w:val="000000" w:themeColor="text1"/>
          <w:lang w:val="es-ES"/>
        </w:rPr>
        <w:t xml:space="preserve"> al desarrollarlas</w:t>
      </w:r>
      <w:r w:rsidRPr="4C21B453">
        <w:rPr>
          <w:rFonts w:ascii="Verdana" w:eastAsia="Calibri" w:hAnsi="Verdana" w:cs="Arial"/>
          <w:color w:val="000000" w:themeColor="text1"/>
          <w:lang w:val="es-ES"/>
        </w:rPr>
        <w:t xml:space="preserve"> en ejercicio de sus competencias.</w:t>
      </w:r>
      <w:r w:rsidR="00C060F9" w:rsidRPr="4C21B453">
        <w:rPr>
          <w:rFonts w:ascii="Verdana" w:eastAsia="Calibri" w:hAnsi="Verdana" w:cs="Arial"/>
          <w:color w:val="000000" w:themeColor="text1"/>
          <w:lang w:val="es-ES"/>
        </w:rPr>
        <w:t xml:space="preserve"> En consecuencia, la procedencia de una estampilla determinada debe analizarse a partir de las </w:t>
      </w:r>
      <w:r w:rsidR="00FB1425" w:rsidRPr="4C21B453">
        <w:rPr>
          <w:rFonts w:ascii="Verdana" w:eastAsia="Calibri" w:hAnsi="Verdana" w:cs="Arial"/>
          <w:color w:val="000000" w:themeColor="text1"/>
          <w:lang w:val="es-ES"/>
        </w:rPr>
        <w:t>disposiciones</w:t>
      </w:r>
      <w:r w:rsidR="00C060F9" w:rsidRPr="4C21B453">
        <w:rPr>
          <w:rFonts w:ascii="Verdana" w:eastAsia="Calibri" w:hAnsi="Verdana" w:cs="Arial"/>
          <w:color w:val="000000" w:themeColor="text1"/>
          <w:lang w:val="es-ES"/>
        </w:rPr>
        <w:t xml:space="preserve"> especificas que regulan su existencia y aplicación. </w:t>
      </w:r>
    </w:p>
    <w:p w14:paraId="510B3CC4" w14:textId="79A81DEC" w:rsidR="007F157E" w:rsidRDefault="007F157E" w:rsidP="00FB1425">
      <w:pPr>
        <w:spacing w:after="0" w:line="276" w:lineRule="auto"/>
        <w:ind w:firstLine="708"/>
        <w:jc w:val="both"/>
        <w:rPr>
          <w:rFonts w:ascii="Verdana" w:eastAsia="Calibri" w:hAnsi="Verdana" w:cs="Arial"/>
          <w:color w:val="000000"/>
          <w:lang w:val="es-ES_tradnl"/>
        </w:rPr>
      </w:pPr>
      <w:r w:rsidRPr="009E6071">
        <w:rPr>
          <w:rFonts w:ascii="Verdana" w:eastAsia="Calibri" w:hAnsi="Verdana" w:cs="Arial"/>
          <w:color w:val="000000"/>
          <w:lang w:val="es-ES_tradnl"/>
        </w:rPr>
        <w:t>En efecto, la Corte Constitucional, Sentencia C-768 de 23 de septiembre de 2010. M.P.: Juan Carlos Henao Pérez indicó:</w:t>
      </w:r>
    </w:p>
    <w:p w14:paraId="386DE7DF" w14:textId="77777777" w:rsidR="00FB1425" w:rsidRPr="009E6071" w:rsidRDefault="00FB1425" w:rsidP="00055B0F">
      <w:pPr>
        <w:spacing w:after="0" w:line="276" w:lineRule="auto"/>
        <w:ind w:firstLine="708"/>
        <w:jc w:val="both"/>
        <w:rPr>
          <w:rFonts w:ascii="Verdana" w:eastAsia="Calibri" w:hAnsi="Verdana" w:cs="Arial"/>
          <w:color w:val="000000"/>
          <w:lang w:val="es-ES_tradnl"/>
        </w:rPr>
      </w:pPr>
    </w:p>
    <w:p w14:paraId="3727051E" w14:textId="6B6529B4" w:rsidR="007F157E" w:rsidRDefault="007F157E" w:rsidP="00FB1425">
      <w:pPr>
        <w:spacing w:after="0" w:line="240" w:lineRule="auto"/>
        <w:ind w:left="709" w:right="709"/>
        <w:jc w:val="both"/>
        <w:rPr>
          <w:rFonts w:ascii="Verdana" w:eastAsia="Calibri" w:hAnsi="Verdana" w:cs="Arial"/>
          <w:color w:val="000000"/>
          <w:sz w:val="20"/>
          <w:szCs w:val="20"/>
          <w:lang w:val="es-ES_tradnl"/>
        </w:rPr>
      </w:pPr>
      <w:r w:rsidRPr="00055B0F">
        <w:rPr>
          <w:rFonts w:ascii="Verdana" w:eastAsia="Calibri" w:hAnsi="Verdana" w:cs="Arial"/>
          <w:color w:val="000000"/>
          <w:sz w:val="20"/>
          <w:szCs w:val="20"/>
          <w:lang w:val="es-ES_tradnl"/>
        </w:rPr>
        <w:t xml:space="preserve">“Para explicar esta afirmación conviene señalar que las estampillas han sido definidas por la jurisprudencia del Consejo de Estado (…) 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entidades que desarrollan o prestan un servicio público, como función propia del Estado. // La “tasa” si bien puede corresponder a la prestación directa de un </w:t>
      </w:r>
      <w:r w:rsidRPr="00055B0F">
        <w:rPr>
          <w:rFonts w:ascii="Verdana" w:eastAsia="Calibri" w:hAnsi="Verdana" w:cs="Arial"/>
          <w:color w:val="000000"/>
          <w:sz w:val="20"/>
          <w:szCs w:val="20"/>
          <w:lang w:val="es-ES_tradnl"/>
        </w:rPr>
        <w:lastRenderedPageBreak/>
        <w:t>servicio público,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 o no por la prestación de un servicio propiamente dicho, sino por contener un carácter social”.</w:t>
      </w:r>
    </w:p>
    <w:p w14:paraId="22FDDA79" w14:textId="77777777" w:rsidR="00FB1425" w:rsidRPr="00055B0F" w:rsidRDefault="00FB1425" w:rsidP="00055B0F">
      <w:pPr>
        <w:spacing w:after="0" w:line="276" w:lineRule="auto"/>
        <w:jc w:val="both"/>
        <w:rPr>
          <w:rFonts w:ascii="Verdana" w:eastAsia="Calibri" w:hAnsi="Verdana" w:cs="Arial"/>
          <w:color w:val="000000"/>
          <w:sz w:val="20"/>
          <w:szCs w:val="20"/>
          <w:lang w:val="es-ES_tradnl"/>
        </w:rPr>
      </w:pPr>
    </w:p>
    <w:p w14:paraId="6EFC2889" w14:textId="7FB32600" w:rsidR="007F157E" w:rsidRDefault="007F157E" w:rsidP="00055B0F">
      <w:pPr>
        <w:spacing w:after="0" w:line="276" w:lineRule="auto"/>
        <w:ind w:firstLine="708"/>
        <w:jc w:val="both"/>
        <w:rPr>
          <w:rFonts w:ascii="Verdana" w:eastAsia="Calibri" w:hAnsi="Verdana" w:cs="Arial"/>
          <w:color w:val="000000"/>
          <w:lang w:val="es-ES_tradnl"/>
        </w:rPr>
      </w:pPr>
      <w:r w:rsidRPr="009E6071">
        <w:rPr>
          <w:rFonts w:ascii="Verdana" w:eastAsia="Calibri" w:hAnsi="Verdana" w:cs="Arial"/>
          <w:color w:val="000000"/>
          <w:lang w:val="es-ES_tradnl"/>
        </w:rPr>
        <w:t>De la misma manera la Corte Constitucional, Sentencia C-221 de 22 de mayo de 2019. M.P. Carlos Bernal Pulido, indicó frente a la estampilla Pro- Universidad Nacional de Colombia y demás universidades estatales:</w:t>
      </w:r>
    </w:p>
    <w:p w14:paraId="16C5CA3C" w14:textId="77777777" w:rsidR="00FB1425" w:rsidRPr="009E6071" w:rsidRDefault="00FB1425" w:rsidP="00055B0F">
      <w:pPr>
        <w:spacing w:after="0" w:line="276" w:lineRule="auto"/>
        <w:ind w:firstLine="708"/>
        <w:jc w:val="both"/>
        <w:rPr>
          <w:rFonts w:ascii="Verdana" w:eastAsia="Calibri" w:hAnsi="Verdana" w:cs="Arial"/>
          <w:color w:val="000000"/>
          <w:lang w:val="es-ES_tradnl"/>
        </w:rPr>
      </w:pPr>
    </w:p>
    <w:p w14:paraId="5AAC0B66" w14:textId="3CEC1991" w:rsidR="007F157E" w:rsidRDefault="007F157E" w:rsidP="00FB1425">
      <w:pPr>
        <w:spacing w:after="0" w:line="240" w:lineRule="auto"/>
        <w:ind w:left="709" w:right="709"/>
        <w:jc w:val="both"/>
        <w:rPr>
          <w:rFonts w:ascii="Verdana" w:eastAsia="Calibri" w:hAnsi="Verdana" w:cs="Arial"/>
          <w:color w:val="000000"/>
          <w:sz w:val="20"/>
          <w:szCs w:val="20"/>
          <w:lang w:val="es-ES_tradnl"/>
        </w:rPr>
      </w:pPr>
      <w:r w:rsidRPr="00055B0F">
        <w:rPr>
          <w:rFonts w:ascii="Verdana" w:eastAsia="Calibri" w:hAnsi="Verdana" w:cs="Arial"/>
          <w:color w:val="000000"/>
          <w:sz w:val="20"/>
          <w:szCs w:val="20"/>
          <w:lang w:val="es-ES_tradnl"/>
        </w:rPr>
        <w:t>“se trataba de un impuesto con destinación específica pues se trata de una imposición obligatoria y definitiva que no guarda relación directa e inmediata con la prestación de un bien o un servicio por parte del Estado al ciudadano”.</w:t>
      </w:r>
    </w:p>
    <w:p w14:paraId="489DAB3D" w14:textId="77777777" w:rsidR="00FB1425" w:rsidRPr="00055B0F" w:rsidRDefault="00FB1425" w:rsidP="00055B0F">
      <w:pPr>
        <w:spacing w:after="120" w:line="276" w:lineRule="auto"/>
        <w:ind w:left="709" w:right="709"/>
        <w:jc w:val="both"/>
        <w:rPr>
          <w:rFonts w:ascii="Verdana" w:eastAsia="Calibri" w:hAnsi="Verdana" w:cs="Arial"/>
          <w:color w:val="000000"/>
          <w:lang w:val="es-ES_tradnl"/>
        </w:rPr>
      </w:pPr>
    </w:p>
    <w:p w14:paraId="55331D1E" w14:textId="5A1C03D6" w:rsidR="00574332" w:rsidRPr="00574332" w:rsidRDefault="00574332" w:rsidP="00D95068">
      <w:pPr>
        <w:spacing w:after="120" w:line="276" w:lineRule="auto"/>
        <w:ind w:firstLine="708"/>
        <w:jc w:val="both"/>
        <w:rPr>
          <w:rFonts w:ascii="Verdana" w:eastAsia="Calibri" w:hAnsi="Verdana" w:cs="Arial"/>
          <w:color w:val="000000"/>
          <w:lang w:val="es-ES_tradnl"/>
        </w:rPr>
      </w:pPr>
      <w:r w:rsidRPr="00055B0F">
        <w:rPr>
          <w:rFonts w:ascii="Verdana" w:eastAsia="Times New Roman" w:hAnsi="Verdana" w:cs="Segoe UI"/>
          <w:lang w:eastAsia="es-ES_tradnl"/>
        </w:rPr>
        <w:t>Lo anterior demuestra que no existe una naturaleza única para todas las estampillas. Por el contrario, cada una responde a una regulación específica que determina su estructura tributaria, sus finalidades y las condiciones bajo las cuales surge la obligación de pago.</w:t>
      </w:r>
    </w:p>
    <w:p w14:paraId="0FBD70CB" w14:textId="31C6DE69" w:rsidR="007F157E" w:rsidRDefault="007F157E" w:rsidP="5AA5CD58">
      <w:pPr>
        <w:spacing w:after="120" w:line="276" w:lineRule="auto"/>
        <w:ind w:firstLine="708"/>
        <w:jc w:val="both"/>
        <w:rPr>
          <w:rFonts w:ascii="Verdana" w:eastAsia="Calibri" w:hAnsi="Verdana" w:cs="Arial"/>
          <w:color w:val="000000" w:themeColor="text1"/>
          <w:lang w:val="es-ES"/>
        </w:rPr>
      </w:pPr>
      <w:r w:rsidRPr="5AA5CD58">
        <w:rPr>
          <w:rFonts w:ascii="Verdana" w:eastAsia="Calibri" w:hAnsi="Verdana" w:cs="Arial"/>
          <w:color w:val="000000" w:themeColor="text1"/>
          <w:lang w:val="es-ES"/>
        </w:rPr>
        <w:t xml:space="preserve">Así las cosas, las estampillas constituyen tributos de carácter departamental o municipal, y su exigibilidad frente a los contratos </w:t>
      </w:r>
      <w:proofErr w:type="spellStart"/>
      <w:r w:rsidRPr="5AA5CD58">
        <w:rPr>
          <w:rFonts w:ascii="Verdana" w:eastAsia="Calibri" w:hAnsi="Verdana" w:cs="Arial"/>
          <w:color w:val="000000" w:themeColor="text1"/>
          <w:lang w:val="es-ES"/>
        </w:rPr>
        <w:t>rá</w:t>
      </w:r>
      <w:proofErr w:type="spellEnd"/>
      <w:r w:rsidRPr="5AA5CD58">
        <w:rPr>
          <w:rFonts w:ascii="Verdana" w:eastAsia="Calibri" w:hAnsi="Verdana" w:cs="Arial"/>
          <w:color w:val="000000" w:themeColor="text1"/>
          <w:lang w:val="es-ES"/>
        </w:rPr>
        <w:t xml:space="preserve"> de lo que dispongan las respectivas ordenanzas o acuerdos territoriales que las hayan creado. Particularmente, para establecer su procedencia deberá analizarse lo relativo al hecho generador del tributo, a los sujetos obligados al pago y a las condiciones de su aplicación.</w:t>
      </w:r>
    </w:p>
    <w:p w14:paraId="32B99753" w14:textId="3C1DD582" w:rsidR="007769A3" w:rsidRDefault="007769A3" w:rsidP="00AA23BB">
      <w:pPr>
        <w:spacing w:after="120" w:line="276" w:lineRule="auto"/>
        <w:ind w:firstLine="709"/>
        <w:jc w:val="both"/>
        <w:rPr>
          <w:rFonts w:ascii="Verdana" w:eastAsia="Times New Roman" w:hAnsi="Verdana" w:cs="Segoe UI"/>
          <w:lang w:eastAsia="es-ES_tradnl"/>
        </w:rPr>
      </w:pPr>
      <w:r w:rsidRPr="00055B0F">
        <w:rPr>
          <w:rFonts w:ascii="Verdana" w:eastAsia="Times New Roman" w:hAnsi="Verdana" w:cs="Segoe UI"/>
          <w:lang w:eastAsia="es-ES_tradnl"/>
        </w:rPr>
        <w:t>En este punto resulta pertinente recordar que las estampillas están sometidas al principio de legalidad tributaria. Por tal razón, la exigibilidad del gravamen solo procede cuando la normativa correspondiente permite identificar con claridad los elementos esenciales de la obligación tributaria, entre ellos: (i) el hecho generador; (ii) los sujetos activos y pasivos; (iii) la base gravable; (iv) la tarifa; y (v) las reglas de recaudo. La ausencia de alguno de estos elementos o la falta de inclusión expresa del supuesto de hecho objeto de análisis impide extender el tributo mediante analogía o interpretación expansiva.</w:t>
      </w:r>
    </w:p>
    <w:p w14:paraId="68E28748" w14:textId="0F8DB751" w:rsidR="00CB7CFD" w:rsidRPr="009A257A" w:rsidRDefault="00CB7CFD" w:rsidP="00055B0F">
      <w:pPr>
        <w:spacing w:after="120" w:line="276" w:lineRule="auto"/>
        <w:ind w:firstLine="708"/>
        <w:jc w:val="both"/>
        <w:rPr>
          <w:rFonts w:ascii="Verdana" w:eastAsia="Verdana" w:hAnsi="Verdana" w:cs="Verdana"/>
        </w:rPr>
      </w:pPr>
      <w:r>
        <w:rPr>
          <w:rFonts w:ascii="Verdana" w:eastAsia="Verdana" w:hAnsi="Verdana" w:cs="Verdana"/>
        </w:rPr>
        <w:lastRenderedPageBreak/>
        <w:t xml:space="preserve">Sobre el particular, debe recordarse, en </w:t>
      </w:r>
      <w:r w:rsidRPr="009A257A">
        <w:rPr>
          <w:rFonts w:ascii="Verdana" w:eastAsia="Verdana" w:hAnsi="Verdana" w:cs="Verdana"/>
        </w:rPr>
        <w:t xml:space="preserve">primer lugar, </w:t>
      </w:r>
      <w:r>
        <w:rPr>
          <w:rFonts w:ascii="Verdana" w:eastAsia="Verdana" w:hAnsi="Verdana" w:cs="Verdana"/>
        </w:rPr>
        <w:t xml:space="preserve">que </w:t>
      </w:r>
      <w:r w:rsidRPr="009A257A">
        <w:rPr>
          <w:rFonts w:ascii="Verdana" w:eastAsia="Verdana" w:hAnsi="Verdana" w:cs="Verdana"/>
        </w:rPr>
        <w:t>el artículo 338 de la Constitución Política establece el principio de legalidad tributaria, conforme al cual, en tiempo de paz, solamente el Congreso, las asambleas departamentales y los concejos distritales y municipales pueden imponer contribuciones fiscales o parafiscales. La misma disposición exige que la ley, las ordenanzas y los acuerdos determinen directamente los sujetos activos y pasivos, los hechos y las bases gravables y las tarifas de los impuestos.</w:t>
      </w:r>
    </w:p>
    <w:p w14:paraId="556CD1D6" w14:textId="77777777" w:rsidR="00CB7CFD" w:rsidRPr="009A257A" w:rsidRDefault="00CB7CFD" w:rsidP="00CB7CFD">
      <w:pPr>
        <w:spacing w:after="120" w:line="276" w:lineRule="auto"/>
        <w:jc w:val="both"/>
        <w:rPr>
          <w:rFonts w:ascii="Verdana" w:eastAsia="Verdana" w:hAnsi="Verdana" w:cs="Verdana"/>
        </w:rPr>
      </w:pPr>
      <w:r>
        <w:rPr>
          <w:rFonts w:ascii="Verdana" w:eastAsia="Verdana" w:hAnsi="Verdana" w:cs="Verdana"/>
        </w:rPr>
        <w:t xml:space="preserve">        </w:t>
      </w:r>
      <w:r w:rsidRPr="009A257A">
        <w:rPr>
          <w:rFonts w:ascii="Verdana" w:eastAsia="Verdana" w:hAnsi="Verdana" w:cs="Verdana"/>
        </w:rPr>
        <w:t>A su vez, el artículo 287 de la Constitución Política reconoce a las entidades territoriales autonomía para la gestión de sus intereses y, dentro de los límites de la Constitución y la ley, para administrar sus recursos y establecer los tributos necesarios para el cumplimiento de sus funciones. Esta competencia se desarrolla, para los departamentos, en el artículo 300 de la Constitución y, para los municipios y distritos, en el artículo 313.</w:t>
      </w:r>
    </w:p>
    <w:p w14:paraId="4ABAE22C" w14:textId="77777777" w:rsidR="00CB7CFD" w:rsidRPr="009A257A" w:rsidRDefault="00CB7CFD" w:rsidP="00CB7CFD">
      <w:pPr>
        <w:spacing w:after="120" w:line="276" w:lineRule="auto"/>
        <w:jc w:val="both"/>
        <w:rPr>
          <w:rFonts w:ascii="Verdana" w:eastAsia="Verdana" w:hAnsi="Verdana" w:cs="Verdana"/>
        </w:rPr>
      </w:pPr>
      <w:r>
        <w:rPr>
          <w:rFonts w:ascii="Verdana" w:eastAsia="Verdana" w:hAnsi="Verdana" w:cs="Verdana"/>
        </w:rPr>
        <w:t xml:space="preserve">       </w:t>
      </w:r>
      <w:r w:rsidRPr="009A257A">
        <w:rPr>
          <w:rFonts w:ascii="Verdana" w:eastAsia="Verdana" w:hAnsi="Verdana" w:cs="Verdana"/>
        </w:rPr>
        <w:t>De estas disposiciones se desprende que la potestad tributaria de las entidades territoriales no es absoluta, sino que debe ejercerse dentro del marco establecido por la Constitución y la ley. En consecuencia, las asambleas departamentales y los concejos municipales o distritales solamente pueden adoptar las estampillas respecto de las cuales exista una autorización legal y deben establecer su regulación dentro de los límites fijados por el legislador.</w:t>
      </w:r>
    </w:p>
    <w:p w14:paraId="5F94C1FA" w14:textId="2456981E" w:rsidR="00CB7CFD" w:rsidRPr="00055B0F" w:rsidRDefault="00CB7CFD" w:rsidP="00055B0F">
      <w:pPr>
        <w:spacing w:after="120" w:line="276" w:lineRule="auto"/>
        <w:jc w:val="both"/>
        <w:rPr>
          <w:rFonts w:ascii="Verdana" w:eastAsia="Verdana" w:hAnsi="Verdana" w:cs="Verdana"/>
        </w:rPr>
      </w:pPr>
      <w:r>
        <w:rPr>
          <w:rFonts w:ascii="Verdana" w:eastAsia="Verdana" w:hAnsi="Verdana" w:cs="Verdana"/>
        </w:rPr>
        <w:t xml:space="preserve">       </w:t>
      </w:r>
      <w:r w:rsidRPr="009A257A">
        <w:rPr>
          <w:rFonts w:ascii="Verdana" w:eastAsia="Verdana" w:hAnsi="Verdana" w:cs="Verdana"/>
        </w:rPr>
        <w:t>En este sentido, las estampillas constituyen gravámenes cuya exigibilidad debe encontrarse sustentada en la correspondiente normativa y, tratándose de tributos territoriales, en la respectiva ordenanza departamental o acuerdo municipal o distrital. Dichas disposiciones deben permitir identificar los elementos necesarios para determinar la obligación tributaria, entre ellos, el hecho generador, los sujetos obligados, la base gravable, la tarifa y las condiciones de recaudo.</w:t>
      </w:r>
    </w:p>
    <w:p w14:paraId="0F1CDE87" w14:textId="47E00AD2" w:rsidR="007769A3" w:rsidRPr="00055B0F" w:rsidRDefault="00AA23BB" w:rsidP="00AA23BB">
      <w:pPr>
        <w:spacing w:after="120" w:line="276" w:lineRule="auto"/>
        <w:ind w:firstLine="708"/>
        <w:jc w:val="both"/>
        <w:rPr>
          <w:rFonts w:ascii="Verdana" w:eastAsia="Times New Roman" w:hAnsi="Verdana" w:cs="Segoe UI"/>
          <w:lang w:eastAsia="es-ES_tradnl"/>
        </w:rPr>
      </w:pPr>
      <w:r w:rsidRPr="00055B0F">
        <w:rPr>
          <w:rFonts w:ascii="Verdana" w:eastAsia="Times New Roman" w:hAnsi="Verdana" w:cs="Segoe UI"/>
          <w:lang w:eastAsia="es-ES_tradnl"/>
        </w:rPr>
        <w:t>Bajo este entendimiento, la naturaleza pública de una Empresa Social del Estado no constituye, por sí sola, fundamento suficiente para exigir a sus contratistas el pago de una o varias estampillas. La procedencia del descuento dependerá de que la correspondiente ley habilitante y la ordenanza departamental o acuerdo municipal o distrital que desarrolla el tributo hayan previsto expresamente que la celebración, ejecución, pago, adición o liquidación de contratos de prestación de servicios, de obra o de cualquier otra modalidad contractual constituye hecho generador de la obligación tributaria.</w:t>
      </w:r>
    </w:p>
    <w:p w14:paraId="53E89FD5" w14:textId="77777777" w:rsidR="007F157E" w:rsidRPr="009A257A" w:rsidRDefault="007F157E" w:rsidP="007F157E">
      <w:pPr>
        <w:spacing w:after="120" w:line="276" w:lineRule="auto"/>
        <w:jc w:val="both"/>
        <w:rPr>
          <w:rFonts w:ascii="Verdana" w:eastAsia="Verdana" w:hAnsi="Verdana" w:cs="Verdana"/>
        </w:rPr>
      </w:pPr>
      <w:r>
        <w:rPr>
          <w:rFonts w:ascii="Verdana" w:eastAsia="Verdana" w:hAnsi="Verdana" w:cs="Verdana"/>
        </w:rPr>
        <w:lastRenderedPageBreak/>
        <w:t xml:space="preserve">      </w:t>
      </w:r>
      <w:r>
        <w:rPr>
          <w:rFonts w:ascii="Verdana" w:eastAsia="Verdana" w:hAnsi="Verdana" w:cs="Verdana"/>
        </w:rPr>
        <w:tab/>
      </w:r>
      <w:r w:rsidRPr="009A257A">
        <w:rPr>
          <w:rFonts w:ascii="Verdana" w:eastAsia="Verdana" w:hAnsi="Verdana" w:cs="Verdana"/>
        </w:rPr>
        <w:t>Sobre este particular, resulta pertinente traer a colación el criterio expuesto por la Agencia Nacional de Contratación Pública – Colombia Compra Eficiente en el Concepto C-131 del 11 de marzo de 2026, en el cual, al analizar la exigibilidad de estampillas en contratos de prestación de servicios y de obra, señaló que su procedencia depende estrictamente de las condiciones establecidas en la normativa que regula estos tributos a nivel territorial.</w:t>
      </w:r>
    </w:p>
    <w:p w14:paraId="1E488034" w14:textId="77777777" w:rsidR="007F157E" w:rsidRPr="009A257A" w:rsidRDefault="007F157E" w:rsidP="007F157E">
      <w:pPr>
        <w:spacing w:after="120" w:line="276" w:lineRule="auto"/>
        <w:ind w:firstLine="708"/>
        <w:jc w:val="both"/>
        <w:rPr>
          <w:rFonts w:ascii="Verdana" w:eastAsia="Verdana" w:hAnsi="Verdana" w:cs="Verdana"/>
        </w:rPr>
      </w:pPr>
      <w:r w:rsidRPr="009A257A">
        <w:rPr>
          <w:rFonts w:ascii="Verdana" w:eastAsia="Verdana" w:hAnsi="Verdana" w:cs="Verdana"/>
        </w:rPr>
        <w:t>En dicho concepto, la Agencia precisó que la incorporación de las estampillas al ordenamiento jurídico debe efectuarse mediante disposición legal o mediante la correspondiente ordenanza departamental o acuerdo municipal o distrital, según el caso, y que en dichas disposiciones deben establecerse las condiciones para su aplicación y los elementos propios del tributo.</w:t>
      </w:r>
    </w:p>
    <w:p w14:paraId="5E6B0BDA" w14:textId="77777777" w:rsidR="007F157E" w:rsidRPr="009A257A" w:rsidRDefault="007F157E" w:rsidP="007F157E">
      <w:pPr>
        <w:spacing w:after="120" w:line="276" w:lineRule="auto"/>
        <w:ind w:firstLine="708"/>
        <w:jc w:val="both"/>
        <w:rPr>
          <w:rFonts w:ascii="Verdana" w:eastAsia="Verdana" w:hAnsi="Verdana" w:cs="Verdana"/>
        </w:rPr>
      </w:pPr>
      <w:r w:rsidRPr="009A257A">
        <w:rPr>
          <w:rFonts w:ascii="Verdana" w:eastAsia="Verdana" w:hAnsi="Verdana" w:cs="Verdana"/>
        </w:rPr>
        <w:t>Asimismo, Colombia Compra Eficiente indicó que la exigibilidad de las estampillas frente a los contratos de prestación de servicios o de obra depende particularmente de lo establecido en las respectivas normas territoriales respecto del hecho generador y de los sujetos obligados al pago, razón por la cual no existe una obligación general y automática de imponer estampillas a todos los contratos celebrados por las entidades estatales.</w:t>
      </w:r>
    </w:p>
    <w:p w14:paraId="4BB2968B" w14:textId="77777777" w:rsidR="007F157E" w:rsidRPr="009A257A" w:rsidRDefault="007F157E" w:rsidP="007F157E">
      <w:pPr>
        <w:spacing w:after="120" w:line="276" w:lineRule="auto"/>
        <w:ind w:firstLine="708"/>
        <w:jc w:val="both"/>
        <w:rPr>
          <w:rFonts w:ascii="Verdana" w:eastAsia="Verdana" w:hAnsi="Verdana" w:cs="Verdana"/>
        </w:rPr>
      </w:pPr>
      <w:r w:rsidRPr="009A257A">
        <w:rPr>
          <w:rFonts w:ascii="Verdana" w:eastAsia="Verdana" w:hAnsi="Verdana" w:cs="Verdana"/>
        </w:rPr>
        <w:t>De acuerdo con este criterio, la procedencia del descuento por concepto de estampillas debe verificarse caso por caso, atendiendo a la literalidad de la ley que autoriza el tributo y de la respectiva ordenanza o acuerdo que lo desarrolla. Por tanto, la administración no podría extender mediante interpretación, analogía o aplicación general el ámbito de una estampilla a contratos o hechos que no se encuentren comprendidos dentro de su hecho generador.</w:t>
      </w:r>
    </w:p>
    <w:p w14:paraId="1D461F00" w14:textId="0C1DD9FE" w:rsidR="007F157E" w:rsidRPr="009A257A" w:rsidRDefault="007F157E" w:rsidP="007F157E">
      <w:pPr>
        <w:spacing w:after="120" w:line="276" w:lineRule="auto"/>
        <w:ind w:firstLine="708"/>
        <w:jc w:val="both"/>
        <w:rPr>
          <w:rFonts w:ascii="Verdana" w:eastAsia="Verdana" w:hAnsi="Verdana" w:cs="Verdana"/>
        </w:rPr>
      </w:pPr>
      <w:r w:rsidRPr="009A257A">
        <w:rPr>
          <w:rFonts w:ascii="Verdana" w:eastAsia="Verdana" w:hAnsi="Verdana" w:cs="Verdana"/>
        </w:rPr>
        <w:t>En consecuencia, frente a los descuentos efectuados por una Empresa Social del Estado a sus contratistas, deberá identificarse individualmente cada estampilla</w:t>
      </w:r>
      <w:r w:rsidR="00EA1E37">
        <w:rPr>
          <w:rFonts w:ascii="Verdana" w:eastAsia="Verdana" w:hAnsi="Verdana" w:cs="Verdana"/>
        </w:rPr>
        <w:t xml:space="preserve"> que se pretende exigir</w:t>
      </w:r>
      <w:r w:rsidRPr="009A257A">
        <w:rPr>
          <w:rFonts w:ascii="Verdana" w:eastAsia="Verdana" w:hAnsi="Verdana" w:cs="Verdana"/>
        </w:rPr>
        <w:t xml:space="preserve"> y verificar: (i) la ley que autoriza su creación; (ii) la ordenanza departamental o acuerdo municipal o distrital mediante el cual fue adoptada; (iii) el hecho generador; (iv) los sujetos pasivos u obligados; (v) la base gravable; (vi) la tarifa; y (vii) las reglas relativas a su recaudo. Solo después de efectuar esta confrontación podrá establecerse si el descuento realizado encuentra fundamento jurídico.</w:t>
      </w:r>
    </w:p>
    <w:p w14:paraId="262007F0" w14:textId="42C3856F" w:rsidR="007F157E" w:rsidRPr="009A257A" w:rsidRDefault="007F157E" w:rsidP="007F157E">
      <w:pPr>
        <w:spacing w:after="120" w:line="276" w:lineRule="auto"/>
        <w:ind w:firstLine="708"/>
        <w:jc w:val="both"/>
        <w:rPr>
          <w:rFonts w:ascii="Verdana" w:eastAsia="Verdana" w:hAnsi="Verdana" w:cs="Verdana"/>
        </w:rPr>
      </w:pPr>
      <w:r w:rsidRPr="009A257A">
        <w:rPr>
          <w:rFonts w:ascii="Verdana" w:eastAsia="Verdana" w:hAnsi="Verdana" w:cs="Verdana"/>
        </w:rPr>
        <w:t xml:space="preserve">Por lo anterior, el análisis de la procedencia de las estampillas no puede efectuarse de manera general respecto de todos los contratos celebrados por </w:t>
      </w:r>
      <w:r w:rsidR="00EA1E37">
        <w:rPr>
          <w:rFonts w:ascii="Verdana" w:eastAsia="Verdana" w:hAnsi="Verdana" w:cs="Verdana"/>
        </w:rPr>
        <w:lastRenderedPageBreak/>
        <w:t xml:space="preserve">una </w:t>
      </w:r>
      <w:r w:rsidRPr="009A257A">
        <w:rPr>
          <w:rFonts w:ascii="Verdana" w:eastAsia="Verdana" w:hAnsi="Verdana" w:cs="Verdana"/>
        </w:rPr>
        <w:t>E</w:t>
      </w:r>
      <w:r w:rsidR="00EA1E37">
        <w:rPr>
          <w:rFonts w:ascii="Verdana" w:eastAsia="Verdana" w:hAnsi="Verdana" w:cs="Verdana"/>
        </w:rPr>
        <w:t xml:space="preserve">mpresa </w:t>
      </w:r>
      <w:r w:rsidRPr="009A257A">
        <w:rPr>
          <w:rFonts w:ascii="Verdana" w:eastAsia="Verdana" w:hAnsi="Verdana" w:cs="Verdana"/>
        </w:rPr>
        <w:t>S</w:t>
      </w:r>
      <w:r w:rsidR="00EA1E37">
        <w:rPr>
          <w:rFonts w:ascii="Verdana" w:eastAsia="Verdana" w:hAnsi="Verdana" w:cs="Verdana"/>
        </w:rPr>
        <w:t xml:space="preserve">ocial del </w:t>
      </w:r>
      <w:r w:rsidRPr="009A257A">
        <w:rPr>
          <w:rFonts w:ascii="Verdana" w:eastAsia="Verdana" w:hAnsi="Verdana" w:cs="Verdana"/>
        </w:rPr>
        <w:t>E</w:t>
      </w:r>
      <w:r w:rsidR="00EA1E37">
        <w:rPr>
          <w:rFonts w:ascii="Verdana" w:eastAsia="Verdana" w:hAnsi="Verdana" w:cs="Verdana"/>
        </w:rPr>
        <w:t>stado</w:t>
      </w:r>
      <w:r w:rsidRPr="009A257A">
        <w:rPr>
          <w:rFonts w:ascii="Verdana" w:eastAsia="Verdana" w:hAnsi="Verdana" w:cs="Verdana"/>
        </w:rPr>
        <w:t>, sino que debe realizarse de manera individual respecto de cada tributo y de cada relación contractual, de acuerdo con las normas que regulan la respectiva obligación tributaria.</w:t>
      </w:r>
    </w:p>
    <w:bookmarkEnd w:id="1"/>
    <w:bookmarkEnd w:id="2"/>
    <w:p w14:paraId="03018531" w14:textId="52148CD0" w:rsidR="007F157E" w:rsidRPr="00DC7DA9" w:rsidRDefault="007F157E" w:rsidP="00055B0F">
      <w:pPr>
        <w:spacing w:after="120" w:line="276" w:lineRule="auto"/>
        <w:ind w:firstLine="708"/>
        <w:jc w:val="both"/>
        <w:rPr>
          <w:rFonts w:ascii="Verdana" w:hAnsi="Verdana"/>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00C17A7D">
        <w:rPr>
          <w:rFonts w:ascii="Verdana" w:hAnsi="Verdana"/>
          <w:lang w:val="es-ES"/>
        </w:rPr>
        <w:t>.</w:t>
      </w:r>
    </w:p>
    <w:p w14:paraId="6C5F5B3A" w14:textId="77777777" w:rsidR="007F157E" w:rsidRPr="00DC7DA9" w:rsidRDefault="007F157E" w:rsidP="007F157E">
      <w:pPr>
        <w:spacing w:line="276" w:lineRule="auto"/>
        <w:ind w:firstLine="708"/>
        <w:contextualSpacing/>
        <w:jc w:val="both"/>
        <w:rPr>
          <w:rFonts w:ascii="Verdana" w:eastAsia="Calibri" w:hAnsi="Verdana" w:cs="Times New Roman"/>
          <w:lang w:val="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13BA348" w14:textId="77777777" w:rsidR="007F157E" w:rsidRPr="0015699B" w:rsidRDefault="007F157E" w:rsidP="00EA1E37">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07F3B83B" w14:textId="77777777" w:rsidR="007F157E" w:rsidRPr="0015699B" w:rsidRDefault="007F157E" w:rsidP="00055B0F">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2BEF7651" w14:textId="77777777" w:rsidR="007F157E" w:rsidRPr="0015699B" w:rsidRDefault="007F157E" w:rsidP="00EA1E37">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7F157E" w14:paraId="7C07DED8" w14:textId="77777777" w:rsidTr="00177867">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1C9AD4D3" w14:textId="77777777" w:rsidR="007F157E" w:rsidRPr="000B0CA9" w:rsidRDefault="007F157E" w:rsidP="00055B0F">
            <w:pPr>
              <w:widowControl w:val="0"/>
              <w:numPr>
                <w:ilvl w:val="0"/>
                <w:numId w:val="17"/>
              </w:numPr>
              <w:autoSpaceDE w:val="0"/>
              <w:autoSpaceDN w:val="0"/>
              <w:spacing w:line="276" w:lineRule="auto"/>
              <w:jc w:val="both"/>
              <w:rPr>
                <w:rFonts w:ascii="Verdana" w:eastAsia="Verdana" w:hAnsi="Verdana" w:cs="Verdana"/>
                <w:lang w:val="es"/>
              </w:rPr>
            </w:pPr>
            <w:r w:rsidRPr="000B0CA9">
              <w:rPr>
                <w:rFonts w:ascii="Verdana" w:eastAsia="Verdana" w:hAnsi="Verdana" w:cs="Verdana"/>
                <w:lang w:val="es"/>
              </w:rPr>
              <w:t>Constitución Política: Artículos 287, 300 y 313.</w:t>
            </w:r>
          </w:p>
          <w:p w14:paraId="7AE35C7E" w14:textId="77777777" w:rsidR="007F157E" w:rsidRPr="000B0CA9" w:rsidRDefault="007F157E" w:rsidP="00055B0F">
            <w:pPr>
              <w:widowControl w:val="0"/>
              <w:numPr>
                <w:ilvl w:val="0"/>
                <w:numId w:val="17"/>
              </w:numPr>
              <w:autoSpaceDE w:val="0"/>
              <w:autoSpaceDN w:val="0"/>
              <w:spacing w:line="276" w:lineRule="auto"/>
              <w:jc w:val="both"/>
              <w:rPr>
                <w:rFonts w:ascii="Verdana" w:eastAsia="Verdana" w:hAnsi="Verdana" w:cs="Verdana"/>
                <w:lang w:val="es"/>
              </w:rPr>
            </w:pPr>
            <w:r w:rsidRPr="000B0CA9">
              <w:rPr>
                <w:rFonts w:ascii="Verdana" w:eastAsia="Verdana" w:hAnsi="Verdana" w:cs="Verdana"/>
                <w:lang w:val="es"/>
              </w:rPr>
              <w:t>Decreto</w:t>
            </w:r>
            <w:r>
              <w:rPr>
                <w:rFonts w:ascii="Verdana" w:eastAsia="Verdana" w:hAnsi="Verdana" w:cs="Verdana"/>
                <w:lang w:val="es"/>
              </w:rPr>
              <w:t xml:space="preserve"> </w:t>
            </w:r>
            <w:r w:rsidRPr="000B0CA9">
              <w:rPr>
                <w:rFonts w:ascii="Verdana" w:eastAsia="Verdana" w:hAnsi="Verdana" w:cs="Verdana"/>
                <w:lang w:val="es"/>
              </w:rPr>
              <w:t>1082</w:t>
            </w:r>
            <w:r>
              <w:rPr>
                <w:rFonts w:ascii="Verdana" w:eastAsia="Verdana" w:hAnsi="Verdana" w:cs="Verdana"/>
                <w:lang w:val="es"/>
              </w:rPr>
              <w:t xml:space="preserve"> </w:t>
            </w:r>
            <w:r w:rsidRPr="000B0CA9">
              <w:rPr>
                <w:rFonts w:ascii="Verdana" w:eastAsia="Verdana" w:hAnsi="Verdana" w:cs="Verdana"/>
                <w:lang w:val="es"/>
              </w:rPr>
              <w:t>de</w:t>
            </w:r>
            <w:r>
              <w:rPr>
                <w:rFonts w:ascii="Verdana" w:eastAsia="Verdana" w:hAnsi="Verdana" w:cs="Verdana"/>
                <w:lang w:val="es"/>
              </w:rPr>
              <w:t xml:space="preserve"> </w:t>
            </w:r>
            <w:r w:rsidRPr="000B0CA9">
              <w:rPr>
                <w:rFonts w:ascii="Verdana" w:eastAsia="Verdana" w:hAnsi="Verdana" w:cs="Verdana"/>
                <w:lang w:val="es"/>
              </w:rPr>
              <w:t>2015:</w:t>
            </w:r>
            <w:r>
              <w:rPr>
                <w:rFonts w:ascii="Verdana" w:eastAsia="Verdana" w:hAnsi="Verdana" w:cs="Verdana"/>
                <w:lang w:val="es"/>
              </w:rPr>
              <w:t xml:space="preserve"> </w:t>
            </w:r>
            <w:r w:rsidRPr="000B0CA9">
              <w:rPr>
                <w:rFonts w:ascii="Verdana" w:eastAsia="Verdana" w:hAnsi="Verdana" w:cs="Verdana"/>
                <w:lang w:val="es"/>
              </w:rPr>
              <w:t>Artículos</w:t>
            </w:r>
            <w:r>
              <w:rPr>
                <w:rFonts w:ascii="Verdana" w:eastAsia="Verdana" w:hAnsi="Verdana" w:cs="Verdana"/>
                <w:lang w:val="es"/>
              </w:rPr>
              <w:t xml:space="preserve"> </w:t>
            </w:r>
            <w:r w:rsidRPr="000B0CA9">
              <w:rPr>
                <w:rFonts w:ascii="Verdana" w:eastAsia="Verdana" w:hAnsi="Verdana" w:cs="Verdana"/>
                <w:lang w:val="es"/>
              </w:rPr>
              <w:t>2.2.1.1.1.5.5,</w:t>
            </w:r>
            <w:r>
              <w:rPr>
                <w:rFonts w:ascii="Verdana" w:eastAsia="Verdana" w:hAnsi="Verdana" w:cs="Verdana"/>
                <w:lang w:val="es"/>
              </w:rPr>
              <w:t xml:space="preserve"> </w:t>
            </w:r>
            <w:r w:rsidRPr="000B0CA9">
              <w:rPr>
                <w:rFonts w:ascii="Verdana" w:eastAsia="Verdana" w:hAnsi="Verdana" w:cs="Verdana"/>
                <w:lang w:val="es"/>
              </w:rPr>
              <w:t>2.2.1.1.1.5.2,</w:t>
            </w:r>
          </w:p>
          <w:p w14:paraId="7F6056AA" w14:textId="77777777" w:rsidR="007F157E" w:rsidRPr="000B0CA9" w:rsidRDefault="007F157E" w:rsidP="00055B0F">
            <w:pPr>
              <w:widowControl w:val="0"/>
              <w:autoSpaceDE w:val="0"/>
              <w:autoSpaceDN w:val="0"/>
              <w:spacing w:line="276" w:lineRule="auto"/>
              <w:ind w:left="720"/>
              <w:jc w:val="both"/>
              <w:rPr>
                <w:rFonts w:ascii="Verdana" w:eastAsia="Verdana" w:hAnsi="Verdana" w:cs="Verdana"/>
                <w:lang w:val="es"/>
              </w:rPr>
            </w:pPr>
            <w:r w:rsidRPr="000B0CA9">
              <w:rPr>
                <w:rFonts w:ascii="Verdana" w:eastAsia="Verdana" w:hAnsi="Verdana" w:cs="Verdana"/>
                <w:lang w:val="es"/>
              </w:rPr>
              <w:t>2.2.1.1.2.1.3, 2.2.1.1.1.4.1</w:t>
            </w:r>
          </w:p>
          <w:p w14:paraId="2DE9B291" w14:textId="77777777" w:rsidR="007F157E" w:rsidRPr="000B0CA9" w:rsidRDefault="007F157E" w:rsidP="00055B0F">
            <w:pPr>
              <w:widowControl w:val="0"/>
              <w:numPr>
                <w:ilvl w:val="0"/>
                <w:numId w:val="17"/>
              </w:numPr>
              <w:autoSpaceDE w:val="0"/>
              <w:autoSpaceDN w:val="0"/>
              <w:spacing w:line="276" w:lineRule="auto"/>
              <w:jc w:val="both"/>
              <w:rPr>
                <w:rFonts w:ascii="Verdana" w:eastAsia="Verdana" w:hAnsi="Verdana" w:cs="Verdana"/>
                <w:lang w:val="es"/>
              </w:rPr>
            </w:pPr>
            <w:r w:rsidRPr="000B0CA9">
              <w:rPr>
                <w:rFonts w:ascii="Verdana" w:eastAsia="Verdana" w:hAnsi="Verdana" w:cs="Verdana"/>
                <w:lang w:val="es"/>
              </w:rPr>
              <w:t>Sentencia C-768 de 23 de septiembre de 2010. M.P.: Juan Carlos Henao Pérez.</w:t>
            </w:r>
          </w:p>
          <w:p w14:paraId="79E5B2C3" w14:textId="0720234E" w:rsidR="007F157E" w:rsidRPr="00E45351" w:rsidRDefault="007F157E" w:rsidP="00055B0F">
            <w:pPr>
              <w:widowControl w:val="0"/>
              <w:numPr>
                <w:ilvl w:val="0"/>
                <w:numId w:val="17"/>
              </w:numPr>
              <w:autoSpaceDE w:val="0"/>
              <w:autoSpaceDN w:val="0"/>
              <w:spacing w:line="276" w:lineRule="auto"/>
              <w:jc w:val="both"/>
              <w:rPr>
                <w:rFonts w:ascii="Verdana" w:eastAsia="Verdana" w:hAnsi="Verdana" w:cs="Verdana"/>
                <w:lang w:val="es"/>
              </w:rPr>
            </w:pPr>
            <w:r w:rsidRPr="000B0CA9">
              <w:rPr>
                <w:rFonts w:ascii="Verdana" w:eastAsia="Verdana" w:hAnsi="Verdana" w:cs="Verdana"/>
                <w:lang w:val="es"/>
              </w:rPr>
              <w:t>Sentencia C-221 de 22 de mayo de 2019. M.P. Carlos Bernal Pulido.</w:t>
            </w:r>
          </w:p>
        </w:tc>
      </w:tr>
    </w:tbl>
    <w:p w14:paraId="54FCF5FC" w14:textId="77777777" w:rsidR="007F157E" w:rsidRPr="0015699B" w:rsidRDefault="007F157E" w:rsidP="00EA1E37">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0775A595" w14:textId="77777777" w:rsidR="007F157E" w:rsidRPr="003D5882" w:rsidRDefault="007F157E" w:rsidP="00055B0F">
      <w:pPr>
        <w:pStyle w:val="Prrafodelista"/>
        <w:numPr>
          <w:ilvl w:val="0"/>
          <w:numId w:val="16"/>
        </w:numPr>
        <w:spacing w:after="0" w:line="276" w:lineRule="auto"/>
        <w:contextualSpacing w:val="0"/>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475E0139" w14:textId="77777777" w:rsidR="007F157E" w:rsidRPr="003D5882" w:rsidRDefault="007F157E" w:rsidP="00055B0F">
      <w:pPr>
        <w:pStyle w:val="Prrafodelista"/>
        <w:spacing w:after="0" w:line="276" w:lineRule="auto"/>
        <w:contextualSpacing w:val="0"/>
        <w:jc w:val="both"/>
        <w:textAlignment w:val="baseline"/>
        <w:rPr>
          <w:rFonts w:ascii="Verdana" w:eastAsia="Verdana" w:hAnsi="Verdana" w:cs="Verdana"/>
          <w:b/>
          <w:bCs/>
          <w:lang w:val="es"/>
        </w:rPr>
      </w:pPr>
    </w:p>
    <w:p w14:paraId="7C61B51B" w14:textId="77777777" w:rsidR="007F157E" w:rsidRPr="00495C4F" w:rsidRDefault="007F157E" w:rsidP="00EA1E37">
      <w:pPr>
        <w:widowControl w:val="0"/>
        <w:autoSpaceDE w:val="0"/>
        <w:autoSpaceDN w:val="0"/>
        <w:spacing w:after="0" w:line="276" w:lineRule="auto"/>
        <w:jc w:val="both"/>
        <w:rPr>
          <w:rFonts w:ascii="Verdana" w:hAnsi="Verdana" w:cs="Arial"/>
          <w:shd w:val="clear" w:color="auto" w:fill="FFFFFF"/>
        </w:rPr>
      </w:pPr>
      <w:r w:rsidRPr="00495C4F">
        <w:rPr>
          <w:rFonts w:ascii="Verdana" w:hAnsi="Verdana" w:cs="Arial"/>
          <w:shd w:val="clear" w:color="auto" w:fill="FFFFFF"/>
        </w:rPr>
        <w:t>Sobre los contratos de prestación de servicios, así como los requisitos para su celebración, entre otros, se pronunció esta Subdirección en los conceptos 4201912000006026 de 1° de octubre de 2019, C–047 del 18 de febrero de 2020,</w:t>
      </w:r>
    </w:p>
    <w:p w14:paraId="4B6DBF00" w14:textId="77777777" w:rsidR="007F157E" w:rsidRPr="00495C4F" w:rsidRDefault="007F157E" w:rsidP="00E45351">
      <w:pPr>
        <w:widowControl w:val="0"/>
        <w:autoSpaceDE w:val="0"/>
        <w:autoSpaceDN w:val="0"/>
        <w:spacing w:after="0" w:line="276" w:lineRule="auto"/>
        <w:jc w:val="both"/>
        <w:rPr>
          <w:rFonts w:ascii="Verdana" w:hAnsi="Verdana" w:cs="Arial"/>
          <w:shd w:val="clear" w:color="auto" w:fill="FFFFFF"/>
        </w:rPr>
      </w:pPr>
      <w:r w:rsidRPr="00495C4F">
        <w:rPr>
          <w:rFonts w:ascii="Verdana" w:hAnsi="Verdana" w:cs="Arial"/>
          <w:shd w:val="clear" w:color="auto" w:fill="FFFFFF"/>
        </w:rPr>
        <w:t>C–071 del 4 de marzo de 2020, C–188 del 13 de abril de 2020, C–005, 006, 018</w:t>
      </w:r>
    </w:p>
    <w:p w14:paraId="4C4535F2" w14:textId="77777777" w:rsidR="007F157E" w:rsidRPr="00010A5F" w:rsidRDefault="007F157E">
      <w:pPr>
        <w:widowControl w:val="0"/>
        <w:autoSpaceDE w:val="0"/>
        <w:autoSpaceDN w:val="0"/>
        <w:spacing w:after="0" w:line="276" w:lineRule="auto"/>
        <w:jc w:val="both"/>
        <w:rPr>
          <w:rFonts w:ascii="Verdana" w:eastAsia="Verdana" w:hAnsi="Verdana" w:cs="Verdana"/>
          <w:color w:val="FF0000"/>
          <w:lang w:val="es"/>
        </w:rPr>
      </w:pPr>
      <w:r w:rsidRPr="00495C4F">
        <w:rPr>
          <w:rFonts w:ascii="Verdana" w:hAnsi="Verdana" w:cs="Arial"/>
          <w:shd w:val="clear" w:color="auto" w:fill="FFFFFF"/>
        </w:rPr>
        <w:lastRenderedPageBreak/>
        <w:t>y 138 del 11 de mayo de 2020, C–053, 175, 255, 282, 293 y 320 del 12 de mayo de 2020, C–288 del 27 de mayo de 2020, C–345 del 23 de junio de 2020, C–484 del 6 de agosto de 2020, C–608 del 1 de octubre de 2020, C-145 del 8 de abril del 2021, C-491 del 14 de septiembre de 2021, C-517 del 30 de septiembre de 2021, C – 654 de 22 de noviembre de, C-181 del 7 de abril de 2022, C-773 del 17 de noviembre de 2022, C- 953 del 25 de enero de 2023 y C-966 del 1 de febrero de 2023, C-135 del 25 de mayo de 2023 y C-414 del 11 de septiembre de 2024, entre otros. Igualmente, sobre la aplicación de estampillas en el C-1375 del 31 de octubre de 2025</w:t>
      </w:r>
      <w:r>
        <w:rPr>
          <w:rFonts w:ascii="Verdana" w:hAnsi="Verdana" w:cs="Arial"/>
          <w:shd w:val="clear" w:color="auto" w:fill="FFFFFF"/>
        </w:rPr>
        <w:t xml:space="preserve"> y C-131 del 11 de marzo de 2026,</w:t>
      </w:r>
      <w:r w:rsidRPr="00495C4F">
        <w:rPr>
          <w:rFonts w:ascii="Verdana" w:hAnsi="Verdana" w:cs="Arial"/>
          <w:shd w:val="clear" w:color="auto" w:fill="FFFFFF"/>
        </w:rPr>
        <w:t xml:space="preserve"> entre otros</w:t>
      </w:r>
      <w:r w:rsidRPr="00611043">
        <w:rPr>
          <w:rFonts w:ascii="Verdana" w:hAnsi="Verdana" w:cs="Arial"/>
          <w:shd w:val="clear" w:color="auto" w:fill="FFFFFF"/>
          <w:lang w:val="es-ES"/>
        </w:rPr>
        <w:t>. Sobre los documentos necesarios para la celebración del contrato de prestación de servicios se puede consultar el concepto C-1674 del 23 de diciembre de 2025.</w:t>
      </w:r>
      <w:r>
        <w:rPr>
          <w:rFonts w:ascii="Verdana" w:hAnsi="Verdana" w:cs="Arial"/>
          <w:shd w:val="clear" w:color="auto" w:fill="FFFFFF"/>
          <w:lang w:val="es-ES"/>
        </w:rPr>
        <w:t xml:space="preserve"> </w:t>
      </w:r>
      <w:r w:rsidRPr="39124533">
        <w:rPr>
          <w:rFonts w:ascii="Verdana" w:eastAsia="Verdana" w:hAnsi="Verdana" w:cs="Verdana"/>
        </w:rPr>
        <w:t>Estos se encuentran disponibles para consulta en el Sistema de relatoría de la Agencia, al cual puede accederse a través del siguiente enlace:</w:t>
      </w:r>
      <w:hyperlink r:id="rId12">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163361AE" w14:textId="77777777" w:rsidR="007F157E" w:rsidRDefault="007F157E">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4C36FEBE" w14:textId="261294C7" w:rsidR="007F157E" w:rsidRDefault="007F157E" w:rsidP="00EA1E37">
      <w:pPr>
        <w:shd w:val="clear" w:color="auto" w:fill="FFFFFF" w:themeFill="background1"/>
        <w:spacing w:after="0" w:line="276" w:lineRule="auto"/>
        <w:jc w:val="both"/>
        <w:rPr>
          <w:rStyle w:val="Hipervnculo"/>
          <w:rFonts w:ascii="Verdana" w:eastAsia="Verdana" w:hAnsi="Verdana" w:cs="Verdana"/>
          <w:color w:val="000000" w:themeColor="text1"/>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r w:rsidRPr="054CF0A3">
          <w:rPr>
            <w:rStyle w:val="Hipervnculo"/>
            <w:rFonts w:ascii="Verdana" w:eastAsia="Verdana" w:hAnsi="Verdana" w:cs="Verdana"/>
            <w:color w:val="000000" w:themeColor="text1"/>
          </w:rPr>
          <w:t>https://www.colombiacompra.gov.co/archivos/manual/guia-de-garantias-en-procesos-de-contratacion</w:t>
        </w:r>
      </w:hyperlink>
    </w:p>
    <w:p w14:paraId="31E264BE" w14:textId="77777777" w:rsidR="00EA1E37" w:rsidRDefault="00EA1E37" w:rsidP="00055B0F">
      <w:pPr>
        <w:shd w:val="clear" w:color="auto" w:fill="FFFFFF" w:themeFill="background1"/>
        <w:spacing w:after="0" w:line="276" w:lineRule="auto"/>
        <w:jc w:val="both"/>
        <w:rPr>
          <w:rFonts w:ascii="Verdana" w:eastAsia="Verdana" w:hAnsi="Verdana" w:cs="Verdana"/>
        </w:rPr>
      </w:pPr>
    </w:p>
    <w:p w14:paraId="74D79124" w14:textId="553FADAE" w:rsidR="007F157E" w:rsidRDefault="007F157E" w:rsidP="00EA1E37">
      <w:pPr>
        <w:shd w:val="clear" w:color="auto" w:fill="FFFFFF" w:themeFill="background1"/>
        <w:spacing w:after="0" w:line="276" w:lineRule="auto"/>
        <w:jc w:val="both"/>
        <w:rPr>
          <w:rStyle w:val="Hipervnculo"/>
          <w:rFonts w:ascii="Verdana" w:eastAsia="Verdana" w:hAnsi="Verdana" w:cs="Verdana"/>
          <w:color w:val="000000" w:themeColor="text1"/>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4">
        <w:r w:rsidRPr="054CF0A3">
          <w:rPr>
            <w:rStyle w:val="Hipervnculo"/>
            <w:rFonts w:ascii="Verdana" w:eastAsia="Verdana" w:hAnsi="Verdana" w:cs="Verdana"/>
            <w:color w:val="000000" w:themeColor="text1"/>
          </w:rPr>
          <w:t>https://www.colombiacompra.gov.co/archivos/circular/circular-externa-003-de-2026</w:t>
        </w:r>
      </w:hyperlink>
    </w:p>
    <w:p w14:paraId="06F6D231" w14:textId="77777777" w:rsidR="00EA1E37" w:rsidRDefault="00EA1E37" w:rsidP="00055B0F">
      <w:pPr>
        <w:shd w:val="clear" w:color="auto" w:fill="FFFFFF" w:themeFill="background1"/>
        <w:spacing w:after="0" w:line="276" w:lineRule="auto"/>
        <w:jc w:val="both"/>
        <w:rPr>
          <w:rFonts w:ascii="Verdana" w:eastAsia="Verdana" w:hAnsi="Verdana" w:cs="Verdana"/>
        </w:rPr>
      </w:pPr>
    </w:p>
    <w:p w14:paraId="0CE81548" w14:textId="45EA5D72" w:rsidR="007F157E" w:rsidRDefault="007F157E" w:rsidP="00EA1E37">
      <w:pPr>
        <w:shd w:val="clear" w:color="auto" w:fill="FFFFFF" w:themeFill="background1"/>
        <w:spacing w:after="0" w:line="276" w:lineRule="auto"/>
        <w:jc w:val="both"/>
        <w:rPr>
          <w:rStyle w:val="Hipervnculo"/>
          <w:rFonts w:ascii="Verdana" w:eastAsia="Verdana" w:hAnsi="Verdana" w:cs="Verdana"/>
          <w:color w:val="000000" w:themeColor="text1"/>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r w:rsidRPr="054CF0A3">
          <w:rPr>
            <w:rStyle w:val="Hipervnculo"/>
            <w:rFonts w:ascii="Verdana" w:eastAsia="Verdana" w:hAnsi="Verdana" w:cs="Verdana"/>
            <w:color w:val="000000" w:themeColor="text1"/>
          </w:rPr>
          <w:t>https://www.colombiacompra.gov.co/archivos/circular/circular-externa-002-de-2026</w:t>
        </w:r>
      </w:hyperlink>
    </w:p>
    <w:p w14:paraId="4B0FA85E" w14:textId="77777777" w:rsidR="00EA1E37" w:rsidRDefault="00EA1E37" w:rsidP="00055B0F">
      <w:pPr>
        <w:shd w:val="clear" w:color="auto" w:fill="FFFFFF" w:themeFill="background1"/>
        <w:spacing w:after="0" w:line="276" w:lineRule="auto"/>
        <w:jc w:val="both"/>
        <w:rPr>
          <w:rFonts w:ascii="Verdana" w:eastAsia="Verdana" w:hAnsi="Verdana" w:cs="Verdana"/>
        </w:rPr>
      </w:pPr>
    </w:p>
    <w:p w14:paraId="3E8520BB" w14:textId="32BB02B4" w:rsidR="007F157E" w:rsidRDefault="007F157E" w:rsidP="00EA1E37">
      <w:pPr>
        <w:shd w:val="clear" w:color="auto" w:fill="FFFFFF" w:themeFill="background1"/>
        <w:spacing w:after="0" w:line="276" w:lineRule="auto"/>
        <w:jc w:val="both"/>
        <w:rPr>
          <w:rStyle w:val="Hipervnculo"/>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r w:rsidRPr="054CF0A3">
          <w:rPr>
            <w:rStyle w:val="Hipervnculo"/>
            <w:rFonts w:ascii="Verdana" w:eastAsia="Verdana" w:hAnsi="Verdana" w:cs="Verdana"/>
            <w:color w:val="000000" w:themeColor="text1"/>
          </w:rPr>
          <w:t>https://www.colombiacompra.gov.co/archivos/boletin/boletin-edicion-n-3-de-2026-radar-de-la-compra-publica</w:t>
        </w:r>
      </w:hyperlink>
    </w:p>
    <w:p w14:paraId="4B638417" w14:textId="77777777" w:rsidR="00EA1E37" w:rsidRDefault="00EA1E37" w:rsidP="00055B0F">
      <w:pPr>
        <w:shd w:val="clear" w:color="auto" w:fill="FFFFFF" w:themeFill="background1"/>
        <w:spacing w:after="0" w:line="276" w:lineRule="auto"/>
        <w:jc w:val="both"/>
        <w:rPr>
          <w:rFonts w:ascii="Verdana" w:eastAsia="Verdana" w:hAnsi="Verdana" w:cs="Verdana"/>
          <w:color w:val="000000" w:themeColor="text1"/>
        </w:rPr>
      </w:pPr>
    </w:p>
    <w:p w14:paraId="14457AE8" w14:textId="77777777" w:rsidR="007F157E" w:rsidRPr="003D5882" w:rsidRDefault="007F157E" w:rsidP="00055B0F">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4888C902" w14:textId="77777777" w:rsidR="007F157E" w:rsidRPr="0015699B" w:rsidRDefault="007F157E" w:rsidP="00055B0F">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2942A71" w14:textId="77777777" w:rsidR="007F157E" w:rsidRPr="0015699B" w:rsidRDefault="007F157E" w:rsidP="00055B0F">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492D0D4A" w14:textId="77777777" w:rsidR="007F157E" w:rsidRPr="0015699B" w:rsidRDefault="007F157E" w:rsidP="00055B0F">
      <w:pPr>
        <w:spacing w:after="0" w:line="276"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60639A5C" w14:textId="77777777" w:rsidR="007F157E" w:rsidRPr="0015699B" w:rsidRDefault="007F157E" w:rsidP="00055B0F">
      <w:pPr>
        <w:spacing w:after="0" w:line="276"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6825AA63" w14:textId="77777777" w:rsidR="007F157E" w:rsidRPr="0015699B" w:rsidRDefault="007F157E" w:rsidP="00EA1E37">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806988C" w14:textId="77777777" w:rsidR="007F157E" w:rsidRPr="0015699B" w:rsidRDefault="007F157E" w:rsidP="00E45351">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16DAA7" w14:textId="77777777" w:rsidR="007F157E" w:rsidRPr="0015699B" w:rsidRDefault="007F157E" w:rsidP="00055B0F">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lastRenderedPageBreak/>
        <w:t xml:space="preserve"> </w:t>
      </w:r>
    </w:p>
    <w:p w14:paraId="07CED718" w14:textId="77777777" w:rsidR="007F157E" w:rsidRPr="0015699B" w:rsidRDefault="007F157E" w:rsidP="00055B0F">
      <w:pPr>
        <w:spacing w:after="0" w:line="276" w:lineRule="auto"/>
        <w:jc w:val="both"/>
        <w:textAlignment w:val="baseline"/>
      </w:pPr>
      <w:r w:rsidRPr="40A87941">
        <w:rPr>
          <w:rFonts w:ascii="Verdana" w:eastAsia="Verdana" w:hAnsi="Verdana" w:cs="Verdana"/>
          <w:color w:val="000000" w:themeColor="text1"/>
          <w:lang w:val="es"/>
        </w:rPr>
        <w:t xml:space="preserve"> Atentamente, </w:t>
      </w:r>
    </w:p>
    <w:p w14:paraId="251E5D75" w14:textId="70AB9B51" w:rsidR="007F157E" w:rsidRDefault="007F157E" w:rsidP="007F157E">
      <w:pPr>
        <w:spacing w:after="0" w:line="240" w:lineRule="auto"/>
        <w:ind w:left="2340"/>
        <w:jc w:val="both"/>
        <w:rPr>
          <w:noProof/>
        </w:rPr>
      </w:pPr>
    </w:p>
    <w:p w14:paraId="7A9068A6" w14:textId="77777777" w:rsidR="00C61E22" w:rsidRDefault="00C61E22" w:rsidP="007F157E">
      <w:pPr>
        <w:spacing w:after="0" w:line="240" w:lineRule="auto"/>
        <w:ind w:left="2340"/>
        <w:jc w:val="both"/>
        <w:rPr>
          <w:noProof/>
        </w:rPr>
      </w:pPr>
    </w:p>
    <w:p w14:paraId="6308C9B1" w14:textId="0E34301A" w:rsidR="00C61E22" w:rsidRDefault="00C61E22" w:rsidP="00C61E22">
      <w:pPr>
        <w:spacing w:after="0" w:line="240" w:lineRule="auto"/>
        <w:jc w:val="center"/>
        <w:rPr>
          <w:noProof/>
        </w:rPr>
      </w:pPr>
      <w:r>
        <w:rPr>
          <w:noProof/>
        </w:rPr>
        <w:drawing>
          <wp:inline distT="0" distB="0" distL="0" distR="0" wp14:anchorId="48A5F5F7" wp14:editId="182ADE56">
            <wp:extent cx="3469005" cy="1489184"/>
            <wp:effectExtent l="0" t="0" r="0" b="0"/>
            <wp:docPr id="6348248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77897" cy="1493001"/>
                    </a:xfrm>
                    <a:prstGeom prst="rect">
                      <a:avLst/>
                    </a:prstGeom>
                    <a:noFill/>
                    <a:ln>
                      <a:noFill/>
                    </a:ln>
                  </pic:spPr>
                </pic:pic>
              </a:graphicData>
            </a:graphic>
          </wp:inline>
        </w:drawing>
      </w:r>
    </w:p>
    <w:p w14:paraId="0AADB0EB" w14:textId="77777777" w:rsidR="00C61E22" w:rsidRDefault="00C61E22" w:rsidP="007F157E">
      <w:pPr>
        <w:spacing w:after="0" w:line="240" w:lineRule="auto"/>
        <w:ind w:left="2340"/>
        <w:jc w:val="both"/>
        <w:rPr>
          <w:noProof/>
        </w:rPr>
      </w:pPr>
    </w:p>
    <w:p w14:paraId="75EAFCC0" w14:textId="77777777" w:rsidR="00C61E22" w:rsidRDefault="00C61E22" w:rsidP="007F157E">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7F157E" w14:paraId="58C0CD07" w14:textId="77777777" w:rsidTr="00177867">
        <w:trPr>
          <w:trHeight w:val="307"/>
        </w:trPr>
        <w:tc>
          <w:tcPr>
            <w:tcW w:w="858" w:type="dxa"/>
            <w:tcBorders>
              <w:top w:val="nil"/>
              <w:bottom w:val="nil"/>
              <w:right w:val="nil"/>
            </w:tcBorders>
            <w:tcMar>
              <w:left w:w="108" w:type="dxa"/>
              <w:right w:w="108" w:type="dxa"/>
            </w:tcMar>
            <w:vAlign w:val="center"/>
          </w:tcPr>
          <w:p w14:paraId="18F4194F" w14:textId="77777777" w:rsidR="007F157E" w:rsidRDefault="007F157E" w:rsidP="00177867">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677B97C1" w14:textId="77777777" w:rsidR="007F157E" w:rsidRDefault="007F157E" w:rsidP="0017786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0B79BFD4" w14:textId="77777777" w:rsidR="007F157E" w:rsidRDefault="007F157E" w:rsidP="00177867">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7F157E" w14:paraId="2D94D46D" w14:textId="77777777" w:rsidTr="00177867">
        <w:trPr>
          <w:trHeight w:val="321"/>
        </w:trPr>
        <w:tc>
          <w:tcPr>
            <w:tcW w:w="858" w:type="dxa"/>
            <w:tcBorders>
              <w:top w:val="nil"/>
              <w:bottom w:val="nil"/>
              <w:right w:val="nil"/>
            </w:tcBorders>
            <w:tcMar>
              <w:left w:w="108" w:type="dxa"/>
              <w:right w:w="108" w:type="dxa"/>
            </w:tcMar>
            <w:vAlign w:val="center"/>
          </w:tcPr>
          <w:p w14:paraId="77867B67" w14:textId="77777777" w:rsidR="007F157E" w:rsidRDefault="007F157E" w:rsidP="00177867">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7D3913E7" w14:textId="77777777" w:rsidR="007F157E" w:rsidRDefault="007F157E" w:rsidP="0017786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 xml:space="preserve">Diana Lucia Saavedra </w:t>
            </w:r>
          </w:p>
          <w:p w14:paraId="11BD7DEE" w14:textId="77777777" w:rsidR="007F157E" w:rsidRDefault="007F157E" w:rsidP="0017786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7F157E" w14:paraId="31ECB70E" w14:textId="77777777" w:rsidTr="00177867">
        <w:trPr>
          <w:trHeight w:val="292"/>
        </w:trPr>
        <w:tc>
          <w:tcPr>
            <w:tcW w:w="858" w:type="dxa"/>
            <w:tcBorders>
              <w:top w:val="nil"/>
              <w:bottom w:val="nil"/>
              <w:right w:val="nil"/>
            </w:tcBorders>
            <w:tcMar>
              <w:left w:w="108" w:type="dxa"/>
              <w:right w:w="108" w:type="dxa"/>
            </w:tcMar>
            <w:vAlign w:val="center"/>
          </w:tcPr>
          <w:p w14:paraId="41A61F95" w14:textId="77777777" w:rsidR="007F157E" w:rsidRDefault="007F157E" w:rsidP="00177867">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1D1663A2" w14:textId="77777777" w:rsidR="007F157E" w:rsidRDefault="007F157E" w:rsidP="00177867">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7EF902C8" w14:textId="77777777" w:rsidR="007F157E" w:rsidRDefault="007F157E" w:rsidP="00177867">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69BC4D14" w14:textId="353295D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A111C" w14:textId="77777777" w:rsidR="007522A4" w:rsidRDefault="007522A4" w:rsidP="004A1847">
      <w:pPr>
        <w:spacing w:after="0" w:line="240" w:lineRule="auto"/>
      </w:pPr>
      <w:r>
        <w:separator/>
      </w:r>
    </w:p>
  </w:endnote>
  <w:endnote w:type="continuationSeparator" w:id="0">
    <w:p w14:paraId="2718C61C" w14:textId="77777777" w:rsidR="007522A4" w:rsidRDefault="007522A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BC0E6" w14:textId="77777777" w:rsidR="007522A4" w:rsidRDefault="007522A4" w:rsidP="004A1847">
      <w:pPr>
        <w:spacing w:after="0" w:line="240" w:lineRule="auto"/>
      </w:pPr>
      <w:r>
        <w:separator/>
      </w:r>
    </w:p>
  </w:footnote>
  <w:footnote w:type="continuationSeparator" w:id="0">
    <w:p w14:paraId="563E7FB1" w14:textId="77777777" w:rsidR="007522A4" w:rsidRDefault="007522A4" w:rsidP="004A1847">
      <w:pPr>
        <w:spacing w:after="0" w:line="240" w:lineRule="auto"/>
      </w:pPr>
      <w:r>
        <w:continuationSeparator/>
      </w:r>
    </w:p>
  </w:footnote>
  <w:footnote w:id="1">
    <w:p w14:paraId="7E84452C" w14:textId="77777777" w:rsidR="007F157E" w:rsidRPr="00055B0F" w:rsidRDefault="007F157E" w:rsidP="00055B0F">
      <w:pPr>
        <w:pStyle w:val="Textonotapie"/>
        <w:ind w:firstLine="709"/>
        <w:jc w:val="both"/>
        <w:rPr>
          <w:rFonts w:ascii="Verdana" w:hAnsi="Verdana"/>
          <w:sz w:val="16"/>
          <w:szCs w:val="16"/>
          <w:lang w:val="es-ES"/>
        </w:rPr>
      </w:pPr>
      <w:r w:rsidRPr="00055B0F">
        <w:rPr>
          <w:rStyle w:val="Refdenotaalpie"/>
          <w:rFonts w:ascii="Verdana" w:hAnsi="Verdana"/>
          <w:sz w:val="16"/>
          <w:szCs w:val="16"/>
        </w:rPr>
        <w:footnoteRef/>
      </w:r>
      <w:r w:rsidRPr="00055B0F">
        <w:rPr>
          <w:rFonts w:ascii="Verdana" w:hAnsi="Verdana"/>
          <w:sz w:val="16"/>
          <w:szCs w:val="16"/>
        </w:rPr>
        <w:t xml:space="preserve"> </w:t>
      </w:r>
      <w:r w:rsidRPr="00E45351">
        <w:rPr>
          <w:rFonts w:ascii="Verdana" w:hAnsi="Verdana"/>
          <w:sz w:val="16"/>
          <w:szCs w:val="16"/>
        </w:rPr>
        <w:t>CORTE CONSTITUCIONAL, Sentencia C-768 de 23 de septiembre de 2010. M.P.: Juan Carlos Henao Pérez indicó: “Para explicar esta afirmación conviene señalar que las estampillas han sido definidas por la jurisprudencia del Consejo de Estado (…) como tributos dentro de la especie de “tasas parafiscales”, en la medida en que participan de la naturaleza de las contribuciones parafiscales, pues constituyen un gravamen cuyo pago obligatorio deben realizar los usuarios de algunas operaciones o activida des que se realizan frente a organismos de carácter público; son de carácter excepcional en cuanto al sujeto pasivo del tributo; los recursos se revierten en beneficio de un sector específico; y están destinados a sufragar gastos en que incurran las entida des que desarrollan o prestan un servicio público, como función propia del Estado. // La “tasa” si bien puede corresponder a la prestación directa de un servicio público, del cual es usuario el contribuyente que se beneficia efectivamente, también puede corresponder al beneficio potencial por la utilización de servicios de aprovechamiento común, como la educación, la salud, el deporte, la cultura, es decir, que el gravame n se revierte en beneficio social. Las primeras se definen como tasas administrativas en cuanto equivalen a la remuneración pagada por los servicios administrativos y, las segundas, como tasas parafiscales que son las percibidas en beneficio de organismos públicos o privados, pero no por la prestación de un servicio propiamente dicho, sino por contener un carácter social”.</w:t>
      </w:r>
    </w:p>
  </w:footnote>
  <w:footnote w:id="2">
    <w:p w14:paraId="335E94CF" w14:textId="77777777" w:rsidR="007F157E" w:rsidRPr="00E45351" w:rsidRDefault="007F157E" w:rsidP="00055B0F">
      <w:pPr>
        <w:pStyle w:val="Textonotapie"/>
        <w:ind w:firstLine="709"/>
        <w:jc w:val="both"/>
        <w:rPr>
          <w:rFonts w:ascii="Verdana" w:hAnsi="Verdana"/>
          <w:sz w:val="16"/>
          <w:szCs w:val="16"/>
          <w:lang w:val="es-ES"/>
        </w:rPr>
      </w:pPr>
      <w:r w:rsidRPr="00E45351">
        <w:rPr>
          <w:rStyle w:val="Refdenotaalpie"/>
          <w:rFonts w:ascii="Verdana" w:hAnsi="Verdana"/>
          <w:sz w:val="16"/>
          <w:szCs w:val="16"/>
        </w:rPr>
        <w:footnoteRef/>
      </w:r>
      <w:r w:rsidRPr="00E45351">
        <w:rPr>
          <w:rFonts w:ascii="Verdana" w:hAnsi="Verdana"/>
          <w:sz w:val="16"/>
          <w:szCs w:val="16"/>
        </w:rPr>
        <w:t xml:space="preserve"> CORTE CONSTITUCIONAL, Sentencia C-221 de 22 de mayo de 2019. M.P. Carlos Bernal Pulido. En la sentencia se indicó que la estampilla ‘Pro-Universidad Nacional de Colombia y demás universidades estatales de Colombia’ indicó que se trataba de un impuesto con destinación específica “pues se trata de una “imposición obligatoria y definitiva que no guarda relación directa e inmediata con la prestación de un bien o un servicio por parte del Estado al ciudadano”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1409264">
    <w:abstractNumId w:val="5"/>
  </w:num>
  <w:num w:numId="2" w16cid:durableId="1536842799">
    <w:abstractNumId w:val="1"/>
  </w:num>
  <w:num w:numId="3" w16cid:durableId="1592202230">
    <w:abstractNumId w:val="3"/>
  </w:num>
  <w:num w:numId="4" w16cid:durableId="1725829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2859545">
    <w:abstractNumId w:val="1"/>
  </w:num>
  <w:num w:numId="6" w16cid:durableId="1524396763">
    <w:abstractNumId w:val="13"/>
  </w:num>
  <w:num w:numId="7" w16cid:durableId="1163476141">
    <w:abstractNumId w:val="4"/>
  </w:num>
  <w:num w:numId="8" w16cid:durableId="292949168">
    <w:abstractNumId w:val="12"/>
  </w:num>
  <w:num w:numId="9" w16cid:durableId="1409886339">
    <w:abstractNumId w:val="6"/>
  </w:num>
  <w:num w:numId="10" w16cid:durableId="1711952793">
    <w:abstractNumId w:val="11"/>
  </w:num>
  <w:num w:numId="11" w16cid:durableId="262733846">
    <w:abstractNumId w:val="7"/>
  </w:num>
  <w:num w:numId="12" w16cid:durableId="433283621">
    <w:abstractNumId w:val="0"/>
  </w:num>
  <w:num w:numId="13" w16cid:durableId="192230707">
    <w:abstractNumId w:val="2"/>
  </w:num>
  <w:num w:numId="14" w16cid:durableId="983508555">
    <w:abstractNumId w:val="14"/>
  </w:num>
  <w:num w:numId="15" w16cid:durableId="1989312110">
    <w:abstractNumId w:val="10"/>
  </w:num>
  <w:num w:numId="16" w16cid:durableId="452869790">
    <w:abstractNumId w:val="9"/>
  </w:num>
  <w:num w:numId="17" w16cid:durableId="15906531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AF7"/>
    <w:rsid w:val="00046945"/>
    <w:rsid w:val="00055B0F"/>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025D"/>
    <w:rsid w:val="00406575"/>
    <w:rsid w:val="00414C74"/>
    <w:rsid w:val="0042722E"/>
    <w:rsid w:val="0044528D"/>
    <w:rsid w:val="00466E39"/>
    <w:rsid w:val="004A1847"/>
    <w:rsid w:val="004A305D"/>
    <w:rsid w:val="004F21C4"/>
    <w:rsid w:val="004F685F"/>
    <w:rsid w:val="005566E8"/>
    <w:rsid w:val="00574332"/>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2A4"/>
    <w:rsid w:val="0075235A"/>
    <w:rsid w:val="00756841"/>
    <w:rsid w:val="007649AB"/>
    <w:rsid w:val="0077136D"/>
    <w:rsid w:val="00771D0C"/>
    <w:rsid w:val="007769A3"/>
    <w:rsid w:val="007833AC"/>
    <w:rsid w:val="00791FC6"/>
    <w:rsid w:val="007B268C"/>
    <w:rsid w:val="007B7171"/>
    <w:rsid w:val="007C0C0F"/>
    <w:rsid w:val="007C3DC2"/>
    <w:rsid w:val="007E5497"/>
    <w:rsid w:val="007F157E"/>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C22"/>
    <w:rsid w:val="009C7F7E"/>
    <w:rsid w:val="009D3058"/>
    <w:rsid w:val="009F39CC"/>
    <w:rsid w:val="009F3A13"/>
    <w:rsid w:val="00A122D3"/>
    <w:rsid w:val="00A14468"/>
    <w:rsid w:val="00A17F13"/>
    <w:rsid w:val="00A20739"/>
    <w:rsid w:val="00A23AF9"/>
    <w:rsid w:val="00A33C78"/>
    <w:rsid w:val="00AA23BB"/>
    <w:rsid w:val="00AA6FF8"/>
    <w:rsid w:val="00AB0ADB"/>
    <w:rsid w:val="00B00C0E"/>
    <w:rsid w:val="00B01B1A"/>
    <w:rsid w:val="00B0381D"/>
    <w:rsid w:val="00B44A47"/>
    <w:rsid w:val="00B72CD3"/>
    <w:rsid w:val="00B72FFF"/>
    <w:rsid w:val="00B75EA5"/>
    <w:rsid w:val="00BC3D36"/>
    <w:rsid w:val="00BD54A6"/>
    <w:rsid w:val="00BD7F72"/>
    <w:rsid w:val="00BF7425"/>
    <w:rsid w:val="00C04FB3"/>
    <w:rsid w:val="00C060F9"/>
    <w:rsid w:val="00C11D8B"/>
    <w:rsid w:val="00C15139"/>
    <w:rsid w:val="00C17A7D"/>
    <w:rsid w:val="00C330EB"/>
    <w:rsid w:val="00C50D69"/>
    <w:rsid w:val="00C5365C"/>
    <w:rsid w:val="00C61E22"/>
    <w:rsid w:val="00C754BE"/>
    <w:rsid w:val="00C76B1C"/>
    <w:rsid w:val="00C925AC"/>
    <w:rsid w:val="00CB6357"/>
    <w:rsid w:val="00CB7CFD"/>
    <w:rsid w:val="00CC1B26"/>
    <w:rsid w:val="00CC50A0"/>
    <w:rsid w:val="00D13ECA"/>
    <w:rsid w:val="00D361FD"/>
    <w:rsid w:val="00D423A2"/>
    <w:rsid w:val="00D44E26"/>
    <w:rsid w:val="00D520D8"/>
    <w:rsid w:val="00D63AC2"/>
    <w:rsid w:val="00D7383B"/>
    <w:rsid w:val="00D7788A"/>
    <w:rsid w:val="00D95068"/>
    <w:rsid w:val="00D96CC5"/>
    <w:rsid w:val="00DA231B"/>
    <w:rsid w:val="00DC39FC"/>
    <w:rsid w:val="00DF5254"/>
    <w:rsid w:val="00E02524"/>
    <w:rsid w:val="00E16408"/>
    <w:rsid w:val="00E20894"/>
    <w:rsid w:val="00E245AB"/>
    <w:rsid w:val="00E2764C"/>
    <w:rsid w:val="00E27F2E"/>
    <w:rsid w:val="00E45351"/>
    <w:rsid w:val="00E50AFE"/>
    <w:rsid w:val="00E75C92"/>
    <w:rsid w:val="00E771DC"/>
    <w:rsid w:val="00E8772A"/>
    <w:rsid w:val="00E90F6B"/>
    <w:rsid w:val="00E92C27"/>
    <w:rsid w:val="00EA0E3D"/>
    <w:rsid w:val="00EA1E37"/>
    <w:rsid w:val="00EC38A7"/>
    <w:rsid w:val="00EE1AA8"/>
    <w:rsid w:val="00F23FEA"/>
    <w:rsid w:val="00F31EDC"/>
    <w:rsid w:val="00F462B3"/>
    <w:rsid w:val="00F5664F"/>
    <w:rsid w:val="00F666C4"/>
    <w:rsid w:val="00F76AFC"/>
    <w:rsid w:val="00FA47C0"/>
    <w:rsid w:val="00FB1425"/>
    <w:rsid w:val="00FB5DD1"/>
    <w:rsid w:val="00FC2B5D"/>
    <w:rsid w:val="00FC33C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C21B453"/>
    <w:rsid w:val="545B112A"/>
    <w:rsid w:val="5AA5CD58"/>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F157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157E"/>
    <w:rPr>
      <w:rFonts w:ascii="Geomanist Light" w:hAnsi="Geomanist Light"/>
      <w:lang w:val="es-ES"/>
    </w:rPr>
  </w:style>
  <w:style w:type="paragraph" w:styleId="Textodeglobo">
    <w:name w:val="Balloon Text"/>
    <w:basedOn w:val="Normal"/>
    <w:link w:val="TextodegloboCar"/>
    <w:uiPriority w:val="99"/>
    <w:semiHidden/>
    <w:unhideWhenUsed/>
    <w:rsid w:val="00055B0F"/>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55B0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9993">
      <w:bodyDiv w:val="1"/>
      <w:marLeft w:val="0"/>
      <w:marRight w:val="0"/>
      <w:marTop w:val="0"/>
      <w:marBottom w:val="0"/>
      <w:divBdr>
        <w:top w:val="none" w:sz="0" w:space="0" w:color="auto"/>
        <w:left w:val="none" w:sz="0" w:space="0" w:color="auto"/>
        <w:bottom w:val="none" w:sz="0" w:space="0" w:color="auto"/>
        <w:right w:val="none" w:sz="0" w:space="0" w:color="auto"/>
      </w:divBdr>
      <w:divsChild>
        <w:div w:id="112021230">
          <w:marLeft w:val="0"/>
          <w:marRight w:val="0"/>
          <w:marTop w:val="0"/>
          <w:marBottom w:val="0"/>
          <w:divBdr>
            <w:top w:val="none" w:sz="0" w:space="0" w:color="auto"/>
            <w:left w:val="none" w:sz="0" w:space="0" w:color="auto"/>
            <w:bottom w:val="none" w:sz="0" w:space="0" w:color="auto"/>
            <w:right w:val="none" w:sz="0" w:space="0" w:color="auto"/>
          </w:divBdr>
        </w:div>
      </w:divsChild>
    </w:div>
    <w:div w:id="371226932">
      <w:bodyDiv w:val="1"/>
      <w:marLeft w:val="0"/>
      <w:marRight w:val="0"/>
      <w:marTop w:val="0"/>
      <w:marBottom w:val="0"/>
      <w:divBdr>
        <w:top w:val="none" w:sz="0" w:space="0" w:color="auto"/>
        <w:left w:val="none" w:sz="0" w:space="0" w:color="auto"/>
        <w:bottom w:val="none" w:sz="0" w:space="0" w:color="auto"/>
        <w:right w:val="none" w:sz="0" w:space="0" w:color="auto"/>
      </w:divBdr>
      <w:divsChild>
        <w:div w:id="878929758">
          <w:marLeft w:val="0"/>
          <w:marRight w:val="0"/>
          <w:marTop w:val="0"/>
          <w:marBottom w:val="0"/>
          <w:divBdr>
            <w:top w:val="none" w:sz="0" w:space="0" w:color="auto"/>
            <w:left w:val="none" w:sz="0" w:space="0" w:color="auto"/>
            <w:bottom w:val="none" w:sz="0" w:space="0" w:color="auto"/>
            <w:right w:val="none" w:sz="0" w:space="0" w:color="auto"/>
          </w:divBdr>
        </w:div>
      </w:divsChild>
    </w:div>
    <w:div w:id="451751304">
      <w:bodyDiv w:val="1"/>
      <w:marLeft w:val="0"/>
      <w:marRight w:val="0"/>
      <w:marTop w:val="0"/>
      <w:marBottom w:val="0"/>
      <w:divBdr>
        <w:top w:val="none" w:sz="0" w:space="0" w:color="auto"/>
        <w:left w:val="none" w:sz="0" w:space="0" w:color="auto"/>
        <w:bottom w:val="none" w:sz="0" w:space="0" w:color="auto"/>
        <w:right w:val="none" w:sz="0" w:space="0" w:color="auto"/>
      </w:divBdr>
      <w:divsChild>
        <w:div w:id="434403247">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5210500">
      <w:bodyDiv w:val="1"/>
      <w:marLeft w:val="0"/>
      <w:marRight w:val="0"/>
      <w:marTop w:val="0"/>
      <w:marBottom w:val="0"/>
      <w:divBdr>
        <w:top w:val="none" w:sz="0" w:space="0" w:color="auto"/>
        <w:left w:val="none" w:sz="0" w:space="0" w:color="auto"/>
        <w:bottom w:val="none" w:sz="0" w:space="0" w:color="auto"/>
        <w:right w:val="none" w:sz="0" w:space="0" w:color="auto"/>
      </w:divBdr>
      <w:divsChild>
        <w:div w:id="916666806">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anaya85@yahoo.e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76485E-36AA-491B-809F-FC1F8C3C2D78}"/>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4233</Words>
  <Characters>23282</Characters>
  <Application>Microsoft Office Word</Application>
  <DocSecurity>0</DocSecurity>
  <Lines>194</Lines>
  <Paragraphs>54</Paragraphs>
  <ScaleCrop>false</ScaleCrop>
  <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2026-09-23T18:28:00Z</dcterms:created>
  <dcterms:modified xsi:type="dcterms:W3CDTF">2026-09-23T18:33:00Z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