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34EF9" w14:textId="77777777" w:rsidR="00523F2C" w:rsidRPr="00982502" w:rsidRDefault="00523F2C" w:rsidP="00523F2C">
      <w:pPr>
        <w:spacing w:after="0"/>
        <w:jc w:val="both"/>
        <w:rPr>
          <w:rFonts w:ascii="Verdana" w:hAnsi="Verdana" w:cs="Arial"/>
          <w:b/>
          <w:bCs/>
          <w:lang w:val="es-ES" w:eastAsia="es-ES"/>
        </w:rPr>
      </w:pPr>
      <w:bookmarkStart w:id="0" w:name="_Hlk143780582"/>
      <w:r w:rsidRPr="00982502">
        <w:rPr>
          <w:rFonts w:ascii="Verdana" w:hAnsi="Verdana" w:cs="Arial"/>
          <w:b/>
          <w:bCs/>
          <w:lang w:val="es-ES" w:eastAsia="es-ES"/>
        </w:rPr>
        <w:t xml:space="preserve">CONTRATO ESTATAL – Concepto </w:t>
      </w:r>
    </w:p>
    <w:p w14:paraId="1FC9744F" w14:textId="77777777" w:rsidR="00523F2C" w:rsidRPr="00982502" w:rsidRDefault="00523F2C" w:rsidP="00523F2C">
      <w:pPr>
        <w:spacing w:after="0"/>
        <w:jc w:val="both"/>
        <w:rPr>
          <w:rFonts w:ascii="Verdana" w:hAnsi="Verdana" w:cs="Arial"/>
          <w:b/>
          <w:bCs/>
          <w:lang w:val="es-ES" w:eastAsia="es-ES"/>
        </w:rPr>
      </w:pPr>
    </w:p>
    <w:p w14:paraId="0E7FC9FA" w14:textId="77777777" w:rsidR="00523F2C" w:rsidRPr="00982502" w:rsidRDefault="00523F2C" w:rsidP="00523F2C">
      <w:pPr>
        <w:spacing w:after="0" w:line="240" w:lineRule="auto"/>
        <w:jc w:val="both"/>
        <w:rPr>
          <w:rFonts w:ascii="Verdana" w:hAnsi="Verdana" w:cs="Arial"/>
          <w:sz w:val="20"/>
        </w:rPr>
      </w:pPr>
      <w:r w:rsidRPr="00982502">
        <w:rPr>
          <w:rFonts w:ascii="Verdana" w:eastAsia="Calibri" w:hAnsi="Verdana" w:cs="Arial"/>
          <w:sz w:val="20"/>
          <w:lang w:val="es-ES"/>
        </w:rPr>
        <w:t xml:space="preserve">El Estatuto General de Contratación de la Administración Pública –EGCAP-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982502">
        <w:rPr>
          <w:rFonts w:ascii="Verdana" w:hAnsi="Verdana" w:cs="Arial"/>
          <w:sz w:val="20"/>
        </w:rPr>
        <w:t xml:space="preserve">el inciso primero del artículo 13 dispone: “Los contratos que celebren las entidades a que se refiere el artículo 2o. del presente estatuto se regirán por las disposiciones comerciales y civiles pertinentes, salvo en las materias particularmente reguladas en esta ley”. </w:t>
      </w:r>
    </w:p>
    <w:p w14:paraId="5774360A" w14:textId="77777777" w:rsidR="00523F2C" w:rsidRPr="00982502" w:rsidRDefault="00523F2C" w:rsidP="00523F2C">
      <w:pPr>
        <w:spacing w:after="0" w:line="240" w:lineRule="auto"/>
        <w:jc w:val="both"/>
        <w:rPr>
          <w:rFonts w:ascii="Verdana" w:hAnsi="Verdana" w:cs="Arial"/>
          <w:sz w:val="20"/>
        </w:rPr>
      </w:pPr>
    </w:p>
    <w:p w14:paraId="2049FCA5" w14:textId="77777777" w:rsidR="00523F2C" w:rsidRPr="00982502" w:rsidRDefault="00523F2C" w:rsidP="00523F2C">
      <w:pPr>
        <w:spacing w:after="0" w:line="240" w:lineRule="auto"/>
        <w:jc w:val="both"/>
        <w:rPr>
          <w:rFonts w:ascii="Verdana" w:hAnsi="Verdana" w:cs="Arial"/>
          <w:sz w:val="20"/>
        </w:rPr>
      </w:pPr>
      <w:r w:rsidRPr="00982502">
        <w:rPr>
          <w:rFonts w:ascii="Verdana" w:hAnsi="Verdana" w:cs="Arial"/>
          <w:sz w:val="20"/>
        </w:rPr>
        <w:t>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comerciales y las previstas en esta ley, correspondan a su esencia y naturaleza” –art. 40, inciso primero–.</w:t>
      </w:r>
    </w:p>
    <w:p w14:paraId="0F230B68" w14:textId="77777777" w:rsidR="00523F2C" w:rsidRPr="00982502" w:rsidRDefault="00523F2C" w:rsidP="00523F2C">
      <w:pPr>
        <w:spacing w:after="0" w:line="240" w:lineRule="auto"/>
        <w:jc w:val="both"/>
        <w:rPr>
          <w:rFonts w:ascii="Verdana" w:hAnsi="Verdana" w:cs="Arial"/>
          <w:sz w:val="20"/>
        </w:rPr>
      </w:pPr>
    </w:p>
    <w:p w14:paraId="46E1E25B" w14:textId="77777777" w:rsidR="006C02E4" w:rsidRPr="00982502" w:rsidRDefault="006C02E4" w:rsidP="006C02E4">
      <w:pPr>
        <w:spacing w:after="0" w:line="240" w:lineRule="auto"/>
        <w:jc w:val="both"/>
        <w:rPr>
          <w:rFonts w:ascii="Verdana" w:eastAsia="Calibri" w:hAnsi="Verdana" w:cs="Arial"/>
          <w:b/>
          <w:bCs/>
          <w:lang w:eastAsia="es-ES"/>
        </w:rPr>
      </w:pPr>
      <w:r w:rsidRPr="00982502">
        <w:rPr>
          <w:rFonts w:ascii="Verdana" w:eastAsia="Calibri" w:hAnsi="Verdana" w:cs="Arial"/>
          <w:b/>
          <w:bCs/>
          <w:lang w:eastAsia="es-ES"/>
        </w:rPr>
        <w:t xml:space="preserve">CONTRATO DE CONSULTORÍA – Definición </w:t>
      </w:r>
      <w:r w:rsidRPr="00982502">
        <w:rPr>
          <w:rFonts w:ascii="Verdana" w:eastAsia="Calibri" w:hAnsi="Verdana" w:cs="Arial"/>
          <w:b/>
          <w:bCs/>
          <w:lang w:val="es-ES" w:eastAsia="es-ES"/>
        </w:rPr>
        <w:t>–</w:t>
      </w:r>
      <w:r w:rsidRPr="00982502">
        <w:rPr>
          <w:rFonts w:ascii="Verdana" w:eastAsia="Calibri" w:hAnsi="Verdana" w:cs="Arial"/>
          <w:b/>
          <w:bCs/>
          <w:lang w:eastAsia="es-ES"/>
        </w:rPr>
        <w:t xml:space="preserve"> Características</w:t>
      </w:r>
    </w:p>
    <w:p w14:paraId="62B58896" w14:textId="77777777" w:rsidR="006C02E4" w:rsidRPr="00982502" w:rsidRDefault="006C02E4" w:rsidP="006C02E4">
      <w:pPr>
        <w:spacing w:after="0" w:line="240" w:lineRule="auto"/>
        <w:jc w:val="both"/>
        <w:rPr>
          <w:rFonts w:ascii="Verdana" w:eastAsia="Calibri" w:hAnsi="Verdana" w:cs="Arial"/>
          <w:sz w:val="20"/>
          <w:szCs w:val="20"/>
          <w:lang w:eastAsia="es-ES"/>
        </w:rPr>
      </w:pPr>
    </w:p>
    <w:p w14:paraId="6945BFED" w14:textId="77777777" w:rsidR="006C02E4" w:rsidRPr="00982502" w:rsidRDefault="006C02E4" w:rsidP="006C02E4">
      <w:pPr>
        <w:spacing w:after="0" w:line="240" w:lineRule="auto"/>
        <w:jc w:val="both"/>
        <w:rPr>
          <w:rFonts w:ascii="Verdana" w:eastAsia="Calibri" w:hAnsi="Verdana" w:cs="Arial"/>
          <w:i/>
          <w:iCs/>
          <w:sz w:val="20"/>
          <w:szCs w:val="20"/>
          <w:lang w:eastAsia="es-ES"/>
        </w:rPr>
      </w:pPr>
      <w:r w:rsidRPr="00982502">
        <w:rPr>
          <w:rFonts w:ascii="Verdana" w:eastAsia="Calibri" w:hAnsi="Verdana" w:cs="Arial"/>
          <w:sz w:val="20"/>
          <w:szCs w:val="20"/>
          <w:lang w:eastAsia="es-ES"/>
        </w:rPr>
        <w:t>Una aproximación inicial al concepto de consultoría permite identificar que su esencia radica en el componente intelectivo y especializado de la actividad. Esta característica no solo delimita su naturaleza jurídica frente a otras formas de contratación, sino que también justifica su tratamiento diferenciado en el marco normativo. La definición lingüística del término refuerza esta idea al describir la consultoría como la labor desarrollada por una</w:t>
      </w:r>
      <w:r w:rsidRPr="00982502">
        <w:rPr>
          <w:rFonts w:ascii="Verdana" w:eastAsia="Calibri" w:hAnsi="Verdana" w:cs="Arial"/>
          <w:i/>
          <w:iCs/>
          <w:sz w:val="20"/>
          <w:szCs w:val="20"/>
          <w:lang w:eastAsia="es-ES"/>
        </w:rPr>
        <w:t> “persona experta en una materia sobre la que asesora profesionalmente”.</w:t>
      </w:r>
    </w:p>
    <w:p w14:paraId="33E0D458" w14:textId="77777777" w:rsidR="006C02E4" w:rsidRPr="00982502" w:rsidRDefault="006C02E4" w:rsidP="006C02E4">
      <w:pPr>
        <w:spacing w:after="0" w:line="240" w:lineRule="auto"/>
        <w:jc w:val="both"/>
        <w:rPr>
          <w:rFonts w:ascii="Verdana" w:eastAsia="Calibri" w:hAnsi="Verdana" w:cs="Arial"/>
          <w:sz w:val="20"/>
          <w:szCs w:val="20"/>
          <w:lang w:eastAsia="es-ES"/>
        </w:rPr>
      </w:pPr>
    </w:p>
    <w:p w14:paraId="533F075D" w14:textId="77777777" w:rsidR="006C02E4" w:rsidRPr="00982502" w:rsidRDefault="006C02E4" w:rsidP="006C02E4">
      <w:pPr>
        <w:spacing w:after="0" w:line="240" w:lineRule="auto"/>
        <w:jc w:val="both"/>
        <w:rPr>
          <w:rFonts w:ascii="Verdana" w:eastAsia="Calibri" w:hAnsi="Verdana" w:cs="Arial"/>
          <w:sz w:val="20"/>
          <w:szCs w:val="20"/>
          <w:lang w:eastAsia="es-ES"/>
        </w:rPr>
      </w:pPr>
      <w:r w:rsidRPr="00982502">
        <w:rPr>
          <w:rFonts w:ascii="Verdana" w:eastAsia="Calibri" w:hAnsi="Verdana" w:cs="Arial"/>
          <w:sz w:val="20"/>
          <w:szCs w:val="20"/>
          <w:lang w:eastAsia="es-ES"/>
        </w:rPr>
        <w:t>Para explicar qué se entiende por asesoría, se acude al Diccionario Panhispanico de Español Jurídico, que la define como: “1. Civ. Servicio profesional de información y consejo en materia especializada (jurídica, fiscal, técnica, cultural, laboral, contable, etc.); 2. Civ. Establecimiento dedicado a la prestación profesional de asesoría; 3. Civ. Órgano administrativo o empresarial encargado de la función de asesoramiento de un área especializada. […]”.</w:t>
      </w:r>
    </w:p>
    <w:p w14:paraId="340A5AFE" w14:textId="77777777" w:rsidR="006C02E4" w:rsidRPr="00982502" w:rsidRDefault="006C02E4" w:rsidP="006C02E4">
      <w:pPr>
        <w:spacing w:after="0" w:line="240" w:lineRule="auto"/>
        <w:jc w:val="both"/>
        <w:rPr>
          <w:rFonts w:ascii="Verdana" w:eastAsia="Calibri" w:hAnsi="Verdana" w:cs="Arial"/>
          <w:lang w:eastAsia="es-ES"/>
        </w:rPr>
      </w:pPr>
    </w:p>
    <w:p w14:paraId="0C51A4CF" w14:textId="77777777" w:rsidR="006C02E4" w:rsidRPr="00982502" w:rsidRDefault="006C02E4" w:rsidP="006C02E4">
      <w:pPr>
        <w:spacing w:after="0" w:line="240" w:lineRule="auto"/>
        <w:jc w:val="both"/>
        <w:rPr>
          <w:rFonts w:ascii="Verdana" w:eastAsia="Calibri" w:hAnsi="Verdana" w:cs="Arial"/>
          <w:b/>
          <w:lang w:eastAsia="es-ES"/>
        </w:rPr>
      </w:pPr>
      <w:r w:rsidRPr="00982502">
        <w:rPr>
          <w:rFonts w:ascii="Verdana" w:hAnsi="Verdana" w:cs="Arial"/>
          <w:b/>
          <w:lang w:eastAsia="es-ES"/>
        </w:rPr>
        <w:t xml:space="preserve">CONTRATO DE CONSULTORÍA – Factores de evaluación </w:t>
      </w:r>
      <w:r w:rsidRPr="00982502">
        <w:rPr>
          <w:rFonts w:ascii="Verdana" w:hAnsi="Verdana" w:cs="Arial"/>
          <w:b/>
          <w:bCs/>
          <w:lang w:val="es-ES" w:eastAsia="es-ES"/>
        </w:rPr>
        <w:t>–</w:t>
      </w:r>
      <w:r w:rsidRPr="00982502">
        <w:rPr>
          <w:rFonts w:ascii="Verdana" w:hAnsi="Verdana" w:cs="Arial"/>
          <w:b/>
          <w:lang w:eastAsia="es-ES"/>
        </w:rPr>
        <w:t xml:space="preserve"> Formación académica</w:t>
      </w:r>
      <w:r w:rsidRPr="00982502">
        <w:rPr>
          <w:rFonts w:ascii="Verdana" w:eastAsia="Calibri" w:hAnsi="Verdana" w:cs="Arial"/>
          <w:b/>
          <w:lang w:val="es-ES" w:eastAsia="es-ES"/>
        </w:rPr>
        <w:t xml:space="preserve">                  </w:t>
      </w:r>
    </w:p>
    <w:p w14:paraId="332C4735" w14:textId="77777777" w:rsidR="006C02E4" w:rsidRPr="00982502" w:rsidRDefault="006C02E4" w:rsidP="006C02E4">
      <w:pPr>
        <w:spacing w:after="0" w:line="240" w:lineRule="auto"/>
        <w:jc w:val="both"/>
        <w:rPr>
          <w:rFonts w:ascii="Verdana" w:eastAsia="Calibri" w:hAnsi="Verdana" w:cs="Arial"/>
          <w:lang w:eastAsia="es-ES"/>
        </w:rPr>
      </w:pPr>
    </w:p>
    <w:p w14:paraId="44B483F6" w14:textId="77777777" w:rsidR="006C02E4" w:rsidRPr="00982502" w:rsidRDefault="006C02E4" w:rsidP="006C02E4">
      <w:pPr>
        <w:spacing w:after="0" w:line="240" w:lineRule="auto"/>
        <w:jc w:val="both"/>
        <w:rPr>
          <w:rFonts w:ascii="Verdana" w:eastAsia="Calibri" w:hAnsi="Verdana" w:cs="Arial"/>
          <w:sz w:val="20"/>
          <w:szCs w:val="20"/>
          <w:lang w:eastAsia="es-ES"/>
        </w:rPr>
      </w:pPr>
      <w:r w:rsidRPr="00982502">
        <w:rPr>
          <w:rFonts w:ascii="Verdana" w:eastAsia="Calibri" w:hAnsi="Verdana" w:cs="Arial"/>
          <w:sz w:val="20"/>
          <w:szCs w:val="20"/>
          <w:lang w:eastAsia="es-ES"/>
        </w:rPr>
        <w:t xml:space="preserve">Bajo este entendimiento, la característica fundamental para identificar los contratos estatales de consultoría es el carácter ampliamente técnico de su contenido, que se diferencia de otros tipos contractuales, como el de prestación de servicios –apoyo a la gestión, servicios profesionales o de ejecución de trabajos artísticos–. A diferencia del contrato de consultoría, el de prestación de servicios supone el desarrollo de actividades de colaboración y apoyo a la gestión de la entidad dirigidas al cumplimiento de las </w:t>
      </w:r>
      <w:r w:rsidRPr="00982502">
        <w:rPr>
          <w:rFonts w:ascii="Verdana" w:eastAsia="Calibri" w:hAnsi="Verdana" w:cs="Arial"/>
          <w:sz w:val="20"/>
          <w:szCs w:val="20"/>
          <w:lang w:eastAsia="es-ES"/>
        </w:rPr>
        <w:lastRenderedPageBreak/>
        <w:t>funciones asignadas a esta, de carácter temporal, excepcional u ocasional, siempre que no haya suficiente personal de planta o que, existiendo, está sobrecargado de trabajo, o que sean actividades que requieran conocimientos especializados, según lo prescrito en el artículo 32.3. de la Ley 80 de 1993.</w:t>
      </w:r>
    </w:p>
    <w:p w14:paraId="59D373EE" w14:textId="014457FC" w:rsidR="00523F2C" w:rsidRPr="00982502" w:rsidRDefault="00523F2C" w:rsidP="006E2A59">
      <w:pPr>
        <w:spacing w:after="0" w:line="240" w:lineRule="auto"/>
        <w:jc w:val="both"/>
        <w:rPr>
          <w:rFonts w:ascii="Verdana" w:eastAsia="Calibri" w:hAnsi="Verdana" w:cs="Arial"/>
          <w:sz w:val="20"/>
          <w:szCs w:val="20"/>
          <w:lang w:eastAsia="es-ES"/>
        </w:rPr>
      </w:pPr>
    </w:p>
    <w:p w14:paraId="01DA5986" w14:textId="1E310682" w:rsidR="00EC352C" w:rsidRPr="00982502" w:rsidRDefault="00EC352C" w:rsidP="00EC352C">
      <w:pPr>
        <w:spacing w:after="0"/>
        <w:rPr>
          <w:rFonts w:ascii="Verdana" w:eastAsia="Verdana" w:hAnsi="Verdana" w:cs="Verdana"/>
          <w:b/>
          <w:bCs/>
        </w:rPr>
      </w:pPr>
      <w:r w:rsidRPr="00982502">
        <w:rPr>
          <w:rFonts w:ascii="Verdana" w:eastAsia="Verdana" w:hAnsi="Verdana" w:cs="Verdana"/>
          <w:b/>
          <w:bCs/>
        </w:rPr>
        <w:t>GERENCIA DE PROYECTOS – Definición – Elementos constitutivos</w:t>
      </w:r>
    </w:p>
    <w:p w14:paraId="4EBC1A4A" w14:textId="77777777" w:rsidR="00EC352C" w:rsidRPr="00982502" w:rsidRDefault="00EC352C" w:rsidP="00EC352C">
      <w:pPr>
        <w:spacing w:after="0"/>
        <w:rPr>
          <w:rFonts w:ascii="Verdana" w:eastAsia="Verdana" w:hAnsi="Verdana" w:cs="Verdana"/>
          <w:b/>
          <w:bCs/>
        </w:rPr>
      </w:pPr>
    </w:p>
    <w:p w14:paraId="709EC2BF" w14:textId="112A969C" w:rsidR="00EC352C" w:rsidRPr="00982502" w:rsidRDefault="00EC352C" w:rsidP="00EC352C">
      <w:pPr>
        <w:spacing w:after="0" w:line="240" w:lineRule="auto"/>
        <w:jc w:val="both"/>
        <w:rPr>
          <w:rFonts w:ascii="Verdana" w:eastAsia="Verdana" w:hAnsi="Verdana" w:cs="Verdana"/>
          <w:sz w:val="20"/>
          <w:szCs w:val="20"/>
        </w:rPr>
      </w:pPr>
      <w:r w:rsidRPr="00982502">
        <w:rPr>
          <w:rFonts w:ascii="Verdana" w:eastAsia="Verdana" w:hAnsi="Verdana" w:cs="Verdana"/>
          <w:sz w:val="20"/>
          <w:szCs w:val="20"/>
        </w:rPr>
        <w:t>De conformidad con el numeral 2 del artículo 32 de la Ley 80 de 1993</w:t>
      </w:r>
      <w:r w:rsidR="00C16FF7" w:rsidRPr="00982502">
        <w:rPr>
          <w:rFonts w:ascii="Verdana" w:eastAsia="Verdana" w:hAnsi="Verdana" w:cs="Verdana"/>
          <w:sz w:val="20"/>
          <w:szCs w:val="20"/>
        </w:rPr>
        <w:t xml:space="preserve">, </w:t>
      </w:r>
      <w:r w:rsidRPr="00982502">
        <w:rPr>
          <w:rFonts w:ascii="Verdana" w:eastAsia="Verdana" w:hAnsi="Verdana" w:cs="Verdana"/>
          <w:sz w:val="20"/>
          <w:szCs w:val="20"/>
        </w:rPr>
        <w:t xml:space="preserve">Estatuto General de Contratación de la Administración Pública, la gerencia de proyectos no constituye una tipología contractual autónoma, sino una de las modalidades bajo las cuales puede configurarse el objeto del contrato de consultoría. En efecto, la norma en cita dispone que </w:t>
      </w:r>
      <w:r w:rsidR="00A44888" w:rsidRPr="00982502">
        <w:rPr>
          <w:rFonts w:ascii="Verdana" w:eastAsia="Verdana" w:hAnsi="Verdana" w:cs="Verdana"/>
          <w:sz w:val="20"/>
          <w:szCs w:val="20"/>
        </w:rPr>
        <w:t>“</w:t>
      </w:r>
      <w:r w:rsidRPr="00982502">
        <w:rPr>
          <w:rFonts w:ascii="Verdana" w:eastAsia="Verdana" w:hAnsi="Verdana" w:cs="Verdana"/>
          <w:sz w:val="20"/>
          <w:szCs w:val="20"/>
        </w:rPr>
        <w:t>son también contratos de consultoría los que tienen por objeto la interventoría, asesoría, gerencia de obra o de proyectos, dirección, programación y la ejecución de diseños, planos, anteproyectos y proyectos</w:t>
      </w:r>
      <w:r w:rsidR="00A44888" w:rsidRPr="00982502">
        <w:rPr>
          <w:rFonts w:ascii="Verdana" w:eastAsia="Verdana" w:hAnsi="Verdana" w:cs="Verdana"/>
          <w:sz w:val="20"/>
          <w:szCs w:val="20"/>
        </w:rPr>
        <w:t>”</w:t>
      </w:r>
      <w:r w:rsidRPr="00982502">
        <w:rPr>
          <w:rFonts w:ascii="Verdana" w:eastAsia="Verdana" w:hAnsi="Verdana" w:cs="Verdana"/>
          <w:sz w:val="20"/>
          <w:szCs w:val="20"/>
        </w:rPr>
        <w:t>. De ello se sigue que la gerencia de proyectos comparte con las demás modalidades de la consultoría un elemento común: la índole eminentemente técnica y especializada de la labor encomendada, la cual no se relaciona directamente con el funcionamiento interno de la entidad contratante, sino con el acompañamiento profesional en la planeación, la coordinación y el control de la ejecución de un proyecto específico.</w:t>
      </w:r>
    </w:p>
    <w:p w14:paraId="219DA8C7" w14:textId="77777777" w:rsidR="00EC352C" w:rsidRPr="00982502" w:rsidRDefault="00EC352C" w:rsidP="00EC352C">
      <w:pPr>
        <w:spacing w:after="0" w:line="240" w:lineRule="auto"/>
        <w:jc w:val="both"/>
        <w:rPr>
          <w:rFonts w:ascii="Verdana" w:eastAsia="Verdana" w:hAnsi="Verdana" w:cs="Verdana"/>
          <w:sz w:val="20"/>
          <w:szCs w:val="20"/>
        </w:rPr>
      </w:pPr>
    </w:p>
    <w:p w14:paraId="15A20E21" w14:textId="6CD284F2" w:rsidR="00EC352C" w:rsidRPr="00982502" w:rsidRDefault="00EC352C" w:rsidP="00EC352C">
      <w:pPr>
        <w:spacing w:after="0" w:line="240" w:lineRule="auto"/>
        <w:jc w:val="both"/>
        <w:rPr>
          <w:rFonts w:ascii="Verdana" w:eastAsia="Verdana" w:hAnsi="Verdana" w:cs="Verdana"/>
          <w:sz w:val="20"/>
          <w:szCs w:val="20"/>
        </w:rPr>
      </w:pPr>
      <w:r w:rsidRPr="00982502">
        <w:rPr>
          <w:rFonts w:ascii="Verdana" w:eastAsia="Verdana" w:hAnsi="Verdana" w:cs="Verdana"/>
          <w:sz w:val="20"/>
          <w:szCs w:val="20"/>
        </w:rPr>
        <w:t>La Corte Constitucional, precisó que a través de los contratos de consultoría</w:t>
      </w:r>
      <w:r w:rsidR="00F2207D" w:rsidRPr="00982502">
        <w:rPr>
          <w:rFonts w:ascii="Verdana" w:eastAsia="Verdana" w:hAnsi="Verdana" w:cs="Verdana"/>
          <w:sz w:val="20"/>
          <w:szCs w:val="20"/>
        </w:rPr>
        <w:t xml:space="preserve">, </w:t>
      </w:r>
      <w:r w:rsidRPr="00982502">
        <w:rPr>
          <w:rFonts w:ascii="Verdana" w:eastAsia="Verdana" w:hAnsi="Verdana" w:cs="Verdana"/>
          <w:sz w:val="20"/>
          <w:szCs w:val="20"/>
        </w:rPr>
        <w:t>entre ellos, los que tienen por objeto la gerencia de proyectos</w:t>
      </w:r>
      <w:r w:rsidR="00F2207D" w:rsidRPr="00982502">
        <w:rPr>
          <w:rFonts w:ascii="Verdana" w:eastAsia="Verdana" w:hAnsi="Verdana" w:cs="Verdana"/>
          <w:sz w:val="20"/>
          <w:szCs w:val="20"/>
        </w:rPr>
        <w:t xml:space="preserve">, </w:t>
      </w:r>
      <w:r w:rsidRPr="00982502">
        <w:rPr>
          <w:rFonts w:ascii="Verdana" w:eastAsia="Verdana" w:hAnsi="Verdana" w:cs="Verdana"/>
          <w:sz w:val="20"/>
          <w:szCs w:val="20"/>
        </w:rPr>
        <w:t xml:space="preserve"> la administración contrata servicios especializados de personas naturales o jurídicas que ofrecen conocimientos y experiencia en una materia determinada, circunstancia que los distingue de los contratos de prestación de servicios, en los cuales el contratista pone a disposición de la entidad su capacidad de trabajo para asumir funciones que, por regla general, no puede desarrollar el personal de planta.</w:t>
      </w:r>
    </w:p>
    <w:p w14:paraId="6DC9521A" w14:textId="77777777" w:rsidR="00EC352C" w:rsidRPr="00982502" w:rsidRDefault="00EC352C" w:rsidP="00EC352C">
      <w:pPr>
        <w:spacing w:after="0" w:line="240" w:lineRule="auto"/>
        <w:jc w:val="both"/>
        <w:rPr>
          <w:rFonts w:ascii="Verdana" w:eastAsia="Verdana" w:hAnsi="Verdana" w:cs="Verdana"/>
          <w:sz w:val="20"/>
          <w:szCs w:val="20"/>
        </w:rPr>
      </w:pPr>
    </w:p>
    <w:p w14:paraId="0504BB78" w14:textId="54091224" w:rsidR="00EC352C" w:rsidRPr="00982502" w:rsidRDefault="00EC352C" w:rsidP="00EC352C">
      <w:pPr>
        <w:spacing w:after="0" w:line="240" w:lineRule="auto"/>
        <w:jc w:val="both"/>
        <w:rPr>
          <w:rFonts w:ascii="Verdana" w:eastAsia="Verdana" w:hAnsi="Verdana" w:cs="Verdana"/>
          <w:sz w:val="20"/>
          <w:szCs w:val="20"/>
        </w:rPr>
      </w:pPr>
      <w:r w:rsidRPr="00982502">
        <w:rPr>
          <w:rFonts w:ascii="Verdana" w:eastAsia="Verdana" w:hAnsi="Verdana" w:cs="Verdana"/>
          <w:sz w:val="20"/>
          <w:szCs w:val="20"/>
        </w:rPr>
        <w:t>Así las cosas, no solo el elemento subjetivo, la posibilidad de que el gerente de proyectos sea persona natural o jurídica, sino que también el elemento objetivo —la naturaleza técnica y especializada del objeto contratado— resultan determinantes para establecer la existencia de un contrato de gerencia de proyectos sometido al régimen de la consultoría.</w:t>
      </w:r>
    </w:p>
    <w:p w14:paraId="7DF303E6" w14:textId="77777777" w:rsidR="0042198F" w:rsidRPr="00982502" w:rsidRDefault="0042198F" w:rsidP="00EC352C">
      <w:pPr>
        <w:spacing w:after="0" w:line="240" w:lineRule="auto"/>
        <w:jc w:val="both"/>
        <w:rPr>
          <w:rFonts w:ascii="Verdana" w:eastAsia="Verdana" w:hAnsi="Verdana" w:cs="Verdana"/>
          <w:sz w:val="20"/>
          <w:szCs w:val="20"/>
        </w:rPr>
      </w:pPr>
    </w:p>
    <w:p w14:paraId="3B972FCF" w14:textId="77777777" w:rsidR="0042198F" w:rsidRPr="00982502" w:rsidRDefault="0042198F" w:rsidP="0042198F">
      <w:pPr>
        <w:spacing w:after="0" w:line="240" w:lineRule="auto"/>
        <w:jc w:val="both"/>
        <w:rPr>
          <w:rFonts w:ascii="Verdana" w:eastAsia="Verdana" w:hAnsi="Verdana" w:cs="Verdana"/>
          <w:b/>
          <w:bCs/>
        </w:rPr>
      </w:pPr>
      <w:r w:rsidRPr="00982502">
        <w:rPr>
          <w:rFonts w:ascii="Verdana" w:eastAsia="Verdana" w:hAnsi="Verdana" w:cs="Verdana"/>
          <w:b/>
          <w:bCs/>
        </w:rPr>
        <w:t>GERENCIA DE PROYECTOS – Distinción sobre la interventoría, la asesoría y la gerencia de obra</w:t>
      </w:r>
    </w:p>
    <w:p w14:paraId="6E0F05A8" w14:textId="77777777" w:rsidR="0042198F" w:rsidRPr="00982502" w:rsidRDefault="0042198F" w:rsidP="0042198F">
      <w:pPr>
        <w:spacing w:after="0" w:line="240" w:lineRule="auto"/>
        <w:jc w:val="both"/>
        <w:rPr>
          <w:rFonts w:ascii="Verdana" w:eastAsia="Verdana" w:hAnsi="Verdana" w:cs="Verdana"/>
          <w:b/>
          <w:bCs/>
          <w:sz w:val="24"/>
          <w:szCs w:val="24"/>
        </w:rPr>
      </w:pPr>
    </w:p>
    <w:p w14:paraId="3AA1E3A6" w14:textId="136FCA2C" w:rsidR="0042198F" w:rsidRPr="00982502" w:rsidRDefault="0042198F" w:rsidP="0042198F">
      <w:pPr>
        <w:spacing w:after="0" w:line="240" w:lineRule="auto"/>
        <w:jc w:val="both"/>
        <w:rPr>
          <w:rFonts w:ascii="Verdana" w:eastAsia="Verdana" w:hAnsi="Verdana" w:cs="Verdana"/>
          <w:sz w:val="20"/>
          <w:szCs w:val="20"/>
        </w:rPr>
      </w:pPr>
      <w:r w:rsidRPr="00982502">
        <w:rPr>
          <w:rFonts w:ascii="Verdana" w:eastAsia="Verdana" w:hAnsi="Verdana" w:cs="Verdana"/>
          <w:sz w:val="20"/>
          <w:szCs w:val="20"/>
        </w:rPr>
        <w:t>Si bien el artículo 32, numeral 2, de la Ley 80 de 1993 agrupa a la interventoría, la asesoría, la gerencia de obra y la gerencia de proyectos dentro de una misma categoría contractual</w:t>
      </w:r>
      <w:r w:rsidR="00D026F8" w:rsidRPr="00982502">
        <w:rPr>
          <w:rFonts w:ascii="Verdana" w:eastAsia="Verdana" w:hAnsi="Verdana" w:cs="Verdana"/>
          <w:sz w:val="20"/>
          <w:szCs w:val="20"/>
        </w:rPr>
        <w:t xml:space="preserve">, </w:t>
      </w:r>
      <w:r w:rsidRPr="00982502">
        <w:rPr>
          <w:rFonts w:ascii="Verdana" w:eastAsia="Verdana" w:hAnsi="Verdana" w:cs="Verdana"/>
          <w:sz w:val="20"/>
          <w:szCs w:val="20"/>
        </w:rPr>
        <w:t xml:space="preserve">la consultoría, ello no implica que dichas figuras sean equivalentes entre sí. La interventoría se orienta al control y la vigilancia de la ejecución de un contrato ya perfeccionado, en tanto que la gerencia de proyectos supone, de ordinario, un rol de dirección, coordinación y administración integral de las distintas etapas del proyecto, incluida su formulación y su seguimiento presupuestal y cronológico, sin que ello </w:t>
      </w:r>
      <w:r w:rsidRPr="00982502">
        <w:rPr>
          <w:rFonts w:ascii="Verdana" w:eastAsia="Verdana" w:hAnsi="Verdana" w:cs="Verdana"/>
          <w:sz w:val="20"/>
          <w:szCs w:val="20"/>
        </w:rPr>
        <w:lastRenderedPageBreak/>
        <w:t>suponga necesariamente el ejercicio de las funciones específicas que el artículo 32, numeral 2, inciso 3°, atribuye al interventor de obra.</w:t>
      </w:r>
    </w:p>
    <w:p w14:paraId="68F5F78E" w14:textId="77777777" w:rsidR="0042198F" w:rsidRPr="00982502" w:rsidRDefault="0042198F" w:rsidP="0042198F">
      <w:pPr>
        <w:spacing w:after="0" w:line="240" w:lineRule="auto"/>
        <w:jc w:val="both"/>
        <w:rPr>
          <w:rFonts w:ascii="Verdana" w:eastAsia="Verdana" w:hAnsi="Verdana" w:cs="Verdana"/>
          <w:sz w:val="20"/>
          <w:szCs w:val="20"/>
        </w:rPr>
      </w:pPr>
    </w:p>
    <w:p w14:paraId="6FA72993" w14:textId="197FA575" w:rsidR="0042198F" w:rsidRPr="00982502" w:rsidRDefault="0042198F" w:rsidP="0042198F">
      <w:pPr>
        <w:spacing w:after="0" w:line="240" w:lineRule="auto"/>
        <w:jc w:val="both"/>
        <w:rPr>
          <w:rFonts w:ascii="Verdana" w:eastAsia="Verdana" w:hAnsi="Verdana" w:cs="Verdana"/>
          <w:sz w:val="20"/>
          <w:szCs w:val="20"/>
        </w:rPr>
      </w:pPr>
      <w:r w:rsidRPr="00982502">
        <w:rPr>
          <w:rFonts w:ascii="Verdana" w:eastAsia="Verdana" w:hAnsi="Verdana" w:cs="Verdana"/>
          <w:sz w:val="20"/>
          <w:szCs w:val="20"/>
        </w:rPr>
        <w:t>En consecuencia, la determinación sobre si un instrumento contractual corresponde a una gerencia de proyectos, a una interventoría o a una asesoría dependerá, en cada caso concreto, del alcance de las obligaciones pactadas y no exclusivamente de la denominación que las partes le hayan atribuido al negocio jurídico, la naturaleza jurídica de un contrato estatal se define sobre su contenido obligacional y no sobre el nomen iuris asignado por las partes.</w:t>
      </w:r>
    </w:p>
    <w:p w14:paraId="594A0D27" w14:textId="77777777" w:rsidR="0042198F" w:rsidRPr="00982502" w:rsidRDefault="0042198F" w:rsidP="0042198F">
      <w:pPr>
        <w:spacing w:after="0" w:line="240" w:lineRule="auto"/>
        <w:jc w:val="both"/>
        <w:rPr>
          <w:rFonts w:ascii="Verdana" w:eastAsia="Verdana" w:hAnsi="Verdana" w:cs="Verdana"/>
          <w:sz w:val="20"/>
          <w:szCs w:val="20"/>
        </w:rPr>
      </w:pPr>
    </w:p>
    <w:p w14:paraId="57936D9A" w14:textId="77777777" w:rsidR="00A9141A" w:rsidRPr="00982502" w:rsidRDefault="00A9141A" w:rsidP="00A9141A">
      <w:pPr>
        <w:spacing w:after="0" w:line="240" w:lineRule="auto"/>
        <w:jc w:val="both"/>
        <w:rPr>
          <w:rFonts w:ascii="Verdana" w:eastAsia="Verdana" w:hAnsi="Verdana" w:cs="Verdana"/>
          <w:b/>
          <w:bCs/>
        </w:rPr>
      </w:pPr>
      <w:r w:rsidRPr="00982502">
        <w:rPr>
          <w:rFonts w:ascii="Verdana" w:eastAsia="Verdana" w:hAnsi="Verdana" w:cs="Verdana"/>
          <w:b/>
          <w:bCs/>
        </w:rPr>
        <w:t>GERENCIA DE PROYECTOS – Alcance de la labor del gerente de proyectos – Criterios de determinación</w:t>
      </w:r>
    </w:p>
    <w:p w14:paraId="14ED300D" w14:textId="77777777" w:rsidR="00A9141A" w:rsidRPr="00982502" w:rsidRDefault="00A9141A" w:rsidP="00A9141A">
      <w:pPr>
        <w:spacing w:after="0" w:line="240" w:lineRule="auto"/>
        <w:jc w:val="both"/>
        <w:rPr>
          <w:rFonts w:ascii="Verdana" w:eastAsia="Verdana" w:hAnsi="Verdana" w:cs="Verdana"/>
          <w:sz w:val="20"/>
          <w:szCs w:val="20"/>
        </w:rPr>
      </w:pPr>
    </w:p>
    <w:p w14:paraId="4DE0A01C" w14:textId="79FBB176" w:rsidR="00A9141A" w:rsidRPr="00982502" w:rsidRDefault="00A9141A" w:rsidP="00A9141A">
      <w:pPr>
        <w:spacing w:after="0" w:line="240" w:lineRule="auto"/>
        <w:jc w:val="both"/>
        <w:rPr>
          <w:rFonts w:ascii="Verdana" w:eastAsia="Verdana" w:hAnsi="Verdana" w:cs="Verdana"/>
          <w:sz w:val="20"/>
          <w:szCs w:val="20"/>
        </w:rPr>
      </w:pPr>
      <w:r w:rsidRPr="00982502">
        <w:rPr>
          <w:rFonts w:ascii="Verdana" w:eastAsia="Verdana" w:hAnsi="Verdana" w:cs="Verdana"/>
          <w:sz w:val="20"/>
          <w:szCs w:val="20"/>
        </w:rPr>
        <w:t>Para efectos de establecer el alcance concreto de las obligaciones a cargo de quien funge como gerente de proyectos, deberán valorarse, entre otros, los siguientes criterios: primero, el objeto específico del proyecto sobre el cual recae la gerencia, en la medida en que este determina las competencias técnicas exigibles; segundo, las etapas del ciclo del proyecto que quedaron comprendidas dentro del objeto contractual, formulación, estructuración, ejecución o cierre; y tercero, el grado de autonomía decisoria conferido al gerente frente a la entidad contratante, distinción que resulta relevante para diferenciar la gerencia de proyectos de la simple asesoría técnica.</w:t>
      </w:r>
    </w:p>
    <w:p w14:paraId="7587A1C7" w14:textId="77777777" w:rsidR="00A9141A" w:rsidRPr="00982502" w:rsidRDefault="00A9141A" w:rsidP="00A9141A">
      <w:pPr>
        <w:spacing w:after="0" w:line="240" w:lineRule="auto"/>
        <w:jc w:val="both"/>
        <w:rPr>
          <w:rFonts w:ascii="Verdana" w:eastAsia="Verdana" w:hAnsi="Verdana" w:cs="Verdana"/>
          <w:sz w:val="20"/>
          <w:szCs w:val="20"/>
        </w:rPr>
      </w:pPr>
    </w:p>
    <w:p w14:paraId="3D6B32FB" w14:textId="77777777" w:rsidR="00A9141A" w:rsidRPr="00982502" w:rsidRDefault="00A9141A" w:rsidP="00A9141A">
      <w:pPr>
        <w:spacing w:after="0" w:line="240" w:lineRule="auto"/>
        <w:jc w:val="both"/>
        <w:rPr>
          <w:rFonts w:ascii="Verdana" w:eastAsia="Verdana" w:hAnsi="Verdana" w:cs="Verdana"/>
          <w:sz w:val="20"/>
          <w:szCs w:val="20"/>
        </w:rPr>
      </w:pPr>
      <w:r w:rsidRPr="00982502">
        <w:rPr>
          <w:rFonts w:ascii="Verdana" w:eastAsia="Verdana" w:hAnsi="Verdana" w:cs="Verdana"/>
          <w:sz w:val="20"/>
          <w:szCs w:val="20"/>
        </w:rPr>
        <w:t>De lo anterior se colige que la valoración del alcance de la gerencia de proyectos, al igual que ocurre con otros conceptos jurídicos indeterminados propios del régimen de contratación estatal, deberá efectuarse caso a caso, de conformidad con el clausulado contractual y los estudios previos que le sirvieron de fundamento, sin que sea procedente una interpretación uniforme y abstracta aplicable a la totalidad de los contratos que tengan por objeto esta modalidad de consultoría.</w:t>
      </w:r>
    </w:p>
    <w:p w14:paraId="23246B0F" w14:textId="77777777" w:rsidR="00F36382" w:rsidRPr="00982502" w:rsidRDefault="00F36382" w:rsidP="00A9141A">
      <w:pPr>
        <w:spacing w:after="0" w:line="240" w:lineRule="auto"/>
        <w:jc w:val="both"/>
        <w:rPr>
          <w:rFonts w:ascii="Verdana" w:eastAsia="Verdana" w:hAnsi="Verdana" w:cs="Verdana"/>
          <w:sz w:val="20"/>
          <w:szCs w:val="20"/>
        </w:rPr>
      </w:pPr>
    </w:p>
    <w:p w14:paraId="519A68C4" w14:textId="77777777" w:rsidR="00F36382" w:rsidRPr="00982502" w:rsidRDefault="00F36382" w:rsidP="00F36382">
      <w:pPr>
        <w:snapToGrid w:val="0"/>
        <w:spacing w:after="0" w:line="240" w:lineRule="auto"/>
        <w:contextualSpacing/>
        <w:jc w:val="both"/>
        <w:rPr>
          <w:rFonts w:ascii="Verdana" w:eastAsia="Aptos" w:hAnsi="Verdana" w:cs="Arial"/>
          <w:b/>
          <w:bCs/>
          <w:kern w:val="2"/>
          <w:lang w:val="es-MX"/>
          <w14:ligatures w14:val="standardContextual"/>
        </w:rPr>
      </w:pPr>
      <w:r w:rsidRPr="00982502">
        <w:rPr>
          <w:rFonts w:ascii="Verdana" w:eastAsia="Aptos" w:hAnsi="Verdana" w:cs="Arial"/>
          <w:b/>
          <w:bCs/>
          <w:kern w:val="2"/>
          <w:lang w:val="es-MX"/>
          <w14:ligatures w14:val="standardContextual"/>
        </w:rPr>
        <w:t>CONTRATO DE INTERVENTORÍA – Características – Finalidad</w:t>
      </w:r>
    </w:p>
    <w:p w14:paraId="2BB1FA3A" w14:textId="77777777" w:rsidR="00F36382" w:rsidRPr="00982502" w:rsidRDefault="00F36382" w:rsidP="00F36382">
      <w:pPr>
        <w:tabs>
          <w:tab w:val="left" w:pos="709"/>
        </w:tabs>
        <w:snapToGrid w:val="0"/>
        <w:spacing w:after="0" w:line="240" w:lineRule="auto"/>
        <w:contextualSpacing/>
        <w:jc w:val="both"/>
        <w:rPr>
          <w:rFonts w:ascii="Verdana" w:eastAsia="Aptos" w:hAnsi="Verdana" w:cs="Arial"/>
          <w:bCs/>
          <w:sz w:val="20"/>
          <w:szCs w:val="20"/>
        </w:rPr>
      </w:pPr>
    </w:p>
    <w:p w14:paraId="65D9406F" w14:textId="77777777" w:rsidR="00F36382" w:rsidRPr="00982502" w:rsidRDefault="00F36382" w:rsidP="00F36382">
      <w:pPr>
        <w:tabs>
          <w:tab w:val="left" w:pos="709"/>
        </w:tabs>
        <w:snapToGrid w:val="0"/>
        <w:spacing w:after="0" w:line="240" w:lineRule="auto"/>
        <w:contextualSpacing/>
        <w:jc w:val="both"/>
        <w:rPr>
          <w:rFonts w:ascii="Verdana" w:eastAsia="Aptos" w:hAnsi="Verdana" w:cs="Arial"/>
          <w:bCs/>
          <w:sz w:val="20"/>
          <w:szCs w:val="20"/>
        </w:rPr>
      </w:pPr>
      <w:r w:rsidRPr="00982502">
        <w:rPr>
          <w:rFonts w:ascii="Verdana" w:eastAsia="Aptos" w:hAnsi="Verdana" w:cs="Arial"/>
          <w:bCs/>
          <w:sz w:val="20"/>
          <w:szCs w:val="20"/>
        </w:rPr>
        <w:t xml:space="preserve">De este modo, la interventoría puede caracterizarse de la siguiente manera: (i) es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(ii) También es un mecanismo de vigilancia que exige, en su ejecución, la utilización de conocimientos especializados. (iii) Por lo anterior, la entidad contrata un experto, por regla general, mediante la modalidad de selección de concurso de méritos, al tratarse de una especie del contrato de consultoría –art. 32, numeral 2, inciso 2, Ley 80 de 1993‒, de manera que la interventoría es realizada por “una persona natural o jurídica contratada para tal fin por la Entidad Estatal” –art. 83, Ley 1474–. Adicionalmente, (iv) el seguimiento técnico es inherente a la interventoría para la vigilancia de la correcta ejecución del contrato vigilado; sin embargo, el artículo 83 de la Ley 1474 de 2011 permite que en el contrato de interventoría también se pacten obligaciones para que el contratista realice el </w:t>
      </w:r>
      <w:r w:rsidRPr="00982502">
        <w:rPr>
          <w:rFonts w:ascii="Verdana" w:eastAsia="Aptos" w:hAnsi="Verdana" w:cs="Arial"/>
          <w:bCs/>
          <w:sz w:val="20"/>
          <w:szCs w:val="20"/>
        </w:rPr>
        <w:lastRenderedPageBreak/>
        <w:t>seguimiento administrativo, financiero, contable o jurídico. Finalmente, (v) en caso de que no se encomiende al interventor el seguimiento total del contrato, en el contrato de interventoría “se deberán indicar las actividades técnicas a cargo del interventor y las demás quedarán a cargo de la Entidad a través del supervisor” –art. 83, inciso 3–. En cualquier caso (vi) el contrato de interventoría será supervisado directamente por la entidad –art. 23, inciso 4–.</w:t>
      </w:r>
    </w:p>
    <w:p w14:paraId="7B4E92A8" w14:textId="77777777" w:rsidR="00F36382" w:rsidRPr="00982502" w:rsidRDefault="00F36382" w:rsidP="00A9141A">
      <w:pPr>
        <w:spacing w:after="0" w:line="240" w:lineRule="auto"/>
        <w:jc w:val="both"/>
        <w:rPr>
          <w:rFonts w:ascii="Verdana" w:eastAsia="Verdana" w:hAnsi="Verdana" w:cs="Verdana"/>
          <w:sz w:val="20"/>
          <w:szCs w:val="20"/>
        </w:rPr>
      </w:pPr>
    </w:p>
    <w:p w14:paraId="0ED1D45A" w14:textId="77777777" w:rsidR="0042198F" w:rsidRPr="00982502" w:rsidRDefault="0042198F" w:rsidP="00EC352C">
      <w:pPr>
        <w:spacing w:after="0" w:line="240" w:lineRule="auto"/>
        <w:jc w:val="both"/>
        <w:rPr>
          <w:rFonts w:ascii="Verdana" w:eastAsia="Verdana" w:hAnsi="Verdana" w:cs="Verdana"/>
          <w:sz w:val="20"/>
          <w:szCs w:val="20"/>
        </w:rPr>
      </w:pPr>
    </w:p>
    <w:p w14:paraId="18DE538D" w14:textId="77777777" w:rsidR="00EC352C" w:rsidRPr="00982502" w:rsidRDefault="00EC352C" w:rsidP="00EC352C">
      <w:pPr>
        <w:spacing w:after="0"/>
        <w:rPr>
          <w:rFonts w:ascii="Verdana" w:eastAsia="Verdana" w:hAnsi="Verdana" w:cs="Verdana"/>
        </w:rPr>
      </w:pPr>
    </w:p>
    <w:p w14:paraId="4ADEAAD8" w14:textId="77777777" w:rsidR="0011153F" w:rsidRPr="00982502" w:rsidRDefault="0011153F" w:rsidP="30821638">
      <w:pPr>
        <w:spacing w:after="0"/>
        <w:rPr>
          <w:rFonts w:ascii="Verdana" w:eastAsia="Verdana" w:hAnsi="Verdana" w:cs="Verdana"/>
        </w:rPr>
      </w:pPr>
    </w:p>
    <w:p w14:paraId="74A5E7D7" w14:textId="77777777" w:rsidR="00EC352C" w:rsidRPr="00982502" w:rsidRDefault="00EC352C" w:rsidP="30821638">
      <w:pPr>
        <w:spacing w:after="0"/>
        <w:rPr>
          <w:rFonts w:ascii="Verdana" w:eastAsia="Verdana" w:hAnsi="Verdana" w:cs="Verdana"/>
        </w:rPr>
      </w:pPr>
    </w:p>
    <w:p w14:paraId="373EDF91" w14:textId="77777777" w:rsidR="00DE00CE" w:rsidRPr="00982502" w:rsidRDefault="00DE00CE" w:rsidP="30821638">
      <w:pPr>
        <w:spacing w:after="0"/>
        <w:rPr>
          <w:rFonts w:ascii="Verdana" w:eastAsia="Verdana" w:hAnsi="Verdana" w:cs="Verdana"/>
        </w:rPr>
      </w:pPr>
    </w:p>
    <w:p w14:paraId="4554ECDE" w14:textId="77777777" w:rsidR="00DE00CE" w:rsidRPr="00982502" w:rsidRDefault="00DE00CE" w:rsidP="30821638">
      <w:pPr>
        <w:spacing w:after="0"/>
        <w:rPr>
          <w:rFonts w:ascii="Verdana" w:eastAsia="Verdana" w:hAnsi="Verdana" w:cs="Verdana"/>
        </w:rPr>
      </w:pPr>
    </w:p>
    <w:p w14:paraId="069D345A" w14:textId="77777777" w:rsidR="00DE00CE" w:rsidRPr="00982502" w:rsidRDefault="00DE00CE" w:rsidP="30821638">
      <w:pPr>
        <w:spacing w:after="0"/>
        <w:rPr>
          <w:rFonts w:ascii="Verdana" w:eastAsia="Verdana" w:hAnsi="Verdana" w:cs="Verdana"/>
        </w:rPr>
      </w:pPr>
    </w:p>
    <w:p w14:paraId="62E4D507" w14:textId="77777777" w:rsidR="00DE00CE" w:rsidRPr="00982502" w:rsidRDefault="00DE00CE" w:rsidP="30821638">
      <w:pPr>
        <w:spacing w:after="0"/>
        <w:rPr>
          <w:rFonts w:ascii="Verdana" w:eastAsia="Verdana" w:hAnsi="Verdana" w:cs="Verdana"/>
        </w:rPr>
      </w:pPr>
    </w:p>
    <w:p w14:paraId="01DC24E8" w14:textId="77777777" w:rsidR="00DE00CE" w:rsidRPr="00982502" w:rsidRDefault="00DE00CE" w:rsidP="30821638">
      <w:pPr>
        <w:spacing w:after="0"/>
        <w:rPr>
          <w:rFonts w:ascii="Verdana" w:eastAsia="Verdana" w:hAnsi="Verdana" w:cs="Verdana"/>
        </w:rPr>
      </w:pPr>
    </w:p>
    <w:p w14:paraId="5EBAEBF2" w14:textId="77777777" w:rsidR="00DE00CE" w:rsidRPr="00982502" w:rsidRDefault="00DE00CE" w:rsidP="30821638">
      <w:pPr>
        <w:spacing w:after="0"/>
        <w:rPr>
          <w:rFonts w:ascii="Verdana" w:eastAsia="Verdana" w:hAnsi="Verdana" w:cs="Verdana"/>
        </w:rPr>
      </w:pPr>
    </w:p>
    <w:p w14:paraId="7AF590C4" w14:textId="77777777" w:rsidR="00DE00CE" w:rsidRPr="00982502" w:rsidRDefault="00DE00CE" w:rsidP="30821638">
      <w:pPr>
        <w:spacing w:after="0"/>
        <w:rPr>
          <w:rFonts w:ascii="Verdana" w:eastAsia="Verdana" w:hAnsi="Verdana" w:cs="Verdana"/>
        </w:rPr>
      </w:pPr>
    </w:p>
    <w:p w14:paraId="08828880" w14:textId="77777777" w:rsidR="00DE00CE" w:rsidRPr="00982502" w:rsidRDefault="00DE00CE" w:rsidP="30821638">
      <w:pPr>
        <w:spacing w:after="0"/>
        <w:rPr>
          <w:rFonts w:ascii="Verdana" w:eastAsia="Verdana" w:hAnsi="Verdana" w:cs="Verdana"/>
        </w:rPr>
      </w:pPr>
    </w:p>
    <w:p w14:paraId="6D0FDAAB" w14:textId="77777777" w:rsidR="007032F7" w:rsidRPr="00982502" w:rsidRDefault="007032F7" w:rsidP="30821638">
      <w:pPr>
        <w:spacing w:after="0"/>
        <w:rPr>
          <w:rFonts w:ascii="Verdana" w:eastAsia="Verdana" w:hAnsi="Verdana" w:cs="Verdana"/>
        </w:rPr>
      </w:pPr>
    </w:p>
    <w:p w14:paraId="2C712C7E" w14:textId="77777777" w:rsidR="007032F7" w:rsidRPr="00982502" w:rsidRDefault="007032F7" w:rsidP="30821638">
      <w:pPr>
        <w:spacing w:after="0"/>
        <w:rPr>
          <w:rFonts w:ascii="Verdana" w:eastAsia="Verdana" w:hAnsi="Verdana" w:cs="Verdana"/>
        </w:rPr>
      </w:pPr>
    </w:p>
    <w:p w14:paraId="6D66A603" w14:textId="77777777" w:rsidR="007032F7" w:rsidRPr="00982502" w:rsidRDefault="007032F7" w:rsidP="30821638">
      <w:pPr>
        <w:spacing w:after="0"/>
        <w:rPr>
          <w:rFonts w:ascii="Verdana" w:eastAsia="Verdana" w:hAnsi="Verdana" w:cs="Verdana"/>
        </w:rPr>
      </w:pPr>
    </w:p>
    <w:p w14:paraId="74E89ACA" w14:textId="77777777" w:rsidR="007032F7" w:rsidRPr="00982502" w:rsidRDefault="007032F7" w:rsidP="30821638">
      <w:pPr>
        <w:spacing w:after="0"/>
        <w:rPr>
          <w:rFonts w:ascii="Verdana" w:eastAsia="Verdana" w:hAnsi="Verdana" w:cs="Verdana"/>
        </w:rPr>
      </w:pPr>
    </w:p>
    <w:p w14:paraId="4CA392E5" w14:textId="77777777" w:rsidR="007032F7" w:rsidRPr="00982502" w:rsidRDefault="007032F7" w:rsidP="30821638">
      <w:pPr>
        <w:spacing w:after="0"/>
        <w:rPr>
          <w:rFonts w:ascii="Verdana" w:eastAsia="Verdana" w:hAnsi="Verdana" w:cs="Verdana"/>
        </w:rPr>
      </w:pPr>
    </w:p>
    <w:p w14:paraId="5BF7C0FA" w14:textId="77777777" w:rsidR="007032F7" w:rsidRPr="00982502" w:rsidRDefault="007032F7" w:rsidP="30821638">
      <w:pPr>
        <w:spacing w:after="0"/>
        <w:rPr>
          <w:rFonts w:ascii="Verdana" w:eastAsia="Verdana" w:hAnsi="Verdana" w:cs="Verdana"/>
        </w:rPr>
      </w:pPr>
    </w:p>
    <w:p w14:paraId="55F42E23" w14:textId="77777777" w:rsidR="007032F7" w:rsidRPr="00982502" w:rsidRDefault="007032F7" w:rsidP="30821638">
      <w:pPr>
        <w:spacing w:after="0"/>
        <w:rPr>
          <w:rFonts w:ascii="Verdana" w:eastAsia="Verdana" w:hAnsi="Verdana" w:cs="Verdana"/>
        </w:rPr>
      </w:pPr>
    </w:p>
    <w:p w14:paraId="38B5E3EF" w14:textId="77777777" w:rsidR="007032F7" w:rsidRPr="00982502" w:rsidRDefault="007032F7" w:rsidP="30821638">
      <w:pPr>
        <w:spacing w:after="0"/>
        <w:rPr>
          <w:rFonts w:ascii="Verdana" w:eastAsia="Verdana" w:hAnsi="Verdana" w:cs="Verdana"/>
        </w:rPr>
      </w:pPr>
    </w:p>
    <w:p w14:paraId="6179284C" w14:textId="77777777" w:rsidR="007032F7" w:rsidRPr="00982502" w:rsidRDefault="007032F7" w:rsidP="30821638">
      <w:pPr>
        <w:spacing w:after="0"/>
        <w:rPr>
          <w:rFonts w:ascii="Verdana" w:eastAsia="Verdana" w:hAnsi="Verdana" w:cs="Verdana"/>
        </w:rPr>
      </w:pPr>
    </w:p>
    <w:p w14:paraId="63B3041F" w14:textId="77777777" w:rsidR="007032F7" w:rsidRPr="00982502" w:rsidRDefault="007032F7" w:rsidP="30821638">
      <w:pPr>
        <w:spacing w:after="0"/>
        <w:rPr>
          <w:rFonts w:ascii="Verdana" w:eastAsia="Verdana" w:hAnsi="Verdana" w:cs="Verdana"/>
        </w:rPr>
      </w:pPr>
    </w:p>
    <w:p w14:paraId="79E447ED" w14:textId="77777777" w:rsidR="007032F7" w:rsidRPr="00982502" w:rsidRDefault="007032F7" w:rsidP="30821638">
      <w:pPr>
        <w:spacing w:after="0"/>
        <w:rPr>
          <w:rFonts w:ascii="Verdana" w:eastAsia="Verdana" w:hAnsi="Verdana" w:cs="Verdana"/>
        </w:rPr>
      </w:pPr>
    </w:p>
    <w:p w14:paraId="66A35B5F" w14:textId="77777777" w:rsidR="007032F7" w:rsidRPr="00982502" w:rsidRDefault="007032F7" w:rsidP="30821638">
      <w:pPr>
        <w:spacing w:after="0"/>
        <w:rPr>
          <w:rFonts w:ascii="Verdana" w:eastAsia="Verdana" w:hAnsi="Verdana" w:cs="Verdana"/>
        </w:rPr>
      </w:pPr>
    </w:p>
    <w:p w14:paraId="144C9E52" w14:textId="77777777" w:rsidR="007032F7" w:rsidRPr="00982502" w:rsidRDefault="007032F7" w:rsidP="30821638">
      <w:pPr>
        <w:spacing w:after="0"/>
        <w:rPr>
          <w:rFonts w:ascii="Verdana" w:eastAsia="Verdana" w:hAnsi="Verdana" w:cs="Verdana"/>
        </w:rPr>
      </w:pPr>
    </w:p>
    <w:p w14:paraId="0B44DC5A" w14:textId="77777777" w:rsidR="007032F7" w:rsidRPr="00982502" w:rsidRDefault="007032F7" w:rsidP="30821638">
      <w:pPr>
        <w:spacing w:after="0"/>
        <w:rPr>
          <w:rFonts w:ascii="Verdana" w:eastAsia="Verdana" w:hAnsi="Verdana" w:cs="Verdana"/>
        </w:rPr>
      </w:pPr>
    </w:p>
    <w:p w14:paraId="2CD71744" w14:textId="77777777" w:rsidR="007032F7" w:rsidRPr="00982502" w:rsidRDefault="007032F7" w:rsidP="30821638">
      <w:pPr>
        <w:spacing w:after="0"/>
        <w:rPr>
          <w:rFonts w:ascii="Verdana" w:eastAsia="Verdana" w:hAnsi="Verdana" w:cs="Verdana"/>
        </w:rPr>
      </w:pPr>
    </w:p>
    <w:p w14:paraId="0662A7FC" w14:textId="77777777" w:rsidR="007032F7" w:rsidRPr="00982502" w:rsidRDefault="007032F7" w:rsidP="30821638">
      <w:pPr>
        <w:spacing w:after="0"/>
        <w:rPr>
          <w:rFonts w:ascii="Verdana" w:eastAsia="Verdana" w:hAnsi="Verdana" w:cs="Verdana"/>
        </w:rPr>
      </w:pPr>
    </w:p>
    <w:p w14:paraId="359300B2" w14:textId="77777777" w:rsidR="007032F7" w:rsidRPr="00982502" w:rsidRDefault="007032F7" w:rsidP="30821638">
      <w:pPr>
        <w:spacing w:after="0"/>
        <w:rPr>
          <w:rFonts w:ascii="Verdana" w:eastAsia="Verdana" w:hAnsi="Verdana" w:cs="Verdana"/>
        </w:rPr>
      </w:pPr>
    </w:p>
    <w:p w14:paraId="7C281666" w14:textId="77777777" w:rsidR="007032F7" w:rsidRPr="00982502" w:rsidRDefault="007032F7" w:rsidP="30821638">
      <w:pPr>
        <w:spacing w:after="0"/>
        <w:rPr>
          <w:rFonts w:ascii="Verdana" w:eastAsia="Verdana" w:hAnsi="Verdana" w:cs="Verdana"/>
        </w:rPr>
      </w:pPr>
    </w:p>
    <w:p w14:paraId="34CE55C3" w14:textId="77777777" w:rsidR="00DE00CE" w:rsidRPr="00982502" w:rsidRDefault="00DE00CE" w:rsidP="30821638">
      <w:pPr>
        <w:spacing w:after="0"/>
        <w:rPr>
          <w:rFonts w:ascii="Verdana" w:eastAsia="Verdana" w:hAnsi="Verdana" w:cs="Verdana"/>
        </w:rPr>
      </w:pPr>
    </w:p>
    <w:p w14:paraId="2514D622" w14:textId="77777777" w:rsidR="00D30CFD" w:rsidRPr="00982502" w:rsidRDefault="00D30CFD" w:rsidP="30821638">
      <w:pPr>
        <w:spacing w:after="0"/>
        <w:rPr>
          <w:rFonts w:ascii="Verdana" w:eastAsia="Verdana" w:hAnsi="Verdana" w:cs="Verdana"/>
        </w:rPr>
      </w:pPr>
    </w:p>
    <w:p w14:paraId="1468C46D" w14:textId="2F29B6AF" w:rsidR="00C15139" w:rsidRDefault="00C15139" w:rsidP="30821638">
      <w:pPr>
        <w:spacing w:after="0"/>
        <w:rPr>
          <w:rFonts w:ascii="Verdana" w:hAnsi="Verdana"/>
        </w:rPr>
      </w:pPr>
      <w:r w:rsidRPr="00982502">
        <w:rPr>
          <w:rFonts w:ascii="Verdana" w:eastAsia="Verdana" w:hAnsi="Verdana" w:cs="Verdana"/>
        </w:rPr>
        <w:lastRenderedPageBreak/>
        <w:t xml:space="preserve">Bogotá D.C., </w:t>
      </w:r>
      <w:r w:rsidR="00370ABA">
        <w:rPr>
          <w:rFonts w:ascii="Verdana" w:eastAsia="Verdana" w:hAnsi="Verdana" w:cs="Verdana"/>
        </w:rPr>
        <w:t>23 de septiembre del 2026</w:t>
      </w:r>
      <w:r w:rsidRPr="00982502">
        <w:rPr>
          <w:rFonts w:ascii="Verdana" w:hAnsi="Verdana"/>
        </w:rPr>
        <w:tab/>
      </w:r>
      <w:r w:rsidRPr="00982502">
        <w:rPr>
          <w:rFonts w:ascii="Verdana" w:hAnsi="Verdana"/>
        </w:rPr>
        <w:br/>
      </w:r>
    </w:p>
    <w:p w14:paraId="62979D2B" w14:textId="15C5DA4E" w:rsidR="00370ABA" w:rsidRPr="00982502" w:rsidRDefault="00370ABA" w:rsidP="00370ABA">
      <w:pPr>
        <w:spacing w:after="0"/>
        <w:jc w:val="right"/>
        <w:rPr>
          <w:rFonts w:ascii="Verdana" w:eastAsia="Verdana" w:hAnsi="Verdana" w:cs="Verdana"/>
        </w:rPr>
      </w:pPr>
      <w:r w:rsidRPr="00370ABA">
        <w:rPr>
          <w:rFonts w:ascii="Verdana" w:eastAsia="Verdana" w:hAnsi="Verdana" w:cs="Verdana"/>
          <w:noProof/>
        </w:rPr>
        <w:drawing>
          <wp:inline distT="0" distB="0" distL="0" distR="0" wp14:anchorId="62549AFB" wp14:editId="4461F798">
            <wp:extent cx="2708941" cy="818515"/>
            <wp:effectExtent l="0" t="0" r="0" b="635"/>
            <wp:docPr id="11719168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916890" name=""/>
                    <pic:cNvPicPr/>
                  </pic:nvPicPr>
                  <pic:blipFill>
                    <a:blip r:embed="rId11"/>
                    <a:stretch>
                      <a:fillRect/>
                    </a:stretch>
                  </pic:blipFill>
                  <pic:spPr>
                    <a:xfrm>
                      <a:off x="0" y="0"/>
                      <a:ext cx="2727447" cy="824107"/>
                    </a:xfrm>
                    <a:prstGeom prst="rect">
                      <a:avLst/>
                    </a:prstGeom>
                  </pic:spPr>
                </pic:pic>
              </a:graphicData>
            </a:graphic>
          </wp:inline>
        </w:drawing>
      </w:r>
    </w:p>
    <w:p w14:paraId="76823D5B" w14:textId="77777777" w:rsidR="00DB1304" w:rsidRPr="00982502" w:rsidRDefault="00DB1304" w:rsidP="30821638">
      <w:pPr>
        <w:spacing w:after="0"/>
        <w:rPr>
          <w:rFonts w:ascii="Verdana" w:eastAsia="Verdana" w:hAnsi="Verdana" w:cs="Verdana"/>
        </w:rPr>
      </w:pPr>
    </w:p>
    <w:p w14:paraId="5F2CD078" w14:textId="16DEA590" w:rsidR="00C15139" w:rsidRPr="00982502" w:rsidRDefault="00937839" w:rsidP="30821638">
      <w:pPr>
        <w:spacing w:after="0"/>
        <w:rPr>
          <w:rFonts w:ascii="Verdana" w:eastAsia="Verdana" w:hAnsi="Verdana" w:cs="Verdana"/>
          <w:lang w:val="es-MX"/>
        </w:rPr>
      </w:pPr>
      <w:r w:rsidRPr="00982502">
        <w:rPr>
          <w:rFonts w:ascii="Verdana" w:eastAsia="Verdana" w:hAnsi="Verdana" w:cs="Verdana"/>
          <w:lang w:val="es-MX"/>
        </w:rPr>
        <w:t>Señor:</w:t>
      </w:r>
    </w:p>
    <w:p w14:paraId="5546752B" w14:textId="73739779" w:rsidR="00C15139" w:rsidRPr="00982502" w:rsidRDefault="00937839" w:rsidP="30821638">
      <w:pPr>
        <w:spacing w:after="0"/>
        <w:rPr>
          <w:rFonts w:ascii="Verdana" w:eastAsia="Verdana" w:hAnsi="Verdana" w:cs="Verdana"/>
          <w:b/>
          <w:bCs/>
        </w:rPr>
      </w:pPr>
      <w:r w:rsidRPr="00982502">
        <w:rPr>
          <w:rFonts w:ascii="Verdana" w:eastAsia="Verdana" w:hAnsi="Verdana" w:cs="Verdana"/>
          <w:b/>
          <w:bCs/>
        </w:rPr>
        <w:t>Diego Alejandro Osorio González</w:t>
      </w:r>
    </w:p>
    <w:p w14:paraId="57AB4C52" w14:textId="542FD4EF" w:rsidR="00B27DE6" w:rsidRPr="00982502" w:rsidRDefault="00B27DE6" w:rsidP="30821638">
      <w:pPr>
        <w:spacing w:after="0"/>
        <w:rPr>
          <w:rFonts w:ascii="Verdana" w:eastAsia="Verdana" w:hAnsi="Verdana" w:cs="Verdana"/>
        </w:rPr>
      </w:pPr>
      <w:hyperlink r:id="rId12" w:history="1">
        <w:r w:rsidRPr="00982502">
          <w:rPr>
            <w:rStyle w:val="Hipervnculo"/>
            <w:rFonts w:ascii="Verdana" w:eastAsia="Verdana" w:hAnsi="Verdana" w:cs="Verdana"/>
          </w:rPr>
          <w:t>senior.licitaciones@jahvmcgregor.com</w:t>
        </w:r>
      </w:hyperlink>
      <w:r w:rsidRPr="00982502">
        <w:rPr>
          <w:rFonts w:ascii="Verdana" w:eastAsia="Verdana" w:hAnsi="Verdana" w:cs="Verdana"/>
        </w:rPr>
        <w:t xml:space="preserve"> </w:t>
      </w:r>
    </w:p>
    <w:p w14:paraId="4B03230F" w14:textId="1A8772BD" w:rsidR="00E245AB" w:rsidRPr="00982502" w:rsidRDefault="00B27DE6" w:rsidP="30821638">
      <w:pPr>
        <w:spacing w:after="0"/>
        <w:rPr>
          <w:rFonts w:ascii="Verdana" w:eastAsia="Verdana" w:hAnsi="Verdana" w:cs="Verdana"/>
        </w:rPr>
      </w:pPr>
      <w:r w:rsidRPr="00982502">
        <w:rPr>
          <w:rFonts w:ascii="Verdana" w:eastAsia="Verdana" w:hAnsi="Verdana" w:cs="Verdana"/>
        </w:rPr>
        <w:t xml:space="preserve">Bogotá </w:t>
      </w:r>
    </w:p>
    <w:p w14:paraId="01804E15" w14:textId="77777777" w:rsidR="00E245AB" w:rsidRPr="00982502" w:rsidRDefault="00E245AB" w:rsidP="30821638">
      <w:pPr>
        <w:spacing w:after="0"/>
        <w:rPr>
          <w:rFonts w:ascii="Verdana" w:eastAsia="Verdana" w:hAnsi="Verdana" w:cs="Verdana"/>
          <w:b/>
          <w:bCs/>
        </w:rPr>
      </w:pPr>
    </w:p>
    <w:p w14:paraId="62F0F43A" w14:textId="13E0BFFA" w:rsidR="007E6482" w:rsidRPr="00982502" w:rsidRDefault="007E6482" w:rsidP="007E6482">
      <w:pPr>
        <w:spacing w:after="0" w:line="240" w:lineRule="auto"/>
        <w:rPr>
          <w:rFonts w:ascii="Verdana" w:eastAsia="Calibri" w:hAnsi="Verdana" w:cs="Arial"/>
          <w:b/>
          <w:bCs/>
          <w:lang w:val="es-ES_tradnl" w:eastAsia="es-ES_tradnl"/>
        </w:rPr>
      </w:pPr>
      <w:r w:rsidRPr="00982502">
        <w:rPr>
          <w:rFonts w:ascii="Verdana" w:eastAsia="Calibri" w:hAnsi="Verdana" w:cs="Arial"/>
          <w:b/>
          <w:bCs/>
          <w:lang w:val="es-ES_tradnl" w:eastAsia="es-ES_tradnl"/>
        </w:rPr>
        <w:t xml:space="preserve">                                   Concepto </w:t>
      </w:r>
      <w:r w:rsidR="0084092C" w:rsidRPr="00982502">
        <w:rPr>
          <w:rFonts w:ascii="Verdana" w:eastAsia="Calibri" w:hAnsi="Verdana" w:cs="Arial"/>
          <w:b/>
          <w:bCs/>
          <w:lang w:val="es-ES_tradnl" w:eastAsia="es-ES_tradnl"/>
        </w:rPr>
        <w:t>C-1290</w:t>
      </w:r>
      <w:r w:rsidRPr="00982502">
        <w:rPr>
          <w:rFonts w:ascii="Verdana" w:eastAsia="Calibri" w:hAnsi="Verdana" w:cs="Arial"/>
          <w:b/>
          <w:bCs/>
          <w:lang w:val="es-ES_tradnl" w:eastAsia="es-ES_tradnl"/>
        </w:rPr>
        <w:t xml:space="preserve"> del 2026</w:t>
      </w:r>
    </w:p>
    <w:p w14:paraId="50D643E3" w14:textId="77777777" w:rsidR="007E6482" w:rsidRPr="00982502" w:rsidRDefault="007E6482" w:rsidP="007E6482">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E6482" w:rsidRPr="00982502" w14:paraId="359BE93D" w14:textId="77777777" w:rsidTr="009B3080">
        <w:trPr>
          <w:trHeight w:val="884"/>
        </w:trPr>
        <w:tc>
          <w:tcPr>
            <w:tcW w:w="2689" w:type="dxa"/>
          </w:tcPr>
          <w:p w14:paraId="46F74E1B" w14:textId="77777777" w:rsidR="007E6482" w:rsidRPr="00982502" w:rsidRDefault="007E6482" w:rsidP="009B3080">
            <w:pPr>
              <w:jc w:val="both"/>
              <w:rPr>
                <w:rFonts w:ascii="Verdana" w:eastAsia="Calibri" w:hAnsi="Verdana" w:cs="Arial"/>
                <w:lang w:val="es-ES_tradnl" w:eastAsia="es-ES_tradnl"/>
              </w:rPr>
            </w:pPr>
            <w:r w:rsidRPr="00982502">
              <w:rPr>
                <w:rFonts w:ascii="Verdana" w:eastAsia="Calibri" w:hAnsi="Verdana" w:cs="Arial"/>
                <w:b/>
                <w:lang w:val="es-ES_tradnl" w:eastAsia="es-ES_tradnl"/>
              </w:rPr>
              <w:t>Temas:</w:t>
            </w:r>
            <w:r w:rsidRPr="00982502">
              <w:rPr>
                <w:rFonts w:ascii="Verdana" w:eastAsia="Calibri" w:hAnsi="Verdana" w:cs="Arial"/>
                <w:lang w:val="es-ES_tradnl" w:eastAsia="es-ES_tradnl"/>
              </w:rPr>
              <w:t xml:space="preserve">                   </w:t>
            </w:r>
          </w:p>
        </w:tc>
        <w:tc>
          <w:tcPr>
            <w:tcW w:w="6100" w:type="dxa"/>
          </w:tcPr>
          <w:p w14:paraId="251D2FE6" w14:textId="77777777" w:rsidR="00F36382" w:rsidRPr="00982502" w:rsidRDefault="00FE13FF" w:rsidP="00F36382">
            <w:pPr>
              <w:snapToGrid w:val="0"/>
              <w:contextualSpacing/>
              <w:jc w:val="both"/>
              <w:rPr>
                <w:rFonts w:ascii="Verdana" w:eastAsia="Aptos" w:hAnsi="Verdana" w:cs="Arial"/>
                <w:kern w:val="2"/>
                <w:lang w:val="es-MX"/>
                <w14:ligatures w14:val="standardContextual"/>
              </w:rPr>
            </w:pPr>
            <w:r w:rsidRPr="00982502">
              <w:rPr>
                <w:rFonts w:ascii="Verdana" w:hAnsi="Verdana" w:cs="Arial"/>
                <w:color w:val="000000" w:themeColor="text1"/>
              </w:rPr>
              <w:t>CONTRATO ESTATAL – Concepto / CONTRATO DE CONSULTORÍA – Definición – Características / CONTRATO DE CONSULTORÍA – Factores de evaluación – Formación académica / GERENCIA DE PROYECTOS – Definición – Elementos constitutivos / GERENCIA DE PROYECTOS – Distinción sobre la interventoría, la asesoría y la gerencia de obra / GERENCIA DE PROYECTOS – Alcance de la labor del gerente de proyectos – Criterios de determinación</w:t>
            </w:r>
            <w:r w:rsidR="00F36382" w:rsidRPr="00982502">
              <w:rPr>
                <w:rFonts w:ascii="Verdana" w:hAnsi="Verdana" w:cs="Arial"/>
                <w:color w:val="000000" w:themeColor="text1"/>
              </w:rPr>
              <w:t xml:space="preserve"> / </w:t>
            </w:r>
            <w:r w:rsidR="00F36382" w:rsidRPr="00982502">
              <w:rPr>
                <w:rFonts w:ascii="Verdana" w:eastAsia="Aptos" w:hAnsi="Verdana" w:cs="Arial"/>
                <w:kern w:val="2"/>
                <w:lang w:val="es-MX"/>
                <w14:ligatures w14:val="standardContextual"/>
              </w:rPr>
              <w:t>CONTRATO DE INTERVENTORÍA – Características – Finalidad</w:t>
            </w:r>
          </w:p>
          <w:p w14:paraId="7084E6EC" w14:textId="2CEAEA0F" w:rsidR="00FE13FF" w:rsidRPr="00982502" w:rsidRDefault="00FE13FF" w:rsidP="009B3080">
            <w:pPr>
              <w:jc w:val="both"/>
              <w:rPr>
                <w:rFonts w:ascii="Verdana" w:eastAsia="Aptos" w:hAnsi="Verdana" w:cs="Times New Roman"/>
                <w:highlight w:val="cyan"/>
              </w:rPr>
            </w:pPr>
          </w:p>
        </w:tc>
      </w:tr>
      <w:tr w:rsidR="007E6482" w:rsidRPr="00982502" w14:paraId="60E779E1" w14:textId="77777777" w:rsidTr="009B3080">
        <w:trPr>
          <w:trHeight w:val="342"/>
        </w:trPr>
        <w:tc>
          <w:tcPr>
            <w:tcW w:w="2689" w:type="dxa"/>
          </w:tcPr>
          <w:p w14:paraId="394FAC97" w14:textId="77777777" w:rsidR="007E6482" w:rsidRPr="00982502" w:rsidRDefault="007E6482" w:rsidP="009B3080">
            <w:pPr>
              <w:jc w:val="both"/>
              <w:rPr>
                <w:rFonts w:ascii="Verdana" w:eastAsia="Calibri" w:hAnsi="Verdana" w:cs="Arial"/>
                <w:b/>
                <w:lang w:val="es-ES_tradnl" w:eastAsia="es-ES_tradnl"/>
              </w:rPr>
            </w:pPr>
            <w:r w:rsidRPr="00982502">
              <w:rPr>
                <w:rFonts w:ascii="Verdana" w:eastAsia="Calibri" w:hAnsi="Verdana" w:cs="Arial"/>
                <w:b/>
                <w:lang w:val="es-ES_tradnl" w:eastAsia="es-ES_tradnl"/>
              </w:rPr>
              <w:t>Radicación:</w:t>
            </w:r>
            <w:r w:rsidRPr="00982502">
              <w:rPr>
                <w:rFonts w:ascii="Verdana" w:eastAsia="Calibri" w:hAnsi="Verdana" w:cs="Arial"/>
                <w:lang w:val="es-ES_tradnl" w:eastAsia="es-ES_tradnl"/>
              </w:rPr>
              <w:t xml:space="preserve">               </w:t>
            </w:r>
          </w:p>
        </w:tc>
        <w:tc>
          <w:tcPr>
            <w:tcW w:w="6100" w:type="dxa"/>
          </w:tcPr>
          <w:p w14:paraId="409CF81E" w14:textId="0F126E18" w:rsidR="007E6482" w:rsidRPr="00982502" w:rsidRDefault="007E6482" w:rsidP="009B3080">
            <w:pPr>
              <w:jc w:val="both"/>
              <w:rPr>
                <w:rFonts w:ascii="Verdana" w:eastAsia="Calibri" w:hAnsi="Verdana" w:cs="Arial"/>
                <w:lang w:eastAsia="es-ES_tradnl"/>
              </w:rPr>
            </w:pPr>
            <w:r w:rsidRPr="00982502">
              <w:rPr>
                <w:rFonts w:ascii="Verdana" w:eastAsia="Calibri" w:hAnsi="Verdana" w:cs="Arial"/>
                <w:lang w:val="es-ES_tradnl" w:eastAsia="es-ES_tradnl"/>
              </w:rPr>
              <w:t>Respuesta a la consulta con radicado No.</w:t>
            </w:r>
            <w:r w:rsidR="0052721C" w:rsidRPr="00982502">
              <w:rPr>
                <w:rFonts w:ascii="Verdana" w:hAnsi="Verdana"/>
              </w:rPr>
              <w:t xml:space="preserve"> 1_2026_08_14_010819</w:t>
            </w:r>
          </w:p>
        </w:tc>
      </w:tr>
    </w:tbl>
    <w:p w14:paraId="2B3B848E" w14:textId="17B24D6F" w:rsidR="007E6482" w:rsidRPr="00982502" w:rsidRDefault="007E6482" w:rsidP="007E6482">
      <w:pPr>
        <w:spacing w:after="0" w:line="240" w:lineRule="auto"/>
        <w:jc w:val="both"/>
        <w:rPr>
          <w:rFonts w:ascii="Verdana" w:eastAsia="Calibri" w:hAnsi="Verdana" w:cs="Arial"/>
          <w:highlight w:val="cyan"/>
          <w:lang w:val="es-ES" w:eastAsia="es-ES"/>
        </w:rPr>
      </w:pPr>
    </w:p>
    <w:p w14:paraId="2E514E0D" w14:textId="77777777" w:rsidR="00546782" w:rsidRPr="00982502" w:rsidRDefault="00546782" w:rsidP="007E6482">
      <w:pPr>
        <w:spacing w:after="0" w:line="240" w:lineRule="auto"/>
        <w:jc w:val="both"/>
        <w:rPr>
          <w:rFonts w:ascii="Verdana" w:eastAsia="Calibri" w:hAnsi="Verdana" w:cs="Arial"/>
          <w:highlight w:val="cyan"/>
          <w:lang w:val="es-ES" w:eastAsia="es-ES"/>
        </w:rPr>
      </w:pPr>
    </w:p>
    <w:p w14:paraId="255910EE" w14:textId="14E5CD93" w:rsidR="007E6482" w:rsidRPr="00982502" w:rsidRDefault="007E6482" w:rsidP="007E6482">
      <w:pPr>
        <w:spacing w:after="0" w:line="276" w:lineRule="auto"/>
        <w:jc w:val="both"/>
        <w:rPr>
          <w:rFonts w:ascii="Verdana" w:eastAsia="Calibri" w:hAnsi="Verdana" w:cs="Arial"/>
          <w:lang w:val="es-ES" w:eastAsia="es-ES"/>
        </w:rPr>
      </w:pPr>
      <w:r w:rsidRPr="00982502">
        <w:rPr>
          <w:rFonts w:ascii="Verdana" w:eastAsia="Calibri" w:hAnsi="Verdana" w:cs="Arial"/>
          <w:lang w:val="es-ES" w:eastAsia="es-ES"/>
        </w:rPr>
        <w:t xml:space="preserve">Estimado señor </w:t>
      </w:r>
      <w:r w:rsidR="00CB67D1" w:rsidRPr="00982502">
        <w:rPr>
          <w:rFonts w:ascii="Verdana" w:eastAsia="Calibri" w:hAnsi="Verdana" w:cs="Arial"/>
          <w:lang w:eastAsia="es-ES"/>
        </w:rPr>
        <w:t>Osorio González</w:t>
      </w:r>
      <w:r w:rsidRPr="00982502">
        <w:rPr>
          <w:rFonts w:ascii="Verdana" w:eastAsia="Calibri" w:hAnsi="Verdana" w:cs="Arial"/>
          <w:lang w:val="es-ES" w:eastAsia="es-ES"/>
        </w:rPr>
        <w:t xml:space="preserve">: </w:t>
      </w:r>
    </w:p>
    <w:p w14:paraId="64EB5007" w14:textId="77777777" w:rsidR="007E6482" w:rsidRPr="00982502" w:rsidRDefault="007E6482" w:rsidP="007E6482">
      <w:pPr>
        <w:spacing w:after="0" w:line="276" w:lineRule="auto"/>
        <w:rPr>
          <w:rFonts w:ascii="Verdana" w:eastAsia="Times New Roman" w:hAnsi="Verdana" w:cs="Segoe UI"/>
          <w:highlight w:val="cyan"/>
          <w:lang w:eastAsia="es-CO"/>
        </w:rPr>
      </w:pPr>
    </w:p>
    <w:p w14:paraId="326A0704" w14:textId="27C0780A" w:rsidR="007E6482" w:rsidRPr="00982502" w:rsidRDefault="007E6482" w:rsidP="007E6482">
      <w:pPr>
        <w:spacing w:after="0" w:line="276" w:lineRule="auto"/>
        <w:jc w:val="both"/>
        <w:rPr>
          <w:rFonts w:ascii="Verdana" w:eastAsia="Calibri" w:hAnsi="Verdana" w:cs="Arial"/>
          <w:lang w:val="es-ES" w:eastAsia="es-ES"/>
        </w:rPr>
      </w:pPr>
      <w:r w:rsidRPr="00982502">
        <w:rPr>
          <w:rFonts w:ascii="Verdana" w:eastAsia="Calibri" w:hAnsi="Verdana" w:cs="Arial"/>
          <w:lang w:val="es-ES" w:eastAsia="es-ES"/>
        </w:rPr>
        <w:t>En ejercicio de la competencia otorgada por los artículos 3, numeral 5º, y 11, numeral 8º, del Decreto Ley 4170 de 2011,</w:t>
      </w:r>
      <w:r w:rsidRPr="00982502">
        <w:rPr>
          <w:rFonts w:ascii="Verdana" w:eastAsia="Arial MT" w:hAnsi="Verdana" w:cs="Arial"/>
          <w:lang w:val="es-ES" w:eastAsia="es-ES"/>
        </w:rPr>
        <w:t xml:space="preserve"> </w:t>
      </w:r>
      <w:r w:rsidRPr="00982502">
        <w:rPr>
          <w:rFonts w:ascii="Verdana" w:hAnsi="Verdana" w:cs="Arial"/>
        </w:rPr>
        <w:t xml:space="preserve">así como lo establecido en el artículo 4 de la Resolución 1707 de 2018 expedida por esta Entidad, </w:t>
      </w:r>
      <w:r w:rsidRPr="00982502">
        <w:rPr>
          <w:rFonts w:ascii="Verdana" w:eastAsia="Calibri" w:hAnsi="Verdana" w:cs="Arial"/>
          <w:lang w:val="es-ES" w:eastAsia="es-ES"/>
        </w:rPr>
        <w:t xml:space="preserve">la Agencia Nacional de Contratación Pública – Colombia Compra Eficiente– responde su solicitud radicada el </w:t>
      </w:r>
      <w:r w:rsidR="00D51902" w:rsidRPr="00982502">
        <w:rPr>
          <w:rFonts w:ascii="Verdana" w:eastAsia="Calibri" w:hAnsi="Verdana" w:cs="Arial"/>
          <w:lang w:val="es-ES" w:eastAsia="es-ES"/>
        </w:rPr>
        <w:t>14 de agosto del 2026</w:t>
      </w:r>
      <w:r w:rsidRPr="00982502">
        <w:rPr>
          <w:rFonts w:ascii="Verdana" w:eastAsia="Calibri" w:hAnsi="Verdana" w:cs="Arial"/>
          <w:lang w:val="es-ES" w:eastAsia="es-ES"/>
        </w:rPr>
        <w:t xml:space="preserve">, en la cual manifiesta lo siguiente: </w:t>
      </w:r>
    </w:p>
    <w:p w14:paraId="289C0291" w14:textId="77777777" w:rsidR="007E6482" w:rsidRPr="00982502" w:rsidRDefault="007E6482" w:rsidP="007E6482">
      <w:pPr>
        <w:spacing w:after="0" w:line="276" w:lineRule="auto"/>
        <w:jc w:val="both"/>
        <w:rPr>
          <w:rFonts w:ascii="Verdana" w:eastAsia="Calibri" w:hAnsi="Verdana" w:cs="Arial"/>
          <w:highlight w:val="cyan"/>
          <w:lang w:val="es-ES" w:eastAsia="es-ES"/>
        </w:rPr>
      </w:pPr>
    </w:p>
    <w:p w14:paraId="041B2D8D" w14:textId="3E754542" w:rsidR="007E6482" w:rsidRPr="00982502" w:rsidRDefault="007E6482" w:rsidP="006D520A">
      <w:pPr>
        <w:spacing w:after="0" w:line="240" w:lineRule="auto"/>
        <w:ind w:left="709" w:right="709"/>
        <w:jc w:val="both"/>
        <w:rPr>
          <w:rFonts w:ascii="Verdana" w:eastAsia="Century Gothic" w:hAnsi="Verdana" w:cs="Arial"/>
          <w:sz w:val="20"/>
          <w:szCs w:val="20"/>
        </w:rPr>
      </w:pPr>
      <w:r w:rsidRPr="00982502">
        <w:rPr>
          <w:rFonts w:ascii="Verdana" w:eastAsia="Century Gothic" w:hAnsi="Verdana" w:cs="Arial"/>
          <w:sz w:val="20"/>
          <w:szCs w:val="20"/>
          <w:lang w:val="es-ES"/>
        </w:rPr>
        <w:lastRenderedPageBreak/>
        <w:t xml:space="preserve">“[…] </w:t>
      </w:r>
      <w:r w:rsidR="006D520A" w:rsidRPr="00982502">
        <w:rPr>
          <w:rFonts w:ascii="Verdana" w:eastAsia="Century Gothic" w:hAnsi="Verdana" w:cs="Arial"/>
          <w:sz w:val="20"/>
          <w:szCs w:val="20"/>
        </w:rPr>
        <w:t xml:space="preserve">1. ¿Existe en el Sistema de Compra Pública una definición normativa, reglamentaria, doctrinal o técnica de “gerencia de proyectos” aplicable a la estructuración y evaluación de requisitos de experiencia? </w:t>
      </w:r>
      <w:r w:rsidRPr="00982502">
        <w:rPr>
          <w:rFonts w:ascii="Verdana" w:eastAsia="Century Gothic" w:hAnsi="Verdana" w:cs="Arial"/>
          <w:sz w:val="20"/>
          <w:szCs w:val="20"/>
        </w:rPr>
        <w:t xml:space="preserve"> </w:t>
      </w:r>
    </w:p>
    <w:p w14:paraId="21AF2888" w14:textId="77777777" w:rsidR="007E6482" w:rsidRPr="00982502" w:rsidRDefault="007E6482" w:rsidP="007E6482">
      <w:pPr>
        <w:spacing w:after="0" w:line="240" w:lineRule="auto"/>
        <w:ind w:left="709" w:right="709"/>
        <w:jc w:val="both"/>
        <w:rPr>
          <w:rFonts w:ascii="Verdana" w:eastAsia="Century Gothic" w:hAnsi="Verdana" w:cs="Arial"/>
          <w:sz w:val="20"/>
          <w:szCs w:val="20"/>
          <w:highlight w:val="cyan"/>
        </w:rPr>
      </w:pPr>
    </w:p>
    <w:p w14:paraId="57B2A69F" w14:textId="57D0E621" w:rsidR="007E6482" w:rsidRPr="00982502" w:rsidRDefault="006D520A" w:rsidP="006D520A">
      <w:pPr>
        <w:spacing w:after="0" w:line="240" w:lineRule="auto"/>
        <w:ind w:left="709" w:right="709"/>
        <w:jc w:val="both"/>
        <w:rPr>
          <w:rFonts w:ascii="Verdana" w:eastAsia="Century Gothic" w:hAnsi="Verdana" w:cs="Arial"/>
          <w:sz w:val="20"/>
          <w:szCs w:val="20"/>
        </w:rPr>
      </w:pPr>
      <w:r w:rsidRPr="00982502">
        <w:rPr>
          <w:rFonts w:ascii="Verdana" w:eastAsia="Century Gothic" w:hAnsi="Verdana" w:cs="Arial"/>
          <w:sz w:val="20"/>
          <w:szCs w:val="20"/>
        </w:rPr>
        <w:t>2.</w:t>
      </w:r>
      <w:r w:rsidR="007E6482" w:rsidRPr="00982502">
        <w:rPr>
          <w:rFonts w:ascii="Verdana" w:eastAsia="Century Gothic" w:hAnsi="Verdana" w:cs="Arial"/>
          <w:sz w:val="20"/>
          <w:szCs w:val="20"/>
        </w:rPr>
        <w:t xml:space="preserve"> </w:t>
      </w:r>
      <w:r w:rsidRPr="00982502">
        <w:rPr>
          <w:rFonts w:ascii="Verdana" w:eastAsia="Century Gothic" w:hAnsi="Verdana" w:cs="Arial"/>
          <w:sz w:val="20"/>
          <w:szCs w:val="20"/>
        </w:rPr>
        <w:t>En ausencia de una definición expresa en el pliego, ¿qué elementos mínimos permiten determinar que un contrato corresponde materialmente a una gerencia de proyectos?</w:t>
      </w:r>
    </w:p>
    <w:p w14:paraId="7BAF0AF5" w14:textId="77777777" w:rsidR="007E6482" w:rsidRPr="00982502" w:rsidRDefault="007E6482" w:rsidP="007E6482">
      <w:pPr>
        <w:spacing w:after="0" w:line="240" w:lineRule="auto"/>
        <w:ind w:left="709" w:right="709"/>
        <w:jc w:val="both"/>
        <w:rPr>
          <w:rFonts w:ascii="Verdana" w:eastAsia="Century Gothic" w:hAnsi="Verdana" w:cs="Arial"/>
          <w:sz w:val="20"/>
          <w:szCs w:val="20"/>
          <w:highlight w:val="cyan"/>
        </w:rPr>
      </w:pPr>
    </w:p>
    <w:p w14:paraId="05445A1C" w14:textId="1E97CE60" w:rsidR="007E6482" w:rsidRPr="00982502" w:rsidRDefault="0004046C" w:rsidP="0004046C">
      <w:pPr>
        <w:spacing w:after="0" w:line="240" w:lineRule="auto"/>
        <w:ind w:left="709" w:right="709"/>
        <w:jc w:val="both"/>
        <w:rPr>
          <w:rFonts w:ascii="Verdana" w:eastAsia="Century Gothic" w:hAnsi="Verdana" w:cs="Arial"/>
          <w:sz w:val="20"/>
          <w:szCs w:val="20"/>
        </w:rPr>
      </w:pPr>
      <w:r w:rsidRPr="00982502">
        <w:rPr>
          <w:rFonts w:ascii="Verdana" w:eastAsia="Century Gothic" w:hAnsi="Verdana" w:cs="Arial"/>
          <w:sz w:val="20"/>
          <w:szCs w:val="20"/>
        </w:rPr>
        <w:t>3. ¿La calificación de un contrato como gerencia de proyectos depende de que su denominación, título u objeto contenga literalmente esa expresión?</w:t>
      </w:r>
    </w:p>
    <w:p w14:paraId="2A419673" w14:textId="77777777" w:rsidR="007E6482" w:rsidRPr="00982502" w:rsidRDefault="007E6482" w:rsidP="007E6482">
      <w:pPr>
        <w:spacing w:after="0" w:line="240" w:lineRule="auto"/>
        <w:ind w:left="709" w:right="709"/>
        <w:jc w:val="both"/>
        <w:rPr>
          <w:rFonts w:ascii="Verdana" w:eastAsia="Century Gothic" w:hAnsi="Verdana" w:cs="Arial"/>
          <w:sz w:val="20"/>
          <w:szCs w:val="20"/>
          <w:highlight w:val="cyan"/>
        </w:rPr>
      </w:pPr>
    </w:p>
    <w:p w14:paraId="31358F0C" w14:textId="25BF3443" w:rsidR="007E6482" w:rsidRPr="00982502" w:rsidRDefault="00B54353" w:rsidP="00B54353">
      <w:pPr>
        <w:spacing w:after="0" w:line="240" w:lineRule="auto"/>
        <w:ind w:left="709" w:right="709"/>
        <w:jc w:val="both"/>
        <w:rPr>
          <w:rFonts w:ascii="Verdana" w:eastAsia="Century Gothic" w:hAnsi="Verdana" w:cs="Arial"/>
          <w:sz w:val="20"/>
          <w:szCs w:val="20"/>
        </w:rPr>
      </w:pPr>
      <w:r w:rsidRPr="00982502">
        <w:rPr>
          <w:rFonts w:ascii="Verdana" w:eastAsia="Century Gothic" w:hAnsi="Verdana" w:cs="Arial"/>
          <w:sz w:val="20"/>
          <w:szCs w:val="20"/>
        </w:rPr>
        <w:t>4.</w:t>
      </w:r>
      <w:r w:rsidR="007E6482" w:rsidRPr="00982502">
        <w:rPr>
          <w:rFonts w:ascii="Verdana" w:eastAsia="Century Gothic" w:hAnsi="Verdana" w:cs="Arial"/>
          <w:sz w:val="20"/>
          <w:szCs w:val="20"/>
        </w:rPr>
        <w:t xml:space="preserve"> </w:t>
      </w:r>
      <w:r w:rsidRPr="00982502">
        <w:rPr>
          <w:rFonts w:ascii="Verdana" w:eastAsia="Century Gothic" w:hAnsi="Verdana" w:cs="Arial"/>
          <w:sz w:val="20"/>
          <w:szCs w:val="20"/>
        </w:rPr>
        <w:t xml:space="preserve">Cuando un contratista ejerce seguimiento integral en aspectos administrativos, financieros, contables, jurídicos, operativos y técnicos; administra cronogramas; coordina actores; identifica y gestiona riesgos; controla costos y recursos; verifica productos; recomienda decisiones; y realiza seguimiento al cumplimiento de objetivos, ¿tales actividades pueden ser indicativas de interventoría a contratos de gerencia de proyectos? </w:t>
      </w:r>
      <w:r w:rsidR="007E6482" w:rsidRPr="00982502">
        <w:rPr>
          <w:rFonts w:ascii="Verdana" w:eastAsia="Century Gothic" w:hAnsi="Verdana" w:cs="Arial"/>
          <w:sz w:val="20"/>
          <w:szCs w:val="20"/>
          <w:lang w:val="es-ES"/>
        </w:rPr>
        <w:t>[…]”</w:t>
      </w:r>
    </w:p>
    <w:p w14:paraId="6EBD8DF5" w14:textId="77777777" w:rsidR="007E6482" w:rsidRPr="00982502" w:rsidRDefault="007E6482" w:rsidP="007E6482">
      <w:pPr>
        <w:spacing w:after="0" w:line="240" w:lineRule="auto"/>
        <w:ind w:left="709" w:right="709"/>
        <w:jc w:val="both"/>
        <w:rPr>
          <w:rFonts w:ascii="Verdana" w:eastAsia="Century Gothic" w:hAnsi="Verdana" w:cs="Arial"/>
          <w:sz w:val="20"/>
          <w:szCs w:val="20"/>
          <w:highlight w:val="cyan"/>
        </w:rPr>
      </w:pPr>
    </w:p>
    <w:p w14:paraId="78FBDE98" w14:textId="77777777" w:rsidR="007E6482" w:rsidRPr="00982502" w:rsidRDefault="007E6482" w:rsidP="007E6482">
      <w:pPr>
        <w:spacing w:after="120" w:line="276" w:lineRule="auto"/>
        <w:ind w:firstLine="709"/>
        <w:jc w:val="both"/>
        <w:rPr>
          <w:rFonts w:ascii="Verdana" w:eastAsia="Calibri" w:hAnsi="Verdana" w:cs="Arial"/>
          <w:lang w:val="es-ES_tradnl" w:eastAsia="es-ES_tradnl"/>
        </w:rPr>
      </w:pPr>
      <w:r w:rsidRPr="00982502">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71977151" w14:textId="77777777" w:rsidR="007E6482" w:rsidRPr="00982502" w:rsidRDefault="007E6482" w:rsidP="007E6482">
      <w:pPr>
        <w:spacing w:after="0" w:line="276" w:lineRule="auto"/>
        <w:ind w:firstLine="709"/>
        <w:jc w:val="both"/>
        <w:rPr>
          <w:rFonts w:ascii="Verdana" w:eastAsia="Calibri" w:hAnsi="Verdana" w:cs="Arial"/>
          <w:lang w:val="es-ES" w:eastAsia="es-ES"/>
        </w:rPr>
      </w:pPr>
      <w:r w:rsidRPr="00982502">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59E31341" w14:textId="77777777" w:rsidR="007E6482" w:rsidRPr="00982502" w:rsidRDefault="007E6482" w:rsidP="007E6482">
      <w:pPr>
        <w:spacing w:after="0" w:line="276" w:lineRule="auto"/>
        <w:jc w:val="both"/>
        <w:rPr>
          <w:rStyle w:val="Hipervnculo"/>
          <w:rFonts w:ascii="Verdana" w:hAnsi="Verdana"/>
          <w:color w:val="auto"/>
          <w:u w:val="none"/>
          <w:lang w:val="es-ES"/>
        </w:rPr>
      </w:pPr>
    </w:p>
    <w:p w14:paraId="776694ED" w14:textId="77777777" w:rsidR="007E6482" w:rsidRPr="00982502" w:rsidRDefault="007E6482" w:rsidP="007E648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982502">
        <w:rPr>
          <w:rFonts w:ascii="Verdana" w:eastAsia="Century Gothic" w:hAnsi="Verdana" w:cs="Arial"/>
          <w:b/>
          <w:bCs/>
        </w:rPr>
        <w:t>Problemas planteados:</w:t>
      </w:r>
    </w:p>
    <w:p w14:paraId="356C5304" w14:textId="77777777" w:rsidR="007E6482" w:rsidRPr="00982502" w:rsidRDefault="007E6482" w:rsidP="007E6482">
      <w:pPr>
        <w:spacing w:after="0" w:line="276" w:lineRule="auto"/>
        <w:jc w:val="both"/>
        <w:rPr>
          <w:rStyle w:val="Hipervnculo"/>
          <w:rFonts w:ascii="Verdana" w:hAnsi="Verdana" w:cs="Arial"/>
          <w:color w:val="auto"/>
          <w:highlight w:val="cyan"/>
        </w:rPr>
      </w:pPr>
    </w:p>
    <w:p w14:paraId="17B9914E" w14:textId="3C82AF48" w:rsidR="007E6482" w:rsidRPr="00982502" w:rsidRDefault="007E6482" w:rsidP="006345AF">
      <w:pPr>
        <w:spacing w:after="0" w:line="276" w:lineRule="auto"/>
        <w:jc w:val="both"/>
        <w:rPr>
          <w:rFonts w:ascii="Verdana" w:eastAsia="Century Gothic" w:hAnsi="Verdana" w:cs="Century Gothic"/>
        </w:rPr>
      </w:pPr>
      <w:r w:rsidRPr="00982502">
        <w:rPr>
          <w:rFonts w:ascii="Verdana" w:eastAsia="Calibri" w:hAnsi="Verdana" w:cs="Times New Roman"/>
        </w:rPr>
        <w:t xml:space="preserve">De acuerdo con el contenido de su solicitud, la Agencia procede a resolver los siguientes problemas jurídicos: </w:t>
      </w:r>
      <w:r w:rsidRPr="00982502">
        <w:rPr>
          <w:rFonts w:ascii="Verdana" w:eastAsia="Century Gothic" w:hAnsi="Verdana" w:cs="Century Gothic"/>
        </w:rPr>
        <w:t>i)</w:t>
      </w:r>
      <w:r w:rsidR="00224D7B" w:rsidRPr="00982502">
        <w:rPr>
          <w:rFonts w:ascii="Verdana" w:eastAsia="Century Gothic" w:hAnsi="Verdana" w:cs="Century Gothic"/>
        </w:rPr>
        <w:t xml:space="preserve"> ¿Existe definición normativa o técnica de “gerencia de proyectos” en el Sistema de Compra Pública para estructurar y evaluar experiencia?; ii)</w:t>
      </w:r>
      <w:r w:rsidR="003F3ED3" w:rsidRPr="00982502">
        <w:rPr>
          <w:rFonts w:ascii="Verdana" w:eastAsia="Century Gothic" w:hAnsi="Verdana" w:cs="Century Gothic"/>
        </w:rPr>
        <w:t xml:space="preserve"> ¿qué criterios mínimos permiten identificar un contrato como gerencia de proyectos?; iii) </w:t>
      </w:r>
      <w:r w:rsidR="006345AF" w:rsidRPr="00982502">
        <w:rPr>
          <w:rFonts w:ascii="Verdana" w:eastAsia="Century Gothic" w:hAnsi="Verdana" w:cs="Century Gothic"/>
        </w:rPr>
        <w:t xml:space="preserve">¿La calificación depende de que el objeto contractual contenga literalmente la expresión “gerencia de proyectos”?; iv) </w:t>
      </w:r>
      <w:r w:rsidR="008E66DA" w:rsidRPr="00982502">
        <w:rPr>
          <w:rFonts w:ascii="Verdana" w:eastAsia="Century Gothic" w:hAnsi="Verdana" w:cs="Century Gothic"/>
        </w:rPr>
        <w:t>¿Las funciones de seguimiento integral (administrativo, financiero, jurídico, técnico, etc.) pueden considerarse interventoría en contratos de gerencia de proyectos?</w:t>
      </w:r>
    </w:p>
    <w:p w14:paraId="45081070" w14:textId="77777777" w:rsidR="007E6482" w:rsidRPr="00982502" w:rsidRDefault="007E6482" w:rsidP="007E6482">
      <w:pPr>
        <w:spacing w:after="0" w:line="276" w:lineRule="auto"/>
        <w:jc w:val="both"/>
        <w:rPr>
          <w:rStyle w:val="Hipervnculo"/>
          <w:rFonts w:ascii="Verdana" w:hAnsi="Verdana" w:cs="Arial"/>
          <w:color w:val="auto"/>
          <w:highlight w:val="cyan"/>
        </w:rPr>
      </w:pPr>
    </w:p>
    <w:p w14:paraId="616B6DE1" w14:textId="77777777" w:rsidR="007E6482" w:rsidRPr="00982502" w:rsidRDefault="007E6482" w:rsidP="007E6482">
      <w:pPr>
        <w:pStyle w:val="Prrafodelista"/>
        <w:widowControl w:val="0"/>
        <w:numPr>
          <w:ilvl w:val="0"/>
          <w:numId w:val="16"/>
        </w:numPr>
        <w:autoSpaceDE w:val="0"/>
        <w:autoSpaceDN w:val="0"/>
        <w:spacing w:after="0" w:line="276" w:lineRule="auto"/>
        <w:ind w:left="360"/>
        <w:contextualSpacing w:val="0"/>
        <w:jc w:val="both"/>
        <w:outlineLvl w:val="0"/>
        <w:rPr>
          <w:rFonts w:ascii="Verdana" w:eastAsia="Arial" w:hAnsi="Verdana" w:cs="Arial"/>
          <w:b/>
          <w:bCs/>
        </w:rPr>
      </w:pPr>
      <w:r w:rsidRPr="00982502">
        <w:rPr>
          <w:rFonts w:ascii="Verdana" w:eastAsia="Arial" w:hAnsi="Verdana" w:cs="Arial"/>
          <w:b/>
          <w:bCs/>
        </w:rPr>
        <w:t>Respuesta:</w:t>
      </w:r>
    </w:p>
    <w:p w14:paraId="71633EBB" w14:textId="77777777" w:rsidR="007E6482" w:rsidRPr="00982502" w:rsidRDefault="007E6482" w:rsidP="007E6482">
      <w:pPr>
        <w:spacing w:after="0" w:line="240" w:lineRule="auto"/>
        <w:jc w:val="both"/>
        <w:rPr>
          <w:rFonts w:ascii="Verdana" w:eastAsia="Verdana" w:hAnsi="Verdana" w:cs="Verdana"/>
          <w:highlight w:val="cy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E6482" w:rsidRPr="00982502" w14:paraId="377BA346" w14:textId="77777777" w:rsidTr="009B3080">
        <w:tc>
          <w:tcPr>
            <w:tcW w:w="8828" w:type="dxa"/>
          </w:tcPr>
          <w:p w14:paraId="076A7EA7" w14:textId="77777777" w:rsidR="007E6482" w:rsidRPr="00982502" w:rsidRDefault="007E6482" w:rsidP="009B3080">
            <w:pPr>
              <w:spacing w:after="120" w:line="276" w:lineRule="auto"/>
              <w:jc w:val="both"/>
              <w:rPr>
                <w:rFonts w:ascii="Verdana" w:hAnsi="Verdana" w:cs="Arial"/>
              </w:rPr>
            </w:pPr>
            <w:bookmarkStart w:id="1" w:name="_Hlk171067516"/>
            <w:r w:rsidRPr="00982502">
              <w:rPr>
                <w:rFonts w:ascii="Verdana" w:hAnsi="Verdana" w:cs="Arial"/>
              </w:rPr>
              <w:t>En respuesta a los problemas antes planteados esta Subdirección manifiesta lo siguiente:</w:t>
            </w:r>
          </w:p>
          <w:p w14:paraId="250FAE65" w14:textId="38A46D8F" w:rsidR="00590DB7" w:rsidRPr="00982502" w:rsidRDefault="007E6482" w:rsidP="00590DB7">
            <w:pPr>
              <w:spacing w:after="120" w:line="276" w:lineRule="auto"/>
              <w:jc w:val="both"/>
              <w:rPr>
                <w:rFonts w:ascii="Verdana" w:hAnsi="Verdana"/>
              </w:rPr>
            </w:pPr>
            <w:r w:rsidRPr="00982502">
              <w:rPr>
                <w:rFonts w:ascii="Verdana" w:hAnsi="Verdana"/>
              </w:rPr>
              <w:t xml:space="preserve">i) En </w:t>
            </w:r>
            <w:r w:rsidRPr="00982502">
              <w:rPr>
                <w:rFonts w:ascii="Verdana" w:hAnsi="Verdana"/>
                <w:i/>
                <w:iCs/>
              </w:rPr>
              <w:t>primer lugar</w:t>
            </w:r>
            <w:r w:rsidR="004F5D41">
              <w:rPr>
                <w:rFonts w:ascii="Verdana" w:hAnsi="Verdana"/>
                <w:i/>
                <w:iCs/>
              </w:rPr>
              <w:t>,</w:t>
            </w:r>
            <w:r w:rsidRPr="00982502">
              <w:rPr>
                <w:rFonts w:ascii="Verdana" w:hAnsi="Verdana"/>
              </w:rPr>
              <w:t xml:space="preserve"> debe indicarse que </w:t>
            </w:r>
            <w:r w:rsidR="00590DB7" w:rsidRPr="00982502">
              <w:rPr>
                <w:rFonts w:ascii="Verdana" w:hAnsi="Verdana"/>
              </w:rPr>
              <w:t xml:space="preserve">no existe en el Sistema de Compra Pública una definición normativa unívoca y autónoma de </w:t>
            </w:r>
            <w:r w:rsidR="00590DB7" w:rsidRPr="00982502">
              <w:rPr>
                <w:rFonts w:ascii="Verdana" w:hAnsi="Verdana"/>
                <w:i/>
                <w:iCs/>
              </w:rPr>
              <w:t>gerencia de proyectos.</w:t>
            </w:r>
            <w:r w:rsidR="00590DB7" w:rsidRPr="00982502">
              <w:rPr>
                <w:rFonts w:ascii="Verdana" w:hAnsi="Verdana"/>
              </w:rPr>
              <w:t xml:space="preserve"> </w:t>
            </w:r>
            <w:r w:rsidR="004F5D41">
              <w:rPr>
                <w:rFonts w:ascii="Verdana" w:hAnsi="Verdana"/>
              </w:rPr>
              <w:t xml:space="preserve">Tampoco </w:t>
            </w:r>
            <w:r w:rsidR="009F76E4">
              <w:rPr>
                <w:rFonts w:ascii="Verdana" w:hAnsi="Verdana"/>
              </w:rPr>
              <w:t>se encuentra regulada</w:t>
            </w:r>
            <w:r w:rsidR="004F5D41">
              <w:rPr>
                <w:rFonts w:ascii="Verdana" w:hAnsi="Verdana"/>
              </w:rPr>
              <w:t xml:space="preserve"> como un</w:t>
            </w:r>
            <w:r w:rsidR="009F76E4">
              <w:rPr>
                <w:rFonts w:ascii="Verdana" w:hAnsi="Verdana"/>
              </w:rPr>
              <w:t>a</w:t>
            </w:r>
            <w:r w:rsidR="004F5D41">
              <w:rPr>
                <w:rFonts w:ascii="Verdana" w:hAnsi="Verdana"/>
              </w:rPr>
              <w:t xml:space="preserve"> modalidad contractual autónoma </w:t>
            </w:r>
            <w:r w:rsidR="009F76E4">
              <w:rPr>
                <w:rFonts w:ascii="Verdana" w:hAnsi="Verdana"/>
              </w:rPr>
              <w:t xml:space="preserve">ni </w:t>
            </w:r>
            <w:r w:rsidR="004F5D41">
              <w:rPr>
                <w:rFonts w:ascii="Verdana" w:hAnsi="Verdana"/>
              </w:rPr>
              <w:t>como requisito habilitante definido</w:t>
            </w:r>
            <w:r w:rsidR="009F76E4">
              <w:rPr>
                <w:rFonts w:ascii="Verdana" w:hAnsi="Verdana"/>
              </w:rPr>
              <w:t xml:space="preserve"> expresamente por el ordenamiento jurídico.</w:t>
            </w:r>
            <w:r w:rsidR="004F5D41">
              <w:rPr>
                <w:rFonts w:ascii="Verdana" w:hAnsi="Verdana"/>
              </w:rPr>
              <w:t xml:space="preserve"> </w:t>
            </w:r>
            <w:r w:rsidR="00590DB7" w:rsidRPr="00982502">
              <w:rPr>
                <w:rFonts w:ascii="Verdana" w:hAnsi="Verdana"/>
              </w:rPr>
              <w:t xml:space="preserve">El único referente de rango legal es el numeral 2º del artículo 32 de la Ley 80 de 1993, </w:t>
            </w:r>
            <w:r w:rsidR="009F76E4">
              <w:rPr>
                <w:rFonts w:ascii="Verdana" w:hAnsi="Verdana"/>
              </w:rPr>
              <w:t>disposición que</w:t>
            </w:r>
            <w:r w:rsidR="00590DB7" w:rsidRPr="00982502">
              <w:rPr>
                <w:rFonts w:ascii="Verdana" w:hAnsi="Verdana"/>
              </w:rPr>
              <w:t xml:space="preserve"> no define la gerencia de proyectos como categoría </w:t>
            </w:r>
            <w:r w:rsidR="009F76E4">
              <w:rPr>
                <w:rFonts w:ascii="Verdana" w:hAnsi="Verdana"/>
              </w:rPr>
              <w:t>contractual</w:t>
            </w:r>
            <w:r w:rsidR="00590DB7" w:rsidRPr="00982502">
              <w:rPr>
                <w:rFonts w:ascii="Verdana" w:hAnsi="Verdana"/>
              </w:rPr>
              <w:t xml:space="preserve"> independiente, sino que la incorpora, junto con la interventoría, la asesoría y la gerencia de obra, dentro del género de los contratos de consultoría. De ello se sigue que la gerencia de proyectos carece de una tipicidad contractual propia y diferenciada</w:t>
            </w:r>
            <w:r w:rsidR="00637225">
              <w:rPr>
                <w:rFonts w:ascii="Verdana" w:hAnsi="Verdana"/>
              </w:rPr>
              <w:t xml:space="preserve">, por lo que </w:t>
            </w:r>
            <w:r w:rsidR="00590DB7" w:rsidRPr="00982502">
              <w:rPr>
                <w:rFonts w:ascii="Verdana" w:hAnsi="Verdana"/>
              </w:rPr>
              <w:t>su contenido obligacional se determina en cada Proceso de Contratación, mediante los estudios previos</w:t>
            </w:r>
            <w:r w:rsidR="00637225">
              <w:rPr>
                <w:rFonts w:ascii="Verdana" w:hAnsi="Verdana"/>
              </w:rPr>
              <w:t>,</w:t>
            </w:r>
            <w:r w:rsidR="00590DB7" w:rsidRPr="00982502">
              <w:rPr>
                <w:rFonts w:ascii="Verdana" w:hAnsi="Verdana"/>
              </w:rPr>
              <w:t xml:space="preserve"> el pliego de condiciones</w:t>
            </w:r>
            <w:r w:rsidR="00637225">
              <w:rPr>
                <w:rFonts w:ascii="Verdana" w:hAnsi="Verdana"/>
              </w:rPr>
              <w:t xml:space="preserve"> y demás documentos del proceso</w:t>
            </w:r>
            <w:r w:rsidR="00590DB7" w:rsidRPr="00982502">
              <w:rPr>
                <w:rFonts w:ascii="Verdana" w:hAnsi="Verdana"/>
              </w:rPr>
              <w:t>.</w:t>
            </w:r>
          </w:p>
          <w:p w14:paraId="46F7D236" w14:textId="660EE882" w:rsidR="00637225" w:rsidRDefault="006E5986" w:rsidP="006E5986">
            <w:pPr>
              <w:spacing w:after="240" w:line="276" w:lineRule="auto"/>
              <w:ind w:firstLine="708"/>
              <w:jc w:val="both"/>
              <w:rPr>
                <w:rFonts w:ascii="Verdana" w:hAnsi="Verdana"/>
              </w:rPr>
            </w:pPr>
            <w:r w:rsidRPr="00982502">
              <w:rPr>
                <w:rFonts w:ascii="Verdana" w:hAnsi="Verdana"/>
              </w:rPr>
              <w:t xml:space="preserve">En el plano técnico, mediante concepto Nro. 4201814000008205 sobre la gerencia de proyectos como criterio de calidad puntuable, la Agencia Nacional de Contratación Pública – Colombia Compra Eficiente (ANCP-CCE) ha señalado que corresponde a cada </w:t>
            </w:r>
            <w:r w:rsidR="00EB74CF" w:rsidRPr="00982502">
              <w:rPr>
                <w:rFonts w:ascii="Verdana" w:hAnsi="Verdana"/>
              </w:rPr>
              <w:t>E</w:t>
            </w:r>
            <w:r w:rsidRPr="00982502">
              <w:rPr>
                <w:rFonts w:ascii="Verdana" w:hAnsi="Verdana"/>
              </w:rPr>
              <w:t xml:space="preserve">ntidad </w:t>
            </w:r>
            <w:r w:rsidR="00EB74CF" w:rsidRPr="00982502">
              <w:rPr>
                <w:rFonts w:ascii="Verdana" w:hAnsi="Verdana"/>
              </w:rPr>
              <w:t>E</w:t>
            </w:r>
            <w:r w:rsidRPr="00982502">
              <w:rPr>
                <w:rFonts w:ascii="Verdana" w:hAnsi="Verdana"/>
              </w:rPr>
              <w:t>statal, en ejercicio de la autonomía que le reconoce el numeral 5.° del artículo 24 de la Ley 80 de 1993, fijar los criterios de calidad</w:t>
            </w:r>
            <w:r w:rsidR="00637225">
              <w:rPr>
                <w:rFonts w:ascii="Verdana" w:hAnsi="Verdana"/>
              </w:rPr>
              <w:t xml:space="preserve"> </w:t>
            </w:r>
            <w:r w:rsidRPr="00982502">
              <w:rPr>
                <w:rFonts w:ascii="Verdana" w:hAnsi="Verdana"/>
              </w:rPr>
              <w:t xml:space="preserve">que </w:t>
            </w:r>
            <w:r w:rsidR="00637225">
              <w:rPr>
                <w:rFonts w:ascii="Verdana" w:hAnsi="Verdana"/>
              </w:rPr>
              <w:t>estime</w:t>
            </w:r>
            <w:r w:rsidR="00637225" w:rsidRPr="00982502">
              <w:rPr>
                <w:rFonts w:ascii="Verdana" w:hAnsi="Verdana"/>
              </w:rPr>
              <w:t xml:space="preserve"> </w:t>
            </w:r>
            <w:r w:rsidRPr="00982502">
              <w:rPr>
                <w:rFonts w:ascii="Verdana" w:hAnsi="Verdana"/>
              </w:rPr>
              <w:t xml:space="preserve">pertinentes de conformidad con el análisis del sector y </w:t>
            </w:r>
            <w:r w:rsidR="00637225">
              <w:rPr>
                <w:rFonts w:ascii="Verdana" w:hAnsi="Verdana"/>
              </w:rPr>
              <w:t>las características d</w:t>
            </w:r>
            <w:r w:rsidRPr="00982502">
              <w:rPr>
                <w:rFonts w:ascii="Verdana" w:hAnsi="Verdana"/>
              </w:rPr>
              <w:t>el objeto contractual</w:t>
            </w:r>
            <w:r w:rsidR="00637225" w:rsidRPr="00982502">
              <w:rPr>
                <w:rFonts w:ascii="Verdana" w:hAnsi="Verdana"/>
              </w:rPr>
              <w:t xml:space="preserve">, entre ellos, la gerencia de </w:t>
            </w:r>
            <w:r w:rsidR="00637225" w:rsidRPr="00982502">
              <w:rPr>
                <w:rFonts w:ascii="Verdana" w:hAnsi="Verdana"/>
              </w:rPr>
              <w:lastRenderedPageBreak/>
              <w:t>proyectos,</w:t>
            </w:r>
            <w:r w:rsidRPr="00982502">
              <w:rPr>
                <w:rFonts w:ascii="Verdana" w:hAnsi="Verdana"/>
              </w:rPr>
              <w:t xml:space="preserve"> sin que exista un estándar técnico uniforme de obligatoria observancia. </w:t>
            </w:r>
          </w:p>
          <w:p w14:paraId="5B412498" w14:textId="24F42FAB" w:rsidR="006E5986" w:rsidRPr="00982502" w:rsidRDefault="006E5986" w:rsidP="006E5986">
            <w:pPr>
              <w:spacing w:after="240" w:line="276" w:lineRule="auto"/>
              <w:ind w:firstLine="708"/>
              <w:jc w:val="both"/>
              <w:rPr>
                <w:rFonts w:ascii="Verdana" w:hAnsi="Verdana"/>
              </w:rPr>
            </w:pPr>
            <w:r w:rsidRPr="00982502">
              <w:rPr>
                <w:rFonts w:ascii="Verdana" w:hAnsi="Verdana"/>
              </w:rPr>
              <w:t xml:space="preserve">En consecuencia, </w:t>
            </w:r>
            <w:r w:rsidR="00637225">
              <w:rPr>
                <w:rFonts w:ascii="Verdana" w:hAnsi="Verdana"/>
              </w:rPr>
              <w:t>par</w:t>
            </w:r>
            <w:r w:rsidRPr="00982502">
              <w:rPr>
                <w:rFonts w:ascii="Verdana" w:hAnsi="Verdana"/>
              </w:rPr>
              <w:t xml:space="preserve">a efectos de la estructuración y de la evaluación de requisitos de experiencia, la definición del alcance de la gerencia de proyectos </w:t>
            </w:r>
            <w:r w:rsidR="00637225">
              <w:rPr>
                <w:rFonts w:ascii="Verdana" w:hAnsi="Verdana"/>
              </w:rPr>
              <w:t xml:space="preserve">corresponde </w:t>
            </w:r>
            <w:r w:rsidRPr="00982502">
              <w:rPr>
                <w:rFonts w:ascii="Verdana" w:hAnsi="Verdana"/>
              </w:rPr>
              <w:t xml:space="preserve">a la valoración particular de cada entidad, </w:t>
            </w:r>
            <w:r w:rsidR="00637225">
              <w:rPr>
                <w:rFonts w:ascii="Verdana" w:hAnsi="Verdana"/>
              </w:rPr>
              <w:t xml:space="preserve">ya sea </w:t>
            </w:r>
            <w:r w:rsidRPr="00982502">
              <w:rPr>
                <w:rFonts w:ascii="Verdana" w:hAnsi="Verdana"/>
              </w:rPr>
              <w:t xml:space="preserve">como criterio habilitante o </w:t>
            </w:r>
            <w:r w:rsidR="00637225">
              <w:rPr>
                <w:rFonts w:ascii="Verdana" w:hAnsi="Verdana"/>
              </w:rPr>
              <w:t xml:space="preserve">como factor </w:t>
            </w:r>
            <w:r w:rsidRPr="00982502">
              <w:rPr>
                <w:rFonts w:ascii="Verdana" w:hAnsi="Verdana"/>
              </w:rPr>
              <w:t>ponderable</w:t>
            </w:r>
            <w:r w:rsidR="00637225">
              <w:rPr>
                <w:rFonts w:ascii="Verdana" w:hAnsi="Verdana"/>
              </w:rPr>
              <w:t>,</w:t>
            </w:r>
            <w:r w:rsidRPr="00982502">
              <w:rPr>
                <w:rFonts w:ascii="Verdana" w:hAnsi="Verdana"/>
              </w:rPr>
              <w:t xml:space="preserve"> dependerá de la justificación técnica consignada en los documentos del Proceso de Contratación.</w:t>
            </w:r>
          </w:p>
          <w:p w14:paraId="44C7AE0E" w14:textId="50E8886C" w:rsidR="007E6482" w:rsidRPr="00982502" w:rsidRDefault="007E6482" w:rsidP="009B3080">
            <w:pPr>
              <w:spacing w:after="160" w:line="276" w:lineRule="auto"/>
              <w:jc w:val="both"/>
              <w:rPr>
                <w:rFonts w:ascii="Verdana" w:hAnsi="Verdana"/>
              </w:rPr>
            </w:pPr>
            <w:r w:rsidRPr="00982502">
              <w:rPr>
                <w:rFonts w:ascii="Verdana" w:hAnsi="Verdana"/>
              </w:rPr>
              <w:t xml:space="preserve">ii) Frente al segundo problema planteado, </w:t>
            </w:r>
            <w:r w:rsidR="00741EB8">
              <w:rPr>
                <w:rFonts w:ascii="Verdana" w:hAnsi="Verdana"/>
              </w:rPr>
              <w:t xml:space="preserve">y </w:t>
            </w:r>
            <w:r w:rsidR="00BB121B" w:rsidRPr="00982502">
              <w:rPr>
                <w:rFonts w:ascii="Verdana" w:hAnsi="Verdana"/>
              </w:rPr>
              <w:t xml:space="preserve">ante la ausencia de una definición expresa, la calificación material de un contrato como </w:t>
            </w:r>
            <w:r w:rsidR="00BB121B" w:rsidRPr="00982502">
              <w:rPr>
                <w:rFonts w:ascii="Verdana" w:hAnsi="Verdana"/>
                <w:i/>
                <w:iCs/>
              </w:rPr>
              <w:t>gerencia de proyectos</w:t>
            </w:r>
            <w:r w:rsidR="00BB121B" w:rsidRPr="00982502">
              <w:rPr>
                <w:rFonts w:ascii="Verdana" w:hAnsi="Verdana"/>
              </w:rPr>
              <w:t xml:space="preserve"> deberá efectuarse sobre el contenido obligacional efectivamente pactado, de conformidad con los criterios expuestos en el concepto precedente. Constituyen </w:t>
            </w:r>
            <w:r w:rsidR="00BB121B" w:rsidRPr="00982502">
              <w:rPr>
                <w:rFonts w:ascii="Verdana" w:hAnsi="Verdana"/>
                <w:i/>
                <w:iCs/>
              </w:rPr>
              <w:t>elementos mínimos</w:t>
            </w:r>
            <w:r w:rsidR="00BB121B" w:rsidRPr="00982502">
              <w:rPr>
                <w:rFonts w:ascii="Verdana" w:hAnsi="Verdana"/>
              </w:rPr>
              <w:t xml:space="preserve"> indicativos: (i) la existencia de funciones de dirección, coordinación y administración integral sobre el desarrollo del proyecto, y no únicamente de verificación o control sobre un contrato ya perfeccionado; (ii) la extensión de la labor a varias etapas del ciclo del proyecto —formulación, estructuración, ejecución o cierre— y no a una fase aislada; (iii) un grado relevante de autonomía decisoria o, cuando menos, de capacidad de recomendación sobre decisiones estratégicas del proyecto, y no la simple emisión de conceptos técnicos puntuales; y (iv) la administración de variables transversales del proyecto —cronograma, presupuesto, riesgos y recursos—, en oposición al seguimiento circunscrito a un componente técnico específico.</w:t>
            </w:r>
          </w:p>
          <w:p w14:paraId="1B4A099C" w14:textId="77777777" w:rsidR="000905DB" w:rsidRPr="00982502" w:rsidRDefault="000905DB" w:rsidP="000905DB">
            <w:pPr>
              <w:spacing w:after="160" w:line="276" w:lineRule="auto"/>
              <w:ind w:firstLine="708"/>
              <w:jc w:val="both"/>
              <w:rPr>
                <w:rFonts w:ascii="Verdana" w:hAnsi="Verdana"/>
              </w:rPr>
            </w:pPr>
            <w:r w:rsidRPr="00982502">
              <w:rPr>
                <w:rFonts w:ascii="Verdana" w:hAnsi="Verdana"/>
              </w:rPr>
              <w:t>La concurrencia de estos elementos deberá analizarse de manera sistemática y no aislada, pues, de conformidad con la doctrina reiterada en materia de tipicidad contractual, la calificación de un negocio jurídico estatal se define sobre su sustancia y no sobre la presencia aislada de una u otra obligación.</w:t>
            </w:r>
          </w:p>
          <w:p w14:paraId="277D0E8C" w14:textId="06E169D3" w:rsidR="005737EF" w:rsidRPr="00982502" w:rsidRDefault="005737EF" w:rsidP="005737EF">
            <w:pPr>
              <w:spacing w:after="160" w:line="276" w:lineRule="auto"/>
              <w:jc w:val="both"/>
              <w:rPr>
                <w:rFonts w:ascii="Verdana" w:hAnsi="Verdana"/>
              </w:rPr>
            </w:pPr>
            <w:r w:rsidRPr="00982502">
              <w:rPr>
                <w:rFonts w:ascii="Verdana" w:hAnsi="Verdana"/>
              </w:rPr>
              <w:t>iii) En lo relacionado al tercer problema jurídico planteado</w:t>
            </w:r>
            <w:r w:rsidR="00504607">
              <w:rPr>
                <w:rFonts w:ascii="Verdana" w:hAnsi="Verdana"/>
              </w:rPr>
              <w:t xml:space="preserve">, </w:t>
            </w:r>
            <w:r w:rsidRPr="00982502">
              <w:rPr>
                <w:rFonts w:ascii="Verdana" w:hAnsi="Verdana"/>
              </w:rPr>
              <w:t xml:space="preserve">debe tenerse presente que la calificación de un contrato como </w:t>
            </w:r>
            <w:r w:rsidRPr="00982502">
              <w:rPr>
                <w:rFonts w:ascii="Verdana" w:hAnsi="Verdana"/>
                <w:i/>
                <w:iCs/>
              </w:rPr>
              <w:t>gerencia de proyectos</w:t>
            </w:r>
            <w:r w:rsidRPr="00982502">
              <w:rPr>
                <w:rFonts w:ascii="Verdana" w:hAnsi="Verdana"/>
              </w:rPr>
              <w:t xml:space="preserve"> no depende de la literalidad de su denominación, sino del contenido material de las obligaciones pactadas. En consecuencia, un contrato podrá corresponder materialmente a una </w:t>
            </w:r>
            <w:r w:rsidRPr="00982502">
              <w:rPr>
                <w:rFonts w:ascii="Verdana" w:hAnsi="Verdana"/>
                <w:i/>
                <w:iCs/>
              </w:rPr>
              <w:t>gerencia de proyectos</w:t>
            </w:r>
            <w:r w:rsidRPr="00982502">
              <w:rPr>
                <w:rFonts w:ascii="Verdana" w:hAnsi="Verdana"/>
              </w:rPr>
              <w:t xml:space="preserve"> aun cuando su título haga referencia a la "administración", la "coordinación" o el "acompañamiento integral" del proyecto, siempre que las obligaciones pactadas satisfagan los </w:t>
            </w:r>
            <w:r w:rsidRPr="00982502">
              <w:rPr>
                <w:rFonts w:ascii="Verdana" w:hAnsi="Verdana"/>
              </w:rPr>
              <w:lastRenderedPageBreak/>
              <w:t>elementos mínimos identificados en el numeral anterior; y, en sentido inverso, la sola inclusión literal de la expresión "</w:t>
            </w:r>
            <w:r w:rsidRPr="00982502">
              <w:rPr>
                <w:rFonts w:ascii="Verdana" w:hAnsi="Verdana"/>
                <w:i/>
                <w:iCs/>
              </w:rPr>
              <w:t>gerencia de proyectos</w:t>
            </w:r>
            <w:r w:rsidRPr="00982502">
              <w:rPr>
                <w:rFonts w:ascii="Verdana" w:hAnsi="Verdana"/>
              </w:rPr>
              <w:t>" en el objeto contractual no resulta suficiente para atribuir dicha naturaleza a un contrato cuyo contenido obligacional corresponda, en realidad, a una modalidad distinta</w:t>
            </w:r>
            <w:r w:rsidR="007D19C8" w:rsidRPr="00982502">
              <w:rPr>
                <w:rFonts w:ascii="Verdana" w:hAnsi="Verdana"/>
              </w:rPr>
              <w:t xml:space="preserve">, </w:t>
            </w:r>
            <w:r w:rsidRPr="00982502">
              <w:rPr>
                <w:rFonts w:ascii="Verdana" w:hAnsi="Verdana"/>
              </w:rPr>
              <w:t>como la interventoría o la asesoría técnica puntual.</w:t>
            </w:r>
          </w:p>
          <w:p w14:paraId="1754B3A9" w14:textId="7A4C70C1" w:rsidR="005737EF" w:rsidRPr="00982502" w:rsidRDefault="00D65684" w:rsidP="005737EF">
            <w:pPr>
              <w:spacing w:after="160" w:line="276" w:lineRule="auto"/>
              <w:jc w:val="both"/>
              <w:rPr>
                <w:rFonts w:ascii="Verdana" w:hAnsi="Verdana"/>
              </w:rPr>
            </w:pPr>
            <w:r w:rsidRPr="00982502">
              <w:rPr>
                <w:rFonts w:ascii="Verdana" w:hAnsi="Verdana"/>
              </w:rPr>
              <w:t xml:space="preserve">iv) </w:t>
            </w:r>
            <w:r w:rsidR="00577CB6" w:rsidRPr="00982502">
              <w:rPr>
                <w:rFonts w:ascii="Verdana" w:hAnsi="Verdana"/>
              </w:rPr>
              <w:t xml:space="preserve">Finalmente, </w:t>
            </w:r>
            <w:r w:rsidR="00C54EF7" w:rsidRPr="00982502">
              <w:rPr>
                <w:rFonts w:ascii="Verdana" w:hAnsi="Verdana"/>
              </w:rPr>
              <w:t>de cara a las actividades descritas en el último problema jurídico planteado, es importante precisar que estas no resultan, por sí solas, concluyentes en uno u otro sentido; su calificación depende del alcance decisorio y del objeto sobre el cual recaen. De conformidad con el artículo 32, numeral 1.°, de la Ley 80 de 1993 y con el artículo 14 de la misma ley</w:t>
            </w:r>
            <w:r w:rsidR="00B47EAB" w:rsidRPr="00982502">
              <w:rPr>
                <w:rFonts w:ascii="Verdana" w:hAnsi="Verdana"/>
              </w:rPr>
              <w:t xml:space="preserve">, </w:t>
            </w:r>
            <w:r w:rsidR="00C54EF7" w:rsidRPr="00982502">
              <w:rPr>
                <w:rFonts w:ascii="Verdana" w:hAnsi="Verdana"/>
              </w:rPr>
              <w:t xml:space="preserve">que atribuye a las </w:t>
            </w:r>
            <w:r w:rsidR="00B47EAB" w:rsidRPr="00982502">
              <w:rPr>
                <w:rFonts w:ascii="Verdana" w:hAnsi="Verdana"/>
              </w:rPr>
              <w:t>E</w:t>
            </w:r>
            <w:r w:rsidR="00C54EF7" w:rsidRPr="00982502">
              <w:rPr>
                <w:rFonts w:ascii="Verdana" w:hAnsi="Verdana"/>
              </w:rPr>
              <w:t xml:space="preserve">ntidades </w:t>
            </w:r>
            <w:r w:rsidR="00B47EAB" w:rsidRPr="00982502">
              <w:rPr>
                <w:rFonts w:ascii="Verdana" w:hAnsi="Verdana"/>
              </w:rPr>
              <w:t>E</w:t>
            </w:r>
            <w:r w:rsidR="00C54EF7" w:rsidRPr="00982502">
              <w:rPr>
                <w:rFonts w:ascii="Verdana" w:hAnsi="Verdana"/>
              </w:rPr>
              <w:t>statales la dirección general y la responsabilidad de ejercer el control y la vigilancia de la ejecución contractual, la interventoría se caracteriza como una función de verificación, control y vigilancia sobre la ejecución de un contrato determinado, ejercida por un tercero independiente, sin que ello comporte, de ordinario, la administración autónoma del proyecto ni la formulación de sus componentes estratégicos.</w:t>
            </w:r>
          </w:p>
          <w:p w14:paraId="5CC29D15" w14:textId="1AB036FF" w:rsidR="003C3619" w:rsidRPr="00982502" w:rsidRDefault="003C3619" w:rsidP="003C3619">
            <w:pPr>
              <w:spacing w:after="160" w:line="276" w:lineRule="auto"/>
              <w:ind w:firstLine="708"/>
              <w:jc w:val="both"/>
              <w:rPr>
                <w:rFonts w:ascii="Verdana" w:hAnsi="Verdana"/>
              </w:rPr>
            </w:pPr>
            <w:r w:rsidRPr="00982502">
              <w:rPr>
                <w:rFonts w:ascii="Verdana" w:hAnsi="Verdana"/>
              </w:rPr>
              <w:t>En este sentido, mediante el análisis de cada una de las actividades enunciadas se observa que no solo el seguimiento administrativo, financiero, contable, jurídico y técnico, y la verificación de productos, sino que también el control de costos y recursos resultan compatibles con el ejercicio de una interventoría</w:t>
            </w:r>
            <w:r w:rsidR="005B7862" w:rsidRPr="00982502">
              <w:rPr>
                <w:rFonts w:ascii="Verdana" w:hAnsi="Verdana"/>
              </w:rPr>
              <w:t xml:space="preserve">, </w:t>
            </w:r>
            <w:r w:rsidRPr="00982502">
              <w:rPr>
                <w:rFonts w:ascii="Verdana" w:hAnsi="Verdana"/>
              </w:rPr>
              <w:t xml:space="preserve">e incluso de una supervisión, en los términos que sobre esta última han desarrollado los manuales de supervisión e interventoría de las </w:t>
            </w:r>
            <w:r w:rsidR="0001035C" w:rsidRPr="00982502">
              <w:rPr>
                <w:rFonts w:ascii="Verdana" w:hAnsi="Verdana"/>
              </w:rPr>
              <w:t>E</w:t>
            </w:r>
            <w:r w:rsidRPr="00982502">
              <w:rPr>
                <w:rFonts w:ascii="Verdana" w:hAnsi="Verdana"/>
              </w:rPr>
              <w:t xml:space="preserve">ntidades </w:t>
            </w:r>
            <w:r w:rsidR="0001035C" w:rsidRPr="00982502">
              <w:rPr>
                <w:rFonts w:ascii="Verdana" w:hAnsi="Verdana"/>
              </w:rPr>
              <w:t>E</w:t>
            </w:r>
            <w:r w:rsidRPr="00982502">
              <w:rPr>
                <w:rFonts w:ascii="Verdana" w:hAnsi="Verdana"/>
              </w:rPr>
              <w:t>statales, en la medida en que dichas funciones se circunscriban a la constatación del cumplimiento de las obligaciones de un contrato específico. No obstante, la administración integral de cronogramas del proyecto</w:t>
            </w:r>
            <w:r w:rsidR="005B7862" w:rsidRPr="00982502">
              <w:rPr>
                <w:rFonts w:ascii="Verdana" w:hAnsi="Verdana"/>
              </w:rPr>
              <w:t xml:space="preserve">, </w:t>
            </w:r>
            <w:r w:rsidRPr="00982502">
              <w:rPr>
                <w:rFonts w:ascii="Verdana" w:hAnsi="Verdana"/>
              </w:rPr>
              <w:t>y no de un contrato aislado, la coordinación de múltiples actores, la identificación y gestión proactiva de riesgos, y la recomendación de decisiones estratégicas exceden, por su naturaleza, el ámbito propio de la interventoría, en la medida en que suponen el ejercicio de funciones de dirección y administración que resultan característicos de la gerencia de proyectos.</w:t>
            </w:r>
          </w:p>
          <w:p w14:paraId="04A2E54E" w14:textId="1A2EB8B4" w:rsidR="000905DB" w:rsidRPr="00982502" w:rsidRDefault="00A640DB" w:rsidP="00A640DB">
            <w:pPr>
              <w:spacing w:after="160" w:line="276" w:lineRule="auto"/>
              <w:ind w:firstLine="708"/>
              <w:jc w:val="both"/>
              <w:rPr>
                <w:rFonts w:ascii="Verdana" w:hAnsi="Verdana"/>
              </w:rPr>
            </w:pPr>
            <w:r w:rsidRPr="00982502">
              <w:rPr>
                <w:rFonts w:ascii="Verdana" w:hAnsi="Verdana"/>
              </w:rPr>
              <w:t xml:space="preserve">En consecuencia, la valoración conjunta de las actividades enunciadas resulta más indicativa del ejercicio de una gerencia de proyectos que de una interventoría stricto sensu, sin perjuicio de que, en el caso concreto, deba examinarse si el contratista actúa exclusivamente sobre un contrato ya perfeccionado, lo cual apuntaría a la interventoría, o sobre el proyecto en su </w:t>
            </w:r>
            <w:r w:rsidRPr="00982502">
              <w:rPr>
                <w:rFonts w:ascii="Verdana" w:hAnsi="Verdana"/>
              </w:rPr>
              <w:lastRenderedPageBreak/>
              <w:t>conjunto y con capacidad decisoria propia, lo cual apuntaría a la gerencia de proyectos.</w:t>
            </w:r>
          </w:p>
          <w:p w14:paraId="67154EC4" w14:textId="77777777" w:rsidR="007E6482" w:rsidRPr="00982502" w:rsidRDefault="007E6482" w:rsidP="009B3080">
            <w:pPr>
              <w:spacing w:after="160" w:line="276" w:lineRule="auto"/>
              <w:ind w:firstLine="708"/>
              <w:jc w:val="both"/>
              <w:rPr>
                <w:rFonts w:ascii="Verdana" w:hAnsi="Verdana"/>
              </w:rPr>
            </w:pPr>
            <w:r w:rsidRPr="00982502">
              <w:rPr>
                <w:rFonts w:ascii="Verdana" w:eastAsia="Arial" w:hAnsi="Verdana" w:cs="Arial"/>
              </w:rPr>
              <w:t xml:space="preserve">Al margen de lo expuesto, debe advertirse que el análisis para resolver problemas específicos en torno a los procesos de contratación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adoptar la decisión y, en caso de conflicto, a las autoridades judiciales, fiscales y disciplinarias. Además es </w:t>
            </w:r>
            <w:r w:rsidRPr="00982502">
              <w:rPr>
                <w:rFonts w:ascii="Verdana" w:eastAsia="Calibri" w:hAnsi="Verdana" w:cs="Arial"/>
                <w:color w:val="000000"/>
              </w:rPr>
              <w:t>importante resaltar que si se considera que el acto jurídico está viciado de nulidad por incompetencia, la declaratoria de esa nulidad corresponde al juez del contrato.</w:t>
            </w:r>
          </w:p>
        </w:tc>
      </w:tr>
      <w:bookmarkEnd w:id="1"/>
    </w:tbl>
    <w:p w14:paraId="1D3387C1" w14:textId="77777777" w:rsidR="007E6482" w:rsidRPr="00982502" w:rsidRDefault="007E6482" w:rsidP="007E6482">
      <w:pPr>
        <w:widowControl w:val="0"/>
        <w:autoSpaceDE w:val="0"/>
        <w:autoSpaceDN w:val="0"/>
        <w:spacing w:after="0" w:line="276" w:lineRule="auto"/>
        <w:outlineLvl w:val="0"/>
        <w:rPr>
          <w:rFonts w:ascii="Verdana" w:eastAsia="Arial" w:hAnsi="Verdana" w:cs="Arial"/>
          <w:b/>
          <w:bCs/>
          <w:highlight w:val="cyan"/>
        </w:rPr>
      </w:pPr>
    </w:p>
    <w:p w14:paraId="5CEBA9FD" w14:textId="77777777" w:rsidR="007E6482" w:rsidRPr="00982502" w:rsidRDefault="007E6482" w:rsidP="007E6482">
      <w:pPr>
        <w:widowControl w:val="0"/>
        <w:autoSpaceDE w:val="0"/>
        <w:autoSpaceDN w:val="0"/>
        <w:spacing w:after="0" w:line="276" w:lineRule="auto"/>
        <w:ind w:left="360" w:hanging="360"/>
        <w:outlineLvl w:val="0"/>
        <w:rPr>
          <w:rFonts w:ascii="Verdana" w:eastAsia="Arial" w:hAnsi="Verdana" w:cs="Arial"/>
          <w:b/>
          <w:bCs/>
          <w:lang w:val="es-ES"/>
        </w:rPr>
      </w:pPr>
      <w:r w:rsidRPr="00982502">
        <w:rPr>
          <w:rFonts w:ascii="Verdana" w:eastAsia="Arial" w:hAnsi="Verdana" w:cs="Arial"/>
          <w:b/>
          <w:bCs/>
          <w:lang w:val="es-ES"/>
        </w:rPr>
        <w:t>3. Razones de la respuesta:</w:t>
      </w:r>
    </w:p>
    <w:p w14:paraId="57E53590" w14:textId="77777777" w:rsidR="007E6482" w:rsidRPr="00982502" w:rsidRDefault="007E6482" w:rsidP="007E6482">
      <w:pPr>
        <w:spacing w:after="0" w:line="276" w:lineRule="auto"/>
        <w:jc w:val="both"/>
        <w:rPr>
          <w:rFonts w:ascii="Verdana" w:eastAsia="Calibri" w:hAnsi="Verdana" w:cs="Arial"/>
          <w:lang w:val="es-ES"/>
        </w:rPr>
      </w:pPr>
    </w:p>
    <w:p w14:paraId="1F3FBA96" w14:textId="77777777" w:rsidR="00FD1A8E" w:rsidRPr="00982502" w:rsidRDefault="00FD1A8E" w:rsidP="00DD6961">
      <w:pPr>
        <w:spacing w:after="0" w:line="276" w:lineRule="auto"/>
        <w:jc w:val="both"/>
        <w:rPr>
          <w:rFonts w:ascii="Verdana" w:eastAsia="Calibri" w:hAnsi="Verdana" w:cs="Arial"/>
          <w:lang w:val="es-ES"/>
        </w:rPr>
      </w:pPr>
      <w:r w:rsidRPr="00982502">
        <w:rPr>
          <w:rFonts w:ascii="Verdana" w:eastAsia="Calibri" w:hAnsi="Verdana" w:cs="Arial"/>
          <w:lang w:val="es-ES"/>
        </w:rPr>
        <w:t>La respuesta anterior se sustenta en las siguientes consideraciones:</w:t>
      </w:r>
    </w:p>
    <w:p w14:paraId="13620BCC" w14:textId="77777777" w:rsidR="0001454C" w:rsidRPr="00982502" w:rsidRDefault="0001454C" w:rsidP="00DD6961">
      <w:pPr>
        <w:spacing w:after="0" w:line="276" w:lineRule="auto"/>
        <w:jc w:val="both"/>
        <w:rPr>
          <w:rFonts w:ascii="Verdana" w:eastAsia="Calibri" w:hAnsi="Verdana" w:cs="Arial"/>
          <w:lang w:val="es-ES"/>
        </w:rPr>
      </w:pPr>
    </w:p>
    <w:p w14:paraId="30408235" w14:textId="1FD4CB5B" w:rsidR="00AB0711" w:rsidRPr="00982502" w:rsidRDefault="00AB0711" w:rsidP="00AB0711">
      <w:pPr>
        <w:tabs>
          <w:tab w:val="left" w:pos="426"/>
        </w:tabs>
        <w:spacing w:after="120" w:line="276" w:lineRule="auto"/>
        <w:jc w:val="both"/>
        <w:rPr>
          <w:rFonts w:ascii="Verdana" w:eastAsia="Verdana" w:hAnsi="Verdana" w:cs="Verdana"/>
          <w:lang w:val="es-ES"/>
        </w:rPr>
      </w:pPr>
      <w:r w:rsidRPr="00982502">
        <w:rPr>
          <w:rFonts w:ascii="Verdana" w:eastAsia="Calibri" w:hAnsi="Verdana" w:cs="Arial"/>
          <w:lang w:val="es-ES"/>
        </w:rPr>
        <w:t>i)</w:t>
      </w:r>
      <w:r w:rsidRPr="00982502">
        <w:rPr>
          <w:rFonts w:ascii="Verdana" w:eastAsia="Verdana" w:hAnsi="Verdana" w:cs="Verdana"/>
          <w:lang w:val="es-ES"/>
        </w:rPr>
        <w:t xml:space="preserve"> </w:t>
      </w:r>
      <w:r w:rsidRPr="00982502">
        <w:rPr>
          <w:rFonts w:ascii="Verdana" w:eastAsia="Calibri" w:hAnsi="Verdana" w:cs="Arial"/>
          <w:lang w:val="es-ES"/>
        </w:rPr>
        <w:t>El Estatuto General de Contratación de la Administración Pública –</w:t>
      </w:r>
      <w:r w:rsidR="004F5D41">
        <w:rPr>
          <w:rFonts w:ascii="Verdana" w:eastAsia="Calibri" w:hAnsi="Verdana" w:cs="Arial"/>
          <w:lang w:val="es-ES"/>
        </w:rPr>
        <w:t xml:space="preserve"> en adelante </w:t>
      </w:r>
      <w:r w:rsidRPr="00982502">
        <w:rPr>
          <w:rFonts w:ascii="Verdana" w:eastAsia="Calibri" w:hAnsi="Verdana" w:cs="Arial"/>
          <w:lang w:val="es-ES"/>
        </w:rPr>
        <w:t xml:space="preserve">EGCAP-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982502">
        <w:rPr>
          <w:rFonts w:ascii="Verdana" w:hAnsi="Verdana" w:cs="Arial"/>
        </w:rPr>
        <w:t>el inciso primero del artículo 13 dispone: “Los contratos que celebren las entidades a que se refiere el artículo 2o. del presente estatuto se regirán por las disposiciones comerciales y civiles pertinentes, salvo en las materias particularmente reguladas en esta ley”.</w:t>
      </w:r>
    </w:p>
    <w:p w14:paraId="35CFE673" w14:textId="77777777" w:rsidR="00AB0711" w:rsidRPr="00982502" w:rsidRDefault="00AB0711" w:rsidP="00AB0711">
      <w:pPr>
        <w:spacing w:after="120" w:line="276" w:lineRule="auto"/>
        <w:ind w:firstLine="709"/>
        <w:jc w:val="both"/>
        <w:rPr>
          <w:rFonts w:ascii="Verdana" w:hAnsi="Verdana" w:cs="Arial"/>
        </w:rPr>
      </w:pPr>
      <w:r w:rsidRPr="00982502">
        <w:rPr>
          <w:rFonts w:ascii="Verdana" w:hAnsi="Verdana" w:cs="Arial"/>
        </w:rPr>
        <w:t>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comerciales y las previstas en esta ley, correspondan a su esencia y naturaleza” –art. 40, inciso primero–.</w:t>
      </w:r>
    </w:p>
    <w:p w14:paraId="03C8904A" w14:textId="77777777" w:rsidR="00AB0711" w:rsidRPr="00982502" w:rsidRDefault="00AB0711" w:rsidP="00AB0711">
      <w:pPr>
        <w:spacing w:after="120" w:line="276" w:lineRule="auto"/>
        <w:ind w:firstLine="709"/>
        <w:jc w:val="both"/>
        <w:rPr>
          <w:rFonts w:ascii="Verdana" w:hAnsi="Verdana" w:cs="Arial"/>
        </w:rPr>
      </w:pPr>
      <w:r w:rsidRPr="00982502">
        <w:rPr>
          <w:rFonts w:ascii="Verdana" w:hAnsi="Verdana" w:cs="Arial"/>
          <w:lang w:val="es-ES"/>
        </w:rPr>
        <w:lastRenderedPageBreak/>
        <w:t xml:space="preserve">Los contratos se fundan bajo el principio de autonomía de voluntad de las partes, donde ocurren varias personas en la celebración de un negocio que suelen ser quienes materialmente, y en la práctica, actúan como partes del correspondiente acuerdo, es decir, quienes se obligan en virtud de este. </w:t>
      </w:r>
      <w:r w:rsidRPr="00982502">
        <w:rPr>
          <w:rFonts w:ascii="Verdana" w:eastAsia="Calibri" w:hAnsi="Verdana"/>
          <w:color w:val="000000" w:themeColor="text1"/>
        </w:rPr>
        <w:t>Se pone de presente que conforme al artículo 13 de la Ley 80 de 1993, el contrato estatal se rige por las disposiciones comerciales y civiles pertinentes en todo aquello que no esté regulado por el EGCAP,</w:t>
      </w:r>
      <w:r w:rsidRPr="00982502">
        <w:rPr>
          <w:rFonts w:ascii="Verdana" w:hAnsi="Verdana" w:cs="Arial"/>
          <w:lang w:val="es-ES"/>
        </w:rPr>
        <w:t xml:space="preserve"> por lo que se resalta</w:t>
      </w:r>
      <w:r w:rsidRPr="00982502">
        <w:rPr>
          <w:rFonts w:ascii="Verdana" w:eastAsia="Arial" w:hAnsi="Verdana" w:cs="Arial"/>
          <w:color w:val="000000" w:themeColor="text1"/>
          <w:lang w:val="es-ES" w:eastAsia="es-ES"/>
        </w:rPr>
        <w:t xml:space="preserve"> el artículo 1495 del Código Civil que dispone el “contrato o convención es un acto por el cual una parte se obliga para con otra a dar, hacer, o no alguna cosa. Cada parte puede ser de una o muchas personas”. A su turno, el Código de Comercio establece en el artículo 864 que “el contrato es un acuerdo de dos o más partes para constituir, regular o extinguir entre ellas una relación jurídica patrimonial”.</w:t>
      </w:r>
    </w:p>
    <w:p w14:paraId="385AE8C5" w14:textId="72968D1A" w:rsidR="00B344BD" w:rsidRPr="00982502" w:rsidRDefault="00AB0711" w:rsidP="00E25FDE">
      <w:pPr>
        <w:widowControl w:val="0"/>
        <w:autoSpaceDE w:val="0"/>
        <w:autoSpaceDN w:val="0"/>
        <w:spacing w:after="0" w:line="276" w:lineRule="auto"/>
        <w:ind w:firstLine="709"/>
        <w:jc w:val="both"/>
        <w:rPr>
          <w:rFonts w:ascii="Verdana" w:eastAsia="Arial" w:hAnsi="Verdana" w:cs="Arial"/>
          <w:color w:val="000000" w:themeColor="text1"/>
          <w:lang w:val="es-ES_tradnl" w:eastAsia="es-ES_tradnl"/>
        </w:rPr>
      </w:pPr>
      <w:r w:rsidRPr="00982502">
        <w:rPr>
          <w:rFonts w:ascii="Verdana" w:eastAsia="Arial" w:hAnsi="Verdana" w:cs="Arial"/>
          <w:color w:val="000000" w:themeColor="text1"/>
          <w:lang w:val="es-ES_tradnl" w:eastAsia="es-ES_tradnl"/>
        </w:rPr>
        <w:t xml:space="preserve">Por su parte, el artículo 1º de la Ley 80 de 1993 determina que su objetivo es disponer de reglas y principios que rigen los contratos de las entidades estatales y, en ese sentido, el artículo 32 </w:t>
      </w:r>
      <w:r w:rsidRPr="00982502">
        <w:rPr>
          <w:rFonts w:ascii="Verdana" w:eastAsia="Arial" w:hAnsi="Verdana" w:cs="Arial"/>
          <w:i/>
          <w:iCs/>
          <w:color w:val="000000" w:themeColor="text1"/>
          <w:lang w:val="es-ES_tradnl" w:eastAsia="es-ES_tradnl"/>
        </w:rPr>
        <w:t>ibidem</w:t>
      </w:r>
      <w:r w:rsidRPr="00982502">
        <w:rPr>
          <w:rFonts w:ascii="Verdana" w:eastAsia="Arial" w:hAnsi="Verdana" w:cs="Arial"/>
          <w:color w:val="000000" w:themeColor="text1"/>
          <w:lang w:val="es-ES_tradnl" w:eastAsia="es-ES_tradnl"/>
        </w:rPr>
        <w:t xml:space="preserve"> define los contratos estatales como “todos los actos jurídicos, generadores de obligaciones que celebren las entidades a que se refiere este estatuto [art. 2], previstos en el derecho privado o en disposiciones especiales, o derivados del ejercicio de la autonomía de la voluntad”. De acuerdo con lo anterior, para la definición de contrato estatal basta con que una de las entidades que enumera el artículo 2º de la Ley 80 de 1993</w:t>
      </w:r>
      <w:r w:rsidRPr="00982502">
        <w:rPr>
          <w:rFonts w:ascii="Verdana" w:eastAsia="Arial" w:hAnsi="Verdana" w:cs="Arial"/>
          <w:color w:val="000000" w:themeColor="text1"/>
          <w:vertAlign w:val="superscript"/>
          <w:lang w:val="es-ES_tradnl" w:eastAsia="es-ES_tradnl"/>
        </w:rPr>
        <w:footnoteReference w:id="1"/>
      </w:r>
      <w:r w:rsidRPr="00982502">
        <w:rPr>
          <w:rFonts w:ascii="Verdana" w:eastAsia="Arial" w:hAnsi="Verdana" w:cs="Arial"/>
          <w:color w:val="000000" w:themeColor="text1"/>
          <w:lang w:val="es-ES_tradnl" w:eastAsia="es-ES_tradnl"/>
        </w:rPr>
        <w:t xml:space="preserve"> sea una de las partes, sin importar el extremo de la relación jurídico negocial que</w:t>
      </w:r>
      <w:r w:rsidRPr="00982502">
        <w:rPr>
          <w:rFonts w:ascii="Verdana" w:eastAsia="Arial" w:hAnsi="Verdana" w:cs="Arial"/>
          <w:color w:val="000000" w:themeColor="text1"/>
          <w:spacing w:val="-14"/>
          <w:lang w:val="es-ES_tradnl" w:eastAsia="es-ES_tradnl"/>
        </w:rPr>
        <w:t xml:space="preserve"> </w:t>
      </w:r>
      <w:r w:rsidRPr="00982502">
        <w:rPr>
          <w:rFonts w:ascii="Verdana" w:eastAsia="Arial" w:hAnsi="Verdana" w:cs="Arial"/>
          <w:color w:val="000000" w:themeColor="text1"/>
          <w:lang w:val="es-ES_tradnl" w:eastAsia="es-ES_tradnl"/>
        </w:rPr>
        <w:t xml:space="preserve">asuma. </w:t>
      </w:r>
    </w:p>
    <w:p w14:paraId="14B01DC0" w14:textId="77777777" w:rsidR="00E25FDE" w:rsidRPr="00982502" w:rsidRDefault="00E25FDE" w:rsidP="00DD6961">
      <w:pPr>
        <w:widowControl w:val="0"/>
        <w:autoSpaceDE w:val="0"/>
        <w:autoSpaceDN w:val="0"/>
        <w:spacing w:after="0" w:line="276" w:lineRule="auto"/>
        <w:ind w:firstLine="709"/>
        <w:jc w:val="both"/>
        <w:rPr>
          <w:rFonts w:ascii="Verdana" w:eastAsia="Arial" w:hAnsi="Verdana" w:cs="Arial"/>
          <w:color w:val="000000" w:themeColor="text1"/>
          <w:lang w:val="es-ES_tradnl" w:eastAsia="es-ES_tradnl"/>
        </w:rPr>
      </w:pPr>
    </w:p>
    <w:p w14:paraId="5D859AE3" w14:textId="77777777" w:rsidR="007C0472" w:rsidRPr="007C0472" w:rsidRDefault="000521D8" w:rsidP="007C0472">
      <w:pPr>
        <w:spacing w:after="0" w:line="276" w:lineRule="auto"/>
        <w:jc w:val="both"/>
        <w:rPr>
          <w:rFonts w:ascii="Verdana" w:eastAsia="Calibri" w:hAnsi="Verdana" w:cs="Arial"/>
          <w:color w:val="000000"/>
          <w:lang w:eastAsia="es-ES_tradnl"/>
        </w:rPr>
      </w:pPr>
      <w:r w:rsidRPr="007C0472">
        <w:rPr>
          <w:rFonts w:ascii="Verdana" w:eastAsia="Calibri" w:hAnsi="Verdana" w:cs="Arial"/>
          <w:color w:val="000000"/>
          <w:szCs w:val="24"/>
          <w:lang w:val="es-ES_tradnl" w:eastAsia="es-ES_tradnl"/>
        </w:rPr>
        <w:lastRenderedPageBreak/>
        <w:t>ii)</w:t>
      </w:r>
      <w:r w:rsidR="00D63251" w:rsidRPr="007C0472">
        <w:rPr>
          <w:rFonts w:ascii="Verdana" w:eastAsia="Calibri" w:hAnsi="Verdana" w:cs="Arial"/>
          <w:color w:val="000000"/>
          <w:szCs w:val="24"/>
          <w:lang w:val="es-ES_tradnl" w:eastAsia="es-ES_tradnl"/>
        </w:rPr>
        <w:t xml:space="preserve"> </w:t>
      </w:r>
      <w:r w:rsidR="007C0472" w:rsidRPr="007C0472">
        <w:rPr>
          <w:rFonts w:ascii="Verdana" w:eastAsia="Calibri" w:hAnsi="Verdana" w:cs="Arial"/>
          <w:color w:val="000000"/>
          <w:lang w:eastAsia="es-ES_tradnl"/>
        </w:rPr>
        <w:t>En complemento a lo anteriormente expuesto, y atendiendo la consulta elevada, se procederá a realizar algunas precisiones respecto del contrato de consultoría, el cual se caracteriza por un marcado componente técnico, intelectivo y especializado de la actividad. Esta particularidad no solo delimita su naturaleza jurídica frente a otras formas de contratación, sino que también justifica su tratamiento diferenciado dentro del marco normativo. En ese sentido, el numeral 2 del artículo 32 de la Ley 80 de 1993 establece el contrato de consultoría y dispone que…</w:t>
      </w:r>
    </w:p>
    <w:p w14:paraId="57E669CA" w14:textId="77777777" w:rsidR="00C60FEB" w:rsidRPr="007C0472" w:rsidRDefault="00C60FEB" w:rsidP="007C0472">
      <w:pPr>
        <w:snapToGrid w:val="0"/>
        <w:spacing w:after="0" w:line="276" w:lineRule="auto"/>
        <w:jc w:val="both"/>
        <w:rPr>
          <w:rFonts w:ascii="Verdana" w:eastAsia="Calibri" w:hAnsi="Verdana" w:cs="Arial"/>
          <w:kern w:val="2"/>
          <w14:ligatures w14:val="standardContextual"/>
        </w:rPr>
      </w:pPr>
    </w:p>
    <w:p w14:paraId="3D754113" w14:textId="77777777" w:rsidR="00C60FEB" w:rsidRPr="00982502" w:rsidRDefault="00C60FEB" w:rsidP="00C60FEB">
      <w:pPr>
        <w:snapToGrid w:val="0"/>
        <w:spacing w:after="0" w:line="240" w:lineRule="auto"/>
        <w:ind w:left="709" w:right="709"/>
        <w:jc w:val="both"/>
        <w:rPr>
          <w:rFonts w:ascii="Verdana" w:eastAsia="Calibri" w:hAnsi="Verdana" w:cs="Arial"/>
          <w:kern w:val="2"/>
          <w:sz w:val="20"/>
          <w:szCs w:val="20"/>
          <w14:ligatures w14:val="standardContextual"/>
        </w:rPr>
      </w:pPr>
      <w:r w:rsidRPr="00982502">
        <w:rPr>
          <w:rFonts w:ascii="Verdana" w:eastAsia="Calibri" w:hAnsi="Verdana" w:cs="Arial"/>
          <w:kern w:val="2"/>
          <w:sz w:val="20"/>
          <w:szCs w:val="20"/>
          <w:lang w:val="es-ES"/>
          <w14:ligatures w14:val="standardContextual"/>
        </w:rPr>
        <w:t>“</w:t>
      </w:r>
      <w:r w:rsidRPr="00982502">
        <w:rPr>
          <w:rFonts w:ascii="Verdana" w:eastAsia="Calibri" w:hAnsi="Verdana" w:cs="Arial"/>
          <w:kern w:val="2"/>
          <w:sz w:val="20"/>
          <w:szCs w:val="20"/>
          <w14:ligatures w14:val="standardContextual"/>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564E55CF" w14:textId="77777777" w:rsidR="00C60FEB" w:rsidRPr="00982502" w:rsidRDefault="00C60FEB" w:rsidP="00C60FEB">
      <w:pPr>
        <w:snapToGrid w:val="0"/>
        <w:spacing w:after="0" w:line="240" w:lineRule="auto"/>
        <w:ind w:left="709" w:right="709"/>
        <w:jc w:val="both"/>
        <w:rPr>
          <w:rFonts w:ascii="Verdana" w:eastAsia="Calibri" w:hAnsi="Verdana" w:cs="Arial"/>
          <w:kern w:val="2"/>
          <w:sz w:val="20"/>
          <w:szCs w:val="20"/>
          <w14:ligatures w14:val="standardContextual"/>
        </w:rPr>
      </w:pPr>
    </w:p>
    <w:p w14:paraId="163ED339" w14:textId="77777777" w:rsidR="00C60FEB" w:rsidRPr="00982502" w:rsidRDefault="00C60FEB" w:rsidP="00C60FEB">
      <w:pPr>
        <w:snapToGrid w:val="0"/>
        <w:spacing w:after="0" w:line="240" w:lineRule="auto"/>
        <w:ind w:left="709" w:right="709"/>
        <w:jc w:val="both"/>
        <w:rPr>
          <w:rFonts w:ascii="Verdana" w:eastAsia="Calibri" w:hAnsi="Verdana" w:cs="Arial"/>
          <w:kern w:val="2"/>
          <w:sz w:val="20"/>
          <w:szCs w:val="20"/>
          <w14:ligatures w14:val="standardContextual"/>
        </w:rPr>
      </w:pPr>
      <w:r w:rsidRPr="00982502">
        <w:rPr>
          <w:rFonts w:ascii="Verdana" w:eastAsia="Calibri" w:hAnsi="Verdana" w:cs="Arial"/>
          <w:kern w:val="2"/>
          <w:sz w:val="20"/>
          <w:szCs w:val="20"/>
          <w14:ligatures w14:val="standardContextual"/>
        </w:rPr>
        <w:t>Son también contratos de consultoría los que tienen por objeto la interventoría, asesoría, gerencia de obra o de proyectos, dirección, programación y la ejecución de diseños, planos, anteproyectos y proyectos. (…)”</w:t>
      </w:r>
    </w:p>
    <w:p w14:paraId="0339F034" w14:textId="77777777" w:rsidR="00C60FEB" w:rsidRPr="00982502" w:rsidRDefault="00C60FEB" w:rsidP="00C60FEB">
      <w:pPr>
        <w:tabs>
          <w:tab w:val="left" w:pos="709"/>
        </w:tabs>
        <w:spacing w:after="0" w:line="276" w:lineRule="auto"/>
        <w:ind w:firstLine="709"/>
        <w:jc w:val="both"/>
        <w:rPr>
          <w:rFonts w:ascii="Verdana" w:hAnsi="Verdana"/>
          <w:lang w:val="es-MX"/>
        </w:rPr>
      </w:pPr>
    </w:p>
    <w:p w14:paraId="60C09ABC" w14:textId="77777777" w:rsidR="00C60FEB" w:rsidRPr="00982502" w:rsidRDefault="00C60FEB" w:rsidP="00C60FEB">
      <w:pPr>
        <w:tabs>
          <w:tab w:val="left" w:pos="709"/>
        </w:tabs>
        <w:spacing w:after="0" w:line="276" w:lineRule="auto"/>
        <w:ind w:firstLine="709"/>
        <w:jc w:val="both"/>
        <w:rPr>
          <w:rFonts w:ascii="Verdana" w:hAnsi="Verdana"/>
          <w:lang w:val="es-MX"/>
        </w:rPr>
      </w:pPr>
      <w:r w:rsidRPr="00982502">
        <w:rPr>
          <w:rFonts w:ascii="Verdana" w:hAnsi="Verdana"/>
          <w:lang w:val="es-MX"/>
        </w:rPr>
        <w:t>La doctrina expresa que el artículo 32, numeral 2, no establece una definición de contrato de consultoría, sino que, simplemente, enuncia una serie de actividades que pueden hacer parte de este tipo contractual</w:t>
      </w:r>
      <w:r w:rsidRPr="00982502">
        <w:rPr>
          <w:rFonts w:ascii="Verdana" w:hAnsi="Verdana"/>
          <w:vertAlign w:val="superscript"/>
          <w:lang w:val="es-MX"/>
        </w:rPr>
        <w:footnoteReference w:id="2"/>
      </w:r>
      <w:r w:rsidRPr="00982502">
        <w:rPr>
          <w:rFonts w:ascii="Verdana" w:hAnsi="Verdana"/>
          <w:lang w:val="es-MX"/>
        </w:rPr>
        <w:t xml:space="preserve">. Es decir, no hay un concepto propio de consultoría dentro de la Ley 80 de 1993, pero sí se establecen elementos o actividades que configuran este tipo de contratos. </w:t>
      </w:r>
      <w:r w:rsidRPr="00982502">
        <w:rPr>
          <w:rFonts w:ascii="Verdana" w:hAnsi="Verdana"/>
          <w:vertAlign w:val="superscript"/>
          <w:lang w:val="es-MX"/>
        </w:rPr>
        <w:footnoteReference w:id="3"/>
      </w:r>
      <w:r w:rsidRPr="00982502">
        <w:rPr>
          <w:rFonts w:ascii="Verdana" w:hAnsi="Verdana"/>
          <w:lang w:val="es-MX"/>
        </w:rPr>
        <w:t xml:space="preserve">Al respecto, el Consejo de Estado expresa: </w:t>
      </w:r>
    </w:p>
    <w:p w14:paraId="57FCFFB4" w14:textId="77777777" w:rsidR="00C60FEB" w:rsidRPr="00982502" w:rsidRDefault="00C60FEB" w:rsidP="00C60FEB">
      <w:pPr>
        <w:tabs>
          <w:tab w:val="left" w:pos="709"/>
        </w:tabs>
        <w:spacing w:after="0" w:line="276" w:lineRule="auto"/>
        <w:ind w:firstLine="709"/>
        <w:jc w:val="both"/>
        <w:rPr>
          <w:rFonts w:ascii="Verdana" w:hAnsi="Verdana"/>
          <w:lang w:val="es-MX"/>
        </w:rPr>
      </w:pPr>
    </w:p>
    <w:p w14:paraId="1FEA9254" w14:textId="77777777" w:rsidR="00C60FEB" w:rsidRPr="00982502" w:rsidRDefault="00C60FEB" w:rsidP="00C60FEB">
      <w:pPr>
        <w:tabs>
          <w:tab w:val="left" w:pos="709"/>
        </w:tabs>
        <w:spacing w:after="0" w:line="240" w:lineRule="auto"/>
        <w:ind w:left="709" w:right="709"/>
        <w:jc w:val="both"/>
        <w:rPr>
          <w:rFonts w:ascii="Verdana" w:hAnsi="Verdana"/>
          <w:sz w:val="20"/>
          <w:szCs w:val="20"/>
          <w:lang w:val="es-MX"/>
        </w:rPr>
      </w:pPr>
      <w:r w:rsidRPr="00982502">
        <w:rPr>
          <w:rFonts w:ascii="Verdana" w:hAnsi="Verdana"/>
          <w:sz w:val="20"/>
          <w:szCs w:val="20"/>
          <w:lang w:val="es-MX"/>
        </w:rPr>
        <w:t xml:space="preserve">“Son de la esencia del contrato de consultoría el que una parte se obligue a prestar un servicio consistente en realizar estudios para la ejecución de proyectos de inversión, estudios de diagnóstico, prefactibilidad o factibilidad para programas o proyectos determinados, prestar asesoría técnica de coordinación, control y supervisión, realizar actividades de interventoría, asesoría y gerencia de obra o de proyectos, así como la dirección, programación y la ejecución de diseños, planos, anteproyectos </w:t>
      </w:r>
      <w:r w:rsidRPr="00982502">
        <w:rPr>
          <w:rFonts w:ascii="Verdana" w:hAnsi="Verdana"/>
          <w:sz w:val="20"/>
          <w:szCs w:val="20"/>
          <w:lang w:val="es-MX"/>
        </w:rPr>
        <w:lastRenderedPageBreak/>
        <w:t>y proyectos, y el que la otra se obligue a pagar una determinada remuneración como retribución por el servicio prestado”</w:t>
      </w:r>
      <w:r w:rsidRPr="00982502">
        <w:rPr>
          <w:rFonts w:ascii="Verdana" w:hAnsi="Verdana"/>
          <w:sz w:val="20"/>
          <w:szCs w:val="20"/>
          <w:vertAlign w:val="superscript"/>
          <w:lang w:val="es-MX"/>
        </w:rPr>
        <w:footnoteReference w:id="4"/>
      </w:r>
      <w:r w:rsidRPr="00982502">
        <w:rPr>
          <w:rFonts w:ascii="Verdana" w:hAnsi="Verdana"/>
          <w:sz w:val="20"/>
          <w:szCs w:val="20"/>
          <w:lang w:val="es-MX"/>
        </w:rPr>
        <w:t>.</w:t>
      </w:r>
    </w:p>
    <w:p w14:paraId="04FC769D" w14:textId="77777777" w:rsidR="00C60FEB" w:rsidRPr="00982502" w:rsidRDefault="00C60FEB" w:rsidP="00C60FEB">
      <w:pPr>
        <w:tabs>
          <w:tab w:val="left" w:pos="709"/>
        </w:tabs>
        <w:spacing w:after="0" w:line="276" w:lineRule="auto"/>
        <w:ind w:left="992" w:right="709"/>
        <w:jc w:val="both"/>
        <w:rPr>
          <w:rFonts w:ascii="Verdana" w:hAnsi="Verdana"/>
          <w:lang w:val="es-MX"/>
        </w:rPr>
      </w:pPr>
    </w:p>
    <w:p w14:paraId="645F0D32" w14:textId="77777777" w:rsidR="00C60FEB" w:rsidRPr="00982502" w:rsidRDefault="00C60FEB" w:rsidP="00C60FEB">
      <w:pPr>
        <w:shd w:val="clear" w:color="auto" w:fill="FFFFFF" w:themeFill="background1"/>
        <w:spacing w:after="120" w:line="276" w:lineRule="auto"/>
        <w:ind w:right="51" w:firstLine="709"/>
        <w:jc w:val="both"/>
        <w:rPr>
          <w:rFonts w:ascii="Verdana" w:eastAsia="Calibri" w:hAnsi="Verdana" w:cs="Arial"/>
          <w:bCs/>
          <w:color w:val="000000" w:themeColor="text1"/>
        </w:rPr>
      </w:pPr>
      <w:r w:rsidRPr="00982502">
        <w:rPr>
          <w:rFonts w:ascii="Verdana" w:eastAsia="Calibri" w:hAnsi="Verdana" w:cs="Arial"/>
          <w:bCs/>
          <w:lang w:val="es-ES_tradnl"/>
        </w:rPr>
        <w:t>De acuerdo con lo anterior, los contratos de consultoría son entonces aquellos que suscriben las Entidades Públicas que se refieran a los estudios necesarios para la ejecución de proyectos de inversión, estudios de diagnóstico, prefactibilidad o factibilidad para programas o proyectos específicos, así como las asesorías técnicas de coordinación, control y supervisión. Así mismo, son contratos de consultoría los que tienen por objeto la interventoría, asesoría, gerencia de obra o de proyectos, dirección, programación y la ejecución de diseños, planos, anteproyectos y proyectos</w:t>
      </w:r>
      <w:r w:rsidRPr="00982502">
        <w:rPr>
          <w:rFonts w:ascii="Verdana" w:eastAsia="Calibri" w:hAnsi="Verdana" w:cs="Arial"/>
          <w:bCs/>
          <w:color w:val="000000" w:themeColor="text1"/>
        </w:rPr>
        <w:t xml:space="preserve">  </w:t>
      </w:r>
    </w:p>
    <w:p w14:paraId="2D8A1ECB" w14:textId="21595A5F" w:rsidR="00C60FEB" w:rsidRDefault="00C60FEB" w:rsidP="007F32CA">
      <w:pPr>
        <w:shd w:val="clear" w:color="auto" w:fill="FFFFFF" w:themeFill="background1"/>
        <w:spacing w:after="0" w:line="276" w:lineRule="auto"/>
        <w:ind w:right="51" w:firstLine="709"/>
        <w:jc w:val="both"/>
        <w:rPr>
          <w:rFonts w:ascii="Verdana" w:eastAsia="Calibri" w:hAnsi="Verdana" w:cs="Arial"/>
        </w:rPr>
      </w:pPr>
      <w:r w:rsidRPr="00982502">
        <w:rPr>
          <w:rFonts w:ascii="Verdana" w:eastAsia="Calibri" w:hAnsi="Verdana" w:cs="Arial"/>
          <w:bCs/>
          <w:lang w:val="es-ES_tradnl"/>
        </w:rPr>
        <w:t xml:space="preserve">Bajo este entendimiento, la característica fundamental para identificar los contratos estatales de consultoría es el carácter ampliamente técnico de su contenido, que se diferencia de otros tipos contractuales, por lo que el ordenamiento establece unas reglas particulares para establecer los criterios de evaluación en el marco de estos negocios jurídicos. En particular, el artículo 2.2.1.2.1.3.2 del Decreto 1082 de 2015, el cual regula el procedimiento del concurso de méritos, indica en su numeral 3 que la entidad debe establecer en los pliegos de condiciones los criterios de calificación, los cuales pueden ser, entre otros: </w:t>
      </w:r>
      <w:r w:rsidRPr="00982502">
        <w:rPr>
          <w:rFonts w:ascii="Verdana" w:eastAsia="Calibri" w:hAnsi="Verdana" w:cs="Arial"/>
          <w:bCs/>
          <w:i/>
          <w:iCs/>
          <w:lang w:val="es-ES_tradnl"/>
        </w:rPr>
        <w:t>“</w:t>
      </w:r>
      <w:r w:rsidRPr="00982502">
        <w:rPr>
          <w:rFonts w:ascii="Verdana" w:eastAsia="Calibri" w:hAnsi="Verdana" w:cs="Arial"/>
          <w:bCs/>
          <w:i/>
          <w:iCs/>
        </w:rPr>
        <w:t>a) la experiencia del interesado y del equipo de trabajo y b) la formación académica del equipo de trabajo”</w:t>
      </w:r>
      <w:r w:rsidRPr="00982502">
        <w:rPr>
          <w:rFonts w:ascii="Verdana" w:eastAsia="Calibri" w:hAnsi="Verdana" w:cs="Arial"/>
          <w:bCs/>
        </w:rPr>
        <w:t>.  </w:t>
      </w:r>
    </w:p>
    <w:p w14:paraId="7BECB0AC" w14:textId="77777777" w:rsidR="007F32CA" w:rsidRPr="00982502" w:rsidRDefault="007F32CA" w:rsidP="00DD6961">
      <w:pPr>
        <w:shd w:val="clear" w:color="auto" w:fill="FFFFFF" w:themeFill="background1"/>
        <w:spacing w:after="0" w:line="276" w:lineRule="auto"/>
        <w:ind w:right="51" w:firstLine="709"/>
        <w:jc w:val="both"/>
        <w:rPr>
          <w:rFonts w:ascii="Verdana" w:eastAsia="Calibri" w:hAnsi="Verdana" w:cs="Arial"/>
          <w:bCs/>
          <w:color w:val="000000" w:themeColor="text1"/>
        </w:rPr>
      </w:pPr>
    </w:p>
    <w:p w14:paraId="3661C007" w14:textId="77777777" w:rsidR="009C19E9" w:rsidRDefault="00DF091E" w:rsidP="00DD6961">
      <w:pPr>
        <w:snapToGrid w:val="0"/>
        <w:spacing w:after="120" w:line="276" w:lineRule="auto"/>
        <w:jc w:val="both"/>
        <w:rPr>
          <w:rFonts w:ascii="Verdana" w:eastAsia="Calibri" w:hAnsi="Verdana" w:cs="Arial"/>
          <w:color w:val="000000"/>
          <w:lang w:eastAsia="es-ES_tradnl"/>
        </w:rPr>
      </w:pPr>
      <w:r w:rsidRPr="009C19E9">
        <w:rPr>
          <w:rFonts w:ascii="Verdana" w:eastAsia="Calibri" w:hAnsi="Verdana" w:cs="Arial"/>
          <w:color w:val="000000"/>
          <w:szCs w:val="24"/>
          <w:lang w:eastAsia="es-ES_tradnl"/>
        </w:rPr>
        <w:t xml:space="preserve">iii) </w:t>
      </w:r>
      <w:r w:rsidR="009C19E9" w:rsidRPr="009C19E9">
        <w:rPr>
          <w:rFonts w:ascii="Verdana" w:eastAsia="Calibri" w:hAnsi="Verdana" w:cs="Arial"/>
          <w:color w:val="000000"/>
          <w:lang w:eastAsia="es-ES_tradnl"/>
        </w:rPr>
        <w:t>De conformidad con lo establecido en el artículo 32 de la Ley 80 de 1993, según el cual se consideran contratos de consultoría aquellos que tienen por objeto la interventoría, asesoría, gerencia de obra o de proyectos, dirección, programación y la ejecución de diseños, planos, anteproyectos y proyectos, resulta pertinente realizar algunas precisiones. En primer lugar, se examinará el contrato de interventoría y, para cerrar el presente concepto, se presentarán precisiones en torno a la gerencia de proyectos.</w:t>
      </w:r>
    </w:p>
    <w:p w14:paraId="2197B245" w14:textId="2B34B2ED" w:rsidR="00AA5695" w:rsidRPr="009C19E9" w:rsidRDefault="00AD1ABC" w:rsidP="009C19E9">
      <w:pPr>
        <w:snapToGrid w:val="0"/>
        <w:spacing w:before="120" w:after="120" w:line="276" w:lineRule="auto"/>
        <w:ind w:firstLine="708"/>
        <w:jc w:val="both"/>
        <w:rPr>
          <w:rFonts w:ascii="Verdana" w:eastAsia="Calibri" w:hAnsi="Verdana" w:cs="Arial"/>
          <w:color w:val="000000"/>
          <w:lang w:eastAsia="es-ES_tradnl"/>
        </w:rPr>
      </w:pPr>
      <w:r w:rsidRPr="00607869">
        <w:rPr>
          <w:rFonts w:ascii="Verdana" w:eastAsia="Calibri" w:hAnsi="Verdana" w:cs="Arial"/>
          <w:color w:val="000000"/>
          <w:szCs w:val="24"/>
          <w:lang w:eastAsia="es-ES_tradnl"/>
        </w:rPr>
        <w:t xml:space="preserve">En relación con </w:t>
      </w:r>
      <w:r w:rsidR="00607869" w:rsidRPr="00607869">
        <w:rPr>
          <w:rFonts w:ascii="Verdana" w:eastAsia="Calibri" w:hAnsi="Verdana" w:cs="Arial"/>
          <w:color w:val="000000"/>
          <w:szCs w:val="24"/>
          <w:lang w:eastAsia="es-ES_tradnl"/>
        </w:rPr>
        <w:t xml:space="preserve">contrato de </w:t>
      </w:r>
      <w:r w:rsidR="00607869" w:rsidRPr="00607869">
        <w:rPr>
          <w:rFonts w:ascii="Verdana" w:eastAsia="Calibri" w:hAnsi="Verdana" w:cs="Arial"/>
          <w:color w:val="000000"/>
          <w:lang w:eastAsia="es-ES_tradnl"/>
        </w:rPr>
        <w:t>interventoría</w:t>
      </w:r>
      <w:r w:rsidRPr="00607869">
        <w:rPr>
          <w:rFonts w:ascii="Verdana" w:eastAsia="Calibri" w:hAnsi="Verdana" w:cs="Arial"/>
          <w:color w:val="000000"/>
          <w:szCs w:val="24"/>
          <w:lang w:eastAsia="es-ES_tradnl"/>
        </w:rPr>
        <w:t xml:space="preserve">, conviene señalar que </w:t>
      </w:r>
      <w:r w:rsidR="00D63251" w:rsidRPr="00607869">
        <w:rPr>
          <w:rFonts w:ascii="Verdana" w:eastAsia="Calibri" w:hAnsi="Verdana" w:cs="Arial"/>
          <w:shd w:val="clear" w:color="auto" w:fill="FFFFFF"/>
        </w:rPr>
        <w:t>l</w:t>
      </w:r>
      <w:r w:rsidR="00AA5695" w:rsidRPr="00607869">
        <w:rPr>
          <w:rFonts w:ascii="Verdana" w:eastAsia="Calibri" w:hAnsi="Verdana" w:cs="Arial"/>
          <w:shd w:val="clear" w:color="auto" w:fill="FFFFFF"/>
        </w:rPr>
        <w:t xml:space="preserve">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w:t>
      </w:r>
      <w:r w:rsidR="00AA5695" w:rsidRPr="00607869">
        <w:rPr>
          <w:rFonts w:ascii="Verdana" w:eastAsia="Calibri" w:hAnsi="Verdana" w:cs="Arial"/>
          <w:shd w:val="clear" w:color="auto" w:fill="FFFFFF"/>
        </w:rPr>
        <w:lastRenderedPageBreak/>
        <w:t>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539EC121" w14:textId="77777777" w:rsidR="00AA5695" w:rsidRPr="00982502" w:rsidRDefault="00AA5695" w:rsidP="00AA5695">
      <w:pPr>
        <w:snapToGrid w:val="0"/>
        <w:spacing w:before="120" w:after="120" w:line="276" w:lineRule="auto"/>
        <w:ind w:firstLine="708"/>
        <w:jc w:val="both"/>
        <w:textAlignment w:val="baseline"/>
        <w:rPr>
          <w:rFonts w:ascii="Verdana" w:eastAsia="Aptos" w:hAnsi="Verdana" w:cs="Arial"/>
          <w:lang w:val="es-ES_tradnl" w:eastAsia="es-MX"/>
        </w:rPr>
      </w:pPr>
      <w:r w:rsidRPr="00982502">
        <w:rPr>
          <w:rFonts w:ascii="Verdana" w:eastAsia="Aptos" w:hAnsi="Verdana" w:cs="Arial"/>
          <w:lang w:val="es-ES_tradnl" w:eastAsia="es-MX"/>
        </w:rPr>
        <w:t>Por su parte, las Leyes 1150 de 2007 y 1474 de 2011, complementan el régimen jurídico de la obligación de vigilar la correcta ejecución de los contratos estatales. En dichas normas se establecen los límites de la responsabilidad del representante legal ante la delegación de sus funciones en materia contractual</w:t>
      </w:r>
      <w:r w:rsidRPr="00982502">
        <w:rPr>
          <w:rFonts w:ascii="Verdana" w:eastAsia="Aptos" w:hAnsi="Verdana" w:cs="Times New Roman"/>
          <w:kern w:val="2"/>
          <w:sz w:val="24"/>
          <w:szCs w:val="24"/>
          <w:vertAlign w:val="superscript"/>
          <w:lang w:val="es-ES_tradnl" w:eastAsia="es-MX"/>
          <w14:ligatures w14:val="standardContextual"/>
        </w:rPr>
        <w:footnoteReference w:id="5"/>
      </w:r>
      <w:r w:rsidRPr="00982502">
        <w:rPr>
          <w:rFonts w:ascii="Verdana" w:eastAsia="Aptos" w:hAnsi="Verdana" w:cs="Arial"/>
          <w:lang w:val="es-ES_tradnl" w:eastAsia="es-MX"/>
        </w:rPr>
        <w:t xml:space="preserve"> y se regula la supervisión y la interventoría de los contratos estatales</w:t>
      </w:r>
      <w:r w:rsidRPr="00982502">
        <w:rPr>
          <w:rFonts w:ascii="Verdana" w:eastAsia="Aptos" w:hAnsi="Verdana" w:cs="Times New Roman"/>
          <w:kern w:val="2"/>
          <w:sz w:val="24"/>
          <w:szCs w:val="24"/>
          <w:vertAlign w:val="superscript"/>
          <w:lang w:val="es-ES_tradnl" w:eastAsia="es-MX"/>
          <w14:ligatures w14:val="standardContextual"/>
        </w:rPr>
        <w:footnoteReference w:id="6"/>
      </w:r>
      <w:r w:rsidRPr="00982502">
        <w:rPr>
          <w:rFonts w:ascii="Verdana" w:eastAsia="Aptos" w:hAnsi="Verdana" w:cs="Arial"/>
          <w:lang w:val="es-ES_tradnl" w:eastAsia="es-MX"/>
        </w:rPr>
        <w:t>.</w:t>
      </w:r>
    </w:p>
    <w:p w14:paraId="0C63F472" w14:textId="77777777" w:rsidR="00AA5695" w:rsidRPr="00982502" w:rsidRDefault="00AA5695" w:rsidP="00AA5695">
      <w:pPr>
        <w:snapToGrid w:val="0"/>
        <w:spacing w:before="120" w:after="0" w:line="276" w:lineRule="auto"/>
        <w:ind w:firstLine="708"/>
        <w:jc w:val="both"/>
        <w:textAlignment w:val="baseline"/>
        <w:rPr>
          <w:rFonts w:ascii="Verdana" w:eastAsia="Aptos" w:hAnsi="Verdana" w:cs="Arial"/>
          <w:lang w:eastAsia="es-MX"/>
        </w:rPr>
      </w:pPr>
      <w:r w:rsidRPr="00982502">
        <w:rPr>
          <w:rFonts w:ascii="Verdana" w:eastAsia="Aptos" w:hAnsi="Verdana" w:cs="Arial"/>
          <w:lang w:eastAsia="es-MX"/>
        </w:rPr>
        <w:t xml:space="preserve">En particular,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71A56AA4" w14:textId="77777777" w:rsidR="00AA5695" w:rsidRPr="00982502" w:rsidRDefault="00AA5695" w:rsidP="00AA5695">
      <w:pPr>
        <w:snapToGrid w:val="0"/>
        <w:spacing w:after="0" w:line="276" w:lineRule="auto"/>
        <w:ind w:firstLine="708"/>
        <w:jc w:val="both"/>
        <w:textAlignment w:val="baseline"/>
        <w:rPr>
          <w:rFonts w:ascii="Verdana" w:eastAsia="Aptos" w:hAnsi="Verdana" w:cs="Arial"/>
          <w:lang w:eastAsia="es-MX"/>
        </w:rPr>
      </w:pPr>
    </w:p>
    <w:p w14:paraId="71F8FC61" w14:textId="77777777" w:rsidR="00AA5695" w:rsidRPr="00982502" w:rsidRDefault="00AA5695" w:rsidP="00AA5695">
      <w:pPr>
        <w:snapToGrid w:val="0"/>
        <w:spacing w:after="0" w:line="240" w:lineRule="auto"/>
        <w:ind w:left="709" w:right="709"/>
        <w:jc w:val="both"/>
        <w:textAlignment w:val="baseline"/>
        <w:rPr>
          <w:rFonts w:ascii="Verdana" w:eastAsia="Aptos" w:hAnsi="Verdana" w:cs="Arial"/>
          <w:sz w:val="20"/>
          <w:szCs w:val="20"/>
          <w:lang w:val="es-ES_tradnl" w:eastAsia="es-MX"/>
        </w:rPr>
      </w:pPr>
      <w:r w:rsidRPr="00982502">
        <w:rPr>
          <w:rFonts w:ascii="Verdana" w:eastAsia="Aptos" w:hAnsi="Verdana" w:cs="Arial"/>
          <w:sz w:val="20"/>
          <w:szCs w:val="20"/>
          <w:lang w:val="es-ES_tradnl" w:eastAsia="es-MX"/>
        </w:rPr>
        <w:t>“Con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w:t>
      </w:r>
    </w:p>
    <w:p w14:paraId="067ECDA1" w14:textId="77777777" w:rsidR="00DE608C" w:rsidRPr="00982502" w:rsidRDefault="00DE608C" w:rsidP="00AA5695">
      <w:pPr>
        <w:snapToGrid w:val="0"/>
        <w:spacing w:after="0" w:line="240" w:lineRule="auto"/>
        <w:ind w:left="709" w:right="709"/>
        <w:jc w:val="both"/>
        <w:textAlignment w:val="baseline"/>
        <w:rPr>
          <w:rFonts w:ascii="Verdana" w:eastAsia="Aptos" w:hAnsi="Verdana" w:cs="Arial"/>
          <w:sz w:val="20"/>
          <w:szCs w:val="20"/>
          <w:lang w:val="es-ES_tradnl" w:eastAsia="es-MX"/>
        </w:rPr>
      </w:pPr>
    </w:p>
    <w:p w14:paraId="77F6F72B" w14:textId="77777777" w:rsidR="00AA5695" w:rsidRPr="00982502" w:rsidRDefault="00AA5695" w:rsidP="00AA5695">
      <w:pPr>
        <w:snapToGrid w:val="0"/>
        <w:spacing w:after="0" w:line="240" w:lineRule="auto"/>
        <w:ind w:left="709" w:right="709"/>
        <w:jc w:val="both"/>
        <w:textAlignment w:val="baseline"/>
        <w:rPr>
          <w:rFonts w:ascii="Verdana" w:eastAsia="Aptos" w:hAnsi="Verdana" w:cs="Arial"/>
          <w:sz w:val="20"/>
          <w:szCs w:val="20"/>
          <w:lang w:val="es-ES" w:eastAsia="es-MX"/>
        </w:rPr>
      </w:pPr>
      <w:r w:rsidRPr="00982502">
        <w:rPr>
          <w:rFonts w:ascii="Verdana" w:eastAsia="Aptos" w:hAnsi="Verdana" w:cs="Arial"/>
          <w:sz w:val="20"/>
          <w:szCs w:val="20"/>
          <w:lang w:val="es-ES" w:eastAsia="es-MX"/>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w:t>
      </w:r>
    </w:p>
    <w:p w14:paraId="17C6DD2C" w14:textId="77777777" w:rsidR="00DE608C" w:rsidRPr="00982502" w:rsidRDefault="00DE608C" w:rsidP="00AA5695">
      <w:pPr>
        <w:snapToGrid w:val="0"/>
        <w:spacing w:after="0" w:line="240" w:lineRule="auto"/>
        <w:ind w:left="709" w:right="709"/>
        <w:jc w:val="both"/>
        <w:textAlignment w:val="baseline"/>
        <w:rPr>
          <w:rFonts w:ascii="Verdana" w:eastAsia="Aptos" w:hAnsi="Verdana" w:cs="Arial"/>
          <w:sz w:val="20"/>
          <w:szCs w:val="20"/>
          <w:lang w:val="es-ES" w:eastAsia="es-MX"/>
        </w:rPr>
      </w:pPr>
    </w:p>
    <w:p w14:paraId="5875160B" w14:textId="77777777" w:rsidR="00AA5695" w:rsidRPr="00982502" w:rsidRDefault="00AA5695" w:rsidP="00AA5695">
      <w:pPr>
        <w:snapToGrid w:val="0"/>
        <w:spacing w:after="0" w:line="240" w:lineRule="auto"/>
        <w:ind w:left="709" w:right="709"/>
        <w:jc w:val="both"/>
        <w:textAlignment w:val="baseline"/>
        <w:rPr>
          <w:rFonts w:ascii="Verdana" w:eastAsia="Aptos" w:hAnsi="Verdana" w:cs="Arial"/>
          <w:sz w:val="20"/>
          <w:szCs w:val="20"/>
          <w:lang w:val="es-ES_tradnl" w:eastAsia="es-MX"/>
        </w:rPr>
      </w:pPr>
      <w:r w:rsidRPr="00982502">
        <w:rPr>
          <w:rFonts w:ascii="Verdana" w:eastAsia="Aptos" w:hAnsi="Verdana" w:cs="Arial"/>
          <w:sz w:val="20"/>
          <w:szCs w:val="20"/>
          <w:lang w:val="es-ES" w:eastAsia="es-MX"/>
        </w:rPr>
        <w:t xml:space="preserve">La interventoría consistirá en el seguimiento técnico que sobre el cumplimiento del contrato realice una persona natural o jurídica </w:t>
      </w:r>
      <w:r w:rsidRPr="00982502">
        <w:rPr>
          <w:rFonts w:ascii="Verdana" w:eastAsia="Aptos" w:hAnsi="Verdana" w:cs="Arial"/>
          <w:sz w:val="20"/>
          <w:szCs w:val="20"/>
          <w:lang w:val="es-ES" w:eastAsia="es-MX"/>
        </w:rPr>
        <w:lastRenderedPageBreak/>
        <w:t xml:space="preserve">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 </w:t>
      </w:r>
      <w:r w:rsidRPr="00982502">
        <w:rPr>
          <w:rFonts w:ascii="Verdana" w:eastAsia="Aptos" w:hAnsi="Verdana" w:cs="Arial"/>
          <w:sz w:val="20"/>
          <w:szCs w:val="20"/>
          <w:lang w:val="es-ES_tradnl" w:eastAsia="es-MX"/>
        </w:rPr>
        <w:t>[…]”.</w:t>
      </w:r>
      <w:r w:rsidRPr="00982502">
        <w:rPr>
          <w:rFonts w:ascii="Verdana" w:eastAsia="Aptos" w:hAnsi="Verdana" w:cs="Arial"/>
          <w:sz w:val="20"/>
          <w:szCs w:val="20"/>
          <w:vertAlign w:val="superscript"/>
          <w:lang w:val="es-ES" w:eastAsia="es-MX"/>
        </w:rPr>
        <w:footnoteReference w:id="7"/>
      </w:r>
    </w:p>
    <w:p w14:paraId="1EDB93B7" w14:textId="77777777" w:rsidR="00AA5695" w:rsidRPr="00982502" w:rsidRDefault="00AA5695" w:rsidP="00AA5695">
      <w:pPr>
        <w:snapToGrid w:val="0"/>
        <w:spacing w:after="0" w:line="240" w:lineRule="auto"/>
        <w:ind w:left="709" w:right="709"/>
        <w:jc w:val="both"/>
        <w:textAlignment w:val="baseline"/>
        <w:rPr>
          <w:rFonts w:ascii="Verdana" w:eastAsia="Aptos" w:hAnsi="Verdana" w:cs="Arial"/>
          <w:sz w:val="20"/>
          <w:szCs w:val="20"/>
          <w:lang w:val="es-ES" w:eastAsia="es-MX"/>
        </w:rPr>
      </w:pPr>
    </w:p>
    <w:p w14:paraId="68BEA6A6" w14:textId="77777777" w:rsidR="00AA5695" w:rsidRPr="00982502" w:rsidRDefault="00AA5695" w:rsidP="00AA5695">
      <w:pPr>
        <w:tabs>
          <w:tab w:val="left" w:pos="709"/>
        </w:tabs>
        <w:snapToGrid w:val="0"/>
        <w:spacing w:after="120" w:line="276" w:lineRule="auto"/>
        <w:jc w:val="both"/>
        <w:rPr>
          <w:rFonts w:ascii="Verdana" w:eastAsia="Aptos" w:hAnsi="Verdana" w:cs="Arial"/>
          <w:bCs/>
        </w:rPr>
      </w:pPr>
      <w:r w:rsidRPr="00982502">
        <w:rPr>
          <w:rFonts w:ascii="Verdana" w:eastAsia="Aptos" w:hAnsi="Verdana" w:cs="Arial"/>
          <w:bCs/>
        </w:rPr>
        <w:tab/>
        <w:t>De este modo, la interventoría puede caracterizarse de la siguiente manera: (i) es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(ii) También es un mecanismo de vigilancia que exige, en su ejecución, la utilización de conocimientos especializados. (iii) Por lo anterior, la entidad contrata un experto, por regla general, mediante la modalidad de selección de concurso de méritos, al tratarse de una especie del contrato de consultoría –art. 32, numeral 2, inciso 2, Ley 80 de 1993</w:t>
      </w:r>
      <w:r w:rsidRPr="00982502">
        <w:rPr>
          <w:rFonts w:ascii="Verdana" w:eastAsia="Aptos" w:hAnsi="Verdana" w:cs="Times New Roman"/>
          <w:kern w:val="2"/>
          <w:sz w:val="24"/>
          <w:szCs w:val="24"/>
          <w:vertAlign w:val="superscript"/>
          <w14:ligatures w14:val="standardContextual"/>
        </w:rPr>
        <w:footnoteReference w:id="8"/>
      </w:r>
      <w:r w:rsidRPr="00982502">
        <w:rPr>
          <w:rFonts w:ascii="Verdana" w:eastAsia="Aptos" w:hAnsi="Verdana" w:cs="Arial"/>
          <w:bCs/>
        </w:rPr>
        <w:t>‒, de manera que la interventoría es realizada por “una persona natural o jurídica contratada para tal fin por la Entidad Estatal” –art. 83, Ley 1474–. Adicionalmente, (iv) el seguimiento técnico es inherente a la interventoría para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Finalmente, (v) en caso de que no se encomiende al interventor el seguimiento total del contrato, en el contrato de interventoría “se deberán indicar las actividades técnicas a cargo del interventor y las demás quedarán a cargo de la Entidad a través del supervisor” –art. 83, inciso 3–. En cualquier caso (vi) el contrato de interventoría será supervisado directamente por la entidad –art. 23, inciso 4–.</w:t>
      </w:r>
    </w:p>
    <w:p w14:paraId="750C1FF8" w14:textId="77777777" w:rsidR="00AA5695" w:rsidRPr="00982502" w:rsidRDefault="00AA5695" w:rsidP="00AA5695">
      <w:pPr>
        <w:tabs>
          <w:tab w:val="left" w:pos="709"/>
        </w:tabs>
        <w:snapToGrid w:val="0"/>
        <w:spacing w:before="120" w:after="0" w:line="276" w:lineRule="auto"/>
        <w:jc w:val="both"/>
        <w:rPr>
          <w:rFonts w:ascii="Verdana" w:eastAsia="Aptos" w:hAnsi="Verdana" w:cs="Arial"/>
          <w:bCs/>
        </w:rPr>
      </w:pPr>
      <w:r w:rsidRPr="00982502">
        <w:rPr>
          <w:rFonts w:ascii="Verdana" w:eastAsia="Aptos" w:hAnsi="Verdana" w:cs="Arial"/>
          <w:bCs/>
        </w:rPr>
        <w:tab/>
        <w:t xml:space="preserve">De lo anterior, se concluye que el interventor es un contratista externo a la Entidad Estatal y al contratista vigilado, de manera que es seleccionado por la entidad mediante los procedimientos del artículo 2 de la Ley 1150 de 2007, en principio, a través de concurso de méritos. Lo anterior, sin perjuicio de que </w:t>
      </w:r>
      <w:r w:rsidRPr="00982502">
        <w:rPr>
          <w:rFonts w:ascii="Verdana" w:eastAsia="Aptos" w:hAnsi="Verdana" w:cs="Arial"/>
          <w:bCs/>
        </w:rPr>
        <w:lastRenderedPageBreak/>
        <w:t xml:space="preserve">eventualmente aplique alguna causal especial que permita la celebración de este tipo de contratos mediante una modalidad diferente, como podría suceder frente a la posibilidad de realizar, por ejemplo, una contratación de mínima cuantía o una contratación directa, en caso de presentarse alguna de las causales establecidas en el artículo 2 de la Ley 1150 de 2007, que dé lugar a acudir a otra modalidad de selección. </w:t>
      </w:r>
    </w:p>
    <w:p w14:paraId="6D335BFC" w14:textId="77777777" w:rsidR="00AA5695" w:rsidRPr="00982502" w:rsidRDefault="00AA5695" w:rsidP="00AA5695">
      <w:pPr>
        <w:tabs>
          <w:tab w:val="left" w:pos="709"/>
        </w:tabs>
        <w:snapToGrid w:val="0"/>
        <w:spacing w:after="0" w:line="276" w:lineRule="auto"/>
        <w:jc w:val="both"/>
        <w:rPr>
          <w:rFonts w:ascii="Verdana" w:eastAsia="Aptos" w:hAnsi="Verdana" w:cs="Arial"/>
          <w:bCs/>
        </w:rPr>
      </w:pPr>
      <w:r w:rsidRPr="00982502">
        <w:rPr>
          <w:rFonts w:ascii="Verdana" w:eastAsia="Calibri" w:hAnsi="Verdana" w:cs="Arial"/>
          <w:color w:val="000000"/>
          <w:kern w:val="2"/>
          <w:lang w:val="es-MX"/>
          <w14:ligatures w14:val="standardContextual"/>
        </w:rPr>
        <w:t xml:space="preserve"> </w:t>
      </w:r>
    </w:p>
    <w:p w14:paraId="665CCC27" w14:textId="6C77803B" w:rsidR="00AA5695" w:rsidRPr="00982502" w:rsidRDefault="00F67B0C" w:rsidP="00AA5695">
      <w:pPr>
        <w:pStyle w:val="Sinespaciado"/>
        <w:spacing w:line="276" w:lineRule="auto"/>
        <w:jc w:val="both"/>
        <w:rPr>
          <w:rFonts w:ascii="Verdana" w:hAnsi="Verdana" w:cs="Arial"/>
          <w:sz w:val="22"/>
        </w:rPr>
      </w:pPr>
      <w:r>
        <w:rPr>
          <w:rFonts w:ascii="Verdana" w:eastAsia="Calibri" w:hAnsi="Verdana" w:cs="Arial"/>
          <w:color w:val="000000"/>
          <w:kern w:val="2"/>
          <w:sz w:val="22"/>
          <w14:ligatures w14:val="standardContextual"/>
        </w:rPr>
        <w:t>iv</w:t>
      </w:r>
      <w:r w:rsidR="00AA5695" w:rsidRPr="00982502">
        <w:rPr>
          <w:rFonts w:ascii="Verdana" w:eastAsia="Calibri" w:hAnsi="Verdana" w:cs="Arial"/>
          <w:color w:val="000000"/>
          <w:kern w:val="2"/>
          <w:sz w:val="22"/>
          <w14:ligatures w14:val="standardContextual"/>
        </w:rPr>
        <w:t>)</w:t>
      </w:r>
      <w:r w:rsidR="00AA5695" w:rsidRPr="00982502">
        <w:rPr>
          <w:rFonts w:ascii="Verdana" w:hAnsi="Verdana" w:cs="Arial"/>
          <w:sz w:val="22"/>
        </w:rPr>
        <w:t xml:space="preserve"> </w:t>
      </w:r>
      <w:r w:rsidR="00AA5695" w:rsidRPr="00982502">
        <w:rPr>
          <w:rFonts w:ascii="Verdana" w:eastAsia="Calibri" w:hAnsi="Verdana" w:cs="Arial"/>
          <w:color w:val="000000"/>
          <w:kern w:val="2"/>
          <w:sz w:val="22"/>
          <w14:ligatures w14:val="standardContextual"/>
        </w:rPr>
        <w:t>Ahora bien, el contrato de interventoría supone la existencia de otro contrato –es decir, el contrato vigilado–, y por eso la jurisprudencia ha caracterizado la interventoría como un negocio jurídico íntimamente relacionado en su objeto con el contrato respecto del que ejerce las actividades del interventor</w:t>
      </w:r>
      <w:r w:rsidR="00AA5695" w:rsidRPr="00982502">
        <w:rPr>
          <w:rFonts w:ascii="Verdana" w:eastAsia="Aptos" w:hAnsi="Verdana" w:cs="Times New Roman"/>
          <w:kern w:val="2"/>
          <w:sz w:val="22"/>
          <w:vertAlign w:val="superscript"/>
          <w14:ligatures w14:val="standardContextual"/>
        </w:rPr>
        <w:footnoteReference w:id="9"/>
      </w:r>
      <w:r w:rsidR="00AA5695" w:rsidRPr="00982502">
        <w:rPr>
          <w:rFonts w:ascii="Verdana" w:eastAsia="Calibri" w:hAnsi="Verdana" w:cs="Arial"/>
          <w:color w:val="000000"/>
          <w:kern w:val="2"/>
          <w:sz w:val="22"/>
          <w14:ligatures w14:val="standardContextual"/>
        </w:rPr>
        <w:t xml:space="preserve">. No obstante, a pesar de lo anterior, el contrato de interventoría es </w:t>
      </w:r>
      <w:r w:rsidR="00AA5695" w:rsidRPr="00982502">
        <w:rPr>
          <w:rFonts w:ascii="Verdana" w:eastAsia="Calibri" w:hAnsi="Verdana" w:cs="Arial"/>
          <w:i/>
          <w:iCs/>
          <w:color w:val="000000"/>
          <w:kern w:val="2"/>
          <w:sz w:val="22"/>
          <w14:ligatures w14:val="standardContextual"/>
        </w:rPr>
        <w:t xml:space="preserve">independiente del otro contrato </w:t>
      </w:r>
      <w:r w:rsidR="00AA5695" w:rsidRPr="00982502">
        <w:rPr>
          <w:rFonts w:ascii="Verdana" w:eastAsia="Calibri" w:hAnsi="Verdana" w:cs="Arial"/>
          <w:color w:val="000000"/>
          <w:kern w:val="2"/>
          <w:sz w:val="22"/>
          <w14:ligatures w14:val="standardContextual"/>
        </w:rPr>
        <w:t>en aspectos específicos como, por ejemplo, la prórroga y el incumplimiento. En efecto, la prórroga de la obra no implica de suyo la del interventor, aunque puede realizarse cumpliendo las solemnidades de ley; además, el incumplimiento del contrato vigilado, como lo sería un contrato de obra, no significa por sí solo el incumplimiento del de interventoría</w:t>
      </w:r>
      <w:r w:rsidR="00AA5695" w:rsidRPr="00982502">
        <w:rPr>
          <w:rFonts w:ascii="Verdana" w:eastAsia="Aptos" w:hAnsi="Verdana" w:cs="Times New Roman"/>
          <w:kern w:val="2"/>
          <w:sz w:val="22"/>
          <w:vertAlign w:val="superscript"/>
          <w14:ligatures w14:val="standardContextual"/>
        </w:rPr>
        <w:footnoteReference w:id="10"/>
      </w:r>
      <w:r w:rsidR="00AA5695" w:rsidRPr="00982502">
        <w:rPr>
          <w:rFonts w:ascii="Verdana" w:eastAsia="Calibri" w:hAnsi="Verdana" w:cs="Arial"/>
          <w:color w:val="000000"/>
          <w:kern w:val="2"/>
          <w:sz w:val="22"/>
          <w14:ligatures w14:val="standardContextual"/>
        </w:rPr>
        <w:t xml:space="preserve">.  </w:t>
      </w:r>
    </w:p>
    <w:p w14:paraId="1110ECE1" w14:textId="77777777" w:rsidR="00AA5695" w:rsidRPr="00982502" w:rsidRDefault="00AA5695" w:rsidP="00AA5695">
      <w:pPr>
        <w:spacing w:before="120" w:after="120" w:line="276" w:lineRule="auto"/>
        <w:ind w:firstLine="742"/>
        <w:jc w:val="both"/>
        <w:rPr>
          <w:rFonts w:ascii="Verdana" w:hAnsi="Verdana" w:cs="Arial"/>
        </w:rPr>
      </w:pPr>
      <w:r w:rsidRPr="00982502">
        <w:rPr>
          <w:rFonts w:ascii="Verdana" w:hAnsi="Verdana" w:cs="Arial"/>
        </w:rPr>
        <w:t xml:space="preserve">Es así como el contrato de interventoría es un contrato bilateral, conmutativo y oneroso, por lo que crea obligaciones tanto para la entidad contratante como para el contratista interventor. Estas obligaciones deben guardar una correlativa equivalencia entre las prestaciones y derechos de ambas partes, por las que a su vez cada una de ellas recibe un beneficio. </w:t>
      </w:r>
    </w:p>
    <w:p w14:paraId="515C3F1E" w14:textId="552799F1" w:rsidR="00AA5695" w:rsidRPr="00982502" w:rsidRDefault="00AA5695" w:rsidP="00AA5695">
      <w:pPr>
        <w:spacing w:before="120" w:after="120" w:line="276" w:lineRule="auto"/>
        <w:ind w:firstLine="742"/>
        <w:jc w:val="both"/>
        <w:rPr>
          <w:rFonts w:ascii="Verdana" w:eastAsia="Arial" w:hAnsi="Verdana" w:cstheme="majorHAnsi"/>
          <w:lang w:val="es-ES"/>
        </w:rPr>
      </w:pPr>
      <w:r w:rsidRPr="00982502">
        <w:rPr>
          <w:rFonts w:ascii="Verdana" w:eastAsia="Arial" w:hAnsi="Verdana" w:cstheme="majorHAnsi"/>
          <w:lang w:val="es-ES"/>
        </w:rPr>
        <w:t xml:space="preserve">Por tanto, respecto de su pregunta, desde la etapa de planeación, en la fase precontractual, las </w:t>
      </w:r>
      <w:r w:rsidR="00EA2D81">
        <w:rPr>
          <w:rFonts w:ascii="Verdana" w:eastAsia="Arial" w:hAnsi="Verdana" w:cstheme="majorHAnsi"/>
          <w:lang w:val="es-ES"/>
        </w:rPr>
        <w:t>E</w:t>
      </w:r>
      <w:r w:rsidRPr="00982502">
        <w:rPr>
          <w:rFonts w:ascii="Verdana" w:eastAsia="Arial" w:hAnsi="Verdana" w:cstheme="majorHAnsi"/>
          <w:lang w:val="es-ES"/>
        </w:rPr>
        <w:t xml:space="preserve">ntidades </w:t>
      </w:r>
      <w:r w:rsidR="00EA2D81">
        <w:rPr>
          <w:rFonts w:ascii="Verdana" w:eastAsia="Arial" w:hAnsi="Verdana" w:cstheme="majorHAnsi"/>
          <w:lang w:val="es-ES"/>
        </w:rPr>
        <w:t>E</w:t>
      </w:r>
      <w:r w:rsidRPr="00982502">
        <w:rPr>
          <w:rFonts w:ascii="Verdana" w:eastAsia="Arial" w:hAnsi="Verdana" w:cstheme="majorHAnsi"/>
          <w:lang w:val="es-ES"/>
        </w:rPr>
        <w:t xml:space="preserve">statales deben fijar el plazo del contrato, mediante la realización del análisis del sector –que incluye el estudio del mercado– y definir la metodología con la cual estructurarán el contrato, procurando que el contrato de interventoría cumpla con su finalidad de vigilancia </w:t>
      </w:r>
      <w:r w:rsidRPr="00982502">
        <w:rPr>
          <w:rFonts w:ascii="Verdana" w:eastAsia="Arial" w:hAnsi="Verdana" w:cstheme="majorHAnsi"/>
          <w:lang w:val="es-ES"/>
        </w:rPr>
        <w:lastRenderedPageBreak/>
        <w:t xml:space="preserve">del contrato de obra, esto es, teniendo en cuenta el plazo de este último. De esta manera, la definición del plazo hace parte de los estudios previos. En todo caso, </w:t>
      </w:r>
      <w:r w:rsidRPr="00982502">
        <w:rPr>
          <w:rFonts w:ascii="Verdana" w:hAnsi="Verdana" w:cs="Arial"/>
        </w:rPr>
        <w:t xml:space="preserve">el interventor y la entidad cuentan con </w:t>
      </w:r>
      <w:r w:rsidRPr="00982502">
        <w:rPr>
          <w:rFonts w:ascii="Verdana" w:hAnsi="Verdana" w:cs="Arial"/>
          <w:i/>
          <w:iCs/>
        </w:rPr>
        <w:t>libertad negocial</w:t>
      </w:r>
      <w:r w:rsidRPr="00982502">
        <w:rPr>
          <w:rFonts w:ascii="Verdana" w:hAnsi="Verdana" w:cs="Arial"/>
        </w:rPr>
        <w:t xml:space="preserve"> para determinar los aspectos del contrato, entendiéndose incluida en esta libertad la capacidad de definir el plazo</w:t>
      </w:r>
      <w:r w:rsidRPr="00982502">
        <w:rPr>
          <w:rFonts w:ascii="Verdana" w:eastAsia="Arial" w:hAnsi="Verdana" w:cstheme="majorHAnsi"/>
          <w:lang w:val="es-ES"/>
        </w:rPr>
        <w:t xml:space="preserve"> para satisfacer los fines de la contratación y cumplir con los objetivos de vigilancia del contrato de interventoría. Para las entidades que se rigen por el Estatuto General de Contratación de la Administración Pública, esta autonomía está reconocida en los artículos 13, 32 y 40 de la Ley 80 de 1993. En virtud de su autonomía negocial, pueden incluir las condiciones que consideren necesarias y convenientes, siempre que no contraríen el ordenamiento jurídico. </w:t>
      </w:r>
      <w:bookmarkStart w:id="2" w:name="_Hlk117864904"/>
    </w:p>
    <w:p w14:paraId="7EE9E52D" w14:textId="2A3D924C" w:rsidR="00AA5695" w:rsidRPr="00982502" w:rsidRDefault="00AA5695" w:rsidP="00546782">
      <w:pPr>
        <w:spacing w:before="120" w:after="0" w:line="276" w:lineRule="auto"/>
        <w:ind w:firstLine="742"/>
        <w:jc w:val="both"/>
        <w:rPr>
          <w:rFonts w:ascii="Verdana" w:eastAsia="Arial" w:hAnsi="Verdana" w:cstheme="majorHAnsi"/>
          <w:lang w:val="es-ES"/>
        </w:rPr>
      </w:pPr>
      <w:r w:rsidRPr="00982502">
        <w:rPr>
          <w:rFonts w:ascii="Verdana" w:eastAsia="Arial" w:hAnsi="Verdana" w:cstheme="majorHAnsi"/>
          <w:lang w:val="es-ES"/>
        </w:rPr>
        <w:t>Para las entidades que se rigen por el Estatuto General de Contratación de la Administración Pública, esta autonomía está reconocida en los artículos 13</w:t>
      </w:r>
      <w:r w:rsidRPr="00982502">
        <w:rPr>
          <w:rStyle w:val="Refdenotaalpie"/>
          <w:rFonts w:ascii="Verdana" w:eastAsia="Arial" w:hAnsi="Verdana" w:cstheme="majorHAnsi"/>
          <w:lang w:val="es-ES"/>
        </w:rPr>
        <w:footnoteReference w:id="11"/>
      </w:r>
      <w:r w:rsidRPr="00982502">
        <w:rPr>
          <w:rFonts w:ascii="Verdana" w:eastAsia="Arial" w:hAnsi="Verdana" w:cstheme="majorHAnsi"/>
          <w:lang w:val="es-ES"/>
        </w:rPr>
        <w:t>, 32</w:t>
      </w:r>
      <w:r w:rsidRPr="00982502">
        <w:rPr>
          <w:rStyle w:val="Refdenotaalpie"/>
          <w:rFonts w:ascii="Verdana" w:eastAsia="Arial" w:hAnsi="Verdana" w:cstheme="majorHAnsi"/>
          <w:lang w:val="es-ES"/>
        </w:rPr>
        <w:footnoteReference w:id="12"/>
      </w:r>
      <w:r w:rsidRPr="00982502">
        <w:rPr>
          <w:rFonts w:ascii="Verdana" w:eastAsia="Arial" w:hAnsi="Verdana" w:cstheme="majorHAnsi"/>
          <w:lang w:val="es-ES"/>
        </w:rPr>
        <w:t xml:space="preserve"> y 40 de la Ley 80 de 1993. En particular, éste último señala que:</w:t>
      </w:r>
    </w:p>
    <w:p w14:paraId="172236F8" w14:textId="77777777" w:rsidR="00546782" w:rsidRPr="00982502" w:rsidRDefault="00546782" w:rsidP="00DD6961">
      <w:pPr>
        <w:spacing w:after="0" w:line="276" w:lineRule="auto"/>
        <w:ind w:firstLine="742"/>
        <w:jc w:val="both"/>
        <w:rPr>
          <w:rFonts w:ascii="Verdana" w:eastAsia="Arial" w:hAnsi="Verdana" w:cstheme="majorHAnsi"/>
          <w:lang w:val="es-ES"/>
        </w:rPr>
      </w:pPr>
    </w:p>
    <w:p w14:paraId="6E09E85B" w14:textId="77777777" w:rsidR="00AA5695" w:rsidRPr="00982502" w:rsidRDefault="00AA5695" w:rsidP="00DD6961">
      <w:pPr>
        <w:snapToGrid w:val="0"/>
        <w:spacing w:after="0" w:line="240" w:lineRule="auto"/>
        <w:ind w:left="709" w:right="709"/>
        <w:jc w:val="both"/>
        <w:textAlignment w:val="baseline"/>
        <w:rPr>
          <w:rFonts w:ascii="Verdana" w:eastAsia="Aptos" w:hAnsi="Verdana" w:cs="Arial"/>
          <w:sz w:val="20"/>
          <w:szCs w:val="20"/>
          <w:lang w:val="es-ES" w:eastAsia="es-MX"/>
        </w:rPr>
      </w:pPr>
      <w:r w:rsidRPr="00982502">
        <w:rPr>
          <w:rFonts w:ascii="Verdana" w:eastAsia="Aptos" w:hAnsi="Verdana" w:cs="Arial"/>
          <w:sz w:val="20"/>
          <w:szCs w:val="20"/>
          <w:lang w:val="es-ES" w:eastAsia="es-MX"/>
        </w:rPr>
        <w:t>“Las estipulaciones de los contratos serán las que de acuerdo con las normas civiles, comerciales y las previstas en esta Ley, correspondan a su esencia y naturaleza.</w:t>
      </w:r>
    </w:p>
    <w:p w14:paraId="0D23D263" w14:textId="77777777" w:rsidR="00AA5695" w:rsidRPr="00982502" w:rsidRDefault="00AA5695" w:rsidP="00DD6961">
      <w:pPr>
        <w:snapToGrid w:val="0"/>
        <w:spacing w:after="0" w:line="240" w:lineRule="auto"/>
        <w:ind w:left="709" w:right="709"/>
        <w:jc w:val="both"/>
        <w:textAlignment w:val="baseline"/>
        <w:rPr>
          <w:rFonts w:ascii="Verdana" w:eastAsia="Aptos" w:hAnsi="Verdana" w:cs="Arial"/>
          <w:sz w:val="20"/>
          <w:szCs w:val="20"/>
          <w:lang w:val="es-ES_tradnl" w:eastAsia="es-MX"/>
        </w:rPr>
      </w:pPr>
      <w:r w:rsidRPr="00982502">
        <w:rPr>
          <w:rFonts w:ascii="Verdana" w:eastAsia="Aptos" w:hAnsi="Verdana" w:cs="Arial"/>
          <w:sz w:val="20"/>
          <w:szCs w:val="20"/>
          <w:lang w:val="es-ES_tradnl" w:eastAsia="es-MX"/>
        </w:rPr>
        <w:t>Las entidades podrán celebrar los contratos y acuerdos que permitan la autonomía de la voluntad y requieran el cumplimiento de los fines estatales.</w:t>
      </w:r>
    </w:p>
    <w:p w14:paraId="324AE606" w14:textId="77777777" w:rsidR="00AA5695" w:rsidRPr="00982502" w:rsidRDefault="00AA5695" w:rsidP="00DD6961">
      <w:pPr>
        <w:snapToGrid w:val="0"/>
        <w:spacing w:after="0" w:line="240" w:lineRule="auto"/>
        <w:ind w:left="709" w:right="709"/>
        <w:jc w:val="both"/>
        <w:textAlignment w:val="baseline"/>
        <w:rPr>
          <w:rFonts w:ascii="Verdana" w:eastAsia="Aptos" w:hAnsi="Verdana" w:cs="Arial"/>
          <w:sz w:val="20"/>
          <w:szCs w:val="20"/>
          <w:lang w:val="es-ES" w:eastAsia="es-MX"/>
        </w:rPr>
      </w:pPr>
      <w:r w:rsidRPr="00982502">
        <w:rPr>
          <w:rFonts w:ascii="Verdana" w:eastAsia="Aptos" w:hAnsi="Verdana" w:cs="Arial"/>
          <w:sz w:val="20"/>
          <w:szCs w:val="20"/>
          <w:lang w:val="es-ES" w:eastAsia="es-MX"/>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p>
    <w:p w14:paraId="7E6747A5" w14:textId="77777777" w:rsidR="00AA5695" w:rsidRPr="00982502" w:rsidRDefault="00AA5695" w:rsidP="00DD6961">
      <w:pPr>
        <w:snapToGrid w:val="0"/>
        <w:spacing w:after="0" w:line="240" w:lineRule="auto"/>
        <w:ind w:left="709" w:right="709"/>
        <w:jc w:val="both"/>
        <w:textAlignment w:val="baseline"/>
        <w:rPr>
          <w:rFonts w:ascii="Verdana" w:eastAsia="Aptos" w:hAnsi="Verdana" w:cs="Arial"/>
          <w:sz w:val="20"/>
          <w:szCs w:val="20"/>
          <w:lang w:val="es-ES_tradnl" w:eastAsia="es-MX"/>
        </w:rPr>
      </w:pPr>
      <w:r w:rsidRPr="00982502">
        <w:rPr>
          <w:rFonts w:ascii="Verdana" w:eastAsia="Aptos" w:hAnsi="Verdana" w:cs="Arial"/>
          <w:sz w:val="20"/>
          <w:szCs w:val="20"/>
          <w:lang w:val="es-ES_tradnl" w:eastAsia="es-MX"/>
        </w:rPr>
        <w:t>En los contratos de empréstito o cualquier otra forma de financiación de organismos multilaterales, podrán incluirse las previsiones y particularidades contempladas en los reglamentos de tales entidades, que no sean contrarias a la Constitución o a la ley […]”</w:t>
      </w:r>
    </w:p>
    <w:bookmarkEnd w:id="2"/>
    <w:p w14:paraId="1DC99185" w14:textId="5B34927B" w:rsidR="00116D20" w:rsidRPr="00982502" w:rsidRDefault="00116D20" w:rsidP="00FD1A8E">
      <w:pPr>
        <w:spacing w:after="0" w:line="240" w:lineRule="auto"/>
        <w:jc w:val="both"/>
        <w:rPr>
          <w:rFonts w:ascii="Verdana" w:eastAsia="Calibri" w:hAnsi="Verdana" w:cs="Arial"/>
          <w:lang w:val="es-ES_tradnl"/>
        </w:rPr>
      </w:pPr>
    </w:p>
    <w:p w14:paraId="5A4E49BD" w14:textId="14C5AB92" w:rsidR="00E035CC" w:rsidRPr="00982502" w:rsidRDefault="008F6A4C" w:rsidP="008F6A4C">
      <w:pPr>
        <w:shd w:val="clear" w:color="auto" w:fill="FFFFFF" w:themeFill="background1"/>
        <w:spacing w:after="120" w:line="276" w:lineRule="auto"/>
        <w:ind w:right="51"/>
        <w:jc w:val="both"/>
        <w:rPr>
          <w:rFonts w:ascii="Verdana" w:eastAsia="Calibri" w:hAnsi="Verdana" w:cs="Arial"/>
          <w:bCs/>
          <w:color w:val="000000" w:themeColor="text1"/>
        </w:rPr>
      </w:pPr>
      <w:r w:rsidRPr="00982502">
        <w:rPr>
          <w:rFonts w:ascii="Verdana" w:eastAsia="Calibri" w:hAnsi="Verdana" w:cs="Arial"/>
        </w:rPr>
        <w:t xml:space="preserve">v) </w:t>
      </w:r>
      <w:r w:rsidR="00063E19" w:rsidRPr="00982502">
        <w:rPr>
          <w:rFonts w:ascii="Verdana" w:eastAsia="Calibri" w:hAnsi="Verdana" w:cs="Arial"/>
        </w:rPr>
        <w:t xml:space="preserve">En concordancia con lo señalado y con el propósito de dar respuesta a la consulta formulada, esto es, frente a la definición de </w:t>
      </w:r>
      <w:r w:rsidR="00063E19" w:rsidRPr="00982502">
        <w:rPr>
          <w:rFonts w:ascii="Verdana" w:eastAsia="Calibri" w:hAnsi="Verdana" w:cs="Arial"/>
          <w:i/>
          <w:iCs/>
        </w:rPr>
        <w:t>gerencia de proyectos</w:t>
      </w:r>
      <w:r w:rsidR="00063E19" w:rsidRPr="00982502">
        <w:rPr>
          <w:rFonts w:ascii="Verdana" w:eastAsia="Calibri" w:hAnsi="Verdana" w:cs="Arial"/>
        </w:rPr>
        <w:t xml:space="preserve">, cabe advertir que, de conformidad con el numeral 2 del artículo 32 de la Ley 80 </w:t>
      </w:r>
      <w:r w:rsidR="00063E19" w:rsidRPr="00982502">
        <w:rPr>
          <w:rFonts w:ascii="Verdana" w:eastAsia="Calibri" w:hAnsi="Verdana" w:cs="Arial"/>
        </w:rPr>
        <w:lastRenderedPageBreak/>
        <w:t>de 1993 —Estatuto General de Contratación de la Administración Pública—, la gerencia de proyectos no constituye una tipología contractual autónoma, sino una modalidad bajo la cual puede configurarse el objeto del contrato de consultoría. En efecto, la norma dispone que “son también contratos de consultoría los que tienen por objeto la interventoría, asesoría, gerencia de obra o de proyectos, dirección, programación y la ejecución de diseños, planos, anteproyectos y proyectos”. De ello se desprende que la gerencia de proyectos comparte con las demás modalidades de consultoría un elemento común: la índole eminentemente técnica y especializada de la labor encomendada, la cual no se relaciona directamente con el funcionamiento interno de la entidad contratante, sino con el acompañamiento profesional en la planeación, coordinación y control de la ejecución de un proyecto específico.</w:t>
      </w:r>
    </w:p>
    <w:p w14:paraId="7AE55266" w14:textId="2CFE474B" w:rsidR="004C32C6" w:rsidRPr="00982502" w:rsidRDefault="00FF3BE2" w:rsidP="004C32C6">
      <w:pPr>
        <w:shd w:val="clear" w:color="auto" w:fill="FFFFFF" w:themeFill="background1"/>
        <w:spacing w:after="120" w:line="276" w:lineRule="auto"/>
        <w:ind w:right="51" w:firstLine="709"/>
        <w:jc w:val="both"/>
        <w:rPr>
          <w:rFonts w:ascii="Verdana" w:eastAsia="Calibri" w:hAnsi="Verdana" w:cs="Arial"/>
          <w:bCs/>
          <w:color w:val="000000" w:themeColor="text1"/>
        </w:rPr>
      </w:pPr>
      <w:r w:rsidRPr="00982502">
        <w:rPr>
          <w:rFonts w:ascii="Verdana" w:eastAsia="Verdana" w:hAnsi="Verdana" w:cs="Verdana"/>
        </w:rPr>
        <w:t>Sobre el particular, l</w:t>
      </w:r>
      <w:r w:rsidR="00E1453B" w:rsidRPr="00982502">
        <w:rPr>
          <w:rFonts w:ascii="Verdana" w:eastAsia="Verdana" w:hAnsi="Verdana" w:cs="Verdana"/>
        </w:rPr>
        <w:t>a Corte Constitucional</w:t>
      </w:r>
      <w:r w:rsidR="00E035CC" w:rsidRPr="00982502">
        <w:rPr>
          <w:rStyle w:val="Refdenotaalpie"/>
          <w:rFonts w:ascii="Verdana" w:eastAsia="Verdana" w:hAnsi="Verdana" w:cs="Verdana"/>
        </w:rPr>
        <w:footnoteReference w:id="13"/>
      </w:r>
      <w:r w:rsidR="00E1453B" w:rsidRPr="00982502">
        <w:rPr>
          <w:rFonts w:ascii="Verdana" w:eastAsia="Verdana" w:hAnsi="Verdana" w:cs="Verdana"/>
        </w:rPr>
        <w:t>, precisó que a través de los contratos de consultoría, entre ellos, los que tienen por objeto la gerencia de proyectos,</w:t>
      </w:r>
      <w:r w:rsidR="00DD0430" w:rsidRPr="00982502">
        <w:rPr>
          <w:rFonts w:ascii="Verdana" w:eastAsia="Verdana" w:hAnsi="Verdana" w:cs="Verdana"/>
        </w:rPr>
        <w:t xml:space="preserve"> </w:t>
      </w:r>
      <w:r w:rsidR="00E1453B" w:rsidRPr="00982502">
        <w:rPr>
          <w:rFonts w:ascii="Verdana" w:eastAsia="Verdana" w:hAnsi="Verdana" w:cs="Verdana"/>
        </w:rPr>
        <w:t>la administración contrata servicios especializados de personas naturales o jurídicas que ofrecen conocimientos y experiencia en una materia determinada, circunstancia que los distingue de los contratos de prestación de servicios, en los cuales el contratista pone a disposición de la entidad su capacidad de trabajo para asumir funciones que, por regla general, no puede desarrollar el personal de planta.</w:t>
      </w:r>
    </w:p>
    <w:p w14:paraId="792C2F01" w14:textId="77777777" w:rsidR="00EB4F35" w:rsidRPr="00982502" w:rsidRDefault="00E1453B" w:rsidP="00EB4F35">
      <w:pPr>
        <w:shd w:val="clear" w:color="auto" w:fill="FFFFFF" w:themeFill="background1"/>
        <w:spacing w:after="120" w:line="276" w:lineRule="auto"/>
        <w:ind w:right="51" w:firstLine="709"/>
        <w:jc w:val="both"/>
        <w:rPr>
          <w:rFonts w:ascii="Verdana" w:eastAsia="Verdana" w:hAnsi="Verdana" w:cs="Verdana"/>
        </w:rPr>
      </w:pPr>
      <w:r w:rsidRPr="00982502">
        <w:rPr>
          <w:rFonts w:ascii="Verdana" w:eastAsia="Verdana" w:hAnsi="Verdana" w:cs="Verdana"/>
        </w:rPr>
        <w:t>Así las cosas, no solo el elemento subjetivo, la posibilidad de que el gerente de proyectos sea persona natural o jurídica, sino que también el elemento objetivo</w:t>
      </w:r>
      <w:r w:rsidR="00CD0E5A" w:rsidRPr="00982502">
        <w:rPr>
          <w:rFonts w:ascii="Verdana" w:eastAsia="Verdana" w:hAnsi="Verdana" w:cs="Verdana"/>
        </w:rPr>
        <w:t xml:space="preserve">, </w:t>
      </w:r>
      <w:r w:rsidRPr="00982502">
        <w:rPr>
          <w:rFonts w:ascii="Verdana" w:eastAsia="Verdana" w:hAnsi="Verdana" w:cs="Verdana"/>
        </w:rPr>
        <w:t>la naturaleza técnica y especializada del objeto contratado</w:t>
      </w:r>
      <w:r w:rsidR="00CD0E5A" w:rsidRPr="00982502">
        <w:rPr>
          <w:rFonts w:ascii="Verdana" w:eastAsia="Verdana" w:hAnsi="Verdana" w:cs="Verdana"/>
        </w:rPr>
        <w:t xml:space="preserve">, </w:t>
      </w:r>
      <w:r w:rsidRPr="00982502">
        <w:rPr>
          <w:rFonts w:ascii="Verdana" w:eastAsia="Verdana" w:hAnsi="Verdana" w:cs="Verdana"/>
        </w:rPr>
        <w:t>resultan determinantes para establecer la existencia de un contrato de gerencia de proyectos sometido al régimen de la consultoría.</w:t>
      </w:r>
    </w:p>
    <w:p w14:paraId="725CA799" w14:textId="54B4EAD9" w:rsidR="00EB4F35" w:rsidRPr="00982502" w:rsidRDefault="00EB4F35" w:rsidP="00EB4F35">
      <w:pPr>
        <w:shd w:val="clear" w:color="auto" w:fill="FFFFFF" w:themeFill="background1"/>
        <w:spacing w:after="120" w:line="276" w:lineRule="auto"/>
        <w:ind w:right="51" w:firstLine="709"/>
        <w:jc w:val="both"/>
        <w:rPr>
          <w:rFonts w:ascii="Verdana" w:eastAsia="Verdana" w:hAnsi="Verdana" w:cs="Verdana"/>
        </w:rPr>
      </w:pPr>
      <w:r w:rsidRPr="00982502">
        <w:rPr>
          <w:rFonts w:ascii="Verdana" w:eastAsia="Calibri" w:hAnsi="Verdana" w:cs="Arial"/>
          <w:bCs/>
          <w:color w:val="000000" w:themeColor="text1"/>
        </w:rPr>
        <w:t xml:space="preserve">Ahora, </w:t>
      </w:r>
      <w:r w:rsidR="005973D3" w:rsidRPr="00982502">
        <w:rPr>
          <w:rFonts w:ascii="Verdana" w:eastAsia="Verdana" w:hAnsi="Verdana" w:cs="Verdana"/>
        </w:rPr>
        <w:t>s</w:t>
      </w:r>
      <w:r w:rsidRPr="00982502">
        <w:rPr>
          <w:rFonts w:ascii="Verdana" w:eastAsia="Verdana" w:hAnsi="Verdana" w:cs="Verdana"/>
        </w:rPr>
        <w:t xml:space="preserve">i bien el artículo 32, numeral 2, de la Ley 80 de 1993 agrupa a la interventoría, la asesoría, la gerencia de obra y la gerencia de proyectos dentro de una misma categoría contractual, la consultoría, ello no implica que dichas figuras sean equivalentes entre sí. La interventoría se orienta al control y la vigilancia de la ejecución de un contrato ya perfeccionado, en tanto que la gerencia de proyectos supone, de ordinario, un rol de dirección, coordinación y administración integral de las distintas etapas del proyecto, incluida su formulación y su seguimiento presupuestal y cronológico, sin que ello suponga </w:t>
      </w:r>
      <w:r w:rsidRPr="00982502">
        <w:rPr>
          <w:rFonts w:ascii="Verdana" w:eastAsia="Verdana" w:hAnsi="Verdana" w:cs="Verdana"/>
        </w:rPr>
        <w:lastRenderedPageBreak/>
        <w:t>necesariamente el ejercicio de las funciones específicas que el artículo 32, numeral 2, inciso 3°, atribuye al interventor de obra.</w:t>
      </w:r>
    </w:p>
    <w:p w14:paraId="789ECE9D" w14:textId="77777777" w:rsidR="001D7224" w:rsidRPr="00982502" w:rsidRDefault="00EB4F35" w:rsidP="001D7224">
      <w:pPr>
        <w:shd w:val="clear" w:color="auto" w:fill="FFFFFF" w:themeFill="background1"/>
        <w:spacing w:after="120" w:line="276" w:lineRule="auto"/>
        <w:ind w:right="51" w:firstLine="709"/>
        <w:jc w:val="both"/>
        <w:rPr>
          <w:rFonts w:ascii="Verdana" w:eastAsia="Verdana" w:hAnsi="Verdana" w:cs="Verdana"/>
        </w:rPr>
      </w:pPr>
      <w:r w:rsidRPr="00982502">
        <w:rPr>
          <w:rFonts w:ascii="Verdana" w:eastAsia="Verdana" w:hAnsi="Verdana" w:cs="Verdana"/>
        </w:rPr>
        <w:t>En consecuencia, la determinación sobre si un instrumento contractual corresponde a una gerencia de proyectos, a una interventoría o a una asesoría dependerá, en cada caso concreto, del alcance de las obligaciones pactadas y no exclusivamente de la denominación que las partes le hayan atribuido al negocio jurídico, la naturaleza jurídica de un contrato estatal se define sobre su contenido obligacional y no sobre el nomen iuris asignado por las partes.</w:t>
      </w:r>
    </w:p>
    <w:p w14:paraId="2F8C85C9" w14:textId="6A309E2B" w:rsidR="00897219" w:rsidRPr="00982502" w:rsidRDefault="001D7224" w:rsidP="00897219">
      <w:pPr>
        <w:shd w:val="clear" w:color="auto" w:fill="FFFFFF" w:themeFill="background1"/>
        <w:spacing w:after="120" w:line="276" w:lineRule="auto"/>
        <w:ind w:right="51" w:firstLine="709"/>
        <w:jc w:val="both"/>
        <w:rPr>
          <w:rFonts w:ascii="Verdana" w:eastAsia="Verdana" w:hAnsi="Verdana" w:cs="Verdana"/>
        </w:rPr>
      </w:pPr>
      <w:r w:rsidRPr="00982502">
        <w:rPr>
          <w:rFonts w:ascii="Verdana" w:eastAsia="Verdana" w:hAnsi="Verdana" w:cs="Verdana"/>
        </w:rPr>
        <w:t>Finalmente, debe manifestarse que para efectos de establecer el alcance concreto de las obligaciones a cargo de quien funge como gerente de proyectos, deberán valorarse, entre otros, los siguientes criterios: primero, el objeto específico del proyecto sobre el cual recae la gerencia, en la medida en que este determina las competencias técnicas exigibles; segundo, las etapas del ciclo del proyecto que quedaron comprendidas dentro del objeto contractual, formulación, estructuración, ejecución o cierre; y tercero, el grado de autonomía decisoria conferido al gerente frente a la entidad contratante, distinción que resulta relevante para diferenciar la gerencia de proyectos de la simple asesoría técnica.</w:t>
      </w:r>
    </w:p>
    <w:p w14:paraId="4A3D0B80" w14:textId="16A374E7" w:rsidR="001D7224" w:rsidRPr="00982502" w:rsidRDefault="001D7224" w:rsidP="00546782">
      <w:pPr>
        <w:shd w:val="clear" w:color="auto" w:fill="FFFFFF" w:themeFill="background1"/>
        <w:spacing w:after="0" w:line="276" w:lineRule="auto"/>
        <w:ind w:right="51" w:firstLine="709"/>
        <w:jc w:val="both"/>
        <w:rPr>
          <w:rFonts w:ascii="Verdana" w:eastAsia="Verdana" w:hAnsi="Verdana" w:cs="Verdana"/>
        </w:rPr>
      </w:pPr>
      <w:r w:rsidRPr="00982502">
        <w:rPr>
          <w:rFonts w:ascii="Verdana" w:eastAsia="Verdana" w:hAnsi="Verdana" w:cs="Verdana"/>
        </w:rPr>
        <w:t>De lo anterior se colige que la valoración del alcance de la gerencia de proyectos, al igual que ocurre con otros conceptos jurídicos indeterminados propios del régimen de contratación estatal, deberá efectuarse caso a caso, de conformidad con el clausulado contractual y los estudios previos que le sirvieron de fundamento, sin que sea procedente una interpretación uniforme y abstracta aplicable a la totalidad de los contratos que tengan por objeto esta modalidad de consultoría.</w:t>
      </w:r>
    </w:p>
    <w:p w14:paraId="17C88D39" w14:textId="77777777" w:rsidR="00546782" w:rsidRPr="00982502" w:rsidRDefault="00546782" w:rsidP="00DD6961">
      <w:pPr>
        <w:shd w:val="clear" w:color="auto" w:fill="FFFFFF" w:themeFill="background1"/>
        <w:spacing w:after="0" w:line="276" w:lineRule="auto"/>
        <w:ind w:right="51" w:firstLine="709"/>
        <w:jc w:val="both"/>
        <w:rPr>
          <w:rFonts w:ascii="Verdana" w:eastAsia="Verdana" w:hAnsi="Verdana" w:cs="Verdana"/>
        </w:rPr>
      </w:pPr>
    </w:p>
    <w:p w14:paraId="3BF9EB13" w14:textId="3FB31196" w:rsidR="00B74A7C" w:rsidRPr="00982502" w:rsidRDefault="00897219" w:rsidP="00DD6961">
      <w:pPr>
        <w:spacing w:after="120" w:line="276" w:lineRule="auto"/>
        <w:jc w:val="both"/>
        <w:rPr>
          <w:rFonts w:ascii="Verdana" w:eastAsia="Calibri" w:hAnsi="Verdana" w:cs="Arial"/>
          <w:bCs/>
          <w:color w:val="000000" w:themeColor="text1"/>
          <w:lang w:val="es-ES_tradnl"/>
        </w:rPr>
      </w:pPr>
      <w:r w:rsidRPr="00982502">
        <w:rPr>
          <w:rFonts w:ascii="Verdana" w:eastAsia="Verdana" w:hAnsi="Verdana" w:cs="Verdana"/>
        </w:rPr>
        <w:t>v</w:t>
      </w:r>
      <w:r w:rsidR="00C6010B" w:rsidRPr="00982502">
        <w:rPr>
          <w:rFonts w:ascii="Verdana" w:eastAsia="Verdana" w:hAnsi="Verdana" w:cs="Verdana"/>
        </w:rPr>
        <w:t>i</w:t>
      </w:r>
      <w:r w:rsidRPr="00982502">
        <w:rPr>
          <w:rFonts w:ascii="Verdana" w:eastAsia="Verdana" w:hAnsi="Verdana" w:cs="Verdana"/>
        </w:rPr>
        <w:t>)</w:t>
      </w:r>
      <w:r w:rsidR="00B74A7C" w:rsidRPr="00982502">
        <w:rPr>
          <w:rFonts w:ascii="Verdana" w:eastAsia="Calibri" w:hAnsi="Verdana" w:cs="Arial"/>
          <w:bCs/>
          <w:color w:val="000000" w:themeColor="text1"/>
        </w:rPr>
        <w:t xml:space="preserve"> 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w:t>
      </w:r>
      <w:r w:rsidR="00B74A7C" w:rsidRPr="00982502">
        <w:rPr>
          <w:rFonts w:ascii="Verdana" w:eastAsia="Calibri" w:hAnsi="Verdana" w:cs="Arial"/>
          <w:bCs/>
          <w:color w:val="000000" w:themeColor="text1"/>
        </w:rPr>
        <w:lastRenderedPageBreak/>
        <w:t>correspondiente y, en caso de conflicto, a las autoridades judiciales, fiscales y disciplinarias.</w:t>
      </w:r>
    </w:p>
    <w:p w14:paraId="7DBC0680" w14:textId="77777777" w:rsidR="00B74A7C" w:rsidRPr="00982502" w:rsidRDefault="00B74A7C" w:rsidP="00B74A7C">
      <w:pPr>
        <w:spacing w:after="0" w:line="276" w:lineRule="auto"/>
        <w:ind w:firstLine="708"/>
        <w:jc w:val="both"/>
        <w:rPr>
          <w:rFonts w:ascii="Verdana" w:eastAsia="Calibri" w:hAnsi="Verdana" w:cs="Arial"/>
          <w:bCs/>
          <w:color w:val="000000" w:themeColor="text1"/>
        </w:rPr>
      </w:pPr>
      <w:r w:rsidRPr="00982502">
        <w:rPr>
          <w:rFonts w:ascii="Verdana" w:eastAsia="Calibri" w:hAnsi="Verdana" w:cs="Arial"/>
          <w:bCs/>
          <w:color w:val="000000" w:themeColor="text1"/>
        </w:rPr>
        <w:t xml:space="preserve">Dentro de este marco, la entidad contratante definirá en cada caso concreto lo relacionado con los aspectos puntuales del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22C677E3" w14:textId="77777777" w:rsidR="00287D4D" w:rsidRPr="00982502" w:rsidRDefault="00287D4D" w:rsidP="00287D4D">
      <w:pPr>
        <w:spacing w:after="0" w:line="276" w:lineRule="auto"/>
        <w:jc w:val="both"/>
        <w:rPr>
          <w:rFonts w:ascii="Verdana" w:hAnsi="Verdana" w:cs="Arial"/>
        </w:rPr>
      </w:pPr>
    </w:p>
    <w:p w14:paraId="32F204A0" w14:textId="77777777" w:rsidR="00287D4D" w:rsidRPr="00982502" w:rsidRDefault="00287D4D" w:rsidP="00546782">
      <w:pPr>
        <w:pStyle w:val="Prrafodelista"/>
        <w:numPr>
          <w:ilvl w:val="0"/>
          <w:numId w:val="17"/>
        </w:numPr>
        <w:tabs>
          <w:tab w:val="left" w:pos="142"/>
          <w:tab w:val="left" w:pos="284"/>
        </w:tabs>
        <w:spacing w:after="0" w:line="276" w:lineRule="auto"/>
        <w:ind w:left="360"/>
        <w:contextualSpacing w:val="0"/>
        <w:jc w:val="both"/>
        <w:rPr>
          <w:rFonts w:ascii="Verdana" w:eastAsia="Century Gothic" w:hAnsi="Verdana" w:cs="Century Gothic"/>
          <w:b/>
          <w:bCs/>
        </w:rPr>
      </w:pPr>
      <w:r w:rsidRPr="00982502">
        <w:rPr>
          <w:rFonts w:ascii="Verdana" w:eastAsia="Century Gothic" w:hAnsi="Verdana" w:cs="Century Gothic"/>
          <w:b/>
          <w:bCs/>
        </w:rPr>
        <w:t>Referencias normativas, jurisprudenciales y otras fuentes:</w:t>
      </w:r>
    </w:p>
    <w:p w14:paraId="09A83AB5" w14:textId="77777777" w:rsidR="00287D4D" w:rsidRPr="00982502" w:rsidRDefault="00287D4D" w:rsidP="00287D4D">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87D4D" w:rsidRPr="00982502" w14:paraId="5BC1DB60" w14:textId="77777777" w:rsidTr="00FC4E84">
        <w:trPr>
          <w:trHeight w:val="870"/>
        </w:trPr>
        <w:tc>
          <w:tcPr>
            <w:tcW w:w="8647" w:type="dxa"/>
          </w:tcPr>
          <w:p w14:paraId="3D97C195" w14:textId="714F0E22" w:rsidR="00942B39" w:rsidRPr="00982502" w:rsidRDefault="00942B39" w:rsidP="00DD6961">
            <w:pPr>
              <w:pStyle w:val="Prrafodelista"/>
              <w:widowControl w:val="0"/>
              <w:numPr>
                <w:ilvl w:val="0"/>
                <w:numId w:val="18"/>
              </w:numPr>
              <w:autoSpaceDE w:val="0"/>
              <w:autoSpaceDN w:val="0"/>
              <w:spacing w:line="276" w:lineRule="auto"/>
              <w:contextualSpacing w:val="0"/>
              <w:jc w:val="both"/>
              <w:rPr>
                <w:rFonts w:ascii="Verdana" w:hAnsi="Verdana" w:cs="Arial"/>
                <w:color w:val="000000" w:themeColor="text1"/>
                <w:lang w:val="es-ES_tradnl"/>
              </w:rPr>
            </w:pPr>
            <w:r w:rsidRPr="00982502">
              <w:rPr>
                <w:rFonts w:ascii="Verdana" w:eastAsia="Calibri" w:hAnsi="Verdana" w:cs="Arial"/>
              </w:rPr>
              <w:t>Ley 80 de 1993</w:t>
            </w:r>
            <w:r w:rsidR="0012371D" w:rsidRPr="00982502">
              <w:rPr>
                <w:rFonts w:ascii="Verdana" w:eastAsia="Calibri" w:hAnsi="Verdana" w:cs="Arial"/>
              </w:rPr>
              <w:t>.</w:t>
            </w:r>
            <w:r w:rsidRPr="00982502">
              <w:rPr>
                <w:rFonts w:ascii="Verdana" w:eastAsia="Calibri" w:hAnsi="Verdana" w:cs="Arial"/>
              </w:rPr>
              <w:t xml:space="preserve"> </w:t>
            </w:r>
            <w:r w:rsidR="0012371D" w:rsidRPr="00982502">
              <w:rPr>
                <w:rFonts w:ascii="Verdana" w:eastAsia="Calibri" w:hAnsi="Verdana" w:cs="Arial"/>
              </w:rPr>
              <w:t>A</w:t>
            </w:r>
            <w:r w:rsidRPr="00982502">
              <w:rPr>
                <w:rFonts w:ascii="Verdana" w:eastAsia="Calibri" w:hAnsi="Verdana" w:cs="Arial"/>
              </w:rPr>
              <w:t xml:space="preserve">rtículos </w:t>
            </w:r>
            <w:r w:rsidR="0012371D" w:rsidRPr="00982502">
              <w:rPr>
                <w:rFonts w:ascii="Verdana" w:eastAsia="Calibri" w:hAnsi="Verdana" w:cs="Arial"/>
              </w:rPr>
              <w:t xml:space="preserve">1, </w:t>
            </w:r>
            <w:r w:rsidRPr="00982502">
              <w:rPr>
                <w:rFonts w:ascii="Verdana" w:eastAsia="Calibri" w:hAnsi="Verdana" w:cs="Arial"/>
              </w:rPr>
              <w:t>2, 4, 5, 12, 13, 14, 26 32, 40</w:t>
            </w:r>
          </w:p>
          <w:p w14:paraId="1B81278A" w14:textId="1D468557" w:rsidR="00287D4D" w:rsidRPr="00982502" w:rsidRDefault="00287D4D" w:rsidP="00DD6961">
            <w:pPr>
              <w:pStyle w:val="Prrafodelista"/>
              <w:widowControl w:val="0"/>
              <w:numPr>
                <w:ilvl w:val="0"/>
                <w:numId w:val="18"/>
              </w:numPr>
              <w:autoSpaceDE w:val="0"/>
              <w:autoSpaceDN w:val="0"/>
              <w:spacing w:line="276" w:lineRule="auto"/>
              <w:contextualSpacing w:val="0"/>
              <w:jc w:val="both"/>
              <w:rPr>
                <w:rFonts w:ascii="Verdana" w:hAnsi="Verdana" w:cs="Arial"/>
                <w:color w:val="000000" w:themeColor="text1"/>
                <w:lang w:val="es-ES_tradnl"/>
              </w:rPr>
            </w:pPr>
            <w:r w:rsidRPr="00982502">
              <w:rPr>
                <w:rFonts w:ascii="Verdana" w:hAnsi="Verdana" w:cs="Arial"/>
              </w:rPr>
              <w:t>Ley 1150 de 2007</w:t>
            </w:r>
            <w:r w:rsidR="00334136" w:rsidRPr="00982502">
              <w:rPr>
                <w:rFonts w:ascii="Verdana" w:hAnsi="Verdana" w:cs="Arial"/>
              </w:rPr>
              <w:t>. A</w:t>
            </w:r>
            <w:r w:rsidRPr="00982502">
              <w:rPr>
                <w:rFonts w:ascii="Verdana" w:hAnsi="Verdana" w:cs="Arial"/>
              </w:rPr>
              <w:t>rtículo</w:t>
            </w:r>
            <w:r w:rsidR="003D1F78" w:rsidRPr="00982502">
              <w:rPr>
                <w:rFonts w:ascii="Verdana" w:hAnsi="Verdana" w:cs="Arial"/>
              </w:rPr>
              <w:t>s</w:t>
            </w:r>
            <w:r w:rsidR="00334136" w:rsidRPr="00982502">
              <w:rPr>
                <w:rFonts w:ascii="Verdana" w:hAnsi="Verdana" w:cs="Arial"/>
              </w:rPr>
              <w:t xml:space="preserve"> 2</w:t>
            </w:r>
            <w:r w:rsidR="003D1F78" w:rsidRPr="00982502">
              <w:rPr>
                <w:rFonts w:ascii="Verdana" w:hAnsi="Verdana" w:cs="Arial"/>
              </w:rPr>
              <w:t>, 21</w:t>
            </w:r>
            <w:r w:rsidRPr="00982502">
              <w:rPr>
                <w:rFonts w:ascii="Verdana" w:hAnsi="Verdana" w:cs="Arial"/>
              </w:rPr>
              <w:t xml:space="preserve"> </w:t>
            </w:r>
          </w:p>
          <w:p w14:paraId="2CDF6F1F" w14:textId="77777777" w:rsidR="005E3DF0" w:rsidRPr="00982502" w:rsidRDefault="00287D4D" w:rsidP="00DD6961">
            <w:pPr>
              <w:pStyle w:val="Prrafodelista"/>
              <w:widowControl w:val="0"/>
              <w:numPr>
                <w:ilvl w:val="0"/>
                <w:numId w:val="18"/>
              </w:numPr>
              <w:autoSpaceDE w:val="0"/>
              <w:autoSpaceDN w:val="0"/>
              <w:spacing w:line="276" w:lineRule="auto"/>
              <w:contextualSpacing w:val="0"/>
              <w:jc w:val="both"/>
              <w:rPr>
                <w:rFonts w:ascii="Verdana" w:hAnsi="Verdana" w:cs="Arial"/>
                <w:color w:val="000000" w:themeColor="text1"/>
                <w:lang w:val="es-ES_tradnl"/>
              </w:rPr>
            </w:pPr>
            <w:r w:rsidRPr="00982502">
              <w:rPr>
                <w:rFonts w:ascii="Verdana" w:hAnsi="Verdana" w:cs="Arial"/>
              </w:rPr>
              <w:t>Ley 1437 de 2011</w:t>
            </w:r>
            <w:r w:rsidR="00376F4B" w:rsidRPr="00982502">
              <w:rPr>
                <w:rFonts w:ascii="Verdana" w:hAnsi="Verdana" w:cs="Arial"/>
              </w:rPr>
              <w:t>. Artículo 83</w:t>
            </w:r>
          </w:p>
          <w:p w14:paraId="7B90DF82" w14:textId="2EE89D18" w:rsidR="005E3DF0" w:rsidRPr="00982502" w:rsidRDefault="005E3DF0" w:rsidP="00DD6961">
            <w:pPr>
              <w:pStyle w:val="Prrafodelista"/>
              <w:widowControl w:val="0"/>
              <w:numPr>
                <w:ilvl w:val="0"/>
                <w:numId w:val="18"/>
              </w:numPr>
              <w:autoSpaceDE w:val="0"/>
              <w:autoSpaceDN w:val="0"/>
              <w:spacing w:line="276" w:lineRule="auto"/>
              <w:contextualSpacing w:val="0"/>
              <w:jc w:val="both"/>
              <w:rPr>
                <w:rFonts w:ascii="Verdana" w:hAnsi="Verdana" w:cs="Arial"/>
                <w:color w:val="000000" w:themeColor="text1"/>
                <w:lang w:val="es-ES_tradnl"/>
              </w:rPr>
            </w:pPr>
            <w:r w:rsidRPr="00982502">
              <w:rPr>
                <w:rFonts w:ascii="Verdana" w:eastAsia="Arial" w:hAnsi="Verdana" w:cs="Arial"/>
                <w:color w:val="000000" w:themeColor="text1"/>
                <w:lang w:eastAsia="es-ES"/>
              </w:rPr>
              <w:t>Código de Comercio establece en el artículo 864</w:t>
            </w:r>
          </w:p>
          <w:p w14:paraId="19E043CA" w14:textId="0D8D0B1B" w:rsidR="00287D4D" w:rsidRPr="00982502" w:rsidRDefault="00287D4D" w:rsidP="00DD6961">
            <w:pPr>
              <w:pStyle w:val="Prrafodelista"/>
              <w:widowControl w:val="0"/>
              <w:numPr>
                <w:ilvl w:val="0"/>
                <w:numId w:val="18"/>
              </w:numPr>
              <w:autoSpaceDE w:val="0"/>
              <w:autoSpaceDN w:val="0"/>
              <w:spacing w:line="276" w:lineRule="auto"/>
              <w:contextualSpacing w:val="0"/>
              <w:jc w:val="both"/>
              <w:rPr>
                <w:rFonts w:ascii="Verdana" w:hAnsi="Verdana" w:cs="Arial"/>
                <w:color w:val="000000" w:themeColor="text1"/>
                <w:lang w:val="es-ES_tradnl"/>
              </w:rPr>
            </w:pPr>
            <w:r w:rsidRPr="00982502">
              <w:rPr>
                <w:rFonts w:ascii="Verdana" w:hAnsi="Verdana" w:cs="Arial"/>
                <w:color w:val="000000" w:themeColor="text1"/>
                <w:lang w:val="es-ES_tradnl"/>
              </w:rPr>
              <w:t>Decreto 1082 de 2015, artículo</w:t>
            </w:r>
            <w:r w:rsidR="00BA1947" w:rsidRPr="00982502">
              <w:rPr>
                <w:rFonts w:ascii="Verdana" w:hAnsi="Verdana" w:cs="Arial"/>
                <w:color w:val="000000" w:themeColor="text1"/>
                <w:lang w:val="es-ES_tradnl"/>
              </w:rPr>
              <w:t xml:space="preserve"> </w:t>
            </w:r>
            <w:r w:rsidR="00BA1947" w:rsidRPr="00982502">
              <w:rPr>
                <w:rFonts w:ascii="Verdana" w:eastAsia="Calibri" w:hAnsi="Verdana" w:cs="Arial"/>
                <w:bCs/>
                <w:lang w:val="es-ES_tradnl"/>
              </w:rPr>
              <w:t>2.2.1.2.1.3.2</w:t>
            </w:r>
          </w:p>
          <w:p w14:paraId="5D4226E8" w14:textId="35E9F8FF" w:rsidR="00FB3328" w:rsidRPr="00546782" w:rsidRDefault="00FB3328" w:rsidP="00DD6961">
            <w:pPr>
              <w:pStyle w:val="Prrafodelista"/>
              <w:widowControl w:val="0"/>
              <w:numPr>
                <w:ilvl w:val="0"/>
                <w:numId w:val="18"/>
              </w:numPr>
              <w:autoSpaceDE w:val="0"/>
              <w:autoSpaceDN w:val="0"/>
              <w:spacing w:line="276" w:lineRule="auto"/>
              <w:contextualSpacing w:val="0"/>
              <w:jc w:val="both"/>
              <w:rPr>
                <w:rFonts w:ascii="Verdana" w:hAnsi="Verdana" w:cs="Arial"/>
                <w:color w:val="000000" w:themeColor="text1"/>
              </w:rPr>
            </w:pPr>
            <w:r w:rsidRPr="00546782">
              <w:rPr>
                <w:rFonts w:ascii="Verdana" w:hAnsi="Verdana" w:cs="Arial"/>
                <w:color w:val="000000" w:themeColor="text1"/>
              </w:rPr>
              <w:t>Consejo de Estado. Sección Tercera. Sentencia del 28 de febrero de 2013. Exp. 24.266 C.P. Danilo Rojas Betancourth.</w:t>
            </w:r>
          </w:p>
          <w:p w14:paraId="0D99D93A" w14:textId="36237523" w:rsidR="001564F7" w:rsidRPr="00546782" w:rsidRDefault="001564F7" w:rsidP="00DD6961">
            <w:pPr>
              <w:pStyle w:val="Prrafodelista"/>
              <w:widowControl w:val="0"/>
              <w:numPr>
                <w:ilvl w:val="0"/>
                <w:numId w:val="18"/>
              </w:numPr>
              <w:autoSpaceDE w:val="0"/>
              <w:autoSpaceDN w:val="0"/>
              <w:spacing w:line="276" w:lineRule="auto"/>
              <w:contextualSpacing w:val="0"/>
              <w:jc w:val="both"/>
              <w:rPr>
                <w:rFonts w:ascii="Verdana" w:hAnsi="Verdana" w:cs="Arial"/>
                <w:color w:val="000000" w:themeColor="text1"/>
              </w:rPr>
            </w:pPr>
            <w:r w:rsidRPr="00546782">
              <w:rPr>
                <w:rFonts w:ascii="Verdana" w:hAnsi="Verdana" w:cs="Arial"/>
                <w:color w:val="000000" w:themeColor="text1"/>
              </w:rPr>
              <w:t>Consejo de Estado</w:t>
            </w:r>
            <w:r w:rsidR="001A1F65" w:rsidRPr="00546782">
              <w:rPr>
                <w:rFonts w:ascii="Verdana" w:hAnsi="Verdana" w:cs="Arial"/>
                <w:color w:val="000000" w:themeColor="text1"/>
              </w:rPr>
              <w:t>.</w:t>
            </w:r>
            <w:r w:rsidRPr="00546782">
              <w:rPr>
                <w:rFonts w:ascii="Verdana" w:hAnsi="Verdana" w:cs="Arial"/>
                <w:color w:val="000000" w:themeColor="text1"/>
              </w:rPr>
              <w:t xml:space="preserve"> Sección Tercera. Sentencia del 8 de marzo de 1996. Exp 8070, C.P. Jesús María Carrillo</w:t>
            </w:r>
          </w:p>
          <w:p w14:paraId="2F10073C" w14:textId="77777777" w:rsidR="00763615" w:rsidRPr="00546782" w:rsidRDefault="001A1F65" w:rsidP="00DD6961">
            <w:pPr>
              <w:pStyle w:val="Prrafodelista"/>
              <w:widowControl w:val="0"/>
              <w:numPr>
                <w:ilvl w:val="0"/>
                <w:numId w:val="18"/>
              </w:numPr>
              <w:autoSpaceDE w:val="0"/>
              <w:autoSpaceDN w:val="0"/>
              <w:spacing w:line="276" w:lineRule="auto"/>
              <w:contextualSpacing w:val="0"/>
              <w:jc w:val="both"/>
              <w:rPr>
                <w:rFonts w:ascii="Verdana" w:hAnsi="Verdana" w:cs="Arial"/>
                <w:color w:val="000000" w:themeColor="text1"/>
              </w:rPr>
            </w:pPr>
            <w:r w:rsidRPr="00546782">
              <w:rPr>
                <w:rFonts w:ascii="Verdana" w:hAnsi="Verdana" w:cs="Arial"/>
                <w:color w:val="000000" w:themeColor="text1"/>
              </w:rPr>
              <w:t xml:space="preserve">Consejo de Estado. Sección Tercera. Subsección C. Sentencia del 25 de abril del 2012. Exp. 22167. </w:t>
            </w:r>
            <w:r w:rsidR="00763615" w:rsidRPr="00546782">
              <w:rPr>
                <w:rFonts w:ascii="Verdana" w:hAnsi="Verdana" w:cs="Arial"/>
                <w:color w:val="000000" w:themeColor="text1"/>
              </w:rPr>
              <w:t>C</w:t>
            </w:r>
            <w:r w:rsidRPr="00546782">
              <w:rPr>
                <w:rFonts w:ascii="Verdana" w:hAnsi="Verdana" w:cs="Arial"/>
                <w:color w:val="000000" w:themeColor="text1"/>
              </w:rPr>
              <w:t>.P. Jaime Orlando Santofimio Gamboa.</w:t>
            </w:r>
          </w:p>
          <w:p w14:paraId="6A8A61CC" w14:textId="58184A10" w:rsidR="00763615" w:rsidRPr="00982502" w:rsidRDefault="00763615" w:rsidP="00DD6961">
            <w:pPr>
              <w:pStyle w:val="Prrafodelista"/>
              <w:widowControl w:val="0"/>
              <w:numPr>
                <w:ilvl w:val="0"/>
                <w:numId w:val="18"/>
              </w:numPr>
              <w:autoSpaceDE w:val="0"/>
              <w:autoSpaceDN w:val="0"/>
              <w:spacing w:line="276" w:lineRule="auto"/>
              <w:contextualSpacing w:val="0"/>
              <w:jc w:val="both"/>
              <w:rPr>
                <w:rFonts w:ascii="Verdana" w:hAnsi="Verdana" w:cs="Arial"/>
                <w:color w:val="000000" w:themeColor="text1"/>
                <w:lang w:val="es-ES_tradnl"/>
              </w:rPr>
            </w:pPr>
            <w:r w:rsidRPr="00DD6961">
              <w:rPr>
                <w:rFonts w:ascii="Verdana" w:hAnsi="Verdana"/>
                <w:lang w:val="pt-BR"/>
              </w:rPr>
              <w:t xml:space="preserve">Corte Constitucional. Sentencia C-326 de 1997. </w:t>
            </w:r>
            <w:r w:rsidRPr="00982502">
              <w:rPr>
                <w:rFonts w:ascii="Verdana" w:hAnsi="Verdana"/>
              </w:rPr>
              <w:t>M.P. Fabio Morón Díaz</w:t>
            </w:r>
            <w:r w:rsidR="00573704" w:rsidRPr="00982502">
              <w:rPr>
                <w:rFonts w:ascii="Verdana" w:hAnsi="Verdana"/>
              </w:rPr>
              <w:t>.</w:t>
            </w:r>
          </w:p>
          <w:p w14:paraId="7DA27079" w14:textId="4DCCAA9A" w:rsidR="00287D4D" w:rsidRPr="00982502" w:rsidRDefault="003E3E71" w:rsidP="00546782">
            <w:pPr>
              <w:pStyle w:val="Prrafodelista"/>
              <w:numPr>
                <w:ilvl w:val="0"/>
                <w:numId w:val="18"/>
              </w:numPr>
              <w:spacing w:line="276" w:lineRule="auto"/>
              <w:contextualSpacing w:val="0"/>
              <w:jc w:val="both"/>
              <w:rPr>
                <w:rFonts w:ascii="Verdana" w:hAnsi="Verdana" w:cs="Arial"/>
                <w:color w:val="000000"/>
              </w:rPr>
            </w:pPr>
            <w:r w:rsidRPr="00982502">
              <w:rPr>
                <w:rFonts w:ascii="Verdana" w:hAnsi="Verdana" w:cs="Arial"/>
                <w:color w:val="000000"/>
              </w:rPr>
              <w:t xml:space="preserve">Guía para procesos de contratación de obra pública. </w:t>
            </w:r>
            <w:r w:rsidRPr="00546782">
              <w:rPr>
                <w:rFonts w:ascii="Verdana" w:hAnsi="Verdana" w:cs="Arial"/>
                <w:color w:val="000000"/>
              </w:rPr>
              <w:t xml:space="preserve">Disponible en: </w:t>
            </w:r>
            <w:hyperlink r:id="rId13" w:history="1">
              <w:r w:rsidR="008936D1" w:rsidRPr="00546782">
                <w:rPr>
                  <w:rStyle w:val="Hipervnculo"/>
                  <w:rFonts w:ascii="Verdana" w:hAnsi="Verdana" w:cs="Arial"/>
                </w:rPr>
                <w:t>Guía para procesos de contratación de obra pública</w:t>
              </w:r>
            </w:hyperlink>
            <w:r w:rsidR="008936D1" w:rsidRPr="00546782">
              <w:rPr>
                <w:rFonts w:ascii="Verdana" w:hAnsi="Verdana" w:cs="Arial"/>
                <w:color w:val="000000"/>
              </w:rPr>
              <w:t xml:space="preserve"> </w:t>
            </w:r>
          </w:p>
        </w:tc>
      </w:tr>
    </w:tbl>
    <w:p w14:paraId="3709D0CF" w14:textId="77777777" w:rsidR="00287D4D" w:rsidRPr="00982502" w:rsidRDefault="00287D4D" w:rsidP="00287D4D">
      <w:pPr>
        <w:widowControl w:val="0"/>
        <w:autoSpaceDE w:val="0"/>
        <w:autoSpaceDN w:val="0"/>
        <w:spacing w:after="0" w:line="276" w:lineRule="auto"/>
        <w:jc w:val="both"/>
        <w:rPr>
          <w:rFonts w:ascii="Verdana" w:hAnsi="Verdana" w:cs="Arial"/>
        </w:rPr>
      </w:pPr>
    </w:p>
    <w:p w14:paraId="0E9C745D" w14:textId="77777777" w:rsidR="00287D4D" w:rsidRPr="00982502" w:rsidRDefault="00287D4D" w:rsidP="00287D4D">
      <w:pPr>
        <w:pStyle w:val="Prrafodelista"/>
        <w:numPr>
          <w:ilvl w:val="0"/>
          <w:numId w:val="17"/>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82502">
        <w:rPr>
          <w:rFonts w:ascii="Verdana" w:eastAsia="Century Gothic" w:hAnsi="Verdana" w:cs="Century Gothic"/>
          <w:b/>
          <w:bCs/>
        </w:rPr>
        <w:t>Doctrina de la Agencia Nacional de Contratación Pública:</w:t>
      </w:r>
    </w:p>
    <w:p w14:paraId="13251A75" w14:textId="77777777" w:rsidR="009A09D9" w:rsidRPr="00982502" w:rsidRDefault="009A09D9" w:rsidP="009A09D9">
      <w:pPr>
        <w:widowControl w:val="0"/>
        <w:autoSpaceDE w:val="0"/>
        <w:autoSpaceDN w:val="0"/>
        <w:spacing w:after="0" w:line="276" w:lineRule="auto"/>
        <w:jc w:val="both"/>
        <w:rPr>
          <w:rFonts w:ascii="Verdana" w:hAnsi="Verdana" w:cs="Arial"/>
        </w:rPr>
      </w:pPr>
    </w:p>
    <w:p w14:paraId="1174B613" w14:textId="7673758A" w:rsidR="009A09D9" w:rsidRDefault="00FD45E6" w:rsidP="00546782">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82502">
        <w:rPr>
          <w:rFonts w:ascii="Verdana" w:eastAsia="Calibri" w:hAnsi="Verdana" w:cs="Arial"/>
          <w:color w:val="000000" w:themeColor="text1"/>
          <w:lang w:val="es-ES" w:eastAsia="es-ES_tradnl"/>
        </w:rPr>
        <w:t xml:space="preserve">La Agencia Nacional de Contratación Pública – Colombia Compra Eficiente </w:t>
      </w:r>
      <w:r w:rsidRPr="00982502">
        <w:rPr>
          <w:rFonts w:ascii="Verdana" w:eastAsia="Arial" w:hAnsi="Verdana" w:cs="Arial"/>
          <w:lang w:val="es-ES" w:eastAsia="es-ES_tradnl"/>
        </w:rPr>
        <w:t>se ha referido</w:t>
      </w:r>
      <w:r w:rsidRPr="00982502">
        <w:rPr>
          <w:rFonts w:ascii="Verdana" w:eastAsia="Calibri" w:hAnsi="Verdana" w:cs="Arial"/>
          <w:lang w:val="es-ES"/>
        </w:rPr>
        <w:t xml:space="preserve"> </w:t>
      </w:r>
      <w:r w:rsidRPr="00982502">
        <w:rPr>
          <w:rFonts w:ascii="Verdana" w:eastAsia="Calibri" w:hAnsi="Verdana" w:cs="Arial"/>
          <w:lang w:val="es-ES" w:eastAsia="es-ES"/>
        </w:rPr>
        <w:t xml:space="preserve">a </w:t>
      </w:r>
      <w:r w:rsidRPr="00982502">
        <w:rPr>
          <w:rFonts w:ascii="Verdana" w:eastAsia="Calibri" w:hAnsi="Verdana" w:cs="Arial"/>
          <w:shd w:val="clear" w:color="auto" w:fill="FFFFFF"/>
          <w:lang w:val="es-ES"/>
        </w:rPr>
        <w:t xml:space="preserve">la interventoría en los contratos estatales en los conceptos: </w:t>
      </w:r>
      <w:r w:rsidRPr="00982502">
        <w:rPr>
          <w:rFonts w:ascii="Verdana" w:eastAsia="Calibri" w:hAnsi="Verdana" w:cs="Arial"/>
          <w:kern w:val="2"/>
          <w:lang w:val="es-ES_tradnl" w:eastAsia="es-ES_tradnl"/>
          <w14:ligatures w14:val="standardContextual"/>
        </w:rPr>
        <w:t xml:space="preserve">C‒064 del 28 de febrero de 2020, C‒150 del 18 de marzo de 2020, C‒075 del 26 de marzo de 2020, C‒180 del 13 de abril de 2020, C‒344 del 26 de mayo de 2020 y en el </w:t>
      </w:r>
      <w:r w:rsidRPr="00982502">
        <w:rPr>
          <w:rFonts w:ascii="Verdana" w:eastAsia="Calibri" w:hAnsi="Verdana" w:cs="Arial"/>
          <w:kern w:val="2"/>
          <w:lang w:val="es-ES_tradnl" w:eastAsia="es-ES_tradnl"/>
          <w14:ligatures w14:val="standardContextual"/>
        </w:rPr>
        <w:lastRenderedPageBreak/>
        <w:t xml:space="preserve">C‒765 del 7 de enero de 2021, C-411 del 17 de agosto de 2021, C-650 del 22 de diciembre de 2021, C-238 del 27 de abril de 2022, C-432 del 13 de julio de 2022, C- 590 del 20 de septiembre de 2022, Concepto C – 690 del 19 de octubre de 2022, C-713 del 7 de noviembre de 2024, C-711 del 21 de noviembre de 2024 y </w:t>
      </w:r>
      <w:r w:rsidRPr="00982502">
        <w:rPr>
          <w:rFonts w:ascii="Verdana" w:eastAsia="Calibri" w:hAnsi="Verdana" w:cs="Arial"/>
          <w:lang w:val="es-ES" w:eastAsia="es-ES"/>
        </w:rPr>
        <w:t xml:space="preserve">C – 800 del 13 de diciembre de 2024, entre otros. </w:t>
      </w:r>
      <w:r w:rsidR="009A09D9" w:rsidRPr="00982502">
        <w:rPr>
          <w:rFonts w:ascii="Verdana" w:hAnsi="Verdana" w:cs="Arial"/>
          <w:shd w:val="clear" w:color="auto" w:fill="FFFFFF"/>
        </w:rPr>
        <w:t>Estos y otros </w:t>
      </w:r>
      <w:r w:rsidR="009A09D9" w:rsidRPr="00982502">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4" w:history="1">
        <w:r w:rsidR="009A09D9" w:rsidRPr="00546782">
          <w:rPr>
            <w:rStyle w:val="Hipervnculo"/>
            <w:rFonts w:ascii="Verdana" w:hAnsi="Verdana" w:cs="Arial"/>
            <w:shd w:val="clear" w:color="auto" w:fill="FFFFFF"/>
          </w:rPr>
          <w:t>https://relatoria.colombiacompra.gov.co/busqueda/conceptos</w:t>
        </w:r>
      </w:hyperlink>
      <w:r w:rsidR="009A09D9" w:rsidRPr="00546782">
        <w:rPr>
          <w:rStyle w:val="normaltextrun"/>
          <w:rFonts w:ascii="Verdana" w:hAnsi="Verdana" w:cs="Arial"/>
          <w:shd w:val="clear" w:color="auto" w:fill="FFFFFF"/>
        </w:rPr>
        <w:t xml:space="preserve">. </w:t>
      </w:r>
      <w:r w:rsidR="009A09D9" w:rsidRPr="00546782">
        <w:rPr>
          <w:rStyle w:val="normaltextrun"/>
          <w:rFonts w:ascii="Verdana" w:hAnsi="Verdana" w:cs="Arial"/>
          <w:color w:val="FF0000"/>
          <w:shd w:val="clear" w:color="auto" w:fill="FFFFFF"/>
          <w:lang w:val="es-ES"/>
        </w:rPr>
        <w:t xml:space="preserve">   </w:t>
      </w:r>
    </w:p>
    <w:p w14:paraId="4671231F" w14:textId="77777777" w:rsidR="00546782" w:rsidRPr="00546782" w:rsidRDefault="00546782" w:rsidP="00DD6961">
      <w:pPr>
        <w:widowControl w:val="0"/>
        <w:autoSpaceDE w:val="0"/>
        <w:autoSpaceDN w:val="0"/>
        <w:spacing w:after="0" w:line="276" w:lineRule="auto"/>
        <w:jc w:val="both"/>
        <w:rPr>
          <w:rStyle w:val="normaltextrun"/>
          <w:rFonts w:ascii="Verdana" w:eastAsia="Calibri" w:hAnsi="Verdana" w:cs="Arial"/>
          <w:lang w:val="es-ES" w:eastAsia="es-ES"/>
        </w:rPr>
      </w:pPr>
    </w:p>
    <w:p w14:paraId="4579B9E3" w14:textId="7D5D3CFE" w:rsidR="009A09D9" w:rsidRDefault="009A09D9" w:rsidP="00546782">
      <w:pPr>
        <w:spacing w:after="0" w:line="276" w:lineRule="auto"/>
        <w:jc w:val="both"/>
        <w:rPr>
          <w:rStyle w:val="Hipervnculo"/>
          <w:rFonts w:ascii="Verdana" w:hAnsi="Verdana" w:cs="Arial"/>
          <w:shd w:val="clear" w:color="auto" w:fill="FFFFFF"/>
        </w:rPr>
      </w:pPr>
      <w:r w:rsidRPr="00982502">
        <w:rPr>
          <w:rFonts w:ascii="Verdana" w:hAnsi="Verdana" w:cs="Arial"/>
          <w:shd w:val="clear" w:color="auto" w:fill="FFFFFF"/>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982502">
        <w:rPr>
          <w:rFonts w:ascii="Verdana" w:hAnsi="Verdana" w:cs="Arial"/>
          <w:b/>
          <w:bCs/>
          <w:shd w:val="clear" w:color="auto" w:fill="FFFFFF"/>
        </w:rPr>
        <w:t>Guía para la Exigencia y Constitución de Garantías en los Procesos de Contratación</w:t>
      </w:r>
      <w:r w:rsidRPr="00982502">
        <w:rPr>
          <w:rFonts w:ascii="Verdana" w:hAnsi="Verdana" w:cs="Arial"/>
          <w:shd w:val="clear" w:color="auto" w:fill="FFFFFF"/>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w:t>
      </w:r>
      <w:r w:rsidRPr="00546782">
        <w:rPr>
          <w:rFonts w:ascii="Verdana" w:hAnsi="Verdana" w:cs="Arial"/>
          <w:shd w:val="clear" w:color="auto" w:fill="FFFFFF"/>
        </w:rPr>
        <w:t>Consúltala aquí: </w:t>
      </w:r>
      <w:hyperlink r:id="rId15" w:tgtFrame="_blank" w:tooltip="Dirección URL original: https://www.colombiacompra.gov.co/archivos/manual/guia-de-garantias-en-procesos-de-contratacion. Haga clic o pulse si confía en este vínculo." w:history="1">
        <w:r w:rsidRPr="00546782">
          <w:rPr>
            <w:rStyle w:val="Hipervnculo"/>
            <w:rFonts w:ascii="Verdana" w:hAnsi="Verdana" w:cs="Arial"/>
            <w:shd w:val="clear" w:color="auto" w:fill="FFFFFF"/>
          </w:rPr>
          <w:t>https://www.colombiacompra.gov.co/archivos/manual/guia-de-garantias-en-procesos-de-contratacion</w:t>
        </w:r>
      </w:hyperlink>
    </w:p>
    <w:p w14:paraId="7CF9C937" w14:textId="77777777" w:rsidR="00546782" w:rsidRPr="00546782" w:rsidRDefault="00546782" w:rsidP="00DD6961">
      <w:pPr>
        <w:spacing w:after="0" w:line="276" w:lineRule="auto"/>
        <w:jc w:val="both"/>
        <w:rPr>
          <w:rFonts w:ascii="Verdana" w:hAnsi="Verdana" w:cs="Arial"/>
          <w:color w:val="FF0000"/>
          <w:shd w:val="clear" w:color="auto" w:fill="FFFFFF"/>
        </w:rPr>
      </w:pPr>
    </w:p>
    <w:p w14:paraId="69DD2223" w14:textId="15A94762" w:rsidR="009A09D9" w:rsidRDefault="009A09D9" w:rsidP="00546782">
      <w:pPr>
        <w:spacing w:after="0" w:line="276" w:lineRule="auto"/>
        <w:jc w:val="both"/>
        <w:rPr>
          <w:rStyle w:val="Hipervnculo"/>
          <w:rFonts w:ascii="Verdana" w:hAnsi="Verdana" w:cs="Arial"/>
          <w:shd w:val="clear" w:color="auto" w:fill="FFFFFF"/>
        </w:rPr>
      </w:pPr>
      <w:r w:rsidRPr="00982502">
        <w:rPr>
          <w:rFonts w:ascii="Verdana" w:hAnsi="Verdana" w:cs="Arial"/>
          <w:shd w:val="clear" w:color="auto" w:fill="FFFFFF"/>
        </w:rPr>
        <w:t>De otro lado, te contamos que el Decreto 287 del 19 de marzo de 2026 sustituyó los artículos 2.2.1.2.4.2.6., 2.2.1.2.4.2.7. y 2.2.1.2.4.2.8. del Decreto 1082 de 2015 y estructuró el </w:t>
      </w:r>
      <w:r w:rsidRPr="00982502">
        <w:rPr>
          <w:rFonts w:ascii="Verdana" w:hAnsi="Verdana" w:cs="Arial"/>
          <w:b/>
          <w:bCs/>
          <w:shd w:val="clear" w:color="auto" w:fill="FFFFFF"/>
        </w:rPr>
        <w:t>Sistema Integral de Preferencias en favor de las personas con discapacidad</w:t>
      </w:r>
      <w:r w:rsidRPr="00982502">
        <w:rPr>
          <w:rFonts w:ascii="Verdana" w:hAnsi="Verdana" w:cs="Arial"/>
          <w:shd w:val="clear" w:color="auto" w:fill="FFFFFF"/>
        </w:rPr>
        <w:t>, en cumplimiento del artículo 13 de la Ley Estatutaria 1618 de 2013. Para orientar su aplicación, esta Agencia expidió la </w:t>
      </w:r>
      <w:r w:rsidRPr="00982502">
        <w:rPr>
          <w:rFonts w:ascii="Verdana" w:hAnsi="Verdana" w:cs="Arial"/>
          <w:b/>
          <w:bCs/>
          <w:shd w:val="clear" w:color="auto" w:fill="FFFFFF"/>
        </w:rPr>
        <w:t>Circular Externa 003 del 12 de mayo de 2026, </w:t>
      </w:r>
      <w:r w:rsidRPr="00982502">
        <w:rPr>
          <w:rFonts w:ascii="Verdana" w:hAnsi="Verdana" w:cs="Arial"/>
          <w:shd w:val="clear" w:color="auto" w:fill="FFFFFF"/>
        </w:rPr>
        <w:t xml:space="preserve">en la que precisa quiénes son los beneficiarios, las cinco medidas que integran el sistema y su obligatoriedad según la modalidad de selección, y el régimen de transición aplicable a los procesos en curso. </w:t>
      </w:r>
      <w:r w:rsidRPr="00546782">
        <w:rPr>
          <w:rFonts w:ascii="Verdana" w:hAnsi="Verdana" w:cs="Arial"/>
          <w:shd w:val="clear" w:color="auto" w:fill="FFFFFF"/>
        </w:rPr>
        <w:t>Consúltala aquí: </w:t>
      </w:r>
      <w:hyperlink r:id="rId16" w:tgtFrame="_blank" w:tooltip="Dirección URL original: https://www.colombiacompra.gov.co/archivos/circular/circular-externa-003-de-2026. Haga clic o pulse si confía en este vínculo." w:history="1">
        <w:r w:rsidRPr="00546782">
          <w:rPr>
            <w:rStyle w:val="Hipervnculo"/>
            <w:rFonts w:ascii="Verdana" w:hAnsi="Verdana" w:cs="Arial"/>
            <w:shd w:val="clear" w:color="auto" w:fill="FFFFFF"/>
          </w:rPr>
          <w:t>https://www.colombiacompra.gov.co/archivos/circular/circular-externa-003-de-2026</w:t>
        </w:r>
      </w:hyperlink>
    </w:p>
    <w:p w14:paraId="1A242C95" w14:textId="77777777" w:rsidR="00546782" w:rsidRPr="00546782" w:rsidRDefault="00546782" w:rsidP="00DD6961">
      <w:pPr>
        <w:spacing w:after="0" w:line="276" w:lineRule="auto"/>
        <w:jc w:val="both"/>
        <w:rPr>
          <w:rFonts w:ascii="Verdana" w:hAnsi="Verdana" w:cs="Arial"/>
          <w:color w:val="FF0000"/>
          <w:shd w:val="clear" w:color="auto" w:fill="FFFFFF"/>
        </w:rPr>
      </w:pPr>
    </w:p>
    <w:p w14:paraId="63738F66" w14:textId="78CF0985" w:rsidR="009A09D9" w:rsidRDefault="009A09D9" w:rsidP="00546782">
      <w:pPr>
        <w:spacing w:after="0" w:line="276" w:lineRule="auto"/>
        <w:jc w:val="both"/>
        <w:rPr>
          <w:rStyle w:val="Hipervnculo"/>
          <w:rFonts w:ascii="Verdana" w:hAnsi="Verdana" w:cs="Arial"/>
          <w:shd w:val="clear" w:color="auto" w:fill="FFFFFF"/>
        </w:rPr>
      </w:pPr>
      <w:r w:rsidRPr="00982502">
        <w:rPr>
          <w:rFonts w:ascii="Verdana" w:hAnsi="Verdana" w:cs="Arial"/>
          <w:shd w:val="clear" w:color="auto" w:fill="FFFFFF"/>
        </w:rPr>
        <w:t>Recuerda también que la</w:t>
      </w:r>
      <w:r w:rsidRPr="00982502">
        <w:rPr>
          <w:rFonts w:ascii="Verdana" w:hAnsi="Verdana" w:cs="Arial"/>
          <w:b/>
          <w:bCs/>
          <w:shd w:val="clear" w:color="auto" w:fill="FFFFFF"/>
        </w:rPr>
        <w:t> información sobre sanciones e inhabilidades </w:t>
      </w:r>
      <w:r w:rsidRPr="00982502">
        <w:rPr>
          <w:rFonts w:ascii="Verdana" w:hAnsi="Verdana" w:cs="Arial"/>
          <w:shd w:val="clear" w:color="auto" w:fill="FFFFFF"/>
        </w:rPr>
        <w:t>solo cumple su función preventiva si llega oportunamente a los registros públicos. Sobre este deber, esta Agencia expidió la </w:t>
      </w:r>
      <w:r w:rsidRPr="00982502">
        <w:rPr>
          <w:rFonts w:ascii="Verdana" w:hAnsi="Verdana" w:cs="Arial"/>
          <w:b/>
          <w:bCs/>
          <w:shd w:val="clear" w:color="auto" w:fill="FFFFFF"/>
        </w:rPr>
        <w:t xml:space="preserve">Circular Externa 002 del 5 de mayo </w:t>
      </w:r>
      <w:r w:rsidRPr="00982502">
        <w:rPr>
          <w:rFonts w:ascii="Verdana" w:hAnsi="Verdana" w:cs="Arial"/>
          <w:b/>
          <w:bCs/>
          <w:shd w:val="clear" w:color="auto" w:fill="FFFFFF"/>
        </w:rPr>
        <w:lastRenderedPageBreak/>
        <w:t>de 2026,</w:t>
      </w:r>
      <w:r w:rsidRPr="00982502">
        <w:rPr>
          <w:rFonts w:ascii="Verdana" w:hAnsi="Verdana" w:cs="Arial"/>
          <w:shd w:val="clear" w:color="auto" w:fill="FFFFFF"/>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w:t>
      </w:r>
      <w:r w:rsidRPr="00546782">
        <w:rPr>
          <w:rFonts w:ascii="Verdana" w:hAnsi="Verdana" w:cs="Arial"/>
          <w:shd w:val="clear" w:color="auto" w:fill="FFFFFF"/>
        </w:rPr>
        <w:t>Consúltala aquí: </w:t>
      </w:r>
      <w:hyperlink r:id="rId17" w:tgtFrame="_blank" w:tooltip="Dirección URL original: https://www.colombiacompra.gov.co/archivos/circular/circular-externa-002-de-2026. Haga clic o pulse si confía en este vínculo." w:history="1">
        <w:r w:rsidRPr="00546782">
          <w:rPr>
            <w:rStyle w:val="Hipervnculo"/>
            <w:rFonts w:ascii="Verdana" w:hAnsi="Verdana" w:cs="Arial"/>
            <w:shd w:val="clear" w:color="auto" w:fill="FFFFFF"/>
          </w:rPr>
          <w:t>https://www.colombiacompra.gov.co/archivos/circular/circular-externa-002-de-2026</w:t>
        </w:r>
      </w:hyperlink>
    </w:p>
    <w:p w14:paraId="39AD38C4" w14:textId="77777777" w:rsidR="00546782" w:rsidRPr="00546782" w:rsidRDefault="00546782" w:rsidP="00DD6961">
      <w:pPr>
        <w:spacing w:after="0" w:line="276" w:lineRule="auto"/>
        <w:jc w:val="both"/>
        <w:rPr>
          <w:rFonts w:ascii="Verdana" w:hAnsi="Verdana" w:cs="Arial"/>
          <w:color w:val="FF0000"/>
          <w:shd w:val="clear" w:color="auto" w:fill="FFFFFF"/>
        </w:rPr>
      </w:pPr>
    </w:p>
    <w:p w14:paraId="63513177" w14:textId="77777777" w:rsidR="009A09D9" w:rsidRPr="00982502" w:rsidRDefault="009A09D9" w:rsidP="009A09D9">
      <w:pPr>
        <w:spacing w:after="0" w:line="276" w:lineRule="auto"/>
        <w:jc w:val="both"/>
        <w:rPr>
          <w:rFonts w:ascii="Verdana" w:hAnsi="Verdana" w:cs="Arial"/>
          <w:shd w:val="clear" w:color="auto" w:fill="FFFFFF"/>
        </w:rPr>
      </w:pPr>
      <w:r w:rsidRPr="00982502">
        <w:rPr>
          <w:rFonts w:ascii="Verdana" w:hAnsi="Verdana" w:cs="Arial"/>
          <w:shd w:val="clear" w:color="auto" w:fill="FFFFFF"/>
        </w:rPr>
        <w:t>Finalmente, si quieres seguir de cerca la actividad de la Agencia, la tercera edición de 2026 del</w:t>
      </w:r>
      <w:r w:rsidRPr="00982502">
        <w:rPr>
          <w:rFonts w:ascii="Verdana" w:hAnsi="Verdana" w:cs="Arial"/>
          <w:b/>
          <w:bCs/>
          <w:shd w:val="clear" w:color="auto" w:fill="FFFFFF"/>
        </w:rPr>
        <w:t> Radar de la Compra Pública</w:t>
      </w:r>
      <w:r w:rsidRPr="00982502">
        <w:rPr>
          <w:rFonts w:ascii="Verdana" w:hAnsi="Verdana" w:cs="Arial"/>
          <w:shd w:val="clear" w:color="auto" w:fill="FFFFFF"/>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w:t>
      </w:r>
      <w:r w:rsidRPr="00546782">
        <w:rPr>
          <w:rFonts w:ascii="Verdana" w:hAnsi="Verdana" w:cs="Arial"/>
          <w:shd w:val="clear" w:color="auto" w:fill="FFFFFF"/>
        </w:rPr>
        <w:t>Descárgalo aquí: </w:t>
      </w:r>
      <w:hyperlink r:id="rId18" w:tgtFrame="_blank" w:tooltip="Dirección URL original: https://www.colombiacompra.gov.co/archivos/boletin/boletin-edicion-n-3-de-2026-radar-de-la-compra-publica. Haga clic o pulse si confía en este vínculo." w:history="1">
        <w:r w:rsidRPr="00546782">
          <w:rPr>
            <w:rStyle w:val="Hipervnculo"/>
            <w:rFonts w:ascii="Verdana" w:hAnsi="Verdana" w:cs="Arial"/>
            <w:shd w:val="clear" w:color="auto" w:fill="FFFFFF"/>
          </w:rPr>
          <w:t>https://www.colombiacompra.gov.co/archivos/boletin/boletin-edicion-n-3-de-2026-radar-de-la-compra-publica</w:t>
        </w:r>
      </w:hyperlink>
      <w:r w:rsidRPr="00546782">
        <w:rPr>
          <w:rFonts w:ascii="Verdana" w:hAnsi="Verdana" w:cs="Arial"/>
          <w:shd w:val="clear" w:color="auto" w:fill="FFFFFF"/>
        </w:rPr>
        <w:t>"</w:t>
      </w:r>
    </w:p>
    <w:p w14:paraId="3CE39446" w14:textId="77777777" w:rsidR="009A09D9" w:rsidRPr="00982502" w:rsidRDefault="009A09D9" w:rsidP="009A09D9">
      <w:pPr>
        <w:spacing w:after="0" w:line="276" w:lineRule="auto"/>
        <w:jc w:val="both"/>
        <w:rPr>
          <w:rFonts w:ascii="Verdana" w:hAnsi="Verdana" w:cs="Arial"/>
          <w:shd w:val="clear" w:color="auto" w:fill="FFFFFF"/>
        </w:rPr>
      </w:pPr>
    </w:p>
    <w:p w14:paraId="01BC0671" w14:textId="77777777" w:rsidR="009A09D9" w:rsidRPr="00982502" w:rsidRDefault="009A09D9" w:rsidP="009A09D9">
      <w:pPr>
        <w:spacing w:after="0" w:line="276" w:lineRule="auto"/>
        <w:jc w:val="both"/>
        <w:rPr>
          <w:rFonts w:ascii="Verdana" w:hAnsi="Verdana"/>
        </w:rPr>
      </w:pPr>
      <w:r w:rsidRPr="00982502">
        <w:rPr>
          <w:rFonts w:ascii="Verdana" w:hAnsi="Verdana"/>
        </w:rPr>
        <w:t xml:space="preserve">Por último, lo invitamos a seguirnos en las redes sociales en las cuales se difunde información institucional: </w:t>
      </w:r>
    </w:p>
    <w:p w14:paraId="254FDBB1" w14:textId="77777777" w:rsidR="009A09D9" w:rsidRPr="00982502" w:rsidRDefault="009A09D9" w:rsidP="009A09D9">
      <w:pPr>
        <w:spacing w:after="0" w:line="276" w:lineRule="auto"/>
        <w:jc w:val="both"/>
        <w:rPr>
          <w:rFonts w:ascii="Verdana" w:hAnsi="Verdana"/>
        </w:rPr>
      </w:pPr>
    </w:p>
    <w:p w14:paraId="03ABE974" w14:textId="77777777" w:rsidR="009A09D9" w:rsidRPr="00982502" w:rsidRDefault="009A09D9" w:rsidP="009A09D9">
      <w:pPr>
        <w:spacing w:after="0" w:line="276" w:lineRule="auto"/>
        <w:jc w:val="both"/>
        <w:rPr>
          <w:rFonts w:ascii="Verdana" w:hAnsi="Verdana"/>
        </w:rPr>
      </w:pPr>
      <w:r w:rsidRPr="00982502">
        <w:rPr>
          <w:rFonts w:ascii="Verdana" w:hAnsi="Verdana"/>
        </w:rPr>
        <w:t xml:space="preserve">Twitter: </w:t>
      </w:r>
      <w:r w:rsidRPr="00982502">
        <w:rPr>
          <w:rStyle w:val="Hipervnculo"/>
          <w:rFonts w:ascii="Verdana" w:hAnsi="Verdana"/>
          <w:color w:val="4472C4" w:themeColor="accent1"/>
        </w:rPr>
        <w:t>@colombiacompra</w:t>
      </w:r>
      <w:r w:rsidRPr="00982502">
        <w:rPr>
          <w:rFonts w:ascii="Verdana" w:hAnsi="Verdana"/>
          <w:color w:val="4472C4" w:themeColor="accent1"/>
        </w:rPr>
        <w:t xml:space="preserve"> </w:t>
      </w:r>
    </w:p>
    <w:p w14:paraId="7527AA94" w14:textId="77777777" w:rsidR="009A09D9" w:rsidRPr="00982502" w:rsidRDefault="009A09D9" w:rsidP="009A09D9">
      <w:pPr>
        <w:spacing w:after="0" w:line="276" w:lineRule="auto"/>
        <w:jc w:val="both"/>
        <w:rPr>
          <w:rFonts w:ascii="Verdana" w:hAnsi="Verdana"/>
        </w:rPr>
      </w:pPr>
      <w:r w:rsidRPr="00982502">
        <w:rPr>
          <w:rFonts w:ascii="Verdana" w:hAnsi="Verdana"/>
        </w:rPr>
        <w:t xml:space="preserve">Facebook: </w:t>
      </w:r>
      <w:r w:rsidRPr="00982502">
        <w:rPr>
          <w:rStyle w:val="Hipervnculo"/>
          <w:rFonts w:ascii="Verdana" w:hAnsi="Verdana"/>
          <w:color w:val="4472C4" w:themeColor="accent1"/>
        </w:rPr>
        <w:t>ColombiaCompraEficiente</w:t>
      </w:r>
    </w:p>
    <w:p w14:paraId="0DC7ECC0" w14:textId="77777777" w:rsidR="009A09D9" w:rsidRPr="00982502" w:rsidRDefault="009A09D9" w:rsidP="009A09D9">
      <w:pPr>
        <w:spacing w:after="0" w:line="276" w:lineRule="auto"/>
        <w:jc w:val="both"/>
        <w:rPr>
          <w:rFonts w:ascii="Verdana" w:hAnsi="Verdana"/>
        </w:rPr>
      </w:pPr>
      <w:r w:rsidRPr="00982502">
        <w:rPr>
          <w:rFonts w:ascii="Verdana" w:hAnsi="Verdana"/>
        </w:rPr>
        <w:t xml:space="preserve">LinkedIn: </w:t>
      </w:r>
      <w:r w:rsidRPr="00982502">
        <w:rPr>
          <w:rStyle w:val="Hipervnculo"/>
          <w:rFonts w:ascii="Verdana" w:hAnsi="Verdana"/>
          <w:color w:val="4472C4" w:themeColor="accent1"/>
        </w:rPr>
        <w:t>Agencia Nacional de Contratación Pública - Colombia Compra Eficiente</w:t>
      </w:r>
      <w:r w:rsidRPr="00982502">
        <w:rPr>
          <w:rFonts w:ascii="Verdana" w:hAnsi="Verdana"/>
          <w:color w:val="4472C4" w:themeColor="accent1"/>
        </w:rPr>
        <w:t xml:space="preserve"> </w:t>
      </w:r>
      <w:r w:rsidRPr="00982502">
        <w:rPr>
          <w:rFonts w:ascii="Verdana" w:hAnsi="Verdana"/>
        </w:rPr>
        <w:t xml:space="preserve">Instagram: </w:t>
      </w:r>
      <w:r w:rsidRPr="00982502">
        <w:rPr>
          <w:rStyle w:val="Hipervnculo"/>
          <w:rFonts w:ascii="Verdana" w:hAnsi="Verdana"/>
          <w:color w:val="4472C4" w:themeColor="accent1"/>
        </w:rPr>
        <w:t>@colombiacompraeficiente_cce</w:t>
      </w:r>
    </w:p>
    <w:p w14:paraId="49D23454" w14:textId="77777777" w:rsidR="009A09D9" w:rsidRPr="00982502" w:rsidRDefault="009A09D9" w:rsidP="009A09D9">
      <w:pPr>
        <w:widowControl w:val="0"/>
        <w:autoSpaceDE w:val="0"/>
        <w:autoSpaceDN w:val="0"/>
        <w:spacing w:after="0" w:line="276" w:lineRule="auto"/>
        <w:jc w:val="both"/>
        <w:rPr>
          <w:rFonts w:ascii="Verdana" w:hAnsi="Verdana" w:cs="Arial"/>
        </w:rPr>
      </w:pPr>
    </w:p>
    <w:p w14:paraId="202E454C" w14:textId="77777777" w:rsidR="009A09D9" w:rsidRPr="00982502" w:rsidRDefault="009A09D9" w:rsidP="009A09D9">
      <w:pPr>
        <w:widowControl w:val="0"/>
        <w:autoSpaceDE w:val="0"/>
        <w:autoSpaceDN w:val="0"/>
        <w:spacing w:after="0" w:line="276" w:lineRule="auto"/>
        <w:jc w:val="both"/>
        <w:rPr>
          <w:rFonts w:ascii="Verdana" w:hAnsi="Verdana" w:cs="Arial"/>
          <w:lang w:val="es-ES_tradnl"/>
        </w:rPr>
      </w:pPr>
      <w:r w:rsidRPr="00982502">
        <w:rPr>
          <w:rFonts w:ascii="Verdana" w:hAnsi="Verdana" w:cs="Arial"/>
        </w:rPr>
        <w:t xml:space="preserve">Este concepto tiene el alcance previsto en el artículo 28 del Código de Procedimiento Administrativo y de lo Contencioso Administrativo </w:t>
      </w:r>
      <w:r w:rsidRPr="00982502">
        <w:rPr>
          <w:rFonts w:ascii="Verdana" w:hAnsi="Verdana" w:cs="Arial"/>
          <w:lang w:val="es-ES_tradnl"/>
        </w:rPr>
        <w:t>y las expresiones aquí utilizadas con mayúscula inicial deben ser entendidas con el significado que les otorga el artículo 2.2.1.1.1.3.1. del Decreto 1082 de 2015.</w:t>
      </w:r>
    </w:p>
    <w:p w14:paraId="2A2532BA" w14:textId="77777777" w:rsidR="009A09D9" w:rsidRPr="00982502" w:rsidRDefault="009A09D9" w:rsidP="009A09D9">
      <w:pPr>
        <w:widowControl w:val="0"/>
        <w:autoSpaceDE w:val="0"/>
        <w:autoSpaceDN w:val="0"/>
        <w:spacing w:after="0" w:line="276" w:lineRule="auto"/>
        <w:jc w:val="both"/>
        <w:rPr>
          <w:rFonts w:ascii="Verdana" w:hAnsi="Verdana" w:cs="Arial"/>
        </w:rPr>
      </w:pPr>
    </w:p>
    <w:p w14:paraId="7017D34C" w14:textId="77777777" w:rsidR="009A09D9" w:rsidRPr="00982502" w:rsidRDefault="009A09D9" w:rsidP="009A09D9">
      <w:pPr>
        <w:spacing w:after="0" w:line="276" w:lineRule="auto"/>
        <w:jc w:val="both"/>
        <w:rPr>
          <w:rFonts w:ascii="Verdana" w:hAnsi="Verdana" w:cs="Arial"/>
          <w:lang w:eastAsia="es-CO"/>
        </w:rPr>
      </w:pPr>
      <w:r w:rsidRPr="00982502">
        <w:rPr>
          <w:rFonts w:ascii="Verdana" w:eastAsia="Times New Roman" w:hAnsi="Verdana" w:cs="Arial"/>
          <w:lang w:eastAsia="es-CO"/>
        </w:rPr>
        <w:t>Atentamente,</w:t>
      </w:r>
      <w:r w:rsidRPr="00982502">
        <w:rPr>
          <w:rFonts w:ascii="Verdana" w:hAnsi="Verdana" w:cs="Arial"/>
          <w:lang w:eastAsia="es-CO"/>
        </w:rPr>
        <w:t xml:space="preserve"> </w:t>
      </w:r>
    </w:p>
    <w:p w14:paraId="5D12009F" w14:textId="52786EB5" w:rsidR="009A09D9" w:rsidRPr="00982502" w:rsidRDefault="00B94293" w:rsidP="009A09D9">
      <w:pPr>
        <w:spacing w:line="276" w:lineRule="auto"/>
        <w:jc w:val="center"/>
        <w:rPr>
          <w:rFonts w:ascii="Verdana" w:hAnsi="Verdana" w:cs="Arial"/>
          <w:color w:val="000000"/>
          <w:lang w:val="es-ES_tradnl" w:eastAsia="es-CO"/>
        </w:rPr>
      </w:pPr>
      <w:r w:rsidRPr="004D5C25">
        <w:rPr>
          <w:rFonts w:ascii="Century Gothic" w:hAnsi="Century Gothic"/>
          <w:noProof/>
        </w:rPr>
        <w:lastRenderedPageBreak/>
        <w:drawing>
          <wp:inline distT="0" distB="0" distL="0" distR="0" wp14:anchorId="713C0458" wp14:editId="267FA812">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9"/>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A09D9" w:rsidRPr="00982502" w14:paraId="1E42B888" w14:textId="77777777" w:rsidTr="00FC4E84">
        <w:trPr>
          <w:trHeight w:val="315"/>
        </w:trPr>
        <w:tc>
          <w:tcPr>
            <w:tcW w:w="893" w:type="dxa"/>
            <w:vAlign w:val="center"/>
            <w:hideMark/>
          </w:tcPr>
          <w:p w14:paraId="16AEB0E7" w14:textId="77777777" w:rsidR="009A09D9" w:rsidRPr="00982502" w:rsidRDefault="009A09D9" w:rsidP="00FC4E84">
            <w:pPr>
              <w:contextualSpacing/>
              <w:rPr>
                <w:rFonts w:ascii="Verdana" w:hAnsi="Verdana" w:cs="Arial"/>
                <w:sz w:val="16"/>
                <w:szCs w:val="16"/>
                <w:lang w:val="es-ES" w:eastAsia="es-ES"/>
              </w:rPr>
            </w:pPr>
            <w:r w:rsidRPr="0098250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6C538ED" w14:textId="77777777" w:rsidR="009A09D9" w:rsidRPr="00982502" w:rsidRDefault="009A09D9" w:rsidP="00FC4E84">
            <w:pPr>
              <w:contextualSpacing/>
              <w:rPr>
                <w:rFonts w:ascii="Verdana" w:eastAsia="Arial" w:hAnsi="Verdana" w:cs="Arial"/>
                <w:sz w:val="16"/>
                <w:szCs w:val="16"/>
              </w:rPr>
            </w:pPr>
            <w:r w:rsidRPr="00982502">
              <w:rPr>
                <w:rStyle w:val="normaltextrun"/>
                <w:rFonts w:ascii="Verdana" w:hAnsi="Verdana"/>
                <w:sz w:val="16"/>
                <w:szCs w:val="16"/>
              </w:rPr>
              <w:t>Ana María Ortiz Ballesteros</w:t>
            </w:r>
          </w:p>
          <w:p w14:paraId="1725BFFB" w14:textId="77777777" w:rsidR="009A09D9" w:rsidRPr="00982502" w:rsidRDefault="009A09D9" w:rsidP="00FC4E84">
            <w:pPr>
              <w:contextualSpacing/>
              <w:rPr>
                <w:rFonts w:ascii="Verdana" w:eastAsia="Arial" w:hAnsi="Verdana" w:cs="Arial"/>
                <w:sz w:val="16"/>
                <w:szCs w:val="16"/>
              </w:rPr>
            </w:pPr>
            <w:r w:rsidRPr="00982502">
              <w:rPr>
                <w:rStyle w:val="normaltextrun"/>
                <w:rFonts w:ascii="Verdana" w:eastAsia="Arial" w:hAnsi="Verdana" w:cs="Arial"/>
                <w:sz w:val="16"/>
                <w:szCs w:val="16"/>
              </w:rPr>
              <w:t>C</w:t>
            </w:r>
            <w:r w:rsidRPr="00982502">
              <w:rPr>
                <w:rStyle w:val="normaltextrun"/>
                <w:rFonts w:ascii="Verdana" w:eastAsia="Arial" w:hAnsi="Verdana"/>
                <w:sz w:val="16"/>
                <w:szCs w:val="16"/>
              </w:rPr>
              <w:t>ontratista</w:t>
            </w:r>
            <w:r w:rsidRPr="00982502">
              <w:rPr>
                <w:rStyle w:val="normaltextrun"/>
                <w:rFonts w:ascii="Verdana" w:eastAsia="Arial" w:hAnsi="Verdana" w:cs="Arial"/>
                <w:sz w:val="16"/>
                <w:szCs w:val="16"/>
              </w:rPr>
              <w:t xml:space="preserve"> de la Subdirección de Gestión Contractual</w:t>
            </w:r>
          </w:p>
        </w:tc>
      </w:tr>
      <w:tr w:rsidR="009A09D9" w:rsidRPr="00982502" w14:paraId="7B88B527" w14:textId="77777777" w:rsidTr="00FC4E84">
        <w:trPr>
          <w:trHeight w:val="330"/>
        </w:trPr>
        <w:tc>
          <w:tcPr>
            <w:tcW w:w="893" w:type="dxa"/>
            <w:vAlign w:val="center"/>
            <w:hideMark/>
          </w:tcPr>
          <w:p w14:paraId="00AE03AA" w14:textId="77777777" w:rsidR="009A09D9" w:rsidRPr="00982502" w:rsidRDefault="009A09D9" w:rsidP="00FC4E84">
            <w:pPr>
              <w:contextualSpacing/>
              <w:rPr>
                <w:rFonts w:ascii="Verdana" w:hAnsi="Verdana" w:cs="Arial"/>
                <w:sz w:val="16"/>
                <w:szCs w:val="16"/>
                <w:lang w:val="es-ES" w:eastAsia="es-ES"/>
              </w:rPr>
            </w:pPr>
            <w:r w:rsidRPr="0098250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BD4315F" w14:textId="1896879D" w:rsidR="009D15AE" w:rsidRPr="00982502" w:rsidRDefault="009D15AE" w:rsidP="009A09D9">
            <w:pPr>
              <w:contextualSpacing/>
              <w:rPr>
                <w:rStyle w:val="normaltextrun"/>
                <w:rFonts w:ascii="Verdana" w:hAnsi="Verdana"/>
                <w:sz w:val="16"/>
                <w:szCs w:val="16"/>
              </w:rPr>
            </w:pPr>
            <w:r w:rsidRPr="00982502">
              <w:rPr>
                <w:rStyle w:val="normaltextrun"/>
                <w:rFonts w:ascii="Verdana" w:hAnsi="Verdana"/>
                <w:sz w:val="16"/>
                <w:szCs w:val="16"/>
              </w:rPr>
              <w:t>Diana Lucia Saavedra Castañeda</w:t>
            </w:r>
          </w:p>
          <w:p w14:paraId="60822315" w14:textId="2DF2EF54" w:rsidR="009A09D9" w:rsidRPr="00982502" w:rsidRDefault="009A09D9" w:rsidP="009A09D9">
            <w:pPr>
              <w:contextualSpacing/>
              <w:rPr>
                <w:rFonts w:ascii="Verdana" w:eastAsia="Arial" w:hAnsi="Verdana" w:cs="Arial"/>
                <w:sz w:val="16"/>
                <w:szCs w:val="16"/>
              </w:rPr>
            </w:pPr>
            <w:r w:rsidRPr="00982502">
              <w:rPr>
                <w:rStyle w:val="normaltextrun"/>
                <w:rFonts w:ascii="Verdana" w:eastAsia="Arial" w:hAnsi="Verdana" w:cs="Arial"/>
                <w:sz w:val="16"/>
                <w:szCs w:val="16"/>
              </w:rPr>
              <w:t>C</w:t>
            </w:r>
            <w:r w:rsidRPr="00982502">
              <w:rPr>
                <w:rStyle w:val="normaltextrun"/>
                <w:rFonts w:ascii="Verdana" w:eastAsia="Arial" w:hAnsi="Verdana"/>
                <w:sz w:val="16"/>
                <w:szCs w:val="16"/>
              </w:rPr>
              <w:t>ontratista</w:t>
            </w:r>
            <w:r w:rsidRPr="00982502">
              <w:rPr>
                <w:rStyle w:val="normaltextrun"/>
                <w:rFonts w:ascii="Verdana" w:eastAsia="Arial" w:hAnsi="Verdana" w:cs="Arial"/>
                <w:sz w:val="16"/>
                <w:szCs w:val="16"/>
              </w:rPr>
              <w:t xml:space="preserve"> de la Subdirección de Gestión Contractual</w:t>
            </w:r>
          </w:p>
        </w:tc>
      </w:tr>
      <w:tr w:rsidR="009A09D9" w:rsidRPr="00982502" w14:paraId="6E438163" w14:textId="77777777" w:rsidTr="00FC4E84">
        <w:trPr>
          <w:trHeight w:val="300"/>
        </w:trPr>
        <w:tc>
          <w:tcPr>
            <w:tcW w:w="893" w:type="dxa"/>
            <w:vAlign w:val="center"/>
          </w:tcPr>
          <w:p w14:paraId="469A9D7E" w14:textId="77777777" w:rsidR="009A09D9" w:rsidRPr="00982502" w:rsidRDefault="009A09D9" w:rsidP="00FC4E84">
            <w:pPr>
              <w:contextualSpacing/>
              <w:rPr>
                <w:rFonts w:ascii="Verdana" w:hAnsi="Verdana" w:cs="Arial"/>
                <w:sz w:val="16"/>
                <w:szCs w:val="16"/>
                <w:lang w:val="es-ES" w:eastAsia="es-ES"/>
              </w:rPr>
            </w:pPr>
            <w:r w:rsidRPr="0098250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498BC39" w14:textId="77777777" w:rsidR="009A09D9" w:rsidRPr="00982502" w:rsidRDefault="009A09D9" w:rsidP="00FC4E84">
            <w:pPr>
              <w:contextualSpacing/>
              <w:rPr>
                <w:rFonts w:ascii="Verdana" w:eastAsia="Calibri" w:hAnsi="Verdana" w:cs="Arial"/>
                <w:sz w:val="16"/>
                <w:szCs w:val="16"/>
                <w:lang w:val="pt-BR" w:eastAsia="es-ES"/>
              </w:rPr>
            </w:pPr>
            <w:r w:rsidRPr="00982502">
              <w:rPr>
                <w:rFonts w:ascii="Verdana" w:eastAsia="Calibri" w:hAnsi="Verdana" w:cs="Arial"/>
                <w:sz w:val="16"/>
                <w:szCs w:val="16"/>
                <w:lang w:val="pt-BR" w:eastAsia="es-ES"/>
              </w:rPr>
              <w:t>Carolina Quintero Gacharná</w:t>
            </w:r>
          </w:p>
          <w:p w14:paraId="62799B31" w14:textId="77777777" w:rsidR="009A09D9" w:rsidRPr="00982502" w:rsidRDefault="009A09D9" w:rsidP="00FC4E84">
            <w:pPr>
              <w:contextualSpacing/>
              <w:rPr>
                <w:rFonts w:ascii="Verdana" w:eastAsia="Calibri" w:hAnsi="Verdana" w:cs="Arial"/>
                <w:sz w:val="16"/>
                <w:szCs w:val="16"/>
                <w:lang w:val="pt-BR" w:eastAsia="es-ES"/>
              </w:rPr>
            </w:pPr>
            <w:r w:rsidRPr="00982502">
              <w:rPr>
                <w:rFonts w:ascii="Verdana" w:eastAsia="Calibri" w:hAnsi="Verdana" w:cs="Arial"/>
                <w:sz w:val="16"/>
                <w:szCs w:val="16"/>
                <w:lang w:eastAsia="es-ES"/>
              </w:rPr>
              <w:t>Subdirectora</w:t>
            </w:r>
            <w:r w:rsidRPr="00982502">
              <w:rPr>
                <w:rFonts w:ascii="Verdana" w:eastAsia="Calibri" w:hAnsi="Verdana" w:cs="Arial"/>
                <w:sz w:val="16"/>
                <w:szCs w:val="16"/>
                <w:lang w:val="pt-BR" w:eastAsia="es-ES"/>
              </w:rPr>
              <w:t xml:space="preserve"> de Gestión Contractual ANCP – CCE</w:t>
            </w:r>
          </w:p>
        </w:tc>
      </w:tr>
    </w:tbl>
    <w:p w14:paraId="3BE9C48C" w14:textId="319359BE" w:rsidR="009A09D9" w:rsidRPr="007814D2" w:rsidRDefault="009A09D9" w:rsidP="009A09D9">
      <w:pPr>
        <w:spacing w:after="0" w:line="240" w:lineRule="auto"/>
        <w:textAlignment w:val="baseline"/>
        <w:rPr>
          <w:rFonts w:ascii="Verdana" w:eastAsia="Verdana" w:hAnsi="Verdana" w:cs="Verdana"/>
          <w:b/>
          <w:bCs/>
          <w:lang w:val="es-MX"/>
        </w:rPr>
      </w:pPr>
      <w:r w:rsidRPr="00982502">
        <w:rPr>
          <w:rFonts w:ascii="Verdana" w:eastAsia="Verdana" w:hAnsi="Verdana" w:cs="Verdana"/>
          <w:lang w:eastAsia="es-CO"/>
        </w:rPr>
        <w:t>  </w:t>
      </w:r>
    </w:p>
    <w:bookmarkEnd w:id="0"/>
    <w:p w14:paraId="69BC4D14" w14:textId="0CDAE0E0" w:rsidR="00C15139" w:rsidRPr="00982502" w:rsidRDefault="00C15139" w:rsidP="30821638">
      <w:pPr>
        <w:spacing w:after="0" w:line="240" w:lineRule="auto"/>
        <w:textAlignment w:val="baseline"/>
        <w:rPr>
          <w:rFonts w:ascii="Verdana" w:eastAsia="Verdana" w:hAnsi="Verdana" w:cs="Verdana"/>
          <w:lang w:eastAsia="es-CO"/>
        </w:rPr>
      </w:pPr>
    </w:p>
    <w:sectPr w:rsidR="00C15139" w:rsidRPr="00982502"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4F1F0" w14:textId="77777777" w:rsidR="00301D4D" w:rsidRDefault="00301D4D" w:rsidP="004A1847">
      <w:pPr>
        <w:spacing w:after="0" w:line="240" w:lineRule="auto"/>
      </w:pPr>
      <w:r>
        <w:separator/>
      </w:r>
    </w:p>
  </w:endnote>
  <w:endnote w:type="continuationSeparator" w:id="0">
    <w:p w14:paraId="180EDDC5" w14:textId="77777777" w:rsidR="00301D4D" w:rsidRDefault="00301D4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DD6961"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BR" w:eastAsia="es-CO"/>
      </w:rPr>
    </w:pPr>
    <w:r w:rsidRPr="00DD6961">
      <w:rPr>
        <w:rFonts w:ascii="Verdana" w:eastAsia="Verdana" w:hAnsi="Verdana" w:cs="Verdana"/>
        <w:b/>
        <w:color w:val="000000" w:themeColor="text1"/>
        <w:sz w:val="18"/>
        <w:szCs w:val="18"/>
        <w:lang w:val="pt-BR" w:eastAsia="es-CO"/>
      </w:rPr>
      <w:t xml:space="preserve">Código: </w:t>
    </w:r>
    <w:r w:rsidRPr="00DD6961">
      <w:rPr>
        <w:rFonts w:ascii="Verdana" w:eastAsia="Verdana" w:hAnsi="Verdana" w:cs="Verdana"/>
        <w:color w:val="000000" w:themeColor="text1"/>
        <w:sz w:val="18"/>
        <w:szCs w:val="18"/>
        <w:lang w:val="pt-BR" w:eastAsia="es-CO"/>
      </w:rPr>
      <w:t xml:space="preserve">CCE-REC-FM-17 </w:t>
    </w:r>
    <w:r w:rsidRPr="00DD6961">
      <w:rPr>
        <w:rFonts w:ascii="Verdana" w:eastAsia="Verdana" w:hAnsi="Verdana" w:cs="Verdana"/>
        <w:b/>
        <w:color w:val="000000" w:themeColor="text1"/>
        <w:sz w:val="18"/>
        <w:szCs w:val="18"/>
        <w:lang w:val="pt-BR" w:eastAsia="es-CO"/>
      </w:rPr>
      <w:t xml:space="preserve">V: </w:t>
    </w:r>
    <w:r w:rsidRPr="00DD6961">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8DC72" w14:textId="77777777" w:rsidR="00301D4D" w:rsidRDefault="00301D4D" w:rsidP="004A1847">
      <w:pPr>
        <w:spacing w:after="0" w:line="240" w:lineRule="auto"/>
      </w:pPr>
      <w:r>
        <w:separator/>
      </w:r>
    </w:p>
  </w:footnote>
  <w:footnote w:type="continuationSeparator" w:id="0">
    <w:p w14:paraId="3F54449F" w14:textId="77777777" w:rsidR="00301D4D" w:rsidRDefault="00301D4D" w:rsidP="004A1847">
      <w:pPr>
        <w:spacing w:after="0" w:line="240" w:lineRule="auto"/>
      </w:pPr>
      <w:r>
        <w:continuationSeparator/>
      </w:r>
    </w:p>
  </w:footnote>
  <w:footnote w:id="1">
    <w:p w14:paraId="7513F222" w14:textId="77777777" w:rsidR="00AB0711" w:rsidRPr="00EA1423" w:rsidRDefault="00AB0711" w:rsidP="00AB0711">
      <w:pPr>
        <w:pStyle w:val="Textoindependiente"/>
        <w:ind w:firstLine="708"/>
        <w:jc w:val="both"/>
        <w:rPr>
          <w:rFonts w:ascii="Verdana" w:hAnsi="Verdana"/>
          <w:sz w:val="18"/>
          <w:szCs w:val="18"/>
        </w:rPr>
      </w:pPr>
      <w:r w:rsidRPr="00EA1423">
        <w:rPr>
          <w:rStyle w:val="Refdenotaalpie"/>
          <w:rFonts w:ascii="Verdana" w:hAnsi="Verdana"/>
          <w:sz w:val="18"/>
          <w:szCs w:val="18"/>
        </w:rPr>
        <w:footnoteRef/>
      </w:r>
      <w:r w:rsidRPr="00EA1423">
        <w:rPr>
          <w:rFonts w:ascii="Verdana" w:hAnsi="Verdana"/>
          <w:sz w:val="18"/>
          <w:szCs w:val="18"/>
        </w:rPr>
        <w:t xml:space="preserve"> </w:t>
      </w:r>
      <w:r w:rsidRPr="00EA1423">
        <w:rPr>
          <w:rFonts w:ascii="Verdana" w:hAnsi="Verdana"/>
          <w:sz w:val="18"/>
          <w:szCs w:val="18"/>
          <w:lang w:val="es-ES_tradnl"/>
        </w:rPr>
        <w:t xml:space="preserve">El artículo 2º define, para los efectos del ámbito de sujeción del estatuto, que se denominan entidades estatales: “a) </w:t>
      </w:r>
      <w:r w:rsidRPr="00EA1423">
        <w:rPr>
          <w:rFonts w:ascii="Verdana" w:hAnsi="Verdana"/>
          <w:sz w:val="18"/>
          <w:szCs w:val="18"/>
        </w:rPr>
        <w:t>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footnote>
  <w:footnote w:id="2">
    <w:p w14:paraId="7D24BF8A" w14:textId="77777777" w:rsidR="00C60FEB" w:rsidRPr="00EA1423" w:rsidRDefault="00C60FEB" w:rsidP="00C60FEB">
      <w:pPr>
        <w:pStyle w:val="Textonotapie"/>
        <w:ind w:firstLine="708"/>
        <w:jc w:val="both"/>
        <w:rPr>
          <w:rFonts w:ascii="Verdana" w:hAnsi="Verdana" w:cs="Arial"/>
          <w:sz w:val="18"/>
          <w:szCs w:val="18"/>
        </w:rPr>
      </w:pPr>
      <w:r w:rsidRPr="00EA1423">
        <w:rPr>
          <w:rStyle w:val="Refdenotaalpie"/>
          <w:rFonts w:ascii="Verdana" w:hAnsi="Verdana" w:cs="Arial"/>
          <w:sz w:val="18"/>
          <w:szCs w:val="18"/>
        </w:rPr>
        <w:footnoteRef/>
      </w:r>
      <w:r w:rsidRPr="00EA1423">
        <w:rPr>
          <w:rFonts w:ascii="Verdana" w:hAnsi="Verdana" w:cs="Arial"/>
          <w:sz w:val="18"/>
          <w:szCs w:val="18"/>
        </w:rPr>
        <w:t xml:space="preserve"> DÁVILA VINUEZA, Guillermo. Régimen jurídico de la contratación estatal. Bogotá: Legis, 2016. p. 849.</w:t>
      </w:r>
    </w:p>
  </w:footnote>
  <w:footnote w:id="3">
    <w:p w14:paraId="05D4FDEF" w14:textId="77777777" w:rsidR="00C60FEB" w:rsidRPr="00EA1423" w:rsidRDefault="00C60FEB" w:rsidP="00C60FEB">
      <w:pPr>
        <w:pStyle w:val="Textonotapie"/>
        <w:ind w:firstLine="708"/>
        <w:jc w:val="both"/>
        <w:rPr>
          <w:rFonts w:ascii="Verdana" w:hAnsi="Verdana"/>
          <w:sz w:val="18"/>
          <w:szCs w:val="18"/>
          <w:lang w:val="es-ES"/>
        </w:rPr>
      </w:pPr>
      <w:r w:rsidRPr="00EA1423">
        <w:rPr>
          <w:rStyle w:val="Refdenotaalpie"/>
          <w:rFonts w:ascii="Verdana" w:hAnsi="Verdana"/>
          <w:sz w:val="18"/>
          <w:szCs w:val="18"/>
        </w:rPr>
        <w:footnoteRef/>
      </w:r>
      <w:r w:rsidRPr="00EA1423">
        <w:rPr>
          <w:rFonts w:ascii="Verdana" w:hAnsi="Verdana"/>
          <w:sz w:val="18"/>
          <w:szCs w:val="18"/>
        </w:rPr>
        <w:t xml:space="preserve"> AGENCIA NACIONAL DE CONTRATACIÓN PÚBLICA–COLOMBIA COMPRA EFICIENTE–. Concepto </w:t>
      </w:r>
      <w:r w:rsidRPr="00EA1423">
        <w:rPr>
          <w:rFonts w:ascii="Verdana" w:hAnsi="Verdana"/>
          <w:sz w:val="18"/>
          <w:szCs w:val="18"/>
          <w:lang w:val="es-ES"/>
        </w:rPr>
        <w:t xml:space="preserve">C-282 de 2024. </w:t>
      </w:r>
    </w:p>
  </w:footnote>
  <w:footnote w:id="4">
    <w:p w14:paraId="571E6369" w14:textId="77777777" w:rsidR="00C60FEB" w:rsidRPr="00EA1423" w:rsidRDefault="00C60FEB" w:rsidP="00C60FEB">
      <w:pPr>
        <w:pStyle w:val="Textonotapie"/>
        <w:ind w:firstLine="708"/>
        <w:jc w:val="both"/>
        <w:rPr>
          <w:rFonts w:ascii="Verdana" w:hAnsi="Verdana" w:cs="Arial"/>
          <w:sz w:val="18"/>
          <w:szCs w:val="18"/>
          <w:lang w:val="es-ES"/>
        </w:rPr>
      </w:pPr>
      <w:r w:rsidRPr="00EA1423">
        <w:rPr>
          <w:rStyle w:val="Refdenotaalpie"/>
          <w:rFonts w:ascii="Verdana" w:hAnsi="Verdana" w:cs="Arial"/>
          <w:sz w:val="18"/>
          <w:szCs w:val="18"/>
        </w:rPr>
        <w:footnoteRef/>
      </w:r>
      <w:r w:rsidRPr="00EA1423">
        <w:rPr>
          <w:rFonts w:ascii="Verdana" w:hAnsi="Verdana" w:cs="Arial"/>
          <w:sz w:val="18"/>
          <w:szCs w:val="18"/>
        </w:rPr>
        <w:t xml:space="preserve"> CONSEJO DE ESTADO. Sección Tercera. Subsección C. Sentencia del 25 de abril del 2012. Exp. 22167. M.P. Jaime Orlando Santofimio Gamboa.</w:t>
      </w:r>
    </w:p>
  </w:footnote>
  <w:footnote w:id="5">
    <w:p w14:paraId="0AE4572C" w14:textId="77777777" w:rsidR="00AA5695" w:rsidRPr="00EA1423" w:rsidRDefault="00AA5695" w:rsidP="00AA5695">
      <w:pPr>
        <w:pStyle w:val="Textonotapie"/>
        <w:adjustRightInd w:val="0"/>
        <w:snapToGrid w:val="0"/>
        <w:ind w:firstLine="709"/>
        <w:jc w:val="both"/>
        <w:rPr>
          <w:rFonts w:ascii="Verdana" w:hAnsi="Verdana"/>
          <w:sz w:val="18"/>
          <w:szCs w:val="18"/>
        </w:rPr>
      </w:pPr>
      <w:r w:rsidRPr="00EA1423">
        <w:rPr>
          <w:rStyle w:val="Refdenotaalpie"/>
          <w:rFonts w:ascii="Verdana" w:hAnsi="Verdana"/>
          <w:sz w:val="18"/>
          <w:szCs w:val="18"/>
        </w:rPr>
        <w:footnoteRef/>
      </w:r>
      <w:r w:rsidRPr="00EA1423">
        <w:rPr>
          <w:rFonts w:ascii="Verdana" w:hAnsi="Verdana"/>
          <w:sz w:val="18"/>
          <w:szCs w:val="18"/>
        </w:rPr>
        <w:t xml:space="preserve"> Artículo 21 de la Ley 1150 de 2007</w:t>
      </w:r>
    </w:p>
  </w:footnote>
  <w:footnote w:id="6">
    <w:p w14:paraId="74F0E855" w14:textId="77777777" w:rsidR="00AA5695" w:rsidRPr="00EA1423" w:rsidRDefault="00AA5695" w:rsidP="00AA5695">
      <w:pPr>
        <w:pStyle w:val="Textonotapie"/>
        <w:adjustRightInd w:val="0"/>
        <w:snapToGrid w:val="0"/>
        <w:ind w:firstLine="709"/>
        <w:jc w:val="both"/>
        <w:rPr>
          <w:rFonts w:ascii="Verdana" w:hAnsi="Verdana"/>
          <w:sz w:val="18"/>
          <w:szCs w:val="18"/>
        </w:rPr>
      </w:pPr>
      <w:r w:rsidRPr="00EA1423">
        <w:rPr>
          <w:rStyle w:val="Refdenotaalpie"/>
          <w:rFonts w:ascii="Verdana" w:hAnsi="Verdana"/>
          <w:sz w:val="18"/>
          <w:szCs w:val="18"/>
        </w:rPr>
        <w:footnoteRef/>
      </w:r>
      <w:r w:rsidRPr="00EA1423">
        <w:rPr>
          <w:rFonts w:ascii="Verdana" w:hAnsi="Verdana"/>
          <w:sz w:val="18"/>
          <w:szCs w:val="18"/>
        </w:rPr>
        <w:t xml:space="preserve"> Artículos 83 a 86 de la Ley 1474 de 2011</w:t>
      </w:r>
    </w:p>
  </w:footnote>
  <w:footnote w:id="7">
    <w:p w14:paraId="590DEB4E" w14:textId="77777777" w:rsidR="00AA5695" w:rsidRPr="00EA1423" w:rsidRDefault="00AA5695" w:rsidP="00AA5695">
      <w:pPr>
        <w:pStyle w:val="Textonotapie"/>
        <w:adjustRightInd w:val="0"/>
        <w:snapToGrid w:val="0"/>
        <w:ind w:firstLine="709"/>
        <w:jc w:val="both"/>
        <w:rPr>
          <w:rFonts w:ascii="Verdana" w:hAnsi="Verdana"/>
          <w:sz w:val="18"/>
          <w:szCs w:val="18"/>
        </w:rPr>
      </w:pPr>
      <w:r w:rsidRPr="00EA1423">
        <w:rPr>
          <w:rStyle w:val="Refdenotaalpie"/>
          <w:rFonts w:ascii="Verdana" w:hAnsi="Verdana"/>
          <w:sz w:val="18"/>
          <w:szCs w:val="18"/>
        </w:rPr>
        <w:footnoteRef/>
      </w:r>
      <w:r w:rsidRPr="00EA1423">
        <w:rPr>
          <w:rFonts w:ascii="Verdana" w:hAnsi="Verdana"/>
          <w:sz w:val="18"/>
          <w:szCs w:val="18"/>
        </w:rPr>
        <w:t xml:space="preserve"> Artículo 83 de la Ley 1474 de 2011</w:t>
      </w:r>
    </w:p>
  </w:footnote>
  <w:footnote w:id="8">
    <w:p w14:paraId="0608F4DE" w14:textId="77777777" w:rsidR="00AA5695" w:rsidRPr="00EA1423" w:rsidRDefault="00AA5695" w:rsidP="00AA5695">
      <w:pPr>
        <w:pStyle w:val="Textonotapie"/>
        <w:adjustRightInd w:val="0"/>
        <w:snapToGrid w:val="0"/>
        <w:ind w:firstLine="709"/>
        <w:jc w:val="both"/>
        <w:rPr>
          <w:rFonts w:ascii="Verdana" w:hAnsi="Verdana" w:cs="Arial"/>
          <w:color w:val="161616"/>
          <w:sz w:val="18"/>
          <w:szCs w:val="18"/>
        </w:rPr>
      </w:pPr>
      <w:r w:rsidRPr="00EA1423">
        <w:rPr>
          <w:rStyle w:val="Refdenotaalpie"/>
          <w:rFonts w:ascii="Verdana" w:hAnsi="Verdana"/>
          <w:sz w:val="18"/>
          <w:szCs w:val="18"/>
        </w:rPr>
        <w:footnoteRef/>
      </w:r>
      <w:r w:rsidRPr="00EA1423">
        <w:rPr>
          <w:rFonts w:ascii="Verdana" w:hAnsi="Verdana"/>
          <w:sz w:val="18"/>
          <w:szCs w:val="18"/>
        </w:rPr>
        <w:t xml:space="preserve"> </w:t>
      </w:r>
      <w:r w:rsidRPr="00EA1423">
        <w:rPr>
          <w:rFonts w:ascii="Verdana" w:hAnsi="Verdana" w:cs="Arial"/>
          <w:color w:val="161616"/>
          <w:sz w:val="18"/>
          <w:szCs w:val="18"/>
        </w:rPr>
        <w:t>“Son también contratos de consultoría los que tienen por objeto la interventoría […]”</w:t>
      </w:r>
    </w:p>
  </w:footnote>
  <w:footnote w:id="9">
    <w:p w14:paraId="20A6A0D9" w14:textId="77777777" w:rsidR="00AA5695" w:rsidRPr="00EA1423" w:rsidRDefault="00AA5695" w:rsidP="00AA5695">
      <w:pPr>
        <w:pStyle w:val="Textonotapie"/>
        <w:adjustRightInd w:val="0"/>
        <w:snapToGrid w:val="0"/>
        <w:ind w:firstLine="709"/>
        <w:jc w:val="both"/>
        <w:rPr>
          <w:rFonts w:ascii="Verdana" w:hAnsi="Verdana" w:cs="Arial"/>
          <w:color w:val="161616"/>
          <w:sz w:val="18"/>
          <w:szCs w:val="18"/>
        </w:rPr>
      </w:pPr>
      <w:r w:rsidRPr="00EA1423">
        <w:rPr>
          <w:rStyle w:val="Refdenotaalpie"/>
          <w:rFonts w:ascii="Verdana" w:hAnsi="Verdana" w:cs="Arial"/>
          <w:sz w:val="18"/>
          <w:szCs w:val="18"/>
        </w:rPr>
        <w:footnoteRef/>
      </w:r>
      <w:r w:rsidRPr="00EA1423">
        <w:rPr>
          <w:rFonts w:ascii="Verdana" w:hAnsi="Verdana" w:cs="Arial"/>
          <w:sz w:val="18"/>
          <w:szCs w:val="18"/>
        </w:rPr>
        <w:t xml:space="preserve"> </w:t>
      </w:r>
      <w:r w:rsidRPr="00EA1423">
        <w:rPr>
          <w:rFonts w:ascii="Verdana" w:hAnsi="Verdana" w:cs="Arial"/>
          <w:color w:val="161616"/>
          <w:sz w:val="18"/>
          <w:szCs w:val="18"/>
        </w:rPr>
        <w:t>Consejo de Estado. Sección Tercera. Sentencia del 28 de febrero de 2013. Exp. 24.266 C.P. Danilo Rojas Betancourth.</w:t>
      </w:r>
    </w:p>
  </w:footnote>
  <w:footnote w:id="10">
    <w:p w14:paraId="33756127" w14:textId="77777777" w:rsidR="00AA5695" w:rsidRPr="00EA1423" w:rsidRDefault="00AA5695" w:rsidP="00AA5695">
      <w:pPr>
        <w:pStyle w:val="Textonotapie"/>
        <w:adjustRightInd w:val="0"/>
        <w:snapToGrid w:val="0"/>
        <w:ind w:firstLine="709"/>
        <w:jc w:val="both"/>
        <w:rPr>
          <w:rFonts w:ascii="Verdana" w:hAnsi="Verdana" w:cs="Arial"/>
          <w:color w:val="161616"/>
          <w:sz w:val="18"/>
          <w:szCs w:val="18"/>
        </w:rPr>
      </w:pPr>
      <w:r w:rsidRPr="00EA1423">
        <w:rPr>
          <w:rStyle w:val="Refdenotaalpie"/>
          <w:rFonts w:ascii="Verdana" w:hAnsi="Verdana" w:cs="Arial"/>
          <w:sz w:val="18"/>
          <w:szCs w:val="18"/>
        </w:rPr>
        <w:footnoteRef/>
      </w:r>
      <w:r w:rsidRPr="00EA1423">
        <w:rPr>
          <w:rFonts w:ascii="Verdana" w:hAnsi="Verdana" w:cs="Arial"/>
          <w:sz w:val="18"/>
          <w:szCs w:val="18"/>
        </w:rPr>
        <w:t xml:space="preserve"> </w:t>
      </w:r>
      <w:r w:rsidRPr="00EA1423">
        <w:rPr>
          <w:rFonts w:ascii="Verdana" w:hAnsi="Verdana" w:cs="Arial"/>
          <w:color w:val="161616"/>
          <w:sz w:val="18"/>
          <w:szCs w:val="18"/>
        </w:rPr>
        <w:t>Consejo de Estado, Sección Tercera. Sentencia del 8 de marzo de 1996, expediente n.° 8070, C.P. Jesús María Carrillo: “el interventor carece de facultades para exigir del contratante un supuesto derecho a prórrogas, como queriendo hacer valer el contrato de interventoria como un contrato accesorio del contrato de obra, y con esa perspectiva alegar que por la sola naturaleza accesoria "debe" obtener la misma suerte que la del contrato principal”. Consejo de Estado, Sala de lo Contencioso Administrativo, Sección Tercera, sentencia del 13 de septiembre de 1991, expediente n.° 5127, C.P. Carlos Betancur: “Debe distinguirse entre el contrato de obra pública y el de interventoría, pues el incumplimiento del contratista de obra no puede imputarse al del interventor como si éste fuera obligado a la ejecución de la obra”.</w:t>
      </w:r>
      <w:r w:rsidRPr="00EA1423">
        <w:rPr>
          <w:rFonts w:ascii="Verdana" w:hAnsi="Verdana" w:cs="Arial"/>
          <w:sz w:val="18"/>
          <w:szCs w:val="18"/>
        </w:rPr>
        <w:t xml:space="preserve">  </w:t>
      </w:r>
    </w:p>
  </w:footnote>
  <w:footnote w:id="11">
    <w:p w14:paraId="391CD11D" w14:textId="77777777" w:rsidR="00AA5695" w:rsidRPr="00EA1423" w:rsidRDefault="00AA5695" w:rsidP="00AA5695">
      <w:pPr>
        <w:pStyle w:val="Textonotapie"/>
        <w:ind w:firstLine="708"/>
        <w:jc w:val="both"/>
        <w:rPr>
          <w:rFonts w:ascii="Verdana" w:hAnsi="Verdana"/>
          <w:sz w:val="18"/>
          <w:szCs w:val="18"/>
          <w:lang w:val="es-ES"/>
        </w:rPr>
      </w:pPr>
      <w:r w:rsidRPr="00EA1423">
        <w:rPr>
          <w:rStyle w:val="Refdenotaalpie"/>
          <w:rFonts w:ascii="Verdana" w:hAnsi="Verdana"/>
          <w:sz w:val="18"/>
          <w:szCs w:val="18"/>
        </w:rPr>
        <w:footnoteRef/>
      </w:r>
      <w:r w:rsidRPr="00EA1423">
        <w:rPr>
          <w:rFonts w:ascii="Verdana" w:hAnsi="Verdana"/>
          <w:sz w:val="18"/>
          <w:szCs w:val="18"/>
        </w:rPr>
        <w:t xml:space="preserve"> Ley 80 de 1993, Artículo 13: “L</w:t>
      </w:r>
      <w:r w:rsidRPr="00EA1423">
        <w:rPr>
          <w:rFonts w:ascii="Verdana" w:hAnsi="Verdana"/>
          <w:sz w:val="18"/>
          <w:szCs w:val="18"/>
          <w:lang w:val="es-CO"/>
        </w:rPr>
        <w:t>os contratos que celebren las entidades a que se refiere el artículo 2 del presente estatuto se regirán por las disposiciones comerciales y civiles pertinentes, salvo en las materias particularmente reguladas en esta Ley […]”.</w:t>
      </w:r>
    </w:p>
  </w:footnote>
  <w:footnote w:id="12">
    <w:p w14:paraId="218F0500" w14:textId="77777777" w:rsidR="00AA5695" w:rsidRPr="00EA1423" w:rsidRDefault="00AA5695" w:rsidP="00AA5695">
      <w:pPr>
        <w:pStyle w:val="Textonotapie"/>
        <w:ind w:firstLine="708"/>
        <w:jc w:val="both"/>
        <w:rPr>
          <w:rFonts w:ascii="Verdana" w:hAnsi="Verdana"/>
          <w:sz w:val="18"/>
          <w:szCs w:val="18"/>
          <w:lang w:val="es-ES"/>
        </w:rPr>
      </w:pPr>
      <w:r w:rsidRPr="00EA1423">
        <w:rPr>
          <w:rStyle w:val="Refdenotaalpie"/>
          <w:rFonts w:ascii="Verdana" w:hAnsi="Verdana"/>
          <w:sz w:val="18"/>
          <w:szCs w:val="18"/>
        </w:rPr>
        <w:footnoteRef/>
      </w:r>
      <w:r w:rsidRPr="00EA1423">
        <w:rPr>
          <w:rFonts w:ascii="Verdana" w:hAnsi="Verdana"/>
          <w:sz w:val="18"/>
          <w:szCs w:val="18"/>
        </w:rPr>
        <w:t xml:space="preserve"> Ley 80 de 1993. ARTÍCULO </w:t>
      </w:r>
      <w:bookmarkStart w:id="3" w:name="BM32"/>
      <w:bookmarkStart w:id="4" w:name="32"/>
      <w:bookmarkEnd w:id="3"/>
      <w:bookmarkEnd w:id="4"/>
      <w:r w:rsidRPr="00EA1423">
        <w:rPr>
          <w:rFonts w:ascii="Verdana" w:hAnsi="Verdana"/>
          <w:sz w:val="18"/>
          <w:szCs w:val="18"/>
        </w:rPr>
        <w:t>32: “</w:t>
      </w:r>
      <w:r w:rsidRPr="00EA1423">
        <w:rPr>
          <w:rFonts w:ascii="Verdana" w:hAnsi="Verdana"/>
          <w:sz w:val="18"/>
          <w:szCs w:val="18"/>
          <w:lang w:val="es-CO"/>
        </w:rPr>
        <w:t>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p>
  </w:footnote>
  <w:footnote w:id="13">
    <w:p w14:paraId="4254F203" w14:textId="33344DCA" w:rsidR="00E035CC" w:rsidRPr="00EA1423" w:rsidRDefault="00E035CC" w:rsidP="001F7B31">
      <w:pPr>
        <w:pStyle w:val="Textonotapie"/>
        <w:ind w:firstLine="708"/>
        <w:jc w:val="both"/>
        <w:rPr>
          <w:rFonts w:ascii="Verdana" w:hAnsi="Verdana"/>
          <w:sz w:val="18"/>
          <w:szCs w:val="18"/>
          <w:lang w:val="es-ES"/>
        </w:rPr>
      </w:pPr>
      <w:r w:rsidRPr="00EA1423">
        <w:rPr>
          <w:rStyle w:val="Refdenotaalpie"/>
          <w:rFonts w:ascii="Verdana" w:hAnsi="Verdana"/>
          <w:sz w:val="18"/>
          <w:szCs w:val="18"/>
        </w:rPr>
        <w:footnoteRef/>
      </w:r>
      <w:r w:rsidRPr="00DD6961">
        <w:rPr>
          <w:rFonts w:ascii="Verdana" w:hAnsi="Verdana"/>
          <w:sz w:val="18"/>
          <w:szCs w:val="18"/>
          <w:lang w:val="pt-BR"/>
        </w:rPr>
        <w:t xml:space="preserve"> </w:t>
      </w:r>
      <w:r w:rsidR="001F7B31" w:rsidRPr="00DD6961">
        <w:rPr>
          <w:rFonts w:ascii="Verdana" w:hAnsi="Verdana"/>
          <w:sz w:val="18"/>
          <w:szCs w:val="18"/>
          <w:lang w:val="pt-BR"/>
        </w:rPr>
        <w:t xml:space="preserve">Corte Constitucional. Sentencia C-326 de 1997. </w:t>
      </w:r>
      <w:r w:rsidR="001F7B31" w:rsidRPr="00EA1423">
        <w:rPr>
          <w:rFonts w:ascii="Verdana" w:hAnsi="Verdana"/>
          <w:sz w:val="18"/>
          <w:szCs w:val="18"/>
          <w:lang w:val="es-CO"/>
        </w:rPr>
        <w:t>M.P. Fabio Morón Díaz, expediente D-1518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7141912"/>
    <w:multiLevelType w:val="hybridMultilevel"/>
    <w:tmpl w:val="08F855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8E67E27"/>
    <w:multiLevelType w:val="hybridMultilevel"/>
    <w:tmpl w:val="6E0EAE62"/>
    <w:lvl w:ilvl="0" w:tplc="734CC976">
      <w:start w:val="4"/>
      <w:numFmt w:val="decimal"/>
      <w:lvlText w:val="%1."/>
      <w:lvlJc w:val="left"/>
      <w:pPr>
        <w:ind w:left="2061" w:hanging="360"/>
      </w:pPr>
      <w:rPr>
        <w:rFonts w:hint="default"/>
      </w:rPr>
    </w:lvl>
    <w:lvl w:ilvl="1" w:tplc="240A0019" w:tentative="1">
      <w:start w:val="1"/>
      <w:numFmt w:val="lowerLetter"/>
      <w:lvlText w:val="%2."/>
      <w:lvlJc w:val="left"/>
      <w:pPr>
        <w:ind w:left="2781" w:hanging="360"/>
      </w:pPr>
    </w:lvl>
    <w:lvl w:ilvl="2" w:tplc="240A001B" w:tentative="1">
      <w:start w:val="1"/>
      <w:numFmt w:val="lowerRoman"/>
      <w:lvlText w:val="%3."/>
      <w:lvlJc w:val="right"/>
      <w:pPr>
        <w:ind w:left="3501" w:hanging="180"/>
      </w:pPr>
    </w:lvl>
    <w:lvl w:ilvl="3" w:tplc="240A000F" w:tentative="1">
      <w:start w:val="1"/>
      <w:numFmt w:val="decimal"/>
      <w:lvlText w:val="%4."/>
      <w:lvlJc w:val="left"/>
      <w:pPr>
        <w:ind w:left="4221" w:hanging="360"/>
      </w:pPr>
    </w:lvl>
    <w:lvl w:ilvl="4" w:tplc="240A0019" w:tentative="1">
      <w:start w:val="1"/>
      <w:numFmt w:val="lowerLetter"/>
      <w:lvlText w:val="%5."/>
      <w:lvlJc w:val="left"/>
      <w:pPr>
        <w:ind w:left="4941" w:hanging="360"/>
      </w:pPr>
    </w:lvl>
    <w:lvl w:ilvl="5" w:tplc="240A001B" w:tentative="1">
      <w:start w:val="1"/>
      <w:numFmt w:val="lowerRoman"/>
      <w:lvlText w:val="%6."/>
      <w:lvlJc w:val="right"/>
      <w:pPr>
        <w:ind w:left="5661" w:hanging="180"/>
      </w:pPr>
    </w:lvl>
    <w:lvl w:ilvl="6" w:tplc="240A000F" w:tentative="1">
      <w:start w:val="1"/>
      <w:numFmt w:val="decimal"/>
      <w:lvlText w:val="%7."/>
      <w:lvlJc w:val="left"/>
      <w:pPr>
        <w:ind w:left="6381" w:hanging="360"/>
      </w:pPr>
    </w:lvl>
    <w:lvl w:ilvl="7" w:tplc="240A0019" w:tentative="1">
      <w:start w:val="1"/>
      <w:numFmt w:val="lowerLetter"/>
      <w:lvlText w:val="%8."/>
      <w:lvlJc w:val="left"/>
      <w:pPr>
        <w:ind w:left="7101" w:hanging="360"/>
      </w:pPr>
    </w:lvl>
    <w:lvl w:ilvl="8" w:tplc="240A001B" w:tentative="1">
      <w:start w:val="1"/>
      <w:numFmt w:val="lowerRoman"/>
      <w:lvlText w:val="%9."/>
      <w:lvlJc w:val="right"/>
      <w:pPr>
        <w:ind w:left="7821" w:hanging="180"/>
      </w:p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0"/>
  </w:num>
  <w:num w:numId="16" w16cid:durableId="1489201040">
    <w:abstractNumId w:val="0"/>
  </w:num>
  <w:num w:numId="17" w16cid:durableId="354692520">
    <w:abstractNumId w:val="11"/>
  </w:num>
  <w:num w:numId="18" w16cid:durableId="8174531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035C"/>
    <w:rsid w:val="00010C48"/>
    <w:rsid w:val="0001454C"/>
    <w:rsid w:val="00016F78"/>
    <w:rsid w:val="0004046C"/>
    <w:rsid w:val="000431A1"/>
    <w:rsid w:val="00046945"/>
    <w:rsid w:val="000521D8"/>
    <w:rsid w:val="00061B2A"/>
    <w:rsid w:val="00063A69"/>
    <w:rsid w:val="00063E19"/>
    <w:rsid w:val="00067E74"/>
    <w:rsid w:val="00082362"/>
    <w:rsid w:val="000905DB"/>
    <w:rsid w:val="000970B2"/>
    <w:rsid w:val="000A683E"/>
    <w:rsid w:val="000B19B9"/>
    <w:rsid w:val="000B5E32"/>
    <w:rsid w:val="000D0334"/>
    <w:rsid w:val="000D5DA7"/>
    <w:rsid w:val="000E54E4"/>
    <w:rsid w:val="000F4C13"/>
    <w:rsid w:val="000F6486"/>
    <w:rsid w:val="00107F31"/>
    <w:rsid w:val="0011153F"/>
    <w:rsid w:val="00111D16"/>
    <w:rsid w:val="00116940"/>
    <w:rsid w:val="00116D20"/>
    <w:rsid w:val="001200A0"/>
    <w:rsid w:val="0012371D"/>
    <w:rsid w:val="00125105"/>
    <w:rsid w:val="00127233"/>
    <w:rsid w:val="001564F7"/>
    <w:rsid w:val="0015699B"/>
    <w:rsid w:val="00162473"/>
    <w:rsid w:val="00174070"/>
    <w:rsid w:val="001918F3"/>
    <w:rsid w:val="001941CC"/>
    <w:rsid w:val="001A1F65"/>
    <w:rsid w:val="001A33BF"/>
    <w:rsid w:val="001A4D23"/>
    <w:rsid w:val="001C79FB"/>
    <w:rsid w:val="001D7224"/>
    <w:rsid w:val="001D78EE"/>
    <w:rsid w:val="001E4177"/>
    <w:rsid w:val="001F0B24"/>
    <w:rsid w:val="001F7B31"/>
    <w:rsid w:val="001F7DC6"/>
    <w:rsid w:val="002004ED"/>
    <w:rsid w:val="002121F7"/>
    <w:rsid w:val="0022400B"/>
    <w:rsid w:val="00224D7B"/>
    <w:rsid w:val="002304B0"/>
    <w:rsid w:val="002421BB"/>
    <w:rsid w:val="0025796E"/>
    <w:rsid w:val="002707A2"/>
    <w:rsid w:val="00275078"/>
    <w:rsid w:val="00287D4D"/>
    <w:rsid w:val="002951A0"/>
    <w:rsid w:val="0029551A"/>
    <w:rsid w:val="002962BC"/>
    <w:rsid w:val="002A093D"/>
    <w:rsid w:val="002A0DD0"/>
    <w:rsid w:val="002A141F"/>
    <w:rsid w:val="002A49AC"/>
    <w:rsid w:val="002A64FD"/>
    <w:rsid w:val="002A665A"/>
    <w:rsid w:val="002C7940"/>
    <w:rsid w:val="002C7A84"/>
    <w:rsid w:val="002E2BF8"/>
    <w:rsid w:val="002E4FD9"/>
    <w:rsid w:val="003009A3"/>
    <w:rsid w:val="00301D4D"/>
    <w:rsid w:val="0030657A"/>
    <w:rsid w:val="0030698C"/>
    <w:rsid w:val="00322A85"/>
    <w:rsid w:val="00324168"/>
    <w:rsid w:val="003262CA"/>
    <w:rsid w:val="00330834"/>
    <w:rsid w:val="00334136"/>
    <w:rsid w:val="00335DD9"/>
    <w:rsid w:val="0034097F"/>
    <w:rsid w:val="003448F4"/>
    <w:rsid w:val="00351842"/>
    <w:rsid w:val="00360E06"/>
    <w:rsid w:val="00363005"/>
    <w:rsid w:val="00366C4A"/>
    <w:rsid w:val="00370ABA"/>
    <w:rsid w:val="00374F5E"/>
    <w:rsid w:val="00376F4B"/>
    <w:rsid w:val="00377E3E"/>
    <w:rsid w:val="0038511A"/>
    <w:rsid w:val="003A42F0"/>
    <w:rsid w:val="003A57B3"/>
    <w:rsid w:val="003A779E"/>
    <w:rsid w:val="003B2098"/>
    <w:rsid w:val="003C3619"/>
    <w:rsid w:val="003D0F4D"/>
    <w:rsid w:val="003D1F78"/>
    <w:rsid w:val="003D5B0D"/>
    <w:rsid w:val="003E0499"/>
    <w:rsid w:val="003E0B57"/>
    <w:rsid w:val="003E3E71"/>
    <w:rsid w:val="003E4F80"/>
    <w:rsid w:val="003E6439"/>
    <w:rsid w:val="003F3941"/>
    <w:rsid w:val="003F3ED3"/>
    <w:rsid w:val="003F5F36"/>
    <w:rsid w:val="00406575"/>
    <w:rsid w:val="00414C74"/>
    <w:rsid w:val="0042198F"/>
    <w:rsid w:val="0042722E"/>
    <w:rsid w:val="00435645"/>
    <w:rsid w:val="0044528D"/>
    <w:rsid w:val="00466E39"/>
    <w:rsid w:val="004A1847"/>
    <w:rsid w:val="004A27AB"/>
    <w:rsid w:val="004A305D"/>
    <w:rsid w:val="004A7E89"/>
    <w:rsid w:val="004C32C6"/>
    <w:rsid w:val="004D2791"/>
    <w:rsid w:val="004F21C4"/>
    <w:rsid w:val="004F5D41"/>
    <w:rsid w:val="004F685F"/>
    <w:rsid w:val="004F75EF"/>
    <w:rsid w:val="00504607"/>
    <w:rsid w:val="00523F2C"/>
    <w:rsid w:val="0052721C"/>
    <w:rsid w:val="00546782"/>
    <w:rsid w:val="005566E8"/>
    <w:rsid w:val="00557B67"/>
    <w:rsid w:val="00571F2B"/>
    <w:rsid w:val="00573704"/>
    <w:rsid w:val="005737EF"/>
    <w:rsid w:val="00574867"/>
    <w:rsid w:val="00577CB6"/>
    <w:rsid w:val="00590DB7"/>
    <w:rsid w:val="00591460"/>
    <w:rsid w:val="005973D3"/>
    <w:rsid w:val="005A5DF2"/>
    <w:rsid w:val="005A65E0"/>
    <w:rsid w:val="005A7062"/>
    <w:rsid w:val="005B7862"/>
    <w:rsid w:val="005C3777"/>
    <w:rsid w:val="005C5CDC"/>
    <w:rsid w:val="005D476C"/>
    <w:rsid w:val="005E027F"/>
    <w:rsid w:val="005E3DF0"/>
    <w:rsid w:val="00607869"/>
    <w:rsid w:val="00612F36"/>
    <w:rsid w:val="006164C5"/>
    <w:rsid w:val="006200BF"/>
    <w:rsid w:val="006219F8"/>
    <w:rsid w:val="0062575C"/>
    <w:rsid w:val="006302F7"/>
    <w:rsid w:val="006345AF"/>
    <w:rsid w:val="00637225"/>
    <w:rsid w:val="006444C7"/>
    <w:rsid w:val="00646B9F"/>
    <w:rsid w:val="00665D70"/>
    <w:rsid w:val="00677007"/>
    <w:rsid w:val="00680A1A"/>
    <w:rsid w:val="006900D9"/>
    <w:rsid w:val="0069371E"/>
    <w:rsid w:val="006C02E4"/>
    <w:rsid w:val="006C2664"/>
    <w:rsid w:val="006D520A"/>
    <w:rsid w:val="006E2A59"/>
    <w:rsid w:val="006E5596"/>
    <w:rsid w:val="006E5986"/>
    <w:rsid w:val="006F1B07"/>
    <w:rsid w:val="006F6C65"/>
    <w:rsid w:val="006F7386"/>
    <w:rsid w:val="007004A5"/>
    <w:rsid w:val="007032F7"/>
    <w:rsid w:val="007060F3"/>
    <w:rsid w:val="00706C16"/>
    <w:rsid w:val="00712D06"/>
    <w:rsid w:val="007164CC"/>
    <w:rsid w:val="00725ECB"/>
    <w:rsid w:val="007340C3"/>
    <w:rsid w:val="00741EB8"/>
    <w:rsid w:val="007451C4"/>
    <w:rsid w:val="00751728"/>
    <w:rsid w:val="0075235A"/>
    <w:rsid w:val="00756841"/>
    <w:rsid w:val="00763615"/>
    <w:rsid w:val="007649AB"/>
    <w:rsid w:val="00771D0C"/>
    <w:rsid w:val="00771F78"/>
    <w:rsid w:val="00776CD4"/>
    <w:rsid w:val="007814D2"/>
    <w:rsid w:val="007833AC"/>
    <w:rsid w:val="00786C9B"/>
    <w:rsid w:val="007B268C"/>
    <w:rsid w:val="007B4EB6"/>
    <w:rsid w:val="007B7171"/>
    <w:rsid w:val="007C0472"/>
    <w:rsid w:val="007C0C0F"/>
    <w:rsid w:val="007C3DC2"/>
    <w:rsid w:val="007D19C8"/>
    <w:rsid w:val="007E44EB"/>
    <w:rsid w:val="007E5497"/>
    <w:rsid w:val="007E6482"/>
    <w:rsid w:val="007F32CA"/>
    <w:rsid w:val="00801799"/>
    <w:rsid w:val="00806F5F"/>
    <w:rsid w:val="00820278"/>
    <w:rsid w:val="00821682"/>
    <w:rsid w:val="008258C9"/>
    <w:rsid w:val="0084092C"/>
    <w:rsid w:val="00844AE9"/>
    <w:rsid w:val="00867F95"/>
    <w:rsid w:val="00873794"/>
    <w:rsid w:val="008843B6"/>
    <w:rsid w:val="00891928"/>
    <w:rsid w:val="008936D1"/>
    <w:rsid w:val="00897219"/>
    <w:rsid w:val="008A446D"/>
    <w:rsid w:val="008B25F1"/>
    <w:rsid w:val="008B2B07"/>
    <w:rsid w:val="008D180B"/>
    <w:rsid w:val="008D6C92"/>
    <w:rsid w:val="008E66DA"/>
    <w:rsid w:val="008F0EA7"/>
    <w:rsid w:val="008F6A4C"/>
    <w:rsid w:val="00923EEF"/>
    <w:rsid w:val="00937839"/>
    <w:rsid w:val="009419F9"/>
    <w:rsid w:val="00942B39"/>
    <w:rsid w:val="00943728"/>
    <w:rsid w:val="0095685E"/>
    <w:rsid w:val="00957338"/>
    <w:rsid w:val="00961B09"/>
    <w:rsid w:val="00965334"/>
    <w:rsid w:val="0097093E"/>
    <w:rsid w:val="00982502"/>
    <w:rsid w:val="00982560"/>
    <w:rsid w:val="00986BB5"/>
    <w:rsid w:val="009926D0"/>
    <w:rsid w:val="009A09D9"/>
    <w:rsid w:val="009A0DFA"/>
    <w:rsid w:val="009A1C6F"/>
    <w:rsid w:val="009B2D26"/>
    <w:rsid w:val="009C19E9"/>
    <w:rsid w:val="009C71FA"/>
    <w:rsid w:val="009C72E7"/>
    <w:rsid w:val="009C7F7E"/>
    <w:rsid w:val="009D15AE"/>
    <w:rsid w:val="009D3058"/>
    <w:rsid w:val="009E4510"/>
    <w:rsid w:val="009E56E2"/>
    <w:rsid w:val="009F2156"/>
    <w:rsid w:val="009F3A13"/>
    <w:rsid w:val="009F76E4"/>
    <w:rsid w:val="00A122D3"/>
    <w:rsid w:val="00A14468"/>
    <w:rsid w:val="00A17F13"/>
    <w:rsid w:val="00A20739"/>
    <w:rsid w:val="00A23AF9"/>
    <w:rsid w:val="00A262A9"/>
    <w:rsid w:val="00A33C78"/>
    <w:rsid w:val="00A44888"/>
    <w:rsid w:val="00A5017D"/>
    <w:rsid w:val="00A640DB"/>
    <w:rsid w:val="00A9141A"/>
    <w:rsid w:val="00A92E6A"/>
    <w:rsid w:val="00A97367"/>
    <w:rsid w:val="00AA5695"/>
    <w:rsid w:val="00AB0711"/>
    <w:rsid w:val="00AB0ADB"/>
    <w:rsid w:val="00AB4EE4"/>
    <w:rsid w:val="00AB5DE0"/>
    <w:rsid w:val="00AC304D"/>
    <w:rsid w:val="00AD0E94"/>
    <w:rsid w:val="00AD1ABC"/>
    <w:rsid w:val="00AD2449"/>
    <w:rsid w:val="00AD31E4"/>
    <w:rsid w:val="00B00C0E"/>
    <w:rsid w:val="00B01B1A"/>
    <w:rsid w:val="00B0381D"/>
    <w:rsid w:val="00B13D3D"/>
    <w:rsid w:val="00B20B6F"/>
    <w:rsid w:val="00B27DE6"/>
    <w:rsid w:val="00B344BD"/>
    <w:rsid w:val="00B44A47"/>
    <w:rsid w:val="00B47EAB"/>
    <w:rsid w:val="00B516B4"/>
    <w:rsid w:val="00B52D48"/>
    <w:rsid w:val="00B54353"/>
    <w:rsid w:val="00B5710C"/>
    <w:rsid w:val="00B72CD3"/>
    <w:rsid w:val="00B72FFF"/>
    <w:rsid w:val="00B74A7C"/>
    <w:rsid w:val="00B94293"/>
    <w:rsid w:val="00BA1947"/>
    <w:rsid w:val="00BA693F"/>
    <w:rsid w:val="00BB121B"/>
    <w:rsid w:val="00BB3A58"/>
    <w:rsid w:val="00BB4093"/>
    <w:rsid w:val="00BB5966"/>
    <w:rsid w:val="00BC3D36"/>
    <w:rsid w:val="00BD54A6"/>
    <w:rsid w:val="00BD7F72"/>
    <w:rsid w:val="00BE01F3"/>
    <w:rsid w:val="00BF7425"/>
    <w:rsid w:val="00C04FB3"/>
    <w:rsid w:val="00C11D8B"/>
    <w:rsid w:val="00C15139"/>
    <w:rsid w:val="00C16FF7"/>
    <w:rsid w:val="00C24210"/>
    <w:rsid w:val="00C330EB"/>
    <w:rsid w:val="00C37AA7"/>
    <w:rsid w:val="00C43753"/>
    <w:rsid w:val="00C50D69"/>
    <w:rsid w:val="00C5365C"/>
    <w:rsid w:val="00C54EF7"/>
    <w:rsid w:val="00C6010B"/>
    <w:rsid w:val="00C60FEB"/>
    <w:rsid w:val="00C67556"/>
    <w:rsid w:val="00C754BE"/>
    <w:rsid w:val="00C76508"/>
    <w:rsid w:val="00C76B1C"/>
    <w:rsid w:val="00C925AC"/>
    <w:rsid w:val="00CB6357"/>
    <w:rsid w:val="00CB67D1"/>
    <w:rsid w:val="00CB6A42"/>
    <w:rsid w:val="00CC1B26"/>
    <w:rsid w:val="00CC4647"/>
    <w:rsid w:val="00CC66DA"/>
    <w:rsid w:val="00CD0E5A"/>
    <w:rsid w:val="00CD1D07"/>
    <w:rsid w:val="00CD7DC0"/>
    <w:rsid w:val="00D026F8"/>
    <w:rsid w:val="00D0632D"/>
    <w:rsid w:val="00D30CFD"/>
    <w:rsid w:val="00D361FD"/>
    <w:rsid w:val="00D423A2"/>
    <w:rsid w:val="00D44E26"/>
    <w:rsid w:val="00D51902"/>
    <w:rsid w:val="00D520D8"/>
    <w:rsid w:val="00D553E5"/>
    <w:rsid w:val="00D565D3"/>
    <w:rsid w:val="00D606FB"/>
    <w:rsid w:val="00D63251"/>
    <w:rsid w:val="00D63AC2"/>
    <w:rsid w:val="00D65684"/>
    <w:rsid w:val="00D701E2"/>
    <w:rsid w:val="00D7383B"/>
    <w:rsid w:val="00D7788A"/>
    <w:rsid w:val="00D814C9"/>
    <w:rsid w:val="00D97D16"/>
    <w:rsid w:val="00DA231B"/>
    <w:rsid w:val="00DA475F"/>
    <w:rsid w:val="00DB1304"/>
    <w:rsid w:val="00DB7BC1"/>
    <w:rsid w:val="00DC39FC"/>
    <w:rsid w:val="00DD0430"/>
    <w:rsid w:val="00DD6961"/>
    <w:rsid w:val="00DE00CE"/>
    <w:rsid w:val="00DE40D6"/>
    <w:rsid w:val="00DE40FA"/>
    <w:rsid w:val="00DE608C"/>
    <w:rsid w:val="00DF091E"/>
    <w:rsid w:val="00DF3D6A"/>
    <w:rsid w:val="00DF5254"/>
    <w:rsid w:val="00E02524"/>
    <w:rsid w:val="00E035CC"/>
    <w:rsid w:val="00E122F8"/>
    <w:rsid w:val="00E139F5"/>
    <w:rsid w:val="00E1453B"/>
    <w:rsid w:val="00E14551"/>
    <w:rsid w:val="00E16408"/>
    <w:rsid w:val="00E20894"/>
    <w:rsid w:val="00E245AB"/>
    <w:rsid w:val="00E25FDE"/>
    <w:rsid w:val="00E2764C"/>
    <w:rsid w:val="00E27F2E"/>
    <w:rsid w:val="00E45CB7"/>
    <w:rsid w:val="00E50AFE"/>
    <w:rsid w:val="00E628A3"/>
    <w:rsid w:val="00E715D9"/>
    <w:rsid w:val="00E75C92"/>
    <w:rsid w:val="00E771DC"/>
    <w:rsid w:val="00E77E6E"/>
    <w:rsid w:val="00E86FE5"/>
    <w:rsid w:val="00E8772A"/>
    <w:rsid w:val="00E90F6B"/>
    <w:rsid w:val="00E92C27"/>
    <w:rsid w:val="00EA0E3D"/>
    <w:rsid w:val="00EA1423"/>
    <w:rsid w:val="00EA2D81"/>
    <w:rsid w:val="00EB4B3A"/>
    <w:rsid w:val="00EB4F35"/>
    <w:rsid w:val="00EB74CF"/>
    <w:rsid w:val="00EC352C"/>
    <w:rsid w:val="00EC38A7"/>
    <w:rsid w:val="00EE1AA8"/>
    <w:rsid w:val="00EE2EF1"/>
    <w:rsid w:val="00EE69A2"/>
    <w:rsid w:val="00EE7CCB"/>
    <w:rsid w:val="00F1591F"/>
    <w:rsid w:val="00F2207D"/>
    <w:rsid w:val="00F23FEA"/>
    <w:rsid w:val="00F26E34"/>
    <w:rsid w:val="00F31EDC"/>
    <w:rsid w:val="00F36382"/>
    <w:rsid w:val="00F462B3"/>
    <w:rsid w:val="00F5055B"/>
    <w:rsid w:val="00F5217D"/>
    <w:rsid w:val="00F5664F"/>
    <w:rsid w:val="00F666C4"/>
    <w:rsid w:val="00F67B0C"/>
    <w:rsid w:val="00F76AFC"/>
    <w:rsid w:val="00F9698E"/>
    <w:rsid w:val="00FA47C0"/>
    <w:rsid w:val="00FB3328"/>
    <w:rsid w:val="00FB5DD1"/>
    <w:rsid w:val="00FC24C9"/>
    <w:rsid w:val="00FC2B5D"/>
    <w:rsid w:val="00FC3D63"/>
    <w:rsid w:val="00FD1A8E"/>
    <w:rsid w:val="00FD45E6"/>
    <w:rsid w:val="00FE13FF"/>
    <w:rsid w:val="00FF1449"/>
    <w:rsid w:val="00FF3BE2"/>
    <w:rsid w:val="00FF7963"/>
    <w:rsid w:val="071B8F93"/>
    <w:rsid w:val="07C73DD1"/>
    <w:rsid w:val="09908A09"/>
    <w:rsid w:val="0E0AF0F4"/>
    <w:rsid w:val="0EFE6349"/>
    <w:rsid w:val="0FF4CCA8"/>
    <w:rsid w:val="13CFC91B"/>
    <w:rsid w:val="19A2EC2C"/>
    <w:rsid w:val="21779BE6"/>
    <w:rsid w:val="2859CA1B"/>
    <w:rsid w:val="2C4D2425"/>
    <w:rsid w:val="2ED061AD"/>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7E6482"/>
    <w:rPr>
      <w:rFonts w:ascii="Geomanist Light" w:hAnsi="Geomanist Light"/>
      <w:lang w:val="es-ES"/>
    </w:rPr>
  </w:style>
  <w:style w:type="paragraph" w:customStyle="1" w:styleId="Appelnotedebasde">
    <w:name w:val="Appel note de bas de..."/>
    <w:basedOn w:val="Normal"/>
    <w:link w:val="Refdenotaalpie"/>
    <w:uiPriority w:val="99"/>
    <w:rsid w:val="00AB0711"/>
    <w:pPr>
      <w:spacing w:line="240" w:lineRule="exact"/>
    </w:pPr>
    <w:rPr>
      <w:vertAlign w:val="superscript"/>
    </w:rPr>
  </w:style>
  <w:style w:type="paragraph" w:styleId="Textoindependiente">
    <w:name w:val="Body Text"/>
    <w:basedOn w:val="Normal"/>
    <w:link w:val="TextoindependienteCar"/>
    <w:uiPriority w:val="1"/>
    <w:unhideWhenUsed/>
    <w:qFormat/>
    <w:rsid w:val="00AB0711"/>
    <w:pPr>
      <w:spacing w:after="120"/>
    </w:pPr>
  </w:style>
  <w:style w:type="character" w:customStyle="1" w:styleId="TextoindependienteCar">
    <w:name w:val="Texto independiente Car"/>
    <w:basedOn w:val="Fuentedeprrafopredeter"/>
    <w:link w:val="Textoindependiente"/>
    <w:uiPriority w:val="1"/>
    <w:rsid w:val="00AB0711"/>
  </w:style>
  <w:style w:type="paragraph" w:styleId="Sinespaciado">
    <w:name w:val="No Spacing"/>
    <w:aliases w:val="No Indent"/>
    <w:link w:val="SinespaciadoCar"/>
    <w:uiPriority w:val="3"/>
    <w:qFormat/>
    <w:rsid w:val="00AA5695"/>
    <w:pPr>
      <w:spacing w:after="0" w:line="240" w:lineRule="auto"/>
    </w:pPr>
    <w:rPr>
      <w:sz w:val="24"/>
      <w:lang w:val="es-MX"/>
    </w:rPr>
  </w:style>
  <w:style w:type="character" w:customStyle="1" w:styleId="SinespaciadoCar">
    <w:name w:val="Sin espaciado Car"/>
    <w:aliases w:val="No Indent Car"/>
    <w:link w:val="Sinespaciado"/>
    <w:uiPriority w:val="3"/>
    <w:rsid w:val="00AA5695"/>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manual/guia-de-obra-publica" TargetMode="External"/><Relationship Id="rId18" Type="http://schemas.openxmlformats.org/officeDocument/2006/relationships/hyperlink" Target="https://nam02.safelinks.protection.outlook.com/?url=https%3A%2F%2Fwww.colombiacompra.gov.co%2Farchivos%2Fboletin%2Fboletin-edicion-n-3-de-2026-radar-de-la-compra-publica&amp;data=05%7C02%7Cana.ortizb%40colombiacompra.gov.co%7C7128555136e04fa6887d08dee99e1b50%7C7b09041e245149d08cb179d5e3d8c1be%7C0%7C0%7C639205062447842602%7CUnknown%7CTWFpbGZsb3d8eyJFbXB0eU1hcGkiOnRydWUsIlYiOiIwLjAuMDAwMCIsIlAiOiJXaW4zMiIsIkFOIjoiTWFpbCIsIldUIjoyfQ%3D%3D%7C0%7C%7C%7C&amp;sdata=kD1M1HbLmaYne%2FjmafRdlI2lWjfy6Ao%2BJcGmraP%2F8NM%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senior.licitaciones@jahvmcgregor.com" TargetMode="External"/><Relationship Id="rId17" Type="http://schemas.openxmlformats.org/officeDocument/2006/relationships/hyperlink" Target="https://nam02.safelinks.protection.outlook.com/?url=https%3A%2F%2Fwww.colombiacompra.gov.co%2Farchivos%2Fcircular%2Fcircular-externa-002-de-2026&amp;data=05%7C02%7Cana.ortizb%40colombiacompra.gov.co%7C7128555136e04fa6887d08dee99e1b50%7C7b09041e245149d08cb179d5e3d8c1be%7C0%7C0%7C639205062447795971%7CUnknown%7CTWFpbGZsb3d8eyJFbXB0eU1hcGkiOnRydWUsIlYiOiIwLjAuMDAwMCIsIlAiOiJXaW4zMiIsIkFOIjoiTWFpbCIsIldUIjoyfQ%3D%3D%7C0%7C%7C%7C&amp;sdata=9LIurxl2Vaut8bRBIT695McE332T4L3gq3qjukjVKIA%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ana.ortizb%40colombiacompra.gov.co%7C7128555136e04fa6887d08dee99e1b50%7C7b09041e245149d08cb179d5e3d8c1be%7C0%7C0%7C639205062447746326%7CUnknown%7CTWFpbGZsb3d8eyJFbXB0eU1hcGkiOnRydWUsIlYiOiIwLjAuMDAwMCIsIlAiOiJXaW4zMiIsIkFOIjoiTWFpbCIsIldUIjoyfQ%3D%3D%7C0%7C%7C%7C&amp;sdata=yBZOiwifibQ%2BzamlsmG3bxCSMq%2BxW90FHMBFh%2BwCJvw%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manual%2Fguia-de-garantias-en-procesos-de-contratacion&amp;data=05%7C02%7Cana.ortizb%40colombiacompra.gov.co%7C7128555136e04fa6887d08dee99e1b50%7C7b09041e245149d08cb179d5e3d8c1be%7C0%7C0%7C639205062447699700%7CUnknown%7CTWFpbGZsb3d8eyJFbXB0eU1hcGkiOnRydWUsIlYiOiIwLjAuMDAwMCIsIlAiOiJXaW4zMiIsIkFOIjoiTWFpbCIsIldUIjoyfQ%3D%3D%7C0%7C%7C%7C&amp;sdata=WvSehHsLM6sWuccCKpODAneUPluUj1%2F4CrYuhBPpv20%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52440A-85BD-4C15-A92C-55E3B4933387}">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5A2523A7-0220-4340-95CE-1818900A492A}"/>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23</Pages>
  <Words>7930</Words>
  <Characters>43618</Characters>
  <Application>Microsoft Office Word</Application>
  <DocSecurity>0</DocSecurity>
  <Lines>363</Lines>
  <Paragraphs>102</Paragraphs>
  <ScaleCrop>false</ScaleCrop>
  <Company/>
  <LinksUpToDate>false</LinksUpToDate>
  <CharactersWithSpaces>51446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29</cp:revision>
  <cp:lastPrinted>2023-01-10T21:18:00Z</cp:lastPrinted>
  <dcterms:created xsi:type="dcterms:W3CDTF">2026-09-23T12:10:00Z</dcterms:created>
  <dcterms:modified xsi:type="dcterms:W3CDTF">2026-09-23T13:09:00Z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