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45B57" w14:textId="77777777" w:rsidR="001D65B3" w:rsidRPr="006A11D8" w:rsidRDefault="001D65B3" w:rsidP="001D65B3">
      <w:pPr>
        <w:snapToGrid w:val="0"/>
        <w:spacing w:line="240" w:lineRule="auto"/>
        <w:contextualSpacing/>
        <w:jc w:val="both"/>
        <w:rPr>
          <w:rFonts w:ascii="Verdana" w:eastAsia="Calibri" w:hAnsi="Verdana" w:cs="Arial"/>
          <w:b/>
          <w:bCs/>
          <w:color w:val="000000"/>
          <w:kern w:val="2"/>
          <w14:ligatures w14:val="standardContextual"/>
        </w:rPr>
      </w:pPr>
      <w:bookmarkStart w:id="0" w:name="_Hlk143780582"/>
      <w:r w:rsidRPr="006A11D8">
        <w:rPr>
          <w:rFonts w:ascii="Verdana" w:eastAsia="Calibri" w:hAnsi="Verdana" w:cs="Arial"/>
          <w:b/>
          <w:bCs/>
          <w:color w:val="000000"/>
          <w:kern w:val="2"/>
          <w14:ligatures w14:val="standardContextual"/>
        </w:rPr>
        <w:t>INHABILIDADES E INCOMPATIBILIDADES – Concepto – Principio de legalidad – Interpretación restrictiva</w:t>
      </w:r>
    </w:p>
    <w:p w14:paraId="49D10388" w14:textId="77777777" w:rsidR="001D65B3" w:rsidRPr="006A11D8" w:rsidRDefault="001D65B3" w:rsidP="001D65B3">
      <w:pPr>
        <w:widowControl w:val="0"/>
        <w:autoSpaceDE w:val="0"/>
        <w:autoSpaceDN w:val="0"/>
        <w:snapToGrid w:val="0"/>
        <w:spacing w:line="240" w:lineRule="auto"/>
        <w:contextualSpacing/>
        <w:jc w:val="both"/>
        <w:rPr>
          <w:rFonts w:ascii="Verdana" w:eastAsia="Calibri" w:hAnsi="Verdana" w:cs="Arial"/>
          <w:b/>
          <w:bCs/>
          <w:color w:val="000000"/>
          <w:kern w:val="2"/>
          <w:sz w:val="20"/>
          <w:szCs w:val="20"/>
          <w14:ligatures w14:val="standardContextual"/>
        </w:rPr>
      </w:pPr>
    </w:p>
    <w:p w14:paraId="72814A9A" w14:textId="77777777" w:rsidR="001D65B3" w:rsidRPr="006A11D8" w:rsidRDefault="001D65B3" w:rsidP="001D65B3">
      <w:pPr>
        <w:widowControl w:val="0"/>
        <w:autoSpaceDE w:val="0"/>
        <w:autoSpaceDN w:val="0"/>
        <w:snapToGrid w:val="0"/>
        <w:spacing w:after="0" w:line="240" w:lineRule="auto"/>
        <w:contextualSpacing/>
        <w:jc w:val="both"/>
        <w:rPr>
          <w:rFonts w:ascii="Verdana" w:eastAsia="Calibri" w:hAnsi="Verdana" w:cs="Arial"/>
          <w:color w:val="000000"/>
          <w:sz w:val="20"/>
          <w:szCs w:val="20"/>
          <w:lang w:val="es-ES_tradnl"/>
        </w:rPr>
      </w:pPr>
      <w:r w:rsidRPr="006A11D8">
        <w:rPr>
          <w:rFonts w:ascii="Verdana" w:eastAsia="Arial" w:hAnsi="Verdana" w:cs="Arial"/>
          <w:sz w:val="20"/>
          <w:szCs w:val="20"/>
        </w:rPr>
        <w:t xml:space="preserve">Con respecto a la aplicación de las inhabilidades o incompatibilidades, es importante resaltar que </w:t>
      </w:r>
      <w:r w:rsidRPr="006A11D8">
        <w:rPr>
          <w:rFonts w:ascii="Verdana" w:eastAsia="Arial MT" w:hAnsi="Verdana" w:cs="Arial"/>
          <w:sz w:val="20"/>
          <w:szCs w:val="20"/>
          <w:lang w:eastAsia="es-ES" w:bidi="es-ES"/>
        </w:rPr>
        <w:t>su aplicación siempre debe estar ajustada a los presupuestos que para cada causal señale el constituyente o el legislador. De este modo, no es posible que las entidades realicen una aplicación extensiva o analógica.</w:t>
      </w:r>
      <w:r w:rsidRPr="006A11D8">
        <w:rPr>
          <w:rFonts w:ascii="Verdana" w:eastAsia="Calibri" w:hAnsi="Verdana" w:cs="Arial"/>
          <w:color w:val="000000"/>
          <w:sz w:val="20"/>
          <w:szCs w:val="20"/>
          <w:lang w:val="es-ES_tradnl"/>
        </w:rPr>
        <w:t xml:space="preserve"> Las inhabilidades e incompatibilidades son restricciones o límites especiales a la capacidad para presentar ofertas y celebrar contratos estatales, en consecuencia, solo pueden tipificarse en la ley y su interpretación debe ser </w:t>
      </w:r>
      <w:r w:rsidRPr="006A11D8">
        <w:rPr>
          <w:rFonts w:ascii="Verdana" w:eastAsia="Calibri" w:hAnsi="Verdana" w:cs="Arial"/>
          <w:i/>
          <w:iCs/>
          <w:color w:val="000000"/>
          <w:sz w:val="20"/>
          <w:szCs w:val="20"/>
          <w:lang w:val="es-ES_tradnl"/>
        </w:rPr>
        <w:t>restrictiva</w:t>
      </w:r>
      <w:r w:rsidRPr="006A11D8">
        <w:rPr>
          <w:rFonts w:ascii="Verdana" w:eastAsia="Calibri" w:hAnsi="Verdana" w:cs="Arial"/>
          <w:color w:val="000000"/>
          <w:sz w:val="20"/>
          <w:szCs w:val="20"/>
          <w:lang w:val="es-ES_tradnl"/>
        </w:rPr>
        <w:t>, pues si se admitiera una interpretación amplia, extensiva o finalista de las mismas, los enunciados normativos podrían contemplar múltiples supuestos indeterminados, según el parecer o el sentido común de los operadores jurídicos, poniendo en riesgo principios como la igualdad, el debido proceso, la libre concurrencia y el ejercicio de la profesión u oficio.</w:t>
      </w:r>
    </w:p>
    <w:p w14:paraId="6517D9BF" w14:textId="77777777" w:rsidR="001D65B3" w:rsidRPr="006A11D8" w:rsidRDefault="001D65B3" w:rsidP="001D65B3">
      <w:pPr>
        <w:snapToGrid w:val="0"/>
        <w:spacing w:line="240" w:lineRule="auto"/>
        <w:contextualSpacing/>
        <w:jc w:val="both"/>
        <w:rPr>
          <w:rFonts w:ascii="Verdana" w:eastAsia="Calibri" w:hAnsi="Verdana" w:cs="Arial"/>
          <w:color w:val="000000"/>
          <w:sz w:val="20"/>
          <w:szCs w:val="20"/>
          <w:lang w:val="es-ES"/>
        </w:rPr>
      </w:pPr>
    </w:p>
    <w:p w14:paraId="5F09727D" w14:textId="77777777" w:rsidR="001D65B3" w:rsidRDefault="001D65B3" w:rsidP="001D65B3">
      <w:pPr>
        <w:snapToGrid w:val="0"/>
        <w:spacing w:line="240" w:lineRule="auto"/>
        <w:contextualSpacing/>
        <w:jc w:val="both"/>
        <w:rPr>
          <w:rFonts w:ascii="Verdana" w:eastAsia="Calibri" w:hAnsi="Verdana" w:cs="Arial"/>
          <w:color w:val="000000"/>
          <w:sz w:val="20"/>
          <w:szCs w:val="20"/>
          <w:lang w:val="es-ES"/>
        </w:rPr>
      </w:pPr>
      <w:r w:rsidRPr="006A11D8">
        <w:rPr>
          <w:rFonts w:ascii="Verdana" w:eastAsia="Calibri" w:hAnsi="Verdana" w:cs="Arial"/>
          <w:color w:val="000000"/>
          <w:sz w:val="20"/>
          <w:szCs w:val="20"/>
          <w:lang w:val="es-ES"/>
        </w:rPr>
        <w:t xml:space="preserve">Como se aprecia, el principio </w:t>
      </w:r>
      <w:r w:rsidRPr="006A11D8">
        <w:rPr>
          <w:rFonts w:ascii="Verdana" w:eastAsia="Calibri" w:hAnsi="Verdana" w:cs="Arial"/>
          <w:i/>
          <w:color w:val="000000"/>
          <w:sz w:val="20"/>
          <w:szCs w:val="20"/>
          <w:lang w:val="es-ES"/>
        </w:rPr>
        <w:t xml:space="preserve">pro </w:t>
      </w:r>
      <w:proofErr w:type="spellStart"/>
      <w:r w:rsidRPr="006A11D8">
        <w:rPr>
          <w:rFonts w:ascii="Verdana" w:eastAsia="Calibri" w:hAnsi="Verdana" w:cs="Arial"/>
          <w:i/>
          <w:color w:val="000000"/>
          <w:sz w:val="20"/>
          <w:szCs w:val="20"/>
          <w:lang w:val="es-ES"/>
        </w:rPr>
        <w:t>libertate</w:t>
      </w:r>
      <w:proofErr w:type="spellEnd"/>
      <w:r w:rsidRPr="006A11D8">
        <w:rPr>
          <w:rFonts w:ascii="Verdana" w:eastAsia="Calibri" w:hAnsi="Verdana" w:cs="Arial"/>
          <w:color w:val="000000"/>
          <w:sz w:val="20"/>
          <w:szCs w:val="20"/>
          <w:lang w:val="es-ES"/>
        </w:rPr>
        <w:t xml:space="preserve"> debe dirigir la interpretación de las disposiciones normativas que consagran restricciones de derechos, como sucede con las causales de inhabilidad e incompatibilidad en la contratación estatal. De esta forma, dado que el régimen de inhabilidades e incompatibilidades no se refirió al supuesto objeto de consulta, no será posible que las entidades interpreten la existencia de una inhabilidad que impida participar en un proceso de contratación al consorcio compuesto por una persona natural y por una SAS cuyo único socio y representante legal sea esa misma persona. </w:t>
      </w:r>
    </w:p>
    <w:p w14:paraId="087A1A27" w14:textId="77777777" w:rsidR="001D65B3" w:rsidRPr="006A11D8" w:rsidRDefault="001D65B3" w:rsidP="001D65B3">
      <w:pPr>
        <w:snapToGrid w:val="0"/>
        <w:spacing w:line="240" w:lineRule="auto"/>
        <w:contextualSpacing/>
        <w:jc w:val="both"/>
        <w:rPr>
          <w:rFonts w:ascii="Verdana" w:eastAsia="Calibri" w:hAnsi="Verdana" w:cs="Arial"/>
          <w:color w:val="000000"/>
          <w:sz w:val="20"/>
          <w:szCs w:val="20"/>
          <w:lang w:val="es-ES"/>
        </w:rPr>
      </w:pPr>
    </w:p>
    <w:p w14:paraId="4F49FD7E" w14:textId="77777777" w:rsidR="001D65B3" w:rsidRPr="00EA2373" w:rsidRDefault="001D65B3" w:rsidP="001D65B3">
      <w:pPr>
        <w:spacing w:after="0" w:line="240" w:lineRule="auto"/>
        <w:jc w:val="both"/>
        <w:rPr>
          <w:rFonts w:ascii="Verdana" w:eastAsia="Geomanist Light" w:hAnsi="Verdana" w:cs="Arial"/>
          <w:b/>
          <w:bCs/>
          <w:color w:val="000000"/>
          <w:lang w:val="es-MX"/>
        </w:rPr>
      </w:pPr>
      <w:r w:rsidRPr="00EA2373">
        <w:rPr>
          <w:rFonts w:ascii="Verdana" w:eastAsia="Geomanist Light" w:hAnsi="Verdana" w:cs="Arial"/>
          <w:b/>
          <w:bCs/>
          <w:color w:val="000000"/>
          <w:lang w:val="es-MX"/>
        </w:rPr>
        <w:t xml:space="preserve">MIPYMES – Limitación a MiPymes - Requisito de constitución </w:t>
      </w:r>
    </w:p>
    <w:p w14:paraId="648EB4DF" w14:textId="77777777" w:rsidR="001D65B3" w:rsidRPr="00EA2373" w:rsidRDefault="001D65B3" w:rsidP="001D65B3">
      <w:pPr>
        <w:spacing w:after="0" w:line="240" w:lineRule="auto"/>
        <w:jc w:val="both"/>
        <w:rPr>
          <w:rFonts w:ascii="Verdana" w:eastAsia="Geomanist Light" w:hAnsi="Verdana" w:cs="Arial"/>
          <w:b/>
          <w:bCs/>
          <w:color w:val="000000"/>
          <w:sz w:val="20"/>
          <w:szCs w:val="20"/>
          <w:lang w:val="es-MX"/>
        </w:rPr>
      </w:pPr>
    </w:p>
    <w:p w14:paraId="51BDB0A4" w14:textId="77777777" w:rsidR="001D65B3" w:rsidRPr="00EA2373" w:rsidRDefault="001D65B3" w:rsidP="001D65B3">
      <w:pPr>
        <w:spacing w:after="0" w:line="240" w:lineRule="auto"/>
        <w:jc w:val="both"/>
        <w:rPr>
          <w:rFonts w:ascii="Verdana" w:eastAsia="Geomanist Light" w:hAnsi="Verdana" w:cs="Arial"/>
          <w:color w:val="000000"/>
          <w:sz w:val="20"/>
          <w:szCs w:val="20"/>
          <w:lang w:val="es-MX"/>
        </w:rPr>
      </w:pPr>
      <w:r w:rsidRPr="00EA2373">
        <w:rPr>
          <w:rFonts w:ascii="Verdana" w:eastAsia="Geomanist Light" w:hAnsi="Verdana" w:cs="Arial"/>
          <w:color w:val="000000"/>
          <w:sz w:val="20"/>
          <w:szCs w:val="20"/>
          <w:lang w:val="es-MX"/>
        </w:rPr>
        <w:t xml:space="preserve">De conformidad con lo dispuesto en el artículo 2.2.1.2.4.2.2. del Decreto 1082 de 2015 – modificado por el Decreto 1860 de 2021– indica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EA2373">
        <w:rPr>
          <w:rFonts w:ascii="Verdana" w:eastAsia="Geomanist Light" w:hAnsi="Verdana" w:cs="Arial"/>
          <w:color w:val="000000"/>
          <w:sz w:val="20"/>
          <w:szCs w:val="20"/>
          <w:lang w:val="es-MX"/>
        </w:rPr>
        <w:t>Mipyme</w:t>
      </w:r>
      <w:proofErr w:type="spellEnd"/>
      <w:r w:rsidRPr="00EA2373">
        <w:rPr>
          <w:rFonts w:ascii="Verdana" w:eastAsia="Geomanist Light" w:hAnsi="Verdana" w:cs="Arial"/>
          <w:color w:val="000000"/>
          <w:sz w:val="20"/>
          <w:szCs w:val="20"/>
          <w:lang w:val="es-MX"/>
        </w:rPr>
        <w:t xml:space="preserve"> colombianas con mínimo un (1) año de existencia, siempre que se cumplan los requisitos señalados allí. </w:t>
      </w:r>
    </w:p>
    <w:p w14:paraId="752E776A" w14:textId="77777777" w:rsidR="001D65B3" w:rsidRPr="00EA2373" w:rsidRDefault="001D65B3" w:rsidP="001D65B3">
      <w:pPr>
        <w:spacing w:after="0" w:line="240" w:lineRule="auto"/>
        <w:jc w:val="both"/>
        <w:rPr>
          <w:rFonts w:ascii="Verdana" w:eastAsia="Geomanist Light" w:hAnsi="Verdana" w:cs="Arial"/>
          <w:color w:val="000000"/>
          <w:sz w:val="20"/>
          <w:szCs w:val="20"/>
          <w:lang w:val="es-MX"/>
        </w:rPr>
      </w:pPr>
    </w:p>
    <w:p w14:paraId="12A816AC" w14:textId="77777777" w:rsidR="001D65B3" w:rsidRPr="00EA2373" w:rsidRDefault="001D65B3" w:rsidP="001D65B3">
      <w:pPr>
        <w:spacing w:after="0" w:line="240" w:lineRule="auto"/>
        <w:jc w:val="both"/>
        <w:rPr>
          <w:rFonts w:ascii="Verdana" w:eastAsia="Geomanist Light" w:hAnsi="Verdana" w:cs="Arial"/>
          <w:color w:val="000000"/>
          <w:sz w:val="20"/>
          <w:szCs w:val="20"/>
          <w:highlight w:val="yellow"/>
          <w:lang w:val="es-MX"/>
        </w:rPr>
      </w:pPr>
      <w:r w:rsidRPr="00EA2373">
        <w:rPr>
          <w:rFonts w:ascii="Verdana" w:eastAsia="Geomanist Light" w:hAnsi="Verdana" w:cs="Arial"/>
          <w:color w:val="000000"/>
          <w:sz w:val="20"/>
          <w:szCs w:val="20"/>
          <w:lang w:val="es-MX"/>
        </w:rPr>
        <w:t xml:space="preserve">Por lo tanto, si la sociedad cuenta con menos de un año de constituida aun cuando esté clasificada como </w:t>
      </w:r>
      <w:proofErr w:type="spellStart"/>
      <w:r w:rsidRPr="00EA2373">
        <w:rPr>
          <w:rFonts w:ascii="Verdana" w:eastAsia="Geomanist Light" w:hAnsi="Verdana" w:cs="Arial"/>
          <w:color w:val="000000"/>
          <w:sz w:val="20"/>
          <w:szCs w:val="20"/>
          <w:lang w:val="es-MX"/>
        </w:rPr>
        <w:t>MiPyme</w:t>
      </w:r>
      <w:proofErr w:type="spellEnd"/>
      <w:r w:rsidRPr="00EA2373">
        <w:rPr>
          <w:rFonts w:ascii="Verdana" w:eastAsia="Geomanist Light" w:hAnsi="Verdana" w:cs="Arial"/>
          <w:color w:val="000000"/>
          <w:sz w:val="20"/>
          <w:szCs w:val="20"/>
          <w:lang w:val="es-MX"/>
        </w:rPr>
        <w:t>, no podrá solicitar la limitación, por cuanto no cumple con la exigencia contenida en la normatividad.</w:t>
      </w:r>
    </w:p>
    <w:p w14:paraId="557A6D05" w14:textId="77777777" w:rsidR="001D65B3" w:rsidRDefault="001D65B3" w:rsidP="001D65B3">
      <w:pPr>
        <w:spacing w:after="0" w:line="240" w:lineRule="auto"/>
        <w:rPr>
          <w:rFonts w:ascii="Verdana" w:eastAsia="Times New Roman" w:hAnsi="Verdana" w:cs="Arial"/>
          <w:b/>
          <w:bCs/>
          <w:sz w:val="20"/>
          <w:szCs w:val="20"/>
          <w:lang w:eastAsia="es-ES_tradnl"/>
        </w:rPr>
      </w:pPr>
    </w:p>
    <w:p w14:paraId="54B53CEB" w14:textId="77777777" w:rsidR="001D65B3" w:rsidRPr="00547A08" w:rsidRDefault="001D65B3" w:rsidP="001D65B3">
      <w:pPr>
        <w:spacing w:line="276" w:lineRule="auto"/>
        <w:jc w:val="both"/>
        <w:rPr>
          <w:rFonts w:ascii="Verdana" w:eastAsia="Calibri" w:hAnsi="Verdana" w:cs="Arial"/>
          <w:b/>
          <w:lang w:val="es-ES"/>
        </w:rPr>
      </w:pPr>
      <w:r w:rsidRPr="00547A08">
        <w:rPr>
          <w:rFonts w:ascii="Verdana" w:eastAsia="Calibri" w:hAnsi="Verdana" w:cs="Arial"/>
          <w:b/>
          <w:lang w:val="es-ES"/>
        </w:rPr>
        <w:t xml:space="preserve">SUBSANABILIDAD – Concepto – Límites </w:t>
      </w:r>
    </w:p>
    <w:p w14:paraId="47EEF6FC" w14:textId="77777777" w:rsidR="001D65B3" w:rsidRPr="00547A08" w:rsidRDefault="001D65B3" w:rsidP="001D65B3">
      <w:pPr>
        <w:spacing w:after="200"/>
        <w:jc w:val="both"/>
        <w:rPr>
          <w:rFonts w:ascii="Verdana" w:eastAsia="Calibri" w:hAnsi="Verdana" w:cs="Arial"/>
          <w:bCs/>
          <w:sz w:val="20"/>
          <w:szCs w:val="20"/>
          <w:lang w:val="es-ES"/>
        </w:rPr>
      </w:pPr>
      <w:r w:rsidRPr="00547A08">
        <w:rPr>
          <w:rFonts w:ascii="Verdana" w:eastAsia="Calibri" w:hAnsi="Verdana" w:cs="Arial"/>
          <w:bCs/>
          <w:sz w:val="20"/>
          <w:szCs w:val="20"/>
          <w:lang w:val="es-ES"/>
        </w:rPr>
        <w:t xml:space="preserve">La </w:t>
      </w:r>
      <w:proofErr w:type="spellStart"/>
      <w:r w:rsidRPr="00547A08">
        <w:rPr>
          <w:rFonts w:ascii="Verdana" w:eastAsia="Calibri" w:hAnsi="Verdana" w:cs="Arial"/>
          <w:bCs/>
          <w:sz w:val="20"/>
          <w:szCs w:val="20"/>
          <w:lang w:val="es-ES"/>
        </w:rPr>
        <w:t>subsanabilidad</w:t>
      </w:r>
      <w:proofErr w:type="spellEnd"/>
      <w:r w:rsidRPr="00547A08">
        <w:rPr>
          <w:rFonts w:ascii="Verdana" w:eastAsia="Calibri" w:hAnsi="Verdana" w:cs="Arial"/>
          <w:bCs/>
          <w:sz w:val="20"/>
          <w:szCs w:val="20"/>
          <w:lang w:val="es-ES"/>
        </w:rPr>
        <w:t xml:space="preserve"> es un mecanismo previsto en los procedimientos regulados por el Estatuto de Contratación Estatal de Colombia. Esta regla, prevista en el artículo 5 de la Ley 1150 de 2007, permite que los proponentes puedan enmendar, corregir o modificar los errores en los documentos de la oferta respecto a los requisitos habilitantes.</w:t>
      </w:r>
    </w:p>
    <w:p w14:paraId="358605CD" w14:textId="77777777" w:rsidR="001D65B3" w:rsidRPr="00547A08" w:rsidRDefault="001D65B3" w:rsidP="001D65B3">
      <w:pPr>
        <w:jc w:val="both"/>
        <w:rPr>
          <w:rFonts w:ascii="Verdana" w:eastAsia="Calibri" w:hAnsi="Verdana" w:cs="Arial"/>
          <w:bCs/>
          <w:sz w:val="20"/>
          <w:szCs w:val="20"/>
          <w:lang w:val="es-ES"/>
        </w:rPr>
      </w:pPr>
      <w:r w:rsidRPr="00547A08">
        <w:rPr>
          <w:rFonts w:ascii="Verdana" w:eastAsia="Calibri" w:hAnsi="Verdana" w:cs="Arial"/>
          <w:bCs/>
          <w:sz w:val="20"/>
          <w:szCs w:val="20"/>
          <w:lang w:val="es-ES"/>
        </w:rPr>
        <w:lastRenderedPageBreak/>
        <w:t xml:space="preserve">[…] Esta norma [Ley 1882 de 2018]: i) mantiene el criterio de la Ley 80 de 1993, relativo a que todo lo que no sea necesario para la comparación de propuestas no es título suficiente para su rechazo; </w:t>
      </w:r>
      <w:proofErr w:type="spellStart"/>
      <w:r w:rsidRPr="00547A08">
        <w:rPr>
          <w:rFonts w:ascii="Verdana" w:eastAsia="Calibri" w:hAnsi="Verdana" w:cs="Arial"/>
          <w:bCs/>
          <w:sz w:val="20"/>
          <w:szCs w:val="20"/>
          <w:lang w:val="es-ES"/>
        </w:rPr>
        <w:t>ii</w:t>
      </w:r>
      <w:proofErr w:type="spellEnd"/>
      <w:r w:rsidRPr="00547A08">
        <w:rPr>
          <w:rFonts w:ascii="Verdana" w:eastAsia="Calibri" w:hAnsi="Verdana" w:cs="Arial"/>
          <w:bCs/>
          <w:sz w:val="20"/>
          <w:szCs w:val="20"/>
          <w:lang w:val="es-ES"/>
        </w:rPr>
        <w:t xml:space="preserve">) mantiene el criterio aclaratorio de la Ley 1150 de 2007, según el cual todo lo que no afecte la asignación de puntaje puede subsanarse y, </w:t>
      </w:r>
      <w:proofErr w:type="spellStart"/>
      <w:r w:rsidRPr="00547A08">
        <w:rPr>
          <w:rFonts w:ascii="Verdana" w:eastAsia="Calibri" w:hAnsi="Verdana" w:cs="Arial"/>
          <w:bCs/>
          <w:sz w:val="20"/>
          <w:szCs w:val="20"/>
          <w:lang w:val="es-ES"/>
        </w:rPr>
        <w:t>iii</w:t>
      </w:r>
      <w:proofErr w:type="spellEnd"/>
      <w:r w:rsidRPr="00547A08">
        <w:rPr>
          <w:rFonts w:ascii="Verdana" w:eastAsia="Calibri" w:hAnsi="Verdana" w:cs="Arial"/>
          <w:bCs/>
          <w:sz w:val="20"/>
          <w:szCs w:val="20"/>
          <w:lang w:val="es-ES"/>
        </w:rPr>
        <w:t>) introduce modificaciones en relación con tres (3) aspectos que se analizarán a continuación:</w:t>
      </w:r>
    </w:p>
    <w:p w14:paraId="719964A8" w14:textId="77777777" w:rsidR="001D65B3" w:rsidRPr="00547A08" w:rsidRDefault="001D65B3" w:rsidP="001D65B3">
      <w:pPr>
        <w:jc w:val="both"/>
        <w:rPr>
          <w:rFonts w:ascii="Verdana" w:eastAsia="Calibri" w:hAnsi="Verdana" w:cs="Arial"/>
          <w:bCs/>
          <w:sz w:val="20"/>
          <w:szCs w:val="20"/>
          <w:lang w:val="es-ES"/>
        </w:rPr>
      </w:pPr>
      <w:r w:rsidRPr="00547A08">
        <w:rPr>
          <w:rFonts w:ascii="Verdana" w:eastAsia="Calibri" w:hAnsi="Verdana" w:cs="Arial"/>
          <w:bCs/>
          <w:sz w:val="20"/>
          <w:szCs w:val="20"/>
          <w:lang w:val="es-ES"/>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 subsanables deben solicitarse, como límite final, hasta el momento previo a su realización.</w:t>
      </w:r>
    </w:p>
    <w:p w14:paraId="24B78369" w14:textId="77777777" w:rsidR="001D65B3" w:rsidRPr="00547A08" w:rsidRDefault="001D65B3" w:rsidP="001D65B3">
      <w:pPr>
        <w:jc w:val="both"/>
        <w:rPr>
          <w:rFonts w:ascii="Verdana" w:eastAsia="Calibri" w:hAnsi="Verdana" w:cs="Arial"/>
          <w:bCs/>
          <w:sz w:val="20"/>
          <w:szCs w:val="20"/>
          <w:lang w:val="es-ES"/>
        </w:rPr>
      </w:pPr>
      <w:r w:rsidRPr="00547A08">
        <w:rPr>
          <w:rFonts w:ascii="Verdana" w:eastAsia="Calibri" w:hAnsi="Verdana" w:cs="Arial"/>
          <w:bCs/>
          <w:sz w:val="20"/>
          <w:szCs w:val="20"/>
          <w:lang w:val="es-ES"/>
        </w:rPr>
        <w:t>De otro lado, el segundo cambio importante de la Ley 1882 de 2018 es el correspondiente a la garantía de seriedad. El parágrafo 3 del artículo 5 de la Ley 1150 de 2007, adicionado por el artículo 5 de la Ley 1882 de 2018 dispone que la falta de entrega de la garantía de seriedad es insubsanable. Al respecto, la norma prescribe lo siguiente: «PARÁGRAFO 3o. La no entrega de la garantía de seriedad junto con la propuesta no será subsanable y será causal de rechazo de la misma».</w:t>
      </w:r>
    </w:p>
    <w:p w14:paraId="2F3908B8" w14:textId="77777777" w:rsidR="001D65B3" w:rsidRPr="00547A08" w:rsidRDefault="001D65B3" w:rsidP="001D65B3">
      <w:pPr>
        <w:jc w:val="both"/>
        <w:rPr>
          <w:rFonts w:ascii="Verdana" w:eastAsia="Calibri" w:hAnsi="Verdana" w:cs="Arial"/>
          <w:bCs/>
          <w:sz w:val="20"/>
          <w:szCs w:val="20"/>
          <w:lang w:val="es-ES"/>
        </w:rPr>
      </w:pPr>
      <w:r w:rsidRPr="00547A08">
        <w:rPr>
          <w:rFonts w:ascii="Verdana" w:eastAsia="Calibri" w:hAnsi="Verdana" w:cs="Arial"/>
          <w:bCs/>
          <w:sz w:val="20"/>
          <w:szCs w:val="20"/>
          <w:lang w:val="es-ES"/>
        </w:rPr>
        <w:t xml:space="preserve">Finalmente, el último cambio importante de la Ley 1882 de 2018 fue la introducción de un criterio material, directamente relacionado con los aspectos subsanables: «los proponentes no podrán acreditar circunstancias ocurridas con posterioridad al cierre del proceso». Esta regla tiene una finalidad particular, y es que, al momento de presentar la oferta, el proponente la deberá hacerlo de forma íntegra y así evitar que a lo largo del procedimiento contractual complete o adicione su propuesta, conforme mejora su situación particular. </w:t>
      </w:r>
    </w:p>
    <w:p w14:paraId="3A104FD0" w14:textId="77777777" w:rsidR="001D65B3" w:rsidRDefault="001D65B3" w:rsidP="001D65B3">
      <w:pPr>
        <w:spacing w:after="0" w:line="240" w:lineRule="auto"/>
        <w:jc w:val="both"/>
        <w:rPr>
          <w:rFonts w:ascii="Verdana" w:eastAsia="Aptos" w:hAnsi="Verdana" w:cs="Times New Roman"/>
          <w:sz w:val="20"/>
          <w:szCs w:val="20"/>
        </w:rPr>
      </w:pPr>
    </w:p>
    <w:p w14:paraId="1ED2B7A8" w14:textId="77777777" w:rsidR="001D65B3" w:rsidRPr="003A604C" w:rsidRDefault="001D65B3" w:rsidP="001D65B3">
      <w:pPr>
        <w:contextualSpacing/>
        <w:jc w:val="both"/>
        <w:rPr>
          <w:rFonts w:ascii="Verdana" w:hAnsi="Verdana" w:cs="Arial"/>
          <w:b/>
          <w:bdr w:val="none" w:sz="0" w:space="0" w:color="auto" w:frame="1"/>
          <w:lang w:eastAsia="es-CO"/>
        </w:rPr>
      </w:pPr>
      <w:r w:rsidRPr="003A604C">
        <w:rPr>
          <w:rFonts w:ascii="Verdana" w:hAnsi="Verdana" w:cs="Arial"/>
          <w:b/>
          <w:bdr w:val="none" w:sz="0" w:space="0" w:color="auto" w:frame="1"/>
          <w:lang w:eastAsia="es-CO"/>
        </w:rPr>
        <w:t>SUBSANACIÓN – Requisitos Habilitantes – Reglas</w:t>
      </w:r>
    </w:p>
    <w:p w14:paraId="14DC5A63" w14:textId="77777777" w:rsidR="001D65B3" w:rsidRDefault="001D65B3" w:rsidP="001D65B3">
      <w:pPr>
        <w:spacing w:before="240"/>
        <w:contextualSpacing/>
        <w:jc w:val="both"/>
        <w:rPr>
          <w:rFonts w:ascii="Century Gothic" w:hAnsi="Century Gothic"/>
          <w:sz w:val="20"/>
          <w:szCs w:val="20"/>
        </w:rPr>
      </w:pPr>
    </w:p>
    <w:p w14:paraId="64843DD6" w14:textId="77777777" w:rsidR="001D65B3" w:rsidRPr="003A604C" w:rsidRDefault="001D65B3" w:rsidP="001D65B3">
      <w:pPr>
        <w:contextualSpacing/>
        <w:jc w:val="both"/>
        <w:rPr>
          <w:rFonts w:ascii="Verdana" w:eastAsia="Calibri" w:hAnsi="Verdana" w:cs="Arial"/>
          <w:color w:val="000000" w:themeColor="text1"/>
          <w:sz w:val="20"/>
          <w:szCs w:val="20"/>
          <w:lang w:val="es-ES"/>
        </w:rPr>
      </w:pPr>
      <w:r w:rsidRPr="003A604C">
        <w:rPr>
          <w:rFonts w:ascii="Verdana" w:eastAsia="Calibri" w:hAnsi="Verdana" w:cs="Arial"/>
          <w:color w:val="000000" w:themeColor="text1"/>
          <w:sz w:val="20"/>
          <w:szCs w:val="20"/>
          <w:lang w:val="es-ES"/>
        </w:rPr>
        <w:t>En consecuencia, una vez verificada la ausencia de requisitos y/o documentos de la oferta, para efectos de saber si se pueden subsanar, la Entidad Estatal se debe preguntar, en primer lugar, si lo que hace falta o debe corregirse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40452B96" w14:textId="130C9CFE" w:rsidR="001D65B3" w:rsidRPr="0015699B" w:rsidRDefault="001D65B3" w:rsidP="001D65B3">
      <w:pPr>
        <w:spacing w:line="240" w:lineRule="auto"/>
        <w:jc w:val="both"/>
        <w:rPr>
          <w:rFonts w:ascii="Verdana" w:eastAsia="Verdana" w:hAnsi="Verdana" w:cs="Verdana"/>
          <w:color w:val="000000" w:themeColor="text1"/>
          <w:lang w:val="es"/>
        </w:rPr>
      </w:pPr>
      <w:r w:rsidRPr="39124533">
        <w:rPr>
          <w:rFonts w:ascii="Verdana" w:eastAsia="Verdana" w:hAnsi="Verdana" w:cs="Verdana"/>
          <w:color w:val="000000" w:themeColor="text1"/>
          <w:lang w:val="es"/>
        </w:rPr>
        <w:lastRenderedPageBreak/>
        <w:t xml:space="preserve">Bogotá D.C., </w:t>
      </w:r>
      <w:r>
        <w:rPr>
          <w:rFonts w:ascii="Verdana" w:eastAsia="Verdana" w:hAnsi="Verdana" w:cs="Verdana"/>
          <w:color w:val="000000" w:themeColor="text1"/>
          <w:lang w:val="es"/>
        </w:rPr>
        <w:t>2</w:t>
      </w:r>
      <w:r w:rsidR="001608AC">
        <w:rPr>
          <w:rFonts w:ascii="Verdana" w:eastAsia="Verdana" w:hAnsi="Verdana" w:cs="Verdana"/>
          <w:color w:val="000000" w:themeColor="text1"/>
          <w:lang w:val="es"/>
        </w:rPr>
        <w:t>4</w:t>
      </w:r>
      <w:r w:rsidRPr="39124533">
        <w:rPr>
          <w:rFonts w:ascii="Verdana" w:eastAsia="Verdana" w:hAnsi="Verdana" w:cs="Verdana"/>
          <w:color w:val="000000" w:themeColor="text1"/>
          <w:lang w:val="es"/>
        </w:rPr>
        <w:t xml:space="preserve"> de </w:t>
      </w:r>
      <w:r>
        <w:rPr>
          <w:rFonts w:ascii="Verdana" w:eastAsia="Verdana" w:hAnsi="Verdana" w:cs="Verdana"/>
          <w:color w:val="000000" w:themeColor="text1"/>
          <w:lang w:val="es"/>
        </w:rPr>
        <w:t>septiembre</w:t>
      </w:r>
      <w:r w:rsidRPr="39124533">
        <w:rPr>
          <w:rFonts w:ascii="Verdana" w:eastAsia="Verdana" w:hAnsi="Verdana" w:cs="Verdana"/>
          <w:color w:val="000000" w:themeColor="text1"/>
          <w:lang w:val="es"/>
        </w:rPr>
        <w:t xml:space="preserve"> de 2026</w:t>
      </w:r>
    </w:p>
    <w:p w14:paraId="580736D3" w14:textId="29CB9341" w:rsidR="001608AC" w:rsidRDefault="001608AC" w:rsidP="001608AC">
      <w:pPr>
        <w:spacing w:after="0" w:line="240" w:lineRule="auto"/>
        <w:jc w:val="right"/>
        <w:textAlignment w:val="baseline"/>
        <w:rPr>
          <w:rFonts w:ascii="Verdana" w:eastAsia="Verdana" w:hAnsi="Verdana" w:cs="Verdana"/>
          <w:color w:val="000000" w:themeColor="text1"/>
          <w:lang w:val="es"/>
        </w:rPr>
      </w:pPr>
      <w:r>
        <w:rPr>
          <w:rFonts w:ascii="Verdana" w:eastAsia="Verdana" w:hAnsi="Verdana" w:cs="Verdana"/>
          <w:noProof/>
          <w:color w:val="000000" w:themeColor="text1"/>
          <w:lang w:val="es"/>
        </w:rPr>
        <w:drawing>
          <wp:inline distT="0" distB="0" distL="0" distR="0" wp14:anchorId="558FCB9C" wp14:editId="330D8C49">
            <wp:extent cx="2543175" cy="781050"/>
            <wp:effectExtent l="0" t="0" r="9525" b="0"/>
            <wp:docPr id="19611979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43175" cy="781050"/>
                    </a:xfrm>
                    <a:prstGeom prst="rect">
                      <a:avLst/>
                    </a:prstGeom>
                    <a:noFill/>
                    <a:ln>
                      <a:noFill/>
                    </a:ln>
                  </pic:spPr>
                </pic:pic>
              </a:graphicData>
            </a:graphic>
          </wp:inline>
        </w:drawing>
      </w:r>
    </w:p>
    <w:p w14:paraId="53199DD8" w14:textId="77777777" w:rsidR="001608AC" w:rsidRDefault="001608AC" w:rsidP="001D65B3">
      <w:pPr>
        <w:spacing w:after="0" w:line="240" w:lineRule="auto"/>
        <w:jc w:val="both"/>
        <w:textAlignment w:val="baseline"/>
        <w:rPr>
          <w:rFonts w:ascii="Verdana" w:eastAsia="Verdana" w:hAnsi="Verdana" w:cs="Verdana"/>
          <w:color w:val="000000" w:themeColor="text1"/>
          <w:lang w:val="es"/>
        </w:rPr>
      </w:pPr>
    </w:p>
    <w:p w14:paraId="4EDFB34C" w14:textId="77777777" w:rsidR="001D65B3" w:rsidRDefault="001D65B3" w:rsidP="001D65B3">
      <w:pPr>
        <w:spacing w:after="0" w:line="240" w:lineRule="auto"/>
        <w:jc w:val="both"/>
        <w:textAlignment w:val="baseline"/>
        <w:rPr>
          <w:rFonts w:ascii="Verdana" w:eastAsia="Verdana" w:hAnsi="Verdana" w:cs="Verdana"/>
          <w:color w:val="000000" w:themeColor="text1"/>
          <w:lang w:val="es"/>
        </w:rPr>
      </w:pPr>
      <w:r w:rsidRPr="00156A83">
        <w:rPr>
          <w:rFonts w:ascii="Verdana" w:eastAsia="Verdana" w:hAnsi="Verdana" w:cs="Verdana"/>
          <w:color w:val="000000" w:themeColor="text1"/>
          <w:lang w:val="es"/>
        </w:rPr>
        <w:t>Señor</w:t>
      </w:r>
    </w:p>
    <w:p w14:paraId="76EE38C2" w14:textId="77777777" w:rsidR="001D65B3" w:rsidRPr="001812FB" w:rsidRDefault="001D65B3" w:rsidP="001D65B3">
      <w:pPr>
        <w:spacing w:after="0" w:line="240" w:lineRule="auto"/>
        <w:jc w:val="both"/>
        <w:textAlignment w:val="baseline"/>
        <w:rPr>
          <w:rFonts w:ascii="Verdana" w:eastAsia="Verdana" w:hAnsi="Verdana" w:cs="Verdana"/>
          <w:color w:val="000000" w:themeColor="text1"/>
          <w:lang w:val="es"/>
        </w:rPr>
      </w:pPr>
      <w:r w:rsidRPr="001812FB">
        <w:rPr>
          <w:rFonts w:ascii="Verdana" w:hAnsi="Verdana"/>
          <w:b/>
          <w:bCs/>
        </w:rPr>
        <w:t>IVAN DARIO VALENCIA ESTUPIÑAN</w:t>
      </w:r>
    </w:p>
    <w:p w14:paraId="2C0455A0" w14:textId="77777777" w:rsidR="001D65B3" w:rsidRPr="001812FB" w:rsidRDefault="001D65B3" w:rsidP="001D65B3">
      <w:pPr>
        <w:spacing w:after="0" w:line="240" w:lineRule="auto"/>
        <w:jc w:val="both"/>
        <w:textAlignment w:val="baseline"/>
        <w:rPr>
          <w:rFonts w:ascii="Verdana" w:hAnsi="Verdana"/>
        </w:rPr>
      </w:pPr>
      <w:hyperlink r:id="rId11" w:history="1">
        <w:r w:rsidRPr="00B528D7">
          <w:rPr>
            <w:rStyle w:val="Hipervnculo"/>
            <w:rFonts w:ascii="Verdana" w:hAnsi="Verdana"/>
          </w:rPr>
          <w:t>ivanvalencia1213@hotmail.com</w:t>
        </w:r>
      </w:hyperlink>
      <w:r w:rsidRPr="001812FB">
        <w:rPr>
          <w:rFonts w:ascii="Verdana" w:hAnsi="Verdana"/>
        </w:rPr>
        <w:t xml:space="preserve"> </w:t>
      </w:r>
    </w:p>
    <w:p w14:paraId="3D55AB60" w14:textId="77777777" w:rsidR="001D65B3" w:rsidRDefault="001D65B3" w:rsidP="001D65B3">
      <w:pPr>
        <w:spacing w:after="0" w:line="240" w:lineRule="auto"/>
        <w:jc w:val="both"/>
        <w:textAlignment w:val="baseline"/>
        <w:rPr>
          <w:rFonts w:ascii="Verdana" w:hAnsi="Verdana"/>
        </w:rPr>
      </w:pPr>
      <w:r w:rsidRPr="001812FB">
        <w:rPr>
          <w:rFonts w:ascii="Verdana" w:hAnsi="Verdana"/>
        </w:rPr>
        <w:t>Rionegro (Antioquia)</w:t>
      </w:r>
    </w:p>
    <w:p w14:paraId="1A9C49F5" w14:textId="77777777" w:rsidR="001D65B3" w:rsidRPr="003D5882" w:rsidRDefault="001D65B3" w:rsidP="001D65B3">
      <w:pPr>
        <w:spacing w:after="0" w:line="240" w:lineRule="auto"/>
        <w:jc w:val="both"/>
        <w:textAlignment w:val="baseline"/>
        <w:rPr>
          <w:rFonts w:ascii="Verdana" w:hAnsi="Verdana"/>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6540"/>
      </w:tblGrid>
      <w:tr w:rsidR="001D65B3" w14:paraId="2110BE1F" w14:textId="77777777" w:rsidTr="00177867">
        <w:trPr>
          <w:trHeight w:val="615"/>
        </w:trPr>
        <w:tc>
          <w:tcPr>
            <w:tcW w:w="2265" w:type="dxa"/>
            <w:shd w:val="clear" w:color="auto" w:fill="FFFFFF" w:themeFill="background1"/>
            <w:tcMar>
              <w:left w:w="108" w:type="dxa"/>
              <w:right w:w="108" w:type="dxa"/>
            </w:tcMar>
          </w:tcPr>
          <w:p w14:paraId="78CE0BCD" w14:textId="77777777" w:rsidR="001D65B3" w:rsidRDefault="001D65B3" w:rsidP="00177867">
            <w:pPr>
              <w:jc w:val="both"/>
              <w:rPr>
                <w:rFonts w:ascii="Verdana" w:eastAsia="Verdana" w:hAnsi="Verdana" w:cs="Verdana"/>
                <w:b/>
                <w:bCs/>
                <w:color w:val="000000" w:themeColor="text1"/>
              </w:rPr>
            </w:pPr>
          </w:p>
        </w:tc>
        <w:tc>
          <w:tcPr>
            <w:tcW w:w="6540" w:type="dxa"/>
            <w:shd w:val="clear" w:color="auto" w:fill="FFFFFF" w:themeFill="background1"/>
            <w:tcMar>
              <w:left w:w="108" w:type="dxa"/>
              <w:right w:w="108" w:type="dxa"/>
            </w:tcMar>
          </w:tcPr>
          <w:p w14:paraId="13A7A279" w14:textId="77777777" w:rsidR="001D65B3" w:rsidRDefault="001D65B3" w:rsidP="00177867">
            <w:pPr>
              <w:jc w:val="both"/>
            </w:pPr>
            <w:r w:rsidRPr="40A87941">
              <w:rPr>
                <w:rFonts w:ascii="Verdana" w:eastAsia="Verdana" w:hAnsi="Verdana" w:cs="Verdana"/>
                <w:b/>
                <w:bCs/>
                <w:color w:val="000000" w:themeColor="text1"/>
                <w:lang w:val="es"/>
              </w:rPr>
              <w:t xml:space="preserve">Concepto C- </w:t>
            </w:r>
            <w:r>
              <w:rPr>
                <w:rFonts w:ascii="Verdana" w:eastAsia="Verdana" w:hAnsi="Verdana" w:cs="Verdana"/>
                <w:b/>
                <w:bCs/>
                <w:color w:val="000000" w:themeColor="text1"/>
                <w:lang w:val="es"/>
              </w:rPr>
              <w:t>1291</w:t>
            </w:r>
            <w:r w:rsidRPr="40A87941">
              <w:rPr>
                <w:rFonts w:ascii="Verdana" w:eastAsia="Verdana" w:hAnsi="Verdana" w:cs="Verdana"/>
                <w:b/>
                <w:bCs/>
                <w:color w:val="000000" w:themeColor="text1"/>
                <w:lang w:val="es"/>
              </w:rPr>
              <w:t xml:space="preserve"> de 2026</w:t>
            </w:r>
          </w:p>
        </w:tc>
      </w:tr>
      <w:tr w:rsidR="001D65B3" w:rsidRPr="004F242E" w14:paraId="15611C6F" w14:textId="77777777" w:rsidTr="00177867">
        <w:trPr>
          <w:trHeight w:val="1065"/>
        </w:trPr>
        <w:tc>
          <w:tcPr>
            <w:tcW w:w="2265" w:type="dxa"/>
            <w:shd w:val="clear" w:color="auto" w:fill="FFFFFF" w:themeFill="background1"/>
            <w:tcMar>
              <w:left w:w="108" w:type="dxa"/>
              <w:right w:w="108" w:type="dxa"/>
            </w:tcMar>
          </w:tcPr>
          <w:p w14:paraId="1A5A6DA7" w14:textId="77777777" w:rsidR="001D65B3" w:rsidRDefault="001D65B3" w:rsidP="00177867">
            <w:pPr>
              <w:jc w:val="both"/>
            </w:pPr>
            <w:r w:rsidRPr="40A87941">
              <w:rPr>
                <w:rFonts w:ascii="Verdana" w:eastAsia="Verdana" w:hAnsi="Verdana" w:cs="Verdana"/>
                <w:b/>
                <w:bCs/>
                <w:color w:val="000000" w:themeColor="text1"/>
              </w:rPr>
              <w:t>Temas:</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1A2D5099" w14:textId="77777777" w:rsidR="001D65B3" w:rsidRPr="00EA2373" w:rsidRDefault="001D65B3" w:rsidP="00177867">
            <w:pPr>
              <w:spacing w:line="276" w:lineRule="auto"/>
              <w:jc w:val="both"/>
              <w:rPr>
                <w:rFonts w:ascii="Verdana" w:eastAsia="Times New Roman" w:hAnsi="Verdana" w:cs="Arial"/>
                <w:lang w:eastAsia="es-ES_tradnl"/>
              </w:rPr>
            </w:pPr>
            <w:r w:rsidRPr="002E10DE">
              <w:rPr>
                <w:rFonts w:ascii="Verdana" w:eastAsia="Times New Roman" w:hAnsi="Verdana" w:cs="Arial"/>
                <w:lang w:eastAsia="es-ES_tradnl"/>
              </w:rPr>
              <w:t>INHABILIDADES E INCOMPATIBILIDADES – Concepto – Principio de legalidad – Interpretación restrictiva</w:t>
            </w:r>
            <w:r>
              <w:rPr>
                <w:rFonts w:ascii="Verdana" w:eastAsia="Times New Roman" w:hAnsi="Verdana" w:cs="Arial"/>
                <w:lang w:eastAsia="es-ES_tradnl"/>
              </w:rPr>
              <w:t xml:space="preserve"> / </w:t>
            </w:r>
          </w:p>
          <w:p w14:paraId="5779C882" w14:textId="77777777" w:rsidR="001D65B3" w:rsidRPr="00790F0C" w:rsidRDefault="001D65B3" w:rsidP="00177867">
            <w:pPr>
              <w:spacing w:line="276" w:lineRule="auto"/>
              <w:jc w:val="both"/>
              <w:rPr>
                <w:rFonts w:ascii="Verdana" w:eastAsia="Aptos" w:hAnsi="Verdana" w:cs="Times New Roman"/>
                <w:lang w:val="es-ES"/>
              </w:rPr>
            </w:pPr>
            <w:r w:rsidRPr="00EA2373">
              <w:rPr>
                <w:rFonts w:ascii="Verdana" w:eastAsia="Times New Roman" w:hAnsi="Verdana" w:cs="Arial"/>
                <w:lang w:eastAsia="es-ES_tradnl"/>
              </w:rPr>
              <w:t>MIPYMES – Limitación a MiPymes - Requisito de constitución</w:t>
            </w:r>
            <w:r>
              <w:rPr>
                <w:rFonts w:ascii="Verdana" w:eastAsia="Times New Roman" w:hAnsi="Verdana" w:cs="Arial"/>
                <w:lang w:eastAsia="es-ES_tradnl"/>
              </w:rPr>
              <w:t xml:space="preserve"> / </w:t>
            </w:r>
            <w:r w:rsidRPr="00142702">
              <w:rPr>
                <w:rFonts w:ascii="Verdana" w:eastAsia="Calibri" w:hAnsi="Verdana" w:cs="Arial"/>
                <w:bCs/>
                <w:lang w:val="es-ES"/>
              </w:rPr>
              <w:t xml:space="preserve">SUBSANABILIDAD – Concepto – Límites </w:t>
            </w:r>
            <w:r>
              <w:rPr>
                <w:rFonts w:ascii="Verdana" w:eastAsia="Calibri" w:hAnsi="Verdana" w:cs="Arial"/>
                <w:bCs/>
                <w:lang w:val="es-ES"/>
              </w:rPr>
              <w:t>-</w:t>
            </w:r>
            <w:r w:rsidRPr="00142702">
              <w:rPr>
                <w:rFonts w:ascii="Verdana" w:eastAsia="Calibri" w:hAnsi="Verdana" w:cs="Arial"/>
                <w:bCs/>
                <w:lang w:val="es-ES"/>
              </w:rPr>
              <w:t xml:space="preserve"> </w:t>
            </w:r>
            <w:r w:rsidRPr="00142702">
              <w:rPr>
                <w:rFonts w:ascii="Verdana" w:hAnsi="Verdana" w:cs="Arial"/>
                <w:bCs/>
                <w:bdr w:val="none" w:sz="0" w:space="0" w:color="auto" w:frame="1"/>
                <w:lang w:eastAsia="es-CO"/>
              </w:rPr>
              <w:t>SUBSANACIÓN – Requisitos Habilitantes – Reglas</w:t>
            </w:r>
          </w:p>
          <w:p w14:paraId="760E15A4" w14:textId="77777777" w:rsidR="001D65B3" w:rsidRPr="00530D81" w:rsidRDefault="001D65B3" w:rsidP="00177867">
            <w:pPr>
              <w:spacing w:line="276" w:lineRule="auto"/>
              <w:jc w:val="both"/>
            </w:pPr>
          </w:p>
        </w:tc>
      </w:tr>
      <w:tr w:rsidR="001D65B3" w14:paraId="3FD28564" w14:textId="77777777" w:rsidTr="00177867">
        <w:trPr>
          <w:trHeight w:val="660"/>
        </w:trPr>
        <w:tc>
          <w:tcPr>
            <w:tcW w:w="2265" w:type="dxa"/>
            <w:shd w:val="clear" w:color="auto" w:fill="FFFFFF" w:themeFill="background1"/>
            <w:tcMar>
              <w:left w:w="108" w:type="dxa"/>
              <w:right w:w="108" w:type="dxa"/>
            </w:tcMar>
          </w:tcPr>
          <w:p w14:paraId="498C7882" w14:textId="77777777" w:rsidR="001D65B3" w:rsidRDefault="001D65B3" w:rsidP="00177867">
            <w:pPr>
              <w:jc w:val="both"/>
            </w:pPr>
            <w:r w:rsidRPr="40A87941">
              <w:rPr>
                <w:rFonts w:ascii="Verdana" w:eastAsia="Verdana" w:hAnsi="Verdana" w:cs="Verdana"/>
                <w:b/>
                <w:bCs/>
                <w:color w:val="000000" w:themeColor="text1"/>
              </w:rPr>
              <w:t>Radicación:</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2CF7F72F" w14:textId="77777777" w:rsidR="001D65B3" w:rsidRDefault="001D65B3" w:rsidP="00177867">
            <w:pPr>
              <w:ind w:right="1"/>
              <w:jc w:val="both"/>
            </w:pPr>
            <w:r w:rsidRPr="39124533">
              <w:rPr>
                <w:rFonts w:ascii="Verdana" w:eastAsia="Verdana" w:hAnsi="Verdana" w:cs="Verdana"/>
                <w:color w:val="000000" w:themeColor="text1"/>
              </w:rPr>
              <w:t xml:space="preserve">Respuesta a consulta con radicado N.º </w:t>
            </w:r>
            <w:r w:rsidRPr="001812FB">
              <w:rPr>
                <w:rFonts w:ascii="Verdana" w:eastAsia="Verdana" w:hAnsi="Verdana" w:cs="Verdana"/>
                <w:color w:val="000000" w:themeColor="text1"/>
              </w:rPr>
              <w:t>1_2026_08_14_010825</w:t>
            </w:r>
            <w:r>
              <w:rPr>
                <w:rFonts w:ascii="Verdana" w:eastAsia="Verdana" w:hAnsi="Verdana" w:cs="Verdana"/>
                <w:color w:val="000000" w:themeColor="text1"/>
              </w:rPr>
              <w:t>.</w:t>
            </w:r>
          </w:p>
        </w:tc>
      </w:tr>
    </w:tbl>
    <w:p w14:paraId="0A541377" w14:textId="77777777" w:rsidR="001D65B3" w:rsidRPr="0015699B" w:rsidRDefault="001D65B3" w:rsidP="001D65B3">
      <w:pPr>
        <w:spacing w:after="0" w:line="240" w:lineRule="auto"/>
        <w:jc w:val="both"/>
        <w:textAlignment w:val="baseline"/>
        <w:rPr>
          <w:rFonts w:ascii="Verdana" w:eastAsia="Verdana" w:hAnsi="Verdana" w:cs="Verdana"/>
          <w:b/>
          <w:bCs/>
          <w:color w:val="000000" w:themeColor="text1"/>
          <w:lang w:val="es"/>
        </w:rPr>
      </w:pPr>
    </w:p>
    <w:p w14:paraId="567B704E" w14:textId="77777777" w:rsidR="001D65B3" w:rsidRDefault="001D65B3" w:rsidP="001D65B3">
      <w:pPr>
        <w:spacing w:after="120" w:line="276" w:lineRule="auto"/>
        <w:jc w:val="both"/>
        <w:textAlignment w:val="baseline"/>
        <w:rPr>
          <w:rFonts w:ascii="Verdana" w:eastAsia="Verdana" w:hAnsi="Verdana" w:cs="Verdana"/>
          <w:color w:val="000000" w:themeColor="text1"/>
          <w:lang w:val="es-ES"/>
        </w:rPr>
      </w:pPr>
      <w:r w:rsidRPr="39124533">
        <w:rPr>
          <w:rFonts w:ascii="Verdana" w:eastAsia="Verdana" w:hAnsi="Verdana" w:cs="Verdana"/>
          <w:color w:val="000000" w:themeColor="text1"/>
          <w:lang w:val="es-ES"/>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a su solicitud radicada ante esta entidad el </w:t>
      </w:r>
      <w:r>
        <w:rPr>
          <w:rFonts w:ascii="Verdana" w:eastAsia="Verdana" w:hAnsi="Verdana" w:cs="Verdana"/>
          <w:color w:val="000000" w:themeColor="text1"/>
          <w:lang w:val="es-ES"/>
        </w:rPr>
        <w:t>14</w:t>
      </w:r>
      <w:r w:rsidRPr="39124533">
        <w:rPr>
          <w:rFonts w:ascii="Verdana" w:eastAsia="Verdana" w:hAnsi="Verdana" w:cs="Verdana"/>
          <w:color w:val="000000" w:themeColor="text1"/>
          <w:lang w:val="es-ES"/>
        </w:rPr>
        <w:t xml:space="preserve"> de </w:t>
      </w:r>
      <w:r>
        <w:rPr>
          <w:rFonts w:ascii="Verdana" w:eastAsia="Verdana" w:hAnsi="Verdana" w:cs="Verdana"/>
          <w:color w:val="000000" w:themeColor="text1"/>
          <w:lang w:val="es-ES"/>
        </w:rPr>
        <w:t>agosto</w:t>
      </w:r>
      <w:r w:rsidRPr="39124533">
        <w:rPr>
          <w:rFonts w:ascii="Verdana" w:eastAsia="Verdana" w:hAnsi="Verdana" w:cs="Verdana"/>
          <w:color w:val="000000" w:themeColor="text1"/>
          <w:lang w:val="es-ES"/>
        </w:rPr>
        <w:t xml:space="preserve"> de 2026 en la cual manifiesta lo siguiente:</w:t>
      </w:r>
    </w:p>
    <w:p w14:paraId="58904364" w14:textId="77777777" w:rsidR="001D65B3" w:rsidRPr="001812FB" w:rsidRDefault="001D65B3" w:rsidP="001D65B3">
      <w:pPr>
        <w:spacing w:after="120" w:line="276" w:lineRule="auto"/>
        <w:ind w:left="567" w:right="618"/>
        <w:jc w:val="both"/>
        <w:textAlignment w:val="baseline"/>
        <w:rPr>
          <w:rFonts w:ascii="Verdana" w:eastAsia="Verdana" w:hAnsi="Verdana" w:cs="Verdana"/>
          <w:color w:val="000000" w:themeColor="text1"/>
          <w:sz w:val="21"/>
          <w:szCs w:val="21"/>
        </w:rPr>
      </w:pPr>
      <w:r w:rsidRPr="00971885">
        <w:rPr>
          <w:rFonts w:ascii="Verdana" w:eastAsia="Verdana" w:hAnsi="Verdana" w:cs="Verdana"/>
          <w:color w:val="000000" w:themeColor="text1"/>
          <w:sz w:val="21"/>
          <w:szCs w:val="21"/>
        </w:rPr>
        <w:t>“</w:t>
      </w:r>
      <w:r w:rsidRPr="001812FB">
        <w:rPr>
          <w:rFonts w:ascii="Verdana" w:eastAsia="Verdana" w:hAnsi="Verdana" w:cs="Verdana"/>
          <w:color w:val="000000" w:themeColor="text1"/>
          <w:sz w:val="21"/>
          <w:szCs w:val="21"/>
        </w:rPr>
        <w:t>1-</w:t>
      </w:r>
      <w:r>
        <w:rPr>
          <w:rFonts w:ascii="Verdana" w:eastAsia="Verdana" w:hAnsi="Verdana" w:cs="Verdana"/>
          <w:color w:val="000000" w:themeColor="text1"/>
          <w:sz w:val="21"/>
          <w:szCs w:val="21"/>
        </w:rPr>
        <w:t>C</w:t>
      </w:r>
      <w:r w:rsidRPr="001812FB">
        <w:rPr>
          <w:rFonts w:ascii="Verdana" w:eastAsia="Verdana" w:hAnsi="Verdana" w:cs="Verdana"/>
          <w:color w:val="000000" w:themeColor="text1"/>
          <w:sz w:val="21"/>
          <w:szCs w:val="21"/>
        </w:rPr>
        <w:t>ómo acreditar la duración de una persona jurídica cuando el certificado</w:t>
      </w:r>
      <w:r>
        <w:rPr>
          <w:rFonts w:ascii="Verdana" w:eastAsia="Verdana" w:hAnsi="Verdana" w:cs="Verdana"/>
          <w:color w:val="000000" w:themeColor="text1"/>
          <w:sz w:val="21"/>
          <w:szCs w:val="21"/>
        </w:rPr>
        <w:t xml:space="preserve"> </w:t>
      </w:r>
      <w:r w:rsidRPr="001812FB">
        <w:rPr>
          <w:rFonts w:ascii="Verdana" w:eastAsia="Verdana" w:hAnsi="Verdana" w:cs="Verdana"/>
          <w:color w:val="000000" w:themeColor="text1"/>
          <w:sz w:val="21"/>
          <w:szCs w:val="21"/>
        </w:rPr>
        <w:t>no lo indica y si es subsanable con documentos privados;</w:t>
      </w:r>
    </w:p>
    <w:p w14:paraId="3176321D" w14:textId="77777777" w:rsidR="001D65B3" w:rsidRPr="001812FB" w:rsidRDefault="001D65B3" w:rsidP="001D65B3">
      <w:pPr>
        <w:spacing w:after="120" w:line="276" w:lineRule="auto"/>
        <w:ind w:left="567" w:right="618"/>
        <w:jc w:val="both"/>
        <w:textAlignment w:val="baseline"/>
        <w:rPr>
          <w:rFonts w:ascii="Verdana" w:eastAsia="Verdana" w:hAnsi="Verdana" w:cs="Verdana"/>
          <w:color w:val="000000" w:themeColor="text1"/>
          <w:sz w:val="21"/>
          <w:szCs w:val="21"/>
        </w:rPr>
      </w:pPr>
      <w:r w:rsidRPr="001812FB">
        <w:rPr>
          <w:rFonts w:ascii="Verdana" w:eastAsia="Verdana" w:hAnsi="Verdana" w:cs="Verdana"/>
          <w:color w:val="000000" w:themeColor="text1"/>
          <w:sz w:val="21"/>
          <w:szCs w:val="21"/>
        </w:rPr>
        <w:t>2-</w:t>
      </w:r>
      <w:r>
        <w:rPr>
          <w:rFonts w:ascii="Verdana" w:eastAsia="Verdana" w:hAnsi="Verdana" w:cs="Verdana"/>
          <w:color w:val="000000" w:themeColor="text1"/>
          <w:sz w:val="21"/>
          <w:szCs w:val="21"/>
        </w:rPr>
        <w:t>S</w:t>
      </w:r>
      <w:r w:rsidRPr="001812FB">
        <w:rPr>
          <w:rFonts w:ascii="Verdana" w:eastAsia="Verdana" w:hAnsi="Verdana" w:cs="Verdana"/>
          <w:color w:val="000000" w:themeColor="text1"/>
          <w:sz w:val="21"/>
          <w:szCs w:val="21"/>
        </w:rPr>
        <w:t>i</w:t>
      </w:r>
      <w:r>
        <w:rPr>
          <w:rFonts w:ascii="Verdana" w:eastAsia="Verdana" w:hAnsi="Verdana" w:cs="Verdana"/>
          <w:color w:val="000000" w:themeColor="text1"/>
          <w:sz w:val="21"/>
          <w:szCs w:val="21"/>
        </w:rPr>
        <w:t xml:space="preserve"> </w:t>
      </w:r>
      <w:r w:rsidRPr="001812FB">
        <w:rPr>
          <w:rFonts w:ascii="Verdana" w:eastAsia="Verdana" w:hAnsi="Verdana" w:cs="Verdana"/>
          <w:color w:val="000000" w:themeColor="text1"/>
          <w:sz w:val="21"/>
          <w:szCs w:val="21"/>
        </w:rPr>
        <w:t>es jurídicamente viable reabrir el término de manifestación de interés</w:t>
      </w:r>
      <w:r>
        <w:rPr>
          <w:rFonts w:ascii="Verdana" w:eastAsia="Verdana" w:hAnsi="Verdana" w:cs="Verdana"/>
          <w:color w:val="000000" w:themeColor="text1"/>
          <w:sz w:val="21"/>
          <w:szCs w:val="21"/>
        </w:rPr>
        <w:t xml:space="preserve"> </w:t>
      </w:r>
      <w:r w:rsidRPr="001812FB">
        <w:rPr>
          <w:rFonts w:ascii="Verdana" w:eastAsia="Verdana" w:hAnsi="Verdana" w:cs="Verdana"/>
          <w:color w:val="000000" w:themeColor="text1"/>
          <w:sz w:val="21"/>
          <w:szCs w:val="21"/>
        </w:rPr>
        <w:t>en selección abreviada de menor cuantía ante errores graves o si debe</w:t>
      </w:r>
      <w:r>
        <w:rPr>
          <w:rFonts w:ascii="Verdana" w:eastAsia="Verdana" w:hAnsi="Verdana" w:cs="Verdana"/>
          <w:color w:val="000000" w:themeColor="text1"/>
          <w:sz w:val="21"/>
          <w:szCs w:val="21"/>
        </w:rPr>
        <w:t xml:space="preserve"> </w:t>
      </w:r>
      <w:r w:rsidRPr="001812FB">
        <w:rPr>
          <w:rFonts w:ascii="Verdana" w:eastAsia="Verdana" w:hAnsi="Verdana" w:cs="Verdana"/>
          <w:color w:val="000000" w:themeColor="text1"/>
          <w:sz w:val="21"/>
          <w:szCs w:val="21"/>
        </w:rPr>
        <w:t>revocarse el acto de apertura;</w:t>
      </w:r>
    </w:p>
    <w:p w14:paraId="1E6D53C3" w14:textId="77777777" w:rsidR="001D65B3" w:rsidRPr="001812FB" w:rsidRDefault="001D65B3" w:rsidP="001D65B3">
      <w:pPr>
        <w:spacing w:after="120" w:line="276" w:lineRule="auto"/>
        <w:ind w:left="567" w:right="618"/>
        <w:jc w:val="both"/>
        <w:textAlignment w:val="baseline"/>
        <w:rPr>
          <w:rFonts w:ascii="Verdana" w:eastAsia="Verdana" w:hAnsi="Verdana" w:cs="Verdana"/>
          <w:color w:val="000000" w:themeColor="text1"/>
          <w:sz w:val="21"/>
          <w:szCs w:val="21"/>
        </w:rPr>
      </w:pPr>
      <w:r w:rsidRPr="001812FB">
        <w:rPr>
          <w:rFonts w:ascii="Verdana" w:eastAsia="Verdana" w:hAnsi="Verdana" w:cs="Verdana"/>
          <w:color w:val="000000" w:themeColor="text1"/>
          <w:sz w:val="21"/>
          <w:szCs w:val="21"/>
        </w:rPr>
        <w:t>3-</w:t>
      </w:r>
      <w:r>
        <w:rPr>
          <w:rFonts w:ascii="Verdana" w:eastAsia="Verdana" w:hAnsi="Verdana" w:cs="Verdana"/>
          <w:color w:val="000000" w:themeColor="text1"/>
          <w:sz w:val="21"/>
          <w:szCs w:val="21"/>
        </w:rPr>
        <w:t>L</w:t>
      </w:r>
      <w:r w:rsidRPr="001812FB">
        <w:rPr>
          <w:rFonts w:ascii="Verdana" w:eastAsia="Verdana" w:hAnsi="Verdana" w:cs="Verdana"/>
          <w:color w:val="000000" w:themeColor="text1"/>
          <w:sz w:val="21"/>
          <w:szCs w:val="21"/>
        </w:rPr>
        <w:t>a validez de modificar porcentajes de participación en un proponente</w:t>
      </w:r>
      <w:r>
        <w:rPr>
          <w:rFonts w:ascii="Verdana" w:eastAsia="Verdana" w:hAnsi="Verdana" w:cs="Verdana"/>
          <w:color w:val="000000" w:themeColor="text1"/>
          <w:sz w:val="21"/>
          <w:szCs w:val="21"/>
        </w:rPr>
        <w:t xml:space="preserve"> </w:t>
      </w:r>
      <w:r w:rsidRPr="001812FB">
        <w:rPr>
          <w:rFonts w:ascii="Verdana" w:eastAsia="Verdana" w:hAnsi="Verdana" w:cs="Verdana"/>
          <w:color w:val="000000" w:themeColor="text1"/>
          <w:sz w:val="21"/>
          <w:szCs w:val="21"/>
        </w:rPr>
        <w:t>plural para cumplir experiencia mínima;</w:t>
      </w:r>
    </w:p>
    <w:p w14:paraId="63330F6B" w14:textId="77777777" w:rsidR="001D65B3" w:rsidRPr="001812FB" w:rsidRDefault="001D65B3" w:rsidP="001D65B3">
      <w:pPr>
        <w:spacing w:after="120" w:line="276" w:lineRule="auto"/>
        <w:ind w:left="567" w:right="618"/>
        <w:jc w:val="both"/>
        <w:textAlignment w:val="baseline"/>
        <w:rPr>
          <w:rFonts w:ascii="Verdana" w:eastAsia="Verdana" w:hAnsi="Verdana" w:cs="Verdana"/>
          <w:color w:val="000000" w:themeColor="text1"/>
          <w:sz w:val="21"/>
          <w:szCs w:val="21"/>
        </w:rPr>
      </w:pPr>
      <w:r w:rsidRPr="001812FB">
        <w:rPr>
          <w:rFonts w:ascii="Verdana" w:eastAsia="Verdana" w:hAnsi="Verdana" w:cs="Verdana"/>
          <w:color w:val="000000" w:themeColor="text1"/>
          <w:sz w:val="21"/>
          <w:szCs w:val="21"/>
        </w:rPr>
        <w:lastRenderedPageBreak/>
        <w:t>4-</w:t>
      </w:r>
      <w:r>
        <w:rPr>
          <w:rFonts w:ascii="Verdana" w:eastAsia="Verdana" w:hAnsi="Verdana" w:cs="Verdana"/>
          <w:color w:val="000000" w:themeColor="text1"/>
          <w:sz w:val="21"/>
          <w:szCs w:val="21"/>
        </w:rPr>
        <w:t>E</w:t>
      </w:r>
      <w:r w:rsidRPr="001812FB">
        <w:rPr>
          <w:rFonts w:ascii="Verdana" w:eastAsia="Verdana" w:hAnsi="Verdana" w:cs="Verdana"/>
          <w:color w:val="000000" w:themeColor="text1"/>
          <w:sz w:val="21"/>
          <w:szCs w:val="21"/>
        </w:rPr>
        <w:t>l alcance de las inhabilidades del representante legal y socios</w:t>
      </w:r>
      <w:r>
        <w:rPr>
          <w:rFonts w:ascii="Verdana" w:eastAsia="Verdana" w:hAnsi="Verdana" w:cs="Verdana"/>
          <w:color w:val="000000" w:themeColor="text1"/>
          <w:sz w:val="21"/>
          <w:szCs w:val="21"/>
        </w:rPr>
        <w:t xml:space="preserve"> </w:t>
      </w:r>
      <w:r w:rsidRPr="001812FB">
        <w:rPr>
          <w:rFonts w:ascii="Verdana" w:eastAsia="Verdana" w:hAnsi="Verdana" w:cs="Verdana"/>
          <w:color w:val="000000" w:themeColor="text1"/>
          <w:sz w:val="21"/>
          <w:szCs w:val="21"/>
        </w:rPr>
        <w:t>accionistas en la oferta;</w:t>
      </w:r>
    </w:p>
    <w:p w14:paraId="38E362D3" w14:textId="77777777" w:rsidR="001D65B3" w:rsidRPr="001812FB" w:rsidRDefault="001D65B3" w:rsidP="001D65B3">
      <w:pPr>
        <w:spacing w:after="120" w:line="276" w:lineRule="auto"/>
        <w:ind w:left="567" w:right="618"/>
        <w:jc w:val="both"/>
        <w:textAlignment w:val="baseline"/>
        <w:rPr>
          <w:rFonts w:ascii="Verdana" w:eastAsia="Verdana" w:hAnsi="Verdana" w:cs="Verdana"/>
          <w:color w:val="000000" w:themeColor="text1"/>
          <w:sz w:val="21"/>
          <w:szCs w:val="21"/>
        </w:rPr>
      </w:pPr>
      <w:r w:rsidRPr="001812FB">
        <w:rPr>
          <w:rFonts w:ascii="Verdana" w:eastAsia="Verdana" w:hAnsi="Verdana" w:cs="Verdana"/>
          <w:color w:val="000000" w:themeColor="text1"/>
          <w:sz w:val="21"/>
          <w:szCs w:val="21"/>
        </w:rPr>
        <w:t>5-</w:t>
      </w:r>
      <w:r>
        <w:rPr>
          <w:rFonts w:ascii="Verdana" w:eastAsia="Verdana" w:hAnsi="Verdana" w:cs="Verdana"/>
          <w:color w:val="000000" w:themeColor="text1"/>
          <w:sz w:val="21"/>
          <w:szCs w:val="21"/>
        </w:rPr>
        <w:t>L</w:t>
      </w:r>
      <w:r w:rsidRPr="001812FB">
        <w:rPr>
          <w:rFonts w:ascii="Verdana" w:eastAsia="Verdana" w:hAnsi="Verdana" w:cs="Verdana"/>
          <w:color w:val="000000" w:themeColor="text1"/>
          <w:sz w:val="21"/>
          <w:szCs w:val="21"/>
        </w:rPr>
        <w:t>a validez de presentar ofertas en SECOP II por mensaje público en</w:t>
      </w:r>
      <w:r>
        <w:rPr>
          <w:rFonts w:ascii="Verdana" w:eastAsia="Verdana" w:hAnsi="Verdana" w:cs="Verdana"/>
          <w:color w:val="000000" w:themeColor="text1"/>
          <w:sz w:val="21"/>
          <w:szCs w:val="21"/>
        </w:rPr>
        <w:t xml:space="preserve"> </w:t>
      </w:r>
      <w:r w:rsidRPr="001812FB">
        <w:rPr>
          <w:rFonts w:ascii="Verdana" w:eastAsia="Verdana" w:hAnsi="Verdana" w:cs="Verdana"/>
          <w:color w:val="000000" w:themeColor="text1"/>
          <w:sz w:val="21"/>
          <w:szCs w:val="21"/>
        </w:rPr>
        <w:t>lugar</w:t>
      </w:r>
      <w:r>
        <w:rPr>
          <w:rFonts w:ascii="Verdana" w:eastAsia="Verdana" w:hAnsi="Verdana" w:cs="Verdana"/>
          <w:color w:val="000000" w:themeColor="text1"/>
          <w:sz w:val="21"/>
          <w:szCs w:val="21"/>
        </w:rPr>
        <w:t xml:space="preserve"> </w:t>
      </w:r>
      <w:r w:rsidRPr="001812FB">
        <w:rPr>
          <w:rFonts w:ascii="Verdana" w:eastAsia="Verdana" w:hAnsi="Verdana" w:cs="Verdana"/>
          <w:color w:val="000000" w:themeColor="text1"/>
          <w:sz w:val="21"/>
          <w:szCs w:val="21"/>
        </w:rPr>
        <w:t>del módulo correspondiente;</w:t>
      </w:r>
    </w:p>
    <w:p w14:paraId="06530229" w14:textId="77777777" w:rsidR="001D65B3" w:rsidRDefault="001D65B3" w:rsidP="001D65B3">
      <w:pPr>
        <w:spacing w:after="120" w:line="276" w:lineRule="auto"/>
        <w:ind w:left="567" w:right="618"/>
        <w:jc w:val="both"/>
        <w:textAlignment w:val="baseline"/>
        <w:rPr>
          <w:rFonts w:ascii="Verdana" w:eastAsia="Verdana" w:hAnsi="Verdana" w:cs="Verdana"/>
          <w:color w:val="000000" w:themeColor="text1"/>
          <w:sz w:val="21"/>
          <w:szCs w:val="21"/>
        </w:rPr>
      </w:pPr>
      <w:r w:rsidRPr="001812FB">
        <w:rPr>
          <w:rFonts w:ascii="Verdana" w:eastAsia="Verdana" w:hAnsi="Verdana" w:cs="Verdana"/>
          <w:color w:val="000000" w:themeColor="text1"/>
          <w:sz w:val="21"/>
          <w:szCs w:val="21"/>
        </w:rPr>
        <w:t>6-</w:t>
      </w:r>
      <w:r>
        <w:rPr>
          <w:rFonts w:ascii="Verdana" w:eastAsia="Verdana" w:hAnsi="Verdana" w:cs="Verdana"/>
          <w:color w:val="000000" w:themeColor="text1"/>
          <w:sz w:val="21"/>
          <w:szCs w:val="21"/>
        </w:rPr>
        <w:t>C</w:t>
      </w:r>
      <w:r w:rsidRPr="001812FB">
        <w:rPr>
          <w:rFonts w:ascii="Verdana" w:eastAsia="Verdana" w:hAnsi="Verdana" w:cs="Verdana"/>
          <w:color w:val="000000" w:themeColor="text1"/>
          <w:sz w:val="21"/>
          <w:szCs w:val="21"/>
        </w:rPr>
        <w:t>ómo se determina la fecha exacta de constitución de una persona</w:t>
      </w:r>
      <w:r>
        <w:rPr>
          <w:rFonts w:ascii="Verdana" w:eastAsia="Verdana" w:hAnsi="Verdana" w:cs="Verdana"/>
          <w:color w:val="000000" w:themeColor="text1"/>
          <w:sz w:val="21"/>
          <w:szCs w:val="21"/>
        </w:rPr>
        <w:t xml:space="preserve"> </w:t>
      </w:r>
      <w:r w:rsidRPr="001812FB">
        <w:rPr>
          <w:rFonts w:ascii="Verdana" w:eastAsia="Verdana" w:hAnsi="Verdana" w:cs="Verdana"/>
          <w:color w:val="000000" w:themeColor="text1"/>
          <w:sz w:val="21"/>
          <w:szCs w:val="21"/>
        </w:rPr>
        <w:t>jurídica para acreditar la calidad de MIPYMES, si debe tomarse la fecha</w:t>
      </w:r>
      <w:r>
        <w:rPr>
          <w:rFonts w:ascii="Verdana" w:eastAsia="Verdana" w:hAnsi="Verdana" w:cs="Verdana"/>
          <w:color w:val="000000" w:themeColor="text1"/>
          <w:sz w:val="21"/>
          <w:szCs w:val="21"/>
        </w:rPr>
        <w:t xml:space="preserve"> </w:t>
      </w:r>
      <w:r w:rsidRPr="001812FB">
        <w:rPr>
          <w:rFonts w:ascii="Verdana" w:eastAsia="Verdana" w:hAnsi="Verdana" w:cs="Verdana"/>
          <w:color w:val="000000" w:themeColor="text1"/>
          <w:sz w:val="21"/>
          <w:szCs w:val="21"/>
        </w:rPr>
        <w:t>del documento constitutivo o la inscripción en el registro mercantil</w:t>
      </w:r>
      <w:r>
        <w:rPr>
          <w:rFonts w:ascii="Verdana" w:eastAsia="Verdana" w:hAnsi="Verdana" w:cs="Verdana"/>
          <w:color w:val="000000" w:themeColor="text1"/>
          <w:sz w:val="21"/>
          <w:szCs w:val="21"/>
        </w:rPr>
        <w:t>”</w:t>
      </w:r>
    </w:p>
    <w:p w14:paraId="398699A4" w14:textId="77777777" w:rsidR="001D65B3" w:rsidRDefault="001D65B3" w:rsidP="001D65B3">
      <w:pPr>
        <w:spacing w:after="0" w:line="276" w:lineRule="auto"/>
        <w:ind w:left="567" w:right="1043"/>
        <w:jc w:val="both"/>
        <w:textAlignment w:val="baseline"/>
        <w:rPr>
          <w:rFonts w:ascii="Verdana" w:eastAsia="Verdana" w:hAnsi="Verdana" w:cs="Verdana"/>
          <w:color w:val="000000" w:themeColor="text1"/>
          <w:sz w:val="21"/>
          <w:szCs w:val="21"/>
        </w:rPr>
      </w:pPr>
    </w:p>
    <w:p w14:paraId="7BC0EBA3" w14:textId="77777777" w:rsidR="001D65B3" w:rsidRPr="0015699B" w:rsidRDefault="001D65B3" w:rsidP="001D65B3">
      <w:pPr>
        <w:spacing w:after="120" w:line="276" w:lineRule="auto"/>
        <w:ind w:right="51" w:firstLine="709"/>
        <w:jc w:val="both"/>
        <w:textAlignment w:val="baseline"/>
        <w:rPr>
          <w:rFonts w:ascii="Calibri" w:eastAsia="Calibri" w:hAnsi="Calibri" w:cs="Calibri"/>
          <w:lang w:val="es"/>
        </w:rPr>
      </w:pPr>
      <w:r w:rsidRPr="39124533">
        <w:rPr>
          <w:rFonts w:ascii="Verdana" w:eastAsia="Verdana" w:hAnsi="Verdana" w:cs="Verdana"/>
          <w:color w:val="000000" w:themeColor="text1"/>
          <w:lang w:val="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w:t>
      </w:r>
      <w:r>
        <w:rPr>
          <w:rFonts w:ascii="Verdana" w:eastAsia="Verdana" w:hAnsi="Verdana" w:cs="Verdana"/>
          <w:color w:val="000000" w:themeColor="text1"/>
          <w:lang w:val="es"/>
        </w:rPr>
        <w:t xml:space="preserve"> </w:t>
      </w:r>
      <w:r w:rsidRPr="39124533">
        <w:rPr>
          <w:rFonts w:ascii="Verdana" w:eastAsia="Verdana" w:hAnsi="Verdana" w:cs="Verdana"/>
          <w:color w:val="000000" w:themeColor="text1"/>
          <w:lang w:val="es"/>
        </w:rPr>
        <w:t xml:space="preserve">Esta competencia de interpretación de normas generales, por definición, no puede extenderse a la resolución de controversias, ni a brindar asesorías sobre casos puntuales. </w:t>
      </w:r>
      <w:r w:rsidRPr="39124533">
        <w:rPr>
          <w:rFonts w:ascii="Calibri" w:eastAsia="Calibri" w:hAnsi="Calibri" w:cs="Calibri"/>
          <w:lang w:val="es"/>
        </w:rPr>
        <w:t xml:space="preserve">      </w:t>
      </w:r>
    </w:p>
    <w:p w14:paraId="331CBBDC" w14:textId="77777777" w:rsidR="001D65B3" w:rsidRPr="0015699B" w:rsidRDefault="001D65B3" w:rsidP="001D65B3">
      <w:pPr>
        <w:spacing w:after="0" w:line="240" w:lineRule="auto"/>
        <w:ind w:right="49" w:firstLine="360"/>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05FB345" w14:textId="77777777" w:rsidR="001D65B3" w:rsidRDefault="001D65B3" w:rsidP="001D65B3">
      <w:pPr>
        <w:spacing w:after="0" w:line="276" w:lineRule="auto"/>
        <w:ind w:firstLine="709"/>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226D61CB" w14:textId="77777777" w:rsidR="001D65B3" w:rsidRPr="0015699B" w:rsidRDefault="001D65B3" w:rsidP="001D65B3">
      <w:pPr>
        <w:pStyle w:val="Prrafodelista"/>
        <w:numPr>
          <w:ilvl w:val="0"/>
          <w:numId w:val="16"/>
        </w:numPr>
        <w:spacing w:after="0" w:line="276" w:lineRule="auto"/>
        <w:ind w:left="851" w:hanging="567"/>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Problema</w:t>
      </w:r>
      <w:r>
        <w:rPr>
          <w:rFonts w:ascii="Verdana" w:eastAsia="Verdana" w:hAnsi="Verdana" w:cs="Verdana"/>
          <w:b/>
          <w:bCs/>
          <w:color w:val="000000" w:themeColor="text1"/>
          <w:lang w:val="es"/>
        </w:rPr>
        <w:t>s</w:t>
      </w:r>
      <w:r w:rsidRPr="40A87941">
        <w:rPr>
          <w:rFonts w:ascii="Verdana" w:eastAsia="Verdana" w:hAnsi="Verdana" w:cs="Verdana"/>
          <w:b/>
          <w:bCs/>
          <w:color w:val="000000" w:themeColor="text1"/>
          <w:lang w:val="es"/>
        </w:rPr>
        <w:t xml:space="preserve"> planteado</w:t>
      </w:r>
      <w:r>
        <w:rPr>
          <w:rFonts w:ascii="Verdana" w:eastAsia="Verdana" w:hAnsi="Verdana" w:cs="Verdana"/>
          <w:b/>
          <w:bCs/>
          <w:color w:val="000000" w:themeColor="text1"/>
          <w:lang w:val="es"/>
        </w:rPr>
        <w:t>s</w:t>
      </w:r>
      <w:r w:rsidRPr="40A87941">
        <w:rPr>
          <w:rFonts w:ascii="Verdana" w:eastAsia="Verdana" w:hAnsi="Verdana" w:cs="Verdana"/>
          <w:b/>
          <w:bCs/>
          <w:color w:val="000000" w:themeColor="text1"/>
          <w:lang w:val="es"/>
        </w:rPr>
        <w:t>:</w:t>
      </w:r>
    </w:p>
    <w:p w14:paraId="594D68CF" w14:textId="77777777" w:rsidR="001D65B3" w:rsidRPr="0015699B" w:rsidRDefault="001D65B3" w:rsidP="001D65B3">
      <w:pPr>
        <w:tabs>
          <w:tab w:val="left" w:pos="426"/>
        </w:tabs>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09BAB2A8" w14:textId="77777777" w:rsidR="001D65B3" w:rsidRDefault="001D65B3" w:rsidP="001D65B3">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De acuerdo con el contenido de su solicitud, esta Agencia resolverá </w:t>
      </w:r>
      <w:r>
        <w:rPr>
          <w:rFonts w:ascii="Verdana" w:eastAsia="Verdana" w:hAnsi="Verdana" w:cs="Verdana"/>
          <w:color w:val="000000" w:themeColor="text1"/>
          <w:lang w:val="es"/>
        </w:rPr>
        <w:t xml:space="preserve">los siguientes problemas </w:t>
      </w:r>
      <w:r w:rsidRPr="40A87941">
        <w:rPr>
          <w:rFonts w:ascii="Verdana" w:eastAsia="Verdana" w:hAnsi="Verdana" w:cs="Verdana"/>
          <w:color w:val="000000" w:themeColor="text1"/>
          <w:lang w:val="es"/>
        </w:rPr>
        <w:t>jurídico</w:t>
      </w:r>
      <w:r>
        <w:rPr>
          <w:rFonts w:ascii="Verdana" w:eastAsia="Verdana" w:hAnsi="Verdana" w:cs="Verdana"/>
          <w:color w:val="000000" w:themeColor="text1"/>
          <w:lang w:val="es"/>
        </w:rPr>
        <w:t>s:</w:t>
      </w:r>
    </w:p>
    <w:p w14:paraId="5A648842" w14:textId="77777777" w:rsidR="001D65B3" w:rsidRDefault="001D65B3" w:rsidP="001D65B3">
      <w:pPr>
        <w:spacing w:after="0" w:line="276" w:lineRule="auto"/>
        <w:jc w:val="both"/>
        <w:textAlignment w:val="baseline"/>
        <w:rPr>
          <w:rFonts w:ascii="Verdana" w:eastAsia="Verdana" w:hAnsi="Verdana" w:cs="Verdana"/>
          <w:color w:val="000000" w:themeColor="text1"/>
          <w:lang w:val="es"/>
        </w:rPr>
      </w:pPr>
    </w:p>
    <w:p w14:paraId="5DCC32C7" w14:textId="77777777" w:rsidR="001D65B3" w:rsidRDefault="001D65B3" w:rsidP="001D65B3">
      <w:pPr>
        <w:spacing w:after="0" w:line="276" w:lineRule="auto"/>
        <w:jc w:val="both"/>
        <w:textAlignment w:val="baseline"/>
        <w:rPr>
          <w:rFonts w:ascii="Verdana" w:eastAsia="Verdana" w:hAnsi="Verdana" w:cs="Verdana"/>
          <w:color w:val="000000" w:themeColor="text1"/>
        </w:rPr>
      </w:pPr>
      <w:r>
        <w:rPr>
          <w:rFonts w:ascii="Verdana" w:eastAsia="Verdana" w:hAnsi="Verdana" w:cs="Verdana"/>
          <w:color w:val="000000" w:themeColor="text1"/>
          <w:lang w:val="es"/>
        </w:rPr>
        <w:t xml:space="preserve">i. </w:t>
      </w:r>
      <w:r w:rsidRPr="00265CA4">
        <w:rPr>
          <w:rFonts w:ascii="Verdana" w:eastAsia="Verdana" w:hAnsi="Verdana" w:cs="Verdana"/>
          <w:color w:val="000000" w:themeColor="text1"/>
        </w:rPr>
        <w:t xml:space="preserve">¿Cómo debe acreditarse la existencia y duración de una persona jurídica cuando dicha información no consta expresamente en el certificado de existencia y representación legal, cuál es el alcance de las inhabilidades respecto de sus </w:t>
      </w:r>
      <w:r w:rsidRPr="00265CA4">
        <w:rPr>
          <w:rFonts w:ascii="Verdana" w:eastAsia="Verdana" w:hAnsi="Verdana" w:cs="Verdana"/>
          <w:color w:val="000000" w:themeColor="text1"/>
        </w:rPr>
        <w:lastRenderedPageBreak/>
        <w:t xml:space="preserve">representantes legales, socios o accionistas? y, ¿cómo debe determinarse su antigüedad para efectos de acreditar la condición de </w:t>
      </w:r>
      <w:proofErr w:type="spellStart"/>
      <w:r w:rsidRPr="00265CA4">
        <w:rPr>
          <w:rFonts w:ascii="Verdana" w:eastAsia="Verdana" w:hAnsi="Verdana" w:cs="Verdana"/>
          <w:color w:val="000000" w:themeColor="text1"/>
        </w:rPr>
        <w:t>Mipyme</w:t>
      </w:r>
      <w:proofErr w:type="spellEnd"/>
      <w:r w:rsidRPr="00265CA4">
        <w:rPr>
          <w:rFonts w:ascii="Verdana" w:eastAsia="Verdana" w:hAnsi="Verdana" w:cs="Verdana"/>
          <w:color w:val="000000" w:themeColor="text1"/>
        </w:rPr>
        <w:t>?</w:t>
      </w:r>
    </w:p>
    <w:p w14:paraId="7DC4DE39" w14:textId="77777777" w:rsidR="001D65B3" w:rsidRDefault="001D65B3" w:rsidP="001D65B3">
      <w:pPr>
        <w:spacing w:after="0" w:line="276" w:lineRule="auto"/>
        <w:jc w:val="both"/>
        <w:textAlignment w:val="baseline"/>
        <w:rPr>
          <w:rFonts w:ascii="Verdana" w:eastAsia="Verdana" w:hAnsi="Verdana" w:cs="Verdana"/>
          <w:color w:val="000000" w:themeColor="text1"/>
        </w:rPr>
      </w:pPr>
    </w:p>
    <w:p w14:paraId="048E1A0F" w14:textId="77777777" w:rsidR="001D65B3" w:rsidRDefault="001D65B3" w:rsidP="001D65B3">
      <w:pPr>
        <w:spacing w:after="0" w:line="276" w:lineRule="auto"/>
        <w:jc w:val="both"/>
        <w:textAlignment w:val="baseline"/>
        <w:rPr>
          <w:rFonts w:ascii="Verdana" w:eastAsia="Verdana" w:hAnsi="Verdana" w:cs="Verdana"/>
          <w:color w:val="000000" w:themeColor="text1"/>
        </w:rPr>
      </w:pPr>
      <w:proofErr w:type="spellStart"/>
      <w:r>
        <w:rPr>
          <w:rFonts w:ascii="Verdana" w:eastAsia="Verdana" w:hAnsi="Verdana" w:cs="Verdana"/>
          <w:color w:val="000000" w:themeColor="text1"/>
        </w:rPr>
        <w:t>ii</w:t>
      </w:r>
      <w:proofErr w:type="spellEnd"/>
      <w:r>
        <w:rPr>
          <w:rFonts w:ascii="Verdana" w:eastAsia="Verdana" w:hAnsi="Verdana" w:cs="Verdana"/>
          <w:color w:val="000000" w:themeColor="text1"/>
        </w:rPr>
        <w:t xml:space="preserve">. ¿ </w:t>
      </w:r>
      <w:r w:rsidRPr="00265CA4">
        <w:rPr>
          <w:rFonts w:ascii="Verdana" w:eastAsia="Verdana" w:hAnsi="Verdana" w:cs="Verdana"/>
          <w:color w:val="000000" w:themeColor="text1"/>
        </w:rPr>
        <w:t>¿Cómo deben corregirse los errores graves ocurridos en una selección abreviada de menor cuantía y cuál es la validez de modificar la participación de un proponente plural o presentar la oferta por un mecanismo distinto al módulo correspondiente de SECOP II?</w:t>
      </w:r>
    </w:p>
    <w:p w14:paraId="5A8A73E9" w14:textId="77777777" w:rsidR="001D65B3" w:rsidRDefault="001D65B3" w:rsidP="001D65B3">
      <w:pPr>
        <w:spacing w:after="0" w:line="276" w:lineRule="auto"/>
        <w:jc w:val="both"/>
        <w:textAlignment w:val="baseline"/>
        <w:rPr>
          <w:rFonts w:ascii="Verdana" w:eastAsia="Verdana" w:hAnsi="Verdana" w:cs="Verdana"/>
          <w:color w:val="000000" w:themeColor="text1"/>
        </w:rPr>
      </w:pPr>
    </w:p>
    <w:p w14:paraId="0C8D8FE8" w14:textId="77777777" w:rsidR="001D65B3" w:rsidRPr="0015699B" w:rsidRDefault="001D65B3" w:rsidP="001D65B3">
      <w:pPr>
        <w:pStyle w:val="Prrafodelista"/>
        <w:numPr>
          <w:ilvl w:val="0"/>
          <w:numId w:val="16"/>
        </w:numPr>
        <w:spacing w:after="0" w:line="257"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Respuesta:</w:t>
      </w:r>
    </w:p>
    <w:p w14:paraId="2DD67E17" w14:textId="77777777" w:rsidR="001D65B3" w:rsidRPr="0015699B" w:rsidRDefault="001D65B3" w:rsidP="001D65B3">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tbl>
      <w:tblPr>
        <w:tblStyle w:val="Tablaconcuadrcula"/>
        <w:tblW w:w="0" w:type="auto"/>
        <w:tblLook w:val="04A0" w:firstRow="1" w:lastRow="0" w:firstColumn="1" w:lastColumn="0" w:noHBand="0" w:noVBand="1"/>
      </w:tblPr>
      <w:tblGrid>
        <w:gridCol w:w="8818"/>
      </w:tblGrid>
      <w:tr w:rsidR="001D65B3" w14:paraId="0DA27EF1" w14:textId="77777777" w:rsidTr="00177867">
        <w:trPr>
          <w:trHeight w:val="780"/>
        </w:trPr>
        <w:tc>
          <w:tcPr>
            <w:tcW w:w="8818" w:type="dxa"/>
            <w:tcBorders>
              <w:top w:val="dotted" w:sz="8" w:space="0" w:color="auto"/>
              <w:left w:val="dotted" w:sz="8" w:space="0" w:color="auto"/>
              <w:bottom w:val="dotted" w:sz="8" w:space="0" w:color="auto"/>
              <w:right w:val="dotted" w:sz="8" w:space="0" w:color="auto"/>
            </w:tcBorders>
            <w:tcMar>
              <w:left w:w="108" w:type="dxa"/>
              <w:right w:w="108" w:type="dxa"/>
            </w:tcMar>
          </w:tcPr>
          <w:p w14:paraId="18B004C9" w14:textId="77777777" w:rsidR="001D65B3" w:rsidRPr="002E10DE" w:rsidRDefault="001D65B3" w:rsidP="00177867">
            <w:pPr>
              <w:spacing w:after="120" w:line="276" w:lineRule="auto"/>
              <w:jc w:val="both"/>
              <w:rPr>
                <w:rFonts w:ascii="Verdana" w:eastAsia="Verdana" w:hAnsi="Verdana" w:cs="Verdana"/>
              </w:rPr>
            </w:pPr>
            <w:r>
              <w:rPr>
                <w:rFonts w:ascii="Verdana" w:eastAsia="Verdana" w:hAnsi="Verdana" w:cs="Verdana"/>
              </w:rPr>
              <w:t xml:space="preserve">        i)</w:t>
            </w:r>
            <w:r w:rsidRPr="002E10DE">
              <w:rPr>
                <w:rFonts w:ascii="Verdana" w:eastAsia="Verdana" w:hAnsi="Verdana" w:cs="Verdana"/>
              </w:rPr>
              <w:t xml:space="preserve"> </w:t>
            </w:r>
            <w:r>
              <w:rPr>
                <w:rFonts w:ascii="Verdana" w:eastAsia="Verdana" w:hAnsi="Verdana" w:cs="Verdana"/>
              </w:rPr>
              <w:t>L</w:t>
            </w:r>
            <w:r w:rsidRPr="002E10DE">
              <w:rPr>
                <w:rFonts w:ascii="Verdana" w:eastAsia="Verdana" w:hAnsi="Verdana" w:cs="Verdana"/>
              </w:rPr>
              <w:t>a existencia y representación de las personas jurídicas se acreditan, por regla general, mediante el Certificado de Existencia y Representación Legal expedido por la autoridad competente. No obstante, cuando dicho certificado no contenga de manera expresa la información relativa a la fecha de constitución o duración de la entidad, esta podrá acreditarse mediante los documentos constitutivos debidamente registrados o mediante los actos de creación y demás certificaciones expedidas por las autoridades competentes, según la naturaleza jurídica de la entidad correspondiente.</w:t>
            </w:r>
          </w:p>
          <w:p w14:paraId="33B450FC" w14:textId="77777777" w:rsidR="001D65B3" w:rsidRPr="00016726" w:rsidRDefault="001D65B3" w:rsidP="00177867">
            <w:pPr>
              <w:spacing w:after="120" w:line="276" w:lineRule="auto"/>
              <w:jc w:val="both"/>
              <w:rPr>
                <w:rFonts w:ascii="Verdana" w:eastAsia="Verdana" w:hAnsi="Verdana" w:cs="Verdana"/>
              </w:rPr>
            </w:pPr>
            <w:r>
              <w:rPr>
                <w:rFonts w:ascii="Verdana" w:eastAsia="Verdana" w:hAnsi="Verdana" w:cs="Verdana"/>
              </w:rPr>
              <w:t xml:space="preserve">         </w:t>
            </w:r>
            <w:r w:rsidRPr="00016726">
              <w:rPr>
                <w:rFonts w:ascii="Verdana" w:eastAsia="Verdana" w:hAnsi="Verdana" w:cs="Verdana"/>
              </w:rPr>
              <w:t xml:space="preserve">En lo que respecta a la acreditación de la condición de </w:t>
            </w:r>
            <w:proofErr w:type="spellStart"/>
            <w:r w:rsidRPr="00016726">
              <w:rPr>
                <w:rFonts w:ascii="Verdana" w:eastAsia="Verdana" w:hAnsi="Verdana" w:cs="Verdana"/>
              </w:rPr>
              <w:t>Mipyme</w:t>
            </w:r>
            <w:proofErr w:type="spellEnd"/>
            <w:r w:rsidRPr="00016726">
              <w:rPr>
                <w:rFonts w:ascii="Verdana" w:eastAsia="Verdana" w:hAnsi="Verdana" w:cs="Verdana"/>
              </w:rPr>
              <w:t xml:space="preserve"> en los procesos de contratación estatal, la antigüedad de la persona jurídica debe determinarse a partir de la fecha en que adquirió existencia jurídica conforme a las normas que regulan su constitución y registro. Para efectos de los mecanismos de participación diferenciada previstos en la normativa de compras públicas, la acreditación de la condición de </w:t>
            </w:r>
            <w:proofErr w:type="spellStart"/>
            <w:r w:rsidRPr="00016726">
              <w:rPr>
                <w:rFonts w:ascii="Verdana" w:eastAsia="Verdana" w:hAnsi="Verdana" w:cs="Verdana"/>
              </w:rPr>
              <w:t>Mipyme</w:t>
            </w:r>
            <w:proofErr w:type="spellEnd"/>
            <w:r w:rsidRPr="00016726">
              <w:rPr>
                <w:rFonts w:ascii="Verdana" w:eastAsia="Verdana" w:hAnsi="Verdana" w:cs="Verdana"/>
              </w:rPr>
              <w:t xml:space="preserve"> deberá realizarse con observancia de los requisitos establecidos en la Ley 2069 de 2020, el Decreto 957 de 2019 y las disposiciones reglamentarias que los desarrollan. En este sentido, la Agencia Nacional de Contratación Pública – Colombia Compra Eficiente ha precisado que el requisito de antigüedad exigido para las convocatorias limitadas a </w:t>
            </w:r>
            <w:proofErr w:type="spellStart"/>
            <w:r w:rsidRPr="00016726">
              <w:rPr>
                <w:rFonts w:ascii="Verdana" w:eastAsia="Verdana" w:hAnsi="Verdana" w:cs="Verdana"/>
              </w:rPr>
              <w:t>Mipyme</w:t>
            </w:r>
            <w:proofErr w:type="spellEnd"/>
            <w:r w:rsidRPr="00016726">
              <w:rPr>
                <w:rFonts w:ascii="Verdana" w:eastAsia="Verdana" w:hAnsi="Verdana" w:cs="Verdana"/>
              </w:rPr>
              <w:t xml:space="preserve"> se refiere a la fecha de constitución o existencia legal de la empresa, por lo que la verificación del tiempo mínimo de existencia debe efectuarse con fundamento en la información contenida en los registros y certificados oficiales que acreditan su creación y existencia jurídica.</w:t>
            </w:r>
          </w:p>
          <w:p w14:paraId="2793B5B4" w14:textId="77777777" w:rsidR="001D65B3" w:rsidRPr="00016726" w:rsidRDefault="001D65B3" w:rsidP="00177867">
            <w:pPr>
              <w:spacing w:after="120" w:line="276" w:lineRule="auto"/>
              <w:jc w:val="both"/>
              <w:rPr>
                <w:rFonts w:ascii="Verdana" w:eastAsia="Verdana" w:hAnsi="Verdana" w:cs="Verdana"/>
              </w:rPr>
            </w:pPr>
            <w:r>
              <w:rPr>
                <w:rFonts w:ascii="Verdana" w:eastAsia="Verdana" w:hAnsi="Verdana" w:cs="Verdana"/>
              </w:rPr>
              <w:t xml:space="preserve">        </w:t>
            </w:r>
            <w:r w:rsidRPr="00016726">
              <w:rPr>
                <w:rFonts w:ascii="Verdana" w:eastAsia="Verdana" w:hAnsi="Verdana" w:cs="Verdana"/>
              </w:rPr>
              <w:t xml:space="preserve">Así mismo, en el Concepto C-865 del 26 de mayo de 2026, Colombia Compra Eficiente reiteró que los beneficios y mecanismos diferenciales previstos en la Ley 2069 de 2020 y el Decreto 1860 de 2021 deben acreditarse </w:t>
            </w:r>
            <w:r w:rsidRPr="00016726">
              <w:rPr>
                <w:rFonts w:ascii="Verdana" w:eastAsia="Verdana" w:hAnsi="Verdana" w:cs="Verdana"/>
              </w:rPr>
              <w:lastRenderedPageBreak/>
              <w:t xml:space="preserve">mediante los documentos expresamente previstos en la regulación, particularmente aquellos relacionados con el registro mercantil y la certificación del tamaño empresarial. En consecuencia, la condición de </w:t>
            </w:r>
            <w:proofErr w:type="spellStart"/>
            <w:r w:rsidRPr="00016726">
              <w:rPr>
                <w:rFonts w:ascii="Verdana" w:eastAsia="Verdana" w:hAnsi="Verdana" w:cs="Verdana"/>
              </w:rPr>
              <w:t>Mipyme</w:t>
            </w:r>
            <w:proofErr w:type="spellEnd"/>
            <w:r w:rsidRPr="00016726">
              <w:rPr>
                <w:rFonts w:ascii="Verdana" w:eastAsia="Verdana" w:hAnsi="Verdana" w:cs="Verdana"/>
              </w:rPr>
              <w:t xml:space="preserve"> y los requisitos asociados a su participación preferente en los procesos de contratación estatal deben verificarse a partir de elementos objetivos, verificables y formalmente acreditados ante la autoridad competente, sin que resulte procedente sustituir los medios de acreditación previstos por la normativa mediante documentos que no permitan demostrar de manera suficiente el cumplimiento de las condiciones exigidas.</w:t>
            </w:r>
          </w:p>
          <w:p w14:paraId="68AE9248" w14:textId="77777777" w:rsidR="001D65B3" w:rsidRDefault="001D65B3" w:rsidP="00177867">
            <w:pPr>
              <w:spacing w:after="120" w:line="276" w:lineRule="auto"/>
              <w:jc w:val="both"/>
              <w:rPr>
                <w:rFonts w:ascii="Verdana" w:eastAsia="Verdana" w:hAnsi="Verdana" w:cs="Verdana"/>
              </w:rPr>
            </w:pPr>
            <w:r>
              <w:rPr>
                <w:rFonts w:ascii="Verdana" w:eastAsia="Verdana" w:hAnsi="Verdana" w:cs="Verdana"/>
              </w:rPr>
              <w:t xml:space="preserve">         </w:t>
            </w:r>
            <w:r w:rsidRPr="002E10DE">
              <w:rPr>
                <w:rFonts w:ascii="Verdana" w:eastAsia="Verdana" w:hAnsi="Verdana" w:cs="Verdana"/>
              </w:rPr>
              <w:t>Por otra parte, las inhabilidades e incompatibilidades constituyen restricciones de origen constitucional y legal que son de interpretación restrictiva y aplicación taxativa. En consecuencia, las causales que recaen sobre representantes legales, socios o accionistas únicamente producen efectos respecto de la persona jurídica cuando la Constitución o la ley así lo dispongan de manera expresa. Por esta razón, no resulta procedente extender una causal de inhabilidad por vía analógica ni sustituir los medios de acreditación previstos en la ley mediante documentos privados que pretendan desvirtuar la información contenida en los registros y certificaciones legalmente exigidos.</w:t>
            </w:r>
          </w:p>
          <w:p w14:paraId="0C2EB079" w14:textId="77777777" w:rsidR="001D65B3" w:rsidRDefault="001D65B3" w:rsidP="00177867">
            <w:pPr>
              <w:spacing w:line="276" w:lineRule="auto"/>
              <w:jc w:val="both"/>
              <w:rPr>
                <w:rFonts w:ascii="Verdana" w:eastAsia="Calibri" w:hAnsi="Verdana" w:cs="Arial"/>
              </w:rPr>
            </w:pPr>
            <w:r>
              <w:rPr>
                <w:rFonts w:ascii="Verdana" w:eastAsia="Verdana" w:hAnsi="Verdana" w:cs="Verdana"/>
              </w:rPr>
              <w:t xml:space="preserve">        </w:t>
            </w:r>
            <w:proofErr w:type="spellStart"/>
            <w:r>
              <w:rPr>
                <w:rFonts w:ascii="Verdana" w:eastAsia="Verdana" w:hAnsi="Verdana" w:cs="Verdana"/>
              </w:rPr>
              <w:t>ii</w:t>
            </w:r>
            <w:proofErr w:type="spellEnd"/>
            <w:r>
              <w:rPr>
                <w:rFonts w:ascii="Verdana" w:eastAsia="Verdana" w:hAnsi="Verdana" w:cs="Verdana"/>
              </w:rPr>
              <w:t xml:space="preserve">) </w:t>
            </w:r>
            <w:r w:rsidRPr="002E10DE">
              <w:rPr>
                <w:rFonts w:ascii="Verdana" w:eastAsia="Verdana" w:hAnsi="Verdana" w:cs="Verdana"/>
              </w:rPr>
              <w:t xml:space="preserve">Frente al </w:t>
            </w:r>
            <w:r w:rsidRPr="00016726">
              <w:rPr>
                <w:rFonts w:ascii="Verdana" w:eastAsia="Verdana" w:hAnsi="Verdana" w:cs="Verdana"/>
              </w:rPr>
              <w:t>segundo problema jurídico,</w:t>
            </w:r>
            <w:r>
              <w:rPr>
                <w:rFonts w:ascii="Verdana" w:eastAsia="Verdana" w:hAnsi="Verdana" w:cs="Verdana"/>
              </w:rPr>
              <w:t xml:space="preserve"> </w:t>
            </w:r>
            <w:r>
              <w:rPr>
                <w:rFonts w:ascii="Verdana" w:hAnsi="Verdana"/>
              </w:rPr>
              <w:t>es pertinente indicar que, e</w:t>
            </w:r>
            <w:r w:rsidRPr="004C6846">
              <w:rPr>
                <w:rFonts w:ascii="Verdana" w:eastAsia="Calibri" w:hAnsi="Verdana" w:cs="Arial"/>
              </w:rPr>
              <w:t xml:space="preserve">n torno a la </w:t>
            </w:r>
            <w:proofErr w:type="spellStart"/>
            <w:r w:rsidRPr="004C6846">
              <w:rPr>
                <w:rFonts w:ascii="Verdana" w:eastAsia="Calibri" w:hAnsi="Verdana" w:cs="Arial"/>
              </w:rPr>
              <w:t>subsanabilidad</w:t>
            </w:r>
            <w:proofErr w:type="spellEnd"/>
            <w:r w:rsidRPr="004C6846">
              <w:rPr>
                <w:rFonts w:ascii="Verdana" w:eastAsia="Calibri" w:hAnsi="Verdana" w:cs="Arial"/>
              </w:rPr>
              <w:t xml:space="preserve"> de las ofertas </w:t>
            </w:r>
            <w:r>
              <w:rPr>
                <w:rFonts w:ascii="Verdana" w:eastAsia="Calibri" w:hAnsi="Verdana" w:cs="Arial"/>
              </w:rPr>
              <w:t>se debe dar aplicación a</w:t>
            </w:r>
            <w:r w:rsidRPr="004C6846">
              <w:rPr>
                <w:rFonts w:ascii="Verdana" w:eastAsia="Calibri" w:hAnsi="Verdana" w:cs="Arial"/>
              </w:rPr>
              <w:t xml:space="preserve"> las reglas </w:t>
            </w:r>
            <w:r>
              <w:rPr>
                <w:rFonts w:ascii="Verdana" w:eastAsia="Calibri" w:hAnsi="Verdana" w:cs="Arial"/>
              </w:rPr>
              <w:t>previstas</w:t>
            </w:r>
            <w:r w:rsidRPr="004C6846">
              <w:rPr>
                <w:rFonts w:ascii="Verdana" w:eastAsia="Calibri" w:hAnsi="Verdana" w:cs="Arial"/>
              </w:rPr>
              <w:t xml:space="preserve"> en la Ley 1882 de 2018</w:t>
            </w:r>
            <w:r>
              <w:rPr>
                <w:rFonts w:ascii="Verdana" w:eastAsia="Calibri" w:hAnsi="Verdana" w:cs="Arial"/>
              </w:rPr>
              <w:t>, las cuales mantienen</w:t>
            </w:r>
            <w:r w:rsidRPr="004C6846">
              <w:rPr>
                <w:rFonts w:ascii="Verdana" w:eastAsia="Calibri" w:hAnsi="Verdana" w:cs="Arial"/>
              </w:rPr>
              <w:t xml:space="preserve"> </w:t>
            </w:r>
            <w:r>
              <w:rPr>
                <w:rFonts w:ascii="Verdana" w:eastAsia="Calibri" w:hAnsi="Verdana" w:cs="Arial"/>
              </w:rPr>
              <w:t>e</w:t>
            </w:r>
            <w:r w:rsidRPr="004C6846">
              <w:rPr>
                <w:rFonts w:ascii="Verdana" w:eastAsia="Calibri" w:hAnsi="Verdana" w:cs="Arial"/>
              </w:rPr>
              <w:t>l criterio de la Ley 80 de 1993</w:t>
            </w:r>
            <w:r>
              <w:rPr>
                <w:rFonts w:ascii="Verdana" w:eastAsia="Calibri" w:hAnsi="Verdana" w:cs="Arial"/>
              </w:rPr>
              <w:t xml:space="preserve"> mediante el cual </w:t>
            </w:r>
            <w:r w:rsidRPr="004C6846">
              <w:rPr>
                <w:rFonts w:ascii="Verdana" w:eastAsia="Calibri" w:hAnsi="Verdana" w:cs="Arial"/>
              </w:rPr>
              <w:t>todo lo que no sea necesario para la comparación de propuestas no es argumento suficiente para su rechazo</w:t>
            </w:r>
            <w:r>
              <w:rPr>
                <w:rFonts w:ascii="Verdana" w:eastAsia="Calibri" w:hAnsi="Verdana" w:cs="Arial"/>
              </w:rPr>
              <w:t>.</w:t>
            </w:r>
            <w:r w:rsidRPr="004C6846">
              <w:rPr>
                <w:rFonts w:ascii="Verdana" w:eastAsia="Calibri" w:hAnsi="Verdana" w:cs="Arial"/>
              </w:rPr>
              <w:t xml:space="preserve"> </w:t>
            </w:r>
          </w:p>
          <w:p w14:paraId="7634BD0A" w14:textId="77777777" w:rsidR="001D65B3" w:rsidRDefault="001D65B3" w:rsidP="00177867">
            <w:pPr>
              <w:spacing w:line="276" w:lineRule="auto"/>
              <w:jc w:val="both"/>
              <w:rPr>
                <w:rFonts w:ascii="Verdana" w:eastAsia="Verdana" w:hAnsi="Verdana" w:cs="Verdana"/>
              </w:rPr>
            </w:pPr>
          </w:p>
          <w:p w14:paraId="6045137B" w14:textId="77777777" w:rsidR="001D65B3" w:rsidRDefault="001D65B3" w:rsidP="00177867">
            <w:pPr>
              <w:spacing w:line="276" w:lineRule="auto"/>
              <w:jc w:val="both"/>
              <w:rPr>
                <w:rFonts w:ascii="Verdana" w:eastAsia="Verdana" w:hAnsi="Verdana" w:cs="Verdana"/>
              </w:rPr>
            </w:pPr>
            <w:r>
              <w:rPr>
                <w:rFonts w:ascii="Verdana" w:eastAsia="Verdana" w:hAnsi="Verdana" w:cs="Verdana"/>
              </w:rPr>
              <w:t xml:space="preserve">       Ahora bien, en lo r</w:t>
            </w:r>
            <w:r w:rsidRPr="002E10DE">
              <w:rPr>
                <w:rFonts w:ascii="Verdana" w:eastAsia="Verdana" w:hAnsi="Verdana" w:cs="Verdana"/>
              </w:rPr>
              <w:t>elativo a la corrección de errores graves en una selección abreviada de menor cuantía, la modificación de la participación de los integrantes de un proponente plural y la validez de la presentación de ofertas en SECOP II, debe indicarse que las entidades estatales están obligadas a garantizar el respeto de los principios de transparencia, igualdad, selección objetiva y debido proceso. Por ello, cuando se adviertan irregularidades o errores que afecten de manera sustancial la legalidad del procedimiento, la entidad deberá adoptar las medidas jurídicas que correspondan en cada caso concreto</w:t>
            </w:r>
            <w:r>
              <w:rPr>
                <w:rFonts w:ascii="Verdana" w:eastAsia="Verdana" w:hAnsi="Verdana" w:cs="Verdana"/>
              </w:rPr>
              <w:t>.</w:t>
            </w:r>
          </w:p>
          <w:p w14:paraId="5509306C" w14:textId="77777777" w:rsidR="001D65B3" w:rsidRPr="00350618" w:rsidRDefault="001D65B3" w:rsidP="00177867">
            <w:pPr>
              <w:spacing w:line="276" w:lineRule="auto"/>
              <w:jc w:val="both"/>
              <w:rPr>
                <w:rFonts w:ascii="Verdana" w:eastAsia="Calibri" w:hAnsi="Verdana" w:cs="Arial"/>
              </w:rPr>
            </w:pPr>
          </w:p>
          <w:p w14:paraId="5C9377CC" w14:textId="77777777" w:rsidR="001D65B3" w:rsidRPr="002E10DE" w:rsidRDefault="001D65B3" w:rsidP="00177867">
            <w:pPr>
              <w:spacing w:after="120" w:line="276" w:lineRule="auto"/>
              <w:jc w:val="both"/>
              <w:rPr>
                <w:rFonts w:ascii="Verdana" w:eastAsia="Verdana" w:hAnsi="Verdana" w:cs="Verdana"/>
              </w:rPr>
            </w:pPr>
            <w:r>
              <w:rPr>
                <w:rFonts w:ascii="Verdana" w:eastAsia="Verdana" w:hAnsi="Verdana" w:cs="Verdana"/>
              </w:rPr>
              <w:lastRenderedPageBreak/>
              <w:t xml:space="preserve">       </w:t>
            </w:r>
            <w:r w:rsidRPr="002E10DE">
              <w:rPr>
                <w:rFonts w:ascii="Verdana" w:eastAsia="Verdana" w:hAnsi="Verdana" w:cs="Verdana"/>
              </w:rPr>
              <w:t>En relación con los proponentes plurales, la modificación de los porcentajes de participación o de las condiciones que determinan la acreditación de requisitos habilitantes, realizada con posterioridad al cierre del proceso de selección, no constituye una actuación subsanable cuando implique alterar aspectos sustanciales de la propuesta o mejorar las condiciones inicialmente ofertadas. En consecuencia, no es procedente modificar extemporáneamente la participación de los integrantes de un consorcio o unión temporal con el propósito de acreditar requisitos mínimos de experiencia que no fueron demostrados válidamente al momento de la presentación de la oferta.</w:t>
            </w:r>
          </w:p>
          <w:p w14:paraId="2067C1C6" w14:textId="77777777" w:rsidR="001D65B3" w:rsidRPr="002E10DE" w:rsidRDefault="001D65B3" w:rsidP="00177867">
            <w:pPr>
              <w:spacing w:after="120" w:line="276" w:lineRule="auto"/>
              <w:jc w:val="both"/>
              <w:rPr>
                <w:rFonts w:ascii="Verdana" w:eastAsia="Verdana" w:hAnsi="Verdana" w:cs="Verdana"/>
              </w:rPr>
            </w:pPr>
            <w:r>
              <w:rPr>
                <w:rFonts w:ascii="Verdana" w:eastAsia="Verdana" w:hAnsi="Verdana" w:cs="Verdana"/>
              </w:rPr>
              <w:t xml:space="preserve">         De igual forma</w:t>
            </w:r>
            <w:r w:rsidRPr="002E10DE">
              <w:rPr>
                <w:rFonts w:ascii="Verdana" w:eastAsia="Verdana" w:hAnsi="Verdana" w:cs="Verdana"/>
              </w:rPr>
              <w:t>, cuando el proceso se adelanta en SECOP II, las ofertas deben presentarse a través de los mecanismos transaccionales previstos por la plataforma y por los documentos del proceso. En consecuencia, la utilización de canales distintos a los establecidos para la presentación de ofertas no satisface, en principio, las condiciones previstas para la participación en el proceso de selección, salvo las situaciones excepcionales reguladas por la normativa aplicable y por los protocolos de indisponibilidad de la plataforma adoptados por Colombia Compra Eficiente.</w:t>
            </w:r>
          </w:p>
          <w:p w14:paraId="47819BA6" w14:textId="77777777" w:rsidR="001D65B3" w:rsidRDefault="001D65B3" w:rsidP="00177867">
            <w:pPr>
              <w:spacing w:after="120" w:line="276" w:lineRule="auto"/>
              <w:jc w:val="both"/>
              <w:rPr>
                <w:rFonts w:ascii="Verdana" w:eastAsia="Calibri" w:hAnsi="Verdana" w:cs="Times New Roman"/>
                <w:lang w:val="es-ES"/>
              </w:rPr>
            </w:pPr>
            <w:r w:rsidRPr="00903275">
              <w:rPr>
                <w:rFonts w:ascii="Verdana" w:eastAsia="Verdana" w:hAnsi="Verdana" w:cs="Verdana"/>
              </w:rPr>
              <w:t xml:space="preserve"> </w:t>
            </w:r>
            <w:r w:rsidRPr="00B72C9E">
              <w:rPr>
                <w:rFonts w:ascii="Verdana" w:eastAsia="Verdana" w:hAnsi="Verdana" w:cs="Verdana"/>
              </w:rPr>
              <w:t xml:space="preserve"> </w:t>
            </w:r>
            <w:r>
              <w:rPr>
                <w:rFonts w:ascii="Verdana" w:eastAsia="Verdana" w:hAnsi="Verdana" w:cs="Verdana"/>
              </w:rPr>
              <w:t xml:space="preserve">      </w:t>
            </w:r>
            <w:r>
              <w:rPr>
                <w:rFonts w:ascii="Verdana" w:eastAsia="Arial" w:hAnsi="Verdana" w:cs="Arial"/>
              </w:rPr>
              <w:t xml:space="preserve"> F</w:t>
            </w:r>
            <w:r>
              <w:rPr>
                <w:rFonts w:ascii="Verdana" w:eastAsia="Calibri" w:hAnsi="Verdana" w:cs="Arial"/>
                <w:bCs/>
                <w:color w:val="000000" w:themeColor="text1"/>
              </w:rPr>
              <w:t>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523D1D86" w14:textId="77777777" w:rsidR="001D65B3" w:rsidRDefault="001D65B3" w:rsidP="00177867">
            <w:pPr>
              <w:spacing w:after="120" w:line="276" w:lineRule="auto"/>
              <w:jc w:val="both"/>
              <w:rPr>
                <w:rFonts w:ascii="Verdana" w:eastAsia="Verdana" w:hAnsi="Verdana" w:cs="Verdana"/>
              </w:rPr>
            </w:pPr>
            <w:r>
              <w:rPr>
                <w:rFonts w:ascii="Verdana" w:eastAsia="Calibri" w:hAnsi="Verdana" w:cs="Times New Roman"/>
                <w:lang w:val="es-ES"/>
              </w:rPr>
              <w:t xml:space="preserve">          Así las cosas</w:t>
            </w:r>
            <w:r w:rsidRPr="00DB4737">
              <w:rPr>
                <w:rFonts w:ascii="Verdana" w:eastAsia="Calibri" w:hAnsi="Verdana" w:cs="Times New Roman"/>
                <w:lang w:val="es-ES"/>
              </w:rPr>
              <w:t>,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2DEC8E30" w14:textId="77777777" w:rsidR="001D65B3" w:rsidRDefault="001D65B3" w:rsidP="001D65B3">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lastRenderedPageBreak/>
        <w:t xml:space="preserve"> </w:t>
      </w:r>
    </w:p>
    <w:p w14:paraId="67178879" w14:textId="77777777" w:rsidR="001D65B3" w:rsidRPr="0015699B" w:rsidRDefault="001D65B3" w:rsidP="001D65B3">
      <w:pPr>
        <w:tabs>
          <w:tab w:val="left" w:pos="142"/>
          <w:tab w:val="left" w:pos="284"/>
        </w:tabs>
        <w:spacing w:after="0" w:line="276" w:lineRule="auto"/>
        <w:jc w:val="both"/>
        <w:textAlignment w:val="baseline"/>
        <w:rPr>
          <w:rFonts w:ascii="Verdana" w:eastAsia="Verdana" w:hAnsi="Verdana" w:cs="Verdana"/>
          <w:b/>
          <w:bCs/>
          <w:color w:val="000000" w:themeColor="text1"/>
          <w:lang w:val="es"/>
        </w:rPr>
      </w:pPr>
    </w:p>
    <w:p w14:paraId="0CDB7D46" w14:textId="77777777" w:rsidR="001D65B3" w:rsidRPr="0015699B" w:rsidRDefault="001D65B3" w:rsidP="001D65B3">
      <w:pPr>
        <w:pStyle w:val="Prrafodelista"/>
        <w:numPr>
          <w:ilvl w:val="0"/>
          <w:numId w:val="16"/>
        </w:numPr>
        <w:spacing w:after="0" w:line="276" w:lineRule="auto"/>
        <w:ind w:left="1080" w:hanging="720"/>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Razones de la respuesta:</w:t>
      </w:r>
    </w:p>
    <w:p w14:paraId="5B61AECF" w14:textId="77777777" w:rsidR="001D65B3" w:rsidRPr="0015699B" w:rsidRDefault="001D65B3" w:rsidP="001D65B3">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p w14:paraId="4D7C26DF" w14:textId="77777777" w:rsidR="001D65B3" w:rsidRDefault="001D65B3" w:rsidP="001D65B3">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Lo anterior se sustenta en las siguientes consideraciones: </w:t>
      </w:r>
    </w:p>
    <w:p w14:paraId="2EEC1387" w14:textId="77777777" w:rsidR="001D65B3" w:rsidRPr="0015699B" w:rsidRDefault="001D65B3" w:rsidP="001D65B3">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p w14:paraId="31B5E5B4" w14:textId="77777777" w:rsidR="001D65B3" w:rsidRPr="006A11D8" w:rsidRDefault="001D65B3" w:rsidP="001D65B3">
      <w:pPr>
        <w:spacing w:after="120" w:line="276" w:lineRule="auto"/>
        <w:ind w:firstLine="708"/>
        <w:jc w:val="both"/>
        <w:rPr>
          <w:rFonts w:ascii="Verdana" w:eastAsia="Calibri" w:hAnsi="Verdana" w:cs="Arial"/>
          <w:lang w:val="es-ES"/>
        </w:rPr>
      </w:pPr>
      <w:bookmarkStart w:id="1" w:name="_Hlk35876968"/>
      <w:bookmarkStart w:id="2" w:name="_Hlk98159514"/>
      <w:r w:rsidRPr="006A11D8">
        <w:rPr>
          <w:rFonts w:ascii="Verdana" w:eastAsia="Calibri" w:hAnsi="Verdana" w:cs="Arial"/>
          <w:lang w:val="es-ES"/>
        </w:rPr>
        <w:t>De manera preliminar debe precisarse que, en la contratación estatal la capacidad constituye uno de los requisitos de validez de los contratos, tanto en los procesos de contractuales adelantados por Entidades Estatales sujetas al Estatuto General de Contratación de la Administración Pública –Ley 80 de 1993, Ley 1150 de 2007, Decreto 1082 de 2015 y demás normas que lo sustituyan y/o complementen–, como en los que desarrollan las Entidades Estatales exceptuadas de este</w:t>
      </w:r>
      <w:r w:rsidRPr="006A11D8">
        <w:rPr>
          <w:rFonts w:ascii="Aptos" w:eastAsia="Aptos" w:hAnsi="Aptos" w:cs="Arial"/>
          <w:vertAlign w:val="superscript"/>
        </w:rPr>
        <w:footnoteReference w:id="1"/>
      </w:r>
      <w:r w:rsidRPr="006A11D8">
        <w:rPr>
          <w:rFonts w:ascii="Verdana" w:eastAsia="Calibri" w:hAnsi="Verdana" w:cs="Arial"/>
          <w:color w:val="000000"/>
          <w:lang w:val="es-ES_tradnl"/>
        </w:rPr>
        <w:t>. Dicha capacidad está sujeta al régimen de inhabilidades e incompatibilidades, definido como el conjunto de normas que imponen restricciones para los sujetos que, eventualmente, pretendan participar en los procesos de selección pública o celebrar contratos con las Entidades Estatales</w:t>
      </w:r>
      <w:r w:rsidRPr="006A11D8">
        <w:rPr>
          <w:rFonts w:ascii="Aptos" w:eastAsia="Aptos" w:hAnsi="Aptos" w:cs="Arial"/>
          <w:vertAlign w:val="superscript"/>
        </w:rPr>
        <w:footnoteReference w:id="2"/>
      </w:r>
      <w:r w:rsidRPr="006A11D8">
        <w:rPr>
          <w:rFonts w:ascii="Verdana" w:eastAsia="Calibri" w:hAnsi="Verdana" w:cs="Arial"/>
          <w:color w:val="000000"/>
          <w:lang w:val="es-ES_tradnl"/>
        </w:rPr>
        <w:t>.</w:t>
      </w:r>
    </w:p>
    <w:p w14:paraId="2A3A050E" w14:textId="77777777" w:rsidR="001D65B3" w:rsidRPr="006A11D8" w:rsidRDefault="001D65B3" w:rsidP="001D65B3">
      <w:pPr>
        <w:spacing w:after="120" w:line="276" w:lineRule="auto"/>
        <w:jc w:val="both"/>
        <w:rPr>
          <w:rFonts w:ascii="Verdana" w:eastAsia="Calibri" w:hAnsi="Verdana" w:cs="Arial"/>
          <w:lang w:val="es-ES"/>
        </w:rPr>
      </w:pPr>
      <w:r w:rsidRPr="006A11D8">
        <w:rPr>
          <w:rFonts w:ascii="Verdana" w:eastAsia="Calibri" w:hAnsi="Verdana" w:cs="Arial"/>
          <w:lang w:val="es-ES"/>
        </w:rPr>
        <w:tab/>
        <w:t>En ese sentido, el régimen de inhabilidades para contratar con el Estado, se traduce en las restricciones establecidas por el Legislador que afectan directamente la capacidad de las personas naturales o jurídicas, para concurrir a los procesos de contratación pública, que se derivan de: i) la existencia de comportamientos reprochables o de sanciones anteriormente impuestas</w:t>
      </w:r>
      <w:r w:rsidRPr="006A11D8">
        <w:rPr>
          <w:rFonts w:ascii="Verdana" w:eastAsia="Calibri" w:hAnsi="Verdana" w:cs="Arial"/>
          <w:color w:val="000000"/>
          <w:vertAlign w:val="superscript"/>
          <w:lang w:val="es-ES"/>
        </w:rPr>
        <w:footnoteReference w:id="3"/>
      </w:r>
      <w:r w:rsidRPr="006A11D8">
        <w:rPr>
          <w:rFonts w:ascii="Verdana" w:eastAsia="Calibri" w:hAnsi="Verdana" w:cs="Arial"/>
          <w:color w:val="000000"/>
          <w:lang w:val="es-ES"/>
        </w:rPr>
        <w:t xml:space="preserve">; </w:t>
      </w:r>
      <w:proofErr w:type="spellStart"/>
      <w:r w:rsidRPr="006A11D8">
        <w:rPr>
          <w:rFonts w:ascii="Verdana" w:eastAsia="Calibri" w:hAnsi="Verdana" w:cs="Arial"/>
          <w:color w:val="000000"/>
          <w:lang w:val="es-ES"/>
        </w:rPr>
        <w:t>ii</w:t>
      </w:r>
      <w:proofErr w:type="spellEnd"/>
      <w:r w:rsidRPr="006A11D8">
        <w:rPr>
          <w:rFonts w:ascii="Verdana" w:eastAsia="Calibri" w:hAnsi="Verdana" w:cs="Arial"/>
          <w:color w:val="000000"/>
          <w:lang w:val="es-ES"/>
        </w:rPr>
        <w:t xml:space="preserve">) </w:t>
      </w:r>
      <w:r w:rsidRPr="006A11D8">
        <w:rPr>
          <w:rFonts w:ascii="Verdana" w:eastAsia="Calibri" w:hAnsi="Verdana" w:cs="Arial"/>
          <w:color w:val="000000"/>
          <w:lang w:val="es-ES"/>
        </w:rPr>
        <w:lastRenderedPageBreak/>
        <w:t>vínculos personales relativos al parentesco o el estado civil</w:t>
      </w:r>
      <w:r w:rsidRPr="006A11D8">
        <w:rPr>
          <w:rFonts w:ascii="Verdana" w:eastAsia="Calibri" w:hAnsi="Verdana" w:cs="Arial"/>
          <w:color w:val="000000"/>
          <w:vertAlign w:val="superscript"/>
          <w:lang w:val="es-ES"/>
        </w:rPr>
        <w:footnoteReference w:id="4"/>
      </w:r>
      <w:r w:rsidRPr="006A11D8">
        <w:rPr>
          <w:rFonts w:ascii="Verdana" w:eastAsia="Calibri" w:hAnsi="Verdana" w:cs="Arial"/>
          <w:color w:val="000000"/>
          <w:lang w:val="es-ES"/>
        </w:rPr>
        <w:t xml:space="preserve">; o </w:t>
      </w:r>
      <w:proofErr w:type="spellStart"/>
      <w:r w:rsidRPr="006A11D8">
        <w:rPr>
          <w:rFonts w:ascii="Verdana" w:eastAsia="Calibri" w:hAnsi="Verdana" w:cs="Arial"/>
          <w:color w:val="000000"/>
          <w:lang w:val="es-ES"/>
        </w:rPr>
        <w:t>iii</w:t>
      </w:r>
      <w:proofErr w:type="spellEnd"/>
      <w:r w:rsidRPr="006A11D8">
        <w:rPr>
          <w:rFonts w:ascii="Verdana" w:eastAsia="Calibri" w:hAnsi="Verdana" w:cs="Arial"/>
          <w:color w:val="000000"/>
          <w:lang w:val="es-ES"/>
        </w:rPr>
        <w:t>) una actividad u oficio que se desempeñó en el pasado</w:t>
      </w:r>
      <w:r w:rsidRPr="006A11D8">
        <w:rPr>
          <w:rFonts w:ascii="Verdana" w:eastAsia="Calibri" w:hAnsi="Verdana" w:cs="Arial"/>
          <w:color w:val="000000"/>
          <w:vertAlign w:val="superscript"/>
          <w:lang w:val="es-ES"/>
        </w:rPr>
        <w:footnoteReference w:id="5"/>
      </w:r>
      <w:r w:rsidRPr="006A11D8">
        <w:rPr>
          <w:rFonts w:ascii="Verdana" w:eastAsia="Calibri" w:hAnsi="Verdana" w:cs="Arial"/>
          <w:color w:val="000000"/>
          <w:lang w:val="es-ES"/>
        </w:rPr>
        <w:t>. De otro lado, las incompatibilidades son prohibiciones para participar en los procesos de contratación pública que se fundamentan en la calidad que ostenta el sujeto interesado en dicho proceso, que impide la coexistencia con el rol de proponente o contratista del Estado</w:t>
      </w:r>
      <w:r w:rsidRPr="006A11D8">
        <w:rPr>
          <w:rFonts w:ascii="Verdana" w:eastAsia="Calibri" w:hAnsi="Verdana" w:cs="Arial"/>
          <w:color w:val="000000"/>
          <w:vertAlign w:val="superscript"/>
          <w:lang w:val="es-ES"/>
        </w:rPr>
        <w:footnoteReference w:id="6"/>
      </w:r>
      <w:r w:rsidRPr="006A11D8">
        <w:rPr>
          <w:rFonts w:ascii="Verdana" w:eastAsia="Calibri" w:hAnsi="Verdana" w:cs="Arial"/>
          <w:color w:val="000000"/>
          <w:lang w:val="es-ES"/>
        </w:rPr>
        <w:t>.</w:t>
      </w:r>
    </w:p>
    <w:p w14:paraId="0EE0BBB0" w14:textId="77777777" w:rsidR="001D65B3" w:rsidRPr="006A11D8" w:rsidRDefault="001D65B3" w:rsidP="001D65B3">
      <w:pPr>
        <w:spacing w:after="120" w:line="276" w:lineRule="auto"/>
        <w:ind w:firstLine="709"/>
        <w:jc w:val="both"/>
        <w:rPr>
          <w:rFonts w:ascii="Verdana" w:eastAsia="Calibri" w:hAnsi="Verdana" w:cs="Arial"/>
          <w:color w:val="000000"/>
          <w:lang w:val="es-ES"/>
        </w:rPr>
      </w:pPr>
      <w:r w:rsidRPr="006A11D8">
        <w:rPr>
          <w:rFonts w:ascii="Verdana" w:eastAsia="Calibri" w:hAnsi="Verdana" w:cs="Arial"/>
          <w:lang w:val="es-ES"/>
        </w:rPr>
        <w:lastRenderedPageBreak/>
        <w:t xml:space="preserve">Con todo, el régimen de inhabilidades e incompatibilidades en la contratación pública, responde a la tendencia de asegurar que la provisión de los bienes, obras y servicios por parte de las Entidades Estatales, se realice cumpliendo con los principios de la función administrativa y de la gestión fiscal, especialmente con probidad y transparencia. Por ello, ha destacado la doctrina, que las inhabilidades e incompatibilidades son herramientas </w:t>
      </w:r>
      <w:r w:rsidRPr="006A11D8">
        <w:rPr>
          <w:rFonts w:ascii="Verdana" w:eastAsia="Calibri" w:hAnsi="Verdana" w:cs="Arial"/>
          <w:color w:val="000000"/>
          <w:lang w:val="es-ES"/>
        </w:rPr>
        <w:t>en la lucha contra la corrupción, adoptando paulatinamente un carácter sancionatorio o “</w:t>
      </w:r>
      <w:proofErr w:type="spellStart"/>
      <w:r w:rsidRPr="006A11D8">
        <w:rPr>
          <w:rFonts w:ascii="Verdana" w:eastAsia="Calibri" w:hAnsi="Verdana" w:cs="Arial"/>
          <w:color w:val="000000"/>
          <w:lang w:val="es-ES"/>
        </w:rPr>
        <w:t>neopunitivo</w:t>
      </w:r>
      <w:proofErr w:type="spellEnd"/>
      <w:r w:rsidRPr="006A11D8">
        <w:rPr>
          <w:rFonts w:ascii="Verdana" w:eastAsia="Calibri" w:hAnsi="Verdana" w:cs="Arial"/>
          <w:color w:val="000000"/>
          <w:lang w:val="es-ES"/>
        </w:rPr>
        <w:t>”</w:t>
      </w:r>
      <w:r w:rsidRPr="006A11D8">
        <w:rPr>
          <w:rFonts w:ascii="Verdana" w:eastAsia="Calibri" w:hAnsi="Verdana" w:cs="Arial"/>
          <w:color w:val="000000"/>
          <w:vertAlign w:val="superscript"/>
          <w:lang w:val="es-ES"/>
        </w:rPr>
        <w:footnoteReference w:id="7"/>
      </w:r>
      <w:r w:rsidRPr="006A11D8">
        <w:rPr>
          <w:rFonts w:ascii="Verdana" w:eastAsia="Calibri" w:hAnsi="Verdana" w:cs="Arial"/>
          <w:color w:val="000000"/>
          <w:lang w:val="es-ES"/>
        </w:rPr>
        <w:t>. Si bien no todas las causales de inhabilidad y de incompatibilidad son consecuencia de una medida de reproche ni de una sanción previa,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5E8CFAFE" w14:textId="77777777" w:rsidR="001D65B3" w:rsidRPr="006A11D8" w:rsidRDefault="001D65B3" w:rsidP="001D65B3">
      <w:pPr>
        <w:spacing w:after="120" w:line="276" w:lineRule="auto"/>
        <w:ind w:firstLine="709"/>
        <w:jc w:val="both"/>
        <w:rPr>
          <w:rFonts w:ascii="Verdana" w:eastAsia="Calibri" w:hAnsi="Verdana" w:cs="Arial"/>
          <w:color w:val="000000"/>
          <w:lang w:val="es-ES_tradnl"/>
        </w:rPr>
      </w:pPr>
      <w:r w:rsidRPr="006A11D8">
        <w:rPr>
          <w:rFonts w:ascii="Verdana" w:eastAsia="Calibri" w:hAnsi="Verdana" w:cs="Arial"/>
          <w:lang w:val="es-ES"/>
        </w:rPr>
        <w:t xml:space="preserve">Por su parte, resulta a bien aclarar que las inhabilidades e incompatibilidades, como se indicó, al ser restricciones a los límites especiales a la capacidad para presentar ofertas y celebrar contratos estatales, solo pueden tipificarse en la ley, </w:t>
      </w:r>
      <w:r w:rsidRPr="006A11D8">
        <w:rPr>
          <w:rFonts w:ascii="Verdana" w:eastAsia="Calibri" w:hAnsi="Verdana" w:cs="Arial"/>
          <w:color w:val="000000"/>
          <w:lang w:val="es-ES_tradnl"/>
        </w:rPr>
        <w:t xml:space="preserve">–o sea, deben satisfacer el principio de legalidad– y su interpretación debe ser </w:t>
      </w:r>
      <w:r w:rsidRPr="006A11D8">
        <w:rPr>
          <w:rFonts w:ascii="Verdana" w:eastAsia="Calibri" w:hAnsi="Verdana" w:cs="Arial"/>
          <w:i/>
          <w:iCs/>
          <w:color w:val="000000"/>
          <w:lang w:val="es-ES_tradnl"/>
        </w:rPr>
        <w:t>restrictiva</w:t>
      </w:r>
      <w:r w:rsidRPr="006A11D8">
        <w:rPr>
          <w:rFonts w:ascii="Verdana" w:eastAsia="Calibri" w:hAnsi="Verdana" w:cs="Arial"/>
          <w:color w:val="000000"/>
          <w:vertAlign w:val="superscript"/>
          <w:lang w:val="es-ES_tradnl"/>
        </w:rPr>
        <w:footnoteReference w:id="8"/>
      </w:r>
      <w:r w:rsidRPr="006A11D8">
        <w:rPr>
          <w:rFonts w:ascii="Verdana" w:eastAsia="Calibri" w:hAnsi="Verdana" w:cs="Arial"/>
          <w:color w:val="000000"/>
          <w:lang w:val="es-ES_tradnl"/>
        </w:rPr>
        <w:t xml:space="preserve">. En efecto,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6185DAFB" w14:textId="77777777" w:rsidR="001D65B3" w:rsidRPr="006A11D8" w:rsidRDefault="001D65B3" w:rsidP="001D65B3">
      <w:pPr>
        <w:spacing w:after="0" w:line="276" w:lineRule="auto"/>
        <w:ind w:firstLine="709"/>
        <w:jc w:val="both"/>
        <w:rPr>
          <w:rFonts w:ascii="Verdana" w:eastAsia="Calibri" w:hAnsi="Verdana" w:cs="Arial"/>
          <w:color w:val="000000"/>
          <w:lang w:val="es-ES_tradnl"/>
        </w:rPr>
      </w:pPr>
      <w:r w:rsidRPr="006A11D8">
        <w:rPr>
          <w:rFonts w:ascii="Verdana" w:eastAsia="Calibri" w:hAnsi="Verdana" w:cs="Arial"/>
          <w:color w:val="000000"/>
          <w:lang w:val="es-ES_tradnl"/>
        </w:rPr>
        <w:lastRenderedPageBreak/>
        <w:t xml:space="preserve">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w:t>
      </w:r>
      <w:r w:rsidRPr="006A11D8">
        <w:rPr>
          <w:rFonts w:ascii="Verdana" w:eastAsia="Calibri" w:hAnsi="Verdana" w:cs="Arial"/>
          <w:i/>
          <w:iCs/>
          <w:color w:val="000000"/>
          <w:lang w:val="es-ES_tradnl"/>
        </w:rPr>
        <w:t>prima facie</w:t>
      </w:r>
      <w:r w:rsidRPr="006A11D8">
        <w:rPr>
          <w:rFonts w:ascii="Verdana" w:eastAsia="Calibri" w:hAnsi="Verdana" w:cs="Arial"/>
          <w:color w:val="000000"/>
          <w:lang w:val="es-ES_tradnl"/>
        </w:rPr>
        <w:t xml:space="preserve"> a criterios interpretativos tales como la analogía, la interpretación extensiva para ampliar el alcance de las causales legalmente fijadas”</w:t>
      </w:r>
      <w:r w:rsidRPr="006A11D8">
        <w:rPr>
          <w:rFonts w:ascii="Verdana" w:eastAsia="Calibri" w:hAnsi="Verdana" w:cs="Arial"/>
          <w:color w:val="000000"/>
          <w:vertAlign w:val="superscript"/>
          <w:lang w:val="es-ES_tradnl"/>
        </w:rPr>
        <w:footnoteReference w:id="9"/>
      </w:r>
      <w:r w:rsidRPr="006A11D8">
        <w:rPr>
          <w:rFonts w:ascii="Verdana" w:eastAsia="Calibri" w:hAnsi="Verdana" w:cs="Arial"/>
          <w:color w:val="000000"/>
          <w:lang w:val="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6A11D8">
        <w:rPr>
          <w:rFonts w:ascii="Verdana" w:eastAsia="Calibri" w:hAnsi="Verdana" w:cs="Arial"/>
          <w:color w:val="000000"/>
          <w:vertAlign w:val="superscript"/>
          <w:lang w:val="es-ES_tradnl"/>
        </w:rPr>
        <w:footnoteReference w:id="10"/>
      </w:r>
      <w:r w:rsidRPr="006A11D8">
        <w:rPr>
          <w:rFonts w:ascii="Verdana" w:eastAsia="Calibri" w:hAnsi="Verdana" w:cs="Arial"/>
          <w:color w:val="000000"/>
          <w:lang w:val="es-ES_tradnl"/>
        </w:rPr>
        <w:t>. En tal sentido, la Sección Tercera ha señalado que:</w:t>
      </w:r>
    </w:p>
    <w:p w14:paraId="672EC0EC" w14:textId="77777777" w:rsidR="001D65B3" w:rsidRPr="006A11D8" w:rsidRDefault="001D65B3" w:rsidP="001D65B3">
      <w:pPr>
        <w:spacing w:after="0" w:line="240" w:lineRule="auto"/>
        <w:ind w:firstLine="709"/>
        <w:rPr>
          <w:rFonts w:ascii="Verdana" w:eastAsia="Calibri" w:hAnsi="Verdana" w:cs="Arial"/>
          <w:color w:val="000000"/>
          <w:lang w:val="es-ES_tradnl"/>
        </w:rPr>
      </w:pPr>
    </w:p>
    <w:p w14:paraId="07AC139A" w14:textId="77777777" w:rsidR="001D65B3" w:rsidRPr="006A11D8" w:rsidRDefault="001D65B3" w:rsidP="001D65B3">
      <w:pPr>
        <w:spacing w:after="0" w:line="240" w:lineRule="auto"/>
        <w:ind w:left="709" w:right="616"/>
        <w:jc w:val="both"/>
        <w:rPr>
          <w:rFonts w:ascii="Verdana" w:eastAsia="Calibri" w:hAnsi="Verdana" w:cs="Arial"/>
          <w:color w:val="000000"/>
          <w:sz w:val="20"/>
          <w:szCs w:val="20"/>
          <w:lang w:val="es-ES_tradnl"/>
        </w:rPr>
      </w:pPr>
      <w:r w:rsidRPr="006A11D8">
        <w:rPr>
          <w:rFonts w:ascii="Verdana" w:eastAsia="Calibri" w:hAnsi="Verdana" w:cs="Arial"/>
          <w:color w:val="000000"/>
          <w:sz w:val="20"/>
          <w:szCs w:val="20"/>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6A11D8">
        <w:rPr>
          <w:rFonts w:ascii="Verdana" w:eastAsia="Calibri" w:hAnsi="Verdana" w:cs="Arial"/>
          <w:color w:val="000000"/>
          <w:sz w:val="20"/>
          <w:szCs w:val="20"/>
          <w:vertAlign w:val="superscript"/>
          <w:lang w:val="es-ES_tradnl"/>
        </w:rPr>
        <w:footnoteReference w:id="11"/>
      </w:r>
      <w:r w:rsidRPr="006A11D8">
        <w:rPr>
          <w:rFonts w:ascii="Verdana" w:eastAsia="Calibri" w:hAnsi="Verdana" w:cs="Arial"/>
          <w:color w:val="000000"/>
          <w:sz w:val="20"/>
          <w:szCs w:val="20"/>
          <w:lang w:val="es-ES_tradnl"/>
        </w:rPr>
        <w:t>.</w:t>
      </w:r>
    </w:p>
    <w:p w14:paraId="6F78A3B4" w14:textId="77777777" w:rsidR="001D65B3" w:rsidRPr="006A11D8" w:rsidRDefault="001D65B3" w:rsidP="001D65B3">
      <w:pPr>
        <w:spacing w:after="0" w:line="240" w:lineRule="auto"/>
        <w:ind w:left="709" w:right="616"/>
        <w:jc w:val="both"/>
        <w:rPr>
          <w:rFonts w:ascii="Verdana" w:eastAsia="Calibri" w:hAnsi="Verdana" w:cs="Arial"/>
          <w:bCs/>
          <w:color w:val="000000"/>
          <w:sz w:val="20"/>
          <w:szCs w:val="20"/>
          <w:lang w:val="es-ES_tradnl"/>
        </w:rPr>
      </w:pPr>
    </w:p>
    <w:p w14:paraId="022D2967" w14:textId="77777777" w:rsidR="001D65B3" w:rsidRPr="006A11D8" w:rsidRDefault="001D65B3" w:rsidP="001D65B3">
      <w:pPr>
        <w:spacing w:after="0" w:line="240" w:lineRule="auto"/>
        <w:ind w:right="616" w:firstLine="709"/>
        <w:jc w:val="both"/>
        <w:rPr>
          <w:rFonts w:ascii="Verdana" w:eastAsia="Calibri" w:hAnsi="Verdana" w:cs="Arial"/>
          <w:color w:val="000000"/>
          <w:sz w:val="20"/>
          <w:szCs w:val="20"/>
          <w:lang w:val="es-ES_tradnl"/>
        </w:rPr>
      </w:pPr>
      <w:r w:rsidRPr="006A11D8">
        <w:rPr>
          <w:rFonts w:ascii="Verdana" w:eastAsia="Calibri" w:hAnsi="Verdana" w:cs="Arial"/>
          <w:color w:val="000000"/>
          <w:sz w:val="20"/>
          <w:szCs w:val="20"/>
          <w:lang w:val="es-ES_tradnl"/>
        </w:rPr>
        <w:t>También ha dicho que:</w:t>
      </w:r>
    </w:p>
    <w:p w14:paraId="199A1562" w14:textId="77777777" w:rsidR="001D65B3" w:rsidRPr="006A11D8" w:rsidRDefault="001D65B3" w:rsidP="001D65B3">
      <w:pPr>
        <w:spacing w:after="0" w:line="240" w:lineRule="auto"/>
        <w:ind w:right="616" w:firstLine="709"/>
        <w:jc w:val="both"/>
        <w:rPr>
          <w:rFonts w:ascii="Verdana" w:eastAsia="Calibri" w:hAnsi="Verdana" w:cs="Arial"/>
          <w:color w:val="000000"/>
          <w:sz w:val="20"/>
          <w:szCs w:val="20"/>
          <w:lang w:val="es-ES_tradnl"/>
        </w:rPr>
      </w:pPr>
    </w:p>
    <w:p w14:paraId="47331696" w14:textId="77777777" w:rsidR="001D65B3" w:rsidRPr="006A11D8" w:rsidRDefault="001D65B3" w:rsidP="001D65B3">
      <w:pPr>
        <w:spacing w:after="0" w:line="240" w:lineRule="auto"/>
        <w:ind w:left="708" w:right="616"/>
        <w:jc w:val="both"/>
        <w:rPr>
          <w:rFonts w:ascii="Verdana" w:eastAsia="Calibri" w:hAnsi="Verdana" w:cs="Arial"/>
          <w:color w:val="000000"/>
          <w:lang w:val="es-ES"/>
        </w:rPr>
      </w:pPr>
      <w:r w:rsidRPr="006A11D8">
        <w:rPr>
          <w:rFonts w:ascii="Verdana" w:eastAsia="Calibri" w:hAnsi="Verdana" w:cs="Arial"/>
          <w:color w:val="000000"/>
          <w:sz w:val="20"/>
          <w:szCs w:val="20"/>
          <w:lang w:val="es-ES"/>
        </w:rPr>
        <w:t xml:space="preserve">“[…] la aplicación de estos preceptos exige una interpretación restrictiva, dado que según el principio hermenéutico </w:t>
      </w:r>
      <w:r w:rsidRPr="006A11D8">
        <w:rPr>
          <w:rFonts w:ascii="Verdana" w:eastAsia="Calibri" w:hAnsi="Verdana" w:cs="Arial"/>
          <w:i/>
          <w:iCs/>
          <w:color w:val="000000"/>
          <w:sz w:val="20"/>
          <w:szCs w:val="20"/>
          <w:lang w:val="es-ES"/>
        </w:rPr>
        <w:t xml:space="preserve">pro </w:t>
      </w:r>
      <w:proofErr w:type="spellStart"/>
      <w:r w:rsidRPr="006A11D8">
        <w:rPr>
          <w:rFonts w:ascii="Verdana" w:eastAsia="Calibri" w:hAnsi="Verdana" w:cs="Arial"/>
          <w:i/>
          <w:iCs/>
          <w:color w:val="000000"/>
          <w:sz w:val="20"/>
          <w:szCs w:val="20"/>
          <w:lang w:val="es-ES"/>
        </w:rPr>
        <w:t>libertate</w:t>
      </w:r>
      <w:proofErr w:type="spellEnd"/>
      <w:r w:rsidRPr="006A11D8">
        <w:rPr>
          <w:rFonts w:ascii="Verdana" w:eastAsia="Calibri" w:hAnsi="Verdana" w:cs="Arial"/>
          <w:color w:val="000000"/>
          <w:sz w:val="20"/>
          <w:szCs w:val="20"/>
          <w:lang w:val="es-ES"/>
        </w:rPr>
        <w:t xml:space="preserv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w:t>
      </w:r>
      <w:r w:rsidRPr="006A11D8">
        <w:rPr>
          <w:rFonts w:ascii="Verdana" w:eastAsia="Calibri" w:hAnsi="Verdana" w:cs="Arial"/>
          <w:color w:val="000000"/>
          <w:sz w:val="20"/>
          <w:szCs w:val="20"/>
          <w:lang w:val="es-ES"/>
        </w:rPr>
        <w:lastRenderedPageBreak/>
        <w:t>de las mismas, pues de hacerlo se vulnerarían los derechos fundamentales al debido proceso (art. 29 CN) y a la igualdad (art. 13 Ibid.) […]”</w:t>
      </w:r>
      <w:r w:rsidRPr="006A11D8">
        <w:rPr>
          <w:rFonts w:ascii="Verdana" w:eastAsia="Calibri" w:hAnsi="Verdana" w:cs="Arial"/>
          <w:color w:val="000000"/>
          <w:sz w:val="20"/>
          <w:szCs w:val="20"/>
          <w:vertAlign w:val="superscript"/>
          <w:lang w:val="es-ES"/>
        </w:rPr>
        <w:footnoteReference w:id="12"/>
      </w:r>
      <w:r w:rsidRPr="006A11D8">
        <w:rPr>
          <w:rFonts w:ascii="Verdana" w:eastAsia="Calibri" w:hAnsi="Verdana" w:cs="Arial"/>
          <w:color w:val="000000"/>
          <w:sz w:val="20"/>
          <w:szCs w:val="20"/>
          <w:lang w:val="es-ES"/>
        </w:rPr>
        <w:t>.</w:t>
      </w:r>
    </w:p>
    <w:p w14:paraId="0DF65C00" w14:textId="77777777" w:rsidR="001D65B3" w:rsidRPr="006A11D8" w:rsidRDefault="001D65B3" w:rsidP="001D65B3">
      <w:pPr>
        <w:spacing w:after="0" w:line="276" w:lineRule="auto"/>
        <w:ind w:firstLine="709"/>
        <w:jc w:val="both"/>
        <w:rPr>
          <w:rFonts w:ascii="Verdana" w:eastAsia="Calibri" w:hAnsi="Verdana" w:cs="Arial"/>
          <w:color w:val="000000"/>
          <w:lang w:val="es-ES"/>
        </w:rPr>
      </w:pPr>
    </w:p>
    <w:p w14:paraId="3F3427DE" w14:textId="77777777" w:rsidR="001D65B3" w:rsidRDefault="001D65B3" w:rsidP="001D65B3">
      <w:pPr>
        <w:spacing w:after="0" w:line="276" w:lineRule="auto"/>
        <w:ind w:firstLine="709"/>
        <w:jc w:val="both"/>
        <w:rPr>
          <w:rFonts w:ascii="Verdana" w:eastAsia="Calibri" w:hAnsi="Verdana" w:cs="Arial"/>
          <w:color w:val="000000"/>
          <w:lang w:val="es-ES"/>
        </w:rPr>
      </w:pPr>
      <w:r w:rsidRPr="006A11D8">
        <w:rPr>
          <w:rFonts w:ascii="Verdana" w:eastAsia="Calibri" w:hAnsi="Verdana" w:cs="Arial"/>
          <w:color w:val="000000"/>
          <w:lang w:val="es-ES"/>
        </w:rPr>
        <w:t xml:space="preserve">Como se aprecia, el principio </w:t>
      </w:r>
      <w:r w:rsidRPr="006A11D8">
        <w:rPr>
          <w:rFonts w:ascii="Verdana" w:eastAsia="Calibri" w:hAnsi="Verdana" w:cs="Arial"/>
          <w:i/>
          <w:color w:val="000000"/>
          <w:lang w:val="es-ES"/>
        </w:rPr>
        <w:t xml:space="preserve">pro </w:t>
      </w:r>
      <w:proofErr w:type="spellStart"/>
      <w:r w:rsidRPr="006A11D8">
        <w:rPr>
          <w:rFonts w:ascii="Verdana" w:eastAsia="Calibri" w:hAnsi="Verdana" w:cs="Arial"/>
          <w:i/>
          <w:color w:val="000000"/>
          <w:lang w:val="es-ES"/>
        </w:rPr>
        <w:t>libertate</w:t>
      </w:r>
      <w:proofErr w:type="spellEnd"/>
      <w:r w:rsidRPr="006A11D8">
        <w:rPr>
          <w:rFonts w:ascii="Verdana" w:eastAsia="Calibri" w:hAnsi="Verdana" w:cs="Arial"/>
          <w:color w:val="000000"/>
          <w:lang w:val="es-ES"/>
        </w:rPr>
        <w:t xml:space="preserve"> es el que debe dirigir la interpretación de las disposiciones normativas que consagran restricciones de derechos, como sucede con las causales de inhabilidad e incompatibilidad en la contratación estatal. El carácter reconocidamente taxativo y restrictivo de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w:t>
      </w:r>
    </w:p>
    <w:p w14:paraId="4EEA4E82" w14:textId="77777777" w:rsidR="001D65B3" w:rsidRDefault="001D65B3" w:rsidP="001D65B3">
      <w:pPr>
        <w:spacing w:after="0" w:line="276" w:lineRule="auto"/>
        <w:ind w:firstLine="709"/>
        <w:jc w:val="both"/>
        <w:rPr>
          <w:rFonts w:ascii="Verdana" w:eastAsia="Calibri" w:hAnsi="Verdana" w:cs="Arial"/>
          <w:color w:val="000000"/>
          <w:lang w:val="es-ES"/>
        </w:rPr>
      </w:pPr>
    </w:p>
    <w:p w14:paraId="0DD2A96C" w14:textId="77777777" w:rsidR="001D65B3" w:rsidRPr="009A73F4" w:rsidRDefault="001D65B3" w:rsidP="001D65B3">
      <w:pPr>
        <w:spacing w:after="120" w:line="276" w:lineRule="auto"/>
        <w:ind w:firstLine="709"/>
        <w:jc w:val="both"/>
        <w:rPr>
          <w:rFonts w:ascii="Verdana" w:eastAsia="Calibri" w:hAnsi="Verdana" w:cs="Arial"/>
          <w:bCs/>
          <w:lang w:eastAsia="es-ES_tradnl"/>
        </w:rPr>
      </w:pPr>
      <w:r w:rsidRPr="00B46533">
        <w:rPr>
          <w:rFonts w:ascii="Verdana" w:eastAsia="Calibri" w:hAnsi="Verdana" w:cs="Arial"/>
          <w:bCs/>
          <w:lang w:eastAsia="es-ES_tradnl"/>
        </w:rPr>
        <w:t xml:space="preserve">En relación con las micro, pequeñas y medianas empresas </w:t>
      </w:r>
      <w:r>
        <w:rPr>
          <w:rFonts w:ascii="Verdana" w:eastAsia="Calibri" w:hAnsi="Verdana" w:cs="Arial"/>
          <w:bCs/>
          <w:lang w:eastAsia="es-ES_tradnl"/>
        </w:rPr>
        <w:t>-</w:t>
      </w:r>
      <w:proofErr w:type="spellStart"/>
      <w:r w:rsidRPr="00B46533">
        <w:rPr>
          <w:rFonts w:ascii="Verdana" w:eastAsia="Calibri" w:hAnsi="Verdana" w:cs="Arial"/>
          <w:bCs/>
          <w:lang w:eastAsia="es-ES_tradnl"/>
        </w:rPr>
        <w:t>Mipymes</w:t>
      </w:r>
      <w:proofErr w:type="spellEnd"/>
      <w:r>
        <w:rPr>
          <w:rFonts w:ascii="Verdana" w:eastAsia="Calibri" w:hAnsi="Verdana" w:cs="Arial"/>
          <w:bCs/>
          <w:lang w:eastAsia="es-ES_tradnl"/>
        </w:rPr>
        <w:t xml:space="preserve">- es de precisar que </w:t>
      </w:r>
      <w:r w:rsidRPr="009A73F4">
        <w:rPr>
          <w:rFonts w:ascii="Verdana" w:eastAsia="Calibri" w:hAnsi="Verdana" w:cs="Arial"/>
          <w:bCs/>
          <w:lang w:val="es-ES_tradnl" w:eastAsia="es-ES_tradnl"/>
        </w:rPr>
        <w:t xml:space="preserve">de conformidad con </w:t>
      </w:r>
      <w:r w:rsidRPr="009A73F4">
        <w:rPr>
          <w:rFonts w:ascii="Verdana" w:eastAsia="Calibri" w:hAnsi="Verdana" w:cs="Arial"/>
          <w:bCs/>
          <w:lang w:eastAsia="es-ES_tradnl"/>
        </w:rPr>
        <w:t xml:space="preserve">el artículo 2 de La Ley 905 de 2004, modificado por el artículo 43 de la Ley 1450 de 2011, se entiende por empresa </w:t>
      </w:r>
      <w:r>
        <w:rPr>
          <w:rFonts w:ascii="Verdana" w:eastAsia="Calibri" w:hAnsi="Verdana" w:cs="Arial"/>
          <w:bCs/>
          <w:lang w:eastAsia="es-ES_tradnl"/>
        </w:rPr>
        <w:t>“</w:t>
      </w:r>
      <w:r w:rsidRPr="009A73F4">
        <w:rPr>
          <w:rFonts w:ascii="Verdana" w:eastAsia="Calibri" w:hAnsi="Verdana" w:cs="Arial"/>
          <w:bCs/>
          <w:lang w:eastAsia="es-ES_tradnl"/>
        </w:rPr>
        <w:t>toda unidad de explotación económica, realizada por persona natural o jurídica en actividades agropecuarias, industriales, comerciales o de servicios, en el área rural o urbana</w:t>
      </w:r>
      <w:r>
        <w:rPr>
          <w:rFonts w:ascii="Verdana" w:eastAsia="Calibri" w:hAnsi="Verdana" w:cs="Arial"/>
          <w:bCs/>
          <w:lang w:eastAsia="es-ES_tradnl"/>
        </w:rPr>
        <w:t>”</w:t>
      </w:r>
      <w:r w:rsidRPr="009A73F4">
        <w:rPr>
          <w:rFonts w:ascii="Verdana" w:eastAsia="Calibri" w:hAnsi="Verdana" w:cs="Arial"/>
          <w:bCs/>
          <w:lang w:eastAsia="es-ES_tradnl"/>
        </w:rPr>
        <w:t xml:space="preserve">. Para la clasificación por tamaño empresarial, como micro, pequeña, mediana y gran empresa, la norma dispone que se podrá utilizar uno de los siguientes criterios: </w:t>
      </w:r>
      <w:r>
        <w:rPr>
          <w:rFonts w:ascii="Verdana" w:eastAsia="Calibri" w:hAnsi="Verdana" w:cs="Arial"/>
          <w:bCs/>
          <w:lang w:eastAsia="es-ES_tradnl"/>
        </w:rPr>
        <w:t>“</w:t>
      </w:r>
      <w:r w:rsidRPr="009A73F4">
        <w:rPr>
          <w:rFonts w:ascii="Verdana" w:eastAsia="Calibri" w:hAnsi="Verdana" w:cs="Arial"/>
          <w:bCs/>
          <w:lang w:eastAsia="es-ES_tradnl"/>
        </w:rPr>
        <w:t>1. Número de trabajadores totales. 2. Valor de ventas brutas anuales. 3. Valor activos totales</w:t>
      </w:r>
      <w:r>
        <w:rPr>
          <w:rFonts w:ascii="Verdana" w:eastAsia="Calibri" w:hAnsi="Verdana" w:cs="Arial"/>
          <w:bCs/>
          <w:lang w:eastAsia="es-ES_tradnl"/>
        </w:rPr>
        <w:t>”</w:t>
      </w:r>
      <w:r w:rsidRPr="009A73F4">
        <w:rPr>
          <w:rFonts w:ascii="Verdana" w:eastAsia="Calibri" w:hAnsi="Verdana" w:cs="Arial"/>
          <w:bCs/>
          <w:lang w:eastAsia="es-ES_tradnl"/>
        </w:rPr>
        <w:t>. Asimismo, estableció que el gobierno nacional reglamentará los rangos que aplicará para los tres criterios e incluirá especificidades sectoriales en los casos que lo considere necesario</w:t>
      </w:r>
      <w:r w:rsidRPr="009A73F4">
        <w:rPr>
          <w:rFonts w:ascii="Verdana" w:eastAsia="Calibri" w:hAnsi="Verdana" w:cs="Arial"/>
          <w:bCs/>
          <w:vertAlign w:val="superscript"/>
          <w:lang w:eastAsia="es-ES_tradnl"/>
        </w:rPr>
        <w:footnoteReference w:id="13"/>
      </w:r>
      <w:r w:rsidRPr="009A73F4">
        <w:rPr>
          <w:rFonts w:ascii="Verdana" w:eastAsia="Calibri" w:hAnsi="Verdana" w:cs="Arial"/>
          <w:bCs/>
          <w:lang w:eastAsia="es-ES_tradnl"/>
        </w:rPr>
        <w:t>.</w:t>
      </w:r>
    </w:p>
    <w:p w14:paraId="65BA3FB1" w14:textId="77777777" w:rsidR="001D65B3" w:rsidRDefault="001D65B3" w:rsidP="001D65B3">
      <w:pPr>
        <w:spacing w:after="120" w:line="276" w:lineRule="auto"/>
        <w:ind w:firstLine="709"/>
        <w:jc w:val="both"/>
        <w:rPr>
          <w:rFonts w:ascii="Verdana" w:eastAsia="Arial" w:hAnsi="Verdana" w:cs="Arial"/>
          <w:lang w:eastAsia="es-ES_tradnl"/>
        </w:rPr>
      </w:pPr>
      <w:r w:rsidRPr="009A73F4">
        <w:rPr>
          <w:rFonts w:ascii="Verdana" w:eastAsia="Calibri" w:hAnsi="Verdana" w:cs="Arial"/>
          <w:bCs/>
          <w:lang w:eastAsia="es-ES_tradnl"/>
        </w:rPr>
        <w:lastRenderedPageBreak/>
        <w:t xml:space="preserve">Para tales efectos, el </w:t>
      </w:r>
      <w:r w:rsidRPr="009A73F4">
        <w:rPr>
          <w:rFonts w:ascii="Verdana" w:eastAsia="Arial" w:hAnsi="Verdana" w:cs="Arial"/>
          <w:lang w:eastAsia="es-ES_tradnl"/>
        </w:rPr>
        <w:t>Decreto 957 de 2019, que adicionó al Decreto 1074 de 2015, reglamentó la clasificación de las micro, pequeñas, medianas y grandes empresas, teniendo en cuenta para ello como criterio exclusivo el de ventas brutas, asimilado al de ingresos por actividades ordinarias anuales</w:t>
      </w:r>
      <w:r w:rsidRPr="009A73F4">
        <w:rPr>
          <w:rFonts w:ascii="Verdana" w:eastAsia="Arial" w:hAnsi="Verdana" w:cs="Arial"/>
          <w:vertAlign w:val="superscript"/>
          <w:lang w:eastAsia="es-ES_tradnl"/>
        </w:rPr>
        <w:footnoteReference w:id="14"/>
      </w:r>
      <w:r w:rsidRPr="009A73F4">
        <w:rPr>
          <w:rFonts w:ascii="Verdana" w:eastAsia="Arial" w:hAnsi="Verdana" w:cs="Arial"/>
          <w:lang w:eastAsia="es-ES_tradnl"/>
        </w:rPr>
        <w:t>. En tal sentido, el artículo 2.2.1.13.2.2 de este decreto definió rangos para determinar el valor de los ingresos por actividades ordinarias anuales de acuerdo con el sector económico que se trate</w:t>
      </w:r>
      <w:r w:rsidRPr="009A73F4">
        <w:rPr>
          <w:rFonts w:ascii="Verdana" w:eastAsia="Arial" w:hAnsi="Verdana" w:cs="Arial"/>
          <w:vertAlign w:val="superscript"/>
          <w:lang w:eastAsia="es-ES_tradnl"/>
        </w:rPr>
        <w:footnoteReference w:id="15"/>
      </w:r>
      <w:r w:rsidRPr="009A73F4">
        <w:rPr>
          <w:rFonts w:ascii="Verdana" w:eastAsia="Arial" w:hAnsi="Verdana" w:cs="Arial"/>
          <w:lang w:eastAsia="es-ES_tradnl"/>
        </w:rPr>
        <w:t xml:space="preserve">. </w:t>
      </w:r>
    </w:p>
    <w:p w14:paraId="352A50A1" w14:textId="77777777" w:rsidR="001D65B3" w:rsidRPr="009A73F4" w:rsidRDefault="001D65B3" w:rsidP="001D65B3">
      <w:pPr>
        <w:spacing w:after="120" w:line="276" w:lineRule="auto"/>
        <w:ind w:firstLine="709"/>
        <w:jc w:val="both"/>
        <w:rPr>
          <w:rFonts w:ascii="Verdana" w:eastAsia="Calibri" w:hAnsi="Verdana" w:cs="Arial"/>
          <w:bCs/>
          <w:lang w:eastAsia="es-ES_tradnl"/>
        </w:rPr>
      </w:pPr>
      <w:r w:rsidRPr="009A73F4">
        <w:rPr>
          <w:rFonts w:ascii="Verdana" w:eastAsia="Arial" w:hAnsi="Verdana" w:cs="Arial"/>
          <w:lang w:eastAsia="es-ES_tradnl"/>
        </w:rPr>
        <w:t xml:space="preserve">Para la aplicación de los incentivos en el sistema de compras públicas, el parágrafo del artículo </w:t>
      </w:r>
      <w:bookmarkStart w:id="6" w:name="2.2.1.13.2.4"/>
      <w:r w:rsidRPr="009A73F4">
        <w:rPr>
          <w:rFonts w:ascii="Verdana" w:eastAsia="Arial" w:hAnsi="Verdana" w:cs="Arial"/>
          <w:lang w:eastAsia="es-ES_tradnl"/>
        </w:rPr>
        <w:t>2.2.1.13.2.4.</w:t>
      </w:r>
      <w:bookmarkEnd w:id="6"/>
      <w:r w:rsidRPr="009A73F4">
        <w:rPr>
          <w:rFonts w:ascii="Verdana" w:eastAsia="Arial" w:hAnsi="Verdana" w:cs="Arial"/>
          <w:lang w:eastAsia="es-ES_tradnl"/>
        </w:rPr>
        <w:t xml:space="preserve"> </w:t>
      </w:r>
      <w:r w:rsidRPr="009A73F4">
        <w:rPr>
          <w:rFonts w:ascii="Verdana" w:eastAsia="Arial" w:hAnsi="Verdana" w:cs="Arial"/>
          <w:i/>
          <w:iCs/>
          <w:lang w:eastAsia="es-ES_tradnl"/>
        </w:rPr>
        <w:t xml:space="preserve">ibidem </w:t>
      </w:r>
      <w:r w:rsidRPr="009A73F4">
        <w:rPr>
          <w:rFonts w:ascii="Verdana" w:eastAsia="Arial" w:hAnsi="Verdana" w:cs="Arial"/>
          <w:lang w:eastAsia="es-ES_tradnl"/>
        </w:rPr>
        <w:t>dispuso que la acreditación del tamaño empresarial se efectuará de acuerdo con lo previsto en el artículo </w:t>
      </w:r>
      <w:hyperlink r:id="rId12" w:anchor="2.2.1.2.4.2.4" w:history="1">
        <w:r w:rsidRPr="009A73F4">
          <w:rPr>
            <w:rFonts w:ascii="Verdana" w:eastAsia="Arial" w:hAnsi="Verdana" w:cs="Arial"/>
            <w:lang w:eastAsia="es-ES_tradnl"/>
          </w:rPr>
          <w:t>2.2.1.2.4.2.4</w:t>
        </w:r>
      </w:hyperlink>
      <w:r w:rsidRPr="009A73F4">
        <w:rPr>
          <w:rFonts w:ascii="Verdana" w:eastAsia="Arial" w:hAnsi="Verdana" w:cs="Arial"/>
          <w:lang w:eastAsia="es-ES_tradnl"/>
        </w:rPr>
        <w:t> del Decreto 1082 de 2015 y demás normas que lo aclaren, modifiquen o adicionen.</w:t>
      </w:r>
    </w:p>
    <w:p w14:paraId="3363F679" w14:textId="77777777" w:rsidR="001D65B3" w:rsidRPr="009A73F4" w:rsidRDefault="001D65B3" w:rsidP="001D65B3">
      <w:pPr>
        <w:spacing w:after="120" w:line="276" w:lineRule="auto"/>
        <w:ind w:firstLine="709"/>
        <w:jc w:val="both"/>
        <w:rPr>
          <w:rFonts w:ascii="Verdana" w:eastAsia="Calibri" w:hAnsi="Verdana" w:cs="Arial"/>
          <w:bCs/>
          <w:lang w:eastAsia="es-ES_tradnl"/>
        </w:rPr>
      </w:pPr>
      <w:r w:rsidRPr="009A73F4">
        <w:rPr>
          <w:rFonts w:ascii="Verdana" w:eastAsia="Calibri" w:hAnsi="Verdana" w:cs="Arial"/>
          <w:bCs/>
          <w:lang w:eastAsia="es-ES_tradnl"/>
        </w:rPr>
        <w:t xml:space="preserve">De esta manera, las empresas, sea persona natural o persona jurídica, deberán acreditar el tamaño empresarial como micro, pequeña y mediana </w:t>
      </w:r>
      <w:r w:rsidRPr="009A73F4">
        <w:rPr>
          <w:rFonts w:ascii="Verdana" w:eastAsia="Calibri" w:hAnsi="Verdana" w:cs="Arial"/>
          <w:bCs/>
          <w:lang w:eastAsia="es-ES_tradnl"/>
        </w:rPr>
        <w:lastRenderedPageBreak/>
        <w:t xml:space="preserve">empresa, de acuerdo con el valor de los ingresos por actividades ordinarias, teniendo en cuenta el sector económico que se trate y de acuerdo con los rangos definidos en el Decreto 1074 de 2015. </w:t>
      </w:r>
    </w:p>
    <w:p w14:paraId="1CF34C76" w14:textId="77777777" w:rsidR="001D65B3" w:rsidRPr="009A73F4" w:rsidRDefault="001D65B3" w:rsidP="001D65B3">
      <w:pPr>
        <w:spacing w:after="120" w:line="276" w:lineRule="auto"/>
        <w:ind w:firstLine="709"/>
        <w:jc w:val="both"/>
        <w:rPr>
          <w:rFonts w:ascii="Verdana" w:eastAsia="Calibri" w:hAnsi="Verdana" w:cs="Arial"/>
          <w:bCs/>
          <w:lang w:val="es-ES_tradnl" w:eastAsia="es-ES_tradnl"/>
        </w:rPr>
      </w:pPr>
      <w:r w:rsidRPr="009A73F4">
        <w:rPr>
          <w:rFonts w:ascii="Verdana" w:eastAsia="Calibri" w:hAnsi="Verdana" w:cs="Arial"/>
          <w:bCs/>
          <w:lang w:eastAsia="es-ES_tradnl"/>
        </w:rPr>
        <w:t xml:space="preserve">Ahora bien, como se indicó en líneas anteriores, </w:t>
      </w:r>
      <w:bookmarkStart w:id="7" w:name="_Hlk106012873"/>
      <w:r w:rsidRPr="009A73F4">
        <w:rPr>
          <w:rFonts w:ascii="Verdana" w:eastAsia="Calibri" w:hAnsi="Verdana" w:cs="Arial"/>
          <w:bCs/>
          <w:lang w:eastAsia="es-ES_tradnl"/>
        </w:rPr>
        <w:t xml:space="preserve">para efectos de las convocatorias limitadas a </w:t>
      </w:r>
      <w:proofErr w:type="spellStart"/>
      <w:r w:rsidRPr="009A73F4">
        <w:rPr>
          <w:rFonts w:ascii="Verdana" w:eastAsia="Calibri" w:hAnsi="Verdana" w:cs="Arial"/>
          <w:bCs/>
          <w:lang w:eastAsia="es-ES_tradnl"/>
        </w:rPr>
        <w:t>Mipyme</w:t>
      </w:r>
      <w:proofErr w:type="spellEnd"/>
      <w:r w:rsidRPr="009A73F4">
        <w:rPr>
          <w:rFonts w:ascii="Verdana" w:eastAsia="Calibri" w:hAnsi="Verdana" w:cs="Arial"/>
          <w:bCs/>
          <w:lang w:eastAsia="es-ES_tradnl"/>
        </w:rPr>
        <w:t xml:space="preserve"> colombianas del sistema de compras públicas, el </w:t>
      </w:r>
      <w:r w:rsidRPr="009A73F4">
        <w:rPr>
          <w:rFonts w:ascii="Verdana" w:eastAsia="Calibri" w:hAnsi="Verdana" w:cs="Arial"/>
          <w:bCs/>
          <w:lang w:val="es-ES_tradnl" w:eastAsia="es-ES_tradnl"/>
        </w:rPr>
        <w:t xml:space="preserve">artículo 2.2.1.2.4.2.4 del Decreto 1082 de 2015 –modificado por el Decreto 1860 de 2021– determina la forma en la que se debe acreditar el tamaño empresarial, tratándose de persona natural y persona jurídica. Es importante precisar que esta acreditación se debe realizar tanto para solicitar la limitación de la convocatoria como para participar en el proceso de selección una vez esta se haya limitado a </w:t>
      </w:r>
      <w:proofErr w:type="spellStart"/>
      <w:r w:rsidRPr="009A73F4">
        <w:rPr>
          <w:rFonts w:ascii="Verdana" w:eastAsia="Calibri" w:hAnsi="Verdana" w:cs="Arial"/>
          <w:bCs/>
          <w:lang w:val="es-ES_tradnl" w:eastAsia="es-ES_tradnl"/>
        </w:rPr>
        <w:t>Mipyme</w:t>
      </w:r>
      <w:proofErr w:type="spellEnd"/>
      <w:r w:rsidRPr="009A73F4">
        <w:rPr>
          <w:rFonts w:ascii="Verdana" w:eastAsia="Calibri" w:hAnsi="Verdana" w:cs="Arial"/>
          <w:bCs/>
          <w:lang w:val="es-ES_tradnl" w:eastAsia="es-ES_tradnl"/>
        </w:rPr>
        <w:t xml:space="preserve">. </w:t>
      </w:r>
    </w:p>
    <w:bookmarkEnd w:id="7"/>
    <w:p w14:paraId="3CC90FCD" w14:textId="77777777" w:rsidR="001D65B3" w:rsidRPr="009A73F4" w:rsidRDefault="001D65B3" w:rsidP="001D65B3">
      <w:pPr>
        <w:spacing w:after="120" w:line="276" w:lineRule="auto"/>
        <w:ind w:firstLine="709"/>
        <w:jc w:val="both"/>
        <w:rPr>
          <w:rFonts w:ascii="Verdana" w:eastAsia="Calibri" w:hAnsi="Verdana" w:cs="Arial"/>
          <w:lang w:val="es-ES_tradnl" w:eastAsia="es-ES_tradnl"/>
        </w:rPr>
      </w:pPr>
      <w:r w:rsidRPr="009A73F4">
        <w:rPr>
          <w:rFonts w:ascii="Verdana" w:eastAsia="Calibri" w:hAnsi="Verdana" w:cs="Arial"/>
          <w:bCs/>
          <w:lang w:eastAsia="es-ES_tradnl"/>
        </w:rPr>
        <w:t>En relación con la persona jurídica, la norma requiere que l</w:t>
      </w:r>
      <w:r w:rsidRPr="009A73F4">
        <w:rPr>
          <w:rFonts w:ascii="Verdana" w:eastAsia="Calibri" w:hAnsi="Verdana" w:cs="Arial"/>
          <w:lang w:val="es-ES_tradnl" w:eastAsia="es-ES_tradnl"/>
        </w:rPr>
        <w:t xml:space="preserve">a </w:t>
      </w:r>
      <w:proofErr w:type="spellStart"/>
      <w:r w:rsidRPr="009A73F4">
        <w:rPr>
          <w:rFonts w:ascii="Verdana" w:eastAsia="Calibri" w:hAnsi="Verdana" w:cs="Arial"/>
          <w:lang w:val="es-ES_tradnl" w:eastAsia="es-ES_tradnl"/>
        </w:rPr>
        <w:t>Mipyme</w:t>
      </w:r>
      <w:proofErr w:type="spellEnd"/>
      <w:r w:rsidRPr="009A73F4">
        <w:rPr>
          <w:rFonts w:ascii="Verdana" w:eastAsia="Calibri" w:hAnsi="Verdana" w:cs="Arial"/>
          <w:lang w:val="es-ES_tradnl" w:eastAsia="es-ES_tradnl"/>
        </w:rPr>
        <w:t xml:space="preserve"> colombiana acredite el tamaño empresarial mediante certificación expedida por el representante legal y el contador o revisor fiscal, si está obligada a tenerlo, adjuntando copia del certificado de existencia y representación legal expedido por la Cámara de Comercio o por la autoridad competente para expedir dicha certificación. </w:t>
      </w:r>
    </w:p>
    <w:p w14:paraId="08700983" w14:textId="77777777" w:rsidR="001D65B3" w:rsidRPr="009A73F4" w:rsidRDefault="001D65B3" w:rsidP="001D65B3">
      <w:pPr>
        <w:spacing w:after="120" w:line="276" w:lineRule="auto"/>
        <w:ind w:firstLine="709"/>
        <w:jc w:val="both"/>
        <w:rPr>
          <w:rFonts w:ascii="Verdana" w:eastAsia="Calibri" w:hAnsi="Verdana" w:cs="Arial"/>
          <w:lang w:val="es-ES" w:eastAsia="es-ES"/>
        </w:rPr>
      </w:pPr>
      <w:r w:rsidRPr="478C026C">
        <w:rPr>
          <w:rFonts w:ascii="Verdana" w:eastAsia="Calibri" w:hAnsi="Verdana" w:cs="Arial"/>
          <w:lang w:val="es-ES" w:eastAsia="es-ES"/>
        </w:rPr>
        <w:t xml:space="preserve">Por su parte, </w:t>
      </w:r>
      <w:bookmarkStart w:id="8" w:name="_Hlk106012950"/>
      <w:r w:rsidRPr="478C026C">
        <w:rPr>
          <w:rFonts w:ascii="Verdana" w:eastAsia="Calibri" w:hAnsi="Verdana" w:cs="Arial"/>
          <w:lang w:val="es-ES" w:eastAsia="es-ES"/>
        </w:rPr>
        <w:t xml:space="preserve">tratándose de persona natural, </w:t>
      </w:r>
      <w:r>
        <w:rPr>
          <w:rFonts w:ascii="Verdana" w:eastAsia="Calibri" w:hAnsi="Verdana" w:cs="Arial"/>
          <w:lang w:val="es-ES" w:eastAsia="es-ES"/>
        </w:rPr>
        <w:t xml:space="preserve">a la que hace referencia en su consulta, </w:t>
      </w:r>
      <w:r w:rsidRPr="478C026C">
        <w:rPr>
          <w:rFonts w:ascii="Verdana" w:eastAsia="Calibri" w:hAnsi="Verdana" w:cs="Arial"/>
          <w:lang w:val="es-ES" w:eastAsia="es-ES"/>
        </w:rPr>
        <w:t xml:space="preserve">la disposición antes señalada exige que se acredite el tamaño empresarial mediante certificación expedida por ellos y un contador público, adjuntando copia del registro mercantil. En este caso, la intervención del contador es necesaria con el fin de que actúe en calidad de fedatario. </w:t>
      </w:r>
    </w:p>
    <w:p w14:paraId="4D29987E" w14:textId="77777777" w:rsidR="001D65B3" w:rsidRPr="009A73F4" w:rsidRDefault="001D65B3" w:rsidP="001D65B3">
      <w:pPr>
        <w:spacing w:after="120" w:line="276" w:lineRule="auto"/>
        <w:ind w:firstLine="709"/>
        <w:jc w:val="both"/>
        <w:rPr>
          <w:rFonts w:ascii="Verdana" w:eastAsia="Calibri" w:hAnsi="Verdana" w:cs="Arial"/>
          <w:lang w:val="es-ES" w:eastAsia="es-ES"/>
        </w:rPr>
      </w:pPr>
      <w:r w:rsidRPr="478C026C">
        <w:rPr>
          <w:rFonts w:ascii="Verdana" w:eastAsia="Calibri" w:hAnsi="Verdana" w:cs="Arial"/>
          <w:lang w:val="es-ES" w:eastAsia="es-ES"/>
        </w:rPr>
        <w:t xml:space="preserve">Respecto del requisito de registro mercantil debe señalarse que la actividad empresarial se realiza a través de establecimientos de comercio sujetos al registro mercantil, por lo que es necesario que la persona natural acredite dicho registro de acuerdo con lo dispuesto por la ley comercial. En efecto, de conformidad con el artículo 25 del Código de Comercio, </w:t>
      </w:r>
      <w:r>
        <w:rPr>
          <w:rFonts w:ascii="Verdana" w:eastAsia="Calibri" w:hAnsi="Verdana" w:cs="Arial"/>
          <w:lang w:val="es-ES" w:eastAsia="es-ES"/>
        </w:rPr>
        <w:t>“</w:t>
      </w:r>
      <w:r w:rsidRPr="478C026C">
        <w:rPr>
          <w:rFonts w:ascii="Verdana" w:eastAsia="Calibri" w:hAnsi="Verdana" w:cs="Arial"/>
          <w:lang w:val="es-ES" w:eastAsia="es-ES"/>
        </w:rPr>
        <w:t>Se entenderá por empresa toda actividad económica organizada para la producción, transformación, circulación, administración o custodia de bienes, o para la prestación de servicios. Dicha actividad se realizará a través de uno o más establecimientos de comercio</w:t>
      </w:r>
      <w:r>
        <w:rPr>
          <w:rFonts w:ascii="Verdana" w:eastAsia="Calibri" w:hAnsi="Verdana" w:cs="Arial"/>
          <w:lang w:val="es-ES" w:eastAsia="es-ES"/>
        </w:rPr>
        <w:t>”</w:t>
      </w:r>
      <w:r w:rsidRPr="478C026C">
        <w:rPr>
          <w:rFonts w:ascii="Verdana" w:eastAsia="Calibri" w:hAnsi="Verdana" w:cs="Arial"/>
          <w:lang w:val="es-ES" w:eastAsia="es-ES"/>
        </w:rPr>
        <w:t xml:space="preserve">. </w:t>
      </w:r>
      <w:bookmarkEnd w:id="8"/>
      <w:r w:rsidRPr="478C026C">
        <w:rPr>
          <w:rFonts w:ascii="Verdana" w:eastAsia="Calibri" w:hAnsi="Verdana" w:cs="Arial"/>
          <w:lang w:val="es-ES" w:eastAsia="es-ES"/>
        </w:rPr>
        <w:t xml:space="preserve">Por su parte, el artículo 26 </w:t>
      </w:r>
      <w:r w:rsidRPr="478C026C">
        <w:rPr>
          <w:rFonts w:ascii="Verdana" w:eastAsia="Calibri" w:hAnsi="Verdana" w:cs="Arial"/>
          <w:i/>
          <w:lang w:val="es-ES" w:eastAsia="es-ES"/>
        </w:rPr>
        <w:t>ibidem</w:t>
      </w:r>
      <w:r w:rsidRPr="478C026C">
        <w:rPr>
          <w:rFonts w:ascii="Verdana" w:eastAsia="Calibri" w:hAnsi="Verdana" w:cs="Arial"/>
          <w:lang w:val="es-ES" w:eastAsia="es-ES"/>
        </w:rPr>
        <w:t xml:space="preserve"> dispone que </w:t>
      </w:r>
      <w:r>
        <w:rPr>
          <w:rFonts w:ascii="Verdana" w:eastAsia="Calibri" w:hAnsi="Verdana" w:cs="Arial"/>
          <w:lang w:val="es-ES" w:eastAsia="es-ES"/>
        </w:rPr>
        <w:t>"</w:t>
      </w:r>
      <w:r w:rsidRPr="478C026C">
        <w:rPr>
          <w:rFonts w:ascii="Verdana" w:eastAsia="Calibri" w:hAnsi="Verdana" w:cs="Arial"/>
          <w:lang w:val="es-ES" w:eastAsia="es-ES"/>
        </w:rPr>
        <w:t>el registro mercantil tendrá por objeto llevar la matrícula de los comerciantes y de los establecimientos de comercio, así como la inscripción de todos los actos, libros y documentos respecto de los cuales la ley exigiere esa formalidad</w:t>
      </w:r>
      <w:r>
        <w:rPr>
          <w:rFonts w:ascii="Verdana" w:eastAsia="Calibri" w:hAnsi="Verdana" w:cs="Arial"/>
          <w:lang w:val="es-ES" w:eastAsia="es-ES"/>
        </w:rPr>
        <w:t>”</w:t>
      </w:r>
      <w:r w:rsidRPr="478C026C">
        <w:rPr>
          <w:rFonts w:ascii="Verdana" w:eastAsia="Calibri" w:hAnsi="Verdana" w:cs="Arial"/>
          <w:lang w:val="es-ES" w:eastAsia="es-ES"/>
        </w:rPr>
        <w:t xml:space="preserve">. En </w:t>
      </w:r>
      <w:r w:rsidRPr="478C026C">
        <w:rPr>
          <w:rFonts w:ascii="Verdana" w:eastAsia="Calibri" w:hAnsi="Verdana" w:cs="Arial"/>
          <w:lang w:val="es-ES" w:eastAsia="es-ES"/>
        </w:rPr>
        <w:lastRenderedPageBreak/>
        <w:t>ese sentido, para la ley comercial la actividad económica empresarial se ejerce mediante establecimientos de comercio que están sujetos al registro mercantil</w:t>
      </w:r>
      <w:r w:rsidRPr="478C026C">
        <w:rPr>
          <w:rFonts w:ascii="Verdana" w:eastAsia="Calibri" w:hAnsi="Verdana" w:cs="Arial"/>
          <w:vertAlign w:val="superscript"/>
          <w:lang w:val="es-ES" w:eastAsia="es-ES"/>
        </w:rPr>
        <w:footnoteReference w:id="16"/>
      </w:r>
      <w:r w:rsidRPr="478C026C">
        <w:rPr>
          <w:rFonts w:ascii="Verdana" w:eastAsia="Calibri" w:hAnsi="Verdana" w:cs="Arial"/>
          <w:lang w:val="es-ES" w:eastAsia="es-ES"/>
        </w:rPr>
        <w:t xml:space="preserve">. </w:t>
      </w:r>
    </w:p>
    <w:p w14:paraId="4FCBF290" w14:textId="77777777" w:rsidR="001D65B3" w:rsidRPr="009A73F4" w:rsidRDefault="001D65B3" w:rsidP="001D65B3">
      <w:pPr>
        <w:spacing w:after="120" w:line="276" w:lineRule="auto"/>
        <w:ind w:firstLine="709"/>
        <w:jc w:val="both"/>
        <w:rPr>
          <w:rFonts w:ascii="Verdana" w:eastAsia="Calibri" w:hAnsi="Verdana" w:cs="Arial"/>
          <w:bCs/>
          <w:lang w:eastAsia="es-ES_tradnl"/>
        </w:rPr>
      </w:pPr>
      <w:r w:rsidRPr="009A73F4">
        <w:rPr>
          <w:rFonts w:ascii="Verdana" w:eastAsia="Calibri" w:hAnsi="Verdana" w:cs="Arial"/>
          <w:bCs/>
          <w:lang w:val="es-ES_tradnl" w:eastAsia="es-ES_tradnl"/>
        </w:rPr>
        <w:t xml:space="preserve">Lo expuesto resulta de especial importancia si se tiene en cuenta que conforme al </w:t>
      </w:r>
      <w:r w:rsidRPr="009A73F4">
        <w:rPr>
          <w:rFonts w:ascii="Verdana" w:eastAsia="Calibri" w:hAnsi="Verdana" w:cs="Arial"/>
          <w:bCs/>
          <w:lang w:eastAsia="es-ES_tradnl"/>
        </w:rPr>
        <w:t xml:space="preserve">artículo 2 de La Ley 905 de 2004 la clasificación por tamaño empresarial parte de la base del ejercicio de la actividad empresarial. Esto significa que para efectos de la clasificación como micro, pequeña y mediana empresa, la persona natural o jurídica debe realizar actividades empresariales sean estas agropecuarias, industriales, comerciales o de servicios, en el área rural o urbana y además cumplir con los criterios definidos en la Ley. </w:t>
      </w:r>
      <w:r w:rsidRPr="009A73F4">
        <w:rPr>
          <w:rFonts w:ascii="Verdana" w:eastAsia="Calibri" w:hAnsi="Verdana" w:cs="Arial"/>
          <w:bCs/>
          <w:lang w:val="es-ES_tradnl" w:eastAsia="es-ES_tradnl"/>
        </w:rPr>
        <w:t xml:space="preserve">Por ello, en el caso de las </w:t>
      </w:r>
      <w:proofErr w:type="spellStart"/>
      <w:r w:rsidRPr="009A73F4">
        <w:rPr>
          <w:rFonts w:ascii="Verdana" w:eastAsia="Calibri" w:hAnsi="Verdana" w:cs="Arial"/>
          <w:bCs/>
          <w:lang w:val="es-ES_tradnl" w:eastAsia="es-ES_tradnl"/>
        </w:rPr>
        <w:t>Mipyme</w:t>
      </w:r>
      <w:proofErr w:type="spellEnd"/>
      <w:r w:rsidRPr="009A73F4">
        <w:rPr>
          <w:rFonts w:ascii="Verdana" w:eastAsia="Calibri" w:hAnsi="Verdana" w:cs="Arial"/>
          <w:bCs/>
          <w:lang w:val="es-ES_tradnl" w:eastAsia="es-ES_tradnl"/>
        </w:rPr>
        <w:t xml:space="preserve"> personas naturales, el registro mercantil es necesario para acreditar la actividad empresarial en los términos señalados.</w:t>
      </w:r>
    </w:p>
    <w:p w14:paraId="5E256184" w14:textId="77777777" w:rsidR="001D65B3" w:rsidRPr="009A73F4" w:rsidRDefault="001D65B3" w:rsidP="001D65B3">
      <w:pPr>
        <w:spacing w:after="120" w:line="276" w:lineRule="auto"/>
        <w:ind w:firstLine="709"/>
        <w:jc w:val="both"/>
        <w:rPr>
          <w:rFonts w:ascii="Verdana" w:eastAsia="Calibri" w:hAnsi="Verdana" w:cs="Arial"/>
          <w:bCs/>
          <w:lang w:val="es-ES_tradnl" w:eastAsia="es-ES_tradnl"/>
        </w:rPr>
      </w:pPr>
      <w:r w:rsidRPr="009A73F4">
        <w:rPr>
          <w:rFonts w:ascii="Verdana" w:eastAsia="Calibri" w:hAnsi="Verdana" w:cs="Arial"/>
          <w:bCs/>
          <w:lang w:eastAsia="es-ES_tradnl"/>
        </w:rPr>
        <w:t xml:space="preserve">Adicionalmente, cabe anotar que el artículo </w:t>
      </w:r>
      <w:r w:rsidRPr="009A73F4">
        <w:rPr>
          <w:rFonts w:ascii="Verdana" w:eastAsia="Arial" w:hAnsi="Verdana" w:cs="Arial"/>
          <w:lang w:eastAsia="es-ES_tradnl"/>
        </w:rPr>
        <w:t xml:space="preserve">2.2.1.2.4.2.2. del Decreto 1082 de 2015 dispone que la </w:t>
      </w:r>
      <w:proofErr w:type="spellStart"/>
      <w:r w:rsidRPr="009A73F4">
        <w:rPr>
          <w:rFonts w:ascii="Verdana" w:eastAsia="Arial" w:hAnsi="Verdana" w:cs="Arial"/>
          <w:lang w:eastAsia="es-ES_tradnl"/>
        </w:rPr>
        <w:t>Mipyme</w:t>
      </w:r>
      <w:proofErr w:type="spellEnd"/>
      <w:r w:rsidRPr="009A73F4">
        <w:rPr>
          <w:rFonts w:ascii="Verdana" w:eastAsia="Arial" w:hAnsi="Verdana" w:cs="Arial"/>
          <w:lang w:eastAsia="es-ES_tradnl"/>
        </w:rPr>
        <w:t xml:space="preserve"> debe contar con mínimo un (1) año de existencia. </w:t>
      </w:r>
      <w:r w:rsidRPr="009A73F4">
        <w:rPr>
          <w:rFonts w:ascii="Verdana" w:eastAsia="Calibri" w:hAnsi="Verdana" w:cs="Arial"/>
          <w:bCs/>
          <w:lang w:val="es-ES_tradnl" w:eastAsia="es-ES_tradnl"/>
        </w:rPr>
        <w:t xml:space="preserve">En consecuencia, el registro mercantil es indispensable para determinar que la </w:t>
      </w:r>
      <w:proofErr w:type="spellStart"/>
      <w:r w:rsidRPr="009A73F4">
        <w:rPr>
          <w:rFonts w:ascii="Verdana" w:eastAsia="Calibri" w:hAnsi="Verdana" w:cs="Arial"/>
          <w:bCs/>
          <w:lang w:val="es-ES_tradnl" w:eastAsia="es-ES_tradnl"/>
        </w:rPr>
        <w:t>Mipyme</w:t>
      </w:r>
      <w:proofErr w:type="spellEnd"/>
      <w:r w:rsidRPr="009A73F4">
        <w:rPr>
          <w:rFonts w:ascii="Verdana" w:eastAsia="Calibri" w:hAnsi="Verdana" w:cs="Arial"/>
          <w:bCs/>
          <w:lang w:val="es-ES_tradnl" w:eastAsia="es-ES_tradnl"/>
        </w:rPr>
        <w:t xml:space="preserve"> cumpla con el requisito de existencia del </w:t>
      </w:r>
      <w:r w:rsidRPr="009A73F4">
        <w:rPr>
          <w:rFonts w:ascii="Verdana" w:eastAsia="Calibri" w:hAnsi="Verdana" w:cs="Arial"/>
          <w:bCs/>
          <w:lang w:eastAsia="es-ES_tradnl"/>
        </w:rPr>
        <w:t xml:space="preserve">artículo </w:t>
      </w:r>
      <w:r w:rsidRPr="009A73F4">
        <w:rPr>
          <w:rFonts w:ascii="Verdana" w:eastAsia="Arial" w:hAnsi="Verdana" w:cs="Arial"/>
          <w:lang w:eastAsia="es-ES_tradnl"/>
        </w:rPr>
        <w:t xml:space="preserve">2.2.1.2.4.2.2. del Decreto 1082 de 2015, sin el cual no es posible realizar convocatorias limitadas a </w:t>
      </w:r>
      <w:proofErr w:type="spellStart"/>
      <w:r w:rsidRPr="009A73F4">
        <w:rPr>
          <w:rFonts w:ascii="Verdana" w:eastAsia="Arial" w:hAnsi="Verdana" w:cs="Arial"/>
          <w:lang w:eastAsia="es-ES_tradnl"/>
        </w:rPr>
        <w:t>Mipyme</w:t>
      </w:r>
      <w:proofErr w:type="spellEnd"/>
      <w:r w:rsidRPr="009A73F4">
        <w:rPr>
          <w:rFonts w:ascii="Verdana" w:eastAsia="Arial" w:hAnsi="Verdana" w:cs="Arial"/>
          <w:lang w:eastAsia="es-ES_tradnl"/>
        </w:rPr>
        <w:t xml:space="preserve">. </w:t>
      </w:r>
    </w:p>
    <w:p w14:paraId="5B1AF1AC" w14:textId="77777777" w:rsidR="001D65B3" w:rsidRPr="009A73F4" w:rsidRDefault="001D65B3" w:rsidP="001D65B3">
      <w:pPr>
        <w:spacing w:after="120" w:line="276" w:lineRule="auto"/>
        <w:ind w:firstLine="709"/>
        <w:jc w:val="both"/>
        <w:rPr>
          <w:rFonts w:ascii="Verdana" w:eastAsia="Calibri" w:hAnsi="Verdana" w:cs="Arial"/>
          <w:bCs/>
          <w:lang w:eastAsia="es-ES_tradnl"/>
        </w:rPr>
      </w:pPr>
      <w:bookmarkStart w:id="9" w:name="_Hlk106013026"/>
      <w:r w:rsidRPr="009A73F4">
        <w:rPr>
          <w:rFonts w:ascii="Verdana" w:eastAsia="Calibri" w:hAnsi="Verdana" w:cs="Arial"/>
          <w:bCs/>
          <w:lang w:eastAsia="es-ES_tradnl"/>
        </w:rPr>
        <w:t xml:space="preserve">En este punto, es pertinente aclarar que el registro mercantil solicitado por el numeral 1º del </w:t>
      </w:r>
      <w:r w:rsidRPr="009A73F4">
        <w:rPr>
          <w:rFonts w:ascii="Verdana" w:eastAsia="Calibri" w:hAnsi="Verdana" w:cs="Arial"/>
          <w:bCs/>
          <w:lang w:val="es-ES_tradnl" w:eastAsia="es-ES_tradnl"/>
        </w:rPr>
        <w:t xml:space="preserve">artículo </w:t>
      </w:r>
      <w:r w:rsidRPr="009A73F4">
        <w:rPr>
          <w:rFonts w:ascii="Verdana" w:eastAsia="Calibri" w:hAnsi="Verdana" w:cs="Arial"/>
          <w:bCs/>
          <w:lang w:eastAsia="es-ES_tradnl"/>
        </w:rPr>
        <w:t xml:space="preserve">2.2.1.2.4.2.4. del Decreto 1082 de 2015 –modificado por el Decreto 1860 de 2021– únicamente es requerido en el marco de las convocatorias limitada a </w:t>
      </w:r>
      <w:proofErr w:type="spellStart"/>
      <w:r w:rsidRPr="009A73F4">
        <w:rPr>
          <w:rFonts w:ascii="Verdana" w:eastAsia="Calibri" w:hAnsi="Verdana" w:cs="Arial"/>
          <w:bCs/>
          <w:lang w:eastAsia="es-ES_tradnl"/>
        </w:rPr>
        <w:t>Mipyme</w:t>
      </w:r>
      <w:proofErr w:type="spellEnd"/>
      <w:r w:rsidRPr="009A73F4">
        <w:rPr>
          <w:rFonts w:ascii="Verdana" w:eastAsia="Calibri" w:hAnsi="Verdana" w:cs="Arial"/>
          <w:bCs/>
          <w:lang w:eastAsia="es-ES_tradnl"/>
        </w:rPr>
        <w:t xml:space="preserve">. Por tanto, aunque la persona natural no este obligada a contar con registro mercantil para participar en el proceso de selección, si deberá presentar dicho documento en caso de que pretenda que el proceso de selección sea limitado a </w:t>
      </w:r>
      <w:proofErr w:type="spellStart"/>
      <w:r w:rsidRPr="009A73F4">
        <w:rPr>
          <w:rFonts w:ascii="Verdana" w:eastAsia="Calibri" w:hAnsi="Verdana" w:cs="Arial"/>
          <w:bCs/>
          <w:lang w:eastAsia="es-ES_tradnl"/>
        </w:rPr>
        <w:t>Mipyme</w:t>
      </w:r>
      <w:proofErr w:type="spellEnd"/>
      <w:r w:rsidRPr="009A73F4">
        <w:rPr>
          <w:rFonts w:ascii="Verdana" w:eastAsia="Calibri" w:hAnsi="Verdana" w:cs="Arial"/>
          <w:bCs/>
          <w:lang w:eastAsia="es-ES_tradnl"/>
        </w:rPr>
        <w:t xml:space="preserve"> y para participar en convocatorias limitadas a </w:t>
      </w:r>
      <w:proofErr w:type="spellStart"/>
      <w:r w:rsidRPr="009A73F4">
        <w:rPr>
          <w:rFonts w:ascii="Verdana" w:eastAsia="Calibri" w:hAnsi="Verdana" w:cs="Arial"/>
          <w:bCs/>
          <w:lang w:eastAsia="es-ES_tradnl"/>
        </w:rPr>
        <w:t>Mipyme</w:t>
      </w:r>
      <w:proofErr w:type="spellEnd"/>
      <w:r w:rsidRPr="009A73F4">
        <w:rPr>
          <w:rFonts w:ascii="Verdana" w:eastAsia="Calibri" w:hAnsi="Verdana" w:cs="Arial"/>
          <w:bCs/>
          <w:lang w:eastAsia="es-ES_tradnl"/>
        </w:rPr>
        <w:t xml:space="preserve">. En este sentido, para efectos del </w:t>
      </w:r>
      <w:r w:rsidRPr="009A73F4">
        <w:rPr>
          <w:rFonts w:ascii="Verdana" w:eastAsia="Calibri" w:hAnsi="Verdana" w:cs="Arial"/>
          <w:bCs/>
          <w:lang w:val="es-ES_tradnl" w:eastAsia="es-ES_tradnl"/>
        </w:rPr>
        <w:t xml:space="preserve">artículo </w:t>
      </w:r>
      <w:r w:rsidRPr="009A73F4">
        <w:rPr>
          <w:rFonts w:ascii="Verdana" w:eastAsia="Calibri" w:hAnsi="Verdana" w:cs="Arial"/>
          <w:bCs/>
          <w:lang w:eastAsia="es-ES_tradnl"/>
        </w:rPr>
        <w:t xml:space="preserve">2.2.1.2.4.2.4. del Decreto 1082 de 2015 –modificado por el Decreto 1860 de 2021–, la acreditación de la actividad y el tamaño empresarial de la </w:t>
      </w:r>
      <w:proofErr w:type="spellStart"/>
      <w:r w:rsidRPr="009A73F4">
        <w:rPr>
          <w:rFonts w:ascii="Verdana" w:eastAsia="Calibri" w:hAnsi="Verdana" w:cs="Arial"/>
          <w:bCs/>
          <w:lang w:eastAsia="es-ES_tradnl"/>
        </w:rPr>
        <w:t>Mipyme</w:t>
      </w:r>
      <w:proofErr w:type="spellEnd"/>
      <w:r w:rsidRPr="009A73F4">
        <w:rPr>
          <w:rFonts w:ascii="Verdana" w:eastAsia="Calibri" w:hAnsi="Verdana" w:cs="Arial"/>
          <w:bCs/>
          <w:lang w:eastAsia="es-ES_tradnl"/>
        </w:rPr>
        <w:t xml:space="preserve"> persona natural, solo será válida mediante la presentación de los documentos establecidos en el numeral 1 de la norma señalada –sin perjuicio de lo que se indicará en el párrafo siguiente–, esto es, </w:t>
      </w:r>
      <w:r w:rsidRPr="009A73F4">
        <w:rPr>
          <w:rFonts w:ascii="Verdana" w:eastAsia="Calibri" w:hAnsi="Verdana" w:cs="Arial"/>
          <w:lang w:val="es-ES_tradnl" w:eastAsia="es-ES_tradnl"/>
        </w:rPr>
        <w:t xml:space="preserve">certificación expedida por ellos y un contador público, </w:t>
      </w:r>
      <w:r w:rsidRPr="009A73F4">
        <w:rPr>
          <w:rFonts w:ascii="Verdana" w:eastAsia="Calibri" w:hAnsi="Verdana" w:cs="Arial"/>
          <w:lang w:val="es-ES_tradnl" w:eastAsia="es-ES_tradnl"/>
        </w:rPr>
        <w:lastRenderedPageBreak/>
        <w:t>adjuntando copia del registro mercantil</w:t>
      </w:r>
      <w:r w:rsidRPr="009A73F4">
        <w:rPr>
          <w:rFonts w:ascii="Verdana" w:hAnsi="Verdana" w:cs="Arial"/>
          <w:lang w:eastAsia="es-ES_tradnl"/>
        </w:rPr>
        <w:t xml:space="preserve"> </w:t>
      </w:r>
      <w:r w:rsidRPr="009A73F4">
        <w:rPr>
          <w:rFonts w:ascii="Verdana" w:eastAsia="Calibri" w:hAnsi="Verdana" w:cs="Arial"/>
          <w:lang w:val="es-ES_tradnl" w:eastAsia="es-ES_tradnl"/>
        </w:rPr>
        <w:t>con una fecha de máximo sesenta (60) días calendario anteriores a la prevista en el cronograma del proceso de contratación para el inicio del plazo para solicitar la convocatoria limitada. En efecto, esta exigencia es creada en los términos indicados precisamente por el Decreto 1860 de 2021.</w:t>
      </w:r>
    </w:p>
    <w:bookmarkEnd w:id="9"/>
    <w:p w14:paraId="33B642D4" w14:textId="77777777" w:rsidR="001D65B3" w:rsidRPr="009A73F4" w:rsidRDefault="001D65B3" w:rsidP="001D65B3">
      <w:pPr>
        <w:spacing w:after="120" w:line="276" w:lineRule="auto"/>
        <w:ind w:firstLine="709"/>
        <w:jc w:val="both"/>
        <w:rPr>
          <w:rFonts w:ascii="Verdana" w:eastAsia="Calibri" w:hAnsi="Verdana" w:cs="Arial"/>
          <w:bCs/>
          <w:lang w:val="es-ES_tradnl" w:eastAsia="es-ES_tradnl"/>
        </w:rPr>
      </w:pPr>
      <w:r w:rsidRPr="009A73F4">
        <w:rPr>
          <w:rFonts w:ascii="Verdana" w:eastAsia="Calibri" w:hAnsi="Verdana" w:cs="Arial"/>
          <w:bCs/>
          <w:lang w:val="es-ES_tradnl" w:eastAsia="es-ES_tradnl"/>
        </w:rPr>
        <w:t xml:space="preserve">Finalmente, </w:t>
      </w:r>
      <w:bookmarkStart w:id="10" w:name="_Hlk106013058"/>
      <w:r w:rsidRPr="009A73F4">
        <w:rPr>
          <w:rFonts w:ascii="Verdana" w:eastAsia="Calibri" w:hAnsi="Verdana" w:cs="Arial"/>
          <w:bCs/>
          <w:lang w:val="es-ES_tradnl" w:eastAsia="es-ES_tradnl"/>
        </w:rPr>
        <w:t xml:space="preserve">es preciso señalar que el parágrafo primero del artículo citado permite acreditar la condición de </w:t>
      </w:r>
      <w:proofErr w:type="spellStart"/>
      <w:r w:rsidRPr="009A73F4">
        <w:rPr>
          <w:rFonts w:ascii="Verdana" w:eastAsia="Calibri" w:hAnsi="Verdana" w:cs="Arial"/>
          <w:bCs/>
          <w:lang w:val="es-ES_tradnl" w:eastAsia="es-ES_tradnl"/>
        </w:rPr>
        <w:t>Mipyme</w:t>
      </w:r>
      <w:proofErr w:type="spellEnd"/>
      <w:r w:rsidRPr="009A73F4">
        <w:rPr>
          <w:rFonts w:ascii="Verdana" w:eastAsia="Calibri" w:hAnsi="Verdana" w:cs="Arial"/>
          <w:bCs/>
          <w:lang w:val="es-ES_tradnl" w:eastAsia="es-ES_tradnl"/>
        </w:rPr>
        <w:t xml:space="preserve"> con la copia del certificado del Registro Único de Proponentes –RUP–. De esta manera, la </w:t>
      </w:r>
      <w:proofErr w:type="spellStart"/>
      <w:r w:rsidRPr="009A73F4">
        <w:rPr>
          <w:rFonts w:ascii="Verdana" w:eastAsia="Calibri" w:hAnsi="Verdana" w:cs="Arial"/>
          <w:bCs/>
          <w:lang w:val="es-ES_tradnl" w:eastAsia="es-ES_tradnl"/>
        </w:rPr>
        <w:t>Mipyme</w:t>
      </w:r>
      <w:proofErr w:type="spellEnd"/>
      <w:r w:rsidRPr="009A73F4">
        <w:rPr>
          <w:rFonts w:ascii="Verdana" w:eastAsia="Calibri" w:hAnsi="Verdana" w:cs="Arial"/>
          <w:bCs/>
          <w:lang w:val="es-ES_tradnl" w:eastAsia="es-ES_tradnl"/>
        </w:rPr>
        <w:t xml:space="preserve">, sea persona natural o persona jurídica, podrá acreditar la actividad y el tamaño empresarial exigido por la ley, presentando el RUP, documento que en este caso es de carácter opcional, es decir, es un medio de prueba alternativo establecido por el mismo reglamento. En consecuencia, en caso de que la </w:t>
      </w:r>
      <w:proofErr w:type="spellStart"/>
      <w:r w:rsidRPr="009A73F4">
        <w:rPr>
          <w:rFonts w:ascii="Verdana" w:eastAsia="Calibri" w:hAnsi="Verdana" w:cs="Arial"/>
          <w:bCs/>
          <w:lang w:val="es-ES_tradnl" w:eastAsia="es-ES_tradnl"/>
        </w:rPr>
        <w:t>Mipyme</w:t>
      </w:r>
      <w:proofErr w:type="spellEnd"/>
      <w:r w:rsidRPr="009A73F4">
        <w:rPr>
          <w:rFonts w:ascii="Verdana" w:eastAsia="Calibri" w:hAnsi="Verdana" w:cs="Arial"/>
          <w:bCs/>
          <w:lang w:val="es-ES_tradnl" w:eastAsia="es-ES_tradnl"/>
        </w:rPr>
        <w:t xml:space="preserve"> cuente con este documento podrá aportarlo de acuerdo con lo dispuesto en el artículo </w:t>
      </w:r>
      <w:r w:rsidRPr="009A73F4">
        <w:rPr>
          <w:rFonts w:ascii="Verdana" w:eastAsia="Calibri" w:hAnsi="Verdana" w:cs="Arial"/>
          <w:bCs/>
          <w:lang w:eastAsia="es-ES_tradnl"/>
        </w:rPr>
        <w:t xml:space="preserve">2.2.1.2.4.2.4. del Decreto 1082 de 2015 –modificado por el Decreto 1860 de 2021–, </w:t>
      </w:r>
      <w:r w:rsidRPr="009A73F4">
        <w:rPr>
          <w:rFonts w:ascii="Verdana" w:eastAsia="Calibri" w:hAnsi="Verdana" w:cs="Arial"/>
          <w:bCs/>
          <w:lang w:val="es-ES_tradnl" w:eastAsia="es-ES_tradnl"/>
        </w:rPr>
        <w:t xml:space="preserve">de lo contrario deberá allegar la documentación respectiva conforme lo disponen los numerales 1º y 2º de la norma en cita, según sea el caso. </w:t>
      </w:r>
    </w:p>
    <w:bookmarkEnd w:id="10"/>
    <w:p w14:paraId="722E95B4" w14:textId="77777777" w:rsidR="001D65B3" w:rsidRDefault="001D65B3" w:rsidP="001D65B3">
      <w:pPr>
        <w:spacing w:after="120" w:line="276" w:lineRule="auto"/>
        <w:ind w:firstLine="709"/>
        <w:contextualSpacing/>
        <w:jc w:val="both"/>
        <w:rPr>
          <w:rFonts w:ascii="Verdana" w:eastAsia="Century Gothic" w:hAnsi="Verdana" w:cs="Century Gothic"/>
        </w:rPr>
      </w:pPr>
      <w:r>
        <w:rPr>
          <w:rFonts w:ascii="Verdana" w:hAnsi="Verdana" w:cs="Arial"/>
          <w:lang w:eastAsia="es-ES"/>
        </w:rPr>
        <w:t>Por último, resulta importante indicar que l</w:t>
      </w:r>
      <w:r w:rsidRPr="00DD3E06">
        <w:rPr>
          <w:rFonts w:ascii="Verdana" w:eastAsia="Century Gothic" w:hAnsi="Verdana" w:cs="Century Gothic"/>
        </w:rPr>
        <w:t xml:space="preserve">a capacidad jurídica de una persona natural clasificada como </w:t>
      </w:r>
      <w:proofErr w:type="spellStart"/>
      <w:r w:rsidRPr="00DD3E06">
        <w:rPr>
          <w:rFonts w:ascii="Verdana" w:eastAsia="Century Gothic" w:hAnsi="Verdana" w:cs="Century Gothic"/>
        </w:rPr>
        <w:t>Mipyme</w:t>
      </w:r>
      <w:proofErr w:type="spellEnd"/>
      <w:r w:rsidRPr="00DD3E06">
        <w:rPr>
          <w:rFonts w:ascii="Verdana" w:eastAsia="Century Gothic" w:hAnsi="Verdana" w:cs="Century Gothic"/>
        </w:rPr>
        <w:t>,</w:t>
      </w:r>
      <w:r>
        <w:rPr>
          <w:rFonts w:ascii="Verdana" w:eastAsia="Century Gothic" w:hAnsi="Verdana" w:cs="Century Gothic"/>
        </w:rPr>
        <w:t xml:space="preserve"> al ser un requisito habilitante para participar dentro del proceso de selección o de contratación por parte de la entidad estatal, se deberá analizar en etapas posteriores al proceso de selección y no en la etapa de limitación de </w:t>
      </w:r>
      <w:proofErr w:type="spellStart"/>
      <w:r>
        <w:rPr>
          <w:rFonts w:ascii="Verdana" w:eastAsia="Century Gothic" w:hAnsi="Verdana" w:cs="Century Gothic"/>
        </w:rPr>
        <w:t>mipymes</w:t>
      </w:r>
      <w:proofErr w:type="spellEnd"/>
      <w:r>
        <w:rPr>
          <w:rFonts w:ascii="Verdana" w:eastAsia="Century Gothic" w:hAnsi="Verdana" w:cs="Century Gothic"/>
        </w:rPr>
        <w:t xml:space="preserve">. </w:t>
      </w:r>
    </w:p>
    <w:p w14:paraId="003220AB" w14:textId="77777777" w:rsidR="001D65B3" w:rsidRDefault="001D65B3" w:rsidP="001D65B3">
      <w:pPr>
        <w:spacing w:after="0" w:line="240" w:lineRule="auto"/>
        <w:ind w:firstLine="709"/>
        <w:contextualSpacing/>
        <w:jc w:val="both"/>
        <w:rPr>
          <w:rFonts w:ascii="Verdana" w:eastAsia="Century Gothic" w:hAnsi="Verdana" w:cs="Century Gothic"/>
        </w:rPr>
      </w:pPr>
    </w:p>
    <w:p w14:paraId="1E1BE06B" w14:textId="77777777" w:rsidR="001D65B3" w:rsidRPr="00256738" w:rsidRDefault="001D65B3" w:rsidP="001D65B3">
      <w:pPr>
        <w:spacing w:after="120" w:line="276" w:lineRule="auto"/>
        <w:ind w:firstLine="709"/>
        <w:contextualSpacing/>
        <w:jc w:val="both"/>
        <w:rPr>
          <w:rFonts w:ascii="Verdana" w:eastAsia="Century Gothic" w:hAnsi="Verdana" w:cs="Century Gothic"/>
        </w:rPr>
      </w:pPr>
      <w:r>
        <w:rPr>
          <w:rFonts w:ascii="Verdana" w:eastAsia="Century Gothic" w:hAnsi="Verdana" w:cs="Century Gothic"/>
        </w:rPr>
        <w:t xml:space="preserve">Por lo tanto, sólo se pueden </w:t>
      </w:r>
      <w:r w:rsidRPr="00503613">
        <w:rPr>
          <w:rFonts w:ascii="Verdana" w:hAnsi="Verdana" w:cs="Arial"/>
          <w:lang w:eastAsia="es-ES"/>
        </w:rPr>
        <w:t xml:space="preserve">exigir los requisitos señalados en la ley y en el Decreto 1082 del 2015 –modificado por el Decreto 1860 de 2021– para que esta proceda. En tal sentido, las entidades no pueden exigir requisitos adicionales para limitar la convocatoria y en esa etapa del proceso de selección no les corresponde comprobar que </w:t>
      </w:r>
      <w:r>
        <w:rPr>
          <w:rFonts w:ascii="Verdana" w:hAnsi="Verdana" w:cs="Arial"/>
          <w:lang w:eastAsia="es-ES"/>
        </w:rPr>
        <w:t xml:space="preserve">aquellas personas naturales o jurídicas </w:t>
      </w:r>
      <w:r w:rsidRPr="00503613">
        <w:rPr>
          <w:rFonts w:ascii="Verdana" w:hAnsi="Verdana" w:cs="Arial"/>
          <w:lang w:eastAsia="es-ES"/>
        </w:rPr>
        <w:t>que solicitaron tal limitación estén en la capacidad de cumplir todos y cada uno de los requisitos habilitantes del proceso, lo cual se realizará con posterioridad a la presentación de las ofertas, que contendrán todos los requisitos que permitan evaluar el cumplimiento de las exigencias establecidas en el pliego de condiciones</w:t>
      </w:r>
      <w:r>
        <w:rPr>
          <w:rStyle w:val="Refdenotaalpie"/>
          <w:rFonts w:ascii="Verdana" w:hAnsi="Verdana" w:cs="Arial"/>
          <w:lang w:eastAsia="es-ES"/>
        </w:rPr>
        <w:footnoteReference w:id="17"/>
      </w:r>
      <w:r w:rsidRPr="00503613">
        <w:rPr>
          <w:rFonts w:ascii="Verdana" w:hAnsi="Verdana" w:cs="Arial"/>
          <w:lang w:eastAsia="es-ES"/>
        </w:rPr>
        <w:t xml:space="preserve">. </w:t>
      </w:r>
    </w:p>
    <w:p w14:paraId="2E7D275D" w14:textId="77777777" w:rsidR="001D65B3" w:rsidRDefault="001D65B3" w:rsidP="001D65B3">
      <w:pPr>
        <w:spacing w:after="0" w:line="276" w:lineRule="auto"/>
        <w:ind w:firstLine="709"/>
        <w:jc w:val="both"/>
        <w:rPr>
          <w:rFonts w:ascii="Verdana" w:eastAsia="Calibri" w:hAnsi="Verdana" w:cs="Arial"/>
          <w:color w:val="000000"/>
          <w:lang w:val="es-ES"/>
        </w:rPr>
      </w:pPr>
    </w:p>
    <w:p w14:paraId="125BEF62" w14:textId="77777777" w:rsidR="001D65B3" w:rsidRDefault="001D65B3" w:rsidP="001D65B3">
      <w:pPr>
        <w:spacing w:after="0" w:line="276" w:lineRule="auto"/>
        <w:ind w:firstLine="709"/>
        <w:jc w:val="both"/>
        <w:rPr>
          <w:rFonts w:ascii="Verdana" w:eastAsia="Calibri" w:hAnsi="Verdana" w:cs="Arial"/>
          <w:color w:val="000000"/>
          <w:lang w:val="es-ES"/>
        </w:rPr>
      </w:pPr>
      <w:proofErr w:type="spellStart"/>
      <w:r>
        <w:rPr>
          <w:rFonts w:ascii="Verdana" w:eastAsia="Calibri" w:hAnsi="Verdana" w:cs="Arial"/>
          <w:color w:val="000000"/>
          <w:lang w:val="es-ES"/>
        </w:rPr>
        <w:t>ii</w:t>
      </w:r>
      <w:proofErr w:type="spellEnd"/>
      <w:r>
        <w:rPr>
          <w:rFonts w:ascii="Verdana" w:eastAsia="Calibri" w:hAnsi="Verdana" w:cs="Arial"/>
          <w:color w:val="000000"/>
          <w:lang w:val="es-ES"/>
        </w:rPr>
        <w:t xml:space="preserve">) </w:t>
      </w:r>
    </w:p>
    <w:p w14:paraId="6BFB38D9" w14:textId="77777777" w:rsidR="001D65B3" w:rsidRDefault="001D65B3" w:rsidP="001D65B3">
      <w:pPr>
        <w:spacing w:after="0" w:line="276" w:lineRule="auto"/>
        <w:ind w:firstLine="709"/>
        <w:jc w:val="both"/>
        <w:rPr>
          <w:rFonts w:ascii="Verdana" w:eastAsia="Calibri" w:hAnsi="Verdana" w:cs="Arial"/>
          <w:color w:val="000000"/>
          <w:lang w:val="es-ES"/>
        </w:rPr>
      </w:pPr>
    </w:p>
    <w:p w14:paraId="1FC0CA28" w14:textId="77777777" w:rsidR="001D65B3" w:rsidRPr="006A11D8" w:rsidRDefault="001D65B3" w:rsidP="001D65B3">
      <w:pPr>
        <w:spacing w:after="0" w:line="276" w:lineRule="auto"/>
        <w:ind w:firstLine="709"/>
        <w:jc w:val="both"/>
        <w:rPr>
          <w:rFonts w:ascii="Verdana" w:eastAsia="Calibri" w:hAnsi="Verdana" w:cs="Arial"/>
          <w:color w:val="000000"/>
          <w:lang w:val="es-ES"/>
        </w:rPr>
      </w:pPr>
    </w:p>
    <w:p w14:paraId="4218149B" w14:textId="77777777" w:rsidR="001D65B3" w:rsidRPr="00C543FB" w:rsidRDefault="001D65B3" w:rsidP="001D65B3">
      <w:pPr>
        <w:spacing w:line="276" w:lineRule="auto"/>
        <w:ind w:firstLine="708"/>
        <w:jc w:val="both"/>
        <w:rPr>
          <w:rFonts w:ascii="Verdana" w:eastAsia="Calibri" w:hAnsi="Verdana" w:cs="Arial"/>
          <w:color w:val="000000"/>
          <w:lang w:val="es-ES" w:eastAsia="es-MX"/>
        </w:rPr>
      </w:pPr>
      <w:proofErr w:type="spellStart"/>
      <w:r>
        <w:rPr>
          <w:rFonts w:ascii="Verdana" w:eastAsia="Calibri" w:hAnsi="Verdana" w:cs="Arial"/>
          <w:color w:val="000000"/>
          <w:lang w:val="es-ES_tradnl"/>
        </w:rPr>
        <w:t>ii</w:t>
      </w:r>
      <w:proofErr w:type="spellEnd"/>
      <w:r>
        <w:rPr>
          <w:rFonts w:ascii="Verdana" w:eastAsia="Calibri" w:hAnsi="Verdana" w:cs="Arial"/>
          <w:color w:val="000000"/>
          <w:lang w:val="es-ES_tradnl"/>
        </w:rPr>
        <w:t xml:space="preserve">) Frente al segundo problema jurídico es de precisar que </w:t>
      </w:r>
      <w:r w:rsidRPr="00C543FB">
        <w:rPr>
          <w:rFonts w:ascii="Verdana" w:eastAsia="Calibri" w:hAnsi="Verdana" w:cs="Arial"/>
          <w:color w:val="000000"/>
          <w:lang w:val="es-ES" w:eastAsia="es-MX"/>
        </w:rPr>
        <w:t xml:space="preserve">La </w:t>
      </w:r>
      <w:proofErr w:type="spellStart"/>
      <w:r w:rsidRPr="00C543FB">
        <w:rPr>
          <w:rFonts w:ascii="Verdana" w:eastAsia="Calibri" w:hAnsi="Verdana" w:cs="Arial"/>
          <w:color w:val="000000"/>
          <w:lang w:val="es-ES" w:eastAsia="es-MX"/>
        </w:rPr>
        <w:t>subsanabilidad</w:t>
      </w:r>
      <w:proofErr w:type="spellEnd"/>
      <w:r w:rsidRPr="00C543FB">
        <w:rPr>
          <w:rFonts w:ascii="Verdana" w:eastAsia="Calibri" w:hAnsi="Verdana" w:cs="Arial"/>
          <w:color w:val="000000"/>
          <w:lang w:val="es-ES" w:eastAsia="es-MX"/>
        </w:rPr>
        <w:t xml:space="preserve"> es un mecanismo previsto en los procedimientos regulados por el Estatuto de Contratación Estatal de Colombia. Esta regla, prevista en el artículo 5 de la Ley 1150 de 2007, permite que los proponentes puedan enmendar, corregir o modificar los errores en los documentos de la oferta respecto a los requisitos habilitantes. Además, la posibilidad de subsanar estos documentos tiene como propósito: </w:t>
      </w:r>
    </w:p>
    <w:p w14:paraId="30DB615D" w14:textId="77777777" w:rsidR="001D65B3" w:rsidRPr="007D1D8C" w:rsidRDefault="001D65B3" w:rsidP="001D65B3">
      <w:pPr>
        <w:ind w:left="709" w:right="709"/>
        <w:jc w:val="both"/>
        <w:rPr>
          <w:rFonts w:ascii="Verdana" w:eastAsia="Calibri" w:hAnsi="Verdana" w:cs="Arial"/>
          <w:color w:val="000000"/>
          <w:sz w:val="20"/>
          <w:szCs w:val="20"/>
          <w:lang w:val="es-ES" w:eastAsia="es-MX"/>
        </w:rPr>
      </w:pPr>
      <w:r w:rsidRPr="007D1D8C">
        <w:rPr>
          <w:rFonts w:ascii="Verdana" w:eastAsia="Calibri" w:hAnsi="Verdana" w:cs="Arial"/>
          <w:color w:val="000000"/>
          <w:sz w:val="20"/>
          <w:szCs w:val="20"/>
          <w:lang w:val="es-ES" w:eastAsia="es-MX"/>
        </w:rPr>
        <w:t>[…] materializar un principio general de primacía de lo sustancial sobre lo formal, adoptando medidas de saneamiento del proceso de selección tendientes a que los meros defectos formales, que no afecten sustancialmente la oferta, referidos a la documentación o instrumentalización de la misma, priven a la administración de considerar una oferta por causa de tales falencias</w:t>
      </w:r>
      <w:r w:rsidRPr="007D1D8C">
        <w:rPr>
          <w:rFonts w:ascii="Verdana" w:eastAsia="Calibri" w:hAnsi="Verdana" w:cs="Arial"/>
          <w:color w:val="000000"/>
          <w:sz w:val="20"/>
          <w:szCs w:val="20"/>
          <w:vertAlign w:val="superscript"/>
          <w:lang w:val="es-ES" w:eastAsia="es-MX"/>
        </w:rPr>
        <w:footnoteReference w:id="18"/>
      </w:r>
      <w:r w:rsidRPr="007D1D8C">
        <w:rPr>
          <w:rFonts w:ascii="Verdana" w:eastAsia="Calibri" w:hAnsi="Verdana" w:cs="Arial"/>
          <w:color w:val="000000"/>
          <w:sz w:val="20"/>
          <w:szCs w:val="20"/>
          <w:lang w:val="es-ES" w:eastAsia="es-MX"/>
        </w:rPr>
        <w:t>.</w:t>
      </w:r>
    </w:p>
    <w:p w14:paraId="6B330B91" w14:textId="77777777" w:rsidR="001D65B3" w:rsidRPr="00C543FB" w:rsidRDefault="001D65B3" w:rsidP="001D65B3">
      <w:pPr>
        <w:spacing w:after="120" w:line="276" w:lineRule="auto"/>
        <w:ind w:firstLine="708"/>
        <w:jc w:val="both"/>
        <w:rPr>
          <w:rFonts w:ascii="Verdana" w:eastAsia="Times New Roman" w:hAnsi="Verdana" w:cs="Arial"/>
          <w:color w:val="000000"/>
          <w:lang w:val="es-ES" w:eastAsia="es-MX"/>
        </w:rPr>
      </w:pPr>
      <w:r w:rsidRPr="00C543FB">
        <w:rPr>
          <w:rFonts w:ascii="Verdana" w:eastAsia="Calibri" w:hAnsi="Verdana" w:cs="Arial"/>
          <w:color w:val="000000"/>
          <w:lang w:val="es-ES" w:eastAsia="es-MX"/>
        </w:rPr>
        <w:t xml:space="preserve">A raíz de lo anterior, no podrán rechazarse las propuestas por ausencia de requisitos o falta de documentos que verifiquen las condiciones habilitantes del proponente, y que, a su vez, estos no se constituyan como factores de comparación entre propuestas. </w:t>
      </w:r>
      <w:r w:rsidRPr="00C543FB">
        <w:rPr>
          <w:rFonts w:ascii="Verdana" w:eastAsia="Times New Roman" w:hAnsi="Verdana" w:cs="Arial"/>
          <w:color w:val="000000"/>
          <w:lang w:val="es-ES" w:eastAsia="es-MX"/>
        </w:rPr>
        <w:t xml:space="preserve">Ahora bien, la posibilidad de subsanar los documentos contentivos de la oferta es un tema que ha tenido diferentes momentos o etapas en el ordenamiento jurídico colombiano. </w:t>
      </w:r>
    </w:p>
    <w:p w14:paraId="204FB143" w14:textId="77777777" w:rsidR="001D65B3" w:rsidRPr="00C543FB" w:rsidRDefault="001D65B3" w:rsidP="001D65B3">
      <w:pPr>
        <w:spacing w:before="120" w:after="120" w:line="276" w:lineRule="auto"/>
        <w:ind w:firstLine="709"/>
        <w:jc w:val="both"/>
        <w:rPr>
          <w:rFonts w:ascii="Verdana" w:eastAsia="Times New Roman" w:hAnsi="Verdana" w:cs="Arial"/>
          <w:color w:val="000000"/>
          <w:lang w:val="es-ES" w:eastAsia="es-MX"/>
        </w:rPr>
      </w:pPr>
      <w:r w:rsidRPr="00C543FB">
        <w:rPr>
          <w:rFonts w:ascii="Verdana" w:eastAsia="Times New Roman" w:hAnsi="Verdana" w:cs="Arial"/>
          <w:color w:val="000000"/>
          <w:lang w:val="es-ES" w:eastAsia="es-MX"/>
        </w:rPr>
        <w:t xml:space="preserve">En un </w:t>
      </w:r>
      <w:r w:rsidRPr="00C543FB">
        <w:rPr>
          <w:rFonts w:ascii="Verdana" w:eastAsia="Times New Roman" w:hAnsi="Verdana" w:cs="Arial"/>
          <w:i/>
          <w:color w:val="000000"/>
          <w:lang w:val="es-ES" w:eastAsia="es-MX"/>
        </w:rPr>
        <w:t>primer momento</w:t>
      </w:r>
      <w:r w:rsidRPr="00C543FB">
        <w:rPr>
          <w:rFonts w:ascii="Verdana" w:eastAsia="Times New Roman" w:hAnsi="Verdana" w:cs="Arial"/>
          <w:color w:val="000000"/>
          <w:lang w:val="es-ES" w:eastAsia="es-MX"/>
        </w:rPr>
        <w:t xml:space="preserve">, antes de la entrada en vigor de la Constitución Política de 1991, el régimen jurídico de la </w:t>
      </w:r>
      <w:proofErr w:type="spellStart"/>
      <w:r w:rsidRPr="00C543FB">
        <w:rPr>
          <w:rFonts w:ascii="Verdana" w:eastAsia="Times New Roman" w:hAnsi="Verdana" w:cs="Arial"/>
          <w:color w:val="000000"/>
          <w:lang w:val="es-ES" w:eastAsia="es-MX"/>
        </w:rPr>
        <w:t>subsanabilidad</w:t>
      </w:r>
      <w:proofErr w:type="spellEnd"/>
      <w:r w:rsidRPr="00C543FB">
        <w:rPr>
          <w:rFonts w:ascii="Verdana" w:eastAsia="Times New Roman" w:hAnsi="Verdana" w:cs="Arial"/>
          <w:color w:val="000000"/>
          <w:lang w:val="es-ES" w:eastAsia="es-MX"/>
        </w:rPr>
        <w:t xml:space="preserve"> de las ofertas estaba compuesto por el Decreto Ley 150 de 1976 y el Decreto 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2C502D49" w14:textId="77777777" w:rsidR="001D65B3" w:rsidRPr="00C543FB" w:rsidRDefault="001D65B3" w:rsidP="001D65B3">
      <w:pPr>
        <w:spacing w:before="120" w:line="276" w:lineRule="auto"/>
        <w:ind w:firstLine="709"/>
        <w:jc w:val="both"/>
        <w:rPr>
          <w:rFonts w:ascii="Verdana" w:eastAsia="Times New Roman" w:hAnsi="Verdana" w:cs="Arial"/>
          <w:color w:val="000000"/>
          <w:lang w:val="es-ES" w:eastAsia="es-MX"/>
        </w:rPr>
      </w:pPr>
      <w:r w:rsidRPr="00C543FB">
        <w:rPr>
          <w:rFonts w:ascii="Verdana" w:eastAsia="Times New Roman" w:hAnsi="Verdana" w:cs="Arial"/>
          <w:color w:val="000000"/>
          <w:lang w:val="es-ES" w:eastAsia="es-MX"/>
        </w:rPr>
        <w:t xml:space="preserve">En un </w:t>
      </w:r>
      <w:r w:rsidRPr="00C543FB">
        <w:rPr>
          <w:rFonts w:ascii="Verdana" w:eastAsia="Times New Roman" w:hAnsi="Verdana" w:cs="Arial"/>
          <w:i/>
          <w:color w:val="000000"/>
          <w:lang w:val="es-ES" w:eastAsia="es-MX"/>
        </w:rPr>
        <w:t>segundo momento</w:t>
      </w:r>
      <w:r w:rsidRPr="00C543FB">
        <w:rPr>
          <w:rFonts w:ascii="Verdana" w:eastAsia="Times New Roman" w:hAnsi="Verdana" w:cs="Arial"/>
          <w:color w:val="000000"/>
          <w:lang w:val="es-ES" w:eastAsia="es-MX"/>
        </w:rPr>
        <w:t xml:space="preserve"> se expidió la Ley 80 de 1993, bajo el nuevo paradigma que supuso la Constitución de 1991, particularmente en la forma como se relaciona lo formal y lo sustancial en las actuaciones judiciales y administrativas. Este cambio ideológico quedó consignado en el artículo 228, que introdujo un principio de supremacía o prevalencia del derecho sustancial </w:t>
      </w:r>
      <w:r w:rsidRPr="00C543FB">
        <w:rPr>
          <w:rFonts w:ascii="Verdana" w:eastAsia="Times New Roman" w:hAnsi="Verdana" w:cs="Arial"/>
          <w:color w:val="000000"/>
          <w:lang w:val="es-ES" w:eastAsia="es-MX"/>
        </w:rPr>
        <w:lastRenderedPageBreak/>
        <w:t xml:space="preserve">sobre lo procedimental. En este nuevo escenario constitucional, el artículo 25.15 de la Ley 80 de 1993 dispuso lo siguiente: </w:t>
      </w:r>
    </w:p>
    <w:p w14:paraId="1AE60A1C" w14:textId="77777777" w:rsidR="001D65B3" w:rsidRPr="007D1D8C" w:rsidRDefault="001D65B3" w:rsidP="001D65B3">
      <w:pPr>
        <w:spacing w:after="120"/>
        <w:ind w:left="709" w:right="709"/>
        <w:jc w:val="both"/>
        <w:rPr>
          <w:rFonts w:ascii="Verdana" w:eastAsia="Times New Roman" w:hAnsi="Verdana" w:cs="Arial"/>
          <w:color w:val="000000"/>
          <w:sz w:val="20"/>
          <w:szCs w:val="20"/>
          <w:lang w:val="es-ES" w:eastAsia="es-MX"/>
        </w:rPr>
      </w:pPr>
      <w:r w:rsidRPr="007D1D8C">
        <w:rPr>
          <w:rFonts w:ascii="Verdana" w:eastAsia="Times New Roman" w:hAnsi="Verdana" w:cs="Arial"/>
          <w:color w:val="000000"/>
          <w:sz w:val="20"/>
          <w:szCs w:val="20"/>
          <w:lang w:val="es-ES" w:eastAsia="es-MX"/>
        </w:rPr>
        <w:t xml:space="preserve">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061E9DAE" w14:textId="77777777" w:rsidR="001D65B3" w:rsidRPr="007D1D8C" w:rsidRDefault="001D65B3" w:rsidP="001D65B3">
      <w:pPr>
        <w:spacing w:before="120"/>
        <w:ind w:left="709" w:right="709"/>
        <w:jc w:val="both"/>
        <w:rPr>
          <w:rFonts w:ascii="Verdana" w:eastAsia="Times New Roman" w:hAnsi="Verdana" w:cs="Arial"/>
          <w:color w:val="000000"/>
          <w:sz w:val="20"/>
          <w:szCs w:val="20"/>
          <w:lang w:val="es-ES" w:eastAsia="es-MX"/>
        </w:rPr>
      </w:pPr>
      <w:r w:rsidRPr="007D1D8C">
        <w:rPr>
          <w:rFonts w:ascii="Verdana" w:eastAsia="Times New Roman" w:hAnsi="Verdana" w:cs="Arial"/>
          <w:color w:val="000000"/>
          <w:sz w:val="20"/>
          <w:szCs w:val="20"/>
          <w:lang w:val="es-ES" w:eastAsia="es-MX"/>
        </w:rPr>
        <w:t xml:space="preserve">La ausencia de requisitos o la falta de documentos referentes a la futura contratación o al proponente, no necesarios para la comparación de propuestas, no servirá de título suficiente para el rechazo de los ofrecimientos hechos. </w:t>
      </w:r>
    </w:p>
    <w:p w14:paraId="5F93D6F4" w14:textId="77777777" w:rsidR="001D65B3" w:rsidRPr="00C543FB" w:rsidRDefault="001D65B3" w:rsidP="001D65B3">
      <w:pPr>
        <w:spacing w:after="120" w:line="276" w:lineRule="auto"/>
        <w:ind w:firstLine="709"/>
        <w:jc w:val="both"/>
        <w:rPr>
          <w:rFonts w:ascii="Verdana" w:eastAsia="Times New Roman" w:hAnsi="Verdana" w:cs="Arial"/>
          <w:color w:val="000000"/>
          <w:lang w:val="es-ES" w:eastAsia="es-MX"/>
        </w:rPr>
      </w:pPr>
      <w:r w:rsidRPr="00C543FB">
        <w:rPr>
          <w:rFonts w:ascii="Verdana" w:eastAsia="Times New Roman" w:hAnsi="Verdana" w:cs="Arial"/>
          <w:color w:val="000000"/>
          <w:lang w:val="es-ES" w:eastAsia="es-MX"/>
        </w:rPr>
        <w:t xml:space="preserve">Bajo el amparo de esta norma, el régimen jurídico de </w:t>
      </w:r>
      <w:proofErr w:type="spellStart"/>
      <w:r w:rsidRPr="00C543FB">
        <w:rPr>
          <w:rFonts w:ascii="Verdana" w:eastAsia="Times New Roman" w:hAnsi="Verdana" w:cs="Arial"/>
          <w:color w:val="000000"/>
          <w:lang w:val="es-ES" w:eastAsia="es-MX"/>
        </w:rPr>
        <w:t>subsanabilidad</w:t>
      </w:r>
      <w:proofErr w:type="spellEnd"/>
      <w:r w:rsidRPr="00C543FB">
        <w:rPr>
          <w:rFonts w:ascii="Verdana" w:eastAsia="Times New Roman" w:hAnsi="Verdana" w:cs="Arial"/>
          <w:color w:val="000000"/>
          <w:lang w:val="es-ES" w:eastAsia="es-MX"/>
        </w:rPr>
        <w:t xml:space="preserve"> de las ofertas sufre un cambio fundamental, pues ya no era posible rechazar las ofertas por falta de requisitos o documentos que no fueran </w:t>
      </w:r>
      <w:r>
        <w:rPr>
          <w:rFonts w:ascii="Verdana" w:eastAsia="Times New Roman" w:hAnsi="Verdana" w:cs="Arial"/>
          <w:color w:val="000000"/>
          <w:lang w:val="es-ES" w:eastAsia="es-MX"/>
        </w:rPr>
        <w:t>“</w:t>
      </w:r>
      <w:r w:rsidRPr="00C543FB">
        <w:rPr>
          <w:rFonts w:ascii="Verdana" w:eastAsia="Times New Roman" w:hAnsi="Verdana" w:cs="Arial"/>
          <w:color w:val="000000"/>
          <w:lang w:val="es-ES" w:eastAsia="es-MX"/>
        </w:rPr>
        <w:t>necesarios para la comparación de propuestas</w:t>
      </w:r>
      <w:r>
        <w:rPr>
          <w:rFonts w:ascii="Verdana" w:eastAsia="Times New Roman" w:hAnsi="Verdana" w:cs="Arial"/>
          <w:color w:val="000000"/>
          <w:lang w:val="es-ES" w:eastAsia="es-MX"/>
        </w:rPr>
        <w:t>”</w:t>
      </w:r>
      <w:r w:rsidRPr="00C543FB">
        <w:rPr>
          <w:rFonts w:ascii="Verdana" w:eastAsia="Times New Roman" w:hAnsi="Verdana" w:cs="Arial"/>
          <w:color w:val="000000"/>
          <w:lang w:val="es-ES" w:eastAsia="es-MX"/>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45AA3811" w14:textId="77777777" w:rsidR="001D65B3" w:rsidRPr="00C543FB" w:rsidRDefault="001D65B3" w:rsidP="001D65B3">
      <w:pPr>
        <w:spacing w:before="120" w:after="120" w:line="276" w:lineRule="auto"/>
        <w:ind w:firstLine="709"/>
        <w:jc w:val="both"/>
        <w:rPr>
          <w:rFonts w:ascii="Verdana" w:eastAsia="Times New Roman" w:hAnsi="Verdana" w:cs="Arial"/>
          <w:color w:val="000000"/>
          <w:lang w:val="es-ES" w:eastAsia="es-MX"/>
        </w:rPr>
      </w:pPr>
      <w:r w:rsidRPr="00C543FB">
        <w:rPr>
          <w:rFonts w:ascii="Verdana" w:eastAsia="Times New Roman" w:hAnsi="Verdana" w:cs="Arial"/>
          <w:color w:val="000000"/>
          <w:lang w:val="es-ES" w:eastAsia="es-MX"/>
        </w:rPr>
        <w:t>Esta norma debía leerse en conjunto con otras de la Ley 80 de 1993, particularmente con el artículo 30.7, que ordena a la entidad señalar un plazo razonable para evaluar las propuestas y para pedir a los proponentes, de ser necesario, que aclaren o expliquen aspectos que ofrezcan dudas y resulten indispensables para llevar a cabo la evaluación</w:t>
      </w:r>
      <w:r w:rsidRPr="00C543FB">
        <w:rPr>
          <w:rFonts w:ascii="Verdana" w:eastAsia="Times New Roman" w:hAnsi="Verdana" w:cs="Arial"/>
          <w:color w:val="000000"/>
          <w:vertAlign w:val="superscript"/>
          <w:lang w:val="es-ES" w:eastAsia="es-MX"/>
        </w:rPr>
        <w:footnoteReference w:id="19"/>
      </w:r>
      <w:r w:rsidRPr="00C543FB">
        <w:rPr>
          <w:rFonts w:ascii="Verdana" w:eastAsia="Times New Roman" w:hAnsi="Verdana" w:cs="Arial"/>
          <w:color w:val="000000"/>
          <w:lang w:val="es-ES" w:eastAsia="es-MX"/>
        </w:rPr>
        <w:t>; y con el artículo 30.8, que consagró el término de 5 días hábiles para que los oferentes presenten observaciones al informe de evaluación de las propuestas, sin que sea posible completar, adicionar, modificar o mejorar su oferta</w:t>
      </w:r>
      <w:r w:rsidRPr="00C543FB">
        <w:rPr>
          <w:rFonts w:ascii="Verdana" w:eastAsia="Times New Roman" w:hAnsi="Verdana" w:cs="Arial"/>
          <w:color w:val="000000"/>
          <w:vertAlign w:val="superscript"/>
          <w:lang w:val="es-ES" w:eastAsia="es-MX"/>
        </w:rPr>
        <w:footnoteReference w:id="20"/>
      </w:r>
      <w:r w:rsidRPr="00C543FB">
        <w:rPr>
          <w:rFonts w:ascii="Verdana" w:eastAsia="Times New Roman" w:hAnsi="Verdana" w:cs="Arial"/>
          <w:color w:val="000000"/>
          <w:lang w:val="es-ES" w:eastAsia="es-MX"/>
        </w:rPr>
        <w:t xml:space="preserve">.  </w:t>
      </w:r>
    </w:p>
    <w:p w14:paraId="2E35AD75" w14:textId="77777777" w:rsidR="001D65B3" w:rsidRPr="00C543FB" w:rsidRDefault="001D65B3" w:rsidP="001D65B3">
      <w:pPr>
        <w:spacing w:before="120" w:after="120" w:line="276" w:lineRule="auto"/>
        <w:ind w:firstLine="709"/>
        <w:jc w:val="both"/>
        <w:rPr>
          <w:rFonts w:ascii="Verdana" w:eastAsia="Times New Roman" w:hAnsi="Verdana" w:cs="Arial"/>
          <w:color w:val="000000"/>
          <w:lang w:val="es-ES" w:eastAsia="es-MX"/>
        </w:rPr>
      </w:pPr>
      <w:r w:rsidRPr="00C543FB">
        <w:rPr>
          <w:rFonts w:ascii="Verdana" w:eastAsia="Times New Roman" w:hAnsi="Verdana" w:cs="Arial"/>
          <w:color w:val="000000"/>
          <w:lang w:val="es-ES" w:eastAsia="es-MX"/>
        </w:rPr>
        <w:lastRenderedPageBreak/>
        <w:t xml:space="preserve">A partir de la lectura integrada de estas tres normas debía concluirse que con la Ley 80 de 1993 era posible subsanar las propuestas, y la omisión o el error en algún aspecto de esta no podía llevar a su rechazo, sin antes verificar que lo omitido fuera un aspecto necesario para la comparación. </w:t>
      </w:r>
    </w:p>
    <w:p w14:paraId="5C4C2DB4" w14:textId="77777777" w:rsidR="001D65B3" w:rsidRPr="00C543FB" w:rsidRDefault="001D65B3" w:rsidP="001D65B3">
      <w:pPr>
        <w:spacing w:line="276" w:lineRule="auto"/>
        <w:ind w:firstLine="709"/>
        <w:jc w:val="both"/>
        <w:rPr>
          <w:rFonts w:ascii="Verdana" w:eastAsia="Times New Roman" w:hAnsi="Verdana" w:cs="Arial"/>
          <w:color w:val="000000"/>
          <w:lang w:val="es-ES" w:eastAsia="es-MX"/>
        </w:rPr>
      </w:pPr>
      <w:r w:rsidRPr="00C543FB">
        <w:rPr>
          <w:rFonts w:ascii="Verdana" w:eastAsia="Times New Roman" w:hAnsi="Verdana" w:cs="Arial"/>
          <w:color w:val="000000"/>
          <w:lang w:val="es-ES" w:eastAsia="es-MX"/>
        </w:rPr>
        <w:t xml:space="preserve">En un </w:t>
      </w:r>
      <w:r w:rsidRPr="00C543FB">
        <w:rPr>
          <w:rFonts w:ascii="Verdana" w:eastAsia="Times New Roman" w:hAnsi="Verdana" w:cs="Arial"/>
          <w:i/>
          <w:color w:val="000000"/>
          <w:lang w:val="es-ES" w:eastAsia="es-MX"/>
        </w:rPr>
        <w:t>tercer momento</w:t>
      </w:r>
      <w:r w:rsidRPr="00C543FB">
        <w:rPr>
          <w:rFonts w:ascii="Verdana" w:eastAsia="Times New Roman" w:hAnsi="Verdana" w:cs="Arial"/>
          <w:color w:val="000000"/>
          <w:lang w:val="es-ES" w:eastAsia="es-MX"/>
        </w:rPr>
        <w:t xml:space="preserve">, siguiendo la línea trazada por la Ley 80 de 1993, el legislador expidió la Ley 1150 de 2007, que en el parágrafo 1º del artículo 5, determinó lo siguiente: </w:t>
      </w:r>
    </w:p>
    <w:p w14:paraId="7182482D" w14:textId="77777777" w:rsidR="001D65B3" w:rsidRPr="007D1D8C" w:rsidRDefault="001D65B3" w:rsidP="001D65B3">
      <w:pPr>
        <w:ind w:left="709" w:right="709"/>
        <w:jc w:val="both"/>
        <w:rPr>
          <w:rFonts w:ascii="Verdana" w:eastAsia="Times New Roman" w:hAnsi="Verdana" w:cs="Arial"/>
          <w:color w:val="000000"/>
          <w:sz w:val="20"/>
          <w:szCs w:val="20"/>
          <w:lang w:val="es-ES" w:eastAsia="es-MX"/>
        </w:rPr>
      </w:pPr>
      <w:r w:rsidRPr="007D1D8C">
        <w:rPr>
          <w:rFonts w:ascii="Verdana" w:eastAsia="Times New Roman" w:hAnsi="Verdana" w:cs="Arial"/>
          <w:color w:val="000000"/>
          <w:sz w:val="20"/>
          <w:szCs w:val="20"/>
          <w:lang w:val="es-ES" w:eastAsia="es-MX"/>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7D1D8C">
        <w:rPr>
          <w:rFonts w:ascii="Verdana" w:eastAsia="Times New Roman" w:hAnsi="Verdana" w:cs="Arial"/>
          <w:b/>
          <w:color w:val="000000"/>
          <w:sz w:val="20"/>
          <w:szCs w:val="20"/>
          <w:lang w:val="es-ES" w:eastAsia="es-MX"/>
        </w:rPr>
        <w:t xml:space="preserve">, </w:t>
      </w:r>
      <w:r w:rsidRPr="007D1D8C">
        <w:rPr>
          <w:rFonts w:ascii="Verdana" w:eastAsia="Times New Roman" w:hAnsi="Verdana" w:cs="Arial"/>
          <w:color w:val="000000"/>
          <w:sz w:val="20"/>
          <w:szCs w:val="20"/>
          <w:lang w:val="es-ES" w:eastAsia="es-MX"/>
        </w:rPr>
        <w:t xml:space="preserve">todos aquellos requisitos de la propuesta que no afecten la asignación de puntaje, podrán ser solicitados por las entidades en cualquier momento, hasta la adjudicación. No </w:t>
      </w:r>
      <w:proofErr w:type="gramStart"/>
      <w:r w:rsidRPr="007D1D8C">
        <w:rPr>
          <w:rFonts w:ascii="Verdana" w:eastAsia="Times New Roman" w:hAnsi="Verdana" w:cs="Arial"/>
          <w:color w:val="000000"/>
          <w:sz w:val="20"/>
          <w:szCs w:val="20"/>
          <w:lang w:val="es-ES" w:eastAsia="es-MX"/>
        </w:rPr>
        <w:t>obstante</w:t>
      </w:r>
      <w:proofErr w:type="gramEnd"/>
      <w:r w:rsidRPr="007D1D8C">
        <w:rPr>
          <w:rFonts w:ascii="Verdana" w:eastAsia="Times New Roman" w:hAnsi="Verdana" w:cs="Arial"/>
          <w:color w:val="000000"/>
          <w:sz w:val="20"/>
          <w:szCs w:val="20"/>
          <w:lang w:val="es-ES" w:eastAsia="es-MX"/>
        </w:rPr>
        <w:t xml:space="preserve"> lo anterior, en aquellos procesos de selección en los que se utilice el mecanismo de subasta, deberán ser solicitados hasta el momento previo a su realización. </w:t>
      </w:r>
    </w:p>
    <w:p w14:paraId="2E17D4DE" w14:textId="77777777" w:rsidR="001D65B3" w:rsidRPr="00C543FB" w:rsidRDefault="001D65B3" w:rsidP="001D65B3">
      <w:pPr>
        <w:spacing w:after="120" w:line="276" w:lineRule="auto"/>
        <w:ind w:firstLine="709"/>
        <w:jc w:val="both"/>
        <w:rPr>
          <w:rFonts w:ascii="Verdana" w:eastAsia="Times New Roman" w:hAnsi="Verdana" w:cs="Arial"/>
          <w:color w:val="000000"/>
          <w:lang w:val="es-ES" w:eastAsia="es-MX"/>
        </w:rPr>
      </w:pPr>
      <w:r w:rsidRPr="00C543FB">
        <w:rPr>
          <w:rFonts w:ascii="Verdana" w:eastAsia="Times New Roman" w:hAnsi="Verdana" w:cs="Arial"/>
          <w:color w:val="000000"/>
          <w:lang w:val="es-ES" w:eastAsia="es-MX"/>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634E1F7D" w14:textId="77777777" w:rsidR="001D65B3" w:rsidRPr="00C543FB" w:rsidRDefault="001D65B3" w:rsidP="001D65B3">
      <w:pPr>
        <w:spacing w:before="120" w:after="120" w:line="276" w:lineRule="auto"/>
        <w:ind w:firstLine="709"/>
        <w:jc w:val="both"/>
        <w:rPr>
          <w:rFonts w:ascii="Verdana" w:eastAsia="Times New Roman" w:hAnsi="Verdana" w:cs="Arial"/>
          <w:color w:val="000000"/>
          <w:lang w:val="es-ES" w:eastAsia="es-MX"/>
        </w:rPr>
      </w:pPr>
      <w:r w:rsidRPr="00C543FB">
        <w:rPr>
          <w:rFonts w:ascii="Verdana" w:eastAsia="Times New Roman" w:hAnsi="Verdana" w:cs="Arial"/>
          <w:color w:val="000000"/>
          <w:lang w:val="es-ES" w:eastAsia="es-MX"/>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471AEC41" w14:textId="77777777" w:rsidR="001D65B3" w:rsidRPr="00C543FB" w:rsidRDefault="001D65B3" w:rsidP="001D65B3">
      <w:pPr>
        <w:spacing w:before="120" w:line="276" w:lineRule="auto"/>
        <w:ind w:firstLine="709"/>
        <w:jc w:val="both"/>
        <w:rPr>
          <w:rFonts w:ascii="Verdana" w:eastAsia="Times New Roman" w:hAnsi="Verdana" w:cs="Arial"/>
          <w:color w:val="000000"/>
          <w:lang w:val="es-ES" w:eastAsia="es-MX"/>
        </w:rPr>
      </w:pPr>
      <w:r w:rsidRPr="00C543FB">
        <w:rPr>
          <w:rFonts w:ascii="Verdana" w:eastAsia="Times New Roman" w:hAnsi="Verdana" w:cs="Arial"/>
          <w:color w:val="000000"/>
          <w:lang w:val="es-ES" w:eastAsia="es-MX"/>
        </w:rPr>
        <w:t xml:space="preserve">El artículo 5 de la Ley 1150 de 2007, además de consagrar un criterio más claro, y, de paso, reducir la discrecionalidad de la Administración, fijó un ámbito temporal para la subsanación de las ofertas: «en cualquier momento, hasta la adjudicación». El Consejo de Estado concluyó que a partir del parágrafo 1º del artículo 5 de la Ley 1150, la definición de lo que es subsanable y lo que no lo es </w:t>
      </w:r>
      <w:r w:rsidRPr="00C543FB">
        <w:rPr>
          <w:rFonts w:ascii="Verdana" w:eastAsia="Times New Roman" w:hAnsi="Verdana" w:cs="Arial"/>
          <w:color w:val="000000"/>
          <w:lang w:val="es-ES" w:eastAsia="es-MX"/>
        </w:rPr>
        <w:lastRenderedPageBreak/>
        <w:t xml:space="preserve">surge a partir del planteamiento de la pregunta sobre si el defecto asigna puntaje o no, en estos términos: </w:t>
      </w:r>
    </w:p>
    <w:p w14:paraId="6EE65E64" w14:textId="77777777" w:rsidR="001D65B3" w:rsidRPr="007D1D8C" w:rsidRDefault="001D65B3" w:rsidP="001D65B3">
      <w:pPr>
        <w:ind w:left="709" w:right="709"/>
        <w:jc w:val="both"/>
        <w:rPr>
          <w:rFonts w:ascii="Verdana" w:eastAsia="Times New Roman" w:hAnsi="Verdana" w:cs="Arial"/>
          <w:color w:val="000000"/>
          <w:sz w:val="20"/>
          <w:szCs w:val="20"/>
          <w:lang w:val="es-ES" w:eastAsia="es-MX"/>
        </w:rPr>
      </w:pPr>
      <w:r w:rsidRPr="007D1D8C">
        <w:rPr>
          <w:rFonts w:ascii="Verdana" w:eastAsia="Times New Roman" w:hAnsi="Verdana" w:cs="Arial"/>
          <w:color w:val="000000"/>
          <w:sz w:val="20"/>
          <w:szCs w:val="20"/>
          <w:lang w:val="es-ES" w:eastAsia="es-MX"/>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7D1D8C">
        <w:rPr>
          <w:rFonts w:ascii="Verdana" w:eastAsia="Times New Roman" w:hAnsi="Verdana" w:cs="Arial"/>
          <w:color w:val="000000"/>
          <w:sz w:val="20"/>
          <w:szCs w:val="20"/>
          <w:vertAlign w:val="superscript"/>
          <w:lang w:val="es-ES" w:eastAsia="es-MX"/>
        </w:rPr>
        <w:footnoteReference w:id="21"/>
      </w:r>
      <w:r w:rsidRPr="007D1D8C">
        <w:rPr>
          <w:rFonts w:ascii="Verdana" w:eastAsia="Times New Roman" w:hAnsi="Verdana" w:cs="Arial"/>
          <w:color w:val="000000"/>
          <w:sz w:val="20"/>
          <w:szCs w:val="20"/>
          <w:lang w:val="es-ES" w:eastAsia="es-MX"/>
        </w:rPr>
        <w:t>.</w:t>
      </w:r>
    </w:p>
    <w:p w14:paraId="16C007EF" w14:textId="77777777" w:rsidR="001D65B3" w:rsidRPr="00C543FB" w:rsidRDefault="001D65B3" w:rsidP="001D65B3">
      <w:pPr>
        <w:tabs>
          <w:tab w:val="left" w:pos="284"/>
        </w:tabs>
        <w:spacing w:after="120" w:line="276" w:lineRule="auto"/>
        <w:ind w:firstLine="709"/>
        <w:jc w:val="both"/>
        <w:rPr>
          <w:rFonts w:ascii="Verdana" w:eastAsia="Calibri" w:hAnsi="Verdana" w:cs="Arial"/>
          <w:color w:val="000000"/>
          <w:lang w:val="es-ES"/>
        </w:rPr>
      </w:pPr>
      <w:r w:rsidRPr="00C543FB">
        <w:rPr>
          <w:rFonts w:ascii="Verdana" w:eastAsia="Calibri" w:hAnsi="Verdana" w:cs="Arial"/>
          <w:color w:val="000000"/>
          <w:lang w:val="es-ES"/>
        </w:rPr>
        <w:t xml:space="preserve">Esa interpretación fue compartida por la </w:t>
      </w:r>
      <w:r w:rsidRPr="00C543FB">
        <w:rPr>
          <w:rFonts w:ascii="Verdana" w:eastAsia="MS Mincho" w:hAnsi="Verdana" w:cs="Arial"/>
          <w:color w:val="000000"/>
          <w:lang w:val="es-ES" w:eastAsia="es-CO"/>
        </w:rPr>
        <w:t>Agencia Nacional de Contratación Pública – Colombia Compra Eficiente</w:t>
      </w:r>
      <w:r w:rsidRPr="00C543FB">
        <w:rPr>
          <w:rFonts w:ascii="Verdana" w:eastAsia="Calibri" w:hAnsi="Verdana" w:cs="Arial"/>
          <w:color w:val="000000"/>
          <w:lang w:val="es-ES"/>
        </w:rPr>
        <w:t xml:space="preserve">, pues en la Circular Externa Única se precisó </w:t>
      </w:r>
      <w:proofErr w:type="gramStart"/>
      <w:r w:rsidRPr="00C543FB">
        <w:rPr>
          <w:rFonts w:ascii="Verdana" w:eastAsia="Calibri" w:hAnsi="Verdana" w:cs="Arial"/>
          <w:color w:val="000000"/>
          <w:lang w:val="es-ES"/>
        </w:rPr>
        <w:t>que</w:t>
      </w:r>
      <w:proofErr w:type="gramEnd"/>
      <w:r w:rsidRPr="00C543FB">
        <w:rPr>
          <w:rFonts w:ascii="Verdana" w:eastAsia="Calibri" w:hAnsi="Verdana" w:cs="Arial"/>
          <w:color w:val="000000"/>
          <w:lang w:val="es-ES"/>
        </w:rPr>
        <w:t xml:space="preserve"> si durante un proceso de contratación hay proponentes que no acreditaron en sus ofertas requisitos que no afectan la asignación de puntaje o la comparación de </w:t>
      </w:r>
      <w:proofErr w:type="gramStart"/>
      <w:r w:rsidRPr="00C543FB">
        <w:rPr>
          <w:rFonts w:ascii="Verdana" w:eastAsia="Calibri" w:hAnsi="Verdana" w:cs="Arial"/>
          <w:color w:val="000000"/>
          <w:lang w:val="es-ES"/>
        </w:rPr>
        <w:t>las mismas</w:t>
      </w:r>
      <w:proofErr w:type="gramEnd"/>
      <w:r w:rsidRPr="00C543FB">
        <w:rPr>
          <w:rFonts w:ascii="Verdana" w:eastAsia="Calibri" w:hAnsi="Verdana" w:cs="Arial"/>
          <w:color w:val="000000"/>
          <w:lang w:val="es-ES"/>
        </w:rPr>
        <w:t>, la entidad estatal deberá indicarlo en el informe de evaluación y advertir que la correspondiente oferta no será evaluada hasta que se subsane.</w:t>
      </w:r>
    </w:p>
    <w:p w14:paraId="5FFD1AFD" w14:textId="77777777" w:rsidR="001D65B3" w:rsidRPr="00C543FB" w:rsidRDefault="001D65B3" w:rsidP="001D65B3">
      <w:pPr>
        <w:tabs>
          <w:tab w:val="left" w:pos="284"/>
        </w:tabs>
        <w:spacing w:before="120" w:line="276" w:lineRule="auto"/>
        <w:ind w:firstLine="709"/>
        <w:jc w:val="both"/>
        <w:rPr>
          <w:rFonts w:ascii="Verdana" w:eastAsia="MS Mincho" w:hAnsi="Verdana" w:cs="Arial"/>
          <w:color w:val="000000"/>
          <w:lang w:val="es-ES"/>
        </w:rPr>
      </w:pPr>
      <w:r w:rsidRPr="00C543FB">
        <w:rPr>
          <w:rFonts w:ascii="Verdana" w:eastAsia="MS Mincho" w:hAnsi="Verdana" w:cs="Arial"/>
          <w:color w:val="000000"/>
          <w:lang w:val="es-ES" w:eastAsia="es-CO"/>
        </w:rPr>
        <w:t xml:space="preserve">En un </w:t>
      </w:r>
      <w:r w:rsidRPr="00C543FB">
        <w:rPr>
          <w:rFonts w:ascii="Verdana" w:eastAsia="MS Mincho" w:hAnsi="Verdana" w:cs="Arial"/>
          <w:i/>
          <w:iCs/>
          <w:color w:val="000000"/>
          <w:lang w:val="es-ES" w:eastAsia="es-CO"/>
        </w:rPr>
        <w:t>cuarto momento</w:t>
      </w:r>
      <w:r w:rsidRPr="00C543FB">
        <w:rPr>
          <w:rFonts w:ascii="Verdana" w:eastAsia="MS Mincho" w:hAnsi="Verdana" w:cs="Arial"/>
          <w:color w:val="000000"/>
          <w:lang w:val="es-ES" w:eastAsia="es-CO"/>
        </w:rPr>
        <w:t xml:space="preserve">, el legislador expidió la Ley 1882 de 2018, con la finalidad de introducir cambios y ajustes para fortalecer la contratación pública. El artículo 5 modificó el parágrafo 1º y adicionó algunos otros, entre ellos el 4° del artículo 5 de la Ley 1150 de 2007: </w:t>
      </w:r>
    </w:p>
    <w:p w14:paraId="0C013A79" w14:textId="77777777" w:rsidR="001D65B3" w:rsidRPr="00547A08" w:rsidRDefault="001D65B3" w:rsidP="001D65B3">
      <w:pPr>
        <w:ind w:left="709" w:right="709"/>
        <w:jc w:val="both"/>
        <w:rPr>
          <w:rFonts w:ascii="Verdana" w:eastAsia="Times New Roman" w:hAnsi="Verdana" w:cs="Arial"/>
          <w:color w:val="000000"/>
          <w:sz w:val="20"/>
          <w:szCs w:val="20"/>
          <w:lang w:val="es-ES" w:eastAsia="es-MX"/>
        </w:rPr>
      </w:pPr>
      <w:r w:rsidRPr="00547A08">
        <w:rPr>
          <w:rFonts w:ascii="Verdana" w:eastAsia="Times New Roman" w:hAnsi="Verdana" w:cs="Arial"/>
          <w:color w:val="000000"/>
          <w:sz w:val="20"/>
          <w:szCs w:val="20"/>
          <w:lang w:val="es-ES" w:eastAsia="es-MX"/>
        </w:rPr>
        <w:t xml:space="preserve">Artículo 5°. De la selección objetiva. </w:t>
      </w:r>
    </w:p>
    <w:p w14:paraId="262CF047" w14:textId="77777777" w:rsidR="001D65B3" w:rsidRPr="00547A08" w:rsidRDefault="001D65B3" w:rsidP="001D65B3">
      <w:pPr>
        <w:spacing w:after="120"/>
        <w:ind w:left="709" w:right="709"/>
        <w:jc w:val="both"/>
        <w:rPr>
          <w:rFonts w:ascii="Verdana" w:eastAsia="Times New Roman" w:hAnsi="Verdana" w:cs="Arial"/>
          <w:color w:val="000000"/>
          <w:sz w:val="20"/>
          <w:szCs w:val="20"/>
          <w:lang w:val="es-ES" w:eastAsia="es-MX"/>
        </w:rPr>
      </w:pPr>
      <w:r w:rsidRPr="00547A08">
        <w:rPr>
          <w:rFonts w:ascii="Verdana" w:eastAsia="Times New Roman" w:hAnsi="Verdana" w:cs="Arial"/>
          <w:color w:val="000000"/>
          <w:sz w:val="20"/>
          <w:szCs w:val="20"/>
          <w:lang w:val="es-ES" w:eastAsia="es-MX"/>
        </w:rPr>
        <w:t>[...]</w:t>
      </w:r>
    </w:p>
    <w:p w14:paraId="250A8FBD" w14:textId="77777777" w:rsidR="001D65B3" w:rsidRPr="00547A08" w:rsidRDefault="001D65B3" w:rsidP="001D65B3">
      <w:pPr>
        <w:ind w:left="709" w:right="709"/>
        <w:jc w:val="both"/>
        <w:rPr>
          <w:rFonts w:ascii="Verdana" w:eastAsia="Times New Roman" w:hAnsi="Verdana" w:cs="Arial"/>
          <w:color w:val="000000"/>
          <w:sz w:val="20"/>
          <w:szCs w:val="20"/>
          <w:lang w:val="es-ES" w:eastAsia="es-MX"/>
        </w:rPr>
      </w:pPr>
      <w:r w:rsidRPr="00547A08">
        <w:rPr>
          <w:rFonts w:ascii="Verdana" w:eastAsia="Times New Roman" w:hAnsi="Verdana" w:cs="Arial"/>
          <w:color w:val="000000"/>
          <w:sz w:val="20"/>
          <w:szCs w:val="20"/>
          <w:lang w:val="es-ES" w:eastAsia="es-MX"/>
        </w:rPr>
        <w:t xml:space="preserve">Parágrafo 1º. La ausencia de requisitos o la falta de documentos referentes a la futura contratación o al proponente, no necesarios para la </w:t>
      </w:r>
      <w:bookmarkStart w:id="11" w:name="_Hlk71479674"/>
      <w:r w:rsidRPr="00547A08">
        <w:rPr>
          <w:rFonts w:ascii="Verdana" w:eastAsia="Times New Roman" w:hAnsi="Verdana" w:cs="Arial"/>
          <w:color w:val="000000"/>
          <w:sz w:val="20"/>
          <w:szCs w:val="20"/>
          <w:lang w:val="es-ES" w:eastAsia="es-MX"/>
        </w:rPr>
        <w:t>comparación de las propuestas</w:t>
      </w:r>
      <w:bookmarkEnd w:id="11"/>
      <w:r w:rsidRPr="00547A08">
        <w:rPr>
          <w:rFonts w:ascii="Verdana" w:eastAsia="Times New Roman" w:hAnsi="Verdana" w:cs="Arial"/>
          <w:color w:val="000000"/>
          <w:sz w:val="20"/>
          <w:szCs w:val="20"/>
          <w:lang w:val="es-ES" w:eastAsia="es-MX"/>
        </w:rPr>
        <w:t xml:space="preserve">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w:t>
      </w:r>
      <w:r w:rsidRPr="00547A08">
        <w:rPr>
          <w:rFonts w:ascii="Verdana" w:eastAsia="Times New Roman" w:hAnsi="Verdana" w:cs="Arial"/>
          <w:color w:val="000000"/>
          <w:sz w:val="20"/>
          <w:szCs w:val="20"/>
          <w:lang w:val="es-ES" w:eastAsia="es-MX"/>
        </w:rPr>
        <w:lastRenderedPageBreak/>
        <w:t xml:space="preserve">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21390520" w14:textId="77777777" w:rsidR="001D65B3" w:rsidRPr="00C543FB" w:rsidRDefault="001D65B3" w:rsidP="001D65B3">
      <w:pPr>
        <w:spacing w:after="120" w:line="276" w:lineRule="auto"/>
        <w:ind w:firstLine="709"/>
        <w:jc w:val="both"/>
        <w:rPr>
          <w:rFonts w:ascii="Verdana" w:eastAsia="Times New Roman" w:hAnsi="Verdana" w:cs="Arial"/>
          <w:color w:val="000000"/>
          <w:lang w:val="es-ES" w:eastAsia="es-MX"/>
        </w:rPr>
      </w:pPr>
      <w:r w:rsidRPr="00C543FB">
        <w:rPr>
          <w:rFonts w:ascii="Verdana" w:eastAsia="Times New Roman" w:hAnsi="Verdana" w:cs="Arial"/>
          <w:color w:val="000000"/>
          <w:lang w:val="es-ES" w:eastAsia="es-MX"/>
        </w:rPr>
        <w:t xml:space="preserve">Esta norma: i) mantiene el criterio de la Ley 80 de 1993, relativo a que todo lo que no sea necesario para la comparación de propuestas no es título suficiente para su rechazo; </w:t>
      </w:r>
      <w:proofErr w:type="spellStart"/>
      <w:r w:rsidRPr="00C543FB">
        <w:rPr>
          <w:rFonts w:ascii="Verdana" w:eastAsia="Times New Roman" w:hAnsi="Verdana" w:cs="Arial"/>
          <w:color w:val="000000"/>
          <w:lang w:val="es-ES" w:eastAsia="es-MX"/>
        </w:rPr>
        <w:t>ii</w:t>
      </w:r>
      <w:proofErr w:type="spellEnd"/>
      <w:r w:rsidRPr="00C543FB">
        <w:rPr>
          <w:rFonts w:ascii="Verdana" w:eastAsia="Times New Roman" w:hAnsi="Verdana" w:cs="Arial"/>
          <w:color w:val="000000"/>
          <w:lang w:val="es-ES" w:eastAsia="es-MX"/>
        </w:rPr>
        <w:t xml:space="preserve">) mantiene el criterio aclaratorio de la Ley 1150 de 2007, según el cual todo lo que no afecte la asignación de puntaje puede subsanarse y, </w:t>
      </w:r>
      <w:proofErr w:type="spellStart"/>
      <w:r w:rsidRPr="00C543FB">
        <w:rPr>
          <w:rFonts w:ascii="Verdana" w:eastAsia="Times New Roman" w:hAnsi="Verdana" w:cs="Arial"/>
          <w:color w:val="000000"/>
          <w:lang w:val="es-ES" w:eastAsia="es-MX"/>
        </w:rPr>
        <w:t>iii</w:t>
      </w:r>
      <w:proofErr w:type="spellEnd"/>
      <w:r w:rsidRPr="00C543FB">
        <w:rPr>
          <w:rFonts w:ascii="Verdana" w:eastAsia="Times New Roman" w:hAnsi="Verdana" w:cs="Arial"/>
          <w:color w:val="000000"/>
          <w:lang w:val="es-ES" w:eastAsia="es-MX"/>
        </w:rPr>
        <w:t>) introduce modificaciones en relación con tres (3) aspectos que se analizarán a continuación:</w:t>
      </w:r>
    </w:p>
    <w:p w14:paraId="238670B2" w14:textId="77777777" w:rsidR="001D65B3" w:rsidRPr="00C543FB" w:rsidRDefault="001D65B3" w:rsidP="001D65B3">
      <w:pPr>
        <w:spacing w:after="120" w:line="276" w:lineRule="auto"/>
        <w:ind w:firstLine="709"/>
        <w:jc w:val="both"/>
        <w:rPr>
          <w:rFonts w:ascii="Verdana" w:eastAsia="Arial" w:hAnsi="Verdana" w:cs="Arial"/>
          <w:color w:val="000000"/>
          <w:lang w:val="es-ES" w:eastAsia="es-MX"/>
        </w:rPr>
      </w:pPr>
      <w:r w:rsidRPr="00C543FB">
        <w:rPr>
          <w:rFonts w:ascii="Verdana" w:eastAsia="Arial" w:hAnsi="Verdana" w:cs="Arial"/>
          <w:color w:val="000000"/>
          <w:lang w:val="es-ES" w:eastAsia="es-MX"/>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 subsanables deben solicitarse, como límite final, hasta el momento previo a su realización</w:t>
      </w:r>
      <w:r w:rsidRPr="00C543FB">
        <w:rPr>
          <w:rFonts w:ascii="Verdana" w:eastAsia="Arial" w:hAnsi="Verdana" w:cs="Arial"/>
          <w:color w:val="000000"/>
          <w:vertAlign w:val="superscript"/>
          <w:lang w:val="es-ES" w:eastAsia="es-MX"/>
        </w:rPr>
        <w:footnoteReference w:id="22"/>
      </w:r>
      <w:r w:rsidRPr="00C543FB">
        <w:rPr>
          <w:rFonts w:ascii="Verdana" w:eastAsia="Arial" w:hAnsi="Verdana" w:cs="Arial"/>
          <w:color w:val="000000"/>
          <w:lang w:val="es-ES" w:eastAsia="es-MX"/>
        </w:rPr>
        <w:t>.</w:t>
      </w:r>
    </w:p>
    <w:p w14:paraId="779E2EDB" w14:textId="77777777" w:rsidR="001D65B3" w:rsidRPr="00C543FB" w:rsidRDefault="001D65B3" w:rsidP="001D65B3">
      <w:pPr>
        <w:spacing w:after="120" w:line="276" w:lineRule="auto"/>
        <w:ind w:firstLine="709"/>
        <w:jc w:val="both"/>
        <w:rPr>
          <w:rFonts w:ascii="Verdana" w:eastAsia="Arial" w:hAnsi="Verdana" w:cs="Arial"/>
          <w:color w:val="000000"/>
          <w:lang w:val="es-ES" w:eastAsia="es-MX"/>
        </w:rPr>
      </w:pPr>
      <w:r w:rsidRPr="00C543FB">
        <w:rPr>
          <w:rFonts w:ascii="Verdana" w:eastAsia="Times New Roman" w:hAnsi="Verdana" w:cs="Arial"/>
          <w:color w:val="000000"/>
          <w:shd w:val="clear" w:color="auto" w:fill="FFFFFF"/>
          <w:lang w:val="es-ES" w:eastAsia="es-MX"/>
        </w:rPr>
        <w:t>Frente a la regla general, como se explica en el Concepto CU-060 del 24 de febrero de 2020,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p>
    <w:p w14:paraId="0A7891BB" w14:textId="77777777" w:rsidR="001D65B3" w:rsidRPr="00C543FB" w:rsidRDefault="001D65B3" w:rsidP="001D65B3">
      <w:pPr>
        <w:spacing w:after="120" w:line="276" w:lineRule="auto"/>
        <w:ind w:firstLine="720"/>
        <w:jc w:val="both"/>
        <w:rPr>
          <w:rFonts w:ascii="Verdana" w:eastAsia="Calibri" w:hAnsi="Verdana" w:cs="Arial"/>
          <w:color w:val="000000"/>
          <w:lang w:val="es-ES" w:eastAsia="es-MX"/>
        </w:rPr>
      </w:pPr>
      <w:r w:rsidRPr="00C543FB">
        <w:rPr>
          <w:rFonts w:ascii="Verdana" w:eastAsia="Arial" w:hAnsi="Verdana" w:cs="Arial"/>
          <w:color w:val="000000"/>
          <w:lang w:val="es-ES" w:eastAsia="es-MX"/>
        </w:rPr>
        <w:t xml:space="preserve">De otro lado, el segundo cambio importante de la Ley 1882 de 2018 </w:t>
      </w:r>
      <w:r w:rsidRPr="00C543FB">
        <w:rPr>
          <w:rFonts w:ascii="Verdana" w:eastAsia="Calibri" w:hAnsi="Verdana" w:cs="Arial"/>
          <w:color w:val="000000"/>
          <w:lang w:val="es-ES" w:eastAsia="es-MX"/>
        </w:rPr>
        <w:t xml:space="preserve">es el correspondiente a la garantía de seriedad. El parágrafo 3 del artículo 5 de la Ley 1150 de 2007, adicionado por el artículo 5 de la Ley 1882 de 2018 dispone que la falta de entrega de la garantía de seriedad es insubsanable. Al respecto, la </w:t>
      </w:r>
      <w:r w:rsidRPr="00C543FB">
        <w:rPr>
          <w:rFonts w:ascii="Verdana" w:eastAsia="Calibri" w:hAnsi="Verdana" w:cs="Arial"/>
          <w:color w:val="000000"/>
          <w:lang w:val="es-ES" w:eastAsia="es-MX"/>
        </w:rPr>
        <w:lastRenderedPageBreak/>
        <w:t xml:space="preserve">norma prescribe lo siguiente: </w:t>
      </w:r>
      <w:r>
        <w:rPr>
          <w:rFonts w:ascii="Verdana" w:eastAsia="Calibri" w:hAnsi="Verdana" w:cs="Arial"/>
          <w:color w:val="000000"/>
          <w:lang w:val="es-ES" w:eastAsia="es-MX"/>
        </w:rPr>
        <w:t>“</w:t>
      </w:r>
      <w:r w:rsidRPr="00C543FB">
        <w:rPr>
          <w:rFonts w:ascii="Verdana" w:eastAsia="Calibri" w:hAnsi="Verdana" w:cs="Arial"/>
          <w:color w:val="000000"/>
          <w:lang w:val="es-ES" w:eastAsia="es-MX"/>
        </w:rPr>
        <w:t>PARÁGRAFO 3o. La no entrega de la garantía de seriedad junto con la propuesta no será subsanable y será causal de rechazo de la misma</w:t>
      </w:r>
      <w:r>
        <w:rPr>
          <w:rFonts w:ascii="Verdana" w:eastAsia="Calibri" w:hAnsi="Verdana" w:cs="Arial"/>
          <w:color w:val="000000"/>
          <w:lang w:val="es-ES" w:eastAsia="es-MX"/>
        </w:rPr>
        <w:t>”</w:t>
      </w:r>
      <w:r w:rsidRPr="00C543FB">
        <w:rPr>
          <w:rFonts w:ascii="Verdana" w:eastAsia="Calibri" w:hAnsi="Verdana" w:cs="Arial"/>
          <w:color w:val="000000"/>
          <w:lang w:val="es-ES" w:eastAsia="es-MX"/>
        </w:rPr>
        <w:t>.</w:t>
      </w:r>
    </w:p>
    <w:p w14:paraId="4E7B6450" w14:textId="77777777" w:rsidR="001D65B3" w:rsidRPr="00C543FB" w:rsidRDefault="001D65B3" w:rsidP="001D65B3">
      <w:pPr>
        <w:spacing w:line="276" w:lineRule="auto"/>
        <w:ind w:firstLine="709"/>
        <w:jc w:val="both"/>
        <w:rPr>
          <w:rFonts w:ascii="Verdana" w:eastAsia="Times New Roman" w:hAnsi="Verdana" w:cs="Arial"/>
          <w:bdr w:val="none" w:sz="0" w:space="0" w:color="auto" w:frame="1"/>
          <w:lang w:val="es-ES" w:eastAsia="es-MX"/>
        </w:rPr>
      </w:pPr>
      <w:r>
        <w:rPr>
          <w:rFonts w:ascii="Verdana" w:eastAsia="Arial" w:hAnsi="Verdana" w:cs="Arial"/>
          <w:color w:val="000000"/>
          <w:lang w:val="es-ES" w:eastAsia="es-MX"/>
        </w:rPr>
        <w:t>E</w:t>
      </w:r>
      <w:r w:rsidRPr="00C543FB">
        <w:rPr>
          <w:rFonts w:ascii="Verdana" w:eastAsia="Arial" w:hAnsi="Verdana" w:cs="Arial"/>
          <w:color w:val="000000"/>
          <w:lang w:val="es-ES" w:eastAsia="es-MX"/>
        </w:rPr>
        <w:t xml:space="preserve">l último cambio importante de la Ley 1882 de 2018 fue la introducción de un criterio material, directamente relacionado con los aspectos subsanables: </w:t>
      </w:r>
      <w:r>
        <w:rPr>
          <w:rFonts w:ascii="Verdana" w:eastAsia="Arial" w:hAnsi="Verdana" w:cs="Arial"/>
          <w:i/>
          <w:iCs/>
          <w:color w:val="000000"/>
          <w:lang w:val="es-ES" w:eastAsia="es-MX"/>
        </w:rPr>
        <w:t>“</w:t>
      </w:r>
      <w:r w:rsidRPr="00C543FB">
        <w:rPr>
          <w:rFonts w:ascii="Verdana" w:eastAsia="Arial" w:hAnsi="Verdana" w:cs="Arial"/>
          <w:color w:val="000000"/>
          <w:lang w:val="es-ES" w:eastAsia="es-MX"/>
        </w:rPr>
        <w:t>los proponentes no podrán acreditar circunstancias ocurridas con posterioridad al cierre del proceso</w:t>
      </w:r>
      <w:r>
        <w:rPr>
          <w:rFonts w:ascii="Verdana" w:eastAsia="Arial" w:hAnsi="Verdana" w:cs="Arial"/>
          <w:color w:val="000000"/>
          <w:lang w:val="es-ES" w:eastAsia="es-MX"/>
        </w:rPr>
        <w:t>”</w:t>
      </w:r>
      <w:r w:rsidRPr="00C543FB">
        <w:rPr>
          <w:rFonts w:ascii="Verdana" w:eastAsia="Arial" w:hAnsi="Verdana" w:cs="Arial"/>
          <w:b/>
          <w:bCs/>
          <w:color w:val="000000"/>
          <w:lang w:val="es-ES" w:eastAsia="es-MX"/>
        </w:rPr>
        <w:t>.</w:t>
      </w:r>
      <w:r w:rsidRPr="00C543FB">
        <w:rPr>
          <w:rFonts w:ascii="Verdana" w:eastAsia="Times New Roman" w:hAnsi="Verdana" w:cs="Arial"/>
          <w:bdr w:val="none" w:sz="0" w:space="0" w:color="auto" w:frame="1"/>
          <w:lang w:val="es-ES" w:eastAsia="es-MX"/>
        </w:rPr>
        <w:t xml:space="preserve"> Esta regla tiene una finalidad particular, y es que, al momento de presentar la oferta, el proponente la deberá hacerlo de forma íntegra y así evitar que a lo largo del procedimiento contractual complete o adicione su propuesta, conforme mejora su situación particular. En términos del Consejo de Estado:</w:t>
      </w:r>
    </w:p>
    <w:p w14:paraId="6EC41F6F" w14:textId="77777777" w:rsidR="001D65B3" w:rsidRPr="00547A08" w:rsidRDefault="001D65B3" w:rsidP="001D65B3">
      <w:pPr>
        <w:tabs>
          <w:tab w:val="left" w:pos="426"/>
        </w:tabs>
        <w:ind w:left="709" w:right="709"/>
        <w:jc w:val="both"/>
        <w:rPr>
          <w:rFonts w:ascii="Verdana" w:eastAsia="Arial" w:hAnsi="Verdana" w:cs="Arial"/>
          <w:color w:val="000000"/>
          <w:sz w:val="20"/>
          <w:szCs w:val="20"/>
          <w:lang w:val="es-ES" w:eastAsia="es-MX"/>
        </w:rPr>
      </w:pPr>
      <w:r w:rsidRPr="00547A08">
        <w:rPr>
          <w:rFonts w:ascii="Verdana" w:eastAsia="Arial" w:hAnsi="Verdana" w:cs="Arial"/>
          <w:color w:val="000000"/>
          <w:sz w:val="20"/>
          <w:szCs w:val="20"/>
          <w:lang w:val="es-ES" w:eastAsia="es-MX"/>
        </w:rPr>
        <w:t>[…] no es posible que el oferente vaya mejorando, completando, adicionando, modificando o estructurando su propuesta a lo largo del proceso contractual según vaya evolucionando su situación particular en el mismo, pues como se establece en el numeral 6º del artículo 30 de la Ley 80 de 1993, “las propuestas deben referirse y sujetarse a todos y cada uno de los puntos contenidos en el pliego de condiciones”, es decir, todos los elementos del negocio jurídico exigidos en los pliegos de condiciones. Dicho de otra forma, el oferente tiene la carga de presentar su oferta en forma íntegra, esto es, respondiendo todos los puntos del pliego de condiciones y adjuntando todos los documentos de soporte o prueba de las condiciones habilitantes y de los elementos de su oferta, de manera que la entidad licitante pueda, con economía de medios, evaluarla lo más eficientemente posible, y sólo si hace falta algún requisito o un documento, la administración puede requerirlo del oferente.</w:t>
      </w:r>
      <w:r w:rsidRPr="00547A08">
        <w:rPr>
          <w:rFonts w:ascii="Verdana" w:eastAsia="Arial" w:hAnsi="Verdana" w:cs="Arial"/>
          <w:color w:val="000000"/>
          <w:sz w:val="20"/>
          <w:szCs w:val="20"/>
          <w:vertAlign w:val="superscript"/>
          <w:lang w:val="es-ES" w:eastAsia="es-MX"/>
        </w:rPr>
        <w:footnoteReference w:id="23"/>
      </w:r>
    </w:p>
    <w:p w14:paraId="74F6E560" w14:textId="77777777" w:rsidR="001D65B3" w:rsidRDefault="001D65B3" w:rsidP="001D65B3">
      <w:pPr>
        <w:spacing w:line="276" w:lineRule="auto"/>
        <w:ind w:firstLine="708"/>
        <w:jc w:val="both"/>
        <w:rPr>
          <w:rFonts w:ascii="Verdana" w:eastAsia="Calibri" w:hAnsi="Verdana" w:cs="Arial"/>
        </w:rPr>
      </w:pPr>
      <w:r>
        <w:rPr>
          <w:rFonts w:ascii="Verdana" w:eastAsia="Calibri" w:hAnsi="Verdana" w:cs="Arial"/>
        </w:rPr>
        <w:t xml:space="preserve">De esta manera, </w:t>
      </w:r>
      <w:r w:rsidRPr="00B75683">
        <w:rPr>
          <w:rFonts w:ascii="Verdana" w:eastAsia="Calibri" w:hAnsi="Verdana" w:cs="Arial"/>
        </w:rPr>
        <w:t>los requisitos habilitantes que no afectan la asignación de puntaje pueden ser subsanados, siempre que la información subsanada corresponda a hechos ocurridos antes del cierre del proceso de selección. En el caso de los perfiles profesionales, si estos no cumplen con los requisitos establecidos, el proponente puede presentar nuevos profesionales durante la etapa de subsanación, siempre que se demuestre que estos cumplían con los requisitos desde antes del cierre del proceso</w:t>
      </w:r>
      <w:r w:rsidRPr="004C6846">
        <w:rPr>
          <w:rFonts w:ascii="Verdana" w:eastAsia="Calibri" w:hAnsi="Verdana" w:cs="Arial"/>
        </w:rPr>
        <w:t xml:space="preserve">. </w:t>
      </w:r>
    </w:p>
    <w:p w14:paraId="3ECA7E0C" w14:textId="77777777" w:rsidR="001D65B3" w:rsidRDefault="001D65B3" w:rsidP="001D65B3">
      <w:pPr>
        <w:spacing w:line="276" w:lineRule="auto"/>
        <w:ind w:firstLine="708"/>
        <w:jc w:val="both"/>
        <w:rPr>
          <w:rFonts w:ascii="Verdana" w:eastAsia="Calibri" w:hAnsi="Verdana" w:cs="Arial"/>
          <w:bCs/>
          <w:color w:val="000000" w:themeColor="text1"/>
        </w:rPr>
      </w:pPr>
      <w:r>
        <w:rPr>
          <w:rFonts w:ascii="Verdana" w:eastAsia="Calibri" w:hAnsi="Verdana" w:cs="Arial"/>
        </w:rPr>
        <w:lastRenderedPageBreak/>
        <w:t>Ahora bien, e</w:t>
      </w:r>
      <w:r w:rsidRPr="00E85A8F">
        <w:rPr>
          <w:rFonts w:ascii="Verdana" w:eastAsia="Calibri" w:hAnsi="Verdana" w:cs="Arial"/>
        </w:rPr>
        <w:t>l Manual para determinar y verificar los requisitos habilitantes en los Procesos de Contratación, elaborado por Colombia Compra Eficiente</w:t>
      </w:r>
      <w:r>
        <w:rPr>
          <w:rStyle w:val="Refdenotaalpie"/>
          <w:rFonts w:ascii="Verdana" w:eastAsia="Calibri" w:hAnsi="Verdana" w:cs="Arial"/>
        </w:rPr>
        <w:footnoteReference w:id="24"/>
      </w:r>
      <w:r w:rsidRPr="00E85A8F">
        <w:rPr>
          <w:rFonts w:ascii="Verdana" w:eastAsia="Calibri" w:hAnsi="Verdana" w:cs="Arial"/>
        </w:rPr>
        <w:t xml:space="preserve">, constituye una herramienta técnica fundamental para las entidades estatales y los proponentes, ya que establece criterios claros y uniformes sobre cómo definir, exigir y verificar los requisitos habilitantes en los distintos procesos de selección. Este manual orienta a las entidades para que dichos requisitos respondan a la naturaleza del objeto contractual, se ajusten al principio de proporcionalidad y no constituyan barreras injustificadas al acceso. Además, delimita con precisión cuáles documentos pueden ser objeto de subsanación, brindando seguridad jurídica en la evaluación de ofertas. Por lo tanto, se recomienda su consulta </w:t>
      </w:r>
      <w:r>
        <w:rPr>
          <w:rFonts w:ascii="Verdana" w:eastAsia="Calibri" w:hAnsi="Verdana" w:cs="Arial"/>
        </w:rPr>
        <w:t xml:space="preserve">en el sitio web: </w:t>
      </w:r>
      <w:hyperlink r:id="rId13" w:history="1">
        <w:r w:rsidRPr="00B47936">
          <w:rPr>
            <w:rStyle w:val="Hipervnculo"/>
            <w:rFonts w:ascii="Verdana" w:eastAsia="Calibri" w:hAnsi="Verdana" w:cs="Arial"/>
            <w:color w:val="227ACB"/>
          </w:rPr>
          <w:t>https://www.colombiacompra</w:t>
        </w:r>
      </w:hyperlink>
      <w:r w:rsidRPr="00B47936">
        <w:rPr>
          <w:rFonts w:ascii="Verdana" w:eastAsia="Calibri" w:hAnsi="Verdana" w:cs="Arial"/>
          <w:color w:val="227ACB"/>
          <w:u w:val="single"/>
        </w:rPr>
        <w:t>. gov.co/archivos/manual/manual-para-determinar-y-verificar-los-requisitos-habilitantes-en-los-procesos-de-contratacion.</w:t>
      </w:r>
    </w:p>
    <w:bookmarkEnd w:id="1"/>
    <w:bookmarkEnd w:id="2"/>
    <w:p w14:paraId="79527B08" w14:textId="77777777" w:rsidR="001D65B3" w:rsidRDefault="001D65B3" w:rsidP="001D65B3">
      <w:pPr>
        <w:spacing w:after="0" w:line="276" w:lineRule="auto"/>
        <w:ind w:firstLine="708"/>
        <w:jc w:val="both"/>
        <w:rPr>
          <w:rFonts w:ascii="Verdana" w:eastAsia="Calibri" w:hAnsi="Verdana" w:cs="Times New Roman"/>
          <w:lang w:val="es-ES"/>
        </w:rPr>
      </w:pP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para resolver problemas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w:t>
      </w:r>
      <w:r>
        <w:rPr>
          <w:rFonts w:ascii="Verdana" w:eastAsia="Calibri" w:hAnsi="Verdana" w:cs="Times New Roman"/>
          <w:lang w:val="es-ES"/>
        </w:rPr>
        <w:t>en</w:t>
      </w:r>
      <w:r w:rsidRPr="00DB4737">
        <w:rPr>
          <w:rFonts w:ascii="Verdana" w:eastAsia="Calibri" w:hAnsi="Verdana" w:cs="Times New Roman"/>
          <w:lang w:val="es-ES"/>
        </w:rPr>
        <w:t xml:space="preserve"> adoptar la decisión y, en caso de conflicto, a las autoridades judiciales, fiscales y disciplinarias</w:t>
      </w:r>
      <w:r w:rsidRPr="00CD211E">
        <w:rPr>
          <w:rFonts w:ascii="Verdana" w:eastAsia="Calibri" w:hAnsi="Verdana" w:cs="Times New Roman"/>
          <w:lang w:val="es-ES"/>
        </w:rPr>
        <w:t>.</w:t>
      </w:r>
    </w:p>
    <w:p w14:paraId="6C46D897" w14:textId="77777777" w:rsidR="001D65B3" w:rsidRPr="00DC7DA9" w:rsidRDefault="001D65B3" w:rsidP="001D65B3">
      <w:pPr>
        <w:spacing w:after="0" w:line="276" w:lineRule="auto"/>
        <w:ind w:firstLine="708"/>
        <w:jc w:val="both"/>
        <w:rPr>
          <w:rFonts w:ascii="Verdana" w:hAnsi="Verdana"/>
          <w:lang w:val="es-ES"/>
        </w:rPr>
      </w:pPr>
    </w:p>
    <w:p w14:paraId="74F00E44" w14:textId="77777777" w:rsidR="001D65B3" w:rsidRPr="00DC7DA9" w:rsidRDefault="001D65B3" w:rsidP="001D65B3">
      <w:pPr>
        <w:spacing w:line="276" w:lineRule="auto"/>
        <w:ind w:firstLine="708"/>
        <w:contextualSpacing/>
        <w:jc w:val="both"/>
        <w:rPr>
          <w:rFonts w:ascii="Verdana" w:eastAsia="Calibri" w:hAnsi="Verdana" w:cs="Times New Roman"/>
          <w:lang w:val="es-ES"/>
        </w:rPr>
      </w:pPr>
      <w:r w:rsidRPr="00AE7E03">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386038D2" w14:textId="77777777" w:rsidR="001D65B3" w:rsidRDefault="001D65B3" w:rsidP="001D65B3">
      <w:pPr>
        <w:spacing w:after="0" w:line="276" w:lineRule="auto"/>
        <w:ind w:firstLine="357"/>
        <w:jc w:val="both"/>
        <w:rPr>
          <w:rFonts w:ascii="Verdana" w:eastAsia="Verdana" w:hAnsi="Verdana" w:cs="Verdana"/>
          <w:lang w:val="es"/>
        </w:rPr>
      </w:pPr>
      <w:r>
        <w:rPr>
          <w:rFonts w:ascii="Verdana" w:hAnsi="Verdana"/>
        </w:rPr>
        <w:t xml:space="preserve">      </w:t>
      </w:r>
      <w:r w:rsidRPr="39124533">
        <w:rPr>
          <w:rFonts w:ascii="Verdana" w:eastAsia="Verdana" w:hAnsi="Verdana" w:cs="Verdana"/>
          <w:lang w:val="es"/>
        </w:rPr>
        <w:t xml:space="preserve"> </w:t>
      </w:r>
    </w:p>
    <w:p w14:paraId="5E709C57" w14:textId="77777777" w:rsidR="001D65B3" w:rsidRDefault="001D65B3" w:rsidP="001D65B3">
      <w:pPr>
        <w:spacing w:after="0" w:line="276" w:lineRule="auto"/>
        <w:ind w:firstLine="357"/>
        <w:jc w:val="both"/>
        <w:rPr>
          <w:rFonts w:ascii="Verdana" w:eastAsia="Verdana" w:hAnsi="Verdana" w:cs="Verdana"/>
          <w:lang w:val="es"/>
        </w:rPr>
      </w:pPr>
    </w:p>
    <w:p w14:paraId="212A9D75" w14:textId="77777777" w:rsidR="001D65B3" w:rsidRDefault="001D65B3" w:rsidP="001D65B3">
      <w:pPr>
        <w:spacing w:after="0" w:line="276" w:lineRule="auto"/>
        <w:ind w:firstLine="357"/>
        <w:jc w:val="both"/>
        <w:rPr>
          <w:rFonts w:ascii="Verdana" w:eastAsia="Verdana" w:hAnsi="Verdana" w:cs="Verdana"/>
          <w:lang w:val="es"/>
        </w:rPr>
      </w:pPr>
    </w:p>
    <w:p w14:paraId="7AE761E6" w14:textId="77777777" w:rsidR="001D65B3" w:rsidRPr="0015699B" w:rsidRDefault="001D65B3" w:rsidP="001D65B3">
      <w:pPr>
        <w:spacing w:after="0" w:line="276" w:lineRule="auto"/>
        <w:ind w:firstLine="357"/>
        <w:jc w:val="both"/>
        <w:rPr>
          <w:rFonts w:ascii="Verdana" w:eastAsia="Verdana" w:hAnsi="Verdana" w:cs="Verdana"/>
          <w:lang w:val="es"/>
        </w:rPr>
      </w:pPr>
    </w:p>
    <w:p w14:paraId="19A3B0F0" w14:textId="77777777" w:rsidR="001D65B3" w:rsidRPr="0015699B" w:rsidRDefault="001D65B3" w:rsidP="001D65B3">
      <w:pPr>
        <w:pStyle w:val="Prrafodelista"/>
        <w:numPr>
          <w:ilvl w:val="0"/>
          <w:numId w:val="16"/>
        </w:numPr>
        <w:spacing w:after="0" w:line="240"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lastRenderedPageBreak/>
        <w:t>Referencias normativas, jurisprudenciales y otras fuentes:</w:t>
      </w:r>
    </w:p>
    <w:p w14:paraId="37C7AEBF" w14:textId="77777777" w:rsidR="001D65B3" w:rsidRPr="0015699B" w:rsidRDefault="001D65B3" w:rsidP="001D65B3">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tbl>
      <w:tblPr>
        <w:tblStyle w:val="Tablaconcuadrcula"/>
        <w:tblW w:w="0" w:type="auto"/>
        <w:tblInd w:w="135" w:type="dxa"/>
        <w:tblLook w:val="04A0" w:firstRow="1" w:lastRow="0" w:firstColumn="1" w:lastColumn="0" w:noHBand="0" w:noVBand="1"/>
      </w:tblPr>
      <w:tblGrid>
        <w:gridCol w:w="8640"/>
      </w:tblGrid>
      <w:tr w:rsidR="001D65B3" w14:paraId="6DCDC8B7" w14:textId="77777777" w:rsidTr="00177867">
        <w:trPr>
          <w:trHeight w:val="870"/>
        </w:trPr>
        <w:tc>
          <w:tcPr>
            <w:tcW w:w="8640" w:type="dxa"/>
            <w:tcBorders>
              <w:top w:val="dotted" w:sz="8" w:space="0" w:color="auto"/>
              <w:left w:val="dotted" w:sz="8" w:space="0" w:color="auto"/>
              <w:bottom w:val="dotted" w:sz="8" w:space="0" w:color="auto"/>
              <w:right w:val="dotted" w:sz="8" w:space="0" w:color="auto"/>
            </w:tcBorders>
            <w:tcMar>
              <w:left w:w="108" w:type="dxa"/>
              <w:right w:w="108" w:type="dxa"/>
            </w:tcMar>
          </w:tcPr>
          <w:p w14:paraId="02879AC6" w14:textId="77777777" w:rsidR="001D65B3" w:rsidRPr="00350618" w:rsidRDefault="001D65B3" w:rsidP="001D65B3">
            <w:pPr>
              <w:pStyle w:val="Prrafodelista"/>
              <w:widowControl w:val="0"/>
              <w:numPr>
                <w:ilvl w:val="0"/>
                <w:numId w:val="17"/>
              </w:numPr>
              <w:tabs>
                <w:tab w:val="left" w:pos="8419"/>
              </w:tabs>
              <w:autoSpaceDE w:val="0"/>
              <w:autoSpaceDN w:val="0"/>
              <w:spacing w:line="276" w:lineRule="auto"/>
              <w:jc w:val="both"/>
              <w:rPr>
                <w:rFonts w:ascii="Verdana" w:eastAsia="Verdana" w:hAnsi="Verdana" w:cs="Verdana"/>
                <w:lang w:val="es"/>
              </w:rPr>
            </w:pPr>
            <w:r w:rsidRPr="00350618">
              <w:rPr>
                <w:rFonts w:ascii="Verdana" w:eastAsia="Verdana" w:hAnsi="Verdana" w:cs="Verdana"/>
                <w:lang w:val="es"/>
              </w:rPr>
              <w:t>Ley 80 de 1993: artículos 6; 8, numeral 1, literales h), i) y j), y numeral 2, literal d); 25, numeral 15.</w:t>
            </w:r>
          </w:p>
          <w:p w14:paraId="2749590D" w14:textId="77777777" w:rsidR="001D65B3" w:rsidRPr="00350618" w:rsidRDefault="001D65B3" w:rsidP="001D65B3">
            <w:pPr>
              <w:pStyle w:val="Prrafodelista"/>
              <w:widowControl w:val="0"/>
              <w:numPr>
                <w:ilvl w:val="0"/>
                <w:numId w:val="17"/>
              </w:numPr>
              <w:tabs>
                <w:tab w:val="left" w:pos="8419"/>
              </w:tabs>
              <w:autoSpaceDE w:val="0"/>
              <w:autoSpaceDN w:val="0"/>
              <w:spacing w:line="276" w:lineRule="auto"/>
              <w:jc w:val="both"/>
              <w:rPr>
                <w:rFonts w:ascii="Verdana" w:eastAsia="Verdana" w:hAnsi="Verdana" w:cs="Verdana"/>
                <w:lang w:val="es"/>
              </w:rPr>
            </w:pPr>
            <w:r w:rsidRPr="00350618">
              <w:rPr>
                <w:rFonts w:ascii="Verdana" w:eastAsia="Verdana" w:hAnsi="Verdana" w:cs="Verdana"/>
                <w:lang w:val="es"/>
              </w:rPr>
              <w:t>Ley 1150 de 2007: artículo 2; artículo 5, numeral 1 y párrafos 1.º y 4.º.</w:t>
            </w:r>
          </w:p>
          <w:p w14:paraId="43EA0744" w14:textId="77777777" w:rsidR="001D65B3" w:rsidRPr="00350618" w:rsidRDefault="001D65B3" w:rsidP="001D65B3">
            <w:pPr>
              <w:pStyle w:val="Prrafodelista"/>
              <w:widowControl w:val="0"/>
              <w:numPr>
                <w:ilvl w:val="0"/>
                <w:numId w:val="17"/>
              </w:numPr>
              <w:tabs>
                <w:tab w:val="left" w:pos="8419"/>
              </w:tabs>
              <w:autoSpaceDE w:val="0"/>
              <w:autoSpaceDN w:val="0"/>
              <w:spacing w:line="276" w:lineRule="auto"/>
              <w:jc w:val="both"/>
              <w:rPr>
                <w:rFonts w:ascii="Verdana" w:eastAsia="Verdana" w:hAnsi="Verdana" w:cs="Verdana"/>
                <w:lang w:val="es"/>
              </w:rPr>
            </w:pPr>
            <w:r w:rsidRPr="00350618">
              <w:rPr>
                <w:rFonts w:ascii="Verdana" w:eastAsia="Verdana" w:hAnsi="Verdana" w:cs="Verdana"/>
                <w:lang w:val="es"/>
              </w:rPr>
              <w:t>Ley 590 de 2000: artículo 2.</w:t>
            </w:r>
          </w:p>
          <w:p w14:paraId="04258762" w14:textId="77777777" w:rsidR="001D65B3" w:rsidRPr="00350618" w:rsidRDefault="001D65B3" w:rsidP="001D65B3">
            <w:pPr>
              <w:pStyle w:val="Prrafodelista"/>
              <w:widowControl w:val="0"/>
              <w:numPr>
                <w:ilvl w:val="0"/>
                <w:numId w:val="17"/>
              </w:numPr>
              <w:tabs>
                <w:tab w:val="left" w:pos="8419"/>
              </w:tabs>
              <w:autoSpaceDE w:val="0"/>
              <w:autoSpaceDN w:val="0"/>
              <w:spacing w:line="276" w:lineRule="auto"/>
              <w:jc w:val="both"/>
              <w:rPr>
                <w:rFonts w:ascii="Verdana" w:eastAsia="Verdana" w:hAnsi="Verdana" w:cs="Verdana"/>
                <w:lang w:val="es"/>
              </w:rPr>
            </w:pPr>
            <w:r w:rsidRPr="00350618">
              <w:rPr>
                <w:rFonts w:ascii="Verdana" w:eastAsia="Verdana" w:hAnsi="Verdana" w:cs="Verdana"/>
                <w:lang w:val="es"/>
              </w:rPr>
              <w:t>Ley 905 de 2004: artículo 2.</w:t>
            </w:r>
          </w:p>
          <w:p w14:paraId="2EC77F9D" w14:textId="77777777" w:rsidR="001D65B3" w:rsidRPr="00350618" w:rsidRDefault="001D65B3" w:rsidP="001D65B3">
            <w:pPr>
              <w:pStyle w:val="Prrafodelista"/>
              <w:widowControl w:val="0"/>
              <w:numPr>
                <w:ilvl w:val="0"/>
                <w:numId w:val="17"/>
              </w:numPr>
              <w:tabs>
                <w:tab w:val="left" w:pos="8419"/>
              </w:tabs>
              <w:autoSpaceDE w:val="0"/>
              <w:autoSpaceDN w:val="0"/>
              <w:spacing w:line="276" w:lineRule="auto"/>
              <w:jc w:val="both"/>
              <w:rPr>
                <w:rFonts w:ascii="Verdana" w:eastAsia="Verdana" w:hAnsi="Verdana" w:cs="Verdana"/>
                <w:lang w:val="es"/>
              </w:rPr>
            </w:pPr>
            <w:r w:rsidRPr="00350618">
              <w:rPr>
                <w:rFonts w:ascii="Verdana" w:eastAsia="Verdana" w:hAnsi="Verdana" w:cs="Verdana"/>
                <w:lang w:val="es"/>
              </w:rPr>
              <w:t>Ley 1450 de 2011: artículo 43.</w:t>
            </w:r>
          </w:p>
          <w:p w14:paraId="367768AD" w14:textId="77777777" w:rsidR="001D65B3" w:rsidRPr="00350618" w:rsidRDefault="001D65B3" w:rsidP="001D65B3">
            <w:pPr>
              <w:pStyle w:val="Prrafodelista"/>
              <w:widowControl w:val="0"/>
              <w:numPr>
                <w:ilvl w:val="0"/>
                <w:numId w:val="17"/>
              </w:numPr>
              <w:tabs>
                <w:tab w:val="left" w:pos="8419"/>
              </w:tabs>
              <w:autoSpaceDE w:val="0"/>
              <w:autoSpaceDN w:val="0"/>
              <w:spacing w:line="276" w:lineRule="auto"/>
              <w:jc w:val="both"/>
              <w:rPr>
                <w:rFonts w:ascii="Verdana" w:eastAsia="Verdana" w:hAnsi="Verdana" w:cs="Verdana"/>
                <w:lang w:val="es"/>
              </w:rPr>
            </w:pPr>
            <w:r w:rsidRPr="00350618">
              <w:rPr>
                <w:rFonts w:ascii="Verdana" w:eastAsia="Verdana" w:hAnsi="Verdana" w:cs="Verdana"/>
                <w:lang w:val="es"/>
              </w:rPr>
              <w:t>Ley 2069 de 2020: artículo 8.</w:t>
            </w:r>
          </w:p>
          <w:p w14:paraId="1DF788FF" w14:textId="77777777" w:rsidR="001D65B3" w:rsidRDefault="001D65B3" w:rsidP="001D65B3">
            <w:pPr>
              <w:pStyle w:val="Prrafodelista"/>
              <w:widowControl w:val="0"/>
              <w:numPr>
                <w:ilvl w:val="0"/>
                <w:numId w:val="17"/>
              </w:numPr>
              <w:tabs>
                <w:tab w:val="left" w:pos="8419"/>
              </w:tabs>
              <w:autoSpaceDE w:val="0"/>
              <w:autoSpaceDN w:val="0"/>
              <w:spacing w:line="276" w:lineRule="auto"/>
              <w:contextualSpacing w:val="0"/>
              <w:jc w:val="both"/>
              <w:rPr>
                <w:rFonts w:ascii="Verdana" w:eastAsia="Verdana" w:hAnsi="Verdana" w:cs="Verdana"/>
                <w:lang w:val="es"/>
              </w:rPr>
            </w:pPr>
            <w:r w:rsidRPr="00350618">
              <w:rPr>
                <w:rFonts w:ascii="Verdana" w:eastAsia="Verdana" w:hAnsi="Verdana" w:cs="Verdana"/>
                <w:lang w:val="es"/>
              </w:rPr>
              <w:t>Ley 1882 de 2018: artículo 5.</w:t>
            </w:r>
          </w:p>
          <w:p w14:paraId="3C4F5170" w14:textId="77777777" w:rsidR="001D65B3" w:rsidRDefault="001D65B3" w:rsidP="001D65B3">
            <w:pPr>
              <w:pStyle w:val="Prrafodelista"/>
              <w:widowControl w:val="0"/>
              <w:numPr>
                <w:ilvl w:val="0"/>
                <w:numId w:val="17"/>
              </w:numPr>
              <w:tabs>
                <w:tab w:val="left" w:pos="8419"/>
              </w:tabs>
              <w:autoSpaceDE w:val="0"/>
              <w:autoSpaceDN w:val="0"/>
              <w:spacing w:line="276" w:lineRule="auto"/>
              <w:contextualSpacing w:val="0"/>
              <w:jc w:val="both"/>
              <w:rPr>
                <w:rFonts w:ascii="Verdana" w:eastAsia="Verdana" w:hAnsi="Verdana" w:cs="Verdana"/>
                <w:lang w:val="es"/>
              </w:rPr>
            </w:pPr>
            <w:r w:rsidRPr="00350618">
              <w:rPr>
                <w:rFonts w:ascii="Verdana" w:eastAsia="Verdana" w:hAnsi="Verdana" w:cs="Verdana"/>
                <w:lang w:val="es"/>
              </w:rPr>
              <w:t>Decreto 1082 de 2015: artículos 2.2.1.1.1.5.2, numeral 2.5; 2.2.1.2.1.2.2; 2.2.1.2.4.2.2; 2.2.1.2.4.2.3 y 2.2.1.2.4.2.4.</w:t>
            </w:r>
          </w:p>
          <w:p w14:paraId="49F4155F" w14:textId="77777777" w:rsidR="001D65B3" w:rsidRDefault="001D65B3" w:rsidP="001D65B3">
            <w:pPr>
              <w:pStyle w:val="Prrafodelista"/>
              <w:widowControl w:val="0"/>
              <w:numPr>
                <w:ilvl w:val="0"/>
                <w:numId w:val="17"/>
              </w:numPr>
              <w:tabs>
                <w:tab w:val="left" w:pos="8419"/>
              </w:tabs>
              <w:autoSpaceDE w:val="0"/>
              <w:autoSpaceDN w:val="0"/>
              <w:spacing w:line="276" w:lineRule="auto"/>
              <w:contextualSpacing w:val="0"/>
              <w:jc w:val="both"/>
              <w:rPr>
                <w:rFonts w:ascii="Verdana" w:eastAsia="Verdana" w:hAnsi="Verdana" w:cs="Verdana"/>
                <w:lang w:val="es"/>
              </w:rPr>
            </w:pPr>
            <w:r w:rsidRPr="00350618">
              <w:rPr>
                <w:rFonts w:ascii="Verdana" w:eastAsia="Verdana" w:hAnsi="Verdana" w:cs="Verdana"/>
                <w:lang w:val="es"/>
              </w:rPr>
              <w:t>Decreto 1860 de 2021: artículo 5.</w:t>
            </w:r>
          </w:p>
          <w:p w14:paraId="33E4B5A1" w14:textId="77777777" w:rsidR="001D65B3" w:rsidRDefault="001D65B3" w:rsidP="001D65B3">
            <w:pPr>
              <w:pStyle w:val="Prrafodelista"/>
              <w:widowControl w:val="0"/>
              <w:numPr>
                <w:ilvl w:val="0"/>
                <w:numId w:val="17"/>
              </w:numPr>
              <w:tabs>
                <w:tab w:val="left" w:pos="8419"/>
              </w:tabs>
              <w:autoSpaceDE w:val="0"/>
              <w:autoSpaceDN w:val="0"/>
              <w:spacing w:line="276" w:lineRule="auto"/>
              <w:contextualSpacing w:val="0"/>
              <w:jc w:val="both"/>
              <w:rPr>
                <w:rFonts w:ascii="Verdana" w:eastAsia="Verdana" w:hAnsi="Verdana" w:cs="Verdana"/>
                <w:lang w:val="es"/>
              </w:rPr>
            </w:pPr>
            <w:r w:rsidRPr="00350618">
              <w:rPr>
                <w:rFonts w:ascii="Verdana" w:eastAsia="Verdana" w:hAnsi="Verdana" w:cs="Verdana"/>
                <w:lang w:val="es"/>
              </w:rPr>
              <w:t>Decreto 1074 de 2015: artículos 2.2.1.13.2.1; 2.2.1.13.2.2 y 2.2.1.13.2.4.</w:t>
            </w:r>
          </w:p>
          <w:p w14:paraId="6818AC57" w14:textId="77777777" w:rsidR="001D65B3" w:rsidRPr="00350618" w:rsidRDefault="001D65B3" w:rsidP="001D65B3">
            <w:pPr>
              <w:pStyle w:val="Prrafodelista"/>
              <w:widowControl w:val="0"/>
              <w:numPr>
                <w:ilvl w:val="0"/>
                <w:numId w:val="17"/>
              </w:numPr>
              <w:tabs>
                <w:tab w:val="left" w:pos="8419"/>
              </w:tabs>
              <w:autoSpaceDE w:val="0"/>
              <w:autoSpaceDN w:val="0"/>
              <w:spacing w:line="276" w:lineRule="auto"/>
              <w:jc w:val="both"/>
              <w:rPr>
                <w:rFonts w:ascii="Verdana" w:eastAsia="Verdana" w:hAnsi="Verdana" w:cs="Verdana"/>
                <w:lang w:val="es"/>
              </w:rPr>
            </w:pPr>
            <w:r w:rsidRPr="00350618">
              <w:rPr>
                <w:rFonts w:ascii="Verdana" w:eastAsia="Verdana" w:hAnsi="Verdana" w:cs="Verdana"/>
                <w:lang w:val="es"/>
              </w:rPr>
              <w:t>Código Civil: artículos 1502, 1503 y 1504.</w:t>
            </w:r>
          </w:p>
          <w:p w14:paraId="1598710E" w14:textId="77777777" w:rsidR="001D65B3" w:rsidRDefault="001D65B3" w:rsidP="001D65B3">
            <w:pPr>
              <w:pStyle w:val="Prrafodelista"/>
              <w:widowControl w:val="0"/>
              <w:numPr>
                <w:ilvl w:val="0"/>
                <w:numId w:val="17"/>
              </w:numPr>
              <w:tabs>
                <w:tab w:val="left" w:pos="8419"/>
              </w:tabs>
              <w:autoSpaceDE w:val="0"/>
              <w:autoSpaceDN w:val="0"/>
              <w:spacing w:line="276" w:lineRule="auto"/>
              <w:contextualSpacing w:val="0"/>
              <w:jc w:val="both"/>
              <w:rPr>
                <w:rFonts w:ascii="Verdana" w:eastAsia="Verdana" w:hAnsi="Verdana" w:cs="Verdana"/>
                <w:lang w:val="es"/>
              </w:rPr>
            </w:pPr>
            <w:r w:rsidRPr="00350618">
              <w:rPr>
                <w:rFonts w:ascii="Verdana" w:eastAsia="Verdana" w:hAnsi="Verdana" w:cs="Verdana"/>
                <w:lang w:val="es"/>
              </w:rPr>
              <w:t>Código de Comercio: artículos 25 y 26</w:t>
            </w:r>
          </w:p>
          <w:p w14:paraId="1435EBB3" w14:textId="77777777" w:rsidR="001D65B3" w:rsidRPr="00720BB6" w:rsidRDefault="001D65B3" w:rsidP="001D65B3">
            <w:pPr>
              <w:pStyle w:val="Prrafodelista"/>
              <w:widowControl w:val="0"/>
              <w:numPr>
                <w:ilvl w:val="0"/>
                <w:numId w:val="17"/>
              </w:numPr>
              <w:tabs>
                <w:tab w:val="left" w:pos="8419"/>
              </w:tabs>
              <w:autoSpaceDE w:val="0"/>
              <w:autoSpaceDN w:val="0"/>
              <w:spacing w:line="276" w:lineRule="auto"/>
              <w:jc w:val="both"/>
              <w:rPr>
                <w:rFonts w:ascii="Verdana" w:eastAsia="Verdana" w:hAnsi="Verdana" w:cs="Verdana"/>
                <w:lang w:val="es"/>
              </w:rPr>
            </w:pPr>
            <w:r w:rsidRPr="00720BB6">
              <w:rPr>
                <w:rFonts w:ascii="Verdana" w:eastAsia="Verdana" w:hAnsi="Verdana" w:cs="Verdana"/>
                <w:lang w:val="es"/>
              </w:rPr>
              <w:t>Corte Constitucional, Sentencia T-1039 de 2006, M.P. Humberto Sierra Porto.</w:t>
            </w:r>
          </w:p>
          <w:p w14:paraId="739FDBAF" w14:textId="77777777" w:rsidR="001D65B3" w:rsidRPr="00720BB6" w:rsidRDefault="001D65B3" w:rsidP="001D65B3">
            <w:pPr>
              <w:pStyle w:val="Prrafodelista"/>
              <w:widowControl w:val="0"/>
              <w:numPr>
                <w:ilvl w:val="0"/>
                <w:numId w:val="17"/>
              </w:numPr>
              <w:tabs>
                <w:tab w:val="left" w:pos="8419"/>
              </w:tabs>
              <w:autoSpaceDE w:val="0"/>
              <w:autoSpaceDN w:val="0"/>
              <w:spacing w:line="276" w:lineRule="auto"/>
              <w:jc w:val="both"/>
              <w:rPr>
                <w:rFonts w:ascii="Verdana" w:eastAsia="Verdana" w:hAnsi="Verdana" w:cs="Verdana"/>
                <w:lang w:val="es"/>
              </w:rPr>
            </w:pPr>
            <w:r w:rsidRPr="00720BB6">
              <w:rPr>
                <w:rFonts w:ascii="Verdana" w:eastAsia="Verdana" w:hAnsi="Verdana" w:cs="Verdana"/>
                <w:lang w:val="es"/>
              </w:rPr>
              <w:t>Corte Constitucional, Sentencia C-903 de 2008, M.P. Jaime Araújo Rentería.</w:t>
            </w:r>
          </w:p>
          <w:p w14:paraId="56BBC87A" w14:textId="77777777" w:rsidR="001D65B3" w:rsidRPr="00720BB6" w:rsidRDefault="001D65B3" w:rsidP="001D65B3">
            <w:pPr>
              <w:pStyle w:val="Prrafodelista"/>
              <w:widowControl w:val="0"/>
              <w:numPr>
                <w:ilvl w:val="0"/>
                <w:numId w:val="17"/>
              </w:numPr>
              <w:tabs>
                <w:tab w:val="left" w:pos="8419"/>
              </w:tabs>
              <w:autoSpaceDE w:val="0"/>
              <w:autoSpaceDN w:val="0"/>
              <w:spacing w:line="276" w:lineRule="auto"/>
              <w:jc w:val="both"/>
              <w:rPr>
                <w:rFonts w:ascii="Verdana" w:eastAsia="Verdana" w:hAnsi="Verdana" w:cs="Verdana"/>
                <w:lang w:val="es"/>
              </w:rPr>
            </w:pPr>
            <w:r w:rsidRPr="00720BB6">
              <w:rPr>
                <w:rFonts w:ascii="Verdana" w:eastAsia="Verdana" w:hAnsi="Verdana" w:cs="Verdana"/>
                <w:lang w:val="es"/>
              </w:rPr>
              <w:t>Corte Constitucional, Sentencia C-101 de 2018, M.P. Gloria Stella Ortiz Delgado.</w:t>
            </w:r>
          </w:p>
          <w:p w14:paraId="7D06CC8E" w14:textId="77777777" w:rsidR="001D65B3" w:rsidRPr="00720BB6" w:rsidRDefault="001D65B3" w:rsidP="001D65B3">
            <w:pPr>
              <w:pStyle w:val="Prrafodelista"/>
              <w:widowControl w:val="0"/>
              <w:numPr>
                <w:ilvl w:val="0"/>
                <w:numId w:val="17"/>
              </w:numPr>
              <w:tabs>
                <w:tab w:val="left" w:pos="8419"/>
              </w:tabs>
              <w:autoSpaceDE w:val="0"/>
              <w:autoSpaceDN w:val="0"/>
              <w:spacing w:line="276" w:lineRule="auto"/>
              <w:jc w:val="both"/>
              <w:rPr>
                <w:rFonts w:ascii="Verdana" w:eastAsia="Verdana" w:hAnsi="Verdana" w:cs="Verdana"/>
                <w:lang w:val="es"/>
              </w:rPr>
            </w:pPr>
            <w:r w:rsidRPr="00720BB6">
              <w:rPr>
                <w:rFonts w:ascii="Verdana" w:eastAsia="Verdana" w:hAnsi="Verdana" w:cs="Verdana"/>
                <w:lang w:val="es"/>
              </w:rPr>
              <w:t xml:space="preserve">Consejo de Estado, Sala de Consulta y Servicio Civil, Concepto del 30 de abril de 2015, </w:t>
            </w:r>
            <w:proofErr w:type="spellStart"/>
            <w:r w:rsidRPr="00720BB6">
              <w:rPr>
                <w:rFonts w:ascii="Verdana" w:eastAsia="Verdana" w:hAnsi="Verdana" w:cs="Verdana"/>
                <w:lang w:val="es"/>
              </w:rPr>
              <w:t>Exp</w:t>
            </w:r>
            <w:proofErr w:type="spellEnd"/>
            <w:r w:rsidRPr="00720BB6">
              <w:rPr>
                <w:rFonts w:ascii="Verdana" w:eastAsia="Verdana" w:hAnsi="Verdana" w:cs="Verdana"/>
                <w:lang w:val="es"/>
              </w:rPr>
              <w:t>. 2251, C.P. Álvaro Namén Vargas.</w:t>
            </w:r>
          </w:p>
          <w:p w14:paraId="08E2546F" w14:textId="77777777" w:rsidR="001D65B3" w:rsidRPr="00350618" w:rsidRDefault="001D65B3" w:rsidP="001D65B3">
            <w:pPr>
              <w:pStyle w:val="Prrafodelista"/>
              <w:widowControl w:val="0"/>
              <w:numPr>
                <w:ilvl w:val="0"/>
                <w:numId w:val="17"/>
              </w:numPr>
              <w:tabs>
                <w:tab w:val="left" w:pos="8419"/>
              </w:tabs>
              <w:autoSpaceDE w:val="0"/>
              <w:autoSpaceDN w:val="0"/>
              <w:spacing w:line="276" w:lineRule="auto"/>
              <w:contextualSpacing w:val="0"/>
              <w:jc w:val="both"/>
              <w:rPr>
                <w:rFonts w:ascii="Verdana" w:eastAsia="Verdana" w:hAnsi="Verdana" w:cs="Verdana"/>
                <w:lang w:val="es"/>
              </w:rPr>
            </w:pPr>
            <w:r w:rsidRPr="00720BB6">
              <w:rPr>
                <w:rFonts w:ascii="Verdana" w:eastAsia="Verdana" w:hAnsi="Verdana" w:cs="Verdana"/>
                <w:lang w:val="es"/>
              </w:rPr>
              <w:t xml:space="preserve">Consejo de Estado, Sala de lo Contencioso Administrativo, Sección Tercera, Subsección A, Sentencia del 24 de junio de 2015, </w:t>
            </w:r>
            <w:proofErr w:type="spellStart"/>
            <w:r w:rsidRPr="00720BB6">
              <w:rPr>
                <w:rFonts w:ascii="Verdana" w:eastAsia="Verdana" w:hAnsi="Verdana" w:cs="Verdana"/>
                <w:lang w:val="es"/>
              </w:rPr>
              <w:t>Exp</w:t>
            </w:r>
            <w:proofErr w:type="spellEnd"/>
            <w:r w:rsidRPr="00720BB6">
              <w:rPr>
                <w:rFonts w:ascii="Verdana" w:eastAsia="Verdana" w:hAnsi="Verdana" w:cs="Verdana"/>
                <w:lang w:val="es"/>
              </w:rPr>
              <w:t>. 40.635, C.P. Hernán Andrade Rincón (E).</w:t>
            </w:r>
          </w:p>
        </w:tc>
      </w:tr>
    </w:tbl>
    <w:p w14:paraId="0A99FCA2" w14:textId="77777777" w:rsidR="001D65B3" w:rsidRPr="0015699B" w:rsidRDefault="001D65B3" w:rsidP="001D65B3">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p w14:paraId="507D98E9" w14:textId="77777777" w:rsidR="001D65B3" w:rsidRPr="003D5882" w:rsidRDefault="001D65B3" w:rsidP="001D65B3">
      <w:pPr>
        <w:pStyle w:val="Prrafodelista"/>
        <w:numPr>
          <w:ilvl w:val="0"/>
          <w:numId w:val="16"/>
        </w:numPr>
        <w:spacing w:before="1" w:after="0" w:line="240" w:lineRule="auto"/>
        <w:jc w:val="both"/>
        <w:textAlignment w:val="baseline"/>
        <w:rPr>
          <w:rFonts w:ascii="Verdana" w:eastAsia="Verdana" w:hAnsi="Verdana" w:cs="Verdana"/>
          <w:b/>
          <w:bCs/>
          <w:lang w:val="es"/>
        </w:rPr>
      </w:pPr>
      <w:r w:rsidRPr="39124533">
        <w:rPr>
          <w:rFonts w:ascii="Verdana" w:eastAsia="Verdana" w:hAnsi="Verdana" w:cs="Verdana"/>
          <w:b/>
          <w:bCs/>
          <w:lang w:val="es"/>
        </w:rPr>
        <w:t>Doctrina de la Agencia Nacional de Contratación Pública:</w:t>
      </w:r>
    </w:p>
    <w:p w14:paraId="7D5FF61C" w14:textId="77777777" w:rsidR="001D65B3" w:rsidRPr="003D5882" w:rsidRDefault="001D65B3" w:rsidP="001D65B3">
      <w:pPr>
        <w:pStyle w:val="Prrafodelista"/>
        <w:spacing w:before="1" w:after="0" w:line="240" w:lineRule="auto"/>
        <w:jc w:val="both"/>
        <w:textAlignment w:val="baseline"/>
        <w:rPr>
          <w:rFonts w:ascii="Verdana" w:eastAsia="Verdana" w:hAnsi="Verdana" w:cs="Verdana"/>
          <w:b/>
          <w:bCs/>
          <w:lang w:val="es"/>
        </w:rPr>
      </w:pPr>
    </w:p>
    <w:p w14:paraId="65719DB6" w14:textId="77777777" w:rsidR="001D65B3" w:rsidRDefault="001D65B3" w:rsidP="001D65B3">
      <w:pPr>
        <w:widowControl w:val="0"/>
        <w:autoSpaceDE w:val="0"/>
        <w:autoSpaceDN w:val="0"/>
        <w:spacing w:after="0" w:line="276" w:lineRule="auto"/>
        <w:jc w:val="both"/>
        <w:rPr>
          <w:rFonts w:ascii="Verdana" w:hAnsi="Verdana" w:cs="Arial"/>
          <w:shd w:val="clear" w:color="auto" w:fill="FFFFFF"/>
          <w:lang w:val="es-ES"/>
        </w:rPr>
      </w:pPr>
      <w:r w:rsidRPr="006A11D8">
        <w:rPr>
          <w:rFonts w:ascii="Verdana" w:eastAsia="Aptos" w:hAnsi="Verdana" w:cs="Arial"/>
          <w:color w:val="000000"/>
          <w:shd w:val="clear" w:color="auto" w:fill="FFFFFF"/>
          <w:lang w:val="es-ES"/>
        </w:rPr>
        <w:t xml:space="preserve">La Agencia Nacional de Contratación Pública – Colombia Compra Eficiente </w:t>
      </w:r>
      <w:r w:rsidRPr="006A11D8">
        <w:rPr>
          <w:rFonts w:ascii="Verdana" w:eastAsia="Calibri" w:hAnsi="Verdana" w:cs="Arial"/>
          <w:lang w:val="es-ES_tradnl" w:eastAsia="es-ES_tradnl"/>
        </w:rPr>
        <w:t>se ha pronunciado sobre el régimen de inhabilidades e incompatibilidades en los conceptos</w:t>
      </w:r>
      <w:r w:rsidRPr="006A11D8">
        <w:rPr>
          <w:rFonts w:ascii="Verdana" w:eastAsia="Calibri" w:hAnsi="Verdana" w:cs="Arial"/>
          <w:lang w:val="es-MX"/>
        </w:rPr>
        <w:t xml:space="preserve"> C−491 del 14 de septiembre de 2021, C−522 del 1 de octubre de 2021, C−128 del 25 de marzo de 2022, C−252 del 3 de mayo de 2022, C−376 del 14 de junio de 2022, C−413 del 24 de junio de 2022, C−691 del 20 de </w:t>
      </w:r>
      <w:r w:rsidRPr="006A11D8">
        <w:rPr>
          <w:rFonts w:ascii="Verdana" w:eastAsia="Calibri" w:hAnsi="Verdana" w:cs="Arial"/>
          <w:lang w:val="es-MX"/>
        </w:rPr>
        <w:lastRenderedPageBreak/>
        <w:t xml:space="preserve">octubre de 2022, C−731 del 10 de noviembre de 2022, C−928 del 26 de enero de 2023, C−126 del 24 de abril de 2023, C−175 del 4 de mayo de 2023, C−234 del 5 de julio de 2023, C−010 del 31 de enero de 2024, C-039 del 23 de abril de 2024, </w:t>
      </w:r>
      <w:r w:rsidRPr="006A11D8">
        <w:rPr>
          <w:rFonts w:ascii="Verdana" w:eastAsia="Calibri" w:hAnsi="Verdana" w:cs="Arial"/>
          <w:lang w:val="es-ES" w:eastAsia="es-ES"/>
        </w:rPr>
        <w:t xml:space="preserve">C-1009 del 03 de agosto de 2025, C-1463 del 20 de noviembre de 2025, </w:t>
      </w:r>
      <w:r>
        <w:rPr>
          <w:rFonts w:ascii="Verdana" w:eastAsia="Calibri" w:hAnsi="Verdana" w:cs="Arial"/>
          <w:lang w:val="es-ES" w:eastAsia="es-ES"/>
        </w:rPr>
        <w:t xml:space="preserve">C-637 del 28 de mayo de 2026, </w:t>
      </w:r>
      <w:r w:rsidRPr="006A11D8">
        <w:rPr>
          <w:rFonts w:ascii="Verdana" w:eastAsia="Calibri" w:hAnsi="Verdana" w:cs="Arial"/>
          <w:lang w:val="es-ES" w:eastAsia="es-ES"/>
        </w:rPr>
        <w:t>entre otros</w:t>
      </w:r>
      <w:r w:rsidRPr="006A11D8">
        <w:rPr>
          <w:rFonts w:ascii="Verdana" w:eastAsia="Aptos" w:hAnsi="Verdana" w:cs="Arial"/>
        </w:rPr>
        <w:t xml:space="preserve">. </w:t>
      </w:r>
    </w:p>
    <w:p w14:paraId="52BC2D9A" w14:textId="77777777" w:rsidR="001D65B3" w:rsidRDefault="001D65B3" w:rsidP="001D65B3">
      <w:pPr>
        <w:widowControl w:val="0"/>
        <w:autoSpaceDE w:val="0"/>
        <w:autoSpaceDN w:val="0"/>
        <w:spacing w:after="0" w:line="276" w:lineRule="auto"/>
        <w:jc w:val="both"/>
        <w:rPr>
          <w:rFonts w:ascii="Verdana" w:hAnsi="Verdana" w:cs="Arial"/>
          <w:shd w:val="clear" w:color="auto" w:fill="FFFFFF"/>
          <w:lang w:val="es-ES"/>
        </w:rPr>
      </w:pPr>
    </w:p>
    <w:p w14:paraId="182E48A9" w14:textId="77777777" w:rsidR="001D65B3" w:rsidRDefault="001D65B3" w:rsidP="001D65B3">
      <w:pPr>
        <w:spacing w:after="0" w:line="276" w:lineRule="auto"/>
        <w:jc w:val="both"/>
        <w:rPr>
          <w:rFonts w:ascii="Verdana" w:hAnsi="Verdana" w:cs="Arial"/>
          <w:shd w:val="clear" w:color="auto" w:fill="FFFFFF"/>
          <w:lang w:val="es-ES"/>
        </w:rPr>
      </w:pPr>
      <w:r w:rsidRPr="009C1EEE">
        <w:rPr>
          <w:rFonts w:ascii="Verdana" w:hAnsi="Verdana" w:cs="Arial"/>
          <w:shd w:val="clear" w:color="auto" w:fill="FFFFFF"/>
          <w:lang w:val="es-ES"/>
        </w:rPr>
        <w:t xml:space="preserve">Sobre las convocatorias limitadas a </w:t>
      </w:r>
      <w:r>
        <w:rPr>
          <w:rFonts w:ascii="Verdana" w:hAnsi="Verdana" w:cs="Arial"/>
          <w:shd w:val="clear" w:color="auto" w:fill="FFFFFF"/>
          <w:lang w:val="es-ES"/>
        </w:rPr>
        <w:t>MiPymes, requisitos y acreditación</w:t>
      </w:r>
      <w:r w:rsidRPr="009C1EEE">
        <w:rPr>
          <w:rFonts w:ascii="Verdana" w:hAnsi="Verdana" w:cs="Arial"/>
          <w:shd w:val="clear" w:color="auto" w:fill="FFFFFF"/>
          <w:lang w:val="es-ES"/>
        </w:rPr>
        <w:t xml:space="preserve">, según la modificación realizada por el Decreto 1860 de 2021 al Decreto 1082 de 2015, esta Subdirección se ha referido en los Conceptos </w:t>
      </w:r>
      <w:r>
        <w:rPr>
          <w:rFonts w:ascii="Verdana" w:hAnsi="Verdana" w:cs="Arial"/>
          <w:shd w:val="clear" w:color="auto" w:fill="FFFFFF"/>
          <w:lang w:val="es-ES"/>
        </w:rPr>
        <w:t>C</w:t>
      </w:r>
      <w:r w:rsidRPr="00126826">
        <w:rPr>
          <w:rFonts w:ascii="Verdana" w:hAnsi="Verdana" w:cs="Arial"/>
          <w:shd w:val="clear" w:color="auto" w:fill="FFFFFF"/>
          <w:lang w:val="es-ES"/>
        </w:rPr>
        <w:t xml:space="preserve">-037 del 26 de febrero de 2021, C-035 del 02 de marzo de 2021, C-126 del 06 de abril de 2021, C-127 del 06 de abril de 2021, C-144 del 07 de abril de 2021, C-141 del 08 de abril de 2021, C-163 y C-164 del 19 de abril de 2021, C-242 del 25 de mayo de 2021, C-496 del 14 de septiembre de 2021, C-573 de 13 de octubre de 2021, C-001 del 17 de febrero de 2022, C-293 del 12 de abril de 2022, </w:t>
      </w:r>
      <w:r>
        <w:rPr>
          <w:rFonts w:ascii="Verdana" w:hAnsi="Verdana" w:cs="Arial"/>
          <w:shd w:val="clear" w:color="auto" w:fill="FFFFFF"/>
          <w:lang w:val="es-ES"/>
        </w:rPr>
        <w:t xml:space="preserve">C-213 del 21 de abril de 2022, C- 377 del 13 de junio de 2022, </w:t>
      </w:r>
      <w:r w:rsidRPr="00126826">
        <w:rPr>
          <w:rFonts w:ascii="Verdana" w:hAnsi="Verdana" w:cs="Arial"/>
          <w:shd w:val="clear" w:color="auto" w:fill="FFFFFF"/>
          <w:lang w:val="es-ES"/>
        </w:rPr>
        <w:t>C-490 del 26 de julio de 2022, C-523 del 16 de agosto de 2022, C-539 del 29 de agosto de 2022, C-585 del 19 de septiembre de 2022, C-587 del 21 de septiembre de 2022, C-597 del 9 de septiembre de 2022, C-627 del 12 de septiembre de 2022, C-643 del 10 de octubre de 2022, C- 662 del 13 de octubre de 2022, C-699 del 25 de octubre de 2022, C-744 del 08 de noviembre de 2022, C-758 del 10 de noviembre de 2022</w:t>
      </w:r>
      <w:r>
        <w:rPr>
          <w:rFonts w:ascii="Verdana" w:hAnsi="Verdana" w:cs="Arial"/>
          <w:shd w:val="clear" w:color="auto" w:fill="FFFFFF"/>
          <w:lang w:val="es-ES"/>
        </w:rPr>
        <w:t>,</w:t>
      </w:r>
      <w:r w:rsidRPr="00126826">
        <w:rPr>
          <w:rFonts w:ascii="Verdana" w:hAnsi="Verdana" w:cs="Arial"/>
          <w:shd w:val="clear" w:color="auto" w:fill="FFFFFF"/>
          <w:lang w:val="es-ES"/>
        </w:rPr>
        <w:t xml:space="preserve"> C-895 del 27 de diciembre de 2022</w:t>
      </w:r>
      <w:r>
        <w:rPr>
          <w:rFonts w:ascii="Verdana" w:hAnsi="Verdana" w:cs="Arial"/>
          <w:shd w:val="clear" w:color="auto" w:fill="FFFFFF"/>
          <w:lang w:val="es-ES"/>
        </w:rPr>
        <w:t>, C- 201 del 2 de agosto de 2024, C-584 del 22 de octubre de 2024, C-1 021 del 27 de diciembre de 2024, C</w:t>
      </w:r>
      <w:r w:rsidRPr="00126826">
        <w:rPr>
          <w:rFonts w:ascii="Verdana" w:hAnsi="Verdana" w:cs="Arial"/>
          <w:shd w:val="clear" w:color="auto" w:fill="FFFFFF"/>
          <w:lang w:val="es-ES"/>
        </w:rPr>
        <w:t>-932 de</w:t>
      </w:r>
      <w:r>
        <w:rPr>
          <w:rFonts w:ascii="Verdana" w:hAnsi="Verdana" w:cs="Arial"/>
          <w:shd w:val="clear" w:color="auto" w:fill="FFFFFF"/>
          <w:lang w:val="es-ES"/>
        </w:rPr>
        <w:t>l 30 de diciembre de</w:t>
      </w:r>
      <w:r w:rsidRPr="00126826">
        <w:rPr>
          <w:rFonts w:ascii="Verdana" w:hAnsi="Verdana" w:cs="Arial"/>
          <w:shd w:val="clear" w:color="auto" w:fill="FFFFFF"/>
          <w:lang w:val="es-ES"/>
        </w:rPr>
        <w:t xml:space="preserve"> 2024</w:t>
      </w:r>
      <w:r>
        <w:rPr>
          <w:rFonts w:ascii="Verdana" w:hAnsi="Verdana" w:cs="Arial"/>
          <w:shd w:val="clear" w:color="auto" w:fill="FFFFFF"/>
          <w:lang w:val="es-ES"/>
        </w:rPr>
        <w:t xml:space="preserve">, C – 478 de </w:t>
      </w:r>
      <w:r>
        <w:rPr>
          <w:rFonts w:ascii="Verdana" w:hAnsi="Verdana"/>
        </w:rPr>
        <w:t xml:space="preserve">20 de mayo </w:t>
      </w:r>
      <w:r>
        <w:rPr>
          <w:rFonts w:ascii="Verdana" w:hAnsi="Verdana" w:cs="Arial"/>
          <w:shd w:val="clear" w:color="auto" w:fill="FFFFFF"/>
          <w:lang w:val="es-ES"/>
        </w:rPr>
        <w:t xml:space="preserve">de 2025, C-685 del 26 de mayo de 2026, entre otros. </w:t>
      </w:r>
    </w:p>
    <w:p w14:paraId="42A63B75" w14:textId="77777777" w:rsidR="001D65B3" w:rsidRDefault="001D65B3" w:rsidP="001D65B3">
      <w:pPr>
        <w:widowControl w:val="0"/>
        <w:autoSpaceDE w:val="0"/>
        <w:autoSpaceDN w:val="0"/>
        <w:spacing w:after="0" w:line="276" w:lineRule="auto"/>
        <w:jc w:val="both"/>
        <w:rPr>
          <w:rFonts w:ascii="Verdana" w:hAnsi="Verdana" w:cs="Arial"/>
          <w:shd w:val="clear" w:color="auto" w:fill="FFFFFF"/>
          <w:lang w:val="es-ES"/>
        </w:rPr>
      </w:pPr>
    </w:p>
    <w:p w14:paraId="7E43DCF4" w14:textId="77777777" w:rsidR="001D65B3" w:rsidRDefault="001D65B3" w:rsidP="001D65B3">
      <w:pPr>
        <w:widowControl w:val="0"/>
        <w:autoSpaceDE w:val="0"/>
        <w:autoSpaceDN w:val="0"/>
        <w:spacing w:after="0" w:line="276" w:lineRule="auto"/>
        <w:jc w:val="both"/>
        <w:rPr>
          <w:rFonts w:ascii="Verdana" w:hAnsi="Verdana" w:cs="Arial"/>
          <w:shd w:val="clear" w:color="auto" w:fill="FFFFFF"/>
          <w:lang w:val="es-ES"/>
        </w:rPr>
      </w:pPr>
      <w:r w:rsidRPr="007B7547">
        <w:rPr>
          <w:rFonts w:ascii="Verdana" w:eastAsia="Calibri" w:hAnsi="Verdana" w:cs="Arial"/>
          <w:lang w:val="es-ES_tradnl" w:eastAsia="es-ES_tradnl"/>
        </w:rPr>
        <w:t xml:space="preserve">En cuanto a los criterios que deben ser tenidos en cuenta para la </w:t>
      </w:r>
      <w:proofErr w:type="spellStart"/>
      <w:r w:rsidRPr="007B7547">
        <w:rPr>
          <w:rFonts w:ascii="Verdana" w:eastAsia="Calibri" w:hAnsi="Verdana" w:cs="Arial"/>
          <w:lang w:val="es-ES_tradnl" w:eastAsia="es-ES_tradnl"/>
        </w:rPr>
        <w:t>subsanabilidad</w:t>
      </w:r>
      <w:proofErr w:type="spellEnd"/>
      <w:r w:rsidRPr="007B7547">
        <w:rPr>
          <w:rFonts w:ascii="Verdana" w:eastAsia="Calibri" w:hAnsi="Verdana" w:cs="Arial"/>
          <w:lang w:val="es-ES_tradnl" w:eastAsia="es-ES_tradnl"/>
        </w:rPr>
        <w:t xml:space="preserve"> de las propuestas, esta Agencia unificó su criterio mediante el concepto C-060 del 16 de enero de 2020, reiterado por los conceptos C-218 del 2 de febrero de 2020, C-267 del 4 de mayo de 2020, C-283 del 4 de mayo de 2020, C-307 del 21 de mayo de 2020, C-365 del 30 de junio de 2020, C-391 del 10 de agosto de 2020, C-675 del 25 de noviembre de 2020, C-683 del 25 de noviembre de 2020, C-730 del 14 de diciembre de 2020, C-779 de 18 de enero de 2021, C-055 del 10 de marzo de 2021, C-207 del 10 de mayo de 2021, C-332 del 07 de mayo de 2021, C-311 del 10 de junio de 2021</w:t>
      </w:r>
      <w:r w:rsidRPr="0027034B">
        <w:rPr>
          <w:rFonts w:ascii="Verdana" w:eastAsia="Calibri" w:hAnsi="Verdana" w:cs="Arial"/>
          <w:lang w:val="es-ES_tradnl" w:eastAsia="es-ES_tradnl"/>
        </w:rPr>
        <w:t xml:space="preserve">, </w:t>
      </w:r>
      <w:r w:rsidRPr="004C6846">
        <w:rPr>
          <w:rFonts w:ascii="Verdana" w:hAnsi="Verdana" w:cs="Arial"/>
        </w:rPr>
        <w:t>C-233 del 12 de agosto de 2024</w:t>
      </w:r>
      <w:r>
        <w:rPr>
          <w:rFonts w:ascii="Verdana" w:hAnsi="Verdana" w:cs="Arial"/>
        </w:rPr>
        <w:t>,</w:t>
      </w:r>
      <w:r w:rsidRPr="004C6846">
        <w:rPr>
          <w:rFonts w:ascii="Verdana" w:hAnsi="Verdana" w:cs="Arial"/>
        </w:rPr>
        <w:t xml:space="preserve"> C-369 del 09 de septiembre del 2024</w:t>
      </w:r>
      <w:r>
        <w:rPr>
          <w:rFonts w:ascii="Verdana" w:hAnsi="Verdana" w:cs="Arial"/>
          <w:shd w:val="clear" w:color="auto" w:fill="FFFFFF"/>
        </w:rPr>
        <w:t xml:space="preserve">, C-834 del 21 de noviembre de 2024 y C-518 del 09 de junio de 2025 , </w:t>
      </w:r>
      <w:r w:rsidRPr="0027034B">
        <w:rPr>
          <w:rFonts w:ascii="Verdana" w:eastAsia="Calibri" w:hAnsi="Verdana" w:cs="Arial"/>
          <w:lang w:val="es-ES_tradnl" w:eastAsia="es-ES_tradnl"/>
        </w:rPr>
        <w:t>entre otros</w:t>
      </w:r>
      <w:r>
        <w:rPr>
          <w:rFonts w:ascii="Verdana" w:eastAsia="Calibri" w:hAnsi="Verdana" w:cs="Arial"/>
          <w:lang w:val="es-ES_tradnl" w:eastAsia="es-ES_tradnl"/>
        </w:rPr>
        <w:t>.</w:t>
      </w:r>
    </w:p>
    <w:p w14:paraId="0C807A99" w14:textId="77777777" w:rsidR="001D65B3" w:rsidRDefault="001D65B3" w:rsidP="001D65B3">
      <w:pPr>
        <w:widowControl w:val="0"/>
        <w:autoSpaceDE w:val="0"/>
        <w:autoSpaceDN w:val="0"/>
        <w:spacing w:after="0" w:line="276" w:lineRule="auto"/>
        <w:jc w:val="both"/>
        <w:rPr>
          <w:rFonts w:ascii="Verdana" w:hAnsi="Verdana" w:cs="Arial"/>
          <w:shd w:val="clear" w:color="auto" w:fill="FFFFFF"/>
          <w:lang w:val="es-ES"/>
        </w:rPr>
      </w:pPr>
    </w:p>
    <w:p w14:paraId="37EC0019" w14:textId="77777777" w:rsidR="001D65B3" w:rsidRDefault="001D65B3" w:rsidP="001D65B3">
      <w:pPr>
        <w:widowControl w:val="0"/>
        <w:autoSpaceDE w:val="0"/>
        <w:autoSpaceDN w:val="0"/>
        <w:spacing w:after="0" w:line="276" w:lineRule="auto"/>
        <w:jc w:val="both"/>
        <w:rPr>
          <w:rFonts w:ascii="Verdana" w:hAnsi="Verdana" w:cs="Arial"/>
          <w:shd w:val="clear" w:color="auto" w:fill="FFFFFF"/>
          <w:lang w:val="es-ES"/>
        </w:rPr>
      </w:pPr>
    </w:p>
    <w:p w14:paraId="73CC819E" w14:textId="77777777" w:rsidR="001D65B3" w:rsidRDefault="001D65B3" w:rsidP="001D65B3">
      <w:pPr>
        <w:widowControl w:val="0"/>
        <w:autoSpaceDE w:val="0"/>
        <w:autoSpaceDN w:val="0"/>
        <w:spacing w:after="0" w:line="276" w:lineRule="auto"/>
        <w:jc w:val="both"/>
        <w:rPr>
          <w:rFonts w:ascii="Verdana" w:hAnsi="Verdana" w:cs="Arial"/>
          <w:shd w:val="clear" w:color="auto" w:fill="FFFFFF"/>
          <w:lang w:val="es-ES"/>
        </w:rPr>
      </w:pPr>
    </w:p>
    <w:p w14:paraId="07956FA1" w14:textId="77777777" w:rsidR="001D65B3" w:rsidRPr="00010A5F" w:rsidRDefault="001D65B3" w:rsidP="001D65B3">
      <w:pPr>
        <w:widowControl w:val="0"/>
        <w:autoSpaceDE w:val="0"/>
        <w:autoSpaceDN w:val="0"/>
        <w:spacing w:after="0" w:line="276" w:lineRule="auto"/>
        <w:jc w:val="both"/>
        <w:rPr>
          <w:rFonts w:ascii="Verdana" w:eastAsia="Verdana" w:hAnsi="Verdana" w:cs="Verdana"/>
          <w:color w:val="FF0000"/>
          <w:lang w:val="es"/>
        </w:rPr>
      </w:pPr>
      <w:r w:rsidRPr="00611043">
        <w:rPr>
          <w:rFonts w:ascii="Verdana" w:hAnsi="Verdana" w:cs="Arial"/>
          <w:shd w:val="clear" w:color="auto" w:fill="FFFFFF"/>
          <w:lang w:val="es-ES"/>
        </w:rPr>
        <w:t xml:space="preserve"> Sobre los documentos necesarios para la celebración del contrato de prestación de servicios se puede consultar el concepto C-1674 del 23 de diciembre de 2025.</w:t>
      </w:r>
      <w:r>
        <w:rPr>
          <w:rFonts w:ascii="Verdana" w:hAnsi="Verdana" w:cs="Arial"/>
          <w:shd w:val="clear" w:color="auto" w:fill="FFFFFF"/>
          <w:lang w:val="es-ES"/>
        </w:rPr>
        <w:t xml:space="preserve"> </w:t>
      </w:r>
      <w:r w:rsidRPr="39124533">
        <w:rPr>
          <w:rFonts w:ascii="Verdana" w:eastAsia="Verdana" w:hAnsi="Verdana" w:cs="Verdana"/>
        </w:rPr>
        <w:t>Estos se encuentran disponibles para consulta en el Sistema de relatoría de la Agencia, al cual puede accederse a través del siguiente enlace:</w:t>
      </w:r>
      <w:hyperlink r:id="rId14">
        <w:r w:rsidRPr="39124533">
          <w:rPr>
            <w:rStyle w:val="Hipervnculo"/>
            <w:rFonts w:ascii="Verdana" w:hAnsi="Verdana"/>
            <w:lang w:val="es"/>
          </w:rPr>
          <w:t>https://relatoria.colombiacompra.gov.co/busqueda/conceptos</w:t>
        </w:r>
      </w:hyperlink>
      <w:r w:rsidRPr="39124533">
        <w:rPr>
          <w:rFonts w:ascii="Verdana" w:eastAsia="Verdana" w:hAnsi="Verdana" w:cs="Verdana"/>
          <w:color w:val="000000" w:themeColor="text1"/>
          <w:lang w:val="es"/>
        </w:rPr>
        <w:t xml:space="preserve">. </w:t>
      </w:r>
      <w:r w:rsidRPr="39124533">
        <w:rPr>
          <w:rFonts w:ascii="Verdana" w:eastAsia="Verdana" w:hAnsi="Verdana" w:cs="Verdana"/>
          <w:color w:val="FF0000"/>
          <w:lang w:val="es"/>
        </w:rPr>
        <w:t xml:space="preserve"> </w:t>
      </w:r>
    </w:p>
    <w:p w14:paraId="0AE83641" w14:textId="77777777" w:rsidR="001D65B3" w:rsidRDefault="001D65B3" w:rsidP="001D65B3">
      <w:pPr>
        <w:spacing w:after="0" w:line="276"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  </w:t>
      </w:r>
    </w:p>
    <w:p w14:paraId="09760906" w14:textId="77777777" w:rsidR="001D65B3" w:rsidRDefault="001D65B3" w:rsidP="001D65B3">
      <w:pPr>
        <w:shd w:val="clear" w:color="auto" w:fill="FFFFFF" w:themeFill="background1"/>
        <w:spacing w:after="0"/>
        <w:jc w:val="both"/>
        <w:rPr>
          <w:rFonts w:ascii="Verdana" w:eastAsia="Verdana" w:hAnsi="Verdana" w:cs="Verdana"/>
        </w:rPr>
      </w:pPr>
      <w:r w:rsidRPr="054CF0A3">
        <w:rPr>
          <w:rFonts w:ascii="Verdana" w:eastAsia="Verdana" w:hAnsi="Verdana" w:cs="Verdana"/>
          <w:color w:val="000000" w:themeColor="text1"/>
        </w:rPr>
        <w:t xml:space="preserve">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54CF0A3">
        <w:rPr>
          <w:rFonts w:ascii="Verdana" w:eastAsia="Verdana" w:hAnsi="Verdana" w:cs="Verdana"/>
          <w:b/>
          <w:bCs/>
          <w:color w:val="000000" w:themeColor="text1"/>
        </w:rPr>
        <w:t>Guía para la Exigencia y Constitución de Garantías en los Procesos de Contratación</w:t>
      </w:r>
      <w:r w:rsidRPr="054CF0A3">
        <w:rPr>
          <w:rFonts w:ascii="Verdana" w:eastAsia="Verdana" w:hAnsi="Verdana" w:cs="Verdana"/>
          <w:color w:val="000000" w:themeColor="text1"/>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5">
        <w:r w:rsidRPr="054CF0A3">
          <w:rPr>
            <w:rStyle w:val="Hipervnculo"/>
            <w:rFonts w:ascii="Verdana" w:eastAsia="Verdana" w:hAnsi="Verdana" w:cs="Verdana"/>
            <w:color w:val="000000" w:themeColor="text1"/>
          </w:rPr>
          <w:t>https://www.colombiacompra.gov.co/archivos/manual/guia-de-garantias-en-procesos-de-contratacion</w:t>
        </w:r>
      </w:hyperlink>
    </w:p>
    <w:p w14:paraId="1044E182" w14:textId="77777777" w:rsidR="001D65B3" w:rsidRDefault="001D65B3" w:rsidP="001D65B3">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t xml:space="preserve">De otro lado, te contamos que el Decreto 287 del 19 de marzo de 2026 sustituyó los artículos 2.2.1.2.4.2.6., 2.2.1.2.4.2.7. y 2.2.1.2.4.2.8. del Decreto 1082 de 2015 y estructuró el </w:t>
      </w:r>
      <w:r w:rsidRPr="054CF0A3">
        <w:rPr>
          <w:rFonts w:ascii="Verdana" w:eastAsia="Verdana" w:hAnsi="Verdana" w:cs="Verdana"/>
          <w:b/>
          <w:bCs/>
          <w:color w:val="000000" w:themeColor="text1"/>
        </w:rPr>
        <w:t>Sistema Integral de Preferencias en favor de las personas con discapacidad</w:t>
      </w:r>
      <w:r w:rsidRPr="054CF0A3">
        <w:rPr>
          <w:rFonts w:ascii="Verdana" w:eastAsia="Verdana" w:hAnsi="Verdana" w:cs="Verdana"/>
          <w:color w:val="000000" w:themeColor="text1"/>
        </w:rPr>
        <w:t xml:space="preserve">, en cumplimiento del artículo 13 de la Ley Estatutaria 1618 de 2013. Para orientar su aplicación, esta Agencia expidió la </w:t>
      </w:r>
      <w:r w:rsidRPr="054CF0A3">
        <w:rPr>
          <w:rFonts w:ascii="Verdana" w:eastAsia="Verdana" w:hAnsi="Verdana" w:cs="Verdana"/>
          <w:b/>
          <w:bCs/>
          <w:color w:val="000000" w:themeColor="text1"/>
        </w:rPr>
        <w:t xml:space="preserve">Circular Externa 003 del 12 de mayo de 2026, </w:t>
      </w:r>
      <w:r w:rsidRPr="054CF0A3">
        <w:rPr>
          <w:rFonts w:ascii="Verdana" w:eastAsia="Verdana" w:hAnsi="Verdana" w:cs="Verdana"/>
          <w:color w:val="000000" w:themeColor="text1"/>
        </w:rPr>
        <w:t xml:space="preserve">en la que precisa quiénes son los beneficiarios, las cinco medidas que integran el sistema y su obligatoriedad según la modalidad de selección, y el régimen de transición aplicable a los procesos en curso. Consúltala aquí: </w:t>
      </w:r>
      <w:hyperlink r:id="rId16">
        <w:r w:rsidRPr="054CF0A3">
          <w:rPr>
            <w:rStyle w:val="Hipervnculo"/>
            <w:rFonts w:ascii="Verdana" w:eastAsia="Verdana" w:hAnsi="Verdana" w:cs="Verdana"/>
            <w:color w:val="000000" w:themeColor="text1"/>
          </w:rPr>
          <w:t>https://www.colombiacompra.gov.co/archivos/circular/circular-externa-003-de-2026</w:t>
        </w:r>
      </w:hyperlink>
    </w:p>
    <w:p w14:paraId="3D8BDFCA" w14:textId="77777777" w:rsidR="001D65B3" w:rsidRDefault="001D65B3" w:rsidP="001D65B3">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t>Recuerda también que la</w:t>
      </w:r>
      <w:r w:rsidRPr="054CF0A3">
        <w:rPr>
          <w:rFonts w:ascii="Verdana" w:eastAsia="Verdana" w:hAnsi="Verdana" w:cs="Verdana"/>
          <w:b/>
          <w:bCs/>
          <w:color w:val="000000" w:themeColor="text1"/>
        </w:rPr>
        <w:t xml:space="preserve"> información sobre sanciones e inhabilidades </w:t>
      </w:r>
      <w:r w:rsidRPr="054CF0A3">
        <w:rPr>
          <w:rFonts w:ascii="Verdana" w:eastAsia="Verdana" w:hAnsi="Verdana" w:cs="Verdana"/>
          <w:color w:val="000000" w:themeColor="text1"/>
        </w:rPr>
        <w:t xml:space="preserve">solo cumple su función preventiva si llega oportunamente a los registros públicos. Sobre este deber, esta Agencia expidió la </w:t>
      </w:r>
      <w:r w:rsidRPr="054CF0A3">
        <w:rPr>
          <w:rFonts w:ascii="Verdana" w:eastAsia="Verdana" w:hAnsi="Verdana" w:cs="Verdana"/>
          <w:b/>
          <w:bCs/>
          <w:color w:val="000000" w:themeColor="text1"/>
        </w:rPr>
        <w:t>Circular Externa 002 del 5 de mayo de 2026,</w:t>
      </w:r>
      <w:r w:rsidRPr="054CF0A3">
        <w:rPr>
          <w:rFonts w:ascii="Verdana" w:eastAsia="Verdana" w:hAnsi="Verdana" w:cs="Verdana"/>
          <w:color w:val="000000" w:themeColor="text1"/>
        </w:rPr>
        <w:t xml:space="preserve"> dirigida a todas las entidades del Estado sin distinción de su régimen contractual, en la que reitera la obligatoriedad de reportar caducidades, multas, sanciones, declaratorias de incumplimiento e inhabilidades ante las Cámaras de </w:t>
      </w:r>
      <w:r w:rsidRPr="054CF0A3">
        <w:rPr>
          <w:rFonts w:ascii="Verdana" w:eastAsia="Verdana" w:hAnsi="Verdana" w:cs="Verdana"/>
          <w:color w:val="000000" w:themeColor="text1"/>
        </w:rPr>
        <w:lastRenderedPageBreak/>
        <w:t xml:space="preserve">Comercio, la Procuraduría General de la Nación y el SECOP, e indica los responsables, los portales dispuestos para el efecto y las consecuencias disciplinarias de omitir este deber. Consúltala aquí: </w:t>
      </w:r>
      <w:hyperlink r:id="rId17">
        <w:r w:rsidRPr="054CF0A3">
          <w:rPr>
            <w:rStyle w:val="Hipervnculo"/>
            <w:rFonts w:ascii="Verdana" w:eastAsia="Verdana" w:hAnsi="Verdana" w:cs="Verdana"/>
            <w:color w:val="000000" w:themeColor="text1"/>
          </w:rPr>
          <w:t>https://www.colombiacompra.gov.co/archivos/circular/circular-externa-002-de-2026</w:t>
        </w:r>
      </w:hyperlink>
    </w:p>
    <w:p w14:paraId="3A151EA0" w14:textId="77777777" w:rsidR="001D65B3" w:rsidRDefault="001D65B3" w:rsidP="001D65B3">
      <w:pPr>
        <w:shd w:val="clear" w:color="auto" w:fill="FFFFFF" w:themeFill="background1"/>
        <w:spacing w:before="220" w:after="220"/>
        <w:jc w:val="both"/>
        <w:rPr>
          <w:rFonts w:ascii="Verdana" w:eastAsia="Verdana" w:hAnsi="Verdana" w:cs="Verdana"/>
          <w:color w:val="000000" w:themeColor="text1"/>
        </w:rPr>
      </w:pPr>
      <w:r w:rsidRPr="054CF0A3">
        <w:rPr>
          <w:rFonts w:ascii="Verdana" w:eastAsia="Verdana" w:hAnsi="Verdana" w:cs="Verdana"/>
          <w:color w:val="000000" w:themeColor="text1"/>
        </w:rPr>
        <w:t>Finalmente, si quieres seguir de cerca la actividad de la Agencia, la tercera edición de 2026 del</w:t>
      </w:r>
      <w:r w:rsidRPr="054CF0A3">
        <w:rPr>
          <w:rFonts w:ascii="Verdana" w:eastAsia="Verdana" w:hAnsi="Verdana" w:cs="Verdana"/>
          <w:b/>
          <w:bCs/>
          <w:color w:val="000000" w:themeColor="text1"/>
        </w:rPr>
        <w:t xml:space="preserve"> Radar de la Compra Pública</w:t>
      </w:r>
      <w:r w:rsidRPr="054CF0A3">
        <w:rPr>
          <w:rFonts w:ascii="Verdana" w:eastAsia="Verdana" w:hAnsi="Verdana" w:cs="Verdana"/>
          <w:color w:val="000000" w:themeColor="text1"/>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8">
        <w:r w:rsidRPr="054CF0A3">
          <w:rPr>
            <w:rStyle w:val="Hipervnculo"/>
            <w:rFonts w:ascii="Verdana" w:eastAsia="Verdana" w:hAnsi="Verdana" w:cs="Verdana"/>
            <w:color w:val="000000" w:themeColor="text1"/>
          </w:rPr>
          <w:t>https://www.colombiacompra.gov.co/archivos/boletin/boletin-edicion-n-3-de-2026-radar-de-la-compra-publica</w:t>
        </w:r>
      </w:hyperlink>
    </w:p>
    <w:p w14:paraId="5744BC96" w14:textId="77777777" w:rsidR="001D65B3" w:rsidRPr="003D5882" w:rsidRDefault="001D65B3" w:rsidP="001D65B3">
      <w:pPr>
        <w:spacing w:after="0" w:line="257"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Lo invitamos a seguirnos en las redes sociales en las cuales se difunde información institucional: </w:t>
      </w:r>
    </w:p>
    <w:p w14:paraId="0303A5E1" w14:textId="77777777" w:rsidR="001D65B3" w:rsidRPr="0015699B" w:rsidRDefault="001D65B3" w:rsidP="001D65B3">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3DFF64FB" w14:textId="77777777" w:rsidR="001D65B3" w:rsidRPr="0015699B" w:rsidRDefault="001D65B3" w:rsidP="001D65B3">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Twitter: </w:t>
      </w:r>
      <w:r w:rsidRPr="40A87941">
        <w:rPr>
          <w:rFonts w:ascii="Verdana" w:eastAsia="Verdana" w:hAnsi="Verdana" w:cs="Verdana"/>
          <w:color w:val="000000" w:themeColor="text1"/>
          <w:u w:val="single"/>
          <w:lang w:val="es"/>
        </w:rPr>
        <w:t>@colombiacompra</w:t>
      </w:r>
      <w:r w:rsidRPr="40A87941">
        <w:rPr>
          <w:rFonts w:ascii="Verdana" w:eastAsia="Verdana" w:hAnsi="Verdana" w:cs="Verdana"/>
          <w:color w:val="000000" w:themeColor="text1"/>
          <w:lang w:val="es"/>
        </w:rPr>
        <w:t xml:space="preserve"> </w:t>
      </w:r>
    </w:p>
    <w:p w14:paraId="09D1CC87" w14:textId="77777777" w:rsidR="001D65B3" w:rsidRPr="0015699B" w:rsidRDefault="001D65B3" w:rsidP="001D65B3">
      <w:pPr>
        <w:spacing w:after="0" w:line="240" w:lineRule="auto"/>
        <w:jc w:val="both"/>
        <w:textAlignment w:val="baseline"/>
        <w:rPr>
          <w:rFonts w:ascii="Verdana" w:eastAsia="Verdana" w:hAnsi="Verdana" w:cs="Verdana"/>
          <w:color w:val="000000" w:themeColor="text1"/>
          <w:u w:val="single"/>
          <w:lang w:val="es-ES"/>
        </w:rPr>
      </w:pPr>
      <w:r w:rsidRPr="40A87941">
        <w:rPr>
          <w:rFonts w:ascii="Verdana" w:eastAsia="Verdana" w:hAnsi="Verdana" w:cs="Verdana"/>
          <w:color w:val="000000" w:themeColor="text1"/>
          <w:lang w:val="es-ES"/>
        </w:rPr>
        <w:t xml:space="preserve">Facebook: </w:t>
      </w:r>
      <w:proofErr w:type="spellStart"/>
      <w:r w:rsidRPr="40A87941">
        <w:rPr>
          <w:rFonts w:ascii="Verdana" w:eastAsia="Verdana" w:hAnsi="Verdana" w:cs="Verdana"/>
          <w:color w:val="000000" w:themeColor="text1"/>
          <w:u w:val="single"/>
          <w:lang w:val="es-ES"/>
        </w:rPr>
        <w:t>ColombiaCompraEficiente</w:t>
      </w:r>
      <w:proofErr w:type="spellEnd"/>
    </w:p>
    <w:p w14:paraId="50A00B44" w14:textId="77777777" w:rsidR="001D65B3" w:rsidRPr="0015699B" w:rsidRDefault="001D65B3" w:rsidP="001D65B3">
      <w:pPr>
        <w:spacing w:after="0" w:line="240" w:lineRule="auto"/>
        <w:jc w:val="both"/>
        <w:textAlignment w:val="baseline"/>
        <w:rPr>
          <w:rFonts w:ascii="Verdana" w:eastAsia="Verdana" w:hAnsi="Verdana" w:cs="Verdana"/>
          <w:color w:val="000000" w:themeColor="text1"/>
          <w:u w:val="single"/>
          <w:lang w:val="es"/>
        </w:rPr>
      </w:pPr>
      <w:r w:rsidRPr="40A87941">
        <w:rPr>
          <w:rFonts w:ascii="Verdana" w:eastAsia="Verdana" w:hAnsi="Verdana" w:cs="Verdana"/>
          <w:color w:val="000000" w:themeColor="text1"/>
          <w:lang w:val="es"/>
        </w:rPr>
        <w:t xml:space="preserve">LinkedIn: </w:t>
      </w:r>
      <w:r w:rsidRPr="40A87941">
        <w:rPr>
          <w:rFonts w:ascii="Verdana" w:eastAsia="Verdana" w:hAnsi="Verdana" w:cs="Verdana"/>
          <w:color w:val="000000" w:themeColor="text1"/>
          <w:u w:val="single"/>
          <w:lang w:val="es"/>
        </w:rPr>
        <w:t>Agencia Nacional de Contratación Pública - Colombia Compra Eficiente</w:t>
      </w:r>
      <w:r w:rsidRPr="40A87941">
        <w:rPr>
          <w:rFonts w:ascii="Verdana" w:eastAsia="Verdana" w:hAnsi="Verdana" w:cs="Verdana"/>
          <w:color w:val="000000" w:themeColor="text1"/>
          <w:lang w:val="es"/>
        </w:rPr>
        <w:t xml:space="preserve"> Instagram: </w:t>
      </w:r>
      <w:r w:rsidRPr="40A87941">
        <w:rPr>
          <w:rFonts w:ascii="Verdana" w:eastAsia="Verdana" w:hAnsi="Verdana" w:cs="Verdana"/>
          <w:color w:val="000000" w:themeColor="text1"/>
          <w:u w:val="single"/>
          <w:lang w:val="es"/>
        </w:rPr>
        <w:t>@colombiacompraeficiente_cce</w:t>
      </w:r>
    </w:p>
    <w:p w14:paraId="26DD20B2" w14:textId="77777777" w:rsidR="001D65B3" w:rsidRPr="0015699B" w:rsidRDefault="001D65B3" w:rsidP="001D65B3">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0C3C2336" w14:textId="77777777" w:rsidR="001D65B3" w:rsidRPr="0015699B" w:rsidRDefault="001D65B3" w:rsidP="001D65B3">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A1F7A39" w14:textId="77777777" w:rsidR="001D65B3" w:rsidRPr="0015699B" w:rsidRDefault="001D65B3" w:rsidP="001D65B3">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24A0D1F9" w14:textId="77777777" w:rsidR="001D65B3" w:rsidRPr="0015699B" w:rsidRDefault="001D65B3" w:rsidP="001D65B3">
      <w:pPr>
        <w:spacing w:after="0" w:line="240" w:lineRule="auto"/>
        <w:jc w:val="both"/>
        <w:textAlignment w:val="baseline"/>
      </w:pPr>
      <w:r w:rsidRPr="40A87941">
        <w:rPr>
          <w:rFonts w:ascii="Verdana" w:eastAsia="Verdana" w:hAnsi="Verdana" w:cs="Verdana"/>
          <w:color w:val="000000" w:themeColor="text1"/>
          <w:lang w:val="es"/>
        </w:rPr>
        <w:t xml:space="preserve"> Atentamente, </w:t>
      </w:r>
    </w:p>
    <w:p w14:paraId="48A3FB46" w14:textId="2ECFB3B8" w:rsidR="001D65B3" w:rsidRDefault="001D65B3" w:rsidP="001D65B3">
      <w:pPr>
        <w:spacing w:after="0" w:line="240" w:lineRule="auto"/>
        <w:ind w:left="2340"/>
        <w:jc w:val="both"/>
        <w:rPr>
          <w:noProof/>
        </w:rPr>
      </w:pPr>
    </w:p>
    <w:p w14:paraId="1A729C48" w14:textId="23448961" w:rsidR="001608AC" w:rsidRDefault="001608AC" w:rsidP="001608AC">
      <w:pPr>
        <w:spacing w:after="0" w:line="240" w:lineRule="auto"/>
        <w:ind w:left="1560"/>
        <w:jc w:val="both"/>
        <w:rPr>
          <w:noProof/>
        </w:rPr>
      </w:pPr>
      <w:r>
        <w:rPr>
          <w:noProof/>
        </w:rPr>
        <w:drawing>
          <wp:inline distT="0" distB="0" distL="0" distR="0" wp14:anchorId="25362C3C" wp14:editId="4F4374CF">
            <wp:extent cx="3268980" cy="1403316"/>
            <wp:effectExtent l="0" t="0" r="7620" b="6985"/>
            <wp:docPr id="30487889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75748" cy="1406221"/>
                    </a:xfrm>
                    <a:prstGeom prst="rect">
                      <a:avLst/>
                    </a:prstGeom>
                    <a:noFill/>
                    <a:ln>
                      <a:noFill/>
                    </a:ln>
                  </pic:spPr>
                </pic:pic>
              </a:graphicData>
            </a:graphic>
          </wp:inline>
        </w:drawing>
      </w:r>
    </w:p>
    <w:p w14:paraId="703975E6" w14:textId="77777777" w:rsidR="001608AC" w:rsidRDefault="001608AC" w:rsidP="001D65B3">
      <w:pPr>
        <w:spacing w:after="0" w:line="240" w:lineRule="auto"/>
        <w:ind w:left="2340"/>
        <w:jc w:val="both"/>
        <w:rPr>
          <w:noProof/>
        </w:rPr>
      </w:pPr>
    </w:p>
    <w:p w14:paraId="5A08E23A" w14:textId="77777777" w:rsidR="001608AC" w:rsidRDefault="001608AC" w:rsidP="001D65B3">
      <w:pPr>
        <w:spacing w:after="0" w:line="240" w:lineRule="auto"/>
        <w:ind w:left="2340"/>
        <w:jc w:val="both"/>
        <w:rPr>
          <w:noProof/>
        </w:rPr>
      </w:pPr>
    </w:p>
    <w:p w14:paraId="0288EDDD" w14:textId="77777777" w:rsidR="001608AC" w:rsidRDefault="001608AC" w:rsidP="001D65B3">
      <w:pPr>
        <w:spacing w:after="0" w:line="240" w:lineRule="auto"/>
        <w:ind w:left="2340"/>
        <w:jc w:val="both"/>
      </w:pPr>
    </w:p>
    <w:tbl>
      <w:tblPr>
        <w:tblStyle w:val="Tablaconcuadrcula"/>
        <w:tblW w:w="0" w:type="auto"/>
        <w:tblBorders>
          <w:top w:val="none" w:sz="0" w:space="0" w:color="auto"/>
          <w:left w:val="none" w:sz="0" w:space="0" w:color="auto"/>
          <w:bottom w:val="none" w:sz="0" w:space="0" w:color="auto"/>
          <w:right w:val="none" w:sz="0" w:space="0" w:color="auto"/>
          <w:insideH w:val="dotted" w:sz="4" w:space="0" w:color="auto"/>
          <w:insideV w:val="dotted" w:sz="4" w:space="0" w:color="auto"/>
        </w:tblBorders>
        <w:tblLook w:val="04A0" w:firstRow="1" w:lastRow="0" w:firstColumn="1" w:lastColumn="0" w:noHBand="0" w:noVBand="1"/>
      </w:tblPr>
      <w:tblGrid>
        <w:gridCol w:w="893"/>
        <w:gridCol w:w="4727"/>
      </w:tblGrid>
      <w:tr w:rsidR="001D65B3" w14:paraId="743043BD" w14:textId="77777777" w:rsidTr="00177867">
        <w:trPr>
          <w:trHeight w:val="307"/>
        </w:trPr>
        <w:tc>
          <w:tcPr>
            <w:tcW w:w="858" w:type="dxa"/>
            <w:tcBorders>
              <w:top w:val="nil"/>
              <w:bottom w:val="nil"/>
              <w:right w:val="nil"/>
            </w:tcBorders>
            <w:tcMar>
              <w:left w:w="108" w:type="dxa"/>
              <w:right w:w="108" w:type="dxa"/>
            </w:tcMar>
            <w:vAlign w:val="center"/>
          </w:tcPr>
          <w:p w14:paraId="55EB80A6" w14:textId="77777777" w:rsidR="001D65B3" w:rsidRDefault="001D65B3" w:rsidP="00177867">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Elaboró:</w:t>
            </w:r>
          </w:p>
        </w:tc>
        <w:tc>
          <w:tcPr>
            <w:tcW w:w="4727" w:type="dxa"/>
            <w:tcBorders>
              <w:left w:val="nil"/>
            </w:tcBorders>
            <w:tcMar>
              <w:left w:w="108" w:type="dxa"/>
              <w:right w:w="108" w:type="dxa"/>
            </w:tcMar>
            <w:vAlign w:val="center"/>
          </w:tcPr>
          <w:p w14:paraId="46B34070" w14:textId="77777777" w:rsidR="001D65B3" w:rsidRDefault="001D65B3" w:rsidP="00177867">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Daniel Eduardo Rojas Poveda</w:t>
            </w:r>
          </w:p>
          <w:p w14:paraId="65BBE43F" w14:textId="77777777" w:rsidR="001D65B3" w:rsidRDefault="001D65B3" w:rsidP="00177867">
            <w:pPr>
              <w:rPr>
                <w:rFonts w:ascii="Verdana" w:eastAsia="Verdana" w:hAnsi="Verdana" w:cs="Verdana"/>
                <w:color w:val="000000" w:themeColor="text1"/>
                <w:sz w:val="16"/>
                <w:szCs w:val="16"/>
              </w:rPr>
            </w:pPr>
            <w:r w:rsidRPr="40A87941">
              <w:rPr>
                <w:rFonts w:ascii="Verdana" w:eastAsia="Verdana" w:hAnsi="Verdana" w:cs="Verdana"/>
                <w:color w:val="000000" w:themeColor="text1"/>
                <w:sz w:val="16"/>
                <w:szCs w:val="16"/>
              </w:rPr>
              <w:t>C</w:t>
            </w:r>
            <w:r w:rsidRPr="40A87941">
              <w:rPr>
                <w:rFonts w:ascii="Verdana" w:eastAsia="Verdana" w:hAnsi="Verdana" w:cs="Verdana"/>
                <w:sz w:val="16"/>
                <w:szCs w:val="16"/>
              </w:rPr>
              <w:t xml:space="preserve">ontratista </w:t>
            </w:r>
            <w:r w:rsidRPr="40A87941">
              <w:rPr>
                <w:rFonts w:ascii="Verdana" w:eastAsia="Verdana" w:hAnsi="Verdana" w:cs="Verdana"/>
                <w:color w:val="000000" w:themeColor="text1"/>
                <w:sz w:val="16"/>
                <w:szCs w:val="16"/>
              </w:rPr>
              <w:t>de la Subdirección de Gestión Contractual</w:t>
            </w:r>
          </w:p>
        </w:tc>
      </w:tr>
      <w:tr w:rsidR="001D65B3" w14:paraId="469CB2C7" w14:textId="77777777" w:rsidTr="00177867">
        <w:trPr>
          <w:trHeight w:val="321"/>
        </w:trPr>
        <w:tc>
          <w:tcPr>
            <w:tcW w:w="858" w:type="dxa"/>
            <w:tcBorders>
              <w:top w:val="nil"/>
              <w:bottom w:val="nil"/>
              <w:right w:val="nil"/>
            </w:tcBorders>
            <w:tcMar>
              <w:left w:w="108" w:type="dxa"/>
              <w:right w:w="108" w:type="dxa"/>
            </w:tcMar>
            <w:vAlign w:val="center"/>
          </w:tcPr>
          <w:p w14:paraId="7AA3975A" w14:textId="77777777" w:rsidR="001D65B3" w:rsidRDefault="001D65B3" w:rsidP="00177867">
            <w:pPr>
              <w:spacing w:after="255"/>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Revisó:</w:t>
            </w:r>
          </w:p>
        </w:tc>
        <w:tc>
          <w:tcPr>
            <w:tcW w:w="4727" w:type="dxa"/>
            <w:tcBorders>
              <w:left w:val="nil"/>
            </w:tcBorders>
            <w:tcMar>
              <w:left w:w="108" w:type="dxa"/>
              <w:right w:w="108" w:type="dxa"/>
            </w:tcMar>
            <w:vAlign w:val="center"/>
          </w:tcPr>
          <w:p w14:paraId="70F254E6" w14:textId="77777777" w:rsidR="001D65B3" w:rsidRDefault="001D65B3" w:rsidP="00177867">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 xml:space="preserve">Juan David Cardenas Cabeza  </w:t>
            </w:r>
          </w:p>
          <w:p w14:paraId="1BAFE97A" w14:textId="77777777" w:rsidR="001D65B3" w:rsidRDefault="001D65B3" w:rsidP="00177867">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Contratista</w:t>
            </w:r>
            <w:r w:rsidRPr="39124533">
              <w:rPr>
                <w:rFonts w:ascii="Verdana" w:eastAsia="Verdana" w:hAnsi="Verdana" w:cs="Verdana"/>
                <w:color w:val="000000" w:themeColor="text1"/>
                <w:sz w:val="16"/>
                <w:szCs w:val="16"/>
              </w:rPr>
              <w:t xml:space="preserve"> de la Subdirección de Gestión Contractual</w:t>
            </w:r>
          </w:p>
        </w:tc>
      </w:tr>
      <w:tr w:rsidR="001D65B3" w14:paraId="212F91CE" w14:textId="77777777" w:rsidTr="00177867">
        <w:trPr>
          <w:trHeight w:val="292"/>
        </w:trPr>
        <w:tc>
          <w:tcPr>
            <w:tcW w:w="858" w:type="dxa"/>
            <w:tcBorders>
              <w:top w:val="nil"/>
              <w:bottom w:val="nil"/>
              <w:right w:val="nil"/>
            </w:tcBorders>
            <w:tcMar>
              <w:left w:w="108" w:type="dxa"/>
              <w:right w:w="108" w:type="dxa"/>
            </w:tcMar>
            <w:vAlign w:val="center"/>
          </w:tcPr>
          <w:p w14:paraId="048364BF" w14:textId="77777777" w:rsidR="001D65B3" w:rsidRDefault="001D65B3" w:rsidP="00177867">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Aprobó:</w:t>
            </w:r>
          </w:p>
        </w:tc>
        <w:tc>
          <w:tcPr>
            <w:tcW w:w="4727" w:type="dxa"/>
            <w:tcBorders>
              <w:left w:val="nil"/>
            </w:tcBorders>
            <w:tcMar>
              <w:left w:w="108" w:type="dxa"/>
              <w:right w:w="108" w:type="dxa"/>
            </w:tcMar>
            <w:vAlign w:val="center"/>
          </w:tcPr>
          <w:p w14:paraId="3FBCAECE" w14:textId="77777777" w:rsidR="001D65B3" w:rsidRDefault="001D65B3" w:rsidP="00177867">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lang w:val="pt-BR"/>
              </w:rPr>
              <w:t xml:space="preserve">Carolina Quintero </w:t>
            </w:r>
            <w:proofErr w:type="spellStart"/>
            <w:r w:rsidRPr="40A87941">
              <w:rPr>
                <w:rFonts w:ascii="Verdana" w:eastAsia="Verdana" w:hAnsi="Verdana" w:cs="Verdana"/>
                <w:color w:val="000000" w:themeColor="text1"/>
                <w:sz w:val="16"/>
                <w:szCs w:val="16"/>
                <w:lang w:val="pt-BR"/>
              </w:rPr>
              <w:t>Gacharná</w:t>
            </w:r>
            <w:proofErr w:type="spellEnd"/>
          </w:p>
          <w:p w14:paraId="448AF040" w14:textId="77777777" w:rsidR="001D65B3" w:rsidRDefault="001D65B3" w:rsidP="00177867">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rPr>
              <w:t>Subdirectora</w:t>
            </w:r>
            <w:r w:rsidRPr="40A87941">
              <w:rPr>
                <w:rFonts w:ascii="Verdana" w:eastAsia="Verdana" w:hAnsi="Verdana" w:cs="Verdana"/>
                <w:color w:val="000000" w:themeColor="text1"/>
                <w:sz w:val="16"/>
                <w:szCs w:val="16"/>
                <w:lang w:val="pt-BR"/>
              </w:rPr>
              <w:t xml:space="preserve"> de Gestión </w:t>
            </w:r>
            <w:proofErr w:type="spellStart"/>
            <w:r w:rsidRPr="40A87941">
              <w:rPr>
                <w:rFonts w:ascii="Verdana" w:eastAsia="Verdana" w:hAnsi="Verdana" w:cs="Verdana"/>
                <w:color w:val="000000" w:themeColor="text1"/>
                <w:sz w:val="16"/>
                <w:szCs w:val="16"/>
                <w:lang w:val="pt-BR"/>
              </w:rPr>
              <w:t>Contractual</w:t>
            </w:r>
            <w:proofErr w:type="spellEnd"/>
            <w:r w:rsidRPr="40A87941">
              <w:rPr>
                <w:rFonts w:ascii="Verdana" w:eastAsia="Verdana" w:hAnsi="Verdana" w:cs="Verdana"/>
                <w:color w:val="000000" w:themeColor="text1"/>
                <w:sz w:val="16"/>
                <w:szCs w:val="16"/>
                <w:lang w:val="pt-BR"/>
              </w:rPr>
              <w:t xml:space="preserve"> ANCP – CCE</w:t>
            </w:r>
          </w:p>
        </w:tc>
      </w:tr>
    </w:tbl>
    <w:p w14:paraId="38F95B69" w14:textId="77777777" w:rsidR="001D65B3" w:rsidRDefault="001D65B3" w:rsidP="001D65B3">
      <w:pPr>
        <w:spacing w:line="240" w:lineRule="auto"/>
        <w:jc w:val="both"/>
        <w:textAlignment w:val="baseline"/>
        <w:rPr>
          <w:rFonts w:ascii="Verdana" w:eastAsia="Calibri" w:hAnsi="Verdana" w:cs="Calibri"/>
          <w:sz w:val="16"/>
          <w:szCs w:val="16"/>
          <w:lang w:val="es"/>
        </w:rPr>
      </w:pPr>
    </w:p>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65EF77B1"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F6598" w14:textId="77777777" w:rsidR="00F13F48" w:rsidRDefault="00F13F48" w:rsidP="004A1847">
      <w:pPr>
        <w:spacing w:after="0" w:line="240" w:lineRule="auto"/>
      </w:pPr>
      <w:r>
        <w:separator/>
      </w:r>
    </w:p>
  </w:endnote>
  <w:endnote w:type="continuationSeparator" w:id="0">
    <w:p w14:paraId="69B07AAD" w14:textId="77777777" w:rsidR="00F13F48" w:rsidRDefault="00F13F4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17694" w14:textId="77777777" w:rsidR="00F13F48" w:rsidRDefault="00F13F48" w:rsidP="004A1847">
      <w:pPr>
        <w:spacing w:after="0" w:line="240" w:lineRule="auto"/>
      </w:pPr>
      <w:r>
        <w:separator/>
      </w:r>
    </w:p>
  </w:footnote>
  <w:footnote w:type="continuationSeparator" w:id="0">
    <w:p w14:paraId="568DE0DC" w14:textId="77777777" w:rsidR="00F13F48" w:rsidRDefault="00F13F48" w:rsidP="004A1847">
      <w:pPr>
        <w:spacing w:after="0" w:line="240" w:lineRule="auto"/>
      </w:pPr>
      <w:r>
        <w:continuationSeparator/>
      </w:r>
    </w:p>
  </w:footnote>
  <w:footnote w:id="1">
    <w:p w14:paraId="703B7433" w14:textId="77777777" w:rsidR="001D65B3" w:rsidRPr="006A11D8" w:rsidRDefault="001D65B3" w:rsidP="001D65B3">
      <w:pPr>
        <w:pStyle w:val="Textonotapie"/>
        <w:ind w:firstLine="709"/>
        <w:jc w:val="both"/>
        <w:rPr>
          <w:rFonts w:ascii="Verdana" w:hAnsi="Verdana" w:cs="Arial"/>
          <w:color w:val="000000"/>
          <w:sz w:val="16"/>
          <w:szCs w:val="16"/>
        </w:rPr>
      </w:pPr>
      <w:r w:rsidRPr="006A11D8">
        <w:rPr>
          <w:rStyle w:val="Refdenotaalpie"/>
          <w:rFonts w:ascii="Verdana" w:hAnsi="Verdana" w:cs="Arial"/>
          <w:color w:val="000000"/>
          <w:sz w:val="16"/>
          <w:szCs w:val="16"/>
        </w:rPr>
        <w:footnoteRef/>
      </w:r>
      <w:r w:rsidRPr="006A11D8">
        <w:rPr>
          <w:rFonts w:ascii="Verdana" w:hAnsi="Verdana" w:cs="Arial"/>
          <w:color w:val="000000"/>
          <w:sz w:val="16"/>
          <w:szCs w:val="16"/>
        </w:rPr>
        <w:t xml:space="preserve"> El artículo 1502 del Código Civil prevé la capacidad legal como requisito para obligarse contractualmente, en los siguientes términos: “Para que una persona se obligue a otra por un acto o declaración de voluntad, es necesario:</w:t>
      </w:r>
    </w:p>
    <w:p w14:paraId="33E5AA76" w14:textId="77777777" w:rsidR="001D65B3" w:rsidRPr="006A11D8" w:rsidRDefault="001D65B3" w:rsidP="001D65B3">
      <w:pPr>
        <w:pStyle w:val="Textonotapie"/>
        <w:ind w:firstLine="709"/>
        <w:jc w:val="both"/>
        <w:rPr>
          <w:rFonts w:ascii="Verdana" w:hAnsi="Verdana" w:cs="Arial"/>
          <w:color w:val="000000"/>
          <w:sz w:val="16"/>
          <w:szCs w:val="16"/>
        </w:rPr>
      </w:pPr>
      <w:r w:rsidRPr="006A11D8">
        <w:rPr>
          <w:rFonts w:ascii="Verdana" w:hAnsi="Verdana" w:cs="Arial"/>
          <w:color w:val="000000"/>
          <w:sz w:val="16"/>
          <w:szCs w:val="16"/>
        </w:rPr>
        <w:t>1o.) que sea legalmente capaz.</w:t>
      </w:r>
    </w:p>
    <w:p w14:paraId="0CC933EE" w14:textId="77777777" w:rsidR="001D65B3" w:rsidRPr="006A11D8" w:rsidRDefault="001D65B3" w:rsidP="001D65B3">
      <w:pPr>
        <w:pStyle w:val="Textonotapie"/>
        <w:ind w:firstLine="709"/>
        <w:jc w:val="both"/>
        <w:rPr>
          <w:rFonts w:ascii="Verdana" w:hAnsi="Verdana" w:cs="Arial"/>
          <w:color w:val="000000"/>
          <w:sz w:val="16"/>
          <w:szCs w:val="16"/>
        </w:rPr>
      </w:pPr>
      <w:r w:rsidRPr="006A11D8">
        <w:rPr>
          <w:rFonts w:ascii="Verdana" w:hAnsi="Verdana" w:cs="Arial"/>
          <w:color w:val="000000"/>
          <w:sz w:val="16"/>
          <w:szCs w:val="16"/>
        </w:rPr>
        <w:t>[…]</w:t>
      </w:r>
    </w:p>
    <w:p w14:paraId="1DD9FABE" w14:textId="77777777" w:rsidR="001D65B3" w:rsidRPr="006A11D8" w:rsidRDefault="001D65B3" w:rsidP="001D65B3">
      <w:pPr>
        <w:pStyle w:val="Textonotapie"/>
        <w:ind w:firstLine="709"/>
        <w:jc w:val="both"/>
        <w:rPr>
          <w:rFonts w:ascii="Verdana" w:hAnsi="Verdana" w:cs="Arial"/>
          <w:color w:val="000000"/>
          <w:sz w:val="16"/>
          <w:szCs w:val="16"/>
        </w:rPr>
      </w:pPr>
      <w:r w:rsidRPr="006A11D8">
        <w:rPr>
          <w:rFonts w:ascii="Verdana" w:hAnsi="Verdana" w:cs="Arial"/>
          <w:color w:val="000000"/>
          <w:sz w:val="16"/>
          <w:szCs w:val="16"/>
        </w:rPr>
        <w:t>La capacidad legal de una persona consiste en poderse obligar por sí misma, sin el ministerio o la autorización de otra”.</w:t>
      </w:r>
    </w:p>
  </w:footnote>
  <w:footnote w:id="2">
    <w:p w14:paraId="4E75173A" w14:textId="77777777" w:rsidR="001D65B3" w:rsidRPr="006A11D8" w:rsidRDefault="001D65B3" w:rsidP="001D65B3">
      <w:pPr>
        <w:pStyle w:val="Textonotapie"/>
        <w:jc w:val="both"/>
        <w:rPr>
          <w:rFonts w:ascii="Verdana" w:hAnsi="Verdana" w:cs="Arial"/>
          <w:color w:val="000000"/>
          <w:sz w:val="16"/>
          <w:szCs w:val="16"/>
          <w:lang w:val="es-ES"/>
        </w:rPr>
      </w:pPr>
    </w:p>
  </w:footnote>
  <w:footnote w:id="3">
    <w:p w14:paraId="7D08DB7E" w14:textId="77777777" w:rsidR="001D65B3" w:rsidRPr="006A11D8" w:rsidRDefault="001D65B3" w:rsidP="001D65B3">
      <w:pPr>
        <w:spacing w:after="0" w:line="240" w:lineRule="auto"/>
        <w:ind w:firstLine="709"/>
        <w:jc w:val="both"/>
        <w:rPr>
          <w:rFonts w:ascii="Verdana" w:hAnsi="Verdana" w:cs="Arial"/>
          <w:color w:val="000000"/>
          <w:sz w:val="16"/>
          <w:szCs w:val="16"/>
          <w:lang w:val="es-ES"/>
        </w:rPr>
      </w:pPr>
      <w:r w:rsidRPr="006A11D8">
        <w:rPr>
          <w:rStyle w:val="Refdenotaalpie"/>
          <w:rFonts w:ascii="Verdana" w:hAnsi="Verdana" w:cs="Arial"/>
          <w:color w:val="000000"/>
          <w:sz w:val="16"/>
          <w:szCs w:val="16"/>
        </w:rPr>
        <w:footnoteRef/>
      </w:r>
      <w:r w:rsidRPr="006A11D8">
        <w:rPr>
          <w:rFonts w:ascii="Verdana" w:hAnsi="Verdana" w:cs="Arial"/>
          <w:color w:val="000000"/>
          <w:sz w:val="16"/>
          <w:szCs w:val="16"/>
        </w:rPr>
        <w:t xml:space="preserve"> </w:t>
      </w:r>
      <w:r w:rsidRPr="006A11D8">
        <w:rPr>
          <w:rFonts w:ascii="Verdana" w:hAnsi="Verdana" w:cs="Arial"/>
          <w:color w:val="000000"/>
          <w:sz w:val="16"/>
          <w:szCs w:val="16"/>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57D95F4B" w14:textId="77777777" w:rsidR="001D65B3" w:rsidRPr="006A11D8" w:rsidRDefault="001D65B3" w:rsidP="001D65B3">
      <w:pPr>
        <w:spacing w:after="0" w:line="240" w:lineRule="auto"/>
        <w:ind w:firstLine="709"/>
        <w:jc w:val="both"/>
        <w:rPr>
          <w:rFonts w:ascii="Verdana" w:hAnsi="Verdana" w:cs="Arial"/>
          <w:color w:val="000000"/>
          <w:sz w:val="16"/>
          <w:szCs w:val="16"/>
          <w:lang w:val="es-ES"/>
        </w:rPr>
      </w:pPr>
    </w:p>
  </w:footnote>
  <w:footnote w:id="4">
    <w:p w14:paraId="49299716" w14:textId="77777777" w:rsidR="001D65B3" w:rsidRPr="006A11D8" w:rsidRDefault="001D65B3" w:rsidP="001D65B3">
      <w:pPr>
        <w:pStyle w:val="Textonotapie"/>
        <w:ind w:firstLine="709"/>
        <w:jc w:val="both"/>
        <w:rPr>
          <w:rFonts w:ascii="Verdana" w:hAnsi="Verdana" w:cs="Arial"/>
          <w:color w:val="000000"/>
          <w:sz w:val="16"/>
          <w:szCs w:val="16"/>
          <w:lang w:val="es-ES"/>
        </w:rPr>
      </w:pPr>
      <w:r w:rsidRPr="006A11D8">
        <w:rPr>
          <w:rStyle w:val="Refdenotaalpie"/>
          <w:rFonts w:ascii="Verdana" w:hAnsi="Verdana" w:cs="Arial"/>
          <w:color w:val="000000"/>
          <w:sz w:val="16"/>
          <w:szCs w:val="16"/>
        </w:rPr>
        <w:footnoteRef/>
      </w:r>
      <w:r w:rsidRPr="006A11D8">
        <w:rPr>
          <w:rFonts w:ascii="Verdana" w:hAnsi="Verdana" w:cs="Arial"/>
          <w:color w:val="000000"/>
          <w:sz w:val="16"/>
          <w:szCs w:val="16"/>
        </w:rPr>
        <w:t xml:space="preserve"> </w:t>
      </w:r>
      <w:r w:rsidRPr="006A11D8">
        <w:rPr>
          <w:rFonts w:ascii="Verdana" w:hAnsi="Verdana" w:cs="Arial"/>
          <w:color w:val="000000"/>
          <w:sz w:val="16"/>
          <w:szCs w:val="16"/>
          <w:lang w:val="es-ES"/>
        </w:rPr>
        <w:t>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5B9614D6" w14:textId="77777777" w:rsidR="001D65B3" w:rsidRPr="006A11D8" w:rsidRDefault="001D65B3" w:rsidP="001D65B3">
      <w:pPr>
        <w:pStyle w:val="Textonotapie"/>
        <w:ind w:firstLine="709"/>
        <w:jc w:val="both"/>
        <w:rPr>
          <w:rFonts w:ascii="Verdana" w:hAnsi="Verdana" w:cs="Arial"/>
          <w:color w:val="000000"/>
          <w:sz w:val="16"/>
          <w:szCs w:val="16"/>
          <w:lang w:val="es-CO"/>
        </w:rPr>
      </w:pPr>
    </w:p>
  </w:footnote>
  <w:footnote w:id="5">
    <w:p w14:paraId="27AA3A86" w14:textId="77777777" w:rsidR="001D65B3" w:rsidRPr="006A11D8" w:rsidRDefault="001D65B3" w:rsidP="001D65B3">
      <w:pPr>
        <w:pStyle w:val="Textonotapie"/>
        <w:ind w:firstLine="709"/>
        <w:jc w:val="both"/>
        <w:rPr>
          <w:rFonts w:ascii="Verdana" w:hAnsi="Verdana" w:cs="Arial"/>
          <w:color w:val="000000"/>
          <w:sz w:val="16"/>
          <w:szCs w:val="16"/>
          <w:lang w:val="es-ES"/>
        </w:rPr>
      </w:pPr>
      <w:r w:rsidRPr="006A11D8">
        <w:rPr>
          <w:rStyle w:val="Refdenotaalpie"/>
          <w:rFonts w:ascii="Verdana" w:hAnsi="Verdana" w:cs="Arial"/>
          <w:color w:val="000000"/>
          <w:sz w:val="16"/>
          <w:szCs w:val="16"/>
        </w:rPr>
        <w:footnoteRef/>
      </w:r>
      <w:r w:rsidRPr="006A11D8">
        <w:rPr>
          <w:rFonts w:ascii="Verdana" w:hAnsi="Verdana" w:cs="Arial"/>
          <w:color w:val="000000"/>
          <w:sz w:val="16"/>
          <w:szCs w:val="16"/>
        </w:rPr>
        <w:t xml:space="preserve"> </w:t>
      </w:r>
      <w:r w:rsidRPr="006A11D8">
        <w:rPr>
          <w:rFonts w:ascii="Verdana" w:hAnsi="Verdana" w:cs="Arial"/>
          <w:color w:val="000000"/>
          <w:sz w:val="16"/>
          <w:szCs w:val="16"/>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 </w:t>
      </w:r>
    </w:p>
    <w:p w14:paraId="4893E5EB" w14:textId="77777777" w:rsidR="001D65B3" w:rsidRPr="006A11D8" w:rsidRDefault="001D65B3" w:rsidP="001D65B3">
      <w:pPr>
        <w:pStyle w:val="Textonotapie"/>
        <w:ind w:firstLine="709"/>
        <w:jc w:val="both"/>
        <w:rPr>
          <w:rFonts w:ascii="Verdana" w:hAnsi="Verdana" w:cs="Arial"/>
          <w:color w:val="000000"/>
          <w:sz w:val="16"/>
          <w:szCs w:val="16"/>
          <w:lang w:val="es-CO"/>
        </w:rPr>
      </w:pPr>
      <w:r w:rsidRPr="006A11D8">
        <w:rPr>
          <w:rFonts w:ascii="Verdana" w:hAnsi="Verdana" w:cs="Arial"/>
          <w:color w:val="000000"/>
          <w:sz w:val="16"/>
          <w:szCs w:val="16"/>
          <w:lang w:val="es-ES"/>
        </w:rPr>
        <w:t xml:space="preserve">  </w:t>
      </w:r>
    </w:p>
  </w:footnote>
  <w:footnote w:id="6">
    <w:p w14:paraId="6CE84DE6" w14:textId="77777777" w:rsidR="001D65B3" w:rsidRPr="006A11D8" w:rsidRDefault="001D65B3" w:rsidP="001D65B3">
      <w:pPr>
        <w:spacing w:after="0" w:line="240" w:lineRule="auto"/>
        <w:ind w:firstLine="709"/>
        <w:jc w:val="both"/>
        <w:rPr>
          <w:rFonts w:ascii="Verdana" w:hAnsi="Verdana" w:cs="Arial"/>
          <w:color w:val="000000"/>
          <w:sz w:val="16"/>
          <w:szCs w:val="16"/>
          <w:lang w:val="es-ES"/>
        </w:rPr>
      </w:pPr>
      <w:r w:rsidRPr="006A11D8">
        <w:rPr>
          <w:rStyle w:val="Refdenotaalpie"/>
          <w:rFonts w:ascii="Verdana" w:hAnsi="Verdana" w:cs="Arial"/>
          <w:color w:val="000000"/>
          <w:sz w:val="16"/>
          <w:szCs w:val="16"/>
        </w:rPr>
        <w:footnoteRef/>
      </w:r>
      <w:r w:rsidRPr="006A11D8">
        <w:rPr>
          <w:rFonts w:ascii="Verdana" w:hAnsi="Verdana" w:cs="Arial"/>
          <w:color w:val="000000"/>
          <w:sz w:val="16"/>
          <w:szCs w:val="16"/>
        </w:rPr>
        <w:t xml:space="preserve"> </w:t>
      </w:r>
      <w:r w:rsidRPr="006A11D8">
        <w:rPr>
          <w:rFonts w:ascii="Verdana" w:hAnsi="Verdana" w:cs="Arial"/>
          <w:color w:val="000000"/>
          <w:sz w:val="16"/>
          <w:szCs w:val="16"/>
          <w:lang w:val="es-ES"/>
        </w:rPr>
        <w:t xml:space="preserve">Como las señaladas a continuación: “Los servidores públicos” (art. 8, 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14:paraId="27014F1E" w14:textId="77777777" w:rsidR="001D65B3" w:rsidRPr="006A11D8" w:rsidRDefault="001D65B3" w:rsidP="001D65B3">
      <w:pPr>
        <w:spacing w:after="0" w:line="240" w:lineRule="auto"/>
        <w:ind w:firstLine="709"/>
        <w:jc w:val="both"/>
        <w:rPr>
          <w:rFonts w:ascii="Verdana" w:hAnsi="Verdana" w:cs="Arial"/>
          <w:color w:val="000000"/>
          <w:sz w:val="16"/>
          <w:szCs w:val="16"/>
          <w:lang w:val="es-ES"/>
        </w:rPr>
      </w:pPr>
    </w:p>
  </w:footnote>
  <w:footnote w:id="7">
    <w:p w14:paraId="7844EE5D" w14:textId="77777777" w:rsidR="001D65B3" w:rsidRPr="006A11D8" w:rsidRDefault="001D65B3" w:rsidP="001D65B3">
      <w:pPr>
        <w:pStyle w:val="Textonotapie"/>
        <w:ind w:firstLine="709"/>
        <w:jc w:val="both"/>
        <w:rPr>
          <w:rFonts w:ascii="Verdana" w:hAnsi="Verdana" w:cs="Arial"/>
          <w:color w:val="000000"/>
          <w:sz w:val="16"/>
          <w:szCs w:val="16"/>
          <w:lang w:val="es-ES"/>
        </w:rPr>
      </w:pPr>
      <w:r w:rsidRPr="006A11D8">
        <w:rPr>
          <w:rStyle w:val="Refdenotaalpie"/>
          <w:rFonts w:ascii="Verdana" w:hAnsi="Verdana" w:cs="Arial"/>
          <w:color w:val="000000"/>
          <w:sz w:val="16"/>
          <w:szCs w:val="16"/>
        </w:rPr>
        <w:footnoteRef/>
      </w:r>
      <w:r w:rsidRPr="006A11D8">
        <w:rPr>
          <w:rFonts w:ascii="Verdana" w:hAnsi="Verdana" w:cs="Arial"/>
          <w:color w:val="000000"/>
          <w:sz w:val="16"/>
          <w:szCs w:val="16"/>
        </w:rPr>
        <w:t xml:space="preserve"> </w:t>
      </w:r>
      <w:r w:rsidRPr="006A11D8">
        <w:rPr>
          <w:rFonts w:ascii="Verdana" w:hAnsi="Verdana" w:cs="Arial"/>
          <w:color w:val="000000"/>
          <w:sz w:val="16"/>
          <w:szCs w:val="16"/>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p w14:paraId="07795608" w14:textId="77777777" w:rsidR="001D65B3" w:rsidRPr="006A11D8" w:rsidRDefault="001D65B3" w:rsidP="001D65B3">
      <w:pPr>
        <w:pStyle w:val="Textonotapie"/>
        <w:ind w:firstLine="709"/>
        <w:jc w:val="both"/>
        <w:rPr>
          <w:rFonts w:ascii="Verdana" w:hAnsi="Verdana" w:cs="Arial"/>
          <w:color w:val="000000"/>
          <w:sz w:val="16"/>
          <w:szCs w:val="16"/>
          <w:lang w:val="es-ES"/>
        </w:rPr>
      </w:pPr>
    </w:p>
  </w:footnote>
  <w:footnote w:id="8">
    <w:p w14:paraId="54E62847" w14:textId="77777777" w:rsidR="001D65B3" w:rsidRPr="005F0339" w:rsidRDefault="001D65B3" w:rsidP="001D65B3">
      <w:pPr>
        <w:pStyle w:val="Textonotapie"/>
        <w:ind w:firstLine="709"/>
        <w:jc w:val="both"/>
        <w:rPr>
          <w:rFonts w:ascii="Verdana" w:hAnsi="Verdana" w:cs="Arial"/>
          <w:color w:val="000000"/>
          <w:sz w:val="16"/>
          <w:szCs w:val="16"/>
          <w:lang w:val="es-ES"/>
        </w:rPr>
      </w:pPr>
      <w:r w:rsidRPr="005F0339">
        <w:rPr>
          <w:rStyle w:val="Refdenotaalpie"/>
          <w:rFonts w:ascii="Verdana" w:hAnsi="Verdana" w:cs="Arial"/>
          <w:color w:val="000000"/>
          <w:sz w:val="16"/>
          <w:szCs w:val="16"/>
        </w:rPr>
        <w:footnoteRef/>
      </w:r>
      <w:r w:rsidRPr="005F0339">
        <w:rPr>
          <w:rFonts w:ascii="Verdana" w:hAnsi="Verdana" w:cs="Arial"/>
          <w:color w:val="000000"/>
          <w:sz w:val="16"/>
          <w:szCs w:val="16"/>
        </w:rPr>
        <w:t xml:space="preserve"> </w:t>
      </w:r>
      <w:r w:rsidRPr="005F0339">
        <w:rPr>
          <w:rFonts w:ascii="Verdana" w:hAnsi="Verdana" w:cs="Arial"/>
          <w:color w:val="000000"/>
          <w:sz w:val="16"/>
          <w:szCs w:val="16"/>
          <w:lang w:val="es-ES"/>
        </w:rPr>
        <w:t>Ibíd., p. 69.</w:t>
      </w:r>
    </w:p>
    <w:p w14:paraId="1CA40E8D" w14:textId="77777777" w:rsidR="001D65B3" w:rsidRPr="005F0339" w:rsidRDefault="001D65B3" w:rsidP="001D65B3">
      <w:pPr>
        <w:pStyle w:val="Textonotapie"/>
        <w:ind w:firstLine="709"/>
        <w:jc w:val="both"/>
        <w:rPr>
          <w:rFonts w:ascii="Verdana" w:hAnsi="Verdana" w:cs="Arial"/>
          <w:color w:val="000000"/>
          <w:sz w:val="16"/>
          <w:szCs w:val="16"/>
          <w:lang w:val="es-ES"/>
        </w:rPr>
      </w:pPr>
    </w:p>
  </w:footnote>
  <w:footnote w:id="9">
    <w:p w14:paraId="5CCEFA22" w14:textId="77777777" w:rsidR="001D65B3" w:rsidRPr="000B604E" w:rsidRDefault="001D65B3" w:rsidP="001D65B3">
      <w:pPr>
        <w:pStyle w:val="Textonotapie"/>
        <w:ind w:firstLine="709"/>
        <w:jc w:val="both"/>
        <w:rPr>
          <w:rFonts w:ascii="Verdana" w:hAnsi="Verdana" w:cs="Arial"/>
          <w:color w:val="000000"/>
          <w:sz w:val="16"/>
          <w:szCs w:val="16"/>
          <w:lang w:val="es-ES"/>
        </w:rPr>
      </w:pPr>
      <w:r w:rsidRPr="000B604E">
        <w:rPr>
          <w:rStyle w:val="Refdenotaalpie"/>
          <w:rFonts w:ascii="Verdana" w:hAnsi="Verdana" w:cs="Arial"/>
          <w:color w:val="000000"/>
          <w:sz w:val="16"/>
          <w:szCs w:val="16"/>
        </w:rPr>
        <w:footnoteRef/>
      </w:r>
      <w:r w:rsidRPr="000B604E">
        <w:rPr>
          <w:rFonts w:ascii="Verdana" w:hAnsi="Verdana" w:cs="Arial"/>
          <w:color w:val="000000"/>
          <w:sz w:val="16"/>
          <w:szCs w:val="16"/>
        </w:rPr>
        <w:t xml:space="preserve"> </w:t>
      </w:r>
      <w:r w:rsidRPr="000B604E">
        <w:rPr>
          <w:rFonts w:ascii="Verdana" w:hAnsi="Verdana" w:cs="Arial"/>
          <w:color w:val="000000"/>
          <w:sz w:val="16"/>
          <w:szCs w:val="16"/>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p w14:paraId="0B5ECC10" w14:textId="77777777" w:rsidR="001D65B3" w:rsidRPr="000B604E" w:rsidRDefault="001D65B3" w:rsidP="001D65B3">
      <w:pPr>
        <w:pStyle w:val="Textonotapie"/>
        <w:ind w:firstLine="709"/>
        <w:jc w:val="both"/>
        <w:rPr>
          <w:rFonts w:ascii="Verdana" w:hAnsi="Verdana" w:cs="Arial"/>
          <w:color w:val="000000"/>
          <w:sz w:val="16"/>
          <w:szCs w:val="16"/>
          <w:lang w:val="es-ES"/>
        </w:rPr>
      </w:pPr>
    </w:p>
  </w:footnote>
  <w:footnote w:id="10">
    <w:p w14:paraId="4EC72FE5" w14:textId="77777777" w:rsidR="001D65B3" w:rsidRPr="000B604E" w:rsidRDefault="001D65B3" w:rsidP="001D65B3">
      <w:pPr>
        <w:pStyle w:val="Textonotapie"/>
        <w:ind w:firstLine="709"/>
        <w:jc w:val="both"/>
        <w:rPr>
          <w:rFonts w:ascii="Verdana" w:hAnsi="Verdana" w:cs="Arial"/>
          <w:color w:val="000000"/>
          <w:sz w:val="16"/>
          <w:szCs w:val="16"/>
          <w:lang w:val="es-ES"/>
        </w:rPr>
      </w:pPr>
      <w:r w:rsidRPr="000B604E">
        <w:rPr>
          <w:rStyle w:val="Refdenotaalpie"/>
          <w:rFonts w:ascii="Verdana" w:hAnsi="Verdana" w:cs="Arial"/>
          <w:color w:val="000000"/>
          <w:sz w:val="16"/>
          <w:szCs w:val="16"/>
        </w:rPr>
        <w:footnoteRef/>
      </w:r>
      <w:r w:rsidRPr="000B604E">
        <w:rPr>
          <w:rFonts w:ascii="Verdana" w:hAnsi="Verdana" w:cs="Arial"/>
          <w:color w:val="000000"/>
          <w:sz w:val="16"/>
          <w:szCs w:val="16"/>
        </w:rPr>
        <w:t xml:space="preserve"> </w:t>
      </w:r>
      <w:r w:rsidRPr="000B604E">
        <w:rPr>
          <w:rFonts w:ascii="Verdana" w:hAnsi="Verdana" w:cs="Arial"/>
          <w:color w:val="000000"/>
          <w:sz w:val="16"/>
          <w:szCs w:val="16"/>
          <w:lang w:val="es-ES"/>
        </w:rPr>
        <w:t>Consejo de Estado. Sala de Consulta y Servicio Civil. Concepto del 30 de abril de 2015. Expediente: 2251. Consejero Ponente: Álvaro Namén Vargas.</w:t>
      </w:r>
    </w:p>
    <w:p w14:paraId="4A8532DE" w14:textId="77777777" w:rsidR="001D65B3" w:rsidRPr="000B604E" w:rsidRDefault="001D65B3" w:rsidP="001D65B3">
      <w:pPr>
        <w:pStyle w:val="Textonotapie"/>
        <w:ind w:firstLine="709"/>
        <w:jc w:val="both"/>
        <w:rPr>
          <w:rFonts w:ascii="Verdana" w:hAnsi="Verdana" w:cs="Arial"/>
          <w:color w:val="000000"/>
          <w:sz w:val="16"/>
          <w:szCs w:val="16"/>
          <w:lang w:val="es-ES"/>
        </w:rPr>
      </w:pPr>
    </w:p>
  </w:footnote>
  <w:footnote w:id="11">
    <w:p w14:paraId="72FD3DD8" w14:textId="77777777" w:rsidR="001D65B3" w:rsidRPr="000B604E" w:rsidRDefault="001D65B3" w:rsidP="001D65B3">
      <w:pPr>
        <w:pStyle w:val="Textonotapie"/>
        <w:ind w:firstLine="709"/>
        <w:jc w:val="both"/>
        <w:rPr>
          <w:rFonts w:ascii="Verdana" w:hAnsi="Verdana" w:cs="Arial"/>
          <w:color w:val="000000"/>
          <w:sz w:val="16"/>
          <w:szCs w:val="16"/>
        </w:rPr>
      </w:pPr>
      <w:r w:rsidRPr="000B604E">
        <w:rPr>
          <w:rStyle w:val="Refdenotaalpie"/>
          <w:rFonts w:ascii="Verdana" w:hAnsi="Verdana" w:cs="Arial"/>
          <w:color w:val="000000"/>
          <w:sz w:val="16"/>
          <w:szCs w:val="16"/>
        </w:rPr>
        <w:footnoteRef/>
      </w:r>
      <w:r w:rsidRPr="000B604E">
        <w:rPr>
          <w:rFonts w:ascii="Verdana" w:hAnsi="Verdana" w:cs="Arial"/>
          <w:color w:val="000000"/>
          <w:sz w:val="16"/>
          <w:szCs w:val="16"/>
        </w:rPr>
        <w:t xml:space="preserve"> Consejo de Estado. Sala de lo Contencioso Administrativo. Sección Tercera. Subsección A. Sentencia del 24 de junio de 2015. Exp. 40.635. Consejero Ponente: Hernán Andrade Rincón (E).</w:t>
      </w:r>
    </w:p>
    <w:p w14:paraId="783A8771" w14:textId="77777777" w:rsidR="001D65B3" w:rsidRPr="000B604E" w:rsidRDefault="001D65B3" w:rsidP="001D65B3">
      <w:pPr>
        <w:pStyle w:val="Textonotapie"/>
        <w:ind w:firstLine="709"/>
        <w:jc w:val="both"/>
        <w:rPr>
          <w:rFonts w:ascii="Verdana" w:hAnsi="Verdana" w:cs="Arial"/>
          <w:color w:val="000000"/>
          <w:sz w:val="16"/>
          <w:szCs w:val="16"/>
          <w:lang w:val="es-ES"/>
        </w:rPr>
      </w:pPr>
    </w:p>
  </w:footnote>
  <w:footnote w:id="12">
    <w:p w14:paraId="786B038B" w14:textId="77777777" w:rsidR="001D65B3" w:rsidRPr="000B604E" w:rsidRDefault="001D65B3" w:rsidP="001D65B3">
      <w:pPr>
        <w:pStyle w:val="Textonotapie"/>
        <w:ind w:firstLine="709"/>
        <w:jc w:val="both"/>
        <w:rPr>
          <w:rFonts w:ascii="Verdana" w:hAnsi="Verdana" w:cs="Arial"/>
          <w:color w:val="000000"/>
          <w:sz w:val="16"/>
          <w:szCs w:val="16"/>
        </w:rPr>
      </w:pPr>
      <w:r w:rsidRPr="000B604E">
        <w:rPr>
          <w:rStyle w:val="Refdenotaalpie"/>
          <w:rFonts w:ascii="Verdana" w:hAnsi="Verdana" w:cs="Arial"/>
          <w:color w:val="000000"/>
          <w:sz w:val="16"/>
          <w:szCs w:val="16"/>
        </w:rPr>
        <w:footnoteRef/>
      </w:r>
      <w:r w:rsidRPr="000B604E">
        <w:rPr>
          <w:rFonts w:ascii="Verdana" w:hAnsi="Verdana" w:cs="Arial"/>
          <w:color w:val="000000"/>
          <w:sz w:val="16"/>
          <w:szCs w:val="16"/>
        </w:rPr>
        <w:t xml:space="preserve"> Consejo de Estado. Sala de lo Contencioso Administrativo. Sección Tercera. Subsección C. Sentencia del 22 de mayo de 2013. Exp. 24.057. Consejera Ponente: Olga Melida Valle De De La Hoz.</w:t>
      </w:r>
    </w:p>
    <w:p w14:paraId="3C73D153" w14:textId="77777777" w:rsidR="001D65B3" w:rsidRPr="000B604E" w:rsidRDefault="001D65B3" w:rsidP="001D65B3">
      <w:pPr>
        <w:pStyle w:val="Textonotapie"/>
        <w:ind w:firstLine="709"/>
        <w:jc w:val="both"/>
        <w:rPr>
          <w:rFonts w:ascii="Verdana" w:hAnsi="Verdana" w:cs="Arial"/>
          <w:color w:val="000000"/>
          <w:sz w:val="16"/>
          <w:szCs w:val="16"/>
          <w:lang w:val="es-ES"/>
        </w:rPr>
      </w:pPr>
    </w:p>
  </w:footnote>
  <w:footnote w:id="13">
    <w:p w14:paraId="4232314C" w14:textId="77777777" w:rsidR="001D65B3" w:rsidRPr="005D763C" w:rsidRDefault="001D65B3" w:rsidP="001D65B3">
      <w:pPr>
        <w:pBdr>
          <w:top w:val="nil"/>
          <w:left w:val="nil"/>
          <w:bottom w:val="nil"/>
          <w:right w:val="nil"/>
          <w:between w:val="nil"/>
        </w:pBdr>
        <w:ind w:firstLine="708"/>
        <w:contextualSpacing/>
        <w:jc w:val="both"/>
        <w:rPr>
          <w:rFonts w:ascii="Verdana" w:eastAsia="Arial" w:hAnsi="Verdana" w:cs="Arial"/>
          <w:color w:val="000000"/>
          <w:sz w:val="14"/>
          <w:szCs w:val="14"/>
        </w:rPr>
      </w:pPr>
      <w:r w:rsidRPr="005D763C">
        <w:rPr>
          <w:rStyle w:val="Refdenotaalpie"/>
          <w:rFonts w:ascii="Verdana" w:hAnsi="Verdana" w:cs="Arial"/>
          <w:sz w:val="14"/>
          <w:szCs w:val="14"/>
        </w:rPr>
        <w:footnoteRef/>
      </w:r>
      <w:r w:rsidRPr="005D763C">
        <w:rPr>
          <w:rFonts w:ascii="Verdana" w:hAnsi="Verdana" w:cs="Arial"/>
          <w:sz w:val="14"/>
          <w:szCs w:val="14"/>
        </w:rPr>
        <w:t xml:space="preserve"> </w:t>
      </w:r>
      <w:bookmarkStart w:id="3" w:name="43"/>
      <w:r w:rsidRPr="005D763C">
        <w:rPr>
          <w:rFonts w:ascii="Verdana" w:eastAsia="Arial" w:hAnsi="Verdana" w:cs="Arial"/>
          <w:color w:val="000000"/>
          <w:sz w:val="14"/>
          <w:szCs w:val="14"/>
        </w:rPr>
        <w:t>Artículo 43. Definiciones de Tamaño Empresarial.</w:t>
      </w:r>
      <w:bookmarkEnd w:id="3"/>
      <w:r w:rsidRPr="005D763C">
        <w:rPr>
          <w:rFonts w:ascii="Verdana" w:eastAsia="Arial" w:hAnsi="Verdana" w:cs="Arial"/>
          <w:color w:val="000000"/>
          <w:sz w:val="14"/>
          <w:szCs w:val="14"/>
        </w:rPr>
        <w:t> El artículo </w:t>
      </w:r>
      <w:hyperlink r:id="rId1" w:anchor="2" w:history="1">
        <w:r w:rsidRPr="005D763C">
          <w:rPr>
            <w:rStyle w:val="Hipervnculo1"/>
            <w:rFonts w:ascii="Verdana" w:eastAsia="Arial" w:hAnsi="Verdana" w:cs="Arial"/>
            <w:color w:val="000000"/>
            <w:sz w:val="14"/>
            <w:szCs w:val="14"/>
          </w:rPr>
          <w:t>2</w:t>
        </w:r>
      </w:hyperlink>
      <w:r w:rsidRPr="005D763C">
        <w:rPr>
          <w:rFonts w:ascii="Verdana" w:eastAsia="Arial" w:hAnsi="Verdana" w:cs="Arial"/>
          <w:color w:val="000000"/>
          <w:sz w:val="14"/>
          <w:szCs w:val="14"/>
        </w:rPr>
        <w:t>o de la Ley 590 de 2000, quedará así:</w:t>
      </w:r>
    </w:p>
    <w:p w14:paraId="1A9A09C7" w14:textId="77777777" w:rsidR="001D65B3" w:rsidRPr="005D763C" w:rsidRDefault="001D65B3" w:rsidP="001D65B3">
      <w:pPr>
        <w:pBdr>
          <w:top w:val="nil"/>
          <w:left w:val="nil"/>
          <w:bottom w:val="nil"/>
          <w:right w:val="nil"/>
          <w:between w:val="nil"/>
        </w:pBdr>
        <w:ind w:firstLine="708"/>
        <w:contextualSpacing/>
        <w:jc w:val="both"/>
        <w:rPr>
          <w:rFonts w:ascii="Verdana" w:eastAsia="Arial" w:hAnsi="Verdana" w:cs="Arial"/>
          <w:color w:val="000000"/>
          <w:sz w:val="14"/>
          <w:szCs w:val="14"/>
        </w:rPr>
      </w:pPr>
      <w:r>
        <w:rPr>
          <w:rFonts w:ascii="Verdana" w:eastAsia="Arial" w:hAnsi="Verdana" w:cs="Arial"/>
          <w:i/>
          <w:iCs/>
          <w:color w:val="000000"/>
          <w:sz w:val="14"/>
          <w:szCs w:val="14"/>
        </w:rPr>
        <w:t xml:space="preserve">(…) </w:t>
      </w:r>
      <w:r w:rsidRPr="005D763C">
        <w:rPr>
          <w:rFonts w:ascii="Verdana" w:eastAsia="Arial" w:hAnsi="Verdana" w:cs="Arial"/>
          <w:i/>
          <w:iCs/>
          <w:color w:val="000000"/>
          <w:sz w:val="14"/>
          <w:szCs w:val="14"/>
        </w:rPr>
        <w:t>Artículo </w:t>
      </w:r>
      <w:hyperlink r:id="rId2" w:anchor="2" w:history="1">
        <w:r w:rsidRPr="005D763C">
          <w:rPr>
            <w:rStyle w:val="Hipervnculo1"/>
            <w:rFonts w:ascii="Verdana" w:eastAsia="Arial" w:hAnsi="Verdana" w:cs="Arial"/>
            <w:i/>
            <w:iCs/>
            <w:color w:val="000000"/>
            <w:sz w:val="14"/>
            <w:szCs w:val="14"/>
          </w:rPr>
          <w:t>2</w:t>
        </w:r>
      </w:hyperlink>
      <w:r w:rsidRPr="005D763C">
        <w:rPr>
          <w:rFonts w:ascii="Verdana" w:eastAsia="Arial" w:hAnsi="Verdana" w:cs="Arial"/>
          <w:i/>
          <w:iCs/>
          <w:color w:val="000000"/>
          <w:sz w:val="14"/>
          <w:szCs w:val="14"/>
        </w:rPr>
        <w:t>o. Definiciones de tamaño empresarial.</w:t>
      </w:r>
      <w:r w:rsidRPr="005D763C">
        <w:rPr>
          <w:rFonts w:ascii="Verdana" w:eastAsia="Arial" w:hAnsi="Verdana" w:cs="Arial"/>
          <w:b/>
          <w:bCs/>
          <w:i/>
          <w:iCs/>
          <w:color w:val="000000"/>
          <w:sz w:val="14"/>
          <w:szCs w:val="14"/>
        </w:rPr>
        <w:t> </w:t>
      </w:r>
      <w:r w:rsidRPr="005D763C">
        <w:rPr>
          <w:rFonts w:ascii="Verdana" w:eastAsia="Arial" w:hAnsi="Verdana" w:cs="Arial"/>
          <w:color w:val="000000"/>
          <w:sz w:val="14"/>
          <w:szCs w:val="14"/>
        </w:rPr>
        <w:t>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w:t>
      </w:r>
    </w:p>
    <w:p w14:paraId="2275D09E" w14:textId="77777777" w:rsidR="001D65B3" w:rsidRPr="005D763C" w:rsidRDefault="001D65B3" w:rsidP="001D65B3">
      <w:pPr>
        <w:pBdr>
          <w:top w:val="nil"/>
          <w:left w:val="nil"/>
          <w:bottom w:val="nil"/>
          <w:right w:val="nil"/>
          <w:between w:val="nil"/>
        </w:pBdr>
        <w:ind w:firstLine="708"/>
        <w:contextualSpacing/>
        <w:jc w:val="both"/>
        <w:rPr>
          <w:rFonts w:ascii="Verdana" w:eastAsia="Arial" w:hAnsi="Verdana" w:cs="Arial"/>
          <w:color w:val="000000"/>
          <w:sz w:val="14"/>
          <w:szCs w:val="14"/>
        </w:rPr>
      </w:pPr>
      <w:r w:rsidRPr="005D763C">
        <w:rPr>
          <w:rFonts w:ascii="Verdana" w:hAnsi="Verdana" w:cs="Arial"/>
          <w:sz w:val="14"/>
          <w:szCs w:val="14"/>
        </w:rPr>
        <w:t>»</w:t>
      </w:r>
      <w:r w:rsidRPr="005D763C">
        <w:rPr>
          <w:rFonts w:ascii="Verdana" w:eastAsia="Arial" w:hAnsi="Verdana" w:cs="Arial"/>
          <w:color w:val="000000"/>
          <w:sz w:val="14"/>
          <w:szCs w:val="14"/>
        </w:rPr>
        <w:t>1. Número de trabajadores totales.</w:t>
      </w:r>
    </w:p>
    <w:p w14:paraId="1CD0EF27" w14:textId="77777777" w:rsidR="001D65B3" w:rsidRPr="005D763C" w:rsidRDefault="001D65B3" w:rsidP="001D65B3">
      <w:pPr>
        <w:pBdr>
          <w:top w:val="nil"/>
          <w:left w:val="nil"/>
          <w:bottom w:val="nil"/>
          <w:right w:val="nil"/>
          <w:between w:val="nil"/>
        </w:pBdr>
        <w:ind w:firstLine="708"/>
        <w:contextualSpacing/>
        <w:jc w:val="both"/>
        <w:rPr>
          <w:rFonts w:ascii="Verdana" w:eastAsia="Arial" w:hAnsi="Verdana" w:cs="Arial"/>
          <w:color w:val="000000"/>
          <w:sz w:val="14"/>
          <w:szCs w:val="14"/>
        </w:rPr>
      </w:pPr>
      <w:r w:rsidRPr="005D763C">
        <w:rPr>
          <w:rFonts w:ascii="Verdana" w:hAnsi="Verdana" w:cs="Arial"/>
          <w:sz w:val="14"/>
          <w:szCs w:val="14"/>
        </w:rPr>
        <w:t>»</w:t>
      </w:r>
      <w:r w:rsidRPr="005D763C">
        <w:rPr>
          <w:rFonts w:ascii="Verdana" w:eastAsia="Arial" w:hAnsi="Verdana" w:cs="Arial"/>
          <w:color w:val="000000"/>
          <w:sz w:val="14"/>
          <w:szCs w:val="14"/>
        </w:rPr>
        <w:t>2. Valor de ventas brutas anuales.</w:t>
      </w:r>
    </w:p>
    <w:p w14:paraId="16737606" w14:textId="77777777" w:rsidR="001D65B3" w:rsidRPr="005D763C" w:rsidRDefault="001D65B3" w:rsidP="001D65B3">
      <w:pPr>
        <w:pBdr>
          <w:top w:val="nil"/>
          <w:left w:val="nil"/>
          <w:bottom w:val="nil"/>
          <w:right w:val="nil"/>
          <w:between w:val="nil"/>
        </w:pBdr>
        <w:ind w:firstLine="708"/>
        <w:contextualSpacing/>
        <w:jc w:val="both"/>
        <w:rPr>
          <w:rFonts w:ascii="Arial" w:eastAsia="Arial" w:hAnsi="Arial" w:cs="Arial"/>
          <w:color w:val="000000"/>
          <w:sz w:val="14"/>
          <w:szCs w:val="14"/>
        </w:rPr>
      </w:pPr>
      <w:r w:rsidRPr="005D763C">
        <w:rPr>
          <w:rFonts w:ascii="Arial" w:hAnsi="Arial" w:cs="Arial"/>
          <w:sz w:val="14"/>
          <w:szCs w:val="14"/>
        </w:rPr>
        <w:t>»</w:t>
      </w:r>
      <w:r w:rsidRPr="005D763C">
        <w:rPr>
          <w:rFonts w:ascii="Arial" w:eastAsia="Arial" w:hAnsi="Arial" w:cs="Arial"/>
          <w:color w:val="000000"/>
          <w:sz w:val="14"/>
          <w:szCs w:val="14"/>
        </w:rPr>
        <w:t>3. Valor activos totales.</w:t>
      </w:r>
    </w:p>
    <w:p w14:paraId="66838943" w14:textId="77777777" w:rsidR="001D65B3" w:rsidRPr="005D763C" w:rsidRDefault="001D65B3" w:rsidP="001D65B3">
      <w:pPr>
        <w:pBdr>
          <w:top w:val="nil"/>
          <w:left w:val="nil"/>
          <w:bottom w:val="nil"/>
          <w:right w:val="nil"/>
          <w:between w:val="nil"/>
        </w:pBdr>
        <w:ind w:firstLine="708"/>
        <w:contextualSpacing/>
        <w:jc w:val="both"/>
        <w:rPr>
          <w:rFonts w:ascii="Verdana" w:eastAsia="Arial" w:hAnsi="Verdana" w:cs="Arial"/>
          <w:color w:val="000000"/>
          <w:sz w:val="14"/>
          <w:szCs w:val="14"/>
        </w:rPr>
      </w:pPr>
      <w:r w:rsidRPr="005D763C">
        <w:rPr>
          <w:rFonts w:ascii="Verdana" w:hAnsi="Verdana" w:cs="Arial"/>
          <w:sz w:val="14"/>
          <w:szCs w:val="14"/>
        </w:rPr>
        <w:t>»</w:t>
      </w:r>
      <w:r w:rsidRPr="005D763C">
        <w:rPr>
          <w:rFonts w:ascii="Verdana" w:eastAsia="Arial" w:hAnsi="Verdana" w:cs="Arial"/>
          <w:color w:val="000000"/>
          <w:sz w:val="14"/>
          <w:szCs w:val="14"/>
        </w:rPr>
        <w:t>Para efectos de los beneficios otorgados por el Gobierno nacional a las micro, pequeñas y medianas empresas el criterio determinante será el valor de ventas brutas anuales.</w:t>
      </w:r>
    </w:p>
    <w:p w14:paraId="5F35BB4F" w14:textId="77777777" w:rsidR="001D65B3" w:rsidRPr="005D763C" w:rsidRDefault="001D65B3" w:rsidP="001D65B3">
      <w:pPr>
        <w:pBdr>
          <w:top w:val="nil"/>
          <w:left w:val="nil"/>
          <w:bottom w:val="nil"/>
          <w:right w:val="nil"/>
          <w:between w:val="nil"/>
        </w:pBdr>
        <w:ind w:firstLine="708"/>
        <w:contextualSpacing/>
        <w:jc w:val="both"/>
        <w:rPr>
          <w:rFonts w:ascii="Verdana" w:eastAsia="Arial" w:hAnsi="Verdana" w:cs="Arial"/>
          <w:color w:val="000000"/>
          <w:sz w:val="14"/>
          <w:szCs w:val="14"/>
        </w:rPr>
      </w:pPr>
      <w:r w:rsidRPr="005D763C">
        <w:rPr>
          <w:rFonts w:ascii="Verdana" w:hAnsi="Verdana" w:cs="Arial"/>
          <w:sz w:val="14"/>
          <w:szCs w:val="14"/>
        </w:rPr>
        <w:t>»</w:t>
      </w:r>
      <w:r w:rsidRPr="005D763C">
        <w:rPr>
          <w:rFonts w:ascii="Verdana" w:eastAsia="Arial" w:hAnsi="Verdana" w:cs="Arial"/>
          <w:color w:val="000000"/>
          <w:sz w:val="14"/>
          <w:szCs w:val="14"/>
        </w:rPr>
        <w:t>PARÁGRAFO 1o</w:t>
      </w:r>
      <w:r w:rsidRPr="005D763C">
        <w:rPr>
          <w:rFonts w:ascii="Verdana" w:eastAsia="Arial" w:hAnsi="Verdana" w:cs="Arial"/>
          <w:b/>
          <w:bCs/>
          <w:color w:val="000000"/>
          <w:sz w:val="14"/>
          <w:szCs w:val="14"/>
        </w:rPr>
        <w:t>.</w:t>
      </w:r>
      <w:r w:rsidRPr="005D763C">
        <w:rPr>
          <w:rFonts w:ascii="Verdana" w:eastAsia="Arial" w:hAnsi="Verdana" w:cs="Arial"/>
          <w:color w:val="000000"/>
          <w:sz w:val="14"/>
          <w:szCs w:val="14"/>
        </w:rPr>
        <w:t> El Gobierno Nacional reglamentará los rangos que aplicarán para los tres criterios e incluirá especificidades sectoriales en los casos que considere necesario.</w:t>
      </w:r>
    </w:p>
    <w:p w14:paraId="2B5FBC16" w14:textId="77777777" w:rsidR="001D65B3" w:rsidRPr="005D763C" w:rsidRDefault="001D65B3" w:rsidP="001D65B3">
      <w:pPr>
        <w:pBdr>
          <w:top w:val="nil"/>
          <w:left w:val="nil"/>
          <w:bottom w:val="nil"/>
          <w:right w:val="nil"/>
          <w:between w:val="nil"/>
        </w:pBdr>
        <w:ind w:firstLine="708"/>
        <w:contextualSpacing/>
        <w:jc w:val="both"/>
        <w:rPr>
          <w:rFonts w:ascii="Verdana" w:hAnsi="Verdana" w:cs="Arial"/>
          <w:sz w:val="14"/>
          <w:szCs w:val="14"/>
        </w:rPr>
      </w:pPr>
      <w:r w:rsidRPr="005D763C">
        <w:rPr>
          <w:rFonts w:ascii="Verdana" w:hAnsi="Verdana" w:cs="Arial"/>
          <w:sz w:val="14"/>
          <w:szCs w:val="14"/>
        </w:rPr>
        <w:t>»</w:t>
      </w:r>
      <w:r w:rsidRPr="005D763C">
        <w:rPr>
          <w:rFonts w:ascii="Verdana" w:eastAsia="Arial" w:hAnsi="Verdana" w:cs="Arial"/>
          <w:color w:val="000000"/>
          <w:sz w:val="14"/>
          <w:szCs w:val="14"/>
        </w:rPr>
        <w:t>PARÁGRAFO 2o</w:t>
      </w:r>
      <w:r w:rsidRPr="005D763C">
        <w:rPr>
          <w:rFonts w:ascii="Verdana" w:eastAsia="Arial" w:hAnsi="Verdana" w:cs="Arial"/>
          <w:b/>
          <w:bCs/>
          <w:color w:val="000000"/>
          <w:sz w:val="14"/>
          <w:szCs w:val="14"/>
        </w:rPr>
        <w:t>.</w:t>
      </w:r>
      <w:r w:rsidRPr="005D763C">
        <w:rPr>
          <w:rFonts w:ascii="Verdana" w:eastAsia="Arial" w:hAnsi="Verdana" w:cs="Arial"/>
          <w:color w:val="000000"/>
          <w:sz w:val="14"/>
          <w:szCs w:val="14"/>
        </w:rPr>
        <w:t> Las definiciones contenidas en el artículo </w:t>
      </w:r>
      <w:hyperlink r:id="rId3" w:anchor="2" w:history="1">
        <w:r w:rsidRPr="005D763C">
          <w:rPr>
            <w:rStyle w:val="Hipervnculo1"/>
            <w:rFonts w:ascii="Verdana" w:eastAsia="Arial" w:hAnsi="Verdana" w:cs="Arial"/>
            <w:color w:val="000000"/>
            <w:sz w:val="14"/>
            <w:szCs w:val="14"/>
          </w:rPr>
          <w:t>2</w:t>
        </w:r>
      </w:hyperlink>
      <w:r w:rsidRPr="005D763C">
        <w:rPr>
          <w:rFonts w:ascii="Verdana" w:eastAsia="Arial" w:hAnsi="Verdana" w:cs="Arial"/>
          <w:color w:val="000000"/>
          <w:sz w:val="14"/>
          <w:szCs w:val="14"/>
        </w:rPr>
        <w:t>o de la Ley 590 de 2000 continuarán vigentes hasta tanto entren a regir las normas reglamentarias que profiera el Gobierno Nacional en desarrollo de lo previsto en el presente artículo</w:t>
      </w:r>
      <w:r w:rsidRPr="005D763C">
        <w:rPr>
          <w:rFonts w:ascii="Verdana" w:hAnsi="Verdana" w:cs="Arial"/>
          <w:sz w:val="14"/>
          <w:szCs w:val="14"/>
        </w:rPr>
        <w:t>».</w:t>
      </w:r>
    </w:p>
  </w:footnote>
  <w:footnote w:id="14">
    <w:p w14:paraId="12BF7189" w14:textId="77777777" w:rsidR="001D65B3" w:rsidRPr="005D763C" w:rsidRDefault="001D65B3" w:rsidP="001D65B3">
      <w:pPr>
        <w:pStyle w:val="Car1"/>
        <w:ind w:firstLine="709"/>
        <w:contextualSpacing/>
        <w:jc w:val="both"/>
        <w:rPr>
          <w:rFonts w:ascii="Verdana" w:hAnsi="Verdana" w:cs="Arial"/>
          <w:sz w:val="14"/>
          <w:szCs w:val="14"/>
          <w:lang w:val="es-CO"/>
        </w:rPr>
      </w:pPr>
      <w:r w:rsidRPr="005D763C">
        <w:rPr>
          <w:rStyle w:val="Refdenotaalpie"/>
          <w:rFonts w:ascii="Verdana" w:hAnsi="Verdana" w:cs="Arial"/>
          <w:sz w:val="14"/>
          <w:szCs w:val="14"/>
        </w:rPr>
        <w:footnoteRef/>
      </w:r>
      <w:r w:rsidRPr="005D763C">
        <w:rPr>
          <w:rFonts w:ascii="Verdana" w:hAnsi="Verdana" w:cs="Arial"/>
          <w:sz w:val="14"/>
          <w:szCs w:val="14"/>
        </w:rPr>
        <w:t xml:space="preserve"> Decreto 1074 de 2015. </w:t>
      </w:r>
      <w:r w:rsidRPr="005D763C">
        <w:rPr>
          <w:rFonts w:ascii="Verdana" w:eastAsia="Arial" w:hAnsi="Verdana" w:cs="Arial"/>
          <w:color w:val="000000"/>
          <w:sz w:val="14"/>
          <w:szCs w:val="14"/>
        </w:rPr>
        <w:t>«</w:t>
      </w:r>
      <w:r w:rsidRPr="005D763C">
        <w:rPr>
          <w:rFonts w:ascii="Verdana" w:hAnsi="Verdana" w:cs="Arial"/>
          <w:sz w:val="14"/>
          <w:szCs w:val="14"/>
          <w:lang w:val="es-CO"/>
        </w:rPr>
        <w:t>Artículo </w:t>
      </w:r>
      <w:bookmarkStart w:id="4" w:name="2.2.1.13.2.1"/>
      <w:bookmarkEnd w:id="4"/>
      <w:r w:rsidRPr="005D763C">
        <w:rPr>
          <w:rFonts w:ascii="Verdana" w:hAnsi="Verdana" w:cs="Arial"/>
          <w:sz w:val="14"/>
          <w:szCs w:val="14"/>
          <w:lang w:val="es-CO"/>
        </w:rPr>
        <w:t>2.2.1.13.2.1. Criterio para la clasificación del tamaño empresarial. Para efectos de la clasificación del tamaño empresarial se tendrá como criterio exclusivo los ingresos por actividades ordinarias anuales de la respectiva empresa.</w:t>
      </w:r>
    </w:p>
    <w:p w14:paraId="55734A91" w14:textId="77777777" w:rsidR="001D65B3" w:rsidRPr="005D763C" w:rsidRDefault="001D65B3" w:rsidP="001D65B3">
      <w:pPr>
        <w:pStyle w:val="Car1"/>
        <w:ind w:firstLine="709"/>
        <w:contextualSpacing/>
        <w:jc w:val="both"/>
        <w:rPr>
          <w:rFonts w:ascii="Verdana" w:hAnsi="Verdana" w:cs="Arial"/>
          <w:sz w:val="14"/>
          <w:szCs w:val="14"/>
          <w:lang w:val="es-CO"/>
        </w:rPr>
      </w:pPr>
      <w:r w:rsidRPr="005D763C">
        <w:rPr>
          <w:rFonts w:ascii="Verdana" w:hAnsi="Verdana" w:cs="Arial"/>
          <w:sz w:val="14"/>
          <w:szCs w:val="14"/>
        </w:rPr>
        <w:t>»</w:t>
      </w:r>
      <w:r w:rsidRPr="005D763C">
        <w:rPr>
          <w:rFonts w:ascii="Verdana" w:hAnsi="Verdana" w:cs="Arial"/>
          <w:sz w:val="14"/>
          <w:szCs w:val="14"/>
          <w:lang w:val="es-CO"/>
        </w:rPr>
        <w:t>El nivel de ingresos por actividades ordinarias anuales con base en el cual se determina el tamaño empresarial variará dependiendo del sector económico en el cual la empresa desarrolle su actividad</w:t>
      </w:r>
      <w:r w:rsidRPr="005D763C">
        <w:rPr>
          <w:rFonts w:ascii="Verdana" w:hAnsi="Verdana" w:cs="Arial"/>
          <w:sz w:val="14"/>
          <w:szCs w:val="14"/>
        </w:rPr>
        <w:t>»</w:t>
      </w:r>
      <w:r w:rsidRPr="005D763C">
        <w:rPr>
          <w:rFonts w:ascii="Verdana" w:hAnsi="Verdana" w:cs="Arial"/>
          <w:sz w:val="14"/>
          <w:szCs w:val="14"/>
          <w:lang w:val="es-CO"/>
        </w:rPr>
        <w:t>.</w:t>
      </w:r>
    </w:p>
    <w:p w14:paraId="4300868D" w14:textId="77777777" w:rsidR="001D65B3" w:rsidRPr="005D763C" w:rsidRDefault="001D65B3" w:rsidP="001D65B3">
      <w:pPr>
        <w:pStyle w:val="Car1"/>
        <w:contextualSpacing/>
        <w:jc w:val="both"/>
        <w:rPr>
          <w:rFonts w:ascii="Verdana" w:hAnsi="Verdana" w:cs="Arial"/>
          <w:sz w:val="14"/>
          <w:szCs w:val="14"/>
          <w:lang w:val="es-CO"/>
        </w:rPr>
      </w:pPr>
    </w:p>
  </w:footnote>
  <w:footnote w:id="15">
    <w:p w14:paraId="06369BF4" w14:textId="77777777" w:rsidR="001D65B3" w:rsidRPr="005D763C" w:rsidRDefault="001D65B3" w:rsidP="001D65B3">
      <w:pPr>
        <w:pBdr>
          <w:top w:val="nil"/>
          <w:left w:val="nil"/>
          <w:bottom w:val="nil"/>
          <w:right w:val="nil"/>
          <w:between w:val="nil"/>
        </w:pBdr>
        <w:spacing w:after="0" w:line="240" w:lineRule="auto"/>
        <w:ind w:firstLine="708"/>
        <w:contextualSpacing/>
        <w:jc w:val="both"/>
        <w:rPr>
          <w:rFonts w:ascii="Verdana" w:eastAsia="Arial" w:hAnsi="Verdana" w:cs="Arial"/>
          <w:color w:val="000000"/>
          <w:sz w:val="14"/>
          <w:szCs w:val="14"/>
        </w:rPr>
      </w:pPr>
      <w:r w:rsidRPr="005D763C">
        <w:rPr>
          <w:rStyle w:val="Refdenotaalpie"/>
          <w:rFonts w:ascii="Verdana" w:hAnsi="Verdana" w:cs="Arial"/>
          <w:sz w:val="14"/>
          <w:szCs w:val="14"/>
        </w:rPr>
        <w:footnoteRef/>
      </w:r>
      <w:r w:rsidRPr="005D763C">
        <w:rPr>
          <w:rFonts w:ascii="Verdana" w:hAnsi="Verdana" w:cs="Arial"/>
          <w:sz w:val="14"/>
          <w:szCs w:val="14"/>
        </w:rPr>
        <w:t xml:space="preserve"> </w:t>
      </w:r>
      <w:bookmarkStart w:id="5" w:name="2.2.1.13.2.2"/>
      <w:r w:rsidRPr="005D763C">
        <w:rPr>
          <w:rFonts w:ascii="Verdana" w:eastAsia="Arial" w:hAnsi="Verdana" w:cs="Arial"/>
          <w:color w:val="000000"/>
          <w:sz w:val="14"/>
          <w:szCs w:val="14"/>
        </w:rPr>
        <w:t>«</w:t>
      </w:r>
      <w:r w:rsidRPr="005D763C">
        <w:rPr>
          <w:rFonts w:ascii="Verdana" w:hAnsi="Verdana" w:cs="Arial"/>
          <w:sz w:val="14"/>
          <w:szCs w:val="14"/>
        </w:rPr>
        <w:t>Artículo 2.2.1.13.2.2. Rangos para la Definición del Tamaño Empresarial.</w:t>
      </w:r>
      <w:bookmarkEnd w:id="5"/>
      <w:r w:rsidRPr="005D763C">
        <w:rPr>
          <w:rFonts w:ascii="Verdana" w:hAnsi="Verdana" w:cs="Arial"/>
          <w:sz w:val="14"/>
          <w:szCs w:val="14"/>
        </w:rPr>
        <w:t xml:space="preserve"> Para efectos de la clasificación del tamaño empresarial se utilizarán, con base en el criterio previsto en el artículo anterior, los siguientes rangos para determinar el valor de los ingresos por actividades ordinarias anuales de acuerdo con el sector económico de que se trate:</w:t>
      </w:r>
    </w:p>
    <w:p w14:paraId="7809931D" w14:textId="77777777" w:rsidR="001D65B3" w:rsidRPr="005D763C" w:rsidRDefault="001D65B3" w:rsidP="001D65B3">
      <w:pPr>
        <w:pStyle w:val="Car1"/>
        <w:ind w:firstLine="709"/>
        <w:contextualSpacing/>
        <w:jc w:val="both"/>
        <w:rPr>
          <w:rFonts w:ascii="Verdana" w:hAnsi="Verdana" w:cs="Arial"/>
          <w:sz w:val="14"/>
          <w:szCs w:val="14"/>
          <w:lang w:val="es-CO"/>
        </w:rPr>
      </w:pPr>
      <w:r w:rsidRPr="005D763C">
        <w:rPr>
          <w:rFonts w:ascii="Verdana" w:hAnsi="Verdana" w:cs="Arial"/>
          <w:sz w:val="14"/>
          <w:szCs w:val="14"/>
        </w:rPr>
        <w:t>»</w:t>
      </w:r>
      <w:r w:rsidRPr="005D763C">
        <w:rPr>
          <w:rFonts w:ascii="Verdana" w:hAnsi="Verdana" w:cs="Arial"/>
          <w:sz w:val="14"/>
          <w:szCs w:val="14"/>
          <w:lang w:val="es-CO"/>
        </w:rPr>
        <w:t>1. Para el sector manufacturero:</w:t>
      </w:r>
    </w:p>
    <w:p w14:paraId="225DB793" w14:textId="77777777" w:rsidR="001D65B3" w:rsidRPr="005D763C" w:rsidRDefault="001D65B3" w:rsidP="001D65B3">
      <w:pPr>
        <w:pStyle w:val="Car1"/>
        <w:ind w:firstLine="709"/>
        <w:contextualSpacing/>
        <w:jc w:val="both"/>
        <w:rPr>
          <w:rFonts w:ascii="Verdana" w:hAnsi="Verdana" w:cs="Arial"/>
          <w:sz w:val="14"/>
          <w:szCs w:val="14"/>
          <w:lang w:val="es-CO"/>
        </w:rPr>
      </w:pPr>
      <w:r w:rsidRPr="005D763C">
        <w:rPr>
          <w:rFonts w:ascii="Verdana" w:hAnsi="Verdana" w:cs="Arial"/>
          <w:sz w:val="14"/>
          <w:szCs w:val="14"/>
        </w:rPr>
        <w:t>»</w:t>
      </w:r>
      <w:r w:rsidRPr="005D763C">
        <w:rPr>
          <w:rFonts w:ascii="Verdana" w:hAnsi="Verdana" w:cs="Arial"/>
          <w:sz w:val="14"/>
          <w:szCs w:val="14"/>
          <w:lang w:val="es-CO"/>
        </w:rPr>
        <w:t>- Microempresa. Aquella cuyos ingresos por actividades ordinarias anuales sean inferiores o iguales a veintitrés mil quinientos sesenta y tres Unidades de Valor Tributario (23.563 UVT).</w:t>
      </w:r>
    </w:p>
    <w:p w14:paraId="00583595" w14:textId="77777777" w:rsidR="001D65B3" w:rsidRPr="005D763C" w:rsidRDefault="001D65B3" w:rsidP="001D65B3">
      <w:pPr>
        <w:pStyle w:val="Car1"/>
        <w:ind w:firstLine="709"/>
        <w:contextualSpacing/>
        <w:jc w:val="both"/>
        <w:rPr>
          <w:rFonts w:ascii="Verdana" w:hAnsi="Verdana" w:cs="Arial"/>
          <w:sz w:val="14"/>
          <w:szCs w:val="14"/>
          <w:lang w:val="es-CO"/>
        </w:rPr>
      </w:pPr>
      <w:r w:rsidRPr="005D763C">
        <w:rPr>
          <w:rFonts w:ascii="Verdana" w:hAnsi="Verdana" w:cs="Arial"/>
          <w:sz w:val="14"/>
          <w:szCs w:val="14"/>
        </w:rPr>
        <w:t>»</w:t>
      </w:r>
      <w:r w:rsidRPr="005D763C">
        <w:rPr>
          <w:rFonts w:ascii="Verdana" w:hAnsi="Verdana" w:cs="Arial"/>
          <w:sz w:val="14"/>
          <w:szCs w:val="14"/>
          <w:lang w:val="es-CO"/>
        </w:rPr>
        <w:t>- Pequeña empresa. Aquella cuyos ingresos por actividades ordinarias anuales sean superiores a veintitrés mil quinientos sesenta y tres Unidades de Valor Tributario (23.563 UVT) e inferiores o iguales a doscientos cuatro mil novecientos noventa y cinco Unidades de Valor Tributario (204.995 UVT).</w:t>
      </w:r>
    </w:p>
    <w:p w14:paraId="530C4AED" w14:textId="77777777" w:rsidR="001D65B3" w:rsidRPr="005D763C" w:rsidRDefault="001D65B3" w:rsidP="001D65B3">
      <w:pPr>
        <w:pStyle w:val="Car1"/>
        <w:ind w:firstLine="709"/>
        <w:contextualSpacing/>
        <w:jc w:val="both"/>
        <w:rPr>
          <w:rFonts w:ascii="Verdana" w:hAnsi="Verdana" w:cs="Arial"/>
          <w:sz w:val="14"/>
          <w:szCs w:val="14"/>
          <w:lang w:val="es-CO"/>
        </w:rPr>
      </w:pPr>
      <w:r w:rsidRPr="005D763C">
        <w:rPr>
          <w:rFonts w:ascii="Verdana" w:hAnsi="Verdana" w:cs="Arial"/>
          <w:sz w:val="14"/>
          <w:szCs w:val="14"/>
        </w:rPr>
        <w:t>»</w:t>
      </w:r>
      <w:r w:rsidRPr="005D763C">
        <w:rPr>
          <w:rFonts w:ascii="Verdana" w:hAnsi="Verdana" w:cs="Arial"/>
          <w:sz w:val="14"/>
          <w:szCs w:val="14"/>
          <w:lang w:val="es-CO"/>
        </w:rPr>
        <w:t>- Mediana empresa.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w:t>
      </w:r>
    </w:p>
    <w:p w14:paraId="19A34FFA" w14:textId="77777777" w:rsidR="001D65B3" w:rsidRPr="005D763C" w:rsidRDefault="001D65B3" w:rsidP="001D65B3">
      <w:pPr>
        <w:pStyle w:val="Car1"/>
        <w:ind w:firstLine="709"/>
        <w:contextualSpacing/>
        <w:jc w:val="both"/>
        <w:rPr>
          <w:rFonts w:ascii="Verdana" w:hAnsi="Verdana" w:cs="Arial"/>
          <w:sz w:val="14"/>
          <w:szCs w:val="14"/>
          <w:lang w:val="es-CO"/>
        </w:rPr>
      </w:pPr>
      <w:r w:rsidRPr="005D763C">
        <w:rPr>
          <w:rFonts w:ascii="Verdana" w:hAnsi="Verdana" w:cs="Arial"/>
          <w:sz w:val="14"/>
          <w:szCs w:val="14"/>
        </w:rPr>
        <w:t>»</w:t>
      </w:r>
      <w:r w:rsidRPr="005D763C">
        <w:rPr>
          <w:rFonts w:ascii="Verdana" w:hAnsi="Verdana" w:cs="Arial"/>
          <w:sz w:val="14"/>
          <w:szCs w:val="14"/>
          <w:lang w:val="es-CO"/>
        </w:rPr>
        <w:t>2. Para el sector servicios:</w:t>
      </w:r>
    </w:p>
    <w:p w14:paraId="293FDE92" w14:textId="77777777" w:rsidR="001D65B3" w:rsidRPr="005D763C" w:rsidRDefault="001D65B3" w:rsidP="001D65B3">
      <w:pPr>
        <w:pStyle w:val="Car1"/>
        <w:ind w:firstLine="709"/>
        <w:contextualSpacing/>
        <w:jc w:val="both"/>
        <w:rPr>
          <w:rFonts w:ascii="Verdana" w:hAnsi="Verdana" w:cs="Arial"/>
          <w:sz w:val="14"/>
          <w:szCs w:val="14"/>
          <w:lang w:val="es-CO"/>
        </w:rPr>
      </w:pPr>
      <w:r w:rsidRPr="005D763C">
        <w:rPr>
          <w:rFonts w:ascii="Verdana" w:hAnsi="Verdana" w:cs="Arial"/>
          <w:sz w:val="14"/>
          <w:szCs w:val="14"/>
        </w:rPr>
        <w:t>»</w:t>
      </w:r>
      <w:r w:rsidRPr="005D763C">
        <w:rPr>
          <w:rFonts w:ascii="Verdana" w:hAnsi="Verdana" w:cs="Arial"/>
          <w:sz w:val="14"/>
          <w:szCs w:val="14"/>
          <w:lang w:val="es-CO"/>
        </w:rPr>
        <w:t>- Microempresa. Aquella cuyos ingresos por actividades ordinarias anuales sean inferiores o iguales a treinta y dos mil novecientos ochenta y ocho Unidades de Valor Tributario (32.988 UVT).</w:t>
      </w:r>
    </w:p>
    <w:p w14:paraId="124A5C16" w14:textId="77777777" w:rsidR="001D65B3" w:rsidRPr="005D763C" w:rsidRDefault="001D65B3" w:rsidP="001D65B3">
      <w:pPr>
        <w:pStyle w:val="Car1"/>
        <w:ind w:firstLine="709"/>
        <w:contextualSpacing/>
        <w:jc w:val="both"/>
        <w:rPr>
          <w:rFonts w:ascii="Verdana" w:hAnsi="Verdana" w:cs="Arial"/>
          <w:sz w:val="14"/>
          <w:szCs w:val="14"/>
          <w:lang w:val="es-CO"/>
        </w:rPr>
      </w:pPr>
      <w:r w:rsidRPr="005D763C">
        <w:rPr>
          <w:rFonts w:ascii="Verdana" w:hAnsi="Verdana" w:cs="Arial"/>
          <w:sz w:val="14"/>
          <w:szCs w:val="14"/>
        </w:rPr>
        <w:t>»</w:t>
      </w:r>
      <w:r w:rsidRPr="005D763C">
        <w:rPr>
          <w:rFonts w:ascii="Verdana" w:hAnsi="Verdana" w:cs="Arial"/>
          <w:sz w:val="14"/>
          <w:szCs w:val="14"/>
          <w:lang w:val="es-CO"/>
        </w:rPr>
        <w:t>- Pequeña empresa. Aquella cuyos ingresos por actividades ordinarias anuales sean superiores a treinta y dos mil novecientos ochenta y ocho Unidades de Valor Tributario (32.988 UVT) e inferiores o iguales a ciento treinta y un mil novecientos cincuenta y uno Unidades de Valor Tributario (131.951 UVT).</w:t>
      </w:r>
    </w:p>
    <w:p w14:paraId="49BB71B0" w14:textId="77777777" w:rsidR="001D65B3" w:rsidRPr="005D763C" w:rsidRDefault="001D65B3" w:rsidP="001D65B3">
      <w:pPr>
        <w:pStyle w:val="Car1"/>
        <w:ind w:firstLine="709"/>
        <w:contextualSpacing/>
        <w:jc w:val="both"/>
        <w:rPr>
          <w:rFonts w:ascii="Verdana" w:hAnsi="Verdana" w:cs="Arial"/>
          <w:sz w:val="14"/>
          <w:szCs w:val="14"/>
          <w:lang w:val="es-CO"/>
        </w:rPr>
      </w:pPr>
      <w:r w:rsidRPr="005D763C">
        <w:rPr>
          <w:rFonts w:ascii="Verdana" w:hAnsi="Verdana" w:cs="Arial"/>
          <w:sz w:val="14"/>
          <w:szCs w:val="14"/>
        </w:rPr>
        <w:t>»</w:t>
      </w:r>
      <w:r w:rsidRPr="005D763C">
        <w:rPr>
          <w:rFonts w:ascii="Verdana" w:hAnsi="Verdana" w:cs="Arial"/>
          <w:sz w:val="14"/>
          <w:szCs w:val="14"/>
          <w:lang w:val="es-CO"/>
        </w:rPr>
        <w:t>- Mediana empresa. Aquella cuyos ingresos por actividades ordinarias anuales sean superiores a ciento treinta y un mil novecientos cincuenta y un Unidades de Valor Tributario (131.951 UVT) e inferiores o iguales a cuatrocientos ochenta y tres mil treinta y cuatro Unidades de Valor Tributario (483.034 UVT).</w:t>
      </w:r>
    </w:p>
    <w:p w14:paraId="37054188" w14:textId="77777777" w:rsidR="001D65B3" w:rsidRPr="005D763C" w:rsidRDefault="001D65B3" w:rsidP="001D65B3">
      <w:pPr>
        <w:pStyle w:val="Car1"/>
        <w:ind w:firstLine="709"/>
        <w:contextualSpacing/>
        <w:jc w:val="both"/>
        <w:rPr>
          <w:rFonts w:ascii="Verdana" w:hAnsi="Verdana" w:cs="Arial"/>
          <w:sz w:val="14"/>
          <w:szCs w:val="14"/>
          <w:lang w:val="es-CO"/>
        </w:rPr>
      </w:pPr>
      <w:r w:rsidRPr="005D763C">
        <w:rPr>
          <w:rFonts w:ascii="Verdana" w:hAnsi="Verdana" w:cs="Arial"/>
          <w:sz w:val="14"/>
          <w:szCs w:val="14"/>
        </w:rPr>
        <w:t>»</w:t>
      </w:r>
      <w:r w:rsidRPr="005D763C">
        <w:rPr>
          <w:rFonts w:ascii="Verdana" w:hAnsi="Verdana" w:cs="Arial"/>
          <w:sz w:val="14"/>
          <w:szCs w:val="14"/>
          <w:lang w:val="es-CO"/>
        </w:rPr>
        <w:t>3. Para el sector de comercio:</w:t>
      </w:r>
    </w:p>
    <w:p w14:paraId="5FAFDB04" w14:textId="77777777" w:rsidR="001D65B3" w:rsidRPr="005D763C" w:rsidRDefault="001D65B3" w:rsidP="001D65B3">
      <w:pPr>
        <w:pStyle w:val="Car1"/>
        <w:ind w:firstLine="709"/>
        <w:contextualSpacing/>
        <w:jc w:val="both"/>
        <w:rPr>
          <w:rFonts w:ascii="Verdana" w:hAnsi="Verdana" w:cs="Arial"/>
          <w:sz w:val="14"/>
          <w:szCs w:val="14"/>
          <w:lang w:val="es-CO"/>
        </w:rPr>
      </w:pPr>
      <w:r w:rsidRPr="005D763C">
        <w:rPr>
          <w:rFonts w:ascii="Verdana" w:hAnsi="Verdana" w:cs="Arial"/>
          <w:sz w:val="14"/>
          <w:szCs w:val="14"/>
        </w:rPr>
        <w:t>»</w:t>
      </w:r>
      <w:r w:rsidRPr="005D763C">
        <w:rPr>
          <w:rFonts w:ascii="Verdana" w:hAnsi="Verdana" w:cs="Arial"/>
          <w:sz w:val="14"/>
          <w:szCs w:val="14"/>
          <w:lang w:val="es-CO"/>
        </w:rPr>
        <w:t>- Microempresa. Aquella cuyos ingresos por actividades ordinarias anuales sean inferiores o iguales a cuarenta y cuatro mil setecientos sesenta y nueve Unidades de Valor Tributario (44.769 UVT).</w:t>
      </w:r>
    </w:p>
    <w:p w14:paraId="787215C5" w14:textId="77777777" w:rsidR="001D65B3" w:rsidRPr="005D763C" w:rsidRDefault="001D65B3" w:rsidP="001D65B3">
      <w:pPr>
        <w:pStyle w:val="Car1"/>
        <w:ind w:firstLine="709"/>
        <w:contextualSpacing/>
        <w:jc w:val="both"/>
        <w:rPr>
          <w:rFonts w:ascii="Verdana" w:hAnsi="Verdana" w:cs="Arial"/>
          <w:sz w:val="14"/>
          <w:szCs w:val="14"/>
          <w:lang w:val="es-CO"/>
        </w:rPr>
      </w:pPr>
      <w:r w:rsidRPr="005D763C">
        <w:rPr>
          <w:rFonts w:ascii="Verdana" w:hAnsi="Verdana" w:cs="Arial"/>
          <w:sz w:val="14"/>
          <w:szCs w:val="14"/>
        </w:rPr>
        <w:t>»</w:t>
      </w:r>
      <w:r w:rsidRPr="005D763C">
        <w:rPr>
          <w:rFonts w:ascii="Verdana" w:hAnsi="Verdana" w:cs="Arial"/>
          <w:sz w:val="14"/>
          <w:szCs w:val="14"/>
          <w:lang w:val="es-CO"/>
        </w:rPr>
        <w:t>- Pequeña empresa. Aquella cuyos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4BBA274B" w14:textId="77777777" w:rsidR="001D65B3" w:rsidRPr="005D763C" w:rsidRDefault="001D65B3" w:rsidP="001D65B3">
      <w:pPr>
        <w:pStyle w:val="Car1"/>
        <w:ind w:firstLine="709"/>
        <w:contextualSpacing/>
        <w:jc w:val="both"/>
        <w:rPr>
          <w:rFonts w:ascii="Verdana" w:hAnsi="Verdana" w:cs="Arial"/>
          <w:sz w:val="14"/>
          <w:szCs w:val="14"/>
          <w:lang w:val="es-CO"/>
        </w:rPr>
      </w:pPr>
      <w:r w:rsidRPr="005D763C">
        <w:rPr>
          <w:rFonts w:ascii="Verdana" w:hAnsi="Verdana" w:cs="Arial"/>
          <w:sz w:val="14"/>
          <w:szCs w:val="14"/>
        </w:rPr>
        <w:t>»</w:t>
      </w:r>
      <w:r w:rsidRPr="005D763C">
        <w:rPr>
          <w:rFonts w:ascii="Verdana" w:hAnsi="Verdana" w:cs="Arial"/>
          <w:sz w:val="14"/>
          <w:szCs w:val="14"/>
          <w:lang w:val="es-CO"/>
        </w:rPr>
        <w:t>- Mediana empresa. Aquella cuyos ingresos por actividades ordinarias anuales sean superiores a cuatrocientos treinta y un mil ciento noventa y seis Unidades de Valor Tributario (431.196 UVT) e inferiores o iguales a dos millones ciento sesenta mil seiscientos noventa y dos Unidades de Valor Tributario (2'160.692 UVT)</w:t>
      </w:r>
      <w:r w:rsidRPr="005D763C">
        <w:rPr>
          <w:rFonts w:ascii="Verdana" w:hAnsi="Verdana" w:cs="Arial"/>
          <w:sz w:val="14"/>
          <w:szCs w:val="14"/>
        </w:rPr>
        <w:t xml:space="preserve"> »</w:t>
      </w:r>
      <w:r w:rsidRPr="005D763C">
        <w:rPr>
          <w:rFonts w:ascii="Verdana" w:hAnsi="Verdana" w:cs="Arial"/>
          <w:sz w:val="14"/>
          <w:szCs w:val="14"/>
          <w:lang w:val="es-CO"/>
        </w:rPr>
        <w:t>.</w:t>
      </w:r>
    </w:p>
    <w:p w14:paraId="3F82447C" w14:textId="77777777" w:rsidR="001D65B3" w:rsidRPr="005D763C" w:rsidRDefault="001D65B3" w:rsidP="001D65B3">
      <w:pPr>
        <w:pStyle w:val="Car1"/>
        <w:contextualSpacing/>
        <w:jc w:val="both"/>
        <w:rPr>
          <w:rFonts w:ascii="Verdana" w:hAnsi="Verdana" w:cs="Arial"/>
          <w:sz w:val="14"/>
          <w:szCs w:val="14"/>
          <w:lang w:val="es-CO"/>
        </w:rPr>
      </w:pPr>
    </w:p>
  </w:footnote>
  <w:footnote w:id="16">
    <w:p w14:paraId="038A1388" w14:textId="77777777" w:rsidR="001D65B3" w:rsidRPr="00A76DCC" w:rsidRDefault="001D65B3" w:rsidP="001D65B3">
      <w:pPr>
        <w:pStyle w:val="Car1"/>
        <w:ind w:firstLine="709"/>
        <w:contextualSpacing/>
        <w:jc w:val="both"/>
        <w:rPr>
          <w:rFonts w:ascii="Verdana" w:hAnsi="Verdana" w:cs="Arial"/>
          <w:bCs/>
          <w:sz w:val="14"/>
          <w:szCs w:val="14"/>
          <w:lang w:val="es-ES_tradnl"/>
        </w:rPr>
      </w:pPr>
      <w:r w:rsidRPr="00A76DCC">
        <w:rPr>
          <w:rStyle w:val="Refdenotaalpie"/>
          <w:rFonts w:ascii="Verdana" w:hAnsi="Verdana" w:cs="Arial"/>
          <w:sz w:val="14"/>
          <w:szCs w:val="14"/>
        </w:rPr>
        <w:footnoteRef/>
      </w:r>
      <w:r w:rsidRPr="00A76DCC">
        <w:rPr>
          <w:rFonts w:ascii="Verdana" w:hAnsi="Verdana" w:cs="Arial"/>
          <w:sz w:val="14"/>
          <w:szCs w:val="14"/>
        </w:rPr>
        <w:t xml:space="preserve"> </w:t>
      </w:r>
      <w:r w:rsidRPr="00A76DCC">
        <w:rPr>
          <w:rFonts w:ascii="Verdana" w:hAnsi="Verdana" w:cs="Arial"/>
          <w:sz w:val="14"/>
          <w:szCs w:val="14"/>
          <w:lang w:val="es-CO"/>
        </w:rPr>
        <w:t xml:space="preserve">Al respecto, la doctrina ha señalado que </w:t>
      </w:r>
      <w:r w:rsidRPr="00A76DCC">
        <w:rPr>
          <w:rFonts w:ascii="Verdana" w:eastAsia="Calibri" w:hAnsi="Verdana" w:cs="Arial"/>
          <w:bCs/>
          <w:sz w:val="14"/>
          <w:szCs w:val="14"/>
          <w:lang w:val="es-ES_tradnl"/>
        </w:rPr>
        <w:t xml:space="preserve">«inseparable del elemento objetivo – actividad económica organizada- y del subjetivo – empresario mercantil - </w:t>
      </w:r>
      <w:r w:rsidRPr="00A76DCC">
        <w:rPr>
          <w:rFonts w:ascii="Verdana" w:hAnsi="Verdana" w:cs="Arial"/>
          <w:sz w:val="14"/>
          <w:szCs w:val="14"/>
          <w:lang w:val="es-CO"/>
        </w:rPr>
        <w:t xml:space="preserve">la empresa comercial requiere un elemento funcional llamado establecimiento de comercio, que es un conjunto heterogéneo de bienes destinados específicamente por el empresario a desarrollar la actividad organizada. Así lo establece la definición prevista en el artículo 25 del Código de Comercio: “[…] Dicha </w:t>
      </w:r>
      <w:r w:rsidRPr="00A76DCC">
        <w:rPr>
          <w:rFonts w:ascii="Verdana" w:hAnsi="Verdana" w:cs="Arial"/>
          <w:bCs/>
          <w:sz w:val="14"/>
          <w:szCs w:val="14"/>
          <w:lang w:val="es-ES_tradnl"/>
        </w:rPr>
        <w:t>actividad se realizará a través de uno o más establecimientos de comercio”</w:t>
      </w:r>
      <w:r w:rsidRPr="00A76DCC">
        <w:rPr>
          <w:rFonts w:ascii="Verdana" w:eastAsia="Calibri" w:hAnsi="Verdana" w:cs="Arial"/>
          <w:bCs/>
          <w:sz w:val="14"/>
          <w:szCs w:val="14"/>
          <w:lang w:val="es-ES_tradnl"/>
        </w:rPr>
        <w:t>»</w:t>
      </w:r>
      <w:r w:rsidRPr="00A76DCC">
        <w:rPr>
          <w:rFonts w:ascii="Verdana" w:hAnsi="Verdana" w:cs="Arial"/>
          <w:bCs/>
          <w:sz w:val="14"/>
          <w:szCs w:val="14"/>
          <w:lang w:val="es-ES_tradnl"/>
        </w:rPr>
        <w:t>. (CASTRO DE CIFUENTES, Marcela. Derecho Comercial. Actos de comercio, empresas comerciantes y empresarios. Universidad de los Andes. 2016. Pág. 109).</w:t>
      </w:r>
    </w:p>
    <w:p w14:paraId="631BEAA6" w14:textId="77777777" w:rsidR="001D65B3" w:rsidRPr="00A76DCC" w:rsidRDefault="001D65B3" w:rsidP="001D65B3">
      <w:pPr>
        <w:pStyle w:val="Textonotapie"/>
        <w:contextualSpacing/>
        <w:rPr>
          <w:rFonts w:ascii="Verdana" w:hAnsi="Verdana" w:cs="Arial"/>
          <w:sz w:val="14"/>
          <w:szCs w:val="14"/>
          <w:lang w:val="es-ES_tradnl"/>
        </w:rPr>
      </w:pPr>
    </w:p>
  </w:footnote>
  <w:footnote w:id="17">
    <w:p w14:paraId="4105BC85" w14:textId="77777777" w:rsidR="001D65B3" w:rsidRPr="00A76DCC" w:rsidRDefault="001D65B3" w:rsidP="001D65B3">
      <w:pPr>
        <w:pStyle w:val="Textonotapie"/>
        <w:ind w:firstLine="709"/>
        <w:rPr>
          <w:rFonts w:ascii="Verdana" w:hAnsi="Verdana"/>
          <w:sz w:val="14"/>
          <w:szCs w:val="14"/>
          <w:lang w:val="es-ES"/>
        </w:rPr>
      </w:pPr>
      <w:r w:rsidRPr="00A76DCC">
        <w:rPr>
          <w:rStyle w:val="Refdenotaalpie"/>
          <w:rFonts w:ascii="Verdana" w:hAnsi="Verdana"/>
          <w:sz w:val="14"/>
          <w:szCs w:val="14"/>
        </w:rPr>
        <w:footnoteRef/>
      </w:r>
      <w:r w:rsidRPr="00A76DCC">
        <w:rPr>
          <w:rFonts w:ascii="Verdana" w:hAnsi="Verdana"/>
          <w:sz w:val="14"/>
          <w:szCs w:val="14"/>
        </w:rPr>
        <w:t xml:space="preserve"> </w:t>
      </w:r>
      <w:hyperlink r:id="rId4" w:history="1">
        <w:r w:rsidRPr="00A76DCC">
          <w:rPr>
            <w:rStyle w:val="Hipervnculo"/>
            <w:rFonts w:ascii="Verdana" w:hAnsi="Verdana"/>
            <w:sz w:val="14"/>
            <w:szCs w:val="14"/>
            <w:lang w:val="es-CO"/>
          </w:rPr>
          <w:t>*guia_para_promover_la_participacion_de_las_mipymes_en_los_procesos_de_compra_publica_cce-gad-gi-26_1.pdf</w:t>
        </w:r>
      </w:hyperlink>
    </w:p>
  </w:footnote>
  <w:footnote w:id="18">
    <w:p w14:paraId="141E0878" w14:textId="77777777" w:rsidR="001D65B3" w:rsidRPr="00831269" w:rsidRDefault="001D65B3" w:rsidP="001D65B3">
      <w:pPr>
        <w:pStyle w:val="Textonotapie"/>
        <w:ind w:firstLine="708"/>
        <w:rPr>
          <w:rFonts w:ascii="Arial" w:hAnsi="Arial" w:cs="Arial"/>
          <w:sz w:val="19"/>
          <w:szCs w:val="19"/>
          <w:lang w:val="es-ES"/>
        </w:rPr>
      </w:pPr>
      <w:r w:rsidRPr="00831269">
        <w:rPr>
          <w:rStyle w:val="Refdenotaalpie"/>
          <w:rFonts w:ascii="Arial" w:hAnsi="Arial" w:cs="Arial"/>
          <w:sz w:val="19"/>
          <w:szCs w:val="19"/>
        </w:rPr>
        <w:footnoteRef/>
      </w:r>
      <w:r w:rsidRPr="00831269">
        <w:rPr>
          <w:rFonts w:ascii="Arial" w:hAnsi="Arial" w:cs="Arial"/>
          <w:sz w:val="19"/>
          <w:szCs w:val="19"/>
        </w:rPr>
        <w:t xml:space="preserve"> </w:t>
      </w:r>
      <w:r w:rsidRPr="00831269">
        <w:rPr>
          <w:rFonts w:ascii="Arial" w:hAnsi="Arial" w:cs="Arial"/>
          <w:sz w:val="19"/>
          <w:szCs w:val="19"/>
          <w:lang w:val="es-ES"/>
        </w:rPr>
        <w:t>Consejo de Estado. Sala de Consulta y Servicio Civil. Concepto del 20 de mayo de 2010. No. de Radicado: 11001-03-06-000-2010-00034-00(1992). C.P. Enrique José Arboleda Perdomo.</w:t>
      </w:r>
    </w:p>
  </w:footnote>
  <w:footnote w:id="19">
    <w:p w14:paraId="5F37A860" w14:textId="77777777" w:rsidR="001D65B3" w:rsidRPr="00831269" w:rsidRDefault="001D65B3" w:rsidP="001D65B3">
      <w:pPr>
        <w:pStyle w:val="Textonotapie"/>
        <w:ind w:firstLine="709"/>
        <w:jc w:val="both"/>
        <w:rPr>
          <w:rFonts w:ascii="Arial" w:hAnsi="Arial" w:cs="Arial"/>
          <w:color w:val="000000"/>
          <w:sz w:val="19"/>
          <w:szCs w:val="19"/>
        </w:rPr>
      </w:pPr>
      <w:r w:rsidRPr="00831269">
        <w:rPr>
          <w:rStyle w:val="Refdenotaalpie"/>
          <w:rFonts w:ascii="Arial" w:hAnsi="Arial" w:cs="Arial"/>
          <w:color w:val="000000"/>
          <w:sz w:val="19"/>
          <w:szCs w:val="19"/>
        </w:rPr>
        <w:footnoteRef/>
      </w:r>
      <w:r w:rsidRPr="00831269">
        <w:rPr>
          <w:rFonts w:ascii="Arial" w:hAnsi="Arial" w:cs="Arial"/>
          <w:color w:val="000000"/>
          <w:sz w:val="19"/>
          <w:szCs w:val="19"/>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footnote>
  <w:footnote w:id="20">
    <w:p w14:paraId="75436155" w14:textId="77777777" w:rsidR="001D65B3" w:rsidRPr="00831269" w:rsidRDefault="001D65B3" w:rsidP="001D65B3">
      <w:pPr>
        <w:pStyle w:val="Textonotapie"/>
        <w:ind w:firstLine="709"/>
        <w:jc w:val="both"/>
        <w:rPr>
          <w:rFonts w:ascii="Arial" w:hAnsi="Arial" w:cs="Arial"/>
          <w:color w:val="000000"/>
          <w:sz w:val="19"/>
          <w:szCs w:val="19"/>
        </w:rPr>
      </w:pPr>
      <w:r w:rsidRPr="00831269">
        <w:rPr>
          <w:rStyle w:val="Refdenotaalpie"/>
          <w:rFonts w:ascii="Arial" w:hAnsi="Arial" w:cs="Arial"/>
          <w:color w:val="000000"/>
          <w:sz w:val="19"/>
          <w:szCs w:val="19"/>
        </w:rPr>
        <w:footnoteRef/>
      </w:r>
      <w:r w:rsidRPr="00831269">
        <w:rPr>
          <w:rFonts w:ascii="Arial" w:hAnsi="Arial" w:cs="Arial"/>
          <w:color w:val="000000"/>
          <w:sz w:val="19"/>
          <w:szCs w:val="19"/>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21">
    <w:p w14:paraId="34FA00C0" w14:textId="77777777" w:rsidR="001D65B3" w:rsidRPr="00831269" w:rsidRDefault="001D65B3" w:rsidP="001D65B3">
      <w:pPr>
        <w:pStyle w:val="Textonotapie"/>
        <w:ind w:firstLine="709"/>
        <w:jc w:val="both"/>
        <w:rPr>
          <w:rFonts w:ascii="Arial" w:hAnsi="Arial" w:cs="Arial"/>
          <w:color w:val="000000"/>
          <w:sz w:val="19"/>
          <w:szCs w:val="19"/>
        </w:rPr>
      </w:pPr>
      <w:r w:rsidRPr="00831269">
        <w:rPr>
          <w:rStyle w:val="Refdenotaalpie"/>
          <w:rFonts w:ascii="Arial" w:hAnsi="Arial" w:cs="Arial"/>
          <w:color w:val="000000"/>
          <w:sz w:val="19"/>
          <w:szCs w:val="19"/>
        </w:rPr>
        <w:footnoteRef/>
      </w:r>
      <w:r w:rsidRPr="00831269">
        <w:rPr>
          <w:rFonts w:ascii="Arial" w:hAnsi="Arial" w:cs="Arial"/>
          <w:color w:val="000000"/>
          <w:sz w:val="19"/>
          <w:szCs w:val="19"/>
        </w:rPr>
        <w:t xml:space="preserve"> Consejo de Estado. Sección Tercera. Subsección C. Sentencia del 26 de febrero de 2014. Expediente: 25.804. Consejero Ponente: Enrique Gil Botero.</w:t>
      </w:r>
    </w:p>
  </w:footnote>
  <w:footnote w:id="22">
    <w:p w14:paraId="75FB9DCA" w14:textId="77777777" w:rsidR="001D65B3" w:rsidRPr="00831269" w:rsidRDefault="001D65B3" w:rsidP="001D65B3">
      <w:pPr>
        <w:pBdr>
          <w:top w:val="nil"/>
          <w:left w:val="nil"/>
          <w:bottom w:val="nil"/>
          <w:right w:val="nil"/>
          <w:between w:val="nil"/>
        </w:pBdr>
        <w:ind w:firstLine="709"/>
        <w:jc w:val="both"/>
        <w:rPr>
          <w:rFonts w:ascii="Arial" w:eastAsia="Arial" w:hAnsi="Arial" w:cs="Arial"/>
          <w:color w:val="000000"/>
          <w:sz w:val="19"/>
          <w:szCs w:val="19"/>
        </w:rPr>
      </w:pPr>
      <w:r w:rsidRPr="00831269">
        <w:rPr>
          <w:rFonts w:ascii="Arial" w:hAnsi="Arial" w:cs="Arial"/>
          <w:sz w:val="19"/>
          <w:szCs w:val="19"/>
          <w:vertAlign w:val="superscript"/>
        </w:rPr>
        <w:footnoteRef/>
      </w:r>
      <w:r w:rsidRPr="00831269">
        <w:rPr>
          <w:rFonts w:ascii="Arial" w:eastAsia="Arial" w:hAnsi="Arial" w:cs="Arial"/>
          <w:color w:val="000000"/>
          <w:sz w:val="19"/>
          <w:szCs w:val="19"/>
          <w:vertAlign w:val="superscript"/>
        </w:rPr>
        <w:t xml:space="preserve"> </w:t>
      </w:r>
      <w:r w:rsidRPr="00831269">
        <w:rPr>
          <w:rFonts w:ascii="Arial" w:eastAsia="Arial" w:hAnsi="Arial" w:cs="Arial"/>
          <w:color w:val="000000"/>
          <w:sz w:val="19"/>
          <w:szCs w:val="19"/>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23">
    <w:p w14:paraId="50E138A1" w14:textId="77777777" w:rsidR="001D65B3" w:rsidRPr="00831269" w:rsidRDefault="001D65B3" w:rsidP="001D65B3">
      <w:pPr>
        <w:pStyle w:val="Textonotapie"/>
        <w:ind w:firstLine="708"/>
        <w:rPr>
          <w:rFonts w:ascii="Arial" w:hAnsi="Arial" w:cs="Arial"/>
          <w:color w:val="000000"/>
          <w:sz w:val="19"/>
          <w:szCs w:val="19"/>
          <w:lang w:val="es-ES"/>
        </w:rPr>
      </w:pPr>
      <w:r w:rsidRPr="00831269">
        <w:rPr>
          <w:rFonts w:ascii="Arial" w:eastAsia="Arial" w:hAnsi="Arial" w:cs="Arial"/>
          <w:color w:val="000000"/>
          <w:sz w:val="19"/>
          <w:szCs w:val="19"/>
          <w:vertAlign w:val="superscript"/>
        </w:rPr>
        <w:footnoteRef/>
      </w:r>
      <w:r w:rsidRPr="00831269">
        <w:rPr>
          <w:rFonts w:ascii="Arial" w:eastAsia="Arial" w:hAnsi="Arial" w:cs="Arial"/>
          <w:color w:val="000000"/>
          <w:sz w:val="19"/>
          <w:szCs w:val="19"/>
          <w:vertAlign w:val="superscript"/>
          <w:lang w:val="es-ES"/>
        </w:rPr>
        <w:t xml:space="preserve"> </w:t>
      </w:r>
      <w:r w:rsidRPr="00831269">
        <w:rPr>
          <w:rFonts w:ascii="Arial" w:eastAsia="Arial" w:hAnsi="Arial" w:cs="Arial"/>
          <w:color w:val="000000"/>
          <w:sz w:val="19"/>
          <w:szCs w:val="19"/>
          <w:lang w:val="es-ES"/>
        </w:rPr>
        <w:t>Consejo de Estado. Sala de Consulta y Servicio Civil. Concepto del 20 de mayo de 2010. No. de Radicado: 11001-03-06-000-2010-00034-00(1992). C.P. Enrique José Arboleda Perdomo.</w:t>
      </w:r>
    </w:p>
    <w:p w14:paraId="6B466834" w14:textId="77777777" w:rsidR="001D65B3" w:rsidRPr="00831269" w:rsidRDefault="001D65B3" w:rsidP="001D65B3">
      <w:pPr>
        <w:pStyle w:val="Textonotapie"/>
        <w:ind w:firstLine="708"/>
        <w:jc w:val="both"/>
        <w:rPr>
          <w:rFonts w:ascii="Arial" w:hAnsi="Arial" w:cs="Arial"/>
          <w:color w:val="000000"/>
          <w:sz w:val="19"/>
          <w:szCs w:val="19"/>
        </w:rPr>
      </w:pPr>
    </w:p>
  </w:footnote>
  <w:footnote w:id="24">
    <w:p w14:paraId="07188C6E" w14:textId="77777777" w:rsidR="001D65B3" w:rsidRPr="001A0745" w:rsidRDefault="001D65B3" w:rsidP="001D65B3">
      <w:pPr>
        <w:pStyle w:val="Textonotapie"/>
        <w:rPr>
          <w:rFonts w:ascii="Verdana" w:hAnsi="Verdana"/>
          <w:sz w:val="16"/>
          <w:szCs w:val="16"/>
          <w:lang w:val="es-ES"/>
        </w:rPr>
      </w:pPr>
      <w:r w:rsidRPr="001A0745">
        <w:rPr>
          <w:rStyle w:val="Refdenotaalpie"/>
          <w:rFonts w:ascii="Verdana" w:hAnsi="Verdana"/>
          <w:sz w:val="16"/>
          <w:szCs w:val="16"/>
        </w:rPr>
        <w:footnoteRef/>
      </w:r>
      <w:r w:rsidRPr="001A0745">
        <w:rPr>
          <w:rFonts w:ascii="Verdana" w:hAnsi="Verdana"/>
          <w:sz w:val="16"/>
          <w:szCs w:val="16"/>
        </w:rPr>
        <w:t xml:space="preserve"> https://www.colombiacompra.gov.co/archivos/manual/manual-para-determinar-y-verificar-los-requisitos-habilitantes-en-los-procesos-de-contratacion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FDC893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7CEB590"/>
    <w:multiLevelType w:val="hybridMultilevel"/>
    <w:tmpl w:val="AA841710"/>
    <w:lvl w:ilvl="0" w:tplc="26145AFA">
      <w:start w:val="1"/>
      <w:numFmt w:val="upperRoman"/>
      <w:lvlText w:val="%1."/>
      <w:lvlJc w:val="right"/>
      <w:pPr>
        <w:ind w:left="720" w:hanging="360"/>
      </w:pPr>
    </w:lvl>
    <w:lvl w:ilvl="1" w:tplc="802818A6">
      <w:start w:val="1"/>
      <w:numFmt w:val="lowerLetter"/>
      <w:lvlText w:val="%2."/>
      <w:lvlJc w:val="left"/>
      <w:pPr>
        <w:ind w:left="1440" w:hanging="360"/>
      </w:pPr>
    </w:lvl>
    <w:lvl w:ilvl="2" w:tplc="E98C3A7A">
      <w:start w:val="1"/>
      <w:numFmt w:val="lowerRoman"/>
      <w:lvlText w:val="%3."/>
      <w:lvlJc w:val="right"/>
      <w:pPr>
        <w:ind w:left="2160" w:hanging="180"/>
      </w:pPr>
    </w:lvl>
    <w:lvl w:ilvl="3" w:tplc="ACB8BD72">
      <w:start w:val="1"/>
      <w:numFmt w:val="decimal"/>
      <w:lvlText w:val="%4."/>
      <w:lvlJc w:val="left"/>
      <w:pPr>
        <w:ind w:left="2880" w:hanging="360"/>
      </w:pPr>
    </w:lvl>
    <w:lvl w:ilvl="4" w:tplc="48AE8B9A">
      <w:start w:val="1"/>
      <w:numFmt w:val="lowerLetter"/>
      <w:lvlText w:val="%5."/>
      <w:lvlJc w:val="left"/>
      <w:pPr>
        <w:ind w:left="3600" w:hanging="360"/>
      </w:pPr>
    </w:lvl>
    <w:lvl w:ilvl="5" w:tplc="327293A2">
      <w:start w:val="1"/>
      <w:numFmt w:val="lowerRoman"/>
      <w:lvlText w:val="%6."/>
      <w:lvlJc w:val="right"/>
      <w:pPr>
        <w:ind w:left="4320" w:hanging="180"/>
      </w:pPr>
    </w:lvl>
    <w:lvl w:ilvl="6" w:tplc="1FFC5D48">
      <w:start w:val="1"/>
      <w:numFmt w:val="decimal"/>
      <w:lvlText w:val="%7."/>
      <w:lvlJc w:val="left"/>
      <w:pPr>
        <w:ind w:left="5040" w:hanging="360"/>
      </w:pPr>
    </w:lvl>
    <w:lvl w:ilvl="7" w:tplc="2F589C46">
      <w:start w:val="1"/>
      <w:numFmt w:val="lowerLetter"/>
      <w:lvlText w:val="%8."/>
      <w:lvlJc w:val="left"/>
      <w:pPr>
        <w:ind w:left="5760" w:hanging="360"/>
      </w:pPr>
    </w:lvl>
    <w:lvl w:ilvl="8" w:tplc="AB7C3298">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95279846">
    <w:abstractNumId w:val="5"/>
  </w:num>
  <w:num w:numId="2" w16cid:durableId="478108618">
    <w:abstractNumId w:val="1"/>
  </w:num>
  <w:num w:numId="3" w16cid:durableId="1752700256">
    <w:abstractNumId w:val="3"/>
  </w:num>
  <w:num w:numId="4" w16cid:durableId="468812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94209452">
    <w:abstractNumId w:val="1"/>
  </w:num>
  <w:num w:numId="6" w16cid:durableId="937907883">
    <w:abstractNumId w:val="13"/>
  </w:num>
  <w:num w:numId="7" w16cid:durableId="2035185830">
    <w:abstractNumId w:val="4"/>
  </w:num>
  <w:num w:numId="8" w16cid:durableId="311445580">
    <w:abstractNumId w:val="12"/>
  </w:num>
  <w:num w:numId="9" w16cid:durableId="1724521213">
    <w:abstractNumId w:val="6"/>
  </w:num>
  <w:num w:numId="10" w16cid:durableId="727453911">
    <w:abstractNumId w:val="11"/>
  </w:num>
  <w:num w:numId="11" w16cid:durableId="1509784470">
    <w:abstractNumId w:val="7"/>
  </w:num>
  <w:num w:numId="12" w16cid:durableId="2099324738">
    <w:abstractNumId w:val="0"/>
  </w:num>
  <w:num w:numId="13" w16cid:durableId="266934051">
    <w:abstractNumId w:val="2"/>
  </w:num>
  <w:num w:numId="14" w16cid:durableId="305093335">
    <w:abstractNumId w:val="14"/>
  </w:num>
  <w:num w:numId="15" w16cid:durableId="270094799">
    <w:abstractNumId w:val="10"/>
  </w:num>
  <w:num w:numId="16" w16cid:durableId="782963242">
    <w:abstractNumId w:val="9"/>
  </w:num>
  <w:num w:numId="17" w16cid:durableId="19113776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608AC"/>
    <w:rsid w:val="001A33BF"/>
    <w:rsid w:val="001D65B3"/>
    <w:rsid w:val="001E4177"/>
    <w:rsid w:val="001F0B24"/>
    <w:rsid w:val="001F7DC6"/>
    <w:rsid w:val="00214D69"/>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14EA3"/>
    <w:rsid w:val="0042722E"/>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13F4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1D65B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D65B3"/>
    <w:rPr>
      <w:rFonts w:ascii="Geomanist Light" w:hAnsi="Geomanist Light"/>
      <w:lang w:val="es-ES"/>
    </w:rPr>
  </w:style>
  <w:style w:type="paragraph" w:customStyle="1" w:styleId="Car1">
    <w:name w:val="Car1"/>
    <w:basedOn w:val="Normal"/>
    <w:next w:val="Textonotapie"/>
    <w:uiPriority w:val="99"/>
    <w:unhideWhenUsed/>
    <w:qFormat/>
    <w:rsid w:val="001D65B3"/>
    <w:pPr>
      <w:spacing w:after="0" w:line="240" w:lineRule="auto"/>
    </w:pPr>
    <w:rPr>
      <w:sz w:val="20"/>
      <w:szCs w:val="20"/>
      <w:lang w:val="es-MX"/>
    </w:rPr>
  </w:style>
  <w:style w:type="character" w:customStyle="1" w:styleId="Hipervnculo1">
    <w:name w:val="Hipervínculo1"/>
    <w:basedOn w:val="Fuentedeprrafopredeter"/>
    <w:uiPriority w:val="99"/>
    <w:unhideWhenUsed/>
    <w:rsid w:val="001D65B3"/>
    <w:rPr>
      <w:color w:val="F2F2F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 TargetMode="External"/><Relationship Id="rId18" Type="http://schemas.openxmlformats.org/officeDocument/2006/relationships/hyperlink" Target="https://nam02.safelinks.protection.outlook.com/?url=https%3A%2F%2Fwww.colombiacompra.gov.co%2Farchivos%2Fboletin%2Fboletin-edicion-n-3-de-2026-radar-de-la-compra-publica&amp;data=05%7C02%7Cdaniel.rojas%40colombiacompra.gov.co%7C7128555136e04fa6887d08dee99e1b50%7C7b09041e245149d08cb179d5e3d8c1be%7C0%7C0%7C639205062448658089%7CUnknown%7CTWFpbGZsb3d8eyJFbXB0eU1hcGkiOnRydWUsIlYiOiIwLjAuMDAwMCIsIlAiOiJXaW4zMiIsIkFOIjoiTWFpbCIsIldUIjoyfQ%3D%3D%7C0%7C%7C%7C&amp;sdata=hxI7IcssQTDJ1Uyr%2B%2BcRBDJJk7BVdJJW%2B%2F3Jg82WGfI%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icbf.gov.co/cargues/avance/docs/decreto_1082_2015.htm" TargetMode="External"/><Relationship Id="rId17" Type="http://schemas.openxmlformats.org/officeDocument/2006/relationships/hyperlink" Target="https://nam02.safelinks.protection.outlook.com/?url=https%3A%2F%2Fwww.colombiacompra.gov.co%2Farchivos%2Fcircular%2Fcircular-externa-002-de-2026&amp;data=05%7C02%7Cdaniel.rojas%40colombiacompra.gov.co%7C7128555136e04fa6887d08dee99e1b50%7C7b09041e245149d08cb179d5e3d8c1be%7C0%7C0%7C639205062448638798%7CUnknown%7CTWFpbGZsb3d8eyJFbXB0eU1hcGkiOnRydWUsIlYiOiIwLjAuMDAwMCIsIlAiOiJXaW4zMiIsIkFOIjoiTWFpbCIsIldUIjoyfQ%3D%3D%7C0%7C%7C%7C&amp;sdata=BleggI38FRKn0jF8DoA8g9HSkP3uDdTrTqkrwcDrB%2Fo%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daniel.rojas%40colombiacompra.gov.co%7C7128555136e04fa6887d08dee99e1b50%7C7b09041e245149d08cb179d5e3d8c1be%7C0%7C0%7C639205062448624002%7CUnknown%7CTWFpbGZsb3d8eyJFbXB0eU1hcGkiOnRydWUsIlYiOiIwLjAuMDAwMCIsIlAiOiJXaW4zMiIsIkFOIjoiTWFpbCIsIldUIjoyfQ%3D%3D%7C0%7C%7C%7C&amp;sdata=arzPuE5g9HcDcoQ6XcnrZvrBNmRg7dREpQYdCPBDVI8%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vanvalencia1213@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manual%2Fguia-de-garantias-en-procesos-de-contratacion&amp;data=05%7C02%7Cdaniel.rojas%40colombiacompra.gov.co%7C7128555136e04fa6887d08dee99e1b50%7C7b09041e245149d08cb179d5e3d8c1be%7C0%7C0%7C639205062448593820%7CUnknown%7CTWFpbGZsb3d8eyJFbXB0eU1hcGkiOnRydWUsIlYiOiIwLjAuMDAwMCIsIlAiOiJXaW4zMiIsIkFOIjoiTWFpbCIsIldUIjoyfQ%3D%3D%7C0%7C%7C%7C&amp;sdata=hxIQCfuGUII381yJFYTZLjCTG4dHWk4aCsIlfPWtcGc%3D&amp;reserved=0"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0590_2000.html" TargetMode="External"/><Relationship Id="rId2" Type="http://schemas.openxmlformats.org/officeDocument/2006/relationships/hyperlink" Target="http://www.secretariasenado.gov.co/senado/basedoc/ley_0590_2000.html" TargetMode="External"/><Relationship Id="rId1" Type="http://schemas.openxmlformats.org/officeDocument/2006/relationships/hyperlink" Target="http://www.secretariasenado.gov.co/senado/basedoc/ley_0590_2000.html" TargetMode="External"/><Relationship Id="rId4" Type="http://schemas.openxmlformats.org/officeDocument/2006/relationships/hyperlink" Target="https://operaciones.colombiacompra.gov.co/sites/cce_public/files/cce_documents/guia_para_promover_la_participacion_de_las_mipymes_en_los_procesos_de_compra_publica_cce-gad-gi-26_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11A641B-75A8-4DD2-BBA6-47E43A306221}"/>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28</Pages>
  <Words>8750</Words>
  <Characters>48129</Characters>
  <Application>Microsoft Office Word</Application>
  <DocSecurity>0</DocSecurity>
  <Lines>401</Lines>
  <Paragraphs>113</Paragraphs>
  <ScaleCrop>false</ScaleCrop>
  <Company/>
  <LinksUpToDate>false</LinksUpToDate>
  <CharactersWithSpaces>56766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3</cp:revision>
  <cp:lastPrinted>2023-01-10T21:18:00Z</cp:lastPrinted>
  <dcterms:created xsi:type="dcterms:W3CDTF">2026-09-23T23:53:00Z</dcterms:created>
  <dcterms:modified xsi:type="dcterms:W3CDTF">2026-09-24T23:11:00Z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