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22311" w14:textId="77777777" w:rsidR="000C33B5" w:rsidRPr="001C6910" w:rsidRDefault="00B73259" w:rsidP="001C6910">
      <w:pPr>
        <w:spacing w:line="240" w:lineRule="auto"/>
        <w:jc w:val="both"/>
        <w:rPr>
          <w:rFonts w:ascii="Verdana" w:eastAsia="Calibri" w:hAnsi="Verdana" w:cs="Arial"/>
          <w:b/>
          <w:bCs/>
          <w:color w:val="000000" w:themeColor="text1"/>
          <w:lang w:val="es-ES" w:eastAsia="es-ES"/>
        </w:rPr>
      </w:pPr>
      <w:r w:rsidRPr="001C6910">
        <w:rPr>
          <w:rFonts w:ascii="Verdana" w:eastAsia="Calibri" w:hAnsi="Verdana" w:cs="Arial"/>
          <w:b/>
          <w:bCs/>
          <w:color w:val="000000" w:themeColor="text1"/>
          <w:lang w:val="es-ES" w:eastAsia="es-ES"/>
        </w:rPr>
        <w:t>DECRETO 0997 DE 2026 – Artículo 3 – Reporte de inhabilidades – Alcance</w:t>
      </w:r>
    </w:p>
    <w:p w14:paraId="5BD0E9AD" w14:textId="77777777" w:rsidR="000C33B5" w:rsidRPr="001C6910" w:rsidRDefault="000C33B5" w:rsidP="001C6910">
      <w:pPr>
        <w:spacing w:before="120" w:after="120" w:line="240" w:lineRule="auto"/>
        <w:jc w:val="both"/>
        <w:rPr>
          <w:rFonts w:ascii="Verdana" w:hAnsi="Verdana" w:cs="Arial"/>
          <w:color w:val="000000" w:themeColor="text1"/>
          <w:sz w:val="20"/>
          <w:szCs w:val="20"/>
          <w:lang/>
        </w:rPr>
      </w:pPr>
      <w:r w:rsidRPr="001C6910">
        <w:rPr>
          <w:rFonts w:ascii="Verdana" w:hAnsi="Verdana" w:cs="Arial"/>
          <w:color w:val="000000" w:themeColor="text1"/>
          <w:sz w:val="20"/>
          <w:szCs w:val="20"/>
          <w:lang/>
        </w:rPr>
        <w:t xml:space="preserve">En ejercicio de la potestad reglamentaria prevista en el inciso segundo del numeral 6.2 del artículo 6 de la Ley 1150 de 2007, el artículo 3 del Decreto 0997 de 2026 modificó el artículo 2.2.1.1.1.5.7 del Decreto 1082 de 2015, con el fin de incorporar de manera expresa el reporte, registro y permanencia de las inhabilidades que se originen como consecuencia de la declaratoria de </w:t>
      </w:r>
      <w:r w:rsidRPr="001C6910">
        <w:rPr>
          <w:rFonts w:ascii="Verdana" w:hAnsi="Verdana" w:cs="Arial"/>
          <w:i/>
          <w:iCs/>
          <w:color w:val="000000" w:themeColor="text1"/>
          <w:sz w:val="20"/>
          <w:szCs w:val="20"/>
          <w:lang/>
        </w:rPr>
        <w:t>responsabilidad civil</w:t>
      </w:r>
      <w:r w:rsidRPr="001C6910">
        <w:rPr>
          <w:rFonts w:ascii="Verdana" w:hAnsi="Verdana" w:cs="Arial"/>
          <w:color w:val="000000" w:themeColor="text1"/>
          <w:sz w:val="20"/>
          <w:szCs w:val="20"/>
          <w:lang/>
        </w:rPr>
        <w:t xml:space="preserve"> de personas naturales y jurídicas, derivada de acciones u omisiones imputables en el marco de su actividad contractual, conforme a los numerales 3 y 6 del artículo 58 de la Ley 80 de 1993. Con ello se cierra un vacío operativo, pues aunque el ordenamiento preveía dichas inhabilidades, las entidades no contaban con un mecanismo que les permitiera verificar, de manera directa y oportuna, su configuración a través del RUP.</w:t>
      </w:r>
    </w:p>
    <w:p w14:paraId="68388847" w14:textId="6719C92A" w:rsidR="000C33B5" w:rsidRPr="001C6910" w:rsidRDefault="000C33B5" w:rsidP="001C6910">
      <w:pPr>
        <w:spacing w:before="120" w:after="120" w:line="240" w:lineRule="auto"/>
        <w:jc w:val="both"/>
        <w:rPr>
          <w:rFonts w:ascii="Verdana" w:hAnsi="Verdana" w:cs="Arial"/>
          <w:color w:val="000000" w:themeColor="text1"/>
          <w:sz w:val="20"/>
          <w:szCs w:val="20"/>
          <w:lang/>
        </w:rPr>
      </w:pPr>
      <w:r w:rsidRPr="001C6910">
        <w:rPr>
          <w:rFonts w:ascii="Verdana" w:hAnsi="Verdana" w:cs="Arial"/>
          <w:color w:val="000000" w:themeColor="text1"/>
          <w:sz w:val="20"/>
          <w:szCs w:val="20"/>
          <w:lang/>
        </w:rPr>
        <w:t xml:space="preserve">El supuesto de hecho de la nueva obligación dispone que la entidad debe remitir a la cámara de comercio la información de las inhabilidades de los numerales 3 y 6 del artículo 58 de la Ley 80 de 1993 únicamente "cuando una sentencia ejecutoriada declare la responsabilidad civil de un particular o de una persona jurídica por hechos u omisiones que le sean imputables en relación con la actuación contractual </w:t>
      </w:r>
      <w:r w:rsidRPr="001C6910">
        <w:rPr>
          <w:rFonts w:ascii="Verdana" w:hAnsi="Verdana" w:cs="Arial"/>
          <w:i/>
          <w:iCs/>
          <w:color w:val="000000" w:themeColor="text1"/>
          <w:sz w:val="20"/>
          <w:szCs w:val="20"/>
          <w:u w:val="single"/>
          <w:lang/>
        </w:rPr>
        <w:t>con dicha Entidad Estatal</w:t>
      </w:r>
      <w:r w:rsidRPr="001C6910">
        <w:rPr>
          <w:rFonts w:ascii="Verdana" w:hAnsi="Verdana" w:cs="Arial"/>
          <w:color w:val="000000" w:themeColor="text1"/>
          <w:sz w:val="20"/>
          <w:szCs w:val="20"/>
          <w:lang/>
        </w:rPr>
        <w:t>"</w:t>
      </w:r>
      <w:r w:rsidRPr="001C6910">
        <w:rPr>
          <w:rFonts w:ascii="Verdana" w:hAnsi="Verdana" w:cs="Arial"/>
          <w:color w:val="000000" w:themeColor="text1"/>
          <w:sz w:val="20"/>
          <w:szCs w:val="20"/>
        </w:rPr>
        <w:t xml:space="preserve"> [énfasis propio]</w:t>
      </w:r>
      <w:r w:rsidRPr="001C6910">
        <w:rPr>
          <w:rFonts w:ascii="Verdana" w:hAnsi="Verdana" w:cs="Arial"/>
          <w:color w:val="000000" w:themeColor="text1"/>
          <w:sz w:val="20"/>
          <w:szCs w:val="20"/>
          <w:lang/>
        </w:rPr>
        <w:t>. De esa redacción se derivan dos consecuencias: por una parte, la orden de reporte se activa solo con una sentencia que declare responsabilidad civil de un particular o persona jurídica; por otra, la responsabilidad civil debe derivarse de la actuación contractual con la propia entidad que reporta. No se trata, entonces, de cualquier acción civil ante la jurisdicción ordinaria a la que la entidad contratante sea ajena, sino de la responsabilidad del contratista por su conducta contractual frente a esa misma entidad. Como los conflictos contractuales del Estado se ventilan ante la jurisdicción de lo contencioso administrativo, por el medio de control de controversias contractuales del artículo 141 del CPACA, proceso en el cual la entidad es parte necesaria, el decreto no obliga a las entidades a rastrear sentencias de procesos en los que no intervienen, sino que vincula la obligación precisamente a aquellos procesos en los que sí son parte.</w:t>
      </w:r>
    </w:p>
    <w:p w14:paraId="276CEF0C" w14:textId="77777777" w:rsidR="000C33B5" w:rsidRPr="001C6910" w:rsidRDefault="00B73259" w:rsidP="001C6910">
      <w:pPr>
        <w:spacing w:line="240" w:lineRule="auto"/>
        <w:jc w:val="both"/>
        <w:rPr>
          <w:rFonts w:ascii="Verdana" w:eastAsia="Calibri" w:hAnsi="Verdana" w:cs="Arial"/>
          <w:b/>
          <w:bCs/>
          <w:color w:val="000000" w:themeColor="text1"/>
          <w:lang w:val="es-ES" w:eastAsia="es-ES"/>
        </w:rPr>
      </w:pPr>
      <w:r w:rsidRPr="001C6910">
        <w:rPr>
          <w:rFonts w:ascii="Verdana" w:eastAsia="Calibri" w:hAnsi="Verdana" w:cs="Arial"/>
          <w:b/>
          <w:bCs/>
          <w:color w:val="000000" w:themeColor="text1"/>
          <w:lang w:val="es-ES" w:eastAsia="es-ES"/>
        </w:rPr>
        <w:t xml:space="preserve">DECRETO 0997 DE 2026 –Compras Públicas Sostenibles – Criterios sociales </w:t>
      </w:r>
    </w:p>
    <w:p w14:paraId="4D7C9B4C" w14:textId="77777777" w:rsidR="000C33B5" w:rsidRPr="001C6910" w:rsidRDefault="000C33B5" w:rsidP="001C6910">
      <w:pPr>
        <w:spacing w:before="120" w:after="120" w:line="240" w:lineRule="auto"/>
        <w:jc w:val="both"/>
        <w:rPr>
          <w:rFonts w:ascii="Verdana" w:hAnsi="Verdana" w:cs="Arial"/>
          <w:color w:val="000000" w:themeColor="text1"/>
          <w:sz w:val="20"/>
          <w:szCs w:val="20"/>
        </w:rPr>
      </w:pPr>
      <w:r w:rsidRPr="001C6910">
        <w:rPr>
          <w:rFonts w:ascii="Verdana" w:hAnsi="Verdana" w:cs="Arial"/>
          <w:color w:val="000000" w:themeColor="text1"/>
          <w:sz w:val="20"/>
          <w:szCs w:val="20"/>
        </w:rPr>
        <w:t>Las Compras Públicas Sostenibles (CPS) constituyen el enfoque de la contratación estatal que promueve el equilibrio entre tres dimensiones —lo económico, lo social y lo ambiental— e integra estas esferas en la adquisición de bienes, obras y servicios, con el propósito de contribuir a la protección ambiental y al desarrollo social equitativo, especialmente de los sectores más vulnerables.</w:t>
      </w:r>
    </w:p>
    <w:p w14:paraId="405E86C1" w14:textId="77777777" w:rsidR="000C33B5" w:rsidRPr="001C6910" w:rsidRDefault="000C33B5" w:rsidP="001C6910">
      <w:pPr>
        <w:spacing w:before="120" w:after="120" w:line="240" w:lineRule="auto"/>
        <w:jc w:val="both"/>
        <w:rPr>
          <w:rFonts w:ascii="Verdana" w:hAnsi="Verdana" w:cs="Arial"/>
          <w:color w:val="000000" w:themeColor="text1"/>
          <w:sz w:val="20"/>
          <w:szCs w:val="20"/>
        </w:rPr>
      </w:pPr>
      <w:r w:rsidRPr="001C6910">
        <w:rPr>
          <w:rFonts w:ascii="Verdana" w:hAnsi="Verdana" w:cs="Arial"/>
          <w:color w:val="000000" w:themeColor="text1"/>
          <w:sz w:val="20"/>
          <w:szCs w:val="20"/>
        </w:rPr>
        <w:t xml:space="preserve">La materialización de esta perspectiva es transversal a todas las etapas de la gestión contractual. Conforme a la Guía de Contratación Pública Sostenible y Socialmente Responsable, adoptada por esta Agencia y el Ministerio de Ambiente y Desarrollo Sostenible, los </w:t>
      </w:r>
      <w:r w:rsidRPr="001C6910">
        <w:rPr>
          <w:rFonts w:ascii="Verdana" w:hAnsi="Verdana" w:cs="Arial"/>
          <w:i/>
          <w:iCs/>
          <w:color w:val="000000" w:themeColor="text1"/>
          <w:sz w:val="20"/>
          <w:szCs w:val="20"/>
        </w:rPr>
        <w:t>criterios sociales</w:t>
      </w:r>
      <w:r w:rsidRPr="001C6910">
        <w:rPr>
          <w:rFonts w:ascii="Verdana" w:hAnsi="Verdana" w:cs="Arial"/>
          <w:color w:val="000000" w:themeColor="text1"/>
          <w:sz w:val="20"/>
          <w:szCs w:val="20"/>
        </w:rPr>
        <w:t xml:space="preserve"> y ambientales se integran en la i) planeación estratégica, mediante lineamientos internos de compras sostenibles; </w:t>
      </w:r>
      <w:proofErr w:type="spellStart"/>
      <w:r w:rsidRPr="001C6910">
        <w:rPr>
          <w:rFonts w:ascii="Verdana" w:hAnsi="Verdana" w:cs="Arial"/>
          <w:color w:val="000000" w:themeColor="text1"/>
          <w:sz w:val="20"/>
          <w:szCs w:val="20"/>
        </w:rPr>
        <w:t>ii</w:t>
      </w:r>
      <w:proofErr w:type="spellEnd"/>
      <w:r w:rsidRPr="001C6910">
        <w:rPr>
          <w:rFonts w:ascii="Verdana" w:hAnsi="Verdana" w:cs="Arial"/>
          <w:color w:val="000000" w:themeColor="text1"/>
          <w:sz w:val="20"/>
          <w:szCs w:val="20"/>
        </w:rPr>
        <w:t xml:space="preserve">) etapa precontractual, en la elaboración de estudios y documentos previos; </w:t>
      </w:r>
      <w:proofErr w:type="spellStart"/>
      <w:r w:rsidRPr="001C6910">
        <w:rPr>
          <w:rFonts w:ascii="Verdana" w:hAnsi="Verdana" w:cs="Arial"/>
          <w:color w:val="000000" w:themeColor="text1"/>
          <w:sz w:val="20"/>
          <w:szCs w:val="20"/>
        </w:rPr>
        <w:t>iii</w:t>
      </w:r>
      <w:proofErr w:type="spellEnd"/>
      <w:r w:rsidRPr="001C6910">
        <w:rPr>
          <w:rFonts w:ascii="Verdana" w:hAnsi="Verdana" w:cs="Arial"/>
          <w:color w:val="000000" w:themeColor="text1"/>
          <w:sz w:val="20"/>
          <w:szCs w:val="20"/>
        </w:rPr>
        <w:t xml:space="preserve">) etapa contractual, mediante </w:t>
      </w:r>
      <w:r w:rsidRPr="001C6910">
        <w:rPr>
          <w:rFonts w:ascii="Verdana" w:hAnsi="Verdana" w:cs="Arial"/>
          <w:color w:val="000000" w:themeColor="text1"/>
          <w:sz w:val="20"/>
          <w:szCs w:val="20"/>
        </w:rPr>
        <w:lastRenderedPageBreak/>
        <w:t xml:space="preserve">cláusulas; y </w:t>
      </w:r>
      <w:proofErr w:type="spellStart"/>
      <w:r w:rsidRPr="001C6910">
        <w:rPr>
          <w:rFonts w:ascii="Verdana" w:hAnsi="Verdana" w:cs="Arial"/>
          <w:color w:val="000000" w:themeColor="text1"/>
          <w:sz w:val="20"/>
          <w:szCs w:val="20"/>
        </w:rPr>
        <w:t>iv</w:t>
      </w:r>
      <w:proofErr w:type="spellEnd"/>
      <w:r w:rsidRPr="001C6910">
        <w:rPr>
          <w:rFonts w:ascii="Verdana" w:hAnsi="Verdana" w:cs="Arial"/>
          <w:color w:val="000000" w:themeColor="text1"/>
          <w:sz w:val="20"/>
          <w:szCs w:val="20"/>
        </w:rPr>
        <w:t xml:space="preserve">) etapa </w:t>
      </w:r>
      <w:proofErr w:type="spellStart"/>
      <w:r w:rsidRPr="001C6910">
        <w:rPr>
          <w:rFonts w:ascii="Verdana" w:hAnsi="Verdana" w:cs="Arial"/>
          <w:color w:val="000000" w:themeColor="text1"/>
          <w:sz w:val="20"/>
          <w:szCs w:val="20"/>
        </w:rPr>
        <w:t>poscontractual</w:t>
      </w:r>
      <w:proofErr w:type="spellEnd"/>
      <w:r w:rsidRPr="001C6910">
        <w:rPr>
          <w:rFonts w:ascii="Verdana" w:hAnsi="Verdana" w:cs="Arial"/>
          <w:color w:val="000000" w:themeColor="text1"/>
          <w:sz w:val="20"/>
          <w:szCs w:val="20"/>
        </w:rPr>
        <w:t xml:space="preserve">, en la verificación del cumplimiento de las obligaciones pactadas. </w:t>
      </w:r>
    </w:p>
    <w:p w14:paraId="77DF52E9" w14:textId="79A74A79" w:rsidR="000C33B5" w:rsidRPr="001C6910" w:rsidRDefault="000C33B5" w:rsidP="001C6910">
      <w:pPr>
        <w:spacing w:before="120" w:after="120" w:line="240" w:lineRule="auto"/>
        <w:jc w:val="both"/>
        <w:rPr>
          <w:rFonts w:ascii="Verdana" w:hAnsi="Verdana" w:cs="Arial"/>
          <w:color w:val="000000" w:themeColor="text1"/>
          <w:sz w:val="20"/>
          <w:szCs w:val="20"/>
        </w:rPr>
      </w:pPr>
      <w:r w:rsidRPr="001C6910">
        <w:rPr>
          <w:rFonts w:ascii="Verdana" w:hAnsi="Verdana" w:cs="Arial"/>
          <w:color w:val="000000" w:themeColor="text1"/>
          <w:sz w:val="20"/>
          <w:szCs w:val="20"/>
        </w:rPr>
        <w:t xml:space="preserve">En este marco, los </w:t>
      </w:r>
      <w:r w:rsidRPr="001C6910">
        <w:rPr>
          <w:rFonts w:ascii="Verdana" w:hAnsi="Verdana" w:cs="Arial"/>
          <w:i/>
          <w:iCs/>
          <w:color w:val="000000" w:themeColor="text1"/>
          <w:sz w:val="20"/>
          <w:szCs w:val="20"/>
        </w:rPr>
        <w:t>criterios sociales</w:t>
      </w:r>
      <w:r w:rsidRPr="001C6910">
        <w:rPr>
          <w:rFonts w:ascii="Verdana" w:hAnsi="Verdana" w:cs="Arial"/>
          <w:color w:val="000000" w:themeColor="text1"/>
          <w:sz w:val="20"/>
          <w:szCs w:val="20"/>
        </w:rPr>
        <w:t xml:space="preserve"> son aquellos que buscan reducir las desigualdades sociales, incluir a grupos desfavorecidos y promover la transparencia, el respeto a los derechos humanos y la adhesión a normas y buenas prácticas de seguridad social, salud e higiene en el ámbito laboral, en cumplimiento de los presupuestos de vinculación con el objeto del contrato, proporcionalidad y no discriminación. La responsabilidad social, por su parte, implica que entidades y proveedores garanticen, en cada acción de la gestión contractual, el respeto, protección y garantía de los derechos humanos.</w:t>
      </w:r>
    </w:p>
    <w:p w14:paraId="3E64D000" w14:textId="59803B39" w:rsidR="00B73259" w:rsidRPr="001C6910" w:rsidRDefault="00B73259" w:rsidP="001C6910">
      <w:pPr>
        <w:spacing w:line="240" w:lineRule="auto"/>
        <w:jc w:val="both"/>
        <w:rPr>
          <w:rFonts w:ascii="Verdana" w:eastAsia="Calibri" w:hAnsi="Verdana" w:cs="Arial"/>
          <w:b/>
          <w:bCs/>
          <w:color w:val="000000" w:themeColor="text1"/>
          <w:lang w:val="es-ES" w:eastAsia="es-ES"/>
        </w:rPr>
      </w:pPr>
      <w:r w:rsidRPr="001C6910">
        <w:rPr>
          <w:rFonts w:ascii="Verdana" w:eastAsia="Calibri" w:hAnsi="Verdana" w:cs="Arial"/>
          <w:b/>
          <w:bCs/>
          <w:color w:val="000000" w:themeColor="text1"/>
          <w:lang w:val="es-ES" w:eastAsia="es-ES"/>
        </w:rPr>
        <w:t>DECRETO 0997 DE 2026 – Artículo 11 – Consulta en listas internacionales – Alcance</w:t>
      </w:r>
    </w:p>
    <w:p w14:paraId="2AE1D9AF" w14:textId="77777777" w:rsidR="000C33B5" w:rsidRPr="001C6910" w:rsidRDefault="000C33B5" w:rsidP="001C6910">
      <w:pPr>
        <w:spacing w:before="120" w:after="120" w:line="240" w:lineRule="auto"/>
        <w:jc w:val="both"/>
        <w:rPr>
          <w:rFonts w:ascii="Verdana" w:hAnsi="Verdana" w:cs="Arial"/>
          <w:color w:val="000000" w:themeColor="text1"/>
          <w:sz w:val="20"/>
          <w:szCs w:val="20"/>
        </w:rPr>
      </w:pPr>
      <w:r w:rsidRPr="001C6910">
        <w:rPr>
          <w:rFonts w:ascii="Verdana" w:hAnsi="Verdana" w:cs="Arial"/>
          <w:color w:val="000000" w:themeColor="text1"/>
          <w:sz w:val="20"/>
          <w:szCs w:val="20"/>
        </w:rPr>
        <w:t xml:space="preserve">El artículo 11 del Decreto 0997 de 2026 adicionó el artículo 2.2.1.1.2.2.10 al Decreto 1082 de 2015 para incorporar la consulta de listas internacionales como medio de verificación de la capacidad jurídica asociada a la configuración de inhabilidades. La disposición no modifica ni amplía el régimen de inhabilidades establecido en la ley, sino que se enfoca en concreta el deber de verificación que ya existe en el ordenamiento en cabeza de las entidades contratantes, con respecto a la verificación de la inhabilidad establecida en el literal j) del numeral 1 del artículo 8 de la Ley 80 de 1993. De esta forma, señala una herramienta específica para lo anterior: la consulta de las listas internacionales en el marco de los tratados suscritos y ratificados por Colombia, incluidas las publicadas por los bancos multilaterales de desarrollo. </w:t>
      </w:r>
    </w:p>
    <w:p w14:paraId="3568E81D" w14:textId="77777777" w:rsidR="000C33B5" w:rsidRPr="001C6910" w:rsidRDefault="000C33B5" w:rsidP="001C6910">
      <w:pPr>
        <w:spacing w:before="120" w:after="120" w:line="240" w:lineRule="auto"/>
        <w:jc w:val="both"/>
        <w:rPr>
          <w:rFonts w:ascii="Verdana" w:hAnsi="Verdana" w:cs="Arial"/>
          <w:color w:val="000000" w:themeColor="text1"/>
          <w:sz w:val="20"/>
          <w:szCs w:val="20"/>
        </w:rPr>
      </w:pPr>
      <w:r w:rsidRPr="001C6910">
        <w:rPr>
          <w:rFonts w:ascii="Verdana" w:hAnsi="Verdana" w:cs="Arial"/>
          <w:color w:val="000000" w:themeColor="text1"/>
          <w:sz w:val="20"/>
          <w:szCs w:val="20"/>
        </w:rPr>
        <w:t xml:space="preserve">En virtud de lo anterior, las entidades consultarán las listas internacionales vinculantes, restrictivas, de inhabilitación o sanción de los organismos multilaterales de los cuales Colombia es miembro, en cuanto resulten aplicables para verificar la comisión de prácticas prohibidas reconocidas por los instrumentos internacionales anticorrupción de los que el Estado es parte. Ello incluye las listas del Banco Mundial, el BID, el Banco Asiático de Desarrollo, el Banco Africano de Desarrollo y el BERD, que son registros públicos de personas naturales y jurídicas declaradas inelegibles por prácticas prohibidas, como el cohecho transnacional, corrupción, fraude, colusión y coerción. </w:t>
      </w:r>
    </w:p>
    <w:p w14:paraId="58C223BC" w14:textId="0169D84B" w:rsidR="000C33B5" w:rsidRPr="001C6910" w:rsidRDefault="000C33B5" w:rsidP="001C6910">
      <w:pPr>
        <w:spacing w:line="240" w:lineRule="auto"/>
        <w:jc w:val="both"/>
        <w:rPr>
          <w:rFonts w:ascii="Verdana" w:eastAsia="Calibri" w:hAnsi="Verdana" w:cs="Arial"/>
          <w:color w:val="000000" w:themeColor="text1"/>
          <w:sz w:val="20"/>
          <w:szCs w:val="20"/>
          <w:lang w:val="es-ES" w:eastAsia="es-ES"/>
        </w:rPr>
      </w:pPr>
      <w:r w:rsidRPr="001C6910">
        <w:rPr>
          <w:rFonts w:ascii="Verdana" w:eastAsia="Calibri" w:hAnsi="Verdana" w:cs="Arial"/>
          <w:color w:val="000000" w:themeColor="text1"/>
          <w:sz w:val="20"/>
          <w:szCs w:val="20"/>
          <w:lang w:val="es-ES" w:eastAsia="es-ES"/>
        </w:rPr>
        <w:t xml:space="preserve">[…] </w:t>
      </w:r>
      <w:r w:rsidRPr="001C6910">
        <w:rPr>
          <w:rFonts w:ascii="Verdana" w:hAnsi="Verdana" w:cs="Arial"/>
          <w:color w:val="000000" w:themeColor="text1"/>
          <w:sz w:val="20"/>
          <w:szCs w:val="20"/>
        </w:rPr>
        <w:t>Ahora bien, atendiendo las barreras idiomáticas, tecnológicas y de acceso que supone la consulta independiente de las listas aplicables, el Decreto 0997 de 2026 estableció en cabeza de la Secretaría de Transparencia de la Presidencia de la República, en coordinación con la Superintendencia de Sociedades y esta Agencia, el deber de desarrollar las acciones para la consulta unificada y accesible, así como de determinar los mecanismos y condiciones de verificación, los estándares para su constancia en los procesos y los lineamientos pertinentes. Para lo anterior, otorgó un plazo de seis (6) meses contados desde la expedición del decreto, es decir, desde el 4 de agosto de 2026.</w:t>
      </w:r>
    </w:p>
    <w:p w14:paraId="0C6CA0E3" w14:textId="77777777" w:rsidR="00B73259" w:rsidRDefault="00B73259" w:rsidP="00D660B1">
      <w:pPr>
        <w:widowControl w:val="0"/>
        <w:spacing w:after="0" w:line="276" w:lineRule="auto"/>
        <w:jc w:val="both"/>
        <w:rPr>
          <w:rFonts w:ascii="Verdana" w:hAnsi="Verdana"/>
          <w:lang w:val="es-ES"/>
        </w:rPr>
      </w:pPr>
    </w:p>
    <w:p w14:paraId="0563E839" w14:textId="77777777" w:rsidR="001C6910" w:rsidRDefault="001C6910" w:rsidP="00D660B1">
      <w:pPr>
        <w:widowControl w:val="0"/>
        <w:spacing w:after="0" w:line="276" w:lineRule="auto"/>
        <w:jc w:val="both"/>
        <w:rPr>
          <w:rFonts w:ascii="Verdana" w:hAnsi="Verdana"/>
          <w:lang w:val="es-ES"/>
        </w:rPr>
      </w:pPr>
    </w:p>
    <w:p w14:paraId="3130EE4C" w14:textId="77777777" w:rsidR="001C6910" w:rsidRDefault="001C6910" w:rsidP="00D660B1">
      <w:pPr>
        <w:widowControl w:val="0"/>
        <w:spacing w:after="0" w:line="276" w:lineRule="auto"/>
        <w:jc w:val="both"/>
        <w:rPr>
          <w:rFonts w:ascii="Verdana" w:hAnsi="Verdana"/>
          <w:lang w:val="es-ES"/>
        </w:rPr>
      </w:pPr>
    </w:p>
    <w:p w14:paraId="59667F20" w14:textId="77777777" w:rsidR="001C6910" w:rsidRDefault="001C6910" w:rsidP="00D660B1">
      <w:pPr>
        <w:widowControl w:val="0"/>
        <w:spacing w:after="0" w:line="276" w:lineRule="auto"/>
        <w:jc w:val="both"/>
        <w:rPr>
          <w:rFonts w:ascii="Verdana" w:hAnsi="Verdana"/>
          <w:lang w:val="es-ES"/>
        </w:rPr>
      </w:pPr>
    </w:p>
    <w:p w14:paraId="7E84D06E" w14:textId="1E4D4E60" w:rsidR="00D660B1" w:rsidRPr="00B40F72" w:rsidRDefault="00D660B1" w:rsidP="00D660B1">
      <w:pPr>
        <w:widowControl w:val="0"/>
        <w:spacing w:after="0" w:line="276" w:lineRule="auto"/>
        <w:jc w:val="both"/>
        <w:rPr>
          <w:rFonts w:ascii="Verdana" w:hAnsi="Verdana"/>
          <w:lang w:val="es-ES"/>
        </w:rPr>
      </w:pPr>
      <w:r w:rsidRPr="00B40F72">
        <w:rPr>
          <w:rFonts w:ascii="Verdana" w:hAnsi="Verdana"/>
          <w:lang w:val="es-ES"/>
        </w:rPr>
        <w:lastRenderedPageBreak/>
        <w:t xml:space="preserve">Bogotá D.C., </w:t>
      </w:r>
      <w:r w:rsidR="00E55BAB">
        <w:rPr>
          <w:rFonts w:ascii="Verdana" w:hAnsi="Verdana"/>
          <w:lang w:val="es-ES"/>
        </w:rPr>
        <w:t>09 de septiembre de 2026</w:t>
      </w:r>
    </w:p>
    <w:p w14:paraId="483CFC47" w14:textId="01CF896C" w:rsidR="00D660B1" w:rsidRPr="00B40F72" w:rsidRDefault="00E55BAB" w:rsidP="00D660B1">
      <w:pPr>
        <w:spacing w:after="0"/>
        <w:rPr>
          <w:rFonts w:ascii="Verdana" w:hAnsi="Verdana"/>
          <w:lang w:val="es-ES"/>
        </w:rPr>
      </w:pPr>
      <w:r>
        <w:rPr>
          <w:rFonts w:ascii="Verdana" w:eastAsia="Calibri" w:hAnsi="Verdana" w:cs="Arial"/>
          <w:noProof/>
          <w:color w:val="000000" w:themeColor="text1"/>
          <w:lang w:val="es-ES" w:eastAsia="es-ES"/>
        </w:rPr>
        <w:drawing>
          <wp:anchor distT="0" distB="0" distL="114300" distR="114300" simplePos="0" relativeHeight="251660288" behindDoc="0" locked="0" layoutInCell="1" allowOverlap="1" wp14:anchorId="039E7C8D" wp14:editId="619E232D">
            <wp:simplePos x="0" y="0"/>
            <wp:positionH relativeFrom="column">
              <wp:posOffset>2837367</wp:posOffset>
            </wp:positionH>
            <wp:positionV relativeFrom="paragraph">
              <wp:posOffset>151317</wp:posOffset>
            </wp:positionV>
            <wp:extent cx="2531110" cy="716915"/>
            <wp:effectExtent l="0" t="0" r="0" b="0"/>
            <wp:wrapSquare wrapText="bothSides"/>
            <wp:docPr id="2046853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53605" name="Picture 2046853605"/>
                    <pic:cNvPicPr/>
                  </pic:nvPicPr>
                  <pic:blipFill>
                    <a:blip r:embed="rId10">
                      <a:extLst>
                        <a:ext uri="{28A0092B-C50C-407E-A947-70E740481C1C}">
                          <a14:useLocalDpi xmlns:a14="http://schemas.microsoft.com/office/drawing/2010/main" val="0"/>
                        </a:ext>
                      </a:extLst>
                    </a:blip>
                    <a:stretch>
                      <a:fillRect/>
                    </a:stretch>
                  </pic:blipFill>
                  <pic:spPr>
                    <a:xfrm>
                      <a:off x="0" y="0"/>
                      <a:ext cx="2531110" cy="716915"/>
                    </a:xfrm>
                    <a:prstGeom prst="rect">
                      <a:avLst/>
                    </a:prstGeom>
                  </pic:spPr>
                </pic:pic>
              </a:graphicData>
            </a:graphic>
            <wp14:sizeRelH relativeFrom="page">
              <wp14:pctWidth>0</wp14:pctWidth>
            </wp14:sizeRelH>
            <wp14:sizeRelV relativeFrom="page">
              <wp14:pctHeight>0</wp14:pctHeight>
            </wp14:sizeRelV>
          </wp:anchor>
        </w:drawing>
      </w:r>
    </w:p>
    <w:p w14:paraId="66A7146B" w14:textId="08821796" w:rsidR="00D660B1" w:rsidRPr="00B40F72" w:rsidRDefault="00D660B1" w:rsidP="00D660B1">
      <w:pPr>
        <w:spacing w:after="0" w:line="240" w:lineRule="auto"/>
        <w:rPr>
          <w:rFonts w:ascii="Verdana" w:eastAsia="Calibri" w:hAnsi="Verdana" w:cs="Arial"/>
          <w:color w:val="000000" w:themeColor="text1"/>
          <w:lang w:val="es-ES" w:eastAsia="es-ES"/>
        </w:rPr>
      </w:pPr>
      <w:r w:rsidRPr="00B40F72">
        <w:rPr>
          <w:rFonts w:ascii="Verdana" w:eastAsia="Calibri" w:hAnsi="Verdana" w:cs="Arial"/>
          <w:color w:val="000000" w:themeColor="text1"/>
          <w:lang w:val="es-ES" w:eastAsia="es-ES"/>
        </w:rPr>
        <w:t>Señor</w:t>
      </w:r>
    </w:p>
    <w:p w14:paraId="32C74AE7" w14:textId="77777777" w:rsidR="00D660B1" w:rsidRPr="00B40F72" w:rsidRDefault="00D660B1" w:rsidP="00D660B1">
      <w:pPr>
        <w:spacing w:after="0" w:line="240" w:lineRule="auto"/>
        <w:rPr>
          <w:rFonts w:ascii="Verdana" w:eastAsia="Calibri" w:hAnsi="Verdana" w:cs="Arial"/>
          <w:b/>
          <w:bCs/>
          <w:color w:val="000000" w:themeColor="text1"/>
          <w:lang w:val="es-ES" w:eastAsia="es-ES"/>
        </w:rPr>
      </w:pPr>
      <w:r w:rsidRPr="00B40F72">
        <w:rPr>
          <w:rFonts w:ascii="Verdana" w:eastAsia="Calibri" w:hAnsi="Verdana" w:cs="Arial"/>
          <w:b/>
          <w:bCs/>
          <w:color w:val="000000" w:themeColor="text1"/>
          <w:lang w:val="es-ES" w:eastAsia="es-ES"/>
        </w:rPr>
        <w:t>Andrés Felipe Guzmán Rojas</w:t>
      </w:r>
    </w:p>
    <w:p w14:paraId="22914754" w14:textId="77777777" w:rsidR="00D660B1" w:rsidRPr="00B40F72" w:rsidRDefault="00D660B1" w:rsidP="00D660B1">
      <w:pPr>
        <w:spacing w:after="0" w:line="240" w:lineRule="auto"/>
        <w:rPr>
          <w:rFonts w:ascii="Verdana" w:eastAsia="Calibri" w:hAnsi="Verdana" w:cs="Arial"/>
          <w:color w:val="000000" w:themeColor="text1"/>
          <w:lang w:val="es-ES" w:eastAsia="es-ES"/>
        </w:rPr>
      </w:pPr>
      <w:hyperlink r:id="rId11" w:history="1">
        <w:r w:rsidRPr="00B40F72">
          <w:rPr>
            <w:rStyle w:val="Hipervnculo"/>
            <w:rFonts w:ascii="Verdana" w:eastAsia="Calibri" w:hAnsi="Verdana" w:cs="Arial"/>
            <w:lang w:val="es-ES" w:eastAsia="es-ES"/>
          </w:rPr>
          <w:t>andresabog@outlook.com</w:t>
        </w:r>
      </w:hyperlink>
      <w:r w:rsidRPr="00B40F72">
        <w:rPr>
          <w:rFonts w:ascii="Verdana" w:eastAsia="Calibri" w:hAnsi="Verdana" w:cs="Arial"/>
          <w:color w:val="000000" w:themeColor="text1"/>
          <w:lang w:val="es-ES" w:eastAsia="es-ES"/>
        </w:rPr>
        <w:t xml:space="preserve"> </w:t>
      </w:r>
    </w:p>
    <w:p w14:paraId="3A6A18F7" w14:textId="77777777" w:rsidR="00D660B1" w:rsidRPr="00B40F72" w:rsidRDefault="00D660B1" w:rsidP="00D660B1">
      <w:pPr>
        <w:spacing w:after="0" w:line="240" w:lineRule="auto"/>
        <w:rPr>
          <w:rFonts w:ascii="Verdana" w:eastAsia="Calibri" w:hAnsi="Verdana" w:cs="Arial"/>
          <w:color w:val="000000" w:themeColor="text1"/>
          <w:lang w:val="es-ES" w:eastAsia="es-ES"/>
        </w:rPr>
      </w:pPr>
      <w:r w:rsidRPr="00B40F72">
        <w:rPr>
          <w:rFonts w:ascii="Verdana" w:eastAsia="Calibri" w:hAnsi="Verdana" w:cs="Arial"/>
          <w:color w:val="000000" w:themeColor="text1"/>
          <w:lang w:val="es-ES" w:eastAsia="es-ES"/>
        </w:rPr>
        <w:t>Bogotá D.C.</w:t>
      </w: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D660B1" w:rsidRPr="00B40F72" w14:paraId="18CEA611" w14:textId="77777777" w:rsidTr="000261AE">
        <w:trPr>
          <w:trHeight w:val="300"/>
        </w:trPr>
        <w:tc>
          <w:tcPr>
            <w:tcW w:w="2410" w:type="dxa"/>
          </w:tcPr>
          <w:p w14:paraId="134C7F18" w14:textId="77777777" w:rsidR="00D660B1" w:rsidRPr="00B40F72" w:rsidRDefault="00D660B1" w:rsidP="000261AE">
            <w:pPr>
              <w:ind w:left="-142"/>
              <w:jc w:val="both"/>
              <w:rPr>
                <w:rFonts w:ascii="Verdana" w:eastAsia="Calibri" w:hAnsi="Verdana" w:cs="Arial"/>
                <w:b/>
                <w:bCs/>
                <w:color w:val="000000" w:themeColor="text1"/>
                <w:lang w:val="es-ES" w:eastAsia="es-ES_tradnl"/>
              </w:rPr>
            </w:pPr>
          </w:p>
        </w:tc>
        <w:tc>
          <w:tcPr>
            <w:tcW w:w="6100" w:type="dxa"/>
          </w:tcPr>
          <w:p w14:paraId="78B47A81" w14:textId="77777777" w:rsidR="00D660B1" w:rsidRPr="00B40F72" w:rsidRDefault="00D660B1" w:rsidP="000261AE">
            <w:pPr>
              <w:ind w:left="3"/>
              <w:jc w:val="both"/>
              <w:rPr>
                <w:rFonts w:ascii="Verdana" w:eastAsia="Calibri" w:hAnsi="Verdana" w:cs="Arial"/>
                <w:b/>
                <w:bCs/>
                <w:color w:val="000000" w:themeColor="text1"/>
                <w:lang w:val="es-ES" w:eastAsia="es-ES"/>
              </w:rPr>
            </w:pPr>
          </w:p>
          <w:p w14:paraId="3ECCAF4F" w14:textId="37F30839" w:rsidR="00D660B1" w:rsidRPr="00B40F72" w:rsidRDefault="00D660B1" w:rsidP="000261AE">
            <w:pPr>
              <w:ind w:left="3"/>
              <w:jc w:val="both"/>
              <w:rPr>
                <w:rFonts w:ascii="Verdana" w:eastAsia="Calibri" w:hAnsi="Verdana" w:cs="Arial"/>
                <w:b/>
                <w:bCs/>
                <w:color w:val="000000" w:themeColor="text1"/>
                <w:lang w:val="es-ES" w:eastAsia="es-ES"/>
              </w:rPr>
            </w:pPr>
            <w:r w:rsidRPr="00B40F72">
              <w:rPr>
                <w:rFonts w:ascii="Verdana" w:eastAsia="Calibri" w:hAnsi="Verdana" w:cs="Arial"/>
                <w:b/>
                <w:bCs/>
                <w:color w:val="000000" w:themeColor="text1"/>
                <w:lang w:val="es-ES" w:eastAsia="es-ES"/>
              </w:rPr>
              <w:t>Concepto C-</w:t>
            </w:r>
            <w:r w:rsidR="00365FE0">
              <w:rPr>
                <w:rFonts w:ascii="Verdana" w:eastAsia="Calibri" w:hAnsi="Verdana" w:cs="Arial"/>
                <w:b/>
                <w:bCs/>
                <w:color w:val="000000" w:themeColor="text1"/>
                <w:lang w:val="es-ES" w:eastAsia="es-ES"/>
              </w:rPr>
              <w:t>1292</w:t>
            </w:r>
            <w:r w:rsidRPr="00B40F72">
              <w:rPr>
                <w:rFonts w:ascii="Verdana" w:eastAsia="Calibri" w:hAnsi="Verdana" w:cs="Arial"/>
                <w:b/>
                <w:bCs/>
                <w:color w:val="000000" w:themeColor="text1"/>
                <w:lang w:val="es-ES" w:eastAsia="es-ES"/>
              </w:rPr>
              <w:t xml:space="preserve"> de 2026</w:t>
            </w:r>
          </w:p>
          <w:p w14:paraId="4D6E3AB2" w14:textId="77777777" w:rsidR="00D660B1" w:rsidRPr="00B40F72" w:rsidRDefault="00D660B1" w:rsidP="000261AE">
            <w:pPr>
              <w:ind w:left="3"/>
              <w:jc w:val="both"/>
              <w:rPr>
                <w:rFonts w:ascii="Verdana" w:eastAsia="Calibri" w:hAnsi="Verdana" w:cs="Arial"/>
                <w:b/>
                <w:bCs/>
                <w:color w:val="000000" w:themeColor="text1"/>
                <w:lang w:val="es-ES" w:eastAsia="es-ES"/>
              </w:rPr>
            </w:pPr>
          </w:p>
        </w:tc>
      </w:tr>
      <w:tr w:rsidR="00D660B1" w:rsidRPr="00B40F72" w14:paraId="18B2FCCE" w14:textId="77777777" w:rsidTr="000261AE">
        <w:trPr>
          <w:trHeight w:val="300"/>
        </w:trPr>
        <w:tc>
          <w:tcPr>
            <w:tcW w:w="2410" w:type="dxa"/>
          </w:tcPr>
          <w:p w14:paraId="4AC5A720" w14:textId="77777777" w:rsidR="00D660B1" w:rsidRPr="00B40F72" w:rsidRDefault="00D660B1" w:rsidP="000261AE">
            <w:pPr>
              <w:ind w:left="424" w:firstLine="142"/>
              <w:jc w:val="both"/>
              <w:rPr>
                <w:rFonts w:ascii="Verdana" w:eastAsia="Calibri" w:hAnsi="Verdana" w:cs="Arial"/>
                <w:color w:val="000000" w:themeColor="text1"/>
                <w:lang w:val="es-ES" w:eastAsia="es-ES_tradnl"/>
              </w:rPr>
            </w:pPr>
            <w:r w:rsidRPr="00B40F72">
              <w:rPr>
                <w:rFonts w:ascii="Verdana" w:eastAsia="Calibri" w:hAnsi="Verdana" w:cs="Arial"/>
                <w:b/>
                <w:color w:val="000000" w:themeColor="text1"/>
                <w:lang w:val="es-ES" w:eastAsia="es-ES_tradnl"/>
              </w:rPr>
              <w:t>Temas:</w:t>
            </w:r>
            <w:r w:rsidRPr="00B40F72">
              <w:rPr>
                <w:rFonts w:ascii="Verdana" w:eastAsia="Calibri" w:hAnsi="Verdana" w:cs="Arial"/>
                <w:color w:val="000000" w:themeColor="text1"/>
                <w:lang w:val="es-ES" w:eastAsia="es-ES_tradnl"/>
              </w:rPr>
              <w:t xml:space="preserve">                  </w:t>
            </w:r>
          </w:p>
        </w:tc>
        <w:tc>
          <w:tcPr>
            <w:tcW w:w="6100" w:type="dxa"/>
          </w:tcPr>
          <w:p w14:paraId="1BA9655F" w14:textId="0F9A6E9A" w:rsidR="00D660B1" w:rsidRDefault="00D660B1" w:rsidP="000261AE">
            <w:pPr>
              <w:spacing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 xml:space="preserve">DECRETO 0997 DE 2026 – Artículo 3 – Reporte de inhabilidades – Alcance </w:t>
            </w:r>
            <w:r w:rsidR="0042167B">
              <w:rPr>
                <w:rFonts w:ascii="Verdana" w:eastAsia="Calibri" w:hAnsi="Verdana" w:cs="Arial"/>
                <w:color w:val="000000" w:themeColor="text1"/>
                <w:lang w:val="es-ES" w:eastAsia="es-ES"/>
              </w:rPr>
              <w:t>/ DECRETO</w:t>
            </w:r>
            <w:r>
              <w:rPr>
                <w:rFonts w:ascii="Verdana" w:eastAsia="Calibri" w:hAnsi="Verdana" w:cs="Arial"/>
                <w:color w:val="000000" w:themeColor="text1"/>
                <w:lang w:val="es-ES" w:eastAsia="es-ES"/>
              </w:rPr>
              <w:t xml:space="preserve"> 0997 DE 2026 –Compras Públicas Sostenibles – Criterios sociales / DECRETO 0997 DE 2026 – Artículo 11 – Consulta en listas internacionales – Alcance</w:t>
            </w:r>
          </w:p>
          <w:p w14:paraId="4CA2B2D2" w14:textId="77777777" w:rsidR="00D660B1" w:rsidRPr="00B40F72" w:rsidRDefault="00D660B1" w:rsidP="000261AE">
            <w:pPr>
              <w:spacing w:line="276" w:lineRule="auto"/>
              <w:jc w:val="both"/>
              <w:rPr>
                <w:rFonts w:ascii="Verdana" w:eastAsia="Calibri" w:hAnsi="Verdana" w:cs="Arial"/>
                <w:color w:val="000000" w:themeColor="text1"/>
                <w:lang w:val="es-ES" w:eastAsia="es-ES"/>
              </w:rPr>
            </w:pPr>
          </w:p>
        </w:tc>
      </w:tr>
      <w:tr w:rsidR="00D660B1" w:rsidRPr="00B40F72" w14:paraId="1F87C212" w14:textId="77777777" w:rsidTr="000261AE">
        <w:trPr>
          <w:trHeight w:val="300"/>
        </w:trPr>
        <w:tc>
          <w:tcPr>
            <w:tcW w:w="2410" w:type="dxa"/>
          </w:tcPr>
          <w:p w14:paraId="25992E80" w14:textId="77777777" w:rsidR="00D660B1" w:rsidRPr="00B40F72" w:rsidRDefault="00D660B1" w:rsidP="000261AE">
            <w:pPr>
              <w:ind w:left="561"/>
              <w:jc w:val="both"/>
              <w:rPr>
                <w:rFonts w:ascii="Verdana" w:eastAsia="Calibri" w:hAnsi="Verdana" w:cs="Arial"/>
                <w:b/>
                <w:color w:val="000000" w:themeColor="text1"/>
                <w:lang w:val="es-ES" w:eastAsia="es-ES_tradnl"/>
              </w:rPr>
            </w:pPr>
            <w:r w:rsidRPr="00B40F72">
              <w:rPr>
                <w:rFonts w:ascii="Verdana" w:eastAsia="Calibri" w:hAnsi="Verdana" w:cs="Arial"/>
                <w:b/>
                <w:color w:val="000000" w:themeColor="text1"/>
                <w:lang w:val="es-ES" w:eastAsia="es-ES_tradnl"/>
              </w:rPr>
              <w:t xml:space="preserve">Radicación:              </w:t>
            </w:r>
          </w:p>
        </w:tc>
        <w:tc>
          <w:tcPr>
            <w:tcW w:w="6100" w:type="dxa"/>
          </w:tcPr>
          <w:p w14:paraId="009998CE" w14:textId="76E7F0B2" w:rsidR="00D660B1" w:rsidRPr="00B40F72" w:rsidRDefault="00D660B1" w:rsidP="000261AE">
            <w:pPr>
              <w:ind w:left="3"/>
              <w:jc w:val="both"/>
              <w:rPr>
                <w:rFonts w:ascii="Verdana" w:hAnsi="Verdana"/>
                <w:bCs/>
                <w:color w:val="000000"/>
                <w:lang w:val="es-ES"/>
              </w:rPr>
            </w:pPr>
            <w:r w:rsidRPr="00B40F72">
              <w:rPr>
                <w:rFonts w:ascii="Verdana" w:eastAsia="Calibri" w:hAnsi="Verdana" w:cs="Arial"/>
                <w:bCs/>
                <w:color w:val="000000" w:themeColor="text1"/>
                <w:lang w:val="es-ES" w:eastAsia="es-ES"/>
              </w:rPr>
              <w:t xml:space="preserve">Respuesta a consulta con radicado </w:t>
            </w:r>
            <w:r w:rsidR="0042167B" w:rsidRPr="00B40F72">
              <w:rPr>
                <w:rFonts w:ascii="Verdana" w:eastAsia="Calibri" w:hAnsi="Verdana" w:cs="Arial"/>
                <w:bCs/>
                <w:color w:val="000000" w:themeColor="text1"/>
                <w:lang w:val="es-ES" w:eastAsia="es-ES"/>
              </w:rPr>
              <w:t>No.</w:t>
            </w:r>
            <w:r w:rsidR="0042167B" w:rsidRPr="00B40F72">
              <w:rPr>
                <w:rFonts w:ascii="Verdana" w:hAnsi="Verdana" w:cs="Segoe UI"/>
                <w:bCs/>
                <w:color w:val="242424"/>
                <w:shd w:val="clear" w:color="auto" w:fill="FFFFFF"/>
                <w:lang w:val="es-ES"/>
              </w:rPr>
              <w:t xml:space="preserve"> </w:t>
            </w:r>
            <w:r w:rsidR="0042167B" w:rsidRPr="00B40F72">
              <w:rPr>
                <w:rFonts w:ascii="Verdana" w:eastAsia="Calibri" w:hAnsi="Verdana" w:cs="Arial"/>
                <w:bCs/>
                <w:color w:val="000000" w:themeColor="text1"/>
                <w:lang w:val="es-ES" w:eastAsia="es-ES"/>
              </w:rPr>
              <w:t>1</w:t>
            </w:r>
            <w:r w:rsidRPr="00264CFF">
              <w:rPr>
                <w:rFonts w:ascii="Verdana" w:eastAsia="Calibri" w:hAnsi="Verdana" w:cs="Arial"/>
                <w:bCs/>
                <w:color w:val="000000" w:themeColor="text1"/>
                <w:lang w:val="es-ES" w:eastAsia="es-ES"/>
              </w:rPr>
              <w:t>_2026_08_14_010826</w:t>
            </w:r>
          </w:p>
        </w:tc>
      </w:tr>
    </w:tbl>
    <w:p w14:paraId="362CFEF6" w14:textId="77777777" w:rsidR="00D660B1" w:rsidRPr="00B40F72" w:rsidRDefault="00D660B1" w:rsidP="00D660B1">
      <w:pPr>
        <w:spacing w:after="0" w:line="276" w:lineRule="auto"/>
        <w:jc w:val="both"/>
        <w:rPr>
          <w:rFonts w:ascii="Verdana" w:eastAsia="Calibri" w:hAnsi="Verdana" w:cs="Arial"/>
          <w:color w:val="000000" w:themeColor="text1"/>
          <w:lang w:val="es-ES" w:eastAsia="es-ES"/>
        </w:rPr>
      </w:pPr>
    </w:p>
    <w:p w14:paraId="773E0136" w14:textId="77777777" w:rsidR="00D660B1" w:rsidRPr="00B40F72" w:rsidRDefault="00D660B1" w:rsidP="00D660B1">
      <w:pPr>
        <w:spacing w:after="0" w:line="276" w:lineRule="auto"/>
        <w:jc w:val="both"/>
        <w:rPr>
          <w:rFonts w:ascii="Verdana" w:eastAsia="Calibri" w:hAnsi="Verdana" w:cs="Arial"/>
          <w:color w:val="000000" w:themeColor="text1"/>
          <w:lang w:val="es-ES" w:eastAsia="es-ES"/>
        </w:rPr>
      </w:pPr>
      <w:r w:rsidRPr="00B40F72">
        <w:rPr>
          <w:rFonts w:ascii="Verdana" w:eastAsia="Calibri" w:hAnsi="Verdana" w:cs="Arial"/>
          <w:color w:val="000000" w:themeColor="text1"/>
          <w:lang w:val="es-ES" w:eastAsia="es-ES"/>
        </w:rPr>
        <w:t>Estimado señor</w:t>
      </w:r>
      <w:r>
        <w:rPr>
          <w:rFonts w:ascii="Verdana" w:eastAsia="Calibri" w:hAnsi="Verdana" w:cs="Arial"/>
          <w:color w:val="000000" w:themeColor="text1"/>
          <w:lang w:val="es-ES" w:eastAsia="es-ES"/>
        </w:rPr>
        <w:t xml:space="preserve"> Guzmán</w:t>
      </w:r>
      <w:r w:rsidRPr="00B40F72">
        <w:rPr>
          <w:rFonts w:ascii="Verdana" w:eastAsia="Calibri" w:hAnsi="Verdana" w:cs="Arial"/>
          <w:color w:val="000000" w:themeColor="text1"/>
          <w:lang w:val="es-ES" w:eastAsia="es-ES"/>
        </w:rPr>
        <w:t xml:space="preserve">: </w:t>
      </w:r>
    </w:p>
    <w:p w14:paraId="20C1750C" w14:textId="77777777" w:rsidR="00D660B1" w:rsidRPr="00B40F72" w:rsidRDefault="00D660B1" w:rsidP="00D660B1">
      <w:pPr>
        <w:tabs>
          <w:tab w:val="left" w:pos="3768"/>
        </w:tabs>
        <w:spacing w:after="0" w:line="276" w:lineRule="auto"/>
        <w:jc w:val="both"/>
        <w:rPr>
          <w:rFonts w:ascii="Verdana" w:eastAsia="Calibri" w:hAnsi="Verdana" w:cs="Arial"/>
          <w:color w:val="000000" w:themeColor="text1"/>
          <w:lang w:val="es-ES" w:eastAsia="es-ES"/>
        </w:rPr>
      </w:pPr>
      <w:r w:rsidRPr="00B40F72">
        <w:rPr>
          <w:rFonts w:ascii="Verdana" w:eastAsia="Calibri" w:hAnsi="Verdana" w:cs="Arial"/>
          <w:color w:val="000000" w:themeColor="text1"/>
          <w:lang w:val="es-ES" w:eastAsia="es-ES"/>
        </w:rPr>
        <w:tab/>
      </w:r>
    </w:p>
    <w:p w14:paraId="38B40DB9" w14:textId="77777777" w:rsidR="00D660B1" w:rsidRPr="00B40F72" w:rsidRDefault="00D660B1" w:rsidP="00D660B1">
      <w:pPr>
        <w:spacing w:after="0" w:line="276" w:lineRule="auto"/>
        <w:jc w:val="both"/>
        <w:rPr>
          <w:rFonts w:ascii="Verdana" w:eastAsia="Calibri" w:hAnsi="Verdana" w:cs="Arial"/>
          <w:color w:val="000000" w:themeColor="text1"/>
          <w:lang w:val="es-ES" w:eastAsia="es-ES"/>
        </w:rPr>
      </w:pPr>
      <w:r w:rsidRPr="00B40F72">
        <w:rPr>
          <w:rFonts w:ascii="Verdana" w:eastAsia="Calibri" w:hAnsi="Verdana" w:cs="Arial"/>
          <w:color w:val="000000" w:themeColor="text1"/>
          <w:lang w:val="es-ES" w:eastAsia="es-ES"/>
        </w:rPr>
        <w:t>En ejercicio de la competencia otorgada por los artículos 3, numeral 5º, y 11, numeral 8º, del Decreto Ley 4170 de 2011,</w:t>
      </w:r>
      <w:r w:rsidRPr="00B40F72">
        <w:rPr>
          <w:rFonts w:ascii="Verdana" w:eastAsia="Arial MT" w:hAnsi="Verdana" w:cs="Arial MT"/>
          <w:color w:val="000000" w:themeColor="text1"/>
          <w:lang w:val="es-ES" w:eastAsia="es-ES"/>
        </w:rPr>
        <w:t xml:space="preserve"> </w:t>
      </w:r>
      <w:r w:rsidRPr="00B40F72">
        <w:rPr>
          <w:rFonts w:ascii="Verdana" w:hAnsi="Verdana" w:cs="Arial"/>
          <w:color w:val="000000" w:themeColor="text1"/>
          <w:lang w:val="es-ES"/>
        </w:rPr>
        <w:t xml:space="preserve">así como lo establecido en el artículo 4 de la Resolución 1707 de 2018 expedida por esta Entidad, </w:t>
      </w:r>
      <w:r w:rsidRPr="00B40F72">
        <w:rPr>
          <w:rFonts w:ascii="Verdana" w:eastAsia="Calibri" w:hAnsi="Verdana" w:cs="Arial"/>
          <w:color w:val="000000" w:themeColor="text1"/>
          <w:lang w:val="es-ES" w:eastAsia="es-ES"/>
        </w:rPr>
        <w:t xml:space="preserve">la Agencia Nacional de Contratación Pública – Colombia Compra Eficiente– responde su solicitud de consulta del 14 </w:t>
      </w:r>
      <w:r>
        <w:rPr>
          <w:rFonts w:ascii="Verdana" w:eastAsia="Calibri" w:hAnsi="Verdana" w:cs="Arial"/>
          <w:color w:val="000000" w:themeColor="text1"/>
          <w:lang w:val="es-ES" w:eastAsia="es-ES"/>
        </w:rPr>
        <w:t>de agosto</w:t>
      </w:r>
      <w:r w:rsidRPr="00B40F72">
        <w:rPr>
          <w:rFonts w:ascii="Verdana" w:eastAsia="Calibri" w:hAnsi="Verdana" w:cs="Arial"/>
          <w:color w:val="000000" w:themeColor="text1"/>
          <w:lang w:val="es-ES" w:eastAsia="es-ES"/>
        </w:rPr>
        <w:t xml:space="preserve"> de 2026, en la cual manifiesta lo siguiente: </w:t>
      </w:r>
    </w:p>
    <w:p w14:paraId="6E7F4D2B" w14:textId="77777777" w:rsidR="00D660B1" w:rsidRPr="00B40F72" w:rsidRDefault="00D660B1" w:rsidP="00D660B1">
      <w:pPr>
        <w:tabs>
          <w:tab w:val="left" w:pos="142"/>
          <w:tab w:val="left" w:pos="284"/>
        </w:tabs>
        <w:spacing w:after="0" w:line="276" w:lineRule="auto"/>
        <w:contextualSpacing/>
        <w:jc w:val="both"/>
        <w:rPr>
          <w:rFonts w:ascii="Verdana" w:eastAsia="Century Gothic" w:hAnsi="Verdana" w:cs="Century Gothic"/>
          <w:b/>
          <w:color w:val="000000" w:themeColor="text1"/>
          <w:lang w:val="es-ES"/>
        </w:rPr>
      </w:pPr>
    </w:p>
    <w:p w14:paraId="24C05818"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“De manera atenta y con el fin de conocer el alcance, interpretación y aplicación de las normas y en relación con el Decreto 0997 de 2026, consulto:</w:t>
      </w:r>
    </w:p>
    <w:p w14:paraId="020052BC" w14:textId="77777777" w:rsidR="00D660B1" w:rsidRPr="00B40F72" w:rsidRDefault="00D660B1" w:rsidP="00D660B1">
      <w:pPr>
        <w:numPr>
          <w:ilvl w:val="0"/>
          <w:numId w:val="24"/>
        </w:numPr>
        <w:spacing w:after="0" w:line="240" w:lineRule="auto"/>
        <w:ind w:right="709" w:hanging="11"/>
        <w:jc w:val="both"/>
        <w:rPr>
          <w:rFonts w:ascii="Verdana" w:eastAsia="Calibri" w:hAnsi="Verdana" w:cs="Arial"/>
          <w:i/>
          <w:iCs/>
          <w:sz w:val="20"/>
          <w:szCs w:val="20"/>
          <w:lang w:val="es-ES"/>
        </w:rPr>
      </w:pPr>
      <w:r w:rsidRPr="00B40F72">
        <w:rPr>
          <w:rFonts w:ascii="Verdana" w:eastAsia="Calibri" w:hAnsi="Verdana" w:cs="Arial"/>
          <w:i/>
          <w:iCs/>
          <w:sz w:val="20"/>
          <w:szCs w:val="20"/>
          <w:lang w:val="es-ES"/>
        </w:rPr>
        <w:t>El artículo 3 del mencionado Decreto, modificó el artículo 2.2.1.1.1.5.7 del Decreto 1082 de 2015 introdujo la obligación para las entidades del estado de reportar al RUP las sentencias judiciales civiles y penales, junto con su constancia de ejecutoria y firmeza. Sobre este particular:</w:t>
      </w:r>
    </w:p>
    <w:p w14:paraId="6172AABF"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 xml:space="preserve">1.1. En el marco de la responsabilidad civil de que trata el numeral 3 del artículo 58 de la Ley 80 de 1993, las entidades estatales no son parte, toda vez que, esta es una acción civil ante la jurisdicción ordinaria y los conflictos de las Entidades se ventilan ante el contencioso. Ahora, estos procesos son públicos solo para las partes y solo a estas se les permite, según el ordenamiento procesal civil, la consulta del proceso, así como </w:t>
      </w:r>
      <w:r w:rsidRPr="00B40F72">
        <w:rPr>
          <w:rFonts w:ascii="Verdana" w:eastAsia="Calibri" w:hAnsi="Verdana" w:cs="Arial"/>
          <w:i/>
          <w:iCs/>
          <w:sz w:val="20"/>
          <w:szCs w:val="20"/>
          <w:lang w:val="es-ES"/>
        </w:rPr>
        <w:lastRenderedPageBreak/>
        <w:t>solicitar documentos. Además de las que las entidades estatales no van a ser notificadas del tránsito procesal ¿Cómo deben proceder en la práctica las entidades estatales para conocer las sentencias y solicitar las constancias de ejecutoria y firmeza?</w:t>
      </w:r>
    </w:p>
    <w:p w14:paraId="070D40ED"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1.2. En los procesos penales, en los que la Entidad no es parte, eventualmente podrá actuar como víctima, pero no necesariamente, es decir, la Entidad no siempre va a ser notificada de la sentencia ni demás etapas procesales ¿Cómo deben proceder en la práctica las entidades estatales para conocer las sentencias y solicitar las constancias de ejecutoria y firmeza?</w:t>
      </w:r>
    </w:p>
    <w:p w14:paraId="22807EEB"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1.3. ¿Qué norma regula las condiciones que debe cumplir una constancia de ejecutoria y de firmeza?</w:t>
      </w:r>
    </w:p>
    <w:p w14:paraId="3691C767"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1.4. ¿Qué norma pueden invocar las entidades estatales a los juzgados para exigir la expedición de una constancia de ejecutoria y de firmeza?</w:t>
      </w:r>
    </w:p>
    <w:p w14:paraId="119B7F94"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1.5. ¿Qué norma deben seguir los juzgados para expedir las constancias de ejecutoria y firmeza en cuanto a su contenido?</w:t>
      </w:r>
    </w:p>
    <w:p w14:paraId="157A1D58" w14:textId="77777777" w:rsidR="00D660B1" w:rsidRPr="00B40F72" w:rsidRDefault="00D660B1" w:rsidP="00D660B1">
      <w:pPr>
        <w:numPr>
          <w:ilvl w:val="0"/>
          <w:numId w:val="24"/>
        </w:numPr>
        <w:spacing w:after="0" w:line="240" w:lineRule="auto"/>
        <w:ind w:right="709" w:hanging="11"/>
        <w:jc w:val="both"/>
        <w:rPr>
          <w:rFonts w:ascii="Verdana" w:eastAsia="Calibri" w:hAnsi="Verdana" w:cs="Arial"/>
          <w:i/>
          <w:iCs/>
          <w:sz w:val="20"/>
          <w:szCs w:val="20"/>
          <w:lang w:val="es-ES"/>
        </w:rPr>
      </w:pPr>
      <w:r w:rsidRPr="00B40F72">
        <w:rPr>
          <w:rFonts w:ascii="Verdana" w:eastAsia="Calibri" w:hAnsi="Verdana" w:cs="Arial"/>
          <w:i/>
          <w:iCs/>
          <w:sz w:val="20"/>
          <w:szCs w:val="20"/>
          <w:lang w:val="es-ES"/>
        </w:rPr>
        <w:t>Este Decreto habla de los impactos sociales que se deben evaluar en los procesos.</w:t>
      </w:r>
    </w:p>
    <w:p w14:paraId="08C484E0"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2.1. ¿cómo se materializa esta evaluación de impactos sociales?</w:t>
      </w:r>
    </w:p>
    <w:p w14:paraId="762A38EC"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 xml:space="preserve">2.2. ¿Cuáles son los criterios e impactos sociales? ¿Qué es la </w:t>
      </w:r>
      <w:proofErr w:type="spellStart"/>
      <w:r w:rsidRPr="00B40F72">
        <w:rPr>
          <w:rFonts w:ascii="Verdana" w:eastAsia="Calibri" w:hAnsi="Verdana" w:cs="Arial"/>
          <w:i/>
          <w:iCs/>
          <w:sz w:val="20"/>
          <w:szCs w:val="20"/>
          <w:lang w:val="es-ES"/>
        </w:rPr>
        <w:t>sostenibildiad</w:t>
      </w:r>
      <w:proofErr w:type="spellEnd"/>
      <w:r>
        <w:rPr>
          <w:rFonts w:ascii="Verdana" w:eastAsia="Calibri" w:hAnsi="Verdana" w:cs="Arial"/>
          <w:i/>
          <w:iCs/>
          <w:sz w:val="20"/>
          <w:szCs w:val="20"/>
          <w:lang w:val="es-ES"/>
        </w:rPr>
        <w:t xml:space="preserve"> [sic]</w:t>
      </w:r>
      <w:r w:rsidRPr="00B40F72">
        <w:rPr>
          <w:rFonts w:ascii="Verdana" w:eastAsia="Calibri" w:hAnsi="Verdana" w:cs="Arial"/>
          <w:i/>
          <w:iCs/>
          <w:sz w:val="20"/>
          <w:szCs w:val="20"/>
          <w:lang w:val="es-ES"/>
        </w:rPr>
        <w:t xml:space="preserve"> social?</w:t>
      </w:r>
    </w:p>
    <w:p w14:paraId="4CD6B4BD"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 xml:space="preserve">2.3. Agradezco me puedan dar ejemplos de los criterios </w:t>
      </w:r>
      <w:proofErr w:type="gramStart"/>
      <w:r w:rsidRPr="00B40F72">
        <w:rPr>
          <w:rFonts w:ascii="Verdana" w:eastAsia="Calibri" w:hAnsi="Verdana" w:cs="Arial"/>
          <w:i/>
          <w:iCs/>
          <w:sz w:val="20"/>
          <w:szCs w:val="20"/>
          <w:lang w:val="es-ES"/>
        </w:rPr>
        <w:t>impactos  sociales</w:t>
      </w:r>
      <w:proofErr w:type="gramEnd"/>
      <w:r w:rsidRPr="00B40F72">
        <w:rPr>
          <w:rFonts w:ascii="Verdana" w:eastAsia="Calibri" w:hAnsi="Verdana" w:cs="Arial"/>
          <w:i/>
          <w:iCs/>
          <w:sz w:val="20"/>
          <w:szCs w:val="20"/>
          <w:lang w:val="es-ES"/>
        </w:rPr>
        <w:t>, así como de la sostenibilidad social.</w:t>
      </w:r>
    </w:p>
    <w:p w14:paraId="63E08C00" w14:textId="77777777" w:rsidR="00D660B1" w:rsidRPr="00B40F72" w:rsidRDefault="00D660B1" w:rsidP="00D660B1">
      <w:pPr>
        <w:numPr>
          <w:ilvl w:val="0"/>
          <w:numId w:val="24"/>
        </w:numPr>
        <w:spacing w:after="0" w:line="240" w:lineRule="auto"/>
        <w:ind w:left="851" w:right="709" w:hanging="142"/>
        <w:jc w:val="both"/>
        <w:rPr>
          <w:rFonts w:ascii="Verdana" w:eastAsia="Calibri" w:hAnsi="Verdana" w:cs="Arial"/>
          <w:i/>
          <w:iCs/>
          <w:sz w:val="20"/>
          <w:szCs w:val="20"/>
          <w:lang w:val="es-ES"/>
        </w:rPr>
      </w:pPr>
      <w:r w:rsidRPr="00B40F72">
        <w:rPr>
          <w:rFonts w:ascii="Verdana" w:eastAsia="Calibri" w:hAnsi="Verdana" w:cs="Arial"/>
          <w:i/>
          <w:iCs/>
          <w:sz w:val="20"/>
          <w:szCs w:val="20"/>
          <w:lang w:val="es-ES"/>
        </w:rPr>
        <w:t>El artículo 11 incorporó la verificación de listas internacionales.</w:t>
      </w:r>
    </w:p>
    <w:p w14:paraId="3867D7EF"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 xml:space="preserve">3.1. ¿Cuáles son estas listas </w:t>
      </w:r>
      <w:proofErr w:type="gramStart"/>
      <w:r w:rsidRPr="00B40F72">
        <w:rPr>
          <w:rFonts w:ascii="Verdana" w:eastAsia="Calibri" w:hAnsi="Verdana" w:cs="Arial"/>
          <w:i/>
          <w:iCs/>
          <w:sz w:val="20"/>
          <w:szCs w:val="20"/>
          <w:lang w:val="es-ES"/>
        </w:rPr>
        <w:t>intenciones?</w:t>
      </w:r>
      <w:r>
        <w:rPr>
          <w:rFonts w:ascii="Verdana" w:eastAsia="Calibri" w:hAnsi="Verdana" w:cs="Arial"/>
          <w:i/>
          <w:iCs/>
          <w:sz w:val="20"/>
          <w:szCs w:val="20"/>
          <w:lang w:val="es-ES"/>
        </w:rPr>
        <w:t>[</w:t>
      </w:r>
      <w:proofErr w:type="gramEnd"/>
      <w:r>
        <w:rPr>
          <w:rFonts w:ascii="Verdana" w:eastAsia="Calibri" w:hAnsi="Verdana" w:cs="Arial"/>
          <w:i/>
          <w:iCs/>
          <w:sz w:val="20"/>
          <w:szCs w:val="20"/>
          <w:lang w:val="es-ES"/>
        </w:rPr>
        <w:t>sic]</w:t>
      </w:r>
    </w:p>
    <w:p w14:paraId="02D3AFF0"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3.2. Solicito que se indique la forma en que se consulta cada una de estas listas. Ejemplo, de manera virtual o por solicitud expresa a determinadas entidades, qué información requiere cada consulta, cuánto tarda el resultado de cada consulta. </w:t>
      </w:r>
    </w:p>
    <w:p w14:paraId="0E1141F0" w14:textId="77777777" w:rsidR="00D660B1" w:rsidRPr="00B40F72" w:rsidRDefault="00D660B1" w:rsidP="00D660B1">
      <w:pPr>
        <w:spacing w:after="0"/>
        <w:ind w:left="709" w:right="709"/>
        <w:jc w:val="both"/>
        <w:rPr>
          <w:rFonts w:ascii="Verdana" w:eastAsia="Calibri" w:hAnsi="Verdana" w:cs="Arial"/>
          <w:i/>
          <w:iCs/>
          <w:sz w:val="20"/>
          <w:szCs w:val="20"/>
          <w:lang w:val="es-ES"/>
        </w:rPr>
      </w:pPr>
      <w:r w:rsidRPr="00B40F72">
        <w:rPr>
          <w:rFonts w:ascii="Verdana" w:eastAsia="Calibri" w:hAnsi="Verdana" w:cs="Arial"/>
          <w:i/>
          <w:iCs/>
          <w:sz w:val="20"/>
          <w:szCs w:val="20"/>
          <w:lang w:val="es-ES"/>
        </w:rPr>
        <w:t>Para aquellas consultas que sean virtuales por plataforma, solicito que me envíen los enlaces para ingreso y de las que sean por petición, los datos en donde debe presentarse la petición”.</w:t>
      </w:r>
    </w:p>
    <w:p w14:paraId="471B4D0F" w14:textId="77777777" w:rsidR="00D660B1" w:rsidRDefault="00D660B1" w:rsidP="00D660B1">
      <w:pPr>
        <w:spacing w:after="120" w:line="276" w:lineRule="auto"/>
        <w:jc w:val="both"/>
        <w:rPr>
          <w:rFonts w:ascii="Verdana" w:eastAsia="Calibri" w:hAnsi="Verdana" w:cs="Arial"/>
          <w:color w:val="000000" w:themeColor="text1"/>
          <w:lang w:val="es-ES" w:eastAsia="es-ES"/>
        </w:rPr>
      </w:pPr>
    </w:p>
    <w:p w14:paraId="7D68241E" w14:textId="77777777" w:rsidR="00D660B1" w:rsidRPr="00B40F72" w:rsidRDefault="00D660B1" w:rsidP="00D660B1">
      <w:pPr>
        <w:spacing w:after="120" w:line="276" w:lineRule="auto"/>
        <w:ind w:firstLine="708"/>
        <w:jc w:val="both"/>
        <w:rPr>
          <w:rFonts w:ascii="Verdana" w:eastAsia="Calibri" w:hAnsi="Verdana" w:cs="Arial"/>
          <w:color w:val="000000" w:themeColor="text1"/>
          <w:lang w:val="es-ES" w:eastAsia="es-ES"/>
        </w:rPr>
      </w:pPr>
      <w:r w:rsidRPr="00B40F72">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w:t>
      </w:r>
      <w:r w:rsidRPr="00B40F72">
        <w:rPr>
          <w:rFonts w:ascii="Verdana" w:eastAsia="Calibri" w:hAnsi="Verdana" w:cs="Arial"/>
          <w:color w:val="000000" w:themeColor="text1"/>
          <w:lang w:val="es-ES" w:eastAsia="es-ES"/>
        </w:rPr>
        <w:lastRenderedPageBreak/>
        <w:t xml:space="preserve">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40F72">
        <w:rPr>
          <w:lang w:val="es-ES"/>
        </w:rPr>
        <w:tab/>
      </w:r>
    </w:p>
    <w:p w14:paraId="1F3E93C7" w14:textId="77777777" w:rsidR="00D660B1" w:rsidRPr="00B40F72" w:rsidRDefault="00D660B1" w:rsidP="00D660B1">
      <w:pPr>
        <w:spacing w:after="0" w:line="276" w:lineRule="auto"/>
        <w:ind w:firstLine="709"/>
        <w:jc w:val="both"/>
        <w:rPr>
          <w:rFonts w:ascii="Verdana" w:eastAsia="Calibri" w:hAnsi="Verdana" w:cs="Arial"/>
          <w:color w:val="000000" w:themeColor="text1"/>
          <w:lang w:val="es-ES" w:eastAsia="es-ES"/>
        </w:rPr>
      </w:pPr>
      <w:r w:rsidRPr="00B40F72">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3EB7FCF4" w14:textId="77777777" w:rsidR="00D660B1" w:rsidRPr="00B40F72" w:rsidRDefault="00D660B1" w:rsidP="00D660B1">
      <w:pPr>
        <w:spacing w:after="0" w:line="276" w:lineRule="auto"/>
        <w:jc w:val="both"/>
        <w:rPr>
          <w:rFonts w:ascii="Verdana" w:eastAsia="Calibri" w:hAnsi="Verdana" w:cs="Arial"/>
          <w:color w:val="000000" w:themeColor="text1"/>
          <w:lang w:val="es-ES" w:eastAsia="es-ES"/>
        </w:rPr>
      </w:pPr>
    </w:p>
    <w:p w14:paraId="336FF74E" w14:textId="77777777" w:rsidR="00D660B1" w:rsidRPr="00B40F72" w:rsidRDefault="00D660B1" w:rsidP="00D660B1">
      <w:pPr>
        <w:pStyle w:val="Prrafodelista"/>
        <w:numPr>
          <w:ilvl w:val="0"/>
          <w:numId w:val="18"/>
        </w:numPr>
        <w:tabs>
          <w:tab w:val="left" w:pos="142"/>
          <w:tab w:val="left" w:pos="284"/>
        </w:tabs>
        <w:spacing w:after="0" w:line="276" w:lineRule="auto"/>
        <w:jc w:val="both"/>
        <w:rPr>
          <w:rFonts w:ascii="Verdana" w:eastAsia="Century Gothic" w:hAnsi="Verdana" w:cs="Century Gothic"/>
          <w:b/>
          <w:color w:val="000000" w:themeColor="text1"/>
        </w:rPr>
      </w:pPr>
      <w:r w:rsidRPr="00B40F72">
        <w:rPr>
          <w:rFonts w:ascii="Verdana" w:eastAsia="Century Gothic" w:hAnsi="Verdana" w:cs="Century Gothic"/>
          <w:b/>
          <w:bCs/>
          <w:color w:val="000000" w:themeColor="text1"/>
        </w:rPr>
        <w:t>Problema planteado:</w:t>
      </w:r>
    </w:p>
    <w:p w14:paraId="696F3CEE" w14:textId="77777777" w:rsidR="00D660B1" w:rsidRPr="00B40F72" w:rsidRDefault="00D660B1" w:rsidP="00D660B1">
      <w:pPr>
        <w:tabs>
          <w:tab w:val="left" w:pos="426"/>
        </w:tabs>
        <w:spacing w:after="0" w:line="276" w:lineRule="auto"/>
        <w:jc w:val="both"/>
        <w:rPr>
          <w:rFonts w:ascii="Verdana" w:eastAsia="Century Gothic" w:hAnsi="Verdana" w:cs="Century Gothic"/>
          <w:color w:val="000000" w:themeColor="text1"/>
          <w:lang w:val="es-ES"/>
        </w:rPr>
      </w:pPr>
    </w:p>
    <w:p w14:paraId="6B816F3E" w14:textId="77777777" w:rsidR="00D660B1" w:rsidRPr="00B40F72" w:rsidRDefault="00D660B1" w:rsidP="00D660B1">
      <w:pPr>
        <w:spacing w:after="140" w:line="276" w:lineRule="auto"/>
        <w:jc w:val="both"/>
        <w:rPr>
          <w:rFonts w:ascii="Verdana" w:eastAsia="Century Gothic" w:hAnsi="Verdana" w:cs="Century Gothic"/>
          <w:color w:val="000000" w:themeColor="text1"/>
          <w:lang w:val="es-ES"/>
        </w:rPr>
      </w:pPr>
      <w:r w:rsidRPr="00B40F72">
        <w:rPr>
          <w:rFonts w:ascii="Verdana" w:eastAsia="Century Gothic" w:hAnsi="Verdana" w:cs="Century Gothic"/>
          <w:color w:val="000000" w:themeColor="text1"/>
          <w:lang w:val="es-ES"/>
        </w:rPr>
        <w:t xml:space="preserve">De acuerdo con el contenido de su solicitud, esta Agencia resolverá los siguientes problemas jurídicos: i) ¿cuál es el alcance jurídico del artículo 3 del Decreto 0997 de 2026?; </w:t>
      </w:r>
      <w:proofErr w:type="spellStart"/>
      <w:r w:rsidRPr="00B40F72">
        <w:rPr>
          <w:rFonts w:ascii="Verdana" w:eastAsia="Century Gothic" w:hAnsi="Verdana" w:cs="Century Gothic"/>
          <w:color w:val="000000" w:themeColor="text1"/>
          <w:lang w:val="es-ES"/>
        </w:rPr>
        <w:t>ii</w:t>
      </w:r>
      <w:proofErr w:type="spellEnd"/>
      <w:r w:rsidRPr="00B40F72">
        <w:rPr>
          <w:rFonts w:ascii="Verdana" w:eastAsia="Century Gothic" w:hAnsi="Verdana" w:cs="Century Gothic"/>
          <w:color w:val="000000" w:themeColor="text1"/>
          <w:lang w:val="es-ES"/>
        </w:rPr>
        <w:t xml:space="preserve">) </w:t>
      </w:r>
      <w:r>
        <w:rPr>
          <w:rFonts w:ascii="Verdana" w:eastAsia="Century Gothic" w:hAnsi="Verdana" w:cs="Century Gothic"/>
          <w:color w:val="000000" w:themeColor="text1"/>
          <w:lang w:val="es-ES"/>
        </w:rPr>
        <w:t>¿</w:t>
      </w:r>
      <w:r w:rsidRPr="00B40F72">
        <w:rPr>
          <w:rFonts w:ascii="Verdana" w:eastAsia="Century Gothic" w:hAnsi="Verdana" w:cs="Century Gothic"/>
          <w:color w:val="000000" w:themeColor="text1"/>
          <w:lang w:val="es-ES"/>
        </w:rPr>
        <w:t xml:space="preserve">en qué consiste la inclusión de criterios sociales en los procesos de contratación estatal en el marco de las Compras Públicas Sostenibles?; y </w:t>
      </w:r>
      <w:proofErr w:type="spellStart"/>
      <w:r w:rsidRPr="00B40F72">
        <w:rPr>
          <w:rFonts w:ascii="Verdana" w:eastAsia="Century Gothic" w:hAnsi="Verdana" w:cs="Century Gothic"/>
          <w:color w:val="000000" w:themeColor="text1"/>
          <w:lang w:val="es-ES"/>
        </w:rPr>
        <w:t>iii</w:t>
      </w:r>
      <w:proofErr w:type="spellEnd"/>
      <w:r w:rsidRPr="00B40F72">
        <w:rPr>
          <w:rFonts w:ascii="Verdana" w:eastAsia="Century Gothic" w:hAnsi="Verdana" w:cs="Century Gothic"/>
          <w:color w:val="000000" w:themeColor="text1"/>
          <w:lang w:val="es-ES"/>
        </w:rPr>
        <w:t>) ¿cuál es el alcance jurídico del artículo 11 del Decreto 0997 de 2026?</w:t>
      </w:r>
    </w:p>
    <w:p w14:paraId="5F95963B" w14:textId="77777777" w:rsidR="00D660B1" w:rsidRPr="00B40F72" w:rsidRDefault="00D660B1" w:rsidP="00D660B1">
      <w:pPr>
        <w:pStyle w:val="Prrafodelista"/>
        <w:numPr>
          <w:ilvl w:val="0"/>
          <w:numId w:val="17"/>
        </w:numPr>
        <w:tabs>
          <w:tab w:val="left" w:pos="142"/>
          <w:tab w:val="left" w:pos="284"/>
        </w:tabs>
        <w:spacing w:after="0" w:line="276" w:lineRule="auto"/>
        <w:ind w:left="709"/>
        <w:jc w:val="both"/>
        <w:rPr>
          <w:rFonts w:ascii="Verdana" w:eastAsia="Century Gothic" w:hAnsi="Verdana" w:cs="Century Gothic"/>
          <w:b/>
          <w:color w:val="000000" w:themeColor="text1"/>
        </w:rPr>
      </w:pPr>
      <w:r w:rsidRPr="00B40F72">
        <w:rPr>
          <w:rFonts w:ascii="Verdana" w:eastAsia="Century Gothic" w:hAnsi="Verdana" w:cs="Century Gothic"/>
          <w:b/>
          <w:bCs/>
          <w:color w:val="000000" w:themeColor="text1"/>
        </w:rPr>
        <w:t>Respuesta:</w:t>
      </w:r>
    </w:p>
    <w:p w14:paraId="08B14741" w14:textId="77777777" w:rsidR="00D660B1" w:rsidRPr="00B40F72" w:rsidRDefault="00D660B1" w:rsidP="00D660B1">
      <w:pPr>
        <w:spacing w:after="0" w:line="276" w:lineRule="auto"/>
        <w:jc w:val="both"/>
        <w:rPr>
          <w:rFonts w:ascii="Verdana" w:eastAsia="Calibri" w:hAnsi="Verdana" w:cs="Arial"/>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660B1" w:rsidRPr="00B40F72" w14:paraId="0E297CC3" w14:textId="77777777" w:rsidTr="000261AE">
        <w:trPr>
          <w:trHeight w:val="300"/>
        </w:trPr>
        <w:tc>
          <w:tcPr>
            <w:tcW w:w="8828" w:type="dxa"/>
          </w:tcPr>
          <w:p w14:paraId="140738B8" w14:textId="77777777" w:rsidR="00D660B1" w:rsidRPr="003C0549" w:rsidRDefault="00D660B1" w:rsidP="000261AE">
            <w:pPr>
              <w:spacing w:before="120" w:after="120" w:line="276" w:lineRule="auto"/>
              <w:jc w:val="both"/>
              <w:rPr>
                <w:rFonts w:ascii="Verdana" w:hAnsi="Verdana" w:cs="Arial"/>
                <w:color w:val="000000" w:themeColor="text1"/>
                <w:lang/>
              </w:rPr>
            </w:pPr>
            <w:r w:rsidRPr="00B40F72">
              <w:rPr>
                <w:rFonts w:ascii="Verdana" w:hAnsi="Verdana" w:cs="Arial"/>
                <w:color w:val="000000" w:themeColor="text1"/>
                <w:lang w:val="es-ES"/>
              </w:rPr>
              <w:t xml:space="preserve">i. </w:t>
            </w:r>
            <w:r w:rsidRPr="003C0549">
              <w:rPr>
                <w:rFonts w:ascii="Verdana" w:hAnsi="Verdana" w:cs="Arial"/>
                <w:color w:val="000000" w:themeColor="text1"/>
                <w:lang/>
              </w:rPr>
              <w:t xml:space="preserve">En ejercicio de la potestad reglamentaria prevista en el inciso segundo del numeral 6.2 del artículo 6 de la Ley 1150 de 2007, el artículo 3 del Decreto 0997 de 2026 modificó el artículo 2.2.1.1.1.5.7 del Decreto 1082 de 2015, con el fin de incorporar de manera expresa el reporte, registro y permanencia de las inhabilidades que se originen como consecuencia de la declaratoria de </w:t>
            </w:r>
            <w:r w:rsidRPr="003C0549">
              <w:rPr>
                <w:rFonts w:ascii="Verdana" w:hAnsi="Verdana" w:cs="Arial"/>
                <w:i/>
                <w:iCs/>
                <w:color w:val="000000" w:themeColor="text1"/>
                <w:lang/>
              </w:rPr>
              <w:t>responsabilidad civil</w:t>
            </w:r>
            <w:r w:rsidRPr="003C0549">
              <w:rPr>
                <w:rFonts w:ascii="Verdana" w:hAnsi="Verdana" w:cs="Arial"/>
                <w:color w:val="000000" w:themeColor="text1"/>
                <w:lang/>
              </w:rPr>
              <w:t xml:space="preserve"> de personas naturales y jurídicas, derivada de acciones u omisiones imputables en el marco de su actividad contractual, conforme a los numerales 3 y 6 del artículo 58 de la Ley 80 de 1993. Con ello se cierra un vacío operativo, pues aunque el ordenamiento preveía dichas inhabilidades, las entidades no contaban con un mecanismo que les permitiera verificar, de manera directa y oportuna, su configuración a través del RUP.</w:t>
            </w:r>
          </w:p>
          <w:p w14:paraId="7417B5D8" w14:textId="77777777" w:rsidR="00D660B1" w:rsidRPr="003C0549" w:rsidRDefault="00D660B1" w:rsidP="000261AE">
            <w:pPr>
              <w:spacing w:before="120" w:after="120" w:line="276" w:lineRule="auto"/>
              <w:ind w:firstLine="744"/>
              <w:jc w:val="both"/>
              <w:rPr>
                <w:rFonts w:ascii="Verdana" w:hAnsi="Verdana" w:cs="Arial"/>
                <w:color w:val="000000" w:themeColor="text1"/>
                <w:lang/>
              </w:rPr>
            </w:pPr>
            <w:r w:rsidRPr="003C0549">
              <w:rPr>
                <w:rFonts w:ascii="Verdana" w:hAnsi="Verdana" w:cs="Arial"/>
                <w:color w:val="000000" w:themeColor="text1"/>
                <w:lang/>
              </w:rPr>
              <w:t xml:space="preserve">El supuesto de hecho de la nueva obligación dispone que la entidad debe remitir a la cámara de comercio la información de las inhabilidades de los numerales 3 y 6 del artículo 58 de la Ley 80 de 1993 únicamente "cuando </w:t>
            </w:r>
            <w:r w:rsidRPr="003C0549">
              <w:rPr>
                <w:rFonts w:ascii="Verdana" w:hAnsi="Verdana" w:cs="Arial"/>
                <w:color w:val="000000" w:themeColor="text1"/>
                <w:lang/>
              </w:rPr>
              <w:lastRenderedPageBreak/>
              <w:t xml:space="preserve">una sentencia ejecutoriada declare la responsabilidad civil de un particular o de una persona jurídica por hechos u omisiones que le sean imputables en relación con la actuación contractual </w:t>
            </w:r>
            <w:r w:rsidRPr="003C0549">
              <w:rPr>
                <w:rFonts w:ascii="Verdana" w:hAnsi="Verdana" w:cs="Arial"/>
                <w:i/>
                <w:iCs/>
                <w:color w:val="000000" w:themeColor="text1"/>
                <w:u w:val="single"/>
                <w:lang/>
              </w:rPr>
              <w:t>con dicha Entidad Estatal</w:t>
            </w:r>
            <w:r w:rsidRPr="003C0549">
              <w:rPr>
                <w:rFonts w:ascii="Verdana" w:hAnsi="Verdana" w:cs="Arial"/>
                <w:color w:val="000000" w:themeColor="text1"/>
                <w:lang/>
              </w:rPr>
              <w:t>"</w:t>
            </w:r>
            <w:r>
              <w:rPr>
                <w:rFonts w:ascii="Verdana" w:hAnsi="Verdana" w:cs="Arial"/>
                <w:color w:val="000000" w:themeColor="text1"/>
              </w:rPr>
              <w:t xml:space="preserve"> [énfasis propio]</w:t>
            </w:r>
            <w:r w:rsidRPr="003C0549">
              <w:rPr>
                <w:rFonts w:ascii="Verdana" w:hAnsi="Verdana" w:cs="Arial"/>
                <w:color w:val="000000" w:themeColor="text1"/>
                <w:lang/>
              </w:rPr>
              <w:t>. De esa redacción se derivan dos consecuencias: por una parte, la orden de reporte se activa solo con una sentencia que declare responsabilidad civil de un particular o persona jurídica; por otra, la responsabilidad civil debe derivarse de la actuación contractual con la propia entidad que reporta. No se trata, entonces, de cualquier acción civil ante la jurisdicción ordinaria a la que la entidad contratante sea ajena, sino de la responsabilidad del contratista por su conducta contractual frente a esa misma entidad. Como los conflictos contractuales del Estado se ventilan ante la jurisdicción de lo contencioso administrativo, por el medio de control de controversias contractuales del artículo 141 del CPACA, proceso en el cual la entidad es parte necesaria, el decreto no obliga a las entidades a rastrear sentencias de procesos en los que no intervienen, sino que vincula la obligación precisamente a aquellos procesos en los que sí son parte.</w:t>
            </w:r>
          </w:p>
          <w:p w14:paraId="4CA818DA" w14:textId="77777777" w:rsidR="00D660B1" w:rsidRDefault="00D660B1" w:rsidP="000261AE">
            <w:pPr>
              <w:spacing w:before="120" w:after="120" w:line="276" w:lineRule="auto"/>
              <w:ind w:firstLine="744"/>
              <w:jc w:val="both"/>
              <w:rPr>
                <w:rFonts w:ascii="Verdana" w:hAnsi="Verdana" w:cs="Arial"/>
                <w:color w:val="000000" w:themeColor="text1"/>
              </w:rPr>
            </w:pPr>
            <w:r w:rsidRPr="003C0549">
              <w:rPr>
                <w:rFonts w:ascii="Verdana" w:hAnsi="Verdana" w:cs="Arial"/>
                <w:color w:val="000000" w:themeColor="text1"/>
                <w:lang/>
              </w:rPr>
              <w:t xml:space="preserve">En consecuencia, bajo el alcance real de la norma, la entidad conoce la sentencia porque es parte del proceso contractual del que emana la declaratoria de responsabilidad; como sujeto procesal, está sujeta a las notificaciones del despacho y tiene acceso al expediente, de modo que puede obtener copia de la sentencia y de la constancia de ejecutoria directamente del expediente y cumplir el deber de reporte ante las cámaras de comercio. </w:t>
            </w:r>
          </w:p>
          <w:p w14:paraId="67CE46EC" w14:textId="77777777" w:rsidR="00D660B1" w:rsidRDefault="00D660B1" w:rsidP="000261AE">
            <w:pPr>
              <w:spacing w:before="120" w:after="120" w:line="276" w:lineRule="auto"/>
              <w:jc w:val="both"/>
              <w:rPr>
                <w:rFonts w:ascii="Verdana" w:hAnsi="Verdana" w:cs="Arial"/>
                <w:color w:val="000000" w:themeColor="text1"/>
              </w:rPr>
            </w:pPr>
            <w:proofErr w:type="spellStart"/>
            <w:r>
              <w:rPr>
                <w:rFonts w:ascii="Verdana" w:hAnsi="Verdana" w:cs="Arial"/>
                <w:color w:val="000000" w:themeColor="text1"/>
              </w:rPr>
              <w:t>ii</w:t>
            </w:r>
            <w:proofErr w:type="spellEnd"/>
            <w:r>
              <w:rPr>
                <w:rFonts w:ascii="Verdana" w:hAnsi="Verdana" w:cs="Arial"/>
                <w:color w:val="000000" w:themeColor="text1"/>
              </w:rPr>
              <w:t>. L</w:t>
            </w:r>
            <w:r w:rsidRPr="003C0549">
              <w:rPr>
                <w:rFonts w:ascii="Verdana" w:hAnsi="Verdana" w:cs="Arial"/>
                <w:color w:val="000000" w:themeColor="text1"/>
              </w:rPr>
              <w:t>as Compras Públicas Sostenibles (CPS) constituyen el enfoque de la contratación estatal que promueve el equilibrio entre tres dimensiones —lo económico, lo social y lo ambiental— e integra estas esferas en la adquisición de bienes, obras y servicios, con el propósito de contribuir a la protección ambiental y al desarrollo social equitativo, especialmente de los sectores más vulnerables</w:t>
            </w:r>
            <w:r>
              <w:rPr>
                <w:rFonts w:ascii="Verdana" w:hAnsi="Verdana" w:cs="Arial"/>
                <w:color w:val="000000" w:themeColor="text1"/>
              </w:rPr>
              <w:t>.</w:t>
            </w:r>
          </w:p>
          <w:p w14:paraId="6F83C2DE" w14:textId="77777777" w:rsidR="00D660B1" w:rsidRDefault="00D660B1" w:rsidP="000261AE">
            <w:pPr>
              <w:spacing w:before="120" w:after="120" w:line="276" w:lineRule="auto"/>
              <w:ind w:firstLine="744"/>
              <w:jc w:val="both"/>
              <w:rPr>
                <w:rFonts w:ascii="Verdana" w:hAnsi="Verdana" w:cs="Arial"/>
                <w:color w:val="000000" w:themeColor="text1"/>
              </w:rPr>
            </w:pPr>
            <w:r w:rsidRPr="003C0549">
              <w:rPr>
                <w:rFonts w:ascii="Verdana" w:hAnsi="Verdana" w:cs="Arial"/>
                <w:color w:val="000000" w:themeColor="text1"/>
              </w:rPr>
              <w:t xml:space="preserve">La materialización de esta perspectiva es transversal a todas las etapas de la gestión contractual. Conforme a la Guía de Contratación Pública Sostenible y Socialmente Responsable, adoptada por </w:t>
            </w:r>
            <w:r>
              <w:rPr>
                <w:rFonts w:ascii="Verdana" w:hAnsi="Verdana" w:cs="Arial"/>
                <w:color w:val="000000" w:themeColor="text1"/>
              </w:rPr>
              <w:t xml:space="preserve">esta Agencia </w:t>
            </w:r>
            <w:r w:rsidRPr="003C0549">
              <w:rPr>
                <w:rFonts w:ascii="Verdana" w:hAnsi="Verdana" w:cs="Arial"/>
                <w:color w:val="000000" w:themeColor="text1"/>
              </w:rPr>
              <w:t xml:space="preserve">y el Ministerio de Ambiente y Desarrollo Sostenible, los </w:t>
            </w:r>
            <w:r w:rsidRPr="003C0549">
              <w:rPr>
                <w:rFonts w:ascii="Verdana" w:hAnsi="Verdana" w:cs="Arial"/>
                <w:i/>
                <w:iCs/>
                <w:color w:val="000000" w:themeColor="text1"/>
              </w:rPr>
              <w:t>criterios sociales</w:t>
            </w:r>
            <w:r w:rsidRPr="003C0549">
              <w:rPr>
                <w:rFonts w:ascii="Verdana" w:hAnsi="Verdana" w:cs="Arial"/>
                <w:color w:val="000000" w:themeColor="text1"/>
              </w:rPr>
              <w:t xml:space="preserve"> y ambientales se integran en la i) planeación estratégica, mediante lineamientos internos de compras sostenibles; </w:t>
            </w:r>
            <w:proofErr w:type="spellStart"/>
            <w:r w:rsidRPr="003C0549">
              <w:rPr>
                <w:rFonts w:ascii="Verdana" w:hAnsi="Verdana" w:cs="Arial"/>
                <w:color w:val="000000" w:themeColor="text1"/>
              </w:rPr>
              <w:t>ii</w:t>
            </w:r>
            <w:proofErr w:type="spellEnd"/>
            <w:r w:rsidRPr="003C0549">
              <w:rPr>
                <w:rFonts w:ascii="Verdana" w:hAnsi="Verdana" w:cs="Arial"/>
                <w:color w:val="000000" w:themeColor="text1"/>
              </w:rPr>
              <w:t xml:space="preserve">) etapa precontractual, en la elaboración de estudios y documentos previos; </w:t>
            </w:r>
            <w:proofErr w:type="spellStart"/>
            <w:r w:rsidRPr="003C0549">
              <w:rPr>
                <w:rFonts w:ascii="Verdana" w:hAnsi="Verdana" w:cs="Arial"/>
                <w:color w:val="000000" w:themeColor="text1"/>
              </w:rPr>
              <w:t>iii</w:t>
            </w:r>
            <w:proofErr w:type="spellEnd"/>
            <w:r w:rsidRPr="003C0549">
              <w:rPr>
                <w:rFonts w:ascii="Verdana" w:hAnsi="Verdana" w:cs="Arial"/>
                <w:color w:val="000000" w:themeColor="text1"/>
              </w:rPr>
              <w:t xml:space="preserve">) etapa contractual, mediante cláusulas; y </w:t>
            </w:r>
            <w:proofErr w:type="spellStart"/>
            <w:r w:rsidRPr="003C0549">
              <w:rPr>
                <w:rFonts w:ascii="Verdana" w:hAnsi="Verdana" w:cs="Arial"/>
                <w:color w:val="000000" w:themeColor="text1"/>
              </w:rPr>
              <w:lastRenderedPageBreak/>
              <w:t>iv</w:t>
            </w:r>
            <w:proofErr w:type="spellEnd"/>
            <w:r w:rsidRPr="003C0549">
              <w:rPr>
                <w:rFonts w:ascii="Verdana" w:hAnsi="Verdana" w:cs="Arial"/>
                <w:color w:val="000000" w:themeColor="text1"/>
              </w:rPr>
              <w:t xml:space="preserve">) etapa </w:t>
            </w:r>
            <w:proofErr w:type="spellStart"/>
            <w:r w:rsidRPr="003C0549">
              <w:rPr>
                <w:rFonts w:ascii="Verdana" w:hAnsi="Verdana" w:cs="Arial"/>
                <w:color w:val="000000" w:themeColor="text1"/>
              </w:rPr>
              <w:t>poscontractual</w:t>
            </w:r>
            <w:proofErr w:type="spellEnd"/>
            <w:r w:rsidRPr="003C0549">
              <w:rPr>
                <w:rFonts w:ascii="Verdana" w:hAnsi="Verdana" w:cs="Arial"/>
                <w:color w:val="000000" w:themeColor="text1"/>
              </w:rPr>
              <w:t xml:space="preserve">, en la verificación del cumplimiento de las obligaciones pactadas. </w:t>
            </w:r>
          </w:p>
          <w:p w14:paraId="2CD7B782" w14:textId="77777777" w:rsidR="00D660B1" w:rsidRDefault="00D660B1" w:rsidP="000261AE">
            <w:pPr>
              <w:spacing w:before="120" w:after="120" w:line="276" w:lineRule="auto"/>
              <w:ind w:firstLine="744"/>
              <w:jc w:val="both"/>
              <w:rPr>
                <w:rFonts w:ascii="Verdana" w:hAnsi="Verdana" w:cs="Arial"/>
                <w:color w:val="000000" w:themeColor="text1"/>
              </w:rPr>
            </w:pPr>
            <w:r>
              <w:rPr>
                <w:rFonts w:ascii="Verdana" w:hAnsi="Verdana" w:cs="Arial"/>
                <w:color w:val="000000" w:themeColor="text1"/>
              </w:rPr>
              <w:t>En este marco, l</w:t>
            </w:r>
            <w:r w:rsidRPr="003C0549">
              <w:rPr>
                <w:rFonts w:ascii="Verdana" w:hAnsi="Verdana" w:cs="Arial"/>
                <w:color w:val="000000" w:themeColor="text1"/>
              </w:rPr>
              <w:t xml:space="preserve">os </w:t>
            </w:r>
            <w:r w:rsidRPr="003C0549">
              <w:rPr>
                <w:rFonts w:ascii="Verdana" w:hAnsi="Verdana" w:cs="Arial"/>
                <w:i/>
                <w:iCs/>
                <w:color w:val="000000" w:themeColor="text1"/>
              </w:rPr>
              <w:t>criterios sociales</w:t>
            </w:r>
            <w:r w:rsidRPr="003C0549">
              <w:rPr>
                <w:rFonts w:ascii="Verdana" w:hAnsi="Verdana" w:cs="Arial"/>
                <w:color w:val="000000" w:themeColor="text1"/>
              </w:rPr>
              <w:t xml:space="preserve"> son aquellos que buscan reducir las desigualdades sociales, incluir a grupos desfavorecidos y promover la transparencia, el respeto a los derechos humanos y la adhesión a normas y buenas prácticas de seguridad social, salud e higiene en el ámbito laboral</w:t>
            </w:r>
            <w:r>
              <w:rPr>
                <w:rFonts w:ascii="Verdana" w:hAnsi="Verdana" w:cs="Arial"/>
                <w:color w:val="000000" w:themeColor="text1"/>
              </w:rPr>
              <w:t>,</w:t>
            </w:r>
            <w:r w:rsidRPr="003C0549">
              <w:rPr>
                <w:rFonts w:ascii="Verdana" w:hAnsi="Verdana" w:cs="Arial"/>
                <w:color w:val="000000" w:themeColor="text1"/>
              </w:rPr>
              <w:t xml:space="preserve"> en </w:t>
            </w:r>
            <w:r>
              <w:rPr>
                <w:rFonts w:ascii="Verdana" w:hAnsi="Verdana" w:cs="Arial"/>
                <w:color w:val="000000" w:themeColor="text1"/>
              </w:rPr>
              <w:t xml:space="preserve">cumplimiento de </w:t>
            </w:r>
            <w:r w:rsidRPr="003C0549">
              <w:rPr>
                <w:rFonts w:ascii="Verdana" w:hAnsi="Verdana" w:cs="Arial"/>
                <w:color w:val="000000" w:themeColor="text1"/>
              </w:rPr>
              <w:t>los presupuestos de vinculación con el objeto del contrato, proporcionalidad y no discriminación. La responsabilidad social, por su parte, implica que entidades y proveedores garanticen, en cada acción de la gestión contractual, el respeto, protección y garantía de los derechos humanos.</w:t>
            </w:r>
          </w:p>
          <w:p w14:paraId="6AA7CF9D" w14:textId="77777777" w:rsidR="00D660B1" w:rsidRDefault="00D660B1" w:rsidP="000261AE">
            <w:pPr>
              <w:spacing w:before="120" w:after="120" w:line="276" w:lineRule="auto"/>
              <w:ind w:firstLine="744"/>
              <w:jc w:val="both"/>
              <w:rPr>
                <w:rFonts w:ascii="Verdana" w:hAnsi="Verdana" w:cs="Arial"/>
                <w:color w:val="000000" w:themeColor="text1"/>
              </w:rPr>
            </w:pPr>
            <w:r w:rsidRPr="003C0549">
              <w:rPr>
                <w:rFonts w:ascii="Verdana" w:hAnsi="Verdana" w:cs="Arial"/>
                <w:color w:val="000000" w:themeColor="text1"/>
              </w:rPr>
              <w:t>El parágrafo del artículo 2.2.1.1.2.2.2 del Decreto 1082 de 2015 enlista de manera enunciativa los criterios sociales que pueden incorporarse como criterios de calidad</w:t>
            </w:r>
            <w:r>
              <w:rPr>
                <w:rFonts w:ascii="Verdana" w:hAnsi="Verdana" w:cs="Arial"/>
                <w:color w:val="000000" w:themeColor="text1"/>
              </w:rPr>
              <w:t xml:space="preserve"> en la evaluación de la oferta más favorable. El listado enunciativo de la norma incluye </w:t>
            </w:r>
            <w:proofErr w:type="spellStart"/>
            <w:r>
              <w:rPr>
                <w:rFonts w:ascii="Verdana" w:hAnsi="Verdana" w:cs="Arial"/>
                <w:color w:val="000000" w:themeColor="text1"/>
              </w:rPr>
              <w:t>aspetos</w:t>
            </w:r>
            <w:proofErr w:type="spellEnd"/>
            <w:r>
              <w:rPr>
                <w:rFonts w:ascii="Verdana" w:hAnsi="Verdana" w:cs="Arial"/>
                <w:color w:val="000000" w:themeColor="text1"/>
              </w:rPr>
              <w:t xml:space="preserve"> como:</w:t>
            </w:r>
            <w:r w:rsidRPr="003C0549">
              <w:rPr>
                <w:rFonts w:ascii="Verdana" w:hAnsi="Verdana" w:cs="Arial"/>
                <w:color w:val="000000" w:themeColor="text1"/>
              </w:rPr>
              <w:t xml:space="preserve"> el fomento de la integración social de personas con discapacidad, la inclusión de personas de grupos vulnerables y la inserción sociolaboral de personas en riesgo de exclusión social; el fomento de la contratación femenina o de población LGTBIQ+; madres cabeza de hogar; personas sin cualificaciones educativas; víctimas del conflicto armado; y el suministro o utilización de productos de comercio justo, en los términos del artículo 4 de la Ley 2046 de 2020. A título de ejemplo, el Anexo I de la Guía contempla criterios como exigir un enfoque social en las compras de insumos, destinar un porcentaje de la ejecución a sujetos de especial protección constitucional, privilegiar circuitos cortos de comercialización que fomenten la economía local, o incorporar como obligación contractual la no discriminación en la selección de personal</w:t>
            </w:r>
            <w:r>
              <w:rPr>
                <w:rFonts w:ascii="Verdana" w:hAnsi="Verdana" w:cs="Arial"/>
                <w:color w:val="000000" w:themeColor="text1"/>
              </w:rPr>
              <w:t>, entre otros</w:t>
            </w:r>
            <w:r w:rsidRPr="003C0549">
              <w:rPr>
                <w:rFonts w:ascii="Verdana" w:hAnsi="Verdana" w:cs="Arial"/>
                <w:color w:val="000000" w:themeColor="text1"/>
              </w:rPr>
              <w:t>.</w:t>
            </w:r>
          </w:p>
          <w:p w14:paraId="42D4AEA0" w14:textId="77777777" w:rsidR="00D660B1" w:rsidRDefault="00D660B1" w:rsidP="000261AE">
            <w:pPr>
              <w:spacing w:before="120" w:after="120" w:line="276" w:lineRule="auto"/>
              <w:ind w:firstLine="744"/>
              <w:jc w:val="both"/>
              <w:rPr>
                <w:rFonts w:ascii="Verdana" w:hAnsi="Verdana" w:cs="Arial"/>
                <w:color w:val="000000" w:themeColor="text1"/>
              </w:rPr>
            </w:pPr>
            <w:r>
              <w:rPr>
                <w:rFonts w:ascii="Verdana" w:hAnsi="Verdana" w:cs="Arial"/>
                <w:color w:val="000000" w:themeColor="text1"/>
              </w:rPr>
              <w:t>E</w:t>
            </w:r>
            <w:r w:rsidRPr="003C0549">
              <w:rPr>
                <w:rFonts w:ascii="Verdana" w:hAnsi="Verdana" w:cs="Arial"/>
                <w:color w:val="000000" w:themeColor="text1"/>
              </w:rPr>
              <w:t xml:space="preserve">l Decreto 0997 de 2026 integra </w:t>
            </w:r>
            <w:r>
              <w:rPr>
                <w:rFonts w:ascii="Verdana" w:hAnsi="Verdana" w:cs="Arial"/>
                <w:color w:val="000000" w:themeColor="text1"/>
              </w:rPr>
              <w:t xml:space="preserve">esta </w:t>
            </w:r>
            <w:r w:rsidRPr="003C0549">
              <w:rPr>
                <w:rFonts w:ascii="Verdana" w:hAnsi="Verdana" w:cs="Arial"/>
                <w:color w:val="000000" w:themeColor="text1"/>
              </w:rPr>
              <w:t xml:space="preserve">perspectiva </w:t>
            </w:r>
            <w:r>
              <w:rPr>
                <w:rFonts w:ascii="Verdana" w:hAnsi="Verdana" w:cs="Arial"/>
                <w:color w:val="000000" w:themeColor="text1"/>
              </w:rPr>
              <w:t>de las Compras Públicas Sostenibles a las distintas etapas del proceso de contratación a través de la adición y modificación de</w:t>
            </w:r>
            <w:r w:rsidRPr="003C0549">
              <w:rPr>
                <w:rFonts w:ascii="Verdana" w:hAnsi="Verdana" w:cs="Arial"/>
                <w:color w:val="000000" w:themeColor="text1"/>
              </w:rPr>
              <w:t>l Decreto 1082 de 2015</w:t>
            </w:r>
            <w:r>
              <w:rPr>
                <w:rFonts w:ascii="Verdana" w:hAnsi="Verdana" w:cs="Arial"/>
                <w:color w:val="000000" w:themeColor="text1"/>
              </w:rPr>
              <w:t>,así: en</w:t>
            </w:r>
            <w:r w:rsidRPr="003C0549">
              <w:rPr>
                <w:rFonts w:ascii="Verdana" w:hAnsi="Verdana" w:cs="Arial"/>
                <w:color w:val="000000" w:themeColor="text1"/>
              </w:rPr>
              <w:t xml:space="preserve"> la planeación estratégica del Plan Anual de Adquisiciones (art. 2.2.1.1.1.4.5), la definición de "Ciclo de Vida" (art. 2.2.1.1.1.3.1), el deber de análisis del sector (art. 2.2.1.1.1.6.1), los requisitos habilitantes (art. 2.2.1.1.1.6.2), los estudios y documentos previos</w:t>
            </w:r>
            <w:r>
              <w:rPr>
                <w:rFonts w:ascii="Verdana" w:hAnsi="Verdana" w:cs="Arial"/>
                <w:color w:val="000000" w:themeColor="text1"/>
              </w:rPr>
              <w:t xml:space="preserve">, incluyendo </w:t>
            </w:r>
            <w:r w:rsidRPr="003C0549">
              <w:rPr>
                <w:rFonts w:ascii="Verdana" w:hAnsi="Verdana" w:cs="Arial"/>
                <w:color w:val="000000" w:themeColor="text1"/>
              </w:rPr>
              <w:t xml:space="preserve">la carga de justificar la decisión de no incluir criterios o cláusulas ambientales o sociales (art. 2.2.1.1.2.1.1), </w:t>
            </w:r>
            <w:r>
              <w:rPr>
                <w:rFonts w:ascii="Verdana" w:hAnsi="Verdana" w:cs="Arial"/>
                <w:color w:val="000000" w:themeColor="text1"/>
              </w:rPr>
              <w:t xml:space="preserve">en </w:t>
            </w:r>
            <w:r w:rsidRPr="003C0549">
              <w:rPr>
                <w:rFonts w:ascii="Verdana" w:hAnsi="Verdana" w:cs="Arial"/>
                <w:color w:val="000000" w:themeColor="text1"/>
              </w:rPr>
              <w:t xml:space="preserve">los pliegos de condiciones (art. 2.2.1.1.2.1.3) y </w:t>
            </w:r>
            <w:r>
              <w:rPr>
                <w:rFonts w:ascii="Verdana" w:hAnsi="Verdana" w:cs="Arial"/>
                <w:color w:val="000000" w:themeColor="text1"/>
              </w:rPr>
              <w:t>en la determinación d</w:t>
            </w:r>
            <w:r w:rsidRPr="003C0549">
              <w:rPr>
                <w:rFonts w:ascii="Verdana" w:hAnsi="Verdana" w:cs="Arial"/>
                <w:color w:val="000000" w:themeColor="text1"/>
              </w:rPr>
              <w:t xml:space="preserve">el ofrecimiento más </w:t>
            </w:r>
            <w:r w:rsidRPr="003C0549">
              <w:rPr>
                <w:rFonts w:ascii="Verdana" w:hAnsi="Verdana" w:cs="Arial"/>
                <w:color w:val="000000" w:themeColor="text1"/>
              </w:rPr>
              <w:lastRenderedPageBreak/>
              <w:t>favorable, cuyos criterios de calidad deberán incluir criterios ambientales y/o sociales relacionados con el objeto (art. 2.2.1.1.2.2.2</w:t>
            </w:r>
            <w:r>
              <w:rPr>
                <w:rFonts w:ascii="Verdana" w:hAnsi="Verdana" w:cs="Arial"/>
                <w:color w:val="000000" w:themeColor="text1"/>
              </w:rPr>
              <w:t>).</w:t>
            </w:r>
          </w:p>
          <w:p w14:paraId="743BFBE0" w14:textId="77777777" w:rsidR="00D660B1" w:rsidRPr="003C0549" w:rsidRDefault="00D660B1" w:rsidP="000261AE">
            <w:pPr>
              <w:spacing w:before="120" w:after="120" w:line="276" w:lineRule="auto"/>
              <w:jc w:val="both"/>
              <w:rPr>
                <w:rFonts w:ascii="Verdana" w:hAnsi="Verdana" w:cs="Arial"/>
                <w:color w:val="000000" w:themeColor="text1"/>
              </w:rPr>
            </w:pPr>
            <w:proofErr w:type="spellStart"/>
            <w:r>
              <w:rPr>
                <w:rFonts w:ascii="Verdana" w:hAnsi="Verdana" w:cs="Arial"/>
                <w:color w:val="000000" w:themeColor="text1"/>
              </w:rPr>
              <w:t>iii</w:t>
            </w:r>
            <w:proofErr w:type="spellEnd"/>
            <w:r>
              <w:rPr>
                <w:rFonts w:ascii="Verdana" w:hAnsi="Verdana" w:cs="Arial"/>
                <w:color w:val="000000" w:themeColor="text1"/>
              </w:rPr>
              <w:t xml:space="preserve">.  </w:t>
            </w:r>
            <w:r w:rsidRPr="003C0549">
              <w:rPr>
                <w:rFonts w:ascii="Verdana" w:hAnsi="Verdana" w:cs="Arial"/>
                <w:color w:val="000000" w:themeColor="text1"/>
              </w:rPr>
              <w:t xml:space="preserve">El artículo 11 del Decreto 0997 de 2026 adicionó el artículo 2.2.1.1.2.2.10 </w:t>
            </w:r>
            <w:r>
              <w:rPr>
                <w:rFonts w:ascii="Verdana" w:hAnsi="Verdana" w:cs="Arial"/>
                <w:color w:val="000000" w:themeColor="text1"/>
              </w:rPr>
              <w:t>al</w:t>
            </w:r>
            <w:r w:rsidRPr="003C0549">
              <w:rPr>
                <w:rFonts w:ascii="Verdana" w:hAnsi="Verdana" w:cs="Arial"/>
                <w:color w:val="000000" w:themeColor="text1"/>
              </w:rPr>
              <w:t xml:space="preserve"> Decreto 1082 de 2015 para incorporar la consulta de listas internacionales como medio de verificación de la capacidad jurídica asociada a la configuración de inhabilidades. La disposición no modifica ni amplía el régimen de inhabilidades establecido en la ley</w:t>
            </w:r>
            <w:r>
              <w:rPr>
                <w:rFonts w:ascii="Verdana" w:hAnsi="Verdana" w:cs="Arial"/>
                <w:color w:val="000000" w:themeColor="text1"/>
              </w:rPr>
              <w:t>, sino que se enfoca en</w:t>
            </w:r>
            <w:r w:rsidRPr="003C0549">
              <w:rPr>
                <w:rFonts w:ascii="Verdana" w:hAnsi="Verdana" w:cs="Arial"/>
                <w:color w:val="000000" w:themeColor="text1"/>
              </w:rPr>
              <w:t xml:space="preserve"> concreta el deber de verificación que ya existe en el ordenamiento</w:t>
            </w:r>
            <w:r>
              <w:rPr>
                <w:rFonts w:ascii="Verdana" w:hAnsi="Verdana" w:cs="Arial"/>
                <w:color w:val="000000" w:themeColor="text1"/>
              </w:rPr>
              <w:t xml:space="preserve"> en cabeza de las entidades contratantes, con respecto a la verificación de la inhabilidad establecida en el </w:t>
            </w:r>
            <w:r w:rsidRPr="003C0549">
              <w:rPr>
                <w:rFonts w:ascii="Verdana" w:hAnsi="Verdana" w:cs="Arial"/>
                <w:color w:val="000000" w:themeColor="text1"/>
              </w:rPr>
              <w:t>literal j) del numeral 1 del artículo 8 de la Ley 80 de 1993</w:t>
            </w:r>
            <w:r>
              <w:rPr>
                <w:rFonts w:ascii="Verdana" w:hAnsi="Verdana" w:cs="Arial"/>
                <w:color w:val="000000" w:themeColor="text1"/>
              </w:rPr>
              <w:t>. De esta forma, señala</w:t>
            </w:r>
            <w:r w:rsidRPr="003C0549">
              <w:rPr>
                <w:rFonts w:ascii="Verdana" w:hAnsi="Verdana" w:cs="Arial"/>
                <w:color w:val="000000" w:themeColor="text1"/>
              </w:rPr>
              <w:t xml:space="preserve"> </w:t>
            </w:r>
            <w:r>
              <w:rPr>
                <w:rFonts w:ascii="Verdana" w:hAnsi="Verdana" w:cs="Arial"/>
                <w:color w:val="000000" w:themeColor="text1"/>
              </w:rPr>
              <w:t>u</w:t>
            </w:r>
            <w:r w:rsidRPr="003C0549">
              <w:rPr>
                <w:rFonts w:ascii="Verdana" w:hAnsi="Verdana" w:cs="Arial"/>
                <w:color w:val="000000" w:themeColor="text1"/>
              </w:rPr>
              <w:t>na herramienta específica</w:t>
            </w:r>
            <w:r>
              <w:rPr>
                <w:rFonts w:ascii="Verdana" w:hAnsi="Verdana" w:cs="Arial"/>
                <w:color w:val="000000" w:themeColor="text1"/>
              </w:rPr>
              <w:t xml:space="preserve"> para lo anterior</w:t>
            </w:r>
            <w:r w:rsidRPr="003C0549">
              <w:rPr>
                <w:rFonts w:ascii="Verdana" w:hAnsi="Verdana" w:cs="Arial"/>
                <w:color w:val="000000" w:themeColor="text1"/>
              </w:rPr>
              <w:t xml:space="preserve">: la consulta de las listas internacionales en el marco de los tratados suscritos y ratificados por Colombia, incluidas las publicadas por los bancos multilaterales de desarrollo. </w:t>
            </w:r>
          </w:p>
          <w:p w14:paraId="3C3AB2B7" w14:textId="77777777" w:rsidR="00D660B1" w:rsidRDefault="00D660B1" w:rsidP="000261AE">
            <w:pPr>
              <w:spacing w:before="120" w:after="120" w:line="276" w:lineRule="auto"/>
              <w:ind w:firstLine="744"/>
              <w:jc w:val="both"/>
              <w:rPr>
                <w:rFonts w:ascii="Verdana" w:hAnsi="Verdana" w:cs="Arial"/>
                <w:color w:val="000000" w:themeColor="text1"/>
              </w:rPr>
            </w:pPr>
            <w:r>
              <w:rPr>
                <w:rFonts w:ascii="Verdana" w:hAnsi="Verdana" w:cs="Arial"/>
                <w:color w:val="000000" w:themeColor="text1"/>
              </w:rPr>
              <w:t>En virtud de lo anterior, l</w:t>
            </w:r>
            <w:r w:rsidRPr="003C0549">
              <w:rPr>
                <w:rFonts w:ascii="Verdana" w:hAnsi="Verdana" w:cs="Arial"/>
                <w:color w:val="000000" w:themeColor="text1"/>
              </w:rPr>
              <w:t>as entidades consultarán las listas internacionales vinculantes, restrictivas, de inhabilitación o sanción de los organismos multilaterales de los cuales Colombia es miembro, en cuanto resulten aplicables para verificar la comisión de prácticas prohibidas reconocidas por los instrumentos internacionales anticorrupción de los que el Estado es parte. Ello incluye las listas del Banco Mundial, el BID, el Banco Asiático de Desarrollo, el Banco Africano de Desarrollo y el BERD, que son registros públicos de personas naturales y jurídicas declaradas inelegibles por prácticas prohibidas</w:t>
            </w:r>
            <w:r>
              <w:rPr>
                <w:rFonts w:ascii="Verdana" w:hAnsi="Verdana" w:cs="Arial"/>
                <w:color w:val="000000" w:themeColor="text1"/>
              </w:rPr>
              <w:t xml:space="preserve">, como el </w:t>
            </w:r>
            <w:r w:rsidRPr="003C0549">
              <w:rPr>
                <w:rFonts w:ascii="Verdana" w:hAnsi="Verdana" w:cs="Arial"/>
                <w:color w:val="000000" w:themeColor="text1"/>
              </w:rPr>
              <w:t xml:space="preserve">cohecho transnacional, corrupción, fraude, colusión y coerción. </w:t>
            </w:r>
          </w:p>
          <w:p w14:paraId="32E6F784" w14:textId="77777777" w:rsidR="00D660B1" w:rsidRDefault="00D660B1" w:rsidP="000261AE">
            <w:pPr>
              <w:spacing w:before="120" w:after="120" w:line="276" w:lineRule="auto"/>
              <w:ind w:firstLine="744"/>
              <w:jc w:val="both"/>
              <w:rPr>
                <w:rFonts w:ascii="Verdana" w:hAnsi="Verdana" w:cs="Arial"/>
                <w:color w:val="000000" w:themeColor="text1"/>
              </w:rPr>
            </w:pPr>
            <w:r w:rsidRPr="003C0549">
              <w:rPr>
                <w:rFonts w:ascii="Verdana" w:hAnsi="Verdana" w:cs="Arial"/>
                <w:color w:val="000000" w:themeColor="text1"/>
              </w:rPr>
              <w:t>Estas consultas son virtuales, gratuitas, en línea y de resultado inmediato, por lo que no requieren petición formal. Además, desde 2010 los principales bancos suscribieron el Acuerdo de Reconocimiento Mutuo de Decisiones de Inhabilitación (</w:t>
            </w:r>
            <w:r w:rsidRPr="003C0549">
              <w:rPr>
                <w:rFonts w:ascii="Verdana" w:hAnsi="Verdana" w:cs="Arial"/>
                <w:i/>
                <w:iCs/>
                <w:color w:val="000000" w:themeColor="text1"/>
              </w:rPr>
              <w:t>Cross-</w:t>
            </w:r>
            <w:proofErr w:type="spellStart"/>
            <w:r w:rsidRPr="003C0549">
              <w:rPr>
                <w:rFonts w:ascii="Verdana" w:hAnsi="Verdana" w:cs="Arial"/>
                <w:i/>
                <w:iCs/>
                <w:color w:val="000000" w:themeColor="text1"/>
              </w:rPr>
              <w:t>Debarment</w:t>
            </w:r>
            <w:proofErr w:type="spellEnd"/>
            <w:r w:rsidRPr="003C0549">
              <w:rPr>
                <w:rFonts w:ascii="Verdana" w:hAnsi="Verdana" w:cs="Arial"/>
                <w:i/>
                <w:iCs/>
                <w:color w:val="000000" w:themeColor="text1"/>
              </w:rPr>
              <w:t xml:space="preserve"> </w:t>
            </w:r>
            <w:proofErr w:type="spellStart"/>
            <w:r w:rsidRPr="003C0549">
              <w:rPr>
                <w:rFonts w:ascii="Verdana" w:hAnsi="Verdana" w:cs="Arial"/>
                <w:i/>
                <w:iCs/>
                <w:color w:val="000000" w:themeColor="text1"/>
              </w:rPr>
              <w:t>Agreement</w:t>
            </w:r>
            <w:proofErr w:type="spellEnd"/>
            <w:r w:rsidRPr="003C0549">
              <w:rPr>
                <w:rFonts w:ascii="Verdana" w:hAnsi="Verdana" w:cs="Arial"/>
                <w:color w:val="000000" w:themeColor="text1"/>
              </w:rPr>
              <w:t>), de modo que la sanción impuesta por uno es aplicada por los demás, lo que constituye un registro consolidado y transfronterizo útil para identificar conductas que configuran la inhabilidad del literal j) del numeral 1 del artículo 8 de la Ley 80 de 1993.</w:t>
            </w:r>
          </w:p>
          <w:p w14:paraId="61B23F0B" w14:textId="77777777" w:rsidR="00D660B1" w:rsidRPr="00B40F72" w:rsidRDefault="00D660B1" w:rsidP="000261AE">
            <w:pPr>
              <w:spacing w:before="120" w:after="120" w:line="276" w:lineRule="auto"/>
              <w:ind w:firstLine="744"/>
              <w:jc w:val="both"/>
              <w:rPr>
                <w:rFonts w:ascii="Verdana" w:eastAsia="Times New Roman" w:hAnsi="Verdana" w:cs="Arial"/>
                <w:color w:val="000000" w:themeColor="text1"/>
                <w:lang w:val="es-ES"/>
              </w:rPr>
            </w:pPr>
            <w:r w:rsidRPr="003C0549">
              <w:rPr>
                <w:rFonts w:ascii="Verdana" w:hAnsi="Verdana" w:cs="Arial"/>
                <w:color w:val="000000" w:themeColor="text1"/>
              </w:rPr>
              <w:t>Ahora bien, atendiendo las barreras idiomáticas, tecnológicas y de acceso que supone la consulta independiente</w:t>
            </w:r>
            <w:r>
              <w:rPr>
                <w:rFonts w:ascii="Verdana" w:hAnsi="Verdana" w:cs="Arial"/>
                <w:color w:val="000000" w:themeColor="text1"/>
              </w:rPr>
              <w:t xml:space="preserve"> de las listas aplicables</w:t>
            </w:r>
            <w:r w:rsidRPr="003C0549">
              <w:rPr>
                <w:rFonts w:ascii="Verdana" w:hAnsi="Verdana" w:cs="Arial"/>
                <w:color w:val="000000" w:themeColor="text1"/>
              </w:rPr>
              <w:t xml:space="preserve">, el Decreto 0997 de 2026 </w:t>
            </w:r>
            <w:r>
              <w:rPr>
                <w:rFonts w:ascii="Verdana" w:hAnsi="Verdana" w:cs="Arial"/>
                <w:color w:val="000000" w:themeColor="text1"/>
              </w:rPr>
              <w:t>estableció</w:t>
            </w:r>
            <w:r w:rsidRPr="003C0549">
              <w:rPr>
                <w:rFonts w:ascii="Verdana" w:hAnsi="Verdana" w:cs="Arial"/>
                <w:color w:val="000000" w:themeColor="text1"/>
              </w:rPr>
              <w:t xml:space="preserve"> en </w:t>
            </w:r>
            <w:r>
              <w:rPr>
                <w:rFonts w:ascii="Verdana" w:hAnsi="Verdana" w:cs="Arial"/>
                <w:color w:val="000000" w:themeColor="text1"/>
              </w:rPr>
              <w:t xml:space="preserve">cabeza de </w:t>
            </w:r>
            <w:r w:rsidRPr="003C0549">
              <w:rPr>
                <w:rFonts w:ascii="Verdana" w:hAnsi="Verdana" w:cs="Arial"/>
                <w:color w:val="000000" w:themeColor="text1"/>
              </w:rPr>
              <w:t xml:space="preserve">la Secretaría de Transparencia de la Presidencia de la República, en coordinación con la Superintendencia de </w:t>
            </w:r>
            <w:r w:rsidRPr="003C0549">
              <w:rPr>
                <w:rFonts w:ascii="Verdana" w:hAnsi="Verdana" w:cs="Arial"/>
                <w:color w:val="000000" w:themeColor="text1"/>
              </w:rPr>
              <w:lastRenderedPageBreak/>
              <w:t>Sociedades y esta Agencia, el deber de desarrollar las acciones para la consulta unificada y accesible, así como de determinar los mecanismos y condiciones de verificación, los estándares para su constancia en los procesos y los lineamientos pertinentes</w:t>
            </w:r>
            <w:r>
              <w:rPr>
                <w:rFonts w:ascii="Verdana" w:hAnsi="Verdana" w:cs="Arial"/>
                <w:color w:val="000000" w:themeColor="text1"/>
              </w:rPr>
              <w:t>.</w:t>
            </w:r>
            <w:r w:rsidRPr="003C0549">
              <w:rPr>
                <w:rFonts w:ascii="Verdana" w:hAnsi="Verdana" w:cs="Arial"/>
                <w:color w:val="000000" w:themeColor="text1"/>
              </w:rPr>
              <w:t xml:space="preserve"> </w:t>
            </w:r>
            <w:r>
              <w:rPr>
                <w:rFonts w:ascii="Verdana" w:hAnsi="Verdana" w:cs="Arial"/>
                <w:color w:val="000000" w:themeColor="text1"/>
              </w:rPr>
              <w:t>P</w:t>
            </w:r>
            <w:r w:rsidRPr="003C0549">
              <w:rPr>
                <w:rFonts w:ascii="Verdana" w:hAnsi="Verdana" w:cs="Arial"/>
                <w:color w:val="000000" w:themeColor="text1"/>
              </w:rPr>
              <w:t>ara lo</w:t>
            </w:r>
            <w:r>
              <w:rPr>
                <w:rFonts w:ascii="Verdana" w:hAnsi="Verdana" w:cs="Arial"/>
                <w:color w:val="000000" w:themeColor="text1"/>
              </w:rPr>
              <w:t xml:space="preserve"> anterior,</w:t>
            </w:r>
            <w:r w:rsidRPr="003C0549">
              <w:rPr>
                <w:rFonts w:ascii="Verdana" w:hAnsi="Verdana" w:cs="Arial"/>
                <w:color w:val="000000" w:themeColor="text1"/>
              </w:rPr>
              <w:t xml:space="preserve"> otorgó un plazo de seis (6) meses contados desde la expedición del decreto</w:t>
            </w:r>
            <w:r>
              <w:rPr>
                <w:rFonts w:ascii="Verdana" w:hAnsi="Verdana" w:cs="Arial"/>
                <w:color w:val="000000" w:themeColor="text1"/>
              </w:rPr>
              <w:t xml:space="preserve">, es decir, desde el </w:t>
            </w:r>
            <w:r w:rsidRPr="003C0549">
              <w:rPr>
                <w:rFonts w:ascii="Verdana" w:hAnsi="Verdana" w:cs="Arial"/>
                <w:color w:val="000000" w:themeColor="text1"/>
              </w:rPr>
              <w:t xml:space="preserve">4 de agosto de 2026. </w:t>
            </w:r>
          </w:p>
        </w:tc>
      </w:tr>
    </w:tbl>
    <w:p w14:paraId="68A410AA" w14:textId="77777777" w:rsidR="00D660B1" w:rsidRPr="00B40F72" w:rsidRDefault="00D660B1" w:rsidP="00D660B1">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79204310" w14:textId="77777777" w:rsidR="00D660B1" w:rsidRPr="00B40F72" w:rsidRDefault="00D660B1" w:rsidP="00D660B1">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B40F72">
        <w:rPr>
          <w:rFonts w:ascii="Verdana" w:eastAsia="Century Gothic" w:hAnsi="Verdana" w:cs="Century Gothic"/>
          <w:b/>
          <w:color w:val="000000" w:themeColor="text1"/>
        </w:rPr>
        <w:t>Razones de la respuesta:</w:t>
      </w:r>
    </w:p>
    <w:p w14:paraId="65B9BFEF" w14:textId="77777777" w:rsidR="00D660B1" w:rsidRPr="00B40F72" w:rsidRDefault="00D660B1" w:rsidP="00D660B1">
      <w:pPr>
        <w:spacing w:after="0" w:line="276" w:lineRule="auto"/>
        <w:jc w:val="both"/>
        <w:rPr>
          <w:rFonts w:ascii="Verdana" w:eastAsia="Calibri" w:hAnsi="Verdana" w:cs="Arial"/>
          <w:color w:val="000000" w:themeColor="text1"/>
          <w:lang w:val="es-ES"/>
        </w:rPr>
      </w:pPr>
    </w:p>
    <w:p w14:paraId="22052F3C" w14:textId="77777777" w:rsidR="00D660B1" w:rsidRPr="004C16F6" w:rsidRDefault="00D660B1" w:rsidP="00D660B1">
      <w:pPr>
        <w:spacing w:after="120" w:line="276" w:lineRule="auto"/>
        <w:jc w:val="both"/>
        <w:rPr>
          <w:rFonts w:ascii="Verdana" w:hAnsi="Verdana" w:cs="Arial"/>
          <w:kern w:val="2"/>
          <w:lang w:val="es-ES"/>
          <w14:ligatures w14:val="standardContextual"/>
        </w:rPr>
      </w:pPr>
      <w:r>
        <w:rPr>
          <w:rFonts w:ascii="Arial" w:hAnsi="Arial" w:cs="Arial"/>
          <w:kern w:val="2"/>
          <w:lang w:val="es-ES" w:eastAsia="es-CO"/>
          <w14:ligatures w14:val="standardContextual"/>
        </w:rPr>
        <w:t xml:space="preserve">i. </w:t>
      </w:r>
      <w:r w:rsidRPr="004C16F6">
        <w:rPr>
          <w:rFonts w:ascii="Verdana" w:hAnsi="Verdana" w:cs="Arial"/>
          <w:kern w:val="2"/>
          <w:lang w:val="es-ES" w:eastAsia="es-CO"/>
          <w14:ligatures w14:val="standardContextual"/>
        </w:rPr>
        <w:t>El artículo 6 de la Ley 1150 de 2007 establece el Registro Único de Proponentes (RUP) como el instrumento a través del cual se consolida la información relevante de las personas naturales y jurídicas que aspiran a celebrar contratos con las entidades estatales. En efecto, de conformidad con esta norma todas las personas naturales o jurídicas, nacionales o extranjeras</w:t>
      </w:r>
      <w:r w:rsidRPr="004C16F6">
        <w:rPr>
          <w:rFonts w:ascii="Verdana" w:hAnsi="Verdana" w:cs="Arial"/>
          <w:kern w:val="2"/>
          <w:lang w:val="es-ES"/>
          <w14:ligatures w14:val="standardContextual"/>
        </w:rPr>
        <w:t>, domiciliadas o con sucursal en Colombia, que aspiren celebrar contratos con las entidades estatales, deberán estar inscritas en el Registro Único de Proponentes (RUP)</w:t>
      </w:r>
      <w:r w:rsidRPr="004C16F6">
        <w:rPr>
          <w:rFonts w:ascii="Verdana" w:eastAsia="Calibri" w:hAnsi="Verdana" w:cs="Arial"/>
          <w:kern w:val="2"/>
          <w:vertAlign w:val="superscript"/>
          <w:lang w:val="es-ES"/>
          <w14:ligatures w14:val="standardContextual"/>
        </w:rPr>
        <w:footnoteReference w:id="2"/>
      </w:r>
      <w:r w:rsidRPr="004C16F6">
        <w:rPr>
          <w:rFonts w:ascii="Verdana" w:hAnsi="Verdana" w:cs="Arial"/>
          <w:kern w:val="2"/>
          <w:lang w:val="es-ES"/>
          <w14:ligatures w14:val="standardContextual"/>
        </w:rPr>
        <w:t>. En dicho registro constará la información relacionada con las personas naturales y jurídicas, que tiene por objeto consolidar los datos relacionados con la capacidad jurídica, técnica, financiera y organizacional de los posibles proponentes, con el fin que participen en los procedimientos de selección realizados por las entidades estatales, facilitando la revisión de los datos contenidos en el registro. Al respecto, el Consejo de Estado definió la naturaleza y finalidad del RUP de la siguiente forma:</w:t>
      </w:r>
    </w:p>
    <w:p w14:paraId="3BF1CA7E" w14:textId="77777777" w:rsidR="00D660B1" w:rsidRPr="004C16F6" w:rsidRDefault="00D660B1" w:rsidP="00D660B1">
      <w:pPr>
        <w:spacing w:after="120"/>
        <w:contextualSpacing/>
        <w:rPr>
          <w:rFonts w:ascii="Verdana" w:hAnsi="Verdana" w:cs="Arial"/>
          <w:kern w:val="2"/>
          <w:lang w:val="es-ES"/>
          <w14:ligatures w14:val="standardContextual"/>
        </w:rPr>
      </w:pPr>
    </w:p>
    <w:p w14:paraId="45F2185E" w14:textId="77777777" w:rsidR="00D660B1" w:rsidRPr="004C16F6" w:rsidRDefault="00D660B1" w:rsidP="00D660B1">
      <w:pPr>
        <w:tabs>
          <w:tab w:val="left" w:pos="8505"/>
        </w:tabs>
        <w:spacing w:after="120" w:line="240" w:lineRule="auto"/>
        <w:ind w:left="709" w:right="709"/>
        <w:contextualSpacing/>
        <w:jc w:val="both"/>
        <w:rPr>
          <w:rFonts w:ascii="Verdana" w:hAnsi="Verdana" w:cs="Arial"/>
          <w:kern w:val="2"/>
          <w:sz w:val="20"/>
          <w:szCs w:val="20"/>
          <w:lang w:val="es-ES"/>
          <w14:ligatures w14:val="standardContextual"/>
        </w:rPr>
      </w:pPr>
      <w:r w:rsidRPr="004C16F6">
        <w:rPr>
          <w:rFonts w:ascii="Verdana" w:hAnsi="Verdana" w:cs="Arial"/>
          <w:kern w:val="2"/>
          <w:sz w:val="20"/>
          <w:szCs w:val="20"/>
          <w:lang w:val="es-ES"/>
          <w14:ligatures w14:val="standardContextual"/>
        </w:rPr>
        <w:t xml:space="preserve">“El Registro de Proponentes es un registro de creación legal en el cual se inscriben las personas naturales o jurídicas que aspiran a celebrar con entidades estatales contratos de obra, consultoría, suministro y compraventa de bienes muebles. Tiene como finalidad suministrar la información necesaria de un contratista inscrito, en lo relacionado con su experiencia, capacidad jurídica, capacidad técnica, capacidad de organización y capacidad financiera. En los términos del artículo 22 de la Ley 80 de 1993, todas las personas naturales o jurídicas que aspiren a celebrar dichos contratos con las entidades </w:t>
      </w:r>
      <w:proofErr w:type="gramStart"/>
      <w:r w:rsidRPr="004C16F6">
        <w:rPr>
          <w:rFonts w:ascii="Verdana" w:hAnsi="Verdana" w:cs="Arial"/>
          <w:kern w:val="2"/>
          <w:sz w:val="20"/>
          <w:szCs w:val="20"/>
          <w:lang w:val="es-ES"/>
          <w14:ligatures w14:val="standardContextual"/>
        </w:rPr>
        <w:t>estatales,</w:t>
      </w:r>
      <w:proofErr w:type="gramEnd"/>
      <w:r w:rsidRPr="004C16F6">
        <w:rPr>
          <w:rFonts w:ascii="Verdana" w:hAnsi="Verdana" w:cs="Arial"/>
          <w:kern w:val="2"/>
          <w:sz w:val="20"/>
          <w:szCs w:val="20"/>
          <w:lang w:val="es-ES"/>
          <w14:ligatures w14:val="standardContextual"/>
        </w:rPr>
        <w:t xml:space="preserve"> deberán inscribirse en el Registro de Proponentes de la Cámara de Comercio de su jurisdicción </w:t>
      </w:r>
      <w:r w:rsidRPr="004C16F6">
        <w:rPr>
          <w:rFonts w:ascii="Verdana" w:hAnsi="Verdana" w:cs="Arial"/>
          <w:kern w:val="2"/>
          <w:sz w:val="20"/>
          <w:szCs w:val="20"/>
          <w:lang w:val="es-ES"/>
          <w14:ligatures w14:val="standardContextual"/>
        </w:rPr>
        <w:lastRenderedPageBreak/>
        <w:t>y deberán estar clasificadas y calificadas según lo dispuesto en esta norma”</w:t>
      </w:r>
      <w:r w:rsidRPr="004C16F6">
        <w:rPr>
          <w:rFonts w:ascii="Verdana" w:hAnsi="Verdana" w:cs="Arial"/>
          <w:kern w:val="2"/>
          <w:sz w:val="20"/>
          <w:szCs w:val="20"/>
          <w:vertAlign w:val="superscript"/>
          <w:lang w:val="es-ES"/>
          <w14:ligatures w14:val="standardContextual"/>
        </w:rPr>
        <w:footnoteReference w:id="3"/>
      </w:r>
      <w:r w:rsidRPr="004C16F6">
        <w:rPr>
          <w:rFonts w:ascii="Verdana" w:hAnsi="Verdana" w:cs="Arial"/>
          <w:kern w:val="2"/>
          <w:sz w:val="20"/>
          <w:szCs w:val="20"/>
          <w:lang w:val="es-ES"/>
          <w14:ligatures w14:val="standardContextual"/>
        </w:rPr>
        <w:t>.</w:t>
      </w:r>
    </w:p>
    <w:p w14:paraId="739DAAC2" w14:textId="77777777" w:rsidR="00D660B1" w:rsidRPr="004C16F6" w:rsidRDefault="00D660B1" w:rsidP="00D660B1">
      <w:pPr>
        <w:tabs>
          <w:tab w:val="left" w:pos="426"/>
        </w:tabs>
        <w:spacing w:after="120" w:line="240" w:lineRule="auto"/>
        <w:ind w:left="709" w:right="709"/>
        <w:jc w:val="both"/>
        <w:rPr>
          <w:rFonts w:ascii="Verdana" w:eastAsia="Verdana" w:hAnsi="Verdana" w:cs="Verdana"/>
          <w:sz w:val="20"/>
          <w:szCs w:val="20"/>
        </w:rPr>
      </w:pPr>
    </w:p>
    <w:p w14:paraId="02ACC1CD" w14:textId="77777777" w:rsidR="00D660B1" w:rsidRPr="004C16F6" w:rsidRDefault="00D660B1" w:rsidP="00D660B1">
      <w:pPr>
        <w:spacing w:after="120" w:line="276" w:lineRule="auto"/>
        <w:ind w:firstLine="709"/>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En este sentido, el RUP cumple una función esencial dentro del sistema de compras públicas, en tanto centraliza y sistematiza la información necesaria para evaluar a los proponentes. Esta finalidad ha sido igualmente reconocida por la Corte Constitucional al señalar que el RUP se trata de un registro de carácter público llevado por las cámaras de comercio al cual están obligatoriamente sujetas todas las personas que aspiren a celebrar contratos con entidades estatales, que fue concebido por el legislador para “(i) unificar la reglamentación y la información de todos los registros de proponentes, (</w:t>
      </w:r>
      <w:proofErr w:type="spellStart"/>
      <w:r w:rsidRPr="004C16F6">
        <w:rPr>
          <w:rFonts w:ascii="Verdana" w:hAnsi="Verdana" w:cs="Arial"/>
          <w:kern w:val="2"/>
          <w:lang w:val="es-ES" w:eastAsia="es-CO"/>
          <w14:ligatures w14:val="standardContextual"/>
        </w:rPr>
        <w:t>ii</w:t>
      </w:r>
      <w:proofErr w:type="spellEnd"/>
      <w:r w:rsidRPr="004C16F6">
        <w:rPr>
          <w:rFonts w:ascii="Verdana" w:hAnsi="Verdana" w:cs="Arial"/>
          <w:kern w:val="2"/>
          <w:lang w:val="es-ES" w:eastAsia="es-CO"/>
          <w14:ligatures w14:val="standardContextual"/>
        </w:rPr>
        <w:t>) simplificar la tarea de los contratistas en sus trámites respecto de la administración, haciendo que con la sola inscripción en la Cámara de Comercio del domicilio del proponente el interesado quede válidamente registrado ante todas las entidades del país, y (</w:t>
      </w:r>
      <w:proofErr w:type="spellStart"/>
      <w:r w:rsidRPr="004C16F6">
        <w:rPr>
          <w:rFonts w:ascii="Verdana" w:hAnsi="Verdana" w:cs="Arial"/>
          <w:kern w:val="2"/>
          <w:lang w:val="es-ES" w:eastAsia="es-CO"/>
          <w14:ligatures w14:val="standardContextual"/>
        </w:rPr>
        <w:t>iii</w:t>
      </w:r>
      <w:proofErr w:type="spellEnd"/>
      <w:r w:rsidRPr="004C16F6">
        <w:rPr>
          <w:rFonts w:ascii="Verdana" w:hAnsi="Verdana" w:cs="Arial"/>
          <w:kern w:val="2"/>
          <w:lang w:val="es-ES" w:eastAsia="es-CO"/>
          <w14:ligatures w14:val="standardContextual"/>
        </w:rPr>
        <w:t>) dar transparencia al proceso de inscripción en el registro</w:t>
      </w:r>
      <w:r w:rsidRPr="004C16F6">
        <w:rPr>
          <w:rFonts w:ascii="Verdana" w:hAnsi="Verdana" w:cs="Arial"/>
          <w:kern w:val="2"/>
          <w:vertAlign w:val="superscript"/>
          <w:lang w:val="es-ES" w:eastAsia="es-CO"/>
          <w14:ligatures w14:val="standardContextual"/>
        </w:rPr>
        <w:footnoteReference w:id="4"/>
      </w:r>
      <w:r w:rsidRPr="004C16F6">
        <w:rPr>
          <w:rFonts w:ascii="Verdana" w:hAnsi="Verdana" w:cs="Arial"/>
          <w:kern w:val="2"/>
          <w:lang w:val="es-ES" w:eastAsia="es-CO"/>
          <w14:ligatures w14:val="standardContextual"/>
        </w:rPr>
        <w:t>”.</w:t>
      </w:r>
    </w:p>
    <w:p w14:paraId="3893898C" w14:textId="77777777" w:rsidR="00D660B1" w:rsidRPr="004C16F6" w:rsidRDefault="00D660B1" w:rsidP="00D660B1">
      <w:pPr>
        <w:spacing w:after="120" w:line="276" w:lineRule="auto"/>
        <w:ind w:firstLine="709"/>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De manera correlativa, el inciso segundo del numeral 6.1 del artículo 6 de la Ley 1150 de 2007 otorga a la información contenida en el RUP, previamente verificada por las cámaras de comercio, el carácter de plena prueba. Asimismo, dispone que la verificación de las condiciones de que trata el numeral 1 del artículo 5 de la Ley 1150 de 2007 se demostrará “exclusivamente con el respectivo certificado del RUP en donde deberán constar dichas condiciones</w:t>
      </w:r>
      <w:r w:rsidRPr="004C16F6">
        <w:rPr>
          <w:rFonts w:ascii="Verdana" w:hAnsi="Verdana" w:cs="Arial"/>
          <w:kern w:val="2"/>
          <w:vertAlign w:val="superscript"/>
          <w:lang w:val="es-ES" w:eastAsia="es-CO"/>
          <w14:ligatures w14:val="standardContextual"/>
        </w:rPr>
        <w:footnoteReference w:id="5"/>
      </w:r>
      <w:r w:rsidRPr="004C16F6">
        <w:rPr>
          <w:rFonts w:ascii="Verdana" w:hAnsi="Verdana" w:cs="Arial"/>
          <w:kern w:val="2"/>
          <w:lang w:val="es-ES" w:eastAsia="es-CO"/>
          <w14:ligatures w14:val="standardContextual"/>
        </w:rPr>
        <w:t xml:space="preserve">”. Así, el legislador configuró el RUP como el mecanismo principal, y en ciertos aspectos exclusivo, para la acreditación de los requisitos habilitantes en la contratación estatal. </w:t>
      </w:r>
    </w:p>
    <w:p w14:paraId="0F10A2EC" w14:textId="77777777" w:rsidR="00D660B1" w:rsidRPr="004C16F6" w:rsidRDefault="00D660B1" w:rsidP="00D660B1">
      <w:pPr>
        <w:spacing w:after="120" w:line="276" w:lineRule="auto"/>
        <w:ind w:firstLine="709"/>
        <w:jc w:val="both"/>
        <w:rPr>
          <w:rFonts w:ascii="Verdana" w:hAnsi="Verdana" w:cs="Arial"/>
          <w:kern w:val="2"/>
          <w:lang w:val="es-ES" w:eastAsia="es-CO"/>
          <w14:ligatures w14:val="standardContextual"/>
        </w:rPr>
      </w:pPr>
      <w:r w:rsidRPr="004C16F6">
        <w:rPr>
          <w:rFonts w:ascii="Verdana" w:eastAsiaTheme="minorEastAsia" w:hAnsi="Verdana" w:cs="Arial"/>
          <w:kern w:val="2"/>
          <w:lang w:val="es-ES"/>
          <w14:ligatures w14:val="standardContextual"/>
        </w:rPr>
        <w:lastRenderedPageBreak/>
        <w:t xml:space="preserve">En tal sentido, </w:t>
      </w:r>
      <w:r w:rsidRPr="004C16F6">
        <w:rPr>
          <w:rFonts w:ascii="Verdana" w:hAnsi="Verdana" w:cs="Arial"/>
          <w:kern w:val="2"/>
          <w:lang w:val="es-ES" w:eastAsia="es-CO"/>
          <w14:ligatures w14:val="standardContextual"/>
        </w:rPr>
        <w:t>para acreditar el cumplimiento de los requisitos habilitantes, las entidades estatales sometidas al EGCAP, en virtud de lo establecido en el artículo 5 y 6 de la Ley 1150 de 2007, están obligadas a efectuar la evaluación correspondiente teniendo en cuenta la información que reposa en el RUP. Al respecto, debe tenerse en cuenta que el artículo 5 de la Ley 1150 de 2007 establece que en los procesos de selección deben verificarse como requisitos habilitantes la capacidad jurídica, así como las condiciones de experiencia, capacidad financiera y de organización de los proponentes</w:t>
      </w:r>
      <w:r w:rsidRPr="004C16F6">
        <w:rPr>
          <w:rFonts w:ascii="Verdana" w:hAnsi="Verdana" w:cs="Arial"/>
          <w:kern w:val="2"/>
          <w:vertAlign w:val="superscript"/>
          <w:lang w:val="es-ES" w:eastAsia="es-CO"/>
          <w14:ligatures w14:val="standardContextual"/>
        </w:rPr>
        <w:footnoteReference w:id="6"/>
      </w:r>
      <w:r w:rsidRPr="004C16F6">
        <w:rPr>
          <w:rFonts w:ascii="Verdana" w:hAnsi="Verdana" w:cs="Arial"/>
          <w:kern w:val="2"/>
          <w:lang w:val="es-ES" w:eastAsia="es-CO"/>
          <w14:ligatures w14:val="standardContextual"/>
        </w:rPr>
        <w:t>. Estos requisitos tienen como finalidad medir la aptitud del proponente para la participación en los procesos de contratación y su propósito es establecer unas condiciones mínimas para los oferentes de tal manera que la entidad estatal solo evalúe las ofertas de aquellos que están en condiciones de cumplir con el objeto del proceso de contratación</w:t>
      </w:r>
      <w:r w:rsidRPr="004C16F6">
        <w:rPr>
          <w:rFonts w:ascii="Verdana" w:hAnsi="Verdana" w:cs="Arial"/>
          <w:kern w:val="2"/>
          <w:vertAlign w:val="superscript"/>
          <w:lang w:val="es-ES" w:eastAsia="es-CO"/>
          <w14:ligatures w14:val="standardContextual"/>
        </w:rPr>
        <w:footnoteReference w:id="7"/>
      </w:r>
      <w:r w:rsidRPr="004C16F6">
        <w:rPr>
          <w:rFonts w:ascii="Verdana" w:hAnsi="Verdana" w:cs="Arial"/>
          <w:kern w:val="2"/>
          <w:lang w:val="es-ES" w:eastAsia="es-CO"/>
          <w14:ligatures w14:val="standardContextual"/>
        </w:rPr>
        <w:t>.</w:t>
      </w:r>
    </w:p>
    <w:p w14:paraId="0C46E0CC" w14:textId="77777777" w:rsidR="00D660B1" w:rsidRPr="004C16F6" w:rsidRDefault="00D660B1" w:rsidP="00D660B1">
      <w:pPr>
        <w:spacing w:after="120" w:line="276" w:lineRule="auto"/>
        <w:ind w:firstLine="709"/>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Dentro de estos requisitos, la capacidad jurídica constituye un presupuesto esencial para la validez del contrato estatal. Esta se entiende como la aptitud de una persona natural o jurídica para ser titular de derechos y obligaciones, y para obligarse válidamente frente al Estado. En materia contractual, implica no solo la facultad de celebrar contratos, sino también la ausencia de inhabilidades, incompatibilidades o prohibiciones que impidan dicha celebración. De esta manera, el artículo 6 de la Ley 80 de 1993 dispone que pueden celebrar contratos con las entidades estatales las personas legalmente capaces conforme a las disposiciones vigentes, así como los proponentes plurales. Asimismo, reconoce la capacidad de los Cabildos Indígenas, Consejos Indígenas, las Asociaciones de Cabildos y Autoridades Tradicionales Indígenas y </w:t>
      </w:r>
      <w:r w:rsidRPr="004C16F6">
        <w:rPr>
          <w:rFonts w:ascii="Verdana" w:hAnsi="Verdana" w:cs="Arial"/>
          <w:kern w:val="2"/>
          <w:lang w:val="es-ES" w:eastAsia="es-CO"/>
          <w14:ligatures w14:val="standardContextual"/>
        </w:rPr>
        <w:lastRenderedPageBreak/>
        <w:t>los consejos comunitarios de las comunidades negras regulados por la Ley 70 de 1993</w:t>
      </w:r>
      <w:r w:rsidRPr="004C16F6">
        <w:rPr>
          <w:rFonts w:ascii="Verdana" w:hAnsi="Verdana" w:cs="Arial"/>
          <w:kern w:val="2"/>
          <w:vertAlign w:val="superscript"/>
          <w:lang w:val="es-ES" w:eastAsia="es-CO"/>
          <w14:ligatures w14:val="standardContextual"/>
        </w:rPr>
        <w:footnoteReference w:id="8"/>
      </w:r>
      <w:r w:rsidRPr="004C16F6">
        <w:rPr>
          <w:rFonts w:ascii="Verdana" w:hAnsi="Verdana" w:cs="Arial"/>
          <w:kern w:val="2"/>
          <w:lang w:val="es-ES" w:eastAsia="es-CO"/>
          <w14:ligatures w14:val="standardContextual"/>
        </w:rPr>
        <w:t>.</w:t>
      </w:r>
    </w:p>
    <w:p w14:paraId="162ABA45" w14:textId="77777777" w:rsidR="00D660B1" w:rsidRPr="004C16F6" w:rsidRDefault="00D660B1" w:rsidP="00D660B1">
      <w:pPr>
        <w:spacing w:after="120" w:line="276" w:lineRule="auto"/>
        <w:ind w:firstLine="709"/>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En este contexto, de manera general, las personas naturales tienen capacidad jurídica para contratar cuando son mayores de edad y no se encuentran sujetas a limitaciones legales o judiciales, mientras que, en el caso de las personas jurídicas, esta capacidad se relaciona con su objeto social, las facultades de su representante legal y la ausencia de restricciones legales para contratar. De esta forma, para efectos de esta capacidad, cobra especial relevancia el régimen de inhabilidades e incompatibilidades, en tanto constituye un límite específico a la capacidad jurídica en materia de contratación estatal. Estas figuras corresponden a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w:t>
      </w:r>
    </w:p>
    <w:p w14:paraId="00389979" w14:textId="77777777" w:rsidR="00D660B1" w:rsidRPr="004C16F6" w:rsidRDefault="00D660B1" w:rsidP="00D660B1">
      <w:pPr>
        <w:spacing w:after="120" w:line="276" w:lineRule="auto"/>
        <w:ind w:firstLine="709"/>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Al respecto, la Corte Constitucional ha señalado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4C16F6">
        <w:rPr>
          <w:rFonts w:ascii="Verdana" w:hAnsi="Verdana" w:cs="Arial"/>
          <w:kern w:val="2"/>
          <w:vertAlign w:val="superscript"/>
          <w:lang w:val="es-ES" w:eastAsia="es-CO"/>
          <w14:ligatures w14:val="standardContextual"/>
        </w:rPr>
        <w:footnoteReference w:id="9"/>
      </w:r>
      <w:r w:rsidRPr="004C16F6">
        <w:rPr>
          <w:rFonts w:ascii="Verdana" w:hAnsi="Verdana" w:cs="Arial"/>
          <w:kern w:val="2"/>
          <w:lang w:val="es-ES" w:eastAsia="es-CO"/>
          <w14:ligatures w14:val="standardContextual"/>
        </w:rPr>
        <w:t xml:space="preserve">. Así, las inhabilidades e incompatibilidades delimitan el ejercicio válido de la autonomía de la voluntad frente al Estado, en función de la protección de principios como la transparencia, la moralidad administrativa y la selección objetiva, por lo que la verificación de su inexistencia constituye una condición esencial para la participación en procesos de contratación y la celebración de contratos estatales. </w:t>
      </w:r>
    </w:p>
    <w:p w14:paraId="16647779" w14:textId="77777777" w:rsidR="00D660B1" w:rsidRPr="004C16F6" w:rsidRDefault="00D660B1" w:rsidP="00D660B1">
      <w:pPr>
        <w:spacing w:after="120" w:line="276" w:lineRule="auto"/>
        <w:ind w:firstLine="709"/>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En consecuencia, las </w:t>
      </w:r>
      <w:r>
        <w:rPr>
          <w:rFonts w:ascii="Verdana" w:hAnsi="Verdana" w:cs="Arial"/>
          <w:kern w:val="2"/>
          <w:lang w:val="es-ES" w:eastAsia="es-CO"/>
          <w14:ligatures w14:val="standardContextual"/>
        </w:rPr>
        <w:t>E</w:t>
      </w:r>
      <w:r w:rsidRPr="004C16F6">
        <w:rPr>
          <w:rFonts w:ascii="Verdana" w:hAnsi="Verdana" w:cs="Arial"/>
          <w:kern w:val="2"/>
          <w:lang w:val="es-ES" w:eastAsia="es-CO"/>
          <w14:ligatures w14:val="standardContextual"/>
        </w:rPr>
        <w:t xml:space="preserve">ntidades </w:t>
      </w:r>
      <w:r>
        <w:rPr>
          <w:rFonts w:ascii="Verdana" w:hAnsi="Verdana" w:cs="Arial"/>
          <w:kern w:val="2"/>
          <w:lang w:val="es-ES" w:eastAsia="es-CO"/>
          <w14:ligatures w14:val="standardContextual"/>
        </w:rPr>
        <w:t>E</w:t>
      </w:r>
      <w:r w:rsidRPr="004C16F6">
        <w:rPr>
          <w:rFonts w:ascii="Verdana" w:hAnsi="Verdana" w:cs="Arial"/>
          <w:kern w:val="2"/>
          <w:lang w:val="es-ES" w:eastAsia="es-CO"/>
          <w14:ligatures w14:val="standardContextual"/>
        </w:rPr>
        <w:t xml:space="preserve">statales tienen la obligación de verificar, de manera previa a la adjudicación y celebración del contrato, que los proponentes no se encuentren incursos en causales de inhabilidad o incompatibilidad. Esta verificación no solo responde a un mandato legal, sino que constituye un mecanismo fundamental para prevenir riesgos jurídicos y proteger el interés general. Por tanto, el RUP se erige como la herramienta principal para realizar dicha verificación, en la medida en que concentra la </w:t>
      </w:r>
      <w:r w:rsidRPr="004C16F6">
        <w:rPr>
          <w:rFonts w:ascii="Verdana" w:hAnsi="Verdana" w:cs="Arial"/>
          <w:kern w:val="2"/>
          <w:lang w:val="es-ES" w:eastAsia="es-CO"/>
          <w14:ligatures w14:val="standardContextual"/>
        </w:rPr>
        <w:lastRenderedPageBreak/>
        <w:t xml:space="preserve">información relativa a los requisitos habilitantes y, por mandato legal, constituye plena prueba de </w:t>
      </w:r>
      <w:proofErr w:type="gramStart"/>
      <w:r w:rsidRPr="004C16F6">
        <w:rPr>
          <w:rFonts w:ascii="Verdana" w:hAnsi="Verdana" w:cs="Arial"/>
          <w:kern w:val="2"/>
          <w:lang w:val="es-ES" w:eastAsia="es-CO"/>
          <w14:ligatures w14:val="standardContextual"/>
        </w:rPr>
        <w:t>los mismos</w:t>
      </w:r>
      <w:proofErr w:type="gramEnd"/>
      <w:r w:rsidRPr="004C16F6">
        <w:rPr>
          <w:rFonts w:ascii="Verdana" w:hAnsi="Verdana" w:cs="Arial"/>
          <w:kern w:val="2"/>
          <w:lang w:val="es-ES" w:eastAsia="es-CO"/>
          <w14:ligatures w14:val="standardContextual"/>
        </w:rPr>
        <w:t>.</w:t>
      </w:r>
    </w:p>
    <w:p w14:paraId="27481F7F" w14:textId="77777777" w:rsidR="00D660B1" w:rsidRPr="004C16F6" w:rsidRDefault="00D660B1" w:rsidP="00D660B1">
      <w:pPr>
        <w:spacing w:after="120" w:line="276" w:lineRule="auto"/>
        <w:ind w:firstLine="709"/>
        <w:jc w:val="both"/>
        <w:rPr>
          <w:rFonts w:ascii="Verdana" w:eastAsia="Times New Roman"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Ahora bien, el numeral 6.2 del artículo 6 de la Ley 1150 de 2007 complementa este sistema al establecer la obligación de las entidades estatales de reportar a las cámaras de comercio la información relacionada con los contratos, su cuantía, cumplimiento, así como las </w:t>
      </w:r>
      <w:r w:rsidRPr="004C16F6">
        <w:rPr>
          <w:rFonts w:ascii="Verdana" w:hAnsi="Verdana" w:cs="Arial"/>
          <w:i/>
          <w:iCs/>
          <w:kern w:val="2"/>
          <w:lang w:val="es-ES" w:eastAsia="es-CO"/>
          <w14:ligatures w14:val="standardContextual"/>
        </w:rPr>
        <w:t xml:space="preserve">multas y sanciones impuestas en desarrollo de </w:t>
      </w:r>
      <w:proofErr w:type="gramStart"/>
      <w:r w:rsidRPr="004C16F6">
        <w:rPr>
          <w:rFonts w:ascii="Verdana" w:hAnsi="Verdana" w:cs="Arial"/>
          <w:i/>
          <w:iCs/>
          <w:kern w:val="2"/>
          <w:lang w:val="es-ES" w:eastAsia="es-CO"/>
          <w14:ligatures w14:val="standardContextual"/>
        </w:rPr>
        <w:t>los mismos</w:t>
      </w:r>
      <w:proofErr w:type="gramEnd"/>
      <w:r w:rsidRPr="004C16F6">
        <w:rPr>
          <w:rFonts w:ascii="Verdana" w:eastAsia="Calibri" w:hAnsi="Verdana" w:cs="Arial"/>
          <w:kern w:val="2"/>
          <w:vertAlign w:val="superscript"/>
          <w:lang w:val="es-ES"/>
          <w14:ligatures w14:val="standardContextual"/>
        </w:rPr>
        <w:footnoteReference w:id="10"/>
      </w:r>
      <w:r w:rsidRPr="004C16F6">
        <w:rPr>
          <w:rFonts w:ascii="Verdana" w:hAnsi="Verdana" w:cs="Arial"/>
          <w:kern w:val="2"/>
          <w:lang w:val="es-ES" w:eastAsia="es-CO"/>
          <w14:ligatures w14:val="standardContextual"/>
        </w:rPr>
        <w:t xml:space="preserve">. </w:t>
      </w:r>
      <w:r w:rsidRPr="004C16F6">
        <w:rPr>
          <w:rFonts w:ascii="Verdana" w:eastAsia="Calibri" w:hAnsi="Verdana" w:cs="Arial"/>
          <w:kern w:val="2"/>
          <w:lang w:val="es-ES"/>
          <w14:ligatures w14:val="standardContextual"/>
        </w:rPr>
        <w:t>Esta norma pretende poner en conocimiento de todos los participantes del sistema de compras públicas la información de sanciones y multas impuestas a los inscritos en el RUP, como una forma de ejercer control a la ejecución de los contratos suscritos por las entidades estatales. Dicha obligación también es congruente con el artículo 31 de la Ley 80 de 1993, modificado por el artículo 218 del Decreto 19 de 2012, que estableció los deberes de publicar en el SECOP y de comunicar a las Cámaras de Comercio, la parte resolutiva, de los actos que impongan multas y sanciones, entre otras decisiones</w:t>
      </w:r>
      <w:r w:rsidRPr="004C16F6">
        <w:rPr>
          <w:rFonts w:ascii="Verdana" w:eastAsia="Calibri" w:hAnsi="Verdana" w:cs="Arial"/>
          <w:kern w:val="2"/>
          <w:vertAlign w:val="superscript"/>
          <w:lang w:val="es-ES"/>
          <w14:ligatures w14:val="standardContextual"/>
        </w:rPr>
        <w:footnoteReference w:id="11"/>
      </w:r>
      <w:r w:rsidRPr="004C16F6">
        <w:rPr>
          <w:rFonts w:ascii="Verdana" w:eastAsia="Calibri" w:hAnsi="Verdana" w:cs="Arial"/>
          <w:kern w:val="2"/>
          <w:lang w:val="es-ES"/>
          <w14:ligatures w14:val="standardContextual"/>
        </w:rPr>
        <w:t xml:space="preserve">. </w:t>
      </w:r>
    </w:p>
    <w:p w14:paraId="14ED185F" w14:textId="77777777" w:rsidR="00D660B1" w:rsidRDefault="00D660B1" w:rsidP="00D660B1">
      <w:pPr>
        <w:spacing w:after="120" w:line="276" w:lineRule="auto"/>
        <w:ind w:firstLine="709"/>
        <w:jc w:val="both"/>
        <w:rPr>
          <w:rFonts w:ascii="Verdana" w:eastAsia="Calibri" w:hAnsi="Verdana" w:cs="Arial"/>
          <w:kern w:val="2"/>
          <w:lang w:val="es-ES"/>
          <w14:ligatures w14:val="standardContextual"/>
        </w:rPr>
      </w:pPr>
      <w:r w:rsidRPr="004C16F6">
        <w:rPr>
          <w:rFonts w:ascii="Verdana" w:eastAsia="Calibri" w:hAnsi="Verdana" w:cs="Arial"/>
          <w:kern w:val="2"/>
          <w:lang w:val="es-ES"/>
          <w14:ligatures w14:val="standardContextual"/>
        </w:rPr>
        <w:t>En la Ley 80 de 1993 se observa la voluntad del legislador de divulgar el comportamiento contractual de los participantes en el sistema de compras públicas. En este contexto, el artículo 6.2 de la Ley 1150 de 2007 constituye un desarrollo material de los principios aplicables a las actuaciones contractuales en los términos del artículo 23 del EGCAP</w:t>
      </w:r>
      <w:r w:rsidRPr="004C16F6">
        <w:rPr>
          <w:rFonts w:ascii="Verdana" w:eastAsia="Calibri" w:hAnsi="Verdana" w:cs="Arial"/>
          <w:kern w:val="2"/>
          <w:vertAlign w:val="superscript"/>
          <w:lang w:val="es-ES"/>
          <w14:ligatures w14:val="standardContextual"/>
        </w:rPr>
        <w:footnoteReference w:id="12"/>
      </w:r>
      <w:r w:rsidRPr="004C16F6">
        <w:rPr>
          <w:rFonts w:ascii="Verdana" w:eastAsia="Calibri" w:hAnsi="Verdana" w:cs="Arial"/>
          <w:kern w:val="2"/>
          <w:lang w:val="es-ES"/>
          <w14:ligatures w14:val="standardContextual"/>
        </w:rPr>
        <w:t xml:space="preserve">. Entre otros, la Ley 80 de 1993 concreta el principio de transparencia de la actividad contractual, objeto de regulación expresa en el artículo 24 </w:t>
      </w:r>
      <w:r w:rsidRPr="004C16F6">
        <w:rPr>
          <w:rFonts w:ascii="Verdana" w:eastAsia="Calibri" w:hAnsi="Verdana" w:cs="Arial"/>
          <w:i/>
          <w:kern w:val="2"/>
          <w:lang w:val="es-ES"/>
          <w14:ligatures w14:val="standardContextual"/>
        </w:rPr>
        <w:t>ibidem</w:t>
      </w:r>
      <w:r w:rsidRPr="004C16F6">
        <w:rPr>
          <w:rFonts w:ascii="Verdana" w:eastAsia="Calibri" w:hAnsi="Verdana" w:cs="Arial"/>
          <w:kern w:val="2"/>
          <w:lang w:val="es-ES"/>
          <w14:ligatures w14:val="standardContextual"/>
        </w:rPr>
        <w:t xml:space="preserve">, que guarda estrecha relación con el de publicidad, el cual rige el ejercicio de la función administrativa, según el </w:t>
      </w:r>
      <w:r w:rsidRPr="004C16F6">
        <w:rPr>
          <w:rFonts w:ascii="Verdana" w:eastAsia="Calibri" w:hAnsi="Verdana" w:cs="Arial"/>
          <w:kern w:val="2"/>
          <w:lang w:val="es-ES"/>
          <w14:ligatures w14:val="standardContextual"/>
        </w:rPr>
        <w:lastRenderedPageBreak/>
        <w:t>artículo 209 de la Constitución Política. Ambos principios buscan garantizar el acceso a la información relevante del proceso contractual, así como la posibilidad de ejercer control sobre las actuaciones de la administración y de los particulares que intervienen en ella.</w:t>
      </w:r>
    </w:p>
    <w:p w14:paraId="66CCBA45" w14:textId="77777777" w:rsidR="00D660B1" w:rsidRDefault="00D660B1" w:rsidP="00D660B1">
      <w:pPr>
        <w:spacing w:after="120" w:line="276" w:lineRule="auto"/>
        <w:ind w:firstLine="709"/>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En desarrollo de lo anterior, el artículo 2.2.1.1.1.5.7 del Decreto 1082 de 2015 reglamenta esta obligación, precisando que las entidades deben reportar la información relativa a multas, sanciones </w:t>
      </w:r>
      <w:r w:rsidRPr="004C16F6">
        <w:rPr>
          <w:rFonts w:ascii="Verdana" w:hAnsi="Verdana" w:cs="Arial"/>
          <w:i/>
          <w:iCs/>
          <w:kern w:val="2"/>
          <w:lang w:val="es-ES" w:eastAsia="es-CO"/>
          <w14:ligatures w14:val="standardContextual"/>
        </w:rPr>
        <w:t>e inhabilidades</w:t>
      </w:r>
      <w:r w:rsidRPr="004C16F6">
        <w:rPr>
          <w:rFonts w:ascii="Verdana" w:hAnsi="Verdana" w:cs="Arial"/>
          <w:kern w:val="2"/>
          <w:lang w:val="es-ES" w:eastAsia="es-CO"/>
          <w14:ligatures w14:val="standardContextual"/>
        </w:rPr>
        <w:t>, la cual debe permanecer registrada en el RUP durante el término de su vigencia</w:t>
      </w:r>
      <w:r w:rsidRPr="004C16F6">
        <w:rPr>
          <w:rFonts w:ascii="Verdana" w:eastAsia="Calibri" w:hAnsi="Verdana" w:cs="Arial"/>
          <w:kern w:val="2"/>
          <w:vertAlign w:val="superscript"/>
          <w:lang w:val="es-ES"/>
          <w14:ligatures w14:val="standardContextual"/>
        </w:rPr>
        <w:footnoteReference w:id="13"/>
      </w:r>
      <w:r w:rsidRPr="004C16F6">
        <w:rPr>
          <w:rFonts w:ascii="Verdana" w:hAnsi="Verdana" w:cs="Arial"/>
          <w:kern w:val="2"/>
          <w:lang w:val="es-ES" w:eastAsia="es-CO"/>
          <w14:ligatures w14:val="standardContextual"/>
        </w:rPr>
        <w:t xml:space="preserve">. De esta manera, se asegura la disponibilidad y consulta de información relevante sobre el comportamiento contractual de los proponentes. Así, el deber de reporte de las </w:t>
      </w:r>
      <w:r>
        <w:rPr>
          <w:rFonts w:ascii="Verdana" w:hAnsi="Verdana" w:cs="Arial"/>
          <w:kern w:val="2"/>
          <w:lang w:val="es-ES" w:eastAsia="es-CO"/>
          <w14:ligatures w14:val="standardContextual"/>
        </w:rPr>
        <w:t>E</w:t>
      </w:r>
      <w:r w:rsidRPr="004C16F6">
        <w:rPr>
          <w:rFonts w:ascii="Verdana" w:hAnsi="Verdana" w:cs="Arial"/>
          <w:kern w:val="2"/>
          <w:lang w:val="es-ES" w:eastAsia="es-CO"/>
          <w14:ligatures w14:val="standardContextual"/>
        </w:rPr>
        <w:t xml:space="preserve">ntidades </w:t>
      </w:r>
      <w:r>
        <w:rPr>
          <w:rFonts w:ascii="Verdana" w:hAnsi="Verdana" w:cs="Arial"/>
          <w:kern w:val="2"/>
          <w:lang w:val="es-ES" w:eastAsia="es-CO"/>
          <w14:ligatures w14:val="standardContextual"/>
        </w:rPr>
        <w:t>E</w:t>
      </w:r>
      <w:r w:rsidRPr="004C16F6">
        <w:rPr>
          <w:rFonts w:ascii="Verdana" w:hAnsi="Verdana" w:cs="Arial"/>
          <w:kern w:val="2"/>
          <w:lang w:val="es-ES" w:eastAsia="es-CO"/>
          <w14:ligatures w14:val="standardContextual"/>
        </w:rPr>
        <w:t xml:space="preserve">statales se complementa con la función registral de las cámaras de comercio, que consiste en incorporar y mantener actualizada dicha información en el RUP, garantizando su publicidad y trazabilidad. </w:t>
      </w:r>
    </w:p>
    <w:p w14:paraId="5712C707" w14:textId="77777777" w:rsidR="00D660B1" w:rsidRDefault="00D660B1" w:rsidP="00D660B1">
      <w:pPr>
        <w:spacing w:after="120" w:line="276" w:lineRule="auto"/>
        <w:ind w:firstLine="709"/>
        <w:jc w:val="both"/>
        <w:rPr>
          <w:rFonts w:ascii="Verdana" w:hAnsi="Verdana" w:cs="Arial"/>
          <w:kern w:val="2"/>
          <w:lang w:val="es-ES" w:eastAsia="es-CO"/>
          <w14:ligatures w14:val="standardContextual"/>
        </w:rPr>
      </w:pPr>
      <w:r w:rsidRPr="004C16F6">
        <w:rPr>
          <w:rFonts w:ascii="Verdana" w:eastAsia="Calibri" w:hAnsi="Verdana" w:cs="Arial"/>
          <w:kern w:val="2"/>
          <w:lang w:val="es-ES"/>
          <w14:ligatures w14:val="standardContextual"/>
        </w:rPr>
        <w:t xml:space="preserve">La norma precisa los elementos para cumplir con el artículo 6.2. de la Ley 1150 de 2007, los cuales se concretan en los siguientes tres (3) puntos: i) </w:t>
      </w:r>
      <w:r w:rsidRPr="004C16F6">
        <w:rPr>
          <w:rFonts w:ascii="Verdana" w:eastAsia="Calibri" w:hAnsi="Verdana" w:cs="Arial"/>
          <w:i/>
          <w:kern w:val="2"/>
          <w:lang w:val="es-ES"/>
          <w14:ligatures w14:val="standardContextual"/>
        </w:rPr>
        <w:t>reporte</w:t>
      </w:r>
      <w:r w:rsidRPr="004C16F6">
        <w:rPr>
          <w:rFonts w:ascii="Verdana" w:eastAsia="Calibri" w:hAnsi="Verdana" w:cs="Arial"/>
          <w:kern w:val="2"/>
          <w:lang w:val="es-ES"/>
          <w14:ligatures w14:val="standardContextual"/>
        </w:rPr>
        <w:t xml:space="preserve"> de las multas y sanciones y de las inhabilidades por parte de las entidades estatales, </w:t>
      </w:r>
      <w:proofErr w:type="spellStart"/>
      <w:r w:rsidRPr="004C16F6">
        <w:rPr>
          <w:rFonts w:ascii="Verdana" w:eastAsia="Calibri" w:hAnsi="Verdana" w:cs="Arial"/>
          <w:kern w:val="2"/>
          <w:lang w:val="es-ES"/>
          <w14:ligatures w14:val="standardContextual"/>
        </w:rPr>
        <w:t>ii</w:t>
      </w:r>
      <w:proofErr w:type="spellEnd"/>
      <w:r w:rsidRPr="004C16F6">
        <w:rPr>
          <w:rFonts w:ascii="Verdana" w:eastAsia="Calibri" w:hAnsi="Verdana" w:cs="Arial"/>
          <w:kern w:val="2"/>
          <w:lang w:val="es-ES"/>
          <w14:ligatures w14:val="standardContextual"/>
        </w:rPr>
        <w:t xml:space="preserve">) </w:t>
      </w:r>
      <w:r w:rsidRPr="004C16F6">
        <w:rPr>
          <w:rFonts w:ascii="Verdana" w:eastAsia="Calibri" w:hAnsi="Verdana" w:cs="Arial"/>
          <w:i/>
          <w:kern w:val="2"/>
          <w:lang w:val="es-ES"/>
          <w14:ligatures w14:val="standardContextual"/>
        </w:rPr>
        <w:t>registro</w:t>
      </w:r>
      <w:r w:rsidRPr="004C16F6">
        <w:rPr>
          <w:rFonts w:ascii="Verdana" w:eastAsia="Calibri" w:hAnsi="Verdana" w:cs="Arial"/>
          <w:kern w:val="2"/>
          <w:lang w:val="es-ES"/>
          <w14:ligatures w14:val="standardContextual"/>
        </w:rPr>
        <w:t xml:space="preserve"> de las sanciones e inhabilidades en el RUP por parte de las Cámaras de Comercio y </w:t>
      </w:r>
      <w:proofErr w:type="spellStart"/>
      <w:r w:rsidRPr="004C16F6">
        <w:rPr>
          <w:rFonts w:ascii="Verdana" w:eastAsia="Calibri" w:hAnsi="Verdana" w:cs="Arial"/>
          <w:kern w:val="2"/>
          <w:lang w:val="es-ES"/>
          <w14:ligatures w14:val="standardContextual"/>
        </w:rPr>
        <w:t>iii</w:t>
      </w:r>
      <w:proofErr w:type="spellEnd"/>
      <w:r w:rsidRPr="004C16F6">
        <w:rPr>
          <w:rFonts w:ascii="Verdana" w:eastAsia="Calibri" w:hAnsi="Verdana" w:cs="Arial"/>
          <w:kern w:val="2"/>
          <w:lang w:val="es-ES"/>
          <w14:ligatures w14:val="standardContextual"/>
        </w:rPr>
        <w:t xml:space="preserve">) </w:t>
      </w:r>
      <w:r w:rsidRPr="004C16F6">
        <w:rPr>
          <w:rFonts w:ascii="Verdana" w:eastAsia="Calibri" w:hAnsi="Verdana" w:cs="Arial"/>
          <w:i/>
          <w:kern w:val="2"/>
          <w:lang w:val="es-ES"/>
          <w14:ligatures w14:val="standardContextual"/>
        </w:rPr>
        <w:t xml:space="preserve">término de permanencia </w:t>
      </w:r>
      <w:r w:rsidRPr="004C16F6">
        <w:rPr>
          <w:rFonts w:ascii="Verdana" w:eastAsia="Calibri" w:hAnsi="Verdana" w:cs="Arial"/>
          <w:kern w:val="2"/>
          <w:lang w:val="es-ES"/>
          <w14:ligatures w14:val="standardContextual"/>
        </w:rPr>
        <w:t xml:space="preserve">de las anotaciones en el registro. En relación con el </w:t>
      </w:r>
      <w:r w:rsidRPr="004C16F6">
        <w:rPr>
          <w:rFonts w:ascii="Verdana" w:eastAsia="Calibri" w:hAnsi="Verdana" w:cs="Arial"/>
          <w:i/>
          <w:kern w:val="2"/>
          <w:lang w:val="es-ES"/>
          <w14:ligatures w14:val="standardContextual"/>
        </w:rPr>
        <w:t>reporte</w:t>
      </w:r>
      <w:r w:rsidRPr="004C16F6">
        <w:rPr>
          <w:rFonts w:ascii="Verdana" w:eastAsia="Calibri" w:hAnsi="Verdana" w:cs="Arial"/>
          <w:kern w:val="2"/>
          <w:lang w:val="es-ES"/>
          <w14:ligatures w14:val="standardContextual"/>
        </w:rPr>
        <w:t xml:space="preserve">, la norma impone la obligación a las </w:t>
      </w:r>
      <w:r>
        <w:rPr>
          <w:rFonts w:ascii="Verdana" w:eastAsia="Calibri" w:hAnsi="Verdana" w:cs="Arial"/>
          <w:kern w:val="2"/>
          <w:lang w:val="es-ES"/>
          <w14:ligatures w14:val="standardContextual"/>
        </w:rPr>
        <w:t>E</w:t>
      </w:r>
      <w:r w:rsidRPr="004C16F6">
        <w:rPr>
          <w:rFonts w:ascii="Verdana" w:eastAsia="Calibri" w:hAnsi="Verdana" w:cs="Arial"/>
          <w:kern w:val="2"/>
          <w:lang w:val="es-ES"/>
          <w14:ligatures w14:val="standardContextual"/>
        </w:rPr>
        <w:t xml:space="preserve">ntidades </w:t>
      </w:r>
      <w:r>
        <w:rPr>
          <w:rFonts w:ascii="Verdana" w:eastAsia="Calibri" w:hAnsi="Verdana" w:cs="Arial"/>
          <w:kern w:val="2"/>
          <w:lang w:val="es-ES"/>
          <w14:ligatures w14:val="standardContextual"/>
        </w:rPr>
        <w:t>E</w:t>
      </w:r>
      <w:r w:rsidRPr="004C16F6">
        <w:rPr>
          <w:rFonts w:ascii="Verdana" w:eastAsia="Calibri" w:hAnsi="Verdana" w:cs="Arial"/>
          <w:kern w:val="2"/>
          <w:lang w:val="es-ES"/>
          <w14:ligatures w14:val="standardContextual"/>
        </w:rPr>
        <w:t xml:space="preserve">statales de enviar mensualmente a las cámaras de comercio del lugar de su domicilio, copia de los actos administrativos en firme que impusieron multas y sanciones y de las inhabilidades que deriven de los contratos suscritos, a través de los mecanismos que para el efecto disponga la cámara respectiva. Respecto al </w:t>
      </w:r>
      <w:r w:rsidRPr="004C16F6">
        <w:rPr>
          <w:rFonts w:ascii="Verdana" w:eastAsia="Calibri" w:hAnsi="Verdana" w:cs="Arial"/>
          <w:i/>
          <w:kern w:val="2"/>
          <w:lang w:val="es-ES"/>
          <w14:ligatures w14:val="standardContextual"/>
        </w:rPr>
        <w:t>registro</w:t>
      </w:r>
      <w:r>
        <w:rPr>
          <w:rFonts w:ascii="Verdana" w:eastAsia="Calibri" w:hAnsi="Verdana" w:cs="Arial"/>
          <w:kern w:val="2"/>
          <w:lang w:val="es-ES"/>
          <w14:ligatures w14:val="standardContextual"/>
        </w:rPr>
        <w:t>,</w:t>
      </w:r>
      <w:r w:rsidRPr="004C16F6">
        <w:rPr>
          <w:rFonts w:ascii="Verdana" w:eastAsia="Calibri" w:hAnsi="Verdana" w:cs="Arial"/>
          <w:kern w:val="2"/>
          <w:lang w:val="es-ES"/>
          <w14:ligatures w14:val="standardContextual"/>
        </w:rPr>
        <w:t xml:space="preserve"> la disposición estableció la obligación a las cámaras de comercio de consignar las sanciones e inhabilidades remitidas por las entidades estatales en el RUP, con el propósito de concretar aspectos de publicidad y transparencia en la actividad contractual. Finalmente, en relación con el </w:t>
      </w:r>
      <w:r w:rsidRPr="004C16F6">
        <w:rPr>
          <w:rFonts w:ascii="Verdana" w:eastAsia="Calibri" w:hAnsi="Verdana" w:cs="Arial"/>
          <w:i/>
          <w:kern w:val="2"/>
          <w:lang w:val="es-ES"/>
          <w14:ligatures w14:val="standardContextual"/>
        </w:rPr>
        <w:t xml:space="preserve">término, </w:t>
      </w:r>
      <w:r w:rsidRPr="004C16F6">
        <w:rPr>
          <w:rFonts w:ascii="Verdana" w:eastAsia="Calibri" w:hAnsi="Verdana" w:cs="Arial"/>
          <w:kern w:val="2"/>
          <w:lang w:val="es-ES"/>
          <w14:ligatures w14:val="standardContextual"/>
        </w:rPr>
        <w:t xml:space="preserve">es decir, el periodo en que debe constar la anotación </w:t>
      </w:r>
      <w:r w:rsidRPr="004C16F6">
        <w:rPr>
          <w:rFonts w:ascii="Verdana" w:eastAsia="Calibri" w:hAnsi="Verdana" w:cs="Arial"/>
          <w:kern w:val="2"/>
          <w:lang w:val="es-ES"/>
          <w14:ligatures w14:val="standardContextual"/>
        </w:rPr>
        <w:lastRenderedPageBreak/>
        <w:t xml:space="preserve">correspondiente, la norma estableció que las sanciones e inhabilidades permanecerán en el registro por el término de la sanción o inhabilidad, según el caso. Igualmente, estableció que, en el caso de las multas, deberán permanecer por el término de un año, contado a partir de la publicación de </w:t>
      </w:r>
      <w:proofErr w:type="gramStart"/>
      <w:r w:rsidRPr="004C16F6">
        <w:rPr>
          <w:rFonts w:ascii="Verdana" w:eastAsia="Calibri" w:hAnsi="Verdana" w:cs="Arial"/>
          <w:kern w:val="2"/>
          <w:lang w:val="es-ES"/>
          <w14:ligatures w14:val="standardContextual"/>
        </w:rPr>
        <w:t>la misma</w:t>
      </w:r>
      <w:proofErr w:type="gramEnd"/>
      <w:r w:rsidRPr="004C16F6">
        <w:rPr>
          <w:rFonts w:ascii="Verdana" w:eastAsia="Calibri" w:hAnsi="Verdana" w:cs="Arial"/>
          <w:kern w:val="2"/>
          <w:lang w:val="es-ES"/>
          <w14:ligatures w14:val="standardContextual"/>
        </w:rPr>
        <w:t>.</w:t>
      </w:r>
    </w:p>
    <w:p w14:paraId="066A28D8" w14:textId="77777777" w:rsidR="00D660B1" w:rsidRDefault="00D660B1" w:rsidP="00D660B1">
      <w:pPr>
        <w:spacing w:after="120" w:line="276" w:lineRule="auto"/>
        <w:ind w:firstLine="709"/>
        <w:jc w:val="both"/>
        <w:rPr>
          <w:rFonts w:ascii="Verdana" w:eastAsiaTheme="minorEastAsia" w:hAnsi="Verdana" w:cs="Arial"/>
          <w:color w:val="000000" w:themeColor="text1"/>
          <w:kern w:val="2"/>
          <w:lang w:val="es-ES"/>
          <w14:ligatures w14:val="standardContextual"/>
        </w:rPr>
      </w:pPr>
      <w:r w:rsidRPr="004C16F6">
        <w:rPr>
          <w:rFonts w:ascii="Verdana" w:eastAsiaTheme="minorEastAsia" w:hAnsi="Verdana" w:cs="Arial"/>
          <w:color w:val="000000" w:themeColor="text1"/>
          <w:kern w:val="2"/>
          <w:lang w:val="es-ES"/>
          <w14:ligatures w14:val="standardContextual"/>
        </w:rPr>
        <w:t xml:space="preserve">De acuerdo con lo expuesto, el inciso primero del artículo 6.2 de la Ley 1150 de 2007, en congruencia con el aparte correspondiente al artículo 2.2.1.1.1.5.7 del Decreto 1082 de 2015, imponen a las </w:t>
      </w:r>
      <w:r>
        <w:rPr>
          <w:rFonts w:ascii="Verdana" w:eastAsiaTheme="minorEastAsia" w:hAnsi="Verdana" w:cs="Arial"/>
          <w:color w:val="000000" w:themeColor="text1"/>
          <w:kern w:val="2"/>
          <w:lang w:val="es-ES"/>
          <w14:ligatures w14:val="standardContextual"/>
        </w:rPr>
        <w:t>E</w:t>
      </w:r>
      <w:r w:rsidRPr="004C16F6">
        <w:rPr>
          <w:rFonts w:ascii="Verdana" w:eastAsiaTheme="minorEastAsia" w:hAnsi="Verdana" w:cs="Arial"/>
          <w:color w:val="000000" w:themeColor="text1"/>
          <w:kern w:val="2"/>
          <w:lang w:val="es-ES"/>
          <w14:ligatures w14:val="standardContextual"/>
        </w:rPr>
        <w:t xml:space="preserve">ntidades </w:t>
      </w:r>
      <w:r>
        <w:rPr>
          <w:rFonts w:ascii="Verdana" w:eastAsiaTheme="minorEastAsia" w:hAnsi="Verdana" w:cs="Arial"/>
          <w:color w:val="000000" w:themeColor="text1"/>
          <w:kern w:val="2"/>
          <w:lang w:val="es-ES"/>
          <w14:ligatures w14:val="standardContextual"/>
        </w:rPr>
        <w:t>E</w:t>
      </w:r>
      <w:r w:rsidRPr="004C16F6">
        <w:rPr>
          <w:rFonts w:ascii="Verdana" w:eastAsiaTheme="minorEastAsia" w:hAnsi="Verdana" w:cs="Arial"/>
          <w:color w:val="000000" w:themeColor="text1"/>
          <w:kern w:val="2"/>
          <w:lang w:val="es-ES"/>
          <w14:ligatures w14:val="standardContextual"/>
        </w:rPr>
        <w:t xml:space="preserve">statales el deber de </w:t>
      </w:r>
      <w:r w:rsidRPr="004C16F6">
        <w:rPr>
          <w:rFonts w:ascii="Verdana" w:eastAsiaTheme="minorEastAsia" w:hAnsi="Verdana" w:cs="Arial"/>
          <w:i/>
          <w:color w:val="000000" w:themeColor="text1"/>
          <w:kern w:val="2"/>
          <w:lang w:val="es-ES"/>
          <w14:ligatures w14:val="standardContextual"/>
        </w:rPr>
        <w:t>reportar</w:t>
      </w:r>
      <w:r w:rsidRPr="004C16F6">
        <w:rPr>
          <w:rFonts w:ascii="Verdana" w:eastAsiaTheme="minorEastAsia" w:hAnsi="Verdana" w:cs="Arial"/>
          <w:color w:val="000000" w:themeColor="text1"/>
          <w:kern w:val="2"/>
          <w:lang w:val="es-ES"/>
          <w14:ligatures w14:val="standardContextual"/>
        </w:rPr>
        <w:t xml:space="preserve"> a las cámaras de comercio la información relativa a los actos administrativos ejecutoriados expedidos con ocasión de incumplimientos presentados en el marco de los contratos estatales que celebran. Esta obligación comprende no solo el reporte de multas y sanciones, sino también el de las inhabilidades derivadas de los contratos estatales celebrados, lo que implica un deber integral de informar cualquier circunstancia que afecte la capacidad jurídica del contratista. </w:t>
      </w:r>
    </w:p>
    <w:p w14:paraId="31AD9D05" w14:textId="77777777" w:rsidR="00D660B1" w:rsidRDefault="00D660B1" w:rsidP="00D660B1">
      <w:pPr>
        <w:spacing w:after="120" w:line="276" w:lineRule="auto"/>
        <w:ind w:firstLine="709"/>
        <w:jc w:val="both"/>
        <w:rPr>
          <w:rFonts w:ascii="Verdana" w:hAnsi="Verdana" w:cs="Arial"/>
          <w:kern w:val="2"/>
          <w:lang w:val="es-ES" w:eastAsia="es-CO"/>
          <w14:ligatures w14:val="standardContextual"/>
        </w:rPr>
      </w:pPr>
      <w:r w:rsidRPr="004C16F6">
        <w:rPr>
          <w:rFonts w:ascii="Verdana" w:eastAsiaTheme="minorEastAsia" w:hAnsi="Verdana" w:cs="Arial"/>
          <w:color w:val="000000" w:themeColor="text1"/>
          <w:kern w:val="2"/>
          <w:lang w:val="es-ES"/>
          <w14:ligatures w14:val="standardContextual"/>
        </w:rPr>
        <w:t xml:space="preserve">A su vez, dicha obligación se encuentra estrechamente vinculada con la función asignada a las cámaras de comercio de registrar la información remitida por las entidades estatales, con el propósito de incorporarla en el RUP. En este sentido, el registro no constituye un simple acto formal, sino un instrumento de publicidad y transparencia que permite consolidar información relevante sobre el comportamiento contractual de los proponentes. En armonía con lo anterior, la permanencia de estas anotaciones en el RUP no es indefinida, sino que está sujeta a un término específico, el cual, en el caso de las inhabilidades, corresponde al período de duración de </w:t>
      </w:r>
      <w:proofErr w:type="gramStart"/>
      <w:r w:rsidRPr="004C16F6">
        <w:rPr>
          <w:rFonts w:ascii="Verdana" w:eastAsiaTheme="minorEastAsia" w:hAnsi="Verdana" w:cs="Arial"/>
          <w:color w:val="000000" w:themeColor="text1"/>
          <w:kern w:val="2"/>
          <w:lang w:val="es-ES"/>
          <w14:ligatures w14:val="standardContextual"/>
        </w:rPr>
        <w:t>la misma</w:t>
      </w:r>
      <w:proofErr w:type="gramEnd"/>
      <w:r w:rsidRPr="004C16F6">
        <w:rPr>
          <w:rFonts w:ascii="Verdana" w:eastAsiaTheme="minorEastAsia" w:hAnsi="Verdana" w:cs="Arial"/>
          <w:color w:val="000000" w:themeColor="text1"/>
          <w:kern w:val="2"/>
          <w:lang w:val="es-ES"/>
          <w14:ligatures w14:val="standardContextual"/>
        </w:rPr>
        <w:t xml:space="preserve"> conforme a lo establecido en la ley, lo que garantiza un equilibrio entre la necesidad de publicidad de la información y la temporalidad y proporcionalidad de las sanciones.</w:t>
      </w:r>
    </w:p>
    <w:p w14:paraId="6C6D8548" w14:textId="77777777" w:rsidR="00D660B1" w:rsidRPr="004C16F6" w:rsidRDefault="00D660B1" w:rsidP="00D660B1">
      <w:pPr>
        <w:spacing w:after="120" w:line="276" w:lineRule="auto"/>
        <w:ind w:firstLine="709"/>
        <w:jc w:val="both"/>
        <w:rPr>
          <w:rFonts w:ascii="Verdana" w:eastAsia="Times New Roman"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En consecuencia, el Registro Único de Proponentes se configura como un instrumento fundamental en el sistema de compras públicas, no solo para la acreditación de los requisitos habilitantes, sino también como un mecanismo de transparencia, publicidad y control. La información contenida en el RUP permite a las </w:t>
      </w:r>
      <w:r>
        <w:rPr>
          <w:rFonts w:ascii="Verdana" w:hAnsi="Verdana" w:cs="Arial"/>
          <w:kern w:val="2"/>
          <w:lang w:val="es-ES" w:eastAsia="es-CO"/>
          <w14:ligatures w14:val="standardContextual"/>
        </w:rPr>
        <w:t>E</w:t>
      </w:r>
      <w:r w:rsidRPr="004C16F6">
        <w:rPr>
          <w:rFonts w:ascii="Verdana" w:hAnsi="Verdana" w:cs="Arial"/>
          <w:kern w:val="2"/>
          <w:lang w:val="es-ES" w:eastAsia="es-CO"/>
          <w14:ligatures w14:val="standardContextual"/>
        </w:rPr>
        <w:t xml:space="preserve">ntidades </w:t>
      </w:r>
      <w:r>
        <w:rPr>
          <w:rFonts w:ascii="Verdana" w:hAnsi="Verdana" w:cs="Arial"/>
          <w:kern w:val="2"/>
          <w:lang w:val="es-ES" w:eastAsia="es-CO"/>
          <w14:ligatures w14:val="standardContextual"/>
        </w:rPr>
        <w:t>E</w:t>
      </w:r>
      <w:r w:rsidRPr="004C16F6">
        <w:rPr>
          <w:rFonts w:ascii="Verdana" w:hAnsi="Verdana" w:cs="Arial"/>
          <w:kern w:val="2"/>
          <w:lang w:val="es-ES" w:eastAsia="es-CO"/>
          <w14:ligatures w14:val="standardContextual"/>
        </w:rPr>
        <w:t xml:space="preserve">statales verificar de manera objetiva tanto el cumplimiento de las condiciones necesarias para contratar como la existencia de sanciones o inhabilidades que puedan afectar la capacidad jurídica de los proponentes. </w:t>
      </w:r>
      <w:r w:rsidRPr="004C16F6">
        <w:rPr>
          <w:rFonts w:ascii="Verdana" w:hAnsi="Verdana" w:cs="Arial"/>
          <w:kern w:val="2"/>
          <w:lang w:val="es-ES"/>
          <w14:ligatures w14:val="standardContextual"/>
        </w:rPr>
        <w:t xml:space="preserve">Por ello, el RUP no solo cumple una función informativa, sino que se erige como una herramienta de control preventivo que permite adoptar decisiones fundadas y </w:t>
      </w:r>
      <w:r w:rsidRPr="004C16F6">
        <w:rPr>
          <w:rFonts w:ascii="Verdana" w:hAnsi="Verdana" w:cs="Arial"/>
          <w:kern w:val="2"/>
          <w:lang w:val="es-ES"/>
          <w14:ligatures w14:val="standardContextual"/>
        </w:rPr>
        <w:lastRenderedPageBreak/>
        <w:t>reducir el riesgo de celebrar contratos con personas incursas en causales de inhabilidad o con antecedentes que comprometan su idoneidad.</w:t>
      </w:r>
    </w:p>
    <w:p w14:paraId="409F0B66" w14:textId="77777777" w:rsidR="00D660B1" w:rsidRPr="004C16F6" w:rsidRDefault="00D660B1" w:rsidP="00D660B1">
      <w:pPr>
        <w:spacing w:after="120" w:line="276" w:lineRule="auto"/>
        <w:ind w:firstLine="709"/>
        <w:jc w:val="both"/>
        <w:rPr>
          <w:rFonts w:ascii="Verdana" w:eastAsia="Calibri" w:hAnsi="Verdana" w:cs="Arial"/>
          <w:kern w:val="2"/>
          <w:lang w:val="es-ES"/>
          <w14:ligatures w14:val="standardContextual"/>
        </w:rPr>
      </w:pPr>
      <w:r w:rsidRPr="004C16F6">
        <w:rPr>
          <w:rFonts w:ascii="Verdana" w:hAnsi="Verdana" w:cs="Arial"/>
          <w:kern w:val="2"/>
          <w:lang w:val="es-ES"/>
          <w14:ligatures w14:val="standardContextual"/>
        </w:rPr>
        <w:t xml:space="preserve">La norma que agrupa las inhabilidades e incompatibilidades en materia de contratación estatal es el artículo 8 de la Ley 80 de 1993, el cual ha sido objeto de diversas modificaciones y adiciones. No obstante, en el ordenamiento jurídico existen otras disposiciones que también incluyen restricciones a la capacidad para contratar en determinados supuestos, como es el caso del artículo 58 de la Ley 80 de 1993 que prevé lo siguiente: </w:t>
      </w:r>
    </w:p>
    <w:p w14:paraId="308525CB" w14:textId="77777777" w:rsidR="00D660B1" w:rsidRPr="004C16F6" w:rsidRDefault="00D660B1" w:rsidP="00D660B1">
      <w:pPr>
        <w:spacing w:after="120"/>
        <w:jc w:val="both"/>
        <w:rPr>
          <w:rFonts w:ascii="Verdana" w:hAnsi="Verdana" w:cs="Arial"/>
          <w:kern w:val="2"/>
          <w:lang w:val="es-ES"/>
          <w14:ligatures w14:val="standardContextual"/>
        </w:rPr>
      </w:pPr>
    </w:p>
    <w:p w14:paraId="7F079923" w14:textId="77777777" w:rsidR="00D660B1" w:rsidRPr="004C16F6" w:rsidRDefault="00D660B1" w:rsidP="00D660B1">
      <w:pPr>
        <w:spacing w:after="120"/>
        <w:ind w:left="709" w:right="709"/>
        <w:jc w:val="both"/>
        <w:rPr>
          <w:rFonts w:ascii="Verdana" w:eastAsia="Calibri" w:hAnsi="Verdana" w:cs="Arial"/>
          <w:color w:val="000000" w:themeColor="text1"/>
          <w:kern w:val="2"/>
          <w:sz w:val="20"/>
          <w:szCs w:val="20"/>
          <w:lang w:val="es-ES"/>
          <w14:ligatures w14:val="standardContextual"/>
        </w:rPr>
      </w:pPr>
      <w:r w:rsidRPr="004C16F6">
        <w:rPr>
          <w:rFonts w:ascii="Verdana" w:eastAsia="Calibri" w:hAnsi="Verdana" w:cs="Arial"/>
          <w:color w:val="000000" w:themeColor="text1"/>
          <w:kern w:val="2"/>
          <w:sz w:val="20"/>
          <w:szCs w:val="20"/>
          <w:lang w:val="es-ES"/>
          <w14:ligatures w14:val="standardContextual"/>
        </w:rPr>
        <w:t>“ARTÍCULO 58. DE LAS SANCIONES. Como consecuencia de las acciones u omisiones que se les impute en relación con su actuación contractual, y sin perjuicio de las sanciones e inhabilidades señaladas en la Constitución Política, las personas a que se refiere este capítulo se harán acreedoras a:</w:t>
      </w:r>
    </w:p>
    <w:p w14:paraId="618ABCFD" w14:textId="77777777" w:rsidR="00D660B1" w:rsidRPr="004C16F6" w:rsidRDefault="00D660B1" w:rsidP="00D660B1">
      <w:pPr>
        <w:spacing w:after="120"/>
        <w:ind w:left="709" w:right="709"/>
        <w:jc w:val="both"/>
        <w:rPr>
          <w:rFonts w:ascii="Verdana" w:eastAsia="Calibri" w:hAnsi="Verdana" w:cs="Arial"/>
          <w:color w:val="000000" w:themeColor="text1"/>
          <w:kern w:val="2"/>
          <w:sz w:val="20"/>
          <w:szCs w:val="20"/>
          <w:lang w:val="es-ES"/>
          <w14:ligatures w14:val="standardContextual"/>
        </w:rPr>
      </w:pPr>
      <w:r w:rsidRPr="004C16F6">
        <w:rPr>
          <w:rFonts w:ascii="Verdana" w:eastAsia="Calibri" w:hAnsi="Verdana" w:cs="Arial"/>
          <w:color w:val="000000" w:themeColor="text1"/>
          <w:kern w:val="2"/>
          <w:sz w:val="20"/>
          <w:szCs w:val="20"/>
          <w:lang w:val="es-ES"/>
          <w14:ligatures w14:val="standardContextual"/>
        </w:rPr>
        <w:t>1o. En caso de declaratoria de responsabilidad civil, al pago de las indemnizaciones en la forma y cuantía que determine la autoridad judicial competente.</w:t>
      </w:r>
    </w:p>
    <w:p w14:paraId="228117B2" w14:textId="77777777" w:rsidR="00D660B1" w:rsidRPr="004C16F6" w:rsidRDefault="00D660B1" w:rsidP="00D660B1">
      <w:pPr>
        <w:spacing w:after="120"/>
        <w:ind w:left="709" w:right="709"/>
        <w:jc w:val="both"/>
        <w:rPr>
          <w:rFonts w:ascii="Verdana" w:eastAsia="Calibri" w:hAnsi="Verdana" w:cs="Arial"/>
          <w:color w:val="000000" w:themeColor="text1"/>
          <w:kern w:val="2"/>
          <w:sz w:val="20"/>
          <w:szCs w:val="20"/>
          <w:lang w:val="es-ES"/>
          <w14:ligatures w14:val="standardContextual"/>
        </w:rPr>
      </w:pPr>
      <w:r w:rsidRPr="004C16F6">
        <w:rPr>
          <w:rFonts w:ascii="Verdana" w:eastAsia="Calibri" w:hAnsi="Verdana" w:cs="Arial"/>
          <w:color w:val="000000" w:themeColor="text1"/>
          <w:kern w:val="2"/>
          <w:sz w:val="20"/>
          <w:szCs w:val="20"/>
          <w:lang w:val="es-ES"/>
          <w14:ligatures w14:val="standardContextual"/>
        </w:rPr>
        <w:t>2o. En caso de declaratoria de responsabilidad disciplinaria, a la destitución.</w:t>
      </w:r>
    </w:p>
    <w:p w14:paraId="4D76BCB6" w14:textId="77777777" w:rsidR="00D660B1" w:rsidRPr="00E2030B" w:rsidRDefault="00D660B1" w:rsidP="00D660B1">
      <w:pPr>
        <w:spacing w:after="120"/>
        <w:ind w:left="709" w:right="709"/>
        <w:jc w:val="both"/>
        <w:rPr>
          <w:rFonts w:ascii="Verdana" w:eastAsia="Calibri" w:hAnsi="Verdana" w:cs="Arial"/>
          <w:i/>
          <w:color w:val="000000" w:themeColor="text1"/>
          <w:kern w:val="2"/>
          <w:sz w:val="20"/>
          <w:szCs w:val="20"/>
          <w:lang w:val="es-ES"/>
          <w14:ligatures w14:val="standardContextual"/>
        </w:rPr>
      </w:pPr>
      <w:r w:rsidRPr="004C16F6">
        <w:rPr>
          <w:rFonts w:ascii="Verdana" w:eastAsia="Calibri" w:hAnsi="Verdana" w:cs="Arial"/>
          <w:i/>
          <w:color w:val="000000" w:themeColor="text1"/>
          <w:kern w:val="2"/>
          <w:sz w:val="20"/>
          <w:szCs w:val="20"/>
          <w:lang w:val="es-ES"/>
          <w14:ligatures w14:val="standardContextual"/>
        </w:rPr>
        <w:t>3o. En caso de declaratoria de responsabilidad civil o penal y sin perjuicio de las sanciones disciplinarias, los servidores públicos quedarán inhabilitados para ejercer cargos públicos y para proponer y celebrar contratos con las entidades estatales por diez (10) años contados a partir de la fecha de ejecutoria de la respectiva sentencia. A igual sanción estarán sometidos los particulares declarados responsables civil o penalmente.</w:t>
      </w:r>
    </w:p>
    <w:p w14:paraId="5F328308" w14:textId="77777777" w:rsidR="00D660B1" w:rsidRPr="004C16F6" w:rsidRDefault="00D660B1" w:rsidP="00D660B1">
      <w:pPr>
        <w:spacing w:after="120"/>
        <w:ind w:left="709" w:right="709"/>
        <w:jc w:val="both"/>
        <w:rPr>
          <w:rFonts w:ascii="Verdana" w:eastAsia="Calibri" w:hAnsi="Verdana" w:cs="Arial"/>
          <w:color w:val="000000" w:themeColor="text1"/>
          <w:kern w:val="2"/>
          <w:sz w:val="20"/>
          <w:szCs w:val="20"/>
          <w:lang w:val="es-ES"/>
          <w14:ligatures w14:val="standardContextual"/>
        </w:rPr>
      </w:pPr>
      <w:r w:rsidRPr="004C16F6">
        <w:rPr>
          <w:rFonts w:ascii="Verdana" w:eastAsia="Calibri" w:hAnsi="Verdana" w:cs="Arial"/>
          <w:color w:val="000000" w:themeColor="text1"/>
          <w:kern w:val="2"/>
          <w:sz w:val="20"/>
          <w:szCs w:val="20"/>
          <w:lang w:val="es-ES"/>
          <w14:ligatures w14:val="standardContextual"/>
        </w:rPr>
        <w:t>4o. En los casos en que se hubiere proferido medida de aseguramiento en firme, o elevado pliego de cargos, la autoridad competente podrá, con el propósito de salvaguardar la recta administración pública, suspender provisionalmente al servidor público imputado o sindicado hasta por el término de duración de la medida de aseguramiento o de la investigación disciplinaria.</w:t>
      </w:r>
    </w:p>
    <w:p w14:paraId="2FD9BFD8" w14:textId="77777777" w:rsidR="00D660B1" w:rsidRPr="004C16F6" w:rsidRDefault="00D660B1" w:rsidP="00D660B1">
      <w:pPr>
        <w:spacing w:after="120"/>
        <w:ind w:left="709" w:right="709"/>
        <w:jc w:val="both"/>
        <w:rPr>
          <w:rFonts w:ascii="Verdana" w:eastAsia="Calibri" w:hAnsi="Verdana" w:cs="Arial"/>
          <w:color w:val="000000" w:themeColor="text1"/>
          <w:kern w:val="2"/>
          <w:sz w:val="20"/>
          <w:szCs w:val="20"/>
          <w:lang w:val="es-ES"/>
          <w14:ligatures w14:val="standardContextual"/>
        </w:rPr>
      </w:pPr>
      <w:r w:rsidRPr="004C16F6">
        <w:rPr>
          <w:rFonts w:ascii="Verdana" w:eastAsia="Calibri" w:hAnsi="Verdana" w:cs="Arial"/>
          <w:color w:val="000000" w:themeColor="text1"/>
          <w:kern w:val="2"/>
          <w:sz w:val="20"/>
          <w:szCs w:val="20"/>
          <w:lang w:val="es-ES"/>
          <w14:ligatures w14:val="standardContextual"/>
        </w:rPr>
        <w:t>5o. En el evento en que se hubiere proferido medida de aseguramiento en firme a un particular, por acciones u omisiones que se le imputen en relación con su actuación contractual, se informará de tal circunstancia a la respectiva Cámara de Comercio, que procederá de inmediato a inscribir dicha medida en el registro de proponentes.</w:t>
      </w:r>
    </w:p>
    <w:p w14:paraId="4FA19790" w14:textId="77777777" w:rsidR="00D660B1" w:rsidRPr="004C16F6" w:rsidRDefault="00D660B1" w:rsidP="00D660B1">
      <w:pPr>
        <w:spacing w:after="120"/>
        <w:ind w:left="709" w:right="709"/>
        <w:jc w:val="both"/>
        <w:rPr>
          <w:rFonts w:ascii="Verdana" w:eastAsia="Calibri" w:hAnsi="Verdana" w:cs="Arial"/>
          <w:color w:val="000000" w:themeColor="text1"/>
          <w:kern w:val="2"/>
          <w:sz w:val="20"/>
          <w:szCs w:val="20"/>
          <w:lang w:val="es-ES"/>
          <w14:ligatures w14:val="standardContextual"/>
        </w:rPr>
      </w:pPr>
      <w:r w:rsidRPr="004C16F6">
        <w:rPr>
          <w:rFonts w:ascii="Verdana" w:eastAsia="Calibri" w:hAnsi="Verdana" w:cs="Arial"/>
          <w:color w:val="000000" w:themeColor="text1"/>
          <w:kern w:val="2"/>
          <w:sz w:val="20"/>
          <w:szCs w:val="20"/>
          <w:lang w:val="es-ES"/>
          <w14:ligatures w14:val="standardContextual"/>
        </w:rPr>
        <w:lastRenderedPageBreak/>
        <w:t xml:space="preserve">El jefe o representante legal de la entidad estatal que incumpla esta </w:t>
      </w:r>
      <w:proofErr w:type="gramStart"/>
      <w:r w:rsidRPr="004C16F6">
        <w:rPr>
          <w:rFonts w:ascii="Verdana" w:eastAsia="Calibri" w:hAnsi="Verdana" w:cs="Arial"/>
          <w:color w:val="000000" w:themeColor="text1"/>
          <w:kern w:val="2"/>
          <w:sz w:val="20"/>
          <w:szCs w:val="20"/>
          <w:lang w:val="es-ES"/>
          <w14:ligatures w14:val="standardContextual"/>
        </w:rPr>
        <w:t>obligación,</w:t>
      </w:r>
      <w:proofErr w:type="gramEnd"/>
      <w:r w:rsidRPr="004C16F6">
        <w:rPr>
          <w:rFonts w:ascii="Verdana" w:eastAsia="Calibri" w:hAnsi="Verdana" w:cs="Arial"/>
          <w:color w:val="000000" w:themeColor="text1"/>
          <w:kern w:val="2"/>
          <w:sz w:val="20"/>
          <w:szCs w:val="20"/>
          <w:lang w:val="es-ES"/>
          <w14:ligatures w14:val="standardContextual"/>
        </w:rPr>
        <w:t xml:space="preserve"> incurrirá en causal de mala conducta.</w:t>
      </w:r>
    </w:p>
    <w:p w14:paraId="05403DD7" w14:textId="77777777" w:rsidR="00D660B1" w:rsidRPr="004C16F6" w:rsidRDefault="00D660B1" w:rsidP="00D660B1">
      <w:pPr>
        <w:spacing w:after="120"/>
        <w:ind w:left="709" w:right="709"/>
        <w:jc w:val="both"/>
        <w:rPr>
          <w:rFonts w:ascii="Verdana" w:hAnsi="Verdana" w:cs="Arial"/>
          <w:i/>
          <w:kern w:val="2"/>
          <w:sz w:val="20"/>
          <w:szCs w:val="20"/>
          <w:lang w:val="es-ES"/>
          <w14:ligatures w14:val="standardContextual"/>
        </w:rPr>
      </w:pPr>
      <w:r w:rsidRPr="004C16F6">
        <w:rPr>
          <w:rFonts w:ascii="Verdana" w:eastAsia="Calibri" w:hAnsi="Verdana" w:cs="Arial"/>
          <w:i/>
          <w:color w:val="000000" w:themeColor="text1"/>
          <w:kern w:val="2"/>
          <w:sz w:val="20"/>
          <w:szCs w:val="20"/>
          <w:lang w:val="es-ES"/>
          <w14:ligatures w14:val="standardContextual"/>
        </w:rPr>
        <w:t>6o. En el evento en que se hubiere proferido medida de aseguramiento en firme al representante legal de una persona jurídica de derecho privado, como consecuencia de hechos u omisiones que se le imputen en relación con su actuación contractual, aquélla quedará inhabilitada para proponer y celebrar contratos con las entidades estatales por todo el término de duración de la medida de aseguramiento. Si se profiere sentencia condenatoria contra dicho representante legal, la persona jurídica quedará inhabilitada para proponer y celebrar contratos con las entidades estatales por diez (10) años contados a partir de la fecha de ejecutoria de dicha sentencia. A igual sanción estará sometida la persona jurídica declarada civilmente responsable por razón de hechos u omisiones que se le imputen en relación con su actuación contractual”</w:t>
      </w:r>
      <w:r w:rsidRPr="004C16F6">
        <w:rPr>
          <w:rFonts w:ascii="Verdana" w:hAnsi="Verdana" w:cs="Arial"/>
          <w:i/>
          <w:kern w:val="2"/>
          <w:sz w:val="20"/>
          <w:szCs w:val="20"/>
          <w:lang w:val="es-ES"/>
          <w14:ligatures w14:val="standardContextual"/>
        </w:rPr>
        <w:t>.</w:t>
      </w:r>
      <w:r w:rsidRPr="004C16F6">
        <w:rPr>
          <w:rFonts w:ascii="Verdana" w:eastAsia="Calibri" w:hAnsi="Verdana" w:cs="Arial"/>
          <w:color w:val="000000" w:themeColor="text1"/>
          <w:kern w:val="2"/>
          <w:sz w:val="20"/>
          <w:szCs w:val="20"/>
          <w:lang w:val="es-ES"/>
          <w14:ligatures w14:val="standardContextual"/>
        </w:rPr>
        <w:t xml:space="preserve"> [Énfasis por fuera de texto]</w:t>
      </w:r>
    </w:p>
    <w:p w14:paraId="0C91225F" w14:textId="77777777" w:rsidR="00D660B1" w:rsidRPr="004C16F6" w:rsidRDefault="00D660B1" w:rsidP="00D660B1">
      <w:pPr>
        <w:spacing w:after="120" w:line="276" w:lineRule="auto"/>
        <w:ind w:firstLine="709"/>
        <w:jc w:val="both"/>
        <w:rPr>
          <w:rFonts w:ascii="Verdana" w:hAnsi="Verdana" w:cs="Arial"/>
          <w:kern w:val="2"/>
          <w:lang w:val="es-ES" w:eastAsia="es-CO"/>
          <w14:ligatures w14:val="standardContextual"/>
        </w:rPr>
      </w:pPr>
    </w:p>
    <w:p w14:paraId="36E05201" w14:textId="77777777" w:rsidR="00D660B1" w:rsidRDefault="00D660B1" w:rsidP="00D660B1">
      <w:pPr>
        <w:spacing w:after="120" w:line="276" w:lineRule="auto"/>
        <w:ind w:firstLine="708"/>
        <w:jc w:val="both"/>
        <w:rPr>
          <w:rFonts w:ascii="Verdana" w:hAnsi="Verdana" w:cs="Arial"/>
          <w:kern w:val="2"/>
          <w:lang w:val="es-ES" w:eastAsia="es-CO"/>
          <w14:ligatures w14:val="standardContextual"/>
        </w:rPr>
      </w:pPr>
      <w:r w:rsidRPr="004C16F6">
        <w:rPr>
          <w:rFonts w:ascii="Verdana" w:eastAsia="Calibri" w:hAnsi="Verdana" w:cs="Arial"/>
          <w:color w:val="000000"/>
          <w:kern w:val="2"/>
          <w:lang w:val="es-ES"/>
          <w14:ligatures w14:val="standardContextual"/>
        </w:rPr>
        <w:t xml:space="preserve">Esta norma inhabilita a los servidores públicos y a los contratistas para proponer y celebrar contratos con las entidades estatales, como </w:t>
      </w:r>
      <w:r w:rsidRPr="004C16F6">
        <w:rPr>
          <w:rFonts w:ascii="Verdana" w:hAnsi="Verdana" w:cs="Arial"/>
          <w:kern w:val="2"/>
          <w:lang w:val="es-ES" w:eastAsia="es-CO"/>
          <w14:ligatures w14:val="standardContextual"/>
        </w:rPr>
        <w:t xml:space="preserve">consecuencia de las acciones u omisiones que se les impute en relación con su actuación contractual, sin perjuicio de las sanciones e inhabilidades señaladas en la Constitución Política. Estas sanciones encuentran sustento en el principio de responsabilidad contractual que rige la contratación estatal y que impone a los servidores públicos y a los particulares que intervienen en la actividad contractual el deber de responder por las acciones u omisiones que afecten el adecuado desarrollo de los procesos de contratación y la ejecución de los contratos estatales. De esta manera, su objetivo es garantizar la efectividad de este principio y permite su articulación con los principios de transparencia, economía y de selección objetiva. En tal sentido, las sanciones previstas en esta norma no se limitan a la responsabilidad derivada de una acción u omisión en el marco de una relación contractual específica, sino que sus efectos trascienden este ámbito particular y se proyectan hacia el futuro, al establecer consecuencias que afectan la capacidad del contratista para celebrar otros contratos con el Estado. </w:t>
      </w:r>
    </w:p>
    <w:p w14:paraId="56B6D2BE" w14:textId="77777777" w:rsidR="00D660B1" w:rsidRDefault="00D660B1" w:rsidP="00D660B1">
      <w:pPr>
        <w:spacing w:after="120" w:line="276" w:lineRule="auto"/>
        <w:ind w:firstLine="708"/>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Particularmente, el numeral 3 del artículo 58 de la Ley 80 de 1993 señala que “En caso de declaratoria de responsabilidad civil o penal y sin perjuicio de las sanciones disciplinarias, los servidores públicos quedarán inhabilitados para ejercer cargos públicos y para proponer y celebrar contratos con las entidades estatales por diez (10) años contados a partir de la fecha de ejecutoria de la </w:t>
      </w:r>
      <w:r w:rsidRPr="004C16F6">
        <w:rPr>
          <w:rFonts w:ascii="Verdana" w:hAnsi="Verdana" w:cs="Arial"/>
          <w:kern w:val="2"/>
          <w:lang w:val="es-ES" w:eastAsia="es-CO"/>
          <w14:ligatures w14:val="standardContextual"/>
        </w:rPr>
        <w:lastRenderedPageBreak/>
        <w:t xml:space="preserve">respectiva sentencia. A igual sanción estarán sometidos los particulares declarados responsables civil o penalmente”. Asimismo, el numeral 6 establece que “Si se profiere sentencia condenatoria contra dicho representante legal, la persona jurídica quedará inhabilitada para proponer y celebrar contratos con las entidades estatales por diez (10) años contados a partir de la fecha de ejecutoria de dicha sentencia. </w:t>
      </w:r>
      <w:r w:rsidRPr="004C16F6">
        <w:rPr>
          <w:rFonts w:ascii="Verdana" w:hAnsi="Verdana" w:cs="Arial"/>
          <w:i/>
          <w:kern w:val="2"/>
          <w:lang w:val="es-ES" w:eastAsia="es-CO"/>
          <w14:ligatures w14:val="standardContextual"/>
        </w:rPr>
        <w:t xml:space="preserve">A igual sanción estará sometida la persona jurídica declarada civilmente responsable por razón de hechos u omisiones que se le imputen </w:t>
      </w:r>
      <w:r w:rsidRPr="004C16F6">
        <w:rPr>
          <w:rFonts w:ascii="Verdana" w:hAnsi="Verdana" w:cs="Arial"/>
          <w:i/>
          <w:kern w:val="2"/>
          <w:u w:val="single"/>
          <w:lang w:val="es-ES" w:eastAsia="es-CO"/>
          <w14:ligatures w14:val="standardContextual"/>
        </w:rPr>
        <w:t>en relación con su actuación contractual</w:t>
      </w:r>
      <w:r w:rsidRPr="004C16F6">
        <w:rPr>
          <w:rFonts w:ascii="Verdana" w:hAnsi="Verdana" w:cs="Arial"/>
          <w:i/>
          <w:kern w:val="2"/>
          <w:lang w:val="es-ES" w:eastAsia="es-CO"/>
          <w14:ligatures w14:val="standardContextual"/>
        </w:rPr>
        <w:t>”</w:t>
      </w:r>
      <w:r w:rsidRPr="004C16F6">
        <w:rPr>
          <w:rFonts w:ascii="Verdana" w:hAnsi="Verdana" w:cs="Arial"/>
          <w:kern w:val="2"/>
          <w:lang w:val="es-ES" w:eastAsia="es-CO"/>
          <w14:ligatures w14:val="standardContextual"/>
        </w:rPr>
        <w:t xml:space="preserve"> </w:t>
      </w:r>
      <w:r w:rsidRPr="004C16F6">
        <w:rPr>
          <w:rFonts w:ascii="Verdana" w:eastAsia="Calibri" w:hAnsi="Verdana" w:cs="Arial"/>
          <w:color w:val="000000" w:themeColor="text1"/>
          <w:kern w:val="2"/>
          <w:lang w:val="es-ES"/>
          <w14:ligatures w14:val="standardContextual"/>
        </w:rPr>
        <w:t>[Énfasis por fuera de texto].</w:t>
      </w:r>
    </w:p>
    <w:p w14:paraId="3EBFAFD2" w14:textId="77777777" w:rsidR="00D660B1" w:rsidRDefault="00D660B1" w:rsidP="00D660B1">
      <w:pPr>
        <w:spacing w:after="120" w:line="276" w:lineRule="auto"/>
        <w:ind w:firstLine="708"/>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Como se evidencia, estas disposiciones establecen una consecuencia jurídica derivada de la declaratoria de responsabilidad civil o penal, al prever una inhabilidad para el ejercicio de cargos públicos y para contratar con entidades estatales. Así, la declaratoria de responsabilidad civil o penal trasciende el proceso y la respectiva actuación contractual en que se originó, al afectar la capacidad jurídica del responsable para participar en la gestión pública o en la actividad contractual con el Estado durante un período determinado. En esta línea, la </w:t>
      </w:r>
      <w:r w:rsidRPr="00E2030B">
        <w:rPr>
          <w:rFonts w:ascii="Verdana" w:hAnsi="Verdana" w:cs="Arial"/>
          <w:kern w:val="2"/>
          <w:lang w:val="es-ES" w:eastAsia="es-CO"/>
          <w14:ligatures w14:val="standardContextual"/>
        </w:rPr>
        <w:t>declaratoria de responsabilidad civil o penal</w:t>
      </w:r>
      <w:r w:rsidRPr="004C16F6">
        <w:rPr>
          <w:rFonts w:ascii="Verdana" w:hAnsi="Verdana" w:cs="Arial"/>
          <w:i/>
          <w:iCs/>
          <w:kern w:val="2"/>
          <w:lang w:val="es-ES" w:eastAsia="es-CO"/>
          <w14:ligatures w14:val="standardContextual"/>
        </w:rPr>
        <w:t xml:space="preserve"> </w:t>
      </w:r>
      <w:r w:rsidRPr="004C16F6">
        <w:rPr>
          <w:rFonts w:ascii="Verdana" w:hAnsi="Verdana" w:cs="Arial"/>
          <w:kern w:val="2"/>
          <w:lang w:val="es-ES" w:eastAsia="es-CO"/>
          <w14:ligatures w14:val="standardContextual"/>
        </w:rPr>
        <w:t>del servidor público y del particular constituye el presupuesto indispensable para que opere la inhabilidad establecida, lo que implica que esta no surge por la sola ocurrencia de una acción y omisión del servidor público, del particular o de la persona jurídica, sino que está supeditada a una declaración de responsabilidad civil o penal realizada mediante sentencia judicial por la autoridad respectiva.</w:t>
      </w:r>
    </w:p>
    <w:p w14:paraId="5AC8DB3C" w14:textId="77777777" w:rsidR="00D660B1" w:rsidRDefault="00D660B1" w:rsidP="00D660B1">
      <w:pPr>
        <w:spacing w:after="120" w:line="276" w:lineRule="auto"/>
        <w:ind w:firstLine="708"/>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Esta referencia a la responsabilidad civil supone la existencia de una sentencia proferida por el juez competente en la que se determine que el servidor público o el particular está obligado a la reparación de un daño</w:t>
      </w:r>
      <w:r w:rsidRPr="004C16F6">
        <w:rPr>
          <w:rFonts w:ascii="Verdana" w:hAnsi="Verdana" w:cs="Arial"/>
          <w:kern w:val="2"/>
          <w:vertAlign w:val="superscript"/>
          <w:lang w:val="es-ES" w:eastAsia="es-CO"/>
          <w14:ligatures w14:val="standardContextual"/>
        </w:rPr>
        <w:footnoteReference w:id="14"/>
      </w:r>
      <w:r w:rsidRPr="004C16F6">
        <w:rPr>
          <w:rFonts w:ascii="Verdana" w:hAnsi="Verdana" w:cs="Arial"/>
          <w:kern w:val="2"/>
          <w:vertAlign w:val="superscript"/>
          <w:lang w:val="es-ES" w:eastAsia="es-CO"/>
          <w14:ligatures w14:val="standardContextual"/>
        </w:rPr>
        <w:t>.</w:t>
      </w:r>
      <w:r w:rsidRPr="004C16F6">
        <w:rPr>
          <w:rFonts w:ascii="Verdana" w:hAnsi="Verdana" w:cs="Arial"/>
          <w:kern w:val="2"/>
          <w:lang w:val="es-ES" w:eastAsia="es-CO"/>
          <w14:ligatures w14:val="standardContextual"/>
        </w:rPr>
        <w:t xml:space="preserve"> En este sentido, la declaratoria judicial de responsabilidad civil implica, por tanto, el reconocimiento de un daño y su atribución jurídica al sujeto responsable que impone el deber de repararlo. Por su parte, la responsabilidad penal se configura cuando, mediante sentencia judicial, se establece que el servidor público o el particular ha incurrido en una conducta tipificada como delito en el ordenamiento </w:t>
      </w:r>
      <w:r w:rsidRPr="004C16F6">
        <w:rPr>
          <w:rFonts w:ascii="Verdana" w:hAnsi="Verdana" w:cs="Arial"/>
          <w:kern w:val="2"/>
          <w:lang w:val="es-ES" w:eastAsia="es-CO"/>
          <w14:ligatures w14:val="standardContextual"/>
        </w:rPr>
        <w:lastRenderedPageBreak/>
        <w:t>jurídico. Por consiguiente, la declaratoria de responsabilidad civil o penal a la que se refiere dicha disposición debe p</w:t>
      </w:r>
      <w:r>
        <w:rPr>
          <w:rFonts w:ascii="Verdana" w:hAnsi="Verdana" w:cs="Arial"/>
          <w:kern w:val="2"/>
          <w:lang w:val="es-ES" w:eastAsia="es-CO"/>
          <w14:ligatures w14:val="standardContextual"/>
        </w:rPr>
        <w:t>ro</w:t>
      </w:r>
      <w:r w:rsidRPr="004C16F6">
        <w:rPr>
          <w:rFonts w:ascii="Verdana" w:hAnsi="Verdana" w:cs="Arial"/>
          <w:kern w:val="2"/>
          <w:lang w:val="es-ES" w:eastAsia="es-CO"/>
          <w14:ligatures w14:val="standardContextual"/>
        </w:rPr>
        <w:t xml:space="preserve">venir del juez competente en el marco de un proceso judicial de responsabilidad. </w:t>
      </w:r>
    </w:p>
    <w:p w14:paraId="668F85BB" w14:textId="77777777" w:rsidR="00D660B1" w:rsidRDefault="00D660B1" w:rsidP="00D660B1">
      <w:pPr>
        <w:spacing w:after="120" w:line="276" w:lineRule="auto"/>
        <w:ind w:firstLine="708"/>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Asimismo, se precisa que la declaratoria de responsabilidad civil o penal </w:t>
      </w:r>
      <w:r w:rsidRPr="004C16F6">
        <w:rPr>
          <w:rFonts w:ascii="Verdana" w:hAnsi="Verdana" w:cs="Arial"/>
          <w:kern w:val="2"/>
          <w:u w:val="single"/>
          <w:lang w:val="es-ES" w:eastAsia="es-CO"/>
          <w14:ligatures w14:val="standardContextual"/>
        </w:rPr>
        <w:t>debe estar relacionada con la actuación contractual con el Estado</w:t>
      </w:r>
      <w:r w:rsidRPr="004C16F6">
        <w:rPr>
          <w:rFonts w:ascii="Verdana" w:hAnsi="Verdana" w:cs="Arial"/>
          <w:kern w:val="2"/>
          <w:lang w:val="es-ES" w:eastAsia="es-CO"/>
          <w14:ligatures w14:val="standardContextual"/>
        </w:rPr>
        <w:t xml:space="preserve">, tal y como lo dispone el inicio primero del artículo 58 </w:t>
      </w:r>
      <w:r w:rsidRPr="004C16F6">
        <w:rPr>
          <w:rFonts w:ascii="Verdana" w:hAnsi="Verdana" w:cs="Arial"/>
          <w:i/>
          <w:kern w:val="2"/>
          <w:lang w:val="es-ES" w:eastAsia="es-CO"/>
          <w14:ligatures w14:val="standardContextual"/>
        </w:rPr>
        <w:t>ibidem</w:t>
      </w:r>
      <w:r w:rsidRPr="004C16F6">
        <w:rPr>
          <w:rFonts w:ascii="Verdana" w:hAnsi="Verdana" w:cs="Arial"/>
          <w:kern w:val="2"/>
          <w:lang w:val="es-ES" w:eastAsia="es-CO"/>
          <w14:ligatures w14:val="standardContextual"/>
        </w:rPr>
        <w:t xml:space="preserve"> que establece expresamente que las personas a las que se refiere esta norma se harán acreedoras de dichas sanciones como consecuencia de las acciones u omisiones que se les impute en relación con su actuación contractual. De esta forma, el legislador delimitó el ámbito de aplicación de las consecuencias jurídicas previstas en dicha disposición, circunscribiéndolas a </w:t>
      </w:r>
      <w:r w:rsidRPr="004C16F6">
        <w:rPr>
          <w:rFonts w:ascii="Verdana" w:hAnsi="Verdana" w:cs="Arial"/>
          <w:kern w:val="2"/>
          <w:u w:val="single"/>
          <w:lang w:val="es-ES" w:eastAsia="es-CO"/>
          <w14:ligatures w14:val="standardContextual"/>
        </w:rPr>
        <w:t>conductas que se presenten en el contexto de la actividad contractual</w:t>
      </w:r>
      <w:r w:rsidRPr="004C16F6">
        <w:rPr>
          <w:rFonts w:ascii="Verdana" w:hAnsi="Verdana" w:cs="Arial"/>
          <w:kern w:val="2"/>
          <w:lang w:val="es-ES" w:eastAsia="es-CO"/>
          <w14:ligatures w14:val="standardContextual"/>
        </w:rPr>
        <w:t xml:space="preserve"> con entidades estatales, lo que excluye que decisiones judiciales adoptadas en controversias entre particulares o en escenarios ajenos a la contratación pública puedan dar lugar a la configuración de la inhabilidad allí prevista.</w:t>
      </w:r>
    </w:p>
    <w:p w14:paraId="2B0A3738" w14:textId="77777777" w:rsidR="00D660B1" w:rsidRDefault="00D660B1" w:rsidP="00D660B1">
      <w:pPr>
        <w:spacing w:after="120" w:line="276" w:lineRule="auto"/>
        <w:ind w:firstLine="708"/>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Sobre la temporalidad de esta inhabilidad los numerales 3 y 6 del artículo 58 de la Ley 80 de 1993 establecen que los servidores públicos, los particulares y personas jurídicas quedarán inhabilitados para ejercer cargos públicos y para proponer y celebrar contratos con las entidades estatales por diez (10) años contados a partir de la fecha de ejecutoria de la respectiva sentencia. Esto ocurre cuando la decisión judicial ha sido </w:t>
      </w:r>
      <w:r w:rsidRPr="004C16F6">
        <w:rPr>
          <w:rFonts w:ascii="Verdana" w:hAnsi="Verdana" w:cs="Arial"/>
          <w:i/>
          <w:iCs/>
          <w:kern w:val="2"/>
          <w:lang w:val="es-ES" w:eastAsia="es-CO"/>
          <w14:ligatures w14:val="standardContextual"/>
        </w:rPr>
        <w:t>notificada a las partes</w:t>
      </w:r>
      <w:r w:rsidRPr="004C16F6">
        <w:rPr>
          <w:rFonts w:ascii="Verdana" w:hAnsi="Verdana" w:cs="Arial"/>
          <w:kern w:val="2"/>
          <w:lang w:val="es-ES" w:eastAsia="es-CO"/>
          <w14:ligatures w14:val="standardContextual"/>
        </w:rPr>
        <w:t xml:space="preserve"> y contra ella no procede ningún recurso, ya sea porque vencieron los términos para interponerlos sin que se hubieran presentado, o porque los recursos interpuestos ya fueron resueltos por la autoridad judicial competente</w:t>
      </w:r>
      <w:r w:rsidRPr="004C16F6">
        <w:rPr>
          <w:rFonts w:ascii="Verdana" w:hAnsi="Verdana" w:cs="Arial"/>
          <w:kern w:val="2"/>
          <w:vertAlign w:val="superscript"/>
          <w:lang w:val="es-ES" w:eastAsia="es-CO"/>
          <w14:ligatures w14:val="standardContextual"/>
        </w:rPr>
        <w:footnoteReference w:id="15"/>
      </w:r>
      <w:r w:rsidRPr="004C16F6">
        <w:rPr>
          <w:rFonts w:ascii="Verdana" w:hAnsi="Verdana" w:cs="Arial"/>
          <w:kern w:val="2"/>
          <w:lang w:val="es-ES" w:eastAsia="es-CO"/>
          <w14:ligatures w14:val="standardContextual"/>
        </w:rPr>
        <w:t>.</w:t>
      </w:r>
    </w:p>
    <w:p w14:paraId="41F5227B" w14:textId="77777777" w:rsidR="00D660B1" w:rsidRDefault="00D660B1" w:rsidP="00D660B1">
      <w:pPr>
        <w:spacing w:after="120" w:line="276" w:lineRule="auto"/>
        <w:ind w:firstLine="708"/>
        <w:jc w:val="both"/>
        <w:rPr>
          <w:rFonts w:ascii="Verdana" w:hAnsi="Verdana" w:cs="Arial"/>
          <w:kern w:val="2"/>
          <w:lang w:val="es-ES" w:eastAsia="es-CO"/>
          <w14:ligatures w14:val="standardContextual"/>
        </w:rPr>
      </w:pPr>
      <w:r w:rsidRPr="004C16F6">
        <w:rPr>
          <w:rFonts w:ascii="Verdana" w:hAnsi="Verdana" w:cs="Arial"/>
          <w:kern w:val="2"/>
          <w:lang w:val="es-ES" w:eastAsia="es-CO"/>
          <w14:ligatures w14:val="standardContextual"/>
        </w:rPr>
        <w:t xml:space="preserve">En este contexto, los numerales 3 y 6 del artículo 58 de la Ley 80 de 1993 establecen las condiciones bajo las cuales se configura la inhabilidad de los particulares y de las personas jurídicas como consecuencia de la declaratoria de responsabilidad civil o penal mediante sentencia ejecutoriada. No obstante, la eficacia material de dicha inhabilidad depende de que las </w:t>
      </w:r>
      <w:r>
        <w:rPr>
          <w:rFonts w:ascii="Verdana" w:hAnsi="Verdana" w:cs="Arial"/>
          <w:kern w:val="2"/>
          <w:lang w:val="es-ES" w:eastAsia="es-CO"/>
          <w14:ligatures w14:val="standardContextual"/>
        </w:rPr>
        <w:t>E</w:t>
      </w:r>
      <w:r w:rsidRPr="004C16F6">
        <w:rPr>
          <w:rFonts w:ascii="Verdana" w:hAnsi="Verdana" w:cs="Arial"/>
          <w:kern w:val="2"/>
          <w:lang w:val="es-ES" w:eastAsia="es-CO"/>
          <w14:ligatures w14:val="standardContextual"/>
        </w:rPr>
        <w:t xml:space="preserve">ntidades </w:t>
      </w:r>
      <w:r>
        <w:rPr>
          <w:rFonts w:ascii="Verdana" w:hAnsi="Verdana" w:cs="Arial"/>
          <w:kern w:val="2"/>
          <w:lang w:val="es-ES" w:eastAsia="es-CO"/>
          <w14:ligatures w14:val="standardContextual"/>
        </w:rPr>
        <w:t>E</w:t>
      </w:r>
      <w:r w:rsidRPr="004C16F6">
        <w:rPr>
          <w:rFonts w:ascii="Verdana" w:hAnsi="Verdana" w:cs="Arial"/>
          <w:kern w:val="2"/>
          <w:lang w:val="es-ES" w:eastAsia="es-CO"/>
          <w14:ligatures w14:val="standardContextual"/>
        </w:rPr>
        <w:t>statales dispongan de mecanismos claros que les permitan verificar, de manera oportuna y confiable, la existencia de estas decisiones judiciales.</w:t>
      </w:r>
    </w:p>
    <w:p w14:paraId="743898EE" w14:textId="77777777" w:rsidR="00D660B1" w:rsidRDefault="00D660B1" w:rsidP="00D660B1">
      <w:pPr>
        <w:spacing w:after="120" w:line="276" w:lineRule="auto"/>
        <w:ind w:firstLine="708"/>
        <w:jc w:val="both"/>
        <w:rPr>
          <w:rFonts w:ascii="Verdana" w:eastAsia="Calibri" w:hAnsi="Verdana" w:cs="Arial"/>
          <w:color w:val="000000"/>
          <w:kern w:val="2"/>
          <w:lang w:val="es-ES"/>
          <w14:ligatures w14:val="standardContextual"/>
        </w:rPr>
      </w:pPr>
      <w:r w:rsidRPr="004C16F6">
        <w:rPr>
          <w:rFonts w:ascii="Verdana" w:hAnsi="Verdana" w:cs="Arial"/>
          <w:kern w:val="2"/>
          <w:lang w:val="es-ES" w:eastAsia="es-CO"/>
          <w14:ligatures w14:val="standardContextual"/>
        </w:rPr>
        <w:t xml:space="preserve">Para lo anterior, la modificación introducida por el Decreto 0997 de 2026 </w:t>
      </w:r>
      <w:r w:rsidRPr="004C16F6">
        <w:rPr>
          <w:rFonts w:ascii="Verdana" w:eastAsia="Calibri" w:hAnsi="Verdana" w:cs="Arial"/>
          <w:color w:val="000000"/>
          <w:kern w:val="2"/>
          <w:lang w:val="es-ES"/>
          <w14:ligatures w14:val="standardContextual"/>
        </w:rPr>
        <w:t xml:space="preserve">se orienta a establecer un mecanismo idóneo, expedito y adecuado para la </w:t>
      </w:r>
      <w:r w:rsidRPr="004C16F6">
        <w:rPr>
          <w:rFonts w:ascii="Verdana" w:eastAsia="Calibri" w:hAnsi="Verdana" w:cs="Arial"/>
          <w:color w:val="000000"/>
          <w:kern w:val="2"/>
          <w:lang w:val="es-ES"/>
          <w14:ligatures w14:val="standardContextual"/>
        </w:rPr>
        <w:lastRenderedPageBreak/>
        <w:t xml:space="preserve">verificación de la capacidad jurídica de los proponentes a través del Registro Único de Proponentes (RUP), de tal manera que en este instrumento pueda constatarse de forma clara, centralizada y oportuna la existencia de las inhabilidades previstas en los numerales 3 y 6 del artículo 58 de la Ley 80 de 1993. Con ello, se busca garantizar que las </w:t>
      </w:r>
      <w:r>
        <w:rPr>
          <w:rFonts w:ascii="Verdana" w:eastAsia="Calibri" w:hAnsi="Verdana" w:cs="Arial"/>
          <w:color w:val="000000"/>
          <w:kern w:val="2"/>
          <w:lang w:val="es-ES"/>
          <w14:ligatures w14:val="standardContextual"/>
        </w:rPr>
        <w:t>E</w:t>
      </w:r>
      <w:r w:rsidRPr="004C16F6">
        <w:rPr>
          <w:rFonts w:ascii="Verdana" w:eastAsia="Calibri" w:hAnsi="Verdana" w:cs="Arial"/>
          <w:color w:val="000000"/>
          <w:kern w:val="2"/>
          <w:lang w:val="es-ES"/>
          <w14:ligatures w14:val="standardContextual"/>
        </w:rPr>
        <w:t xml:space="preserve">ntidades </w:t>
      </w:r>
      <w:r>
        <w:rPr>
          <w:rFonts w:ascii="Verdana" w:eastAsia="Calibri" w:hAnsi="Verdana" w:cs="Arial"/>
          <w:color w:val="000000"/>
          <w:kern w:val="2"/>
          <w:lang w:val="es-ES"/>
          <w14:ligatures w14:val="standardContextual"/>
        </w:rPr>
        <w:t>E</w:t>
      </w:r>
      <w:r w:rsidRPr="004C16F6">
        <w:rPr>
          <w:rFonts w:ascii="Verdana" w:eastAsia="Calibri" w:hAnsi="Verdana" w:cs="Arial"/>
          <w:color w:val="000000"/>
          <w:kern w:val="2"/>
          <w:lang w:val="es-ES"/>
          <w14:ligatures w14:val="standardContextual"/>
        </w:rPr>
        <w:t>statales cuenten con información confiable para prevenir la celebración de contratos con personas incursas en dichas causales de inhabilidad.</w:t>
      </w:r>
    </w:p>
    <w:p w14:paraId="3A4FD0E8" w14:textId="77777777" w:rsidR="00D660B1" w:rsidRPr="00FC25B9" w:rsidRDefault="00D660B1" w:rsidP="00D660B1">
      <w:pPr>
        <w:spacing w:after="120" w:line="276" w:lineRule="auto"/>
        <w:ind w:firstLine="708"/>
        <w:jc w:val="both"/>
        <w:rPr>
          <w:rFonts w:ascii="Verdana" w:eastAsia="Calibri" w:hAnsi="Verdana" w:cs="Arial"/>
          <w:color w:val="000000"/>
          <w:kern w:val="2"/>
          <w:lang w:val="es-ES"/>
          <w14:ligatures w14:val="standardContextual"/>
        </w:rPr>
      </w:pPr>
      <w:r w:rsidRPr="00FC25B9">
        <w:rPr>
          <w:rFonts w:ascii="Verdana" w:eastAsia="Calibri" w:hAnsi="Verdana" w:cs="Arial"/>
          <w:color w:val="000000"/>
          <w:kern w:val="2"/>
          <w:lang w:val="es-ES"/>
          <w14:ligatures w14:val="standardContextual"/>
        </w:rPr>
        <w:t xml:space="preserve">En efecto, </w:t>
      </w:r>
      <w:r w:rsidRPr="00FC25B9">
        <w:rPr>
          <w:rFonts w:ascii="Verdana" w:hAnsi="Verdana" w:cs="Arial"/>
          <w:color w:val="000000" w:themeColor="text1"/>
          <w:kern w:val="2"/>
          <w:lang w:val="es-ES"/>
          <w14:ligatures w14:val="standardContextual"/>
        </w:rPr>
        <w:t xml:space="preserve">en ejercicio de la potestad reglamentaria prevista en el inciso segundo del numeral 6.2 del artículo 6 de la Ley 1150 de 2007, el Decreto 0997 de 2026 modificó el referido artículo 2.2.1.1.1.5.7 del Decreto 1082 de 2015, con el fin de incorporar de manera expresa aspectos relativos al reporte, registro y permanencia de las inhabilidades que se originen como consecuencia de la declaratoria de </w:t>
      </w:r>
      <w:r w:rsidRPr="00CC3A5A">
        <w:rPr>
          <w:rFonts w:ascii="Verdana" w:hAnsi="Verdana" w:cs="Arial"/>
          <w:i/>
          <w:iCs/>
          <w:color w:val="000000" w:themeColor="text1"/>
          <w:kern w:val="2"/>
          <w:u w:val="single"/>
          <w:lang w:val="es-ES"/>
          <w14:ligatures w14:val="standardContextual"/>
        </w:rPr>
        <w:t>responsabilidad civil</w:t>
      </w:r>
      <w:r w:rsidRPr="00FC25B9">
        <w:rPr>
          <w:rFonts w:ascii="Verdana" w:hAnsi="Verdana" w:cs="Arial"/>
          <w:color w:val="000000" w:themeColor="text1"/>
          <w:kern w:val="2"/>
          <w:lang w:val="es-ES"/>
          <w14:ligatures w14:val="standardContextual"/>
        </w:rPr>
        <w:t xml:space="preserve"> de personas naturales y jurídicas, </w:t>
      </w:r>
      <w:r w:rsidRPr="00FC25B9">
        <w:rPr>
          <w:rFonts w:ascii="Verdana" w:hAnsi="Verdana" w:cs="Arial"/>
          <w:i/>
          <w:iCs/>
          <w:color w:val="000000" w:themeColor="text1"/>
          <w:kern w:val="2"/>
          <w:u w:val="single"/>
          <w:lang w:val="es-ES"/>
          <w14:ligatures w14:val="standardContextual"/>
        </w:rPr>
        <w:t>derivada de acciones u omisiones imputables en el marco de su actividad contractual</w:t>
      </w:r>
      <w:r w:rsidRPr="00FC25B9">
        <w:rPr>
          <w:rFonts w:ascii="Verdana" w:hAnsi="Verdana" w:cs="Arial"/>
          <w:color w:val="000000" w:themeColor="text1"/>
          <w:kern w:val="2"/>
          <w:lang w:val="es-ES"/>
          <w14:ligatures w14:val="standardContextual"/>
        </w:rPr>
        <w:t>, conforme a lo dispuesto en los numerales 3 y 6 del artículo 58 de la Ley 80 de 1993</w:t>
      </w:r>
      <w:r w:rsidRPr="00FC25B9">
        <w:rPr>
          <w:rFonts w:ascii="Verdana" w:eastAsia="Calibri" w:hAnsi="Verdana" w:cs="Arial"/>
          <w:kern w:val="2"/>
          <w:lang w:val="es-ES"/>
          <w14:ligatures w14:val="standardContextual"/>
        </w:rPr>
        <w:t>.</w:t>
      </w:r>
    </w:p>
    <w:p w14:paraId="230E243B" w14:textId="77777777" w:rsidR="00D660B1" w:rsidRPr="00FC25B9" w:rsidRDefault="00D660B1" w:rsidP="00D660B1">
      <w:pPr>
        <w:spacing w:after="120" w:line="276" w:lineRule="auto"/>
        <w:ind w:firstLine="708"/>
        <w:jc w:val="both"/>
        <w:rPr>
          <w:rFonts w:ascii="Verdana" w:eastAsia="Calibri" w:hAnsi="Verdana" w:cs="Arial"/>
          <w:color w:val="000000"/>
          <w:kern w:val="2"/>
          <w:lang w:val="es-ES"/>
          <w14:ligatures w14:val="standardContextual"/>
        </w:rPr>
      </w:pPr>
      <w:r w:rsidRPr="00FC25B9">
        <w:rPr>
          <w:rFonts w:ascii="Verdana" w:eastAsiaTheme="minorEastAsia" w:hAnsi="Verdana" w:cs="Arial"/>
          <w:color w:val="000000" w:themeColor="text1"/>
          <w:kern w:val="2"/>
          <w:lang w:val="es-ES"/>
          <w14:ligatures w14:val="standardContextual"/>
        </w:rPr>
        <w:t xml:space="preserve">En este contexto, en aquellos casos en los que se declare la </w:t>
      </w:r>
      <w:r w:rsidRPr="00881BD5">
        <w:rPr>
          <w:rFonts w:ascii="Verdana" w:eastAsiaTheme="minorEastAsia" w:hAnsi="Verdana" w:cs="Arial"/>
          <w:i/>
          <w:iCs/>
          <w:color w:val="000000" w:themeColor="text1"/>
          <w:kern w:val="2"/>
          <w:lang w:val="es-ES"/>
          <w14:ligatures w14:val="standardContextual"/>
        </w:rPr>
        <w:t>responsabilidad civil</w:t>
      </w:r>
      <w:r w:rsidRPr="00FC25B9">
        <w:rPr>
          <w:rFonts w:ascii="Verdana" w:eastAsiaTheme="minorEastAsia" w:hAnsi="Verdana" w:cs="Arial"/>
          <w:color w:val="000000" w:themeColor="text1"/>
          <w:kern w:val="2"/>
          <w:lang w:val="es-ES"/>
          <w14:ligatures w14:val="standardContextual"/>
        </w:rPr>
        <w:t xml:space="preserve"> de un particular o de una persona jurídica y con ello se configure la correspondiente inhabilidad conforme lo previsto en los numerales 3 y 6 del artículo 58 de la Ley 80 de 1993, dicha información debe ser debidamente reportada, registrada y mantenida en el RUP durante el término legal aplicable. Ello permitirá a las </w:t>
      </w:r>
      <w:r>
        <w:rPr>
          <w:rFonts w:ascii="Verdana" w:eastAsiaTheme="minorEastAsia" w:hAnsi="Verdana" w:cs="Arial"/>
          <w:color w:val="000000" w:themeColor="text1"/>
          <w:kern w:val="2"/>
          <w:lang w:val="es-ES"/>
          <w14:ligatures w14:val="standardContextual"/>
        </w:rPr>
        <w:t>E</w:t>
      </w:r>
      <w:r w:rsidRPr="00FC25B9">
        <w:rPr>
          <w:rFonts w:ascii="Verdana" w:eastAsiaTheme="minorEastAsia" w:hAnsi="Verdana" w:cs="Arial"/>
          <w:color w:val="000000" w:themeColor="text1"/>
          <w:kern w:val="2"/>
          <w:lang w:val="es-ES"/>
          <w14:ligatures w14:val="standardContextual"/>
        </w:rPr>
        <w:t xml:space="preserve">ntidades </w:t>
      </w:r>
      <w:r>
        <w:rPr>
          <w:rFonts w:ascii="Verdana" w:eastAsiaTheme="minorEastAsia" w:hAnsi="Verdana" w:cs="Arial"/>
          <w:color w:val="000000" w:themeColor="text1"/>
          <w:kern w:val="2"/>
          <w:lang w:val="es-ES"/>
          <w14:ligatures w14:val="standardContextual"/>
        </w:rPr>
        <w:t>E</w:t>
      </w:r>
      <w:r w:rsidRPr="00FC25B9">
        <w:rPr>
          <w:rFonts w:ascii="Verdana" w:eastAsiaTheme="minorEastAsia" w:hAnsi="Verdana" w:cs="Arial"/>
          <w:color w:val="000000" w:themeColor="text1"/>
          <w:kern w:val="2"/>
          <w:lang w:val="es-ES"/>
          <w14:ligatures w14:val="standardContextual"/>
        </w:rPr>
        <w:t xml:space="preserve">statales verificar de manera previa a la adjudicación o celebración del contrato que el proponente no se encuentra incurso en causales de inhabilidad, reduciendo riesgos jurídicos y garantizando la observancia del régimen de inhabilidades e incompatibilidades. </w:t>
      </w:r>
    </w:p>
    <w:p w14:paraId="7090BE00" w14:textId="77777777" w:rsidR="00D660B1" w:rsidRPr="00FC25B9" w:rsidRDefault="00D660B1" w:rsidP="00D660B1">
      <w:pPr>
        <w:spacing w:after="120" w:line="276" w:lineRule="auto"/>
        <w:ind w:firstLine="708"/>
        <w:jc w:val="both"/>
        <w:rPr>
          <w:rFonts w:ascii="Verdana" w:eastAsia="Calibri" w:hAnsi="Verdana" w:cs="Arial"/>
          <w:kern w:val="2"/>
          <w14:ligatures w14:val="standardContextual"/>
        </w:rPr>
      </w:pPr>
      <w:r w:rsidRPr="00FC25B9">
        <w:rPr>
          <w:rFonts w:ascii="Verdana" w:eastAsia="Calibri" w:hAnsi="Verdana" w:cs="Arial"/>
          <w:kern w:val="2"/>
          <w:lang w:val="es-ES"/>
          <w14:ligatures w14:val="standardContextual"/>
        </w:rPr>
        <w:t xml:space="preserve">Así las cosas, la modificación establece las reglas conforme a las cuales las Entidades Estatales deberán remitir </w:t>
      </w:r>
      <w:r>
        <w:rPr>
          <w:rFonts w:ascii="Verdana" w:eastAsia="Calibri" w:hAnsi="Verdana" w:cs="Arial"/>
          <w:kern w:val="2"/>
          <w:lang w:val="es-ES"/>
          <w14:ligatures w14:val="standardContextual"/>
        </w:rPr>
        <w:t>dicha</w:t>
      </w:r>
      <w:r w:rsidRPr="00FC25B9">
        <w:rPr>
          <w:rFonts w:ascii="Verdana" w:eastAsia="Calibri" w:hAnsi="Verdana" w:cs="Arial"/>
          <w:kern w:val="2"/>
          <w:lang w:val="es-ES"/>
          <w14:ligatures w14:val="standardContextual"/>
        </w:rPr>
        <w:t xml:space="preserve"> información, con el fin de asegurar su adecuada incorporación y permanencia en el Registro Único de Proponentes.</w:t>
      </w:r>
      <w:r w:rsidRPr="00FC25B9">
        <w:rPr>
          <w:rFonts w:ascii="Verdana" w:eastAsia="Calibri" w:hAnsi="Verdana" w:cs="Arial"/>
          <w:color w:val="000000"/>
          <w:kern w:val="2"/>
          <w:lang w:val="es-ES"/>
          <w14:ligatures w14:val="standardContextual"/>
        </w:rPr>
        <w:t xml:space="preserve"> </w:t>
      </w:r>
      <w:r w:rsidRPr="00FC25B9">
        <w:rPr>
          <w:rFonts w:ascii="Verdana" w:eastAsia="Calibri" w:hAnsi="Verdana" w:cs="Arial"/>
          <w:kern w:val="2"/>
          <w:lang w:val="es-ES"/>
          <w14:ligatures w14:val="standardContextual"/>
        </w:rPr>
        <w:t>En este sentido, se incluye un parágrafo al artículo 2.2.1.1.1.5.7 del Decreto 1082 de 2015, el cual</w:t>
      </w:r>
      <w:r w:rsidRPr="00FC25B9">
        <w:rPr>
          <w:rFonts w:ascii="Verdana" w:hAnsi="Verdana" w:cs="Arial"/>
          <w:color w:val="000000" w:themeColor="text1"/>
          <w:kern w:val="2"/>
          <w:lang w:val="es-ES"/>
          <w14:ligatures w14:val="standardContextual"/>
        </w:rPr>
        <w:t xml:space="preserve">: i) </w:t>
      </w:r>
      <w:r w:rsidRPr="00FC25B9">
        <w:rPr>
          <w:rFonts w:ascii="Verdana" w:hAnsi="Verdana" w:cs="Arial"/>
          <w:color w:val="000000" w:themeColor="text1"/>
          <w:kern w:val="2"/>
          <w14:ligatures w14:val="standardContextual"/>
        </w:rPr>
        <w:t xml:space="preserve">desarrolla el deber de remisión mensual de información previsto en el artículo para los casos en que se configure la inhabilidad derivada de una sentencia ejecutoriada que declare la </w:t>
      </w:r>
      <w:r w:rsidRPr="00881BD5">
        <w:rPr>
          <w:rFonts w:ascii="Verdana" w:hAnsi="Verdana" w:cs="Arial"/>
          <w:i/>
          <w:iCs/>
          <w:color w:val="000000" w:themeColor="text1"/>
          <w:kern w:val="2"/>
          <w14:ligatures w14:val="standardContextual"/>
        </w:rPr>
        <w:t>responsabilidad civil</w:t>
      </w:r>
      <w:r w:rsidRPr="00FC25B9">
        <w:rPr>
          <w:rFonts w:ascii="Verdana" w:hAnsi="Verdana" w:cs="Arial"/>
          <w:color w:val="000000" w:themeColor="text1"/>
          <w:kern w:val="2"/>
          <w14:ligatures w14:val="standardContextual"/>
        </w:rPr>
        <w:t xml:space="preserve"> de un particular o de una persona jurídica, en los términos de los numerales 3 y 6 del artículo 58 de la Ley 80 de 1993</w:t>
      </w:r>
      <w:r>
        <w:rPr>
          <w:rFonts w:ascii="Verdana" w:eastAsia="Calibri" w:hAnsi="Verdana" w:cs="Arial"/>
          <w:kern w:val="2"/>
          <w:lang w:val="es-ES"/>
          <w14:ligatures w14:val="standardContextual"/>
        </w:rPr>
        <w:t>;</w:t>
      </w:r>
      <w:r w:rsidRPr="00FC25B9">
        <w:rPr>
          <w:rFonts w:ascii="Verdana" w:eastAsia="Calibri" w:hAnsi="Verdana" w:cs="Arial"/>
          <w:kern w:val="2"/>
          <w:lang w:val="es-ES"/>
          <w14:ligatures w14:val="standardContextual"/>
        </w:rPr>
        <w:t xml:space="preserve"> </w:t>
      </w:r>
      <w:proofErr w:type="spellStart"/>
      <w:r w:rsidRPr="00FC25B9">
        <w:rPr>
          <w:rFonts w:ascii="Verdana" w:eastAsia="Calibri" w:hAnsi="Verdana" w:cs="Arial"/>
          <w:kern w:val="2"/>
          <w:lang w:val="es-ES"/>
          <w14:ligatures w14:val="standardContextual"/>
        </w:rPr>
        <w:t>ii</w:t>
      </w:r>
      <w:proofErr w:type="spellEnd"/>
      <w:r w:rsidRPr="00FC25B9">
        <w:rPr>
          <w:rFonts w:ascii="Verdana" w:eastAsia="Calibri" w:hAnsi="Verdana" w:cs="Arial"/>
          <w:kern w:val="2"/>
          <w:lang w:val="es-ES"/>
          <w14:ligatures w14:val="standardContextual"/>
        </w:rPr>
        <w:t xml:space="preserve">) determina los documentos que la Entidad Estatal debe remitir a la respectiva cámara de comercio para acreditar la </w:t>
      </w:r>
      <w:r w:rsidRPr="00FC25B9">
        <w:rPr>
          <w:rFonts w:ascii="Verdana" w:eastAsia="Calibri" w:hAnsi="Verdana" w:cs="Arial"/>
          <w:kern w:val="2"/>
          <w:lang w:val="es-ES"/>
          <w14:ligatures w14:val="standardContextual"/>
        </w:rPr>
        <w:lastRenderedPageBreak/>
        <w:t>configuración de la inhabilidad, consistentes en la providencia judicial que declara la responsabilidad civil y la constancia de ejecutoria y firmeza de la misma</w:t>
      </w:r>
      <w:r>
        <w:rPr>
          <w:rFonts w:ascii="Verdana" w:eastAsia="Calibri" w:hAnsi="Verdana" w:cs="Arial"/>
          <w:kern w:val="2"/>
          <w:lang w:val="es-ES"/>
          <w14:ligatures w14:val="standardContextual"/>
        </w:rPr>
        <w:t>;</w:t>
      </w:r>
      <w:r w:rsidRPr="00FC25B9">
        <w:rPr>
          <w:rFonts w:ascii="Verdana" w:eastAsia="Calibri" w:hAnsi="Verdana" w:cs="Arial"/>
          <w:kern w:val="2"/>
          <w:lang w:val="es-ES"/>
          <w14:ligatures w14:val="standardContextual"/>
        </w:rPr>
        <w:t xml:space="preserve"> </w:t>
      </w:r>
      <w:proofErr w:type="spellStart"/>
      <w:r w:rsidRPr="00FC25B9">
        <w:rPr>
          <w:rFonts w:ascii="Verdana" w:eastAsia="Calibri" w:hAnsi="Verdana" w:cs="Arial"/>
          <w:kern w:val="2"/>
          <w:lang w:val="es-ES"/>
          <w14:ligatures w14:val="standardContextual"/>
        </w:rPr>
        <w:t>iii</w:t>
      </w:r>
      <w:proofErr w:type="spellEnd"/>
      <w:r w:rsidRPr="00FC25B9">
        <w:rPr>
          <w:rFonts w:ascii="Verdana" w:eastAsia="Calibri" w:hAnsi="Verdana" w:cs="Arial"/>
          <w:kern w:val="2"/>
          <w:lang w:val="es-ES"/>
          <w14:ligatures w14:val="standardContextual"/>
        </w:rPr>
        <w:t xml:space="preserve">) </w:t>
      </w:r>
      <w:r w:rsidRPr="00FC25B9">
        <w:rPr>
          <w:rFonts w:ascii="Verdana" w:eastAsia="Calibri" w:hAnsi="Verdana" w:cs="Arial"/>
          <w:kern w:val="2"/>
          <w14:ligatures w14:val="standardContextual"/>
        </w:rPr>
        <w:t>establece la incorporación de dicha información en el RUP, con el fin de garantizar su publicidad y consulta por parte de las entidades estatales y demás interesados</w:t>
      </w:r>
      <w:r>
        <w:rPr>
          <w:rFonts w:ascii="Verdana" w:eastAsia="Calibri" w:hAnsi="Verdana" w:cs="Arial"/>
          <w:kern w:val="2"/>
          <w14:ligatures w14:val="standardContextual"/>
        </w:rPr>
        <w:t>;</w:t>
      </w:r>
      <w:r w:rsidRPr="00FC25B9">
        <w:rPr>
          <w:rFonts w:ascii="Verdana" w:eastAsia="Calibri" w:hAnsi="Verdana" w:cs="Arial"/>
          <w:kern w:val="2"/>
          <w14:ligatures w14:val="standardContextual"/>
        </w:rPr>
        <w:t xml:space="preserve"> </w:t>
      </w:r>
      <w:proofErr w:type="spellStart"/>
      <w:r w:rsidRPr="00FC25B9">
        <w:rPr>
          <w:rFonts w:ascii="Verdana" w:eastAsia="Calibri" w:hAnsi="Verdana" w:cs="Arial"/>
          <w:kern w:val="2"/>
          <w14:ligatures w14:val="standardContextual"/>
        </w:rPr>
        <w:t>iv</w:t>
      </w:r>
      <w:proofErr w:type="spellEnd"/>
      <w:r w:rsidRPr="00FC25B9">
        <w:rPr>
          <w:rFonts w:ascii="Verdana" w:eastAsia="Calibri" w:hAnsi="Verdana" w:cs="Arial"/>
          <w:kern w:val="2"/>
          <w14:ligatures w14:val="standardContextual"/>
        </w:rPr>
        <w:t>) precisa que la información relativa a la inhabilidad deberá permanecer en el certificado del RUP durante el término legal de su vigencia, esto es, diez (10) años contados a partir de la ejecutoria de la sentencia que declare la responsabilidad civil</w:t>
      </w:r>
      <w:r>
        <w:rPr>
          <w:rFonts w:ascii="Verdana" w:eastAsia="Calibri" w:hAnsi="Verdana" w:cs="Arial"/>
          <w:kern w:val="2"/>
          <w14:ligatures w14:val="standardContextual"/>
        </w:rPr>
        <w:t>;</w:t>
      </w:r>
      <w:r w:rsidRPr="00FC25B9">
        <w:rPr>
          <w:rFonts w:ascii="Verdana" w:eastAsia="Calibri" w:hAnsi="Verdana" w:cs="Arial"/>
          <w:kern w:val="2"/>
          <w14:ligatures w14:val="standardContextual"/>
        </w:rPr>
        <w:t xml:space="preserve"> y v)  contempla el deber de reportar las decisiones judiciales posteriores que modifiquen, revoquen o afecten la existencia de la inhabilidad y su vigencia, con el propósito de mantener actualizada la información registrada en el RUP.</w:t>
      </w:r>
    </w:p>
    <w:p w14:paraId="7BD60CA5" w14:textId="77777777" w:rsidR="00D660B1" w:rsidRPr="00FC25B9" w:rsidRDefault="00D660B1" w:rsidP="00D660B1">
      <w:pPr>
        <w:spacing w:after="120" w:line="276" w:lineRule="auto"/>
        <w:ind w:firstLine="708"/>
        <w:jc w:val="both"/>
        <w:rPr>
          <w:rFonts w:ascii="Verdana" w:eastAsia="Calibri" w:hAnsi="Verdana" w:cs="Arial"/>
          <w:kern w:val="2"/>
          <w14:ligatures w14:val="standardContextual"/>
        </w:rPr>
      </w:pPr>
      <w:r w:rsidRPr="00FC25B9">
        <w:rPr>
          <w:rFonts w:ascii="Verdana" w:eastAsia="Calibri" w:hAnsi="Verdana" w:cs="Arial"/>
          <w:kern w:val="2"/>
          <w14:ligatures w14:val="standardContextual"/>
        </w:rPr>
        <w:t xml:space="preserve">En virtud de lo anterior el texto actualmente vigente del artículo es el siguiente, conforme a la modificación introducida por el artículo 3 del Decreto </w:t>
      </w:r>
      <w:r>
        <w:rPr>
          <w:rFonts w:ascii="Verdana" w:eastAsia="Calibri" w:hAnsi="Verdana" w:cs="Arial"/>
          <w:kern w:val="2"/>
          <w14:ligatures w14:val="standardContextual"/>
        </w:rPr>
        <w:t>0</w:t>
      </w:r>
      <w:r w:rsidRPr="00FC25B9">
        <w:rPr>
          <w:rFonts w:ascii="Verdana" w:eastAsia="Calibri" w:hAnsi="Verdana" w:cs="Arial"/>
          <w:kern w:val="2"/>
          <w14:ligatures w14:val="standardContextual"/>
        </w:rPr>
        <w:t>997 de 2026:</w:t>
      </w:r>
    </w:p>
    <w:p w14:paraId="5DAFFF84" w14:textId="77777777" w:rsidR="00D660B1" w:rsidRPr="00FC25B9" w:rsidRDefault="00D660B1" w:rsidP="00D660B1">
      <w:pPr>
        <w:spacing w:after="120" w:line="240" w:lineRule="auto"/>
        <w:ind w:left="709" w:right="709"/>
        <w:jc w:val="both"/>
        <w:rPr>
          <w:rFonts w:ascii="Verdana" w:eastAsia="Calibri" w:hAnsi="Verdana" w:cs="Arial"/>
          <w:color w:val="000000"/>
          <w:kern w:val="2"/>
          <w:sz w:val="20"/>
          <w:szCs w:val="20"/>
          <w14:ligatures w14:val="standardContextual"/>
        </w:rPr>
      </w:pPr>
      <w:r w:rsidRPr="00FC25B9">
        <w:rPr>
          <w:rFonts w:ascii="Verdana" w:eastAsia="Calibri" w:hAnsi="Verdana" w:cs="Arial"/>
          <w:color w:val="000000"/>
          <w:kern w:val="2"/>
          <w:sz w:val="20"/>
          <w:szCs w:val="20"/>
          <w14:ligatures w14:val="standardContextual"/>
        </w:rPr>
        <w:t>“</w:t>
      </w:r>
      <w:r w:rsidRPr="000D3391">
        <w:rPr>
          <w:rFonts w:ascii="Verdana" w:eastAsia="Calibri" w:hAnsi="Verdana" w:cs="Arial"/>
          <w:color w:val="000000"/>
          <w:kern w:val="2"/>
          <w:sz w:val="20"/>
          <w:szCs w:val="20"/>
          <w:lang/>
          <w14:ligatures w14:val="standardContextual"/>
        </w:rPr>
        <w:t>Artículo 3. Modifíquese el artículo 2.2.1.1.1.5.7 de la Subsección 5 de la Sección 1 del Capítulo 1 del Título 1 de la Parte 2 del Libro 2 del Decreto 1082 de 2015, Único Reglamentario del Sector Administrativo de Planeación Nacional, el cual quedará de la siguiente manera:</w:t>
      </w:r>
    </w:p>
    <w:p w14:paraId="43EA423F" w14:textId="77777777" w:rsidR="00D660B1" w:rsidRPr="000D3391" w:rsidRDefault="00D660B1" w:rsidP="00D660B1">
      <w:pPr>
        <w:spacing w:after="120" w:line="240" w:lineRule="auto"/>
        <w:ind w:left="709" w:right="709"/>
        <w:jc w:val="both"/>
        <w:rPr>
          <w:rFonts w:ascii="Verdana" w:eastAsia="Calibri" w:hAnsi="Verdana" w:cs="Arial"/>
          <w:color w:val="000000"/>
          <w:kern w:val="2"/>
          <w:sz w:val="20"/>
          <w:szCs w:val="20"/>
          <w:lang/>
          <w14:ligatures w14:val="standardContextual"/>
        </w:rPr>
      </w:pPr>
      <w:r w:rsidRPr="000D3391">
        <w:rPr>
          <w:rFonts w:ascii="Verdana" w:eastAsia="Calibri" w:hAnsi="Verdana" w:cs="Arial"/>
          <w:color w:val="000000"/>
          <w:kern w:val="2"/>
          <w:sz w:val="20"/>
          <w:szCs w:val="20"/>
          <w:lang/>
          <w14:ligatures w14:val="standardContextual"/>
        </w:rPr>
        <w:t>Articulo 2.2.1.1.1.5.7. Información de multas, sanciones, inhabilidades y actividad contractual. Las Entidades Estatales deben enviar mensualmente a las cámaras de comercio de su domicilio, copia de los actos administrativos en firme, por medio de los cuales impusieron multas y sanciones y de las inhabilidades resultantes de los contratos que hayan suscrito, y de la información de los Procesos de Contratación en los términos del artículo 6" de la Ley 1150 de 2007. Para el efecto las cámaras de comercio pueden establecer mecanismos electrónicos para recibir la información mencionada. El registro de las sanciones e inhabilidades debe permanecer en el certificado del RUP por el término de la sanción o de la inhabilidad. La información relativa a multas debe permanecer en el certificado del RUP por un año, contado a partir de la publicación de la misma.</w:t>
      </w:r>
    </w:p>
    <w:p w14:paraId="0CFC35D2" w14:textId="77777777" w:rsidR="00D660B1" w:rsidRPr="00FC25B9" w:rsidRDefault="00D660B1" w:rsidP="00D660B1">
      <w:pPr>
        <w:spacing w:after="120" w:line="240" w:lineRule="auto"/>
        <w:ind w:left="709" w:right="709"/>
        <w:jc w:val="both"/>
        <w:rPr>
          <w:rFonts w:ascii="Verdana" w:eastAsia="Calibri" w:hAnsi="Verdana" w:cs="Arial"/>
          <w:color w:val="000000"/>
          <w:kern w:val="2"/>
          <w:sz w:val="20"/>
          <w:szCs w:val="20"/>
          <w14:ligatures w14:val="standardContextual"/>
        </w:rPr>
      </w:pPr>
      <w:r w:rsidRPr="000D3391">
        <w:rPr>
          <w:rFonts w:ascii="Verdana" w:eastAsia="Calibri" w:hAnsi="Verdana" w:cs="Arial"/>
          <w:color w:val="000000"/>
          <w:kern w:val="2"/>
          <w:sz w:val="20"/>
          <w:szCs w:val="20"/>
          <w:lang/>
          <w14:ligatures w14:val="standardContextual"/>
        </w:rPr>
        <w:t>Las cámaras de comercio deben tener un mecanismo de interoperabilidad con el SECOP para el registro de la información de que trata el presente artículo.</w:t>
      </w:r>
    </w:p>
    <w:p w14:paraId="42A95EFA" w14:textId="77777777" w:rsidR="00D660B1" w:rsidRPr="000D3391" w:rsidRDefault="00D660B1" w:rsidP="00D660B1">
      <w:pPr>
        <w:spacing w:after="120" w:line="240" w:lineRule="auto"/>
        <w:ind w:left="709" w:right="709"/>
        <w:jc w:val="both"/>
        <w:rPr>
          <w:rFonts w:ascii="Verdana" w:eastAsia="Calibri" w:hAnsi="Verdana" w:cs="Arial"/>
          <w:color w:val="000000"/>
          <w:kern w:val="2"/>
          <w:sz w:val="20"/>
          <w:szCs w:val="20"/>
          <w:lang/>
          <w14:ligatures w14:val="standardContextual"/>
        </w:rPr>
      </w:pPr>
      <w:r w:rsidRPr="000D3391">
        <w:rPr>
          <w:rFonts w:ascii="Verdana" w:eastAsia="Calibri" w:hAnsi="Verdana" w:cs="Arial"/>
          <w:color w:val="000000"/>
          <w:kern w:val="2"/>
          <w:sz w:val="20"/>
          <w:szCs w:val="20"/>
          <w:lang/>
          <w14:ligatures w14:val="standardContextual"/>
        </w:rPr>
        <w:t xml:space="preserve">Parágrafo. De conformidad con el deber de remisión mensual establecido en el inciso primero, la Entidad Estatal deberá enviar a la cámara de comercio de su domicilio la información correspondiente a las inhabilidades previstas en los numerales 3 y 6 del artículo 58 de la Ley 80 de 1993, </w:t>
      </w:r>
      <w:r w:rsidRPr="000D3391">
        <w:rPr>
          <w:rFonts w:ascii="Verdana" w:eastAsia="Calibri" w:hAnsi="Verdana" w:cs="Arial"/>
          <w:i/>
          <w:iCs/>
          <w:color w:val="000000"/>
          <w:kern w:val="2"/>
          <w:sz w:val="20"/>
          <w:szCs w:val="20"/>
          <w:u w:val="single"/>
          <w:lang/>
          <w14:ligatures w14:val="standardContextual"/>
        </w:rPr>
        <w:t xml:space="preserve">cuando una sentencia ejecutoriada declare la responsabilidad civil de un particular o de una persona jurídica por hechos u omisiones que le sean </w:t>
      </w:r>
      <w:r w:rsidRPr="000D3391">
        <w:rPr>
          <w:rFonts w:ascii="Verdana" w:eastAsia="Calibri" w:hAnsi="Verdana" w:cs="Arial"/>
          <w:i/>
          <w:iCs/>
          <w:color w:val="000000"/>
          <w:kern w:val="2"/>
          <w:sz w:val="20"/>
          <w:szCs w:val="20"/>
          <w:u w:val="single"/>
          <w:lang/>
          <w14:ligatures w14:val="standardContextual"/>
        </w:rPr>
        <w:lastRenderedPageBreak/>
        <w:t>imputables en relación con la actuación contractual con dicha Entidad Estatal</w:t>
      </w:r>
      <w:r w:rsidRPr="000D3391">
        <w:rPr>
          <w:rFonts w:ascii="Verdana" w:eastAsia="Calibri" w:hAnsi="Verdana" w:cs="Arial"/>
          <w:color w:val="000000"/>
          <w:kern w:val="2"/>
          <w:sz w:val="20"/>
          <w:szCs w:val="20"/>
          <w:lang/>
          <w14:ligatures w14:val="standardContextual"/>
        </w:rPr>
        <w:t>. Para tal efecto, deberá remitir copia de la sentencia judicial y la constancia de ejecutoria y firmeza de esta, para su incorporación en el RUP de las personas que se encuentren inscritas en este registro</w:t>
      </w:r>
      <w:r w:rsidRPr="00FC25B9">
        <w:rPr>
          <w:rFonts w:ascii="Verdana" w:eastAsia="Calibri" w:hAnsi="Verdana" w:cs="Arial"/>
          <w:color w:val="000000"/>
          <w:kern w:val="2"/>
          <w:sz w:val="20"/>
          <w:szCs w:val="20"/>
          <w14:ligatures w14:val="standardContextual"/>
        </w:rPr>
        <w:t xml:space="preserve">. </w:t>
      </w:r>
    </w:p>
    <w:p w14:paraId="76AD84AB" w14:textId="77777777" w:rsidR="00D660B1" w:rsidRPr="000D3391" w:rsidRDefault="00D660B1" w:rsidP="00D660B1">
      <w:pPr>
        <w:spacing w:after="120" w:line="240" w:lineRule="auto"/>
        <w:ind w:left="709" w:right="709"/>
        <w:jc w:val="both"/>
        <w:rPr>
          <w:rFonts w:ascii="Verdana" w:eastAsia="Calibri" w:hAnsi="Verdana" w:cs="Arial"/>
          <w:color w:val="000000"/>
          <w:kern w:val="2"/>
          <w:sz w:val="20"/>
          <w:szCs w:val="20"/>
          <w:lang/>
          <w14:ligatures w14:val="standardContextual"/>
        </w:rPr>
      </w:pPr>
      <w:r w:rsidRPr="000D3391">
        <w:rPr>
          <w:rFonts w:ascii="Verdana" w:eastAsia="Calibri" w:hAnsi="Verdana" w:cs="Arial"/>
          <w:color w:val="000000"/>
          <w:kern w:val="2"/>
          <w:sz w:val="20"/>
          <w:szCs w:val="20"/>
          <w:lang/>
          <w14:ligatures w14:val="standardContextual"/>
        </w:rPr>
        <w:t>La información relativa a esta inhabilidad deberá permanecer en el certificado del RUP durante el término previsto en los numerales 3 y 6 del artículo 58 de la Ley 80 de 1993, esto es, por diez (10) años contados a partir de la ejecutoria de la sentencia que declare la responsabilidad civil.</w:t>
      </w:r>
    </w:p>
    <w:p w14:paraId="79C78AE1" w14:textId="77777777" w:rsidR="00D660B1" w:rsidRPr="000D3391" w:rsidRDefault="00D660B1" w:rsidP="00D660B1">
      <w:pPr>
        <w:spacing w:after="120" w:line="240" w:lineRule="auto"/>
        <w:ind w:left="709" w:right="709"/>
        <w:jc w:val="both"/>
        <w:rPr>
          <w:rFonts w:ascii="Verdana" w:eastAsia="Calibri" w:hAnsi="Verdana" w:cs="Arial"/>
          <w:color w:val="000000"/>
          <w:kern w:val="2"/>
          <w:sz w:val="20"/>
          <w:szCs w:val="20"/>
          <w:lang/>
          <w14:ligatures w14:val="standardContextual"/>
        </w:rPr>
      </w:pPr>
      <w:r w:rsidRPr="000D3391">
        <w:rPr>
          <w:rFonts w:ascii="Verdana" w:eastAsia="Calibri" w:hAnsi="Verdana" w:cs="Arial"/>
          <w:color w:val="000000"/>
          <w:kern w:val="2"/>
          <w:sz w:val="20"/>
          <w:szCs w:val="20"/>
          <w:lang/>
          <w14:ligatures w14:val="standardContextual"/>
        </w:rPr>
        <w:t>Igualmente, la Entidad Estatal deberá remitir a la respectiva cámara de comercio la información correspondiente a las decisiones judiciales que modifiquen, revoquen o dejen sin efectos la providencia que dio lugar a la inhabilidad, adjuntando copia de la decisión respectiva y la constancia de ejecutoria y firmeza, con el fin de que se realicen las actualizaciones a que haya lugar en el certificado del RUP</w:t>
      </w:r>
      <w:r w:rsidRPr="00FC25B9">
        <w:rPr>
          <w:rFonts w:ascii="Verdana" w:eastAsia="Calibri" w:hAnsi="Verdana" w:cs="Arial"/>
          <w:color w:val="000000"/>
          <w:kern w:val="2"/>
          <w:sz w:val="20"/>
          <w:szCs w:val="20"/>
          <w14:ligatures w14:val="standardContextual"/>
        </w:rPr>
        <w:t>”. [Énfasis propio]</w:t>
      </w:r>
    </w:p>
    <w:p w14:paraId="7727D631" w14:textId="77777777" w:rsidR="00D660B1" w:rsidRPr="00FC25B9" w:rsidRDefault="00D660B1" w:rsidP="00D660B1">
      <w:pPr>
        <w:spacing w:after="0" w:line="276" w:lineRule="auto"/>
        <w:ind w:left="709" w:right="709"/>
        <w:jc w:val="both"/>
        <w:rPr>
          <w:rFonts w:ascii="Verdana" w:eastAsia="Calibri" w:hAnsi="Verdana" w:cs="Arial"/>
          <w:color w:val="000000"/>
          <w:kern w:val="2"/>
          <w:sz w:val="20"/>
          <w:szCs w:val="20"/>
          <w14:ligatures w14:val="standardContextual"/>
        </w:rPr>
      </w:pPr>
    </w:p>
    <w:p w14:paraId="4E510AC3" w14:textId="77777777" w:rsidR="00D660B1" w:rsidRPr="00FC25B9" w:rsidRDefault="00D660B1" w:rsidP="00D660B1">
      <w:pPr>
        <w:spacing w:after="120" w:line="276" w:lineRule="auto"/>
        <w:ind w:firstLine="709"/>
        <w:jc w:val="both"/>
        <w:rPr>
          <w:rFonts w:ascii="Verdana" w:eastAsia="Calibri" w:hAnsi="Verdana" w:cs="Arial"/>
          <w:color w:val="000000"/>
          <w:kern w:val="2"/>
          <w14:ligatures w14:val="standardContextual"/>
        </w:rPr>
      </w:pPr>
      <w:r w:rsidRPr="00FC25B9">
        <w:rPr>
          <w:rFonts w:ascii="Verdana" w:eastAsia="Calibri" w:hAnsi="Verdana" w:cs="Arial"/>
          <w:color w:val="000000"/>
          <w:kern w:val="2"/>
          <w14:ligatures w14:val="standardContextual"/>
        </w:rPr>
        <w:t xml:space="preserve">Con respecto a su consulta, el </w:t>
      </w:r>
      <w:r w:rsidRPr="00651208">
        <w:rPr>
          <w:rFonts w:ascii="Verdana" w:eastAsia="Calibri" w:hAnsi="Verdana" w:cs="Arial"/>
          <w:color w:val="000000"/>
          <w:kern w:val="2"/>
          <w14:ligatures w14:val="standardContextual"/>
        </w:rPr>
        <w:t xml:space="preserve">supuesto de hecho de la nueva obligación dispone que la entidad debe remitir a la cámara de comercio la información de las inhabilidades de los numerales 3 y 6 del artículo 58 de la Ley 80 de 1993 únicamente "cuando una sentencia ejecutoriada declare la </w:t>
      </w:r>
      <w:r w:rsidRPr="00651208">
        <w:rPr>
          <w:rFonts w:ascii="Verdana" w:eastAsia="Calibri" w:hAnsi="Verdana" w:cs="Arial"/>
          <w:i/>
          <w:iCs/>
          <w:color w:val="000000"/>
          <w:kern w:val="2"/>
          <w14:ligatures w14:val="standardContextual"/>
        </w:rPr>
        <w:t>responsabilidad civil</w:t>
      </w:r>
      <w:r w:rsidRPr="00651208">
        <w:rPr>
          <w:rFonts w:ascii="Verdana" w:eastAsia="Calibri" w:hAnsi="Verdana" w:cs="Arial"/>
          <w:color w:val="000000"/>
          <w:kern w:val="2"/>
          <w14:ligatures w14:val="standardContextual"/>
        </w:rPr>
        <w:t xml:space="preserve"> de un particular o de una persona jurídica por hechos u omisiones que le sean imputables en relación con la actuación contractual </w:t>
      </w:r>
      <w:r w:rsidRPr="00651208">
        <w:rPr>
          <w:rFonts w:ascii="Verdana" w:eastAsia="Calibri" w:hAnsi="Verdana" w:cs="Arial"/>
          <w:i/>
          <w:iCs/>
          <w:color w:val="000000"/>
          <w:kern w:val="2"/>
          <w:u w:val="single"/>
          <w14:ligatures w14:val="standardContextual"/>
        </w:rPr>
        <w:t>con dicha Entidad Estatal</w:t>
      </w:r>
      <w:r w:rsidRPr="00651208">
        <w:rPr>
          <w:rFonts w:ascii="Verdana" w:eastAsia="Calibri" w:hAnsi="Verdana" w:cs="Arial"/>
          <w:color w:val="000000"/>
          <w:kern w:val="2"/>
          <w14:ligatures w14:val="standardContextual"/>
        </w:rPr>
        <w:t>"</w:t>
      </w:r>
      <w:r w:rsidRPr="00FC25B9">
        <w:rPr>
          <w:rFonts w:ascii="Verdana" w:eastAsia="Calibri" w:hAnsi="Verdana" w:cs="Arial"/>
          <w:color w:val="000000"/>
          <w:kern w:val="2"/>
          <w14:ligatures w14:val="standardContextual"/>
        </w:rPr>
        <w:t xml:space="preserve"> [énfasis propio]. </w:t>
      </w:r>
      <w:r w:rsidRPr="00651208">
        <w:rPr>
          <w:rFonts w:ascii="Verdana" w:eastAsia="Calibri" w:hAnsi="Verdana" w:cs="Arial"/>
          <w:color w:val="000000"/>
          <w:kern w:val="2"/>
          <w14:ligatures w14:val="standardContextual"/>
        </w:rPr>
        <w:t>De esa redacción se derivan dos consecuencias</w:t>
      </w:r>
      <w:r w:rsidRPr="00FC25B9">
        <w:rPr>
          <w:rFonts w:ascii="Verdana" w:eastAsia="Calibri" w:hAnsi="Verdana" w:cs="Arial"/>
          <w:color w:val="000000"/>
          <w:kern w:val="2"/>
          <w14:ligatures w14:val="standardContextual"/>
        </w:rPr>
        <w:t xml:space="preserve">: por una parte, </w:t>
      </w:r>
      <w:r w:rsidRPr="00651208">
        <w:rPr>
          <w:rFonts w:ascii="Verdana" w:eastAsia="Calibri" w:hAnsi="Verdana" w:cs="Arial"/>
          <w:color w:val="000000"/>
          <w:kern w:val="2"/>
          <w14:ligatures w14:val="standardContextual"/>
        </w:rPr>
        <w:t>la orden de reporte se activa solo con una sentencia que declare responsabilidad civil de un particular o persona jurídica</w:t>
      </w:r>
      <w:r w:rsidRPr="00FC25B9">
        <w:rPr>
          <w:rFonts w:ascii="Verdana" w:eastAsia="Calibri" w:hAnsi="Verdana" w:cs="Arial"/>
          <w:color w:val="000000"/>
          <w:kern w:val="2"/>
          <w14:ligatures w14:val="standardContextual"/>
        </w:rPr>
        <w:t>; por otra, l</w:t>
      </w:r>
      <w:r w:rsidRPr="00651208">
        <w:rPr>
          <w:rFonts w:ascii="Verdana" w:eastAsia="Calibri" w:hAnsi="Verdana" w:cs="Arial"/>
          <w:color w:val="000000"/>
          <w:kern w:val="2"/>
          <w14:ligatures w14:val="standardContextual"/>
        </w:rPr>
        <w:t xml:space="preserve">a responsabilidad civil debe derivarse de la actuación contractual </w:t>
      </w:r>
      <w:r w:rsidRPr="00651208">
        <w:rPr>
          <w:rFonts w:ascii="Verdana" w:eastAsia="Calibri" w:hAnsi="Verdana" w:cs="Arial"/>
          <w:i/>
          <w:iCs/>
          <w:color w:val="000000"/>
          <w:kern w:val="2"/>
          <w14:ligatures w14:val="standardContextual"/>
        </w:rPr>
        <w:t>con la propia entidad que reporta</w:t>
      </w:r>
      <w:r w:rsidRPr="00651208">
        <w:rPr>
          <w:rFonts w:ascii="Verdana" w:eastAsia="Calibri" w:hAnsi="Verdana" w:cs="Arial"/>
          <w:color w:val="000000"/>
          <w:kern w:val="2"/>
          <w14:ligatures w14:val="standardContextual"/>
        </w:rPr>
        <w:t xml:space="preserve">. </w:t>
      </w:r>
      <w:r w:rsidRPr="00FC25B9">
        <w:rPr>
          <w:rFonts w:ascii="Verdana" w:eastAsia="Calibri" w:hAnsi="Verdana" w:cs="Arial"/>
          <w:color w:val="000000"/>
          <w:kern w:val="2"/>
          <w14:ligatures w14:val="standardContextual"/>
        </w:rPr>
        <w:t>En esta medida, n</w:t>
      </w:r>
      <w:r w:rsidRPr="00651208">
        <w:rPr>
          <w:rFonts w:ascii="Verdana" w:eastAsia="Calibri" w:hAnsi="Verdana" w:cs="Arial"/>
          <w:color w:val="000000"/>
          <w:kern w:val="2"/>
          <w14:ligatures w14:val="standardContextual"/>
        </w:rPr>
        <w:t xml:space="preserve">o se trata de cualquier acción civil </w:t>
      </w:r>
      <w:r w:rsidRPr="00FC25B9">
        <w:rPr>
          <w:rFonts w:ascii="Verdana" w:eastAsia="Calibri" w:hAnsi="Verdana" w:cs="Arial"/>
          <w:color w:val="000000"/>
          <w:kern w:val="2"/>
          <w14:ligatures w14:val="standardContextual"/>
        </w:rPr>
        <w:t>ante</w:t>
      </w:r>
      <w:r w:rsidRPr="00651208">
        <w:rPr>
          <w:rFonts w:ascii="Verdana" w:eastAsia="Calibri" w:hAnsi="Verdana" w:cs="Arial"/>
          <w:color w:val="000000"/>
          <w:kern w:val="2"/>
          <w14:ligatures w14:val="standardContextual"/>
        </w:rPr>
        <w:t xml:space="preserve"> la jurisdicción ordinaria </w:t>
      </w:r>
      <w:r w:rsidRPr="00FC25B9">
        <w:rPr>
          <w:rFonts w:ascii="Verdana" w:eastAsia="Calibri" w:hAnsi="Verdana" w:cs="Arial"/>
          <w:color w:val="000000"/>
          <w:kern w:val="2"/>
          <w14:ligatures w14:val="standardContextual"/>
        </w:rPr>
        <w:t>a</w:t>
      </w:r>
      <w:r w:rsidRPr="00651208">
        <w:rPr>
          <w:rFonts w:ascii="Verdana" w:eastAsia="Calibri" w:hAnsi="Verdana" w:cs="Arial"/>
          <w:color w:val="000000"/>
          <w:kern w:val="2"/>
          <w14:ligatures w14:val="standardContextual"/>
        </w:rPr>
        <w:t xml:space="preserve"> la que la entidad</w:t>
      </w:r>
      <w:r w:rsidRPr="00FC25B9">
        <w:rPr>
          <w:rFonts w:ascii="Verdana" w:eastAsia="Calibri" w:hAnsi="Verdana" w:cs="Arial"/>
          <w:color w:val="000000"/>
          <w:kern w:val="2"/>
          <w14:ligatures w14:val="standardContextual"/>
        </w:rPr>
        <w:t xml:space="preserve"> contratante</w:t>
      </w:r>
      <w:r w:rsidRPr="00651208">
        <w:rPr>
          <w:rFonts w:ascii="Verdana" w:eastAsia="Calibri" w:hAnsi="Verdana" w:cs="Arial"/>
          <w:color w:val="000000"/>
          <w:kern w:val="2"/>
          <w14:ligatures w14:val="standardContextual"/>
        </w:rPr>
        <w:t xml:space="preserve"> sea ajena, sino de la responsabilidad del contratista por su conducta contractual frente a esa misma entidad.</w:t>
      </w:r>
      <w:r w:rsidRPr="00FC25B9">
        <w:rPr>
          <w:rFonts w:ascii="Verdana" w:eastAsia="Calibri" w:hAnsi="Verdana" w:cs="Arial"/>
          <w:color w:val="000000"/>
          <w:kern w:val="2"/>
          <w14:ligatures w14:val="standardContextual"/>
        </w:rPr>
        <w:t xml:space="preserve"> C</w:t>
      </w:r>
      <w:r w:rsidRPr="00651208">
        <w:rPr>
          <w:rFonts w:ascii="Verdana" w:eastAsia="Calibri" w:hAnsi="Verdana" w:cs="Arial"/>
          <w:color w:val="000000"/>
          <w:kern w:val="2"/>
          <w14:ligatures w14:val="standardContextual"/>
        </w:rPr>
        <w:t>omo usted bien señala, los conflictos contractuales del Estado se ventilan ante la jurisdicción de lo contencioso administrativo</w:t>
      </w:r>
      <w:r w:rsidRPr="00FC25B9">
        <w:rPr>
          <w:rStyle w:val="Refdenotaalpie"/>
          <w:rFonts w:ascii="Verdana" w:eastAsia="Calibri" w:hAnsi="Verdana" w:cs="Arial"/>
          <w:color w:val="000000"/>
          <w:kern w:val="2"/>
          <w14:ligatures w14:val="standardContextual"/>
        </w:rPr>
        <w:footnoteReference w:id="16"/>
      </w:r>
      <w:r w:rsidRPr="00FC25B9">
        <w:rPr>
          <w:rFonts w:ascii="Verdana" w:eastAsia="Calibri" w:hAnsi="Verdana" w:cs="Arial"/>
          <w:color w:val="000000"/>
          <w:kern w:val="2"/>
          <w14:ligatures w14:val="standardContextual"/>
        </w:rPr>
        <w:t xml:space="preserve">, por el </w:t>
      </w:r>
      <w:r w:rsidRPr="00651208">
        <w:rPr>
          <w:rFonts w:ascii="Verdana" w:eastAsia="Calibri" w:hAnsi="Verdana" w:cs="Arial"/>
          <w:color w:val="000000"/>
          <w:kern w:val="2"/>
          <w14:ligatures w14:val="standardContextual"/>
        </w:rPr>
        <w:t>medio de control de controversias contractuales</w:t>
      </w:r>
      <w:r w:rsidRPr="00FC25B9">
        <w:rPr>
          <w:rFonts w:ascii="Verdana" w:eastAsia="Calibri" w:hAnsi="Verdana" w:cs="Arial"/>
          <w:color w:val="000000"/>
          <w:kern w:val="2"/>
          <w14:ligatures w14:val="standardContextual"/>
        </w:rPr>
        <w:t xml:space="preserve"> del</w:t>
      </w:r>
      <w:r w:rsidRPr="00651208">
        <w:rPr>
          <w:rFonts w:ascii="Verdana" w:eastAsia="Calibri" w:hAnsi="Verdana" w:cs="Arial"/>
          <w:color w:val="000000"/>
          <w:kern w:val="2"/>
          <w14:ligatures w14:val="standardContextual"/>
        </w:rPr>
        <w:t xml:space="preserve"> </w:t>
      </w:r>
      <w:r>
        <w:rPr>
          <w:rFonts w:ascii="Verdana" w:eastAsia="Calibri" w:hAnsi="Verdana" w:cs="Arial"/>
          <w:color w:val="000000"/>
          <w:kern w:val="2"/>
          <w14:ligatures w14:val="standardContextual"/>
        </w:rPr>
        <w:t xml:space="preserve">artículo </w:t>
      </w:r>
      <w:r w:rsidRPr="00651208">
        <w:rPr>
          <w:rFonts w:ascii="Verdana" w:eastAsia="Calibri" w:hAnsi="Verdana" w:cs="Arial"/>
          <w:color w:val="000000"/>
          <w:kern w:val="2"/>
          <w14:ligatures w14:val="standardContextual"/>
        </w:rPr>
        <w:t>141 de</w:t>
      </w:r>
      <w:r>
        <w:rPr>
          <w:rFonts w:ascii="Verdana" w:eastAsia="Calibri" w:hAnsi="Verdana" w:cs="Arial"/>
          <w:color w:val="000000"/>
          <w:kern w:val="2"/>
          <w14:ligatures w14:val="standardContextual"/>
        </w:rPr>
        <w:t xml:space="preserve"> la Ley 1437 de 2011</w:t>
      </w:r>
      <w:r w:rsidRPr="00651208">
        <w:rPr>
          <w:rFonts w:ascii="Verdana" w:eastAsia="Calibri" w:hAnsi="Verdana" w:cs="Arial"/>
          <w:color w:val="000000"/>
          <w:kern w:val="2"/>
          <w14:ligatures w14:val="standardContextual"/>
        </w:rPr>
        <w:t xml:space="preserve"> </w:t>
      </w:r>
      <w:r>
        <w:rPr>
          <w:rFonts w:ascii="Verdana" w:eastAsia="Calibri" w:hAnsi="Verdana" w:cs="Arial"/>
          <w:color w:val="000000"/>
          <w:kern w:val="2"/>
          <w14:ligatures w14:val="standardContextual"/>
        </w:rPr>
        <w:t>(</w:t>
      </w:r>
      <w:r w:rsidRPr="00651208">
        <w:rPr>
          <w:rFonts w:ascii="Verdana" w:eastAsia="Calibri" w:hAnsi="Verdana" w:cs="Arial"/>
          <w:color w:val="000000"/>
          <w:kern w:val="2"/>
          <w14:ligatures w14:val="standardContextual"/>
        </w:rPr>
        <w:t>CPACA</w:t>
      </w:r>
      <w:r>
        <w:rPr>
          <w:rFonts w:ascii="Verdana" w:eastAsia="Calibri" w:hAnsi="Verdana" w:cs="Arial"/>
          <w:color w:val="000000"/>
          <w:kern w:val="2"/>
          <w14:ligatures w14:val="standardContextual"/>
        </w:rPr>
        <w:t>)</w:t>
      </w:r>
      <w:r w:rsidRPr="00651208">
        <w:rPr>
          <w:rFonts w:ascii="Verdana" w:eastAsia="Calibri" w:hAnsi="Verdana" w:cs="Arial"/>
          <w:color w:val="000000"/>
          <w:kern w:val="2"/>
          <w14:ligatures w14:val="standardContextual"/>
        </w:rPr>
        <w:t>, proceso en el cual la entidad es parte necesaria.</w:t>
      </w:r>
      <w:r w:rsidRPr="00FC25B9">
        <w:rPr>
          <w:rFonts w:ascii="Verdana" w:eastAsia="Calibri" w:hAnsi="Verdana" w:cs="Arial"/>
          <w:color w:val="000000"/>
          <w:kern w:val="2"/>
          <w14:ligatures w14:val="standardContextual"/>
        </w:rPr>
        <w:t xml:space="preserve"> En efecto, </w:t>
      </w:r>
      <w:r w:rsidRPr="00651208">
        <w:rPr>
          <w:rFonts w:ascii="Verdana" w:eastAsia="Calibri" w:hAnsi="Verdana" w:cs="Arial"/>
          <w:color w:val="000000"/>
          <w:kern w:val="2"/>
          <w14:ligatures w14:val="standardContextual"/>
        </w:rPr>
        <w:t>el decreto no obliga a las entidades a rastrear sentencias de procesos en los que no intervienen</w:t>
      </w:r>
      <w:r w:rsidRPr="00FC25B9">
        <w:rPr>
          <w:rFonts w:ascii="Verdana" w:eastAsia="Calibri" w:hAnsi="Verdana" w:cs="Arial"/>
          <w:color w:val="000000"/>
          <w:kern w:val="2"/>
          <w14:ligatures w14:val="standardContextual"/>
        </w:rPr>
        <w:t>, sino que vincula la obligación</w:t>
      </w:r>
      <w:r w:rsidRPr="00651208">
        <w:rPr>
          <w:rFonts w:ascii="Verdana" w:eastAsia="Calibri" w:hAnsi="Verdana" w:cs="Arial"/>
          <w:color w:val="000000"/>
          <w:kern w:val="2"/>
          <w14:ligatures w14:val="standardContextual"/>
        </w:rPr>
        <w:t xml:space="preserve"> precisamente a aquellos procesos en los que son parte.</w:t>
      </w:r>
    </w:p>
    <w:p w14:paraId="1616C983" w14:textId="77777777" w:rsidR="00D660B1" w:rsidRDefault="00D660B1" w:rsidP="00EB11C6">
      <w:pPr>
        <w:spacing w:after="0" w:line="276" w:lineRule="auto"/>
        <w:ind w:firstLine="709"/>
        <w:jc w:val="both"/>
        <w:rPr>
          <w:rFonts w:ascii="Verdana" w:eastAsia="Calibri" w:hAnsi="Verdana" w:cs="Arial"/>
          <w:color w:val="000000"/>
          <w:kern w:val="2"/>
          <w14:ligatures w14:val="standardContextual"/>
        </w:rPr>
      </w:pPr>
      <w:r w:rsidRPr="00FC25B9">
        <w:rPr>
          <w:rFonts w:ascii="Verdana" w:eastAsia="Calibri" w:hAnsi="Verdana" w:cs="Arial"/>
          <w:color w:val="000000"/>
          <w:kern w:val="2"/>
          <w14:ligatures w14:val="standardContextual"/>
        </w:rPr>
        <w:lastRenderedPageBreak/>
        <w:t>En consecuencia, bajo el alcance real de la norma, la entidad conoce la sentencia porque es parte del proceso contractual del que emana la declaratoria de responsabilidad. Como sujeto procesal, la entidad está sujeta a las notificaciones del despacho y tiene acceso al expediente. De esta manera, puede obtener copia de la sentencia y</w:t>
      </w:r>
      <w:r w:rsidRPr="00D427BB">
        <w:rPr>
          <w:rFonts w:ascii="Verdana" w:eastAsia="Calibri" w:hAnsi="Verdana" w:cs="Arial"/>
          <w:color w:val="000000"/>
          <w:kern w:val="2"/>
          <w14:ligatures w14:val="standardContextual"/>
        </w:rPr>
        <w:t xml:space="preserve"> de la constancia de ejecutoria directamente del expediente y cumplir con la obligación de reporte ante las cámaras de comercio.</w:t>
      </w:r>
    </w:p>
    <w:p w14:paraId="033D64EF" w14:textId="77777777" w:rsidR="00D660B1" w:rsidRPr="00333FBE" w:rsidRDefault="00D660B1" w:rsidP="00D660B1">
      <w:pPr>
        <w:spacing w:after="0" w:line="276" w:lineRule="auto"/>
        <w:ind w:firstLine="709"/>
        <w:jc w:val="both"/>
        <w:rPr>
          <w:rFonts w:ascii="Verdana" w:eastAsia="Calibri" w:hAnsi="Verdana" w:cs="Arial"/>
          <w:color w:val="000000"/>
          <w:kern w:val="2"/>
          <w14:ligatures w14:val="standardContextual"/>
        </w:rPr>
      </w:pPr>
    </w:p>
    <w:p w14:paraId="6555DD18" w14:textId="77777777" w:rsidR="00D660B1" w:rsidRPr="00B40F72" w:rsidRDefault="00D660B1" w:rsidP="00D660B1">
      <w:pPr>
        <w:tabs>
          <w:tab w:val="left" w:pos="426"/>
        </w:tabs>
        <w:spacing w:after="120" w:line="276" w:lineRule="auto"/>
        <w:jc w:val="both"/>
        <w:rPr>
          <w:rFonts w:ascii="Verdana" w:hAnsi="Verdana" w:cs="Arial"/>
          <w:color w:val="000000" w:themeColor="text1"/>
          <w:lang w:val="es-ES"/>
        </w:rPr>
      </w:pPr>
      <w:proofErr w:type="spellStart"/>
      <w:r>
        <w:rPr>
          <w:rFonts w:ascii="Verdana" w:eastAsia="Verdana" w:hAnsi="Verdana" w:cs="Verdana"/>
          <w:lang w:val="es-ES"/>
        </w:rPr>
        <w:t>ii</w:t>
      </w:r>
      <w:proofErr w:type="spellEnd"/>
      <w:r>
        <w:rPr>
          <w:rFonts w:ascii="Verdana" w:eastAsia="Verdana" w:hAnsi="Verdana" w:cs="Verdana"/>
          <w:lang w:val="es-ES"/>
        </w:rPr>
        <w:t xml:space="preserve">. </w:t>
      </w:r>
      <w:r w:rsidRPr="00B40F72">
        <w:rPr>
          <w:rFonts w:ascii="Verdana" w:eastAsia="Verdana" w:hAnsi="Verdana" w:cs="Verdana"/>
          <w:lang w:val="es-ES"/>
        </w:rPr>
        <w:t xml:space="preserve">Con respecto al segundo problema jurídico planteado, </w:t>
      </w:r>
      <w:r w:rsidRPr="00B40F72">
        <w:rPr>
          <w:rFonts w:ascii="Verdana" w:hAnsi="Verdana" w:cs="Arial"/>
          <w:color w:val="000000" w:themeColor="text1"/>
          <w:lang w:val="es-ES"/>
        </w:rPr>
        <w:t xml:space="preserve">es importante resaltar que la contratación pública puede servir como una herramienta para fomentar condiciones laborales justas, impulsar el desarrollo económico, generar oportunidades para los sectores de la población y las regiones más vulnerables del país, así como promover la compra de bienes y servicios bajo principios de sostenibilidad ambiental. </w:t>
      </w:r>
    </w:p>
    <w:p w14:paraId="2A0FCB5F" w14:textId="77777777" w:rsidR="00D660B1" w:rsidRPr="00B40F72" w:rsidRDefault="00D660B1" w:rsidP="00D660B1">
      <w:pPr>
        <w:tabs>
          <w:tab w:val="left" w:pos="426"/>
        </w:tabs>
        <w:spacing w:after="120" w:line="276" w:lineRule="auto"/>
        <w:ind w:firstLine="709"/>
        <w:jc w:val="both"/>
        <w:rPr>
          <w:rFonts w:ascii="Verdana" w:hAnsi="Verdana" w:cs="Arial"/>
          <w:color w:val="000000" w:themeColor="text1"/>
          <w:lang w:val="es-ES"/>
        </w:rPr>
      </w:pPr>
      <w:r w:rsidRPr="00B40F72">
        <w:rPr>
          <w:rFonts w:ascii="Verdana" w:hAnsi="Verdana" w:cs="Arial"/>
          <w:color w:val="000000" w:themeColor="text1"/>
          <w:lang w:val="es-ES"/>
        </w:rPr>
        <w:t>Estas finalidades reciben diferentes nombres en los diversos contextos en los que se utilizan, algunos recurren al nombre de políticas secundarias, finalidades paralelas, o políticas colaterales u horizontales en materia de contratación</w:t>
      </w:r>
      <w:r w:rsidRPr="00B40F72">
        <w:rPr>
          <w:rFonts w:ascii="Verdana" w:hAnsi="Verdana" w:cs="Arial"/>
          <w:color w:val="000000" w:themeColor="text1"/>
          <w:vertAlign w:val="superscript"/>
          <w:lang w:val="es-ES"/>
        </w:rPr>
        <w:footnoteReference w:id="17"/>
      </w:r>
      <w:r w:rsidRPr="00B40F72">
        <w:rPr>
          <w:rFonts w:ascii="Verdana" w:hAnsi="Verdana" w:cs="Arial"/>
          <w:color w:val="000000" w:themeColor="text1"/>
          <w:lang w:val="es-ES"/>
        </w:rPr>
        <w:t xml:space="preserve">. El concepto de política o finalidad horizontal o colateral pretende subrayar que se trata de políticas no subordinadas o inferiores, sino que acompañan la finalidad principal de la contratación estatal, que es, de conformidad con el artículo 3º de la Ley 80 de 1993, “el cumplimiento de los fines estatales, la continua y eficiente prestación de los servicios públicos y la efectividad de los derechos e intereses de los administrados que colaboran con ellas en la consecución de dichos fines”. </w:t>
      </w:r>
    </w:p>
    <w:p w14:paraId="3AF9CA56" w14:textId="77777777" w:rsidR="00D660B1" w:rsidRPr="00B40F72" w:rsidRDefault="00D660B1" w:rsidP="00D660B1">
      <w:pPr>
        <w:tabs>
          <w:tab w:val="left" w:pos="426"/>
        </w:tabs>
        <w:spacing w:after="120" w:line="276" w:lineRule="auto"/>
        <w:ind w:firstLine="709"/>
        <w:jc w:val="both"/>
        <w:rPr>
          <w:rFonts w:ascii="Verdana" w:hAnsi="Verdana" w:cs="Arial"/>
          <w:lang w:val="es-ES"/>
        </w:rPr>
      </w:pPr>
      <w:r w:rsidRPr="00B40F72">
        <w:rPr>
          <w:rFonts w:ascii="Verdana" w:hAnsi="Verdana" w:cs="Arial"/>
          <w:lang w:val="es-ES" w:eastAsia="es-ES_tradnl"/>
        </w:rPr>
        <w:t>En este sentido, la contratación pública juega un papel determinante en el impulso de políticas públicas pues sirve de instrumento para la consecución de los objetivos de carácter social y medioambiental. Así, mediante la adquisición de bienes y servicios la administración pública puede orientar el comportamiento de los agentes del mercado a través de la inclusión de criterios de sostenibilidad que permitan desarrollar una economía basada en el uso sostenible del capital natural e implementar mejores estándares en términos productivos, ambientales y sociales.</w:t>
      </w:r>
      <w:r w:rsidRPr="00B40F72">
        <w:rPr>
          <w:rFonts w:ascii="Verdana" w:hAnsi="Verdana" w:cs="Arial"/>
          <w:lang w:val="es-ES"/>
        </w:rPr>
        <w:t xml:space="preserve"> </w:t>
      </w:r>
    </w:p>
    <w:p w14:paraId="1BD42261" w14:textId="77777777" w:rsidR="00D660B1" w:rsidRPr="00B40F72" w:rsidRDefault="00D660B1" w:rsidP="00D660B1">
      <w:pPr>
        <w:tabs>
          <w:tab w:val="left" w:pos="426"/>
        </w:tabs>
        <w:spacing w:after="120" w:line="276" w:lineRule="auto"/>
        <w:ind w:firstLine="709"/>
        <w:jc w:val="both"/>
        <w:rPr>
          <w:rFonts w:ascii="Verdana" w:hAnsi="Verdana" w:cs="Arial"/>
          <w:color w:val="000000" w:themeColor="text1"/>
          <w:lang w:val="es-ES"/>
        </w:rPr>
      </w:pPr>
      <w:r w:rsidRPr="00B40F72">
        <w:rPr>
          <w:rFonts w:ascii="Verdana" w:hAnsi="Verdana" w:cs="Arial"/>
          <w:lang w:val="es-ES"/>
        </w:rPr>
        <w:t xml:space="preserve">Así, la denominada </w:t>
      </w:r>
      <w:r w:rsidRPr="00B40F72">
        <w:rPr>
          <w:rFonts w:ascii="Verdana" w:hAnsi="Verdana" w:cs="Arial"/>
          <w:i/>
          <w:iCs/>
          <w:lang w:val="es-ES"/>
        </w:rPr>
        <w:t>contratación estratégica</w:t>
      </w:r>
      <w:r w:rsidRPr="00B40F72">
        <w:rPr>
          <w:rFonts w:ascii="Verdana" w:hAnsi="Verdana" w:cs="Arial"/>
          <w:lang w:val="es-ES"/>
        </w:rPr>
        <w:t xml:space="preserve"> introduce objetivos adicionales —ambientales, sociales y de innovación— que comportan un </w:t>
      </w:r>
      <w:r w:rsidRPr="00B40F72">
        <w:rPr>
          <w:rFonts w:ascii="Verdana" w:hAnsi="Verdana" w:cs="Arial"/>
          <w:lang w:val="es-ES"/>
        </w:rPr>
        <w:lastRenderedPageBreak/>
        <w:t>verdadero “cambio de paradigma del contrato”</w:t>
      </w:r>
      <w:r w:rsidRPr="00B40F72">
        <w:rPr>
          <w:rStyle w:val="Refdenotaalpie"/>
          <w:rFonts w:ascii="Verdana" w:hAnsi="Verdana" w:cs="Arial"/>
          <w:lang w:val="es-ES"/>
        </w:rPr>
        <w:footnoteReference w:id="18"/>
      </w:r>
      <w:r w:rsidRPr="00B40F72">
        <w:rPr>
          <w:rFonts w:ascii="Verdana" w:hAnsi="Verdana" w:cs="Arial"/>
          <w:lang w:val="es-ES"/>
        </w:rPr>
        <w:t>, en el que la compra pública deja de estar guiada exclusivamente por criterios económicos para incorporar finalidades asociadas al interés general y al desarrollo sostenible. En este contexto, la contratación estatal se consolida como un instrumento de intervención que permite no solo satisfacer necesidades institucionales, sino también orientar el mercado hacia prácticas productivas más sostenibles y socialmente responsables</w:t>
      </w:r>
      <w:r w:rsidRPr="00B40F72">
        <w:rPr>
          <w:rStyle w:val="Refdenotaalpie"/>
          <w:rFonts w:ascii="Verdana" w:hAnsi="Verdana" w:cs="Arial"/>
          <w:lang w:val="es-ES"/>
        </w:rPr>
        <w:footnoteReference w:id="19"/>
      </w:r>
      <w:r w:rsidRPr="00B40F72">
        <w:rPr>
          <w:rFonts w:ascii="Verdana" w:hAnsi="Verdana" w:cs="Arial"/>
          <w:lang w:val="es-ES"/>
        </w:rPr>
        <w:t>.</w:t>
      </w:r>
    </w:p>
    <w:p w14:paraId="3437B49D" w14:textId="77777777" w:rsidR="00D660B1" w:rsidRPr="00B40F72" w:rsidRDefault="00D660B1" w:rsidP="00D660B1">
      <w:pPr>
        <w:tabs>
          <w:tab w:val="left" w:pos="426"/>
        </w:tabs>
        <w:spacing w:after="120" w:line="276" w:lineRule="auto"/>
        <w:ind w:firstLine="709"/>
        <w:jc w:val="both"/>
        <w:rPr>
          <w:rFonts w:ascii="Verdana" w:hAnsi="Verdana" w:cs="Arial"/>
          <w:lang w:val="es-ES" w:eastAsia="es-ES_tradnl"/>
        </w:rPr>
      </w:pPr>
      <w:r w:rsidRPr="00B40F72">
        <w:rPr>
          <w:rFonts w:ascii="Verdana" w:hAnsi="Verdana" w:cs="Arial"/>
          <w:lang w:val="es-ES" w:eastAsia="es-ES_tradnl"/>
        </w:rPr>
        <w:t xml:space="preserve">En este marco, las Compras Públicas Sostenibles (CPS) se entienden como aquel enfoque de la contratación estatal que promueve la sostenibilidad, entendida como el equilibrio entre tres dimensiones: lo económico, </w:t>
      </w:r>
      <w:r w:rsidRPr="0068088E">
        <w:rPr>
          <w:rFonts w:ascii="Verdana" w:hAnsi="Verdana" w:cs="Arial"/>
          <w:i/>
          <w:iCs/>
          <w:lang w:val="es-ES" w:eastAsia="es-ES_tradnl"/>
        </w:rPr>
        <w:t>lo social</w:t>
      </w:r>
      <w:r w:rsidRPr="00B40F72">
        <w:rPr>
          <w:rFonts w:ascii="Verdana" w:hAnsi="Verdana" w:cs="Arial"/>
          <w:lang w:val="es-ES" w:eastAsia="es-ES_tradnl"/>
        </w:rPr>
        <w:t xml:space="preserve"> y lo ambiental. Esto mediante la </w:t>
      </w:r>
      <w:r>
        <w:rPr>
          <w:rFonts w:ascii="Verdana" w:hAnsi="Verdana" w:cs="Arial"/>
          <w:lang w:val="es-ES" w:eastAsia="es-ES_tradnl"/>
        </w:rPr>
        <w:t>i</w:t>
      </w:r>
      <w:r w:rsidRPr="00B40F72">
        <w:rPr>
          <w:rFonts w:ascii="Verdana" w:hAnsi="Verdana" w:cs="Arial"/>
          <w:lang w:val="es-ES" w:eastAsia="es-ES_tradnl"/>
        </w:rPr>
        <w:t xml:space="preserve">ntegración de estas esferas en los procesos de adquisición de bienes, obras y servicios, con el propósito de contribuir a la promoción de la protección ambiental y el </w:t>
      </w:r>
      <w:r w:rsidRPr="00B40F72">
        <w:rPr>
          <w:rFonts w:ascii="Verdana" w:hAnsi="Verdana" w:cs="Arial"/>
          <w:i/>
          <w:iCs/>
          <w:lang w:val="es-ES" w:eastAsia="es-ES_tradnl"/>
        </w:rPr>
        <w:t>desarrollo social equitativo</w:t>
      </w:r>
      <w:r w:rsidRPr="00B40F72">
        <w:rPr>
          <w:rFonts w:ascii="Verdana" w:hAnsi="Verdana" w:cs="Arial"/>
          <w:lang w:val="es-ES" w:eastAsia="es-ES_tradnl"/>
        </w:rPr>
        <w:t>, especialmente de los sectores más vulnerables de la población</w:t>
      </w:r>
      <w:r w:rsidRPr="00B40F72">
        <w:rPr>
          <w:rStyle w:val="Refdenotaalpie"/>
          <w:rFonts w:ascii="Verdana" w:hAnsi="Verdana" w:cs="Arial"/>
          <w:lang w:val="es-ES" w:eastAsia="es-ES_tradnl"/>
        </w:rPr>
        <w:footnoteReference w:id="20"/>
      </w:r>
      <w:r w:rsidRPr="00B40F72">
        <w:rPr>
          <w:rFonts w:ascii="Verdana" w:hAnsi="Verdana" w:cs="Arial"/>
          <w:lang w:val="es-ES" w:eastAsia="es-ES_tradnl"/>
        </w:rPr>
        <w:t xml:space="preserve">. </w:t>
      </w:r>
    </w:p>
    <w:p w14:paraId="5818A88D" w14:textId="77777777" w:rsidR="00D660B1" w:rsidRPr="00B40F72" w:rsidRDefault="00D660B1" w:rsidP="00D660B1">
      <w:pPr>
        <w:tabs>
          <w:tab w:val="left" w:pos="426"/>
        </w:tabs>
        <w:spacing w:after="120" w:line="276" w:lineRule="auto"/>
        <w:ind w:firstLine="709"/>
        <w:jc w:val="both"/>
        <w:rPr>
          <w:rFonts w:ascii="Verdana" w:hAnsi="Verdana" w:cs="Arial"/>
          <w:lang w:val="es-ES" w:eastAsia="es-ES_tradnl"/>
        </w:rPr>
      </w:pPr>
      <w:r w:rsidRPr="00B40F72">
        <w:rPr>
          <w:rFonts w:ascii="Verdana" w:hAnsi="Verdana" w:cs="Arial"/>
          <w:lang w:val="es-ES" w:eastAsia="es-ES_tradnl"/>
        </w:rPr>
        <w:t>De acuerdo con el Programa de Naciones Unidas para el Medio Ambiente –en adelante PNUMA–, las CPS son “un proceso mediante el cual las organizaciones del sector público satisfacen sus necesidades de bienes, obras y servicios públicos de una manera que logra una buena relación calidad- precio durante toda la vida en términos de generar beneficios no sólo a la Organización, sino también a la sociedad y la economía, minimizando y, si es posible, evitando, el daño al medio ambiente”</w:t>
      </w:r>
      <w:r w:rsidRPr="00B40F72">
        <w:rPr>
          <w:rStyle w:val="Refdenotaalpie"/>
          <w:rFonts w:ascii="Verdana" w:hAnsi="Verdana" w:cs="Arial"/>
          <w:lang w:val="es-ES" w:eastAsia="es-ES_tradnl"/>
        </w:rPr>
        <w:footnoteReference w:id="21"/>
      </w:r>
      <w:r w:rsidRPr="00B40F72">
        <w:rPr>
          <w:rFonts w:ascii="Verdana" w:hAnsi="Verdana" w:cs="Arial"/>
          <w:lang w:val="es-ES" w:eastAsia="es-ES_tradnl"/>
        </w:rPr>
        <w:t>. De acuerdo con la norma ISO 20400, “Una compra sostenible es aquella que tiene el mayor impacto positivo ambiental, social y económico posible durante todo el ciclo de vida y que busca minimizar los impactos adversos”</w:t>
      </w:r>
      <w:r w:rsidRPr="00B40F72">
        <w:rPr>
          <w:rStyle w:val="Refdenotaalpie"/>
          <w:rFonts w:ascii="Verdana" w:hAnsi="Verdana" w:cs="Arial"/>
          <w:lang w:val="es-ES" w:eastAsia="es-ES_tradnl"/>
        </w:rPr>
        <w:footnoteReference w:id="22"/>
      </w:r>
      <w:r w:rsidRPr="00B40F72">
        <w:rPr>
          <w:rFonts w:ascii="Verdana" w:hAnsi="Verdana" w:cs="Arial"/>
          <w:lang w:val="es-ES" w:eastAsia="es-ES_tradnl"/>
        </w:rPr>
        <w:t xml:space="preserve">. </w:t>
      </w:r>
    </w:p>
    <w:p w14:paraId="450707EF" w14:textId="77777777" w:rsidR="00D660B1" w:rsidRPr="00B40F72" w:rsidRDefault="00D660B1" w:rsidP="00D660B1">
      <w:pPr>
        <w:tabs>
          <w:tab w:val="left" w:pos="426"/>
        </w:tabs>
        <w:spacing w:after="120" w:line="276" w:lineRule="auto"/>
        <w:ind w:firstLine="709"/>
        <w:jc w:val="both"/>
        <w:rPr>
          <w:rFonts w:ascii="Verdana" w:hAnsi="Verdana" w:cs="Arial"/>
          <w:lang w:val="es-ES" w:eastAsia="es-ES_tradnl"/>
        </w:rPr>
      </w:pPr>
      <w:r w:rsidRPr="00B40F72">
        <w:rPr>
          <w:rFonts w:ascii="Verdana" w:hAnsi="Verdana" w:cs="Arial"/>
          <w:lang w:val="es-ES" w:eastAsia="es-ES_tradnl"/>
        </w:rPr>
        <w:t>Por esto</w:t>
      </w:r>
      <w:r>
        <w:rPr>
          <w:rFonts w:ascii="Verdana" w:hAnsi="Verdana" w:cs="Arial"/>
          <w:lang w:val="es-ES" w:eastAsia="es-ES_tradnl"/>
        </w:rPr>
        <w:t>,</w:t>
      </w:r>
      <w:r w:rsidRPr="00B40F72">
        <w:rPr>
          <w:rFonts w:ascii="Verdana" w:hAnsi="Verdana" w:cs="Arial"/>
          <w:lang w:val="es-ES" w:eastAsia="es-ES_tradnl"/>
        </w:rPr>
        <w:t xml:space="preserve"> las Compras Públicas Sostenibles abarcan un proceso por el cual las Entidades Estatales satisfacen sus necesidades de bienes, obras y servicios al tiempo que contribuyen a la protección del medio ambiente, la reducción en </w:t>
      </w:r>
      <w:r w:rsidRPr="00B40F72">
        <w:rPr>
          <w:rFonts w:ascii="Verdana" w:hAnsi="Verdana" w:cs="Arial"/>
          <w:lang w:val="es-ES" w:eastAsia="es-ES_tradnl"/>
        </w:rPr>
        <w:lastRenderedPageBreak/>
        <w:t xml:space="preserve">el consumo de recursos, la inclusión y la justicia social durante el desarrollo de un Proceso de Compra Pública. Estas comprenden la consolidación progresiva de las dimensiones económicas, ambientales y sociales, mediante herramientas y mecanismos en cada una de las etapas del Proceso de Contratación –lo cual implica la planeación contractual, la estructuración del proceso, la adjudicación del contrato, su ejecución y la etapa postcontractual – buscando maximizar el principio de Valor por Dinero y garantizar una mayor satisfacción ciudadana junto a un progreso hacia el bienestar ambiental y social. </w:t>
      </w:r>
    </w:p>
    <w:p w14:paraId="39C82614" w14:textId="77777777" w:rsidR="00D660B1" w:rsidRPr="00B40F72" w:rsidRDefault="00D660B1" w:rsidP="00D660B1">
      <w:pPr>
        <w:tabs>
          <w:tab w:val="left" w:pos="426"/>
        </w:tabs>
        <w:spacing w:after="120" w:line="276" w:lineRule="auto"/>
        <w:ind w:firstLine="709"/>
        <w:jc w:val="both"/>
        <w:rPr>
          <w:rFonts w:ascii="Verdana" w:hAnsi="Verdana" w:cs="Arial"/>
          <w:lang w:val="es-ES" w:eastAsia="es-ES_tradnl"/>
        </w:rPr>
      </w:pPr>
      <w:r w:rsidRPr="00B40F72">
        <w:rPr>
          <w:rFonts w:ascii="Verdana" w:hAnsi="Verdana" w:cs="Arial"/>
          <w:lang w:val="es-ES" w:eastAsia="es-ES_tradnl"/>
        </w:rPr>
        <w:t xml:space="preserve">La </w:t>
      </w:r>
      <w:r w:rsidRPr="00B40F72">
        <w:rPr>
          <w:rFonts w:ascii="Verdana" w:hAnsi="Verdana" w:cs="Arial"/>
          <w:i/>
          <w:iCs/>
          <w:lang w:val="es-ES" w:eastAsia="es-ES_tradnl"/>
        </w:rPr>
        <w:t>responsabilidad social,</w:t>
      </w:r>
      <w:r w:rsidRPr="00B40F72">
        <w:rPr>
          <w:rFonts w:ascii="Verdana" w:hAnsi="Verdana" w:cs="Arial"/>
          <w:lang w:val="es-ES" w:eastAsia="es-ES_tradnl"/>
        </w:rPr>
        <w:t xml:space="preserve"> en el marco de la Compra Pública Sostenible, implica que las Entidades Estatales y los proveedores garanticen que cada una de las acciones desarrolladas en la gestión contractual propendan por el respeto, protección y garantías de los derechos humanos. Por un lado, las Entidades Estatales deben proteger a los individuos y comunidades de la violación de derechos humanos cometidas por proveedores nacionales o extranjeros. Para ello, deben adoptar en la estructuración de los procesos de Compra Pública medidas apropiadas para prevenir esos abusos. </w:t>
      </w:r>
    </w:p>
    <w:p w14:paraId="4E69A754" w14:textId="77777777" w:rsidR="00D660B1" w:rsidRPr="00B40F72" w:rsidRDefault="00D660B1" w:rsidP="00D660B1">
      <w:pPr>
        <w:tabs>
          <w:tab w:val="left" w:pos="426"/>
        </w:tabs>
        <w:spacing w:after="120" w:line="276" w:lineRule="auto"/>
        <w:ind w:firstLine="709"/>
        <w:jc w:val="both"/>
        <w:rPr>
          <w:rFonts w:ascii="Verdana" w:hAnsi="Verdana" w:cs="Arial"/>
          <w:lang w:val="es-ES" w:eastAsia="es-ES_tradnl"/>
        </w:rPr>
      </w:pPr>
      <w:r w:rsidRPr="00B40F72">
        <w:rPr>
          <w:rFonts w:ascii="Verdana" w:hAnsi="Verdana" w:cs="Arial"/>
          <w:lang w:val="es-ES" w:eastAsia="es-ES_tradnl"/>
        </w:rPr>
        <w:t xml:space="preserve">Por otro lado, las empresas también deben integrar la sostenibilidad en la actividad principal de su negocio, lo cual incluye la oferta de productos y servicios, segmentos de mercado, cadena de suministro, materias primas, redes de transporte y distribución y fin de vida útil del producto. La responsabilidad de respetar los derechos humanos se aplica a todos los proveedores independientemente de su tamaño, sector, contexto operacional, propietario y estructura. En consecuencia, los proveedores deben generar mecanismos propios para evaluar el impacto que tienen sus intervenciones en la protección de los derechos humanos de diversos grupos de interés. </w:t>
      </w:r>
    </w:p>
    <w:p w14:paraId="46452818" w14:textId="77777777" w:rsidR="00D660B1" w:rsidRPr="00B40F72" w:rsidRDefault="00D660B1" w:rsidP="00D660B1">
      <w:pPr>
        <w:tabs>
          <w:tab w:val="left" w:pos="426"/>
        </w:tabs>
        <w:spacing w:after="120" w:line="276" w:lineRule="auto"/>
        <w:ind w:firstLine="709"/>
        <w:jc w:val="both"/>
        <w:rPr>
          <w:rFonts w:ascii="Verdana" w:hAnsi="Verdana" w:cs="Arial"/>
          <w:lang w:val="es-ES" w:eastAsia="es-ES_tradnl"/>
        </w:rPr>
      </w:pPr>
      <w:r w:rsidRPr="00B40F72">
        <w:rPr>
          <w:rFonts w:ascii="Verdana" w:eastAsia="Palatino" w:hAnsi="Verdana" w:cs="Arial"/>
          <w:lang w:val="es-ES" w:eastAsia="es-CO"/>
        </w:rPr>
        <w:t xml:space="preserve">En este escenario, la </w:t>
      </w:r>
      <w:r>
        <w:rPr>
          <w:rFonts w:ascii="Verdana" w:eastAsia="Palatino" w:hAnsi="Verdana" w:cs="Arial"/>
          <w:lang w:val="es-ES" w:eastAsia="es-CO"/>
        </w:rPr>
        <w:t>C</w:t>
      </w:r>
      <w:r w:rsidRPr="00B40F72">
        <w:rPr>
          <w:rFonts w:ascii="Verdana" w:eastAsia="Palatino" w:hAnsi="Verdana" w:cs="Arial"/>
          <w:lang w:val="es-ES" w:eastAsia="es-CO"/>
        </w:rPr>
        <w:t xml:space="preserve">ompra </w:t>
      </w:r>
      <w:r>
        <w:rPr>
          <w:rFonts w:ascii="Verdana" w:eastAsia="Palatino" w:hAnsi="Verdana" w:cs="Arial"/>
          <w:lang w:val="es-ES" w:eastAsia="es-CO"/>
        </w:rPr>
        <w:t>P</w:t>
      </w:r>
      <w:r w:rsidRPr="00B40F72">
        <w:rPr>
          <w:rFonts w:ascii="Verdana" w:eastAsia="Palatino" w:hAnsi="Verdana" w:cs="Arial"/>
          <w:lang w:val="es-ES" w:eastAsia="es-CO"/>
        </w:rPr>
        <w:t xml:space="preserve">ública </w:t>
      </w:r>
      <w:r>
        <w:rPr>
          <w:rFonts w:ascii="Verdana" w:eastAsia="Palatino" w:hAnsi="Verdana" w:cs="Arial"/>
          <w:lang w:val="es-ES" w:eastAsia="es-CO"/>
        </w:rPr>
        <w:t>S</w:t>
      </w:r>
      <w:r w:rsidRPr="00B40F72">
        <w:rPr>
          <w:rFonts w:ascii="Verdana" w:eastAsia="Palatino" w:hAnsi="Verdana" w:cs="Arial"/>
          <w:lang w:val="es-ES" w:eastAsia="es-CO"/>
        </w:rPr>
        <w:t>ostenible es un enfoque o perspectiva que integra criterios ambientales</w:t>
      </w:r>
      <w:r w:rsidRPr="00B40F72">
        <w:rPr>
          <w:rFonts w:ascii="Verdana" w:eastAsia="Palatino" w:hAnsi="Verdana" w:cs="Arial"/>
          <w:i/>
          <w:iCs/>
          <w:lang w:val="es-ES" w:eastAsia="es-CO"/>
        </w:rPr>
        <w:t>, sociales</w:t>
      </w:r>
      <w:r w:rsidRPr="00B40F72">
        <w:rPr>
          <w:rFonts w:ascii="Verdana" w:eastAsia="Palatino" w:hAnsi="Verdana" w:cs="Arial"/>
          <w:lang w:val="es-ES" w:eastAsia="es-CO"/>
        </w:rPr>
        <w:t xml:space="preserve"> y económicos en todas </w:t>
      </w:r>
      <w:r>
        <w:rPr>
          <w:rFonts w:ascii="Verdana" w:eastAsia="Palatino" w:hAnsi="Verdana" w:cs="Arial"/>
          <w:lang w:val="es-ES" w:eastAsia="es-CO"/>
        </w:rPr>
        <w:t xml:space="preserve">las </w:t>
      </w:r>
      <w:r w:rsidRPr="00B40F72">
        <w:rPr>
          <w:rFonts w:ascii="Verdana" w:eastAsia="Palatino" w:hAnsi="Verdana" w:cs="Arial"/>
          <w:lang w:val="es-ES" w:eastAsia="es-CO"/>
        </w:rPr>
        <w:t xml:space="preserve">etapas del proceso de contratación estatal dentro del sistema de compras públicas, cuyo propósito es minimizar los impactos derivados de la adquisición de bienes, obras o servicios en estas tres esferas. Esta perspectiva reconoce el rol del Estado como agente económico y estratégico que tiene la capacidad para orientar al mercado hacia prácticas responsables y para promover la transición ecológica. De acuerdo con ello, el sistema de compras públicas colombiano ha cambiado su visión mediante leyes y reglamentos que obligan a las entidades </w:t>
      </w:r>
      <w:r w:rsidRPr="00B40F72">
        <w:rPr>
          <w:rFonts w:ascii="Verdana" w:eastAsia="Palatino" w:hAnsi="Verdana" w:cs="Arial"/>
          <w:lang w:val="es-ES" w:eastAsia="es-CO"/>
        </w:rPr>
        <w:lastRenderedPageBreak/>
        <w:t>públicas a incorporar criterios ambientales y sociales en sus procesos de contratación.</w:t>
      </w:r>
    </w:p>
    <w:p w14:paraId="661FEDBE" w14:textId="77777777" w:rsidR="00D660B1" w:rsidRPr="00B40F72" w:rsidRDefault="00D660B1" w:rsidP="00D660B1">
      <w:pPr>
        <w:tabs>
          <w:tab w:val="left" w:pos="426"/>
        </w:tabs>
        <w:spacing w:after="120" w:line="276" w:lineRule="auto"/>
        <w:ind w:firstLine="709"/>
        <w:jc w:val="both"/>
        <w:rPr>
          <w:rFonts w:ascii="Verdana" w:hAnsi="Verdana" w:cs="Arial"/>
          <w:lang w:val="es-ES" w:eastAsia="es-ES_tradnl"/>
        </w:rPr>
      </w:pPr>
      <w:r w:rsidRPr="00B40F72">
        <w:rPr>
          <w:rFonts w:ascii="Verdana" w:hAnsi="Verdana" w:cs="Arial"/>
          <w:lang w:val="es-ES" w:eastAsia="es-ES_tradnl"/>
        </w:rPr>
        <w:t>Entre los instrumentos se resaltan: i) la Ley 1753 del 2015, que establece estrategias dirigidas a incrementar las compras públicas sostenibles mediante la formulación por parte del Gobierno Nacional de una política de crecimiento verde de largo plazo en la cual se definan los objetivos y metas de crecimiento económico sostenible</w:t>
      </w:r>
      <w:r w:rsidRPr="00B40F72">
        <w:rPr>
          <w:rFonts w:ascii="Verdana" w:hAnsi="Verdana" w:cs="Arial"/>
          <w:vertAlign w:val="superscript"/>
          <w:lang w:val="es-ES" w:eastAsia="es-ES_tradnl"/>
        </w:rPr>
        <w:footnoteReference w:id="23"/>
      </w:r>
      <w:r w:rsidRPr="00B40F72">
        <w:rPr>
          <w:rFonts w:ascii="Verdana" w:hAnsi="Verdana" w:cs="Arial"/>
          <w:lang w:val="es-ES" w:eastAsia="es-ES_tradnl"/>
        </w:rPr>
        <w:t xml:space="preserve">; </w:t>
      </w:r>
      <w:proofErr w:type="spellStart"/>
      <w:r w:rsidRPr="00B40F72">
        <w:rPr>
          <w:rFonts w:ascii="Verdana" w:hAnsi="Verdana" w:cs="Arial"/>
          <w:lang w:val="es-ES" w:eastAsia="es-ES_tradnl"/>
        </w:rPr>
        <w:t>ii</w:t>
      </w:r>
      <w:proofErr w:type="spellEnd"/>
      <w:r w:rsidRPr="00B40F72">
        <w:rPr>
          <w:rFonts w:ascii="Verdana" w:hAnsi="Verdana" w:cs="Arial"/>
          <w:lang w:val="es-ES" w:eastAsia="es-ES_tradnl"/>
        </w:rPr>
        <w:t xml:space="preserve">) </w:t>
      </w:r>
      <w:r w:rsidRPr="00B40F72">
        <w:rPr>
          <w:rFonts w:ascii="Verdana" w:hAnsi="Verdana" w:cs="Arial"/>
          <w:color w:val="000000" w:themeColor="text1"/>
          <w:lang w:val="es-ES"/>
        </w:rPr>
        <w:t xml:space="preserve">el documento </w:t>
      </w:r>
      <w:proofErr w:type="spellStart"/>
      <w:r w:rsidRPr="00B40F72">
        <w:rPr>
          <w:rFonts w:ascii="Verdana" w:hAnsi="Verdana" w:cs="Arial"/>
          <w:color w:val="000000" w:themeColor="text1"/>
          <w:lang w:val="es-ES"/>
        </w:rPr>
        <w:t>Conpes</w:t>
      </w:r>
      <w:proofErr w:type="spellEnd"/>
      <w:r w:rsidRPr="00B40F72">
        <w:rPr>
          <w:rFonts w:ascii="Verdana" w:hAnsi="Verdana" w:cs="Arial"/>
          <w:color w:val="000000" w:themeColor="text1"/>
          <w:lang w:val="es-ES"/>
        </w:rPr>
        <w:t xml:space="preserve"> 3918 de 2018 que traza indicadores y metas a nivel país encaminadas a desarrollar un modelo de desarrollo sostenible a 2030</w:t>
      </w:r>
      <w:r w:rsidRPr="00B40F72">
        <w:rPr>
          <w:rFonts w:ascii="Verdana" w:hAnsi="Verdana" w:cs="Arial"/>
          <w:color w:val="000000" w:themeColor="text1"/>
          <w:vertAlign w:val="superscript"/>
          <w:lang w:val="es-ES"/>
        </w:rPr>
        <w:footnoteReference w:id="24"/>
      </w:r>
      <w:r w:rsidRPr="00B40F72">
        <w:rPr>
          <w:rFonts w:ascii="Verdana" w:hAnsi="Verdana" w:cs="Arial"/>
          <w:color w:val="000000" w:themeColor="text1"/>
          <w:lang w:val="es-ES"/>
        </w:rPr>
        <w:t xml:space="preserve">; </w:t>
      </w:r>
      <w:proofErr w:type="spellStart"/>
      <w:r w:rsidRPr="00B40F72">
        <w:rPr>
          <w:rFonts w:ascii="Verdana" w:hAnsi="Verdana" w:cs="Arial"/>
          <w:color w:val="000000" w:themeColor="text1"/>
          <w:lang w:val="es-ES"/>
        </w:rPr>
        <w:t>iii</w:t>
      </w:r>
      <w:proofErr w:type="spellEnd"/>
      <w:r w:rsidRPr="00B40F72">
        <w:rPr>
          <w:rFonts w:ascii="Verdana" w:hAnsi="Verdana" w:cs="Arial"/>
          <w:color w:val="000000" w:themeColor="text1"/>
          <w:lang w:val="es-ES"/>
        </w:rPr>
        <w:t xml:space="preserve">) el documento </w:t>
      </w:r>
      <w:proofErr w:type="spellStart"/>
      <w:r w:rsidRPr="00B40F72">
        <w:rPr>
          <w:rFonts w:ascii="Verdana" w:hAnsi="Verdana" w:cs="Arial"/>
          <w:color w:val="000000" w:themeColor="text1"/>
          <w:lang w:val="es-ES"/>
        </w:rPr>
        <w:t>Conpes</w:t>
      </w:r>
      <w:proofErr w:type="spellEnd"/>
      <w:r w:rsidRPr="00B40F72">
        <w:rPr>
          <w:rFonts w:ascii="Verdana" w:hAnsi="Verdana" w:cs="Arial"/>
          <w:color w:val="000000" w:themeColor="text1"/>
          <w:lang w:val="es-ES"/>
        </w:rPr>
        <w:t xml:space="preserve"> 3934 de 2018 que estableció medios para el cumplimiento de implementación de las metas nacionales relacionadas con la Política de Crecimiento Verde, que tiene como propósito impulsar al año 2030 el aumento de la productividad y la competitividad económica del país, al tiempo de asegurar el uso sostenible del capital natural y la inclusión social</w:t>
      </w:r>
      <w:r w:rsidRPr="00B40F72">
        <w:rPr>
          <w:rFonts w:ascii="Verdana" w:hAnsi="Verdana" w:cs="Arial"/>
          <w:color w:val="000000" w:themeColor="text1"/>
          <w:vertAlign w:val="superscript"/>
          <w:lang w:val="es-ES"/>
        </w:rPr>
        <w:footnoteReference w:id="25"/>
      </w:r>
      <w:r w:rsidRPr="00B40F72">
        <w:rPr>
          <w:rFonts w:ascii="Verdana" w:hAnsi="Verdana" w:cs="Arial"/>
          <w:color w:val="000000" w:themeColor="text1"/>
          <w:lang w:val="es-ES"/>
        </w:rPr>
        <w:t xml:space="preserve">; </w:t>
      </w:r>
      <w:proofErr w:type="spellStart"/>
      <w:r w:rsidRPr="00B40F72">
        <w:rPr>
          <w:rFonts w:ascii="Verdana" w:hAnsi="Verdana" w:cs="Arial"/>
          <w:color w:val="000000" w:themeColor="text1"/>
          <w:lang w:val="es-ES"/>
        </w:rPr>
        <w:t>iv</w:t>
      </w:r>
      <w:proofErr w:type="spellEnd"/>
      <w:r w:rsidRPr="00B40F72">
        <w:rPr>
          <w:rFonts w:ascii="Verdana" w:hAnsi="Verdana" w:cs="Arial"/>
          <w:color w:val="000000" w:themeColor="text1"/>
          <w:lang w:val="es-ES"/>
        </w:rPr>
        <w:t>) el Plan de Acción Nacional de Compras Públicas Sostenibles expedido por el Ministerio de Ambiente y Desarrollo Sostenible para incentivar el uso de compras públicas en todas las entidades estatales</w:t>
      </w:r>
      <w:r w:rsidRPr="00B40F72">
        <w:rPr>
          <w:rFonts w:ascii="Verdana" w:hAnsi="Verdana" w:cs="Arial"/>
          <w:color w:val="000000" w:themeColor="text1"/>
          <w:vertAlign w:val="superscript"/>
          <w:lang w:val="es-ES"/>
        </w:rPr>
        <w:footnoteReference w:id="26"/>
      </w:r>
      <w:r w:rsidRPr="00B40F72">
        <w:rPr>
          <w:rFonts w:ascii="Verdana" w:hAnsi="Verdana" w:cs="Arial"/>
          <w:color w:val="000000" w:themeColor="text1"/>
          <w:lang w:val="es-ES"/>
        </w:rPr>
        <w:t xml:space="preserve">. Con base </w:t>
      </w:r>
      <w:r>
        <w:rPr>
          <w:rFonts w:ascii="Verdana" w:hAnsi="Verdana" w:cs="Arial"/>
          <w:color w:val="000000" w:themeColor="text1"/>
          <w:lang w:val="es-ES"/>
        </w:rPr>
        <w:t xml:space="preserve">en </w:t>
      </w:r>
      <w:r w:rsidRPr="00B40F72">
        <w:rPr>
          <w:rFonts w:ascii="Verdana" w:hAnsi="Verdana" w:cs="Arial"/>
          <w:color w:val="000000" w:themeColor="text1"/>
          <w:lang w:val="es-ES"/>
        </w:rPr>
        <w:t>dicho plan</w:t>
      </w:r>
      <w:r>
        <w:rPr>
          <w:rFonts w:ascii="Verdana" w:hAnsi="Verdana" w:cs="Arial"/>
          <w:color w:val="000000" w:themeColor="text1"/>
          <w:lang w:val="es-ES"/>
        </w:rPr>
        <w:t>,</w:t>
      </w:r>
      <w:r w:rsidRPr="00B40F72">
        <w:rPr>
          <w:rFonts w:ascii="Verdana" w:hAnsi="Verdana" w:cs="Arial"/>
          <w:color w:val="000000" w:themeColor="text1"/>
          <w:lang w:val="es-ES"/>
        </w:rPr>
        <w:t xml:space="preserve"> se desarrollaron fichas técnicas con criterios </w:t>
      </w:r>
      <w:r w:rsidRPr="00B40F72">
        <w:rPr>
          <w:rFonts w:ascii="Verdana" w:hAnsi="Verdana" w:cs="Arial"/>
          <w:color w:val="000000" w:themeColor="text1"/>
          <w:lang w:val="es-ES"/>
        </w:rPr>
        <w:lastRenderedPageBreak/>
        <w:t>de sostenibilidad ambiental para la adquisición de algunos bienes y servicios con el objetivo de brindar herramientas a las entidades públicas para la implementación del programa de compras públicas sostenibles</w:t>
      </w:r>
      <w:r w:rsidRPr="00B40F72">
        <w:rPr>
          <w:rFonts w:ascii="Verdana" w:hAnsi="Verdana" w:cs="Arial"/>
          <w:color w:val="000000" w:themeColor="text1"/>
          <w:vertAlign w:val="superscript"/>
          <w:lang w:val="es-ES"/>
        </w:rPr>
        <w:footnoteReference w:id="27"/>
      </w:r>
      <w:r w:rsidRPr="00B40F72">
        <w:rPr>
          <w:rFonts w:ascii="Verdana" w:hAnsi="Verdana" w:cs="Arial"/>
          <w:color w:val="000000" w:themeColor="text1"/>
          <w:lang w:val="es-ES"/>
        </w:rPr>
        <w:t xml:space="preserve">. </w:t>
      </w:r>
    </w:p>
    <w:p w14:paraId="71F087BC" w14:textId="77777777" w:rsidR="00D660B1" w:rsidRPr="00B40F72" w:rsidRDefault="00D660B1" w:rsidP="00D660B1">
      <w:pPr>
        <w:spacing w:after="120" w:line="276" w:lineRule="auto"/>
        <w:ind w:firstLine="709"/>
        <w:jc w:val="both"/>
        <w:rPr>
          <w:rFonts w:ascii="Verdana" w:hAnsi="Verdana" w:cs="Arial"/>
          <w:color w:val="000000" w:themeColor="text1"/>
          <w:shd w:val="clear" w:color="auto" w:fill="FFFFFF"/>
          <w:lang w:val="es-ES"/>
        </w:rPr>
      </w:pPr>
      <w:r w:rsidRPr="00B40F72">
        <w:rPr>
          <w:rFonts w:ascii="Verdana" w:hAnsi="Verdana" w:cs="Arial"/>
          <w:color w:val="000000" w:themeColor="text1"/>
          <w:lang w:val="es-ES"/>
        </w:rPr>
        <w:t xml:space="preserve">De igual manera, </w:t>
      </w:r>
      <w:r w:rsidRPr="00B40F72">
        <w:rPr>
          <w:rFonts w:ascii="Verdana" w:hAnsi="Verdana" w:cs="Arial"/>
          <w:lang w:val="es-ES"/>
        </w:rPr>
        <w:t xml:space="preserve">se expidió el Decreto 142 de 2023, que modificó y adicionó el Decreto 1082 de 2015, para promover el acceso al sistema de Compras Públicas de las Mipymes, las Cooperativas y demás entidades de la economía solidaria, incorporar criterios </w:t>
      </w:r>
      <w:r w:rsidRPr="00B40F72">
        <w:rPr>
          <w:rFonts w:ascii="Verdana" w:hAnsi="Verdana" w:cs="Arial"/>
          <w:i/>
          <w:iCs/>
          <w:lang w:val="es-ES"/>
        </w:rPr>
        <w:t>sociales y ambientales</w:t>
      </w:r>
      <w:r w:rsidRPr="00B40F72">
        <w:rPr>
          <w:rFonts w:ascii="Verdana" w:hAnsi="Verdana" w:cs="Arial"/>
          <w:lang w:val="es-ES"/>
        </w:rPr>
        <w:t xml:space="preserve"> en los Procesos de Contratación de las Entidades Estatales, y establecer el emprendimiento comunal. Sobre los criterios sociales y ambientales, se indicó en la parte considerativa de dicha norma que </w:t>
      </w:r>
      <w:r w:rsidRPr="00B40F72">
        <w:rPr>
          <w:rFonts w:ascii="Verdana" w:hAnsi="Verdana" w:cs="Arial"/>
          <w:color w:val="000000" w:themeColor="text1"/>
          <w:lang w:val="es-ES"/>
        </w:rPr>
        <w:t>“</w:t>
      </w:r>
      <w:r w:rsidRPr="00B40F72">
        <w:rPr>
          <w:rFonts w:ascii="Verdana" w:hAnsi="Verdana" w:cs="Arial"/>
          <w:color w:val="000000" w:themeColor="text1"/>
          <w:shd w:val="clear" w:color="auto" w:fill="FFFFFF"/>
          <w:lang w:val="es-ES"/>
        </w:rPr>
        <w:t>el sistema de compras y contratación pública tiene una función estratégica para la promoción de objetivos sociales y ambientales, pues representa un porcentaje considerable del gasto público, razón por la cual, se requiere integrar estos criterios a la valoración de la oferta más favorable en función de criterios cualitativos vinculados al objeto del contrato, en los términos establecidos en el literal </w:t>
      </w:r>
      <w:hyperlink r:id="rId12" w:anchor="2.2.1.1.2.2.2.l" w:history="1">
        <w:r w:rsidRPr="00B40F72">
          <w:rPr>
            <w:rFonts w:ascii="Verdana" w:hAnsi="Verdana" w:cs="Arial"/>
            <w:color w:val="000000" w:themeColor="text1"/>
            <w:u w:val="single"/>
            <w:shd w:val="clear" w:color="auto" w:fill="FFFFFF"/>
            <w:lang w:val="es-ES"/>
          </w:rPr>
          <w:t>b)</w:t>
        </w:r>
      </w:hyperlink>
      <w:r w:rsidRPr="00B40F72">
        <w:rPr>
          <w:rFonts w:ascii="Verdana" w:hAnsi="Verdana" w:cs="Arial"/>
          <w:color w:val="000000" w:themeColor="text1"/>
          <w:shd w:val="clear" w:color="auto" w:fill="FFFFFF"/>
          <w:lang w:val="es-ES"/>
        </w:rPr>
        <w:t> del artículo 2.2.1.1.2.2.2. del Decreto 1082 de 2015”. </w:t>
      </w:r>
    </w:p>
    <w:p w14:paraId="33941ED9" w14:textId="77777777" w:rsidR="00D660B1" w:rsidRPr="00B40F72" w:rsidRDefault="00D660B1" w:rsidP="00D660B1">
      <w:pPr>
        <w:spacing w:after="120" w:line="276" w:lineRule="auto"/>
        <w:ind w:firstLine="709"/>
        <w:jc w:val="both"/>
        <w:rPr>
          <w:rFonts w:ascii="Verdana" w:hAnsi="Verdana" w:cs="Arial"/>
          <w:color w:val="000000" w:themeColor="text1"/>
          <w:shd w:val="clear" w:color="auto" w:fill="FFFFFF"/>
          <w:lang w:val="es-ES"/>
        </w:rPr>
      </w:pPr>
      <w:r w:rsidRPr="00B40F72">
        <w:rPr>
          <w:rFonts w:ascii="Verdana" w:hAnsi="Verdana" w:cs="Arial"/>
          <w:color w:val="000000" w:themeColor="text1"/>
          <w:shd w:val="clear" w:color="auto" w:fill="FFFFFF"/>
          <w:lang w:val="es-ES"/>
        </w:rPr>
        <w:t xml:space="preserve">En este contexto, el artículo 4 </w:t>
      </w:r>
      <w:r w:rsidRPr="00B40F72">
        <w:rPr>
          <w:rFonts w:ascii="Verdana" w:hAnsi="Verdana" w:cs="Arial"/>
          <w:i/>
          <w:color w:val="000000" w:themeColor="text1"/>
          <w:shd w:val="clear" w:color="auto" w:fill="FFFFFF"/>
          <w:lang w:val="es-ES"/>
        </w:rPr>
        <w:t>ibidem</w:t>
      </w:r>
      <w:r w:rsidRPr="00B40F72">
        <w:rPr>
          <w:rFonts w:ascii="Verdana" w:hAnsi="Verdana" w:cs="Arial"/>
          <w:color w:val="000000" w:themeColor="text1"/>
          <w:shd w:val="clear" w:color="auto" w:fill="FFFFFF"/>
          <w:lang w:val="es-ES"/>
        </w:rPr>
        <w:t xml:space="preserve"> modificó el artículo 2.2.1.1.2.2.2 del Decreto 1082 de 2015 y estableció que los criterios de calidad para evaluar la mejor relación calidad - precio podrán incluir criterios ambientales o sociales vinculados al objeto del contrato</w:t>
      </w:r>
      <w:r w:rsidRPr="00B40F72">
        <w:rPr>
          <w:rFonts w:ascii="Verdana" w:hAnsi="Verdana" w:cs="Arial"/>
          <w:color w:val="000000" w:themeColor="text1"/>
          <w:shd w:val="clear" w:color="auto" w:fill="FFFFFF"/>
          <w:vertAlign w:val="superscript"/>
          <w:lang w:val="es-ES"/>
        </w:rPr>
        <w:footnoteReference w:id="28"/>
      </w:r>
      <w:r w:rsidRPr="00B40F72">
        <w:rPr>
          <w:rFonts w:ascii="Verdana" w:hAnsi="Verdana" w:cs="Arial"/>
          <w:color w:val="000000" w:themeColor="text1"/>
          <w:shd w:val="clear" w:color="auto" w:fill="FFFFFF"/>
          <w:lang w:val="es-ES"/>
        </w:rPr>
        <w:t xml:space="preserve">. Así mismo, el artículo 5 modificó el artículo </w:t>
      </w:r>
      <w:r w:rsidRPr="00B40F72">
        <w:rPr>
          <w:rFonts w:ascii="Verdana" w:hAnsi="Verdana" w:cs="Arial"/>
          <w:color w:val="000000" w:themeColor="text1"/>
          <w:shd w:val="clear" w:color="auto" w:fill="FFFFFF"/>
          <w:lang w:val="es-ES"/>
        </w:rPr>
        <w:lastRenderedPageBreak/>
        <w:t>2.2.1.2.1.5.1 del Decreto 1082 de 2015</w:t>
      </w:r>
      <w:r w:rsidRPr="00B40F72">
        <w:rPr>
          <w:rFonts w:ascii="Verdana" w:hAnsi="Verdana" w:cs="Arial"/>
          <w:b/>
          <w:bCs/>
          <w:i/>
          <w:iCs/>
          <w:color w:val="000000" w:themeColor="text1"/>
          <w:shd w:val="clear" w:color="auto" w:fill="FFFFFF"/>
          <w:lang w:val="es-ES"/>
        </w:rPr>
        <w:t xml:space="preserve"> </w:t>
      </w:r>
      <w:r w:rsidRPr="00B40F72">
        <w:rPr>
          <w:rFonts w:ascii="Verdana" w:hAnsi="Verdana" w:cs="Arial"/>
          <w:color w:val="000000" w:themeColor="text1"/>
          <w:shd w:val="clear" w:color="auto" w:fill="FFFFFF"/>
          <w:lang w:val="es-ES"/>
        </w:rPr>
        <w:t>referente a los estudios previos para la contratación de mínima cuantía, en el que se</w:t>
      </w:r>
      <w:r w:rsidRPr="00B40F72">
        <w:rPr>
          <w:rFonts w:ascii="Verdana" w:hAnsi="Verdana" w:cs="Arial"/>
          <w:b/>
          <w:bCs/>
          <w:i/>
          <w:iCs/>
          <w:color w:val="000000" w:themeColor="text1"/>
          <w:shd w:val="clear" w:color="auto" w:fill="FFFFFF"/>
          <w:lang w:val="es-ES"/>
        </w:rPr>
        <w:t xml:space="preserve"> </w:t>
      </w:r>
      <w:r w:rsidRPr="00B40F72">
        <w:rPr>
          <w:rFonts w:ascii="Verdana" w:hAnsi="Verdana" w:cs="Arial"/>
          <w:color w:val="000000" w:themeColor="text1"/>
          <w:shd w:val="clear" w:color="auto" w:fill="FFFFFF"/>
          <w:lang w:val="es-ES"/>
        </w:rPr>
        <w:t xml:space="preserve">incluye un parágrafo que dispone que dentro de las condiciones técnicas exigidas se podrán incluir aspectos ambientales y sociales. </w:t>
      </w:r>
    </w:p>
    <w:p w14:paraId="547045DE" w14:textId="77777777" w:rsidR="00D660B1" w:rsidRPr="00B40F72" w:rsidRDefault="00D660B1" w:rsidP="00D660B1">
      <w:pPr>
        <w:spacing w:after="120" w:line="276" w:lineRule="auto"/>
        <w:ind w:firstLine="709"/>
        <w:jc w:val="both"/>
        <w:rPr>
          <w:rFonts w:ascii="Verdana" w:hAnsi="Verdana" w:cs="Arial"/>
          <w:color w:val="000000" w:themeColor="text1"/>
          <w:shd w:val="clear" w:color="auto" w:fill="FFFFFF"/>
          <w:lang w:val="es-ES"/>
        </w:rPr>
      </w:pPr>
      <w:r w:rsidRPr="00B40F72">
        <w:rPr>
          <w:rFonts w:ascii="Verdana" w:hAnsi="Verdana" w:cs="Arial"/>
          <w:color w:val="000000" w:themeColor="text1"/>
          <w:shd w:val="clear" w:color="auto" w:fill="FFFFFF"/>
          <w:lang w:val="es-ES"/>
        </w:rPr>
        <w:t xml:space="preserve">Conforme a la normativa antes expuesta, las entidades podrán incorporar criterios ambientales o sociales relacionados con el objeto del contrato como parte de los criterios de calidad, en los procesos de contratación que aplique, así como en las condiciones técnicas mínimas. Para lo anterior, el parágrafo del artículo 2.2.1.1.2.2.2 del Decreto 1082 de 2015 enlistó de manera enunciativa los criterios sociales que pueden incluir las entidades como parte de los criterios de calidad que permitan a la entidad la mejor relación calidad y precio, así: </w:t>
      </w:r>
    </w:p>
    <w:p w14:paraId="72354A16" w14:textId="77777777" w:rsidR="00D660B1" w:rsidRPr="00B40F72" w:rsidRDefault="00D660B1" w:rsidP="00D660B1">
      <w:pPr>
        <w:spacing w:after="120" w:line="240" w:lineRule="auto"/>
        <w:ind w:left="709" w:right="709"/>
        <w:jc w:val="both"/>
        <w:rPr>
          <w:rFonts w:ascii="Verdana" w:hAnsi="Verdana" w:cs="Arial"/>
          <w:color w:val="000000" w:themeColor="text1"/>
          <w:sz w:val="20"/>
          <w:szCs w:val="20"/>
          <w:shd w:val="clear" w:color="auto" w:fill="FFFFFF"/>
          <w:lang w:val="es-ES"/>
        </w:rPr>
      </w:pPr>
      <w:r w:rsidRPr="00B40F72">
        <w:rPr>
          <w:rFonts w:ascii="Verdana" w:hAnsi="Verdana" w:cs="Arial"/>
          <w:color w:val="000000" w:themeColor="text1"/>
          <w:sz w:val="20"/>
          <w:szCs w:val="20"/>
          <w:shd w:val="clear" w:color="auto" w:fill="FFFFFF"/>
          <w:lang w:val="es-ES"/>
        </w:rPr>
        <w:t>ARTÍCULO 2.2.1.1.2.2.2. Ofrecimiento más favorable. La Entidad Estatal debe determinar la oferta más favorable teniendo en cuenta las normas aplicables a cada modalidad de selección del contratista.</w:t>
      </w:r>
    </w:p>
    <w:p w14:paraId="0168122D" w14:textId="77777777" w:rsidR="00D660B1" w:rsidRPr="00B40F72" w:rsidRDefault="00D660B1" w:rsidP="00D660B1">
      <w:pPr>
        <w:spacing w:after="120" w:line="240" w:lineRule="auto"/>
        <w:ind w:left="709" w:right="709"/>
        <w:jc w:val="both"/>
        <w:rPr>
          <w:rFonts w:ascii="Verdana" w:hAnsi="Verdana" w:cs="Arial"/>
          <w:color w:val="000000" w:themeColor="text1"/>
          <w:sz w:val="20"/>
          <w:szCs w:val="20"/>
          <w:shd w:val="clear" w:color="auto" w:fill="FFFFFF"/>
          <w:lang w:val="es-ES"/>
        </w:rPr>
      </w:pPr>
      <w:r w:rsidRPr="00B40F72">
        <w:rPr>
          <w:rFonts w:ascii="Verdana" w:hAnsi="Verdana" w:cs="Arial"/>
          <w:color w:val="000000" w:themeColor="text1"/>
          <w:sz w:val="20"/>
          <w:szCs w:val="20"/>
          <w:shd w:val="clear" w:color="auto" w:fill="FFFFFF"/>
          <w:lang w:val="es-ES"/>
        </w:rPr>
        <w:t>[…]</w:t>
      </w:r>
    </w:p>
    <w:p w14:paraId="108DF648" w14:textId="77777777" w:rsidR="00D660B1" w:rsidRPr="00B40F72" w:rsidRDefault="00D660B1" w:rsidP="00D660B1">
      <w:pPr>
        <w:spacing w:after="120" w:line="240" w:lineRule="auto"/>
        <w:ind w:left="709" w:right="709"/>
        <w:jc w:val="both"/>
        <w:rPr>
          <w:rFonts w:ascii="Verdana" w:hAnsi="Verdana" w:cs="Arial"/>
          <w:color w:val="000000" w:themeColor="text1"/>
          <w:sz w:val="20"/>
          <w:szCs w:val="20"/>
          <w:shd w:val="clear" w:color="auto" w:fill="FFFFFF"/>
          <w:lang w:val="es-ES"/>
        </w:rPr>
      </w:pPr>
      <w:r w:rsidRPr="002A76C3">
        <w:rPr>
          <w:rFonts w:ascii="Verdana" w:hAnsi="Verdana" w:cs="Arial"/>
          <w:color w:val="000000" w:themeColor="text1"/>
          <w:sz w:val="20"/>
          <w:szCs w:val="20"/>
          <w:shd w:val="clear" w:color="auto" w:fill="FFFFFF"/>
          <w:lang w:val="es-ES"/>
        </w:rPr>
        <w:t>PARÁGRAFO. Los criterios de calidad para evaluar la mejor relación calidad precio podrán incluir criterios ambientales o sociales vinculados al objeto del contrato</w:t>
      </w:r>
      <w:r w:rsidRPr="00B40F72">
        <w:rPr>
          <w:rFonts w:ascii="Verdana" w:hAnsi="Verdana" w:cs="Arial"/>
          <w:color w:val="000000" w:themeColor="text1"/>
          <w:sz w:val="20"/>
          <w:szCs w:val="20"/>
          <w:shd w:val="clear" w:color="auto" w:fill="FFFFFF"/>
          <w:lang w:val="es-ES"/>
        </w:rPr>
        <w:t>.</w:t>
      </w:r>
    </w:p>
    <w:p w14:paraId="312DE8E6" w14:textId="77777777" w:rsidR="00D660B1" w:rsidRPr="00B40F72" w:rsidRDefault="00D660B1" w:rsidP="00D660B1">
      <w:pPr>
        <w:spacing w:after="120" w:line="240" w:lineRule="auto"/>
        <w:ind w:left="709" w:right="709"/>
        <w:jc w:val="both"/>
        <w:rPr>
          <w:rFonts w:ascii="Verdana" w:hAnsi="Verdana" w:cs="Arial"/>
          <w:color w:val="000000" w:themeColor="text1"/>
          <w:sz w:val="20"/>
          <w:szCs w:val="20"/>
          <w:shd w:val="clear" w:color="auto" w:fill="FFFFFF"/>
          <w:lang w:val="es-ES"/>
        </w:rPr>
      </w:pPr>
      <w:r w:rsidRPr="002A76C3">
        <w:rPr>
          <w:rFonts w:ascii="Verdana" w:hAnsi="Verdana" w:cs="Arial"/>
          <w:color w:val="000000" w:themeColor="text1"/>
          <w:sz w:val="20"/>
          <w:szCs w:val="20"/>
          <w:shd w:val="clear" w:color="auto" w:fill="FFFFFF"/>
          <w:lang w:val="es-ES"/>
        </w:rPr>
        <w:t>Los criterios ambientales podrán referirse, entre otras, a variables como la reducción del nivel de emisión de gases de efecto invernadero; el empleo de medidas de eficiencia energética y la utilización de energía procedente de fuentes renovables durante la ejecución del contrato.</w:t>
      </w:r>
    </w:p>
    <w:p w14:paraId="494C7C22" w14:textId="77777777" w:rsidR="00D660B1" w:rsidRPr="002A76C3" w:rsidRDefault="00D660B1" w:rsidP="00D660B1">
      <w:pPr>
        <w:spacing w:after="0" w:line="240" w:lineRule="auto"/>
        <w:ind w:left="709" w:right="709"/>
        <w:jc w:val="both"/>
        <w:rPr>
          <w:rFonts w:ascii="Verdana" w:hAnsi="Verdana" w:cs="Arial"/>
          <w:color w:val="000000" w:themeColor="text1"/>
          <w:sz w:val="20"/>
          <w:szCs w:val="20"/>
          <w:shd w:val="clear" w:color="auto" w:fill="FFFFFF"/>
          <w:lang w:val="es-ES"/>
        </w:rPr>
      </w:pPr>
      <w:r w:rsidRPr="002A76C3">
        <w:rPr>
          <w:rFonts w:ascii="Verdana" w:hAnsi="Verdana" w:cs="Arial"/>
          <w:color w:val="000000" w:themeColor="text1"/>
          <w:sz w:val="20"/>
          <w:szCs w:val="20"/>
          <w:shd w:val="clear" w:color="auto" w:fill="FFFFFF"/>
          <w:lang w:val="es-ES"/>
        </w:rPr>
        <w:t xml:space="preserve">Los </w:t>
      </w:r>
      <w:r w:rsidRPr="002A76C3">
        <w:rPr>
          <w:rFonts w:ascii="Verdana" w:hAnsi="Verdana" w:cs="Arial"/>
          <w:i/>
          <w:iCs/>
          <w:color w:val="000000" w:themeColor="text1"/>
          <w:sz w:val="20"/>
          <w:szCs w:val="20"/>
          <w:u w:val="single"/>
          <w:shd w:val="clear" w:color="auto" w:fill="FFFFFF"/>
          <w:lang w:val="es-ES"/>
        </w:rPr>
        <w:t>criterios sociales se referirán, entre otras, a las siguientes finalidades</w:t>
      </w:r>
      <w:r w:rsidRPr="002A76C3">
        <w:rPr>
          <w:rFonts w:ascii="Verdana" w:hAnsi="Verdana" w:cs="Arial"/>
          <w:color w:val="000000" w:themeColor="text1"/>
          <w:sz w:val="20"/>
          <w:szCs w:val="20"/>
          <w:shd w:val="clear" w:color="auto" w:fill="FFFFFF"/>
          <w:lang w:val="es-ES"/>
        </w:rPr>
        <w:t xml:space="preserve">: fomento de la integración social de personas con discapacidad, inclusión de personas pertenecientes a grupos vulnerables en la ejecución del contrato y, en general, la inserción sociolaboral de personas en situación de riesgo de exclusión social y la eliminación de criterios sospechosos de discriminación; el fomento de la contratación femenina o población LGTBIQ+; madres cabeza de hogar; personas que no cuenten con cualificaciones educativas de formación secundaria o profesional superior,; víctimas del conflicto armado; criterios referidos al suministro o a la utilización de productos basados en un comercio justo durante la ejecución </w:t>
      </w:r>
      <w:r w:rsidRPr="002A76C3">
        <w:rPr>
          <w:rFonts w:ascii="Verdana" w:hAnsi="Verdana" w:cs="Arial"/>
          <w:color w:val="000000" w:themeColor="text1"/>
          <w:sz w:val="20"/>
          <w:szCs w:val="20"/>
          <w:shd w:val="clear" w:color="auto" w:fill="FFFFFF"/>
          <w:lang w:val="es-ES"/>
        </w:rPr>
        <w:lastRenderedPageBreak/>
        <w:t>del contrato, en los términos definidos por el artículo 4 de la Ley 2046 de 2020</w:t>
      </w:r>
      <w:r w:rsidRPr="00B40F72">
        <w:rPr>
          <w:rFonts w:ascii="Verdana" w:hAnsi="Verdana" w:cs="Arial"/>
          <w:color w:val="000000" w:themeColor="text1"/>
          <w:sz w:val="20"/>
          <w:szCs w:val="20"/>
          <w:shd w:val="clear" w:color="auto" w:fill="FFFFFF"/>
          <w:lang w:val="es-ES"/>
        </w:rPr>
        <w:t>”. [Énfasis propio]</w:t>
      </w:r>
    </w:p>
    <w:p w14:paraId="16430BDE" w14:textId="77777777" w:rsidR="00D660B1" w:rsidRPr="002A76C3" w:rsidRDefault="00D660B1" w:rsidP="00D660B1">
      <w:pPr>
        <w:spacing w:after="120" w:line="240" w:lineRule="auto"/>
        <w:ind w:firstLine="709"/>
        <w:jc w:val="both"/>
        <w:rPr>
          <w:rFonts w:ascii="Verdana" w:hAnsi="Verdana" w:cs="Arial"/>
          <w:color w:val="000000" w:themeColor="text1"/>
          <w:shd w:val="clear" w:color="auto" w:fill="FFFFFF"/>
          <w:lang w:val="es-ES"/>
        </w:rPr>
      </w:pPr>
    </w:p>
    <w:p w14:paraId="252B07D6" w14:textId="77777777" w:rsidR="00D660B1" w:rsidRPr="00B40F72" w:rsidRDefault="00D660B1" w:rsidP="00D660B1">
      <w:pPr>
        <w:spacing w:after="120" w:line="276" w:lineRule="auto"/>
        <w:ind w:firstLine="709"/>
        <w:jc w:val="both"/>
        <w:rPr>
          <w:rFonts w:ascii="Verdana" w:hAnsi="Verdana"/>
          <w:lang w:val="es-ES"/>
        </w:rPr>
      </w:pPr>
      <w:r w:rsidRPr="00B40F72">
        <w:rPr>
          <w:rFonts w:ascii="Verdana" w:hAnsi="Verdana" w:cs="Arial"/>
          <w:color w:val="000000" w:themeColor="text1"/>
          <w:lang w:val="es-ES"/>
        </w:rPr>
        <w:t>Por su parte, la Agencia Nacional de Contratación Pública – Colombia Compra Eficiente y el Ministerio de Ambiente y Desarrollo Sostenible</w:t>
      </w:r>
      <w:r w:rsidRPr="00B40F72">
        <w:rPr>
          <w:lang w:val="es-ES"/>
        </w:rPr>
        <w:t xml:space="preserve"> </w:t>
      </w:r>
      <w:r w:rsidRPr="00B40F72">
        <w:rPr>
          <w:rFonts w:ascii="Verdana" w:hAnsi="Verdana"/>
          <w:lang w:val="es-ES"/>
        </w:rPr>
        <w:t>adoptaron en conjunto la “Guía de Contratación Pública Sostenible y Socialmente Responsable”, con el objetivo de brindar a los partícipes del sistema de compra pública directrices para la implementación de cláusulas ambientales y sociales en su gestión contractual. Mediante esta Guía se establecen lineamientos que constituyen un instrumento de buenas prácticas para garantizar la consecución de Objetivos de Desarrollo Sostenible en el ámbito de la contratación estatal, mediante la implementación de criterios y obligaciones ambientales y sociales en todas las etapas del Proceso de Contratación.</w:t>
      </w:r>
    </w:p>
    <w:p w14:paraId="7ED85B74" w14:textId="77777777" w:rsidR="00D660B1" w:rsidRPr="00DE5D82" w:rsidRDefault="00D660B1" w:rsidP="00D660B1">
      <w:pPr>
        <w:spacing w:after="120" w:line="276" w:lineRule="auto"/>
        <w:ind w:firstLine="709"/>
        <w:jc w:val="both"/>
        <w:rPr>
          <w:rFonts w:ascii="Verdana" w:hAnsi="Verdana" w:cs="Times New Roman"/>
          <w:lang w:val="es-ES"/>
        </w:rPr>
      </w:pPr>
      <w:r w:rsidRPr="00B40F72">
        <w:rPr>
          <w:rFonts w:ascii="Verdana" w:hAnsi="Verdana"/>
          <w:lang w:val="es-ES"/>
        </w:rPr>
        <w:t>Con este propósito, se pueden usar diferentes herramientas, mecanismos y/o criterios en las distintas etapas del Proceso de Contratación, que maximicen la eficiencia de la contratación, al tiempo que se promueve la preservación ambiental y el bienestar social.</w:t>
      </w:r>
      <w:r>
        <w:rPr>
          <w:rFonts w:ascii="Verdana" w:hAnsi="Verdana"/>
          <w:lang w:val="es-ES"/>
        </w:rPr>
        <w:t xml:space="preserve"> </w:t>
      </w:r>
      <w:r w:rsidRPr="00B40F72">
        <w:rPr>
          <w:rFonts w:ascii="Verdana" w:hAnsi="Verdana" w:cs="Arial"/>
          <w:color w:val="000000" w:themeColor="text1"/>
          <w:lang w:val="es-ES"/>
        </w:rPr>
        <w:t xml:space="preserve">De este modo, los criterios sociales y ambientales pueden integrarse al sistema de compras públicas en las diferentes etapas de la gestión contractual: i) planeación estratégica, a través del establecimiento de lineamientos internos de compras públicas sostenibles; </w:t>
      </w:r>
      <w:proofErr w:type="spellStart"/>
      <w:r w:rsidRPr="00B40F72">
        <w:rPr>
          <w:rFonts w:ascii="Verdana" w:hAnsi="Verdana" w:cs="Arial"/>
          <w:color w:val="000000" w:themeColor="text1"/>
          <w:lang w:val="es-ES"/>
        </w:rPr>
        <w:t>ii</w:t>
      </w:r>
      <w:proofErr w:type="spellEnd"/>
      <w:r w:rsidRPr="00B40F72">
        <w:rPr>
          <w:rFonts w:ascii="Verdana" w:hAnsi="Verdana" w:cs="Arial"/>
          <w:color w:val="000000" w:themeColor="text1"/>
          <w:lang w:val="es-ES"/>
        </w:rPr>
        <w:t xml:space="preserve">) etapa precontractual, en la elaboración de estudios y documentos previos integrando criterios ambientales y sociales; </w:t>
      </w:r>
      <w:proofErr w:type="spellStart"/>
      <w:r w:rsidRPr="00B40F72">
        <w:rPr>
          <w:rFonts w:ascii="Verdana" w:hAnsi="Verdana" w:cs="Arial"/>
          <w:color w:val="000000" w:themeColor="text1"/>
          <w:lang w:val="es-ES"/>
        </w:rPr>
        <w:t>iii</w:t>
      </w:r>
      <w:proofErr w:type="spellEnd"/>
      <w:r w:rsidRPr="00B40F72">
        <w:rPr>
          <w:rFonts w:ascii="Verdana" w:hAnsi="Verdana" w:cs="Arial"/>
          <w:color w:val="000000" w:themeColor="text1"/>
          <w:lang w:val="es-ES"/>
        </w:rPr>
        <w:t xml:space="preserve">) etapa contractual, </w:t>
      </w:r>
      <w:r w:rsidRPr="00B40F72">
        <w:rPr>
          <w:rFonts w:ascii="Verdana" w:hAnsi="Verdana"/>
          <w:lang w:val="es-ES"/>
        </w:rPr>
        <w:t xml:space="preserve">mediante la incorporación de cláusulas contractuales; y </w:t>
      </w:r>
      <w:proofErr w:type="spellStart"/>
      <w:r w:rsidRPr="00B40F72">
        <w:rPr>
          <w:rFonts w:ascii="Verdana" w:hAnsi="Verdana"/>
          <w:lang w:val="es-ES"/>
        </w:rPr>
        <w:t>iv</w:t>
      </w:r>
      <w:proofErr w:type="spellEnd"/>
      <w:r w:rsidRPr="00B40F72">
        <w:rPr>
          <w:rFonts w:ascii="Verdana" w:hAnsi="Verdana"/>
          <w:lang w:val="es-ES"/>
        </w:rPr>
        <w:t xml:space="preserve">) etapa </w:t>
      </w:r>
      <w:proofErr w:type="spellStart"/>
      <w:r w:rsidRPr="00B40F72">
        <w:rPr>
          <w:rFonts w:ascii="Verdana" w:hAnsi="Verdana"/>
          <w:lang w:val="es-ES"/>
        </w:rPr>
        <w:t>poscontractual</w:t>
      </w:r>
      <w:proofErr w:type="spellEnd"/>
      <w:r w:rsidRPr="00B40F72">
        <w:rPr>
          <w:rFonts w:ascii="Verdana" w:hAnsi="Verdana"/>
          <w:lang w:val="es-ES"/>
        </w:rPr>
        <w:t>, en la verificación del cumplimiento de las obligaciones ambientales y sociales pactadas.</w:t>
      </w:r>
    </w:p>
    <w:p w14:paraId="4D39729E" w14:textId="77777777" w:rsidR="00D660B1" w:rsidRPr="00B40F72" w:rsidRDefault="00D660B1" w:rsidP="00D660B1">
      <w:pPr>
        <w:spacing w:after="120" w:line="276" w:lineRule="auto"/>
        <w:ind w:firstLine="709"/>
        <w:jc w:val="both"/>
        <w:rPr>
          <w:rFonts w:ascii="Verdana" w:hAnsi="Verdana"/>
          <w:lang w:val="es-ES"/>
        </w:rPr>
      </w:pPr>
      <w:r w:rsidRPr="00B40F72">
        <w:rPr>
          <w:rFonts w:ascii="Verdana" w:hAnsi="Verdana"/>
          <w:lang w:val="es-ES"/>
        </w:rPr>
        <w:t>En particular, durante la etapa de planeación, la Guía recomienda a las entidades realizar una evaluación de la necesidad concreta del bien, obra o servicio a contratar. Como parte de</w:t>
      </w:r>
      <w:r>
        <w:rPr>
          <w:rFonts w:ascii="Verdana" w:hAnsi="Verdana"/>
          <w:lang w:val="es-ES"/>
        </w:rPr>
        <w:t xml:space="preserve"> </w:t>
      </w:r>
      <w:r w:rsidRPr="00B40F72">
        <w:rPr>
          <w:rFonts w:ascii="Verdana" w:hAnsi="Verdana"/>
          <w:lang w:val="es-ES"/>
        </w:rPr>
        <w:t xml:space="preserve">lo anterior, las entidades deberían </w:t>
      </w:r>
      <w:proofErr w:type="gramStart"/>
      <w:r w:rsidRPr="00B40F72">
        <w:rPr>
          <w:rFonts w:ascii="Verdana" w:hAnsi="Verdana"/>
          <w:lang w:val="es-ES"/>
        </w:rPr>
        <w:t xml:space="preserve">analizar  </w:t>
      </w:r>
      <w:r>
        <w:rPr>
          <w:rFonts w:ascii="Verdana" w:hAnsi="Verdana"/>
          <w:lang w:val="es-ES"/>
        </w:rPr>
        <w:t>la</w:t>
      </w:r>
      <w:proofErr w:type="gramEnd"/>
      <w:r>
        <w:rPr>
          <w:rFonts w:ascii="Verdana" w:hAnsi="Verdana"/>
          <w:lang w:val="es-ES"/>
        </w:rPr>
        <w:t xml:space="preserve"> </w:t>
      </w:r>
      <w:r w:rsidRPr="00B40F72">
        <w:rPr>
          <w:rFonts w:ascii="Verdana" w:hAnsi="Verdana"/>
          <w:lang w:val="es-ES"/>
        </w:rPr>
        <w:t>forma en la que puede llevarse a cabo la satisfacción de la necesidad, según el tipo de contrato, obteniendo la máxima rentabilidad a lo largo de todo el ciclo de vida del bien, obra o servicio a contratar. Esto es, teniendo en consideración todos los costos directos e indirectos durante la vida útil del bien, obra o servicio, lo cual incluye los costos o impactos económicos</w:t>
      </w:r>
      <w:r w:rsidRPr="00DE5D82">
        <w:rPr>
          <w:rFonts w:ascii="Verdana" w:hAnsi="Verdana"/>
          <w:i/>
          <w:iCs/>
          <w:lang w:val="es-ES"/>
        </w:rPr>
        <w:t>, sociales</w:t>
      </w:r>
      <w:r w:rsidRPr="00B40F72">
        <w:rPr>
          <w:rFonts w:ascii="Verdana" w:hAnsi="Verdana"/>
          <w:lang w:val="es-ES"/>
        </w:rPr>
        <w:t xml:space="preserve"> y </w:t>
      </w:r>
      <w:proofErr w:type="gramStart"/>
      <w:r w:rsidRPr="00B40F72">
        <w:rPr>
          <w:rFonts w:ascii="Verdana" w:hAnsi="Verdana"/>
          <w:lang w:val="es-ES"/>
        </w:rPr>
        <w:t>ambientales  (</w:t>
      </w:r>
      <w:proofErr w:type="gramEnd"/>
      <w:r w:rsidRPr="00B40F72">
        <w:rPr>
          <w:rFonts w:ascii="Verdana" w:hAnsi="Verdana"/>
          <w:lang w:val="es-ES"/>
        </w:rPr>
        <w:t>por ejemplo, precio de compra, gastos de funcionamiento, consumos de energía, agua, combustible, repuestos, mantenimiento, desmantelamiento y eliminación), valorando la posibilidad de llevarla a cabo mediante acciones circulares (reducción, reutilización, reciclaje y recuperación)</w:t>
      </w:r>
      <w:r>
        <w:rPr>
          <w:rFonts w:ascii="Verdana" w:hAnsi="Verdana"/>
          <w:lang w:val="es-ES"/>
        </w:rPr>
        <w:t>.</w:t>
      </w:r>
    </w:p>
    <w:p w14:paraId="2FEEEC71" w14:textId="77777777" w:rsidR="00D660B1" w:rsidRPr="00B40F72" w:rsidRDefault="00D660B1" w:rsidP="00D660B1">
      <w:pPr>
        <w:spacing w:after="120" w:line="276" w:lineRule="auto"/>
        <w:ind w:firstLine="709"/>
        <w:jc w:val="both"/>
        <w:rPr>
          <w:rFonts w:ascii="Verdana" w:hAnsi="Verdana"/>
          <w:lang w:val="es-ES"/>
        </w:rPr>
      </w:pPr>
      <w:r w:rsidRPr="003C0A78">
        <w:rPr>
          <w:rFonts w:ascii="Verdana" w:hAnsi="Verdana"/>
          <w:lang w:val="es-ES"/>
        </w:rPr>
        <w:lastRenderedPageBreak/>
        <w:t xml:space="preserve">Conocida y delimitada la necesidad a cubrir mediante el futuro contrato, la Entidad Estatal podrá evaluar si se trata de una </w:t>
      </w:r>
      <w:r w:rsidRPr="00B40F72">
        <w:rPr>
          <w:rFonts w:ascii="Verdana" w:hAnsi="Verdana"/>
          <w:lang w:val="es-ES"/>
        </w:rPr>
        <w:t xml:space="preserve">necesidad puntual o permanente, la elección del tipo de procedimiento, si es viable la división en lotes del contrato, la selección de las cláusulas ambientales y sociales a incorporar en los Documentos del Proceso, los criterios de adjudicación que van a determinar la elección de la mejor oferta, entre otros aspectos. Con base en lo anterior, se recomienda que el objeto del contrato se configure de modo que los actores del mercado puedan identificar cuáles son las necesidades ambientales y sociales que guardan relación con el objeto del contrato. </w:t>
      </w:r>
    </w:p>
    <w:p w14:paraId="7BF18B1B" w14:textId="77777777" w:rsidR="00D660B1" w:rsidRPr="00B40F72" w:rsidRDefault="00D660B1" w:rsidP="00D660B1">
      <w:pPr>
        <w:spacing w:after="120" w:line="276" w:lineRule="auto"/>
        <w:ind w:firstLine="709"/>
        <w:jc w:val="both"/>
        <w:rPr>
          <w:rFonts w:ascii="Verdana" w:hAnsi="Verdana"/>
          <w:lang w:val="es-ES"/>
        </w:rPr>
      </w:pPr>
      <w:r w:rsidRPr="00B40F72">
        <w:rPr>
          <w:rFonts w:ascii="Verdana" w:hAnsi="Verdana"/>
          <w:lang w:val="es-ES"/>
        </w:rPr>
        <w:t>Adicional</w:t>
      </w:r>
      <w:r>
        <w:rPr>
          <w:rFonts w:ascii="Verdana" w:hAnsi="Verdana"/>
          <w:lang w:val="es-ES"/>
        </w:rPr>
        <w:t>mente</w:t>
      </w:r>
      <w:r w:rsidRPr="00B40F72">
        <w:rPr>
          <w:rFonts w:ascii="Verdana" w:hAnsi="Verdana"/>
          <w:lang w:val="es-ES"/>
        </w:rPr>
        <w:t xml:space="preserve">, </w:t>
      </w:r>
      <w:r>
        <w:rPr>
          <w:rFonts w:ascii="Verdana" w:hAnsi="Verdana"/>
          <w:lang w:val="es-ES"/>
        </w:rPr>
        <w:t>l</w:t>
      </w:r>
      <w:r w:rsidRPr="00B40F72">
        <w:rPr>
          <w:rFonts w:ascii="Verdana" w:hAnsi="Verdana"/>
          <w:lang w:val="es-ES"/>
        </w:rPr>
        <w:t xml:space="preserve">as Entidades Estatales deberán hacer una evaluación de la capacidad del mercado para cumplir con los criterios y/o obligaciones de sostenibilidad (en el ámbito social y ambiental) que se pretenden incorporar. En el marco de la consulta del mercado resulta esencial que las Entidades Estatales informen sobre sus decisiones relativas a los criterios de sostenibilidad que se pretenden incluir en el Proceso de Contratación o las obligaciones en materia ambiental y social que se incorporaran en el contrato. Esto ayudará a garantizar que muchos proveedores puedan cumplir los criterios, promoviéndose así la pluralidad de oferentes y permitiendo </w:t>
      </w:r>
      <w:r>
        <w:rPr>
          <w:rFonts w:ascii="Verdana" w:hAnsi="Verdana"/>
          <w:lang w:val="es-ES"/>
        </w:rPr>
        <w:t>a</w:t>
      </w:r>
      <w:r w:rsidRPr="00B40F72">
        <w:rPr>
          <w:rFonts w:ascii="Verdana" w:hAnsi="Verdana"/>
          <w:lang w:val="es-ES"/>
        </w:rPr>
        <w:t xml:space="preserve">demás que la Entidad Estatal obtenga información de mayor calidad sobre los costos reales de los bienes, obras o servicios que requiere. </w:t>
      </w:r>
    </w:p>
    <w:p w14:paraId="7C7285C3" w14:textId="77777777" w:rsidR="00D660B1" w:rsidRPr="00B40F72" w:rsidRDefault="00D660B1" w:rsidP="00D660B1">
      <w:pPr>
        <w:spacing w:after="120" w:line="276" w:lineRule="auto"/>
        <w:ind w:firstLine="709"/>
        <w:jc w:val="both"/>
        <w:rPr>
          <w:rFonts w:ascii="Verdana" w:hAnsi="Verdana"/>
          <w:lang w:val="es-ES"/>
        </w:rPr>
      </w:pPr>
      <w:r w:rsidRPr="00B40F72">
        <w:rPr>
          <w:rFonts w:ascii="Verdana" w:hAnsi="Verdana"/>
          <w:lang w:val="es-ES"/>
        </w:rPr>
        <w:t xml:space="preserve">Realizado lo anterior, la entidad puede optar por incluir </w:t>
      </w:r>
      <w:r w:rsidRPr="002205C1">
        <w:rPr>
          <w:rFonts w:ascii="Verdana" w:hAnsi="Verdana"/>
          <w:i/>
          <w:iCs/>
          <w:lang w:val="es-ES"/>
        </w:rPr>
        <w:t>especificaciones técnicas</w:t>
      </w:r>
      <w:r w:rsidRPr="00B40F72">
        <w:rPr>
          <w:rFonts w:ascii="Verdana" w:hAnsi="Verdana"/>
          <w:lang w:val="es-ES"/>
        </w:rPr>
        <w:t>, entendidas como características específicas del bien, obra o servicio que se comprar</w:t>
      </w:r>
      <w:r>
        <w:rPr>
          <w:rFonts w:ascii="Verdana" w:hAnsi="Verdana"/>
          <w:lang w:val="es-ES"/>
        </w:rPr>
        <w:t>á</w:t>
      </w:r>
      <w:r w:rsidRPr="00B40F72">
        <w:rPr>
          <w:rFonts w:ascii="Verdana" w:hAnsi="Verdana"/>
          <w:lang w:val="es-ES"/>
        </w:rPr>
        <w:t>. Estas especificaciones pueden ser de tipo ambiental o social, siempre que proporcionen a los proveedores acceso en condiciones de igualdad al Procedimiento de Contratación. En efecto</w:t>
      </w:r>
      <w:r>
        <w:rPr>
          <w:rFonts w:ascii="Verdana" w:hAnsi="Verdana"/>
          <w:lang w:val="es-ES"/>
        </w:rPr>
        <w:t>,</w:t>
      </w:r>
      <w:r w:rsidRPr="00B40F72">
        <w:rPr>
          <w:rFonts w:ascii="Verdana" w:hAnsi="Verdana"/>
          <w:lang w:val="es-ES"/>
        </w:rPr>
        <w:t xml:space="preserve"> las especificaciones no deben constituir obstáculos injustificados a la participación de los actores del mercado global en los Procesos de Contratación ni limitar la selección objetiva. Estas especificaciones, tampoco deben hacer referencia a una fabricación, a una procedencia determinada o a un procedimiento concreto que caracterice los productos o servicios ofrecidos por un único empresario o a una marca patente o tipo, con el fin de favorecer o descartar a ciertas empresas o productos. </w:t>
      </w:r>
    </w:p>
    <w:p w14:paraId="50828CE4" w14:textId="77777777" w:rsidR="00D660B1" w:rsidRPr="00B40F72" w:rsidRDefault="00D660B1" w:rsidP="00D660B1">
      <w:pPr>
        <w:spacing w:after="120" w:line="276" w:lineRule="auto"/>
        <w:ind w:firstLine="709"/>
        <w:jc w:val="both"/>
        <w:rPr>
          <w:rFonts w:ascii="Verdana" w:hAnsi="Verdana"/>
          <w:lang w:val="es-ES"/>
        </w:rPr>
      </w:pPr>
      <w:r w:rsidRPr="00B40F72">
        <w:rPr>
          <w:rFonts w:ascii="Verdana" w:hAnsi="Verdana"/>
          <w:lang w:val="es-ES"/>
        </w:rPr>
        <w:t xml:space="preserve">Adicional a las especificaciones técnicas, las entidades contratantes pueden incluir </w:t>
      </w:r>
      <w:r w:rsidRPr="002205C1">
        <w:rPr>
          <w:rFonts w:ascii="Verdana" w:hAnsi="Verdana"/>
          <w:i/>
          <w:iCs/>
          <w:lang w:val="es-ES"/>
        </w:rPr>
        <w:t>criterios ponderables o de evaluación</w:t>
      </w:r>
      <w:r w:rsidRPr="00B40F72">
        <w:rPr>
          <w:rFonts w:ascii="Verdana" w:hAnsi="Verdana"/>
          <w:lang w:val="es-ES"/>
        </w:rPr>
        <w:t xml:space="preserve"> de la oferta que le permitirán determinar la oferta más favorable en el marco de lo dispuesto en </w:t>
      </w:r>
      <w:proofErr w:type="gramStart"/>
      <w:r w:rsidRPr="00B40F72">
        <w:rPr>
          <w:rFonts w:ascii="Verdana" w:hAnsi="Verdana"/>
          <w:lang w:val="es-ES"/>
        </w:rPr>
        <w:t>el  artículo</w:t>
      </w:r>
      <w:proofErr w:type="gramEnd"/>
      <w:r w:rsidRPr="00B40F72">
        <w:rPr>
          <w:rFonts w:ascii="Verdana" w:hAnsi="Verdana"/>
          <w:lang w:val="es-ES"/>
        </w:rPr>
        <w:t xml:space="preserve"> 2.2.1.1.2.2.2. </w:t>
      </w:r>
      <w:r>
        <w:rPr>
          <w:rFonts w:ascii="Verdana" w:hAnsi="Verdana"/>
          <w:lang w:val="es-ES"/>
        </w:rPr>
        <w:t xml:space="preserve">del </w:t>
      </w:r>
      <w:r w:rsidRPr="00B40F72">
        <w:rPr>
          <w:rFonts w:ascii="Verdana" w:hAnsi="Verdana"/>
          <w:lang w:val="es-ES"/>
        </w:rPr>
        <w:t xml:space="preserve">Decreto 1082 de 2015. Los criterios ambientales de </w:t>
      </w:r>
      <w:r w:rsidRPr="00B40F72">
        <w:rPr>
          <w:rFonts w:ascii="Verdana" w:hAnsi="Verdana"/>
          <w:lang w:val="es-ES"/>
        </w:rPr>
        <w:lastRenderedPageBreak/>
        <w:t xml:space="preserve">evaluación </w:t>
      </w:r>
      <w:r>
        <w:rPr>
          <w:rFonts w:ascii="Verdana" w:hAnsi="Verdana"/>
          <w:lang w:val="es-ES"/>
        </w:rPr>
        <w:t xml:space="preserve">son </w:t>
      </w:r>
      <w:r w:rsidRPr="00B40F72">
        <w:rPr>
          <w:rFonts w:ascii="Verdana" w:hAnsi="Verdana"/>
          <w:lang w:val="es-ES"/>
        </w:rPr>
        <w:t xml:space="preserve">aquellos que procuran la contratación de bienes, obras y servicios que generen el menor impacto ambiental posible a lo largo de todo su ciclo de vida, o que generen un impacto ambiental positivo mediante su proceso de producción. Por su parte, los </w:t>
      </w:r>
      <w:r w:rsidRPr="003340D5">
        <w:rPr>
          <w:rFonts w:ascii="Verdana" w:hAnsi="Verdana"/>
          <w:i/>
          <w:iCs/>
          <w:lang w:val="es-ES"/>
        </w:rPr>
        <w:t>criterios sociales</w:t>
      </w:r>
      <w:r w:rsidRPr="00B40F72">
        <w:rPr>
          <w:rFonts w:ascii="Verdana" w:hAnsi="Verdana"/>
          <w:lang w:val="es-ES"/>
        </w:rPr>
        <w:t xml:space="preserve"> </w:t>
      </w:r>
      <w:r>
        <w:rPr>
          <w:rFonts w:ascii="Verdana" w:hAnsi="Verdana"/>
          <w:lang w:val="es-ES"/>
        </w:rPr>
        <w:t xml:space="preserve">son </w:t>
      </w:r>
      <w:r w:rsidRPr="00B40F72">
        <w:rPr>
          <w:rFonts w:ascii="Verdana" w:hAnsi="Verdana"/>
          <w:lang w:val="es-ES"/>
        </w:rPr>
        <w:t xml:space="preserve">aquellos que buscan reducir las desigualdades sociales, incluir grupos desfavorecidos, así como promover la transparencia y el respeto a los derechos humanos, el cumplimiento y la adhesión a normativa y buenas prácticas internacionales de seguridad social, salud e higiene en el ámbito laboral. En cualquier caso, la incorporación de </w:t>
      </w:r>
      <w:r>
        <w:rPr>
          <w:rFonts w:ascii="Verdana" w:hAnsi="Verdana"/>
          <w:lang w:val="es-ES"/>
        </w:rPr>
        <w:t xml:space="preserve">ambos tipos </w:t>
      </w:r>
      <w:r w:rsidRPr="00B40F72">
        <w:rPr>
          <w:rFonts w:ascii="Verdana" w:hAnsi="Verdana"/>
          <w:lang w:val="es-ES"/>
        </w:rPr>
        <w:t xml:space="preserve">en los Procesos de Contratación debe cumplir con los presupuestos de vinculación con el objeto del contrato, proporcionalidad y no discriminación. </w:t>
      </w:r>
    </w:p>
    <w:p w14:paraId="3B63D4D4" w14:textId="77777777" w:rsidR="00D660B1" w:rsidRPr="00B40F72" w:rsidRDefault="00D660B1" w:rsidP="00D660B1">
      <w:pPr>
        <w:spacing w:after="120" w:line="276" w:lineRule="auto"/>
        <w:ind w:firstLine="709"/>
        <w:jc w:val="both"/>
        <w:rPr>
          <w:rFonts w:ascii="Verdana" w:hAnsi="Verdana"/>
          <w:lang w:val="es-ES"/>
        </w:rPr>
      </w:pPr>
      <w:r>
        <w:rPr>
          <w:rFonts w:ascii="Verdana" w:hAnsi="Verdana"/>
          <w:lang w:val="es-ES"/>
        </w:rPr>
        <w:t>Para lo anterior</w:t>
      </w:r>
      <w:r w:rsidRPr="00B40F72">
        <w:rPr>
          <w:rFonts w:ascii="Verdana" w:hAnsi="Verdana"/>
          <w:lang w:val="es-ES"/>
        </w:rPr>
        <w:t xml:space="preserve">, la Agencia recomienda consultar el Anexo I de la </w:t>
      </w:r>
      <w:proofErr w:type="spellStart"/>
      <w:r w:rsidRPr="00B40F72">
        <w:rPr>
          <w:rFonts w:ascii="Verdana" w:hAnsi="Verdana"/>
          <w:lang w:val="es-ES"/>
        </w:rPr>
        <w:t>Guía</w:t>
      </w:r>
      <w:proofErr w:type="spellEnd"/>
      <w:r w:rsidRPr="00B40F72">
        <w:rPr>
          <w:rFonts w:ascii="Verdana" w:hAnsi="Verdana"/>
          <w:lang w:val="es-ES"/>
        </w:rPr>
        <w:t xml:space="preserve">, el cual contiene a modo ilustrativo una serie de criterios ambientales y sociales que las Entidades Estatales podrán incluir en sus Procesos de Contratación. Algunos ejemplos de criterios sociales que se incluyen en dicho documento son: </w:t>
      </w:r>
    </w:p>
    <w:p w14:paraId="7FE8A639" w14:textId="77777777" w:rsidR="00D660B1" w:rsidRPr="00B40F72" w:rsidRDefault="00D660B1" w:rsidP="00D660B1">
      <w:pPr>
        <w:pStyle w:val="Prrafodelista"/>
        <w:numPr>
          <w:ilvl w:val="0"/>
          <w:numId w:val="31"/>
        </w:numPr>
        <w:spacing w:before="120" w:after="120" w:line="276" w:lineRule="auto"/>
        <w:ind w:left="0" w:firstLine="709"/>
        <w:jc w:val="both"/>
        <w:rPr>
          <w:rFonts w:ascii="Verdana" w:hAnsi="Verdana"/>
        </w:rPr>
      </w:pPr>
      <w:r w:rsidRPr="00B40F72">
        <w:rPr>
          <w:rFonts w:ascii="Verdana" w:hAnsi="Verdana"/>
        </w:rPr>
        <w:t>Las Entidades Públicas pueden solicitar criterios sociales a los oferentes referentes a garantizar que las compras de maquinaria, materias primas, insumos, empaques, entre otros materiales que se requieran para la producción del bien o prestación del servicio sean provistas con enfoque social. De igual manera, la inclusión de estos criterios sociales se podrá requerir en el marco de la tercerización de servicios o subcontratación.</w:t>
      </w:r>
    </w:p>
    <w:p w14:paraId="1B3DD76A" w14:textId="77777777" w:rsidR="00D660B1" w:rsidRPr="00B40F72" w:rsidRDefault="00D660B1" w:rsidP="00D660B1">
      <w:pPr>
        <w:pStyle w:val="Prrafodelista"/>
        <w:numPr>
          <w:ilvl w:val="0"/>
          <w:numId w:val="31"/>
        </w:numPr>
        <w:spacing w:before="120" w:after="120" w:line="276" w:lineRule="auto"/>
        <w:ind w:left="0" w:firstLine="709"/>
        <w:jc w:val="both"/>
        <w:rPr>
          <w:rFonts w:ascii="Verdana" w:hAnsi="Verdana"/>
        </w:rPr>
      </w:pPr>
      <w:r w:rsidRPr="00B40F72">
        <w:rPr>
          <w:rFonts w:ascii="Verdana" w:hAnsi="Verdana"/>
        </w:rPr>
        <w:t>La entidad podrá tener en cuenta criterios referidos al suministro o a la utilización de productos basados en un comercio justo durante la ejecución del contrato, en los términos definidos por el artículo 4 de la Ley 2046 de 2020, en los procesos de contratación en los que estos no sean obligatorios.</w:t>
      </w:r>
    </w:p>
    <w:p w14:paraId="2E7DB6FB" w14:textId="77777777" w:rsidR="00D660B1" w:rsidRPr="00B40F72" w:rsidRDefault="00D660B1" w:rsidP="00D660B1">
      <w:pPr>
        <w:pStyle w:val="Prrafodelista"/>
        <w:numPr>
          <w:ilvl w:val="0"/>
          <w:numId w:val="31"/>
        </w:numPr>
        <w:spacing w:before="120" w:after="120" w:line="276" w:lineRule="auto"/>
        <w:ind w:left="0" w:firstLine="709"/>
        <w:jc w:val="both"/>
        <w:rPr>
          <w:rFonts w:ascii="Verdana" w:hAnsi="Verdana"/>
        </w:rPr>
      </w:pPr>
      <w:r w:rsidRPr="00B40F72">
        <w:rPr>
          <w:rFonts w:ascii="Verdana" w:hAnsi="Verdana"/>
        </w:rPr>
        <w:t>Destinar a la ejecución del contrato, en un porcentaje que se determine por la entidad, la provisión de bienes o servicios por parte de alguno o algunos de los siguientes sujetos de especial protección constitucional: población en pobreza extrema, desplazados por la violencia, personas en proceso de reintegración o reincorporación, víctimas de conflicto armado interno, mujeres cabeza de hogar, adultos mayores, personas en condición de discapacidad, así como la población de las comunidades indígena, negra, afrocolombiana, raizal, palanquera, Rrom o gitana, entre otros sujetos identificados por la Ley o la jurisprudencia de esta manera.</w:t>
      </w:r>
    </w:p>
    <w:p w14:paraId="27E17AE0" w14:textId="77777777" w:rsidR="00D660B1" w:rsidRPr="00B40F72" w:rsidRDefault="00D660B1" w:rsidP="00D660B1">
      <w:pPr>
        <w:pStyle w:val="Prrafodelista"/>
        <w:numPr>
          <w:ilvl w:val="0"/>
          <w:numId w:val="31"/>
        </w:numPr>
        <w:spacing w:before="120" w:after="120" w:line="276" w:lineRule="auto"/>
        <w:ind w:left="0" w:firstLine="709"/>
        <w:jc w:val="both"/>
        <w:rPr>
          <w:rFonts w:ascii="Verdana" w:hAnsi="Verdana"/>
        </w:rPr>
      </w:pPr>
      <w:r w:rsidRPr="00B40F72">
        <w:rPr>
          <w:rFonts w:ascii="Verdana" w:hAnsi="Verdana"/>
        </w:rPr>
        <w:t xml:space="preserve">Solicitar que un porcentaje de los productos objeto del contrato provengan de circuitos cortos de comercialización, es decir, que los proveedores deben ser productores o intermediarios locales que compren sus insumos </w:t>
      </w:r>
      <w:r w:rsidRPr="00B40F72">
        <w:rPr>
          <w:rFonts w:ascii="Verdana" w:hAnsi="Verdana"/>
        </w:rPr>
        <w:lastRenderedPageBreak/>
        <w:t>directamente a pequeños productores agrícolas cercanos a la región donde se van a entregar los productos, eliminando intermediarios a gran escala y fomentando la economía local.</w:t>
      </w:r>
    </w:p>
    <w:p w14:paraId="1033A5FD" w14:textId="77777777" w:rsidR="00D660B1" w:rsidRPr="00B40F72" w:rsidRDefault="00D660B1" w:rsidP="00D660B1">
      <w:pPr>
        <w:pStyle w:val="Prrafodelista"/>
        <w:numPr>
          <w:ilvl w:val="0"/>
          <w:numId w:val="31"/>
        </w:numPr>
        <w:spacing w:before="120" w:after="120" w:line="276" w:lineRule="auto"/>
        <w:ind w:left="0" w:firstLine="709"/>
        <w:jc w:val="both"/>
        <w:rPr>
          <w:rFonts w:ascii="Verdana" w:hAnsi="Verdana"/>
        </w:rPr>
      </w:pPr>
      <w:r w:rsidRPr="00B40F72">
        <w:rPr>
          <w:rFonts w:ascii="Verdana" w:hAnsi="Verdana"/>
        </w:rPr>
        <w:t>Incorporar como parte de las obligaciones contractuales del contratista garantizar que en el proceso de selección de personal y en las condiciones laborales para la ejecución del contrato no se utilicen criterios que puedan resultar discriminatorios, tales como el origen étnico, género, orientación sexual, religión o cualquier otra condición personal o social que implique discriminación directa o indirecta.</w:t>
      </w:r>
    </w:p>
    <w:p w14:paraId="2873A0BF" w14:textId="77777777" w:rsidR="00D660B1" w:rsidRPr="00B40F72" w:rsidRDefault="00D660B1" w:rsidP="00D660B1">
      <w:pPr>
        <w:spacing w:after="120" w:line="276" w:lineRule="auto"/>
        <w:ind w:firstLine="709"/>
        <w:jc w:val="both"/>
        <w:rPr>
          <w:rFonts w:ascii="Verdana" w:hAnsi="Verdana"/>
          <w:lang w:val="es-ES"/>
        </w:rPr>
      </w:pPr>
      <w:r w:rsidRPr="00B40F72">
        <w:rPr>
          <w:rFonts w:ascii="Verdana" w:hAnsi="Verdana"/>
          <w:lang w:val="es-ES"/>
        </w:rPr>
        <w:t xml:space="preserve">Finalmente, se resalta que </w:t>
      </w:r>
      <w:r>
        <w:rPr>
          <w:rFonts w:ascii="Verdana" w:hAnsi="Verdana"/>
          <w:lang w:val="es-ES"/>
        </w:rPr>
        <w:t>l</w:t>
      </w:r>
      <w:r w:rsidRPr="00B40F72">
        <w:rPr>
          <w:rFonts w:ascii="Verdana" w:hAnsi="Verdana"/>
          <w:lang w:val="es-ES"/>
        </w:rPr>
        <w:t xml:space="preserve">os criterios ambientales y sociales incorporados por la Entidad Estatal </w:t>
      </w:r>
      <w:r>
        <w:rPr>
          <w:rFonts w:ascii="Verdana" w:hAnsi="Verdana"/>
          <w:lang w:val="es-ES"/>
        </w:rPr>
        <w:t>para la</w:t>
      </w:r>
      <w:r w:rsidRPr="00B40F72">
        <w:rPr>
          <w:rFonts w:ascii="Verdana" w:hAnsi="Verdana"/>
          <w:lang w:val="es-ES"/>
        </w:rPr>
        <w:t xml:space="preserve"> evaluación devienen en obligaciones para los contratistas a quienes se les adjudica el contrato en consideración al ofrecimiento de tales factores. Para estos efectos, no solo resulta indispensable que el alcance de tales compromisos se precise en los Pliegos de Condiciones o documentos equivalentes, sino que también es importante que se reflejen en la minuta del contrato, de manera que puedan ser materia de seguimiento y de la aplicación de sanciones por incumplimiento contractual como la imposición de multas y cl</w:t>
      </w:r>
      <w:r>
        <w:rPr>
          <w:rFonts w:ascii="Verdana" w:hAnsi="Verdana"/>
          <w:lang w:val="es-ES"/>
        </w:rPr>
        <w:t>á</w:t>
      </w:r>
      <w:r w:rsidRPr="00B40F72">
        <w:rPr>
          <w:rFonts w:ascii="Verdana" w:hAnsi="Verdana"/>
          <w:lang w:val="es-ES"/>
        </w:rPr>
        <w:t xml:space="preserve">usulas penales. </w:t>
      </w:r>
    </w:p>
    <w:p w14:paraId="76EA7DF3" w14:textId="77777777" w:rsidR="00D660B1" w:rsidRPr="00B40F72" w:rsidRDefault="00D660B1" w:rsidP="00D660B1">
      <w:pPr>
        <w:spacing w:after="120" w:line="276" w:lineRule="auto"/>
        <w:ind w:firstLine="708"/>
        <w:jc w:val="both"/>
        <w:rPr>
          <w:rFonts w:ascii="Verdana" w:hAnsi="Verdana" w:cs="Arial"/>
          <w:color w:val="000000" w:themeColor="text1"/>
          <w:shd w:val="clear" w:color="auto" w:fill="FFFFFF"/>
          <w:lang w:val="es-ES"/>
        </w:rPr>
      </w:pPr>
      <w:r w:rsidRPr="00B40F72">
        <w:rPr>
          <w:rFonts w:ascii="Verdana" w:hAnsi="Verdana" w:cs="Arial"/>
          <w:color w:val="000000" w:themeColor="text1"/>
          <w:shd w:val="clear" w:color="auto" w:fill="FFFFFF"/>
          <w:lang w:val="es-ES"/>
        </w:rPr>
        <w:t>En este contexto, el Decreto 0997 de 2026 modifica y adiciona diversos artículos del Decreto 1082 de 2015 con el fin de incluir la perspectiva de las Compras Públicas Sostenible a lo largo del ciclo de contratación.</w:t>
      </w:r>
      <w:r>
        <w:rPr>
          <w:rFonts w:ascii="Verdana" w:hAnsi="Verdana" w:cs="Arial"/>
          <w:color w:val="000000" w:themeColor="text1"/>
          <w:shd w:val="clear" w:color="auto" w:fill="FFFFFF"/>
          <w:lang w:val="es-ES"/>
        </w:rPr>
        <w:t xml:space="preserve"> L</w:t>
      </w:r>
      <w:r w:rsidRPr="00B40F72">
        <w:rPr>
          <w:rFonts w:ascii="Verdana" w:hAnsi="Verdana" w:cs="Arial"/>
          <w:color w:val="000000" w:themeColor="text1"/>
          <w:shd w:val="clear" w:color="auto" w:fill="FFFFFF"/>
          <w:lang w:val="es-ES"/>
        </w:rPr>
        <w:t xml:space="preserve">as modificaciones </w:t>
      </w:r>
      <w:r w:rsidRPr="00B40F72">
        <w:rPr>
          <w:rFonts w:ascii="Verdana" w:hAnsi="Verdana" w:cs="Arial"/>
          <w:lang w:val="es-ES"/>
        </w:rPr>
        <w:t>responden a la necesidad de estructurar un marco normativo que permita integrar de manera sistemática la sostenibilidad en la planeación, estructuración y evaluación de los procesos de contratación, mediante herramientas como el análisis del ciclo de vida, la incorporación de criterios ambientales y sociales</w:t>
      </w:r>
      <w:r>
        <w:rPr>
          <w:rFonts w:ascii="Verdana" w:hAnsi="Verdana" w:cs="Arial"/>
          <w:lang w:val="es-ES"/>
        </w:rPr>
        <w:t>,</w:t>
      </w:r>
      <w:r w:rsidRPr="00B40F72">
        <w:rPr>
          <w:rFonts w:ascii="Verdana" w:hAnsi="Verdana" w:cs="Arial"/>
          <w:lang w:val="es-ES"/>
        </w:rPr>
        <w:t xml:space="preserve"> y la orientación del principio de selección objetiva hacia el valor por dinero en un sentido amplio. Adicionalmente,</w:t>
      </w:r>
      <w:r w:rsidRPr="00B40F72">
        <w:rPr>
          <w:rFonts w:ascii="Verdana" w:hAnsi="Verdana" w:cs="Arial"/>
          <w:lang w:val="es-ES" w:eastAsia="es-ES"/>
        </w:rPr>
        <w:t xml:space="preserve"> establece que la incorporación de criterios ambientales y sociales debe realizarse bajo parámetros de objetividad, proporcionalidad, razonabilidad y vinculación con el objeto contractual, con base en el análisis del sector y las condiciones del mercado, evitando la imposición de requisitos desproporcionados o restrictivos que puedan afectar la participación de los oferentes.</w:t>
      </w:r>
    </w:p>
    <w:p w14:paraId="1CEEC6D2" w14:textId="77777777" w:rsidR="00D660B1" w:rsidRPr="00B40F72" w:rsidRDefault="00D660B1" w:rsidP="00D660B1">
      <w:pPr>
        <w:spacing w:before="120" w:after="120" w:line="276" w:lineRule="auto"/>
        <w:ind w:firstLine="709"/>
        <w:jc w:val="both"/>
        <w:rPr>
          <w:rFonts w:ascii="Verdana" w:hAnsi="Verdana" w:cs="Arial"/>
          <w:iCs/>
          <w:color w:val="000000"/>
          <w:lang w:val="es-ES"/>
        </w:rPr>
      </w:pPr>
      <w:r w:rsidRPr="00B40F72">
        <w:rPr>
          <w:rFonts w:ascii="Verdana" w:hAnsi="Verdana" w:cs="Arial"/>
          <w:iCs/>
          <w:color w:val="000000"/>
          <w:lang w:val="es-ES"/>
        </w:rPr>
        <w:t xml:space="preserve">En esa línea, la adición del artículo 2.2.1.1.1.4.5 del Decreto 1082 de 2015 incorpora la planeación estratégica como criterio rector del Plan Anual de Adquisiciones, desarrollando el deber de planeación derivado de los artículos 209 </w:t>
      </w:r>
      <w:r w:rsidRPr="00B40F72">
        <w:rPr>
          <w:rFonts w:ascii="Verdana" w:hAnsi="Verdana" w:cs="Arial"/>
          <w:iCs/>
          <w:color w:val="000000"/>
          <w:lang w:val="es-ES"/>
        </w:rPr>
        <w:lastRenderedPageBreak/>
        <w:t xml:space="preserve">de la Constitución Política y 74 de la Ley 1474 de 2011. La disposición reglamentaria concreta la obligación de articular las decisiones de compra pública con los objetivos institucionales, las políticas públicas y los lineamientos expedidos por las autoridades sectoriales y órganos de política pública en materia de sostenibilidad social, ambiental y económica. Asimismo, la consideración de los impactos (ambientales y sociales) asociados a las distintas etapas del ciclo de vida permite operacionalizar el deber estatal de garantizar el aprovechamiento sostenible de los recursos naturales y la valoración integral de los impactos derivados del consumo público. </w:t>
      </w:r>
    </w:p>
    <w:p w14:paraId="0F4E1D5D" w14:textId="77777777" w:rsidR="00D660B1" w:rsidRPr="00B40F72" w:rsidRDefault="00D660B1" w:rsidP="00D660B1">
      <w:pPr>
        <w:spacing w:before="120" w:after="120" w:line="276" w:lineRule="auto"/>
        <w:ind w:firstLine="709"/>
        <w:jc w:val="both"/>
        <w:rPr>
          <w:rFonts w:ascii="Verdana" w:hAnsi="Verdana" w:cs="Arial"/>
          <w:iCs/>
          <w:color w:val="000000"/>
          <w:lang w:val="es-ES"/>
        </w:rPr>
      </w:pPr>
      <w:r w:rsidRPr="00B40F72">
        <w:rPr>
          <w:rFonts w:ascii="Verdana" w:hAnsi="Verdana" w:cs="Arial"/>
          <w:iCs/>
          <w:color w:val="000000"/>
          <w:lang w:val="es-ES"/>
        </w:rPr>
        <w:t>Por su parte, la definición de “Ciclo de Vida” incorporada en el artículo 2.2.1.1.1.3.1 desarrolla los principios de economía, eficiencia y sostenibilidad previstos en los artículos 209 y 267 superiores, así como el criterio de selección objetiva contenido en el artículo 5 de la Ley 1150 de 2007. Mediante esta reglamentación, el Gobierno Nacional dota a las Entidades Estatales de un marco conceptual para identificar y valorar los impactos económicos, sociales y ambientales asociados a los bienes, obras y servicios contratados, superando enfoques limitados al precio inicial de adquisición y permitiendo evaluar integralmente el ciclo completo de vida del objeto contractual, abarca</w:t>
      </w:r>
      <w:r>
        <w:rPr>
          <w:rFonts w:ascii="Verdana" w:hAnsi="Verdana" w:cs="Arial"/>
          <w:iCs/>
          <w:color w:val="000000"/>
          <w:lang w:val="es-ES"/>
        </w:rPr>
        <w:t>n</w:t>
      </w:r>
      <w:r w:rsidRPr="00B40F72">
        <w:rPr>
          <w:rFonts w:ascii="Verdana" w:hAnsi="Verdana" w:cs="Arial"/>
          <w:iCs/>
          <w:color w:val="000000"/>
          <w:lang w:val="es-ES"/>
        </w:rPr>
        <w:t>do servicios y bienes tangibles e intangibles.</w:t>
      </w:r>
    </w:p>
    <w:p w14:paraId="42C93FAB" w14:textId="77777777" w:rsidR="00D660B1" w:rsidRPr="00B40F72" w:rsidRDefault="00D660B1" w:rsidP="00D660B1">
      <w:pPr>
        <w:spacing w:before="120" w:after="120" w:line="276" w:lineRule="auto"/>
        <w:ind w:firstLine="709"/>
        <w:jc w:val="both"/>
        <w:rPr>
          <w:rFonts w:ascii="Verdana" w:hAnsi="Verdana" w:cs="Arial"/>
          <w:iCs/>
          <w:color w:val="000000"/>
          <w:lang w:val="es-ES"/>
        </w:rPr>
      </w:pPr>
      <w:r w:rsidRPr="00B40F72">
        <w:rPr>
          <w:rFonts w:ascii="Verdana" w:hAnsi="Verdana" w:cs="Arial"/>
          <w:iCs/>
          <w:color w:val="000000"/>
          <w:lang w:val="es-ES"/>
        </w:rPr>
        <w:t xml:space="preserve">En desarrollo de esa misma finalidad, la modificación del artículo 2.2.1.1.1.6.1, relativa al deber de análisis del sector, exige que las Entidades Estatales analicen los impactos ambientales, sociales y económicos derivados del ciclo de vida del bien, obra o servicio a contratar. De lo anterior, la entidad deberá dejar constancia en los Documentos del Proceso. </w:t>
      </w:r>
    </w:p>
    <w:p w14:paraId="3D9C5684" w14:textId="77777777" w:rsidR="00D660B1" w:rsidRPr="00B40F72" w:rsidRDefault="00D660B1" w:rsidP="00D660B1">
      <w:pPr>
        <w:spacing w:before="120" w:after="120" w:line="276" w:lineRule="auto"/>
        <w:ind w:firstLine="709"/>
        <w:jc w:val="both"/>
        <w:rPr>
          <w:rFonts w:ascii="Verdana" w:hAnsi="Verdana" w:cs="Arial"/>
          <w:iCs/>
          <w:color w:val="000000"/>
          <w:lang w:val="es-ES"/>
        </w:rPr>
      </w:pPr>
      <w:r w:rsidRPr="00B40F72">
        <w:rPr>
          <w:rFonts w:ascii="Verdana" w:hAnsi="Verdana" w:cs="Arial"/>
          <w:iCs/>
          <w:color w:val="000000"/>
          <w:lang w:val="es-ES"/>
        </w:rPr>
        <w:t xml:space="preserve">A su turno, la modificación del artículo 2.2.1.1.1.6.2 sobre requisitos habilitantes desarrolla el mandato legal de selección objetiva y precisa las condiciones bajo las cuales las entidades estatales pueden incorporar criterios ambientales y sociales como condiciones técnicas vinculadas al objeto contractual. A modo de ejemplo, el decreto señala que para determinar estas especificaciones mínimas técnicas la entidad puede considerar el menor impacto ambiental y social posible de acuerdo con las etapas del Ciclo de Vida del bien, obra o servicio a contratar, así como la adopción de procesos de producción que generen impactos ambientales y sociales positivos, entre otros. Además, el decreto establece parámetros de objetividad, proporcionalidad y vinculación con el objeto contractual, garantizando simultáneamente la protección de la libre </w:t>
      </w:r>
      <w:r w:rsidRPr="00B40F72">
        <w:rPr>
          <w:rFonts w:ascii="Verdana" w:hAnsi="Verdana" w:cs="Arial"/>
          <w:iCs/>
          <w:color w:val="000000"/>
          <w:lang w:val="es-ES"/>
        </w:rPr>
        <w:lastRenderedPageBreak/>
        <w:t xml:space="preserve">concurrencia y la posibilidad de orientar la contratación pública hacia finalidades ambientales y sociales legítimas. </w:t>
      </w:r>
    </w:p>
    <w:p w14:paraId="31AFE62A" w14:textId="77777777" w:rsidR="00D660B1" w:rsidRDefault="00D660B1" w:rsidP="00D660B1">
      <w:pPr>
        <w:spacing w:before="120" w:after="120" w:line="276" w:lineRule="auto"/>
        <w:ind w:firstLine="709"/>
        <w:jc w:val="both"/>
        <w:rPr>
          <w:rFonts w:ascii="Verdana" w:hAnsi="Verdana" w:cs="Arial"/>
          <w:iCs/>
          <w:lang w:val="es-ES"/>
        </w:rPr>
      </w:pPr>
      <w:r w:rsidRPr="00B40F72">
        <w:rPr>
          <w:rFonts w:ascii="Verdana" w:hAnsi="Verdana" w:cs="Arial"/>
          <w:iCs/>
          <w:lang w:val="es-ES"/>
        </w:rPr>
        <w:t xml:space="preserve">La modificación del artículo 2.2.1.1.2.1.1 sobre estudios y documentos previos concreta reglamentariamente el deber de planeación contractual, al exigir que las entidades consideren los impactos en materia de sostenibilidad ambiental, responsabilidad social y alternativas de innovación asociados a la contratación. Particularmente, se refiere a la obligación de evaluar la capacidad del mercado para atender los criterios ambientales y sociales que pretendan incorporarse en el proceso contractual constituye un mecanismo esencial para generar una transición progresiva hacia esquemas de contratación pública sostenible. </w:t>
      </w:r>
    </w:p>
    <w:p w14:paraId="441D956D" w14:textId="77777777" w:rsidR="00D660B1" w:rsidRPr="00B40F72" w:rsidRDefault="00D660B1" w:rsidP="00D660B1">
      <w:pPr>
        <w:spacing w:before="120" w:after="120" w:line="276" w:lineRule="auto"/>
        <w:ind w:firstLine="709"/>
        <w:jc w:val="both"/>
        <w:rPr>
          <w:rFonts w:ascii="Verdana" w:hAnsi="Verdana" w:cs="Arial"/>
          <w:iCs/>
          <w:lang w:val="es-ES"/>
        </w:rPr>
      </w:pPr>
      <w:r w:rsidRPr="00B40F72">
        <w:rPr>
          <w:rFonts w:ascii="Verdana" w:hAnsi="Verdana" w:cs="Arial"/>
          <w:iCs/>
          <w:lang w:val="es-ES"/>
        </w:rPr>
        <w:t>Lo anterior se traduce en que la entidad</w:t>
      </w:r>
      <w:r>
        <w:rPr>
          <w:rFonts w:ascii="Verdana" w:hAnsi="Verdana" w:cs="Arial"/>
          <w:iCs/>
          <w:lang w:val="es-ES"/>
        </w:rPr>
        <w:t>:</w:t>
      </w:r>
      <w:r w:rsidRPr="00B40F72">
        <w:rPr>
          <w:rFonts w:ascii="Verdana" w:hAnsi="Verdana" w:cs="Arial"/>
          <w:iCs/>
          <w:lang w:val="es-ES"/>
        </w:rPr>
        <w:t xml:space="preserve"> incluya en los estudios y documentos previos el análisis de los impactos económicos, sociales y ambientales, directos e indirectos, asociados a cada etapa del Ciclo de Vida del bien, obra o servicio a contratar; </w:t>
      </w:r>
      <w:r>
        <w:rPr>
          <w:rFonts w:ascii="Verdana" w:hAnsi="Verdana" w:cs="Arial"/>
          <w:iCs/>
          <w:lang w:val="es-ES"/>
        </w:rPr>
        <w:t>realice e</w:t>
      </w:r>
      <w:r w:rsidRPr="00B40F72">
        <w:rPr>
          <w:rFonts w:ascii="Verdana" w:hAnsi="Verdana" w:cs="Arial"/>
          <w:iCs/>
          <w:lang w:val="es-ES"/>
        </w:rPr>
        <w:t>l análisis e identificación de las alternativas que promuevan la sostenibilidad social, ambiental y económica que pueden ser incluidas en el Proceso de Contratación;  </w:t>
      </w:r>
      <w:r>
        <w:rPr>
          <w:rFonts w:ascii="Verdana" w:hAnsi="Verdana" w:cs="Arial"/>
          <w:iCs/>
          <w:lang w:val="es-ES"/>
        </w:rPr>
        <w:t>determine l</w:t>
      </w:r>
      <w:r w:rsidRPr="00B40F72">
        <w:rPr>
          <w:rFonts w:ascii="Verdana" w:hAnsi="Verdana" w:cs="Arial"/>
          <w:iCs/>
          <w:lang w:val="es-ES"/>
        </w:rPr>
        <w:t xml:space="preserve">os criterios para seleccionar la oferta más favorable, incluyendo los criterios ambientales y sociales que identifique la entidad según cada etapa del Ciclo de Vida del bien, obra o servicio, así como </w:t>
      </w:r>
      <w:r>
        <w:rPr>
          <w:rFonts w:ascii="Verdana" w:hAnsi="Verdana" w:cs="Arial"/>
          <w:iCs/>
          <w:lang w:val="es-ES"/>
        </w:rPr>
        <w:t xml:space="preserve">que cumpla con </w:t>
      </w:r>
      <w:r w:rsidRPr="00B40F72">
        <w:rPr>
          <w:rFonts w:ascii="Verdana" w:hAnsi="Verdana" w:cs="Arial"/>
          <w:iCs/>
          <w:lang w:val="es-ES"/>
        </w:rPr>
        <w:t>la carga de justificar en los Documentos del Proceso la decisión de no incluir criterios o cláusulas ambientales o sociales con fundamento en los resultados del estudio previo.</w:t>
      </w:r>
    </w:p>
    <w:p w14:paraId="3DFA4AF8" w14:textId="77777777" w:rsidR="00D660B1" w:rsidRPr="00B40F72" w:rsidRDefault="00D660B1" w:rsidP="00D660B1">
      <w:pPr>
        <w:spacing w:before="120" w:after="120" w:line="276" w:lineRule="auto"/>
        <w:ind w:firstLine="709"/>
        <w:jc w:val="both"/>
        <w:rPr>
          <w:rFonts w:ascii="Verdana" w:hAnsi="Verdana" w:cs="Arial"/>
          <w:iCs/>
          <w:lang w:val="es-ES"/>
        </w:rPr>
      </w:pPr>
      <w:r w:rsidRPr="00B40F72">
        <w:rPr>
          <w:rFonts w:ascii="Verdana" w:hAnsi="Verdana" w:cs="Arial"/>
          <w:iCs/>
          <w:color w:val="000000"/>
          <w:lang w:val="es-ES"/>
        </w:rPr>
        <w:t xml:space="preserve">En el mismo sentido, la modificación del artículo 2.2.1.1.2.1.3 relativo a los pliegos de condiciones establece expresamente la posibilidad de incorporar criterios </w:t>
      </w:r>
      <w:r>
        <w:rPr>
          <w:rFonts w:ascii="Verdana" w:hAnsi="Verdana" w:cs="Arial"/>
          <w:iCs/>
          <w:color w:val="000000"/>
          <w:lang w:val="es-ES"/>
        </w:rPr>
        <w:t xml:space="preserve">de sostenibilidad </w:t>
      </w:r>
      <w:r w:rsidRPr="00B40F72">
        <w:rPr>
          <w:rFonts w:ascii="Verdana" w:hAnsi="Verdana" w:cs="Arial"/>
          <w:iCs/>
          <w:color w:val="000000"/>
          <w:lang w:val="es-ES"/>
        </w:rPr>
        <w:t xml:space="preserve">dentro de las reglas del proceso de selección. En efecto, incluye como </w:t>
      </w:r>
      <w:r>
        <w:rPr>
          <w:rFonts w:ascii="Verdana" w:hAnsi="Verdana" w:cs="Arial"/>
          <w:iCs/>
          <w:color w:val="000000"/>
          <w:lang w:val="es-ES"/>
        </w:rPr>
        <w:t xml:space="preserve">parte de su </w:t>
      </w:r>
      <w:r w:rsidRPr="00B40F72">
        <w:rPr>
          <w:rFonts w:ascii="Verdana" w:hAnsi="Verdana" w:cs="Arial"/>
          <w:iCs/>
          <w:color w:val="000000"/>
          <w:lang w:val="es-ES"/>
        </w:rPr>
        <w:t xml:space="preserve">contenido </w:t>
      </w:r>
      <w:r>
        <w:rPr>
          <w:rFonts w:ascii="Verdana" w:hAnsi="Verdana" w:cs="Arial"/>
          <w:iCs/>
          <w:color w:val="000000"/>
          <w:lang w:val="es-ES"/>
        </w:rPr>
        <w:t>la especificación de l</w:t>
      </w:r>
      <w:r w:rsidRPr="00B40F72">
        <w:rPr>
          <w:rFonts w:ascii="Verdana" w:hAnsi="Verdana" w:cs="Arial"/>
          <w:iCs/>
          <w:color w:val="000000"/>
          <w:lang w:val="es-ES"/>
        </w:rPr>
        <w:t>os criterios de selección, incluyendo los criterios ambientales y sociales que sean procedentes, los factores de desempate y los incentivos cuando a ello haya lugar.</w:t>
      </w:r>
    </w:p>
    <w:p w14:paraId="461AD3CD" w14:textId="77777777" w:rsidR="00D660B1" w:rsidRPr="00B40F72" w:rsidRDefault="00D660B1" w:rsidP="00D660B1">
      <w:pPr>
        <w:spacing w:before="120" w:after="120" w:line="276" w:lineRule="auto"/>
        <w:ind w:firstLine="709"/>
        <w:jc w:val="both"/>
        <w:rPr>
          <w:rFonts w:ascii="Verdana" w:hAnsi="Verdana" w:cs="Arial"/>
          <w:iCs/>
          <w:color w:val="000000"/>
          <w:lang w:val="es-ES"/>
        </w:rPr>
      </w:pPr>
      <w:r w:rsidRPr="00B40F72">
        <w:rPr>
          <w:rFonts w:ascii="Verdana" w:hAnsi="Verdana" w:cs="Arial"/>
          <w:iCs/>
          <w:color w:val="000000"/>
          <w:lang w:val="es-ES"/>
        </w:rPr>
        <w:t xml:space="preserve">La modificación del artículo 2.2.1.1.2.2.2 sobre el ofrecimiento más favorable precisa cómo los criterios ambientales y sociales pueden integrarse válidamente dentro de la evaluación de la oferta más favorable, definiendo parámetros objetivos para su utilización y delimitando su vinculación con el ciclo de vida del objeto contractual. De esta manera, el reglamento permite operacionalizar el concepto de “oferta más favorable” conforme a una visión integral del interés general, en la que la eficiencia económica se armoniza con </w:t>
      </w:r>
      <w:r w:rsidRPr="00B40F72">
        <w:rPr>
          <w:rFonts w:ascii="Verdana" w:hAnsi="Verdana" w:cs="Arial"/>
          <w:iCs/>
          <w:color w:val="000000"/>
          <w:lang w:val="es-ES"/>
        </w:rPr>
        <w:lastRenderedPageBreak/>
        <w:t xml:space="preserve">objetivos de sostenibilidad ambiental, mitigación del cambio climático, inclusión social y generación de valor público. En este sentido, el parágrafo señala que </w:t>
      </w:r>
      <w:r>
        <w:rPr>
          <w:rFonts w:ascii="Verdana" w:hAnsi="Verdana" w:cs="Arial"/>
          <w:iCs/>
          <w:color w:val="000000"/>
          <w:lang w:val="es-ES"/>
        </w:rPr>
        <w:t>l</w:t>
      </w:r>
      <w:r w:rsidRPr="00B40F72">
        <w:rPr>
          <w:rFonts w:ascii="Verdana" w:hAnsi="Verdana" w:cs="Arial"/>
          <w:iCs/>
          <w:color w:val="000000"/>
          <w:lang w:val="es-ES"/>
        </w:rPr>
        <w:t>os criterios de calidad para ponderar la oferta deberán incluir criterios ambientales y/o sociales, relacionados con el objeto del contrato. La Entidad Estatal deberá definir e incluir dichos criterios con fundamento en los resultados del análisis del sector realizado para el Proceso de Contratación, conforme a los impactos asociados a las etapas del Ciclo de Vida del bien, obra o servicio, así como con lo prescrito en el artículo 2.2.1.1.1.4.5.</w:t>
      </w:r>
      <w:r>
        <w:rPr>
          <w:rFonts w:ascii="Verdana" w:hAnsi="Verdana" w:cs="Arial"/>
          <w:iCs/>
          <w:color w:val="000000"/>
          <w:lang w:val="es-ES"/>
        </w:rPr>
        <w:t xml:space="preserve"> </w:t>
      </w:r>
      <w:r w:rsidRPr="00B40F72">
        <w:rPr>
          <w:rFonts w:ascii="Verdana" w:hAnsi="Verdana" w:cs="Arial"/>
          <w:iCs/>
          <w:color w:val="000000"/>
          <w:lang w:val="es-ES"/>
        </w:rPr>
        <w:t xml:space="preserve">Sobre esto, el artículo conserva </w:t>
      </w:r>
      <w:r>
        <w:rPr>
          <w:rFonts w:ascii="Verdana" w:hAnsi="Verdana" w:cs="Arial"/>
          <w:iCs/>
          <w:color w:val="000000"/>
          <w:lang w:val="es-ES"/>
        </w:rPr>
        <w:t>l</w:t>
      </w:r>
      <w:r w:rsidRPr="00B40F72">
        <w:rPr>
          <w:rFonts w:ascii="Verdana" w:hAnsi="Verdana" w:cs="Arial"/>
          <w:iCs/>
          <w:color w:val="000000"/>
          <w:lang w:val="es-ES"/>
        </w:rPr>
        <w:t xml:space="preserve">a enunciación de posibles criterios ambientales y sociales, en concordancia con lo previamente establecido en el Decreto 142 de 2023. </w:t>
      </w:r>
    </w:p>
    <w:p w14:paraId="0E3C32CC" w14:textId="77777777" w:rsidR="00D660B1" w:rsidRPr="00B40F72" w:rsidRDefault="00D660B1" w:rsidP="00D660B1">
      <w:pPr>
        <w:spacing w:before="120" w:after="0" w:line="276" w:lineRule="auto"/>
        <w:ind w:firstLine="709"/>
        <w:jc w:val="both"/>
        <w:rPr>
          <w:rFonts w:ascii="Verdana" w:hAnsi="Verdana" w:cs="Arial"/>
          <w:iCs/>
          <w:color w:val="000000"/>
          <w:lang w:val="es-ES"/>
        </w:rPr>
      </w:pPr>
      <w:r w:rsidRPr="00B40F72">
        <w:rPr>
          <w:rFonts w:ascii="Verdana" w:hAnsi="Verdana" w:cs="Arial"/>
          <w:iCs/>
          <w:color w:val="000000"/>
          <w:lang w:val="es-ES"/>
        </w:rPr>
        <w:t xml:space="preserve">En similar sentido, la modificación del artículo 2.2.1.2.1.2.1 sobre contratación de bienes y servicios de características técnicas uniformes extiende la posibilidad de incorporar aspectos medioambientales, económicos y sociales a procesos tradicionalmente estructurados bajo criterios predominantemente técnicos y de menor precio. </w:t>
      </w:r>
      <w:r w:rsidRPr="00B40F72">
        <w:rPr>
          <w:rFonts w:ascii="Verdana" w:hAnsi="Verdana" w:cs="Arial"/>
          <w:i/>
          <w:iCs/>
          <w:color w:val="000000"/>
          <w:lang w:val="es-ES"/>
        </w:rPr>
        <w:t xml:space="preserve"> </w:t>
      </w:r>
      <w:r w:rsidRPr="00B40F72">
        <w:rPr>
          <w:rFonts w:ascii="Verdana" w:hAnsi="Verdana" w:cs="Arial"/>
          <w:iCs/>
          <w:color w:val="000000"/>
          <w:lang w:val="es-ES"/>
        </w:rPr>
        <w:t xml:space="preserve">Asimismo, la modificación del artículo 2.2.1.2.1.2.12, sobre adquisiciones en bolsa de productos desarrolla reglamentariamente los principios de economía, planeación y responsabilidad fiscal, al exigir que las entidades evalúen comparativamente los costos económicos, sociales y ambientales asociados a los distintos mecanismos de adquisición. </w:t>
      </w:r>
      <w:r w:rsidRPr="00436A96">
        <w:rPr>
          <w:rFonts w:ascii="Verdana" w:hAnsi="Verdana" w:cs="Arial"/>
          <w:color w:val="000000"/>
          <w:lang w:val="es-ES"/>
        </w:rPr>
        <w:t>Finalmente,</w:t>
      </w:r>
      <w:r w:rsidRPr="00B40F72">
        <w:rPr>
          <w:rFonts w:ascii="Verdana" w:hAnsi="Verdana" w:cs="Arial"/>
          <w:i/>
          <w:iCs/>
          <w:color w:val="000000"/>
          <w:lang w:val="es-ES"/>
        </w:rPr>
        <w:t xml:space="preserve"> </w:t>
      </w:r>
      <w:r w:rsidRPr="00B40F72">
        <w:rPr>
          <w:rFonts w:ascii="Verdana" w:hAnsi="Verdana" w:cs="Arial"/>
          <w:iCs/>
          <w:color w:val="000000"/>
          <w:lang w:val="es-ES"/>
        </w:rPr>
        <w:t xml:space="preserve">la modificación del artículo 2.2.1.2.1.5.1 relativo a la contratación de mínima cuantía garantiza que incluso en procedimientos simplificados las entidades estatales puedan incorporar criterios ambientales y sociales vinculados a las condiciones técnicas del contrato. </w:t>
      </w:r>
    </w:p>
    <w:p w14:paraId="36756EFD" w14:textId="77777777" w:rsidR="00D660B1" w:rsidRDefault="00D660B1" w:rsidP="00D660B1">
      <w:pPr>
        <w:spacing w:before="120" w:line="276" w:lineRule="auto"/>
        <w:ind w:firstLine="709"/>
        <w:jc w:val="both"/>
        <w:rPr>
          <w:rFonts w:ascii="Verdana" w:hAnsi="Verdana" w:cs="Arial"/>
          <w:iCs/>
          <w:color w:val="000000"/>
          <w:lang w:val="es-ES"/>
        </w:rPr>
      </w:pPr>
      <w:r w:rsidRPr="00B40F72">
        <w:rPr>
          <w:rFonts w:ascii="Verdana" w:hAnsi="Verdana" w:cs="Arial"/>
          <w:iCs/>
          <w:color w:val="000000"/>
          <w:lang w:val="es-ES"/>
        </w:rPr>
        <w:t xml:space="preserve">Como se observa, las disposiciones del Decreto 0997 de 2026 buscan una integración de la perspectiva de las </w:t>
      </w:r>
      <w:r>
        <w:rPr>
          <w:rFonts w:ascii="Verdana" w:hAnsi="Verdana" w:cs="Arial"/>
          <w:iCs/>
          <w:color w:val="000000"/>
          <w:lang w:val="es-ES"/>
        </w:rPr>
        <w:t>C</w:t>
      </w:r>
      <w:r w:rsidRPr="00B40F72">
        <w:rPr>
          <w:rFonts w:ascii="Verdana" w:hAnsi="Verdana" w:cs="Arial"/>
          <w:iCs/>
          <w:color w:val="000000"/>
          <w:lang w:val="es-ES"/>
        </w:rPr>
        <w:t xml:space="preserve">ompras </w:t>
      </w:r>
      <w:r>
        <w:rPr>
          <w:rFonts w:ascii="Verdana" w:hAnsi="Verdana" w:cs="Arial"/>
          <w:iCs/>
          <w:color w:val="000000"/>
          <w:lang w:val="es-ES"/>
        </w:rPr>
        <w:t>P</w:t>
      </w:r>
      <w:r w:rsidRPr="00B40F72">
        <w:rPr>
          <w:rFonts w:ascii="Verdana" w:hAnsi="Verdana" w:cs="Arial"/>
          <w:iCs/>
          <w:color w:val="000000"/>
          <w:lang w:val="es-ES"/>
        </w:rPr>
        <w:t xml:space="preserve">úblicas </w:t>
      </w:r>
      <w:r>
        <w:rPr>
          <w:rFonts w:ascii="Verdana" w:hAnsi="Verdana" w:cs="Arial"/>
          <w:iCs/>
          <w:color w:val="000000"/>
          <w:lang w:val="es-ES"/>
        </w:rPr>
        <w:t>S</w:t>
      </w:r>
      <w:r w:rsidRPr="00B40F72">
        <w:rPr>
          <w:rFonts w:ascii="Verdana" w:hAnsi="Verdana" w:cs="Arial"/>
          <w:iCs/>
          <w:color w:val="000000"/>
          <w:lang w:val="es-ES"/>
        </w:rPr>
        <w:t xml:space="preserve">ostenibles en las distintas etapas de los procesos de contratación, con especial énfasis en la planeación, el análisis del sector, así como la inclusión expresa de la dimensión social y ambiental </w:t>
      </w:r>
      <w:r>
        <w:rPr>
          <w:rFonts w:ascii="Verdana" w:hAnsi="Verdana" w:cs="Arial"/>
          <w:iCs/>
          <w:color w:val="000000"/>
          <w:lang w:val="es-ES"/>
        </w:rPr>
        <w:t xml:space="preserve"> de la sostenibilidad </w:t>
      </w:r>
      <w:r w:rsidRPr="00B40F72">
        <w:rPr>
          <w:rFonts w:ascii="Verdana" w:hAnsi="Verdana" w:cs="Arial"/>
          <w:iCs/>
          <w:color w:val="000000"/>
          <w:lang w:val="es-ES"/>
        </w:rPr>
        <w:t xml:space="preserve">en los estudios y documentos previos, así como </w:t>
      </w:r>
      <w:r>
        <w:rPr>
          <w:rFonts w:ascii="Verdana" w:hAnsi="Verdana" w:cs="Arial"/>
          <w:iCs/>
          <w:color w:val="000000"/>
          <w:lang w:val="es-ES"/>
        </w:rPr>
        <w:t xml:space="preserve">en </w:t>
      </w:r>
      <w:r w:rsidRPr="00B40F72">
        <w:rPr>
          <w:rFonts w:ascii="Verdana" w:hAnsi="Verdana" w:cs="Arial"/>
          <w:iCs/>
          <w:color w:val="000000"/>
          <w:lang w:val="es-ES"/>
        </w:rPr>
        <w:t xml:space="preserve">los pliegos de condiciones o documentos equivalentes, </w:t>
      </w:r>
      <w:r>
        <w:rPr>
          <w:rFonts w:ascii="Verdana" w:hAnsi="Verdana" w:cs="Arial"/>
          <w:iCs/>
          <w:color w:val="000000"/>
          <w:lang w:val="es-ES"/>
        </w:rPr>
        <w:t xml:space="preserve">junto con </w:t>
      </w:r>
      <w:r w:rsidRPr="00B40F72">
        <w:rPr>
          <w:rFonts w:ascii="Verdana" w:hAnsi="Verdana" w:cs="Arial"/>
          <w:iCs/>
          <w:color w:val="000000"/>
          <w:lang w:val="es-ES"/>
        </w:rPr>
        <w:t>la determinación de especificaciones técnicas mínimas exigibles a los proponentes y la determinación de criterios de ponderación para seleccionar la oferta más favorable. Lo anterior</w:t>
      </w:r>
      <w:r>
        <w:rPr>
          <w:rFonts w:ascii="Verdana" w:hAnsi="Verdana" w:cs="Arial"/>
          <w:iCs/>
          <w:color w:val="000000"/>
          <w:lang w:val="es-ES"/>
        </w:rPr>
        <w:t>,</w:t>
      </w:r>
      <w:r w:rsidRPr="00B40F72">
        <w:rPr>
          <w:rFonts w:ascii="Verdana" w:hAnsi="Verdana" w:cs="Arial"/>
          <w:iCs/>
          <w:color w:val="000000"/>
          <w:lang w:val="es-ES"/>
        </w:rPr>
        <w:t xml:space="preserve"> en línea con lo dispuesto en la Guía de compras Públicas Sostenibles y Socialmente Responsables.</w:t>
      </w:r>
    </w:p>
    <w:p w14:paraId="522FA033" w14:textId="77777777" w:rsidR="00D660B1" w:rsidRDefault="00D660B1" w:rsidP="00EB11C6">
      <w:pPr>
        <w:spacing w:before="120" w:after="0" w:line="276" w:lineRule="auto"/>
        <w:ind w:firstLine="709"/>
        <w:jc w:val="both"/>
        <w:rPr>
          <w:rFonts w:ascii="Verdana" w:hAnsi="Verdana" w:cs="Arial"/>
          <w:lang w:val="es-ES"/>
        </w:rPr>
      </w:pPr>
      <w:r w:rsidRPr="00B40F72">
        <w:rPr>
          <w:rFonts w:ascii="Verdana" w:hAnsi="Verdana" w:cs="Arial"/>
          <w:iCs/>
          <w:color w:val="000000"/>
          <w:lang w:val="es-ES"/>
        </w:rPr>
        <w:t xml:space="preserve">Finalmente, </w:t>
      </w:r>
      <w:r>
        <w:rPr>
          <w:rFonts w:ascii="Verdana" w:hAnsi="Verdana" w:cs="Arial"/>
          <w:iCs/>
          <w:color w:val="000000"/>
          <w:lang w:val="es-ES"/>
        </w:rPr>
        <w:t xml:space="preserve">el </w:t>
      </w:r>
      <w:r w:rsidRPr="00B40F72">
        <w:rPr>
          <w:rFonts w:ascii="Verdana" w:hAnsi="Verdana" w:cs="Arial"/>
          <w:lang w:val="es-ES"/>
        </w:rPr>
        <w:t xml:space="preserve">artículo 14 </w:t>
      </w:r>
      <w:r>
        <w:rPr>
          <w:rFonts w:ascii="Verdana" w:hAnsi="Verdana" w:cs="Arial"/>
          <w:lang w:val="es-ES"/>
        </w:rPr>
        <w:t xml:space="preserve">el </w:t>
      </w:r>
      <w:r w:rsidRPr="00B40F72">
        <w:rPr>
          <w:rFonts w:ascii="Verdana" w:hAnsi="Verdana" w:cs="Arial"/>
          <w:lang w:val="es-ES"/>
        </w:rPr>
        <w:t>Decreto</w:t>
      </w:r>
      <w:r>
        <w:rPr>
          <w:rFonts w:ascii="Verdana" w:hAnsi="Verdana" w:cs="Arial"/>
          <w:lang w:val="es-ES"/>
        </w:rPr>
        <w:t xml:space="preserve"> incorpora </w:t>
      </w:r>
      <w:r w:rsidRPr="00B40F72">
        <w:rPr>
          <w:rFonts w:ascii="Verdana" w:hAnsi="Verdana" w:cs="Arial"/>
          <w:lang w:val="es-ES"/>
        </w:rPr>
        <w:t xml:space="preserve">un régimen de entrada en vigor progresivo, estructurado por categorías de entidades territoriales. El </w:t>
      </w:r>
      <w:r w:rsidRPr="00B40F72">
        <w:rPr>
          <w:rFonts w:ascii="Verdana" w:hAnsi="Verdana" w:cs="Arial"/>
          <w:lang w:val="es-ES"/>
        </w:rPr>
        <w:lastRenderedPageBreak/>
        <w:t xml:space="preserve">decreto introduce un esquema de implementación gradual para varias de sus disposiciones, diferenciando los plazos según el nivel y la categoría de las entidades estatales, con el fin de asegurar una transición ordenada y proporcional a sus capacidades administrativas. Mientras algunos artículos </w:t>
      </w:r>
      <w:proofErr w:type="gramStart"/>
      <w:r w:rsidRPr="00B40F72">
        <w:rPr>
          <w:rFonts w:ascii="Verdana" w:hAnsi="Verdana" w:cs="Arial"/>
          <w:lang w:val="es-ES"/>
        </w:rPr>
        <w:t>entran en vigencia</w:t>
      </w:r>
      <w:proofErr w:type="gramEnd"/>
      <w:r w:rsidRPr="00B40F72">
        <w:rPr>
          <w:rFonts w:ascii="Verdana" w:hAnsi="Verdana" w:cs="Arial"/>
          <w:lang w:val="es-ES"/>
        </w:rPr>
        <w:t xml:space="preserve"> inmediatamente después de su publicación, otros requieren una adopción progresiva que oscila entre seis y quince meses, dependiendo de si se trata de entidades del orden nacional, departamentos y municipios de categorías superiores o territorios con menor capacidad institucional. Esta gradualidad busca facilitar la adaptación de los procedimientos internos, la actualización de manuales y sistemas de información, y la apropiación de las nuevas reglas por parte de los operadores de la contratación pública. Asimismo, se aclara que la categorización territorial se rige por la Ley 617 de 2000 y que las nuevas disposiciones aplican únicamente a los procesos cuya convocatoria se publique después de la entrada en vigor, sin perjuicio de que las entidades puedan adoptar anticipadamente el decreto en su integridad.</w:t>
      </w:r>
    </w:p>
    <w:p w14:paraId="08219887" w14:textId="77777777" w:rsidR="00D660B1" w:rsidRPr="00B40F72" w:rsidRDefault="00D660B1" w:rsidP="00D660B1">
      <w:pPr>
        <w:spacing w:after="0" w:line="276" w:lineRule="auto"/>
        <w:ind w:firstLine="709"/>
        <w:jc w:val="both"/>
        <w:rPr>
          <w:rFonts w:ascii="Verdana" w:hAnsi="Verdana" w:cs="Arial"/>
          <w:iCs/>
          <w:color w:val="000000"/>
          <w:lang w:val="es-ES"/>
        </w:rPr>
      </w:pPr>
    </w:p>
    <w:p w14:paraId="0BE517E9" w14:textId="77777777" w:rsidR="00D660B1" w:rsidRDefault="00D660B1" w:rsidP="00D660B1">
      <w:pPr>
        <w:spacing w:line="276" w:lineRule="auto"/>
        <w:jc w:val="both"/>
        <w:rPr>
          <w:rFonts w:ascii="Verdana" w:hAnsi="Verdana" w:cs="Arial"/>
          <w:b/>
          <w:color w:val="000000"/>
          <w:lang w:val="es-ES"/>
        </w:rPr>
      </w:pPr>
      <w:proofErr w:type="spellStart"/>
      <w:r w:rsidRPr="00B40F72">
        <w:rPr>
          <w:rFonts w:ascii="Verdana" w:hAnsi="Verdana" w:cs="Arial"/>
          <w:lang w:val="es-ES"/>
        </w:rPr>
        <w:t>iii</w:t>
      </w:r>
      <w:proofErr w:type="spellEnd"/>
      <w:r>
        <w:rPr>
          <w:rFonts w:ascii="Verdana" w:hAnsi="Verdana" w:cs="Arial"/>
          <w:lang w:val="es-ES"/>
        </w:rPr>
        <w:t>.</w:t>
      </w:r>
      <w:r w:rsidRPr="00B40F72">
        <w:rPr>
          <w:rFonts w:ascii="Verdana" w:hAnsi="Verdana" w:cs="Arial"/>
          <w:lang w:val="es-ES"/>
        </w:rPr>
        <w:t xml:space="preserve"> </w:t>
      </w:r>
      <w:r>
        <w:rPr>
          <w:rFonts w:ascii="Verdana" w:hAnsi="Verdana" w:cs="Arial"/>
          <w:lang w:val="es-ES"/>
        </w:rPr>
        <w:t>Por su parte, e</w:t>
      </w:r>
      <w:r w:rsidRPr="00B40F72">
        <w:rPr>
          <w:rFonts w:ascii="Verdana" w:hAnsi="Verdana" w:cs="Arial"/>
          <w:lang w:val="es-ES"/>
        </w:rPr>
        <w:t>l artículo 11 del</w:t>
      </w:r>
      <w:r w:rsidRPr="00B40F72">
        <w:rPr>
          <w:rFonts w:ascii="Verdana" w:eastAsia="Century Gothic" w:hAnsi="Verdana" w:cs="Century Gothic"/>
          <w:color w:val="000000" w:themeColor="text1"/>
          <w:lang w:val="es-ES"/>
        </w:rPr>
        <w:t xml:space="preserve"> Decreto 0997 de 2026 adicionó el artículo 2.2.1.1.2.2.10. del Decreto 1082 de 2015 con el fin de </w:t>
      </w:r>
      <w:proofErr w:type="gramStart"/>
      <w:r w:rsidRPr="00B40F72">
        <w:rPr>
          <w:rFonts w:ascii="Verdana" w:eastAsia="Century Gothic" w:hAnsi="Verdana" w:cs="Century Gothic"/>
          <w:color w:val="000000" w:themeColor="text1"/>
          <w:lang w:val="es-ES"/>
        </w:rPr>
        <w:t xml:space="preserve">incorporar  </w:t>
      </w:r>
      <w:r w:rsidRPr="00B40F72">
        <w:rPr>
          <w:rFonts w:ascii="Verdana" w:hAnsi="Verdana" w:cs="Arial"/>
          <w:color w:val="000000"/>
          <w:lang w:val="es-ES"/>
        </w:rPr>
        <w:t>la</w:t>
      </w:r>
      <w:proofErr w:type="gramEnd"/>
      <w:r w:rsidRPr="00B40F72">
        <w:rPr>
          <w:rFonts w:ascii="Verdana" w:hAnsi="Verdana" w:cs="Arial"/>
          <w:color w:val="000000"/>
          <w:lang w:val="es-ES"/>
        </w:rPr>
        <w:t xml:space="preserve"> consulta de listas internacionales como medio de </w:t>
      </w:r>
      <w:r w:rsidRPr="00ED750A">
        <w:rPr>
          <w:rFonts w:ascii="Verdana" w:hAnsi="Verdana" w:cs="Arial"/>
          <w:i/>
          <w:iCs/>
          <w:color w:val="000000"/>
          <w:lang w:val="es-ES"/>
        </w:rPr>
        <w:t xml:space="preserve">verificación </w:t>
      </w:r>
      <w:r w:rsidRPr="00B40F72">
        <w:rPr>
          <w:rFonts w:ascii="Verdana" w:hAnsi="Verdana" w:cs="Arial"/>
          <w:color w:val="000000"/>
          <w:lang w:val="es-ES"/>
        </w:rPr>
        <w:t>de la capacidad jurídica asociada la configuración de inhabilidades.</w:t>
      </w:r>
      <w:r w:rsidRPr="00B40F72">
        <w:rPr>
          <w:rFonts w:ascii="Verdana" w:hAnsi="Verdana" w:cs="Arial"/>
          <w:b/>
          <w:color w:val="000000"/>
          <w:lang w:val="es-ES"/>
        </w:rPr>
        <w:t xml:space="preserve"> </w:t>
      </w:r>
    </w:p>
    <w:p w14:paraId="6ED30734" w14:textId="77777777" w:rsidR="00D660B1" w:rsidRDefault="00D660B1" w:rsidP="00D660B1">
      <w:pPr>
        <w:spacing w:before="120" w:line="276" w:lineRule="auto"/>
        <w:ind w:firstLine="709"/>
        <w:jc w:val="both"/>
        <w:rPr>
          <w:rFonts w:ascii="Verdana" w:hAnsi="Verdana" w:cs="Arial"/>
          <w:b/>
          <w:color w:val="000000"/>
          <w:lang w:val="es-ES"/>
        </w:rPr>
      </w:pPr>
      <w:r w:rsidRPr="00B40F72">
        <w:rPr>
          <w:rFonts w:ascii="Verdana" w:hAnsi="Verdana" w:cs="Arial"/>
          <w:color w:val="000000" w:themeColor="text1"/>
          <w:lang w:val="es-ES"/>
        </w:rPr>
        <w:t>El artículo 5 de la Ley 1150 de 2007 establece que en los procesos de selección deben verificarse como requisitos habilitantes la capacidad jurídica, así como las condiciones de experiencia, capacidad financiera y de organización de los proponentes. En este sentido, las Entidades Estatales tienen la obligación de verificar, antes de la adjudicación y celebración del contrato, que los proponentes pueden contratar con el Estado, lo que comprende analizar la ausencia de inhabilidades e incompatibilidades.</w:t>
      </w:r>
    </w:p>
    <w:p w14:paraId="30C8539F" w14:textId="77777777" w:rsidR="00D660B1" w:rsidRDefault="00D660B1" w:rsidP="00D660B1">
      <w:pPr>
        <w:spacing w:before="120" w:line="276" w:lineRule="auto"/>
        <w:ind w:firstLine="709"/>
        <w:jc w:val="both"/>
        <w:rPr>
          <w:rFonts w:ascii="Verdana" w:hAnsi="Verdana" w:cs="Arial"/>
          <w:b/>
          <w:color w:val="000000"/>
          <w:lang w:val="es-ES"/>
        </w:rPr>
      </w:pPr>
      <w:r w:rsidRPr="00B40F72">
        <w:rPr>
          <w:rFonts w:ascii="Verdana" w:hAnsi="Verdana" w:cs="Arial"/>
          <w:color w:val="000000" w:themeColor="text1"/>
          <w:lang w:val="es-ES"/>
        </w:rPr>
        <w:t xml:space="preserve">A pesar de lo anterior, la normativa no precisaba los instrumentos o mecanismos concretos a través de los cuales las Entidades Estatales deben adelantar dicha verificación, en particular, cuando se trate de conductas delictivas contempladas en convenciones o tratados internacionales de lucha contra la corrupción suscritos y ratificados por Colombia, como es el caso de la “Convención Anticohecho” de la OCDE, a la que se refiere la inhabilidad del literal j) del numeral 1 del artículo 8 de la Ley 80 de 1993. </w:t>
      </w:r>
    </w:p>
    <w:p w14:paraId="103CCCD0" w14:textId="77777777" w:rsidR="00D660B1" w:rsidRDefault="00D660B1" w:rsidP="00D660B1">
      <w:pPr>
        <w:spacing w:before="120" w:line="276" w:lineRule="auto"/>
        <w:ind w:firstLine="709"/>
        <w:jc w:val="both"/>
        <w:rPr>
          <w:rFonts w:ascii="Verdana" w:hAnsi="Verdana" w:cs="Arial"/>
          <w:b/>
          <w:color w:val="000000"/>
          <w:lang w:val="es-ES"/>
        </w:rPr>
      </w:pPr>
      <w:r w:rsidRPr="00B40F72">
        <w:rPr>
          <w:rFonts w:ascii="Verdana" w:hAnsi="Verdana" w:cs="Arial"/>
          <w:color w:val="000000" w:themeColor="text1"/>
          <w:lang w:val="es-ES"/>
        </w:rPr>
        <w:lastRenderedPageBreak/>
        <w:t>En este sentido, el artículo adicionado por parte del Decreto 0997 de 2026 sobre esta materia no modifica ni amplía el régimen de inhabilidades establecido en la ley, sino que concreta el deber de verificación que ya existe en el ordenamiento, señalando una herramienta específica: la consulta de las listas internacionales en el marco de los tratados suscritos por Colombia, incluyendo las publicadas por los bancos multilaterales de desarrollo, c</w:t>
      </w:r>
      <w:r>
        <w:rPr>
          <w:rFonts w:ascii="Verdana" w:hAnsi="Verdana" w:cs="Arial"/>
          <w:color w:val="000000" w:themeColor="text1"/>
          <w:lang w:val="es-ES"/>
        </w:rPr>
        <w:t>o</w:t>
      </w:r>
      <w:r w:rsidRPr="00B40F72">
        <w:rPr>
          <w:rFonts w:ascii="Verdana" w:hAnsi="Verdana" w:cs="Arial"/>
          <w:color w:val="000000" w:themeColor="text1"/>
          <w:lang w:val="es-ES"/>
        </w:rPr>
        <w:t xml:space="preserve">n el fin de que las entidades estatales puedan cumplir de manera efectiva y uniforme la obligación prevista en el artículo 5 de la Ley 1150 de 2007, en concordancia con el literal j) del numeral 1 del artículo 8 de la Ley 80 de 1993. </w:t>
      </w:r>
    </w:p>
    <w:p w14:paraId="0789F712" w14:textId="77777777" w:rsidR="00D660B1" w:rsidRDefault="00D660B1" w:rsidP="00D660B1">
      <w:pPr>
        <w:spacing w:before="120" w:line="276" w:lineRule="auto"/>
        <w:ind w:firstLine="709"/>
        <w:jc w:val="both"/>
        <w:rPr>
          <w:rFonts w:ascii="Verdana" w:hAnsi="Verdana" w:cs="Arial"/>
          <w:b/>
          <w:color w:val="000000"/>
          <w:lang w:val="es-ES"/>
        </w:rPr>
      </w:pPr>
      <w:r w:rsidRPr="00B40F72">
        <w:rPr>
          <w:rFonts w:ascii="Verdana" w:hAnsi="Verdana" w:cs="Arial"/>
          <w:color w:val="000000" w:themeColor="text1"/>
          <w:lang w:val="es-ES"/>
        </w:rPr>
        <w:t>L</w:t>
      </w:r>
      <w:r w:rsidRPr="00B40F72">
        <w:rPr>
          <w:rFonts w:ascii="Verdana" w:hAnsi="Verdana" w:cs="Arial"/>
          <w:color w:val="000000"/>
          <w:lang w:val="es-ES"/>
        </w:rPr>
        <w:t>a adición al Decreto 1082 de 2015 sigue el mismo modelo que el Gobierno Nacional ha aplicado anteriormente en el propio Decreto para operativizar el régimen legal de inhabilidades mediante criterios reglamentarios concretos. Por ejemplo, el artículo 2.2.1.1.2.2.8 del Decreto 1082 de 2015, relativo a las inhabilidades de las sociedades anónimas abiertas, no crea, modifica ni amplía la inhabilidad establecida en el artículo 8 de la Ley 80 de 1993, sino que concreta el criterio de verificación que las Entidades Estatales deben aplicar en la etapa de selección para determinar si una sociedad tiene o no esa condición.</w:t>
      </w:r>
      <w:r w:rsidRPr="00B40F72">
        <w:rPr>
          <w:rFonts w:ascii="Verdana" w:hAnsi="Verdana" w:cs="Arial"/>
          <w:lang w:val="es-ES"/>
        </w:rPr>
        <w:t xml:space="preserve"> </w:t>
      </w:r>
      <w:r w:rsidRPr="00B40F72">
        <w:rPr>
          <w:rFonts w:ascii="Verdana" w:hAnsi="Verdana" w:cs="Arial"/>
          <w:color w:val="000000"/>
          <w:lang w:val="es-ES"/>
        </w:rPr>
        <w:t>En esta línea, la adición del artículo 2.2.1.1.2.2.10. al Decreto 1082 de 2015</w:t>
      </w:r>
      <w:r w:rsidRPr="00B40F72">
        <w:rPr>
          <w:rFonts w:ascii="Verdana" w:hAnsi="Verdana" w:cs="Arial"/>
          <w:b/>
          <w:bCs/>
          <w:i/>
          <w:iCs/>
          <w:color w:val="000000"/>
          <w:lang w:val="es-ES"/>
        </w:rPr>
        <w:t xml:space="preserve"> </w:t>
      </w:r>
      <w:r w:rsidRPr="00B40F72">
        <w:rPr>
          <w:rFonts w:ascii="Verdana" w:hAnsi="Verdana" w:cs="Arial"/>
          <w:color w:val="000000"/>
          <w:lang w:val="es-ES"/>
        </w:rPr>
        <w:t>sobre la consulta de las listas de inhabilitación no altera el contenido del literal j) del numeral 1 del artículo 8 de la Ley 80 de 1993 ni amplía su alcance, sino que precisa el instrumento mediante el cual las Entidades Estatales deben adelantar la verificación de esa inhabilidad cuando el supuesto de hecho involucra conductas en el marco de los tratados suscritos y ratificados por el Estado colombiano.</w:t>
      </w:r>
    </w:p>
    <w:p w14:paraId="52D82728" w14:textId="77777777" w:rsidR="00D660B1" w:rsidRDefault="00D660B1" w:rsidP="00D660B1">
      <w:pPr>
        <w:spacing w:before="120" w:line="276" w:lineRule="auto"/>
        <w:ind w:firstLine="709"/>
        <w:jc w:val="both"/>
        <w:rPr>
          <w:rFonts w:ascii="Verdana" w:hAnsi="Verdana" w:cs="Arial"/>
          <w:color w:val="000000" w:themeColor="text1"/>
          <w:lang w:val="es-ES"/>
        </w:rPr>
      </w:pPr>
      <w:r w:rsidRPr="00B40F72">
        <w:rPr>
          <w:rFonts w:ascii="Verdana" w:hAnsi="Verdana" w:cs="Arial"/>
          <w:color w:val="000000"/>
          <w:lang w:val="es-ES"/>
        </w:rPr>
        <w:t>El artículo señala que</w:t>
      </w:r>
      <w:r w:rsidRPr="00B40F72">
        <w:rPr>
          <w:rFonts w:ascii="Verdana" w:hAnsi="Verdana" w:cs="Arial"/>
          <w:color w:val="000000" w:themeColor="text1"/>
          <w:lang w:val="es-ES"/>
        </w:rPr>
        <w:t xml:space="preserve"> las Entidades Estatales consultarán las listas internacionales vinculantes, restrictivas, de inhabilitación o sanción de los organismos multilaterales de los cuales Colombia es miembro, en cuanto resulten aplicables para la verificación de la comisión de prácticas prohibidas reconocidas por los instrumentos internacionales anticorrupción de los que el Estado colombiano es parte. </w:t>
      </w:r>
      <w:r>
        <w:rPr>
          <w:rFonts w:ascii="Verdana" w:hAnsi="Verdana" w:cs="Arial"/>
          <w:color w:val="000000" w:themeColor="text1"/>
          <w:lang w:val="es-ES"/>
        </w:rPr>
        <w:t xml:space="preserve">Ejemplo de </w:t>
      </w:r>
      <w:r w:rsidRPr="00B40F72">
        <w:rPr>
          <w:rFonts w:ascii="Verdana" w:hAnsi="Verdana" w:cs="Arial"/>
          <w:color w:val="000000" w:themeColor="text1"/>
          <w:lang w:val="es-ES"/>
        </w:rPr>
        <w:t xml:space="preserve">lo anterior incluye las listas de inhabilitación o sanción publicadas por los bancos multilaterales de desarrollo, como el Banco Mundial, el BID, el Banco Asiático de Desarrollo, el Banco Africano de Desarrollo y el BERD, son registros públicos de personas naturales y jurídicas a las que esos organismos han declarado inelegibles para participar en contratos financiados por ellos, como consecuencia de haber incurrido en prácticas </w:t>
      </w:r>
      <w:r w:rsidRPr="00B40F72">
        <w:rPr>
          <w:rFonts w:ascii="Verdana" w:hAnsi="Verdana" w:cs="Arial"/>
          <w:color w:val="000000" w:themeColor="text1"/>
          <w:lang w:val="es-ES"/>
        </w:rPr>
        <w:lastRenderedPageBreak/>
        <w:t>prohibidas que incluyen el cohecho transnacional, la corrupción, el fraude, la colusión y la coerción. Estas listas son el producto de sistemas de sanciones administrativos robustos que permiten investigar y excluir a los actores sancionados de los proyectos financiados por los bancos, mediante procesos basados en normas que garantizan imparcialidad, transparencia y consistencia</w:t>
      </w:r>
      <w:r w:rsidRPr="00B40F72">
        <w:rPr>
          <w:rStyle w:val="Refdenotaalpie"/>
          <w:rFonts w:ascii="Verdana" w:hAnsi="Verdana" w:cs="Arial"/>
          <w:color w:val="000000" w:themeColor="text1"/>
          <w:lang w:val="es-ES"/>
        </w:rPr>
        <w:footnoteReference w:id="29"/>
      </w:r>
      <w:r>
        <w:rPr>
          <w:rFonts w:ascii="Verdana" w:hAnsi="Verdana" w:cs="Arial"/>
          <w:color w:val="000000" w:themeColor="text1"/>
          <w:lang w:val="es-ES"/>
        </w:rPr>
        <w:t xml:space="preserve">. La consulta en dichas listas </w:t>
      </w:r>
      <w:r>
        <w:rPr>
          <w:rFonts w:ascii="Verdana" w:hAnsi="Verdana" w:cs="Arial"/>
          <w:color w:val="000000" w:themeColor="text1"/>
        </w:rPr>
        <w:t>es</w:t>
      </w:r>
      <w:r w:rsidRPr="00633396">
        <w:rPr>
          <w:rFonts w:ascii="Verdana" w:hAnsi="Verdana" w:cs="Arial"/>
          <w:color w:val="000000" w:themeColor="text1"/>
          <w:lang/>
        </w:rPr>
        <w:t xml:space="preserve"> virtual, gratuita, en línea y de resultado inmediato</w:t>
      </w:r>
      <w:r>
        <w:rPr>
          <w:rFonts w:ascii="Verdana" w:hAnsi="Verdana" w:cs="Arial"/>
          <w:color w:val="000000" w:themeColor="text1"/>
        </w:rPr>
        <w:t>, de modo que</w:t>
      </w:r>
      <w:r w:rsidRPr="00633396">
        <w:rPr>
          <w:rFonts w:ascii="Verdana" w:hAnsi="Verdana" w:cs="Arial"/>
          <w:color w:val="000000" w:themeColor="text1"/>
          <w:lang/>
        </w:rPr>
        <w:t xml:space="preserve"> no requieren petición formal</w:t>
      </w:r>
      <w:r>
        <w:rPr>
          <w:rStyle w:val="Refdenotaalpie"/>
          <w:rFonts w:ascii="Verdana" w:hAnsi="Verdana" w:cs="Arial"/>
          <w:color w:val="000000" w:themeColor="text1"/>
        </w:rPr>
        <w:footnoteReference w:id="30"/>
      </w:r>
      <w:r>
        <w:rPr>
          <w:rFonts w:ascii="Verdana" w:hAnsi="Verdana" w:cs="Arial"/>
          <w:color w:val="000000" w:themeColor="text1"/>
        </w:rPr>
        <w:t>.</w:t>
      </w:r>
    </w:p>
    <w:p w14:paraId="49631D85" w14:textId="77777777" w:rsidR="00D660B1" w:rsidRDefault="00D660B1" w:rsidP="00D660B1">
      <w:pPr>
        <w:spacing w:before="120" w:line="276" w:lineRule="auto"/>
        <w:ind w:firstLine="709"/>
        <w:jc w:val="both"/>
        <w:rPr>
          <w:rFonts w:ascii="Verdana" w:hAnsi="Verdana" w:cs="Arial"/>
          <w:b/>
          <w:color w:val="000000"/>
          <w:lang w:val="es-ES"/>
        </w:rPr>
      </w:pPr>
      <w:r w:rsidRPr="00B40F72">
        <w:rPr>
          <w:rFonts w:ascii="Verdana" w:hAnsi="Verdana" w:cs="Arial"/>
          <w:color w:val="000000" w:themeColor="text1"/>
          <w:lang w:val="es-ES"/>
        </w:rPr>
        <w:t>Se trata de mecanismo</w:t>
      </w:r>
      <w:r>
        <w:rPr>
          <w:rFonts w:ascii="Verdana" w:hAnsi="Verdana" w:cs="Arial"/>
          <w:color w:val="000000" w:themeColor="text1"/>
          <w:lang w:val="es-ES"/>
        </w:rPr>
        <w:t>s</w:t>
      </w:r>
      <w:r w:rsidRPr="00B40F72">
        <w:rPr>
          <w:rFonts w:ascii="Verdana" w:hAnsi="Verdana" w:cs="Arial"/>
          <w:color w:val="000000" w:themeColor="text1"/>
          <w:lang w:val="es-ES"/>
        </w:rPr>
        <w:t xml:space="preserve"> pertinentes para la verificación de conductas de soborno transnacional, pues dichas entidades cuentan con un catálogo de "prácticas prohibidas" armonizado y con marcos sancionatorios comunes que enfatizan la proporcionalidad. Adicionalmente, desde 2010, los principales bancos multilaterales de desarrollo suscribieron el Acuerdo de Reconocimiento Mutuo de Decisiones de Inhabilitación (</w:t>
      </w:r>
      <w:r w:rsidRPr="00B40F72">
        <w:rPr>
          <w:rFonts w:ascii="Verdana" w:hAnsi="Verdana" w:cs="Arial"/>
          <w:i/>
          <w:color w:val="000000" w:themeColor="text1"/>
          <w:lang w:val="es-ES"/>
        </w:rPr>
        <w:t>Cross-</w:t>
      </w:r>
      <w:proofErr w:type="spellStart"/>
      <w:r w:rsidRPr="00B40F72">
        <w:rPr>
          <w:rFonts w:ascii="Verdana" w:hAnsi="Verdana" w:cs="Arial"/>
          <w:i/>
          <w:color w:val="000000" w:themeColor="text1"/>
          <w:lang w:val="es-ES"/>
        </w:rPr>
        <w:t>Debarment</w:t>
      </w:r>
      <w:proofErr w:type="spellEnd"/>
      <w:r w:rsidRPr="00B40F72">
        <w:rPr>
          <w:rFonts w:ascii="Verdana" w:hAnsi="Verdana" w:cs="Arial"/>
          <w:i/>
          <w:color w:val="000000" w:themeColor="text1"/>
          <w:lang w:val="es-ES"/>
        </w:rPr>
        <w:t xml:space="preserve"> </w:t>
      </w:r>
      <w:proofErr w:type="spellStart"/>
      <w:r w:rsidRPr="00B40F72">
        <w:rPr>
          <w:rFonts w:ascii="Verdana" w:hAnsi="Verdana" w:cs="Arial"/>
          <w:i/>
          <w:color w:val="000000" w:themeColor="text1"/>
          <w:lang w:val="es-ES"/>
        </w:rPr>
        <w:t>Agreement</w:t>
      </w:r>
      <w:proofErr w:type="spellEnd"/>
      <w:r w:rsidRPr="00B40F72">
        <w:rPr>
          <w:rFonts w:ascii="Verdana" w:hAnsi="Verdana" w:cs="Arial"/>
          <w:color w:val="000000" w:themeColor="text1"/>
          <w:lang w:val="es-ES"/>
        </w:rPr>
        <w:t xml:space="preserve">), en virtud del </w:t>
      </w:r>
      <w:proofErr w:type="gramStart"/>
      <w:r w:rsidRPr="00B40F72">
        <w:rPr>
          <w:rFonts w:ascii="Verdana" w:hAnsi="Verdana" w:cs="Arial"/>
          <w:color w:val="000000" w:themeColor="text1"/>
          <w:lang w:val="es-ES"/>
        </w:rPr>
        <w:t>cual</w:t>
      </w:r>
      <w:proofErr w:type="gramEnd"/>
      <w:r w:rsidRPr="00B40F72">
        <w:rPr>
          <w:rFonts w:ascii="Verdana" w:hAnsi="Verdana" w:cs="Arial"/>
          <w:color w:val="000000" w:themeColor="text1"/>
          <w:lang w:val="es-ES"/>
        </w:rPr>
        <w:t xml:space="preserve"> si un banco declara a una empresa o individuo inelegible por fraude o corrupción, los demás bancos signatarios aplican la misma sanción</w:t>
      </w:r>
      <w:r w:rsidRPr="00B40F72">
        <w:rPr>
          <w:rStyle w:val="Refdenotaalpie"/>
          <w:rFonts w:ascii="Verdana" w:hAnsi="Verdana" w:cs="Arial"/>
          <w:color w:val="000000" w:themeColor="text1"/>
          <w:lang w:val="es-ES"/>
        </w:rPr>
        <w:footnoteReference w:id="31"/>
      </w:r>
      <w:r w:rsidRPr="00B40F72">
        <w:rPr>
          <w:rFonts w:ascii="Verdana" w:hAnsi="Verdana" w:cs="Arial"/>
          <w:color w:val="000000" w:themeColor="text1"/>
          <w:lang w:val="es-ES"/>
        </w:rPr>
        <w:t>. De esta manera constituyen un registro consolidado y transfronterizo de actores sancionados por conductas que incluyen el soborno transnacional, al que se refiere la Convención Anticohecho de la OCDE. Por esta razón, la consulta sistemática de dichas listas por parte de las entidades contratantes permite identificar si un proponente ha sido sancionado internacionalmente por conductas que configuran la inhabilidad del literal j) del numeral 1 del artículo 8 de la Ley 80 de 1993, complementando la verificación mediante mecanismos nacionales con herramientas de orden internacional</w:t>
      </w:r>
      <w:r>
        <w:rPr>
          <w:rFonts w:ascii="Verdana" w:hAnsi="Verdana" w:cs="Arial"/>
          <w:color w:val="000000" w:themeColor="text1"/>
          <w:lang w:val="es-ES"/>
        </w:rPr>
        <w:t>.</w:t>
      </w:r>
    </w:p>
    <w:p w14:paraId="7A70580C" w14:textId="77777777" w:rsidR="00D660B1" w:rsidRPr="004742F9" w:rsidRDefault="00D660B1" w:rsidP="00D660B1">
      <w:pPr>
        <w:spacing w:before="120" w:after="0" w:line="276" w:lineRule="auto"/>
        <w:ind w:firstLine="709"/>
        <w:jc w:val="both"/>
        <w:rPr>
          <w:rFonts w:ascii="Verdana" w:eastAsia="Times New Roman" w:hAnsi="Verdana" w:cs="Arial"/>
          <w:b/>
          <w:color w:val="000000"/>
          <w:lang w:val="es-ES"/>
        </w:rPr>
      </w:pPr>
      <w:r w:rsidRPr="004C3574">
        <w:rPr>
          <w:rFonts w:ascii="Verdana" w:hAnsi="Verdana" w:cs="Arial"/>
          <w:color w:val="000000" w:themeColor="text1"/>
          <w:lang w:val="es-ES"/>
        </w:rPr>
        <w:t>Finalmente,</w:t>
      </w:r>
      <w:r w:rsidRPr="004C3574">
        <w:rPr>
          <w:rFonts w:ascii="Verdana" w:hAnsi="Verdana" w:cs="Arial"/>
          <w:b/>
          <w:bCs/>
          <w:i/>
          <w:iCs/>
          <w:color w:val="000000" w:themeColor="text1"/>
          <w:lang w:val="es-ES"/>
        </w:rPr>
        <w:t xml:space="preserve"> </w:t>
      </w:r>
      <w:r>
        <w:rPr>
          <w:rFonts w:ascii="Verdana" w:hAnsi="Verdana" w:cs="Arial"/>
          <w:color w:val="000000" w:themeColor="text1"/>
          <w:lang w:val="es-ES"/>
        </w:rPr>
        <w:t xml:space="preserve">es importante resaltar que, </w:t>
      </w:r>
      <w:r w:rsidRPr="004C3574">
        <w:rPr>
          <w:rFonts w:ascii="Verdana" w:hAnsi="Verdana" w:cs="Arial"/>
          <w:color w:val="000000" w:themeColor="text1"/>
          <w:lang w:val="es-ES"/>
        </w:rPr>
        <w:t xml:space="preserve">teniendo en cuenta los retos identificados frente a las barreras idiomáticas, tecnológicas </w:t>
      </w:r>
      <w:r w:rsidRPr="00B40F72">
        <w:rPr>
          <w:rFonts w:ascii="Verdana" w:hAnsi="Verdana" w:cs="Arial"/>
          <w:color w:val="000000" w:themeColor="text1"/>
          <w:lang w:val="es-ES"/>
        </w:rPr>
        <w:t xml:space="preserve">y de acceso que puede suponer la consulta independiente de las </w:t>
      </w:r>
      <w:r>
        <w:rPr>
          <w:rFonts w:ascii="Verdana" w:hAnsi="Verdana" w:cs="Arial"/>
          <w:color w:val="000000" w:themeColor="text1"/>
          <w:lang w:val="es-ES"/>
        </w:rPr>
        <w:t xml:space="preserve">distintas </w:t>
      </w:r>
      <w:r w:rsidRPr="00B40F72">
        <w:rPr>
          <w:rFonts w:ascii="Verdana" w:hAnsi="Verdana" w:cs="Arial"/>
          <w:color w:val="000000" w:themeColor="text1"/>
          <w:lang w:val="es-ES"/>
        </w:rPr>
        <w:t xml:space="preserve">listas, </w:t>
      </w:r>
      <w:r>
        <w:rPr>
          <w:rFonts w:ascii="Verdana" w:hAnsi="Verdana" w:cs="Arial"/>
          <w:color w:val="000000" w:themeColor="text1"/>
          <w:lang w:val="es-ES"/>
        </w:rPr>
        <w:t xml:space="preserve">el Decreto 0997 de 2026 establece </w:t>
      </w:r>
      <w:r w:rsidRPr="00B40F72">
        <w:rPr>
          <w:rFonts w:ascii="Verdana" w:hAnsi="Verdana" w:cs="Arial"/>
          <w:color w:val="000000" w:themeColor="text1"/>
          <w:lang w:val="es-ES"/>
        </w:rPr>
        <w:t xml:space="preserve">la obligación en cabeza de la Secretaría de Transparencia de la Presidencia de la República, en coordinación con la Superintendencia de </w:t>
      </w:r>
      <w:r w:rsidRPr="00B40F72">
        <w:rPr>
          <w:rFonts w:ascii="Verdana" w:hAnsi="Verdana" w:cs="Arial"/>
          <w:color w:val="000000" w:themeColor="text1"/>
          <w:lang w:val="es-ES"/>
        </w:rPr>
        <w:lastRenderedPageBreak/>
        <w:t>Sociedades</w:t>
      </w:r>
      <w:r>
        <w:rPr>
          <w:rFonts w:ascii="Verdana" w:hAnsi="Verdana" w:cs="Arial"/>
          <w:color w:val="000000" w:themeColor="text1"/>
          <w:lang w:val="es-ES"/>
        </w:rPr>
        <w:t xml:space="preserve"> y esta Agencia,</w:t>
      </w:r>
      <w:r w:rsidRPr="00B40F72">
        <w:rPr>
          <w:rFonts w:ascii="Verdana" w:hAnsi="Verdana" w:cs="Arial"/>
          <w:color w:val="000000" w:themeColor="text1"/>
          <w:lang w:val="es-ES"/>
        </w:rPr>
        <w:t xml:space="preserve"> de desarrollar las acciones necesarias para la consulta </w:t>
      </w:r>
      <w:r w:rsidRPr="00B40F72">
        <w:rPr>
          <w:rFonts w:ascii="Verdana" w:hAnsi="Verdana" w:cs="Arial"/>
          <w:i/>
          <w:iCs/>
          <w:color w:val="000000" w:themeColor="text1"/>
          <w:lang w:val="es-ES"/>
        </w:rPr>
        <w:t>unificada y accesible</w:t>
      </w:r>
      <w:r w:rsidRPr="00B40F72">
        <w:rPr>
          <w:rFonts w:ascii="Verdana" w:hAnsi="Verdana" w:cs="Arial"/>
          <w:color w:val="000000" w:themeColor="text1"/>
          <w:lang w:val="es-ES"/>
        </w:rPr>
        <w:t xml:space="preserve"> de las listas</w:t>
      </w:r>
      <w:r>
        <w:rPr>
          <w:rFonts w:ascii="Verdana" w:hAnsi="Verdana" w:cs="Arial"/>
          <w:color w:val="000000" w:themeColor="text1"/>
          <w:lang w:val="es-ES"/>
        </w:rPr>
        <w:t>; así como de</w:t>
      </w:r>
      <w:r w:rsidRPr="00B40F72">
        <w:rPr>
          <w:rFonts w:ascii="Verdana" w:hAnsi="Verdana" w:cs="Arial"/>
          <w:color w:val="000000" w:themeColor="text1"/>
          <w:lang w:val="es-ES"/>
        </w:rPr>
        <w:t xml:space="preserve"> determinar los mecanismos y las condiciones para su correcta verificación, los estándares para su constancia en los procesos de contratación y los lineamientos que resulten pertinentes, proporcionales y razonables para el cumplimiento de dicho deber. Para lo anterior, el Decreto otorga un tér</w:t>
      </w:r>
      <w:r>
        <w:rPr>
          <w:rFonts w:ascii="Verdana" w:hAnsi="Verdana" w:cs="Arial"/>
          <w:color w:val="000000" w:themeColor="text1"/>
          <w:lang w:val="es-ES"/>
        </w:rPr>
        <w:t>mino</w:t>
      </w:r>
      <w:r w:rsidRPr="00B40F72">
        <w:rPr>
          <w:rFonts w:ascii="Verdana" w:hAnsi="Verdana" w:cs="Arial"/>
          <w:color w:val="000000" w:themeColor="text1"/>
          <w:lang w:val="es-ES"/>
        </w:rPr>
        <w:t xml:space="preserve"> de seis (6) meses contados a partir de expedición del Decreto, es decir, desde el 04 de agosto de 2026.</w:t>
      </w:r>
      <w:r w:rsidRPr="00B40F72">
        <w:rPr>
          <w:rFonts w:ascii="Verdana" w:hAnsi="Verdana" w:cs="Arial"/>
          <w:i/>
          <w:iCs/>
          <w:color w:val="000000" w:themeColor="text1"/>
          <w:lang w:val="es-ES"/>
        </w:rPr>
        <w:t xml:space="preserve"> </w:t>
      </w:r>
    </w:p>
    <w:p w14:paraId="42EEB14E" w14:textId="77777777" w:rsidR="00D660B1" w:rsidRPr="00B40F72" w:rsidRDefault="00D660B1" w:rsidP="00D660B1">
      <w:pPr>
        <w:spacing w:after="120" w:line="276" w:lineRule="auto"/>
        <w:ind w:firstLine="709"/>
        <w:jc w:val="both"/>
        <w:rPr>
          <w:rFonts w:ascii="Verdana" w:eastAsia="Verdana" w:hAnsi="Verdana" w:cs="Verdana"/>
          <w:lang w:val="es-ES"/>
        </w:rPr>
      </w:pPr>
      <w:r w:rsidRPr="00B40F72">
        <w:rPr>
          <w:rFonts w:ascii="Verdana" w:eastAsia="Verdana" w:hAnsi="Verdana" w:cs="Verdana"/>
          <w:lang w:val="es-ES"/>
        </w:rPr>
        <w:t>Dentro de este marco, al tratarse de un análisis que debe realizarse frente a cada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Estatal establecerá la forma de adelantar su gestión contractual, sin que sea atribución de la Agencia Nacional de Contratación Pública – Colombia Compra Eficiente definir, autorizar o validar esa decisión.</w:t>
      </w:r>
    </w:p>
    <w:p w14:paraId="5A14DB5F" w14:textId="77777777" w:rsidR="00D660B1" w:rsidRPr="00B40F72" w:rsidRDefault="00D660B1" w:rsidP="00D660B1">
      <w:pPr>
        <w:spacing w:after="0" w:line="276" w:lineRule="auto"/>
        <w:jc w:val="both"/>
        <w:rPr>
          <w:rFonts w:ascii="Verdana" w:eastAsia="Times New Roman" w:hAnsi="Verdana" w:cs="Arial"/>
          <w:color w:val="000000" w:themeColor="text1"/>
          <w:lang w:val="es-ES"/>
        </w:rPr>
      </w:pPr>
    </w:p>
    <w:p w14:paraId="6D30A3C6" w14:textId="77777777" w:rsidR="00D660B1" w:rsidRPr="00B40F72" w:rsidRDefault="00D660B1" w:rsidP="00D660B1">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B40F72">
        <w:rPr>
          <w:rFonts w:ascii="Verdana" w:eastAsia="Century Gothic" w:hAnsi="Verdana" w:cs="Century Gothic"/>
          <w:b/>
          <w:color w:val="000000" w:themeColor="text1"/>
        </w:rPr>
        <w:t>Referencias normativas, jurisprudenciales y otras fuentes:</w:t>
      </w:r>
    </w:p>
    <w:p w14:paraId="7E07E214" w14:textId="77777777" w:rsidR="00D660B1" w:rsidRPr="00B40F72" w:rsidRDefault="00D660B1" w:rsidP="00D660B1">
      <w:pPr>
        <w:widowControl w:val="0"/>
        <w:autoSpaceDE w:val="0"/>
        <w:autoSpaceDN w:val="0"/>
        <w:spacing w:after="0" w:line="276" w:lineRule="auto"/>
        <w:jc w:val="both"/>
        <w:rPr>
          <w:rFonts w:ascii="Verdana" w:hAnsi="Verdana" w:cs="Arial"/>
          <w:color w:val="000000" w:themeColor="text1"/>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660B1" w:rsidRPr="00B40F72" w14:paraId="67B03BEF" w14:textId="77777777" w:rsidTr="000261AE">
        <w:trPr>
          <w:trHeight w:val="297"/>
        </w:trPr>
        <w:tc>
          <w:tcPr>
            <w:tcW w:w="8647" w:type="dxa"/>
          </w:tcPr>
          <w:p w14:paraId="0F7922EA"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Pr>
                <w:rFonts w:ascii="Verdana" w:hAnsi="Verdana" w:cs="Arial"/>
                <w:lang w:val="es-ES"/>
              </w:rPr>
              <w:t>C</w:t>
            </w:r>
            <w:r w:rsidRPr="003D36E0">
              <w:rPr>
                <w:rFonts w:ascii="Verdana" w:hAnsi="Verdana" w:cs="Arial"/>
                <w:lang w:val="es-ES"/>
              </w:rPr>
              <w:t>onstitución Política, artículos 209 y 267.</w:t>
            </w:r>
          </w:p>
          <w:p w14:paraId="353D120C"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Ley 80 de 1993, artículos 3, 6</w:t>
            </w:r>
            <w:r>
              <w:rPr>
                <w:rFonts w:ascii="Verdana" w:hAnsi="Verdana" w:cs="Arial"/>
                <w:lang w:val="es-ES"/>
              </w:rPr>
              <w:t xml:space="preserve">, </w:t>
            </w:r>
            <w:r w:rsidRPr="003D36E0">
              <w:rPr>
                <w:rFonts w:ascii="Verdana" w:hAnsi="Verdana" w:cs="Arial"/>
                <w:lang w:val="es-ES"/>
              </w:rPr>
              <w:t>22, 23, 24, 31, 58 y 75.</w:t>
            </w:r>
          </w:p>
          <w:p w14:paraId="02EA2231"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Ley 1150 de 2007, artículos 5 y 6 (numerales 6.1 y 6.2).</w:t>
            </w:r>
          </w:p>
          <w:p w14:paraId="6B2E5E61"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Ley 1474 de 2011, artículo 74.</w:t>
            </w:r>
          </w:p>
          <w:p w14:paraId="6CE7B25D"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Ley 1437 de 2011 (CPACA), artículos 28 y 141.</w:t>
            </w:r>
          </w:p>
          <w:p w14:paraId="0FB285C3"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Ley 1618 de 2013, artículo 13.</w:t>
            </w:r>
          </w:p>
          <w:p w14:paraId="4EC23393"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Ley 1753 de 2015, artículo 170.</w:t>
            </w:r>
          </w:p>
          <w:p w14:paraId="0B416EEA"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Ley 2046 de 2020, artículo 4.</w:t>
            </w:r>
          </w:p>
          <w:p w14:paraId="6848B8AF"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Ley 2160 de 2021.</w:t>
            </w:r>
          </w:p>
          <w:p w14:paraId="48E1FBD3"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Decreto Ley 4170 de 2011, artículos 3 y 11.</w:t>
            </w:r>
          </w:p>
          <w:p w14:paraId="208696DC"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Decreto 19 de 2012, artículo 218.</w:t>
            </w:r>
          </w:p>
          <w:p w14:paraId="66563B27"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 xml:space="preserve">Decreto 1082 de 2015, artículos 2.2.1.1.1.3.1, 2.2.1.1.1.4.5, 2.2.1.1.1.5.7, 2.2.1.1.1.6.1, 2.2.1.1.1.6.2, 2.2.1.1.2.1.1, 2.2.1.1.2.1.3, 2.2.1.1.2.2.2, 2.2.1.1.2.2.8, 2.2.1.1.2.2.10, </w:t>
            </w:r>
            <w:r w:rsidRPr="003D36E0">
              <w:rPr>
                <w:rFonts w:ascii="Verdana" w:hAnsi="Verdana" w:cs="Arial"/>
                <w:lang w:val="es-ES"/>
              </w:rPr>
              <w:lastRenderedPageBreak/>
              <w:t>2.2.1.2.1.2.1, 2.2.1.2.1.2.12 y 2.2.1.2.1.5.1.</w:t>
            </w:r>
          </w:p>
          <w:p w14:paraId="15284114"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Decreto 142 de 2023.</w:t>
            </w:r>
          </w:p>
          <w:p w14:paraId="4455640C"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Decreto 0997 de 2026, artículos 3, 4, 5, 11 y 14.</w:t>
            </w:r>
          </w:p>
          <w:p w14:paraId="1AEBFAA7"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Consejo de Estado, Sección Tercera, Subsección B, Sentencia del 6 de junio de 2013, Exp. 25151. C.P. Stella Conto Díaz del Castillo.</w:t>
            </w:r>
          </w:p>
          <w:p w14:paraId="69FB876C"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Consejo de Estado, Sección Tercera, Subsección A, Sentencia del 2 de agosto de 2018, Rad. 25000-23-26-000-2013-01293-01(</w:t>
            </w:r>
            <w:proofErr w:type="gramStart"/>
            <w:r w:rsidRPr="003D36E0">
              <w:rPr>
                <w:rFonts w:ascii="Verdana" w:hAnsi="Verdana" w:cs="Arial"/>
                <w:lang w:val="es-ES"/>
              </w:rPr>
              <w:t>53.506)A.</w:t>
            </w:r>
            <w:proofErr w:type="gramEnd"/>
            <w:r w:rsidRPr="003D36E0">
              <w:rPr>
                <w:rFonts w:ascii="Verdana" w:hAnsi="Verdana" w:cs="Arial"/>
                <w:lang w:val="es-ES"/>
              </w:rPr>
              <w:t xml:space="preserve"> C.P. Marta Nubia Velásquez Rico.</w:t>
            </w:r>
          </w:p>
          <w:p w14:paraId="71872142"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Consejo de Estado, Sección Tercera, Subsección C, Sentencia del 31 de enero de 2011, Exp. 15.800. C.P. Jaime Orlando Santofimio Gamboa.</w:t>
            </w:r>
          </w:p>
          <w:p w14:paraId="6813D7D0" w14:textId="77777777" w:rsidR="00D660B1"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Corte Constitucional, Sentencia C-1016 de 2012. M.P. Jorge Iván Palacio.</w:t>
            </w:r>
          </w:p>
          <w:p w14:paraId="5C4B23B2" w14:textId="77777777" w:rsidR="00D660B1" w:rsidRPr="003D36E0"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 xml:space="preserve">Guía de Contratación Pública Sostenible y Socialmente Responsable (ANCP–CCE y Ministerio de Ambiente y Desarrollo Sostenible). El concepto la cita sin URL directa; la página oficial vinculada en el documento es la del Ministerio de Ambiente: </w:t>
            </w:r>
            <w:hyperlink r:id="rId13" w:history="1">
              <w:r w:rsidRPr="006001D4">
                <w:rPr>
                  <w:rStyle w:val="Hipervnculo"/>
                  <w:rFonts w:ascii="Verdana" w:hAnsi="Verdana" w:cs="Arial"/>
                  <w:lang w:val="es-ES"/>
                </w:rPr>
                <w:t>https://www.minambiente.gov.co/asuntos-ambientales-sectorial-y-urbana/compras-publicas-sostenibles/</w:t>
              </w:r>
            </w:hyperlink>
            <w:r>
              <w:rPr>
                <w:rFonts w:ascii="Verdana" w:hAnsi="Verdana" w:cs="Arial"/>
                <w:lang w:val="es-ES"/>
              </w:rPr>
              <w:t xml:space="preserve"> </w:t>
            </w:r>
          </w:p>
          <w:p w14:paraId="49A55B66" w14:textId="77777777" w:rsidR="00D660B1" w:rsidRPr="00B40F72" w:rsidRDefault="00D660B1" w:rsidP="000261AE">
            <w:pPr>
              <w:widowControl w:val="0"/>
              <w:numPr>
                <w:ilvl w:val="0"/>
                <w:numId w:val="16"/>
              </w:numPr>
              <w:autoSpaceDE w:val="0"/>
              <w:autoSpaceDN w:val="0"/>
              <w:spacing w:before="120" w:after="120"/>
              <w:jc w:val="both"/>
              <w:rPr>
                <w:rFonts w:ascii="Verdana" w:hAnsi="Verdana" w:cs="Arial"/>
                <w:lang w:val="es-ES"/>
              </w:rPr>
            </w:pPr>
            <w:r w:rsidRPr="003D36E0">
              <w:rPr>
                <w:rFonts w:ascii="Verdana" w:hAnsi="Verdana" w:cs="Arial"/>
                <w:lang w:val="es-ES"/>
              </w:rPr>
              <w:t xml:space="preserve">Plan de Acción Nacional de Compras Públicas Sostenibles y fichas técnicas (Ministerio de Ambiente y Desarrollo Sostenible): </w:t>
            </w:r>
            <w:hyperlink r:id="rId14" w:history="1">
              <w:r w:rsidRPr="006001D4">
                <w:rPr>
                  <w:rStyle w:val="Hipervnculo"/>
                  <w:rFonts w:ascii="Verdana" w:hAnsi="Verdana" w:cs="Arial"/>
                  <w:lang w:val="es-ES"/>
                </w:rPr>
                <w:t>https://www.minambiente.gov.co/asuntos-ambientales-sectorial-y-urbana/compras-publicas-sostenibles/</w:t>
              </w:r>
            </w:hyperlink>
            <w:r>
              <w:rPr>
                <w:rFonts w:ascii="Verdana" w:hAnsi="Verdana" w:cs="Arial"/>
                <w:lang w:val="es-ES"/>
              </w:rPr>
              <w:t xml:space="preserve"> </w:t>
            </w:r>
          </w:p>
        </w:tc>
      </w:tr>
    </w:tbl>
    <w:p w14:paraId="6EF81E88" w14:textId="77777777" w:rsidR="00D660B1" w:rsidRPr="00B40F72" w:rsidRDefault="00D660B1" w:rsidP="00D660B1">
      <w:pPr>
        <w:widowControl w:val="0"/>
        <w:autoSpaceDE w:val="0"/>
        <w:autoSpaceDN w:val="0"/>
        <w:spacing w:after="0" w:line="276" w:lineRule="auto"/>
        <w:jc w:val="both"/>
        <w:rPr>
          <w:rFonts w:ascii="Verdana" w:hAnsi="Verdana" w:cs="Arial"/>
          <w:color w:val="000000" w:themeColor="text1"/>
          <w:lang w:val="es-ES"/>
        </w:rPr>
      </w:pPr>
    </w:p>
    <w:p w14:paraId="3FB83806" w14:textId="77777777" w:rsidR="00D660B1" w:rsidRPr="00B40F72" w:rsidRDefault="00D660B1" w:rsidP="00D660B1">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B40F72">
        <w:rPr>
          <w:rFonts w:ascii="Verdana" w:eastAsia="Century Gothic" w:hAnsi="Verdana" w:cs="Century Gothic"/>
          <w:b/>
          <w:color w:val="000000" w:themeColor="text1"/>
        </w:rPr>
        <w:t>Doctrina de la Agencia Nacional de Contratación Pública:</w:t>
      </w:r>
    </w:p>
    <w:p w14:paraId="194A1852" w14:textId="77777777" w:rsidR="00D660B1" w:rsidRPr="00B40F72" w:rsidRDefault="00D660B1" w:rsidP="00D660B1">
      <w:pPr>
        <w:widowControl w:val="0"/>
        <w:autoSpaceDE w:val="0"/>
        <w:autoSpaceDN w:val="0"/>
        <w:spacing w:after="0" w:line="276" w:lineRule="auto"/>
        <w:jc w:val="both"/>
        <w:rPr>
          <w:rFonts w:ascii="Verdana" w:hAnsi="Verdana" w:cs="Arial"/>
          <w:color w:val="000000" w:themeColor="text1"/>
          <w:lang w:val="es-ES"/>
        </w:rPr>
      </w:pPr>
    </w:p>
    <w:p w14:paraId="4A93C8F8" w14:textId="77777777" w:rsidR="00D660B1" w:rsidRPr="00B40F72" w:rsidRDefault="00D660B1" w:rsidP="00D660B1">
      <w:pPr>
        <w:spacing w:line="276" w:lineRule="auto"/>
        <w:jc w:val="both"/>
        <w:rPr>
          <w:rFonts w:ascii="Verdana" w:eastAsia="Calibri" w:hAnsi="Verdana" w:cs="Arial"/>
          <w:b/>
          <w:bCs/>
          <w:color w:val="000000" w:themeColor="text1"/>
          <w:lang w:val="es-ES"/>
        </w:rPr>
      </w:pPr>
      <w:r w:rsidRPr="00B40F72">
        <w:rPr>
          <w:rFonts w:ascii="Verdana" w:eastAsia="Calibri" w:hAnsi="Verdana" w:cs="Arial"/>
          <w:lang w:val="es-ES"/>
        </w:rPr>
        <w:t>La Agencia Nacional de Contratación Pública – Colombia Compra Eficiente se ha pronunciado</w:t>
      </w:r>
      <w:r>
        <w:rPr>
          <w:rFonts w:ascii="Verdana" w:eastAsia="Calibri" w:hAnsi="Verdana" w:cs="Arial"/>
          <w:lang w:val="es-ES"/>
        </w:rPr>
        <w:t xml:space="preserve"> </w:t>
      </w:r>
      <w:r w:rsidRPr="001209DF">
        <w:rPr>
          <w:rFonts w:ascii="Verdana" w:eastAsia="Calibri" w:hAnsi="Verdana" w:cs="Arial"/>
          <w:lang w:val="es-ES"/>
        </w:rPr>
        <w:t>sobre las Compras Públicas Sostenibles en los conceptos C-851 del 9 de diciembre de 2022 y C-207 del 23 de marzo de 2025.</w:t>
      </w:r>
      <w:r w:rsidRPr="00B40F72">
        <w:rPr>
          <w:rFonts w:ascii="Verdana" w:eastAsia="Arial" w:hAnsi="Verdana" w:cs="Arial"/>
          <w:lang w:val="es-ES"/>
        </w:rPr>
        <w:t xml:space="preserve"> Estos y</w:t>
      </w:r>
      <w:r w:rsidRPr="00B40F72">
        <w:rPr>
          <w:rFonts w:ascii="Verdana" w:hAnsi="Verdana" w:cs="Arial"/>
          <w:shd w:val="clear" w:color="auto" w:fill="FFFFFF"/>
          <w:lang w:val="es-ES"/>
        </w:rPr>
        <w:t xml:space="preserve"> </w:t>
      </w:r>
      <w:r w:rsidRPr="00B40F72">
        <w:rPr>
          <w:rFonts w:ascii="Verdana" w:hAnsi="Verdana"/>
          <w:lang w:val="es-ES"/>
        </w:rPr>
        <w:t>otros conceptos se encuentran disponibles para consulta en el Sistema de relatoría de la Agencia, al cual se puede acceder a través del siguiente enlace:</w:t>
      </w:r>
      <w:r w:rsidRPr="00B40F72">
        <w:rPr>
          <w:rFonts w:ascii="Verdana" w:hAnsi="Verdana" w:cs="Arial"/>
          <w:shd w:val="clear" w:color="auto" w:fill="FFFFFF"/>
          <w:lang w:val="es-ES"/>
        </w:rPr>
        <w:t xml:space="preserve"> </w:t>
      </w:r>
      <w:hyperlink r:id="rId15" w:history="1">
        <w:r w:rsidRPr="00B40F72">
          <w:rPr>
            <w:rStyle w:val="Hipervnculo"/>
            <w:rFonts w:ascii="Verdana" w:hAnsi="Verdana"/>
            <w:lang w:val="es-ES"/>
          </w:rPr>
          <w:t>https://relatoria.colombiacompra.gov.co/busqueda/conceptos</w:t>
        </w:r>
      </w:hyperlink>
      <w:r w:rsidRPr="00B40F72">
        <w:rPr>
          <w:rFonts w:ascii="Verdana" w:hAnsi="Verdana" w:cs="Arial"/>
          <w:shd w:val="clear" w:color="auto" w:fill="FFFFFF"/>
          <w:lang w:val="es-ES"/>
        </w:rPr>
        <w:t>.</w:t>
      </w:r>
      <w:r w:rsidRPr="00B40F72">
        <w:rPr>
          <w:rFonts w:ascii="Verdana" w:hAnsi="Verdana" w:cs="Arial"/>
          <w:color w:val="FF0000"/>
          <w:shd w:val="clear" w:color="auto" w:fill="FFFFFF"/>
          <w:lang w:val="es-ES"/>
        </w:rPr>
        <w:t xml:space="preserve"> </w:t>
      </w:r>
      <w:r w:rsidRPr="00B40F72">
        <w:rPr>
          <w:rFonts w:ascii="Verdana" w:hAnsi="Verdana" w:cs="Arial"/>
          <w:color w:val="000000" w:themeColor="text1"/>
          <w:shd w:val="clear" w:color="auto" w:fill="FFFFFF"/>
          <w:lang w:val="es-ES"/>
        </w:rPr>
        <w:t>  </w:t>
      </w:r>
    </w:p>
    <w:p w14:paraId="4CB3DC82" w14:textId="77777777" w:rsidR="00D660B1" w:rsidRPr="00B40F72" w:rsidRDefault="00D660B1" w:rsidP="00ED784F">
      <w:pPr>
        <w:spacing w:before="120" w:after="0" w:line="276" w:lineRule="auto"/>
        <w:jc w:val="both"/>
        <w:rPr>
          <w:rFonts w:ascii="Verdana" w:hAnsi="Verdana"/>
          <w:lang w:val="es-ES"/>
        </w:rPr>
      </w:pPr>
      <w:r w:rsidRPr="00B40F72">
        <w:rPr>
          <w:rFonts w:ascii="Verdana" w:hAnsi="Verdana"/>
          <w:lang w:val="es-ES"/>
        </w:rPr>
        <w:t>Las garantías no son un requisito formal: son el instrumento con el que se protege el patrimonio público frente a los riesgos del contrato. Por ello, la Agencia Nacional de Contratación Pública –Colombia Compra Eficiente</w:t>
      </w:r>
      <w:proofErr w:type="gramStart"/>
      <w:r w:rsidRPr="00B40F72">
        <w:rPr>
          <w:rFonts w:ascii="Verdana" w:hAnsi="Verdana"/>
          <w:lang w:val="es-ES"/>
        </w:rPr>
        <w:t>–  invita</w:t>
      </w:r>
      <w:proofErr w:type="gramEnd"/>
      <w:r w:rsidRPr="00B40F72">
        <w:rPr>
          <w:rFonts w:ascii="Verdana" w:hAnsi="Verdana"/>
          <w:lang w:val="es-ES"/>
        </w:rPr>
        <w:t xml:space="preserve"> a </w:t>
      </w:r>
      <w:r w:rsidRPr="00B40F72">
        <w:rPr>
          <w:rFonts w:ascii="Verdana" w:hAnsi="Verdana"/>
          <w:lang w:val="es-ES"/>
        </w:rPr>
        <w:lastRenderedPageBreak/>
        <w:t>consultar la nueva versión de la </w:t>
      </w:r>
      <w:r w:rsidRPr="00B40F72">
        <w:rPr>
          <w:rFonts w:ascii="Verdana" w:hAnsi="Verdana"/>
          <w:b/>
          <w:bCs/>
          <w:lang w:val="es-ES"/>
        </w:rPr>
        <w:t>Guía para la Exigencia y Constitución de Garantías en los Procesos de Contratación</w:t>
      </w:r>
      <w:r w:rsidRPr="00B40F72">
        <w:rPr>
          <w:rFonts w:ascii="Verdana" w:hAnsi="Verdana"/>
          <w:lang w:val="es-ES"/>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6">
        <w:r w:rsidRPr="00B40F72">
          <w:rPr>
            <w:rStyle w:val="Hipervnculo"/>
            <w:rFonts w:ascii="Verdana" w:hAnsi="Verdana"/>
            <w:lang w:val="es-ES"/>
          </w:rPr>
          <w:t>https://www.colombiacompra.gov.co/archivos/manual/guia-de-garantias-en-procesos-de-contratacion</w:t>
        </w:r>
      </w:hyperlink>
    </w:p>
    <w:p w14:paraId="6A96E942" w14:textId="77777777" w:rsidR="00D660B1" w:rsidRPr="00B40F72" w:rsidRDefault="00D660B1" w:rsidP="00ED784F">
      <w:pPr>
        <w:spacing w:before="120" w:after="0" w:line="276" w:lineRule="auto"/>
        <w:jc w:val="both"/>
        <w:rPr>
          <w:rFonts w:ascii="Verdana" w:hAnsi="Verdana"/>
          <w:lang w:val="es-ES"/>
        </w:rPr>
      </w:pPr>
      <w:r w:rsidRPr="00B40F72">
        <w:rPr>
          <w:rFonts w:ascii="Verdana" w:hAnsi="Verdana"/>
          <w:lang w:val="es-ES"/>
        </w:rPr>
        <w:t>De otro lado, le contamos que el Decreto 287 del 19 de marzo de 2026 sustituyó los artículos 2.2.1.2.4.2.6., 2.2.1.2.4.2.7. y 2.2.1.2.4.2.8. del Decreto 1082 de 2015 y estructuró el </w:t>
      </w:r>
      <w:r w:rsidRPr="00B40F72">
        <w:rPr>
          <w:rFonts w:ascii="Verdana" w:hAnsi="Verdana"/>
          <w:b/>
          <w:bCs/>
          <w:lang w:val="es-ES"/>
        </w:rPr>
        <w:t>Sistema Integral de Preferencias en favor de las personas con discapacidad</w:t>
      </w:r>
      <w:r w:rsidRPr="00B40F72">
        <w:rPr>
          <w:rFonts w:ascii="Verdana" w:hAnsi="Verdana"/>
          <w:lang w:val="es-ES"/>
        </w:rPr>
        <w:t>, en cumplimiento del artículo 13 de la Ley Estatutaria 1618 de 2013. Para orientar su aplicación, esta Agencia expidió la </w:t>
      </w:r>
      <w:r w:rsidRPr="00B40F72">
        <w:rPr>
          <w:rFonts w:ascii="Verdana" w:hAnsi="Verdana"/>
          <w:b/>
          <w:bCs/>
          <w:lang w:val="es-ES"/>
        </w:rPr>
        <w:t>Circular Externa 003 del 12 de mayo de 2026, </w:t>
      </w:r>
      <w:r w:rsidRPr="00B40F72">
        <w:rPr>
          <w:rFonts w:ascii="Verdana" w:hAnsi="Verdana"/>
          <w:lang w:val="es-ES"/>
        </w:rPr>
        <w:t>en la que precisa quiénes son los beneficiarios, las cinco medidas que integran el sistema y su obligatoriedad según la modalidad de selección, y el régimen de transición aplicable a los procesos en curso. Consúltela aquí: </w:t>
      </w:r>
      <w:hyperlink r:id="rId17">
        <w:r w:rsidRPr="00B40F72">
          <w:rPr>
            <w:rStyle w:val="Hipervnculo"/>
            <w:rFonts w:ascii="Verdana" w:hAnsi="Verdana"/>
            <w:lang w:val="es-ES"/>
          </w:rPr>
          <w:t>https://www.colombiacompra.gov.co/archivos/circular/circular-externa-003-de-2026</w:t>
        </w:r>
      </w:hyperlink>
    </w:p>
    <w:p w14:paraId="2D7C69BD" w14:textId="77777777" w:rsidR="00ED784F" w:rsidRDefault="00D660B1" w:rsidP="00ED784F">
      <w:pPr>
        <w:spacing w:before="120" w:after="0" w:line="276" w:lineRule="auto"/>
        <w:jc w:val="both"/>
        <w:rPr>
          <w:rFonts w:ascii="Verdana" w:hAnsi="Verdana"/>
          <w:lang w:val="es-ES"/>
        </w:rPr>
      </w:pPr>
      <w:r w:rsidRPr="00B40F72">
        <w:rPr>
          <w:rFonts w:ascii="Verdana" w:hAnsi="Verdana"/>
          <w:lang w:val="es-ES"/>
        </w:rPr>
        <w:t>Recuerde también que la</w:t>
      </w:r>
      <w:r w:rsidRPr="00B40F72">
        <w:rPr>
          <w:rFonts w:ascii="Verdana" w:hAnsi="Verdana"/>
          <w:b/>
          <w:bCs/>
          <w:lang w:val="es-ES"/>
        </w:rPr>
        <w:t> información sobre sanciones e inhabilidades </w:t>
      </w:r>
      <w:r w:rsidRPr="00B40F72">
        <w:rPr>
          <w:rFonts w:ascii="Verdana" w:hAnsi="Verdana"/>
          <w:lang w:val="es-ES"/>
        </w:rPr>
        <w:t>solo cumple su función preventiva si llega oportunamente a los registros públicos. Sobre este deber, esta Agencia expidió la </w:t>
      </w:r>
      <w:r w:rsidRPr="00B40F72">
        <w:rPr>
          <w:rFonts w:ascii="Verdana" w:hAnsi="Verdana"/>
          <w:b/>
          <w:bCs/>
          <w:lang w:val="es-ES"/>
        </w:rPr>
        <w:t>Circular Externa 002 del 5 de mayo de 2026,</w:t>
      </w:r>
      <w:r w:rsidRPr="00B40F72">
        <w:rPr>
          <w:rFonts w:ascii="Verdana" w:hAnsi="Verdana"/>
          <w:lang w:val="es-ES"/>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Consúltela aquí: </w:t>
      </w:r>
      <w:hyperlink r:id="rId18">
        <w:r w:rsidRPr="00B40F72">
          <w:rPr>
            <w:rStyle w:val="Hipervnculo"/>
            <w:rFonts w:ascii="Verdana" w:hAnsi="Verdana"/>
            <w:lang w:val="es-ES"/>
          </w:rPr>
          <w:t>https://www.colombiacompra.gov.co/archivos/circular/circular-externa-002-de-2026</w:t>
        </w:r>
      </w:hyperlink>
    </w:p>
    <w:p w14:paraId="74D6D294" w14:textId="77777777" w:rsidR="00ED784F" w:rsidRDefault="00D660B1" w:rsidP="00ED784F">
      <w:pPr>
        <w:spacing w:before="120" w:after="0" w:line="276" w:lineRule="auto"/>
        <w:jc w:val="both"/>
        <w:rPr>
          <w:rFonts w:ascii="Verdana" w:hAnsi="Verdana"/>
          <w:lang w:val="es-ES"/>
        </w:rPr>
      </w:pPr>
      <w:r w:rsidRPr="00B40F72">
        <w:rPr>
          <w:rFonts w:ascii="Verdana" w:hAnsi="Verdana"/>
          <w:lang w:val="es-ES"/>
        </w:rPr>
        <w:t>Finalmente, si quiere seguir de cerca la actividad de la Agencia, la tercera edición de 2026 del</w:t>
      </w:r>
      <w:r w:rsidRPr="00B40F72">
        <w:rPr>
          <w:rFonts w:ascii="Verdana" w:hAnsi="Verdana"/>
          <w:b/>
          <w:bCs/>
          <w:lang w:val="es-ES"/>
        </w:rPr>
        <w:t> Radar de la Compra Pública</w:t>
      </w:r>
      <w:r w:rsidRPr="00B40F72">
        <w:rPr>
          <w:rFonts w:ascii="Verdana" w:hAnsi="Verdana"/>
          <w:lang w:val="es-ES"/>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w:t>
      </w:r>
      <w:r w:rsidRPr="00B40F72">
        <w:rPr>
          <w:rFonts w:ascii="Verdana" w:hAnsi="Verdana"/>
          <w:lang w:val="es-ES"/>
        </w:rPr>
        <w:lastRenderedPageBreak/>
        <w:t>ANCP-CCE. Descárguelo aquí: </w:t>
      </w:r>
      <w:hyperlink r:id="rId19">
        <w:r w:rsidRPr="00B40F72">
          <w:rPr>
            <w:rStyle w:val="Hipervnculo"/>
            <w:rFonts w:ascii="Verdana" w:hAnsi="Verdana"/>
            <w:lang w:val="es-ES"/>
          </w:rPr>
          <w:t>https://www.colombiacompra.gov.co/archivos/boletin/boletin-edicion-n-3-de-2026-radar-de-la-compra-publica</w:t>
        </w:r>
      </w:hyperlink>
    </w:p>
    <w:p w14:paraId="2A68A058" w14:textId="7BE0A996" w:rsidR="00D660B1" w:rsidRPr="00B40F72" w:rsidRDefault="00D660B1" w:rsidP="00ED784F">
      <w:pPr>
        <w:spacing w:before="120" w:after="0" w:line="276" w:lineRule="auto"/>
        <w:jc w:val="both"/>
        <w:rPr>
          <w:rFonts w:ascii="Verdana" w:hAnsi="Verdana"/>
          <w:lang w:val="es-ES"/>
        </w:rPr>
      </w:pPr>
      <w:r w:rsidRPr="00B40F72">
        <w:rPr>
          <w:rFonts w:ascii="Verdana" w:hAnsi="Verdana"/>
          <w:lang w:val="es-ES"/>
        </w:rPr>
        <w:t xml:space="preserve">Por último, le invitamos a seguirnos en las redes sociales en las cuales se difunde información institucional: </w:t>
      </w:r>
    </w:p>
    <w:p w14:paraId="0ADC1CA0" w14:textId="77777777" w:rsidR="00D660B1" w:rsidRPr="00B40F72" w:rsidRDefault="00D660B1" w:rsidP="00D660B1">
      <w:pPr>
        <w:spacing w:after="0" w:line="276" w:lineRule="auto"/>
        <w:jc w:val="both"/>
        <w:rPr>
          <w:rFonts w:ascii="Verdana" w:hAnsi="Verdana"/>
          <w:lang w:val="es-ES"/>
        </w:rPr>
      </w:pPr>
    </w:p>
    <w:p w14:paraId="3942D2A2" w14:textId="77777777" w:rsidR="00D660B1" w:rsidRPr="00B40F72" w:rsidRDefault="00D660B1" w:rsidP="00D660B1">
      <w:pPr>
        <w:spacing w:after="0" w:line="276" w:lineRule="auto"/>
        <w:jc w:val="both"/>
        <w:rPr>
          <w:rFonts w:ascii="Verdana" w:hAnsi="Verdana"/>
          <w:lang w:val="es-ES"/>
        </w:rPr>
      </w:pPr>
      <w:r w:rsidRPr="00B40F72">
        <w:rPr>
          <w:rFonts w:ascii="Verdana" w:hAnsi="Verdana"/>
          <w:lang w:val="es-ES"/>
        </w:rPr>
        <w:t xml:space="preserve">Twitter: </w:t>
      </w:r>
      <w:r w:rsidRPr="00B40F72">
        <w:rPr>
          <w:rStyle w:val="Hipervnculo"/>
          <w:rFonts w:ascii="Verdana" w:hAnsi="Verdana" w:cs="Arial"/>
          <w:shd w:val="clear" w:color="auto" w:fill="FFFFFF"/>
          <w:lang w:val="es-ES"/>
        </w:rPr>
        <w:t>@colombiacompra</w:t>
      </w:r>
      <w:r w:rsidRPr="00B40F72">
        <w:rPr>
          <w:rFonts w:ascii="Verdana" w:hAnsi="Verdana"/>
          <w:color w:val="4472C4" w:themeColor="accent1"/>
          <w:lang w:val="es-ES"/>
        </w:rPr>
        <w:t xml:space="preserve"> </w:t>
      </w:r>
    </w:p>
    <w:p w14:paraId="539766A5" w14:textId="77777777" w:rsidR="00D660B1" w:rsidRPr="00B40F72" w:rsidRDefault="00D660B1" w:rsidP="00D660B1">
      <w:pPr>
        <w:spacing w:after="0" w:line="276" w:lineRule="auto"/>
        <w:jc w:val="both"/>
        <w:rPr>
          <w:rFonts w:ascii="Verdana" w:hAnsi="Verdana"/>
          <w:lang w:val="es-ES"/>
        </w:rPr>
      </w:pPr>
      <w:r w:rsidRPr="00B40F72">
        <w:rPr>
          <w:rFonts w:ascii="Verdana" w:hAnsi="Verdana"/>
          <w:lang w:val="es-ES"/>
        </w:rPr>
        <w:t xml:space="preserve">Facebook: </w:t>
      </w:r>
      <w:proofErr w:type="spellStart"/>
      <w:r w:rsidRPr="00B40F72">
        <w:rPr>
          <w:rStyle w:val="Hipervnculo"/>
          <w:rFonts w:ascii="Verdana" w:hAnsi="Verdana" w:cs="Arial"/>
          <w:shd w:val="clear" w:color="auto" w:fill="FFFFFF"/>
          <w:lang w:val="es-ES"/>
        </w:rPr>
        <w:t>ColombiaCompraEficiente</w:t>
      </w:r>
      <w:proofErr w:type="spellEnd"/>
    </w:p>
    <w:p w14:paraId="7249A0F4" w14:textId="77777777" w:rsidR="00D660B1" w:rsidRPr="00B40F72" w:rsidRDefault="00D660B1" w:rsidP="00D660B1">
      <w:pPr>
        <w:spacing w:after="0" w:line="276" w:lineRule="auto"/>
        <w:jc w:val="both"/>
        <w:rPr>
          <w:rFonts w:ascii="Verdana" w:hAnsi="Verdana"/>
          <w:lang w:val="es-ES"/>
        </w:rPr>
      </w:pPr>
      <w:r w:rsidRPr="00B40F72">
        <w:rPr>
          <w:rFonts w:ascii="Verdana" w:hAnsi="Verdana"/>
          <w:lang w:val="es-ES"/>
        </w:rPr>
        <w:t xml:space="preserve">LinkedIn: </w:t>
      </w:r>
      <w:r w:rsidRPr="00B40F72">
        <w:rPr>
          <w:rStyle w:val="Hipervnculo"/>
          <w:rFonts w:ascii="Verdana" w:hAnsi="Verdana" w:cs="Arial"/>
          <w:shd w:val="clear" w:color="auto" w:fill="FFFFFF"/>
          <w:lang w:val="es-ES"/>
        </w:rPr>
        <w:t xml:space="preserve">Agencia Nacional de Contratación Pública - Colombia Compra Eficiente </w:t>
      </w:r>
      <w:r w:rsidRPr="00B40F72">
        <w:rPr>
          <w:rFonts w:ascii="Verdana" w:hAnsi="Verdana"/>
          <w:lang w:val="es-ES"/>
        </w:rPr>
        <w:t xml:space="preserve">Instagram: </w:t>
      </w:r>
      <w:r w:rsidRPr="00B40F72">
        <w:rPr>
          <w:rStyle w:val="Hipervnculo"/>
          <w:rFonts w:ascii="Verdana" w:hAnsi="Verdana" w:cs="Arial"/>
          <w:shd w:val="clear" w:color="auto" w:fill="FFFFFF"/>
          <w:lang w:val="es-ES"/>
        </w:rPr>
        <w:t>@colombiacompraeficiente_cce</w:t>
      </w:r>
    </w:p>
    <w:p w14:paraId="0DB0A8C1" w14:textId="77777777" w:rsidR="00D660B1" w:rsidRPr="00B40F72" w:rsidRDefault="00D660B1" w:rsidP="00D660B1">
      <w:pPr>
        <w:widowControl w:val="0"/>
        <w:autoSpaceDE w:val="0"/>
        <w:autoSpaceDN w:val="0"/>
        <w:spacing w:after="0" w:line="276" w:lineRule="auto"/>
        <w:jc w:val="both"/>
        <w:rPr>
          <w:rFonts w:ascii="Verdana" w:hAnsi="Verdana" w:cs="Arial"/>
          <w:lang w:val="es-ES"/>
        </w:rPr>
      </w:pPr>
    </w:p>
    <w:p w14:paraId="4D46AE2F" w14:textId="77777777" w:rsidR="00D660B1" w:rsidRPr="00B40F72" w:rsidRDefault="00D660B1" w:rsidP="00D660B1">
      <w:pPr>
        <w:widowControl w:val="0"/>
        <w:autoSpaceDE w:val="0"/>
        <w:autoSpaceDN w:val="0"/>
        <w:spacing w:after="0" w:line="276" w:lineRule="auto"/>
        <w:jc w:val="both"/>
        <w:rPr>
          <w:rFonts w:ascii="Verdana" w:hAnsi="Verdana" w:cs="Arial"/>
          <w:lang w:val="es-ES"/>
        </w:rPr>
      </w:pPr>
      <w:r w:rsidRPr="00B40F72">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B951226" w14:textId="77777777" w:rsidR="00D660B1" w:rsidRPr="00B40F72" w:rsidRDefault="00D660B1" w:rsidP="00D660B1">
      <w:pPr>
        <w:widowControl w:val="0"/>
        <w:autoSpaceDE w:val="0"/>
        <w:autoSpaceDN w:val="0"/>
        <w:spacing w:after="0" w:line="276" w:lineRule="auto"/>
        <w:jc w:val="both"/>
        <w:rPr>
          <w:rFonts w:ascii="Verdana" w:hAnsi="Verdana" w:cs="Arial"/>
          <w:lang w:val="es-ES"/>
        </w:rPr>
      </w:pPr>
    </w:p>
    <w:p w14:paraId="10E603D0" w14:textId="2BB39BED" w:rsidR="00D660B1" w:rsidRPr="00B40F72" w:rsidRDefault="00D660B1" w:rsidP="00D660B1">
      <w:pPr>
        <w:spacing w:after="0" w:line="276" w:lineRule="auto"/>
        <w:rPr>
          <w:rFonts w:ascii="Verdana" w:hAnsi="Verdana" w:cs="Arial"/>
          <w:color w:val="000000" w:themeColor="text1"/>
          <w:lang w:val="es-ES" w:eastAsia="es-CO"/>
        </w:rPr>
      </w:pPr>
      <w:r w:rsidRPr="00B40F72">
        <w:rPr>
          <w:rFonts w:ascii="Verdana" w:eastAsia="Times New Roman" w:hAnsi="Verdana" w:cs="Arial"/>
          <w:color w:val="000000" w:themeColor="text1"/>
          <w:lang w:val="es-ES" w:eastAsia="es-CO"/>
        </w:rPr>
        <w:t>Atentamente,</w:t>
      </w:r>
      <w:r w:rsidRPr="00B40F72">
        <w:rPr>
          <w:rFonts w:ascii="Verdana" w:hAnsi="Verdana" w:cs="Arial"/>
          <w:color w:val="000000" w:themeColor="text1"/>
          <w:lang w:val="es-ES" w:eastAsia="es-CO"/>
        </w:rPr>
        <w:t xml:space="preserve"> </w:t>
      </w:r>
    </w:p>
    <w:p w14:paraId="632D0B64" w14:textId="69B1E799" w:rsidR="00D660B1" w:rsidRPr="00B40F72" w:rsidRDefault="00FB3B5A" w:rsidP="00D660B1">
      <w:pPr>
        <w:spacing w:after="0" w:line="276" w:lineRule="auto"/>
        <w:rPr>
          <w:rFonts w:ascii="Verdana" w:hAnsi="Verdana" w:cs="Arial"/>
          <w:color w:val="000000" w:themeColor="text1"/>
          <w:lang w:val="es-ES" w:eastAsia="es-CO"/>
        </w:rPr>
      </w:pPr>
      <w:r w:rsidRPr="00F21F0B">
        <w:rPr>
          <w:rFonts w:ascii="Century Gothic" w:hAnsi="Century Gothic"/>
          <w:noProof/>
        </w:rPr>
        <w:drawing>
          <wp:anchor distT="0" distB="0" distL="114300" distR="114300" simplePos="0" relativeHeight="251659264" behindDoc="0" locked="0" layoutInCell="1" allowOverlap="1" wp14:anchorId="4B1F38B7" wp14:editId="0D69B38E">
            <wp:simplePos x="0" y="0"/>
            <wp:positionH relativeFrom="column">
              <wp:posOffset>999067</wp:posOffset>
            </wp:positionH>
            <wp:positionV relativeFrom="paragraph">
              <wp:posOffset>25824</wp:posOffset>
            </wp:positionV>
            <wp:extent cx="3771900" cy="1402080"/>
            <wp:effectExtent l="0" t="0" r="0" b="0"/>
            <wp:wrapSquare wrapText="bothSides"/>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1900" cy="140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AEA72" w14:textId="74F15760" w:rsidR="00D660B1" w:rsidRPr="00B40F72" w:rsidRDefault="00D660B1" w:rsidP="00D660B1">
      <w:pPr>
        <w:spacing w:line="276" w:lineRule="auto"/>
        <w:jc w:val="center"/>
        <w:rPr>
          <w:rFonts w:ascii="Verdana" w:hAnsi="Verdana" w:cs="Arial"/>
          <w:color w:val="000000" w:themeColor="text1"/>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660B1" w:rsidRPr="00B40F72" w14:paraId="11527079" w14:textId="77777777" w:rsidTr="000261AE">
        <w:trPr>
          <w:trHeight w:val="315"/>
        </w:trPr>
        <w:tc>
          <w:tcPr>
            <w:tcW w:w="893" w:type="dxa"/>
            <w:vAlign w:val="center"/>
            <w:hideMark/>
          </w:tcPr>
          <w:p w14:paraId="6DA0FF90" w14:textId="77777777" w:rsidR="00D660B1" w:rsidRPr="00B40F72" w:rsidRDefault="00D660B1" w:rsidP="000261AE">
            <w:pPr>
              <w:contextualSpacing/>
              <w:rPr>
                <w:rFonts w:ascii="Verdana" w:hAnsi="Verdana" w:cs="Arial"/>
                <w:sz w:val="16"/>
                <w:szCs w:val="16"/>
                <w:lang w:val="es-ES" w:eastAsia="es-ES"/>
              </w:rPr>
            </w:pPr>
            <w:r w:rsidRPr="00B40F72">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4792395" w14:textId="77777777" w:rsidR="00D660B1" w:rsidRPr="00B40F72" w:rsidRDefault="00D660B1" w:rsidP="000261AE">
            <w:pPr>
              <w:contextualSpacing/>
              <w:rPr>
                <w:rFonts w:ascii="Verdana" w:eastAsia="Arial" w:hAnsi="Verdana" w:cs="Arial"/>
                <w:color w:val="000000" w:themeColor="text1"/>
                <w:sz w:val="16"/>
                <w:szCs w:val="16"/>
                <w:lang w:val="es-ES"/>
              </w:rPr>
            </w:pPr>
            <w:r w:rsidRPr="00B40F72">
              <w:rPr>
                <w:rFonts w:ascii="Verdana" w:eastAsia="Arial" w:hAnsi="Verdana" w:cs="Arial"/>
                <w:color w:val="000000" w:themeColor="text1"/>
                <w:sz w:val="16"/>
                <w:szCs w:val="16"/>
                <w:lang w:val="es-ES"/>
              </w:rPr>
              <w:t>Anamaría Bonilla Prieto</w:t>
            </w:r>
          </w:p>
          <w:p w14:paraId="4656F71A" w14:textId="77777777" w:rsidR="00D660B1" w:rsidRPr="00B40F72" w:rsidRDefault="00D660B1" w:rsidP="000261AE">
            <w:pPr>
              <w:contextualSpacing/>
              <w:rPr>
                <w:rFonts w:ascii="Verdana" w:eastAsia="Arial" w:hAnsi="Verdana" w:cs="Arial"/>
                <w:sz w:val="16"/>
                <w:szCs w:val="16"/>
                <w:lang w:val="es-ES"/>
              </w:rPr>
            </w:pPr>
            <w:r w:rsidRPr="00B40F72">
              <w:rPr>
                <w:rStyle w:val="normaltextrun"/>
                <w:rFonts w:ascii="Verdana" w:eastAsia="Arial" w:hAnsi="Verdana" w:cs="Arial"/>
                <w:color w:val="000000" w:themeColor="text1"/>
                <w:sz w:val="16"/>
                <w:szCs w:val="16"/>
                <w:lang w:val="es-ES"/>
              </w:rPr>
              <w:t xml:space="preserve">Contratista de la Subdirección </w:t>
            </w:r>
            <w:r w:rsidRPr="00B40F72">
              <w:rPr>
                <w:rStyle w:val="normaltextrun"/>
                <w:rFonts w:ascii="Verdana" w:eastAsia="Arial" w:hAnsi="Verdana" w:cs="Arial"/>
                <w:sz w:val="16"/>
                <w:szCs w:val="16"/>
                <w:lang w:val="es-ES"/>
              </w:rPr>
              <w:t>de Gestión Contractual</w:t>
            </w:r>
          </w:p>
        </w:tc>
      </w:tr>
      <w:tr w:rsidR="00D660B1" w:rsidRPr="00B40F72" w14:paraId="552F4DF5" w14:textId="77777777" w:rsidTr="000261AE">
        <w:trPr>
          <w:trHeight w:val="330"/>
        </w:trPr>
        <w:tc>
          <w:tcPr>
            <w:tcW w:w="893" w:type="dxa"/>
            <w:vAlign w:val="center"/>
            <w:hideMark/>
          </w:tcPr>
          <w:p w14:paraId="22B18523" w14:textId="77777777" w:rsidR="00D660B1" w:rsidRPr="00B40F72" w:rsidRDefault="00D660B1" w:rsidP="000261AE">
            <w:pPr>
              <w:contextualSpacing/>
              <w:rPr>
                <w:rFonts w:ascii="Verdana" w:hAnsi="Verdana" w:cs="Arial"/>
                <w:sz w:val="16"/>
                <w:szCs w:val="16"/>
                <w:lang w:val="es-ES" w:eastAsia="es-ES"/>
              </w:rPr>
            </w:pPr>
            <w:r w:rsidRPr="00B40F72">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F4D4584" w14:textId="77777777" w:rsidR="00D660B1" w:rsidRPr="00B40F72" w:rsidRDefault="00D660B1" w:rsidP="000261AE">
            <w:pPr>
              <w:spacing w:line="276" w:lineRule="auto"/>
              <w:contextualSpacing/>
              <w:textAlignment w:val="baseline"/>
              <w:rPr>
                <w:rStyle w:val="normaltextrun"/>
                <w:rFonts w:ascii="Verdana" w:eastAsia="Arial" w:hAnsi="Verdana"/>
                <w:color w:val="000000" w:themeColor="text1"/>
                <w:sz w:val="16"/>
                <w:szCs w:val="16"/>
                <w:lang w:val="es-ES"/>
              </w:rPr>
            </w:pPr>
            <w:r w:rsidRPr="00B40F72">
              <w:rPr>
                <w:rStyle w:val="normaltextrun"/>
                <w:rFonts w:ascii="Verdana" w:eastAsia="Arial" w:hAnsi="Verdana"/>
                <w:color w:val="000000" w:themeColor="text1"/>
                <w:sz w:val="16"/>
                <w:szCs w:val="16"/>
                <w:lang w:val="es-ES"/>
              </w:rPr>
              <w:t>Alejandro Sarmiento Cantillo</w:t>
            </w:r>
          </w:p>
          <w:p w14:paraId="22709C77" w14:textId="77777777" w:rsidR="00D660B1" w:rsidRPr="00B40F72" w:rsidRDefault="00D660B1" w:rsidP="000261AE">
            <w:pPr>
              <w:pStyle w:val="paragraph"/>
              <w:spacing w:before="0" w:beforeAutospacing="0" w:after="0" w:afterAutospacing="0"/>
              <w:contextualSpacing/>
              <w:textAlignment w:val="baseline"/>
              <w:rPr>
                <w:rFonts w:ascii="Verdana" w:hAnsi="Verdana" w:cs="Segoe UI"/>
                <w:sz w:val="16"/>
                <w:szCs w:val="16"/>
                <w:lang w:val="es-ES"/>
              </w:rPr>
            </w:pPr>
            <w:r w:rsidRPr="00B40F72">
              <w:rPr>
                <w:rStyle w:val="normaltextrun"/>
                <w:rFonts w:ascii="Verdana" w:eastAsia="Arial" w:hAnsi="Verdana"/>
                <w:color w:val="000000" w:themeColor="text1"/>
                <w:sz w:val="16"/>
                <w:szCs w:val="16"/>
                <w:lang w:val="es-ES" w:eastAsia="en-US"/>
              </w:rPr>
              <w:t xml:space="preserve">Gestor T1 – 15 </w:t>
            </w:r>
            <w:r w:rsidRPr="00B40F72">
              <w:rPr>
                <w:rStyle w:val="normaltextrun"/>
                <w:rFonts w:ascii="Verdana" w:eastAsia="Arial" w:hAnsi="Verdana" w:cs="Arial"/>
                <w:color w:val="000000" w:themeColor="text1"/>
                <w:sz w:val="16"/>
                <w:szCs w:val="16"/>
                <w:lang w:val="es-ES" w:eastAsia="en-US"/>
              </w:rPr>
              <w:t>de la Subdirección de Gestión Contractual</w:t>
            </w:r>
            <w:r w:rsidRPr="00B40F72">
              <w:rPr>
                <w:rStyle w:val="eop"/>
                <w:rFonts w:ascii="Verdana" w:hAnsi="Verdana" w:cs="Arial"/>
                <w:sz w:val="16"/>
                <w:szCs w:val="16"/>
                <w:lang w:val="es-ES"/>
              </w:rPr>
              <w:t> </w:t>
            </w:r>
          </w:p>
        </w:tc>
      </w:tr>
      <w:tr w:rsidR="00D660B1" w:rsidRPr="00B40F72" w14:paraId="4CEEACD2" w14:textId="77777777" w:rsidTr="000261AE">
        <w:trPr>
          <w:trHeight w:val="300"/>
        </w:trPr>
        <w:tc>
          <w:tcPr>
            <w:tcW w:w="893" w:type="dxa"/>
            <w:vAlign w:val="center"/>
          </w:tcPr>
          <w:p w14:paraId="12CE89D9" w14:textId="77777777" w:rsidR="00D660B1" w:rsidRPr="00B40F72" w:rsidRDefault="00D660B1" w:rsidP="000261AE">
            <w:pPr>
              <w:contextualSpacing/>
              <w:rPr>
                <w:rFonts w:ascii="Verdana" w:hAnsi="Verdana" w:cs="Arial"/>
                <w:sz w:val="16"/>
                <w:szCs w:val="16"/>
                <w:lang w:val="es-ES" w:eastAsia="es-ES"/>
              </w:rPr>
            </w:pPr>
            <w:r w:rsidRPr="00B40F72">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88AF525" w14:textId="77777777" w:rsidR="00D660B1" w:rsidRPr="00B40F72" w:rsidRDefault="00D660B1" w:rsidP="000261AE">
            <w:pPr>
              <w:contextualSpacing/>
              <w:rPr>
                <w:rFonts w:ascii="Verdana" w:eastAsia="Calibri" w:hAnsi="Verdana" w:cs="Arial"/>
                <w:sz w:val="16"/>
                <w:szCs w:val="16"/>
                <w:lang w:val="es-ES" w:eastAsia="es-ES"/>
              </w:rPr>
            </w:pPr>
            <w:r w:rsidRPr="00B40F72">
              <w:rPr>
                <w:rFonts w:ascii="Verdana" w:eastAsia="Calibri" w:hAnsi="Verdana" w:cs="Arial"/>
                <w:sz w:val="16"/>
                <w:szCs w:val="16"/>
                <w:lang w:val="es-ES" w:eastAsia="es-ES"/>
              </w:rPr>
              <w:t>Carolina Quintero Gacharná</w:t>
            </w:r>
          </w:p>
          <w:p w14:paraId="25EB3F78" w14:textId="77777777" w:rsidR="00D660B1" w:rsidRPr="00B40F72" w:rsidRDefault="00D660B1" w:rsidP="000261AE">
            <w:pPr>
              <w:contextualSpacing/>
              <w:rPr>
                <w:rFonts w:ascii="Verdana" w:eastAsia="Calibri" w:hAnsi="Verdana" w:cs="Arial"/>
                <w:sz w:val="16"/>
                <w:szCs w:val="16"/>
                <w:lang w:val="es-ES" w:eastAsia="es-ES"/>
              </w:rPr>
            </w:pPr>
            <w:r w:rsidRPr="00B40F72">
              <w:rPr>
                <w:rFonts w:ascii="Verdana" w:eastAsia="Calibri" w:hAnsi="Verdana" w:cs="Arial"/>
                <w:sz w:val="16"/>
                <w:szCs w:val="16"/>
                <w:lang w:val="es-ES" w:eastAsia="es-ES"/>
              </w:rPr>
              <w:t>Subdirectora de Gestión Contractual ANCP – CCE</w:t>
            </w:r>
          </w:p>
        </w:tc>
      </w:tr>
    </w:tbl>
    <w:p w14:paraId="7B68C00A" w14:textId="06D44294" w:rsidR="00D660B1" w:rsidRPr="00B40F72" w:rsidRDefault="00D660B1" w:rsidP="00D660B1">
      <w:pPr>
        <w:spacing w:after="0" w:line="276" w:lineRule="auto"/>
        <w:jc w:val="center"/>
        <w:rPr>
          <w:lang w:val="es-ES"/>
        </w:rPr>
      </w:pPr>
    </w:p>
    <w:p w14:paraId="0F293BF4" w14:textId="2652F9B1" w:rsidR="00127233" w:rsidRPr="00D660B1" w:rsidRDefault="00127233" w:rsidP="00D660B1"/>
    <w:sectPr w:rsidR="00127233" w:rsidRPr="00D660B1"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25D2C" w14:textId="77777777" w:rsidR="00372A0C" w:rsidRDefault="00372A0C" w:rsidP="004A1847">
      <w:pPr>
        <w:spacing w:after="0" w:line="240" w:lineRule="auto"/>
      </w:pPr>
      <w:r>
        <w:separator/>
      </w:r>
    </w:p>
  </w:endnote>
  <w:endnote w:type="continuationSeparator" w:id="0">
    <w:p w14:paraId="0DDE9502" w14:textId="77777777" w:rsidR="00372A0C" w:rsidRDefault="00372A0C" w:rsidP="004A1847">
      <w:pPr>
        <w:spacing w:after="0" w:line="240" w:lineRule="auto"/>
      </w:pPr>
      <w:r>
        <w:continuationSeparator/>
      </w:r>
    </w:p>
  </w:endnote>
  <w:endnote w:type="continuationNotice" w:id="1">
    <w:p w14:paraId="3F217E9B" w14:textId="77777777" w:rsidR="00372A0C" w:rsidRDefault="00372A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5D133" w14:textId="77777777" w:rsidR="00372A0C" w:rsidRDefault="00372A0C" w:rsidP="004A1847">
      <w:pPr>
        <w:spacing w:after="0" w:line="240" w:lineRule="auto"/>
      </w:pPr>
      <w:r>
        <w:separator/>
      </w:r>
    </w:p>
  </w:footnote>
  <w:footnote w:type="continuationSeparator" w:id="0">
    <w:p w14:paraId="6E1C0C4E" w14:textId="77777777" w:rsidR="00372A0C" w:rsidRDefault="00372A0C" w:rsidP="004A1847">
      <w:pPr>
        <w:spacing w:after="0" w:line="240" w:lineRule="auto"/>
      </w:pPr>
      <w:r>
        <w:continuationSeparator/>
      </w:r>
    </w:p>
  </w:footnote>
  <w:footnote w:type="continuationNotice" w:id="1">
    <w:p w14:paraId="39EA1515" w14:textId="77777777" w:rsidR="00372A0C" w:rsidRDefault="00372A0C">
      <w:pPr>
        <w:spacing w:after="0" w:line="240" w:lineRule="auto"/>
      </w:pPr>
    </w:p>
  </w:footnote>
  <w:footnote w:id="2">
    <w:p w14:paraId="7EC10B20" w14:textId="77777777" w:rsidR="00D660B1" w:rsidRPr="00E2030B" w:rsidRDefault="00D660B1" w:rsidP="00D660B1">
      <w:pPr>
        <w:pStyle w:val="Textonotapie"/>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Ley 1150 de 2007, artículo 6. </w:t>
      </w:r>
    </w:p>
  </w:footnote>
  <w:footnote w:id="3">
    <w:p w14:paraId="4ED4CA3A" w14:textId="77777777" w:rsidR="00D660B1" w:rsidRPr="00E2030B" w:rsidRDefault="00D660B1" w:rsidP="00D660B1">
      <w:pPr>
        <w:pStyle w:val="Textonotapie"/>
        <w:ind w:firstLine="708"/>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CONSEJO DE ESTADO. Sección Tercera. Subsección B. Sentencia del 6 de junio de 2013. Exp. 25151. C.P. Stella Conto Díaz del Castillo.</w:t>
      </w:r>
    </w:p>
  </w:footnote>
  <w:footnote w:id="4">
    <w:p w14:paraId="545EF9CC" w14:textId="77777777" w:rsidR="00D660B1" w:rsidRPr="00E2030B" w:rsidRDefault="00D660B1" w:rsidP="00D660B1">
      <w:pPr>
        <w:pStyle w:val="Textonotapie"/>
        <w:ind w:firstLine="708"/>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CORTE CONSTITUCIONAL. Sentencia C-1016 de 2012. M.P. Jorge Iván Palacio.</w:t>
      </w:r>
    </w:p>
  </w:footnote>
  <w:footnote w:id="5">
    <w:p w14:paraId="5AA1E212" w14:textId="77777777" w:rsidR="00D660B1" w:rsidRPr="00E2030B" w:rsidRDefault="00D660B1" w:rsidP="00D660B1">
      <w:pPr>
        <w:pStyle w:val="Textonotapie"/>
        <w:ind w:firstLine="708"/>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Ley 1150 de 2007: </w:t>
      </w:r>
      <w:r w:rsidRPr="00E2030B">
        <w:rPr>
          <w:rFonts w:ascii="Verdana" w:hAnsi="Verdana" w:cs="Arial"/>
          <w:i/>
          <w:iCs/>
          <w:sz w:val="16"/>
          <w:szCs w:val="16"/>
          <w:lang w:val="es-ES"/>
        </w:rPr>
        <w:t>“</w:t>
      </w:r>
      <w:r w:rsidRPr="00E2030B">
        <w:rPr>
          <w:rFonts w:ascii="Verdana" w:hAnsi="Verdana" w:cs="Arial"/>
          <w:sz w:val="16"/>
          <w:szCs w:val="16"/>
          <w:lang w:val="es-ES"/>
        </w:rPr>
        <w:t>Artículo 6. De la verificación de las condiciones de los proponentes.</w:t>
      </w:r>
    </w:p>
    <w:p w14:paraId="0F6ABA03" w14:textId="77777777" w:rsidR="00D660B1" w:rsidRPr="00E2030B" w:rsidRDefault="00D660B1" w:rsidP="00D660B1">
      <w:pPr>
        <w:pStyle w:val="Textonotapie"/>
        <w:ind w:firstLine="708"/>
        <w:jc w:val="both"/>
        <w:rPr>
          <w:rFonts w:ascii="Verdana" w:hAnsi="Verdana" w:cs="Arial"/>
          <w:sz w:val="16"/>
          <w:szCs w:val="16"/>
          <w:lang w:val="es-ES"/>
        </w:rPr>
      </w:pPr>
      <w:r w:rsidRPr="00E2030B">
        <w:rPr>
          <w:rFonts w:ascii="Verdana" w:hAnsi="Verdana" w:cs="Arial"/>
          <w:sz w:val="16"/>
          <w:szCs w:val="16"/>
          <w:lang w:val="es-ES"/>
        </w:rPr>
        <w:t>[…]</w:t>
      </w:r>
    </w:p>
    <w:p w14:paraId="0C6EC708" w14:textId="77777777" w:rsidR="00D660B1" w:rsidRPr="00E2030B" w:rsidRDefault="00D660B1" w:rsidP="00D660B1">
      <w:pPr>
        <w:pStyle w:val="Textonotapie"/>
        <w:ind w:firstLine="708"/>
        <w:jc w:val="both"/>
        <w:rPr>
          <w:rFonts w:ascii="Verdana" w:hAnsi="Verdana" w:cs="Arial"/>
          <w:sz w:val="16"/>
          <w:szCs w:val="16"/>
          <w:lang w:val="es-ES"/>
        </w:rPr>
      </w:pPr>
      <w:r w:rsidRPr="00E2030B">
        <w:rPr>
          <w:rFonts w:ascii="Verdana" w:hAnsi="Verdana" w:cs="Arial"/>
          <w:i/>
          <w:iCs/>
          <w:sz w:val="16"/>
          <w:szCs w:val="16"/>
          <w:lang w:val="es-ES"/>
        </w:rPr>
        <w:t>“</w:t>
      </w:r>
      <w:r w:rsidRPr="00E2030B">
        <w:rPr>
          <w:rFonts w:ascii="Verdana" w:hAnsi="Verdana" w:cs="Arial"/>
          <w:sz w:val="16"/>
          <w:szCs w:val="16"/>
          <w:lang w:val="es-ES"/>
        </w:rPr>
        <w:t>6.1. […]</w:t>
      </w:r>
    </w:p>
    <w:p w14:paraId="10D62B64" w14:textId="77777777" w:rsidR="00D660B1" w:rsidRPr="00E2030B" w:rsidRDefault="00D660B1" w:rsidP="00D660B1">
      <w:pPr>
        <w:pStyle w:val="Textonotapie"/>
        <w:jc w:val="both"/>
        <w:rPr>
          <w:rFonts w:ascii="Verdana" w:hAnsi="Verdana" w:cs="Arial"/>
          <w:sz w:val="16"/>
          <w:szCs w:val="16"/>
          <w:lang w:val="es-ES"/>
        </w:rPr>
      </w:pPr>
      <w:r w:rsidRPr="00E2030B">
        <w:rPr>
          <w:rFonts w:ascii="Verdana" w:hAnsi="Verdana" w:cs="Arial"/>
          <w:i/>
          <w:iCs/>
          <w:sz w:val="16"/>
          <w:szCs w:val="16"/>
          <w:lang w:val="es-ES"/>
        </w:rPr>
        <w:t>“</w:t>
      </w:r>
      <w:r w:rsidRPr="00E2030B">
        <w:rPr>
          <w:rFonts w:ascii="Verdana" w:hAnsi="Verdana" w:cs="Arial"/>
          <w:sz w:val="16"/>
          <w:szCs w:val="16"/>
          <w:lang w:val="es-ES"/>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034B58A0" w14:textId="77777777" w:rsidR="00D660B1" w:rsidRPr="00E2030B" w:rsidRDefault="00D660B1" w:rsidP="00D660B1">
      <w:pPr>
        <w:pStyle w:val="Textonotapie"/>
        <w:jc w:val="both"/>
        <w:rPr>
          <w:rFonts w:ascii="Verdana" w:hAnsi="Verdana" w:cs="Arial"/>
          <w:sz w:val="16"/>
          <w:szCs w:val="16"/>
          <w:lang w:val="es-ES"/>
        </w:rPr>
      </w:pPr>
      <w:r w:rsidRPr="00E2030B">
        <w:rPr>
          <w:rFonts w:ascii="Verdana" w:hAnsi="Verdana" w:cs="Arial"/>
          <w:i/>
          <w:iCs/>
          <w:sz w:val="16"/>
          <w:szCs w:val="16"/>
          <w:lang w:val="es-ES"/>
        </w:rPr>
        <w:t>“</w:t>
      </w:r>
      <w:r w:rsidRPr="00E2030B">
        <w:rPr>
          <w:rFonts w:ascii="Verdana" w:hAnsi="Verdana" w:cs="Arial"/>
          <w:sz w:val="16"/>
          <w:szCs w:val="16"/>
          <w:lang w:val="es-ES"/>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7C939590" w14:textId="77777777" w:rsidR="00D660B1" w:rsidRPr="00E2030B" w:rsidRDefault="00D660B1" w:rsidP="00D660B1">
      <w:pPr>
        <w:pStyle w:val="Textonotapie"/>
        <w:jc w:val="both"/>
        <w:rPr>
          <w:rFonts w:ascii="Verdana" w:hAnsi="Verdana" w:cs="Arial"/>
          <w:sz w:val="16"/>
          <w:szCs w:val="16"/>
          <w:lang w:val="es-ES"/>
        </w:rPr>
      </w:pPr>
      <w:r w:rsidRPr="00E2030B">
        <w:rPr>
          <w:rFonts w:ascii="Verdana" w:hAnsi="Verdana" w:cs="Arial"/>
          <w:sz w:val="16"/>
          <w:szCs w:val="16"/>
          <w:lang w:val="es-ES"/>
        </w:rPr>
        <w:t>[…]</w:t>
      </w:r>
      <w:r w:rsidRPr="00E2030B">
        <w:rPr>
          <w:rFonts w:ascii="Verdana" w:hAnsi="Verdana" w:cs="Arial"/>
          <w:i/>
          <w:iCs/>
          <w:sz w:val="16"/>
          <w:szCs w:val="16"/>
          <w:lang w:val="es-ES"/>
        </w:rPr>
        <w:t>”</w:t>
      </w:r>
      <w:r w:rsidRPr="00E2030B">
        <w:rPr>
          <w:rFonts w:ascii="Verdana" w:hAnsi="Verdana" w:cs="Arial"/>
          <w:sz w:val="16"/>
          <w:szCs w:val="16"/>
          <w:lang w:val="es-ES"/>
        </w:rPr>
        <w:t>.</w:t>
      </w:r>
    </w:p>
    <w:p w14:paraId="44DDB24C" w14:textId="77777777" w:rsidR="00D660B1" w:rsidRPr="00E2030B" w:rsidRDefault="00D660B1" w:rsidP="00D660B1">
      <w:pPr>
        <w:pStyle w:val="Textonotapie"/>
        <w:jc w:val="both"/>
        <w:rPr>
          <w:rFonts w:ascii="Verdana" w:hAnsi="Verdana" w:cs="Arial"/>
          <w:sz w:val="16"/>
          <w:szCs w:val="16"/>
          <w:lang w:val="es-ES"/>
        </w:rPr>
      </w:pPr>
    </w:p>
  </w:footnote>
  <w:footnote w:id="6">
    <w:p w14:paraId="080DD745" w14:textId="77777777" w:rsidR="00D660B1" w:rsidRPr="00E2030B" w:rsidRDefault="00D660B1" w:rsidP="00D660B1">
      <w:pPr>
        <w:widowControl w:val="0"/>
        <w:autoSpaceDE w:val="0"/>
        <w:autoSpaceDN w:val="0"/>
        <w:ind w:right="-93"/>
        <w:jc w:val="both"/>
        <w:rPr>
          <w:rFonts w:ascii="Verdana" w:hAnsi="Verdana" w:cs="Arial"/>
          <w:color w:val="000000"/>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w:t>
      </w:r>
      <w:r w:rsidRPr="00E2030B">
        <w:rPr>
          <w:rFonts w:ascii="Verdana" w:hAnsi="Verdana" w:cs="Arial"/>
          <w:color w:val="000000"/>
          <w:sz w:val="16"/>
          <w:szCs w:val="16"/>
          <w:lang w:val="es-ES"/>
        </w:rPr>
        <w:t xml:space="preserve">Artículo 5. De la Selección Objetiva. </w:t>
      </w:r>
    </w:p>
    <w:p w14:paraId="16081463" w14:textId="77777777" w:rsidR="00D660B1" w:rsidRPr="00E2030B" w:rsidRDefault="00D660B1" w:rsidP="00D660B1">
      <w:pPr>
        <w:widowControl w:val="0"/>
        <w:autoSpaceDE w:val="0"/>
        <w:autoSpaceDN w:val="0"/>
        <w:ind w:right="-93"/>
        <w:jc w:val="both"/>
        <w:rPr>
          <w:rFonts w:ascii="Verdana" w:hAnsi="Verdana" w:cs="Arial"/>
          <w:color w:val="000000"/>
          <w:sz w:val="16"/>
          <w:szCs w:val="16"/>
          <w:lang w:val="es-ES"/>
        </w:rPr>
      </w:pPr>
      <w:r w:rsidRPr="00E2030B">
        <w:rPr>
          <w:rFonts w:ascii="Verdana" w:hAnsi="Verdana" w:cs="Arial"/>
          <w:color w:val="000000"/>
          <w:sz w:val="16"/>
          <w:szCs w:val="16"/>
          <w:lang w:val="es-ES"/>
        </w:rPr>
        <w:t>[…]</w:t>
      </w:r>
    </w:p>
    <w:p w14:paraId="4F02D4C8" w14:textId="77777777" w:rsidR="00D660B1" w:rsidRPr="00E2030B" w:rsidRDefault="00D660B1" w:rsidP="00D660B1">
      <w:pPr>
        <w:widowControl w:val="0"/>
        <w:tabs>
          <w:tab w:val="left" w:pos="0"/>
        </w:tabs>
        <w:autoSpaceDE w:val="0"/>
        <w:autoSpaceDN w:val="0"/>
        <w:ind w:right="-93"/>
        <w:contextualSpacing/>
        <w:jc w:val="both"/>
        <w:rPr>
          <w:rFonts w:ascii="Verdana" w:hAnsi="Verdana" w:cs="Arial"/>
          <w:color w:val="000000"/>
          <w:sz w:val="16"/>
          <w:szCs w:val="16"/>
          <w:lang w:val="es-ES"/>
        </w:rPr>
      </w:pPr>
      <w:r w:rsidRPr="00E2030B">
        <w:rPr>
          <w:rFonts w:ascii="Verdana" w:hAnsi="Verdana" w:cs="Arial"/>
          <w:color w:val="000000" w:themeColor="text1"/>
          <w:sz w:val="16"/>
          <w:szCs w:val="16"/>
          <w:lang w:val="es-ES"/>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p>
  </w:footnote>
  <w:footnote w:id="7">
    <w:p w14:paraId="3AA9ED0D" w14:textId="77777777" w:rsidR="00D660B1" w:rsidRPr="00E2030B" w:rsidRDefault="00D660B1" w:rsidP="00D660B1">
      <w:pPr>
        <w:pStyle w:val="Textonotapie"/>
        <w:jc w:val="both"/>
        <w:rPr>
          <w:rFonts w:ascii="Verdana" w:hAnsi="Verdana" w:cs="Arial"/>
          <w:color w:val="000000"/>
          <w:sz w:val="16"/>
          <w:szCs w:val="16"/>
          <w:lang w:val="es-ES"/>
        </w:rPr>
      </w:pPr>
      <w:r w:rsidRPr="00E2030B">
        <w:rPr>
          <w:rStyle w:val="Refdenotaalpie"/>
          <w:rFonts w:ascii="Verdana" w:hAnsi="Verdana" w:cs="Arial"/>
          <w:color w:val="000000"/>
          <w:sz w:val="16"/>
          <w:szCs w:val="16"/>
          <w:lang w:val="es-ES"/>
        </w:rPr>
        <w:footnoteRef/>
      </w:r>
      <w:r w:rsidRPr="00E2030B">
        <w:rPr>
          <w:rFonts w:ascii="Verdana" w:hAnsi="Verdana" w:cs="Arial"/>
          <w:color w:val="000000"/>
          <w:sz w:val="16"/>
          <w:szCs w:val="16"/>
          <w:lang w:val="es-ES"/>
        </w:rPr>
        <w:t xml:space="preserve"> CONSEJO DE ESTADO. Sección Tercera. Subsección A. Consejera Ponente: Marta Nubia Velásquez Rico. Bogotá, D.C., 2 de agosto de 2018. Radicación número: 25000-23-26-000-2013-01293-01(53.506)A.</w:t>
      </w:r>
    </w:p>
  </w:footnote>
  <w:footnote w:id="8">
    <w:p w14:paraId="23F7D0E2" w14:textId="77777777" w:rsidR="00D660B1" w:rsidRPr="00E2030B" w:rsidRDefault="00D660B1" w:rsidP="00D660B1">
      <w:pPr>
        <w:pStyle w:val="Textonotapie"/>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Ley 80 de 1993, artículo 6, modificado por la Ley 2160 de 2021</w:t>
      </w:r>
    </w:p>
  </w:footnote>
  <w:footnote w:id="9">
    <w:p w14:paraId="75153AAD" w14:textId="77777777" w:rsidR="00D660B1" w:rsidRPr="00E2030B" w:rsidRDefault="00D660B1" w:rsidP="00D660B1">
      <w:pPr>
        <w:pStyle w:val="Textonotapie"/>
        <w:ind w:firstLine="708"/>
        <w:jc w:val="both"/>
        <w:rPr>
          <w:rFonts w:ascii="Verdana" w:hAnsi="Verdana" w:cs="Arial"/>
          <w:sz w:val="16"/>
          <w:szCs w:val="16"/>
          <w:lang w:val="pt-BR"/>
        </w:rPr>
      </w:pPr>
      <w:r w:rsidRPr="00E2030B">
        <w:rPr>
          <w:rStyle w:val="Refdenotaalpie"/>
          <w:rFonts w:ascii="Verdana" w:hAnsi="Verdana" w:cs="Arial"/>
          <w:sz w:val="16"/>
          <w:szCs w:val="16"/>
          <w:lang w:val="es-ES"/>
        </w:rPr>
        <w:footnoteRef/>
      </w:r>
      <w:r w:rsidRPr="00E2030B">
        <w:rPr>
          <w:rFonts w:ascii="Verdana" w:hAnsi="Verdana" w:cs="Arial"/>
          <w:sz w:val="16"/>
          <w:szCs w:val="16"/>
          <w:lang w:val="pt-BR"/>
        </w:rPr>
        <w:t xml:space="preserve"> CORTE CONSTITUCIONAL. Sentencia C-1016 de 2012. M.P. Jorge Iván Palacio.</w:t>
      </w:r>
    </w:p>
  </w:footnote>
  <w:footnote w:id="10">
    <w:p w14:paraId="4A78F11D" w14:textId="77777777" w:rsidR="00D660B1" w:rsidRPr="00E2030B" w:rsidRDefault="00D660B1" w:rsidP="00D660B1">
      <w:pPr>
        <w:pStyle w:val="Textonotapie"/>
        <w:ind w:firstLine="708"/>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En lo pertinente, la norma dispone que “Las entidades estatales enviarán mensualmente a la Cámara de Comercio de su domicilio, la información concerniente a los contratos, su cuantía, cumplimiento, multas y sanciones relacionadas con los contratos que hayan sido adjudicados, los que se encuentren en ejecución y los ejecutados.</w:t>
      </w:r>
    </w:p>
    <w:p w14:paraId="1CC6BF87" w14:textId="77777777" w:rsidR="00D660B1" w:rsidRPr="00E2030B" w:rsidRDefault="00D660B1" w:rsidP="00D660B1">
      <w:pPr>
        <w:pStyle w:val="Textonotapie"/>
        <w:jc w:val="both"/>
        <w:rPr>
          <w:rFonts w:ascii="Verdana" w:hAnsi="Verdana" w:cs="Arial"/>
          <w:sz w:val="16"/>
          <w:szCs w:val="16"/>
          <w:lang w:val="es-ES"/>
        </w:rPr>
      </w:pPr>
      <w:r w:rsidRPr="00E2030B">
        <w:rPr>
          <w:rFonts w:ascii="Verdana" w:hAnsi="Verdana" w:cs="Arial"/>
          <w:sz w:val="16"/>
          <w:szCs w:val="16"/>
          <w:lang w:val="es-ES"/>
        </w:rPr>
        <w:t>Las condiciones de remisión de la información y los plazos de permanencia de la misma en el registro serán señalados por el Gobierno Nacional.</w:t>
      </w:r>
    </w:p>
    <w:p w14:paraId="0FAE574B" w14:textId="77777777" w:rsidR="00D660B1" w:rsidRPr="00E2030B" w:rsidRDefault="00D660B1" w:rsidP="00D660B1">
      <w:pPr>
        <w:pStyle w:val="Textonotapie"/>
        <w:jc w:val="both"/>
        <w:rPr>
          <w:rFonts w:ascii="Verdana" w:hAnsi="Verdana" w:cs="Arial"/>
          <w:sz w:val="16"/>
          <w:szCs w:val="16"/>
          <w:lang w:val="es-ES"/>
        </w:rPr>
      </w:pPr>
      <w:r w:rsidRPr="00E2030B">
        <w:rPr>
          <w:rFonts w:ascii="Verdana" w:hAnsi="Verdana" w:cs="Arial"/>
          <w:sz w:val="16"/>
          <w:szCs w:val="16"/>
          <w:lang w:val="es-ES"/>
        </w:rPr>
        <w:t>El servidor público encargado de remitir la información, que incumpla esta obligación incurrirá en causal de mala conducta”.</w:t>
      </w:r>
    </w:p>
  </w:footnote>
  <w:footnote w:id="11">
    <w:p w14:paraId="2E578308" w14:textId="77777777" w:rsidR="00D660B1" w:rsidRPr="00E2030B" w:rsidRDefault="00D660B1" w:rsidP="00D660B1">
      <w:pPr>
        <w:pStyle w:val="Textonotapie"/>
        <w:ind w:firstLine="708"/>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Ley 80 de 1993: “Artículo 31. De la publicación de los actos y sentencias sancionatorias. &lt;Artículo modificado por el artículo </w:t>
      </w:r>
      <w:hyperlink r:id="rId1" w:anchor="218" w:history="1">
        <w:r w:rsidRPr="00E2030B">
          <w:rPr>
            <w:rStyle w:val="Hipervnculo"/>
            <w:rFonts w:ascii="Verdana" w:hAnsi="Verdana" w:cs="Arial"/>
            <w:sz w:val="16"/>
            <w:szCs w:val="16"/>
            <w:lang w:val="es-ES"/>
          </w:rPr>
          <w:t>218</w:t>
        </w:r>
      </w:hyperlink>
      <w:r w:rsidRPr="00E2030B">
        <w:rPr>
          <w:rFonts w:ascii="Verdana" w:hAnsi="Verdana" w:cs="Arial"/>
          <w:sz w:val="16"/>
          <w:szCs w:val="16"/>
          <w:lang w:val="es-ES"/>
        </w:rPr>
        <w:t> del Decreto 19 de 2012. El nuevo texto es el siguiente:&gt; La parte resolutiva de los actos que declaren Ia caducidad, impongan multas, sanciones o declaren el incumplimiento, una vez ejecutoriados, se publicarán en el SECOP y se comunicarán a Ia cámara de comercio en que se encuentre inscrito el contratista respectivo. También se comunicarán a Ia Procuraduría General de Ia Nación”.</w:t>
      </w:r>
    </w:p>
  </w:footnote>
  <w:footnote w:id="12">
    <w:p w14:paraId="6E4A98E1" w14:textId="77777777" w:rsidR="00D660B1" w:rsidRPr="00E2030B" w:rsidRDefault="00D660B1" w:rsidP="00D660B1">
      <w:pPr>
        <w:pStyle w:val="Textonotapie"/>
        <w:ind w:firstLine="708"/>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Ley 80 de 1993: “Artículo 23. De los principios en las actuaciones contractuales de las entidades estatales. Las actuaciones de quienes intervengan en la contratación estatal se desarrollarán con arreglo a los principios de transparencia, economía y responsabilidad y de conformidad con los postulados que rigen la función administrativa. Igualmente, se aplicarán en las mismas las normas que regulan la conducta de los servidores públicos, las reglas de interpretación de la contratación, los principios generales del derecho y los particulares del derecho administrativo”.</w:t>
      </w:r>
    </w:p>
  </w:footnote>
  <w:footnote w:id="13">
    <w:p w14:paraId="3ED7DAD0" w14:textId="77777777" w:rsidR="00D660B1" w:rsidRPr="00E2030B" w:rsidRDefault="00D660B1" w:rsidP="00D660B1">
      <w:pPr>
        <w:pStyle w:val="Textonotapie"/>
        <w:ind w:firstLine="708"/>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w:t>
      </w:r>
      <w:r w:rsidRPr="00E2030B">
        <w:rPr>
          <w:rFonts w:ascii="Verdana" w:eastAsia="Calibri" w:hAnsi="Verdana" w:cs="Arial"/>
          <w:sz w:val="16"/>
          <w:szCs w:val="16"/>
          <w:lang w:val="es-ES"/>
        </w:rPr>
        <w:t>“</w:t>
      </w:r>
      <w:r w:rsidRPr="00E2030B">
        <w:rPr>
          <w:rFonts w:ascii="Verdana" w:hAnsi="Verdana" w:cs="Arial"/>
          <w:sz w:val="16"/>
          <w:szCs w:val="16"/>
          <w:lang w:val="es-ES"/>
        </w:rPr>
        <w:t>Las Entidades Estatales deben enviar mensualmente a las cámaras de comercio de su domicilio, copia de los actos administrativos en firme, por medio de los cuales impusieron multas y sanciones y de las inhabilidades resultantes de los contratos que hayan suscrito, y de la información de los Procesos de Contratación en los términos del artículo 6 de la Ley 1150 de 2007. Para el efecto las cámaras de comercio pueden establecer mecanismos electrónicos para recibir la información mencionada. El registro de las sanciones e inhabilidades debe permanecer en el certificado del RUP por el término de la sanción o de la inhabilidad. La información relativa a multas debe permanecer en el certificado del RUP por un año, contado a partir de la publicación de la misma.</w:t>
      </w:r>
    </w:p>
    <w:p w14:paraId="79F226C4" w14:textId="77777777" w:rsidR="00D660B1" w:rsidRPr="00E2030B" w:rsidRDefault="00D660B1" w:rsidP="00D660B1">
      <w:pPr>
        <w:pStyle w:val="Textonotapie"/>
        <w:jc w:val="both"/>
        <w:rPr>
          <w:rFonts w:ascii="Verdana" w:hAnsi="Verdana" w:cs="Arial"/>
          <w:sz w:val="16"/>
          <w:szCs w:val="16"/>
          <w:lang w:val="es-ES"/>
        </w:rPr>
      </w:pPr>
      <w:r w:rsidRPr="00E2030B">
        <w:rPr>
          <w:rFonts w:ascii="Verdana" w:hAnsi="Verdana" w:cs="Arial"/>
          <w:sz w:val="16"/>
          <w:szCs w:val="16"/>
          <w:lang w:val="es-ES"/>
        </w:rPr>
        <w:t>Las cámaras de comercio deben tener un mecanismo de interoperabilidad con el SECOP para el registro de la información de que trata el presente artículo”.</w:t>
      </w:r>
    </w:p>
    <w:p w14:paraId="59C618CD" w14:textId="77777777" w:rsidR="00D660B1" w:rsidRPr="00E2030B" w:rsidRDefault="00D660B1" w:rsidP="00D660B1">
      <w:pPr>
        <w:pStyle w:val="Textonotapie"/>
        <w:jc w:val="both"/>
        <w:rPr>
          <w:rFonts w:ascii="Verdana" w:hAnsi="Verdana" w:cs="Arial"/>
          <w:sz w:val="16"/>
          <w:szCs w:val="16"/>
          <w:lang w:val="es-ES"/>
        </w:rPr>
      </w:pPr>
    </w:p>
  </w:footnote>
  <w:footnote w:id="14">
    <w:p w14:paraId="1FB24405" w14:textId="77777777" w:rsidR="00D660B1" w:rsidRPr="00E2030B" w:rsidRDefault="00D660B1" w:rsidP="00D660B1">
      <w:pPr>
        <w:pStyle w:val="Textonotapie"/>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De conformidad con lo señalado por el Consejo de Estado: “La responsabilidad civil persigue la reparación del daño y es por esto que cuando de alguien se predica que es civilmente responsable, simplemente se está diciendo que debe reparar el daño causado. El daño que ha de ser indemnizado puede derivarse, entre otras, de la transgresión del deber genérico del neminem laedere o del incumplimiento de un determinado deber de comportamiento que surgió de un acuerdo contractual. Pero en uno y en otro caso, si la responsabilidad civil consiste en el deber de reparar el daño, se puede afirmar que por regla general no hay responsabilidad civil si no hay daño”.</w:t>
      </w:r>
      <w:r w:rsidRPr="00E2030B">
        <w:rPr>
          <w:rFonts w:ascii="Verdana" w:hAnsi="Verdana" w:cs="Arial"/>
          <w:color w:val="000000" w:themeColor="text1"/>
          <w:sz w:val="16"/>
          <w:szCs w:val="16"/>
          <w:lang w:val="es-ES"/>
        </w:rPr>
        <w:t xml:space="preserve"> Consejo de Estado. Sección Tercera. Subsección C. Sentencia del 31 de enero de 2011. Exp. 15.800. Consejera Ponente: Jaime Orlando Santofimio Gamboa. </w:t>
      </w:r>
    </w:p>
  </w:footnote>
  <w:footnote w:id="15">
    <w:p w14:paraId="14E83B9A" w14:textId="77777777" w:rsidR="00D660B1" w:rsidRPr="00E2030B" w:rsidRDefault="00D660B1" w:rsidP="00D660B1">
      <w:pPr>
        <w:pStyle w:val="Textonotapie"/>
        <w:ind w:firstLine="708"/>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eastAsia="Calibri" w:hAnsi="Verdana" w:cs="Arial"/>
          <w:color w:val="000000"/>
          <w:sz w:val="16"/>
          <w:szCs w:val="16"/>
          <w:lang w:val="es-ES"/>
        </w:rPr>
        <w:t>Código General del Proceso,</w:t>
      </w:r>
      <w:r w:rsidRPr="00E2030B">
        <w:rPr>
          <w:rFonts w:ascii="Verdana" w:hAnsi="Verdana" w:cs="Arial"/>
          <w:sz w:val="16"/>
          <w:szCs w:val="16"/>
          <w:lang w:val="es-ES"/>
        </w:rPr>
        <w:t xml:space="preserve"> </w:t>
      </w:r>
      <w:r w:rsidRPr="00E2030B">
        <w:rPr>
          <w:rFonts w:ascii="Verdana" w:eastAsia="Calibri" w:hAnsi="Verdana" w:cs="Arial"/>
          <w:color w:val="000000"/>
          <w:sz w:val="16"/>
          <w:szCs w:val="16"/>
          <w:lang w:val="es-ES"/>
        </w:rPr>
        <w:t>Artículo 302.</w:t>
      </w:r>
    </w:p>
  </w:footnote>
  <w:footnote w:id="16">
    <w:p w14:paraId="2C4336DF" w14:textId="77777777" w:rsidR="00D660B1" w:rsidRPr="00E2030B" w:rsidRDefault="00D660B1" w:rsidP="00D660B1">
      <w:pPr>
        <w:pStyle w:val="Textonotapie"/>
        <w:ind w:firstLine="708"/>
        <w:jc w:val="both"/>
        <w:rPr>
          <w:rFonts w:ascii="Verdana" w:hAnsi="Verdana"/>
          <w:sz w:val="16"/>
          <w:szCs w:val="16"/>
          <w:lang/>
        </w:rPr>
      </w:pPr>
      <w:r w:rsidRPr="00E2030B">
        <w:rPr>
          <w:rStyle w:val="Refdenotaalpie"/>
          <w:rFonts w:ascii="Verdana" w:hAnsi="Verdana"/>
          <w:sz w:val="16"/>
          <w:szCs w:val="16"/>
        </w:rPr>
        <w:footnoteRef/>
      </w:r>
      <w:r w:rsidRPr="00E2030B">
        <w:rPr>
          <w:rFonts w:ascii="Verdana" w:hAnsi="Verdana"/>
          <w:sz w:val="16"/>
          <w:szCs w:val="16"/>
        </w:rPr>
        <w:t xml:space="preserve"> </w:t>
      </w:r>
      <w:r w:rsidRPr="00E2030B">
        <w:rPr>
          <w:rFonts w:ascii="Verdana" w:hAnsi="Verdana"/>
          <w:sz w:val="16"/>
          <w:szCs w:val="16"/>
          <w:lang w:val="es-ES"/>
        </w:rPr>
        <w:t>Ley 80 de 1993. “</w:t>
      </w:r>
      <w:r w:rsidRPr="00320ABA">
        <w:rPr>
          <w:rFonts w:ascii="Verdana" w:hAnsi="Verdana"/>
          <w:sz w:val="16"/>
          <w:szCs w:val="16"/>
          <w:lang/>
        </w:rPr>
        <w:t>ARTÍCULO 75.- </w:t>
      </w:r>
      <w:r w:rsidRPr="00320ABA">
        <w:rPr>
          <w:rFonts w:ascii="Verdana" w:hAnsi="Verdana"/>
          <w:i/>
          <w:iCs/>
          <w:sz w:val="16"/>
          <w:szCs w:val="16"/>
          <w:lang/>
        </w:rPr>
        <w:t>Del Juez Competente.</w:t>
      </w:r>
      <w:r w:rsidRPr="00E2030B">
        <w:rPr>
          <w:rFonts w:ascii="Verdana" w:hAnsi="Verdana"/>
          <w:sz w:val="16"/>
          <w:szCs w:val="16"/>
          <w:lang/>
        </w:rPr>
        <w:t> Sin perjuicio de lo dispuesto en los artículos anteriores, el juez competente para conocer de las controversias derivadas de los contratos estatales y de los procesos de ejecución o cumplimiento será el de la jurisdicción contencioso administrativo […]”</w:t>
      </w:r>
    </w:p>
    <w:p w14:paraId="299CDE22" w14:textId="77777777" w:rsidR="00D660B1" w:rsidRPr="00333FBE" w:rsidRDefault="00D660B1" w:rsidP="00D660B1">
      <w:pPr>
        <w:pStyle w:val="Textonotapie"/>
        <w:jc w:val="both"/>
        <w:rPr>
          <w:rFonts w:ascii="Verdana" w:hAnsi="Verdana"/>
          <w:sz w:val="16"/>
          <w:szCs w:val="16"/>
          <w:lang/>
        </w:rPr>
      </w:pPr>
    </w:p>
    <w:p w14:paraId="02027F05" w14:textId="77777777" w:rsidR="00D660B1" w:rsidRPr="00E2030B" w:rsidRDefault="00D660B1" w:rsidP="00D660B1">
      <w:pPr>
        <w:pStyle w:val="Textonotapie"/>
        <w:jc w:val="both"/>
        <w:rPr>
          <w:rFonts w:ascii="Verdana" w:hAnsi="Verdana"/>
          <w:sz w:val="16"/>
          <w:szCs w:val="16"/>
          <w:lang w:val="es-ES"/>
        </w:rPr>
      </w:pPr>
    </w:p>
  </w:footnote>
  <w:footnote w:id="17">
    <w:p w14:paraId="34CF8CED" w14:textId="77777777" w:rsidR="00D660B1" w:rsidRPr="00E2030B" w:rsidRDefault="00D660B1" w:rsidP="00D660B1">
      <w:pPr>
        <w:pStyle w:val="Textonotapie"/>
        <w:snapToGrid w:val="0"/>
        <w:ind w:firstLine="708"/>
        <w:contextualSpacing/>
        <w:jc w:val="both"/>
        <w:rPr>
          <w:rFonts w:ascii="Verdana" w:hAnsi="Verdana" w:cs="Arial"/>
          <w:sz w:val="16"/>
          <w:szCs w:val="16"/>
          <w:lang w:val="es-CO"/>
        </w:rPr>
      </w:pPr>
      <w:r w:rsidRPr="00E2030B">
        <w:rPr>
          <w:rStyle w:val="Refdenotaalpie"/>
          <w:rFonts w:ascii="Verdana" w:hAnsi="Verdana" w:cs="Arial"/>
          <w:sz w:val="16"/>
          <w:szCs w:val="16"/>
        </w:rPr>
        <w:footnoteRef/>
      </w:r>
      <w:r w:rsidRPr="00E2030B">
        <w:rPr>
          <w:rFonts w:ascii="Verdana" w:hAnsi="Verdana" w:cs="Arial"/>
          <w:sz w:val="16"/>
          <w:szCs w:val="16"/>
          <w:lang w:val="es-ES"/>
        </w:rPr>
        <w:t xml:space="preserve"> ARROWSMITH, SUE. </w:t>
      </w:r>
      <w:r w:rsidRPr="00E2030B">
        <w:rPr>
          <w:rFonts w:ascii="Verdana" w:hAnsi="Verdana" w:cs="Arial"/>
          <w:sz w:val="16"/>
          <w:szCs w:val="16"/>
          <w:lang w:val="es-CO"/>
        </w:rPr>
        <w:t>Políticas horizontales en la contratación pública: una taxonomía, Revista Digital de Derecho Administrativo. Bogotá: Universidad Externado de Colombia, 2019, pp. 224-226.</w:t>
      </w:r>
    </w:p>
  </w:footnote>
  <w:footnote w:id="18">
    <w:p w14:paraId="195E3D17" w14:textId="77777777" w:rsidR="00D660B1" w:rsidRPr="00E2030B" w:rsidRDefault="00D660B1" w:rsidP="00D660B1">
      <w:pPr>
        <w:pStyle w:val="Textonotapie"/>
        <w:snapToGrid w:val="0"/>
        <w:ind w:firstLine="708"/>
        <w:contextualSpacing/>
        <w:jc w:val="both"/>
        <w:rPr>
          <w:rFonts w:ascii="Verdana" w:hAnsi="Verdana" w:cs="Arial"/>
          <w:sz w:val="16"/>
          <w:szCs w:val="16"/>
        </w:rPr>
      </w:pPr>
      <w:r w:rsidRPr="00E2030B">
        <w:rPr>
          <w:rStyle w:val="Refdenotaalpie"/>
          <w:rFonts w:ascii="Verdana" w:hAnsi="Verdana" w:cs="Arial"/>
          <w:sz w:val="16"/>
          <w:szCs w:val="16"/>
        </w:rPr>
        <w:footnoteRef/>
      </w:r>
      <w:r w:rsidRPr="00E2030B">
        <w:rPr>
          <w:rFonts w:ascii="Verdana" w:hAnsi="Verdana" w:cs="Arial"/>
          <w:sz w:val="16"/>
          <w:szCs w:val="16"/>
          <w:lang w:val="es-CO"/>
        </w:rPr>
        <w:t xml:space="preserve"> Ibíd., p. 9.</w:t>
      </w:r>
    </w:p>
  </w:footnote>
  <w:footnote w:id="19">
    <w:p w14:paraId="4F5A4F6E" w14:textId="77777777" w:rsidR="00D660B1" w:rsidRPr="00E2030B" w:rsidRDefault="00D660B1" w:rsidP="00D660B1">
      <w:pPr>
        <w:pStyle w:val="Textonotapie"/>
        <w:snapToGrid w:val="0"/>
        <w:ind w:left="708"/>
        <w:contextualSpacing/>
        <w:jc w:val="both"/>
        <w:rPr>
          <w:rFonts w:ascii="Verdana" w:hAnsi="Verdana" w:cs="Arial"/>
          <w:sz w:val="16"/>
          <w:szCs w:val="16"/>
        </w:rPr>
      </w:pPr>
      <w:r w:rsidRPr="00E2030B">
        <w:rPr>
          <w:rStyle w:val="Refdenotaalpie"/>
          <w:rFonts w:ascii="Verdana" w:hAnsi="Verdana" w:cs="Arial"/>
          <w:sz w:val="16"/>
          <w:szCs w:val="16"/>
        </w:rPr>
        <w:footnoteRef/>
      </w:r>
      <w:r w:rsidRPr="00E2030B">
        <w:rPr>
          <w:rFonts w:ascii="Verdana" w:hAnsi="Verdana" w:cs="Arial"/>
          <w:sz w:val="16"/>
          <w:szCs w:val="16"/>
          <w:lang w:val="es-CO"/>
        </w:rPr>
        <w:t xml:space="preserve"> Ibíd., p. 12</w:t>
      </w:r>
    </w:p>
  </w:footnote>
  <w:footnote w:id="20">
    <w:p w14:paraId="56A61204" w14:textId="77777777" w:rsidR="00D660B1" w:rsidRPr="00E2030B" w:rsidRDefault="00D660B1" w:rsidP="00D660B1">
      <w:pPr>
        <w:pStyle w:val="Textonotapie"/>
        <w:snapToGrid w:val="0"/>
        <w:ind w:firstLine="708"/>
        <w:contextualSpacing/>
        <w:jc w:val="both"/>
        <w:rPr>
          <w:rFonts w:ascii="Verdana" w:hAnsi="Verdana"/>
          <w:sz w:val="16"/>
          <w:szCs w:val="16"/>
          <w:lang/>
        </w:rPr>
      </w:pPr>
      <w:r w:rsidRPr="00E2030B">
        <w:rPr>
          <w:rStyle w:val="Refdenotaalpie"/>
          <w:rFonts w:ascii="Verdana" w:hAnsi="Verdana"/>
          <w:sz w:val="16"/>
          <w:szCs w:val="16"/>
        </w:rPr>
        <w:footnoteRef/>
      </w:r>
      <w:r w:rsidRPr="00E2030B">
        <w:rPr>
          <w:rFonts w:ascii="Verdana" w:hAnsi="Verdana"/>
          <w:sz w:val="16"/>
          <w:szCs w:val="16"/>
        </w:rPr>
        <w:t xml:space="preserve"> </w:t>
      </w:r>
      <w:r w:rsidRPr="00E2030B">
        <w:rPr>
          <w:rFonts w:ascii="Verdana" w:hAnsi="Verdana"/>
          <w:sz w:val="16"/>
          <w:szCs w:val="16"/>
          <w:lang/>
        </w:rPr>
        <w:t xml:space="preserve">Red Interamericana de Compras Gubernamentales – RICG. Directiva Modelo para la Promociones de Compras Públicas Sostenibles. 2021. Página 8. </w:t>
      </w:r>
    </w:p>
    <w:p w14:paraId="3C0E023D" w14:textId="77777777" w:rsidR="00D660B1" w:rsidRPr="00E2030B" w:rsidRDefault="00D660B1" w:rsidP="00D660B1">
      <w:pPr>
        <w:pStyle w:val="Textonotapie"/>
        <w:snapToGrid w:val="0"/>
        <w:contextualSpacing/>
        <w:jc w:val="both"/>
        <w:rPr>
          <w:rFonts w:ascii="Verdana" w:hAnsi="Verdana"/>
          <w:sz w:val="16"/>
          <w:szCs w:val="16"/>
          <w:lang w:val="es-ES"/>
        </w:rPr>
      </w:pPr>
    </w:p>
  </w:footnote>
  <w:footnote w:id="21">
    <w:p w14:paraId="0078AF63" w14:textId="77777777" w:rsidR="00D660B1" w:rsidRPr="00E2030B" w:rsidRDefault="00D660B1" w:rsidP="00D660B1">
      <w:pPr>
        <w:pStyle w:val="Textonotapie"/>
        <w:snapToGrid w:val="0"/>
        <w:ind w:firstLine="708"/>
        <w:contextualSpacing/>
        <w:jc w:val="both"/>
        <w:rPr>
          <w:rFonts w:ascii="Verdana" w:hAnsi="Verdana"/>
          <w:sz w:val="16"/>
          <w:szCs w:val="16"/>
          <w:lang/>
        </w:rPr>
      </w:pPr>
      <w:r w:rsidRPr="00E2030B">
        <w:rPr>
          <w:rStyle w:val="Refdenotaalpie"/>
          <w:rFonts w:ascii="Verdana" w:hAnsi="Verdana"/>
          <w:sz w:val="16"/>
          <w:szCs w:val="16"/>
        </w:rPr>
        <w:footnoteRef/>
      </w:r>
      <w:r w:rsidRPr="00E2030B">
        <w:rPr>
          <w:rFonts w:ascii="Verdana" w:hAnsi="Verdana"/>
          <w:sz w:val="16"/>
          <w:szCs w:val="16"/>
        </w:rPr>
        <w:t xml:space="preserve"> </w:t>
      </w:r>
      <w:r w:rsidRPr="00E2030B">
        <w:rPr>
          <w:rFonts w:ascii="Verdana" w:hAnsi="Verdana"/>
          <w:sz w:val="16"/>
          <w:szCs w:val="16"/>
          <w:lang/>
        </w:rPr>
        <w:t xml:space="preserve">Open Contracting Partnership. ¿Qué es la Contratación Pública Sostenible y Abierta? Puede consultarse en: https://sostenibilidad.open-contracting.org </w:t>
      </w:r>
    </w:p>
    <w:p w14:paraId="30ED188C" w14:textId="77777777" w:rsidR="00D660B1" w:rsidRPr="00E2030B" w:rsidRDefault="00D660B1" w:rsidP="00D660B1">
      <w:pPr>
        <w:pStyle w:val="Textonotapie"/>
        <w:snapToGrid w:val="0"/>
        <w:contextualSpacing/>
        <w:jc w:val="both"/>
        <w:rPr>
          <w:rFonts w:ascii="Verdana" w:hAnsi="Verdana"/>
          <w:sz w:val="16"/>
          <w:szCs w:val="16"/>
          <w:lang w:val="es-ES"/>
        </w:rPr>
      </w:pPr>
    </w:p>
  </w:footnote>
  <w:footnote w:id="22">
    <w:p w14:paraId="12D37374" w14:textId="77777777" w:rsidR="00D660B1" w:rsidRPr="00E2030B" w:rsidRDefault="00D660B1" w:rsidP="00D660B1">
      <w:pPr>
        <w:pStyle w:val="Textonotapie"/>
        <w:snapToGrid w:val="0"/>
        <w:ind w:firstLine="708"/>
        <w:contextualSpacing/>
        <w:jc w:val="both"/>
        <w:rPr>
          <w:rFonts w:ascii="Verdana" w:hAnsi="Verdana"/>
          <w:sz w:val="16"/>
          <w:szCs w:val="16"/>
          <w:lang/>
        </w:rPr>
      </w:pPr>
      <w:r w:rsidRPr="00E2030B">
        <w:rPr>
          <w:rStyle w:val="Refdenotaalpie"/>
          <w:rFonts w:ascii="Verdana" w:hAnsi="Verdana"/>
          <w:sz w:val="16"/>
          <w:szCs w:val="16"/>
        </w:rPr>
        <w:footnoteRef/>
      </w:r>
      <w:r w:rsidRPr="00E2030B">
        <w:rPr>
          <w:rFonts w:ascii="Verdana" w:hAnsi="Verdana"/>
          <w:sz w:val="16"/>
          <w:szCs w:val="16"/>
        </w:rPr>
        <w:t xml:space="preserve"> </w:t>
      </w:r>
      <w:r w:rsidRPr="00E2030B">
        <w:rPr>
          <w:rFonts w:ascii="Verdana" w:hAnsi="Verdana"/>
          <w:sz w:val="16"/>
          <w:szCs w:val="16"/>
          <w:lang/>
        </w:rPr>
        <w:t xml:space="preserve">Departamento Nacional de Planeación. Documento CONPES 4129 de 2023. Política Nacional de Reindustrialización. “Colombia Potencia Mundial de la Vida”. Página 144. Puede consultarse en: https://colaboracion.dnp.gov.co/CDT/Conpes/Econ%C3%B3micos/4129.pdf </w:t>
      </w:r>
    </w:p>
    <w:p w14:paraId="5500D7C8" w14:textId="77777777" w:rsidR="00D660B1" w:rsidRPr="00E2030B" w:rsidRDefault="00D660B1" w:rsidP="00D660B1">
      <w:pPr>
        <w:pStyle w:val="Textonotapie"/>
        <w:snapToGrid w:val="0"/>
        <w:contextualSpacing/>
        <w:jc w:val="both"/>
        <w:rPr>
          <w:rFonts w:ascii="Verdana" w:hAnsi="Verdana"/>
          <w:sz w:val="16"/>
          <w:szCs w:val="16"/>
          <w:lang w:val="es-ES"/>
        </w:rPr>
      </w:pPr>
    </w:p>
  </w:footnote>
  <w:footnote w:id="23">
    <w:p w14:paraId="1C63036A" w14:textId="77777777" w:rsidR="00D660B1" w:rsidRPr="00E2030B" w:rsidRDefault="00D660B1" w:rsidP="00D660B1">
      <w:pPr>
        <w:pStyle w:val="Textonotapie"/>
        <w:snapToGrid w:val="0"/>
        <w:ind w:firstLine="709"/>
        <w:contextualSpacing/>
        <w:jc w:val="both"/>
        <w:rPr>
          <w:rFonts w:ascii="Verdana" w:hAnsi="Verdana" w:cs="Arial"/>
          <w:sz w:val="16"/>
          <w:szCs w:val="16"/>
        </w:rPr>
      </w:pPr>
      <w:r w:rsidRPr="00E2030B">
        <w:rPr>
          <w:rStyle w:val="Refdenotaalpie"/>
          <w:rFonts w:ascii="Verdana" w:hAnsi="Verdana" w:cs="Arial"/>
          <w:sz w:val="16"/>
          <w:szCs w:val="16"/>
        </w:rPr>
        <w:footnoteRef/>
      </w:r>
      <w:r w:rsidRPr="00E2030B">
        <w:rPr>
          <w:rFonts w:ascii="Verdana" w:hAnsi="Verdana" w:cs="Arial"/>
          <w:sz w:val="16"/>
          <w:szCs w:val="16"/>
        </w:rPr>
        <w:t xml:space="preserve"> Al respecto, </w:t>
      </w:r>
      <w:r w:rsidRPr="00E2030B">
        <w:rPr>
          <w:rFonts w:ascii="Verdana" w:hAnsi="Verdana" w:cs="Arial"/>
          <w:sz w:val="16"/>
          <w:szCs w:val="16"/>
          <w:lang w:val="es-CO"/>
        </w:rPr>
        <w:t xml:space="preserve">el artículo 170 señala lo siguiente: </w:t>
      </w:r>
      <w:r w:rsidRPr="00E2030B">
        <w:rPr>
          <w:rFonts w:ascii="Verdana" w:hAnsi="Verdana" w:cs="Arial"/>
          <w:sz w:val="16"/>
          <w:szCs w:val="16"/>
        </w:rPr>
        <w:t>“</w:t>
      </w:r>
      <w:r w:rsidRPr="00E2030B">
        <w:rPr>
          <w:rFonts w:ascii="Verdana" w:hAnsi="Verdana" w:cs="Arial"/>
          <w:sz w:val="16"/>
          <w:szCs w:val="16"/>
          <w:lang w:val="es-CO"/>
        </w:rPr>
        <w:t>E</w:t>
      </w:r>
      <w:r w:rsidRPr="00E2030B">
        <w:rPr>
          <w:rFonts w:ascii="Verdana" w:hAnsi="Verdana" w:cs="Arial"/>
          <w:sz w:val="16"/>
          <w:szCs w:val="16"/>
        </w:rPr>
        <w:t>l Gobierno nacional, a través del Departamento Nacional de Planeación en coordinación con el Ministerio de Ambiente y Desarrollo Sostenible, y con participación de los ministerios, formulará una política de crecimiento verde de largo plazo en la cual se definan los objetivos y metas de crecimiento económico sostenible. Dentro de sus estrategias se diseñará un programa de promoción de la investigación, desarrollo tecnológico e innovación para el fortalecimiento de la competitividad nacional y regional a partir de productos y actividades que contribuyan con el desarrollo sostenible y que aporten al crecimiento verde.</w:t>
      </w:r>
    </w:p>
    <w:p w14:paraId="1D86BCF2" w14:textId="77777777" w:rsidR="00D660B1" w:rsidRPr="00E2030B" w:rsidRDefault="00D660B1" w:rsidP="00D660B1">
      <w:pPr>
        <w:pStyle w:val="Textonotapie"/>
        <w:snapToGrid w:val="0"/>
        <w:ind w:firstLine="709"/>
        <w:contextualSpacing/>
        <w:jc w:val="both"/>
        <w:rPr>
          <w:rFonts w:ascii="Verdana" w:hAnsi="Verdana" w:cs="Arial"/>
          <w:sz w:val="16"/>
          <w:szCs w:val="16"/>
        </w:rPr>
      </w:pPr>
      <w:r w:rsidRPr="00E2030B">
        <w:rPr>
          <w:rFonts w:ascii="Verdana" w:hAnsi="Verdana" w:cs="Arial"/>
          <w:sz w:val="16"/>
          <w:szCs w:val="16"/>
        </w:rPr>
        <w:t>Asimismo, se revisarán los mecanismos e instrumentos de mercado existentes que puedan tener efectos adversos sobre el medio ambiente, con el fin de proponer su desmonte gradual y nuevos mecanismos e instrumentos de mercado que fomenten el crecimiento verde.</w:t>
      </w:r>
    </w:p>
    <w:p w14:paraId="550B55AC" w14:textId="77777777" w:rsidR="00D660B1" w:rsidRPr="00E2030B" w:rsidRDefault="00D660B1" w:rsidP="00D660B1">
      <w:pPr>
        <w:pStyle w:val="Textonotapie"/>
        <w:snapToGrid w:val="0"/>
        <w:ind w:firstLine="709"/>
        <w:contextualSpacing/>
        <w:jc w:val="both"/>
        <w:rPr>
          <w:rFonts w:ascii="Verdana" w:hAnsi="Verdana" w:cs="Arial"/>
          <w:sz w:val="16"/>
          <w:szCs w:val="16"/>
        </w:rPr>
      </w:pPr>
      <w:r w:rsidRPr="00E2030B">
        <w:rPr>
          <w:rFonts w:ascii="Verdana" w:hAnsi="Verdana" w:cs="Arial"/>
          <w:sz w:val="16"/>
          <w:szCs w:val="16"/>
        </w:rPr>
        <w:t>Los Ministerios de Hacienda, Agricultura y Desarrollo Rural, Minas y Energía, Transporte, Salud y Protección Social, Vivienda, Ciudad y Territorio y Comercio, Industria y Turismo, formularán e implementarán planes sectoriales de adaptación al cambio climático y planes de acción sectorial de mitigación de la Estrategia Colombiana de Desarrollo Bajo en Carbono, los cuales contendrán metas sectoriales cuantitativas de reducción de emisiones de gases de efecto invernadero a corto (año 2020) y mediano plazo (años 2025 o 2030).</w:t>
      </w:r>
    </w:p>
    <w:p w14:paraId="2EE28572" w14:textId="77777777" w:rsidR="00D660B1" w:rsidRPr="00E2030B" w:rsidRDefault="00D660B1" w:rsidP="00D660B1">
      <w:pPr>
        <w:pStyle w:val="Textonotapie"/>
        <w:snapToGrid w:val="0"/>
        <w:ind w:firstLine="709"/>
        <w:contextualSpacing/>
        <w:jc w:val="both"/>
        <w:rPr>
          <w:rFonts w:ascii="Verdana" w:hAnsi="Verdana" w:cs="Arial"/>
          <w:sz w:val="16"/>
          <w:szCs w:val="16"/>
        </w:rPr>
      </w:pPr>
      <w:r w:rsidRPr="00E2030B">
        <w:rPr>
          <w:rFonts w:ascii="Verdana" w:hAnsi="Verdana" w:cs="Arial"/>
          <w:sz w:val="16"/>
          <w:szCs w:val="16"/>
        </w:rPr>
        <w:t>El Ministerio de Ambiente y Desarrollo Sostenible y el Departamento Nacional de Planeación realizarán el seguimiento a los planes de adaptación y mitigación del cambio climático.</w:t>
      </w:r>
    </w:p>
    <w:p w14:paraId="432637B6" w14:textId="77777777" w:rsidR="00D660B1" w:rsidRPr="00E2030B" w:rsidRDefault="00D660B1" w:rsidP="00D660B1">
      <w:pPr>
        <w:pStyle w:val="Textonotapie"/>
        <w:snapToGrid w:val="0"/>
        <w:ind w:firstLine="709"/>
        <w:contextualSpacing/>
        <w:jc w:val="both"/>
        <w:rPr>
          <w:rFonts w:ascii="Verdana" w:hAnsi="Verdana" w:cs="Arial"/>
          <w:sz w:val="16"/>
          <w:szCs w:val="16"/>
        </w:rPr>
      </w:pPr>
      <w:r w:rsidRPr="00E2030B">
        <w:rPr>
          <w:rFonts w:ascii="Verdana" w:hAnsi="Verdana" w:cs="Arial"/>
          <w:sz w:val="16"/>
          <w:szCs w:val="16"/>
        </w:rPr>
        <w:t>El Ministerio de Ambiente y Desarrollo Sostenible o quien haga sus veces, diseñará y orientará la implementación de la Estrategia Nacional de Reducción de Emisiones debidas a la Deforestación y Degradación Forestal, REDD+, en coordinación con otros ministerios y entidades públicas y el sector privado en el marco de la política nacional de cambio climático”.</w:t>
      </w:r>
    </w:p>
  </w:footnote>
  <w:footnote w:id="24">
    <w:p w14:paraId="2C341E08" w14:textId="77777777" w:rsidR="00D660B1" w:rsidRPr="00DE5D82" w:rsidRDefault="00D660B1" w:rsidP="00D660B1">
      <w:pPr>
        <w:pStyle w:val="Textonotapie"/>
        <w:snapToGrid w:val="0"/>
        <w:ind w:firstLine="709"/>
        <w:contextualSpacing/>
        <w:jc w:val="both"/>
        <w:rPr>
          <w:rFonts w:ascii="Verdana" w:hAnsi="Verdana" w:cs="Arial"/>
          <w:sz w:val="16"/>
          <w:szCs w:val="16"/>
          <w:lang w:val="es-CO"/>
        </w:rPr>
      </w:pPr>
      <w:r w:rsidRPr="00E2030B">
        <w:rPr>
          <w:rStyle w:val="Refdenotaalpie"/>
          <w:rFonts w:ascii="Verdana" w:hAnsi="Verdana"/>
          <w:sz w:val="16"/>
          <w:szCs w:val="16"/>
        </w:rPr>
        <w:footnoteRef/>
      </w:r>
      <w:r w:rsidRPr="00E2030B">
        <w:rPr>
          <w:rFonts w:ascii="Verdana" w:hAnsi="Verdana"/>
          <w:sz w:val="16"/>
          <w:szCs w:val="16"/>
        </w:rPr>
        <w:t xml:space="preserve"> </w:t>
      </w:r>
      <w:r w:rsidRPr="00E2030B">
        <w:rPr>
          <w:rFonts w:ascii="Verdana" w:hAnsi="Verdana" w:cs="Arial"/>
          <w:sz w:val="16"/>
          <w:szCs w:val="16"/>
          <w:lang w:val="es-ES"/>
        </w:rPr>
        <w:t xml:space="preserve">Conpes 3918 del 15 de marzo de 2018. </w:t>
      </w:r>
      <w:r w:rsidRPr="00E2030B">
        <w:rPr>
          <w:rFonts w:ascii="Verdana" w:hAnsi="Verdana" w:cs="Arial"/>
          <w:sz w:val="16"/>
          <w:szCs w:val="16"/>
          <w:lang w:val="es-CO"/>
        </w:rPr>
        <w:t xml:space="preserve">Estrategia para la Implementación de los Objetivos de Desarrollo Sostenible (ODS) En Colombia. Disponible en: </w:t>
      </w:r>
      <w:hyperlink r:id="rId2" w:history="1">
        <w:r w:rsidRPr="00E2030B">
          <w:rPr>
            <w:rStyle w:val="Hipervnculo"/>
            <w:rFonts w:ascii="Verdana" w:hAnsi="Verdana" w:cs="Arial"/>
            <w:sz w:val="16"/>
            <w:szCs w:val="16"/>
            <w:lang w:val="es-CO"/>
          </w:rPr>
          <w:t>https://colaboracion.dnp.gov.co/CDT/Conpes/Econ%C3%B3micos/3918.pdf</w:t>
        </w:r>
      </w:hyperlink>
      <w:r w:rsidRPr="00E2030B">
        <w:rPr>
          <w:rFonts w:ascii="Verdana" w:hAnsi="Verdana" w:cs="Arial"/>
          <w:sz w:val="16"/>
          <w:szCs w:val="16"/>
          <w:lang w:val="es-CO"/>
        </w:rPr>
        <w:t xml:space="preserve"> </w:t>
      </w:r>
    </w:p>
  </w:footnote>
  <w:footnote w:id="25">
    <w:p w14:paraId="6670D55F" w14:textId="77777777" w:rsidR="00D660B1" w:rsidRPr="00DE5D82" w:rsidRDefault="00D660B1" w:rsidP="00D660B1">
      <w:pPr>
        <w:pStyle w:val="Textonotapie"/>
        <w:snapToGrid w:val="0"/>
        <w:ind w:firstLine="709"/>
        <w:contextualSpacing/>
        <w:jc w:val="both"/>
        <w:rPr>
          <w:rFonts w:ascii="Verdana" w:hAnsi="Verdana" w:cs="Arial"/>
          <w:sz w:val="16"/>
          <w:szCs w:val="16"/>
          <w:lang w:val="es-CO"/>
        </w:rPr>
      </w:pPr>
      <w:r w:rsidRPr="00E2030B">
        <w:rPr>
          <w:rStyle w:val="Refdenotaalpie"/>
          <w:rFonts w:ascii="Verdana" w:hAnsi="Verdana"/>
          <w:sz w:val="16"/>
          <w:szCs w:val="16"/>
        </w:rPr>
        <w:footnoteRef/>
      </w:r>
      <w:r w:rsidRPr="00E2030B">
        <w:rPr>
          <w:rFonts w:ascii="Verdana" w:hAnsi="Verdana"/>
          <w:sz w:val="16"/>
          <w:szCs w:val="16"/>
        </w:rPr>
        <w:t xml:space="preserve"> </w:t>
      </w:r>
      <w:r w:rsidRPr="00E2030B">
        <w:rPr>
          <w:rFonts w:ascii="Verdana" w:hAnsi="Verdana" w:cs="Arial"/>
          <w:sz w:val="16"/>
          <w:szCs w:val="16"/>
          <w:lang w:val="es-ES"/>
        </w:rPr>
        <w:t>Conpes 3934 del 15 de julio de 2018. Política de Crecimiento Verde</w:t>
      </w:r>
      <w:r w:rsidRPr="00E2030B">
        <w:rPr>
          <w:rFonts w:ascii="Verdana" w:hAnsi="Verdana" w:cs="Arial"/>
          <w:sz w:val="16"/>
          <w:szCs w:val="16"/>
          <w:lang w:val="es-CO"/>
        </w:rPr>
        <w:t xml:space="preserve">. Disponible en: </w:t>
      </w:r>
      <w:hyperlink r:id="rId3" w:history="1">
        <w:r w:rsidRPr="00E2030B">
          <w:rPr>
            <w:rStyle w:val="Hipervnculo"/>
            <w:rFonts w:ascii="Verdana" w:hAnsi="Verdana" w:cs="Arial"/>
            <w:sz w:val="16"/>
            <w:szCs w:val="16"/>
            <w:lang w:val="es-CO"/>
          </w:rPr>
          <w:t>https://colaboracion.dnp.gov.co/cdt/conpes/econ%C3%B3micos/3934.pdf</w:t>
        </w:r>
      </w:hyperlink>
      <w:r w:rsidRPr="00E2030B">
        <w:rPr>
          <w:rFonts w:ascii="Verdana" w:hAnsi="Verdana" w:cs="Arial"/>
          <w:sz w:val="16"/>
          <w:szCs w:val="16"/>
          <w:lang w:val="es-CO"/>
        </w:rPr>
        <w:t xml:space="preserve"> </w:t>
      </w:r>
    </w:p>
  </w:footnote>
  <w:footnote w:id="26">
    <w:p w14:paraId="11B68DC2" w14:textId="77777777" w:rsidR="00D660B1" w:rsidRPr="00DE5D82" w:rsidRDefault="00D660B1" w:rsidP="00D660B1">
      <w:pPr>
        <w:pStyle w:val="Textonotapie"/>
        <w:snapToGrid w:val="0"/>
        <w:ind w:firstLine="709"/>
        <w:contextualSpacing/>
        <w:jc w:val="both"/>
        <w:rPr>
          <w:rFonts w:ascii="Verdana" w:hAnsi="Verdana" w:cs="Arial"/>
          <w:color w:val="000000" w:themeColor="text1"/>
          <w:sz w:val="16"/>
          <w:szCs w:val="16"/>
        </w:rPr>
      </w:pPr>
      <w:r w:rsidRPr="00E2030B">
        <w:rPr>
          <w:rStyle w:val="Refdenotaalpie"/>
          <w:rFonts w:ascii="Verdana" w:hAnsi="Verdana" w:cs="Arial"/>
          <w:color w:val="000000" w:themeColor="text1"/>
          <w:sz w:val="16"/>
          <w:szCs w:val="16"/>
        </w:rPr>
        <w:footnoteRef/>
      </w:r>
      <w:r w:rsidRPr="00E2030B">
        <w:rPr>
          <w:rFonts w:ascii="Verdana" w:hAnsi="Verdana" w:cs="Arial"/>
          <w:color w:val="000000" w:themeColor="text1"/>
          <w:sz w:val="16"/>
          <w:szCs w:val="16"/>
        </w:rPr>
        <w:t xml:space="preserve"> Disponible en: </w:t>
      </w:r>
      <w:hyperlink r:id="rId4" w:history="1">
        <w:r w:rsidRPr="00E2030B">
          <w:rPr>
            <w:rStyle w:val="Hipervnculo"/>
            <w:rFonts w:ascii="Verdana" w:hAnsi="Verdana" w:cs="Arial"/>
            <w:sz w:val="16"/>
            <w:szCs w:val="16"/>
          </w:rPr>
          <w:t>https://www.minambiente.gov.co/asuntos-ambientales-sectorial-y-urbana/compras-publicas-sostenibles/</w:t>
        </w:r>
      </w:hyperlink>
      <w:r w:rsidRPr="00E2030B">
        <w:rPr>
          <w:rFonts w:ascii="Verdana" w:hAnsi="Verdana" w:cs="Arial"/>
          <w:color w:val="000000" w:themeColor="text1"/>
          <w:sz w:val="16"/>
          <w:szCs w:val="16"/>
        </w:rPr>
        <w:t xml:space="preserve"> </w:t>
      </w:r>
    </w:p>
  </w:footnote>
  <w:footnote w:id="27">
    <w:p w14:paraId="236902B3" w14:textId="77777777" w:rsidR="00D660B1" w:rsidRPr="00E2030B" w:rsidRDefault="00D660B1" w:rsidP="00D660B1">
      <w:pPr>
        <w:pStyle w:val="Textonotapie"/>
        <w:snapToGrid w:val="0"/>
        <w:ind w:firstLine="708"/>
        <w:contextualSpacing/>
        <w:jc w:val="both"/>
        <w:rPr>
          <w:rFonts w:ascii="Verdana" w:hAnsi="Verdana" w:cs="Arial"/>
          <w:color w:val="000000" w:themeColor="text1"/>
          <w:sz w:val="16"/>
          <w:szCs w:val="16"/>
        </w:rPr>
      </w:pPr>
      <w:r w:rsidRPr="00E2030B">
        <w:rPr>
          <w:rStyle w:val="Refdenotaalpie"/>
          <w:rFonts w:ascii="Verdana" w:hAnsi="Verdana" w:cs="Arial"/>
          <w:color w:val="000000" w:themeColor="text1"/>
          <w:sz w:val="16"/>
          <w:szCs w:val="16"/>
        </w:rPr>
        <w:footnoteRef/>
      </w:r>
      <w:r w:rsidRPr="00E2030B">
        <w:rPr>
          <w:rFonts w:ascii="Verdana" w:hAnsi="Verdana" w:cs="Arial"/>
          <w:color w:val="000000" w:themeColor="text1"/>
          <w:sz w:val="16"/>
          <w:szCs w:val="16"/>
        </w:rPr>
        <w:t xml:space="preserve"> Disponible en: </w:t>
      </w:r>
      <w:hyperlink r:id="rId5" w:history="1">
        <w:r w:rsidRPr="00E2030B">
          <w:rPr>
            <w:rStyle w:val="Hipervnculo"/>
            <w:rFonts w:ascii="Verdana" w:hAnsi="Verdana" w:cs="Arial"/>
            <w:sz w:val="16"/>
            <w:szCs w:val="16"/>
          </w:rPr>
          <w:t>https://www.minambiente.gov.co/asuntos-ambientales-sectorial-y-urbana/compras-publicas-sostenibles/</w:t>
        </w:r>
      </w:hyperlink>
      <w:r w:rsidRPr="00E2030B">
        <w:rPr>
          <w:rFonts w:ascii="Verdana" w:hAnsi="Verdana" w:cs="Arial"/>
          <w:color w:val="000000" w:themeColor="text1"/>
          <w:sz w:val="16"/>
          <w:szCs w:val="16"/>
        </w:rPr>
        <w:t xml:space="preserve"> </w:t>
      </w:r>
    </w:p>
  </w:footnote>
  <w:footnote w:id="28">
    <w:p w14:paraId="0E9961D9" w14:textId="77777777" w:rsidR="00D660B1" w:rsidRPr="00E2030B" w:rsidRDefault="00D660B1" w:rsidP="00D660B1">
      <w:pPr>
        <w:pStyle w:val="NormalWeb"/>
        <w:shd w:val="clear" w:color="auto" w:fill="FFFFFF"/>
        <w:snapToGrid w:val="0"/>
        <w:spacing w:before="0" w:beforeAutospacing="0" w:after="0" w:afterAutospacing="0"/>
        <w:ind w:firstLine="851"/>
        <w:contextualSpacing/>
        <w:jc w:val="both"/>
        <w:rPr>
          <w:rFonts w:ascii="Verdana" w:hAnsi="Verdana"/>
          <w:color w:val="000000" w:themeColor="text1"/>
          <w:sz w:val="16"/>
          <w:szCs w:val="16"/>
        </w:rPr>
      </w:pPr>
      <w:r w:rsidRPr="00E2030B">
        <w:rPr>
          <w:rStyle w:val="Refdenotaalpie"/>
          <w:rFonts w:ascii="Verdana" w:hAnsi="Verdana"/>
          <w:color w:val="000000" w:themeColor="text1"/>
          <w:sz w:val="16"/>
          <w:szCs w:val="16"/>
        </w:rPr>
        <w:footnoteRef/>
      </w:r>
      <w:r w:rsidRPr="00E2030B">
        <w:rPr>
          <w:rFonts w:ascii="Verdana" w:hAnsi="Verdana"/>
          <w:color w:val="000000" w:themeColor="text1"/>
          <w:sz w:val="16"/>
          <w:szCs w:val="16"/>
        </w:rPr>
        <w:t xml:space="preserve"> ARTÍCULO 4. Modificación del artículo </w:t>
      </w:r>
      <w:hyperlink r:id="rId6" w:anchor="2.2.1.1.2.2.2" w:tooltip="vinculo" w:history="1">
        <w:r w:rsidRPr="00E2030B">
          <w:rPr>
            <w:rFonts w:ascii="Verdana" w:hAnsi="Verdana"/>
            <w:color w:val="000000" w:themeColor="text1"/>
            <w:sz w:val="16"/>
            <w:szCs w:val="16"/>
          </w:rPr>
          <w:t>2.2.1.1.2.2.2</w:t>
        </w:r>
      </w:hyperlink>
      <w:r w:rsidRPr="00E2030B">
        <w:rPr>
          <w:rFonts w:ascii="Verdana" w:hAnsi="Verdana"/>
          <w:color w:val="000000" w:themeColor="text1"/>
          <w:sz w:val="16"/>
          <w:szCs w:val="16"/>
        </w:rPr>
        <w:t> de la Subsección 2 de la Sección 2 del Capítulo 1 del Título 1 de la Parte 2 del Libro 2 del Decreto </w:t>
      </w:r>
      <w:hyperlink r:id="rId7" w:anchor="1082" w:tooltip="vinculo" w:history="1">
        <w:r w:rsidRPr="00E2030B">
          <w:rPr>
            <w:rFonts w:ascii="Verdana" w:hAnsi="Verdana"/>
            <w:color w:val="000000" w:themeColor="text1"/>
            <w:sz w:val="16"/>
            <w:szCs w:val="16"/>
          </w:rPr>
          <w:t>1082</w:t>
        </w:r>
      </w:hyperlink>
      <w:r w:rsidRPr="00E2030B">
        <w:rPr>
          <w:rFonts w:ascii="Verdana" w:hAnsi="Verdana"/>
          <w:color w:val="000000" w:themeColor="text1"/>
          <w:sz w:val="16"/>
          <w:szCs w:val="16"/>
        </w:rPr>
        <w:t> de 2015. Modifíquese el artículo </w:t>
      </w:r>
      <w:hyperlink r:id="rId8" w:anchor="2.2.1.1.2.2.2" w:tooltip="vinculo" w:history="1">
        <w:r w:rsidRPr="00E2030B">
          <w:rPr>
            <w:rFonts w:ascii="Verdana" w:hAnsi="Verdana"/>
            <w:color w:val="000000" w:themeColor="text1"/>
            <w:sz w:val="16"/>
            <w:szCs w:val="16"/>
          </w:rPr>
          <w:t>2.2.1.1.2.2.2</w:t>
        </w:r>
      </w:hyperlink>
      <w:r w:rsidRPr="00E2030B">
        <w:rPr>
          <w:rFonts w:ascii="Verdana" w:hAnsi="Verdana"/>
          <w:color w:val="000000" w:themeColor="text1"/>
          <w:sz w:val="16"/>
          <w:szCs w:val="16"/>
        </w:rPr>
        <w:t>. de la Subsección 2 de la Sección 2 del Capítulo 1 del Título 1 de la Parte 2 del Libro 2 del Decreto 1082 de 2015, el cual quedará así:</w:t>
      </w:r>
    </w:p>
    <w:p w14:paraId="2D4B8CFD" w14:textId="77777777" w:rsidR="00D660B1" w:rsidRPr="00E2030B" w:rsidRDefault="00D660B1" w:rsidP="00D660B1">
      <w:pPr>
        <w:shd w:val="clear" w:color="auto" w:fill="FFFFFF"/>
        <w:snapToGrid w:val="0"/>
        <w:spacing w:after="0" w:line="240" w:lineRule="auto"/>
        <w:ind w:firstLine="851"/>
        <w:contextualSpacing/>
        <w:jc w:val="both"/>
        <w:rPr>
          <w:rFonts w:ascii="Verdana" w:eastAsia="Times New Roman" w:hAnsi="Verdana" w:cs="Times New Roman"/>
          <w:color w:val="000000" w:themeColor="text1"/>
          <w:sz w:val="16"/>
          <w:szCs w:val="16"/>
          <w:lang w:eastAsia="es-CO"/>
        </w:rPr>
      </w:pPr>
      <w:r w:rsidRPr="00E2030B">
        <w:rPr>
          <w:rFonts w:ascii="Verdana" w:eastAsia="Times New Roman" w:hAnsi="Verdana" w:cs="Times New Roman"/>
          <w:color w:val="000000" w:themeColor="text1"/>
          <w:sz w:val="16"/>
          <w:szCs w:val="16"/>
          <w:lang w:eastAsia="es-CO"/>
        </w:rPr>
        <w:t>"ARTÍCULO </w:t>
      </w:r>
      <w:hyperlink r:id="rId9" w:anchor="2.2.1.1.2.2.2" w:tooltip="vinculo" w:history="1">
        <w:r w:rsidRPr="00E2030B">
          <w:rPr>
            <w:rFonts w:ascii="Verdana" w:eastAsia="Times New Roman" w:hAnsi="Verdana" w:cs="Times New Roman"/>
            <w:color w:val="000000" w:themeColor="text1"/>
            <w:sz w:val="16"/>
            <w:szCs w:val="16"/>
            <w:lang w:eastAsia="es-CO"/>
          </w:rPr>
          <w:t>2.2.1.1.2.2.2</w:t>
        </w:r>
      </w:hyperlink>
      <w:r w:rsidRPr="00E2030B">
        <w:rPr>
          <w:rFonts w:ascii="Verdana" w:eastAsia="Times New Roman" w:hAnsi="Verdana" w:cs="Times New Roman"/>
          <w:color w:val="000000" w:themeColor="text1"/>
          <w:sz w:val="16"/>
          <w:szCs w:val="16"/>
          <w:lang w:eastAsia="es-CO"/>
        </w:rPr>
        <w:t>. Ofrecimiento más favorable. La Entidad Estatal debe determinar la oferta más favorable teniendo en cuenta las normas aplicables a cada modalidad de selección del contratista.</w:t>
      </w:r>
    </w:p>
    <w:p w14:paraId="466C8081" w14:textId="77777777" w:rsidR="00D660B1" w:rsidRPr="00E2030B" w:rsidRDefault="00D660B1" w:rsidP="00D660B1">
      <w:pPr>
        <w:shd w:val="clear" w:color="auto" w:fill="FFFFFF"/>
        <w:snapToGrid w:val="0"/>
        <w:spacing w:after="0" w:line="240" w:lineRule="auto"/>
        <w:ind w:firstLine="851"/>
        <w:contextualSpacing/>
        <w:jc w:val="both"/>
        <w:rPr>
          <w:rFonts w:ascii="Verdana" w:eastAsia="Times New Roman" w:hAnsi="Verdana" w:cs="Times New Roman"/>
          <w:color w:val="000000" w:themeColor="text1"/>
          <w:sz w:val="16"/>
          <w:szCs w:val="16"/>
          <w:lang w:eastAsia="es-CO"/>
        </w:rPr>
      </w:pPr>
      <w:r w:rsidRPr="00E2030B">
        <w:rPr>
          <w:rFonts w:ascii="Verdana" w:eastAsia="Times New Roman" w:hAnsi="Verdana" w:cs="Times New Roman"/>
          <w:color w:val="000000" w:themeColor="text1"/>
          <w:sz w:val="16"/>
          <w:szCs w:val="16"/>
          <w:lang w:eastAsia="es-CO"/>
        </w:rPr>
        <w:t>En la licitación y la selección abreviada de menor cuantía, la Entidad Estatal debe determinar la oferta más favorable teniendo en cuenta: (a) la ponderación de los elementos de calidad y precio soportados en puntajes o fórmulas; o (b) la ponderación de los elementos de calidad y precio que representen la mejor relación de costo-beneficio.</w:t>
      </w:r>
    </w:p>
    <w:p w14:paraId="4B8AB05A" w14:textId="77777777" w:rsidR="00D660B1" w:rsidRPr="00E2030B" w:rsidRDefault="00D660B1" w:rsidP="00D660B1">
      <w:pPr>
        <w:shd w:val="clear" w:color="auto" w:fill="FFFFFF"/>
        <w:snapToGrid w:val="0"/>
        <w:spacing w:after="0" w:line="240" w:lineRule="auto"/>
        <w:ind w:firstLine="851"/>
        <w:contextualSpacing/>
        <w:jc w:val="both"/>
        <w:rPr>
          <w:rFonts w:ascii="Verdana" w:eastAsia="Times New Roman" w:hAnsi="Verdana" w:cs="Times New Roman"/>
          <w:color w:val="000000" w:themeColor="text1"/>
          <w:sz w:val="16"/>
          <w:szCs w:val="16"/>
          <w:lang w:eastAsia="es-CO"/>
        </w:rPr>
      </w:pPr>
      <w:r w:rsidRPr="00E2030B">
        <w:rPr>
          <w:rFonts w:ascii="Verdana" w:eastAsia="Times New Roman" w:hAnsi="Verdana" w:cs="Times New Roman"/>
          <w:color w:val="000000" w:themeColor="text1"/>
          <w:sz w:val="16"/>
          <w:szCs w:val="16"/>
          <w:lang w:eastAsia="es-CO"/>
        </w:rPr>
        <w:t>Si la Entidad Estatal decide determinar la oferta de acuerdo con el literal (b) anterior debe señalar en los pliegos de condiciones:</w:t>
      </w:r>
    </w:p>
    <w:p w14:paraId="229C3E38" w14:textId="77777777" w:rsidR="00D660B1" w:rsidRPr="00E2030B" w:rsidRDefault="00D660B1" w:rsidP="00D660B1">
      <w:pPr>
        <w:shd w:val="clear" w:color="auto" w:fill="FFFFFF"/>
        <w:snapToGrid w:val="0"/>
        <w:spacing w:after="0" w:line="240" w:lineRule="auto"/>
        <w:ind w:firstLine="851"/>
        <w:contextualSpacing/>
        <w:jc w:val="both"/>
        <w:rPr>
          <w:rFonts w:ascii="Verdana" w:eastAsia="Times New Roman" w:hAnsi="Verdana" w:cs="Times New Roman"/>
          <w:color w:val="000000" w:themeColor="text1"/>
          <w:sz w:val="16"/>
          <w:szCs w:val="16"/>
          <w:lang w:eastAsia="es-CO"/>
        </w:rPr>
      </w:pPr>
      <w:r w:rsidRPr="00E2030B">
        <w:rPr>
          <w:rFonts w:ascii="Verdana" w:eastAsia="Times New Roman" w:hAnsi="Verdana" w:cs="Times New Roman"/>
          <w:color w:val="000000" w:themeColor="text1"/>
          <w:sz w:val="16"/>
          <w:szCs w:val="16"/>
          <w:lang w:eastAsia="es-CO"/>
        </w:rPr>
        <w:t>(…)</w:t>
      </w:r>
    </w:p>
    <w:p w14:paraId="5F0BB5CC" w14:textId="77777777" w:rsidR="00D660B1" w:rsidRPr="00E2030B" w:rsidRDefault="00D660B1" w:rsidP="00D660B1">
      <w:pPr>
        <w:shd w:val="clear" w:color="auto" w:fill="FFFFFF"/>
        <w:snapToGrid w:val="0"/>
        <w:spacing w:after="0" w:line="240" w:lineRule="auto"/>
        <w:ind w:firstLine="851"/>
        <w:contextualSpacing/>
        <w:jc w:val="both"/>
        <w:rPr>
          <w:rFonts w:ascii="Verdana" w:eastAsia="Times New Roman" w:hAnsi="Verdana" w:cs="Times New Roman"/>
          <w:color w:val="000000" w:themeColor="text1"/>
          <w:sz w:val="16"/>
          <w:szCs w:val="16"/>
          <w:lang w:eastAsia="es-CO"/>
        </w:rPr>
      </w:pPr>
      <w:r w:rsidRPr="00E2030B">
        <w:rPr>
          <w:rFonts w:ascii="Verdana" w:eastAsia="Times New Roman" w:hAnsi="Verdana" w:cs="Times New Roman"/>
          <w:color w:val="000000" w:themeColor="text1"/>
          <w:sz w:val="16"/>
          <w:szCs w:val="16"/>
          <w:lang w:eastAsia="es-CO"/>
        </w:rPr>
        <w:t>PARÁGRAFO</w:t>
      </w:r>
      <w:r w:rsidRPr="00E2030B">
        <w:rPr>
          <w:rFonts w:ascii="Verdana" w:eastAsia="Times New Roman" w:hAnsi="Verdana" w:cs="Times New Roman"/>
          <w:b/>
          <w:bCs/>
          <w:color w:val="000000" w:themeColor="text1"/>
          <w:sz w:val="16"/>
          <w:szCs w:val="16"/>
          <w:lang w:eastAsia="es-CO"/>
        </w:rPr>
        <w:t>. </w:t>
      </w:r>
      <w:r w:rsidRPr="00E2030B">
        <w:rPr>
          <w:rFonts w:ascii="Verdana" w:eastAsia="Times New Roman" w:hAnsi="Verdana" w:cs="Times New Roman"/>
          <w:color w:val="000000" w:themeColor="text1"/>
          <w:sz w:val="16"/>
          <w:szCs w:val="16"/>
          <w:lang w:eastAsia="es-CO"/>
        </w:rPr>
        <w:t>Los criterios de calidad para evaluar la mejor relación calidad precio podrán incluir criterios ambientales o sociales vinculados al objeto del contrato.</w:t>
      </w:r>
    </w:p>
    <w:p w14:paraId="5F4A2993" w14:textId="77777777" w:rsidR="00D660B1" w:rsidRPr="00E2030B" w:rsidRDefault="00D660B1" w:rsidP="00D660B1">
      <w:pPr>
        <w:shd w:val="clear" w:color="auto" w:fill="FFFFFF"/>
        <w:snapToGrid w:val="0"/>
        <w:spacing w:after="0" w:line="240" w:lineRule="auto"/>
        <w:ind w:firstLine="851"/>
        <w:contextualSpacing/>
        <w:jc w:val="both"/>
        <w:rPr>
          <w:rFonts w:ascii="Verdana" w:eastAsia="Times New Roman" w:hAnsi="Verdana" w:cs="Times New Roman"/>
          <w:color w:val="000000" w:themeColor="text1"/>
          <w:sz w:val="16"/>
          <w:szCs w:val="16"/>
          <w:lang w:eastAsia="es-CO"/>
        </w:rPr>
      </w:pPr>
      <w:r w:rsidRPr="00E2030B">
        <w:rPr>
          <w:rFonts w:ascii="Verdana" w:eastAsia="Times New Roman" w:hAnsi="Verdana" w:cs="Times New Roman"/>
          <w:color w:val="000000" w:themeColor="text1"/>
          <w:sz w:val="16"/>
          <w:szCs w:val="16"/>
          <w:lang w:eastAsia="es-CO"/>
        </w:rPr>
        <w:t>Los criterios ambientales podrán referirse, entre otras, a variables como la reducción del nivel de emisión de gases de efecto invernadero; el empleo de medidas de eficiencia energética y la utilización de energía procedente de fuentes renovables durante la ejecución del contrato.</w:t>
      </w:r>
    </w:p>
    <w:p w14:paraId="3B29DDC5" w14:textId="77777777" w:rsidR="00D660B1" w:rsidRPr="00E2030B" w:rsidRDefault="00D660B1" w:rsidP="00D660B1">
      <w:pPr>
        <w:shd w:val="clear" w:color="auto" w:fill="FFFFFF"/>
        <w:snapToGrid w:val="0"/>
        <w:spacing w:after="0" w:line="240" w:lineRule="auto"/>
        <w:ind w:firstLine="851"/>
        <w:contextualSpacing/>
        <w:jc w:val="both"/>
        <w:rPr>
          <w:rFonts w:ascii="Verdana" w:eastAsia="Times New Roman" w:hAnsi="Verdana" w:cs="Times New Roman"/>
          <w:color w:val="000000" w:themeColor="text1"/>
          <w:sz w:val="16"/>
          <w:szCs w:val="16"/>
          <w:lang w:eastAsia="es-CO"/>
        </w:rPr>
      </w:pPr>
      <w:r w:rsidRPr="00E2030B">
        <w:rPr>
          <w:rFonts w:ascii="Verdana" w:eastAsia="Times New Roman" w:hAnsi="Verdana" w:cs="Times New Roman"/>
          <w:color w:val="000000" w:themeColor="text1"/>
          <w:sz w:val="16"/>
          <w:szCs w:val="16"/>
          <w:lang w:eastAsia="es-CO"/>
        </w:rPr>
        <w:t> Los criterios sociales se referirán, entre otras, a las siguientes finalidades: fomento de la integración social de personas con discapacidad, inclusión de personas pertenecientes a grupos vulnerables en la ejecución del contrato y, en general, la inserción sociolaboral de personas en situación de riesgo de exclusión social y la eliminación de criterios sospechosos de discriminación; el fomento de la contratación femenina o población LGTBIQ+; madres cabeza de hogar; personas que no cuenten con cualificaciones educativas de formación secundaria o profesional superior,; víctimas del conflicto armado; criterios referidos al suministro o a la utilización de productos basados en un comercio justo durante la ejecución del contrato, en los términos definidos por el artículo 4 de la Ley 2046 de 2020.</w:t>
      </w:r>
    </w:p>
    <w:p w14:paraId="502DA196" w14:textId="77777777" w:rsidR="00D660B1" w:rsidRPr="00E2030B" w:rsidRDefault="00D660B1" w:rsidP="00D660B1">
      <w:pPr>
        <w:shd w:val="clear" w:color="auto" w:fill="FFFFFF"/>
        <w:snapToGrid w:val="0"/>
        <w:spacing w:after="0" w:line="240" w:lineRule="auto"/>
        <w:ind w:firstLine="851"/>
        <w:contextualSpacing/>
        <w:jc w:val="both"/>
        <w:rPr>
          <w:rFonts w:ascii="Verdana" w:eastAsia="Times New Roman" w:hAnsi="Verdana" w:cs="Times New Roman"/>
          <w:color w:val="333333"/>
          <w:sz w:val="16"/>
          <w:szCs w:val="16"/>
          <w:lang w:eastAsia="es-CO"/>
        </w:rPr>
      </w:pPr>
      <w:r w:rsidRPr="00E2030B">
        <w:rPr>
          <w:rFonts w:ascii="Verdana" w:eastAsia="Times New Roman" w:hAnsi="Verdana" w:cs="Times New Roman"/>
          <w:color w:val="000000" w:themeColor="text1"/>
          <w:sz w:val="16"/>
          <w:szCs w:val="16"/>
          <w:lang w:eastAsia="es-CO"/>
        </w:rPr>
        <w:t>En el marco de las competencias atribuidas por el Decreto Ley </w:t>
      </w:r>
      <w:hyperlink r:id="rId10" w:anchor="4170" w:tooltip="vinculo" w:history="1">
        <w:r w:rsidRPr="00E2030B">
          <w:rPr>
            <w:rFonts w:ascii="Verdana" w:eastAsia="Times New Roman" w:hAnsi="Verdana" w:cs="Times New Roman"/>
            <w:color w:val="000000" w:themeColor="text1"/>
            <w:sz w:val="16"/>
            <w:szCs w:val="16"/>
            <w:lang w:eastAsia="es-CO"/>
          </w:rPr>
          <w:t>4170</w:t>
        </w:r>
      </w:hyperlink>
      <w:r w:rsidRPr="00E2030B">
        <w:rPr>
          <w:rFonts w:ascii="Verdana" w:eastAsia="Times New Roman" w:hAnsi="Verdana" w:cs="Times New Roman"/>
          <w:color w:val="000000" w:themeColor="text1"/>
          <w:sz w:val="16"/>
          <w:szCs w:val="16"/>
          <w:lang w:eastAsia="es-CO"/>
        </w:rPr>
        <w:t> de 2011, la Agencia Nacional de Contratación Pública -Colombia Compra Eficiente adoptará instrumentos dirigidos a orientar a las Entidades Estatales en la aplicación de estos criterios sociales y ambientales."</w:t>
      </w:r>
    </w:p>
  </w:footnote>
  <w:footnote w:id="29">
    <w:p w14:paraId="019CDB3A" w14:textId="77777777" w:rsidR="00D660B1" w:rsidRPr="00E2030B" w:rsidRDefault="00D660B1" w:rsidP="00D660B1">
      <w:pPr>
        <w:pStyle w:val="Textonotapie"/>
        <w:snapToGrid w:val="0"/>
        <w:ind w:firstLine="708"/>
        <w:contextualSpacing/>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Disponible en: </w:t>
      </w:r>
      <w:hyperlink r:id="rId11" w:history="1">
        <w:r w:rsidRPr="00E2030B">
          <w:rPr>
            <w:rStyle w:val="Hipervnculo"/>
            <w:rFonts w:ascii="Verdana" w:hAnsi="Verdana" w:cs="Arial"/>
            <w:sz w:val="16"/>
            <w:szCs w:val="16"/>
            <w:lang w:val="es-ES"/>
          </w:rPr>
          <w:t>https://blogs.worldbank.org/en/governance/marking-the-15th-anniversary-of-the-multilateral-development-ban</w:t>
        </w:r>
      </w:hyperlink>
      <w:r w:rsidRPr="00E2030B">
        <w:rPr>
          <w:rFonts w:ascii="Verdana" w:hAnsi="Verdana" w:cs="Arial"/>
          <w:sz w:val="16"/>
          <w:szCs w:val="16"/>
          <w:lang w:val="es-ES"/>
        </w:rPr>
        <w:t xml:space="preserve"> </w:t>
      </w:r>
    </w:p>
  </w:footnote>
  <w:footnote w:id="30">
    <w:p w14:paraId="7992EA7A" w14:textId="77777777" w:rsidR="00D660B1" w:rsidRPr="00E2030B" w:rsidRDefault="00D660B1" w:rsidP="00D660B1">
      <w:pPr>
        <w:pStyle w:val="Textonotapie"/>
        <w:ind w:firstLine="708"/>
        <w:jc w:val="both"/>
        <w:rPr>
          <w:rFonts w:ascii="Verdana" w:hAnsi="Verdana"/>
          <w:sz w:val="16"/>
          <w:szCs w:val="16"/>
          <w:lang w:val="es-ES"/>
        </w:rPr>
      </w:pPr>
      <w:r w:rsidRPr="00E2030B">
        <w:rPr>
          <w:rStyle w:val="Refdenotaalpie"/>
          <w:rFonts w:ascii="Verdana" w:hAnsi="Verdana"/>
          <w:sz w:val="16"/>
          <w:szCs w:val="16"/>
        </w:rPr>
        <w:footnoteRef/>
      </w:r>
      <w:r w:rsidRPr="00E2030B">
        <w:rPr>
          <w:rFonts w:ascii="Verdana" w:hAnsi="Verdana"/>
          <w:sz w:val="16"/>
          <w:szCs w:val="16"/>
        </w:rPr>
        <w:t xml:space="preserve"> </w:t>
      </w:r>
      <w:r w:rsidRPr="00E2030B">
        <w:rPr>
          <w:rFonts w:ascii="Verdana" w:hAnsi="Verdana"/>
          <w:sz w:val="16"/>
          <w:szCs w:val="16"/>
          <w:lang w:val="es-ES"/>
        </w:rPr>
        <w:t xml:space="preserve">Algunos portales de consulta son:  para las listas del Banco Mundial “Listing of Ineligible Firms and Individuals”: </w:t>
      </w:r>
      <w:hyperlink r:id="rId12" w:history="1">
        <w:r w:rsidRPr="00E2030B">
          <w:rPr>
            <w:rStyle w:val="Hipervnculo"/>
            <w:rFonts w:ascii="Verdana" w:hAnsi="Verdana"/>
            <w:sz w:val="16"/>
            <w:szCs w:val="16"/>
            <w:lang w:val="es-ES"/>
          </w:rPr>
          <w:t>https://www.worldbank.org/en/projects-operations/procurement/debarred-firms</w:t>
        </w:r>
      </w:hyperlink>
      <w:r w:rsidRPr="00E2030B">
        <w:rPr>
          <w:rFonts w:ascii="Verdana" w:hAnsi="Verdana"/>
          <w:sz w:val="16"/>
          <w:szCs w:val="16"/>
          <w:lang w:val="es-ES"/>
        </w:rPr>
        <w:t xml:space="preserve">; para las listas del BID (IDB): </w:t>
      </w:r>
      <w:hyperlink r:id="rId13" w:history="1">
        <w:r w:rsidRPr="00E2030B">
          <w:rPr>
            <w:rStyle w:val="Hipervnculo"/>
            <w:rFonts w:ascii="Verdana" w:hAnsi="Verdana"/>
            <w:sz w:val="16"/>
            <w:szCs w:val="16"/>
            <w:lang/>
          </w:rPr>
          <w:t>https://data.iadb.org/dataset/dataset-of-sanctioned-firms-and-individuals</w:t>
        </w:r>
      </w:hyperlink>
      <w:r w:rsidRPr="00E2030B">
        <w:rPr>
          <w:rFonts w:ascii="Verdana" w:hAnsi="Verdana"/>
          <w:sz w:val="16"/>
          <w:szCs w:val="16"/>
          <w:lang/>
        </w:rPr>
        <w:t xml:space="preserve">; </w:t>
      </w:r>
      <w:r w:rsidRPr="00E2030B">
        <w:rPr>
          <w:rFonts w:ascii="Verdana" w:hAnsi="Verdana"/>
          <w:sz w:val="16"/>
          <w:szCs w:val="16"/>
          <w:lang w:val="es-ES"/>
        </w:rPr>
        <w:t xml:space="preserve">la  lista consolidada MDB, dataset del BID que reúne los cinco bancos: </w:t>
      </w:r>
      <w:hyperlink r:id="rId14" w:history="1">
        <w:r w:rsidRPr="00E2030B">
          <w:rPr>
            <w:rStyle w:val="Hipervnculo"/>
            <w:rFonts w:ascii="Verdana" w:hAnsi="Verdana"/>
            <w:sz w:val="16"/>
            <w:szCs w:val="16"/>
            <w:lang w:val="es-ES"/>
          </w:rPr>
          <w:t>https://data.iadb.org/dataset/dataset-of-sanctioned-firms-and-individuals</w:t>
        </w:r>
      </w:hyperlink>
      <w:r w:rsidRPr="00E2030B">
        <w:rPr>
          <w:rFonts w:ascii="Verdana" w:hAnsi="Verdana"/>
          <w:sz w:val="16"/>
          <w:szCs w:val="16"/>
          <w:lang w:val="es-ES"/>
        </w:rPr>
        <w:t xml:space="preserve">; y la lista consolidada AIIB: </w:t>
      </w:r>
      <w:hyperlink r:id="rId15" w:history="1">
        <w:r w:rsidRPr="00E2030B">
          <w:rPr>
            <w:rStyle w:val="Hipervnculo"/>
            <w:rFonts w:ascii="Verdana" w:hAnsi="Verdana"/>
            <w:sz w:val="16"/>
            <w:szCs w:val="16"/>
            <w:lang w:val="es-ES"/>
          </w:rPr>
          <w:t>https://www.aiib.org/en/about-aiib/who-we-are/debarment-list/index.html</w:t>
        </w:r>
      </w:hyperlink>
      <w:r w:rsidRPr="00E2030B">
        <w:rPr>
          <w:rFonts w:ascii="Verdana" w:hAnsi="Verdana"/>
          <w:sz w:val="16"/>
          <w:szCs w:val="16"/>
          <w:lang w:val="es-ES"/>
        </w:rPr>
        <w:t xml:space="preserve"> </w:t>
      </w:r>
    </w:p>
  </w:footnote>
  <w:footnote w:id="31">
    <w:p w14:paraId="143A432F" w14:textId="77777777" w:rsidR="00D660B1" w:rsidRPr="00E2030B" w:rsidRDefault="00D660B1" w:rsidP="00D660B1">
      <w:pPr>
        <w:pStyle w:val="Textonotapie"/>
        <w:snapToGrid w:val="0"/>
        <w:ind w:firstLine="708"/>
        <w:contextualSpacing/>
        <w:jc w:val="both"/>
        <w:rPr>
          <w:rFonts w:ascii="Verdana" w:hAnsi="Verdana" w:cs="Arial"/>
          <w:sz w:val="16"/>
          <w:szCs w:val="16"/>
          <w:lang w:val="es-ES"/>
        </w:rPr>
      </w:pPr>
      <w:r w:rsidRPr="00E2030B">
        <w:rPr>
          <w:rStyle w:val="Refdenotaalpie"/>
          <w:rFonts w:ascii="Verdana" w:hAnsi="Verdana" w:cs="Arial"/>
          <w:sz w:val="16"/>
          <w:szCs w:val="16"/>
          <w:lang w:val="es-ES"/>
        </w:rPr>
        <w:footnoteRef/>
      </w:r>
      <w:r w:rsidRPr="00E2030B">
        <w:rPr>
          <w:rFonts w:ascii="Verdana" w:hAnsi="Verdana" w:cs="Arial"/>
          <w:sz w:val="16"/>
          <w:szCs w:val="16"/>
          <w:lang w:val="es-ES"/>
        </w:rPr>
        <w:t xml:space="preserve"> Disponible en: </w:t>
      </w:r>
      <w:hyperlink r:id="rId16" w:history="1">
        <w:r w:rsidRPr="00E2030B">
          <w:rPr>
            <w:rStyle w:val="Hipervnculo"/>
            <w:rFonts w:ascii="Verdana" w:hAnsi="Verdana" w:cs="Arial"/>
            <w:sz w:val="16"/>
            <w:szCs w:val="16"/>
            <w:lang w:val="es-ES"/>
          </w:rPr>
          <w:t>https://www.iadb.org/en/news/cross-debarment-new-global-tool-against-corruption</w:t>
        </w:r>
      </w:hyperlink>
      <w:r w:rsidRPr="00E2030B">
        <w:rPr>
          <w:rFonts w:ascii="Verdana" w:hAnsi="Verdana" w:cs="Arial"/>
          <w:sz w:val="16"/>
          <w:szCs w:val="16"/>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F63699E"/>
    <w:multiLevelType w:val="multilevel"/>
    <w:tmpl w:val="22DC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2854BC"/>
    <w:multiLevelType w:val="multilevel"/>
    <w:tmpl w:val="0FAEE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5B1C61"/>
    <w:multiLevelType w:val="hybridMultilevel"/>
    <w:tmpl w:val="3D7054CA"/>
    <w:lvl w:ilvl="0" w:tplc="EA4AC140">
      <w:start w:val="1"/>
      <w:numFmt w:val="upperLetter"/>
      <w:lvlText w:val="%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39675BC"/>
    <w:multiLevelType w:val="hybridMultilevel"/>
    <w:tmpl w:val="B5DC7236"/>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DE5CCA"/>
    <w:multiLevelType w:val="hybridMultilevel"/>
    <w:tmpl w:val="6F56A0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F877F60"/>
    <w:multiLevelType w:val="hybridMultilevel"/>
    <w:tmpl w:val="FCFE56E6"/>
    <w:lvl w:ilvl="0" w:tplc="27FAEB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6662862"/>
    <w:multiLevelType w:val="hybridMultilevel"/>
    <w:tmpl w:val="CB60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F14FD4"/>
    <w:multiLevelType w:val="multilevel"/>
    <w:tmpl w:val="7432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F5754C"/>
    <w:multiLevelType w:val="hybridMultilevel"/>
    <w:tmpl w:val="705AB7DA"/>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6BA1D2F"/>
    <w:multiLevelType w:val="hybridMultilevel"/>
    <w:tmpl w:val="960E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1B0B7A"/>
    <w:multiLevelType w:val="multilevel"/>
    <w:tmpl w:val="FB86E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2410CF"/>
    <w:multiLevelType w:val="hybridMultilevel"/>
    <w:tmpl w:val="35CAFDF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0F11CB"/>
    <w:multiLevelType w:val="hybridMultilevel"/>
    <w:tmpl w:val="CED2F36C"/>
    <w:lvl w:ilvl="0" w:tplc="9522D174">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72265D4B"/>
    <w:multiLevelType w:val="multilevel"/>
    <w:tmpl w:val="8F04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2B0E16"/>
    <w:multiLevelType w:val="hybridMultilevel"/>
    <w:tmpl w:val="0E96F60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775B2327"/>
    <w:multiLevelType w:val="multilevel"/>
    <w:tmpl w:val="A078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DF3516"/>
    <w:multiLevelType w:val="multilevel"/>
    <w:tmpl w:val="8102B1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11"/>
  </w:num>
  <w:num w:numId="2" w16cid:durableId="19822139">
    <w:abstractNumId w:val="1"/>
  </w:num>
  <w:num w:numId="3" w16cid:durableId="876742304">
    <w:abstractNumId w:val="9"/>
  </w:num>
  <w:num w:numId="4" w16cid:durableId="245186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24"/>
  </w:num>
  <w:num w:numId="7" w16cid:durableId="1946422806">
    <w:abstractNumId w:val="10"/>
  </w:num>
  <w:num w:numId="8" w16cid:durableId="152644682">
    <w:abstractNumId w:val="22"/>
  </w:num>
  <w:num w:numId="9" w16cid:durableId="1317221377">
    <w:abstractNumId w:val="13"/>
  </w:num>
  <w:num w:numId="10" w16cid:durableId="1471245386">
    <w:abstractNumId w:val="21"/>
  </w:num>
  <w:num w:numId="11" w16cid:durableId="289172385">
    <w:abstractNumId w:val="14"/>
  </w:num>
  <w:num w:numId="12" w16cid:durableId="1470781324">
    <w:abstractNumId w:val="0"/>
  </w:num>
  <w:num w:numId="13" w16cid:durableId="1512908409">
    <w:abstractNumId w:val="6"/>
  </w:num>
  <w:num w:numId="14" w16cid:durableId="895897244">
    <w:abstractNumId w:val="25"/>
  </w:num>
  <w:num w:numId="15" w16cid:durableId="390349800">
    <w:abstractNumId w:val="20"/>
  </w:num>
  <w:num w:numId="16" w16cid:durableId="153255849">
    <w:abstractNumId w:val="17"/>
  </w:num>
  <w:num w:numId="17" w16cid:durableId="410347328">
    <w:abstractNumId w:val="5"/>
  </w:num>
  <w:num w:numId="18" w16cid:durableId="1657416961">
    <w:abstractNumId w:val="7"/>
  </w:num>
  <w:num w:numId="19" w16cid:durableId="2077584637">
    <w:abstractNumId w:val="28"/>
  </w:num>
  <w:num w:numId="20" w16cid:durableId="1221088439">
    <w:abstractNumId w:val="16"/>
  </w:num>
  <w:num w:numId="21" w16cid:durableId="1766344016">
    <w:abstractNumId w:val="18"/>
  </w:num>
  <w:num w:numId="22" w16cid:durableId="701512319">
    <w:abstractNumId w:val="30"/>
  </w:num>
  <w:num w:numId="23" w16cid:durableId="999968324">
    <w:abstractNumId w:val="26"/>
  </w:num>
  <w:num w:numId="24" w16cid:durableId="1082458580">
    <w:abstractNumId w:val="3"/>
  </w:num>
  <w:num w:numId="25" w16cid:durableId="731273387">
    <w:abstractNumId w:val="15"/>
  </w:num>
  <w:num w:numId="26" w16cid:durableId="309991662">
    <w:abstractNumId w:val="27"/>
  </w:num>
  <w:num w:numId="27" w16cid:durableId="1199926998">
    <w:abstractNumId w:val="2"/>
  </w:num>
  <w:num w:numId="28" w16cid:durableId="1921257880">
    <w:abstractNumId w:val="29"/>
  </w:num>
  <w:num w:numId="29" w16cid:durableId="2021008275">
    <w:abstractNumId w:val="23"/>
  </w:num>
  <w:num w:numId="30" w16cid:durableId="1492597459">
    <w:abstractNumId w:val="4"/>
  </w:num>
  <w:num w:numId="31" w16cid:durableId="1825929655">
    <w:abstractNumId w:val="12"/>
  </w:num>
  <w:num w:numId="32" w16cid:durableId="946233273">
    <w:abstractNumId w:val="8"/>
  </w:num>
  <w:num w:numId="33" w16cid:durableId="20986709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7159"/>
    <w:rsid w:val="00061B2A"/>
    <w:rsid w:val="00082362"/>
    <w:rsid w:val="000961F8"/>
    <w:rsid w:val="000A683E"/>
    <w:rsid w:val="000B19B9"/>
    <w:rsid w:val="000C33B5"/>
    <w:rsid w:val="000D0334"/>
    <w:rsid w:val="000D5DA7"/>
    <w:rsid w:val="000D7AF6"/>
    <w:rsid w:val="000F6486"/>
    <w:rsid w:val="00116940"/>
    <w:rsid w:val="00125105"/>
    <w:rsid w:val="00127233"/>
    <w:rsid w:val="0015699B"/>
    <w:rsid w:val="001A33BF"/>
    <w:rsid w:val="001C6910"/>
    <w:rsid w:val="001E4177"/>
    <w:rsid w:val="001F0B24"/>
    <w:rsid w:val="001F53A3"/>
    <w:rsid w:val="001F7DC6"/>
    <w:rsid w:val="00200F4C"/>
    <w:rsid w:val="0022400B"/>
    <w:rsid w:val="00231891"/>
    <w:rsid w:val="00231C1D"/>
    <w:rsid w:val="002421BB"/>
    <w:rsid w:val="0025796E"/>
    <w:rsid w:val="002707A2"/>
    <w:rsid w:val="002951A0"/>
    <w:rsid w:val="002962BC"/>
    <w:rsid w:val="002A093D"/>
    <w:rsid w:val="002A0DD0"/>
    <w:rsid w:val="002A49AC"/>
    <w:rsid w:val="002A64FD"/>
    <w:rsid w:val="002C7A84"/>
    <w:rsid w:val="002E2BF8"/>
    <w:rsid w:val="002E4FD9"/>
    <w:rsid w:val="002F28A7"/>
    <w:rsid w:val="0030657A"/>
    <w:rsid w:val="00322A85"/>
    <w:rsid w:val="00324168"/>
    <w:rsid w:val="00330834"/>
    <w:rsid w:val="003448F4"/>
    <w:rsid w:val="00365FE0"/>
    <w:rsid w:val="0037290F"/>
    <w:rsid w:val="00372A0C"/>
    <w:rsid w:val="00374F5E"/>
    <w:rsid w:val="00377E3E"/>
    <w:rsid w:val="003A779E"/>
    <w:rsid w:val="003D0F4D"/>
    <w:rsid w:val="003D5B0D"/>
    <w:rsid w:val="003E0499"/>
    <w:rsid w:val="003E4F80"/>
    <w:rsid w:val="003E6439"/>
    <w:rsid w:val="003F3941"/>
    <w:rsid w:val="00406575"/>
    <w:rsid w:val="00414C74"/>
    <w:rsid w:val="0042167B"/>
    <w:rsid w:val="0042722E"/>
    <w:rsid w:val="0044528D"/>
    <w:rsid w:val="00466E39"/>
    <w:rsid w:val="004A1847"/>
    <w:rsid w:val="004A305D"/>
    <w:rsid w:val="004F21C4"/>
    <w:rsid w:val="004F685F"/>
    <w:rsid w:val="00507569"/>
    <w:rsid w:val="005566E8"/>
    <w:rsid w:val="00560536"/>
    <w:rsid w:val="00574867"/>
    <w:rsid w:val="00591460"/>
    <w:rsid w:val="005A65E0"/>
    <w:rsid w:val="005C3777"/>
    <w:rsid w:val="005C5CDC"/>
    <w:rsid w:val="005D476C"/>
    <w:rsid w:val="006200BF"/>
    <w:rsid w:val="006219F8"/>
    <w:rsid w:val="00622EE4"/>
    <w:rsid w:val="006302F7"/>
    <w:rsid w:val="00646B9F"/>
    <w:rsid w:val="006643F6"/>
    <w:rsid w:val="00665D70"/>
    <w:rsid w:val="006900D9"/>
    <w:rsid w:val="00706C16"/>
    <w:rsid w:val="007340C3"/>
    <w:rsid w:val="0075235A"/>
    <w:rsid w:val="00756841"/>
    <w:rsid w:val="007649AB"/>
    <w:rsid w:val="00771D0C"/>
    <w:rsid w:val="00774035"/>
    <w:rsid w:val="00782316"/>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16DF"/>
    <w:rsid w:val="009F3A13"/>
    <w:rsid w:val="00A122D3"/>
    <w:rsid w:val="00A14468"/>
    <w:rsid w:val="00A17F13"/>
    <w:rsid w:val="00A20739"/>
    <w:rsid w:val="00A23AF9"/>
    <w:rsid w:val="00A33C78"/>
    <w:rsid w:val="00A957F1"/>
    <w:rsid w:val="00A958D7"/>
    <w:rsid w:val="00AB0ADB"/>
    <w:rsid w:val="00AC0E50"/>
    <w:rsid w:val="00B00C0E"/>
    <w:rsid w:val="00B01B1A"/>
    <w:rsid w:val="00B0381D"/>
    <w:rsid w:val="00B44A47"/>
    <w:rsid w:val="00B72CD3"/>
    <w:rsid w:val="00B72FFF"/>
    <w:rsid w:val="00B73259"/>
    <w:rsid w:val="00BC3D36"/>
    <w:rsid w:val="00BD54A6"/>
    <w:rsid w:val="00BD7F72"/>
    <w:rsid w:val="00BF7425"/>
    <w:rsid w:val="00C04FB3"/>
    <w:rsid w:val="00C11D8B"/>
    <w:rsid w:val="00C15139"/>
    <w:rsid w:val="00C330EB"/>
    <w:rsid w:val="00C50D69"/>
    <w:rsid w:val="00C5365C"/>
    <w:rsid w:val="00C5423E"/>
    <w:rsid w:val="00C754BE"/>
    <w:rsid w:val="00C76B1C"/>
    <w:rsid w:val="00C925AC"/>
    <w:rsid w:val="00CB6357"/>
    <w:rsid w:val="00CC11C4"/>
    <w:rsid w:val="00CC1B26"/>
    <w:rsid w:val="00D26302"/>
    <w:rsid w:val="00D361FD"/>
    <w:rsid w:val="00D423A2"/>
    <w:rsid w:val="00D44E26"/>
    <w:rsid w:val="00D520D8"/>
    <w:rsid w:val="00D63AC2"/>
    <w:rsid w:val="00D660B1"/>
    <w:rsid w:val="00D7383B"/>
    <w:rsid w:val="00D7788A"/>
    <w:rsid w:val="00DA231B"/>
    <w:rsid w:val="00DC39FC"/>
    <w:rsid w:val="00DF5254"/>
    <w:rsid w:val="00E02524"/>
    <w:rsid w:val="00E16408"/>
    <w:rsid w:val="00E20894"/>
    <w:rsid w:val="00E245AB"/>
    <w:rsid w:val="00E2764C"/>
    <w:rsid w:val="00E27F2E"/>
    <w:rsid w:val="00E50AFE"/>
    <w:rsid w:val="00E55BAB"/>
    <w:rsid w:val="00E75C92"/>
    <w:rsid w:val="00E771DC"/>
    <w:rsid w:val="00E8772A"/>
    <w:rsid w:val="00E90F6B"/>
    <w:rsid w:val="00E92C27"/>
    <w:rsid w:val="00EA0E3D"/>
    <w:rsid w:val="00EB11C6"/>
    <w:rsid w:val="00EC38A7"/>
    <w:rsid w:val="00ED784F"/>
    <w:rsid w:val="00EE1AA8"/>
    <w:rsid w:val="00F23FEA"/>
    <w:rsid w:val="00F31EDC"/>
    <w:rsid w:val="00F462B3"/>
    <w:rsid w:val="00F5664F"/>
    <w:rsid w:val="00F666C4"/>
    <w:rsid w:val="00F76AFC"/>
    <w:rsid w:val="00FA47C0"/>
    <w:rsid w:val="00FB3B5A"/>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titulo 3"/>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660B1"/>
    <w:pPr>
      <w:spacing w:after="0"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D660B1"/>
    <w:rPr>
      <w:rFonts w:ascii="Geomanist Light" w:hAnsi="Geomanist Light"/>
      <w:lang w:val="es-ES"/>
    </w:rPr>
  </w:style>
  <w:style w:type="paragraph" w:customStyle="1" w:styleId="Listavistosa-nfasis11">
    <w:name w:val="Lista vistosa - Énfasis 11"/>
    <w:aliases w:val="Normal. Viñetas"/>
    <w:basedOn w:val="Normal"/>
    <w:link w:val="Listavistosa-nfasis1Car"/>
    <w:uiPriority w:val="34"/>
    <w:qFormat/>
    <w:rsid w:val="00D660B1"/>
    <w:pPr>
      <w:spacing w:after="200" w:line="276" w:lineRule="auto"/>
      <w:ind w:left="720"/>
      <w:contextualSpacing/>
    </w:pPr>
    <w:rPr>
      <w:rFonts w:ascii="Calibri" w:eastAsia="Times New Roman" w:hAnsi="Calibri" w:cs="Times New Roman"/>
      <w:lang w:eastAsia="es-CO"/>
    </w:rPr>
  </w:style>
  <w:style w:type="character" w:customStyle="1" w:styleId="Listavistosa-nfasis1Car">
    <w:name w:val="Lista vistosa - Énfasis 1 Car"/>
    <w:aliases w:val="Normal. Viñetas Car"/>
    <w:link w:val="Listavistosa-nfasis11"/>
    <w:uiPriority w:val="34"/>
    <w:locked/>
    <w:rsid w:val="00D660B1"/>
    <w:rPr>
      <w:rFonts w:ascii="Calibri" w:eastAsia="Times New Roman" w:hAnsi="Calibri" w:cs="Times New Roman"/>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inambiente.gov.co/asuntos-ambientales-sectorial-y-urbana/compras-publicas-sostenibles/" TargetMode="External"/><Relationship Id="rId18"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alcaldiabogota.gov.co/sisjur/normas/Norma1.jsp?dt=S&amp;i=71552" TargetMode="External"/><Relationship Id="rId17"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sabog@outlook.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relatoria.colombiacompra.gov.co/busqueda/conceptos"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inambiente.gov.co/asuntos-ambientales-sectorial-y-urbana/compras-publicas-sostenible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funcionpublica.gov.co/eva/gestornormativo/norma.php?i=77653" TargetMode="External"/><Relationship Id="rId13" Type="http://schemas.openxmlformats.org/officeDocument/2006/relationships/hyperlink" Target="https://data.iadb.org/dataset/dataset-of-sanctioned-firms-and-individuals" TargetMode="External"/><Relationship Id="rId3" Type="http://schemas.openxmlformats.org/officeDocument/2006/relationships/hyperlink" Target="https://colaboracion.dnp.gov.co/cdt/conpes/econ%C3%B3micos/3934.pdf" TargetMode="External"/><Relationship Id="rId7" Type="http://schemas.openxmlformats.org/officeDocument/2006/relationships/hyperlink" Target="https://www.funcionpublica.gov.co/eva/gestornormativo/norma.php?i=77653" TargetMode="External"/><Relationship Id="rId12" Type="http://schemas.openxmlformats.org/officeDocument/2006/relationships/hyperlink" Target="https://www.worldbank.org/en/projects-operations/procurement/debarred-firms" TargetMode="External"/><Relationship Id="rId2" Type="http://schemas.openxmlformats.org/officeDocument/2006/relationships/hyperlink" Target="https://colaboracion.dnp.gov.co/CDT/Conpes/Econ%C3%B3micos/3918.pdf" TargetMode="External"/><Relationship Id="rId16" Type="http://schemas.openxmlformats.org/officeDocument/2006/relationships/hyperlink" Target="https://www.iadb.org/en/news/cross-debarment-new-global-tool-against-corruption" TargetMode="External"/><Relationship Id="rId1" Type="http://schemas.openxmlformats.org/officeDocument/2006/relationships/hyperlink" Target="http://www.secretariasenado.gov.co/senado/basedoc/decreto_0019_2012_pr004.html" TargetMode="External"/><Relationship Id="rId6" Type="http://schemas.openxmlformats.org/officeDocument/2006/relationships/hyperlink" Target="https://www.funcionpublica.gov.co/eva/gestornormativo/norma.php?i=77653" TargetMode="External"/><Relationship Id="rId11" Type="http://schemas.openxmlformats.org/officeDocument/2006/relationships/hyperlink" Target="https://blogs.worldbank.org/en/governance/marking-the-15th-anniversary-of-the-multilateral-development-ban" TargetMode="External"/><Relationship Id="rId5" Type="http://schemas.openxmlformats.org/officeDocument/2006/relationships/hyperlink" Target="https://www.minambiente.gov.co/asuntos-ambientales-sectorial-y-urbana/compras-publicas-sostenibles/" TargetMode="External"/><Relationship Id="rId15" Type="http://schemas.openxmlformats.org/officeDocument/2006/relationships/hyperlink" Target="https://www.aiib.org/en/about-aiib/who-we-are/debarment-list/index.html" TargetMode="External"/><Relationship Id="rId10" Type="http://schemas.openxmlformats.org/officeDocument/2006/relationships/hyperlink" Target="https://www.funcionpublica.gov.co/eva/gestornormativo/norma.php?i=44643" TargetMode="External"/><Relationship Id="rId4" Type="http://schemas.openxmlformats.org/officeDocument/2006/relationships/hyperlink" Target="https://www.minambiente.gov.co/asuntos-ambientales-sectorial-y-urbana/compras-publicas-sostenibles/" TargetMode="External"/><Relationship Id="rId9" Type="http://schemas.openxmlformats.org/officeDocument/2006/relationships/hyperlink" Target="https://www.funcionpublica.gov.co/eva/gestornormativo/norma.php?i=77653" TargetMode="External"/><Relationship Id="rId14" Type="http://schemas.openxmlformats.org/officeDocument/2006/relationships/hyperlink" Target="https://data.iadb.org/dataset/dataset-of-sanctioned-firms-and-individual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1ED5D6-207C-4CC0-BCBF-28156B34C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103</TotalTime>
  <Pages>42</Pages>
  <Words>15196</Words>
  <Characters>83582</Characters>
  <Application>Microsoft Office Word</Application>
  <DocSecurity>0</DocSecurity>
  <Lines>696</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10</cp:revision>
  <cp:lastPrinted>2023-01-10T21:18:00Z</cp:lastPrinted>
  <dcterms:created xsi:type="dcterms:W3CDTF">2026-09-10T18:21:00Z</dcterms:created>
  <dcterms:modified xsi:type="dcterms:W3CDTF">2026-09-14T14:54:00Z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