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23C8D1" w14:textId="10B51920" w:rsidR="00C910B0" w:rsidRPr="00C910B0" w:rsidRDefault="00C910B0" w:rsidP="00C910B0">
      <w:pPr>
        <w:spacing w:after="0"/>
        <w:jc w:val="both"/>
        <w:rPr>
          <w:rFonts w:ascii="Verdana" w:eastAsia="Verdana" w:hAnsi="Verdana" w:cs="Verdana"/>
        </w:rPr>
      </w:pPr>
      <w:bookmarkStart w:id="0" w:name="_Hlk143780582"/>
      <w:r w:rsidRPr="00C910B0">
        <w:rPr>
          <w:rFonts w:ascii="Verdana" w:eastAsia="Aptos" w:hAnsi="Verdana" w:cs="Arial"/>
          <w:b/>
          <w:color w:val="000000"/>
          <w:kern w:val="2"/>
          <w:lang w:val="es-ES_tradnl"/>
          <w14:ligatures w14:val="standardContextual"/>
        </w:rPr>
        <w:t>DOCUMENTOS TIPO – Fundamento normativo</w:t>
      </w:r>
    </w:p>
    <w:p w14:paraId="20DBBF29" w14:textId="77777777" w:rsidR="00C910B0" w:rsidRPr="00C910B0" w:rsidRDefault="00C910B0" w:rsidP="00C910B0">
      <w:pPr>
        <w:spacing w:after="0" w:line="276" w:lineRule="auto"/>
        <w:jc w:val="both"/>
        <w:rPr>
          <w:rFonts w:ascii="Verdana" w:eastAsia="Aptos" w:hAnsi="Verdana" w:cs="Arial"/>
          <w:b/>
          <w:color w:val="000000"/>
          <w:kern w:val="2"/>
          <w:lang w:val="es-ES_tradnl"/>
          <w14:ligatures w14:val="standardContextual"/>
        </w:rPr>
      </w:pPr>
    </w:p>
    <w:p w14:paraId="29415B71" w14:textId="206E3F8D" w:rsidR="00C910B0" w:rsidRPr="00C910B0" w:rsidRDefault="003D1D35" w:rsidP="00C910B0">
      <w:pPr>
        <w:snapToGrid w:val="0"/>
        <w:spacing w:after="0" w:line="240" w:lineRule="auto"/>
        <w:jc w:val="both"/>
        <w:rPr>
          <w:rFonts w:ascii="Verdana" w:eastAsia="Calibri" w:hAnsi="Verdana" w:cs="Times New Roman"/>
          <w:kern w:val="2"/>
          <w:sz w:val="20"/>
          <w:szCs w:val="20"/>
          <w:lang w:val="es-ES_tradnl"/>
          <w14:ligatures w14:val="standardContextual"/>
        </w:rPr>
      </w:pPr>
      <w:r w:rsidRPr="003D1D35">
        <w:rPr>
          <w:rFonts w:ascii="Verdana" w:eastAsia="Calibri" w:hAnsi="Verdana" w:cs="Arial"/>
          <w:kern w:val="2"/>
          <w:sz w:val="20"/>
          <w:szCs w:val="20"/>
          <w:lang w:val="es-ES_tradnl"/>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4B5DC5D5" w14:textId="77777777" w:rsidR="00C910B0" w:rsidRPr="00C910B0" w:rsidRDefault="00C910B0" w:rsidP="00C910B0">
      <w:pPr>
        <w:spacing w:after="0" w:line="276" w:lineRule="auto"/>
        <w:jc w:val="both"/>
        <w:rPr>
          <w:rFonts w:ascii="Verdana" w:eastAsia="Aptos" w:hAnsi="Verdana" w:cs="Arial"/>
          <w:b/>
          <w:color w:val="000000"/>
          <w:kern w:val="2"/>
          <w:lang w:val="es-ES_tradnl"/>
          <w14:ligatures w14:val="standardContextual"/>
        </w:rPr>
      </w:pPr>
    </w:p>
    <w:p w14:paraId="677B56AA" w14:textId="77777777" w:rsidR="00C910B0" w:rsidRPr="00C910B0" w:rsidRDefault="00C910B0" w:rsidP="00C910B0">
      <w:pPr>
        <w:spacing w:after="0" w:line="276" w:lineRule="auto"/>
        <w:jc w:val="both"/>
        <w:rPr>
          <w:rFonts w:ascii="Verdana" w:eastAsia="Aptos" w:hAnsi="Verdana" w:cs="Arial"/>
          <w:b/>
          <w:color w:val="000000"/>
          <w:kern w:val="2"/>
          <w:lang w:val="es-ES_tradnl"/>
          <w14:ligatures w14:val="standardContextual"/>
        </w:rPr>
      </w:pPr>
      <w:r w:rsidRPr="00C910B0">
        <w:rPr>
          <w:rFonts w:ascii="Verdana" w:eastAsia="Aptos" w:hAnsi="Verdana" w:cs="Arial"/>
          <w:b/>
          <w:color w:val="000000"/>
          <w:kern w:val="2"/>
          <w:lang w:val="es-ES_tradnl"/>
          <w14:ligatures w14:val="standardContextual"/>
        </w:rPr>
        <w:t>DOCUMENTOS TIPO – Infraestructura de transporte – Experiencia</w:t>
      </w:r>
    </w:p>
    <w:p w14:paraId="01B8B33E" w14:textId="77777777" w:rsidR="00C910B0" w:rsidRPr="00C910B0" w:rsidRDefault="00C910B0" w:rsidP="00C910B0">
      <w:pPr>
        <w:spacing w:after="0" w:line="276" w:lineRule="auto"/>
        <w:jc w:val="both"/>
        <w:rPr>
          <w:rFonts w:ascii="Verdana" w:eastAsia="Aptos" w:hAnsi="Verdana" w:cs="Arial"/>
          <w:b/>
          <w:color w:val="000000"/>
          <w:kern w:val="2"/>
          <w:lang w:val="es-ES_tradnl"/>
          <w14:ligatures w14:val="standardContextual"/>
        </w:rPr>
      </w:pPr>
    </w:p>
    <w:p w14:paraId="337CE6B3" w14:textId="77777777" w:rsidR="003D1D35" w:rsidRPr="00545E4F" w:rsidRDefault="003D1D35" w:rsidP="003D1D35">
      <w:pPr>
        <w:snapToGrid w:val="0"/>
        <w:spacing w:after="0" w:line="240" w:lineRule="auto"/>
        <w:jc w:val="both"/>
        <w:rPr>
          <w:rFonts w:ascii="Verdana" w:eastAsia="Times New Roman" w:hAnsi="Verdana" w:cs="Aptos"/>
          <w:iCs/>
          <w:color w:val="000000"/>
          <w:sz w:val="20"/>
          <w:szCs w:val="20"/>
          <w:lang w:val="es-ES" w:eastAsia="es-MX"/>
        </w:rPr>
      </w:pPr>
      <w:r w:rsidRPr="00545E4F">
        <w:rPr>
          <w:rFonts w:ascii="Verdana" w:eastAsia="Times New Roman" w:hAnsi="Verdana" w:cs="Aptos"/>
          <w:iCs/>
          <w:color w:val="000000"/>
          <w:sz w:val="20"/>
          <w:szCs w:val="20"/>
          <w:lang w:val="es-ES" w:eastAsia="es-MX"/>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545E4F">
        <w:rPr>
          <w:rFonts w:ascii="Verdana" w:eastAsia="Times New Roman" w:hAnsi="Verdana" w:cs="Aptos"/>
          <w:iCs/>
          <w:color w:val="000000"/>
          <w:sz w:val="20"/>
          <w:szCs w:val="20"/>
          <w:lang w:val="es-ES" w:eastAsia="es-MX"/>
        </w:rPr>
        <w:t>ii</w:t>
      </w:r>
      <w:proofErr w:type="spellEnd"/>
      <w:r w:rsidRPr="00545E4F">
        <w:rPr>
          <w:rFonts w:ascii="Verdana" w:eastAsia="Times New Roman" w:hAnsi="Verdana" w:cs="Aptos"/>
          <w:iCs/>
          <w:color w:val="000000"/>
          <w:sz w:val="20"/>
          <w:szCs w:val="20"/>
          <w:lang w:val="es-ES" w:eastAsia="es-MX"/>
        </w:rPr>
        <w:t xml:space="preserve">) la actividad a contratar y </w:t>
      </w:r>
      <w:proofErr w:type="spellStart"/>
      <w:r w:rsidRPr="00545E4F">
        <w:rPr>
          <w:rFonts w:ascii="Verdana" w:eastAsia="Times New Roman" w:hAnsi="Verdana" w:cs="Aptos"/>
          <w:iCs/>
          <w:color w:val="000000"/>
          <w:sz w:val="20"/>
          <w:szCs w:val="20"/>
          <w:lang w:val="es-ES" w:eastAsia="es-MX"/>
        </w:rPr>
        <w:t>iii</w:t>
      </w:r>
      <w:proofErr w:type="spellEnd"/>
      <w:r w:rsidRPr="00545E4F">
        <w:rPr>
          <w:rFonts w:ascii="Verdana" w:eastAsia="Times New Roman" w:hAnsi="Verdana" w:cs="Aptos"/>
          <w:iCs/>
          <w:color w:val="000000"/>
          <w:sz w:val="20"/>
          <w:szCs w:val="20"/>
          <w:lang w:val="es-ES" w:eastAsia="es-MX"/>
        </w:rPr>
        <w:t>) la cuantía del proceso de contratación.</w:t>
      </w:r>
    </w:p>
    <w:p w14:paraId="7D608739" w14:textId="77777777" w:rsidR="00545E4F" w:rsidRPr="00545E4F" w:rsidRDefault="00545E4F" w:rsidP="003D1D35">
      <w:pPr>
        <w:snapToGrid w:val="0"/>
        <w:spacing w:after="0" w:line="240" w:lineRule="auto"/>
        <w:jc w:val="both"/>
        <w:rPr>
          <w:rFonts w:ascii="Verdana" w:eastAsia="Times New Roman" w:hAnsi="Verdana" w:cs="Aptos"/>
          <w:iCs/>
          <w:color w:val="000000"/>
          <w:sz w:val="20"/>
          <w:szCs w:val="20"/>
          <w:lang w:val="es-ES" w:eastAsia="es-MX"/>
        </w:rPr>
      </w:pPr>
    </w:p>
    <w:p w14:paraId="067B5DA3" w14:textId="4B1846CA" w:rsidR="00C910B0" w:rsidRPr="00545E4F" w:rsidRDefault="003D1D35" w:rsidP="003D1D35">
      <w:pPr>
        <w:snapToGrid w:val="0"/>
        <w:spacing w:after="0" w:line="240" w:lineRule="auto"/>
        <w:jc w:val="both"/>
        <w:rPr>
          <w:rFonts w:ascii="Verdana" w:eastAsia="Times New Roman" w:hAnsi="Verdana" w:cs="Aptos"/>
          <w:iCs/>
          <w:color w:val="000000"/>
          <w:sz w:val="20"/>
          <w:szCs w:val="20"/>
          <w:lang w:val="es-ES" w:eastAsia="es-MX"/>
        </w:rPr>
      </w:pPr>
      <w:r w:rsidRPr="00545E4F">
        <w:rPr>
          <w:rFonts w:ascii="Verdana" w:eastAsia="Times New Roman" w:hAnsi="Verdana" w:cs="Aptos"/>
          <w:iCs/>
          <w:color w:val="000000"/>
          <w:sz w:val="20"/>
          <w:szCs w:val="20"/>
          <w:lang w:val="es-ES" w:eastAsia="es-MX"/>
        </w:rPr>
        <w:t xml:space="preserve">Por su parte, el numeral 3.5 “EXPERIENCIA” del documento base de los documentos tipo de infraestructura de transporte indica que los proponentes deben acreditar la experiencia a través de los siguientes documentos: i) la información consignada en el RUP para aquellos que estén obligados a tenerlo, </w:t>
      </w:r>
      <w:proofErr w:type="spellStart"/>
      <w:r w:rsidRPr="00545E4F">
        <w:rPr>
          <w:rFonts w:ascii="Verdana" w:eastAsia="Times New Roman" w:hAnsi="Verdana" w:cs="Aptos"/>
          <w:iCs/>
          <w:color w:val="000000"/>
          <w:sz w:val="20"/>
          <w:szCs w:val="20"/>
          <w:lang w:val="es-ES" w:eastAsia="es-MX"/>
        </w:rPr>
        <w:t>ii</w:t>
      </w:r>
      <w:proofErr w:type="spellEnd"/>
      <w:r w:rsidRPr="00545E4F">
        <w:rPr>
          <w:rFonts w:ascii="Verdana" w:eastAsia="Times New Roman" w:hAnsi="Verdana" w:cs="Aptos"/>
          <w:iCs/>
          <w:color w:val="000000"/>
          <w:sz w:val="20"/>
          <w:szCs w:val="20"/>
          <w:lang w:val="es-ES" w:eastAsia="es-MX"/>
        </w:rPr>
        <w:t>) la presentación el Formato 3 – Experiencia para todos los proponentes y (</w:t>
      </w:r>
      <w:proofErr w:type="spellStart"/>
      <w:r w:rsidRPr="00545E4F">
        <w:rPr>
          <w:rFonts w:ascii="Verdana" w:eastAsia="Times New Roman" w:hAnsi="Verdana" w:cs="Aptos"/>
          <w:iCs/>
          <w:color w:val="000000"/>
          <w:sz w:val="20"/>
          <w:szCs w:val="20"/>
          <w:lang w:val="es-ES" w:eastAsia="es-MX"/>
        </w:rPr>
        <w:t>iii</w:t>
      </w:r>
      <w:proofErr w:type="spellEnd"/>
      <w:r w:rsidRPr="00545E4F">
        <w:rPr>
          <w:rFonts w:ascii="Verdana" w:eastAsia="Times New Roman" w:hAnsi="Verdana" w:cs="Aptos"/>
          <w:iCs/>
          <w:color w:val="000000"/>
          <w:sz w:val="20"/>
          <w:szCs w:val="20"/>
          <w:lang w:val="es-ES" w:eastAsia="es-MX"/>
        </w:rPr>
        <w:t>) alguno de los documentos válidos para la acreditación de la experiencia señalados en el numeral 3.5.6 cuando se requiera la verificación de información del proponente adicional a la contenida en el RUP. Adicionalmente, en el numeral 3.5.5 “ACREDITACIÓN DE LA EXPERIENCIA REQUERIDA” señala la información que deben presentar los proponentes para efectos de acreditar la experiencia en cada uno de los contratos que se presenten.</w:t>
      </w:r>
    </w:p>
    <w:p w14:paraId="45C3F095" w14:textId="77777777" w:rsidR="00C910B0" w:rsidRPr="00C910B0" w:rsidRDefault="00C910B0" w:rsidP="00C910B0">
      <w:pPr>
        <w:spacing w:after="0" w:line="276" w:lineRule="auto"/>
        <w:jc w:val="both"/>
        <w:rPr>
          <w:rFonts w:ascii="Verdana" w:eastAsia="Aptos" w:hAnsi="Verdana" w:cs="Arial"/>
          <w:b/>
          <w:color w:val="000000"/>
          <w:kern w:val="2"/>
          <w:lang w:val="es-ES_tradnl"/>
          <w14:ligatures w14:val="standardContextual"/>
        </w:rPr>
      </w:pPr>
    </w:p>
    <w:p w14:paraId="08F17114" w14:textId="77777777" w:rsidR="00C910B0" w:rsidRPr="00C910B0" w:rsidRDefault="00C910B0" w:rsidP="00C910B0">
      <w:pPr>
        <w:spacing w:after="0" w:line="276" w:lineRule="auto"/>
        <w:jc w:val="both"/>
        <w:rPr>
          <w:rFonts w:ascii="Verdana" w:eastAsia="Aptos" w:hAnsi="Verdana" w:cs="Arial"/>
          <w:b/>
          <w:color w:val="000000"/>
          <w:kern w:val="2"/>
          <w:lang w:val="es-ES_tradnl"/>
          <w14:ligatures w14:val="standardContextual"/>
        </w:rPr>
      </w:pPr>
      <w:r w:rsidRPr="00C910B0">
        <w:rPr>
          <w:rFonts w:ascii="Verdana" w:eastAsia="Aptos" w:hAnsi="Verdana" w:cs="Arial"/>
          <w:b/>
          <w:color w:val="000000"/>
          <w:kern w:val="2"/>
          <w:lang w:val="es-ES_tradnl"/>
          <w14:ligatures w14:val="standardContextual"/>
        </w:rPr>
        <w:t>DOCUMENTOS TIPO DE INFRAESTRUCTURA DE TRANSPORTE – Acreditación de la experiencia requerida – Documentos válidos para acreditar la experiencia</w:t>
      </w:r>
    </w:p>
    <w:p w14:paraId="318BC3CA" w14:textId="77777777" w:rsidR="00C910B0" w:rsidRPr="00C910B0" w:rsidRDefault="00C910B0" w:rsidP="00C910B0">
      <w:pPr>
        <w:spacing w:after="0" w:line="276" w:lineRule="auto"/>
        <w:jc w:val="both"/>
        <w:rPr>
          <w:rFonts w:ascii="Verdana" w:eastAsia="Aptos" w:hAnsi="Verdana" w:cs="Arial"/>
          <w:b/>
          <w:color w:val="000000"/>
          <w:kern w:val="2"/>
          <w:lang w:val="es-ES_tradnl"/>
          <w14:ligatures w14:val="standardContextual"/>
        </w:rPr>
      </w:pPr>
    </w:p>
    <w:p w14:paraId="59E2E6B6" w14:textId="2ED111C1" w:rsidR="00C910B0" w:rsidRPr="00545E4F" w:rsidRDefault="00545E4F" w:rsidP="00545E4F">
      <w:pPr>
        <w:spacing w:after="0" w:line="240" w:lineRule="auto"/>
        <w:jc w:val="both"/>
        <w:rPr>
          <w:rFonts w:ascii="Verdana" w:eastAsia="Aptos" w:hAnsi="Verdana" w:cs="Times New Roman"/>
          <w:kern w:val="2"/>
          <w:sz w:val="20"/>
          <w:szCs w:val="20"/>
          <w:lang w:val="es-ES_tradnl"/>
          <w14:ligatures w14:val="standardContextual"/>
        </w:rPr>
      </w:pPr>
      <w:r w:rsidRPr="00545E4F">
        <w:rPr>
          <w:rFonts w:ascii="Verdana" w:eastAsia="Arial" w:hAnsi="Verdana" w:cs="Calibri"/>
          <w:sz w:val="20"/>
          <w:szCs w:val="20"/>
          <w:lang w:eastAsia="es-ES"/>
        </w:rPr>
        <w:t>Teniendo en cuenta su consulta,</w:t>
      </w:r>
      <w:r w:rsidRPr="00545E4F">
        <w:rPr>
          <w:rFonts w:ascii="Verdana" w:eastAsia="Aptos" w:hAnsi="Verdana" w:cs="Times New Roman"/>
          <w:kern w:val="2"/>
          <w:sz w:val="20"/>
          <w:szCs w:val="20"/>
          <w:lang w:val="es-ES_tradnl"/>
          <w14:ligatures w14:val="standardContextual"/>
        </w:rPr>
        <w:t xml:space="preserve"> conviene señalar que, dentro del numeral 3.5.6. “DOCUMENTOS VÁLIDOS PARA LA ACREDITACIÓN DE LA EXPERIENCIA REQUERIDA” del documento base de los documentos tipo de infraestructura de transporte, se indica que 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Esos documentos deberán estar debidamente diligenciados y suscritos por el contratante, el contratista o el interventor, según corresponda, y en caso de existir discrepancias entre dos (2) o más documentos </w:t>
      </w:r>
      <w:r w:rsidRPr="00545E4F">
        <w:rPr>
          <w:rFonts w:ascii="Verdana" w:eastAsia="Aptos" w:hAnsi="Verdana" w:cs="Times New Roman"/>
          <w:kern w:val="2"/>
          <w:sz w:val="20"/>
          <w:szCs w:val="20"/>
          <w:lang w:val="es-ES_tradnl"/>
          <w14:ligatures w14:val="standardContextual"/>
        </w:rPr>
        <w:lastRenderedPageBreak/>
        <w:t>aportados por el Proponente para la acreditación de experiencia, se tendrá en cuenta el orden de prevalencia establecido a continuación:</w:t>
      </w:r>
    </w:p>
    <w:p w14:paraId="70B9B526" w14:textId="77777777" w:rsidR="00C910B0" w:rsidRPr="00545E4F" w:rsidRDefault="00C910B0" w:rsidP="00545E4F">
      <w:pPr>
        <w:spacing w:after="0" w:line="240" w:lineRule="auto"/>
        <w:ind w:right="709"/>
        <w:jc w:val="both"/>
        <w:rPr>
          <w:rFonts w:ascii="Verdana" w:eastAsia="Aptos" w:hAnsi="Verdana" w:cs="Times New Roman"/>
          <w:kern w:val="2"/>
          <w:sz w:val="20"/>
          <w:szCs w:val="20"/>
          <w:lang w:val="es-ES_tradnl"/>
          <w14:ligatures w14:val="standardContextual"/>
        </w:rPr>
      </w:pPr>
      <w:r w:rsidRPr="00545E4F">
        <w:rPr>
          <w:rFonts w:ascii="Verdana" w:eastAsia="Aptos" w:hAnsi="Verdana" w:cs="Times New Roman"/>
          <w:kern w:val="2"/>
          <w:sz w:val="20"/>
          <w:szCs w:val="20"/>
          <w:lang w:val="es-ES_tradnl"/>
          <w14:ligatures w14:val="standardContextual"/>
        </w:rPr>
        <w:t>[…]</w:t>
      </w:r>
    </w:p>
    <w:p w14:paraId="1F675543" w14:textId="4F399F06" w:rsidR="00C910B0" w:rsidRPr="00545E4F" w:rsidRDefault="00545E4F" w:rsidP="00545E4F">
      <w:pPr>
        <w:spacing w:after="0" w:line="240" w:lineRule="auto"/>
        <w:jc w:val="both"/>
        <w:rPr>
          <w:rFonts w:ascii="Verdana" w:eastAsia="Aptos" w:hAnsi="Verdana" w:cs="Times New Roman"/>
          <w:kern w:val="2"/>
          <w:sz w:val="20"/>
          <w:szCs w:val="20"/>
          <w:lang w:val="es-ES_tradnl"/>
          <w14:ligatures w14:val="standardContextual"/>
        </w:rPr>
      </w:pPr>
      <w:r w:rsidRPr="00545E4F">
        <w:rPr>
          <w:rFonts w:ascii="Verdana" w:eastAsia="Aptos" w:hAnsi="Verdana" w:cs="Times New Roman"/>
          <w:kern w:val="2"/>
          <w:sz w:val="20"/>
          <w:szCs w:val="20"/>
          <w:lang w:val="es-ES_tradnl"/>
          <w14:ligatures w14:val="standardContextual"/>
        </w:rPr>
        <w:t>Y, dentro del numeral 3.5.5. “ACREDITACIÓN DE LA EXPERIENCIA REQUERIDA” del Documento Base, se indica que los Proponentes acreditarán para cada uno de los contratos aportados la siguiente información mediante alguno o algunos, de los documentos señalados en la sección 3.5.6 del Pliego de Condiciones</w:t>
      </w:r>
      <w:r w:rsidR="00C910B0" w:rsidRPr="00545E4F">
        <w:rPr>
          <w:rFonts w:ascii="Verdana" w:eastAsia="Aptos" w:hAnsi="Verdana" w:cs="Times New Roman"/>
          <w:kern w:val="2"/>
          <w:sz w:val="20"/>
          <w:szCs w:val="20"/>
          <w:lang w:val="es-ES_tradnl"/>
          <w14:ligatures w14:val="standardContextual"/>
        </w:rPr>
        <w:t>: […]</w:t>
      </w:r>
    </w:p>
    <w:p w14:paraId="5A3EB8E4" w14:textId="77777777" w:rsidR="00C910B0" w:rsidRPr="00C910B0" w:rsidRDefault="00C910B0" w:rsidP="00C910B0">
      <w:pPr>
        <w:spacing w:after="0" w:line="240" w:lineRule="auto"/>
        <w:jc w:val="both"/>
        <w:rPr>
          <w:rFonts w:ascii="Verdana" w:eastAsia="Calibri" w:hAnsi="Verdana" w:cs="Times New Roman"/>
          <w:lang w:val="es-ES_tradnl"/>
        </w:rPr>
      </w:pPr>
    </w:p>
    <w:p w14:paraId="3347DC98" w14:textId="77777777" w:rsidR="00C910B0" w:rsidRPr="00C910B0" w:rsidRDefault="00C910B0" w:rsidP="00C910B0">
      <w:pPr>
        <w:spacing w:after="0" w:line="240" w:lineRule="auto"/>
        <w:jc w:val="both"/>
        <w:rPr>
          <w:rFonts w:ascii="Verdana" w:eastAsia="Calibri" w:hAnsi="Verdana" w:cs="Times New Roman"/>
          <w:lang w:val="es-ES_tradnl"/>
        </w:rPr>
      </w:pPr>
      <w:r w:rsidRPr="00C910B0">
        <w:rPr>
          <w:rFonts w:ascii="Verdana" w:eastAsia="Aptos" w:hAnsi="Verdana" w:cs="Arial"/>
          <w:b/>
          <w:color w:val="000000"/>
          <w:kern w:val="2"/>
          <w:lang w:val="es-ES_tradnl"/>
          <w14:ligatures w14:val="standardContextual"/>
        </w:rPr>
        <w:t>DOCUMENTOS TIPO DE INFRAESTRUCTURA DE TRANSPORTE – Acreditación de la experiencia – Reclasificación de una vía – Efectos frente a la experiencia por acreditar</w:t>
      </w:r>
    </w:p>
    <w:p w14:paraId="66E67DEC" w14:textId="77777777" w:rsidR="00C910B0" w:rsidRPr="00C910B0" w:rsidRDefault="00C910B0" w:rsidP="00C910B0">
      <w:pPr>
        <w:spacing w:after="0" w:line="240" w:lineRule="auto"/>
        <w:jc w:val="both"/>
        <w:rPr>
          <w:rFonts w:ascii="Verdana" w:eastAsia="Calibri" w:hAnsi="Verdana" w:cs="Times New Roman"/>
          <w:lang w:val="es-ES_tradnl"/>
        </w:rPr>
      </w:pPr>
    </w:p>
    <w:p w14:paraId="1C0D0273" w14:textId="77777777" w:rsidR="00545E4F" w:rsidRDefault="00C910B0" w:rsidP="00545E4F">
      <w:pPr>
        <w:snapToGrid w:val="0"/>
        <w:spacing w:after="0" w:line="240" w:lineRule="auto"/>
        <w:jc w:val="both"/>
        <w:rPr>
          <w:rFonts w:ascii="Verdana" w:eastAsia="Times New Roman" w:hAnsi="Verdana" w:cs="Times New Roman"/>
          <w:color w:val="000000"/>
          <w:sz w:val="20"/>
          <w:szCs w:val="20"/>
          <w:lang w:eastAsia="es-MX"/>
        </w:rPr>
      </w:pPr>
      <w:r w:rsidRPr="00545E4F">
        <w:rPr>
          <w:rFonts w:ascii="Verdana" w:eastAsia="Times New Roman" w:hAnsi="Verdana" w:cs="Times New Roman"/>
          <w:color w:val="000000"/>
          <w:sz w:val="20"/>
          <w:szCs w:val="20"/>
          <w:lang w:eastAsia="es-MX"/>
        </w:rPr>
        <w:t xml:space="preserve">[…] </w:t>
      </w:r>
      <w:r w:rsidR="00545E4F" w:rsidRPr="00545E4F">
        <w:rPr>
          <w:rFonts w:ascii="Verdana" w:eastAsia="Times New Roman" w:hAnsi="Verdana" w:cs="Times New Roman"/>
          <w:color w:val="000000"/>
          <w:sz w:val="20"/>
          <w:szCs w:val="20"/>
          <w:lang w:eastAsia="es-MX"/>
        </w:rPr>
        <w:t>la acreditación de experiencia debe permitir identificar las actividades ejecutadas, las longitudes, dimensiones, tipologías y demás condiciones exigidas por la Matriz 1, además de las fechas de ejecución del contrato.  Así las cosas, el criterio que ofrece mayor coherencia con los principios de objetividad, igualdad, seguridad jurídica y evaluación de la experiencia es que la tipología de la infraestructura vial se determine con base en la clasificación oficial vigente durante la ejecución del contrato que se presenta como experiencia. En consecuencia, una reclasificación posterior de la vía no debe modificar ni recalificar retrospectivamente la experiencia adquirida por el contratista, sin perjuicio de que la entidad pueda verificar documentalmente cuál era la clasificación oficial aplicable para la época de ejecución del contrato.</w:t>
      </w:r>
    </w:p>
    <w:p w14:paraId="6D6A1FCE" w14:textId="77777777" w:rsidR="00545E4F" w:rsidRPr="00545E4F" w:rsidRDefault="00545E4F" w:rsidP="00545E4F">
      <w:pPr>
        <w:snapToGrid w:val="0"/>
        <w:spacing w:after="0" w:line="240" w:lineRule="auto"/>
        <w:jc w:val="both"/>
        <w:rPr>
          <w:rFonts w:ascii="Verdana" w:eastAsia="Times New Roman" w:hAnsi="Verdana" w:cs="Times New Roman"/>
          <w:color w:val="000000"/>
          <w:sz w:val="20"/>
          <w:szCs w:val="20"/>
          <w:lang w:eastAsia="es-MX"/>
        </w:rPr>
      </w:pPr>
    </w:p>
    <w:p w14:paraId="3A23AB34" w14:textId="77777777" w:rsidR="00545E4F" w:rsidRDefault="00545E4F" w:rsidP="00545E4F">
      <w:pPr>
        <w:snapToGrid w:val="0"/>
        <w:spacing w:after="0" w:line="240" w:lineRule="auto"/>
        <w:jc w:val="both"/>
        <w:rPr>
          <w:rFonts w:ascii="Verdana" w:eastAsia="Times New Roman" w:hAnsi="Verdana" w:cs="Times New Roman"/>
          <w:color w:val="000000"/>
          <w:sz w:val="20"/>
          <w:szCs w:val="20"/>
          <w:lang w:eastAsia="es-MX"/>
        </w:rPr>
      </w:pPr>
      <w:r w:rsidRPr="00545E4F">
        <w:rPr>
          <w:rFonts w:ascii="Verdana" w:eastAsia="Times New Roman" w:hAnsi="Verdana" w:cs="Times New Roman"/>
          <w:color w:val="000000"/>
          <w:sz w:val="20"/>
          <w:szCs w:val="20"/>
          <w:lang w:eastAsia="es-MX"/>
        </w:rPr>
        <w:t>Sin perjuicio de la regla general según la cual la experiencia debe evaluarse conforme a la clasificación oficial vigente durante la ejecución del contrato, se considera necesario diferenciar aquellos casos en los cuales el propio objeto contractual tuvo como finalidad la construcción, mejoramiento o adecuación integral de la infraestructura para que esta adquiriera las condiciones técnicas correspondientes a una categoría superior de la red vial.</w:t>
      </w:r>
    </w:p>
    <w:p w14:paraId="5DD51C3F" w14:textId="77777777" w:rsidR="00545E4F" w:rsidRPr="00545E4F" w:rsidRDefault="00545E4F" w:rsidP="00545E4F">
      <w:pPr>
        <w:snapToGrid w:val="0"/>
        <w:spacing w:after="0" w:line="240" w:lineRule="auto"/>
        <w:jc w:val="both"/>
        <w:rPr>
          <w:rFonts w:ascii="Verdana" w:eastAsia="Times New Roman" w:hAnsi="Verdana" w:cs="Times New Roman"/>
          <w:color w:val="000000"/>
          <w:sz w:val="20"/>
          <w:szCs w:val="20"/>
          <w:lang w:eastAsia="es-MX"/>
        </w:rPr>
      </w:pPr>
    </w:p>
    <w:p w14:paraId="7EE4C4C9" w14:textId="4BAD83DB" w:rsidR="00C910B0" w:rsidRPr="00545E4F" w:rsidRDefault="00545E4F" w:rsidP="00545E4F">
      <w:pPr>
        <w:snapToGrid w:val="0"/>
        <w:spacing w:after="0" w:line="240" w:lineRule="auto"/>
        <w:jc w:val="both"/>
        <w:rPr>
          <w:rFonts w:ascii="Verdana" w:eastAsia="Times New Roman" w:hAnsi="Verdana" w:cs="Times New Roman"/>
          <w:color w:val="000000"/>
          <w:sz w:val="20"/>
          <w:szCs w:val="20"/>
          <w:lang w:eastAsia="es-MX"/>
        </w:rPr>
      </w:pPr>
      <w:r w:rsidRPr="00545E4F">
        <w:rPr>
          <w:rFonts w:ascii="Verdana" w:eastAsia="Times New Roman" w:hAnsi="Verdana" w:cs="Times New Roman"/>
          <w:color w:val="000000"/>
          <w:sz w:val="20"/>
          <w:szCs w:val="20"/>
          <w:lang w:eastAsia="es-MX"/>
        </w:rPr>
        <w:t xml:space="preserve">En estos eventos, si como consecuencia directa de las obras ejecutadas en desarrollo del contrato la vía fue incorporada o reclasificada oficialmente dentro de una categoría superior, podría entenderse que la experiencia acreditada guarda correspondencia con la condición final de la infraestructura resultante de la ejecución contractual, siempre que exista evidencia objetiva de que: </w:t>
      </w:r>
      <w:r w:rsidR="00C910B0" w:rsidRPr="00545E4F">
        <w:rPr>
          <w:rFonts w:ascii="Verdana" w:eastAsia="Times New Roman" w:hAnsi="Verdana" w:cs="Times New Roman"/>
          <w:color w:val="000000"/>
          <w:sz w:val="20"/>
          <w:szCs w:val="20"/>
          <w:lang w:eastAsia="es-MX"/>
        </w:rPr>
        <w:t>[…]</w:t>
      </w:r>
    </w:p>
    <w:p w14:paraId="295E5F83" w14:textId="77777777" w:rsidR="00C910B0" w:rsidRPr="00C910B0" w:rsidRDefault="00C910B0" w:rsidP="00C910B0">
      <w:pPr>
        <w:spacing w:after="0" w:line="240" w:lineRule="auto"/>
        <w:jc w:val="both"/>
        <w:rPr>
          <w:rFonts w:ascii="Verdana" w:eastAsia="Calibri" w:hAnsi="Verdana" w:cs="Times New Roman"/>
          <w:lang w:val="es-ES_tradnl"/>
        </w:rPr>
      </w:pPr>
    </w:p>
    <w:p w14:paraId="2482EE3F" w14:textId="77777777" w:rsidR="00C910B0" w:rsidRPr="00C910B0" w:rsidRDefault="00C910B0" w:rsidP="00C910B0">
      <w:pPr>
        <w:spacing w:after="0" w:line="240" w:lineRule="auto"/>
        <w:jc w:val="both"/>
        <w:rPr>
          <w:rFonts w:ascii="Verdana" w:eastAsia="Calibri" w:hAnsi="Verdana" w:cs="Times New Roman"/>
          <w:lang w:val="es-ES_tradnl"/>
        </w:rPr>
      </w:pPr>
    </w:p>
    <w:p w14:paraId="4DFAAF91" w14:textId="77777777" w:rsidR="00C910B0" w:rsidRPr="00C910B0" w:rsidRDefault="00C910B0" w:rsidP="00C910B0">
      <w:pPr>
        <w:spacing w:after="0" w:line="240" w:lineRule="auto"/>
        <w:jc w:val="both"/>
        <w:rPr>
          <w:rFonts w:ascii="Verdana" w:eastAsia="Calibri" w:hAnsi="Verdana" w:cs="Times New Roman"/>
          <w:lang w:val="es-ES_tradnl"/>
        </w:rPr>
      </w:pPr>
    </w:p>
    <w:p w14:paraId="252E2EDC" w14:textId="77777777" w:rsidR="00C910B0" w:rsidRPr="00C910B0" w:rsidRDefault="00C910B0" w:rsidP="00C910B0">
      <w:pPr>
        <w:spacing w:after="0" w:line="240" w:lineRule="auto"/>
        <w:jc w:val="both"/>
        <w:rPr>
          <w:rFonts w:ascii="Verdana" w:eastAsia="Calibri" w:hAnsi="Verdana" w:cs="Times New Roman"/>
          <w:lang w:val="es-ES_tradnl"/>
        </w:rPr>
      </w:pPr>
    </w:p>
    <w:p w14:paraId="77C877F3" w14:textId="77777777" w:rsidR="00C910B0" w:rsidRPr="00C910B0" w:rsidRDefault="00C910B0" w:rsidP="00C910B0">
      <w:pPr>
        <w:spacing w:after="0" w:line="240" w:lineRule="auto"/>
        <w:jc w:val="both"/>
        <w:rPr>
          <w:rFonts w:ascii="Verdana" w:eastAsia="Calibri" w:hAnsi="Verdana" w:cs="Times New Roman"/>
          <w:lang w:val="es-ES_tradnl"/>
        </w:rPr>
      </w:pPr>
    </w:p>
    <w:p w14:paraId="60AE90CC" w14:textId="77777777" w:rsidR="00C910B0" w:rsidRPr="00C910B0" w:rsidRDefault="00C910B0" w:rsidP="00C910B0">
      <w:pPr>
        <w:spacing w:after="0" w:line="240" w:lineRule="auto"/>
        <w:jc w:val="both"/>
        <w:rPr>
          <w:rFonts w:ascii="Verdana" w:eastAsia="Calibri" w:hAnsi="Verdana" w:cs="Times New Roman"/>
          <w:lang w:val="es-ES_tradnl"/>
        </w:rPr>
      </w:pPr>
    </w:p>
    <w:p w14:paraId="23F5D520" w14:textId="77777777" w:rsidR="00C910B0" w:rsidRPr="00C910B0" w:rsidRDefault="00C910B0" w:rsidP="00C910B0">
      <w:pPr>
        <w:spacing w:after="0" w:line="240" w:lineRule="auto"/>
        <w:jc w:val="both"/>
        <w:rPr>
          <w:rFonts w:ascii="Verdana" w:eastAsia="Calibri" w:hAnsi="Verdana" w:cs="Times New Roman"/>
          <w:lang w:val="es-ES_tradnl"/>
        </w:rPr>
      </w:pPr>
    </w:p>
    <w:p w14:paraId="28FDFF7F" w14:textId="77777777" w:rsidR="00C910B0" w:rsidRPr="00C910B0" w:rsidRDefault="00C910B0" w:rsidP="00C910B0">
      <w:pPr>
        <w:spacing w:after="0" w:line="240" w:lineRule="auto"/>
        <w:jc w:val="both"/>
        <w:rPr>
          <w:rFonts w:ascii="Verdana" w:eastAsia="Calibri" w:hAnsi="Verdana" w:cs="Times New Roman"/>
          <w:lang w:val="es-ES_tradnl"/>
        </w:rPr>
      </w:pPr>
    </w:p>
    <w:p w14:paraId="2C0306E0" w14:textId="77777777" w:rsidR="00C910B0" w:rsidRDefault="00C910B0" w:rsidP="00C910B0">
      <w:pPr>
        <w:spacing w:after="0" w:line="276" w:lineRule="auto"/>
        <w:jc w:val="both"/>
        <w:rPr>
          <w:rFonts w:ascii="Verdana" w:eastAsia="Calibri" w:hAnsi="Verdana" w:cs="Times New Roman"/>
          <w:lang w:val="es-ES_tradnl"/>
        </w:rPr>
      </w:pPr>
    </w:p>
    <w:p w14:paraId="777E79CC" w14:textId="6192F1AF" w:rsidR="002E604E" w:rsidRDefault="002E604E" w:rsidP="00C910B0">
      <w:pPr>
        <w:spacing w:after="0" w:line="276" w:lineRule="auto"/>
        <w:jc w:val="both"/>
      </w:pPr>
      <w:r w:rsidRPr="30821638">
        <w:rPr>
          <w:rFonts w:ascii="Verdana" w:eastAsia="Verdana" w:hAnsi="Verdana" w:cs="Verdana"/>
        </w:rPr>
        <w:lastRenderedPageBreak/>
        <w:t>Bogotá D.C.,</w:t>
      </w:r>
      <w:r w:rsidR="00D5193F">
        <w:rPr>
          <w:rFonts w:ascii="Verdana" w:eastAsia="Verdana" w:hAnsi="Verdana" w:cs="Verdana"/>
        </w:rPr>
        <w:t xml:space="preserve"> 17 Septiembre 2026</w:t>
      </w:r>
    </w:p>
    <w:p w14:paraId="0B2B8B81" w14:textId="0E8BB8E8" w:rsidR="00C910B0" w:rsidRPr="00C910B0" w:rsidRDefault="00D5193F" w:rsidP="00D5193F">
      <w:pPr>
        <w:spacing w:after="0" w:line="276"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21415FDE" wp14:editId="5D4E9F83">
            <wp:extent cx="2150256" cy="664050"/>
            <wp:effectExtent l="0" t="0" r="0" b="0"/>
            <wp:docPr id="7643992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399234" name="Imagen 76439923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77637" cy="672506"/>
                    </a:xfrm>
                    <a:prstGeom prst="rect">
                      <a:avLst/>
                    </a:prstGeom>
                  </pic:spPr>
                </pic:pic>
              </a:graphicData>
            </a:graphic>
          </wp:inline>
        </w:drawing>
      </w:r>
    </w:p>
    <w:p w14:paraId="20939C52" w14:textId="77777777" w:rsidR="00C910B0" w:rsidRPr="00C910B0" w:rsidRDefault="00C910B0" w:rsidP="00C910B0">
      <w:pPr>
        <w:spacing w:after="0" w:line="240" w:lineRule="auto"/>
        <w:jc w:val="both"/>
        <w:rPr>
          <w:rFonts w:ascii="Verdana" w:eastAsia="Calibri" w:hAnsi="Verdana" w:cs="Arial"/>
          <w:lang w:val="es-ES_tradnl" w:eastAsia="es-ES"/>
        </w:rPr>
      </w:pPr>
      <w:r w:rsidRPr="00C910B0">
        <w:rPr>
          <w:rFonts w:ascii="Verdana" w:eastAsia="Calibri" w:hAnsi="Verdana" w:cs="Arial"/>
          <w:lang w:val="es-ES_tradnl" w:eastAsia="es-ES"/>
        </w:rPr>
        <w:t>Señor(a)</w:t>
      </w:r>
    </w:p>
    <w:p w14:paraId="59E0C211" w14:textId="77777777" w:rsidR="00C910B0" w:rsidRPr="00C910B0" w:rsidRDefault="00C910B0" w:rsidP="00C910B0">
      <w:pPr>
        <w:spacing w:after="0" w:line="240" w:lineRule="auto"/>
        <w:rPr>
          <w:rFonts w:ascii="Verdana" w:eastAsia="Calibri" w:hAnsi="Verdana" w:cs="Arial"/>
          <w:b/>
          <w:lang w:val="es-ES_tradnl" w:eastAsia="es-ES_tradnl"/>
        </w:rPr>
      </w:pPr>
      <w:r w:rsidRPr="00C910B0">
        <w:rPr>
          <w:rFonts w:ascii="Verdana" w:eastAsia="Calibri" w:hAnsi="Verdana" w:cs="Arial"/>
          <w:b/>
          <w:lang w:val="es-ES_tradnl" w:eastAsia="es-ES_tradnl"/>
        </w:rPr>
        <w:t>Ciudadano(a) anónimo(a)</w:t>
      </w:r>
    </w:p>
    <w:p w14:paraId="1E81DC92" w14:textId="77777777" w:rsidR="00C910B0" w:rsidRPr="00C910B0" w:rsidRDefault="00C910B0" w:rsidP="00C910B0">
      <w:pPr>
        <w:spacing w:after="0" w:line="240" w:lineRule="auto"/>
        <w:rPr>
          <w:rFonts w:ascii="Verdana" w:eastAsia="Calibri" w:hAnsi="Verdana" w:cs="Arial"/>
          <w:lang w:val="es-ES_tradnl" w:eastAsia="es-ES"/>
        </w:rPr>
      </w:pPr>
      <w:r w:rsidRPr="00C910B0">
        <w:rPr>
          <w:rFonts w:ascii="Verdana" w:eastAsia="Calibri" w:hAnsi="Verdana" w:cs="Arial"/>
          <w:lang w:val="es-ES_tradnl" w:eastAsia="es-ES"/>
        </w:rPr>
        <w:t>Ciudad</w:t>
      </w:r>
    </w:p>
    <w:p w14:paraId="76F79112" w14:textId="77777777" w:rsidR="00C910B0" w:rsidRPr="00C910B0" w:rsidRDefault="00C910B0" w:rsidP="00C910B0">
      <w:pPr>
        <w:spacing w:after="0" w:line="240" w:lineRule="auto"/>
        <w:rPr>
          <w:rFonts w:ascii="Verdana" w:eastAsia="Calibri" w:hAnsi="Verdana" w:cs="Arial"/>
          <w:b/>
          <w:bCs/>
          <w:lang w:val="es-ES_tradnl" w:eastAsia="es-ES_tradnl"/>
        </w:rPr>
      </w:pPr>
    </w:p>
    <w:p w14:paraId="12855D0C" w14:textId="77777777" w:rsidR="00C910B0" w:rsidRPr="00C910B0" w:rsidRDefault="00C910B0" w:rsidP="00C910B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910B0" w:rsidRPr="00C910B0" w14:paraId="2EB9ACE7" w14:textId="77777777" w:rsidTr="00EA5E15">
        <w:trPr>
          <w:trHeight w:val="884"/>
        </w:trPr>
        <w:tc>
          <w:tcPr>
            <w:tcW w:w="2689" w:type="dxa"/>
          </w:tcPr>
          <w:p w14:paraId="214F526E" w14:textId="77777777" w:rsidR="00C910B0" w:rsidRPr="00C910B0" w:rsidRDefault="00C910B0" w:rsidP="00C910B0">
            <w:pPr>
              <w:jc w:val="both"/>
              <w:rPr>
                <w:rFonts w:ascii="Verdana" w:eastAsia="Calibri" w:hAnsi="Verdana" w:cs="Arial"/>
                <w:b/>
                <w:bCs/>
                <w:lang w:val="es-ES_tradnl" w:eastAsia="es-ES_tradnl"/>
              </w:rPr>
            </w:pPr>
          </w:p>
        </w:tc>
        <w:tc>
          <w:tcPr>
            <w:tcW w:w="6100" w:type="dxa"/>
          </w:tcPr>
          <w:p w14:paraId="7B19FADB" w14:textId="77777777" w:rsidR="00C910B0" w:rsidRPr="00C910B0" w:rsidRDefault="00C910B0" w:rsidP="00C910B0">
            <w:pPr>
              <w:jc w:val="both"/>
              <w:rPr>
                <w:rFonts w:ascii="Verdana" w:eastAsia="Calibri" w:hAnsi="Verdana" w:cs="Arial"/>
                <w:b/>
                <w:bCs/>
                <w:lang w:val="es-ES_tradnl" w:eastAsia="es-ES"/>
              </w:rPr>
            </w:pPr>
            <w:r w:rsidRPr="00C910B0">
              <w:rPr>
                <w:rFonts w:ascii="Verdana" w:eastAsia="Calibri" w:hAnsi="Verdana" w:cs="Arial"/>
                <w:b/>
                <w:bCs/>
                <w:lang w:val="es-ES_tradnl" w:eastAsia="es-ES"/>
              </w:rPr>
              <w:t>Concepto C – 1293 de 2026</w:t>
            </w:r>
          </w:p>
        </w:tc>
      </w:tr>
      <w:tr w:rsidR="00C910B0" w:rsidRPr="00C910B0" w14:paraId="4499691E" w14:textId="77777777" w:rsidTr="00EA5E15">
        <w:trPr>
          <w:trHeight w:val="884"/>
        </w:trPr>
        <w:tc>
          <w:tcPr>
            <w:tcW w:w="2689" w:type="dxa"/>
          </w:tcPr>
          <w:p w14:paraId="242AF1D0" w14:textId="77777777" w:rsidR="00C910B0" w:rsidRPr="00C910B0" w:rsidRDefault="00C910B0" w:rsidP="00C910B0">
            <w:pPr>
              <w:jc w:val="both"/>
              <w:rPr>
                <w:rFonts w:ascii="Verdana" w:eastAsia="Calibri" w:hAnsi="Verdana" w:cs="Arial"/>
                <w:lang w:val="es-ES_tradnl" w:eastAsia="es-ES_tradnl"/>
              </w:rPr>
            </w:pPr>
            <w:r w:rsidRPr="00C910B0">
              <w:rPr>
                <w:rFonts w:ascii="Verdana" w:eastAsia="Calibri" w:hAnsi="Verdana" w:cs="Arial"/>
                <w:b/>
                <w:lang w:val="es-ES_tradnl" w:eastAsia="es-ES_tradnl"/>
              </w:rPr>
              <w:t>Temas:</w:t>
            </w:r>
            <w:r w:rsidRPr="00C910B0">
              <w:rPr>
                <w:rFonts w:ascii="Verdana" w:eastAsia="Calibri" w:hAnsi="Verdana" w:cs="Arial"/>
                <w:lang w:val="es-ES_tradnl" w:eastAsia="es-ES_tradnl"/>
              </w:rPr>
              <w:t xml:space="preserve">                   </w:t>
            </w:r>
          </w:p>
        </w:tc>
        <w:tc>
          <w:tcPr>
            <w:tcW w:w="6100" w:type="dxa"/>
          </w:tcPr>
          <w:p w14:paraId="1E8B6E83" w14:textId="77777777" w:rsidR="00C910B0" w:rsidRPr="00C910B0" w:rsidRDefault="00C910B0" w:rsidP="00C910B0">
            <w:pPr>
              <w:spacing w:line="276" w:lineRule="auto"/>
              <w:jc w:val="both"/>
              <w:rPr>
                <w:rFonts w:ascii="Verdana" w:eastAsia="Calibri" w:hAnsi="Verdana" w:cs="Times New Roman"/>
                <w:bCs/>
                <w:lang w:val="es-ES_tradnl"/>
              </w:rPr>
            </w:pPr>
            <w:r w:rsidRPr="00C910B0">
              <w:rPr>
                <w:rFonts w:ascii="Verdana" w:eastAsia="Aptos" w:hAnsi="Verdana" w:cs="Arial"/>
                <w:bCs/>
                <w:color w:val="000000"/>
                <w:lang w:val="es-ES_tradnl"/>
              </w:rPr>
              <w:t>DOCUMENTOS TIPO – Fundamento normativo / DOCUMENTOS TIPO – Infraestructura de transporte – Experiencia / DOCUMENTOS TIPO DE INFRAESTRUCTURA DE TRANSPORTE – Acreditación de la experiencia requerida – Documentos válidos para acreditar la experiencia / DOCUMENTOS TIPO DE INFRAESTRUCTURA DE TRANSPORTE – Acreditación de la experiencia – Reclasificación de una vía – Efectos frente a la experiencia por acreditar</w:t>
            </w:r>
          </w:p>
          <w:p w14:paraId="661B6909" w14:textId="77777777" w:rsidR="00C910B0" w:rsidRPr="00C910B0" w:rsidRDefault="00C910B0" w:rsidP="00C910B0">
            <w:pPr>
              <w:spacing w:line="276" w:lineRule="auto"/>
              <w:jc w:val="both"/>
              <w:rPr>
                <w:rFonts w:ascii="Verdana" w:eastAsia="Verdana" w:hAnsi="Verdana" w:cs="Verdana"/>
                <w:bCs/>
              </w:rPr>
            </w:pPr>
          </w:p>
        </w:tc>
      </w:tr>
      <w:tr w:rsidR="00C910B0" w:rsidRPr="00C910B0" w14:paraId="55C0F22D" w14:textId="77777777" w:rsidTr="00EA5E15">
        <w:tc>
          <w:tcPr>
            <w:tcW w:w="2689" w:type="dxa"/>
          </w:tcPr>
          <w:p w14:paraId="4C627E7C" w14:textId="77777777" w:rsidR="00C910B0" w:rsidRPr="00C910B0" w:rsidRDefault="00C910B0" w:rsidP="00C910B0">
            <w:pPr>
              <w:jc w:val="both"/>
              <w:rPr>
                <w:rFonts w:ascii="Verdana" w:eastAsia="Calibri" w:hAnsi="Verdana" w:cs="Arial"/>
                <w:b/>
                <w:lang w:val="es-ES_tradnl" w:eastAsia="es-ES_tradnl"/>
              </w:rPr>
            </w:pPr>
            <w:r w:rsidRPr="00C910B0">
              <w:rPr>
                <w:rFonts w:ascii="Verdana" w:eastAsia="Calibri" w:hAnsi="Verdana" w:cs="Arial"/>
                <w:b/>
                <w:lang w:val="es-ES_tradnl" w:eastAsia="es-ES_tradnl"/>
              </w:rPr>
              <w:t>Radicación:</w:t>
            </w:r>
            <w:r w:rsidRPr="00C910B0">
              <w:rPr>
                <w:rFonts w:ascii="Verdana" w:eastAsia="Calibri" w:hAnsi="Verdana" w:cs="Arial"/>
                <w:lang w:val="es-ES_tradnl" w:eastAsia="es-ES_tradnl"/>
              </w:rPr>
              <w:t xml:space="preserve">               </w:t>
            </w:r>
          </w:p>
        </w:tc>
        <w:tc>
          <w:tcPr>
            <w:tcW w:w="6100" w:type="dxa"/>
          </w:tcPr>
          <w:p w14:paraId="799B4C09" w14:textId="77777777" w:rsidR="00C910B0" w:rsidRPr="00C910B0" w:rsidRDefault="00C910B0" w:rsidP="00C910B0">
            <w:pPr>
              <w:spacing w:line="276" w:lineRule="auto"/>
              <w:jc w:val="both"/>
              <w:rPr>
                <w:rFonts w:ascii="Verdana" w:eastAsia="Calibri" w:hAnsi="Verdana" w:cs="Arial"/>
                <w:lang w:val="es-ES_tradnl" w:eastAsia="es-ES_tradnl"/>
              </w:rPr>
            </w:pPr>
            <w:r w:rsidRPr="00C910B0">
              <w:rPr>
                <w:rFonts w:ascii="Verdana" w:eastAsia="Calibri" w:hAnsi="Verdana" w:cs="Arial"/>
                <w:lang w:val="es-ES_tradnl" w:eastAsia="es-ES_tradnl"/>
              </w:rPr>
              <w:t>Respuesta a consulta con radicado No. 1_2026_08_14_010827</w:t>
            </w:r>
          </w:p>
        </w:tc>
      </w:tr>
    </w:tbl>
    <w:p w14:paraId="66177A64" w14:textId="77777777" w:rsidR="00C910B0" w:rsidRPr="00C910B0" w:rsidRDefault="00C910B0" w:rsidP="00C910B0">
      <w:pPr>
        <w:spacing w:after="0" w:line="240" w:lineRule="auto"/>
        <w:jc w:val="both"/>
        <w:rPr>
          <w:rFonts w:ascii="Verdana" w:eastAsia="Calibri" w:hAnsi="Verdana" w:cs="Arial"/>
          <w:lang w:val="es-ES_tradnl" w:eastAsia="es-ES_tradnl"/>
        </w:rPr>
      </w:pPr>
    </w:p>
    <w:p w14:paraId="2DBF4A90" w14:textId="77777777" w:rsidR="00C910B0" w:rsidRPr="00C910B0" w:rsidRDefault="00C910B0" w:rsidP="00C910B0">
      <w:pPr>
        <w:spacing w:after="0" w:line="240" w:lineRule="auto"/>
        <w:jc w:val="both"/>
        <w:rPr>
          <w:rFonts w:ascii="Verdana" w:eastAsia="Calibri" w:hAnsi="Verdana" w:cs="Arial"/>
          <w:lang w:val="es-ES_tradnl" w:eastAsia="es-ES_tradnl"/>
        </w:rPr>
      </w:pPr>
    </w:p>
    <w:p w14:paraId="1E9C2FEF" w14:textId="77777777" w:rsidR="00C910B0" w:rsidRPr="00C910B0" w:rsidRDefault="00C910B0" w:rsidP="00C910B0">
      <w:pPr>
        <w:spacing w:after="0" w:line="276" w:lineRule="auto"/>
        <w:jc w:val="both"/>
        <w:rPr>
          <w:rFonts w:ascii="Verdana" w:eastAsia="Calibri" w:hAnsi="Verdana" w:cs="Arial"/>
          <w:lang w:val="es-ES_tradnl" w:eastAsia="es-ES"/>
        </w:rPr>
      </w:pPr>
      <w:r w:rsidRPr="00C910B0">
        <w:rPr>
          <w:rFonts w:ascii="Verdana" w:eastAsia="Calibri" w:hAnsi="Verdana" w:cs="Arial"/>
          <w:lang w:val="es-ES_tradnl" w:eastAsia="es-ES"/>
        </w:rPr>
        <w:t xml:space="preserve">Estimado(a) señor(a): </w:t>
      </w:r>
    </w:p>
    <w:p w14:paraId="68E7B173" w14:textId="77777777" w:rsidR="00C910B0" w:rsidRPr="00C910B0" w:rsidRDefault="00C910B0" w:rsidP="00C910B0">
      <w:pPr>
        <w:tabs>
          <w:tab w:val="left" w:pos="3768"/>
        </w:tabs>
        <w:spacing w:after="0" w:line="276" w:lineRule="auto"/>
        <w:jc w:val="both"/>
        <w:rPr>
          <w:rFonts w:ascii="Verdana" w:eastAsia="Calibri" w:hAnsi="Verdana" w:cs="Arial"/>
          <w:lang w:val="es-ES_tradnl" w:eastAsia="es-ES"/>
        </w:rPr>
      </w:pPr>
      <w:r w:rsidRPr="00C910B0">
        <w:rPr>
          <w:rFonts w:ascii="Verdana" w:eastAsia="Calibri" w:hAnsi="Verdana" w:cs="Arial"/>
          <w:lang w:val="es-ES_tradnl" w:eastAsia="es-ES"/>
        </w:rPr>
        <w:tab/>
      </w:r>
    </w:p>
    <w:p w14:paraId="1B8F6983" w14:textId="77777777" w:rsidR="00C910B0" w:rsidRPr="00C910B0" w:rsidRDefault="00C910B0" w:rsidP="00C910B0">
      <w:pPr>
        <w:snapToGrid w:val="0"/>
        <w:spacing w:after="0" w:line="276" w:lineRule="auto"/>
        <w:jc w:val="both"/>
        <w:rPr>
          <w:rFonts w:ascii="Verdana" w:eastAsia="Calibri" w:hAnsi="Verdana" w:cs="Arial"/>
          <w:lang w:val="es-ES_tradnl" w:eastAsia="es-ES"/>
        </w:rPr>
      </w:pPr>
      <w:r w:rsidRPr="00C910B0">
        <w:rPr>
          <w:rFonts w:ascii="Verdana" w:eastAsia="Calibri" w:hAnsi="Verdana" w:cs="Arial"/>
          <w:lang w:val="es-ES_tradnl" w:eastAsia="es-ES"/>
        </w:rPr>
        <w:t>En ejercicio de la competencia otorgada por los artículos 3, numeral 5º, y 11, numeral 8º, del Decreto Ley 4170 de 2011,</w:t>
      </w:r>
      <w:r w:rsidRPr="00C910B0">
        <w:rPr>
          <w:rFonts w:ascii="Verdana" w:eastAsia="Arial MT" w:hAnsi="Verdana" w:cs="Arial MT"/>
          <w:lang w:val="es-ES_tradnl" w:eastAsia="es-ES"/>
        </w:rPr>
        <w:t xml:space="preserve"> </w:t>
      </w:r>
      <w:r w:rsidRPr="00C910B0">
        <w:rPr>
          <w:rFonts w:ascii="Verdana" w:eastAsia="Calibri" w:hAnsi="Verdana" w:cs="Arial"/>
          <w:lang w:val="es-ES_tradnl"/>
        </w:rPr>
        <w:t xml:space="preserve">así como lo establecido en la Resolución No. 469 del 2025 expedida por esta Entidad, </w:t>
      </w:r>
      <w:r w:rsidRPr="00C910B0">
        <w:rPr>
          <w:rFonts w:ascii="Verdana" w:eastAsia="Calibri" w:hAnsi="Verdana" w:cs="Arial"/>
          <w:lang w:val="es-ES_tradnl" w:eastAsia="es-ES"/>
        </w:rPr>
        <w:t>la Agencia Nacional de Contratación Pública –Colombia Compra Eficiente– responde su solicitud de consulta de fecha 14 de agosto de 2026, en la cual manifiesta lo siguiente:</w:t>
      </w:r>
    </w:p>
    <w:p w14:paraId="67CF8D2C" w14:textId="77777777" w:rsidR="00C910B0" w:rsidRPr="00C910B0" w:rsidRDefault="00C910B0" w:rsidP="00C910B0">
      <w:pPr>
        <w:tabs>
          <w:tab w:val="left" w:pos="142"/>
          <w:tab w:val="left" w:pos="284"/>
        </w:tabs>
        <w:snapToGrid w:val="0"/>
        <w:spacing w:after="0" w:line="240" w:lineRule="auto"/>
        <w:jc w:val="both"/>
        <w:rPr>
          <w:rFonts w:ascii="Verdana" w:eastAsia="Century Gothic" w:hAnsi="Verdana" w:cs="Century Gothic"/>
          <w:b/>
          <w:bCs/>
          <w:lang w:val="es-ES_tradnl"/>
        </w:rPr>
      </w:pPr>
    </w:p>
    <w:p w14:paraId="2067AEDF"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r w:rsidRPr="00C910B0">
        <w:rPr>
          <w:rFonts w:ascii="Verdana" w:eastAsia="Century Gothic" w:hAnsi="Verdana" w:cs="Century Gothic"/>
          <w:sz w:val="21"/>
          <w:szCs w:val="21"/>
          <w:lang w:val="es-ES"/>
        </w:rPr>
        <w:t>“</w:t>
      </w:r>
      <w:r w:rsidRPr="00C910B0">
        <w:rPr>
          <w:rFonts w:ascii="Verdana" w:eastAsia="Times New Roman" w:hAnsi="Verdana" w:cs="Times New Roman"/>
          <w:b/>
          <w:bCs/>
          <w:sz w:val="21"/>
          <w:szCs w:val="21"/>
          <w:lang w:eastAsia="es-CO"/>
        </w:rPr>
        <w:t>1.</w:t>
      </w:r>
      <w:r w:rsidRPr="00C910B0">
        <w:rPr>
          <w:rFonts w:ascii="Verdana" w:eastAsia="Times New Roman" w:hAnsi="Verdana" w:cs="Times New Roman"/>
          <w:sz w:val="21"/>
          <w:szCs w:val="21"/>
          <w:lang w:eastAsia="es-CO"/>
        </w:rPr>
        <w:t xml:space="preserve"> Para efectos de la acreditación y evaluación de la experiencia específica exigida en la </w:t>
      </w:r>
      <w:r w:rsidRPr="00C910B0">
        <w:rPr>
          <w:rFonts w:ascii="Verdana" w:eastAsia="Times New Roman" w:hAnsi="Verdana" w:cs="Times New Roman"/>
          <w:b/>
          <w:bCs/>
          <w:sz w:val="21"/>
          <w:szCs w:val="21"/>
          <w:lang w:eastAsia="es-CO"/>
        </w:rPr>
        <w:t>Matriz 1 – Experiencia de los Documentos Tipo de Infraestructura de Transporte</w:t>
      </w:r>
      <w:r w:rsidRPr="00C910B0">
        <w:rPr>
          <w:rFonts w:ascii="Verdana" w:eastAsia="Times New Roman" w:hAnsi="Verdana" w:cs="Times New Roman"/>
          <w:sz w:val="21"/>
          <w:szCs w:val="21"/>
          <w:lang w:eastAsia="es-CO"/>
        </w:rPr>
        <w:t xml:space="preserve">, cuando un contrato fue </w:t>
      </w:r>
      <w:r w:rsidRPr="00C910B0">
        <w:rPr>
          <w:rFonts w:ascii="Verdana" w:eastAsia="Times New Roman" w:hAnsi="Verdana" w:cs="Times New Roman"/>
          <w:sz w:val="21"/>
          <w:szCs w:val="21"/>
          <w:lang w:eastAsia="es-CO"/>
        </w:rPr>
        <w:lastRenderedPageBreak/>
        <w:t xml:space="preserve">ejecutado sobre una vía que al momento de su ejecución tenía una determinada clasificación, ¿debe la entidad evaluar la experiencia atendiendo a la </w:t>
      </w:r>
      <w:r w:rsidRPr="00C910B0">
        <w:rPr>
          <w:rFonts w:ascii="Verdana" w:eastAsia="Times New Roman" w:hAnsi="Verdana" w:cs="Times New Roman"/>
          <w:b/>
          <w:bCs/>
          <w:sz w:val="21"/>
          <w:szCs w:val="21"/>
          <w:lang w:eastAsia="es-CO"/>
        </w:rPr>
        <w:t>clasificación que tenía la vía durante la ejecución del contrato</w:t>
      </w:r>
      <w:r w:rsidRPr="00C910B0">
        <w:rPr>
          <w:rFonts w:ascii="Verdana" w:eastAsia="Times New Roman" w:hAnsi="Verdana" w:cs="Times New Roman"/>
          <w:sz w:val="21"/>
          <w:szCs w:val="21"/>
          <w:lang w:eastAsia="es-CO"/>
        </w:rPr>
        <w:t>, o a la clasificación que tenga la vía al momento de presentación de la oferta?</w:t>
      </w:r>
    </w:p>
    <w:p w14:paraId="44AC6B57"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p>
    <w:p w14:paraId="259EC9A4"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r w:rsidRPr="00C910B0">
        <w:rPr>
          <w:rFonts w:ascii="Verdana" w:eastAsia="Times New Roman" w:hAnsi="Verdana" w:cs="Times New Roman"/>
          <w:b/>
          <w:bCs/>
          <w:sz w:val="21"/>
          <w:szCs w:val="21"/>
          <w:lang w:eastAsia="es-CO"/>
        </w:rPr>
        <w:t>2.</w:t>
      </w:r>
      <w:r w:rsidRPr="00C910B0">
        <w:rPr>
          <w:rFonts w:ascii="Verdana" w:eastAsia="Times New Roman" w:hAnsi="Verdana" w:cs="Times New Roman"/>
          <w:sz w:val="21"/>
          <w:szCs w:val="21"/>
          <w:lang w:eastAsia="es-CO"/>
        </w:rPr>
        <w:t xml:space="preserve"> En el supuesto específico en que una vía que durante la ejecución del contrato estaba clasificada como </w:t>
      </w:r>
      <w:r w:rsidRPr="00C910B0">
        <w:rPr>
          <w:rFonts w:ascii="Verdana" w:eastAsia="Times New Roman" w:hAnsi="Verdana" w:cs="Times New Roman"/>
          <w:b/>
          <w:bCs/>
          <w:sz w:val="21"/>
          <w:szCs w:val="21"/>
          <w:lang w:eastAsia="es-CO"/>
        </w:rPr>
        <w:t>vía de segundo orden o secundaria</w:t>
      </w:r>
      <w:r w:rsidRPr="00C910B0">
        <w:rPr>
          <w:rFonts w:ascii="Verdana" w:eastAsia="Times New Roman" w:hAnsi="Verdana" w:cs="Times New Roman"/>
          <w:sz w:val="21"/>
          <w:szCs w:val="21"/>
          <w:lang w:eastAsia="es-CO"/>
        </w:rPr>
        <w:t xml:space="preserve"> haya sido posteriormente reclasificada como </w:t>
      </w:r>
      <w:r w:rsidRPr="00C910B0">
        <w:rPr>
          <w:rFonts w:ascii="Verdana" w:eastAsia="Times New Roman" w:hAnsi="Verdana" w:cs="Times New Roman"/>
          <w:b/>
          <w:bCs/>
          <w:sz w:val="21"/>
          <w:szCs w:val="21"/>
          <w:lang w:eastAsia="es-CO"/>
        </w:rPr>
        <w:t>vía de primer orden o primaria</w:t>
      </w:r>
      <w:r w:rsidRPr="00C910B0">
        <w:rPr>
          <w:rFonts w:ascii="Verdana" w:eastAsia="Times New Roman" w:hAnsi="Verdana" w:cs="Times New Roman"/>
          <w:sz w:val="21"/>
          <w:szCs w:val="21"/>
          <w:lang w:eastAsia="es-CO"/>
        </w:rPr>
        <w:t>, ¿debe la experiencia acreditada ser considerada como experiencia ejecutada sobre una vía de segundo orden o como experiencia ejecutada sobre una vía de primer orden?</w:t>
      </w:r>
    </w:p>
    <w:p w14:paraId="57AA54AB"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p>
    <w:p w14:paraId="3C7F17E3"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r w:rsidRPr="00C910B0">
        <w:rPr>
          <w:rFonts w:ascii="Verdana" w:eastAsia="Times New Roman" w:hAnsi="Verdana" w:cs="Times New Roman"/>
          <w:b/>
          <w:bCs/>
          <w:sz w:val="21"/>
          <w:szCs w:val="21"/>
          <w:lang w:eastAsia="es-CO"/>
        </w:rPr>
        <w:t>3.</w:t>
      </w:r>
      <w:r w:rsidRPr="00C910B0">
        <w:rPr>
          <w:rFonts w:ascii="Verdana" w:eastAsia="Times New Roman" w:hAnsi="Verdana" w:cs="Times New Roman"/>
          <w:sz w:val="21"/>
          <w:szCs w:val="21"/>
          <w:lang w:eastAsia="es-CO"/>
        </w:rPr>
        <w:t xml:space="preserve"> ¿Debe para estos efectos prevalecer la clasificación oficial de la vía </w:t>
      </w:r>
      <w:r w:rsidRPr="00C910B0">
        <w:rPr>
          <w:rFonts w:ascii="Verdana" w:eastAsia="Times New Roman" w:hAnsi="Verdana" w:cs="Times New Roman"/>
          <w:b/>
          <w:bCs/>
          <w:sz w:val="21"/>
          <w:szCs w:val="21"/>
          <w:lang w:eastAsia="es-CO"/>
        </w:rPr>
        <w:t>vigente durante el período en que se ejecutaron las actividades que generan la experiencia</w:t>
      </w:r>
      <w:r w:rsidRPr="00C910B0">
        <w:rPr>
          <w:rFonts w:ascii="Verdana" w:eastAsia="Times New Roman" w:hAnsi="Verdana" w:cs="Times New Roman"/>
          <w:sz w:val="21"/>
          <w:szCs w:val="21"/>
          <w:lang w:eastAsia="es-CO"/>
        </w:rPr>
        <w:t>, por ser esta la circunstancia objetiva bajo la cual el contratista adquirió dicha experiencia?</w:t>
      </w:r>
    </w:p>
    <w:p w14:paraId="72C42B4A"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p>
    <w:p w14:paraId="6ABDAF30"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r w:rsidRPr="00C910B0">
        <w:rPr>
          <w:rFonts w:ascii="Verdana" w:eastAsia="Times New Roman" w:hAnsi="Verdana" w:cs="Times New Roman"/>
          <w:b/>
          <w:bCs/>
          <w:sz w:val="21"/>
          <w:szCs w:val="21"/>
          <w:lang w:eastAsia="es-CO"/>
        </w:rPr>
        <w:t>4.</w:t>
      </w:r>
      <w:r w:rsidRPr="00C910B0">
        <w:rPr>
          <w:rFonts w:ascii="Verdana" w:eastAsia="Times New Roman" w:hAnsi="Verdana" w:cs="Times New Roman"/>
          <w:sz w:val="21"/>
          <w:szCs w:val="21"/>
          <w:lang w:eastAsia="es-CO"/>
        </w:rPr>
        <w:t xml:space="preserve"> En caso de que la respuesta sea que debe atenderse a la clasificación existente durante la ejecución del contrato, ¿puede la entidad estatal exigir al proponente que acredite documentalmente cuál era la clasificación oficial de la vía para la época en que se ejecutó el contrato, cuando dicha información no se encuentre expresamente consignada en la certificación de experiencia?</w:t>
      </w:r>
    </w:p>
    <w:p w14:paraId="09F6C7A4"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p>
    <w:p w14:paraId="5B559413"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r w:rsidRPr="00C910B0">
        <w:rPr>
          <w:rFonts w:ascii="Verdana" w:eastAsia="Times New Roman" w:hAnsi="Verdana" w:cs="Times New Roman"/>
          <w:b/>
          <w:bCs/>
          <w:sz w:val="21"/>
          <w:szCs w:val="21"/>
          <w:lang w:eastAsia="es-CO"/>
        </w:rPr>
        <w:t>5.</w:t>
      </w:r>
      <w:r w:rsidRPr="00C910B0">
        <w:rPr>
          <w:rFonts w:ascii="Verdana" w:eastAsia="Times New Roman" w:hAnsi="Verdana" w:cs="Times New Roman"/>
          <w:sz w:val="21"/>
          <w:szCs w:val="21"/>
          <w:lang w:eastAsia="es-CO"/>
        </w:rPr>
        <w:t xml:space="preserve"> En sentido contrario, si la vía fue reclasificada con posterioridad a la terminación del contrato, ¿puede dicha reclasificación posterior producir efectos retrospectivos para efectos de determinar la tipología de la experiencia acreditada en un proceso de selección posterior?</w:t>
      </w:r>
    </w:p>
    <w:p w14:paraId="7D1E9143"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p>
    <w:p w14:paraId="18B7BAEB"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r w:rsidRPr="00C910B0">
        <w:rPr>
          <w:rFonts w:ascii="Verdana" w:eastAsia="Times New Roman" w:hAnsi="Verdana" w:cs="Times New Roman"/>
          <w:b/>
          <w:bCs/>
          <w:sz w:val="21"/>
          <w:szCs w:val="21"/>
          <w:lang w:eastAsia="es-CO"/>
        </w:rPr>
        <w:t>6.</w:t>
      </w:r>
      <w:r w:rsidRPr="00C910B0">
        <w:rPr>
          <w:rFonts w:ascii="Verdana" w:eastAsia="Times New Roman" w:hAnsi="Verdana" w:cs="Times New Roman"/>
          <w:sz w:val="21"/>
          <w:szCs w:val="21"/>
          <w:lang w:eastAsia="es-CO"/>
        </w:rPr>
        <w:t xml:space="preserve"> ¿Debe diferenciarse entre la </w:t>
      </w:r>
      <w:r w:rsidRPr="00C910B0">
        <w:rPr>
          <w:rFonts w:ascii="Verdana" w:eastAsia="Times New Roman" w:hAnsi="Verdana" w:cs="Times New Roman"/>
          <w:b/>
          <w:bCs/>
          <w:sz w:val="21"/>
          <w:szCs w:val="21"/>
          <w:lang w:eastAsia="es-CO"/>
        </w:rPr>
        <w:t>naturaleza o clasificación de la vía al momento en que se ejecutó la obra</w:t>
      </w:r>
      <w:r w:rsidRPr="00C910B0">
        <w:rPr>
          <w:rFonts w:ascii="Verdana" w:eastAsia="Times New Roman" w:hAnsi="Verdana" w:cs="Times New Roman"/>
          <w:sz w:val="21"/>
          <w:szCs w:val="21"/>
          <w:lang w:eastAsia="es-CO"/>
        </w:rPr>
        <w:t xml:space="preserve">, que determinaría la experiencia efectivamente adquirida por el contratista, y la </w:t>
      </w:r>
      <w:r w:rsidRPr="00C910B0">
        <w:rPr>
          <w:rFonts w:ascii="Verdana" w:eastAsia="Times New Roman" w:hAnsi="Verdana" w:cs="Times New Roman"/>
          <w:b/>
          <w:bCs/>
          <w:sz w:val="21"/>
          <w:szCs w:val="21"/>
          <w:lang w:eastAsia="es-CO"/>
        </w:rPr>
        <w:t>clasificación actual de la vía</w:t>
      </w:r>
      <w:r w:rsidRPr="00C910B0">
        <w:rPr>
          <w:rFonts w:ascii="Verdana" w:eastAsia="Times New Roman" w:hAnsi="Verdana" w:cs="Times New Roman"/>
          <w:sz w:val="21"/>
          <w:szCs w:val="21"/>
          <w:lang w:eastAsia="es-CO"/>
        </w:rPr>
        <w:t>, que corresponde a una condición jurídica o administrativa posterior de la infraestructura?</w:t>
      </w:r>
    </w:p>
    <w:p w14:paraId="5B8A7B59"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p>
    <w:p w14:paraId="6AAAE517" w14:textId="77777777" w:rsidR="00C910B0" w:rsidRPr="00C910B0" w:rsidRDefault="00C910B0" w:rsidP="00C910B0">
      <w:pPr>
        <w:spacing w:after="0" w:line="240" w:lineRule="auto"/>
        <w:ind w:left="709" w:right="709"/>
        <w:jc w:val="both"/>
        <w:rPr>
          <w:rFonts w:ascii="Verdana" w:eastAsia="Times New Roman" w:hAnsi="Verdana" w:cs="Times New Roman"/>
          <w:sz w:val="21"/>
          <w:szCs w:val="21"/>
          <w:lang w:eastAsia="es-CO"/>
        </w:rPr>
      </w:pPr>
      <w:r w:rsidRPr="00C910B0">
        <w:rPr>
          <w:rFonts w:ascii="Verdana" w:eastAsia="Times New Roman" w:hAnsi="Verdana" w:cs="Times New Roman"/>
          <w:b/>
          <w:bCs/>
          <w:sz w:val="21"/>
          <w:szCs w:val="21"/>
          <w:lang w:eastAsia="es-CO"/>
        </w:rPr>
        <w:t>7.</w:t>
      </w:r>
      <w:r w:rsidRPr="00C910B0">
        <w:rPr>
          <w:rFonts w:ascii="Verdana" w:eastAsia="Times New Roman" w:hAnsi="Verdana" w:cs="Times New Roman"/>
          <w:sz w:val="21"/>
          <w:szCs w:val="21"/>
          <w:lang w:eastAsia="es-CO"/>
        </w:rPr>
        <w:t xml:space="preserve"> Finalmente, ¿cuál sería el criterio que debería adoptar una entidad estatal al evaluar una experiencia cuando existan documentos expedidos en diferentes momentos que reflejen clasificaciones distintas de la misma vía, particularmente cuando la clasificación posterior sea consecuencia de una decisión administrativa de cambio de categoría?”</w:t>
      </w:r>
    </w:p>
    <w:p w14:paraId="39238271" w14:textId="77777777" w:rsidR="00C910B0" w:rsidRPr="00C910B0" w:rsidRDefault="00C910B0" w:rsidP="00C910B0">
      <w:pPr>
        <w:tabs>
          <w:tab w:val="left" w:pos="142"/>
          <w:tab w:val="left" w:pos="284"/>
        </w:tabs>
        <w:spacing w:line="276" w:lineRule="auto"/>
        <w:contextualSpacing/>
        <w:jc w:val="both"/>
        <w:rPr>
          <w:rFonts w:ascii="Verdana" w:eastAsia="Century Gothic" w:hAnsi="Verdana" w:cs="Century Gothic"/>
          <w:b/>
          <w:bCs/>
          <w:lang w:val="es-ES_tradnl"/>
        </w:rPr>
      </w:pPr>
    </w:p>
    <w:p w14:paraId="224FEFC9" w14:textId="77777777" w:rsidR="00C910B0" w:rsidRPr="00C910B0" w:rsidRDefault="00C910B0" w:rsidP="00C910B0">
      <w:pPr>
        <w:spacing w:after="120" w:line="276" w:lineRule="auto"/>
        <w:ind w:firstLine="709"/>
        <w:jc w:val="both"/>
        <w:rPr>
          <w:rFonts w:ascii="Verdana" w:eastAsia="Calibri" w:hAnsi="Verdana" w:cs="Arial"/>
          <w:lang w:val="es-ES_tradnl" w:eastAsia="es-ES"/>
        </w:rPr>
      </w:pPr>
      <w:r w:rsidRPr="00C910B0">
        <w:rPr>
          <w:rFonts w:ascii="Verdana" w:eastAsia="Calibri" w:hAnsi="Verdana" w:cs="Arial"/>
          <w:lang w:val="es-ES_tradnl"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910B0">
        <w:rPr>
          <w:rFonts w:ascii="Calibri" w:eastAsia="Calibri" w:hAnsi="Calibri" w:cs="Times New Roman"/>
          <w:lang w:val="es-ES_tradnl"/>
        </w:rPr>
        <w:tab/>
      </w:r>
    </w:p>
    <w:p w14:paraId="6FAEB77A" w14:textId="77777777" w:rsidR="00C910B0" w:rsidRPr="00C910B0" w:rsidRDefault="00C910B0" w:rsidP="00C910B0">
      <w:pPr>
        <w:snapToGrid w:val="0"/>
        <w:spacing w:after="0" w:line="276" w:lineRule="auto"/>
        <w:ind w:firstLine="709"/>
        <w:jc w:val="both"/>
        <w:rPr>
          <w:rFonts w:ascii="Verdana" w:eastAsia="Calibri" w:hAnsi="Verdana" w:cs="Arial"/>
          <w:lang w:val="es-ES_tradnl" w:eastAsia="es-ES"/>
        </w:rPr>
      </w:pPr>
      <w:r w:rsidRPr="00C910B0">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CC1ABC6" w14:textId="77777777" w:rsidR="00C910B0" w:rsidRPr="00C910B0" w:rsidRDefault="00C910B0" w:rsidP="00C910B0">
      <w:pPr>
        <w:snapToGrid w:val="0"/>
        <w:spacing w:after="0" w:line="276" w:lineRule="auto"/>
        <w:ind w:firstLine="709"/>
        <w:jc w:val="both"/>
        <w:rPr>
          <w:rFonts w:ascii="Verdana" w:eastAsia="Calibri" w:hAnsi="Verdana" w:cs="Arial"/>
          <w:lang w:val="es-ES_tradnl" w:eastAsia="es-ES"/>
        </w:rPr>
      </w:pPr>
    </w:p>
    <w:p w14:paraId="4CE7867F" w14:textId="77777777" w:rsidR="00C910B0" w:rsidRPr="00C910B0" w:rsidRDefault="00C910B0" w:rsidP="00C910B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910B0">
        <w:rPr>
          <w:rFonts w:ascii="Verdana" w:eastAsia="Century Gothic" w:hAnsi="Verdana" w:cs="Century Gothic"/>
          <w:b/>
          <w:bCs/>
          <w:lang w:val="es-ES_tradnl"/>
        </w:rPr>
        <w:t>Problema planteado:</w:t>
      </w:r>
    </w:p>
    <w:p w14:paraId="691F9F7C" w14:textId="77777777" w:rsidR="00C910B0" w:rsidRPr="00C910B0" w:rsidRDefault="00C910B0" w:rsidP="00C910B0">
      <w:pPr>
        <w:tabs>
          <w:tab w:val="left" w:pos="426"/>
        </w:tabs>
        <w:snapToGrid w:val="0"/>
        <w:spacing w:after="0" w:line="276" w:lineRule="auto"/>
        <w:jc w:val="both"/>
        <w:rPr>
          <w:rFonts w:ascii="Verdana" w:eastAsia="Century Gothic" w:hAnsi="Verdana" w:cs="Century Gothic"/>
          <w:lang w:val="es-ES_tradnl"/>
        </w:rPr>
      </w:pPr>
    </w:p>
    <w:p w14:paraId="7D3640B8" w14:textId="77777777" w:rsidR="00C910B0" w:rsidRPr="00C910B0" w:rsidRDefault="00C910B0" w:rsidP="00C910B0">
      <w:pPr>
        <w:snapToGrid w:val="0"/>
        <w:spacing w:after="0" w:line="276" w:lineRule="auto"/>
        <w:jc w:val="both"/>
        <w:rPr>
          <w:rFonts w:ascii="Verdana" w:eastAsia="Century Gothic" w:hAnsi="Verdana" w:cs="Century Gothic"/>
          <w:lang w:val="es-ES"/>
        </w:rPr>
      </w:pPr>
      <w:r w:rsidRPr="00C910B0">
        <w:rPr>
          <w:rFonts w:ascii="Verdana" w:eastAsia="Century Gothic" w:hAnsi="Verdana" w:cs="Century Gothic"/>
          <w:lang w:val="es-ES"/>
        </w:rPr>
        <w:t>De acuerdo con el contenido de su solicitud, esta Agencia resolverá el siguiente problema jurídico sobre documentos tipo: ¿cómo opera la acreditación de la experiencia en los documentos tipo de infraestructura de transporte cuando la clasificación de una vía varía desde la ejecución del contrato hasta la presentación de una oferta?</w:t>
      </w:r>
    </w:p>
    <w:p w14:paraId="255DC988" w14:textId="77777777" w:rsidR="00C910B0" w:rsidRPr="00C910B0" w:rsidRDefault="00C910B0" w:rsidP="00C910B0">
      <w:pPr>
        <w:snapToGrid w:val="0"/>
        <w:spacing w:after="0" w:line="276" w:lineRule="auto"/>
        <w:jc w:val="both"/>
        <w:rPr>
          <w:rFonts w:ascii="Verdana" w:eastAsia="Calibri" w:hAnsi="Verdana" w:cs="Arial"/>
          <w:lang w:val="es-ES_tradnl"/>
        </w:rPr>
      </w:pPr>
    </w:p>
    <w:p w14:paraId="1A093575" w14:textId="77777777" w:rsidR="00C910B0" w:rsidRPr="00C910B0" w:rsidRDefault="00C910B0" w:rsidP="00C910B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910B0">
        <w:rPr>
          <w:rFonts w:ascii="Verdana" w:eastAsia="Century Gothic" w:hAnsi="Verdana" w:cs="Century Gothic"/>
          <w:b/>
          <w:bCs/>
          <w:lang w:val="es-ES_tradnl"/>
        </w:rPr>
        <w:t>Respuesta:</w:t>
      </w:r>
    </w:p>
    <w:p w14:paraId="6E54952E" w14:textId="77777777" w:rsidR="00C910B0" w:rsidRPr="00C910B0" w:rsidRDefault="00C910B0" w:rsidP="00C910B0">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910B0" w:rsidRPr="00C910B0" w14:paraId="57CA4EB8" w14:textId="77777777" w:rsidTr="00EA5E15">
        <w:tc>
          <w:tcPr>
            <w:tcW w:w="8828" w:type="dxa"/>
          </w:tcPr>
          <w:p w14:paraId="3DEBF115" w14:textId="77777777" w:rsidR="00C910B0" w:rsidRPr="00C910B0" w:rsidRDefault="00C910B0" w:rsidP="00C910B0">
            <w:pPr>
              <w:snapToGrid w:val="0"/>
              <w:spacing w:after="120" w:line="276" w:lineRule="auto"/>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Para efectos de la acreditación y evaluación de la experiencia específica exigida en la Matriz 1 de los Documentos Tipo de Infraestructura de Transporte, la clasificación de la vía que debe considerarse es aquella que se encontraba vigente durante la ejecución del contrato cuya experiencia se pretende acreditar.</w:t>
            </w:r>
          </w:p>
          <w:p w14:paraId="1F8C97B6"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 xml:space="preserve">La experiencia constituye una condición derivada de actividades efectivamente ejecutadas por el contratista en determinadas circunstancias </w:t>
            </w:r>
            <w:r w:rsidRPr="00C910B0">
              <w:rPr>
                <w:rFonts w:ascii="Verdana" w:eastAsia="Times New Roman" w:hAnsi="Verdana" w:cs="Times New Roman"/>
                <w:color w:val="000000"/>
                <w:lang w:eastAsia="es-MX"/>
              </w:rPr>
              <w:lastRenderedPageBreak/>
              <w:t>técnicas, jurídicas y administrativas. Por ello, la valoración de la experiencia debe realizarse con base en las condiciones existentes al momento en que dichas actividades fueron desarrolladas y recibidas por la entidad contratante.</w:t>
            </w:r>
          </w:p>
          <w:p w14:paraId="6FA4D5DD"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En consecuencia, una modificación posterior de la clasificación de la infraestructura vial no altera la naturaleza de las actividades ejecutadas ni transforma retrospectivamente la experiencia adquirida por el contratista.</w:t>
            </w:r>
          </w:p>
          <w:p w14:paraId="21AD7AB2"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En ese orden, frente a los supuestos planteados en la consulta, conviene precisar lo siguiente:</w:t>
            </w:r>
          </w:p>
          <w:p w14:paraId="1748B870"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b/>
                <w:bCs/>
                <w:color w:val="000000"/>
                <w:u w:val="single"/>
                <w:lang w:eastAsia="es-MX"/>
              </w:rPr>
              <w:t>i. “Un contratista ejecutó y terminó un contrato de obra cuyo objeto comprendió la construcción, mejoramiento, rehabilitación o mantenimiento de un determinado tramo vial”:</w:t>
            </w:r>
          </w:p>
          <w:p w14:paraId="5BD855E3"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La entidad debe evaluar la experiencia atendiendo a la clasificación oficial que tenía la vía durante la ejecución del contrato y no a la clasificación vigente al momento de presentación de la oferta.  La experiencia se genera y consolida con la ejecución del contrato, razón por la cual los atributos de dicha experiencia deben determinarse conforme a las condiciones existentes durante su desarrollo.</w:t>
            </w:r>
          </w:p>
          <w:p w14:paraId="1563BDF5"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proofErr w:type="spellStart"/>
            <w:r w:rsidRPr="00C910B0">
              <w:rPr>
                <w:rFonts w:ascii="Verdana" w:eastAsia="Times New Roman" w:hAnsi="Verdana" w:cs="Times New Roman"/>
                <w:b/>
                <w:bCs/>
                <w:color w:val="000000"/>
                <w:u w:val="single"/>
                <w:lang w:eastAsia="es-MX"/>
              </w:rPr>
              <w:t>ii</w:t>
            </w:r>
            <w:proofErr w:type="spellEnd"/>
            <w:r w:rsidRPr="00C910B0">
              <w:rPr>
                <w:rFonts w:ascii="Verdana" w:eastAsia="Times New Roman" w:hAnsi="Verdana" w:cs="Times New Roman"/>
                <w:b/>
                <w:bCs/>
                <w:color w:val="000000"/>
                <w:u w:val="single"/>
                <w:lang w:eastAsia="es-MX"/>
              </w:rPr>
              <w:t>. “Al momento de la ejecución del contrato, el tramo objeto de intervención se encontraba oficialmente clasificado como vía de segundo orden o secundaria”:</w:t>
            </w:r>
          </w:p>
          <w:p w14:paraId="2E7B2756"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Si una vía que era de segundo orden o secundaria durante la ejecución del contrato fue posteriormente reclasificada como vía de primer orden o primaria, la experiencia debe entenderse como ejecutada sobre una vía de segundo orden.  La reclasificación posterior no modifica las condiciones bajo las cuales se ejecutaron las obras ni convierte automáticamente la experiencia originalmente adquirida en experiencia sobre una vía de primer orden.</w:t>
            </w:r>
          </w:p>
          <w:p w14:paraId="45A0E516"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proofErr w:type="spellStart"/>
            <w:r w:rsidRPr="00C910B0">
              <w:rPr>
                <w:rFonts w:ascii="Verdana" w:eastAsia="Times New Roman" w:hAnsi="Verdana" w:cs="Times New Roman"/>
                <w:b/>
                <w:bCs/>
                <w:color w:val="000000"/>
                <w:u w:val="single"/>
                <w:lang w:eastAsia="es-MX"/>
              </w:rPr>
              <w:t>iii</w:t>
            </w:r>
            <w:proofErr w:type="spellEnd"/>
            <w:r w:rsidRPr="00C910B0">
              <w:rPr>
                <w:rFonts w:ascii="Verdana" w:eastAsia="Times New Roman" w:hAnsi="Verdana" w:cs="Times New Roman"/>
                <w:b/>
                <w:bCs/>
                <w:color w:val="000000"/>
                <w:u w:val="single"/>
                <w:lang w:eastAsia="es-MX"/>
              </w:rPr>
              <w:t>. “El contrato fue ejecutado y recibido a satisfacción bajo dicha clasificación”:</w:t>
            </w:r>
          </w:p>
          <w:p w14:paraId="48814479"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Sí. Debe prevalecer la clasificación oficial vigente durante el período de ejecución de las actividades que originan la experiencia. Dicha clasificación constituye el referente objetivo para identificar la naturaleza de la infraestructura intervenida y corresponde al contexto real en el cual el contratista desarrolló las actividades cuya experiencia pretende acreditar.</w:t>
            </w:r>
          </w:p>
          <w:p w14:paraId="222CBABD"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proofErr w:type="spellStart"/>
            <w:r w:rsidRPr="00C910B0">
              <w:rPr>
                <w:rFonts w:ascii="Verdana" w:eastAsia="Times New Roman" w:hAnsi="Verdana" w:cs="Times New Roman"/>
                <w:b/>
                <w:bCs/>
                <w:color w:val="000000"/>
                <w:u w:val="single"/>
                <w:lang w:eastAsia="es-MX"/>
              </w:rPr>
              <w:lastRenderedPageBreak/>
              <w:t>iv</w:t>
            </w:r>
            <w:proofErr w:type="spellEnd"/>
            <w:r w:rsidRPr="00C910B0">
              <w:rPr>
                <w:rFonts w:ascii="Verdana" w:eastAsia="Times New Roman" w:hAnsi="Verdana" w:cs="Times New Roman"/>
                <w:b/>
                <w:bCs/>
                <w:color w:val="000000"/>
                <w:u w:val="single"/>
                <w:lang w:eastAsia="es-MX"/>
              </w:rPr>
              <w:t>. “Con posterioridad a la terminación y ejecución del contrato, la autoridad competente modificó la clasificación de dicha vía, pasando de segundo orden a primer orden”:</w:t>
            </w:r>
          </w:p>
          <w:p w14:paraId="2904A3E7"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Cuando la clasificación histórica de la vía no se encuentre expresamente contenida en la certificación de experiencia, la entidad podría solicitar documentos idóneos que permitan verificar dicha circunstancia, siempre que tal verificación se realice dentro del marco de las reglas de acreditación previstas en los Documentos Tipo y sin imponer requisitos adicionales no contemplados en ellos.  Entre los documentos que podrían servir de soporte se encuentran los dispuestos en el documento tipo para poder acreditar una experiencia, que permita establecer la clasificación vigente para la época de ejecución del contrato.</w:t>
            </w:r>
          </w:p>
          <w:p w14:paraId="32109415"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b/>
                <w:bCs/>
                <w:color w:val="000000"/>
                <w:u w:val="single"/>
                <w:lang w:eastAsia="es-MX"/>
              </w:rPr>
              <w:t>v. “Posteriormente, el contratista presenta dicho contrato como experiencia específica dentro de un proceso de selección sometido a los Documentos Tipo de Infraestructura de Transporte, en el cual la Matriz 1 exige experiencia relacionada con determinado tipo de infraestructura vial”:</w:t>
            </w:r>
          </w:p>
          <w:p w14:paraId="410DC830"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La reclasificación posterior de una vía no debería producir efectos retrospectivos sobre la experiencia ya adquirida por el contratista. Los actos administrativos, por regla general, producen efectos hacia el futuro. Por ello, una decisión posterior de reclasificación no modifica las circunstancias históricas bajo las cuales fue ejecutado y recibido un contrato.</w:t>
            </w:r>
          </w:p>
          <w:p w14:paraId="48C5BC1E" w14:textId="77777777" w:rsidR="00C910B0" w:rsidRPr="00C910B0" w:rsidRDefault="00C910B0" w:rsidP="00C910B0">
            <w:pPr>
              <w:snapToGrid w:val="0"/>
              <w:spacing w:after="120" w:line="276" w:lineRule="auto"/>
              <w:ind w:firstLine="709"/>
              <w:jc w:val="both"/>
              <w:rPr>
                <w:rFonts w:ascii="Verdana" w:eastAsia="Times New Roman" w:hAnsi="Verdana" w:cs="Times New Roman"/>
                <w:b/>
                <w:bCs/>
                <w:color w:val="000000"/>
                <w:u w:val="single"/>
                <w:lang w:eastAsia="es-MX"/>
              </w:rPr>
            </w:pPr>
            <w:r w:rsidRPr="00C910B0">
              <w:rPr>
                <w:rFonts w:ascii="Verdana" w:eastAsia="Times New Roman" w:hAnsi="Verdana" w:cs="Times New Roman"/>
                <w:b/>
                <w:bCs/>
                <w:color w:val="000000"/>
                <w:u w:val="single"/>
                <w:lang w:eastAsia="es-MX"/>
              </w:rPr>
              <w:t>vi. “En este escenario surge la duda respecto de cuál clasificación debe ser considerada por la entidad estatal al momento de evaluar la experiencia: la clasificación que tenía la vía cuando se ejecutó el contrato o la clasificación que presenta la vía al momento de acreditarse la experiencia dentro del nuevo proceso de selección”:</w:t>
            </w:r>
          </w:p>
          <w:p w14:paraId="64CEAD34"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 xml:space="preserve">Sí. Debe diferenciarse claramente entre: i) la clasificación de la vía durante la ejecución del contrato, que determina el contexto real en el cual se adquirió la experiencia y </w:t>
            </w:r>
            <w:proofErr w:type="spellStart"/>
            <w:r w:rsidRPr="00C910B0">
              <w:rPr>
                <w:rFonts w:ascii="Verdana" w:eastAsia="Times New Roman" w:hAnsi="Verdana" w:cs="Times New Roman"/>
                <w:color w:val="000000"/>
                <w:lang w:eastAsia="es-MX"/>
              </w:rPr>
              <w:t>ii</w:t>
            </w:r>
            <w:proofErr w:type="spellEnd"/>
            <w:r w:rsidRPr="00C910B0">
              <w:rPr>
                <w:rFonts w:ascii="Verdana" w:eastAsia="Times New Roman" w:hAnsi="Verdana" w:cs="Times New Roman"/>
                <w:color w:val="000000"/>
                <w:lang w:eastAsia="es-MX"/>
              </w:rPr>
              <w:t>) la clasificación actual de la vía, que corresponde a una situación administrativa posterior de la infraestructura.  Ambas circunstancias pueden coexistir sin que la segunda altere la primera para efectos de acreditación de experiencia.</w:t>
            </w:r>
          </w:p>
          <w:p w14:paraId="67D789B7" w14:textId="77777777" w:rsidR="00C910B0" w:rsidRPr="00C910B0" w:rsidRDefault="00C910B0" w:rsidP="00C910B0">
            <w:pPr>
              <w:snapToGrid w:val="0"/>
              <w:spacing w:after="120" w:line="276" w:lineRule="auto"/>
              <w:ind w:firstLine="709"/>
              <w:jc w:val="both"/>
              <w:rPr>
                <w:rFonts w:ascii="Verdana" w:eastAsia="Times New Roman" w:hAnsi="Verdana" w:cs="Times New Roman"/>
                <w:b/>
                <w:bCs/>
                <w:color w:val="000000"/>
                <w:u w:val="single"/>
                <w:lang w:eastAsia="es-MX"/>
              </w:rPr>
            </w:pPr>
            <w:r w:rsidRPr="00C910B0">
              <w:rPr>
                <w:rFonts w:ascii="Verdana" w:eastAsia="Times New Roman" w:hAnsi="Verdana" w:cs="Times New Roman"/>
                <w:b/>
                <w:bCs/>
                <w:color w:val="000000"/>
                <w:u w:val="single"/>
                <w:lang w:eastAsia="es-MX"/>
              </w:rPr>
              <w:lastRenderedPageBreak/>
              <w:t>vi. “De esta manera, la situación planteada genera una inquietud específica sobre el momento temporal que debe utilizarse para determinar la tipología de la infraestructura sobre la cual recayó la experiencia. En efecto, podría entenderse que la experiencia debe analizarse atendiendo a las condiciones materiales y jurídicas existentes durante la ejecución del contrato, puesto que es en ese momento cuando el contratista adquirió la experiencia que pretende acreditar. Cuando existan documentos expedidos en momentos diferentes que reflejen clasificaciones distintas de una misma vía, la entidad debería identificar cuál era la clasificación oficial vigente durante el período de ejecución del contrato acreditado.  Si la diferencia obedece a una reclasificación posterior, el análisis de experiencia debe sustentarse en la clasificación histórica aplicable al momento de la ejecución de la obra, puesto que esa es la circunstancia que define objetivamente la experiencia efectivamente adquirida por el proponente”:</w:t>
            </w:r>
          </w:p>
          <w:p w14:paraId="52CB2BEA"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A su vez, la acreditación de experiencia debe permitir identificar las actividades ejecutadas, las longitudes, dimensiones, tipologías y demás condiciones exigidas por la Matriz 1, además de las fechas de ejecución del contrato.  Así las cosas, el criterio que ofrece mayor coherencia con los principios de objetividad, igualdad, seguridad jurídica y evaluación de la experiencia es que la tipología de la infraestructura vial se determine con base en la clasificación oficial vigente durante la ejecución del contrato que se presenta como experiencia. En consecuencia, una reclasificación posterior de la vía no debe modificar ni recalificar retrospectivamente la experiencia adquirida por el contratista, sin perjuicio de que la entidad pueda verificar documentalmente cuál era la clasificación oficial aplicable para la época de ejecución del contrato.</w:t>
            </w:r>
          </w:p>
          <w:p w14:paraId="57608234"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Sin perjuicio de la regla general según la cual la experiencia debe evaluarse conforme a la clasificación oficial vigente durante la ejecución del contrato, se considera necesario diferenciar aquellos casos en los cuales el propio objeto contractual tuvo como finalidad la construcción, mejoramiento o adecuación integral de la infraestructura para que esta adquiriera las condiciones técnicas correspondientes a una categoría superior de la red vial.</w:t>
            </w:r>
          </w:p>
          <w:p w14:paraId="2C6FE8B2"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lastRenderedPageBreak/>
              <w:t>En estos eventos, si como consecuencia directa de las obras ejecutadas en desarrollo del contrato la vía fue incorporada o reclasificada oficialmente dentro de una categoría superior, podría entenderse que la experiencia acreditada guarda correspondencia con la condición final de la infraestructura resultante de la ejecución contractual, siempre que exista evidencia objetiva de que:</w:t>
            </w:r>
          </w:p>
          <w:p w14:paraId="5C3ECC67" w14:textId="77777777" w:rsidR="00C910B0" w:rsidRPr="00C910B0" w:rsidRDefault="00C910B0" w:rsidP="00C910B0">
            <w:pPr>
              <w:numPr>
                <w:ilvl w:val="0"/>
                <w:numId w:val="18"/>
              </w:numPr>
              <w:snapToGrid w:val="0"/>
              <w:spacing w:after="120" w:line="276" w:lineRule="auto"/>
              <w:ind w:left="0"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El alcance contractual contemplaba las intervenciones requeridas para alcanzar los estándares de la categoría superior.</w:t>
            </w:r>
          </w:p>
          <w:p w14:paraId="70348027" w14:textId="77777777" w:rsidR="00C910B0" w:rsidRPr="00C910B0" w:rsidRDefault="00C910B0" w:rsidP="00C910B0">
            <w:pPr>
              <w:numPr>
                <w:ilvl w:val="0"/>
                <w:numId w:val="18"/>
              </w:numPr>
              <w:snapToGrid w:val="0"/>
              <w:spacing w:after="120" w:line="276" w:lineRule="auto"/>
              <w:ind w:left="0"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Las obras fueron efectivamente ejecutadas y recibidas a satisfacción.</w:t>
            </w:r>
          </w:p>
          <w:p w14:paraId="29255839" w14:textId="77777777" w:rsidR="00C910B0" w:rsidRPr="00C910B0" w:rsidRDefault="00C910B0" w:rsidP="00C910B0">
            <w:pPr>
              <w:numPr>
                <w:ilvl w:val="0"/>
                <w:numId w:val="18"/>
              </w:numPr>
              <w:snapToGrid w:val="0"/>
              <w:spacing w:after="120" w:line="276" w:lineRule="auto"/>
              <w:ind w:left="0"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La reclasificación de la vía guarda relación directa con las condiciones técnicas obtenidas mediante la ejecución del contrato.</w:t>
            </w:r>
          </w:p>
          <w:p w14:paraId="18B64685" w14:textId="77777777" w:rsidR="00C910B0" w:rsidRPr="00C910B0" w:rsidRDefault="00C910B0" w:rsidP="00C910B0">
            <w:pPr>
              <w:numPr>
                <w:ilvl w:val="0"/>
                <w:numId w:val="18"/>
              </w:numPr>
              <w:snapToGrid w:val="0"/>
              <w:spacing w:after="120" w:line="276" w:lineRule="auto"/>
              <w:ind w:left="0"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La autoridad competente reconoció oficialmente dicha categoría posterior.</w:t>
            </w:r>
          </w:p>
          <w:p w14:paraId="23BC1E8E"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Bajo esta interpretación, cuando el objeto contractual estuvo orientado precisamente a transformar una vía de segundo orden en una vía de primer orden y dicha transformación se materializó y fue reconocida oficialmente como resultado de las obras ejecutadas, la experiencia podría evaluarse atendiendo a la condición final alcanzada por la infraestructura, por cuanto esta representa el resultado técnico efectivo obtenido por el contratista.</w:t>
            </w:r>
          </w:p>
          <w:p w14:paraId="02ECF6F2" w14:textId="77777777" w:rsidR="00C910B0" w:rsidRPr="00C910B0" w:rsidRDefault="00C910B0" w:rsidP="00C910B0">
            <w:pPr>
              <w:snapToGrid w:val="0"/>
              <w:spacing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En consecuencia, la regla general sería que la experiencia se analiza conforme a la clasificación existente durante la ejecución del contrato; sin embargo, de manera excepcional, cuando la finalidad del contrato y su resultado consistan precisamente en la transformación de la infraestructura hacia una categoría superior y dicha condición quede acreditada oficialmente, podría resultar procedente considerar la clasificación final alcanzada por la vía como efecto directo de las obras ejecutadas.</w:t>
            </w:r>
          </w:p>
        </w:tc>
      </w:tr>
    </w:tbl>
    <w:p w14:paraId="073ADA84" w14:textId="77777777" w:rsidR="00C910B0" w:rsidRPr="00C910B0" w:rsidRDefault="00C910B0" w:rsidP="00C910B0">
      <w:pPr>
        <w:tabs>
          <w:tab w:val="left" w:pos="142"/>
          <w:tab w:val="left" w:pos="284"/>
        </w:tabs>
        <w:snapToGrid w:val="0"/>
        <w:spacing w:after="0" w:line="276" w:lineRule="auto"/>
        <w:jc w:val="both"/>
        <w:rPr>
          <w:rFonts w:ascii="Verdana" w:eastAsia="Century Gothic" w:hAnsi="Verdana" w:cs="Century Gothic"/>
          <w:b/>
          <w:bCs/>
          <w:lang w:val="es-ES_tradnl"/>
        </w:rPr>
      </w:pPr>
    </w:p>
    <w:p w14:paraId="77DDB31F" w14:textId="77777777" w:rsidR="00C910B0" w:rsidRPr="00C910B0" w:rsidRDefault="00C910B0" w:rsidP="00C910B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910B0">
        <w:rPr>
          <w:rFonts w:ascii="Verdana" w:eastAsia="Century Gothic" w:hAnsi="Verdana" w:cs="Century Gothic"/>
          <w:b/>
          <w:bCs/>
          <w:lang w:val="es-ES_tradnl"/>
        </w:rPr>
        <w:t>Razones de la respuesta:</w:t>
      </w:r>
    </w:p>
    <w:p w14:paraId="0F2D9CCF" w14:textId="77777777" w:rsidR="00C910B0" w:rsidRPr="00C910B0" w:rsidRDefault="00C910B0" w:rsidP="00C910B0">
      <w:pPr>
        <w:snapToGrid w:val="0"/>
        <w:spacing w:after="0" w:line="276" w:lineRule="auto"/>
        <w:jc w:val="both"/>
        <w:rPr>
          <w:rFonts w:ascii="Verdana" w:eastAsia="Calibri" w:hAnsi="Verdana" w:cs="Arial"/>
          <w:lang w:val="es-ES_tradnl"/>
        </w:rPr>
      </w:pPr>
    </w:p>
    <w:p w14:paraId="63E55E14" w14:textId="77777777" w:rsidR="00C910B0" w:rsidRPr="00C910B0" w:rsidRDefault="00C910B0" w:rsidP="00C910B0">
      <w:pPr>
        <w:snapToGrid w:val="0"/>
        <w:spacing w:after="0" w:line="276" w:lineRule="auto"/>
        <w:jc w:val="both"/>
        <w:rPr>
          <w:rFonts w:ascii="Verdana" w:eastAsia="Calibri" w:hAnsi="Verdana" w:cs="Arial"/>
          <w:lang w:val="es-ES_tradnl"/>
        </w:rPr>
      </w:pPr>
      <w:r w:rsidRPr="00C910B0">
        <w:rPr>
          <w:rFonts w:ascii="Verdana" w:eastAsia="Calibri" w:hAnsi="Verdana" w:cs="Arial"/>
          <w:lang w:val="es-ES_tradnl"/>
        </w:rPr>
        <w:t xml:space="preserve">Lo anterior se sustenta en las siguientes consideraciones: </w:t>
      </w:r>
    </w:p>
    <w:p w14:paraId="71571DE6" w14:textId="77777777" w:rsidR="00C910B0" w:rsidRPr="00C910B0" w:rsidRDefault="00C910B0" w:rsidP="00C910B0">
      <w:pPr>
        <w:snapToGrid w:val="0"/>
        <w:spacing w:after="0" w:line="276" w:lineRule="auto"/>
        <w:jc w:val="both"/>
        <w:rPr>
          <w:rFonts w:ascii="Verdana" w:eastAsia="Calibri" w:hAnsi="Verdana" w:cs="Arial"/>
          <w:lang w:val="es-ES_tradnl"/>
        </w:rPr>
      </w:pPr>
    </w:p>
    <w:p w14:paraId="3622EB54" w14:textId="77777777" w:rsidR="00C910B0" w:rsidRPr="00C910B0" w:rsidRDefault="00C910B0" w:rsidP="00C910B0">
      <w:pPr>
        <w:snapToGrid w:val="0"/>
        <w:spacing w:after="0" w:line="276" w:lineRule="auto"/>
        <w:jc w:val="both"/>
        <w:rPr>
          <w:rFonts w:ascii="Verdana" w:eastAsia="Calibri" w:hAnsi="Verdana" w:cs="Arial"/>
          <w:lang w:val="es-ES_tradnl"/>
        </w:rPr>
      </w:pPr>
      <w:r w:rsidRPr="00C910B0">
        <w:rPr>
          <w:rFonts w:ascii="Verdana" w:eastAsia="Calibri" w:hAnsi="Verdana" w:cs="Arial"/>
          <w:lang w:val="es-ES_tradnl"/>
        </w:rPr>
        <w:t xml:space="preserve">Los Documentos Tipo expedidos por esta Agencia en ejercicio de la potestad otorgada por la Ley 2022 de 2020 son de obligatoria observancia por parte de </w:t>
      </w:r>
      <w:r w:rsidRPr="00C910B0">
        <w:rPr>
          <w:rFonts w:ascii="Verdana" w:eastAsia="Calibri" w:hAnsi="Verdana" w:cs="Arial"/>
          <w:lang w:val="es-ES_tradnl"/>
        </w:rPr>
        <w:lastRenderedPageBreak/>
        <w:t>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74AAC935" w14:textId="77777777" w:rsidR="00C910B0" w:rsidRPr="00C910B0" w:rsidRDefault="00C910B0" w:rsidP="00C910B0">
      <w:pPr>
        <w:snapToGrid w:val="0"/>
        <w:spacing w:before="120" w:after="0" w:line="276" w:lineRule="auto"/>
        <w:ind w:firstLine="709"/>
        <w:jc w:val="both"/>
        <w:rPr>
          <w:rFonts w:ascii="Verdana" w:eastAsia="Calibri" w:hAnsi="Verdana" w:cs="Times New Roman"/>
          <w:lang w:val="es-ES"/>
        </w:rPr>
      </w:pPr>
      <w:r w:rsidRPr="00C910B0">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56F5F256" w14:textId="77777777" w:rsidR="00C910B0" w:rsidRPr="00C910B0" w:rsidRDefault="00C910B0" w:rsidP="00C910B0">
      <w:pPr>
        <w:snapToGrid w:val="0"/>
        <w:spacing w:before="120" w:after="0" w:line="276" w:lineRule="auto"/>
        <w:ind w:firstLine="709"/>
        <w:jc w:val="both"/>
        <w:rPr>
          <w:rFonts w:ascii="Verdana" w:eastAsia="Calibri" w:hAnsi="Verdana" w:cs="Arial"/>
          <w:lang w:val="es-ES_tradnl"/>
        </w:rPr>
      </w:pPr>
      <w:r w:rsidRPr="00C910B0">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C910B0">
        <w:rPr>
          <w:rFonts w:ascii="Verdana" w:eastAsia="Calibri" w:hAnsi="Verdana" w:cs="Times New Roman"/>
          <w:vertAlign w:val="superscript"/>
          <w:lang w:val="es-ES_tradnl"/>
        </w:rPr>
        <w:footnoteReference w:id="1"/>
      </w:r>
      <w:r w:rsidRPr="00C910B0">
        <w:rPr>
          <w:rFonts w:ascii="Verdana" w:eastAsia="Calibri" w:hAnsi="Verdana" w:cs="Times New Roman"/>
          <w:lang w:val="es-ES_tradnl"/>
        </w:rPr>
        <w:t xml:space="preserve"> </w:t>
      </w:r>
    </w:p>
    <w:p w14:paraId="345E9F4A" w14:textId="77777777" w:rsidR="00C910B0" w:rsidRPr="00C910B0" w:rsidRDefault="00C910B0" w:rsidP="00C910B0">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C910B0">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C910B0">
        <w:rPr>
          <w:rFonts w:ascii="Verdana" w:eastAsia="Times New Roman" w:hAnsi="Verdana" w:cs="Arial"/>
          <w:kern w:val="2"/>
          <w:highlight w:val="lightGray"/>
          <w:shd w:val="clear" w:color="auto" w:fill="FFFFFF"/>
          <w:lang w:val="es-ES" w:eastAsia="es-ES"/>
          <w14:ligatures w14:val="standardContextual"/>
        </w:rPr>
        <w:t>[texto]</w:t>
      </w:r>
      <w:r w:rsidRPr="00C910B0">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2D11AFC1" w14:textId="77777777" w:rsidR="00C910B0" w:rsidRPr="00C910B0" w:rsidRDefault="00C910B0" w:rsidP="00C910B0">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C910B0">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1A9038BC" w14:textId="77777777" w:rsidR="00C910B0" w:rsidRPr="00C910B0" w:rsidRDefault="00C910B0" w:rsidP="00C910B0">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C910B0">
        <w:rPr>
          <w:rFonts w:ascii="Verdana" w:eastAsia="Times New Roman" w:hAnsi="Verdana" w:cs="Arial"/>
          <w:kern w:val="2"/>
          <w:shd w:val="clear" w:color="auto" w:fill="FFFFFF"/>
          <w:lang w:val="es-ES_tradnl" w:eastAsia="es-ES"/>
          <w14:ligatures w14:val="standardContextual"/>
        </w:rPr>
        <w:t xml:space="preserve">En virtud de lo anterior, cuando existan documentos tipo y la actividad a contratar por parte de una entidad sometida al EGCAP se encuentre cobijada por </w:t>
      </w:r>
      <w:r w:rsidRPr="00C910B0">
        <w:rPr>
          <w:rFonts w:ascii="Verdana" w:eastAsia="Times New Roman" w:hAnsi="Verdana" w:cs="Arial"/>
          <w:kern w:val="2"/>
          <w:shd w:val="clear" w:color="auto" w:fill="FFFFFF"/>
          <w:lang w:val="es-ES_tradnl" w:eastAsia="es-ES"/>
          <w14:ligatures w14:val="standardContextual"/>
        </w:rPr>
        <w:lastRenderedPageBreak/>
        <w:t>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29DD51ED" w14:textId="77777777" w:rsidR="00C910B0" w:rsidRPr="00C910B0" w:rsidRDefault="00C910B0" w:rsidP="00C910B0">
      <w:pPr>
        <w:snapToGrid w:val="0"/>
        <w:spacing w:after="120" w:line="276" w:lineRule="auto"/>
        <w:ind w:firstLine="709"/>
        <w:jc w:val="both"/>
        <w:rPr>
          <w:rFonts w:ascii="Verdana" w:eastAsia="Calibri" w:hAnsi="Verdana" w:cs="Times New Roman"/>
          <w:lang w:val="es-ES"/>
        </w:rPr>
      </w:pPr>
      <w:r w:rsidRPr="00C910B0">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C910B0">
        <w:rPr>
          <w:rFonts w:ascii="Verdana" w:eastAsia="Calibri" w:hAnsi="Verdana" w:cs="Times New Roman"/>
          <w:lang w:val="es-ES"/>
        </w:rPr>
        <w:t>ii</w:t>
      </w:r>
      <w:proofErr w:type="spellEnd"/>
      <w:r w:rsidRPr="00C910B0">
        <w:rPr>
          <w:rFonts w:ascii="Verdana" w:eastAsia="Calibri" w:hAnsi="Verdana" w:cs="Times New Roman"/>
          <w:lang w:val="es-ES"/>
        </w:rPr>
        <w:t xml:space="preserve">) la actividad a contratar y </w:t>
      </w:r>
      <w:proofErr w:type="spellStart"/>
      <w:r w:rsidRPr="00C910B0">
        <w:rPr>
          <w:rFonts w:ascii="Verdana" w:eastAsia="Calibri" w:hAnsi="Verdana" w:cs="Times New Roman"/>
          <w:lang w:val="es-ES"/>
        </w:rPr>
        <w:t>iii</w:t>
      </w:r>
      <w:proofErr w:type="spellEnd"/>
      <w:r w:rsidRPr="00C910B0">
        <w:rPr>
          <w:rFonts w:ascii="Verdana" w:eastAsia="Calibri" w:hAnsi="Verdana" w:cs="Times New Roman"/>
          <w:lang w:val="es-ES"/>
        </w:rPr>
        <w:t>) la cuantía del proceso de contratación.</w:t>
      </w:r>
    </w:p>
    <w:p w14:paraId="2A9CAB78" w14:textId="77777777" w:rsidR="00C910B0" w:rsidRPr="00C910B0" w:rsidRDefault="00C910B0" w:rsidP="00C910B0">
      <w:pPr>
        <w:snapToGrid w:val="0"/>
        <w:spacing w:after="120" w:line="276" w:lineRule="auto"/>
        <w:ind w:firstLine="709"/>
        <w:jc w:val="both"/>
        <w:rPr>
          <w:rFonts w:ascii="Verdana" w:eastAsia="Times New Roman" w:hAnsi="Verdana" w:cs="Aptos"/>
          <w:color w:val="000000"/>
          <w:lang w:val="es-ES" w:eastAsia="es-MX"/>
        </w:rPr>
      </w:pPr>
      <w:r w:rsidRPr="00C910B0">
        <w:rPr>
          <w:rFonts w:ascii="Verdana" w:eastAsia="Times New Roman" w:hAnsi="Verdana" w:cs="Aptos"/>
          <w:color w:val="000000"/>
          <w:lang w:val="es-ES_tradnl" w:eastAsia="es-MX"/>
        </w:rPr>
        <w:t>Por su parte, el numeral 3.5 “EXPERIENCIA” del documento base de los documentos tipo de infraestructura de transporte indica que los proponentes deben acreditar la experiencia a través de los siguientes documentos:</w:t>
      </w:r>
      <w:r w:rsidRPr="00C910B0">
        <w:rPr>
          <w:rFonts w:ascii="Verdana" w:eastAsia="Aptos" w:hAnsi="Verdana" w:cs="Aptos"/>
          <w:color w:val="000000"/>
          <w:lang w:val="es-MX"/>
        </w:rPr>
        <w:t xml:space="preserve"> </w:t>
      </w:r>
      <w:r w:rsidRPr="00C910B0">
        <w:rPr>
          <w:rFonts w:ascii="Verdana" w:eastAsia="Times New Roman" w:hAnsi="Verdana" w:cs="Aptos"/>
          <w:color w:val="000000"/>
          <w:lang w:val="es-MX" w:eastAsia="es-MX"/>
        </w:rPr>
        <w:t xml:space="preserve">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r w:rsidRPr="00C910B0">
        <w:rPr>
          <w:rFonts w:ascii="Verdana" w:eastAsia="Times New Roman" w:hAnsi="Verdana" w:cs="Aptos"/>
          <w:color w:val="000000"/>
          <w:lang w:val="es-ES" w:eastAsia="es-MX"/>
        </w:rPr>
        <w:t xml:space="preserve">Adicionalmente, en el numeral </w:t>
      </w:r>
      <w:r w:rsidRPr="00C910B0">
        <w:rPr>
          <w:rFonts w:ascii="Verdana" w:eastAsia="Times New Roman" w:hAnsi="Verdana" w:cs="Aptos"/>
          <w:iCs/>
          <w:color w:val="000000"/>
          <w:lang w:val="es-ES" w:eastAsia="es-MX"/>
        </w:rPr>
        <w:t xml:space="preserve">3.5.5 “ACREDITACIÓN DE LA EXPERIENCIA REQUERIDA” </w:t>
      </w:r>
      <w:r w:rsidRPr="00C910B0">
        <w:rPr>
          <w:rFonts w:ascii="Verdana" w:eastAsia="Times New Roman" w:hAnsi="Verdana" w:cs="Aptos"/>
          <w:color w:val="000000"/>
          <w:lang w:val="es-ES" w:eastAsia="es-MX"/>
        </w:rPr>
        <w:t xml:space="preserve">señala la información que deben presentar los proponentes para efectos de acreditar la experiencia en cada uno de los contratos que se presenten. </w:t>
      </w:r>
    </w:p>
    <w:p w14:paraId="576AE12D" w14:textId="77777777" w:rsidR="00C910B0" w:rsidRPr="00C910B0" w:rsidRDefault="00C910B0" w:rsidP="00C910B0">
      <w:pPr>
        <w:spacing w:after="0" w:line="276" w:lineRule="auto"/>
        <w:ind w:firstLine="709"/>
        <w:jc w:val="both"/>
        <w:rPr>
          <w:rFonts w:ascii="Verdana" w:eastAsia="Aptos" w:hAnsi="Verdana" w:cs="Times New Roman"/>
          <w:kern w:val="2"/>
          <w:lang w:val="es-ES_tradnl"/>
          <w14:ligatures w14:val="standardContextual"/>
        </w:rPr>
      </w:pPr>
      <w:r w:rsidRPr="00C910B0">
        <w:rPr>
          <w:rFonts w:ascii="Verdana" w:eastAsia="Arial" w:hAnsi="Verdana" w:cs="Calibri"/>
          <w:lang w:eastAsia="es-ES"/>
        </w:rPr>
        <w:t>Teniendo en cuenta su consulta,</w:t>
      </w:r>
      <w:r w:rsidRPr="00C910B0">
        <w:rPr>
          <w:rFonts w:ascii="Verdana" w:eastAsia="Aptos" w:hAnsi="Verdana" w:cs="Times New Roman"/>
          <w:kern w:val="2"/>
          <w:lang w:val="es-ES_tradnl"/>
          <w14:ligatures w14:val="standardContextual"/>
        </w:rPr>
        <w:t xml:space="preserve"> conviene señalar que, dentro del numeral 3.5.6. “DOCUMENTOS VÁLIDOS PARA LA ACREDITACIÓN DE LA EXPERIENCIA REQUERIDA” del documento base de los documentos tipo de infraestructura de transporte, se indica que 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Esos documentos deberán estar debidamente diligenciados y suscritos por el contratante, el contratista o el interventor, según corresponda, y en caso de existir discrepancias entre dos (2) o más documentos aportados por el Proponente para la acreditación de experiencia, se tendrá en cuenta el orden de prevalencia establecido a continuación:</w:t>
      </w:r>
    </w:p>
    <w:p w14:paraId="3A4D593C" w14:textId="77777777" w:rsidR="00C910B0" w:rsidRPr="00C910B0" w:rsidRDefault="00C910B0" w:rsidP="00C910B0">
      <w:pPr>
        <w:spacing w:after="0" w:line="276" w:lineRule="auto"/>
        <w:ind w:firstLine="709"/>
        <w:jc w:val="both"/>
        <w:rPr>
          <w:rFonts w:ascii="Verdana" w:eastAsia="Aptos" w:hAnsi="Verdana" w:cs="Times New Roman"/>
          <w:kern w:val="2"/>
          <w:lang w:val="es-ES_tradnl"/>
          <w14:ligatures w14:val="standardContextual"/>
        </w:rPr>
      </w:pPr>
    </w:p>
    <w:p w14:paraId="44651D20" w14:textId="77777777" w:rsidR="00C910B0" w:rsidRPr="00C910B0" w:rsidRDefault="00C910B0" w:rsidP="00C910B0">
      <w:pPr>
        <w:spacing w:after="120" w:line="276"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lastRenderedPageBreak/>
        <w:t>“A.</w:t>
      </w:r>
      <w:r w:rsidRPr="00C910B0">
        <w:rPr>
          <w:rFonts w:ascii="Verdana" w:eastAsia="Aptos" w:hAnsi="Verdana" w:cs="Times New Roman"/>
          <w:kern w:val="2"/>
          <w:sz w:val="21"/>
          <w:szCs w:val="21"/>
          <w:lang w:val="es-ES_tradnl"/>
          <w14:ligatures w14:val="standardContextual"/>
        </w:rPr>
        <w:tab/>
        <w:t>Acta de liquidación</w:t>
      </w:r>
    </w:p>
    <w:p w14:paraId="761B35A7" w14:textId="77777777" w:rsidR="00C910B0" w:rsidRPr="00C910B0" w:rsidRDefault="00C910B0" w:rsidP="00C910B0">
      <w:pPr>
        <w:spacing w:after="120" w:line="276"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B.</w:t>
      </w:r>
      <w:r w:rsidRPr="00C910B0">
        <w:rPr>
          <w:rFonts w:ascii="Verdana" w:eastAsia="Aptos" w:hAnsi="Verdana" w:cs="Times New Roman"/>
          <w:kern w:val="2"/>
          <w:sz w:val="21"/>
          <w:szCs w:val="21"/>
          <w:lang w:val="es-ES_tradnl"/>
          <w14:ligatures w14:val="standardContextual"/>
        </w:rPr>
        <w:tab/>
        <w:t xml:space="preserve">Acta de entrega, terminación, final o de recibo definitivo. </w:t>
      </w:r>
    </w:p>
    <w:p w14:paraId="0CE6507E" w14:textId="77777777" w:rsidR="00C910B0" w:rsidRPr="00C910B0" w:rsidRDefault="00C910B0" w:rsidP="00C910B0">
      <w:pPr>
        <w:spacing w:after="120" w:line="276"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C.</w:t>
      </w:r>
      <w:r w:rsidRPr="00C910B0">
        <w:rPr>
          <w:rFonts w:ascii="Verdana" w:eastAsia="Aptos" w:hAnsi="Verdana" w:cs="Times New Roman"/>
          <w:kern w:val="2"/>
          <w:sz w:val="21"/>
          <w:szCs w:val="21"/>
          <w:lang w:val="es-ES_tradnl"/>
          <w14:ligatures w14:val="standardContextual"/>
        </w:rPr>
        <w:tab/>
        <w:t>Certificación de experiencia. Expedida con posterioridad a la fecha de terminación del contrato en la que conste el recibo a satisfacción de la obra contratada debidamente suscrita por quien esté en capacidad u obligación de hacerlo.</w:t>
      </w:r>
    </w:p>
    <w:p w14:paraId="7AAA98F5" w14:textId="77777777" w:rsidR="00C910B0" w:rsidRPr="00C910B0" w:rsidRDefault="00C910B0" w:rsidP="00C910B0">
      <w:pPr>
        <w:spacing w:after="120" w:line="276" w:lineRule="auto"/>
        <w:ind w:left="709" w:right="709"/>
        <w:jc w:val="both"/>
        <w:rPr>
          <w:rFonts w:ascii="Verdana" w:eastAsia="Aptos" w:hAnsi="Verdana" w:cs="Times New Roman"/>
          <w:kern w:val="2"/>
          <w:sz w:val="21"/>
          <w:szCs w:val="21"/>
          <w:lang w:val="es-ES"/>
          <w14:ligatures w14:val="standardContextual"/>
        </w:rPr>
      </w:pPr>
      <w:r w:rsidRPr="00C910B0">
        <w:rPr>
          <w:rFonts w:ascii="Verdana" w:eastAsia="Aptos" w:hAnsi="Verdana" w:cs="Times New Roman"/>
          <w:kern w:val="2"/>
          <w:sz w:val="21"/>
          <w:szCs w:val="21"/>
          <w:lang w:val="es-ES"/>
          <w14:ligatures w14:val="standardContextual"/>
        </w:rPr>
        <w:t>D.</w:t>
      </w:r>
      <w:r w:rsidRPr="00C910B0">
        <w:rPr>
          <w:rFonts w:ascii="Verdana" w:eastAsia="Aptos" w:hAnsi="Verdana" w:cs="Times New Roman"/>
          <w:kern w:val="2"/>
          <w:sz w:val="21"/>
          <w:szCs w:val="21"/>
          <w:lang w:val="es-ES_tradnl"/>
          <w14:ligatures w14:val="standardContextual"/>
        </w:rPr>
        <w:tab/>
      </w:r>
      <w:r w:rsidRPr="00C910B0">
        <w:rPr>
          <w:rFonts w:ascii="Verdana" w:eastAsia="Aptos" w:hAnsi="Verdana" w:cs="Times New Roman"/>
          <w:kern w:val="2"/>
          <w:sz w:val="21"/>
          <w:szCs w:val="21"/>
          <w:lang w:val="es-ES"/>
          <w14:ligatures w14:val="standardContextual"/>
        </w:rPr>
        <w:t>Acta de inicio o la orden de inicio. La misma sólo será válida para efectos de acreditar la fecha de inicio.</w:t>
      </w:r>
    </w:p>
    <w:p w14:paraId="7DBAEF21" w14:textId="77777777" w:rsidR="00C910B0" w:rsidRPr="00C910B0" w:rsidRDefault="00C910B0" w:rsidP="00C910B0">
      <w:pPr>
        <w:spacing w:after="0" w:line="276"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E.</w:t>
      </w:r>
      <w:r w:rsidRPr="00C910B0">
        <w:rPr>
          <w:rFonts w:ascii="Verdana" w:eastAsia="Aptos" w:hAnsi="Verdana" w:cs="Times New Roman"/>
          <w:kern w:val="2"/>
          <w:sz w:val="21"/>
          <w:szCs w:val="21"/>
          <w:lang w:val="es-ES_tradnl"/>
          <w14:ligatures w14:val="standardContextual"/>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0774B635" w14:textId="77777777" w:rsidR="00C910B0" w:rsidRPr="00C910B0" w:rsidRDefault="00C910B0" w:rsidP="00C910B0">
      <w:pPr>
        <w:spacing w:after="0" w:line="276" w:lineRule="auto"/>
        <w:ind w:left="709" w:right="709"/>
        <w:jc w:val="both"/>
        <w:rPr>
          <w:rFonts w:ascii="Verdana" w:eastAsia="Aptos" w:hAnsi="Verdana" w:cs="Times New Roman"/>
          <w:kern w:val="2"/>
          <w:lang w:val="es-ES_tradnl"/>
          <w14:ligatures w14:val="standardContextual"/>
        </w:rPr>
      </w:pPr>
    </w:p>
    <w:p w14:paraId="237ED46A" w14:textId="77777777" w:rsidR="00C910B0" w:rsidRPr="00C910B0" w:rsidRDefault="00C910B0" w:rsidP="00C910B0">
      <w:pPr>
        <w:spacing w:after="0" w:line="276" w:lineRule="auto"/>
        <w:ind w:firstLine="709"/>
        <w:jc w:val="both"/>
        <w:rPr>
          <w:rFonts w:ascii="Verdana" w:eastAsia="Aptos" w:hAnsi="Verdana" w:cs="Times New Roman"/>
          <w:kern w:val="2"/>
          <w:lang w:val="es-ES_tradnl"/>
          <w14:ligatures w14:val="standardContextual"/>
        </w:rPr>
      </w:pPr>
      <w:r w:rsidRPr="00C910B0">
        <w:rPr>
          <w:rFonts w:ascii="Verdana" w:eastAsia="Aptos" w:hAnsi="Verdana" w:cs="Times New Roman"/>
          <w:kern w:val="2"/>
          <w:lang w:val="es-ES_tradnl"/>
          <w14:ligatures w14:val="standardContextual"/>
        </w:rPr>
        <w:t xml:space="preserve">Y, dentro del numeral 3.5.5. “ACREDITACIÓN DE LA EXPERIENCIA REQUERIDA” del Documento Base, se indica que los Proponentes acreditarán para cada uno de los contratos aportados la siguiente información mediante alguno o algunos, de los documentos señalados en la sección 3.5.6 del Pliego de Condiciones: </w:t>
      </w:r>
    </w:p>
    <w:p w14:paraId="53A7B315" w14:textId="77777777" w:rsidR="00C910B0" w:rsidRPr="00C910B0" w:rsidRDefault="00C910B0" w:rsidP="00C910B0">
      <w:pPr>
        <w:spacing w:after="0" w:line="276" w:lineRule="auto"/>
        <w:ind w:firstLine="709"/>
        <w:jc w:val="both"/>
        <w:rPr>
          <w:rFonts w:ascii="Verdana" w:eastAsia="Aptos" w:hAnsi="Verdana" w:cs="Times New Roman"/>
          <w:kern w:val="2"/>
          <w:lang w:val="es-ES_tradnl"/>
          <w14:ligatures w14:val="standardContextual"/>
        </w:rPr>
      </w:pPr>
    </w:p>
    <w:p w14:paraId="638E1EE5" w14:textId="77777777" w:rsidR="00C910B0" w:rsidRPr="00C910B0" w:rsidRDefault="00C910B0" w:rsidP="00C910B0">
      <w:pPr>
        <w:spacing w:after="120" w:line="240"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“A.</w:t>
      </w:r>
      <w:r w:rsidRPr="00C910B0">
        <w:rPr>
          <w:rFonts w:ascii="Verdana" w:eastAsia="Aptos" w:hAnsi="Verdana" w:cs="Times New Roman"/>
          <w:kern w:val="2"/>
          <w:sz w:val="21"/>
          <w:szCs w:val="21"/>
          <w:lang w:val="es-ES_tradnl"/>
          <w14:ligatures w14:val="standardContextual"/>
        </w:rPr>
        <w:tab/>
        <w:t>Contratante.</w:t>
      </w:r>
    </w:p>
    <w:p w14:paraId="5E44111B" w14:textId="77777777" w:rsidR="00C910B0" w:rsidRPr="00C910B0" w:rsidRDefault="00C910B0" w:rsidP="00C910B0">
      <w:pPr>
        <w:spacing w:after="120" w:line="240"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B.</w:t>
      </w:r>
      <w:r w:rsidRPr="00C910B0">
        <w:rPr>
          <w:rFonts w:ascii="Verdana" w:eastAsia="Aptos" w:hAnsi="Verdana" w:cs="Times New Roman"/>
          <w:kern w:val="2"/>
          <w:sz w:val="21"/>
          <w:szCs w:val="21"/>
          <w:lang w:val="es-ES_tradnl"/>
          <w14:ligatures w14:val="standardContextual"/>
        </w:rPr>
        <w:tab/>
        <w:t>Objeto del contrato.</w:t>
      </w:r>
    </w:p>
    <w:p w14:paraId="74511172" w14:textId="77777777" w:rsidR="00C910B0" w:rsidRPr="00C910B0" w:rsidRDefault="00C910B0" w:rsidP="00C910B0">
      <w:pPr>
        <w:spacing w:after="120" w:line="240"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C.</w:t>
      </w:r>
      <w:r w:rsidRPr="00C910B0">
        <w:rPr>
          <w:rFonts w:ascii="Verdana" w:eastAsia="Aptos" w:hAnsi="Verdana" w:cs="Times New Roman"/>
          <w:kern w:val="2"/>
          <w:sz w:val="21"/>
          <w:szCs w:val="21"/>
          <w:lang w:val="es-ES_tradnl"/>
          <w14:ligatures w14:val="standardContextual"/>
        </w:rPr>
        <w:tab/>
        <w:t>Principales actividades ejecutadas.</w:t>
      </w:r>
    </w:p>
    <w:p w14:paraId="65173E0B" w14:textId="77777777" w:rsidR="00C910B0" w:rsidRPr="00C910B0" w:rsidRDefault="00C910B0" w:rsidP="00C910B0">
      <w:pPr>
        <w:spacing w:after="120" w:line="240"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D.</w:t>
      </w:r>
      <w:r w:rsidRPr="00C910B0">
        <w:rPr>
          <w:rFonts w:ascii="Verdana" w:eastAsia="Aptos" w:hAnsi="Verdana" w:cs="Times New Roman"/>
          <w:kern w:val="2"/>
          <w:sz w:val="21"/>
          <w:szCs w:val="21"/>
          <w:lang w:val="es-ES_tradnl"/>
          <w14:ligatures w14:val="standardContextual"/>
        </w:rPr>
        <w:tab/>
        <w:t>Las longitudes, volúmenes, dimensiones, tipologías y demás condiciones de experiencia establecidas en la Matriz 1 – Experiencia, si aplica.</w:t>
      </w:r>
    </w:p>
    <w:p w14:paraId="47B4211C" w14:textId="77777777" w:rsidR="00C910B0" w:rsidRPr="00C910B0" w:rsidRDefault="00C910B0" w:rsidP="00C910B0">
      <w:pPr>
        <w:spacing w:after="120" w:line="240"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E.</w:t>
      </w:r>
      <w:r w:rsidRPr="00C910B0">
        <w:rPr>
          <w:rFonts w:ascii="Verdana" w:eastAsia="Aptos" w:hAnsi="Verdana" w:cs="Times New Roman"/>
          <w:kern w:val="2"/>
          <w:sz w:val="21"/>
          <w:szCs w:val="21"/>
          <w:lang w:val="es-ES_tradnl"/>
          <w14:ligatures w14:val="standardContextual"/>
        </w:rPr>
        <w:tab/>
        <w:t xml:space="preserve">La fecha de iniciación de la ejecución del contrato: Esta fecha es diferente a la de suscripción del contrato, a menos que de los documentos del numeral 3.5.6 de forma expresa así se determine. </w:t>
      </w:r>
    </w:p>
    <w:p w14:paraId="64670556" w14:textId="77777777" w:rsidR="00C910B0" w:rsidRPr="00C910B0" w:rsidRDefault="00C910B0" w:rsidP="00C910B0">
      <w:pPr>
        <w:spacing w:after="120" w:line="240"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Si en los documentos válidos aportados para la acreditación de experiencia solo se evidencia fecha (mes, año) de suscripción y/o inicio del contrato: se tendrá en cuenta el último día del mes que se encuentre señalado en la certificación.</w:t>
      </w:r>
    </w:p>
    <w:p w14:paraId="5F44B019" w14:textId="77777777" w:rsidR="00C910B0" w:rsidRPr="00C910B0" w:rsidRDefault="00C910B0" w:rsidP="00C910B0">
      <w:pPr>
        <w:spacing w:after="120" w:line="240"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lastRenderedPageBreak/>
        <w:t>F.</w:t>
      </w:r>
      <w:r w:rsidRPr="00C910B0">
        <w:rPr>
          <w:rFonts w:ascii="Verdana" w:eastAsia="Aptos" w:hAnsi="Verdana" w:cs="Times New Roman"/>
          <w:kern w:val="2"/>
          <w:sz w:val="21"/>
          <w:szCs w:val="21"/>
          <w:lang w:val="es-ES_tradnl"/>
          <w14:ligatures w14:val="standardContextual"/>
        </w:rPr>
        <w:tab/>
        <w:t xml:space="preserve">La fecha de terminación de la ejecución del contrato: Esta fecha de terminación no es la fecha de entrega y/o recibo final, liquidación, o acta final, salvo que de los documentos del numeral 3.5.6 de forma expresa así se determine.    </w:t>
      </w:r>
    </w:p>
    <w:p w14:paraId="69249296" w14:textId="77777777" w:rsidR="00C910B0" w:rsidRPr="00C910B0" w:rsidRDefault="00C910B0" w:rsidP="00C910B0">
      <w:pPr>
        <w:spacing w:after="120" w:line="240"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Si en los documentos válidos aportados para la acreditación de experiencia solo se evidencia fecha (mes, año) de terminación del contrato: se tendrá en cuenta el primer día del mes que se encuentre señalado en la certificación.</w:t>
      </w:r>
    </w:p>
    <w:p w14:paraId="3B1866B9" w14:textId="77777777" w:rsidR="00C910B0" w:rsidRPr="00C910B0" w:rsidRDefault="00C910B0" w:rsidP="00C910B0">
      <w:pPr>
        <w:spacing w:after="120" w:line="240"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G.</w:t>
      </w:r>
      <w:r w:rsidRPr="00C910B0">
        <w:rPr>
          <w:rFonts w:ascii="Verdana" w:eastAsia="Aptos" w:hAnsi="Verdana" w:cs="Times New Roman"/>
          <w:kern w:val="2"/>
          <w:sz w:val="21"/>
          <w:szCs w:val="21"/>
          <w:lang w:val="es-ES_tradnl"/>
          <w14:ligatures w14:val="standardContextual"/>
        </w:rPr>
        <w:tab/>
        <w:t>Nombre y cargo de la persona que expide la certificación.</w:t>
      </w:r>
    </w:p>
    <w:p w14:paraId="3229A611" w14:textId="77777777" w:rsidR="00C910B0" w:rsidRPr="00C910B0" w:rsidRDefault="00C910B0" w:rsidP="00C910B0">
      <w:pPr>
        <w:spacing w:after="120" w:line="240"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H.</w:t>
      </w:r>
      <w:r w:rsidRPr="00C910B0">
        <w:rPr>
          <w:rFonts w:ascii="Verdana" w:eastAsia="Aptos" w:hAnsi="Verdana" w:cs="Times New Roman"/>
          <w:kern w:val="2"/>
          <w:sz w:val="21"/>
          <w:szCs w:val="21"/>
          <w:lang w:val="es-ES_tradnl"/>
          <w14:ligatures w14:val="standardContextual"/>
        </w:rPr>
        <w:tab/>
        <w:t>El porcentaje de participación del integrante del contratista plural.</w:t>
      </w:r>
    </w:p>
    <w:p w14:paraId="02D4B25F" w14:textId="77777777" w:rsidR="00C910B0" w:rsidRPr="00C910B0" w:rsidRDefault="00C910B0" w:rsidP="00C910B0">
      <w:pPr>
        <w:spacing w:after="0" w:line="240" w:lineRule="auto"/>
        <w:ind w:left="709" w:right="709"/>
        <w:jc w:val="both"/>
        <w:rPr>
          <w:rFonts w:ascii="Verdana" w:eastAsia="Aptos" w:hAnsi="Verdana" w:cs="Times New Roman"/>
          <w:kern w:val="2"/>
          <w:sz w:val="21"/>
          <w:szCs w:val="21"/>
          <w:lang w:val="es-ES_tradnl"/>
          <w14:ligatures w14:val="standardContextual"/>
        </w:rPr>
      </w:pPr>
      <w:r w:rsidRPr="00C910B0">
        <w:rPr>
          <w:rFonts w:ascii="Verdana" w:eastAsia="Aptos" w:hAnsi="Verdana" w:cs="Times New Roman"/>
          <w:kern w:val="2"/>
          <w:sz w:val="21"/>
          <w:szCs w:val="21"/>
          <w:lang w:val="es-ES_tradnl"/>
          <w14:ligatures w14:val="standardContextual"/>
        </w:rPr>
        <w:t>I.</w:t>
      </w:r>
      <w:r w:rsidRPr="00C910B0">
        <w:rPr>
          <w:rFonts w:ascii="Verdana" w:eastAsia="Aptos" w:hAnsi="Verdana" w:cs="Times New Roman"/>
          <w:kern w:val="2"/>
          <w:sz w:val="21"/>
          <w:szCs w:val="21"/>
          <w:lang w:val="es-ES_tradnl"/>
          <w14:ligatures w14:val="standardContextual"/>
        </w:rPr>
        <w:tab/>
        <w:t>El porcentaje de participación en el valor ejecutado en el caso de contratistas plurales”.</w:t>
      </w:r>
    </w:p>
    <w:p w14:paraId="34CB91F9" w14:textId="77777777" w:rsidR="00C910B0" w:rsidRPr="00C910B0" w:rsidRDefault="00C910B0" w:rsidP="00C910B0">
      <w:pPr>
        <w:spacing w:after="0" w:line="276" w:lineRule="auto"/>
        <w:ind w:left="709" w:right="709"/>
        <w:jc w:val="both"/>
        <w:rPr>
          <w:rFonts w:ascii="Verdana" w:eastAsia="Aptos" w:hAnsi="Verdana" w:cs="Times New Roman"/>
          <w:kern w:val="2"/>
          <w:lang w:val="es-ES_tradnl"/>
          <w14:ligatures w14:val="standardContextual"/>
        </w:rPr>
      </w:pPr>
    </w:p>
    <w:p w14:paraId="00ABBE6D"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Ahora bien, para efectos de la acreditación y evaluación de la experiencia específica exigida en la Matriz 1 de los Documentos Tipo de Infraestructura de Transporte, la clasificación de la vía que debe considerarse es aquella que se encontraba vigente durante la ejecución del contrato cuya experiencia se pretende acreditar.</w:t>
      </w:r>
    </w:p>
    <w:p w14:paraId="57B51238"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La experiencia constituye una condición derivada de actividades efectivamente ejecutadas por el contratista en determinadas circunstancias técnicas, jurídicas y administrativas. Por ello, la valoración de la experiencia debe realizarse con base en las condiciones existentes al momento en que dichas actividades fueron desarrolladas y recibidas por la entidad contratante.</w:t>
      </w:r>
    </w:p>
    <w:p w14:paraId="5888D824"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En consecuencia, una modificación posterior de la clasificación de la infraestructura vial no altera la naturaleza de las actividades ejecutadas ni transforma retrospectivamente la experiencia adquirida por el contratista.</w:t>
      </w:r>
    </w:p>
    <w:p w14:paraId="14D8D4AB"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En ese orden, frente a los supuestos planteados en la consulta, conviene precisar lo siguiente:</w:t>
      </w:r>
    </w:p>
    <w:p w14:paraId="5D6353B3"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b/>
          <w:bCs/>
          <w:color w:val="000000"/>
          <w:u w:val="single"/>
          <w:lang w:eastAsia="es-MX"/>
        </w:rPr>
        <w:t>i. “Un contratista ejecutó y terminó un contrato de obra cuyo objeto comprendió la construcción, mejoramiento, rehabilitación o mantenimiento de un determinado tramo vial”:</w:t>
      </w:r>
    </w:p>
    <w:p w14:paraId="468EE0FB"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 xml:space="preserve">La entidad debe evaluar la experiencia atendiendo a la clasificación oficial que tenía la vía durante la ejecución del contrato y no a la clasificación vigente al momento de presentación de la oferta.  La experiencia se genera y consolida </w:t>
      </w:r>
      <w:r w:rsidRPr="00C910B0">
        <w:rPr>
          <w:rFonts w:ascii="Verdana" w:eastAsia="Times New Roman" w:hAnsi="Verdana" w:cs="Times New Roman"/>
          <w:color w:val="000000"/>
          <w:lang w:eastAsia="es-MX"/>
        </w:rPr>
        <w:lastRenderedPageBreak/>
        <w:t>con la ejecución del contrato, razón por la cual los atributos de dicha experiencia deben determinarse conforme a las condiciones existentes durante su desarrollo.</w:t>
      </w:r>
    </w:p>
    <w:p w14:paraId="7259C6AF"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proofErr w:type="spellStart"/>
      <w:r w:rsidRPr="00C910B0">
        <w:rPr>
          <w:rFonts w:ascii="Verdana" w:eastAsia="Times New Roman" w:hAnsi="Verdana" w:cs="Times New Roman"/>
          <w:b/>
          <w:bCs/>
          <w:color w:val="000000"/>
          <w:u w:val="single"/>
          <w:lang w:eastAsia="es-MX"/>
        </w:rPr>
        <w:t>ii</w:t>
      </w:r>
      <w:proofErr w:type="spellEnd"/>
      <w:r w:rsidRPr="00C910B0">
        <w:rPr>
          <w:rFonts w:ascii="Verdana" w:eastAsia="Times New Roman" w:hAnsi="Verdana" w:cs="Times New Roman"/>
          <w:b/>
          <w:bCs/>
          <w:color w:val="000000"/>
          <w:u w:val="single"/>
          <w:lang w:eastAsia="es-MX"/>
        </w:rPr>
        <w:t>. “Al momento de la ejecución del contrato, el tramo objeto de intervención se encontraba oficialmente clasificado como vía de segundo orden o secundaria”:</w:t>
      </w:r>
    </w:p>
    <w:p w14:paraId="79282F0B"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Si una vía que era de segundo orden o secundaria durante la ejecución del contrato fue posteriormente reclasificada como vía de primer orden o primaria, la experiencia debe entenderse como ejecutada sobre una vía de segundo orden.  La reclasificación posterior no modifica las condiciones bajo las cuales se ejecutaron las obras ni convierte automáticamente la experiencia originalmente adquirida en experiencia sobre una vía de primer orden.</w:t>
      </w:r>
    </w:p>
    <w:p w14:paraId="15A1A26C"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proofErr w:type="spellStart"/>
      <w:r w:rsidRPr="00C910B0">
        <w:rPr>
          <w:rFonts w:ascii="Verdana" w:eastAsia="Times New Roman" w:hAnsi="Verdana" w:cs="Times New Roman"/>
          <w:b/>
          <w:bCs/>
          <w:color w:val="000000"/>
          <w:u w:val="single"/>
          <w:lang w:eastAsia="es-MX"/>
        </w:rPr>
        <w:t>iii</w:t>
      </w:r>
      <w:proofErr w:type="spellEnd"/>
      <w:r w:rsidRPr="00C910B0">
        <w:rPr>
          <w:rFonts w:ascii="Verdana" w:eastAsia="Times New Roman" w:hAnsi="Verdana" w:cs="Times New Roman"/>
          <w:b/>
          <w:bCs/>
          <w:color w:val="000000"/>
          <w:u w:val="single"/>
          <w:lang w:eastAsia="es-MX"/>
        </w:rPr>
        <w:t>. “El contrato fue ejecutado y recibido a satisfacción bajo dicha clasificación”:</w:t>
      </w:r>
    </w:p>
    <w:p w14:paraId="74E0D296"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Sí. Debe prevalecer la clasificación oficial vigente durante el período de ejecución de las actividades que originan la experiencia. Dicha clasificación constituye el referente objetivo para identificar la naturaleza de la infraestructura intervenida y corresponde al contexto real en el cual el contratista desarrolló las actividades cuya experiencia pretende acreditar.</w:t>
      </w:r>
    </w:p>
    <w:p w14:paraId="6FFBBE06"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proofErr w:type="spellStart"/>
      <w:r w:rsidRPr="00C910B0">
        <w:rPr>
          <w:rFonts w:ascii="Verdana" w:eastAsia="Times New Roman" w:hAnsi="Verdana" w:cs="Times New Roman"/>
          <w:b/>
          <w:bCs/>
          <w:color w:val="000000"/>
          <w:u w:val="single"/>
          <w:lang w:eastAsia="es-MX"/>
        </w:rPr>
        <w:t>iv</w:t>
      </w:r>
      <w:proofErr w:type="spellEnd"/>
      <w:r w:rsidRPr="00C910B0">
        <w:rPr>
          <w:rFonts w:ascii="Verdana" w:eastAsia="Times New Roman" w:hAnsi="Verdana" w:cs="Times New Roman"/>
          <w:b/>
          <w:bCs/>
          <w:color w:val="000000"/>
          <w:u w:val="single"/>
          <w:lang w:eastAsia="es-MX"/>
        </w:rPr>
        <w:t>. “Con posterioridad a la terminación y ejecución del contrato, la autoridad competente modificó la clasificación de dicha vía, pasando de segundo orden a primer orden”:</w:t>
      </w:r>
    </w:p>
    <w:p w14:paraId="27B5DDFF"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Cuando la clasificación histórica de la vía no se encuentre expresamente contenida en la certificación de experiencia, la entidad podría solicitar documentos idóneos que permitan verificar dicha circunstancia, siempre que tal verificación se realice dentro del marco de las reglas de acreditación previstas en los Documentos Tipo y sin imponer requisitos adicionales no contemplados en ellos.  Entre los documentos que podrían servir de soporte se encuentran los dispuestos en el documento tipo para poder acreditar una experiencia, que permita establecer la clasificación vigente para la época de ejecución del contrato.</w:t>
      </w:r>
    </w:p>
    <w:p w14:paraId="0712562F"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b/>
          <w:bCs/>
          <w:color w:val="000000"/>
          <w:u w:val="single"/>
          <w:lang w:eastAsia="es-MX"/>
        </w:rPr>
        <w:t xml:space="preserve">v. “Posteriormente, el contratista presenta dicho contrato como experiencia específica dentro de un proceso de selección sometido a los Documentos Tipo de Infraestructura de Transporte, en el cual la Matriz </w:t>
      </w:r>
      <w:r w:rsidRPr="00C910B0">
        <w:rPr>
          <w:rFonts w:ascii="Verdana" w:eastAsia="Times New Roman" w:hAnsi="Verdana" w:cs="Times New Roman"/>
          <w:b/>
          <w:bCs/>
          <w:color w:val="000000"/>
          <w:u w:val="single"/>
          <w:lang w:eastAsia="es-MX"/>
        </w:rPr>
        <w:lastRenderedPageBreak/>
        <w:t>1 exige experiencia relacionada con determinado tipo de infraestructura vial”:</w:t>
      </w:r>
    </w:p>
    <w:p w14:paraId="6580F4AE"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La reclasificación posterior de una vía no debería producir efectos retrospectivos sobre la experiencia ya adquirida por el contratista. Los actos administrativos, por regla general, producen efectos hacia el futuro. Por ello, una decisión posterior de reclasificación no modifica las circunstancias históricas bajo las cuales fue ejecutado y recibido un contrato.</w:t>
      </w:r>
    </w:p>
    <w:p w14:paraId="1F37AC7A" w14:textId="77777777" w:rsidR="00C910B0" w:rsidRPr="00C910B0" w:rsidRDefault="00C910B0" w:rsidP="00C910B0">
      <w:pPr>
        <w:snapToGrid w:val="0"/>
        <w:spacing w:after="120" w:line="276" w:lineRule="auto"/>
        <w:ind w:firstLine="709"/>
        <w:jc w:val="both"/>
        <w:rPr>
          <w:rFonts w:ascii="Verdana" w:eastAsia="Times New Roman" w:hAnsi="Verdana" w:cs="Times New Roman"/>
          <w:b/>
          <w:bCs/>
          <w:color w:val="000000"/>
          <w:u w:val="single"/>
          <w:lang w:eastAsia="es-MX"/>
        </w:rPr>
      </w:pPr>
      <w:r w:rsidRPr="00C910B0">
        <w:rPr>
          <w:rFonts w:ascii="Verdana" w:eastAsia="Times New Roman" w:hAnsi="Verdana" w:cs="Times New Roman"/>
          <w:b/>
          <w:bCs/>
          <w:color w:val="000000"/>
          <w:u w:val="single"/>
          <w:lang w:eastAsia="es-MX"/>
        </w:rPr>
        <w:t>vi. “En este escenario surge la duda respecto de cuál clasificación debe ser considerada por la entidad estatal al momento de evaluar la experiencia: la clasificación que tenía la vía cuando se ejecutó el contrato o la clasificación que presenta la vía al momento de acreditarse la experiencia dentro del nuevo proceso de selección”:</w:t>
      </w:r>
    </w:p>
    <w:p w14:paraId="35E08210"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 xml:space="preserve">Sí. Debe diferenciarse claramente entre: i) la clasificación de la vía durante la ejecución del contrato, que determina el contexto real en el cual se adquirió la experiencia y </w:t>
      </w:r>
      <w:proofErr w:type="spellStart"/>
      <w:r w:rsidRPr="00C910B0">
        <w:rPr>
          <w:rFonts w:ascii="Verdana" w:eastAsia="Times New Roman" w:hAnsi="Verdana" w:cs="Times New Roman"/>
          <w:color w:val="000000"/>
          <w:lang w:eastAsia="es-MX"/>
        </w:rPr>
        <w:t>ii</w:t>
      </w:r>
      <w:proofErr w:type="spellEnd"/>
      <w:r w:rsidRPr="00C910B0">
        <w:rPr>
          <w:rFonts w:ascii="Verdana" w:eastAsia="Times New Roman" w:hAnsi="Verdana" w:cs="Times New Roman"/>
          <w:color w:val="000000"/>
          <w:lang w:eastAsia="es-MX"/>
        </w:rPr>
        <w:t>) la clasificación actual de la vía, que corresponde a una situación administrativa posterior de la infraestructura.  Ambas circunstancias pueden coexistir sin que la segunda altere la primera para efectos de acreditación de experiencia.</w:t>
      </w:r>
    </w:p>
    <w:p w14:paraId="00EA6D11" w14:textId="77777777" w:rsidR="00C910B0" w:rsidRPr="00C910B0" w:rsidRDefault="00C910B0" w:rsidP="00C910B0">
      <w:pPr>
        <w:snapToGrid w:val="0"/>
        <w:spacing w:after="120" w:line="276" w:lineRule="auto"/>
        <w:ind w:firstLine="709"/>
        <w:jc w:val="both"/>
        <w:rPr>
          <w:rFonts w:ascii="Verdana" w:eastAsia="Times New Roman" w:hAnsi="Verdana" w:cs="Times New Roman"/>
          <w:b/>
          <w:bCs/>
          <w:color w:val="000000"/>
          <w:u w:val="single"/>
          <w:lang w:eastAsia="es-MX"/>
        </w:rPr>
      </w:pPr>
      <w:r w:rsidRPr="00C910B0">
        <w:rPr>
          <w:rFonts w:ascii="Verdana" w:eastAsia="Times New Roman" w:hAnsi="Verdana" w:cs="Times New Roman"/>
          <w:b/>
          <w:bCs/>
          <w:color w:val="000000"/>
          <w:u w:val="single"/>
          <w:lang w:eastAsia="es-MX"/>
        </w:rPr>
        <w:t>vi. “De esta manera, la situación planteada genera una inquietud específica sobre el momento temporal que debe utilizarse para determinar la tipología de la infraestructura sobre la cual recayó la experiencia. En efecto, podría entenderse que la experiencia debe analizarse atendiendo a las condiciones materiales y jurídicas existentes durante la ejecución del contrato, puesto que es en ese momento cuando el contratista adquirió la experiencia que pretende acreditar. Cuando existan documentos expedidos en momentos diferentes que reflejen clasificaciones distintas de una misma vía, la entidad debería identificar cuál era la clasificación oficial vigente durante el período de ejecución del contrato acreditado.  Si la diferencia obedece a una reclasificación posterior, el análisis de experiencia debe sustentarse en la clasificación histórica aplicable al momento de la ejecución de la obra, puesto que esa es la circunstancia que define objetivamente la experiencia efectivamente adquirida por el proponente”:</w:t>
      </w:r>
    </w:p>
    <w:p w14:paraId="3C66E311"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lastRenderedPageBreak/>
        <w:t>A su vez, la acreditación de experiencia debe permitir identificar las actividades ejecutadas, las longitudes, dimensiones, tipologías y demás condiciones exigidas por la Matriz 1, además de las fechas de ejecución del contrato.  Así las cosas, el criterio que ofrece mayor coherencia con los principios de objetividad, igualdad, seguridad jurídica y evaluación de la experiencia es que la tipología de la infraestructura vial se determine con base en la clasificación oficial vigente durante la ejecución del contrato que se presenta como experiencia. En consecuencia, una reclasificación posterior de la vía no debe modificar ni recalificar retrospectivamente la experiencia adquirida por el contratista, sin perjuicio de que la entidad pueda verificar documentalmente cuál era la clasificación oficial aplicable para la época de ejecución del contrato.</w:t>
      </w:r>
    </w:p>
    <w:p w14:paraId="5221DE5D"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Sin perjuicio de la regla general según la cual la experiencia debe evaluarse conforme a la clasificación oficial vigente durante la ejecución del contrato, se considera necesario diferenciar aquellos casos en los cuales el propio objeto contractual tuvo como finalidad la construcción, mejoramiento o adecuación integral de la infraestructura para que esta adquiriera las condiciones técnicas correspondientes a una categoría superior de la red vial.</w:t>
      </w:r>
    </w:p>
    <w:p w14:paraId="785C7D42"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En estos eventos, si como consecuencia directa de las obras ejecutadas en desarrollo del contrato la vía fue incorporada o reclasificada oficialmente dentro de una categoría superior, podría entenderse que la experiencia acreditada guarda correspondencia con la condición final de la infraestructura resultante de la ejecución contractual, siempre que exista evidencia objetiva de que:</w:t>
      </w:r>
    </w:p>
    <w:p w14:paraId="0F3E4743" w14:textId="77777777" w:rsidR="00C910B0" w:rsidRPr="00C910B0" w:rsidRDefault="00C910B0" w:rsidP="00C910B0">
      <w:pPr>
        <w:numPr>
          <w:ilvl w:val="0"/>
          <w:numId w:val="18"/>
        </w:numPr>
        <w:snapToGrid w:val="0"/>
        <w:spacing w:after="120" w:line="276" w:lineRule="auto"/>
        <w:ind w:left="0"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El alcance contractual contemplaba las intervenciones requeridas para alcanzar los estándares de la categoría superior.</w:t>
      </w:r>
    </w:p>
    <w:p w14:paraId="63409999" w14:textId="77777777" w:rsidR="00C910B0" w:rsidRPr="00C910B0" w:rsidRDefault="00C910B0" w:rsidP="00C910B0">
      <w:pPr>
        <w:numPr>
          <w:ilvl w:val="0"/>
          <w:numId w:val="18"/>
        </w:numPr>
        <w:snapToGrid w:val="0"/>
        <w:spacing w:after="120" w:line="276" w:lineRule="auto"/>
        <w:ind w:left="0"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Las obras fueron efectivamente ejecutadas y recibidas a satisfacción.</w:t>
      </w:r>
    </w:p>
    <w:p w14:paraId="40516EA1" w14:textId="77777777" w:rsidR="00C910B0" w:rsidRPr="00C910B0" w:rsidRDefault="00C910B0" w:rsidP="00C910B0">
      <w:pPr>
        <w:numPr>
          <w:ilvl w:val="0"/>
          <w:numId w:val="18"/>
        </w:numPr>
        <w:snapToGrid w:val="0"/>
        <w:spacing w:after="120" w:line="276" w:lineRule="auto"/>
        <w:ind w:left="0"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La reclasificación de la vía guarda relación directa con las condiciones técnicas obtenidas mediante la ejecución del contrato.</w:t>
      </w:r>
    </w:p>
    <w:p w14:paraId="0F0DED7C" w14:textId="77777777" w:rsidR="00C910B0" w:rsidRPr="00C910B0" w:rsidRDefault="00C910B0" w:rsidP="00C910B0">
      <w:pPr>
        <w:numPr>
          <w:ilvl w:val="0"/>
          <w:numId w:val="18"/>
        </w:numPr>
        <w:snapToGrid w:val="0"/>
        <w:spacing w:after="120" w:line="276" w:lineRule="auto"/>
        <w:ind w:left="0"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La autoridad competente reconoció oficialmente dicha categoría posterior.</w:t>
      </w:r>
    </w:p>
    <w:p w14:paraId="245C5D1B" w14:textId="77777777" w:rsidR="00C910B0" w:rsidRPr="00C910B0" w:rsidRDefault="00C910B0" w:rsidP="00C910B0">
      <w:pPr>
        <w:snapToGrid w:val="0"/>
        <w:spacing w:after="12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 xml:space="preserve">Bajo esta interpretación, cuando el objeto contractual estuvo orientado precisamente a transformar una vía de segundo orden en una vía de primer orden y dicha transformación se materializó y fue reconocida oficialmente como </w:t>
      </w:r>
      <w:r w:rsidRPr="00C910B0">
        <w:rPr>
          <w:rFonts w:ascii="Verdana" w:eastAsia="Times New Roman" w:hAnsi="Verdana" w:cs="Times New Roman"/>
          <w:color w:val="000000"/>
          <w:lang w:eastAsia="es-MX"/>
        </w:rPr>
        <w:lastRenderedPageBreak/>
        <w:t>resultado de las obras ejecutadas, la experiencia podría evaluarse atendiendo a la condición final alcanzada por la infraestructura, por cuanto esta representa el resultado técnico efectivo obtenido por el contratista.</w:t>
      </w:r>
    </w:p>
    <w:p w14:paraId="066C8AFC" w14:textId="77777777" w:rsidR="00C910B0" w:rsidRPr="00C910B0" w:rsidRDefault="00C910B0" w:rsidP="00C910B0">
      <w:pPr>
        <w:snapToGrid w:val="0"/>
        <w:spacing w:after="0" w:line="276" w:lineRule="auto"/>
        <w:ind w:firstLine="709"/>
        <w:jc w:val="both"/>
        <w:rPr>
          <w:rFonts w:ascii="Verdana" w:eastAsia="Times New Roman" w:hAnsi="Verdana" w:cs="Times New Roman"/>
          <w:color w:val="000000"/>
          <w:lang w:eastAsia="es-MX"/>
        </w:rPr>
      </w:pPr>
      <w:r w:rsidRPr="00C910B0">
        <w:rPr>
          <w:rFonts w:ascii="Verdana" w:eastAsia="Times New Roman" w:hAnsi="Verdana" w:cs="Times New Roman"/>
          <w:color w:val="000000"/>
          <w:lang w:eastAsia="es-MX"/>
        </w:rPr>
        <w:t>En consecuencia, la regla general sería que la experiencia se analiza conforme a la clasificación existente durante la ejecución del contrato; sin embargo, de manera excepcional, cuando la finalidad del contrato y su resultado consistan precisamente en la transformación de la infraestructura hacia una categoría superior y dicha condición quede acreditada oficialmente, podría resultar procedente considerar la clasificación final alcanzada por la vía como efecto directo de las obras ejecutadas.</w:t>
      </w:r>
    </w:p>
    <w:p w14:paraId="0D1CA58A" w14:textId="77777777" w:rsidR="00C910B0" w:rsidRPr="00C910B0" w:rsidRDefault="00C910B0" w:rsidP="00C910B0">
      <w:pPr>
        <w:snapToGrid w:val="0"/>
        <w:spacing w:after="0" w:line="276" w:lineRule="auto"/>
        <w:jc w:val="both"/>
        <w:rPr>
          <w:rFonts w:ascii="Verdana" w:eastAsia="Calibri" w:hAnsi="Verdana" w:cs="Arial"/>
          <w:lang w:val="es-ES_tradnl"/>
        </w:rPr>
      </w:pPr>
    </w:p>
    <w:p w14:paraId="1F075742" w14:textId="77777777" w:rsidR="00C910B0" w:rsidRPr="00C910B0" w:rsidRDefault="00C910B0" w:rsidP="00C910B0">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C910B0">
        <w:rPr>
          <w:rFonts w:ascii="Verdana" w:eastAsia="Century Gothic" w:hAnsi="Verdana" w:cs="Century Gothic"/>
          <w:b/>
          <w:bCs/>
          <w:lang w:val="es-ES_tradnl"/>
        </w:rPr>
        <w:t>Referencias normativas, jurisprudenciales y otras fuentes:</w:t>
      </w:r>
    </w:p>
    <w:p w14:paraId="77AB3453" w14:textId="77777777" w:rsidR="00C910B0" w:rsidRPr="00C910B0" w:rsidRDefault="00C910B0" w:rsidP="00C910B0">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910B0" w:rsidRPr="00C910B0" w14:paraId="44028CE1" w14:textId="77777777" w:rsidTr="00EA5E15">
        <w:trPr>
          <w:trHeight w:val="870"/>
        </w:trPr>
        <w:tc>
          <w:tcPr>
            <w:tcW w:w="8647" w:type="dxa"/>
          </w:tcPr>
          <w:p w14:paraId="7E033A93" w14:textId="77777777" w:rsidR="00C910B0" w:rsidRPr="00C910B0" w:rsidRDefault="00C910B0" w:rsidP="00C910B0">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C910B0">
              <w:rPr>
                <w:rFonts w:ascii="Verdana" w:eastAsia="Calibri" w:hAnsi="Verdana" w:cs="Arial"/>
                <w:lang w:val="es-ES_tradnl"/>
              </w:rPr>
              <w:t xml:space="preserve">Ley 2022 de 2020, artículo 1. </w:t>
            </w:r>
          </w:p>
          <w:p w14:paraId="5CEB254B" w14:textId="77777777" w:rsidR="00C910B0" w:rsidRPr="00C910B0" w:rsidRDefault="00C910B0" w:rsidP="00C910B0">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C910B0">
              <w:rPr>
                <w:rFonts w:ascii="Verdana" w:eastAsia="Calibri" w:hAnsi="Verdana" w:cs="Arial"/>
                <w:lang w:val="es-ES_tradnl"/>
              </w:rPr>
              <w:t xml:space="preserve">Documentos Tipo. Disponibles en: </w:t>
            </w:r>
            <w:hyperlink r:id="rId11" w:history="1">
              <w:r w:rsidRPr="00C910B0">
                <w:rPr>
                  <w:rFonts w:ascii="Verdana" w:eastAsia="Calibri" w:hAnsi="Verdana" w:cs="Arial"/>
                  <w:color w:val="467886"/>
                  <w:u w:val="single"/>
                  <w:lang w:val="es-ES_tradnl"/>
                </w:rPr>
                <w:t>https://www.colombiacompra.gov.co/normativa-y-relatoria/documentos-tipo</w:t>
              </w:r>
            </w:hyperlink>
            <w:r w:rsidRPr="00C910B0">
              <w:rPr>
                <w:rFonts w:ascii="Verdana" w:eastAsia="Calibri" w:hAnsi="Verdana" w:cs="Arial"/>
                <w:lang w:val="es-ES_tradnl"/>
              </w:rPr>
              <w:t xml:space="preserve">. </w:t>
            </w:r>
          </w:p>
        </w:tc>
      </w:tr>
    </w:tbl>
    <w:p w14:paraId="30E37D63" w14:textId="77777777" w:rsidR="00C910B0" w:rsidRPr="00C910B0" w:rsidRDefault="00C910B0" w:rsidP="00C910B0">
      <w:pPr>
        <w:widowControl w:val="0"/>
        <w:autoSpaceDE w:val="0"/>
        <w:autoSpaceDN w:val="0"/>
        <w:snapToGrid w:val="0"/>
        <w:spacing w:after="0" w:line="276" w:lineRule="auto"/>
        <w:jc w:val="both"/>
        <w:rPr>
          <w:rFonts w:ascii="Verdana" w:eastAsia="Calibri" w:hAnsi="Verdana" w:cs="Arial"/>
          <w:lang w:val="es-ES_tradnl"/>
        </w:rPr>
      </w:pPr>
    </w:p>
    <w:p w14:paraId="224E1D27" w14:textId="77777777" w:rsidR="00C910B0" w:rsidRPr="00C910B0" w:rsidRDefault="00C910B0" w:rsidP="00C910B0">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C910B0">
        <w:rPr>
          <w:rFonts w:ascii="Verdana" w:eastAsia="Century Gothic" w:hAnsi="Verdana" w:cs="Century Gothic"/>
          <w:b/>
          <w:bCs/>
          <w:lang w:val="es-ES_tradnl"/>
        </w:rPr>
        <w:t>Doctrina de la Agencia Nacional de Contratación Pública:</w:t>
      </w:r>
    </w:p>
    <w:p w14:paraId="29C12102" w14:textId="77777777" w:rsidR="00C910B0" w:rsidRPr="00C910B0" w:rsidRDefault="00C910B0" w:rsidP="00C910B0">
      <w:pPr>
        <w:widowControl w:val="0"/>
        <w:autoSpaceDE w:val="0"/>
        <w:autoSpaceDN w:val="0"/>
        <w:snapToGrid w:val="0"/>
        <w:spacing w:after="0" w:line="276" w:lineRule="auto"/>
        <w:jc w:val="both"/>
        <w:rPr>
          <w:rFonts w:ascii="Verdana" w:eastAsia="Calibri" w:hAnsi="Verdana" w:cs="Arial"/>
          <w:lang w:val="es-ES_tradnl"/>
        </w:rPr>
      </w:pPr>
    </w:p>
    <w:p w14:paraId="711C1A46" w14:textId="77777777" w:rsidR="00C910B0" w:rsidRPr="00C910B0" w:rsidRDefault="00C910B0" w:rsidP="00C910B0">
      <w:pPr>
        <w:widowControl w:val="0"/>
        <w:autoSpaceDE w:val="0"/>
        <w:autoSpaceDN w:val="0"/>
        <w:spacing w:after="0" w:line="276" w:lineRule="auto"/>
        <w:jc w:val="both"/>
        <w:rPr>
          <w:rFonts w:ascii="Verdana" w:eastAsia="Times New Roman" w:hAnsi="Verdana" w:cs="Arial"/>
          <w:shd w:val="clear" w:color="auto" w:fill="FFFFFF"/>
          <w:lang w:val="es-ES"/>
        </w:rPr>
      </w:pPr>
      <w:r w:rsidRPr="00C910B0">
        <w:rPr>
          <w:rFonts w:ascii="Verdana" w:eastAsia="Calibri" w:hAnsi="Verdana" w:cs="Arial"/>
          <w:kern w:val="2"/>
          <w:shd w:val="clear" w:color="auto" w:fill="FFFFFF"/>
          <w:lang w:val="es-ES_tradnl"/>
          <w14:ligatures w14:val="standardContextual"/>
        </w:rPr>
        <w:t xml:space="preserve">La Agencia Nacional de Contratación Pública – Colombia Compra Eficiente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w:t>
      </w:r>
      <w:r w:rsidRPr="00C910B0">
        <w:rPr>
          <w:rFonts w:ascii="Verdana" w:eastAsia="Calibri" w:hAnsi="Verdana" w:cs="Arial"/>
          <w:kern w:val="2"/>
          <w:shd w:val="clear" w:color="auto" w:fill="FFFFFF"/>
          <w:lang w:val="es-ES_tradnl"/>
          <w14:ligatures w14:val="standardContextual"/>
        </w:rPr>
        <w:lastRenderedPageBreak/>
        <w:t xml:space="preserve">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C-1610 del 4 de diciembre de 2025, C-204 del 19 de marzo de 2026, C-1093 del 25 de agosto de 2026, entre otros. </w:t>
      </w:r>
      <w:r w:rsidRPr="00C910B0">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C910B0">
          <w:rPr>
            <w:rFonts w:ascii="Verdana" w:eastAsia="Aptos" w:hAnsi="Verdana" w:cs="Arial"/>
            <w:color w:val="0000FF"/>
            <w:kern w:val="2"/>
            <w:u w:val="single"/>
            <w:shd w:val="clear" w:color="auto" w:fill="FFFFFF"/>
            <w14:ligatures w14:val="standardContextual"/>
          </w:rPr>
          <w:t>https://relatoria.colombiacompra.gov.co/busqueda/conceptos</w:t>
        </w:r>
      </w:hyperlink>
      <w:r w:rsidRPr="00C910B0">
        <w:rPr>
          <w:rFonts w:ascii="Verdana" w:eastAsia="Aptos" w:hAnsi="Verdana" w:cs="Arial"/>
          <w:kern w:val="2"/>
          <w:shd w:val="clear" w:color="auto" w:fill="FFFFFF"/>
          <w14:ligatures w14:val="standardContextual"/>
        </w:rPr>
        <w:t xml:space="preserve">. </w:t>
      </w:r>
      <w:r w:rsidRPr="00C910B0">
        <w:rPr>
          <w:rFonts w:ascii="Verdana" w:eastAsia="Aptos" w:hAnsi="Verdana" w:cs="Arial"/>
          <w:color w:val="FF0000"/>
          <w:kern w:val="2"/>
          <w:shd w:val="clear" w:color="auto" w:fill="FFFFFF"/>
          <w:lang w:val="es-ES"/>
          <w14:ligatures w14:val="standardContextual"/>
        </w:rPr>
        <w:t xml:space="preserve">  </w:t>
      </w:r>
    </w:p>
    <w:p w14:paraId="5E28D362" w14:textId="77777777" w:rsidR="00C910B0" w:rsidRPr="00C910B0" w:rsidRDefault="00C910B0" w:rsidP="00C910B0">
      <w:pPr>
        <w:spacing w:after="0" w:line="240" w:lineRule="auto"/>
        <w:jc w:val="both"/>
        <w:rPr>
          <w:rFonts w:ascii="Verdana" w:eastAsia="Calibri" w:hAnsi="Verdana" w:cs="Arial"/>
          <w:color w:val="000000"/>
          <w:shd w:val="clear" w:color="auto" w:fill="FFFFFF"/>
        </w:rPr>
      </w:pPr>
    </w:p>
    <w:p w14:paraId="5F423C6D" w14:textId="77777777" w:rsidR="00C910B0" w:rsidRPr="00C910B0" w:rsidRDefault="00C910B0" w:rsidP="00C910B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C910B0">
        <w:rPr>
          <w:rFonts w:ascii="Verdana" w:eastAsia="Calibri" w:hAnsi="Verdana" w:cs="Arial"/>
          <w:kern w:val="2"/>
          <w:shd w:val="clear" w:color="auto" w:fill="FFFFFF"/>
          <w:lang w:val="es-ES_tradnl"/>
          <w14:ligatures w14:val="standardContextual"/>
        </w:rPr>
        <w:t>La</w:t>
      </w:r>
      <w:r w:rsidRPr="00C910B0">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C910B0">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C910B0">
        <w:rPr>
          <w:rFonts w:ascii="Verdana" w:eastAsia="Calibri" w:hAnsi="Verdana" w:cs="Arial"/>
          <w:b/>
          <w:bCs/>
          <w:kern w:val="2"/>
          <w:shd w:val="clear" w:color="auto" w:fill="FFFFFF"/>
          <w:lang w:val="es-ES_tradnl"/>
          <w14:ligatures w14:val="standardContextual"/>
        </w:rPr>
        <w:t>Documentos Tipo</w:t>
      </w:r>
      <w:r w:rsidRPr="00C910B0">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C910B0">
        <w:rPr>
          <w:rFonts w:ascii="Verdana" w:eastAsia="Calibri" w:hAnsi="Verdana" w:cs="Arial"/>
          <w:b/>
          <w:bCs/>
          <w:kern w:val="2"/>
          <w:shd w:val="clear" w:color="auto" w:fill="FFFFFF"/>
          <w:lang w:val="es-ES_tradnl"/>
          <w14:ligatures w14:val="standardContextual"/>
        </w:rPr>
        <w:t>transparencia</w:t>
      </w:r>
      <w:r w:rsidRPr="00C910B0">
        <w:rPr>
          <w:rFonts w:ascii="Verdana" w:eastAsia="Calibri" w:hAnsi="Verdana" w:cs="Arial"/>
          <w:kern w:val="2"/>
          <w:shd w:val="clear" w:color="auto" w:fill="FFFFFF"/>
          <w:lang w:val="es-ES_tradnl"/>
          <w14:ligatures w14:val="standardContextual"/>
        </w:rPr>
        <w:t> y promover un proceso de </w:t>
      </w:r>
      <w:r w:rsidRPr="00C910B0">
        <w:rPr>
          <w:rFonts w:ascii="Verdana" w:eastAsia="Calibri" w:hAnsi="Verdana" w:cs="Arial"/>
          <w:b/>
          <w:bCs/>
          <w:kern w:val="2"/>
          <w:shd w:val="clear" w:color="auto" w:fill="FFFFFF"/>
          <w:lang w:val="es-ES_tradnl"/>
          <w14:ligatures w14:val="standardContextual"/>
        </w:rPr>
        <w:t>selección objetiva</w:t>
      </w:r>
      <w:r w:rsidRPr="00C910B0">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0B151C09" w14:textId="77777777" w:rsidR="00C910B0" w:rsidRPr="00C910B0" w:rsidRDefault="00C910B0" w:rsidP="00C910B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3E1311A" w14:textId="77777777" w:rsidR="00C910B0" w:rsidRPr="00C910B0" w:rsidRDefault="00C910B0" w:rsidP="00C910B0">
      <w:pPr>
        <w:spacing w:after="0" w:line="276" w:lineRule="auto"/>
        <w:jc w:val="both"/>
        <w:rPr>
          <w:rFonts w:ascii="Verdana" w:eastAsia="Aptos" w:hAnsi="Verdana" w:cs="Times New Roman"/>
          <w:kern w:val="2"/>
          <w:lang w:val="es-ES_tradnl"/>
          <w14:ligatures w14:val="standardContextual"/>
        </w:rPr>
      </w:pPr>
      <w:r w:rsidRPr="00C910B0">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C910B0">
        <w:rPr>
          <w:rFonts w:ascii="Verdana" w:eastAsia="Aptos" w:hAnsi="Verdana" w:cs="Times New Roman"/>
          <w:b/>
          <w:bCs/>
          <w:kern w:val="2"/>
          <w14:ligatures w14:val="standardContextual"/>
        </w:rPr>
        <w:t>Guía para la Exigencia y Constitución de Garantías en los Procesos de Contratación</w:t>
      </w:r>
      <w:r w:rsidRPr="00C910B0">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C910B0">
          <w:rPr>
            <w:rFonts w:ascii="Verdana" w:eastAsia="Aptos" w:hAnsi="Verdana" w:cs="Times New Roman"/>
            <w:color w:val="0000FF"/>
            <w:kern w:val="2"/>
            <w:u w:val="single"/>
            <w14:ligatures w14:val="standardContextual"/>
          </w:rPr>
          <w:t>https://www.colombiacompra.gov.co/archivos/manual/guia-de-garantias-en-procesos-de-contratacion</w:t>
        </w:r>
      </w:hyperlink>
    </w:p>
    <w:p w14:paraId="31259640" w14:textId="77777777" w:rsidR="00C910B0" w:rsidRPr="00C910B0" w:rsidRDefault="00C910B0" w:rsidP="00C910B0">
      <w:pPr>
        <w:spacing w:after="0" w:line="276" w:lineRule="auto"/>
        <w:jc w:val="both"/>
        <w:rPr>
          <w:rFonts w:ascii="Verdana" w:eastAsia="Aptos" w:hAnsi="Verdana" w:cs="Times New Roman"/>
          <w:kern w:val="2"/>
          <w14:ligatures w14:val="standardContextual"/>
        </w:rPr>
      </w:pPr>
    </w:p>
    <w:p w14:paraId="0A01ECFF" w14:textId="77777777" w:rsidR="00C910B0" w:rsidRPr="00C910B0" w:rsidRDefault="00C910B0" w:rsidP="00C910B0">
      <w:pPr>
        <w:spacing w:after="0" w:line="276" w:lineRule="auto"/>
        <w:jc w:val="both"/>
        <w:rPr>
          <w:rFonts w:ascii="Verdana" w:eastAsia="Aptos" w:hAnsi="Verdana" w:cs="Times New Roman"/>
          <w:kern w:val="2"/>
          <w:lang w:val="es-ES_tradnl"/>
          <w14:ligatures w14:val="standardContextual"/>
        </w:rPr>
      </w:pPr>
      <w:r w:rsidRPr="00C910B0">
        <w:rPr>
          <w:rFonts w:ascii="Verdana" w:eastAsia="Aptos" w:hAnsi="Verdana" w:cs="Times New Roman"/>
          <w:kern w:val="2"/>
          <w14:ligatures w14:val="standardContextual"/>
        </w:rPr>
        <w:lastRenderedPageBreak/>
        <w:t>De otro lado, le contamos que el Decreto 287 del 19 de marzo de 2026 sustituyó los artículos 2.2.1.2.4.2.6., 2.2.1.2.4.2.7. y 2.2.1.2.4.2.8. del Decreto 1082 de 2015 y estructuró el </w:t>
      </w:r>
      <w:r w:rsidRPr="00C910B0">
        <w:rPr>
          <w:rFonts w:ascii="Verdana" w:eastAsia="Aptos" w:hAnsi="Verdana" w:cs="Times New Roman"/>
          <w:b/>
          <w:bCs/>
          <w:kern w:val="2"/>
          <w14:ligatures w14:val="standardContextual"/>
        </w:rPr>
        <w:t>Sistema Integral de Preferencias en favor de las personas con discapacidad</w:t>
      </w:r>
      <w:r w:rsidRPr="00C910B0">
        <w:rPr>
          <w:rFonts w:ascii="Verdana" w:eastAsia="Aptos" w:hAnsi="Verdana" w:cs="Times New Roman"/>
          <w:kern w:val="2"/>
          <w14:ligatures w14:val="standardContextual"/>
        </w:rPr>
        <w:t>, en cumplimiento del artículo 13 de la Ley Estatutaria 1618 de 2013. Para orientar su aplicación, esta Agencia expidió la </w:t>
      </w:r>
      <w:r w:rsidRPr="00C910B0">
        <w:rPr>
          <w:rFonts w:ascii="Verdana" w:eastAsia="Aptos" w:hAnsi="Verdana" w:cs="Times New Roman"/>
          <w:b/>
          <w:bCs/>
          <w:kern w:val="2"/>
          <w14:ligatures w14:val="standardContextual"/>
        </w:rPr>
        <w:t>Circular Externa 003 del 12 de mayo de 2026, </w:t>
      </w:r>
      <w:r w:rsidRPr="00C910B0">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C910B0">
          <w:rPr>
            <w:rFonts w:ascii="Verdana" w:eastAsia="Aptos" w:hAnsi="Verdana" w:cs="Times New Roman"/>
            <w:color w:val="0000FF"/>
            <w:kern w:val="2"/>
            <w:u w:val="single"/>
            <w14:ligatures w14:val="standardContextual"/>
          </w:rPr>
          <w:t>https://www.colombiacompra.gov.co/archivos/circular/circular-externa-003-de-2026</w:t>
        </w:r>
      </w:hyperlink>
    </w:p>
    <w:p w14:paraId="06ED9AA7" w14:textId="77777777" w:rsidR="00C910B0" w:rsidRPr="00C910B0" w:rsidRDefault="00C910B0" w:rsidP="00C910B0">
      <w:pPr>
        <w:spacing w:after="0" w:line="276" w:lineRule="auto"/>
        <w:jc w:val="both"/>
        <w:rPr>
          <w:rFonts w:ascii="Verdana" w:eastAsia="Aptos" w:hAnsi="Verdana" w:cs="Times New Roman"/>
          <w:kern w:val="2"/>
          <w14:ligatures w14:val="standardContextual"/>
        </w:rPr>
      </w:pPr>
    </w:p>
    <w:p w14:paraId="6452ABFE" w14:textId="77777777" w:rsidR="00C910B0" w:rsidRPr="00C910B0" w:rsidRDefault="00C910B0" w:rsidP="00C910B0">
      <w:pPr>
        <w:spacing w:after="0" w:line="276" w:lineRule="auto"/>
        <w:jc w:val="both"/>
        <w:rPr>
          <w:rFonts w:ascii="Verdana" w:eastAsia="Aptos" w:hAnsi="Verdana" w:cs="Times New Roman"/>
          <w:kern w:val="2"/>
          <w:lang w:val="es-ES_tradnl"/>
          <w14:ligatures w14:val="standardContextual"/>
        </w:rPr>
      </w:pPr>
      <w:r w:rsidRPr="00C910B0">
        <w:rPr>
          <w:rFonts w:ascii="Verdana" w:eastAsia="Aptos" w:hAnsi="Verdana" w:cs="Times New Roman"/>
          <w:kern w:val="2"/>
          <w14:ligatures w14:val="standardContextual"/>
        </w:rPr>
        <w:t>Recuerde también que la</w:t>
      </w:r>
      <w:r w:rsidRPr="00C910B0">
        <w:rPr>
          <w:rFonts w:ascii="Verdana" w:eastAsia="Aptos" w:hAnsi="Verdana" w:cs="Times New Roman"/>
          <w:b/>
          <w:bCs/>
          <w:kern w:val="2"/>
          <w14:ligatures w14:val="standardContextual"/>
        </w:rPr>
        <w:t> información sobre sanciones e inhabilidades </w:t>
      </w:r>
      <w:r w:rsidRPr="00C910B0">
        <w:rPr>
          <w:rFonts w:ascii="Verdana" w:eastAsia="Aptos" w:hAnsi="Verdana" w:cs="Times New Roman"/>
          <w:kern w:val="2"/>
          <w14:ligatures w14:val="standardContextual"/>
        </w:rPr>
        <w:t>solo cumple su función preventiva si llega oportunamente a los registros públicos. Sobre este deber, esta Agencia expidió la </w:t>
      </w:r>
      <w:r w:rsidRPr="00C910B0">
        <w:rPr>
          <w:rFonts w:ascii="Verdana" w:eastAsia="Aptos" w:hAnsi="Verdana" w:cs="Times New Roman"/>
          <w:b/>
          <w:bCs/>
          <w:kern w:val="2"/>
          <w14:ligatures w14:val="standardContextual"/>
        </w:rPr>
        <w:t>Circular Externa 002 del 5 de mayo de 2026,</w:t>
      </w:r>
      <w:r w:rsidRPr="00C910B0">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C910B0">
          <w:rPr>
            <w:rFonts w:ascii="Verdana" w:eastAsia="Aptos" w:hAnsi="Verdana" w:cs="Times New Roman"/>
            <w:color w:val="0000FF"/>
            <w:kern w:val="2"/>
            <w:u w:val="single"/>
            <w14:ligatures w14:val="standardContextual"/>
          </w:rPr>
          <w:t>https://www.colombiacompra.gov.co/archivos/circular/circular-externa-002-de-2026</w:t>
        </w:r>
      </w:hyperlink>
    </w:p>
    <w:p w14:paraId="529D195F" w14:textId="77777777" w:rsidR="00C910B0" w:rsidRPr="00C910B0" w:rsidRDefault="00C910B0" w:rsidP="00C910B0">
      <w:pPr>
        <w:spacing w:after="0" w:line="276" w:lineRule="auto"/>
        <w:jc w:val="both"/>
        <w:rPr>
          <w:rFonts w:ascii="Verdana" w:eastAsia="Aptos" w:hAnsi="Verdana" w:cs="Times New Roman"/>
          <w:kern w:val="2"/>
          <w14:ligatures w14:val="standardContextual"/>
        </w:rPr>
      </w:pPr>
    </w:p>
    <w:p w14:paraId="6FE33324" w14:textId="77777777" w:rsidR="00C910B0" w:rsidRPr="00C910B0" w:rsidRDefault="00C910B0" w:rsidP="00C910B0">
      <w:pPr>
        <w:spacing w:after="0" w:line="276" w:lineRule="auto"/>
        <w:jc w:val="both"/>
        <w:rPr>
          <w:rFonts w:ascii="Verdana" w:eastAsia="Aptos" w:hAnsi="Verdana" w:cs="Times New Roman"/>
          <w:kern w:val="2"/>
          <w14:ligatures w14:val="standardContextual"/>
        </w:rPr>
      </w:pPr>
      <w:r w:rsidRPr="00C910B0">
        <w:rPr>
          <w:rFonts w:ascii="Verdana" w:eastAsia="Aptos" w:hAnsi="Verdana" w:cs="Times New Roman"/>
          <w:kern w:val="2"/>
          <w14:ligatures w14:val="standardContextual"/>
        </w:rPr>
        <w:t>Finalmente, si quiere seguir de cerca la actividad de la Agencia, la tercera edición de 2026 del</w:t>
      </w:r>
      <w:r w:rsidRPr="00C910B0">
        <w:rPr>
          <w:rFonts w:ascii="Verdana" w:eastAsia="Aptos" w:hAnsi="Verdana" w:cs="Times New Roman"/>
          <w:b/>
          <w:bCs/>
          <w:kern w:val="2"/>
          <w14:ligatures w14:val="standardContextual"/>
        </w:rPr>
        <w:t> Radar de la Compra Pública</w:t>
      </w:r>
      <w:r w:rsidRPr="00C910B0">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C910B0">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7A2DDFEA" w14:textId="77777777" w:rsidR="00C910B0" w:rsidRPr="00C910B0" w:rsidRDefault="00C910B0" w:rsidP="00C910B0">
      <w:pPr>
        <w:widowControl w:val="0"/>
        <w:autoSpaceDE w:val="0"/>
        <w:autoSpaceDN w:val="0"/>
        <w:spacing w:after="0" w:line="276" w:lineRule="auto"/>
        <w:jc w:val="both"/>
        <w:rPr>
          <w:rFonts w:ascii="Verdana" w:eastAsia="Calibri" w:hAnsi="Verdana" w:cs="Arial"/>
          <w:shd w:val="clear" w:color="auto" w:fill="FFFFFF"/>
          <w:lang w:val="es-ES_tradnl"/>
        </w:rPr>
      </w:pPr>
    </w:p>
    <w:p w14:paraId="4CF40D51" w14:textId="77777777" w:rsidR="00C910B0" w:rsidRPr="00C910B0" w:rsidRDefault="00C910B0" w:rsidP="00C910B0">
      <w:pPr>
        <w:spacing w:after="0" w:line="276" w:lineRule="auto"/>
        <w:jc w:val="both"/>
        <w:rPr>
          <w:rFonts w:ascii="Verdana" w:eastAsia="Calibri" w:hAnsi="Verdana" w:cs="Times New Roman"/>
          <w:lang w:val="es-ES_tradnl"/>
        </w:rPr>
      </w:pPr>
      <w:r w:rsidRPr="00C910B0">
        <w:rPr>
          <w:rFonts w:ascii="Verdana" w:eastAsia="Calibri" w:hAnsi="Verdana" w:cs="Times New Roman"/>
          <w:lang w:val="es-ES_tradnl"/>
        </w:rPr>
        <w:t xml:space="preserve">Por último, los invitamos a seguirnos en las redes sociales, en las cuales se difunde información institucional: </w:t>
      </w:r>
    </w:p>
    <w:p w14:paraId="49AFB943" w14:textId="77777777" w:rsidR="00C910B0" w:rsidRPr="00C910B0" w:rsidRDefault="00C910B0" w:rsidP="00C910B0">
      <w:pPr>
        <w:spacing w:after="0" w:line="276" w:lineRule="auto"/>
        <w:jc w:val="both"/>
        <w:rPr>
          <w:rFonts w:ascii="Verdana" w:eastAsia="Calibri" w:hAnsi="Verdana" w:cs="Times New Roman"/>
          <w:lang w:val="es-ES_tradnl"/>
        </w:rPr>
      </w:pPr>
    </w:p>
    <w:p w14:paraId="75631B33" w14:textId="77777777" w:rsidR="00C910B0" w:rsidRPr="00C910B0" w:rsidRDefault="00C910B0" w:rsidP="00C910B0">
      <w:pPr>
        <w:spacing w:after="0" w:line="240" w:lineRule="auto"/>
        <w:jc w:val="both"/>
        <w:rPr>
          <w:rFonts w:ascii="Verdana" w:eastAsia="Calibri" w:hAnsi="Verdana" w:cs="Times New Roman"/>
          <w:kern w:val="2"/>
          <w:lang w:val="es-ES_tradnl"/>
          <w14:ligatures w14:val="standardContextual"/>
        </w:rPr>
      </w:pPr>
      <w:r w:rsidRPr="00C910B0">
        <w:rPr>
          <w:rFonts w:ascii="Verdana" w:eastAsia="Calibri" w:hAnsi="Verdana" w:cs="Times New Roman"/>
          <w:kern w:val="2"/>
          <w:lang w:val="es-ES_tradnl"/>
          <w14:ligatures w14:val="standardContextual"/>
        </w:rPr>
        <w:lastRenderedPageBreak/>
        <w:t xml:space="preserve">X: </w:t>
      </w:r>
      <w:r w:rsidRPr="00C910B0">
        <w:rPr>
          <w:rFonts w:ascii="Verdana" w:eastAsia="Calibri" w:hAnsi="Verdana" w:cs="Times New Roman"/>
          <w:kern w:val="2"/>
          <w:u w:val="single"/>
          <w:lang w:val="es-ES_tradnl"/>
          <w14:ligatures w14:val="standardContextual"/>
        </w:rPr>
        <w:t>@colombiacompra</w:t>
      </w:r>
      <w:r w:rsidRPr="00C910B0">
        <w:rPr>
          <w:rFonts w:ascii="Verdana" w:eastAsia="Calibri" w:hAnsi="Verdana" w:cs="Times New Roman"/>
          <w:kern w:val="2"/>
          <w:lang w:val="es-ES_tradnl"/>
          <w14:ligatures w14:val="standardContextual"/>
        </w:rPr>
        <w:t xml:space="preserve"> </w:t>
      </w:r>
    </w:p>
    <w:p w14:paraId="761767E3" w14:textId="77777777" w:rsidR="00C910B0" w:rsidRPr="00C910B0" w:rsidRDefault="00C910B0" w:rsidP="00C910B0">
      <w:pPr>
        <w:spacing w:after="0" w:line="240" w:lineRule="auto"/>
        <w:jc w:val="both"/>
        <w:rPr>
          <w:rFonts w:ascii="Verdana" w:eastAsia="Calibri" w:hAnsi="Verdana" w:cs="Times New Roman"/>
          <w:kern w:val="2"/>
          <w:lang w:val="es-ES"/>
          <w14:ligatures w14:val="standardContextual"/>
        </w:rPr>
      </w:pPr>
      <w:r w:rsidRPr="00C910B0">
        <w:rPr>
          <w:rFonts w:ascii="Verdana" w:eastAsia="Calibri" w:hAnsi="Verdana" w:cs="Times New Roman"/>
          <w:kern w:val="2"/>
          <w:lang w:val="es-ES"/>
          <w14:ligatures w14:val="standardContextual"/>
        </w:rPr>
        <w:t xml:space="preserve">Facebook: </w:t>
      </w:r>
      <w:proofErr w:type="spellStart"/>
      <w:r w:rsidRPr="00C910B0">
        <w:rPr>
          <w:rFonts w:ascii="Verdana" w:eastAsia="Calibri" w:hAnsi="Verdana" w:cs="Times New Roman"/>
          <w:kern w:val="2"/>
          <w:u w:val="single"/>
          <w:lang w:val="es-ES"/>
          <w14:ligatures w14:val="standardContextual"/>
        </w:rPr>
        <w:t>ColombiaCompraEficiente</w:t>
      </w:r>
      <w:proofErr w:type="spellEnd"/>
    </w:p>
    <w:p w14:paraId="7AF9731C" w14:textId="77777777" w:rsidR="00C910B0" w:rsidRPr="00C910B0" w:rsidRDefault="00C910B0" w:rsidP="00C910B0">
      <w:pPr>
        <w:spacing w:after="0" w:line="240" w:lineRule="auto"/>
        <w:jc w:val="both"/>
        <w:rPr>
          <w:rFonts w:ascii="Verdana" w:eastAsia="Calibri" w:hAnsi="Verdana" w:cs="Times New Roman"/>
          <w:kern w:val="2"/>
          <w:lang w:val="es-ES_tradnl"/>
          <w14:ligatures w14:val="standardContextual"/>
        </w:rPr>
      </w:pPr>
      <w:r w:rsidRPr="00C910B0">
        <w:rPr>
          <w:rFonts w:ascii="Verdana" w:eastAsia="Calibri" w:hAnsi="Verdana" w:cs="Times New Roman"/>
          <w:kern w:val="2"/>
          <w:lang w:val="es-ES_tradnl"/>
          <w14:ligatures w14:val="standardContextual"/>
        </w:rPr>
        <w:t xml:space="preserve">LinkedIn: </w:t>
      </w:r>
      <w:r w:rsidRPr="00C910B0">
        <w:rPr>
          <w:rFonts w:ascii="Verdana" w:eastAsia="Calibri" w:hAnsi="Verdana" w:cs="Times New Roman"/>
          <w:kern w:val="2"/>
          <w:u w:val="single"/>
          <w:lang w:val="es-ES_tradnl"/>
          <w14:ligatures w14:val="standardContextual"/>
        </w:rPr>
        <w:t>Agencia Nacional de Contratación Pública - Colombia Compra Eficiente</w:t>
      </w:r>
      <w:r w:rsidRPr="00C910B0">
        <w:rPr>
          <w:rFonts w:ascii="Verdana" w:eastAsia="Calibri" w:hAnsi="Verdana" w:cs="Times New Roman"/>
          <w:kern w:val="2"/>
          <w:lang w:val="es-ES_tradnl"/>
          <w14:ligatures w14:val="standardContextual"/>
        </w:rPr>
        <w:t xml:space="preserve"> Instagram: </w:t>
      </w:r>
      <w:r w:rsidRPr="00C910B0">
        <w:rPr>
          <w:rFonts w:ascii="Verdana" w:eastAsia="Calibri" w:hAnsi="Verdana" w:cs="Times New Roman"/>
          <w:kern w:val="2"/>
          <w:u w:val="single"/>
          <w:lang w:val="es-ES_tradnl"/>
          <w14:ligatures w14:val="standardContextual"/>
        </w:rPr>
        <w:t>@colombiacompraeficiente_cce</w:t>
      </w:r>
    </w:p>
    <w:p w14:paraId="4EC1FEEB" w14:textId="77777777" w:rsidR="00C910B0" w:rsidRPr="00C910B0" w:rsidRDefault="00C910B0" w:rsidP="00C910B0">
      <w:pPr>
        <w:spacing w:after="0" w:line="240" w:lineRule="auto"/>
        <w:jc w:val="both"/>
        <w:rPr>
          <w:rFonts w:ascii="Verdana" w:eastAsia="Calibri" w:hAnsi="Verdana" w:cs="Times New Roman"/>
          <w:kern w:val="2"/>
          <w:lang w:val="es-ES_tradnl"/>
          <w14:ligatures w14:val="standardContextual"/>
        </w:rPr>
      </w:pPr>
    </w:p>
    <w:p w14:paraId="035D600E" w14:textId="77777777" w:rsidR="00C910B0" w:rsidRPr="00C910B0" w:rsidRDefault="00C910B0" w:rsidP="00C910B0">
      <w:pPr>
        <w:widowControl w:val="0"/>
        <w:autoSpaceDE w:val="0"/>
        <w:autoSpaceDN w:val="0"/>
        <w:spacing w:after="0" w:line="276" w:lineRule="auto"/>
        <w:jc w:val="both"/>
        <w:rPr>
          <w:rFonts w:ascii="Verdana" w:eastAsia="Calibri" w:hAnsi="Verdana" w:cs="Arial"/>
          <w:kern w:val="2"/>
          <w:lang w:val="es-ES_tradnl"/>
          <w14:ligatures w14:val="standardContextual"/>
        </w:rPr>
      </w:pPr>
      <w:r w:rsidRPr="00C910B0">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03AB508" w14:textId="77777777" w:rsidR="00C910B0" w:rsidRPr="00C910B0" w:rsidRDefault="00C910B0" w:rsidP="00C910B0">
      <w:pPr>
        <w:widowControl w:val="0"/>
        <w:autoSpaceDE w:val="0"/>
        <w:autoSpaceDN w:val="0"/>
        <w:spacing w:after="0" w:line="276" w:lineRule="auto"/>
        <w:jc w:val="both"/>
        <w:rPr>
          <w:rFonts w:ascii="Verdana" w:eastAsia="Calibri" w:hAnsi="Verdana" w:cs="Arial"/>
          <w:lang w:val="es-ES_tradnl"/>
        </w:rPr>
      </w:pPr>
    </w:p>
    <w:p w14:paraId="573FB35F" w14:textId="77777777" w:rsidR="00C910B0" w:rsidRPr="00C910B0" w:rsidRDefault="00C910B0" w:rsidP="00C910B0">
      <w:pPr>
        <w:spacing w:after="0" w:line="240" w:lineRule="auto"/>
        <w:rPr>
          <w:rFonts w:ascii="Verdana" w:eastAsia="Calibri" w:hAnsi="Verdana" w:cs="Arial"/>
          <w:lang w:val="es-ES_tradnl" w:eastAsia="es-CO"/>
        </w:rPr>
      </w:pPr>
      <w:r w:rsidRPr="00C910B0">
        <w:rPr>
          <w:rFonts w:ascii="Verdana" w:eastAsia="Times New Roman" w:hAnsi="Verdana" w:cs="Arial"/>
          <w:lang w:val="es-ES_tradnl" w:eastAsia="es-CO"/>
        </w:rPr>
        <w:t>Atentamente,</w:t>
      </w:r>
      <w:r w:rsidRPr="00C910B0">
        <w:rPr>
          <w:rFonts w:ascii="Verdana" w:eastAsia="Calibri" w:hAnsi="Verdana" w:cs="Arial"/>
          <w:lang w:val="es-ES_tradnl" w:eastAsia="es-CO"/>
        </w:rPr>
        <w:t xml:space="preserve"> </w:t>
      </w:r>
    </w:p>
    <w:p w14:paraId="41D11795" w14:textId="6F4EFBCA" w:rsidR="00C910B0" w:rsidRPr="00C910B0" w:rsidRDefault="00D636FC" w:rsidP="00C910B0">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441E7629" wp14:editId="5FA7CD72">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9498" cy="119511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910B0" w:rsidRPr="00C910B0" w14:paraId="4B6F58B6" w14:textId="77777777" w:rsidTr="00EA5E15">
        <w:trPr>
          <w:trHeight w:val="315"/>
        </w:trPr>
        <w:tc>
          <w:tcPr>
            <w:tcW w:w="893" w:type="dxa"/>
            <w:vAlign w:val="center"/>
            <w:hideMark/>
          </w:tcPr>
          <w:p w14:paraId="0D828154" w14:textId="77777777" w:rsidR="00C910B0" w:rsidRPr="00C910B0" w:rsidRDefault="00C910B0" w:rsidP="00C910B0">
            <w:pPr>
              <w:rPr>
                <w:rFonts w:ascii="Verdana" w:eastAsia="Calibri" w:hAnsi="Verdana" w:cs="Arial"/>
                <w:sz w:val="16"/>
                <w:szCs w:val="16"/>
                <w:lang w:val="es-ES_tradnl" w:eastAsia="es-ES"/>
              </w:rPr>
            </w:pPr>
            <w:r w:rsidRPr="00C910B0">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62A830F4" w14:textId="77777777" w:rsidR="00C910B0" w:rsidRPr="00C910B0" w:rsidRDefault="00C910B0" w:rsidP="00C910B0">
            <w:pPr>
              <w:rPr>
                <w:rFonts w:ascii="Verdana" w:eastAsia="Arial" w:hAnsi="Verdana" w:cs="Arial"/>
                <w:sz w:val="16"/>
                <w:szCs w:val="16"/>
                <w:lang w:val="es-ES_tradnl"/>
              </w:rPr>
            </w:pPr>
            <w:r w:rsidRPr="00C910B0">
              <w:rPr>
                <w:rFonts w:ascii="Verdana" w:eastAsia="Arial" w:hAnsi="Verdana" w:cs="Arial"/>
                <w:sz w:val="16"/>
                <w:szCs w:val="16"/>
                <w:lang w:val="es-ES_tradnl"/>
              </w:rPr>
              <w:t>Kevin Arlid Herrera Santa</w:t>
            </w:r>
          </w:p>
          <w:p w14:paraId="696AFEBE" w14:textId="77777777" w:rsidR="00C910B0" w:rsidRPr="00C910B0" w:rsidRDefault="00C910B0" w:rsidP="00C910B0">
            <w:pPr>
              <w:rPr>
                <w:rFonts w:ascii="Verdana" w:eastAsia="Arial" w:hAnsi="Verdana" w:cs="Arial"/>
                <w:sz w:val="16"/>
                <w:szCs w:val="16"/>
                <w:lang w:val="es-ES_tradnl"/>
              </w:rPr>
            </w:pPr>
            <w:r w:rsidRPr="00C910B0">
              <w:rPr>
                <w:rFonts w:ascii="Verdana" w:eastAsia="Arial" w:hAnsi="Verdana" w:cs="Arial"/>
                <w:sz w:val="16"/>
                <w:szCs w:val="16"/>
                <w:lang w:val="es-ES_tradnl"/>
              </w:rPr>
              <w:t xml:space="preserve">Contratista de la Subdirección de Gestión Contractual </w:t>
            </w:r>
          </w:p>
          <w:p w14:paraId="48BBB3C3" w14:textId="77777777" w:rsidR="00C910B0" w:rsidRPr="00C910B0" w:rsidRDefault="00C910B0" w:rsidP="00C910B0">
            <w:pPr>
              <w:rPr>
                <w:rFonts w:ascii="Verdana" w:eastAsia="Arial" w:hAnsi="Verdana" w:cs="Arial"/>
                <w:sz w:val="16"/>
                <w:szCs w:val="16"/>
                <w:lang w:val="es-ES_tradnl"/>
              </w:rPr>
            </w:pPr>
            <w:r w:rsidRPr="00C910B0">
              <w:rPr>
                <w:rFonts w:ascii="Verdana" w:eastAsia="Arial" w:hAnsi="Verdana" w:cs="Arial"/>
                <w:sz w:val="16"/>
                <w:szCs w:val="16"/>
                <w:lang w:val="es-ES_tradnl"/>
              </w:rPr>
              <w:t>Alexandra Rodríguez Motta</w:t>
            </w:r>
          </w:p>
          <w:p w14:paraId="63EC1987" w14:textId="77777777" w:rsidR="00C910B0" w:rsidRPr="00C910B0" w:rsidRDefault="00C910B0" w:rsidP="00C910B0">
            <w:pPr>
              <w:rPr>
                <w:rFonts w:ascii="Verdana" w:eastAsia="Arial" w:hAnsi="Verdana" w:cs="Arial"/>
                <w:sz w:val="16"/>
                <w:szCs w:val="16"/>
                <w:lang w:val="es-ES_tradnl"/>
              </w:rPr>
            </w:pPr>
            <w:r w:rsidRPr="00C910B0">
              <w:rPr>
                <w:rFonts w:ascii="Verdana" w:eastAsia="Arial" w:hAnsi="Verdana" w:cs="Arial"/>
                <w:sz w:val="16"/>
                <w:szCs w:val="16"/>
                <w:lang w:val="es-ES_tradnl"/>
              </w:rPr>
              <w:t xml:space="preserve">Contratista de la Subdirección de Gestión Contractual </w:t>
            </w:r>
          </w:p>
          <w:p w14:paraId="739C3A23" w14:textId="77777777" w:rsidR="00C910B0" w:rsidRPr="00C910B0" w:rsidRDefault="00C910B0" w:rsidP="00C910B0">
            <w:pPr>
              <w:rPr>
                <w:rFonts w:ascii="Verdana" w:eastAsia="Arial" w:hAnsi="Verdana" w:cs="Arial"/>
                <w:sz w:val="16"/>
                <w:szCs w:val="16"/>
                <w:lang w:val="es-ES_tradnl"/>
              </w:rPr>
            </w:pPr>
          </w:p>
        </w:tc>
      </w:tr>
      <w:tr w:rsidR="00C910B0" w:rsidRPr="00C910B0" w14:paraId="4F47BA22" w14:textId="77777777" w:rsidTr="00EA5E15">
        <w:trPr>
          <w:trHeight w:val="330"/>
        </w:trPr>
        <w:tc>
          <w:tcPr>
            <w:tcW w:w="893" w:type="dxa"/>
            <w:vAlign w:val="center"/>
            <w:hideMark/>
          </w:tcPr>
          <w:p w14:paraId="09AB0BAC" w14:textId="77777777" w:rsidR="00C910B0" w:rsidRPr="00C910B0" w:rsidRDefault="00C910B0" w:rsidP="00C910B0">
            <w:pPr>
              <w:rPr>
                <w:rFonts w:ascii="Verdana" w:eastAsia="Calibri" w:hAnsi="Verdana" w:cs="Arial"/>
                <w:sz w:val="16"/>
                <w:szCs w:val="16"/>
                <w:lang w:val="es-ES_tradnl" w:eastAsia="es-ES"/>
              </w:rPr>
            </w:pPr>
            <w:r w:rsidRPr="00C910B0">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01EB78E4" w14:textId="77777777" w:rsidR="00C910B0" w:rsidRPr="00C910B0" w:rsidRDefault="00C910B0" w:rsidP="00C910B0">
            <w:pPr>
              <w:textAlignment w:val="baseline"/>
              <w:rPr>
                <w:rFonts w:ascii="Verdana" w:eastAsia="Times New Roman" w:hAnsi="Verdana" w:cs="Segoe UI"/>
                <w:sz w:val="16"/>
                <w:szCs w:val="16"/>
                <w:lang w:val="es-ES_tradnl" w:eastAsia="es-ES_tradnl"/>
              </w:rPr>
            </w:pPr>
            <w:r w:rsidRPr="00C910B0">
              <w:rPr>
                <w:rFonts w:ascii="Verdana" w:eastAsia="Times New Roman" w:hAnsi="Verdana" w:cs="Segoe UI"/>
                <w:sz w:val="16"/>
                <w:szCs w:val="16"/>
                <w:lang w:val="es-ES_tradnl" w:eastAsia="es-ES_tradnl"/>
              </w:rPr>
              <w:t>Martha Alicia Romero Vargas</w:t>
            </w:r>
          </w:p>
          <w:p w14:paraId="4189672B" w14:textId="77777777" w:rsidR="00C910B0" w:rsidRPr="00C910B0" w:rsidRDefault="00C910B0" w:rsidP="00C910B0">
            <w:pPr>
              <w:textAlignment w:val="baseline"/>
              <w:rPr>
                <w:rFonts w:ascii="Verdana" w:eastAsia="Times New Roman" w:hAnsi="Verdana" w:cs="Segoe UI"/>
                <w:sz w:val="16"/>
                <w:szCs w:val="16"/>
                <w:lang w:val="es-ES_tradnl" w:eastAsia="es-ES_tradnl"/>
              </w:rPr>
            </w:pPr>
            <w:r w:rsidRPr="00C910B0">
              <w:rPr>
                <w:rFonts w:ascii="Verdana" w:eastAsia="Times New Roman" w:hAnsi="Verdana" w:cs="Arial"/>
                <w:sz w:val="16"/>
                <w:szCs w:val="16"/>
                <w:lang w:val="es-ES_tradnl" w:eastAsia="es-ES_tradnl"/>
              </w:rPr>
              <w:t>Gestor T1-15 de la Subdirección de Gestión Contractual </w:t>
            </w:r>
          </w:p>
        </w:tc>
      </w:tr>
      <w:tr w:rsidR="00C910B0" w:rsidRPr="00C910B0" w14:paraId="0757265E" w14:textId="77777777" w:rsidTr="00EA5E15">
        <w:trPr>
          <w:trHeight w:val="300"/>
        </w:trPr>
        <w:tc>
          <w:tcPr>
            <w:tcW w:w="893" w:type="dxa"/>
            <w:vAlign w:val="center"/>
          </w:tcPr>
          <w:p w14:paraId="0DBC8F35" w14:textId="77777777" w:rsidR="00C910B0" w:rsidRPr="00C910B0" w:rsidRDefault="00C910B0" w:rsidP="00C910B0">
            <w:pPr>
              <w:rPr>
                <w:rFonts w:ascii="Verdana" w:eastAsia="Calibri" w:hAnsi="Verdana" w:cs="Arial"/>
                <w:sz w:val="16"/>
                <w:szCs w:val="16"/>
                <w:lang w:val="es-ES_tradnl" w:eastAsia="es-ES"/>
              </w:rPr>
            </w:pPr>
            <w:r w:rsidRPr="00C910B0">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15CEAA77" w14:textId="77777777" w:rsidR="00C910B0" w:rsidRPr="00C910B0" w:rsidRDefault="00C910B0" w:rsidP="00C910B0">
            <w:pPr>
              <w:rPr>
                <w:rFonts w:ascii="Verdana" w:eastAsia="Calibri" w:hAnsi="Verdana" w:cs="Arial"/>
                <w:sz w:val="16"/>
                <w:szCs w:val="16"/>
                <w:lang w:val="es-ES_tradnl" w:eastAsia="es-ES"/>
              </w:rPr>
            </w:pPr>
            <w:r w:rsidRPr="00C910B0">
              <w:rPr>
                <w:rFonts w:ascii="Verdana" w:eastAsia="Calibri" w:hAnsi="Verdana" w:cs="Arial"/>
                <w:sz w:val="16"/>
                <w:szCs w:val="16"/>
                <w:lang w:val="es-ES_tradnl" w:eastAsia="es-ES"/>
              </w:rPr>
              <w:t>Carolina Quintero Gacharná</w:t>
            </w:r>
          </w:p>
          <w:p w14:paraId="346E5246" w14:textId="77777777" w:rsidR="00C910B0" w:rsidRPr="00C910B0" w:rsidRDefault="00C910B0" w:rsidP="00C910B0">
            <w:pPr>
              <w:rPr>
                <w:rFonts w:ascii="Verdana" w:eastAsia="Calibri" w:hAnsi="Verdana" w:cs="Arial"/>
                <w:sz w:val="16"/>
                <w:szCs w:val="16"/>
                <w:lang w:val="es-ES_tradnl" w:eastAsia="es-ES"/>
              </w:rPr>
            </w:pPr>
            <w:r w:rsidRPr="00C910B0">
              <w:rPr>
                <w:rFonts w:ascii="Verdana" w:eastAsia="Calibri" w:hAnsi="Verdana" w:cs="Arial"/>
                <w:sz w:val="16"/>
                <w:szCs w:val="16"/>
                <w:lang w:val="es-ES_tradnl" w:eastAsia="es-ES"/>
              </w:rPr>
              <w:t>Subdirectora de Gestión Contractual ANCP – CCE</w:t>
            </w:r>
          </w:p>
        </w:tc>
      </w:tr>
    </w:tbl>
    <w:p w14:paraId="7C9026E2" w14:textId="2C6AC611" w:rsidR="002A0DD0" w:rsidRPr="0050569B" w:rsidRDefault="002A0DD0" w:rsidP="0050569B">
      <w:pPr>
        <w:spacing w:after="0" w:line="240" w:lineRule="auto"/>
        <w:textAlignment w:val="baseline"/>
        <w:rPr>
          <w:rFonts w:ascii="Verdana" w:eastAsia="Verdana" w:hAnsi="Verdana" w:cs="Verdana"/>
          <w:lang w:eastAsia="es-CO"/>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7E38030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C5B1B6" w14:textId="77777777" w:rsidR="00BE1D71" w:rsidRDefault="00BE1D71" w:rsidP="004A1847">
      <w:pPr>
        <w:spacing w:after="0" w:line="240" w:lineRule="auto"/>
      </w:pPr>
      <w:r>
        <w:separator/>
      </w:r>
    </w:p>
  </w:endnote>
  <w:endnote w:type="continuationSeparator" w:id="0">
    <w:p w14:paraId="608E8150" w14:textId="77777777" w:rsidR="00BE1D71" w:rsidRDefault="00BE1D7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7B42E0" w14:textId="77777777" w:rsidR="00BE1D71" w:rsidRDefault="00BE1D71" w:rsidP="004A1847">
      <w:pPr>
        <w:spacing w:after="0" w:line="240" w:lineRule="auto"/>
      </w:pPr>
      <w:r>
        <w:separator/>
      </w:r>
    </w:p>
  </w:footnote>
  <w:footnote w:type="continuationSeparator" w:id="0">
    <w:p w14:paraId="1CAB2849" w14:textId="77777777" w:rsidR="00BE1D71" w:rsidRDefault="00BE1D71" w:rsidP="004A1847">
      <w:pPr>
        <w:spacing w:after="0" w:line="240" w:lineRule="auto"/>
      </w:pPr>
      <w:r>
        <w:continuationSeparator/>
      </w:r>
    </w:p>
  </w:footnote>
  <w:footnote w:id="1">
    <w:p w14:paraId="24B9627D" w14:textId="77777777" w:rsidR="00C910B0" w:rsidRPr="00C472FF" w:rsidRDefault="00C910B0" w:rsidP="00C910B0">
      <w:pPr>
        <w:pStyle w:val="Textonotapie"/>
        <w:ind w:firstLine="709"/>
        <w:jc w:val="both"/>
        <w:rPr>
          <w:rFonts w:ascii="Verdana" w:hAnsi="Verdana"/>
          <w:sz w:val="18"/>
          <w:szCs w:val="18"/>
        </w:rPr>
      </w:pPr>
      <w:r w:rsidRPr="00C472FF">
        <w:rPr>
          <w:rStyle w:val="Refdenotaalpie"/>
          <w:rFonts w:ascii="Verdana" w:hAnsi="Verdana"/>
          <w:sz w:val="18"/>
          <w:szCs w:val="18"/>
        </w:rPr>
        <w:footnoteRef/>
      </w:r>
      <w:r w:rsidRPr="00C472FF">
        <w:rPr>
          <w:rFonts w:ascii="Verdana" w:hAnsi="Verdana"/>
          <w:sz w:val="18"/>
          <w:szCs w:val="18"/>
        </w:rPr>
        <w:t xml:space="preserve"> Estos Documentos Tipo pueden ser consultados en la página web de Colombia Compra Eficiente, a través del siguiente enlace: </w:t>
      </w:r>
      <w:hyperlink r:id="rId1" w:history="1">
        <w:r w:rsidRPr="00C472FF">
          <w:rPr>
            <w:rStyle w:val="Hipervnculo"/>
            <w:rFonts w:ascii="Verdana" w:hAnsi="Verdana"/>
            <w:sz w:val="18"/>
            <w:szCs w:val="18"/>
          </w:rPr>
          <w:t>https://www.colombiacompra.gov.co/documentos-tipo/documentos-tipo</w:t>
        </w:r>
      </w:hyperlink>
      <w:r w:rsidRPr="00C472FF">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pt;height:11.8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3501A61"/>
    <w:multiLevelType w:val="multilevel"/>
    <w:tmpl w:val="882E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868763554">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B92"/>
    <w:rsid w:val="00016F78"/>
    <w:rsid w:val="00046945"/>
    <w:rsid w:val="00061B2A"/>
    <w:rsid w:val="00082362"/>
    <w:rsid w:val="00082F75"/>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E604E"/>
    <w:rsid w:val="0030657A"/>
    <w:rsid w:val="00322A85"/>
    <w:rsid w:val="00324168"/>
    <w:rsid w:val="00330834"/>
    <w:rsid w:val="003448F4"/>
    <w:rsid w:val="00374F5E"/>
    <w:rsid w:val="00377E3E"/>
    <w:rsid w:val="003A1FA2"/>
    <w:rsid w:val="003A779E"/>
    <w:rsid w:val="003D0F4D"/>
    <w:rsid w:val="003D1D35"/>
    <w:rsid w:val="003D5B0D"/>
    <w:rsid w:val="003E0499"/>
    <w:rsid w:val="003E4F80"/>
    <w:rsid w:val="003E6439"/>
    <w:rsid w:val="003F3941"/>
    <w:rsid w:val="00406575"/>
    <w:rsid w:val="00414C74"/>
    <w:rsid w:val="0042722E"/>
    <w:rsid w:val="0044528D"/>
    <w:rsid w:val="00466E39"/>
    <w:rsid w:val="004A1847"/>
    <w:rsid w:val="004A305D"/>
    <w:rsid w:val="004B6EFD"/>
    <w:rsid w:val="004F21C4"/>
    <w:rsid w:val="004F685F"/>
    <w:rsid w:val="0050569B"/>
    <w:rsid w:val="00545E4F"/>
    <w:rsid w:val="005566E8"/>
    <w:rsid w:val="00574867"/>
    <w:rsid w:val="00591460"/>
    <w:rsid w:val="005A65E0"/>
    <w:rsid w:val="005C3777"/>
    <w:rsid w:val="005C5CDC"/>
    <w:rsid w:val="005D476C"/>
    <w:rsid w:val="006200BF"/>
    <w:rsid w:val="006219F8"/>
    <w:rsid w:val="006302F7"/>
    <w:rsid w:val="006366B9"/>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1324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E1D71"/>
    <w:rsid w:val="00BF7425"/>
    <w:rsid w:val="00C04FB3"/>
    <w:rsid w:val="00C11D8B"/>
    <w:rsid w:val="00C15139"/>
    <w:rsid w:val="00C17D96"/>
    <w:rsid w:val="00C330EB"/>
    <w:rsid w:val="00C50D69"/>
    <w:rsid w:val="00C5365C"/>
    <w:rsid w:val="00C754BE"/>
    <w:rsid w:val="00C76B1C"/>
    <w:rsid w:val="00C910B0"/>
    <w:rsid w:val="00C925AC"/>
    <w:rsid w:val="00CB6357"/>
    <w:rsid w:val="00CC1B26"/>
    <w:rsid w:val="00D361FD"/>
    <w:rsid w:val="00D423A2"/>
    <w:rsid w:val="00D44E26"/>
    <w:rsid w:val="00D5193F"/>
    <w:rsid w:val="00D520D8"/>
    <w:rsid w:val="00D636FC"/>
    <w:rsid w:val="00D63AC2"/>
    <w:rsid w:val="00D7383B"/>
    <w:rsid w:val="00D7788A"/>
    <w:rsid w:val="00DA231B"/>
    <w:rsid w:val="00DC39FC"/>
    <w:rsid w:val="00DF5254"/>
    <w:rsid w:val="00E02524"/>
    <w:rsid w:val="00E16408"/>
    <w:rsid w:val="00E20894"/>
    <w:rsid w:val="00E245AB"/>
    <w:rsid w:val="00E25638"/>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910B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5BA415-60C5-430C-8DE1-4EF06CFD89AD}"/>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20</Pages>
  <Words>6928</Words>
  <Characters>38107</Characters>
  <Application>Microsoft Office Word</Application>
  <DocSecurity>0</DocSecurity>
  <Lines>317</Lines>
  <Paragraphs>89</Paragraphs>
  <ScaleCrop>false</ScaleCrop>
  <Company/>
  <LinksUpToDate>false</LinksUpToDate>
  <CharactersWithSpaces>44946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2026-09-15T21:18:00Z</dcterms:created>
  <dcterms:modified xsi:type="dcterms:W3CDTF">2026-09-18T00:04:00Z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