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2ACE4" w14:textId="77777777" w:rsidR="00A910BA" w:rsidRPr="00A910BA" w:rsidRDefault="00A910BA" w:rsidP="006E29F7">
      <w:pPr>
        <w:spacing w:after="0" w:line="240" w:lineRule="auto"/>
        <w:jc w:val="both"/>
        <w:rPr>
          <w:rFonts w:ascii="Verdana" w:eastAsia="Verdana" w:hAnsi="Verdana" w:cs="Verdana"/>
          <w:b/>
          <w:bCs/>
          <w:lang w:val="es-ES"/>
        </w:rPr>
      </w:pPr>
      <w:bookmarkStart w:id="0" w:name="_Hlk143780582"/>
      <w:r w:rsidRPr="00A910BA">
        <w:rPr>
          <w:rFonts w:ascii="Verdana" w:eastAsia="Verdana" w:hAnsi="Verdana" w:cs="Verdana"/>
          <w:b/>
          <w:bCs/>
          <w:lang w:val="es-ES"/>
        </w:rPr>
        <w:t xml:space="preserve">CONTRATO ESTATAL – Concepto </w:t>
      </w:r>
    </w:p>
    <w:p w14:paraId="58C72EF2" w14:textId="77777777" w:rsidR="00A910BA" w:rsidRPr="00DB69BD" w:rsidRDefault="00A910BA" w:rsidP="006E29F7">
      <w:pPr>
        <w:spacing w:after="0" w:line="240" w:lineRule="auto"/>
        <w:jc w:val="both"/>
        <w:rPr>
          <w:rFonts w:ascii="Verdana" w:eastAsia="Verdana" w:hAnsi="Verdana" w:cs="Verdana"/>
          <w:b/>
          <w:bCs/>
          <w:sz w:val="20"/>
          <w:szCs w:val="20"/>
          <w:lang w:val="es-ES"/>
        </w:rPr>
      </w:pPr>
    </w:p>
    <w:p w14:paraId="76949142" w14:textId="77777777" w:rsidR="00DB69BD" w:rsidRPr="00DB69BD" w:rsidRDefault="00DB69BD" w:rsidP="006E29F7">
      <w:pPr>
        <w:spacing w:after="0" w:line="240" w:lineRule="auto"/>
        <w:jc w:val="both"/>
        <w:rPr>
          <w:rFonts w:ascii="Verdana" w:eastAsia="Verdana" w:hAnsi="Verdana" w:cs="Verdana"/>
          <w:sz w:val="20"/>
          <w:szCs w:val="20"/>
        </w:rPr>
      </w:pPr>
      <w:r w:rsidRPr="00DB69BD">
        <w:rPr>
          <w:rFonts w:ascii="Verdana" w:eastAsia="Verdana" w:hAnsi="Verdana" w:cs="Verdana"/>
          <w:sz w:val="20"/>
          <w:szCs w:val="20"/>
          <w:lang w:val="es-ES"/>
        </w:rPr>
        <w:t xml:space="preserve">El Estatuto General de Contratación de la Administración Pública –EGCAP-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DB69BD">
        <w:rPr>
          <w:rFonts w:ascii="Verdana" w:eastAsia="Verdana" w:hAnsi="Verdana" w:cs="Verdana"/>
          <w:sz w:val="20"/>
          <w:szCs w:val="20"/>
        </w:rPr>
        <w:t xml:space="preserve">el inciso primero del artículo 13 dispone: “Los contratos que celebren las entidades a que se refiere el artículo 2o. del presente estatuto se regirán por las disposiciones comerciales y civiles pertinentes, salvo en las materias particularmente reguladas en esta ley”. </w:t>
      </w:r>
    </w:p>
    <w:p w14:paraId="7A8447B2" w14:textId="77777777" w:rsidR="00DB69BD" w:rsidRPr="00DB69BD" w:rsidRDefault="00DB69BD" w:rsidP="006E29F7">
      <w:pPr>
        <w:spacing w:after="0" w:line="240" w:lineRule="auto"/>
        <w:jc w:val="both"/>
        <w:rPr>
          <w:rFonts w:ascii="Verdana" w:eastAsia="Verdana" w:hAnsi="Verdana" w:cs="Verdana"/>
          <w:sz w:val="20"/>
          <w:szCs w:val="20"/>
        </w:rPr>
      </w:pPr>
    </w:p>
    <w:p w14:paraId="3C9577C7" w14:textId="77777777" w:rsidR="00DB69BD" w:rsidRPr="00DB69BD" w:rsidRDefault="00DB69BD" w:rsidP="006E29F7">
      <w:pPr>
        <w:spacing w:after="0" w:line="240" w:lineRule="auto"/>
        <w:jc w:val="both"/>
        <w:rPr>
          <w:rFonts w:ascii="Verdana" w:eastAsia="Verdana" w:hAnsi="Verdana" w:cs="Verdana"/>
          <w:sz w:val="20"/>
          <w:szCs w:val="20"/>
        </w:rPr>
      </w:pPr>
      <w:r w:rsidRPr="00DB69BD">
        <w:rPr>
          <w:rFonts w:ascii="Verdana" w:eastAsia="Verdana" w:hAnsi="Verdana" w:cs="Verdana"/>
          <w:sz w:val="20"/>
          <w:szCs w:val="20"/>
        </w:rPr>
        <w:t>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comerciales y las previstas en esta ley, correspondan a su esencia y naturaleza” –art. 40, inciso primero–.</w:t>
      </w:r>
    </w:p>
    <w:p w14:paraId="5D403B66" w14:textId="77777777" w:rsidR="00A910BA" w:rsidRPr="00DB69BD" w:rsidRDefault="00A910BA" w:rsidP="006E29F7">
      <w:pPr>
        <w:spacing w:after="0" w:line="240" w:lineRule="auto"/>
        <w:jc w:val="both"/>
        <w:rPr>
          <w:rFonts w:ascii="Verdana" w:eastAsia="Verdana" w:hAnsi="Verdana" w:cs="Verdana"/>
          <w:b/>
          <w:bCs/>
          <w:sz w:val="20"/>
          <w:szCs w:val="20"/>
        </w:rPr>
      </w:pPr>
    </w:p>
    <w:p w14:paraId="431BFD26" w14:textId="77777777" w:rsidR="00A910BA" w:rsidRPr="00A910BA" w:rsidRDefault="00A910BA" w:rsidP="006E29F7">
      <w:pPr>
        <w:spacing w:after="0" w:line="240" w:lineRule="auto"/>
        <w:jc w:val="both"/>
        <w:rPr>
          <w:rFonts w:ascii="Verdana" w:eastAsia="Verdana" w:hAnsi="Verdana" w:cs="Verdana"/>
          <w:b/>
          <w:bCs/>
          <w:lang w:val="es-ES"/>
        </w:rPr>
      </w:pPr>
      <w:r w:rsidRPr="00A910BA">
        <w:rPr>
          <w:rFonts w:ascii="Verdana" w:eastAsia="Verdana" w:hAnsi="Verdana" w:cs="Verdana"/>
          <w:b/>
          <w:bCs/>
          <w:lang w:val="es-ES"/>
        </w:rPr>
        <w:t xml:space="preserve">CONTRATOS ESTATAL – Contratos Atípicos </w:t>
      </w:r>
    </w:p>
    <w:p w14:paraId="4D1EC871" w14:textId="77777777" w:rsidR="00A910BA" w:rsidRPr="00A910BA" w:rsidRDefault="00A910BA" w:rsidP="006E29F7">
      <w:pPr>
        <w:spacing w:after="0" w:line="240" w:lineRule="auto"/>
        <w:jc w:val="both"/>
        <w:rPr>
          <w:rFonts w:ascii="Verdana" w:eastAsia="Verdana" w:hAnsi="Verdana" w:cs="Verdana"/>
          <w:b/>
          <w:bCs/>
          <w:lang w:val="es-ES"/>
        </w:rPr>
      </w:pPr>
    </w:p>
    <w:p w14:paraId="5D49D9BF" w14:textId="77777777" w:rsidR="00EA0F6A" w:rsidRDefault="00EA0F6A" w:rsidP="006E29F7">
      <w:pPr>
        <w:spacing w:after="0" w:line="240" w:lineRule="auto"/>
        <w:jc w:val="both"/>
        <w:rPr>
          <w:rFonts w:ascii="Verdana" w:eastAsia="Verdana" w:hAnsi="Verdana" w:cs="Verdana"/>
          <w:sz w:val="20"/>
          <w:szCs w:val="20"/>
        </w:rPr>
      </w:pPr>
      <w:r w:rsidRPr="00D431B4">
        <w:rPr>
          <w:rFonts w:ascii="Verdana" w:eastAsia="Verdana" w:hAnsi="Verdana" w:cs="Verdana"/>
          <w:sz w:val="20"/>
          <w:szCs w:val="20"/>
        </w:rPr>
        <w:t>En virtud de la libertad y autonomía contractual reconocida a las entidades estatales para celebrar contratos típicos o atípicos, independientemente de su régimen jurídico, se dispone de una amplia gama de mecanismos para estructurar la participación del sector privado en la prestación de servicios públicos. Esta flexibilidad permite diseñar esquemas contractuales que se ajusten a las necesidades específicas de cada proyecto, garantizando eficiencia, sostenibilidad y adecuada asignación de riesgos.</w:t>
      </w:r>
    </w:p>
    <w:p w14:paraId="11A2988F" w14:textId="77777777" w:rsidR="00D431B4" w:rsidRPr="00D431B4" w:rsidRDefault="00D431B4" w:rsidP="006E29F7">
      <w:pPr>
        <w:spacing w:after="0" w:line="240" w:lineRule="auto"/>
        <w:jc w:val="both"/>
        <w:rPr>
          <w:rFonts w:ascii="Verdana" w:eastAsia="Verdana" w:hAnsi="Verdana" w:cs="Verdana"/>
          <w:sz w:val="20"/>
          <w:szCs w:val="20"/>
        </w:rPr>
      </w:pPr>
    </w:p>
    <w:p w14:paraId="75334B87" w14:textId="559C9FA4" w:rsidR="00EA0F6A" w:rsidRDefault="00EA0F6A" w:rsidP="006E29F7">
      <w:pPr>
        <w:spacing w:after="0" w:line="240" w:lineRule="auto"/>
        <w:jc w:val="both"/>
        <w:rPr>
          <w:rFonts w:ascii="Verdana" w:eastAsia="Verdana" w:hAnsi="Verdana" w:cs="Verdana"/>
          <w:sz w:val="20"/>
          <w:szCs w:val="20"/>
        </w:rPr>
      </w:pPr>
      <w:r w:rsidRPr="00D431B4">
        <w:rPr>
          <w:rFonts w:ascii="Verdana" w:eastAsia="Verdana" w:hAnsi="Verdana" w:cs="Verdana"/>
          <w:sz w:val="20"/>
          <w:szCs w:val="20"/>
        </w:rPr>
        <w:t xml:space="preserve">En el ámbito de la infraestructura, se destacan modalidades como la concesión, el </w:t>
      </w:r>
      <w:proofErr w:type="spellStart"/>
      <w:r w:rsidRPr="00D431B4">
        <w:rPr>
          <w:rFonts w:ascii="Verdana" w:eastAsia="Verdana" w:hAnsi="Verdana" w:cs="Verdana"/>
          <w:sz w:val="20"/>
          <w:szCs w:val="20"/>
        </w:rPr>
        <w:t>affermage</w:t>
      </w:r>
      <w:proofErr w:type="spellEnd"/>
      <w:r w:rsidRPr="00D431B4">
        <w:rPr>
          <w:rFonts w:ascii="Verdana" w:eastAsia="Verdana" w:hAnsi="Verdana" w:cs="Verdana"/>
          <w:sz w:val="20"/>
          <w:szCs w:val="20"/>
        </w:rPr>
        <w:t>, los contratos BOOT (</w:t>
      </w:r>
      <w:proofErr w:type="spellStart"/>
      <w:r w:rsidRPr="00D431B4">
        <w:rPr>
          <w:rFonts w:ascii="Verdana" w:eastAsia="Verdana" w:hAnsi="Verdana" w:cs="Verdana"/>
          <w:sz w:val="20"/>
          <w:szCs w:val="20"/>
        </w:rPr>
        <w:t>Build</w:t>
      </w:r>
      <w:proofErr w:type="spellEnd"/>
      <w:r w:rsidRPr="00D431B4">
        <w:rPr>
          <w:rFonts w:ascii="Verdana" w:eastAsia="Verdana" w:hAnsi="Verdana" w:cs="Verdana"/>
          <w:sz w:val="20"/>
          <w:szCs w:val="20"/>
        </w:rPr>
        <w:t>-</w:t>
      </w:r>
      <w:proofErr w:type="spellStart"/>
      <w:r w:rsidRPr="00D431B4">
        <w:rPr>
          <w:rFonts w:ascii="Verdana" w:eastAsia="Verdana" w:hAnsi="Verdana" w:cs="Verdana"/>
          <w:sz w:val="20"/>
          <w:szCs w:val="20"/>
        </w:rPr>
        <w:t>Own</w:t>
      </w:r>
      <w:proofErr w:type="spellEnd"/>
      <w:r w:rsidRPr="00D431B4">
        <w:rPr>
          <w:rFonts w:ascii="Verdana" w:eastAsia="Verdana" w:hAnsi="Verdana" w:cs="Verdana"/>
          <w:sz w:val="20"/>
          <w:szCs w:val="20"/>
        </w:rPr>
        <w:t>-</w:t>
      </w:r>
      <w:proofErr w:type="spellStart"/>
      <w:r w:rsidRPr="00D431B4">
        <w:rPr>
          <w:rFonts w:ascii="Verdana" w:eastAsia="Verdana" w:hAnsi="Verdana" w:cs="Verdana"/>
          <w:sz w:val="20"/>
          <w:szCs w:val="20"/>
        </w:rPr>
        <w:t>Operate</w:t>
      </w:r>
      <w:proofErr w:type="spellEnd"/>
      <w:r w:rsidRPr="00D431B4">
        <w:rPr>
          <w:rFonts w:ascii="Verdana" w:eastAsia="Verdana" w:hAnsi="Verdana" w:cs="Verdana"/>
          <w:sz w:val="20"/>
          <w:szCs w:val="20"/>
        </w:rPr>
        <w:t>-Transfer), BOT (</w:t>
      </w:r>
      <w:proofErr w:type="spellStart"/>
      <w:r w:rsidRPr="00D431B4">
        <w:rPr>
          <w:rFonts w:ascii="Verdana" w:eastAsia="Verdana" w:hAnsi="Verdana" w:cs="Verdana"/>
          <w:sz w:val="20"/>
          <w:szCs w:val="20"/>
        </w:rPr>
        <w:t>Build</w:t>
      </w:r>
      <w:proofErr w:type="spellEnd"/>
      <w:r w:rsidRPr="00D431B4">
        <w:rPr>
          <w:rFonts w:ascii="Verdana" w:eastAsia="Verdana" w:hAnsi="Verdana" w:cs="Verdana"/>
          <w:sz w:val="20"/>
          <w:szCs w:val="20"/>
        </w:rPr>
        <w:t>-</w:t>
      </w:r>
      <w:proofErr w:type="spellStart"/>
      <w:r w:rsidRPr="00D431B4">
        <w:rPr>
          <w:rFonts w:ascii="Verdana" w:eastAsia="Verdana" w:hAnsi="Verdana" w:cs="Verdana"/>
          <w:sz w:val="20"/>
          <w:szCs w:val="20"/>
        </w:rPr>
        <w:t>Operate</w:t>
      </w:r>
      <w:proofErr w:type="spellEnd"/>
      <w:r w:rsidRPr="00D431B4">
        <w:rPr>
          <w:rFonts w:ascii="Verdana" w:eastAsia="Verdana" w:hAnsi="Verdana" w:cs="Verdana"/>
          <w:sz w:val="20"/>
          <w:szCs w:val="20"/>
        </w:rPr>
        <w:t>-Transfer), ROT (</w:t>
      </w:r>
      <w:proofErr w:type="spellStart"/>
      <w:r w:rsidRPr="00D431B4">
        <w:rPr>
          <w:rFonts w:ascii="Verdana" w:eastAsia="Verdana" w:hAnsi="Verdana" w:cs="Verdana"/>
          <w:sz w:val="20"/>
          <w:szCs w:val="20"/>
        </w:rPr>
        <w:t>Rehabilitate</w:t>
      </w:r>
      <w:proofErr w:type="spellEnd"/>
      <w:r w:rsidRPr="00D431B4">
        <w:rPr>
          <w:rFonts w:ascii="Verdana" w:eastAsia="Verdana" w:hAnsi="Verdana" w:cs="Verdana"/>
          <w:sz w:val="20"/>
          <w:szCs w:val="20"/>
        </w:rPr>
        <w:t>-</w:t>
      </w:r>
      <w:proofErr w:type="spellStart"/>
      <w:r w:rsidRPr="00D431B4">
        <w:rPr>
          <w:rFonts w:ascii="Verdana" w:eastAsia="Verdana" w:hAnsi="Verdana" w:cs="Verdana"/>
          <w:sz w:val="20"/>
          <w:szCs w:val="20"/>
        </w:rPr>
        <w:t>Operate</w:t>
      </w:r>
      <w:proofErr w:type="spellEnd"/>
      <w:r w:rsidRPr="00D431B4">
        <w:rPr>
          <w:rFonts w:ascii="Verdana" w:eastAsia="Verdana" w:hAnsi="Verdana" w:cs="Verdana"/>
          <w:sz w:val="20"/>
          <w:szCs w:val="20"/>
        </w:rPr>
        <w:t>-Transfer), BOO (</w:t>
      </w:r>
      <w:proofErr w:type="spellStart"/>
      <w:r w:rsidRPr="00D431B4">
        <w:rPr>
          <w:rFonts w:ascii="Verdana" w:eastAsia="Verdana" w:hAnsi="Verdana" w:cs="Verdana"/>
          <w:sz w:val="20"/>
          <w:szCs w:val="20"/>
        </w:rPr>
        <w:t>Build-Own-Operate</w:t>
      </w:r>
      <w:proofErr w:type="spellEnd"/>
      <w:r w:rsidRPr="00D431B4">
        <w:rPr>
          <w:rFonts w:ascii="Verdana" w:eastAsia="Verdana" w:hAnsi="Verdana" w:cs="Verdana"/>
          <w:sz w:val="20"/>
          <w:szCs w:val="20"/>
        </w:rPr>
        <w:t>), ROO (</w:t>
      </w:r>
      <w:proofErr w:type="spellStart"/>
      <w:r w:rsidRPr="00D431B4">
        <w:rPr>
          <w:rFonts w:ascii="Verdana" w:eastAsia="Verdana" w:hAnsi="Verdana" w:cs="Verdana"/>
          <w:sz w:val="20"/>
          <w:szCs w:val="20"/>
        </w:rPr>
        <w:t>Rehabilitate-Own-Operate</w:t>
      </w:r>
      <w:proofErr w:type="spellEnd"/>
      <w:r w:rsidRPr="00D431B4">
        <w:rPr>
          <w:rFonts w:ascii="Verdana" w:eastAsia="Verdana" w:hAnsi="Verdana" w:cs="Verdana"/>
          <w:sz w:val="20"/>
          <w:szCs w:val="20"/>
        </w:rPr>
        <w:t>) y DBFO (</w:t>
      </w:r>
      <w:proofErr w:type="spellStart"/>
      <w:r w:rsidRPr="00D431B4">
        <w:rPr>
          <w:rFonts w:ascii="Verdana" w:eastAsia="Verdana" w:hAnsi="Verdana" w:cs="Verdana"/>
          <w:sz w:val="20"/>
          <w:szCs w:val="20"/>
        </w:rPr>
        <w:t>Design-Build-Finance-Operate</w:t>
      </w:r>
      <w:proofErr w:type="spellEnd"/>
      <w:r w:rsidRPr="00D431B4">
        <w:rPr>
          <w:rFonts w:ascii="Verdana" w:eastAsia="Verdana" w:hAnsi="Verdana" w:cs="Verdana"/>
          <w:sz w:val="20"/>
          <w:szCs w:val="20"/>
        </w:rPr>
        <w:t>), entre otros. Cada una de estas fórmulas contractuales implica efectos jurídicos y económicos distintos, que determinan la manera en que se distribuyen las responsabilidades, los riesgos y los beneficios entre el sector público y el privado. Un ejemplo ilustrativo lo constituyen las licitaciones internacionales en las que se emplea el esquema DBFO (Diseñar, Construir, Financiar y Operar), de origen anglosajón y ampliamente utilizado en proyectos de infraestructura vial, especialmente autopistas. En este tipo de contrato, la empresa privada asume la obligación integral de diseñar, construir y operar la infraestructura objeto del contrato, además de gestionar la financiación necesaria para su ejecución durante el plazo pactado. Aunque el contratista privado asume inicialmente la titularidad funcional del proyecto, la infraestructura termina siendo propiedad del ente estatal, lo que asegura la prevalencia del interés público y la continuidad del servicio.</w:t>
      </w:r>
    </w:p>
    <w:p w14:paraId="03A6435C" w14:textId="77777777" w:rsidR="00D431B4" w:rsidRPr="00D431B4" w:rsidRDefault="00D431B4" w:rsidP="006E29F7">
      <w:pPr>
        <w:spacing w:after="0" w:line="240" w:lineRule="auto"/>
        <w:jc w:val="both"/>
        <w:rPr>
          <w:rFonts w:ascii="Verdana" w:eastAsia="Verdana" w:hAnsi="Verdana" w:cs="Verdana"/>
          <w:sz w:val="20"/>
          <w:szCs w:val="20"/>
        </w:rPr>
      </w:pPr>
    </w:p>
    <w:p w14:paraId="4BE55D66" w14:textId="1B4B9AFE" w:rsidR="00EA0F6A" w:rsidRPr="00D431B4" w:rsidRDefault="00EA0F6A" w:rsidP="006E29F7">
      <w:pPr>
        <w:spacing w:after="0" w:line="240" w:lineRule="auto"/>
        <w:jc w:val="both"/>
        <w:rPr>
          <w:rFonts w:ascii="Verdana" w:eastAsia="Verdana" w:hAnsi="Verdana" w:cs="Verdana"/>
          <w:sz w:val="20"/>
          <w:szCs w:val="20"/>
          <w:lang w:val="en-US"/>
        </w:rPr>
      </w:pPr>
      <w:r w:rsidRPr="00D431B4">
        <w:rPr>
          <w:rFonts w:ascii="Verdana" w:eastAsia="Verdana" w:hAnsi="Verdana" w:cs="Verdana"/>
          <w:sz w:val="20"/>
          <w:szCs w:val="20"/>
        </w:rPr>
        <w:lastRenderedPageBreak/>
        <w:t xml:space="preserve">En otros escenarios de participación del sector privado, se expone la complejidad terminológica y conceptual que existe en torno a la externalización de procesos de conocimiento. En este aspecto, la doctrina ha señalado que no hay uniformidad ni univocidad en el uso de los términos, pues muchos provienen del inglés y se han trasladado al ámbito académico y empresarial con significados diversos, lo que genera confusión y falta de precisión conceptual. </w:t>
      </w:r>
      <w:r w:rsidRPr="00D431B4">
        <w:rPr>
          <w:rFonts w:ascii="Verdana" w:eastAsia="Verdana" w:hAnsi="Verdana" w:cs="Verdana"/>
          <w:sz w:val="20"/>
          <w:szCs w:val="20"/>
          <w:lang w:val="en-US"/>
        </w:rPr>
        <w:t xml:space="preserve">En </w:t>
      </w:r>
      <w:proofErr w:type="spellStart"/>
      <w:r w:rsidRPr="00D431B4">
        <w:rPr>
          <w:rFonts w:ascii="Verdana" w:eastAsia="Verdana" w:hAnsi="Verdana" w:cs="Verdana"/>
          <w:sz w:val="20"/>
          <w:szCs w:val="20"/>
          <w:lang w:val="en-US"/>
        </w:rPr>
        <w:t>este</w:t>
      </w:r>
      <w:proofErr w:type="spellEnd"/>
      <w:r w:rsidRPr="00D431B4">
        <w:rPr>
          <w:rFonts w:ascii="Verdana" w:eastAsia="Verdana" w:hAnsi="Verdana" w:cs="Verdana"/>
          <w:sz w:val="20"/>
          <w:szCs w:val="20"/>
          <w:lang w:val="en-US"/>
        </w:rPr>
        <w:t xml:space="preserve"> </w:t>
      </w:r>
      <w:proofErr w:type="spellStart"/>
      <w:r w:rsidRPr="00D431B4">
        <w:rPr>
          <w:rFonts w:ascii="Verdana" w:eastAsia="Verdana" w:hAnsi="Verdana" w:cs="Verdana"/>
          <w:sz w:val="20"/>
          <w:szCs w:val="20"/>
          <w:lang w:val="en-US"/>
        </w:rPr>
        <w:t>sentido</w:t>
      </w:r>
      <w:proofErr w:type="spellEnd"/>
      <w:r w:rsidRPr="00D431B4">
        <w:rPr>
          <w:rFonts w:ascii="Verdana" w:eastAsia="Verdana" w:hAnsi="Verdana" w:cs="Verdana"/>
          <w:sz w:val="20"/>
          <w:szCs w:val="20"/>
          <w:lang w:val="en-US"/>
        </w:rPr>
        <w:t xml:space="preserve">, se </w:t>
      </w:r>
      <w:proofErr w:type="spellStart"/>
      <w:r w:rsidRPr="00D431B4">
        <w:rPr>
          <w:rFonts w:ascii="Verdana" w:eastAsia="Verdana" w:hAnsi="Verdana" w:cs="Verdana"/>
          <w:sz w:val="20"/>
          <w:szCs w:val="20"/>
          <w:lang w:val="en-US"/>
        </w:rPr>
        <w:t>enumeran</w:t>
      </w:r>
      <w:proofErr w:type="spellEnd"/>
      <w:r w:rsidRPr="00D431B4">
        <w:rPr>
          <w:rFonts w:ascii="Verdana" w:eastAsia="Verdana" w:hAnsi="Verdana" w:cs="Verdana"/>
          <w:sz w:val="20"/>
          <w:szCs w:val="20"/>
          <w:lang w:val="en-US"/>
        </w:rPr>
        <w:t xml:space="preserve"> </w:t>
      </w:r>
      <w:proofErr w:type="spellStart"/>
      <w:r w:rsidRPr="00D431B4">
        <w:rPr>
          <w:rFonts w:ascii="Verdana" w:eastAsia="Verdana" w:hAnsi="Verdana" w:cs="Verdana"/>
          <w:sz w:val="20"/>
          <w:szCs w:val="20"/>
          <w:lang w:val="en-US"/>
        </w:rPr>
        <w:t>múltiples</w:t>
      </w:r>
      <w:proofErr w:type="spellEnd"/>
      <w:r w:rsidRPr="00D431B4">
        <w:rPr>
          <w:rFonts w:ascii="Verdana" w:eastAsia="Verdana" w:hAnsi="Verdana" w:cs="Verdana"/>
          <w:sz w:val="20"/>
          <w:szCs w:val="20"/>
          <w:lang w:val="en-US"/>
        </w:rPr>
        <w:t xml:space="preserve"> </w:t>
      </w:r>
      <w:proofErr w:type="spellStart"/>
      <w:r w:rsidRPr="00D431B4">
        <w:rPr>
          <w:rFonts w:ascii="Verdana" w:eastAsia="Verdana" w:hAnsi="Verdana" w:cs="Verdana"/>
          <w:sz w:val="20"/>
          <w:szCs w:val="20"/>
          <w:lang w:val="en-US"/>
        </w:rPr>
        <w:t>expresiones</w:t>
      </w:r>
      <w:proofErr w:type="spellEnd"/>
      <w:r w:rsidRPr="00D431B4">
        <w:rPr>
          <w:rFonts w:ascii="Verdana" w:eastAsia="Verdana" w:hAnsi="Verdana" w:cs="Verdana"/>
          <w:sz w:val="20"/>
          <w:szCs w:val="20"/>
          <w:lang w:val="en-US"/>
        </w:rPr>
        <w:t xml:space="preserve"> </w:t>
      </w:r>
      <w:proofErr w:type="spellStart"/>
      <w:r w:rsidRPr="00D431B4">
        <w:rPr>
          <w:rFonts w:ascii="Verdana" w:eastAsia="Verdana" w:hAnsi="Verdana" w:cs="Verdana"/>
          <w:sz w:val="20"/>
          <w:szCs w:val="20"/>
          <w:lang w:val="en-US"/>
        </w:rPr>
        <w:t>relacionadas</w:t>
      </w:r>
      <w:proofErr w:type="spellEnd"/>
      <w:r w:rsidRPr="00D431B4">
        <w:rPr>
          <w:rFonts w:ascii="Verdana" w:eastAsia="Verdana" w:hAnsi="Verdana" w:cs="Verdana"/>
          <w:sz w:val="20"/>
          <w:szCs w:val="20"/>
          <w:lang w:val="en-US"/>
        </w:rPr>
        <w:t xml:space="preserve"> con el </w:t>
      </w:r>
      <w:proofErr w:type="spellStart"/>
      <w:r w:rsidRPr="00D431B4">
        <w:rPr>
          <w:rFonts w:ascii="Verdana" w:eastAsia="Verdana" w:hAnsi="Verdana" w:cs="Verdana"/>
          <w:sz w:val="20"/>
          <w:szCs w:val="20"/>
          <w:lang w:val="en-US"/>
        </w:rPr>
        <w:t>fenómeno</w:t>
      </w:r>
      <w:proofErr w:type="spellEnd"/>
      <w:r w:rsidRPr="00D431B4">
        <w:rPr>
          <w:rFonts w:ascii="Verdana" w:eastAsia="Verdana" w:hAnsi="Verdana" w:cs="Verdana"/>
          <w:sz w:val="20"/>
          <w:szCs w:val="20"/>
          <w:lang w:val="en-US"/>
        </w:rPr>
        <w:t xml:space="preserve">, tales como </w:t>
      </w:r>
      <w:r w:rsidRPr="00D431B4">
        <w:rPr>
          <w:rFonts w:ascii="Verdana" w:eastAsia="Verdana" w:hAnsi="Verdana" w:cs="Verdana"/>
          <w:i/>
          <w:iCs/>
          <w:sz w:val="20"/>
          <w:szCs w:val="20"/>
          <w:lang w:val="en-US"/>
        </w:rPr>
        <w:t xml:space="preserve">outsourcing, offshoring, offshore, captive, facilities management, provisions of services, </w:t>
      </w:r>
      <w:proofErr w:type="spellStart"/>
      <w:r w:rsidRPr="00D431B4">
        <w:rPr>
          <w:rFonts w:ascii="Verdana" w:eastAsia="Verdana" w:hAnsi="Verdana" w:cs="Verdana"/>
          <w:i/>
          <w:iCs/>
          <w:sz w:val="20"/>
          <w:szCs w:val="20"/>
          <w:lang w:val="en-US"/>
        </w:rPr>
        <w:t>hostings</w:t>
      </w:r>
      <w:proofErr w:type="spellEnd"/>
      <w:r w:rsidRPr="00D431B4">
        <w:rPr>
          <w:rFonts w:ascii="Verdana" w:eastAsia="Verdana" w:hAnsi="Verdana" w:cs="Verdana"/>
          <w:i/>
          <w:iCs/>
          <w:sz w:val="20"/>
          <w:szCs w:val="20"/>
          <w:lang w:val="en-US"/>
        </w:rPr>
        <w:t>, externalization, nearshore, insourcing, Business Process Outsourcing (BPO), Knowledge Process Outsourcing (KPO), Knowledge Intensive Business Services (KIBS), Knowledge Intensive Firm (KIF)</w:t>
      </w:r>
      <w:r w:rsidRPr="00D431B4">
        <w:rPr>
          <w:rFonts w:ascii="Verdana" w:eastAsia="Verdana" w:hAnsi="Verdana" w:cs="Verdana"/>
          <w:sz w:val="20"/>
          <w:szCs w:val="20"/>
          <w:lang w:val="en-US"/>
        </w:rPr>
        <w:t xml:space="preserve">, entre otras. </w:t>
      </w:r>
    </w:p>
    <w:p w14:paraId="4AD3EFB9" w14:textId="77777777" w:rsidR="00A910BA" w:rsidRPr="00D431B4" w:rsidRDefault="00A910BA" w:rsidP="006E29F7">
      <w:pPr>
        <w:spacing w:after="0" w:line="240" w:lineRule="auto"/>
        <w:jc w:val="both"/>
        <w:rPr>
          <w:rFonts w:ascii="Verdana" w:eastAsia="Verdana" w:hAnsi="Verdana" w:cs="Verdana"/>
          <w:sz w:val="20"/>
          <w:szCs w:val="20"/>
          <w:lang w:val="en-US"/>
        </w:rPr>
      </w:pPr>
    </w:p>
    <w:p w14:paraId="79440054" w14:textId="6F7BAAE4" w:rsidR="00A910BA" w:rsidRPr="00A910BA" w:rsidRDefault="00A910BA" w:rsidP="006E29F7">
      <w:pPr>
        <w:spacing w:after="0" w:line="240" w:lineRule="auto"/>
        <w:jc w:val="both"/>
        <w:rPr>
          <w:rFonts w:ascii="Verdana" w:eastAsia="Verdana" w:hAnsi="Verdana" w:cs="Verdana"/>
          <w:b/>
          <w:bCs/>
          <w:lang w:val="en-US"/>
        </w:rPr>
      </w:pPr>
      <w:r w:rsidRPr="00A910BA">
        <w:rPr>
          <w:rFonts w:ascii="Verdana" w:eastAsia="Verdana" w:hAnsi="Verdana" w:cs="Verdana"/>
          <w:b/>
          <w:bCs/>
          <w:lang w:val="en-US"/>
        </w:rPr>
        <w:t>CONTRATO BPO</w:t>
      </w:r>
      <w:r w:rsidR="000B55D2">
        <w:rPr>
          <w:rFonts w:ascii="Verdana" w:eastAsia="Verdana" w:hAnsi="Verdana" w:cs="Verdana"/>
          <w:b/>
          <w:bCs/>
          <w:lang w:val="en-US"/>
        </w:rPr>
        <w:t xml:space="preserve"> </w:t>
      </w:r>
      <w:r w:rsidRPr="00A910BA">
        <w:rPr>
          <w:rFonts w:ascii="Verdana" w:eastAsia="Verdana" w:hAnsi="Verdana" w:cs="Verdana"/>
          <w:b/>
          <w:bCs/>
          <w:lang w:val="en-US"/>
        </w:rPr>
        <w:t xml:space="preserve">‒ Business Process Outsourcing </w:t>
      </w:r>
      <w:r w:rsidR="000B55D2" w:rsidRPr="000B55D2">
        <w:rPr>
          <w:rFonts w:ascii="Verdana" w:eastAsia="Verdana" w:hAnsi="Verdana" w:cs="Verdana"/>
          <w:b/>
          <w:bCs/>
          <w:lang w:val="es-ES"/>
        </w:rPr>
        <w:t>–</w:t>
      </w:r>
      <w:r w:rsidRPr="00A910BA">
        <w:rPr>
          <w:rFonts w:ascii="Verdana" w:eastAsia="Verdana" w:hAnsi="Verdana" w:cs="Verdana"/>
          <w:b/>
          <w:bCs/>
          <w:lang w:val="en-US"/>
        </w:rPr>
        <w:t xml:space="preserve"> </w:t>
      </w:r>
      <w:proofErr w:type="spellStart"/>
      <w:r w:rsidRPr="00A910BA">
        <w:rPr>
          <w:rFonts w:ascii="Verdana" w:eastAsia="Verdana" w:hAnsi="Verdana" w:cs="Verdana"/>
          <w:b/>
          <w:bCs/>
          <w:lang w:val="en-US"/>
        </w:rPr>
        <w:t>Contrato</w:t>
      </w:r>
      <w:proofErr w:type="spellEnd"/>
      <w:r w:rsidRPr="00A910BA">
        <w:rPr>
          <w:rFonts w:ascii="Verdana" w:eastAsia="Verdana" w:hAnsi="Verdana" w:cs="Verdana"/>
          <w:b/>
          <w:bCs/>
          <w:lang w:val="en-US"/>
        </w:rPr>
        <w:t xml:space="preserve"> </w:t>
      </w:r>
      <w:proofErr w:type="spellStart"/>
      <w:r w:rsidRPr="00A910BA">
        <w:rPr>
          <w:rFonts w:ascii="Verdana" w:eastAsia="Verdana" w:hAnsi="Verdana" w:cs="Verdana"/>
          <w:b/>
          <w:bCs/>
          <w:lang w:val="en-US"/>
        </w:rPr>
        <w:t>atípico</w:t>
      </w:r>
      <w:proofErr w:type="spellEnd"/>
      <w:r w:rsidRPr="00A910BA">
        <w:rPr>
          <w:rFonts w:ascii="Verdana" w:eastAsia="Verdana" w:hAnsi="Verdana" w:cs="Verdana"/>
          <w:b/>
          <w:bCs/>
          <w:lang w:val="en-US"/>
        </w:rPr>
        <w:t xml:space="preserve"> </w:t>
      </w:r>
      <w:proofErr w:type="spellStart"/>
      <w:r w:rsidRPr="00A910BA">
        <w:rPr>
          <w:rFonts w:ascii="Verdana" w:eastAsia="Verdana" w:hAnsi="Verdana" w:cs="Verdana"/>
          <w:b/>
          <w:bCs/>
          <w:lang w:val="en-US"/>
        </w:rPr>
        <w:t>mixto</w:t>
      </w:r>
      <w:proofErr w:type="spellEnd"/>
      <w:r w:rsidRPr="00A910BA">
        <w:rPr>
          <w:rFonts w:ascii="Verdana" w:eastAsia="Verdana" w:hAnsi="Verdana" w:cs="Verdana"/>
          <w:b/>
          <w:bCs/>
          <w:lang w:val="en-US"/>
        </w:rPr>
        <w:t xml:space="preserve"> ‒ Actividades</w:t>
      </w:r>
    </w:p>
    <w:p w14:paraId="2BB13048" w14:textId="77777777" w:rsidR="00A910BA" w:rsidRPr="00A910BA" w:rsidRDefault="00A910BA" w:rsidP="006E29F7">
      <w:pPr>
        <w:spacing w:after="0" w:line="240" w:lineRule="auto"/>
        <w:jc w:val="both"/>
        <w:rPr>
          <w:rFonts w:ascii="Verdana" w:eastAsia="Verdana" w:hAnsi="Verdana" w:cs="Verdana"/>
          <w:b/>
          <w:bCs/>
          <w:lang w:val="en-US"/>
        </w:rPr>
      </w:pPr>
    </w:p>
    <w:p w14:paraId="3841E0BE" w14:textId="5E4F59EB" w:rsidR="00D431B4" w:rsidRPr="00D431B4" w:rsidRDefault="00D431B4" w:rsidP="006E29F7">
      <w:pPr>
        <w:spacing w:after="0" w:line="240" w:lineRule="auto"/>
        <w:jc w:val="both"/>
        <w:rPr>
          <w:rFonts w:ascii="Verdana" w:eastAsia="Verdana" w:hAnsi="Verdana" w:cs="Verdana"/>
          <w:sz w:val="20"/>
          <w:szCs w:val="20"/>
        </w:rPr>
      </w:pPr>
      <w:r w:rsidRPr="00D431B4">
        <w:rPr>
          <w:rFonts w:ascii="Verdana" w:eastAsia="Verdana" w:hAnsi="Verdana" w:cs="Verdana"/>
          <w:sz w:val="20"/>
          <w:szCs w:val="20"/>
        </w:rPr>
        <w:t>Dentro de este tipo de contratos se encuentran los BPO (Business Process Outsourcing), conocidos en español como subcontratación de procesos de negocio. Este contrato atípico que consiste en la práctica de contratar proveedores externos especializados para gestionar funciones o procesos que, si bien son necesarios para el funcionamiento de la entidad, no constituyen en principio su propósito o misión. El BPO se ha consolidado como un mecanismo eficiente para optimizar recursos, mejorar la calidad del servicio y permitir que las organizaciones públicas o privadas concentren sus esfuerzos en actividades estratégicas. Al respecto, la doctrina expresa:</w:t>
      </w:r>
    </w:p>
    <w:p w14:paraId="1971C030" w14:textId="77777777" w:rsidR="00D431B4" w:rsidRPr="00D431B4" w:rsidRDefault="00D431B4" w:rsidP="006E29F7">
      <w:pPr>
        <w:spacing w:after="0" w:line="240" w:lineRule="auto"/>
        <w:jc w:val="both"/>
        <w:rPr>
          <w:rFonts w:ascii="Verdana" w:eastAsia="Verdana" w:hAnsi="Verdana" w:cs="Verdana"/>
          <w:sz w:val="20"/>
          <w:szCs w:val="20"/>
        </w:rPr>
      </w:pPr>
    </w:p>
    <w:p w14:paraId="3BE6BA32" w14:textId="77777777" w:rsidR="00D431B4" w:rsidRPr="00D431B4" w:rsidRDefault="00D431B4" w:rsidP="006E29F7">
      <w:pPr>
        <w:spacing w:after="0" w:line="240" w:lineRule="auto"/>
        <w:jc w:val="both"/>
        <w:rPr>
          <w:rFonts w:ascii="Verdana" w:eastAsia="Verdana" w:hAnsi="Verdana" w:cs="Verdana"/>
          <w:sz w:val="20"/>
          <w:szCs w:val="20"/>
        </w:rPr>
      </w:pPr>
      <w:r w:rsidRPr="00D431B4">
        <w:rPr>
          <w:rFonts w:ascii="Verdana" w:eastAsia="Verdana" w:hAnsi="Verdana" w:cs="Verdana"/>
          <w:sz w:val="20"/>
          <w:szCs w:val="20"/>
        </w:rPr>
        <w:t xml:space="preserve">En términos generales, los contratos de Business Process Outsourcing (BPO) constituyen una herramienta estratégica para optimizar y, en lo posible, automatizar procesos de negocio, lo que permite reducir gastos operativos y transformar costes fijos en variables. La garantía de los procesos recae en la empresa especializada que asume la externalización, de ahí la importancia de seleccionar proveedores con experiencia y capacidad de asesoramiento, capaces de generar confianza y orientar al cliente en la mejor forma de ejecutar las operaciones. Este modelo facilita que las organizaciones concentren sus esfuerzos en su actividad principal y, al mismo tiempo, les otorga flexibilidad para adaptarse a cambios del entorno, incluso posibilitando el lanzamiento ágil de nuevas líneas de negocio gracias a la eliminación de gastos de estructura. </w:t>
      </w:r>
    </w:p>
    <w:p w14:paraId="5FC27728" w14:textId="77777777" w:rsidR="00A910BA" w:rsidRPr="00D431B4" w:rsidRDefault="00A910BA" w:rsidP="006E29F7">
      <w:pPr>
        <w:spacing w:after="0" w:line="240" w:lineRule="auto"/>
        <w:jc w:val="both"/>
        <w:rPr>
          <w:rFonts w:ascii="Verdana" w:eastAsia="Verdana" w:hAnsi="Verdana" w:cs="Verdana"/>
          <w:b/>
          <w:bCs/>
        </w:rPr>
      </w:pPr>
    </w:p>
    <w:p w14:paraId="1FF5CB8E" w14:textId="77777777" w:rsidR="00A910BA" w:rsidRPr="00A910BA" w:rsidRDefault="00A910BA" w:rsidP="006E29F7">
      <w:pPr>
        <w:spacing w:after="0" w:line="240" w:lineRule="auto"/>
        <w:jc w:val="both"/>
        <w:rPr>
          <w:rFonts w:ascii="Verdana" w:eastAsia="Verdana" w:hAnsi="Verdana" w:cs="Verdana"/>
          <w:b/>
          <w:bCs/>
          <w:lang w:val="es-ES"/>
        </w:rPr>
      </w:pPr>
      <w:r w:rsidRPr="00A910BA">
        <w:rPr>
          <w:rFonts w:ascii="Verdana" w:eastAsia="Verdana" w:hAnsi="Verdana" w:cs="Verdana"/>
          <w:b/>
          <w:bCs/>
          <w:lang w:val="es-ES"/>
        </w:rPr>
        <w:t xml:space="preserve">CONTRATOS ESTATALES – Capacidad jurídica – Requisitos esenciales </w:t>
      </w:r>
    </w:p>
    <w:p w14:paraId="5DDAE919" w14:textId="77777777" w:rsidR="00431D33" w:rsidRPr="00431D33" w:rsidRDefault="00431D33" w:rsidP="006E29F7">
      <w:pPr>
        <w:spacing w:after="0" w:line="240" w:lineRule="auto"/>
        <w:jc w:val="both"/>
        <w:rPr>
          <w:rFonts w:ascii="Verdana" w:eastAsia="Verdana" w:hAnsi="Verdana" w:cs="Verdana"/>
          <w:sz w:val="20"/>
          <w:szCs w:val="20"/>
        </w:rPr>
      </w:pPr>
    </w:p>
    <w:p w14:paraId="541FD448" w14:textId="77777777" w:rsidR="00431D33" w:rsidRPr="00431D33" w:rsidRDefault="00431D33" w:rsidP="006E29F7">
      <w:pPr>
        <w:spacing w:after="0" w:line="240" w:lineRule="auto"/>
        <w:jc w:val="both"/>
        <w:rPr>
          <w:rFonts w:ascii="Verdana" w:eastAsia="Verdana" w:hAnsi="Verdana" w:cs="Verdana"/>
          <w:sz w:val="20"/>
          <w:szCs w:val="20"/>
          <w:lang w:val="es-ES"/>
        </w:rPr>
      </w:pPr>
      <w:r w:rsidRPr="00431D33">
        <w:rPr>
          <w:rFonts w:ascii="Verdana" w:eastAsia="Verdana" w:hAnsi="Verdana" w:cs="Verdana"/>
          <w:sz w:val="20"/>
          <w:szCs w:val="20"/>
          <w:lang w:val="es-ES"/>
        </w:rPr>
        <w:t xml:space="preserve">Más allá de la tipicidad o no del negocio, es necesario tener en cuenta que la capacidad contractual para celebrar contratos estatales está regulada en el artículo 6 de la Ley 80 de 1993. De conformidad con la norma citada, “Pueden celebrar contratos con las entidades estatales las personas consideradas legalmente capaces en las disposiciones vigentes […]”. De acuerdo con la modificación de la Ley 2160 de 2021, la norma agrega lo siguiente: “[…] También podrán celebrar contratos con las entidades estatales los Cabildos Indígenas, las asociaciones de Autoridades Tradicionales Indígenas, los consejos comunitarios de las comunidades negras regulados por la Ley 70 de 1993 […] </w:t>
      </w:r>
      <w:r w:rsidRPr="00431D33">
        <w:rPr>
          <w:rFonts w:ascii="Verdana" w:eastAsia="Verdana" w:hAnsi="Verdana" w:cs="Verdana"/>
          <w:sz w:val="20"/>
          <w:szCs w:val="20"/>
          <w:lang w:val="es-ES"/>
        </w:rPr>
        <w:lastRenderedPageBreak/>
        <w:t xml:space="preserve">las organizaciones de base de comunidades negras, afrocolombianas, raizales y palenqueras y las demás formas y expresiones organizativas […]; y los consorcios y uniones temporales”. </w:t>
      </w:r>
    </w:p>
    <w:p w14:paraId="0D84EEB6" w14:textId="77777777" w:rsidR="00431D33" w:rsidRPr="00431D33" w:rsidRDefault="00431D33" w:rsidP="006E29F7">
      <w:pPr>
        <w:spacing w:after="0" w:line="240" w:lineRule="auto"/>
        <w:jc w:val="both"/>
        <w:rPr>
          <w:rFonts w:ascii="Verdana" w:eastAsia="Verdana" w:hAnsi="Verdana" w:cs="Verdana"/>
          <w:sz w:val="20"/>
          <w:szCs w:val="20"/>
          <w:lang w:val="es-ES"/>
        </w:rPr>
      </w:pPr>
    </w:p>
    <w:p w14:paraId="399AB982" w14:textId="2D59BF00" w:rsidR="00A910BA" w:rsidRPr="00431D33" w:rsidRDefault="00431D33" w:rsidP="006E29F7">
      <w:pPr>
        <w:spacing w:after="0" w:line="240" w:lineRule="auto"/>
        <w:jc w:val="both"/>
        <w:rPr>
          <w:rFonts w:ascii="Verdana" w:eastAsia="Verdana" w:hAnsi="Verdana" w:cs="Verdana"/>
          <w:sz w:val="20"/>
          <w:szCs w:val="20"/>
          <w:lang w:val="es-ES"/>
        </w:rPr>
      </w:pPr>
      <w:r w:rsidRPr="00431D33">
        <w:rPr>
          <w:rFonts w:ascii="Verdana" w:eastAsia="Verdana" w:hAnsi="Verdana" w:cs="Verdana"/>
          <w:sz w:val="20"/>
          <w:szCs w:val="20"/>
        </w:rPr>
        <w:t>Asimismo, para efectos de individualizar sus requisitos esenciales, el artículo 1501 del Código Civil dispone que corresponden a “[…] aquellas cosas sin las cuales, o no produce efecto alguno, o degeneran en otro contrato diferente […]”. Sobre este último elemento de la norma citada, en la medida que el contrato BPO es una amalgama de prestaciones de otras tipologías, éste no pierde su calificación por la ausencia de una o varias de ellas. Es decir, “[…] no es admisible un juicio de comparación con las figuras típicas del ordenamiento, en virtud de la indeterminación inherente antes de su perfeccionamiento, pues […] este es fruto de la mera autonomía privada de las partes, la cual da vida a una figura absolutamente extraña a los tipos contractuales establecidos por las normas jurídicas del ordenamiento jurídico y por la costumbre […]”.</w:t>
      </w:r>
    </w:p>
    <w:p w14:paraId="3DE70693" w14:textId="77777777" w:rsidR="00A910BA" w:rsidRPr="00A910BA" w:rsidRDefault="00A910BA" w:rsidP="006E29F7">
      <w:pPr>
        <w:spacing w:after="0" w:line="240" w:lineRule="auto"/>
        <w:jc w:val="both"/>
        <w:rPr>
          <w:rFonts w:ascii="Verdana" w:eastAsia="Verdana" w:hAnsi="Verdana" w:cs="Verdana"/>
          <w:b/>
          <w:bCs/>
          <w:lang w:val="es-ES"/>
        </w:rPr>
      </w:pPr>
    </w:p>
    <w:p w14:paraId="20904C04" w14:textId="77777777" w:rsidR="00A910BA" w:rsidRPr="00A910BA" w:rsidRDefault="00A910BA" w:rsidP="006E29F7">
      <w:pPr>
        <w:spacing w:after="0" w:line="240" w:lineRule="auto"/>
        <w:jc w:val="both"/>
        <w:rPr>
          <w:rFonts w:ascii="Verdana" w:eastAsia="Verdana" w:hAnsi="Verdana" w:cs="Verdana"/>
          <w:b/>
          <w:bCs/>
          <w:lang w:val="es-ES"/>
        </w:rPr>
      </w:pPr>
      <w:r w:rsidRPr="00A910BA">
        <w:rPr>
          <w:rFonts w:ascii="Verdana" w:eastAsia="Verdana" w:hAnsi="Verdana" w:cs="Verdana"/>
          <w:b/>
          <w:bCs/>
          <w:lang w:val="es-ES"/>
        </w:rPr>
        <w:t xml:space="preserve">PRINCIPIO DE PLANEACIÓN – Alcance – Condiciones </w:t>
      </w:r>
    </w:p>
    <w:p w14:paraId="385B259D" w14:textId="77777777" w:rsidR="00A910BA" w:rsidRPr="00A910BA" w:rsidRDefault="00A910BA" w:rsidP="006E29F7">
      <w:pPr>
        <w:spacing w:after="0" w:line="240" w:lineRule="auto"/>
        <w:jc w:val="both"/>
        <w:rPr>
          <w:rFonts w:ascii="Verdana" w:eastAsia="Verdana" w:hAnsi="Verdana" w:cs="Verdana"/>
          <w:b/>
          <w:bCs/>
          <w:lang w:val="es-ES"/>
        </w:rPr>
      </w:pPr>
    </w:p>
    <w:p w14:paraId="0F07FE03" w14:textId="239E75CB" w:rsidR="00D43145" w:rsidRPr="00D43145" w:rsidRDefault="00D43145" w:rsidP="006E29F7">
      <w:pPr>
        <w:spacing w:after="0" w:line="240" w:lineRule="auto"/>
        <w:jc w:val="both"/>
        <w:rPr>
          <w:rFonts w:ascii="Verdana" w:eastAsia="Verdana" w:hAnsi="Verdana" w:cs="Verdana"/>
          <w:sz w:val="20"/>
          <w:szCs w:val="20"/>
          <w:lang w:val="es-ES_tradnl"/>
        </w:rPr>
      </w:pPr>
      <w:r w:rsidRPr="00D43145">
        <w:rPr>
          <w:rFonts w:ascii="Verdana" w:eastAsia="Verdana" w:hAnsi="Verdana" w:cs="Verdana"/>
          <w:sz w:val="20"/>
          <w:szCs w:val="20"/>
        </w:rPr>
        <w:t>Conforme</w:t>
      </w:r>
      <w:r w:rsidRPr="00D43145">
        <w:rPr>
          <w:rFonts w:ascii="Verdana" w:eastAsia="Verdana" w:hAnsi="Verdana" w:cs="Verdana"/>
          <w:sz w:val="20"/>
          <w:szCs w:val="20"/>
          <w:lang w:val="es-MX"/>
        </w:rPr>
        <w:t xml:space="preserve"> al principio de planeación la entidad debe determinar la forma en la que se contratará las actividades propias del Contrato BPO durante la vigencia fiscal, atendiendo a la necesidad a satisfacer,</w:t>
      </w:r>
      <w:r w:rsidRPr="00D43145">
        <w:rPr>
          <w:rFonts w:ascii="Verdana" w:eastAsia="Verdana" w:hAnsi="Verdana" w:cs="Verdana"/>
          <w:sz w:val="20"/>
          <w:szCs w:val="20"/>
        </w:rPr>
        <w:t xml:space="preserve"> a la conveniencia o inconveniencia del objeto a contratar, a los costos que podrían demandar la celebración y ejecución del contrato, la disponibilidad de recursos o la capacidad financiera de la entidad contratante para asumir las obligaciones de pago producto y demás condiciones. Al respecto, el</w:t>
      </w:r>
      <w:r w:rsidRPr="00D43145">
        <w:rPr>
          <w:rFonts w:ascii="Verdana" w:eastAsia="Verdana" w:hAnsi="Verdana" w:cs="Verdana"/>
          <w:sz w:val="20"/>
          <w:szCs w:val="20"/>
          <w:lang w:val="es-ES"/>
        </w:rPr>
        <w:t xml:space="preserve"> Estatuto General de Contratación de la Administración Pública, en adelante EGCAP, contiene disposiciones que exigen a las Entidades Estatales el deber de realizar actividades de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w:t>
      </w:r>
    </w:p>
    <w:p w14:paraId="40A88418" w14:textId="5B1B5C29" w:rsidR="00D43145" w:rsidRPr="00D43145" w:rsidRDefault="00D43145" w:rsidP="006E29F7">
      <w:pPr>
        <w:spacing w:after="0" w:line="240" w:lineRule="auto"/>
        <w:jc w:val="both"/>
        <w:rPr>
          <w:rFonts w:ascii="Verdana" w:eastAsia="Verdana" w:hAnsi="Verdana" w:cs="Verdana"/>
          <w:sz w:val="20"/>
          <w:szCs w:val="20"/>
          <w:lang w:val="es-ES_tradnl"/>
        </w:rPr>
      </w:pPr>
      <w:r w:rsidRPr="00D43145">
        <w:rPr>
          <w:rFonts w:ascii="Verdana" w:eastAsia="Verdana" w:hAnsi="Verdana" w:cs="Verdana"/>
          <w:sz w:val="20"/>
          <w:szCs w:val="20"/>
          <w:lang w:val="es-ES_tradnl"/>
        </w:rPr>
        <w:t>[…]</w:t>
      </w:r>
    </w:p>
    <w:p w14:paraId="1BE05FBE" w14:textId="634ED887" w:rsidR="00D43145" w:rsidRPr="00D43145" w:rsidRDefault="00D43145" w:rsidP="006E29F7">
      <w:pPr>
        <w:spacing w:after="0" w:line="240" w:lineRule="auto"/>
        <w:jc w:val="both"/>
        <w:rPr>
          <w:rFonts w:ascii="Verdana" w:eastAsia="Verdana" w:hAnsi="Verdana" w:cs="Verdana"/>
          <w:sz w:val="20"/>
          <w:szCs w:val="20"/>
        </w:rPr>
      </w:pPr>
      <w:r w:rsidRPr="00D43145">
        <w:rPr>
          <w:rFonts w:ascii="Verdana" w:eastAsia="Verdana" w:hAnsi="Verdana" w:cs="Verdana"/>
          <w:sz w:val="20"/>
          <w:szCs w:val="20"/>
          <w:lang w:val="es-ES"/>
        </w:rPr>
        <w:t xml:space="preserve">De lo anterior se desprende que, </w:t>
      </w:r>
      <w:r w:rsidRPr="00D43145">
        <w:rPr>
          <w:rFonts w:ascii="Verdana" w:eastAsia="Verdana" w:hAnsi="Verdana" w:cs="Verdana"/>
          <w:sz w:val="20"/>
          <w:szCs w:val="20"/>
        </w:rPr>
        <w:t xml:space="preserve">las entidades tienen el deber de realizar estudios previos en dos momentos específicos: i) previo a la apertura de un proceso de selección y </w:t>
      </w:r>
      <w:proofErr w:type="spellStart"/>
      <w:r w:rsidRPr="00D43145">
        <w:rPr>
          <w:rFonts w:ascii="Verdana" w:eastAsia="Verdana" w:hAnsi="Verdana" w:cs="Verdana"/>
          <w:sz w:val="20"/>
          <w:szCs w:val="20"/>
        </w:rPr>
        <w:t>ii</w:t>
      </w:r>
      <w:proofErr w:type="spellEnd"/>
      <w:r w:rsidRPr="00D43145">
        <w:rPr>
          <w:rFonts w:ascii="Verdana" w:eastAsia="Verdana" w:hAnsi="Verdana" w:cs="Verdana"/>
          <w:sz w:val="20"/>
          <w:szCs w:val="20"/>
        </w:rPr>
        <w:t xml:space="preserve">) previo a la firma del contrato en el caso en que la modalidad de selección sea contratación directa. Por su parte, el reglamento, es decir los artículos 2.2.1.1.1.6.1 y 2.2.1.1.2.1.1 del Decreto 1082 de 2015, no imponen la obligación de realizar estudios y documentos previos en etapas diferentes a la de planeación del contrato. </w:t>
      </w:r>
      <w:r w:rsidRPr="00D43145">
        <w:rPr>
          <w:rFonts w:ascii="Verdana" w:eastAsia="Verdana" w:hAnsi="Verdana" w:cs="Verdana"/>
          <w:sz w:val="20"/>
          <w:szCs w:val="20"/>
          <w:lang w:val="es-ES"/>
        </w:rPr>
        <w:t>Esto,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en la obra y, en general, el fracaso en la ejecución de contratos estatales”</w:t>
      </w:r>
      <w:r w:rsidRPr="00D43145">
        <w:rPr>
          <w:rFonts w:ascii="Verdana" w:eastAsia="Verdana" w:hAnsi="Verdana" w:cs="Verdana"/>
          <w:sz w:val="20"/>
          <w:szCs w:val="20"/>
          <w:lang w:val="es-ES_tradnl"/>
        </w:rPr>
        <w:t xml:space="preserve">. </w:t>
      </w:r>
    </w:p>
    <w:p w14:paraId="0B0C0F44" w14:textId="77777777" w:rsidR="00A910BA" w:rsidRPr="00A910BA" w:rsidRDefault="00A910BA" w:rsidP="006E29F7">
      <w:pPr>
        <w:spacing w:after="0" w:line="240" w:lineRule="auto"/>
        <w:jc w:val="both"/>
        <w:rPr>
          <w:rFonts w:ascii="Verdana" w:eastAsia="Verdana" w:hAnsi="Verdana" w:cs="Verdana"/>
          <w:b/>
          <w:bCs/>
          <w:lang w:val="es-ES"/>
        </w:rPr>
      </w:pPr>
    </w:p>
    <w:p w14:paraId="4293D01B" w14:textId="77777777" w:rsidR="00A910BA" w:rsidRPr="00A910BA" w:rsidRDefault="00A910BA" w:rsidP="006E29F7">
      <w:pPr>
        <w:spacing w:after="0" w:line="240" w:lineRule="auto"/>
        <w:jc w:val="both"/>
        <w:rPr>
          <w:rFonts w:ascii="Verdana" w:eastAsia="Verdana" w:hAnsi="Verdana" w:cs="Verdana"/>
          <w:b/>
          <w:bCs/>
          <w:lang w:val="es-ES"/>
        </w:rPr>
      </w:pPr>
      <w:r w:rsidRPr="00A910BA">
        <w:rPr>
          <w:rFonts w:ascii="Verdana" w:eastAsia="Verdana" w:hAnsi="Verdana" w:cs="Verdana"/>
          <w:b/>
          <w:bCs/>
          <w:lang w:val="es-ES"/>
        </w:rPr>
        <w:t xml:space="preserve">CONTRATOS BPO – Planeación – Valor – Estructuración </w:t>
      </w:r>
    </w:p>
    <w:p w14:paraId="0AF61B2F" w14:textId="77777777" w:rsidR="00A910BA" w:rsidRPr="003D55B4" w:rsidRDefault="00A910BA" w:rsidP="006E29F7">
      <w:pPr>
        <w:spacing w:after="0" w:line="240" w:lineRule="auto"/>
        <w:jc w:val="both"/>
        <w:rPr>
          <w:rFonts w:ascii="Verdana" w:eastAsia="Verdana" w:hAnsi="Verdana" w:cs="Verdana"/>
          <w:sz w:val="20"/>
          <w:szCs w:val="20"/>
          <w:lang w:val="es-ES"/>
        </w:rPr>
      </w:pPr>
    </w:p>
    <w:p w14:paraId="2E5095AA" w14:textId="77777777" w:rsidR="003D55B4" w:rsidRPr="003D55B4" w:rsidRDefault="003D55B4" w:rsidP="006E29F7">
      <w:pPr>
        <w:spacing w:after="0" w:line="240" w:lineRule="auto"/>
        <w:jc w:val="both"/>
        <w:rPr>
          <w:rFonts w:ascii="Verdana" w:eastAsia="Verdana" w:hAnsi="Verdana" w:cs="Verdana"/>
          <w:sz w:val="20"/>
          <w:szCs w:val="20"/>
        </w:rPr>
      </w:pPr>
      <w:r w:rsidRPr="003D55B4">
        <w:rPr>
          <w:rFonts w:ascii="Verdana" w:eastAsia="Verdana" w:hAnsi="Verdana" w:cs="Verdana"/>
          <w:sz w:val="20"/>
          <w:szCs w:val="20"/>
        </w:rPr>
        <w:t xml:space="preserve">En este asunto, el valor o precio del Contrato BPO no necesariamente debe ser global, sino que depende del análisis económico, jurídico y técnico que parte de hacer un estudio del sector económico y de las necesidades del contrato, teniendo en cuenta que este tipo de servicios deben buscar criterios que puedan ser flexibles, sin dejar de lado los principios de economía, transparencia y la responsabilidad de las entidades públicas. En este caso, en los contratos BPO suele vincularse a variables dinámicas —por ejemplo, número de nóminas procesadas o volumen de llamadas atendidas—, lo que implica que el valor final del contrato no siempre sea fijo, sino que depende de la ejecución real. </w:t>
      </w:r>
    </w:p>
    <w:p w14:paraId="648A7532" w14:textId="77777777" w:rsidR="003D55B4" w:rsidRDefault="003D55B4" w:rsidP="006E29F7">
      <w:pPr>
        <w:spacing w:after="0" w:line="240" w:lineRule="auto"/>
        <w:jc w:val="both"/>
        <w:rPr>
          <w:rFonts w:ascii="Verdana" w:eastAsia="Verdana" w:hAnsi="Verdana" w:cs="Verdana"/>
          <w:sz w:val="20"/>
          <w:szCs w:val="20"/>
        </w:rPr>
      </w:pPr>
      <w:r w:rsidRPr="003D55B4">
        <w:rPr>
          <w:rFonts w:ascii="Verdana" w:eastAsia="Verdana" w:hAnsi="Verdana" w:cs="Verdana"/>
          <w:sz w:val="20"/>
          <w:szCs w:val="20"/>
        </w:rPr>
        <w:t>Este esquema refleja una lógica similar a la de los contratos de precios unitarios en obra pública: el valor inicial es referencial o estimativo, mientras que el definitivo se consolida con la prestación efectiva del servicio. Así, la estructura flexible del contrato permite equilibrar seguridad jurídica y adaptabilidad económica, garantizando que el proveedor reciba una remuneración justa y que la entidad contratante pague conforme a la necesidad real del servicio.</w:t>
      </w:r>
    </w:p>
    <w:p w14:paraId="7CDA84B7" w14:textId="77777777" w:rsidR="003D55B4" w:rsidRPr="003D55B4" w:rsidRDefault="003D55B4" w:rsidP="006E29F7">
      <w:pPr>
        <w:spacing w:after="0" w:line="240" w:lineRule="auto"/>
        <w:jc w:val="both"/>
        <w:rPr>
          <w:rFonts w:ascii="Verdana" w:eastAsia="Verdana" w:hAnsi="Verdana" w:cs="Verdana"/>
          <w:sz w:val="20"/>
          <w:szCs w:val="20"/>
        </w:rPr>
      </w:pPr>
    </w:p>
    <w:p w14:paraId="2EBEE238" w14:textId="77777777" w:rsidR="003D55B4" w:rsidRDefault="003D55B4" w:rsidP="006E29F7">
      <w:pPr>
        <w:spacing w:after="0" w:line="240" w:lineRule="auto"/>
        <w:jc w:val="both"/>
        <w:rPr>
          <w:rFonts w:ascii="Verdana" w:eastAsia="Verdana" w:hAnsi="Verdana" w:cs="Verdana"/>
          <w:sz w:val="20"/>
          <w:szCs w:val="20"/>
        </w:rPr>
      </w:pPr>
      <w:r w:rsidRPr="003D55B4">
        <w:rPr>
          <w:rFonts w:ascii="Verdana" w:eastAsia="Verdana" w:hAnsi="Verdana" w:cs="Verdana"/>
          <w:sz w:val="20"/>
          <w:szCs w:val="20"/>
        </w:rPr>
        <w:t xml:space="preserve">En todo caso, el valor y forma de pago de este tipo de contratos BPO deben atender al análisis del sector, que debe partir de la caracterización de la necesidad y las alternativas para satisfacerla; las especificaciones técnicas derivadas del análisis del mercado; la caracterización del sector desde las perspectivas legal, comercial, financiera, organizacional y técnica; el estudio de la demanda y del gasto histórico; la identificación de la oferta y de los proveedores; y la justificación del valor estimado del contrato sustentada en información real del mercado. </w:t>
      </w:r>
    </w:p>
    <w:p w14:paraId="5A4E7361" w14:textId="77777777" w:rsidR="003D55B4" w:rsidRPr="003D55B4" w:rsidRDefault="003D55B4" w:rsidP="006E29F7">
      <w:pPr>
        <w:spacing w:after="0" w:line="240" w:lineRule="auto"/>
        <w:jc w:val="both"/>
        <w:rPr>
          <w:rFonts w:ascii="Verdana" w:eastAsia="Verdana" w:hAnsi="Verdana" w:cs="Verdana"/>
          <w:sz w:val="20"/>
          <w:szCs w:val="20"/>
        </w:rPr>
      </w:pPr>
    </w:p>
    <w:p w14:paraId="0BF1179E" w14:textId="77777777" w:rsidR="00A910BA" w:rsidRPr="00A910BA" w:rsidRDefault="00A910BA" w:rsidP="006E29F7">
      <w:pPr>
        <w:spacing w:after="0" w:line="240" w:lineRule="auto"/>
        <w:jc w:val="both"/>
        <w:rPr>
          <w:rFonts w:ascii="Verdana" w:eastAsia="Verdana" w:hAnsi="Verdana" w:cs="Verdana"/>
          <w:b/>
          <w:bCs/>
          <w:lang w:val="es-ES"/>
        </w:rPr>
      </w:pPr>
      <w:r w:rsidRPr="00A910BA">
        <w:rPr>
          <w:rFonts w:ascii="Verdana" w:eastAsia="Verdana" w:hAnsi="Verdana" w:cs="Verdana"/>
          <w:b/>
          <w:bCs/>
          <w:lang w:val="es-ES"/>
        </w:rPr>
        <w:t xml:space="preserve">MODALIDADES DE SELECCIÓN – Regla General – Licitación Pública – Excepciones </w:t>
      </w:r>
    </w:p>
    <w:p w14:paraId="67FEEE9C" w14:textId="77777777" w:rsidR="00A910BA" w:rsidRPr="00A910BA" w:rsidRDefault="00A910BA" w:rsidP="006E29F7">
      <w:pPr>
        <w:spacing w:after="0" w:line="240" w:lineRule="auto"/>
        <w:jc w:val="both"/>
        <w:rPr>
          <w:rFonts w:ascii="Verdana" w:eastAsia="Verdana" w:hAnsi="Verdana" w:cs="Verdana"/>
          <w:b/>
          <w:bCs/>
          <w:lang w:val="es-ES"/>
        </w:rPr>
      </w:pPr>
    </w:p>
    <w:p w14:paraId="05417541" w14:textId="77777777" w:rsidR="003D55B4" w:rsidRDefault="003D55B4" w:rsidP="006E29F7">
      <w:pPr>
        <w:spacing w:after="0" w:line="240" w:lineRule="auto"/>
        <w:jc w:val="both"/>
        <w:rPr>
          <w:rFonts w:ascii="Verdana" w:eastAsia="Verdana" w:hAnsi="Verdana" w:cs="Verdana"/>
          <w:sz w:val="20"/>
          <w:szCs w:val="20"/>
        </w:rPr>
      </w:pPr>
      <w:r w:rsidRPr="003D55B4">
        <w:rPr>
          <w:rFonts w:ascii="Verdana" w:eastAsia="Verdana" w:hAnsi="Verdana" w:cs="Verdana"/>
          <w:sz w:val="20"/>
          <w:szCs w:val="20"/>
        </w:rPr>
        <w:t xml:space="preserve">Ahora bien, para determinar la modalidad de selección, la entidad debe tener en cuenta el artículo 2 de la Ley 1150 de 2007, el cual establece que </w:t>
      </w:r>
      <w:r w:rsidRPr="003D55B4">
        <w:rPr>
          <w:rFonts w:ascii="Verdana" w:eastAsia="Verdana" w:hAnsi="Verdana" w:cs="Verdana"/>
          <w:i/>
          <w:iCs/>
          <w:sz w:val="20"/>
          <w:szCs w:val="20"/>
        </w:rPr>
        <w:t>la escogencia del contratista se efectuará con arreglo a las modalidades de selección de licitación pública, selección abreviada, concurso de méritos y contratación directa […]La escogencia del contratista se efectuará por regla general a través de licitación pública, con las excepciones que se señalan en los numerales 2, 3 y 4 del citado artículo.</w:t>
      </w:r>
      <w:r w:rsidRPr="003D55B4">
        <w:rPr>
          <w:rFonts w:ascii="Verdana" w:eastAsia="Verdana" w:hAnsi="Verdana" w:cs="Verdana"/>
          <w:sz w:val="20"/>
          <w:szCs w:val="20"/>
        </w:rPr>
        <w:t xml:space="preserve"> Por tanto, es importante que las entidades estatales atiendan debidamente el principio de planeación y selección objetiva asegurando que las decisiones sean oportunas, bien fundamentadas y que contribuyan a la optimización de los recursos disponibles.</w:t>
      </w:r>
    </w:p>
    <w:p w14:paraId="3D60BD54" w14:textId="77777777" w:rsidR="00CF2DF2" w:rsidRPr="003D55B4" w:rsidRDefault="00CF2DF2" w:rsidP="006E29F7">
      <w:pPr>
        <w:spacing w:after="0" w:line="240" w:lineRule="auto"/>
        <w:jc w:val="both"/>
        <w:rPr>
          <w:rFonts w:ascii="Verdana" w:eastAsia="Verdana" w:hAnsi="Verdana" w:cs="Verdana"/>
          <w:sz w:val="20"/>
          <w:szCs w:val="20"/>
        </w:rPr>
      </w:pPr>
    </w:p>
    <w:p w14:paraId="3B3BE996" w14:textId="77777777" w:rsidR="003D55B4" w:rsidRDefault="003D55B4" w:rsidP="006E29F7">
      <w:pPr>
        <w:spacing w:after="0" w:line="240" w:lineRule="auto"/>
        <w:jc w:val="both"/>
        <w:rPr>
          <w:rFonts w:ascii="Verdana" w:eastAsia="Verdana" w:hAnsi="Verdana" w:cs="Verdana"/>
          <w:sz w:val="20"/>
          <w:szCs w:val="20"/>
        </w:rPr>
      </w:pPr>
      <w:r w:rsidRPr="003D55B4">
        <w:rPr>
          <w:rFonts w:ascii="Verdana" w:eastAsia="Verdana" w:hAnsi="Verdana" w:cs="Verdana"/>
          <w:sz w:val="20"/>
          <w:szCs w:val="20"/>
        </w:rPr>
        <w:t xml:space="preserve">En relación con los contratos de operación BPO, es fundamental reiterar que su naturaleza de contratos atípicos —al integrar prestaciones propias de varios contratos nominados para satisfacer una necesidad común— impide la existencia de un procedimiento de selección exclusivo o predeterminado. Por ello, no es procedente establecer un criterio uniforme que obligue a utilizar siempre la misma modalidad de selección, teniendo en cuenta el objeto y alcance que se le da a este contrato. En esta </w:t>
      </w:r>
      <w:r w:rsidRPr="003D55B4">
        <w:rPr>
          <w:rFonts w:ascii="Verdana" w:eastAsia="Verdana" w:hAnsi="Verdana" w:cs="Verdana"/>
          <w:sz w:val="20"/>
          <w:szCs w:val="20"/>
        </w:rPr>
        <w:lastRenderedPageBreak/>
        <w:t>línea, la entidad, en ejercicio del principio de planeación, debe analizar el objeto, la cuantía, las condiciones del mercado, la urgencia y la disponibilidad presupuestal para determinar si procede la licitación pública, la selección abreviada -ya sea mediante un acuerdo marco de precios, una selección abreviada mediante subasta inversa, entre otros-, la mínima cuantía, o incluso la contratación directa cuando se configure una causal legal, como ocurre con los contratos interadministrativos, conforme al artículo 2.4. literal c de la Ley 1150 de 2007. Lo determinante es que la modalidad elegida sea coherente con las características del servicio requerido y con los principios rectores de la contratación estatal.</w:t>
      </w:r>
    </w:p>
    <w:p w14:paraId="733EA0FB" w14:textId="77777777" w:rsidR="00CF2DF2" w:rsidRPr="003D55B4" w:rsidRDefault="00CF2DF2" w:rsidP="006E29F7">
      <w:pPr>
        <w:spacing w:after="0" w:line="240" w:lineRule="auto"/>
        <w:jc w:val="both"/>
        <w:rPr>
          <w:rFonts w:ascii="Verdana" w:eastAsia="Verdana" w:hAnsi="Verdana" w:cs="Verdana"/>
          <w:sz w:val="20"/>
          <w:szCs w:val="20"/>
        </w:rPr>
      </w:pPr>
    </w:p>
    <w:p w14:paraId="047CECB6" w14:textId="42CCB76F" w:rsidR="003D55B4" w:rsidRPr="003D55B4" w:rsidRDefault="003D55B4" w:rsidP="006E29F7">
      <w:pPr>
        <w:spacing w:after="0" w:line="240" w:lineRule="auto"/>
        <w:jc w:val="both"/>
        <w:rPr>
          <w:rFonts w:ascii="Verdana" w:eastAsia="Verdana" w:hAnsi="Verdana" w:cs="Verdana"/>
          <w:sz w:val="20"/>
          <w:szCs w:val="20"/>
        </w:rPr>
      </w:pPr>
      <w:r w:rsidRPr="003D55B4">
        <w:rPr>
          <w:rFonts w:ascii="Verdana" w:eastAsia="Verdana" w:hAnsi="Verdana" w:cs="Verdana"/>
          <w:sz w:val="20"/>
          <w:szCs w:val="20"/>
          <w:lang w:val="es-ES_tradnl"/>
        </w:rPr>
        <w:t xml:space="preserve">Es decir, para suscribir este tipo de contrato, en principio, no interesa el objeto del contrato, pudiendo ser de obra pública, de </w:t>
      </w:r>
      <w:r w:rsidRPr="003D55B4">
        <w:rPr>
          <w:rFonts w:ascii="Verdana" w:eastAsia="Verdana" w:hAnsi="Verdana" w:cs="Verdana"/>
          <w:i/>
          <w:iCs/>
          <w:sz w:val="20"/>
          <w:szCs w:val="20"/>
          <w:lang w:val="es-ES_tradnl"/>
        </w:rPr>
        <w:t>consultoría</w:t>
      </w:r>
      <w:r w:rsidRPr="003D55B4">
        <w:rPr>
          <w:rFonts w:ascii="Verdana" w:eastAsia="Verdana" w:hAnsi="Verdana" w:cs="Verdana"/>
          <w:sz w:val="20"/>
          <w:szCs w:val="20"/>
          <w:lang w:val="es-ES_tradnl"/>
        </w:rPr>
        <w:t xml:space="preserve">, de suministro, de prestación de servicios, de arrendamiento, entre otros. Se establece que, en principio, no es relevante el objeto del contrato, porque el artículo 2º, numeral 4º, literal c), en su segundo inciso, establece una excepción a dicha regla, al prohibir que determinados contratos interadministrativos se celebren con ciertas entidades si no se ha adelantado antes el correspondiente proceso de licitación pública o selección abreviada. Estos objetos, se recuerda, son “los contratos de obra, suministro, prestación de servicios de evaluación de conformidad respecto de las normas o reglamentos técnicos, encargos fiduciarios y fiducia pública”. De este modo, podrán adelantarse mediante contratos interadministrativos, pues no se encuentra dentro de la restricción del artículo 2º, numeral 4º, literal c), en el segundo inciso de la Ley 1150 de 2007. </w:t>
      </w:r>
    </w:p>
    <w:p w14:paraId="49F4BE88" w14:textId="77777777" w:rsidR="00A910BA" w:rsidRPr="003D55B4" w:rsidRDefault="00A910BA" w:rsidP="006E29F7">
      <w:pPr>
        <w:spacing w:after="0" w:line="240" w:lineRule="auto"/>
        <w:jc w:val="both"/>
        <w:rPr>
          <w:rFonts w:ascii="Verdana" w:eastAsia="Verdana" w:hAnsi="Verdana" w:cs="Verdana"/>
          <w:b/>
          <w:bCs/>
        </w:rPr>
      </w:pPr>
    </w:p>
    <w:p w14:paraId="619FCBC9" w14:textId="77777777" w:rsidR="00A910BA" w:rsidRPr="00A910BA" w:rsidRDefault="00A910BA" w:rsidP="006E29F7">
      <w:pPr>
        <w:spacing w:after="0" w:line="240" w:lineRule="auto"/>
        <w:jc w:val="both"/>
        <w:rPr>
          <w:rFonts w:ascii="Verdana" w:eastAsia="Verdana" w:hAnsi="Verdana" w:cs="Verdana"/>
          <w:b/>
          <w:bCs/>
          <w:lang w:val="es-ES"/>
        </w:rPr>
      </w:pPr>
      <w:r w:rsidRPr="00A910BA">
        <w:rPr>
          <w:rFonts w:ascii="Verdana" w:eastAsia="Verdana" w:hAnsi="Verdana" w:cs="Verdana"/>
          <w:b/>
          <w:bCs/>
          <w:lang w:val="es-ES"/>
        </w:rPr>
        <w:t xml:space="preserve">BPO – Contrato Interadministrativo </w:t>
      </w:r>
    </w:p>
    <w:p w14:paraId="70455534" w14:textId="77777777" w:rsidR="00A910BA" w:rsidRPr="00A910BA" w:rsidRDefault="00A910BA" w:rsidP="006E29F7">
      <w:pPr>
        <w:spacing w:after="0" w:line="240" w:lineRule="auto"/>
        <w:jc w:val="both"/>
        <w:rPr>
          <w:rFonts w:ascii="Verdana" w:eastAsia="Verdana" w:hAnsi="Verdana" w:cs="Verdana"/>
          <w:b/>
          <w:bCs/>
          <w:lang w:val="es-ES"/>
        </w:rPr>
      </w:pPr>
    </w:p>
    <w:p w14:paraId="53E705C1" w14:textId="77777777" w:rsidR="00F34E3A" w:rsidRDefault="00F34E3A" w:rsidP="006E29F7">
      <w:pPr>
        <w:spacing w:after="0" w:line="240" w:lineRule="auto"/>
        <w:jc w:val="both"/>
        <w:rPr>
          <w:rFonts w:ascii="Verdana" w:eastAsia="Verdana" w:hAnsi="Verdana" w:cs="Verdana"/>
          <w:sz w:val="20"/>
          <w:szCs w:val="20"/>
        </w:rPr>
      </w:pPr>
      <w:r w:rsidRPr="00F34E3A">
        <w:rPr>
          <w:rFonts w:ascii="Verdana" w:eastAsia="Verdana" w:hAnsi="Verdana" w:cs="Verdana"/>
          <w:sz w:val="20"/>
          <w:szCs w:val="20"/>
        </w:rPr>
        <w:t xml:space="preserve">La ausencia de un objeto contractual específico asociado a estos procedimientos —pues su configuración depende primordialmente de la cuantía y no de la naturaleza intrínseca de la prestación— implica que no existe impedimento jurídico para emplear las modalidades de selección previamente expuestas en la celebración de contratos BPO. En efecto, al tratarse de procesos cuyo parámetro definitorio es el monto y no un tipo contractual predeterminado, la entidad conserva la facultad de escoger la modalidad procedente dentro del marco normativo aplicable, siempre que se respeten los principios de transparencia, economía y selección objetiva. </w:t>
      </w:r>
    </w:p>
    <w:p w14:paraId="47996CC0" w14:textId="77777777" w:rsidR="00F34E3A" w:rsidRPr="00F34E3A" w:rsidRDefault="00F34E3A" w:rsidP="006E29F7">
      <w:pPr>
        <w:spacing w:after="0" w:line="240" w:lineRule="auto"/>
        <w:jc w:val="both"/>
        <w:rPr>
          <w:rFonts w:ascii="Verdana" w:eastAsia="Verdana" w:hAnsi="Verdana" w:cs="Verdana"/>
          <w:sz w:val="20"/>
          <w:szCs w:val="20"/>
        </w:rPr>
      </w:pPr>
    </w:p>
    <w:p w14:paraId="60D4A004" w14:textId="77777777" w:rsidR="00F34E3A" w:rsidRPr="00F34E3A" w:rsidRDefault="00F34E3A" w:rsidP="006E29F7">
      <w:pPr>
        <w:spacing w:after="0" w:line="240" w:lineRule="auto"/>
        <w:jc w:val="both"/>
        <w:rPr>
          <w:rFonts w:ascii="Verdana" w:eastAsia="Verdana" w:hAnsi="Verdana" w:cs="Verdana"/>
          <w:sz w:val="20"/>
          <w:szCs w:val="20"/>
          <w:lang w:val="es-ES"/>
        </w:rPr>
      </w:pPr>
      <w:r w:rsidRPr="00F34E3A">
        <w:rPr>
          <w:rFonts w:ascii="Verdana" w:eastAsia="Verdana" w:hAnsi="Verdana" w:cs="Verdana"/>
          <w:sz w:val="20"/>
          <w:szCs w:val="20"/>
          <w:lang w:val="es-ES"/>
        </w:rPr>
        <w:t>Cuando el servicio se encarga mediante contrato interadministrativo, la entidad ejecutora obra con autonomía técnica y administrativa en el cumplimiento del objeto, de modo que la supervisión de la entidad contratante verifica el resultado contratado y no administra el recurso humano de aquella ni el de sus subcontratistas o aliados. La entidad contratante carece de vínculo contractual con los terceros que el ejecutor vincule para la prestación —en virtud del efecto relativo de los contratos (artículo 1602 del Código Civil)—, y de esa relación no se deriva vínculo laboral alguno con la entidad contratante. Por consiguiente, la vigilancia se ejerce sobre el ejecutor y respecto del cumplimiento de las obligaciones pactadas, sin extenderse a la gestión interna del personal del tercero, que corresponde a quien lo vincula.</w:t>
      </w:r>
    </w:p>
    <w:p w14:paraId="445EFB07" w14:textId="77777777" w:rsidR="00A910BA" w:rsidRPr="00A910BA" w:rsidRDefault="00A910BA" w:rsidP="006E29F7">
      <w:pPr>
        <w:spacing w:after="0" w:line="240" w:lineRule="auto"/>
        <w:jc w:val="both"/>
        <w:rPr>
          <w:rFonts w:ascii="Verdana" w:eastAsia="Verdana" w:hAnsi="Verdana" w:cs="Verdana"/>
          <w:b/>
          <w:bCs/>
          <w:lang w:val="es-ES"/>
        </w:rPr>
      </w:pPr>
    </w:p>
    <w:p w14:paraId="3152884E" w14:textId="77777777" w:rsidR="00A910BA" w:rsidRPr="00A910BA" w:rsidRDefault="00A910BA" w:rsidP="006E29F7">
      <w:pPr>
        <w:spacing w:after="0" w:line="240" w:lineRule="auto"/>
        <w:jc w:val="both"/>
        <w:rPr>
          <w:rFonts w:ascii="Verdana" w:eastAsia="Verdana" w:hAnsi="Verdana" w:cs="Verdana"/>
          <w:b/>
          <w:bCs/>
        </w:rPr>
      </w:pPr>
      <w:r w:rsidRPr="00A910BA">
        <w:rPr>
          <w:rFonts w:ascii="Verdana" w:eastAsia="Verdana" w:hAnsi="Verdana" w:cs="Verdana"/>
          <w:b/>
          <w:bCs/>
        </w:rPr>
        <w:lastRenderedPageBreak/>
        <w:t xml:space="preserve">SUPERVISIÓN E INTERVENTORIA – Diferencias – Características </w:t>
      </w:r>
    </w:p>
    <w:p w14:paraId="33B7C7AC" w14:textId="77777777" w:rsidR="00A910BA" w:rsidRPr="00A910BA" w:rsidRDefault="00A910BA" w:rsidP="006E29F7">
      <w:pPr>
        <w:spacing w:after="0" w:line="240" w:lineRule="auto"/>
        <w:jc w:val="both"/>
        <w:rPr>
          <w:rFonts w:ascii="Verdana" w:eastAsia="Verdana" w:hAnsi="Verdana" w:cs="Verdana"/>
          <w:b/>
          <w:bCs/>
        </w:rPr>
      </w:pPr>
    </w:p>
    <w:p w14:paraId="3BF2139E" w14:textId="37338CA7" w:rsidR="005F366E" w:rsidRPr="00F570E9" w:rsidRDefault="005F366E" w:rsidP="006E29F7">
      <w:pPr>
        <w:spacing w:after="0" w:line="240" w:lineRule="auto"/>
        <w:jc w:val="both"/>
        <w:rPr>
          <w:rFonts w:ascii="Verdana" w:eastAsia="Verdana" w:hAnsi="Verdana" w:cs="Verdana"/>
          <w:sz w:val="20"/>
          <w:szCs w:val="20"/>
          <w:lang w:val="es-ES"/>
        </w:rPr>
      </w:pPr>
      <w:r w:rsidRPr="00F570E9">
        <w:rPr>
          <w:rFonts w:ascii="Verdana" w:eastAsia="Verdana" w:hAnsi="Verdana" w:cs="Verdana"/>
          <w:sz w:val="20"/>
          <w:szCs w:val="20"/>
          <w:lang w:val="es-ES"/>
        </w:rPr>
        <w:t xml:space="preserve">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w:t>
      </w:r>
      <w:proofErr w:type="spellStart"/>
      <w:r w:rsidRPr="00F570E9">
        <w:rPr>
          <w:rFonts w:ascii="Verdana" w:eastAsia="Verdana" w:hAnsi="Verdana" w:cs="Verdana"/>
          <w:sz w:val="20"/>
          <w:szCs w:val="20"/>
          <w:lang w:val="es-ES"/>
        </w:rPr>
        <w:t>ii</w:t>
      </w:r>
      <w:proofErr w:type="spellEnd"/>
      <w:r w:rsidRPr="00F570E9">
        <w:rPr>
          <w:rFonts w:ascii="Verdana" w:eastAsia="Verdana" w:hAnsi="Verdana" w:cs="Verdana"/>
          <w:sz w:val="20"/>
          <w:szCs w:val="20"/>
          <w:lang w:val="es-ES"/>
        </w:rPr>
        <w:t xml:space="preserve">) no requiere conocimientos tan especializados como la interventoría; </w:t>
      </w:r>
      <w:proofErr w:type="spellStart"/>
      <w:r w:rsidRPr="00F570E9">
        <w:rPr>
          <w:rFonts w:ascii="Verdana" w:eastAsia="Verdana" w:hAnsi="Verdana" w:cs="Verdana"/>
          <w:sz w:val="20"/>
          <w:szCs w:val="20"/>
          <w:lang w:val="es-ES"/>
        </w:rPr>
        <w:t>iii</w:t>
      </w:r>
      <w:proofErr w:type="spellEnd"/>
      <w:r w:rsidRPr="00F570E9">
        <w:rPr>
          <w:rFonts w:ascii="Verdana" w:eastAsia="Verdana" w:hAnsi="Verdana" w:cs="Verdana"/>
          <w:sz w:val="20"/>
          <w:szCs w:val="20"/>
          <w:lang w:val="es-ES"/>
        </w:rPr>
        <w:t xml:space="preserve">) se ejerce por la Entidad Estatal por conducto de la designación de servidores públicos idóneos para cumplir la función; </w:t>
      </w:r>
      <w:proofErr w:type="spellStart"/>
      <w:r w:rsidRPr="00F570E9">
        <w:rPr>
          <w:rFonts w:ascii="Verdana" w:eastAsia="Verdana" w:hAnsi="Verdana" w:cs="Verdana"/>
          <w:sz w:val="20"/>
          <w:szCs w:val="20"/>
          <w:lang w:val="es-ES"/>
        </w:rPr>
        <w:t>iv</w:t>
      </w:r>
      <w:proofErr w:type="spellEnd"/>
      <w:r w:rsidRPr="00F570E9">
        <w:rPr>
          <w:rFonts w:ascii="Verdana" w:eastAsia="Verdana" w:hAnsi="Verdana" w:cs="Verdana"/>
          <w:sz w:val="20"/>
          <w:szCs w:val="20"/>
          <w:lang w:val="es-ES"/>
        </w:rPr>
        <w:t>) puede recibir apoyo de personal contratado para tal fin mediante contratos de prestación de servicios; y v) le es inseparable el seguimiento técnico, administrativo, financiero, contable y jurídico del contrato vigilado.</w:t>
      </w:r>
    </w:p>
    <w:p w14:paraId="7A22863F" w14:textId="77777777" w:rsidR="00F570E9" w:rsidRDefault="00F570E9" w:rsidP="006E29F7">
      <w:pPr>
        <w:spacing w:after="0" w:line="240" w:lineRule="auto"/>
        <w:jc w:val="both"/>
        <w:rPr>
          <w:rFonts w:ascii="Verdana" w:eastAsia="Verdana" w:hAnsi="Verdana" w:cs="Verdana"/>
          <w:sz w:val="20"/>
          <w:szCs w:val="20"/>
          <w:lang w:val="es-ES"/>
        </w:rPr>
      </w:pPr>
    </w:p>
    <w:p w14:paraId="50E760F9" w14:textId="6E07C7D7" w:rsidR="005F366E" w:rsidRPr="00F570E9" w:rsidRDefault="005F366E" w:rsidP="006E29F7">
      <w:pPr>
        <w:spacing w:after="0" w:line="240" w:lineRule="auto"/>
        <w:jc w:val="both"/>
        <w:rPr>
          <w:rFonts w:ascii="Verdana" w:eastAsia="Verdana" w:hAnsi="Verdana" w:cs="Verdana"/>
          <w:sz w:val="20"/>
          <w:szCs w:val="20"/>
        </w:rPr>
      </w:pPr>
      <w:r w:rsidRPr="00F570E9">
        <w:rPr>
          <w:rFonts w:ascii="Verdana" w:eastAsia="Verdana" w:hAnsi="Verdana" w:cs="Verdana"/>
          <w:sz w:val="20"/>
          <w:szCs w:val="20"/>
          <w:lang w:val="es-ES"/>
        </w:rPr>
        <w:t xml:space="preserve">Por otro lado, </w:t>
      </w:r>
      <w:r w:rsidRPr="00F570E9">
        <w:rPr>
          <w:rFonts w:ascii="Verdana" w:eastAsia="Verdana" w:hAnsi="Verdana" w:cs="Verdana"/>
          <w:sz w:val="20"/>
          <w:szCs w:val="20"/>
        </w:rPr>
        <w:t xml:space="preserve">la interventoría puede caracterizarse de la siguiente manera: i) es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w:t>
      </w:r>
      <w:proofErr w:type="spellStart"/>
      <w:r w:rsidRPr="00F570E9">
        <w:rPr>
          <w:rFonts w:ascii="Verdana" w:eastAsia="Verdana" w:hAnsi="Verdana" w:cs="Verdana"/>
          <w:sz w:val="20"/>
          <w:szCs w:val="20"/>
        </w:rPr>
        <w:t>ii</w:t>
      </w:r>
      <w:proofErr w:type="spellEnd"/>
      <w:r w:rsidRPr="00F570E9">
        <w:rPr>
          <w:rFonts w:ascii="Verdana" w:eastAsia="Verdana" w:hAnsi="Verdana" w:cs="Verdana"/>
          <w:sz w:val="20"/>
          <w:szCs w:val="20"/>
        </w:rPr>
        <w:t xml:space="preserve">) es un mecanismo de vigilancia que exige, en su ejecución, la utilización de conocimientos especializados; </w:t>
      </w:r>
      <w:proofErr w:type="spellStart"/>
      <w:r w:rsidRPr="00F570E9">
        <w:rPr>
          <w:rFonts w:ascii="Verdana" w:eastAsia="Verdana" w:hAnsi="Verdana" w:cs="Verdana"/>
          <w:sz w:val="20"/>
          <w:szCs w:val="20"/>
        </w:rPr>
        <w:t>iii</w:t>
      </w:r>
      <w:proofErr w:type="spellEnd"/>
      <w:r w:rsidRPr="00F570E9">
        <w:rPr>
          <w:rFonts w:ascii="Verdana" w:eastAsia="Verdana" w:hAnsi="Verdana" w:cs="Verdana"/>
          <w:sz w:val="20"/>
          <w:szCs w:val="20"/>
        </w:rPr>
        <w:t xml:space="preserve">) por lo anterior, la entidad contrata un experto, por regla general, mediante la modalidad de selección de concurso de méritos, al tratarse la interventoría de una especie del contrato de consultoría –art. 32, numeral 2, inciso 2, Ley 80 de 1993‒, de manera que la interventoría es realizada por “una persona natural o jurídica contratada para tal fin por la Entidad Estatal” –art. 83, Ley 1474–; </w:t>
      </w:r>
      <w:proofErr w:type="spellStart"/>
      <w:r w:rsidRPr="00F570E9">
        <w:rPr>
          <w:rFonts w:ascii="Verdana" w:eastAsia="Verdana" w:hAnsi="Verdana" w:cs="Verdana"/>
          <w:sz w:val="20"/>
          <w:szCs w:val="20"/>
        </w:rPr>
        <w:t>iv</w:t>
      </w:r>
      <w:proofErr w:type="spellEnd"/>
      <w:r w:rsidRPr="00F570E9">
        <w:rPr>
          <w:rFonts w:ascii="Verdana" w:eastAsia="Verdana" w:hAnsi="Verdana" w:cs="Verdana"/>
          <w:sz w:val="20"/>
          <w:szCs w:val="20"/>
        </w:rPr>
        <w:t>)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4–, y finalmente, vi) el contrato de interventoría será supervisado directamente por la entidad –art. 83, inciso 4–.</w:t>
      </w:r>
    </w:p>
    <w:p w14:paraId="759086E6" w14:textId="77777777" w:rsidR="00A910BA" w:rsidRPr="00A910BA" w:rsidRDefault="00A910BA" w:rsidP="006E29F7">
      <w:pPr>
        <w:spacing w:after="0" w:line="240" w:lineRule="auto"/>
        <w:jc w:val="both"/>
        <w:rPr>
          <w:rFonts w:ascii="Verdana" w:eastAsia="Verdana" w:hAnsi="Verdana" w:cs="Verdana"/>
          <w:b/>
          <w:bCs/>
        </w:rPr>
      </w:pPr>
    </w:p>
    <w:p w14:paraId="3CAE5007" w14:textId="77777777" w:rsidR="00A910BA" w:rsidRPr="00A910BA" w:rsidRDefault="00A910BA" w:rsidP="006E29F7">
      <w:pPr>
        <w:spacing w:after="0" w:line="240" w:lineRule="auto"/>
        <w:jc w:val="both"/>
        <w:rPr>
          <w:rFonts w:ascii="Verdana" w:eastAsia="Verdana" w:hAnsi="Verdana" w:cs="Verdana"/>
          <w:b/>
          <w:bCs/>
        </w:rPr>
      </w:pPr>
      <w:r w:rsidRPr="00A910BA">
        <w:rPr>
          <w:rFonts w:ascii="Verdana" w:eastAsia="Verdana" w:hAnsi="Verdana" w:cs="Verdana"/>
          <w:b/>
          <w:bCs/>
        </w:rPr>
        <w:t xml:space="preserve">SUPERVISIÓN E INTERVENTORÍA – Seguimiento contractual </w:t>
      </w:r>
    </w:p>
    <w:p w14:paraId="02647FDE" w14:textId="77777777" w:rsidR="00A910BA" w:rsidRPr="006539BE" w:rsidRDefault="00A910BA" w:rsidP="006E29F7">
      <w:pPr>
        <w:spacing w:after="0" w:line="240" w:lineRule="auto"/>
        <w:jc w:val="both"/>
        <w:rPr>
          <w:rFonts w:ascii="Verdana" w:eastAsia="Verdana" w:hAnsi="Verdana" w:cs="Verdana"/>
          <w:b/>
          <w:bCs/>
          <w:sz w:val="20"/>
          <w:szCs w:val="20"/>
        </w:rPr>
      </w:pPr>
    </w:p>
    <w:p w14:paraId="6713825B" w14:textId="27713019" w:rsidR="006539BE" w:rsidRDefault="006539BE" w:rsidP="006E29F7">
      <w:pPr>
        <w:spacing w:after="0" w:line="240" w:lineRule="auto"/>
        <w:jc w:val="both"/>
        <w:rPr>
          <w:rFonts w:ascii="Verdana" w:eastAsia="Verdana" w:hAnsi="Verdana" w:cs="Verdana"/>
          <w:sz w:val="20"/>
          <w:szCs w:val="20"/>
        </w:rPr>
      </w:pPr>
      <w:r w:rsidRPr="006539BE">
        <w:rPr>
          <w:rFonts w:ascii="Verdana" w:eastAsia="Verdana" w:hAnsi="Verdana" w:cs="Verdana"/>
          <w:sz w:val="20"/>
          <w:szCs w:val="20"/>
          <w:lang w:val="es-MX"/>
        </w:rPr>
        <w:t xml:space="preserve">Como dispone el precitado artículo 83 del Estatuto Anticorrupción, el seguimiento de los supervisores e interventores corresponde al cumplimiento de las obligaciones pactadas en el contrato estatal, aspecto que se ratifica en el inciso primero del artículo 84 </w:t>
      </w:r>
      <w:r w:rsidRPr="006539BE">
        <w:rPr>
          <w:rFonts w:ascii="Verdana" w:eastAsia="Verdana" w:hAnsi="Verdana" w:cs="Verdana"/>
          <w:i/>
          <w:iCs/>
          <w:sz w:val="20"/>
          <w:szCs w:val="20"/>
          <w:lang w:val="es-MX"/>
        </w:rPr>
        <w:t>ibidem</w:t>
      </w:r>
      <w:r w:rsidRPr="006539BE">
        <w:rPr>
          <w:rFonts w:ascii="Verdana" w:eastAsia="Verdana" w:hAnsi="Verdana" w:cs="Verdana"/>
          <w:sz w:val="20"/>
          <w:szCs w:val="20"/>
          <w:lang w:val="es-MX"/>
        </w:rPr>
        <w:t xml:space="preserve">. En su fase técnica, esto implica tanto “Vigilar, controlar y verificar el cumplimiento del objeto contractual y las obligaciones a cargo del contratista” como “Verificar que las condiciones técnicas del bien, obra o servicio </w:t>
      </w:r>
      <w:proofErr w:type="gramStart"/>
      <w:r w:rsidRPr="006539BE">
        <w:rPr>
          <w:rFonts w:ascii="Verdana" w:eastAsia="Verdana" w:hAnsi="Verdana" w:cs="Verdana"/>
          <w:sz w:val="20"/>
          <w:szCs w:val="20"/>
          <w:lang w:val="es-MX"/>
        </w:rPr>
        <w:t>contratado,</w:t>
      </w:r>
      <w:proofErr w:type="gramEnd"/>
      <w:r w:rsidRPr="006539BE">
        <w:rPr>
          <w:rFonts w:ascii="Verdana" w:eastAsia="Verdana" w:hAnsi="Verdana" w:cs="Verdana"/>
          <w:sz w:val="20"/>
          <w:szCs w:val="20"/>
          <w:lang w:val="es-MX"/>
        </w:rPr>
        <w:t xml:space="preserve"> cumplan con los requisitos establecidos por la entidad y con el ofrecimiento formulado, según sea el caso”. Así, la verificación del cumplimiento se realiza dentro las exigencias pactadas entre la entidad </w:t>
      </w:r>
      <w:r w:rsidRPr="006539BE">
        <w:rPr>
          <w:rFonts w:ascii="Verdana" w:eastAsia="Verdana" w:hAnsi="Verdana" w:cs="Verdana"/>
          <w:sz w:val="20"/>
          <w:szCs w:val="20"/>
          <w:lang w:val="es-MX"/>
        </w:rPr>
        <w:lastRenderedPageBreak/>
        <w:t xml:space="preserve">estatal y el contratista; razón por la cual, pueden abstenerse de recibir obras, bienes o servicios que no satisfagan las especificaciones del contrato. </w:t>
      </w:r>
      <w:r w:rsidRPr="006539BE">
        <w:rPr>
          <w:rFonts w:ascii="Verdana" w:eastAsia="Verdana" w:hAnsi="Verdana" w:cs="Verdana"/>
          <w:sz w:val="20"/>
          <w:szCs w:val="20"/>
        </w:rPr>
        <w:t>Para este propósito, quien ejerza la vigilancia podrá solicitar los informes, aclaraciones, explicaciones y soportes necesarios, conforme al artículo 84 de la Ley 1474 de 2011.</w:t>
      </w:r>
    </w:p>
    <w:p w14:paraId="6A9B387B" w14:textId="4BF091BB" w:rsidR="006539BE" w:rsidRPr="006539BE" w:rsidRDefault="006539BE" w:rsidP="006E29F7">
      <w:pPr>
        <w:spacing w:after="0" w:line="240" w:lineRule="auto"/>
        <w:jc w:val="both"/>
        <w:rPr>
          <w:rFonts w:ascii="Verdana" w:eastAsia="Verdana" w:hAnsi="Verdana" w:cs="Verdana"/>
          <w:sz w:val="20"/>
          <w:szCs w:val="20"/>
        </w:rPr>
      </w:pPr>
      <w:r w:rsidRPr="006539BE">
        <w:rPr>
          <w:rFonts w:ascii="Verdana" w:eastAsia="Verdana" w:hAnsi="Verdana" w:cs="Verdana"/>
          <w:sz w:val="20"/>
          <w:szCs w:val="20"/>
        </w:rPr>
        <w:t xml:space="preserve"> </w:t>
      </w:r>
    </w:p>
    <w:p w14:paraId="5FD2BC18" w14:textId="77777777" w:rsidR="006539BE" w:rsidRDefault="006539BE" w:rsidP="006E29F7">
      <w:pPr>
        <w:spacing w:after="0" w:line="240" w:lineRule="auto"/>
        <w:jc w:val="both"/>
        <w:rPr>
          <w:rFonts w:ascii="Verdana" w:eastAsia="Verdana" w:hAnsi="Verdana" w:cs="Verdana"/>
          <w:sz w:val="20"/>
          <w:szCs w:val="20"/>
        </w:rPr>
      </w:pPr>
      <w:r w:rsidRPr="006539BE">
        <w:rPr>
          <w:rFonts w:ascii="Verdana" w:eastAsia="Verdana" w:hAnsi="Verdana" w:cs="Verdana"/>
          <w:sz w:val="20"/>
          <w:szCs w:val="20"/>
        </w:rPr>
        <w:t xml:space="preserve">En el caso de los contratos de externalización de servicios BPO, como los </w:t>
      </w:r>
      <w:proofErr w:type="spellStart"/>
      <w:r w:rsidRPr="006539BE">
        <w:rPr>
          <w:rFonts w:ascii="Verdana" w:eastAsia="Verdana" w:hAnsi="Verdana" w:cs="Verdana"/>
          <w:i/>
          <w:iCs/>
          <w:sz w:val="20"/>
          <w:szCs w:val="20"/>
        </w:rPr>
        <w:t>call</w:t>
      </w:r>
      <w:proofErr w:type="spellEnd"/>
      <w:r w:rsidRPr="006539BE">
        <w:rPr>
          <w:rFonts w:ascii="Verdana" w:eastAsia="Verdana" w:hAnsi="Verdana" w:cs="Verdana"/>
          <w:i/>
          <w:iCs/>
          <w:sz w:val="20"/>
          <w:szCs w:val="20"/>
        </w:rPr>
        <w:t xml:space="preserve"> centres</w:t>
      </w:r>
      <w:r w:rsidRPr="006539BE">
        <w:rPr>
          <w:rFonts w:ascii="Verdana" w:eastAsia="Verdana" w:hAnsi="Verdana" w:cs="Verdana"/>
          <w:sz w:val="20"/>
          <w:szCs w:val="20"/>
        </w:rPr>
        <w:t>, la supervisión no solo debe verificar el cumplimiento de los niveles de servicio pactados en los Acuerdos de Nivel de Servicio (ANS), sino también revisar cómo se estipuló el valor y la forma de pago. Este análisis resulta esencial para determinar si procede la aplicación de descuentos o ajustes en la remuneración del proveedor, atendiendo a la naturaleza del servicio efectivamente ejecutado.</w:t>
      </w:r>
    </w:p>
    <w:p w14:paraId="389AC389" w14:textId="77777777" w:rsidR="006539BE" w:rsidRPr="006539BE" w:rsidRDefault="006539BE" w:rsidP="006E29F7">
      <w:pPr>
        <w:spacing w:after="0" w:line="240" w:lineRule="auto"/>
        <w:jc w:val="both"/>
        <w:rPr>
          <w:rFonts w:ascii="Verdana" w:eastAsia="Verdana" w:hAnsi="Verdana" w:cs="Verdana"/>
          <w:sz w:val="20"/>
          <w:szCs w:val="20"/>
        </w:rPr>
      </w:pPr>
    </w:p>
    <w:p w14:paraId="3286D6C3" w14:textId="77777777" w:rsidR="006539BE" w:rsidRPr="006539BE" w:rsidRDefault="006539BE" w:rsidP="006E29F7">
      <w:pPr>
        <w:spacing w:after="0" w:line="240" w:lineRule="auto"/>
        <w:jc w:val="both"/>
        <w:rPr>
          <w:rFonts w:ascii="Verdana" w:eastAsia="Verdana" w:hAnsi="Verdana" w:cs="Verdana"/>
          <w:sz w:val="20"/>
          <w:szCs w:val="20"/>
        </w:rPr>
      </w:pPr>
      <w:r w:rsidRPr="006539BE">
        <w:rPr>
          <w:rFonts w:ascii="Verdana" w:eastAsia="Verdana" w:hAnsi="Verdana" w:cs="Verdana"/>
          <w:sz w:val="20"/>
          <w:szCs w:val="20"/>
        </w:rPr>
        <w:t>La supervisión debe establecer si el contrato se estructuró bajo un esquema de precio global o de precio por servicio efectivamente prestado, y verificar que las obligaciones se cumplan de manera efectiva. Corresponde a cada entidad estatal definir cuáles mecanismos de control son pertinentes, necesarios y proporcionales, de acuerdo con el contenido del contrato, los riesgos identificados y las condiciones de ejecución.</w:t>
      </w:r>
    </w:p>
    <w:p w14:paraId="2195A86C" w14:textId="77777777" w:rsidR="00A910BA" w:rsidRPr="00A910BA" w:rsidRDefault="00A910BA" w:rsidP="006E29F7">
      <w:pPr>
        <w:spacing w:after="0" w:line="240" w:lineRule="auto"/>
        <w:jc w:val="both"/>
        <w:rPr>
          <w:rFonts w:ascii="Verdana" w:eastAsia="Verdana" w:hAnsi="Verdana" w:cs="Verdana"/>
          <w:b/>
          <w:bCs/>
        </w:rPr>
      </w:pPr>
    </w:p>
    <w:p w14:paraId="322AF641" w14:textId="75AC6BE3" w:rsidR="00A910BA" w:rsidRPr="00A910BA" w:rsidRDefault="00A910BA" w:rsidP="006E29F7">
      <w:pPr>
        <w:spacing w:after="0" w:line="240" w:lineRule="auto"/>
        <w:jc w:val="both"/>
        <w:rPr>
          <w:rFonts w:ascii="Verdana" w:eastAsia="Verdana" w:hAnsi="Verdana" w:cs="Verdana"/>
          <w:b/>
          <w:bCs/>
          <w:lang w:val="es-ES"/>
        </w:rPr>
      </w:pPr>
      <w:r w:rsidRPr="00A910BA">
        <w:rPr>
          <w:rFonts w:ascii="Verdana" w:eastAsia="Verdana" w:hAnsi="Verdana" w:cs="Verdana"/>
          <w:b/>
          <w:bCs/>
        </w:rPr>
        <w:t>SUPERVISIÓN E INTERVENTORÍA – Hallazgos – Observaciones – Órganos de control</w:t>
      </w:r>
    </w:p>
    <w:p w14:paraId="71CE8396" w14:textId="77777777" w:rsidR="00A910BA" w:rsidRPr="00A910BA" w:rsidRDefault="00A910BA" w:rsidP="006E29F7">
      <w:pPr>
        <w:spacing w:after="0" w:line="240" w:lineRule="auto"/>
        <w:jc w:val="both"/>
        <w:rPr>
          <w:rFonts w:ascii="Verdana" w:eastAsia="Verdana" w:hAnsi="Verdana" w:cs="Verdana"/>
          <w:b/>
          <w:bCs/>
          <w:lang w:val="es-ES"/>
        </w:rPr>
      </w:pPr>
    </w:p>
    <w:p w14:paraId="33F0A8F5" w14:textId="77777777" w:rsidR="00210DF7" w:rsidRPr="00210DF7" w:rsidRDefault="00210DF7" w:rsidP="006E29F7">
      <w:pPr>
        <w:spacing w:after="0" w:line="240" w:lineRule="auto"/>
        <w:jc w:val="both"/>
        <w:rPr>
          <w:rFonts w:ascii="Verdana" w:eastAsia="Aptos" w:hAnsi="Verdana" w:cs="Arial"/>
          <w:bCs/>
          <w:sz w:val="20"/>
          <w:szCs w:val="20"/>
        </w:rPr>
      </w:pPr>
      <w:r w:rsidRPr="00210DF7">
        <w:rPr>
          <w:rFonts w:ascii="Verdana" w:eastAsia="Aptos" w:hAnsi="Verdana" w:cs="Arial"/>
          <w:bCs/>
          <w:sz w:val="20"/>
          <w:szCs w:val="20"/>
        </w:rPr>
        <w:t xml:space="preserve">En este punto, los hallazgos u observaciones formulados por los órganos de control fiscal, como la Contraloría, constituyen insumos valiosos para la vigilancia y el mejoramiento de la gestión pública, pero carecen de la facultad para modificar directamente las condiciones pactadas en el contrato estatal. Esta conclusión encuentra fundamento en el artículo 267 de la Constitución Política, modificado por el Acto Legislativo 04 de 2019, conforme al cual el control fiscal “se ejercerá en forma posterior y selectiva, y además podrá ser preventivo y concomitante”, y en virtud del cual “el control concomitante y preventivo tiene carácter excepcional, no vinculante, no implica coadministración [y] no versa sobre la conveniencia de las decisiones”. De allí que ni las observaciones ordinarias ni las derivadas del control concomitante y preventivo puedan sustituir la voluntad contractual, modificar la forma de pago pactada ni autorizar por sí solas la suspensión o retención de pagos por servicios efectivamente recibidos. En la misma dirección, la Corte Constitucional, en la Sentencia C-103 de 2015, declaró inexequible la función de advertencia de la Contraloría por resultar incompatible con el carácter posterior del control fiscal y con la prohibición de coadministración. Los hallazgos podrán dar lugar, si es el caso, al proceso de responsabilidad fiscal regulado por la Ley 610 de 2000, trámite autónomo que no altera la relación contractual ni constituye título para desconocer las cláusulas convenidas. </w:t>
      </w:r>
    </w:p>
    <w:p w14:paraId="61F1FBEC" w14:textId="77777777" w:rsidR="00210DF7" w:rsidRDefault="00210DF7" w:rsidP="006E29F7">
      <w:pPr>
        <w:spacing w:after="0" w:line="240" w:lineRule="auto"/>
        <w:jc w:val="both"/>
        <w:rPr>
          <w:rFonts w:ascii="Verdana" w:eastAsia="Aptos" w:hAnsi="Verdana" w:cs="Arial"/>
          <w:bCs/>
          <w:sz w:val="20"/>
          <w:szCs w:val="20"/>
        </w:rPr>
      </w:pPr>
    </w:p>
    <w:p w14:paraId="48845CB0" w14:textId="77777777" w:rsidR="00A910BA" w:rsidRPr="00A910BA" w:rsidRDefault="00A910BA" w:rsidP="006E29F7">
      <w:pPr>
        <w:spacing w:after="0" w:line="240" w:lineRule="auto"/>
        <w:jc w:val="both"/>
        <w:rPr>
          <w:rFonts w:ascii="Verdana" w:eastAsia="Verdana" w:hAnsi="Verdana" w:cs="Verdana"/>
          <w:b/>
          <w:bCs/>
        </w:rPr>
      </w:pPr>
    </w:p>
    <w:p w14:paraId="40C7E86E" w14:textId="77777777" w:rsidR="000B55D2" w:rsidRDefault="000B55D2" w:rsidP="008F6F28">
      <w:pPr>
        <w:spacing w:after="0" w:line="240" w:lineRule="auto"/>
        <w:rPr>
          <w:rFonts w:ascii="Verdana" w:eastAsia="Verdana" w:hAnsi="Verdana" w:cs="Verdana"/>
        </w:rPr>
      </w:pPr>
    </w:p>
    <w:p w14:paraId="585B8DEA" w14:textId="77777777" w:rsidR="000B55D2" w:rsidRDefault="000B55D2" w:rsidP="008F6F28">
      <w:pPr>
        <w:spacing w:after="0" w:line="240" w:lineRule="auto"/>
        <w:rPr>
          <w:rFonts w:ascii="Verdana" w:eastAsia="Verdana" w:hAnsi="Verdana" w:cs="Verdana"/>
        </w:rPr>
      </w:pPr>
    </w:p>
    <w:p w14:paraId="43969EA2" w14:textId="77777777" w:rsidR="000B55D2" w:rsidRDefault="000B55D2" w:rsidP="008F6F28">
      <w:pPr>
        <w:spacing w:after="0" w:line="240" w:lineRule="auto"/>
        <w:rPr>
          <w:rFonts w:ascii="Verdana" w:eastAsia="Verdana" w:hAnsi="Verdana" w:cs="Verdana"/>
        </w:rPr>
      </w:pPr>
    </w:p>
    <w:p w14:paraId="2298B2A1" w14:textId="4B602C77" w:rsidR="008F6F28" w:rsidRDefault="008F6F28" w:rsidP="008F6F28">
      <w:pPr>
        <w:spacing w:after="0" w:line="240" w:lineRule="auto"/>
        <w:rPr>
          <w:rFonts w:ascii="Verdana" w:hAnsi="Verdana"/>
          <w:lang w:val="es-ES_tradnl"/>
        </w:rPr>
      </w:pPr>
      <w:r w:rsidRPr="30821638">
        <w:rPr>
          <w:rFonts w:ascii="Verdana" w:eastAsia="Verdana" w:hAnsi="Verdana" w:cs="Verdana"/>
        </w:rPr>
        <w:lastRenderedPageBreak/>
        <w:t xml:space="preserve">Bogotá D.C., </w:t>
      </w:r>
      <w:r w:rsidR="00CE0E71">
        <w:rPr>
          <w:rFonts w:ascii="Verdana" w:eastAsia="Verdana" w:hAnsi="Verdana" w:cs="Verdana"/>
        </w:rPr>
        <w:t>24 de septiembre de 2026</w:t>
      </w:r>
      <w:r>
        <w:tab/>
      </w:r>
      <w:r>
        <w:br/>
      </w:r>
    </w:p>
    <w:p w14:paraId="52230B1B" w14:textId="2ECBBC68" w:rsidR="006E29F7" w:rsidRPr="00681FBD" w:rsidRDefault="006E29F7" w:rsidP="008F6F28">
      <w:pPr>
        <w:spacing w:after="0" w:line="240" w:lineRule="auto"/>
        <w:rPr>
          <w:rFonts w:ascii="Verdana" w:hAnsi="Verdana"/>
          <w:lang w:val="es-ES_tradnl"/>
        </w:rPr>
      </w:pPr>
    </w:p>
    <w:p w14:paraId="570982D5" w14:textId="5907ADC2" w:rsidR="008F6F28" w:rsidRPr="00E84C33" w:rsidRDefault="000B55D2" w:rsidP="008F6F28">
      <w:pPr>
        <w:spacing w:after="0" w:line="240" w:lineRule="auto"/>
        <w:rPr>
          <w:rFonts w:ascii="Verdana" w:eastAsia="Calibri" w:hAnsi="Verdana" w:cs="Times New Roman"/>
        </w:rPr>
      </w:pPr>
      <w:r w:rsidRPr="009022E2">
        <w:rPr>
          <w:noProof/>
        </w:rPr>
        <w:drawing>
          <wp:anchor distT="0" distB="0" distL="114300" distR="114300" simplePos="0" relativeHeight="251658240" behindDoc="0" locked="0" layoutInCell="1" allowOverlap="1" wp14:anchorId="68F66DA4" wp14:editId="1FA0721A">
            <wp:simplePos x="0" y="0"/>
            <wp:positionH relativeFrom="margin">
              <wp:posOffset>3149600</wp:posOffset>
            </wp:positionH>
            <wp:positionV relativeFrom="paragraph">
              <wp:posOffset>8890</wp:posOffset>
            </wp:positionV>
            <wp:extent cx="2455545" cy="810895"/>
            <wp:effectExtent l="0" t="0" r="1905" b="8255"/>
            <wp:wrapSquare wrapText="bothSides"/>
            <wp:docPr id="11759204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55545" cy="810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6F28" w:rsidRPr="00E84C33">
        <w:rPr>
          <w:rFonts w:ascii="Verdana" w:eastAsia="Calibri" w:hAnsi="Verdana" w:cs="Times New Roman"/>
        </w:rPr>
        <w:t>Señor</w:t>
      </w:r>
    </w:p>
    <w:p w14:paraId="22ED1600" w14:textId="342E1ADD" w:rsidR="008F6F28" w:rsidRPr="004F510A" w:rsidRDefault="008F6F28" w:rsidP="008F6F28">
      <w:pPr>
        <w:spacing w:after="0" w:line="240" w:lineRule="auto"/>
        <w:rPr>
          <w:rFonts w:ascii="Verdana" w:eastAsia="Calibri" w:hAnsi="Verdana" w:cs="Times New Roman"/>
          <w:b/>
          <w:highlight w:val="yellow"/>
        </w:rPr>
      </w:pPr>
      <w:r w:rsidRPr="004F510A">
        <w:rPr>
          <w:rFonts w:ascii="Verdana" w:eastAsia="Calibri" w:hAnsi="Verdana" w:cs="Times New Roman"/>
          <w:b/>
        </w:rPr>
        <w:t>German Santiago Neira Ruiz</w:t>
      </w:r>
    </w:p>
    <w:p w14:paraId="7C71B1B2" w14:textId="77777777" w:rsidR="008F6F28" w:rsidRPr="00E84C33" w:rsidRDefault="008F6F28" w:rsidP="008F6F28">
      <w:pPr>
        <w:spacing w:after="0" w:line="240" w:lineRule="auto"/>
        <w:rPr>
          <w:rFonts w:ascii="Verdana" w:hAnsi="Verdana"/>
        </w:rPr>
      </w:pPr>
      <w:hyperlink r:id="rId12" w:history="1">
        <w:r w:rsidRPr="00A947CA">
          <w:rPr>
            <w:rStyle w:val="Hipervnculo"/>
            <w:rFonts w:ascii="Verdana" w:hAnsi="Verdana"/>
          </w:rPr>
          <w:t>germneir@etb.com.co</w:t>
        </w:r>
      </w:hyperlink>
      <w:r>
        <w:rPr>
          <w:rFonts w:ascii="Verdana" w:hAnsi="Verdana"/>
        </w:rPr>
        <w:t xml:space="preserve"> </w:t>
      </w:r>
    </w:p>
    <w:p w14:paraId="30BB069B" w14:textId="77777777" w:rsidR="008F6F28" w:rsidRPr="00E84C33" w:rsidRDefault="008F6F28" w:rsidP="008F6F28">
      <w:pPr>
        <w:spacing w:after="0" w:line="240" w:lineRule="auto"/>
        <w:rPr>
          <w:rFonts w:ascii="Verdana" w:eastAsia="Calibri" w:hAnsi="Verdana" w:cs="Times New Roman"/>
        </w:rPr>
      </w:pPr>
      <w:r w:rsidRPr="00E84C33">
        <w:rPr>
          <w:rFonts w:ascii="Verdana" w:eastAsia="Calibri" w:hAnsi="Verdana" w:cs="Times New Roman"/>
        </w:rPr>
        <w:t>Bogotá D.C.</w:t>
      </w:r>
    </w:p>
    <w:p w14:paraId="11F9356A" w14:textId="77777777" w:rsidR="008F6F28" w:rsidRPr="00B57A1B" w:rsidRDefault="008F6F28" w:rsidP="008F6F28">
      <w:pPr>
        <w:spacing w:after="0" w:line="240" w:lineRule="auto"/>
        <w:rPr>
          <w:rFonts w:ascii="Verdana" w:eastAsia="Calibri" w:hAnsi="Verdana" w:cs="Times New Roman"/>
        </w:rPr>
      </w:pPr>
    </w:p>
    <w:p w14:paraId="2082D377" w14:textId="77777777" w:rsidR="008F6F28" w:rsidRPr="00B57A1B" w:rsidRDefault="008F6F28" w:rsidP="008F6F28">
      <w:pPr>
        <w:spacing w:after="0" w:line="240" w:lineRule="auto"/>
        <w:rPr>
          <w:rFonts w:ascii="Verdana" w:eastAsia="Calibri" w:hAnsi="Verdana" w:cs="Times New Roman"/>
        </w:rPr>
      </w:pPr>
    </w:p>
    <w:p w14:paraId="55F7394C" w14:textId="0D7E34AE" w:rsidR="008F6F28" w:rsidRPr="00B57A1B" w:rsidRDefault="008F6F28" w:rsidP="008F6F28">
      <w:pPr>
        <w:spacing w:after="0" w:line="256" w:lineRule="auto"/>
        <w:rPr>
          <w:rFonts w:ascii="Verdana" w:eastAsia="Calibri" w:hAnsi="Verdana" w:cs="Times New Roman"/>
          <w:b/>
          <w:bCs/>
          <w:lang w:val="es-ES"/>
        </w:rPr>
      </w:pPr>
      <w:r w:rsidRPr="00B57A1B">
        <w:rPr>
          <w:rFonts w:ascii="Verdana" w:eastAsia="Calibri" w:hAnsi="Verdana" w:cs="Times New Roman"/>
          <w:b/>
          <w:bCs/>
          <w:lang w:val="es-ES"/>
        </w:rPr>
        <w:t xml:space="preserve">                   </w:t>
      </w:r>
      <w:r>
        <w:rPr>
          <w:rFonts w:ascii="Verdana" w:eastAsia="Calibri" w:hAnsi="Verdana" w:cs="Times New Roman"/>
          <w:b/>
          <w:bCs/>
          <w:lang w:val="es-ES"/>
        </w:rPr>
        <w:t xml:space="preserve">                 Concepto C</w:t>
      </w:r>
      <w:r w:rsidR="000B55D2">
        <w:rPr>
          <w:rFonts w:ascii="Verdana" w:eastAsia="Calibri" w:hAnsi="Verdana" w:cs="Times New Roman"/>
          <w:b/>
          <w:bCs/>
          <w:lang w:val="es-ES"/>
        </w:rPr>
        <w:t>-</w:t>
      </w:r>
      <w:r>
        <w:rPr>
          <w:rFonts w:ascii="Verdana" w:eastAsia="Calibri" w:hAnsi="Verdana" w:cs="Times New Roman"/>
          <w:b/>
          <w:bCs/>
          <w:lang w:val="es-ES"/>
        </w:rPr>
        <w:t>1294 de 2026</w:t>
      </w:r>
    </w:p>
    <w:p w14:paraId="085DF3E0" w14:textId="77777777" w:rsidR="008F6F28" w:rsidRPr="00B57A1B" w:rsidRDefault="008F6F28" w:rsidP="008F6F28">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8F6F28" w:rsidRPr="00B57A1B" w14:paraId="0E46686A" w14:textId="77777777" w:rsidTr="00AF1C96">
        <w:trPr>
          <w:trHeight w:val="645"/>
        </w:trPr>
        <w:tc>
          <w:tcPr>
            <w:tcW w:w="2685" w:type="dxa"/>
            <w:hideMark/>
          </w:tcPr>
          <w:p w14:paraId="176194FF" w14:textId="77777777" w:rsidR="008F6F28" w:rsidRPr="00B57A1B" w:rsidRDefault="008F6F28" w:rsidP="00AF1C96">
            <w:pPr>
              <w:spacing w:line="256" w:lineRule="auto"/>
              <w:rPr>
                <w:rFonts w:ascii="Verdana" w:hAnsi="Verdana"/>
                <w:b/>
                <w:bCs/>
                <w:lang w:val="es-ES_tradnl"/>
              </w:rPr>
            </w:pPr>
            <w:r w:rsidRPr="00B57A1B">
              <w:rPr>
                <w:rFonts w:ascii="Verdana" w:hAnsi="Verdana"/>
                <w:b/>
                <w:bCs/>
                <w:lang w:val="es-ES_tradnl"/>
              </w:rPr>
              <w:t xml:space="preserve">Temas:                   </w:t>
            </w:r>
          </w:p>
        </w:tc>
        <w:tc>
          <w:tcPr>
            <w:tcW w:w="6241" w:type="dxa"/>
            <w:hideMark/>
          </w:tcPr>
          <w:p w14:paraId="159DAC18" w14:textId="77777777" w:rsidR="008F6F28" w:rsidRDefault="008F6F28" w:rsidP="00AF1C96">
            <w:pPr>
              <w:spacing w:line="276" w:lineRule="auto"/>
              <w:jc w:val="both"/>
              <w:rPr>
                <w:rFonts w:ascii="Verdana" w:hAnsi="Verdana" w:cs="Arial"/>
                <w:lang w:val="es-ES" w:eastAsia="es-ES"/>
              </w:rPr>
            </w:pPr>
            <w:r>
              <w:rPr>
                <w:rFonts w:ascii="Verdana" w:hAnsi="Verdana" w:cs="Arial"/>
                <w:lang w:val="es-ES" w:eastAsia="es-ES"/>
              </w:rPr>
              <w:t>CONTRATO ESTATAL – Concepto / CONTRATOS ESTATAL – Contratos Atípicos / CONTRATO BPO</w:t>
            </w:r>
            <w:r w:rsidRPr="000D3A65">
              <w:rPr>
                <w:rFonts w:ascii="Verdana" w:hAnsi="Verdana" w:cs="Arial"/>
                <w:lang w:val="es-ES" w:eastAsia="es-ES"/>
              </w:rPr>
              <w:t xml:space="preserve">‒ </w:t>
            </w:r>
            <w:r w:rsidRPr="00D65DDA">
              <w:rPr>
                <w:rFonts w:ascii="Verdana" w:hAnsi="Verdana" w:cs="Arial"/>
                <w:bCs/>
                <w:lang w:eastAsia="es-ES"/>
              </w:rPr>
              <w:t>Business Process Outsourcing</w:t>
            </w:r>
            <w:r w:rsidRPr="00D65DDA">
              <w:rPr>
                <w:rFonts w:ascii="Verdana" w:hAnsi="Verdana" w:cs="Arial"/>
                <w:lang w:val="es-ES" w:eastAsia="es-ES"/>
              </w:rPr>
              <w:t xml:space="preserve"> </w:t>
            </w:r>
            <w:r>
              <w:rPr>
                <w:rFonts w:ascii="Verdana" w:hAnsi="Verdana" w:cs="Arial"/>
                <w:lang w:val="es-ES" w:eastAsia="es-ES"/>
              </w:rPr>
              <w:t xml:space="preserve">- </w:t>
            </w:r>
            <w:r w:rsidRPr="000D3A65">
              <w:rPr>
                <w:rFonts w:ascii="Verdana" w:hAnsi="Verdana" w:cs="Arial"/>
                <w:lang w:val="es-ES" w:eastAsia="es-ES"/>
              </w:rPr>
              <w:t>Contrato atípico mixto ‒ Actividades / CONTRATOS ESTATALES – Capacidad jurídica – Requisitos esenciales /</w:t>
            </w:r>
            <w:r>
              <w:rPr>
                <w:rFonts w:ascii="Verdana" w:hAnsi="Verdana" w:cs="Arial"/>
                <w:lang w:val="es-ES" w:eastAsia="es-ES"/>
              </w:rPr>
              <w:t xml:space="preserve"> PRINCIPIO DE PLANEACIÓN – Alcance – Condiciones / CONTRATOS BPO – Planeación – Valor – Estructuración /</w:t>
            </w:r>
            <w:r w:rsidRPr="000D3A65">
              <w:rPr>
                <w:rFonts w:ascii="Verdana" w:hAnsi="Verdana" w:cs="Arial"/>
                <w:lang w:val="es-ES" w:eastAsia="es-ES"/>
              </w:rPr>
              <w:t xml:space="preserve"> </w:t>
            </w:r>
            <w:r w:rsidRPr="000242D6">
              <w:rPr>
                <w:rFonts w:ascii="Verdana" w:hAnsi="Verdana" w:cs="Arial"/>
                <w:lang w:val="es-ES" w:eastAsia="es-ES"/>
              </w:rPr>
              <w:t xml:space="preserve">MODALIDADES DE SELECCIÓN – Regla General – </w:t>
            </w:r>
            <w:r>
              <w:rPr>
                <w:rFonts w:ascii="Verdana" w:hAnsi="Verdana" w:cs="Arial"/>
                <w:lang w:val="es-ES" w:eastAsia="es-ES"/>
              </w:rPr>
              <w:t xml:space="preserve">Licitación Pública – </w:t>
            </w:r>
            <w:r w:rsidRPr="000242D6">
              <w:rPr>
                <w:rFonts w:ascii="Verdana" w:hAnsi="Verdana" w:cs="Arial"/>
                <w:lang w:val="es-ES" w:eastAsia="es-ES"/>
              </w:rPr>
              <w:t>Excepciones</w:t>
            </w:r>
            <w:r>
              <w:rPr>
                <w:rFonts w:ascii="Verdana" w:hAnsi="Verdana" w:cs="Arial"/>
                <w:lang w:val="es-ES" w:eastAsia="es-ES"/>
              </w:rPr>
              <w:t xml:space="preserve"> / BPO – Contrato Interadministrativo / </w:t>
            </w:r>
            <w:r w:rsidRPr="00E53770">
              <w:rPr>
                <w:rFonts w:ascii="Verdana" w:hAnsi="Verdana" w:cs="Arial"/>
                <w:lang w:eastAsia="es-ES"/>
              </w:rPr>
              <w:t>SUPERVISIÓN E INTERVENTORIA – Diferencias – Características / SUPERVISIÓN E INTERVENTORÍA – Seguimiento contractual</w:t>
            </w:r>
            <w:r>
              <w:rPr>
                <w:rFonts w:ascii="Verdana" w:hAnsi="Verdana" w:cs="Arial"/>
                <w:lang w:eastAsia="es-ES"/>
              </w:rPr>
              <w:t xml:space="preserve"> / SUPERVISIÓN E INTERVENTORÍA – Hallazgos – Observaciones – Órganos de control. </w:t>
            </w:r>
          </w:p>
          <w:p w14:paraId="0F637F99" w14:textId="77777777" w:rsidR="008F6F28" w:rsidRPr="00B57A1B" w:rsidRDefault="008F6F28" w:rsidP="00AF1C96">
            <w:pPr>
              <w:spacing w:line="276" w:lineRule="auto"/>
              <w:jc w:val="both"/>
              <w:rPr>
                <w:rFonts w:ascii="Verdana" w:hAnsi="Verdana" w:cs="Arial"/>
                <w:lang w:val="es-ES" w:eastAsia="es-ES"/>
              </w:rPr>
            </w:pPr>
          </w:p>
        </w:tc>
        <w:tc>
          <w:tcPr>
            <w:tcW w:w="6237" w:type="dxa"/>
          </w:tcPr>
          <w:p w14:paraId="7722D4B0" w14:textId="77777777" w:rsidR="008F6F28" w:rsidRPr="002D0E1D" w:rsidRDefault="008F6F28" w:rsidP="00AF1C96">
            <w:pPr>
              <w:spacing w:line="256" w:lineRule="auto"/>
              <w:rPr>
                <w:rFonts w:ascii="Verdana" w:hAnsi="Verdana"/>
                <w:lang w:val="es-ES"/>
              </w:rPr>
            </w:pPr>
          </w:p>
        </w:tc>
      </w:tr>
      <w:tr w:rsidR="008F6F28" w:rsidRPr="00B57A1B" w14:paraId="1950DFE0" w14:textId="77777777" w:rsidTr="00AF1C96">
        <w:tc>
          <w:tcPr>
            <w:tcW w:w="2685" w:type="dxa"/>
          </w:tcPr>
          <w:p w14:paraId="3E206361" w14:textId="77777777" w:rsidR="008F6F28" w:rsidRPr="00B57A1B" w:rsidRDefault="008F6F28" w:rsidP="00AF1C96">
            <w:pPr>
              <w:spacing w:line="256" w:lineRule="auto"/>
              <w:rPr>
                <w:rFonts w:ascii="Verdana" w:hAnsi="Verdana"/>
                <w:b/>
                <w:bCs/>
                <w:lang w:val="es-ES_tradnl"/>
              </w:rPr>
            </w:pPr>
            <w:r w:rsidRPr="00B57A1B">
              <w:rPr>
                <w:rFonts w:ascii="Verdana" w:hAnsi="Verdana"/>
                <w:b/>
                <w:bCs/>
                <w:lang w:val="es-ES_tradnl"/>
              </w:rPr>
              <w:t xml:space="preserve">Radicación:               </w:t>
            </w:r>
          </w:p>
        </w:tc>
        <w:tc>
          <w:tcPr>
            <w:tcW w:w="6241" w:type="dxa"/>
          </w:tcPr>
          <w:p w14:paraId="7B9154E7" w14:textId="77777777" w:rsidR="008F6F28" w:rsidRPr="0071396B" w:rsidRDefault="008F6F28" w:rsidP="00AF1C96">
            <w:pPr>
              <w:spacing w:line="257" w:lineRule="auto"/>
              <w:jc w:val="both"/>
              <w:rPr>
                <w:rFonts w:ascii="Verdana" w:hAnsi="Verdana"/>
                <w:lang w:val="es-ES_tradnl"/>
              </w:rPr>
            </w:pPr>
            <w:r w:rsidRPr="0071396B">
              <w:rPr>
                <w:rFonts w:ascii="Verdana" w:hAnsi="Verdana"/>
                <w:lang w:val="es-ES_tradnl"/>
              </w:rPr>
              <w:t xml:space="preserve">Respuesta a consulta con radicado No. </w:t>
            </w:r>
            <w:r w:rsidRPr="0071396B">
              <w:rPr>
                <w:rFonts w:ascii="Verdana" w:hAnsi="Verdana"/>
              </w:rPr>
              <w:t>1_2026_08_14_010857 y 1_2026_08_14_010859</w:t>
            </w:r>
            <w:r>
              <w:rPr>
                <w:rFonts w:ascii="Verdana" w:hAnsi="Verdana"/>
              </w:rPr>
              <w:t xml:space="preserve"> (acumulados) </w:t>
            </w:r>
          </w:p>
          <w:p w14:paraId="11732BDD" w14:textId="77777777" w:rsidR="008F6F28" w:rsidRPr="0071396B" w:rsidRDefault="008F6F28" w:rsidP="00AF1C96">
            <w:pPr>
              <w:spacing w:line="257" w:lineRule="auto"/>
              <w:jc w:val="both"/>
              <w:rPr>
                <w:rFonts w:ascii="Verdana" w:hAnsi="Verdana"/>
              </w:rPr>
            </w:pPr>
          </w:p>
        </w:tc>
        <w:tc>
          <w:tcPr>
            <w:tcW w:w="6237" w:type="dxa"/>
          </w:tcPr>
          <w:p w14:paraId="0A668033" w14:textId="77777777" w:rsidR="008F6F28" w:rsidRPr="0071396B" w:rsidRDefault="008F6F28" w:rsidP="00AF1C96">
            <w:pPr>
              <w:spacing w:line="256" w:lineRule="auto"/>
              <w:rPr>
                <w:rFonts w:ascii="Verdana" w:hAnsi="Verdana"/>
                <w:lang w:val="es-ES_tradnl"/>
              </w:rPr>
            </w:pPr>
          </w:p>
        </w:tc>
      </w:tr>
    </w:tbl>
    <w:p w14:paraId="4EA94275" w14:textId="77777777" w:rsidR="008F6F28" w:rsidRDefault="008F6F28" w:rsidP="008F6F28">
      <w:pPr>
        <w:spacing w:after="0" w:line="256" w:lineRule="auto"/>
        <w:rPr>
          <w:rFonts w:ascii="Verdana" w:eastAsia="Calibri" w:hAnsi="Verdana" w:cs="Times New Roman"/>
          <w:lang w:val="es-ES"/>
        </w:rPr>
      </w:pPr>
    </w:p>
    <w:p w14:paraId="4E67512E" w14:textId="77777777" w:rsidR="008F6F28" w:rsidRPr="00B57A1B" w:rsidRDefault="008F6F28" w:rsidP="008F6F28">
      <w:pPr>
        <w:spacing w:after="0" w:line="256" w:lineRule="auto"/>
        <w:rPr>
          <w:rFonts w:ascii="Verdana" w:eastAsia="Calibri" w:hAnsi="Verdana" w:cs="Times New Roman"/>
          <w:lang w:val="es-ES"/>
        </w:rPr>
      </w:pPr>
      <w:r w:rsidRPr="00B57A1B">
        <w:rPr>
          <w:rFonts w:ascii="Verdana" w:eastAsia="Calibri" w:hAnsi="Verdana" w:cs="Times New Roman"/>
          <w:lang w:val="es-ES"/>
        </w:rPr>
        <w:t>Estimado</w:t>
      </w:r>
      <w:r>
        <w:rPr>
          <w:rFonts w:ascii="Verdana" w:eastAsia="Calibri" w:hAnsi="Verdana" w:cs="Times New Roman"/>
          <w:lang w:val="es-ES"/>
        </w:rPr>
        <w:t xml:space="preserve"> Señor Neira</w:t>
      </w:r>
      <w:r w:rsidRPr="00B57A1B">
        <w:rPr>
          <w:rFonts w:ascii="Verdana" w:eastAsia="Calibri" w:hAnsi="Verdana" w:cs="Times New Roman"/>
          <w:lang w:val="es-ES"/>
        </w:rPr>
        <w:t xml:space="preserve">: </w:t>
      </w:r>
    </w:p>
    <w:p w14:paraId="6CA220E8" w14:textId="77777777" w:rsidR="008F6F28" w:rsidRPr="00B57A1B" w:rsidRDefault="008F6F28" w:rsidP="008F6F28">
      <w:pPr>
        <w:spacing w:after="0" w:line="256" w:lineRule="auto"/>
        <w:rPr>
          <w:rFonts w:ascii="Verdana" w:eastAsia="Calibri" w:hAnsi="Verdana" w:cs="Times New Roman"/>
          <w:lang w:val="es-ES"/>
        </w:rPr>
      </w:pPr>
    </w:p>
    <w:p w14:paraId="22D56443" w14:textId="77777777" w:rsidR="008F6F28" w:rsidRDefault="008F6F28" w:rsidP="008F6F28">
      <w:pPr>
        <w:spacing w:after="0" w:line="276" w:lineRule="auto"/>
        <w:jc w:val="both"/>
        <w:rPr>
          <w:rFonts w:ascii="Verdana" w:eastAsia="Calibri" w:hAnsi="Verdana" w:cs="Times New Roman"/>
          <w:bCs/>
          <w:lang w:val="es-ES" w:bidi="es-ES"/>
        </w:rPr>
      </w:pPr>
      <w:r w:rsidRPr="00B57A1B">
        <w:rPr>
          <w:rFonts w:ascii="Verdana" w:eastAsia="Calibri" w:hAnsi="Verdana" w:cs="Times New Roman"/>
          <w:bCs/>
          <w:lang w:val="es-ES" w:bidi="es-ES"/>
        </w:rPr>
        <w:t xml:space="preserve">En ejercicio de la competencia otorgada por los artículos 3, numeral 5º, y 11, numeral 8º, del Decreto Ley 4170 de 2011, </w:t>
      </w:r>
      <w:r w:rsidRPr="00B57A1B">
        <w:rPr>
          <w:rFonts w:ascii="Verdana" w:eastAsia="Calibri" w:hAnsi="Verdana" w:cs="Times New Roman"/>
          <w:bCs/>
        </w:rPr>
        <w:t xml:space="preserve">así como lo establecido por la Resolución 469 de 2025 expedida por esta Entidad, </w:t>
      </w:r>
      <w:r w:rsidRPr="00B57A1B">
        <w:rPr>
          <w:rFonts w:ascii="Verdana" w:eastAsia="Calibri" w:hAnsi="Verdana" w:cs="Times New Roman"/>
          <w:bCs/>
          <w:lang w:val="es-ES" w:bidi="es-ES"/>
        </w:rPr>
        <w:t>la Agencia Nacional de Contratación Pública – Colombia Compra Eficien</w:t>
      </w:r>
      <w:r>
        <w:rPr>
          <w:rFonts w:ascii="Verdana" w:eastAsia="Calibri" w:hAnsi="Verdana" w:cs="Times New Roman"/>
          <w:bCs/>
          <w:lang w:val="es-ES" w:bidi="es-ES"/>
        </w:rPr>
        <w:t>te– responde la solicitud consulta del 14 de agosto de 2026, en la cual manifiesta</w:t>
      </w:r>
      <w:r w:rsidRPr="00B57A1B">
        <w:rPr>
          <w:rFonts w:ascii="Verdana" w:eastAsia="Calibri" w:hAnsi="Verdana" w:cs="Times New Roman"/>
          <w:bCs/>
          <w:lang w:val="es-ES" w:bidi="es-ES"/>
        </w:rPr>
        <w:t xml:space="preserve">: </w:t>
      </w:r>
    </w:p>
    <w:p w14:paraId="6F741B1B" w14:textId="77777777" w:rsidR="008F6F28" w:rsidRPr="00586328" w:rsidRDefault="008F6F28" w:rsidP="008F6F28">
      <w:pPr>
        <w:spacing w:after="0" w:line="240" w:lineRule="auto"/>
        <w:jc w:val="both"/>
        <w:rPr>
          <w:rFonts w:ascii="Verdana" w:eastAsia="Calibri" w:hAnsi="Verdana" w:cs="Times New Roman"/>
          <w:bCs/>
          <w:lang w:bidi="es-ES"/>
        </w:rPr>
      </w:pPr>
    </w:p>
    <w:p w14:paraId="5440C08F" w14:textId="77777777" w:rsidR="008F6F28" w:rsidRPr="007653F8" w:rsidRDefault="008F6F28" w:rsidP="008F6F28">
      <w:pPr>
        <w:spacing w:line="240" w:lineRule="auto"/>
        <w:ind w:left="709" w:right="709"/>
        <w:jc w:val="both"/>
        <w:rPr>
          <w:rFonts w:ascii="Verdana" w:eastAsia="Calibri" w:hAnsi="Verdana" w:cs="Times New Roman"/>
          <w:b/>
          <w:bCs/>
          <w:sz w:val="20"/>
          <w:szCs w:val="20"/>
          <w:lang w:bidi="es-ES"/>
        </w:rPr>
      </w:pPr>
      <w:r w:rsidRPr="007653F8">
        <w:rPr>
          <w:rFonts w:ascii="Verdana" w:eastAsia="Calibri" w:hAnsi="Verdana" w:cs="Times New Roman"/>
          <w:bCs/>
          <w:sz w:val="20"/>
          <w:szCs w:val="20"/>
          <w:lang w:bidi="es-ES"/>
        </w:rPr>
        <w:t>“</w:t>
      </w:r>
      <w:r w:rsidRPr="007653F8">
        <w:rPr>
          <w:rFonts w:ascii="Verdana" w:eastAsia="Calibri" w:hAnsi="Verdana" w:cs="Times New Roman"/>
          <w:b/>
          <w:bCs/>
          <w:sz w:val="20"/>
          <w:szCs w:val="20"/>
          <w:lang w:bidi="es-ES"/>
        </w:rPr>
        <w:t>II. CONSULTAS FORMALES:</w:t>
      </w:r>
    </w:p>
    <w:p w14:paraId="53282190" w14:textId="77777777" w:rsidR="008F6F28" w:rsidRPr="007653F8" w:rsidRDefault="008F6F28" w:rsidP="008F6F28">
      <w:pPr>
        <w:spacing w:after="0" w:line="240" w:lineRule="auto"/>
        <w:ind w:left="709" w:right="709"/>
        <w:jc w:val="both"/>
        <w:rPr>
          <w:rFonts w:ascii="Verdana" w:eastAsia="Calibri" w:hAnsi="Verdana" w:cs="Times New Roman"/>
          <w:b/>
          <w:bCs/>
          <w:sz w:val="20"/>
          <w:szCs w:val="20"/>
          <w:lang w:bidi="es-ES"/>
        </w:rPr>
      </w:pPr>
      <w:r w:rsidRPr="007653F8">
        <w:rPr>
          <w:rFonts w:ascii="Verdana" w:eastAsia="Calibri" w:hAnsi="Verdana" w:cs="Times New Roman"/>
          <w:b/>
          <w:bCs/>
          <w:sz w:val="20"/>
          <w:szCs w:val="20"/>
          <w:lang w:bidi="es-ES"/>
        </w:rPr>
        <w:lastRenderedPageBreak/>
        <w:t xml:space="preserve">1. Sobre la metodología de remuneración, facturación y tratamiento de novedades de personal en servicios integrales de BPO / </w:t>
      </w:r>
      <w:proofErr w:type="spellStart"/>
      <w:r w:rsidRPr="007653F8">
        <w:rPr>
          <w:rFonts w:ascii="Verdana" w:eastAsia="Calibri" w:hAnsi="Verdana" w:cs="Times New Roman"/>
          <w:b/>
          <w:bCs/>
          <w:sz w:val="20"/>
          <w:szCs w:val="20"/>
          <w:lang w:bidi="es-ES"/>
        </w:rPr>
        <w:t>Contact</w:t>
      </w:r>
      <w:proofErr w:type="spellEnd"/>
      <w:r w:rsidRPr="007653F8">
        <w:rPr>
          <w:rFonts w:ascii="Verdana" w:eastAsia="Calibri" w:hAnsi="Verdana" w:cs="Times New Roman"/>
          <w:b/>
          <w:bCs/>
          <w:sz w:val="20"/>
          <w:szCs w:val="20"/>
          <w:lang w:bidi="es-ES"/>
        </w:rPr>
        <w:t xml:space="preserve"> Center</w:t>
      </w:r>
    </w:p>
    <w:p w14:paraId="459C7591" w14:textId="77777777" w:rsidR="008F6F28" w:rsidRPr="007653F8" w:rsidRDefault="008F6F28" w:rsidP="008F6F28">
      <w:pPr>
        <w:numPr>
          <w:ilvl w:val="0"/>
          <w:numId w:val="19"/>
        </w:numPr>
        <w:spacing w:after="0" w:line="240" w:lineRule="auto"/>
        <w:ind w:right="709"/>
        <w:jc w:val="both"/>
        <w:rPr>
          <w:rFonts w:ascii="Verdana" w:eastAsia="Calibri" w:hAnsi="Verdana" w:cs="Times New Roman"/>
          <w:bCs/>
          <w:sz w:val="20"/>
          <w:szCs w:val="20"/>
          <w:lang w:bidi="es-ES"/>
        </w:rPr>
      </w:pPr>
      <w:r w:rsidRPr="007653F8">
        <w:rPr>
          <w:rFonts w:ascii="Verdana" w:eastAsia="Calibri" w:hAnsi="Verdana" w:cs="Times New Roman"/>
          <w:b/>
          <w:bCs/>
          <w:sz w:val="20"/>
          <w:szCs w:val="20"/>
          <w:lang w:bidi="es-ES"/>
        </w:rPr>
        <w:t>1.1.</w:t>
      </w:r>
      <w:r w:rsidRPr="007653F8">
        <w:rPr>
          <w:rFonts w:ascii="Verdana" w:eastAsia="Calibri" w:hAnsi="Verdana" w:cs="Times New Roman"/>
          <w:bCs/>
          <w:sz w:val="20"/>
          <w:szCs w:val="20"/>
          <w:lang w:bidi="es-ES"/>
        </w:rPr>
        <w:t> ¿Bajo el régimen de contratación estatal, en los contratos cuyo objeto es la prestación de un </w:t>
      </w:r>
      <w:r w:rsidRPr="007653F8">
        <w:rPr>
          <w:rFonts w:ascii="Verdana" w:eastAsia="Calibri" w:hAnsi="Verdana" w:cs="Times New Roman"/>
          <w:b/>
          <w:bCs/>
          <w:sz w:val="20"/>
          <w:szCs w:val="20"/>
          <w:lang w:bidi="es-ES"/>
        </w:rPr>
        <w:t xml:space="preserve">servicio integral de BPO, </w:t>
      </w:r>
      <w:proofErr w:type="spellStart"/>
      <w:r w:rsidRPr="007653F8">
        <w:rPr>
          <w:rFonts w:ascii="Verdana" w:eastAsia="Calibri" w:hAnsi="Verdana" w:cs="Times New Roman"/>
          <w:b/>
          <w:bCs/>
          <w:sz w:val="20"/>
          <w:szCs w:val="20"/>
          <w:lang w:bidi="es-ES"/>
        </w:rPr>
        <w:t>Contact</w:t>
      </w:r>
      <w:proofErr w:type="spellEnd"/>
      <w:r w:rsidRPr="007653F8">
        <w:rPr>
          <w:rFonts w:ascii="Verdana" w:eastAsia="Calibri" w:hAnsi="Verdana" w:cs="Times New Roman"/>
          <w:b/>
          <w:bCs/>
          <w:sz w:val="20"/>
          <w:szCs w:val="20"/>
          <w:lang w:bidi="es-ES"/>
        </w:rPr>
        <w:t xml:space="preserve"> Center u Operación de Líneas de Atención</w:t>
      </w:r>
      <w:r w:rsidRPr="007653F8">
        <w:rPr>
          <w:rFonts w:ascii="Verdana" w:eastAsia="Calibri" w:hAnsi="Verdana" w:cs="Times New Roman"/>
          <w:bCs/>
          <w:sz w:val="20"/>
          <w:szCs w:val="20"/>
          <w:lang w:bidi="es-ES"/>
        </w:rPr>
        <w:t>, la remuneración del contratista debe configurarse como un precio global/fijo por la prestación continua e integral del servicio (basado en niveles de disponibilidad y Acuerdos de Nivel de Servicio - ANS), o se considera una contratación de "suministro de personal / horas hombre"?</w:t>
      </w:r>
    </w:p>
    <w:p w14:paraId="1E5716DE" w14:textId="77777777" w:rsidR="008F6F28" w:rsidRPr="007653F8" w:rsidRDefault="008F6F28" w:rsidP="008F6F28">
      <w:pPr>
        <w:numPr>
          <w:ilvl w:val="0"/>
          <w:numId w:val="19"/>
        </w:numPr>
        <w:spacing w:after="0" w:line="240" w:lineRule="auto"/>
        <w:ind w:right="709"/>
        <w:jc w:val="both"/>
        <w:rPr>
          <w:rFonts w:ascii="Verdana" w:eastAsia="Calibri" w:hAnsi="Verdana" w:cs="Times New Roman"/>
          <w:bCs/>
          <w:sz w:val="20"/>
          <w:szCs w:val="20"/>
          <w:lang w:bidi="es-ES"/>
        </w:rPr>
      </w:pPr>
      <w:r w:rsidRPr="007653F8">
        <w:rPr>
          <w:rFonts w:ascii="Verdana" w:eastAsia="Calibri" w:hAnsi="Verdana" w:cs="Times New Roman"/>
          <w:b/>
          <w:bCs/>
          <w:sz w:val="20"/>
          <w:szCs w:val="20"/>
          <w:lang w:bidi="es-ES"/>
        </w:rPr>
        <w:t>1.2.</w:t>
      </w:r>
      <w:r w:rsidRPr="007653F8">
        <w:rPr>
          <w:rFonts w:ascii="Verdana" w:eastAsia="Calibri" w:hAnsi="Verdana" w:cs="Times New Roman"/>
          <w:bCs/>
          <w:sz w:val="20"/>
          <w:szCs w:val="20"/>
          <w:lang w:bidi="es-ES"/>
        </w:rPr>
        <w:t> En el marco de contratos estatales de servicio integral, ¿resulta jurídicamente procedente o congruente con la naturaleza de la obligación que la entidad contratante efectúe descuentos en la facturación mensual por el registro de novedades temporales de personal (tales como licencias no remuneradas, incapacidades generales, permisos o sanciones disciplinarias internas de la planta laboral del prestador)?</w:t>
      </w:r>
    </w:p>
    <w:p w14:paraId="0E14F84D" w14:textId="77777777" w:rsidR="008F6F28" w:rsidRPr="007653F8" w:rsidRDefault="008F6F28" w:rsidP="008F6F28">
      <w:pPr>
        <w:numPr>
          <w:ilvl w:val="0"/>
          <w:numId w:val="19"/>
        </w:numPr>
        <w:spacing w:after="0" w:line="240" w:lineRule="auto"/>
        <w:ind w:right="709"/>
        <w:jc w:val="both"/>
        <w:rPr>
          <w:rFonts w:ascii="Verdana" w:eastAsia="Calibri" w:hAnsi="Verdana" w:cs="Times New Roman"/>
          <w:bCs/>
          <w:sz w:val="20"/>
          <w:szCs w:val="20"/>
          <w:lang w:bidi="es-ES"/>
        </w:rPr>
      </w:pPr>
      <w:r w:rsidRPr="007653F8">
        <w:rPr>
          <w:rFonts w:ascii="Verdana" w:eastAsia="Calibri" w:hAnsi="Verdana" w:cs="Times New Roman"/>
          <w:b/>
          <w:bCs/>
          <w:sz w:val="20"/>
          <w:szCs w:val="20"/>
          <w:lang w:bidi="es-ES"/>
        </w:rPr>
        <w:t>1.3.</w:t>
      </w:r>
      <w:r w:rsidRPr="007653F8">
        <w:rPr>
          <w:rFonts w:ascii="Verdana" w:eastAsia="Calibri" w:hAnsi="Verdana" w:cs="Times New Roman"/>
          <w:bCs/>
          <w:sz w:val="20"/>
          <w:szCs w:val="20"/>
          <w:lang w:bidi="es-ES"/>
        </w:rPr>
        <w:t> Cuando las especificaciones técnicas estipulan un "número de agentes" o "fuerza de trabajo requerida", ¿debe interpretarse legalmente dicho valor como un </w:t>
      </w:r>
      <w:r w:rsidRPr="007653F8">
        <w:rPr>
          <w:rFonts w:ascii="Verdana" w:eastAsia="Calibri" w:hAnsi="Verdana" w:cs="Times New Roman"/>
          <w:b/>
          <w:bCs/>
          <w:sz w:val="20"/>
          <w:szCs w:val="20"/>
          <w:lang w:bidi="es-ES"/>
        </w:rPr>
        <w:t>parámetro técnico de dimensionamiento operativo</w:t>
      </w:r>
      <w:r w:rsidRPr="007653F8">
        <w:rPr>
          <w:rFonts w:ascii="Verdana" w:eastAsia="Calibri" w:hAnsi="Verdana" w:cs="Times New Roman"/>
          <w:bCs/>
          <w:sz w:val="20"/>
          <w:szCs w:val="20"/>
          <w:lang w:bidi="es-ES"/>
        </w:rPr>
        <w:t> para garantizar la capacidad e intensidad del servicio, o equivale a la compra directa e individualizada de una nómina/horas de trabajo?</w:t>
      </w:r>
    </w:p>
    <w:p w14:paraId="5586578C" w14:textId="77777777" w:rsidR="008F6F28" w:rsidRPr="007653F8" w:rsidRDefault="008F6F28" w:rsidP="008F6F28">
      <w:pPr>
        <w:numPr>
          <w:ilvl w:val="0"/>
          <w:numId w:val="19"/>
        </w:numPr>
        <w:spacing w:after="0" w:line="240" w:lineRule="auto"/>
        <w:ind w:right="709"/>
        <w:jc w:val="both"/>
        <w:rPr>
          <w:rFonts w:ascii="Verdana" w:eastAsia="Calibri" w:hAnsi="Verdana" w:cs="Times New Roman"/>
          <w:bCs/>
          <w:sz w:val="20"/>
          <w:szCs w:val="20"/>
          <w:lang w:bidi="es-ES"/>
        </w:rPr>
      </w:pPr>
      <w:r w:rsidRPr="007653F8">
        <w:rPr>
          <w:rFonts w:ascii="Verdana" w:eastAsia="Calibri" w:hAnsi="Verdana" w:cs="Times New Roman"/>
          <w:b/>
          <w:bCs/>
          <w:sz w:val="20"/>
          <w:szCs w:val="20"/>
          <w:lang w:bidi="es-ES"/>
        </w:rPr>
        <w:t>1.4.</w:t>
      </w:r>
      <w:r w:rsidRPr="007653F8">
        <w:rPr>
          <w:rFonts w:ascii="Verdana" w:eastAsia="Calibri" w:hAnsi="Verdana" w:cs="Times New Roman"/>
          <w:bCs/>
          <w:sz w:val="20"/>
          <w:szCs w:val="20"/>
          <w:lang w:bidi="es-ES"/>
        </w:rPr>
        <w:t> Si el prestador del servicio cuenta con la totalidad de la planta contratada y garantiza la continuidad operativa y el cumplimiento de los indicadores de servicio (ANS) mediante esquemas internos de contingencia o sustitución, ¿subsiste causa jurídica para que la entidad pública efectúe glosas o retenciones económicas por las novedades temporales del personal?</w:t>
      </w:r>
    </w:p>
    <w:p w14:paraId="1DD96AD5" w14:textId="77777777" w:rsidR="008F6F28" w:rsidRPr="007653F8" w:rsidRDefault="008F6F28" w:rsidP="008F6F28">
      <w:pPr>
        <w:spacing w:after="0" w:line="240" w:lineRule="auto"/>
        <w:ind w:left="709" w:right="709"/>
        <w:jc w:val="both"/>
        <w:rPr>
          <w:rFonts w:ascii="Verdana" w:eastAsia="Calibri" w:hAnsi="Verdana" w:cs="Times New Roman"/>
          <w:b/>
          <w:bCs/>
          <w:sz w:val="20"/>
          <w:szCs w:val="20"/>
          <w:lang w:bidi="es-ES"/>
        </w:rPr>
      </w:pPr>
      <w:r w:rsidRPr="007653F8">
        <w:rPr>
          <w:rFonts w:ascii="Verdana" w:eastAsia="Calibri" w:hAnsi="Verdana" w:cs="Times New Roman"/>
          <w:b/>
          <w:bCs/>
          <w:sz w:val="20"/>
          <w:szCs w:val="20"/>
          <w:lang w:bidi="es-ES"/>
        </w:rPr>
        <w:t>2. Sobre la naturaleza jurídica, régimen regulatorio y características de los servicios integrales de atención telefónica/</w:t>
      </w:r>
      <w:proofErr w:type="spellStart"/>
      <w:r w:rsidRPr="007653F8">
        <w:rPr>
          <w:rFonts w:ascii="Verdana" w:eastAsia="Calibri" w:hAnsi="Verdana" w:cs="Times New Roman"/>
          <w:b/>
          <w:bCs/>
          <w:sz w:val="20"/>
          <w:szCs w:val="20"/>
          <w:lang w:bidi="es-ES"/>
        </w:rPr>
        <w:t>omnicanal</w:t>
      </w:r>
      <w:proofErr w:type="spellEnd"/>
    </w:p>
    <w:p w14:paraId="38E4201B" w14:textId="77777777" w:rsidR="008F6F28" w:rsidRPr="007653F8" w:rsidRDefault="008F6F28" w:rsidP="008F6F28">
      <w:pPr>
        <w:numPr>
          <w:ilvl w:val="0"/>
          <w:numId w:val="20"/>
        </w:numPr>
        <w:spacing w:after="0" w:line="240" w:lineRule="auto"/>
        <w:ind w:right="709"/>
        <w:jc w:val="both"/>
        <w:rPr>
          <w:rFonts w:ascii="Verdana" w:eastAsia="Calibri" w:hAnsi="Verdana" w:cs="Times New Roman"/>
          <w:bCs/>
          <w:sz w:val="20"/>
          <w:szCs w:val="20"/>
          <w:lang w:bidi="es-ES"/>
        </w:rPr>
      </w:pPr>
      <w:r w:rsidRPr="007653F8">
        <w:rPr>
          <w:rFonts w:ascii="Verdana" w:eastAsia="Calibri" w:hAnsi="Verdana" w:cs="Times New Roman"/>
          <w:b/>
          <w:bCs/>
          <w:sz w:val="20"/>
          <w:szCs w:val="20"/>
          <w:lang w:bidi="es-ES"/>
        </w:rPr>
        <w:t>2.1.</w:t>
      </w:r>
      <w:r w:rsidRPr="007653F8">
        <w:rPr>
          <w:rFonts w:ascii="Verdana" w:eastAsia="Calibri" w:hAnsi="Verdana" w:cs="Times New Roman"/>
          <w:bCs/>
          <w:sz w:val="20"/>
          <w:szCs w:val="20"/>
          <w:lang w:bidi="es-ES"/>
        </w:rPr>
        <w:t> ¿Cuál es la naturaleza jurídica de los contratos de prestación de servicios para la atención integral de líneas de atención, gestión de llamadas y omnicanalidad (ej. líneas de atención al ciudadano o de emergencia) prestados por entidades o gestores especializados?</w:t>
      </w:r>
    </w:p>
    <w:p w14:paraId="22B08487" w14:textId="77777777" w:rsidR="008F6F28" w:rsidRPr="007653F8" w:rsidRDefault="008F6F28" w:rsidP="008F6F28">
      <w:pPr>
        <w:numPr>
          <w:ilvl w:val="0"/>
          <w:numId w:val="20"/>
        </w:numPr>
        <w:spacing w:after="0" w:line="240" w:lineRule="auto"/>
        <w:ind w:right="709"/>
        <w:jc w:val="both"/>
        <w:rPr>
          <w:rFonts w:ascii="Verdana" w:eastAsia="Calibri" w:hAnsi="Verdana" w:cs="Times New Roman"/>
          <w:bCs/>
          <w:sz w:val="20"/>
          <w:szCs w:val="20"/>
          <w:lang w:bidi="es-ES"/>
        </w:rPr>
      </w:pPr>
      <w:r w:rsidRPr="007653F8">
        <w:rPr>
          <w:rFonts w:ascii="Verdana" w:eastAsia="Calibri" w:hAnsi="Verdana" w:cs="Times New Roman"/>
          <w:b/>
          <w:bCs/>
          <w:sz w:val="20"/>
          <w:szCs w:val="20"/>
          <w:lang w:bidi="es-ES"/>
        </w:rPr>
        <w:t>2.2.</w:t>
      </w:r>
      <w:r w:rsidRPr="007653F8">
        <w:rPr>
          <w:rFonts w:ascii="Verdana" w:eastAsia="Calibri" w:hAnsi="Verdana" w:cs="Times New Roman"/>
          <w:bCs/>
          <w:sz w:val="20"/>
          <w:szCs w:val="20"/>
          <w:lang w:bidi="es-ES"/>
        </w:rPr>
        <w:t xml:space="preserve"> ¿Cuáles son los elementos esenciales, características tipológicas y marco normativo aplicable en la contratación pública a los contratos de BPO / </w:t>
      </w:r>
      <w:proofErr w:type="spellStart"/>
      <w:r w:rsidRPr="007653F8">
        <w:rPr>
          <w:rFonts w:ascii="Verdana" w:eastAsia="Calibri" w:hAnsi="Verdana" w:cs="Times New Roman"/>
          <w:bCs/>
          <w:sz w:val="20"/>
          <w:szCs w:val="20"/>
          <w:lang w:bidi="es-ES"/>
        </w:rPr>
        <w:t>Contact</w:t>
      </w:r>
      <w:proofErr w:type="spellEnd"/>
      <w:r w:rsidRPr="007653F8">
        <w:rPr>
          <w:rFonts w:ascii="Verdana" w:eastAsia="Calibri" w:hAnsi="Verdana" w:cs="Times New Roman"/>
          <w:bCs/>
          <w:sz w:val="20"/>
          <w:szCs w:val="20"/>
          <w:lang w:bidi="es-ES"/>
        </w:rPr>
        <w:t xml:space="preserve"> Center?</w:t>
      </w:r>
    </w:p>
    <w:p w14:paraId="68D8E4EA" w14:textId="77777777" w:rsidR="008F6F28" w:rsidRPr="007653F8" w:rsidRDefault="008F6F28" w:rsidP="008F6F28">
      <w:pPr>
        <w:numPr>
          <w:ilvl w:val="0"/>
          <w:numId w:val="20"/>
        </w:numPr>
        <w:spacing w:after="0" w:line="240" w:lineRule="auto"/>
        <w:ind w:right="709"/>
        <w:jc w:val="both"/>
        <w:rPr>
          <w:rFonts w:ascii="Verdana" w:eastAsia="Calibri" w:hAnsi="Verdana" w:cs="Times New Roman"/>
          <w:bCs/>
          <w:sz w:val="20"/>
          <w:szCs w:val="20"/>
          <w:lang w:bidi="es-ES"/>
        </w:rPr>
      </w:pPr>
      <w:r w:rsidRPr="007653F8">
        <w:rPr>
          <w:rFonts w:ascii="Verdana" w:eastAsia="Calibri" w:hAnsi="Verdana" w:cs="Times New Roman"/>
          <w:b/>
          <w:bCs/>
          <w:sz w:val="20"/>
          <w:szCs w:val="20"/>
          <w:lang w:bidi="es-ES"/>
        </w:rPr>
        <w:t>2.3.</w:t>
      </w:r>
      <w:r w:rsidRPr="007653F8">
        <w:rPr>
          <w:rFonts w:ascii="Verdana" w:eastAsia="Calibri" w:hAnsi="Verdana" w:cs="Times New Roman"/>
          <w:bCs/>
          <w:sz w:val="20"/>
          <w:szCs w:val="20"/>
          <w:lang w:bidi="es-ES"/>
        </w:rPr>
        <w:t> Cuando estos servicios son encargados mediante </w:t>
      </w:r>
      <w:r w:rsidRPr="007653F8">
        <w:rPr>
          <w:rFonts w:ascii="Verdana" w:eastAsia="Calibri" w:hAnsi="Verdana" w:cs="Times New Roman"/>
          <w:b/>
          <w:bCs/>
          <w:sz w:val="20"/>
          <w:szCs w:val="20"/>
          <w:lang w:bidi="es-ES"/>
        </w:rPr>
        <w:t>Contratos o Convenios Interadministrativos</w:t>
      </w:r>
      <w:r w:rsidRPr="007653F8">
        <w:rPr>
          <w:rFonts w:ascii="Verdana" w:eastAsia="Calibri" w:hAnsi="Verdana" w:cs="Times New Roman"/>
          <w:bCs/>
          <w:sz w:val="20"/>
          <w:szCs w:val="20"/>
          <w:lang w:bidi="es-ES"/>
        </w:rPr>
        <w:t xml:space="preserve"> entre entidades públicas (amparados en el literal </w:t>
      </w:r>
      <w:proofErr w:type="gramStart"/>
      <w:r w:rsidRPr="007653F8">
        <w:rPr>
          <w:rFonts w:ascii="Verdana" w:eastAsia="Calibri" w:hAnsi="Verdana" w:cs="Times New Roman"/>
          <w:bCs/>
          <w:sz w:val="20"/>
          <w:szCs w:val="20"/>
          <w:lang w:bidi="es-ES"/>
        </w:rPr>
        <w:t>e</w:t>
      </w:r>
      <w:proofErr w:type="gramEnd"/>
      <w:r w:rsidRPr="007653F8">
        <w:rPr>
          <w:rFonts w:ascii="Verdana" w:eastAsia="Calibri" w:hAnsi="Verdana" w:cs="Times New Roman"/>
          <w:bCs/>
          <w:sz w:val="20"/>
          <w:szCs w:val="20"/>
          <w:lang w:bidi="es-ES"/>
        </w:rPr>
        <w:t xml:space="preserve"> del numeral 4 del artículo 2 de la Ley 1150 de 2007), ¿cómo armoniza la autonomía administrativa y técnica del ejecutante con la supervisión de la entidad contratante respecto al manejo del recurso humano del subcontratista o aliado estratégico?</w:t>
      </w:r>
    </w:p>
    <w:p w14:paraId="63D2D5D9" w14:textId="77777777" w:rsidR="008F6F28" w:rsidRPr="007653F8" w:rsidRDefault="008F6F28" w:rsidP="008F6F28">
      <w:pPr>
        <w:spacing w:after="0" w:line="240" w:lineRule="auto"/>
        <w:ind w:left="709" w:right="709"/>
        <w:jc w:val="both"/>
        <w:rPr>
          <w:rFonts w:ascii="Verdana" w:eastAsia="Calibri" w:hAnsi="Verdana" w:cs="Times New Roman"/>
          <w:b/>
          <w:bCs/>
          <w:sz w:val="20"/>
          <w:szCs w:val="20"/>
          <w:lang w:bidi="es-ES"/>
        </w:rPr>
      </w:pPr>
      <w:r w:rsidRPr="007653F8">
        <w:rPr>
          <w:rFonts w:ascii="Verdana" w:eastAsia="Calibri" w:hAnsi="Verdana" w:cs="Times New Roman"/>
          <w:b/>
          <w:bCs/>
          <w:sz w:val="20"/>
          <w:szCs w:val="20"/>
          <w:lang w:bidi="es-ES"/>
        </w:rPr>
        <w:lastRenderedPageBreak/>
        <w:t>3. Sobre la articulación y alcance de las observaciones / hallazgos de la Contraloría frente al trámite de facturación e informes de supervisión</w:t>
      </w:r>
    </w:p>
    <w:p w14:paraId="2A62D4CD" w14:textId="77777777" w:rsidR="008F6F28" w:rsidRPr="007653F8" w:rsidRDefault="008F6F28" w:rsidP="008F6F28">
      <w:pPr>
        <w:numPr>
          <w:ilvl w:val="0"/>
          <w:numId w:val="21"/>
        </w:numPr>
        <w:spacing w:after="0" w:line="240" w:lineRule="auto"/>
        <w:ind w:right="709"/>
        <w:jc w:val="both"/>
        <w:rPr>
          <w:rFonts w:ascii="Verdana" w:eastAsia="Calibri" w:hAnsi="Verdana" w:cs="Times New Roman"/>
          <w:bCs/>
          <w:sz w:val="20"/>
          <w:szCs w:val="20"/>
          <w:lang w:bidi="es-ES"/>
        </w:rPr>
      </w:pPr>
      <w:r w:rsidRPr="007653F8">
        <w:rPr>
          <w:rFonts w:ascii="Verdana" w:eastAsia="Calibri" w:hAnsi="Verdana" w:cs="Times New Roman"/>
          <w:b/>
          <w:bCs/>
          <w:sz w:val="20"/>
          <w:szCs w:val="20"/>
          <w:lang w:bidi="es-ES"/>
        </w:rPr>
        <w:t>3.1.</w:t>
      </w:r>
      <w:r w:rsidRPr="007653F8">
        <w:rPr>
          <w:rFonts w:ascii="Verdana" w:eastAsia="Calibri" w:hAnsi="Verdana" w:cs="Times New Roman"/>
          <w:bCs/>
          <w:sz w:val="20"/>
          <w:szCs w:val="20"/>
          <w:lang w:bidi="es-ES"/>
        </w:rPr>
        <w:t> En la ejecución contractual pública, ¿una observación o informe preliminar/definitivo emitido por un órgano de control fiscal (como la Contraloría) dirigido a la supervisión de la entidad contratante faculta a esta para suspender de forma unánime o retener los pagos/</w:t>
      </w:r>
      <w:proofErr w:type="gramStart"/>
      <w:r w:rsidRPr="007653F8">
        <w:rPr>
          <w:rFonts w:ascii="Verdana" w:eastAsia="Calibri" w:hAnsi="Verdana" w:cs="Times New Roman"/>
          <w:bCs/>
          <w:sz w:val="20"/>
          <w:szCs w:val="20"/>
          <w:lang w:bidi="es-ES"/>
        </w:rPr>
        <w:t>facturaciones debidamente radicados</w:t>
      </w:r>
      <w:proofErr w:type="gramEnd"/>
      <w:r w:rsidRPr="007653F8">
        <w:rPr>
          <w:rFonts w:ascii="Verdana" w:eastAsia="Calibri" w:hAnsi="Verdana" w:cs="Times New Roman"/>
          <w:bCs/>
          <w:sz w:val="20"/>
          <w:szCs w:val="20"/>
          <w:lang w:bidi="es-ES"/>
        </w:rPr>
        <w:t xml:space="preserve"> por el contratista?</w:t>
      </w:r>
    </w:p>
    <w:p w14:paraId="2C8A96B0" w14:textId="77777777" w:rsidR="008F6F28" w:rsidRPr="007653F8" w:rsidRDefault="008F6F28" w:rsidP="008F6F28">
      <w:pPr>
        <w:numPr>
          <w:ilvl w:val="0"/>
          <w:numId w:val="21"/>
        </w:numPr>
        <w:spacing w:after="0" w:line="240" w:lineRule="auto"/>
        <w:ind w:right="709"/>
        <w:jc w:val="both"/>
        <w:rPr>
          <w:rFonts w:ascii="Verdana" w:eastAsia="Calibri" w:hAnsi="Verdana" w:cs="Times New Roman"/>
          <w:bCs/>
          <w:sz w:val="20"/>
          <w:szCs w:val="20"/>
          <w:lang w:bidi="es-ES"/>
        </w:rPr>
      </w:pPr>
      <w:r w:rsidRPr="007653F8">
        <w:rPr>
          <w:rFonts w:ascii="Verdana" w:eastAsia="Calibri" w:hAnsi="Verdana" w:cs="Times New Roman"/>
          <w:b/>
          <w:bCs/>
          <w:sz w:val="20"/>
          <w:szCs w:val="20"/>
          <w:lang w:bidi="es-ES"/>
        </w:rPr>
        <w:t>3.2.</w:t>
      </w:r>
      <w:r w:rsidRPr="007653F8">
        <w:rPr>
          <w:rFonts w:ascii="Verdana" w:eastAsia="Calibri" w:hAnsi="Verdana" w:cs="Times New Roman"/>
          <w:bCs/>
          <w:sz w:val="20"/>
          <w:szCs w:val="20"/>
          <w:lang w:bidi="es-ES"/>
        </w:rPr>
        <w:t> ¿Tiene fuerza vinculante o ejecutoria directa un hallazgo de auditoría de un ente de control para modificar la interpretación de la forma de pago pactada en el contrato principal, o deben observarse estrictamente los procedimientos contractuales de solución de controversias y el respeto por el principio de tipicidad y autonomía de la voluntad pactada?</w:t>
      </w:r>
    </w:p>
    <w:p w14:paraId="5BC3AC16" w14:textId="77777777" w:rsidR="008F6F28" w:rsidRPr="007653F8" w:rsidRDefault="008F6F28" w:rsidP="008F6F28">
      <w:pPr>
        <w:numPr>
          <w:ilvl w:val="0"/>
          <w:numId w:val="21"/>
        </w:numPr>
        <w:spacing w:after="0" w:line="240" w:lineRule="auto"/>
        <w:ind w:right="709"/>
        <w:jc w:val="both"/>
        <w:rPr>
          <w:rFonts w:ascii="Verdana" w:eastAsia="Calibri" w:hAnsi="Verdana" w:cs="Times New Roman"/>
          <w:bCs/>
          <w:sz w:val="20"/>
          <w:szCs w:val="20"/>
          <w:lang w:bidi="es-ES"/>
        </w:rPr>
      </w:pPr>
      <w:r w:rsidRPr="007653F8">
        <w:rPr>
          <w:rFonts w:ascii="Verdana" w:eastAsia="Calibri" w:hAnsi="Verdana" w:cs="Times New Roman"/>
          <w:b/>
          <w:bCs/>
          <w:sz w:val="20"/>
          <w:szCs w:val="20"/>
          <w:lang w:bidi="es-ES"/>
        </w:rPr>
        <w:t>3.3.</w:t>
      </w:r>
      <w:r w:rsidRPr="007653F8">
        <w:rPr>
          <w:rFonts w:ascii="Verdana" w:eastAsia="Calibri" w:hAnsi="Verdana" w:cs="Times New Roman"/>
          <w:bCs/>
          <w:sz w:val="20"/>
          <w:szCs w:val="20"/>
          <w:lang w:bidi="es-ES"/>
        </w:rPr>
        <w:t> Ante divergencias de interpretación suscitadas a raíz de una auditoría fiscal sobre la procedencia de descuentos en la facturación, ¿debe la entidad estatal continuar con el trámite de aprobación y pago del servicio recibido conforme a las reglas contractuales iniciales mientras se desatan las vías legales o de conciliación correspondientes?</w:t>
      </w:r>
    </w:p>
    <w:p w14:paraId="7CADB323" w14:textId="77777777" w:rsidR="008F6F28" w:rsidRPr="007653F8" w:rsidRDefault="008F6F28" w:rsidP="008F6F28">
      <w:pPr>
        <w:spacing w:after="0" w:line="240" w:lineRule="auto"/>
        <w:ind w:left="709" w:right="709"/>
        <w:jc w:val="both"/>
        <w:rPr>
          <w:rFonts w:ascii="Verdana" w:eastAsia="Calibri" w:hAnsi="Verdana" w:cs="Times New Roman"/>
          <w:b/>
          <w:bCs/>
          <w:sz w:val="20"/>
          <w:szCs w:val="20"/>
          <w:lang w:bidi="es-ES"/>
        </w:rPr>
      </w:pPr>
      <w:r w:rsidRPr="007653F8">
        <w:rPr>
          <w:rFonts w:ascii="Verdana" w:eastAsia="Calibri" w:hAnsi="Verdana" w:cs="Times New Roman"/>
          <w:b/>
          <w:bCs/>
          <w:sz w:val="20"/>
          <w:szCs w:val="20"/>
          <w:lang w:bidi="es-ES"/>
        </w:rPr>
        <w:t>4. Preguntas complementarias de profundización sobre la tipología contractual</w:t>
      </w:r>
    </w:p>
    <w:p w14:paraId="2EBE3C2E" w14:textId="77777777" w:rsidR="008F6F28" w:rsidRPr="007653F8" w:rsidRDefault="008F6F28" w:rsidP="008F6F28">
      <w:pPr>
        <w:numPr>
          <w:ilvl w:val="0"/>
          <w:numId w:val="22"/>
        </w:numPr>
        <w:spacing w:after="0" w:line="240" w:lineRule="auto"/>
        <w:ind w:right="709"/>
        <w:jc w:val="both"/>
        <w:rPr>
          <w:rFonts w:ascii="Verdana" w:eastAsia="Calibri" w:hAnsi="Verdana" w:cs="Times New Roman"/>
          <w:bCs/>
          <w:sz w:val="20"/>
          <w:szCs w:val="20"/>
          <w:lang w:bidi="es-ES"/>
        </w:rPr>
      </w:pPr>
      <w:r w:rsidRPr="007653F8">
        <w:rPr>
          <w:rFonts w:ascii="Verdana" w:eastAsia="Calibri" w:hAnsi="Verdana" w:cs="Times New Roman"/>
          <w:b/>
          <w:bCs/>
          <w:sz w:val="20"/>
          <w:szCs w:val="20"/>
          <w:lang w:bidi="es-ES"/>
        </w:rPr>
        <w:t>4.1. Equilibrio Económico y Lesión:</w:t>
      </w:r>
      <w:r w:rsidRPr="007653F8">
        <w:rPr>
          <w:rFonts w:ascii="Verdana" w:eastAsia="Calibri" w:hAnsi="Verdana" w:cs="Times New Roman"/>
          <w:bCs/>
          <w:sz w:val="20"/>
          <w:szCs w:val="20"/>
          <w:lang w:bidi="es-ES"/>
        </w:rPr>
        <w:t> ¿Exigir descuentos retributivos sobre la tarifa global de un servicio BPO por novedades de personal —mientras el contratista mantiene los costos fijos de la planta contratada e infraestructura activa— constituye una alteración unilateral de la ecuación económica del contrato?</w:t>
      </w:r>
    </w:p>
    <w:p w14:paraId="53176AEE" w14:textId="77777777" w:rsidR="008F6F28" w:rsidRPr="007653F8" w:rsidRDefault="008F6F28" w:rsidP="008F6F28">
      <w:pPr>
        <w:numPr>
          <w:ilvl w:val="0"/>
          <w:numId w:val="22"/>
        </w:numPr>
        <w:spacing w:after="0" w:line="240" w:lineRule="auto"/>
        <w:ind w:right="709"/>
        <w:jc w:val="both"/>
        <w:rPr>
          <w:rFonts w:ascii="Verdana" w:eastAsia="Calibri" w:hAnsi="Verdana" w:cs="Times New Roman"/>
          <w:bCs/>
          <w:sz w:val="20"/>
          <w:szCs w:val="20"/>
          <w:lang w:bidi="es-ES"/>
        </w:rPr>
      </w:pPr>
      <w:r w:rsidRPr="007653F8">
        <w:rPr>
          <w:rFonts w:ascii="Verdana" w:eastAsia="Calibri" w:hAnsi="Verdana" w:cs="Times New Roman"/>
          <w:b/>
          <w:bCs/>
          <w:sz w:val="20"/>
          <w:szCs w:val="20"/>
          <w:lang w:bidi="es-ES"/>
        </w:rPr>
        <w:t>4.2. Carácter Retroactivo de los Criterios de Aprobación:</w:t>
      </w:r>
      <w:r w:rsidRPr="007653F8">
        <w:rPr>
          <w:rFonts w:ascii="Verdana" w:eastAsia="Calibri" w:hAnsi="Verdana" w:cs="Times New Roman"/>
          <w:bCs/>
          <w:sz w:val="20"/>
          <w:szCs w:val="20"/>
          <w:lang w:bidi="es-ES"/>
        </w:rPr>
        <w:t> ¿Es conforme al principio de buena fe contractual (</w:t>
      </w:r>
      <w:proofErr w:type="spellStart"/>
      <w:r w:rsidRPr="007653F8">
        <w:rPr>
          <w:rFonts w:ascii="Verdana" w:eastAsia="Calibri" w:hAnsi="Verdana" w:cs="Times New Roman"/>
          <w:bCs/>
          <w:i/>
          <w:iCs/>
          <w:sz w:val="20"/>
          <w:szCs w:val="20"/>
          <w:lang w:bidi="es-ES"/>
        </w:rPr>
        <w:t>venire</w:t>
      </w:r>
      <w:proofErr w:type="spellEnd"/>
      <w:r w:rsidRPr="007653F8">
        <w:rPr>
          <w:rFonts w:ascii="Verdana" w:eastAsia="Calibri" w:hAnsi="Verdana" w:cs="Times New Roman"/>
          <w:bCs/>
          <w:i/>
          <w:iCs/>
          <w:sz w:val="20"/>
          <w:szCs w:val="20"/>
          <w:lang w:bidi="es-ES"/>
        </w:rPr>
        <w:t xml:space="preserve"> contra </w:t>
      </w:r>
      <w:proofErr w:type="spellStart"/>
      <w:r w:rsidRPr="007653F8">
        <w:rPr>
          <w:rFonts w:ascii="Verdana" w:eastAsia="Calibri" w:hAnsi="Verdana" w:cs="Times New Roman"/>
          <w:bCs/>
          <w:i/>
          <w:iCs/>
          <w:sz w:val="20"/>
          <w:szCs w:val="20"/>
          <w:lang w:bidi="es-ES"/>
        </w:rPr>
        <w:t>factum</w:t>
      </w:r>
      <w:proofErr w:type="spellEnd"/>
      <w:r w:rsidRPr="007653F8">
        <w:rPr>
          <w:rFonts w:ascii="Verdana" w:eastAsia="Calibri" w:hAnsi="Verdana" w:cs="Times New Roman"/>
          <w:bCs/>
          <w:i/>
          <w:iCs/>
          <w:sz w:val="20"/>
          <w:szCs w:val="20"/>
          <w:lang w:bidi="es-ES"/>
        </w:rPr>
        <w:t xml:space="preserve"> </w:t>
      </w:r>
      <w:proofErr w:type="spellStart"/>
      <w:r w:rsidRPr="007653F8">
        <w:rPr>
          <w:rFonts w:ascii="Verdana" w:eastAsia="Calibri" w:hAnsi="Verdana" w:cs="Times New Roman"/>
          <w:bCs/>
          <w:i/>
          <w:iCs/>
          <w:sz w:val="20"/>
          <w:szCs w:val="20"/>
          <w:lang w:bidi="es-ES"/>
        </w:rPr>
        <w:t>proprium</w:t>
      </w:r>
      <w:proofErr w:type="spellEnd"/>
      <w:r w:rsidRPr="007653F8">
        <w:rPr>
          <w:rFonts w:ascii="Verdana" w:eastAsia="Calibri" w:hAnsi="Verdana" w:cs="Times New Roman"/>
          <w:bCs/>
          <w:sz w:val="20"/>
          <w:szCs w:val="20"/>
          <w:lang w:bidi="es-ES"/>
        </w:rPr>
        <w:t>) y a la seguridad jurídica que la supervisión de una entidad pública aplique criterios de descuento de manera retroactiva a periodos de ejecución contractual previos que ya fueron formalmente auditados, conciliados, aprobados y liquidados o pagados?</w:t>
      </w:r>
    </w:p>
    <w:p w14:paraId="446E0B78" w14:textId="77777777" w:rsidR="008F6F28" w:rsidRPr="007653F8" w:rsidRDefault="008F6F28" w:rsidP="008F6F28">
      <w:pPr>
        <w:numPr>
          <w:ilvl w:val="0"/>
          <w:numId w:val="22"/>
        </w:numPr>
        <w:spacing w:after="0" w:line="240" w:lineRule="auto"/>
        <w:ind w:right="709"/>
        <w:jc w:val="both"/>
        <w:rPr>
          <w:rFonts w:ascii="Verdana" w:eastAsia="Calibri" w:hAnsi="Verdana" w:cs="Times New Roman"/>
          <w:bCs/>
          <w:sz w:val="20"/>
          <w:szCs w:val="20"/>
          <w:lang w:bidi="es-ES"/>
        </w:rPr>
      </w:pPr>
      <w:r w:rsidRPr="007653F8">
        <w:rPr>
          <w:rFonts w:ascii="Verdana" w:eastAsia="Calibri" w:hAnsi="Verdana" w:cs="Times New Roman"/>
          <w:b/>
          <w:bCs/>
          <w:sz w:val="20"/>
          <w:szCs w:val="20"/>
          <w:lang w:bidi="es-ES"/>
        </w:rPr>
        <w:t>4.3. Mecanismos Transitorios:</w:t>
      </w:r>
      <w:r w:rsidRPr="007653F8">
        <w:rPr>
          <w:rFonts w:ascii="Verdana" w:eastAsia="Calibri" w:hAnsi="Verdana" w:cs="Times New Roman"/>
          <w:bCs/>
          <w:sz w:val="20"/>
          <w:szCs w:val="20"/>
          <w:lang w:bidi="es-ES"/>
        </w:rPr>
        <w:t> En eventos de discrepancia sobre la aplicación de descuentos operativos, ¿qué figura o mecanismo jurídico recomienda Colombia Compra Eficiente para autorizar el trámite de pagos parciales o facturación transitoria que garantice la liquidez del prestador y la no interrupción de un servicio público o de interés social esencial?”</w:t>
      </w:r>
    </w:p>
    <w:p w14:paraId="4CBAE0B8" w14:textId="77777777" w:rsidR="008F6F28" w:rsidRPr="00812F2C" w:rsidRDefault="008F6F28" w:rsidP="008F6F28">
      <w:pPr>
        <w:spacing w:after="0" w:line="240" w:lineRule="auto"/>
        <w:ind w:left="709" w:right="709"/>
        <w:jc w:val="both"/>
        <w:rPr>
          <w:rFonts w:ascii="Verdana" w:eastAsia="Calibri" w:hAnsi="Verdana" w:cs="Times New Roman"/>
          <w:bCs/>
          <w:sz w:val="21"/>
          <w:szCs w:val="21"/>
          <w:lang w:bidi="es-ES"/>
        </w:rPr>
      </w:pPr>
    </w:p>
    <w:p w14:paraId="384BE2CA" w14:textId="77777777" w:rsidR="008F6F28" w:rsidRPr="00B57A1B" w:rsidRDefault="008F6F28" w:rsidP="008F6F28">
      <w:pPr>
        <w:spacing w:after="120" w:line="276" w:lineRule="auto"/>
        <w:ind w:firstLine="709"/>
        <w:jc w:val="both"/>
        <w:rPr>
          <w:rFonts w:ascii="Verdana" w:eastAsia="Calibri" w:hAnsi="Verdana" w:cs="Times New Roman"/>
          <w:lang w:val="es-ES"/>
        </w:rPr>
      </w:pPr>
      <w:r w:rsidRPr="00B57A1B">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w:t>
      </w:r>
      <w:r w:rsidRPr="00B57A1B">
        <w:rPr>
          <w:rFonts w:ascii="Verdana" w:eastAsia="Calibri" w:hAnsi="Verdana" w:cs="Times New Roman"/>
          <w:lang w:val="es-ES"/>
        </w:rPr>
        <w:lastRenderedPageBreak/>
        <w:t>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52482118" w14:textId="77777777" w:rsidR="008F6F28" w:rsidRPr="009741DE" w:rsidRDefault="008F6F28" w:rsidP="008F6F28">
      <w:pPr>
        <w:spacing w:after="0" w:line="276" w:lineRule="auto"/>
        <w:ind w:firstLine="708"/>
        <w:jc w:val="both"/>
        <w:rPr>
          <w:rFonts w:ascii="Verdana" w:eastAsia="Calibri" w:hAnsi="Verdana" w:cs="Times New Roman"/>
        </w:rPr>
      </w:pPr>
      <w:r w:rsidRPr="00B57A1B">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w:t>
      </w:r>
      <w:r>
        <w:rPr>
          <w:rFonts w:ascii="Verdana" w:eastAsia="Calibri" w:hAnsi="Verdana" w:cs="Times New Roman"/>
          <w:lang w:val="es-ES"/>
        </w:rPr>
        <w:t xml:space="preserve"> los problemas jurídicos de su consulta. </w:t>
      </w:r>
    </w:p>
    <w:p w14:paraId="342A7B06" w14:textId="77777777" w:rsidR="008F6F28" w:rsidRPr="00B57A1B" w:rsidRDefault="008F6F28" w:rsidP="008F6F28">
      <w:pPr>
        <w:spacing w:after="0" w:line="240" w:lineRule="auto"/>
        <w:rPr>
          <w:rFonts w:ascii="Verdana" w:eastAsia="Calibri" w:hAnsi="Verdana" w:cs="Times New Roman"/>
          <w:lang w:val="es-ES"/>
        </w:rPr>
      </w:pPr>
    </w:p>
    <w:p w14:paraId="5CBE5ED5" w14:textId="77777777" w:rsidR="008F6F28" w:rsidRPr="00B57A1B" w:rsidRDefault="008F6F28" w:rsidP="008F6F28">
      <w:pPr>
        <w:numPr>
          <w:ilvl w:val="0"/>
          <w:numId w:val="16"/>
        </w:numPr>
        <w:spacing w:after="0" w:line="240" w:lineRule="auto"/>
        <w:rPr>
          <w:rFonts w:ascii="Verdana" w:eastAsia="Calibri" w:hAnsi="Verdana" w:cs="Times New Roman"/>
          <w:b/>
          <w:bCs/>
          <w:lang w:val="es-ES"/>
        </w:rPr>
      </w:pPr>
      <w:r w:rsidRPr="00B57A1B">
        <w:rPr>
          <w:rFonts w:ascii="Verdana" w:eastAsia="Calibri" w:hAnsi="Verdana" w:cs="Times New Roman"/>
          <w:b/>
          <w:bCs/>
          <w:lang w:val="es-ES"/>
        </w:rPr>
        <w:t>Problema planteado:</w:t>
      </w:r>
    </w:p>
    <w:p w14:paraId="0E49006D" w14:textId="77777777" w:rsidR="008F6F28" w:rsidRPr="00B57A1B" w:rsidRDefault="008F6F28" w:rsidP="008F6F28">
      <w:pPr>
        <w:spacing w:after="0" w:line="240" w:lineRule="auto"/>
        <w:rPr>
          <w:rFonts w:ascii="Verdana" w:eastAsia="Calibri" w:hAnsi="Verdana" w:cs="Times New Roman"/>
        </w:rPr>
      </w:pPr>
    </w:p>
    <w:p w14:paraId="21A2106B" w14:textId="77777777" w:rsidR="008F6F28" w:rsidRPr="00581F5C" w:rsidRDefault="008F6F28" w:rsidP="008F6F28">
      <w:pPr>
        <w:spacing w:after="0" w:line="276" w:lineRule="auto"/>
        <w:jc w:val="both"/>
        <w:rPr>
          <w:rFonts w:ascii="Verdana" w:eastAsia="Calibri" w:hAnsi="Verdana"/>
        </w:rPr>
      </w:pPr>
      <w:r w:rsidRPr="00B57A1B">
        <w:rPr>
          <w:rFonts w:ascii="Verdana" w:eastAsia="Calibri" w:hAnsi="Verdana" w:cs="Times New Roman"/>
        </w:rPr>
        <w:t xml:space="preserve">De acuerdo </w:t>
      </w:r>
      <w:r>
        <w:rPr>
          <w:rFonts w:ascii="Verdana" w:eastAsia="Calibri" w:hAnsi="Verdana" w:cs="Times New Roman"/>
        </w:rPr>
        <w:t>con el contenido de sus solicitudes</w:t>
      </w:r>
      <w:r w:rsidRPr="00B57A1B">
        <w:rPr>
          <w:rFonts w:ascii="Verdana" w:eastAsia="Calibri" w:hAnsi="Verdana" w:cs="Times New Roman"/>
        </w:rPr>
        <w:t>, es</w:t>
      </w:r>
      <w:r>
        <w:rPr>
          <w:rFonts w:ascii="Verdana" w:eastAsia="Calibri" w:hAnsi="Verdana" w:cs="Times New Roman"/>
        </w:rPr>
        <w:t xml:space="preserve">ta Agencia procede a resolver los siguientes problemas jurídicos: i) </w:t>
      </w:r>
      <w:r w:rsidRPr="00581F5C">
        <w:rPr>
          <w:rFonts w:ascii="Verdana" w:eastAsia="Calibri" w:hAnsi="Verdana"/>
        </w:rPr>
        <w:t xml:space="preserve">¿En los contratos estatales cuyo objeto es la prestación de servicios integrales de BPO, </w:t>
      </w:r>
      <w:proofErr w:type="spellStart"/>
      <w:r w:rsidRPr="00581F5C">
        <w:rPr>
          <w:rFonts w:ascii="Verdana" w:eastAsia="Calibri" w:hAnsi="Verdana"/>
        </w:rPr>
        <w:t>Contact</w:t>
      </w:r>
      <w:proofErr w:type="spellEnd"/>
      <w:r w:rsidRPr="00581F5C">
        <w:rPr>
          <w:rFonts w:ascii="Verdana" w:eastAsia="Calibri" w:hAnsi="Verdana"/>
        </w:rPr>
        <w:t xml:space="preserve"> Center u Operación de Líneas de Atención, la remuneración debe configurarse como un precio global por la prestación continua e integral del servicio —basado en niveles de disponibilidad y acuerdos de nivel de servicio (ANS)— o puede entenderse como una contratación de suministro de personal/horas hombre?</w:t>
      </w:r>
      <w:r>
        <w:rPr>
          <w:rFonts w:ascii="Verdana" w:eastAsia="Calibri" w:hAnsi="Verdana"/>
        </w:rPr>
        <w:t>;</w:t>
      </w:r>
      <w:r>
        <w:rPr>
          <w:rFonts w:ascii="Verdana" w:eastAsia="Calibri" w:hAnsi="Verdana" w:cs="Times New Roman"/>
        </w:rPr>
        <w:t xml:space="preserve"> </w:t>
      </w:r>
      <w:proofErr w:type="spellStart"/>
      <w:r>
        <w:rPr>
          <w:rFonts w:ascii="Verdana" w:eastAsia="Calibri" w:hAnsi="Verdana" w:cs="Times New Roman"/>
        </w:rPr>
        <w:t>ii</w:t>
      </w:r>
      <w:proofErr w:type="spellEnd"/>
      <w:r>
        <w:rPr>
          <w:rFonts w:ascii="Verdana" w:eastAsia="Calibri" w:hAnsi="Verdana" w:cs="Times New Roman"/>
        </w:rPr>
        <w:t xml:space="preserve">) </w:t>
      </w:r>
      <w:r w:rsidRPr="00581F5C">
        <w:rPr>
          <w:rFonts w:ascii="Verdana" w:eastAsia="Calibri" w:hAnsi="Verdana" w:cs="Times New Roman"/>
        </w:rPr>
        <w:t>¿resulta procedente que la entidad contratante efectúe descuentos o glosas en la facturación mensual por novedades temporales del personal del prestador (licencias, incapacidades, permisos o sanciones), aun cuando se garantice la continuidad operativa y el cumplimiento de los indicadores de servicio mediante esquemas internos de contingencia?</w:t>
      </w:r>
      <w:r>
        <w:rPr>
          <w:rFonts w:ascii="Verdana" w:eastAsia="Calibri" w:hAnsi="Verdana" w:cs="Times New Roman"/>
        </w:rPr>
        <w:t xml:space="preserve">; </w:t>
      </w:r>
      <w:proofErr w:type="spellStart"/>
      <w:r>
        <w:rPr>
          <w:rFonts w:ascii="Verdana" w:eastAsia="Calibri" w:hAnsi="Verdana" w:cs="Times New Roman"/>
        </w:rPr>
        <w:t>iii</w:t>
      </w:r>
      <w:proofErr w:type="spellEnd"/>
      <w:r>
        <w:rPr>
          <w:rFonts w:ascii="Verdana" w:eastAsia="Calibri" w:hAnsi="Verdana" w:cs="Times New Roman"/>
        </w:rPr>
        <w:t xml:space="preserve">) </w:t>
      </w:r>
      <w:r w:rsidRPr="00311BD2">
        <w:rPr>
          <w:rFonts w:ascii="Verdana" w:eastAsia="Calibri" w:hAnsi="Verdana" w:cs="Times New Roman"/>
        </w:rPr>
        <w:t xml:space="preserve">¿Cuál es la naturaleza jurídica y el marco normativo aplicable a los contratos de prestación de servicios integrales de BPO, </w:t>
      </w:r>
      <w:proofErr w:type="spellStart"/>
      <w:r w:rsidRPr="00311BD2">
        <w:rPr>
          <w:rFonts w:ascii="Verdana" w:eastAsia="Calibri" w:hAnsi="Verdana" w:cs="Times New Roman"/>
        </w:rPr>
        <w:t>Contact</w:t>
      </w:r>
      <w:proofErr w:type="spellEnd"/>
      <w:r w:rsidRPr="00311BD2">
        <w:rPr>
          <w:rFonts w:ascii="Verdana" w:eastAsia="Calibri" w:hAnsi="Verdana" w:cs="Times New Roman"/>
        </w:rPr>
        <w:t xml:space="preserve"> Center u operación de líneas de atención, incluyendo sus elementos esenciales, características tipológicas y régimen de contratación pública?</w:t>
      </w:r>
      <w:r>
        <w:rPr>
          <w:rFonts w:ascii="Verdana" w:eastAsia="Calibri" w:hAnsi="Verdana" w:cs="Times New Roman"/>
        </w:rPr>
        <w:t xml:space="preserve">; </w:t>
      </w:r>
      <w:proofErr w:type="spellStart"/>
      <w:r>
        <w:rPr>
          <w:rFonts w:ascii="Verdana" w:eastAsia="Calibri" w:hAnsi="Verdana" w:cs="Times New Roman"/>
        </w:rPr>
        <w:t>iv</w:t>
      </w:r>
      <w:proofErr w:type="spellEnd"/>
      <w:r>
        <w:rPr>
          <w:rFonts w:ascii="Verdana" w:eastAsia="Calibri" w:hAnsi="Verdana" w:cs="Times New Roman"/>
        </w:rPr>
        <w:t xml:space="preserve">) </w:t>
      </w:r>
      <w:r w:rsidRPr="000C55F1">
        <w:rPr>
          <w:rFonts w:ascii="Verdana" w:eastAsia="Calibri" w:hAnsi="Verdana" w:cs="Times New Roman"/>
        </w:rPr>
        <w:t>¿Cómo debe armonizarse la autonomía administrativa y técnica de las entidades ejecutoras en contratos interadministrativos con la supervisión de la entidad contratante, especialmente respecto al manejo del recurso humano?</w:t>
      </w:r>
      <w:r>
        <w:rPr>
          <w:rFonts w:ascii="Verdana" w:eastAsia="Calibri" w:hAnsi="Verdana" w:cs="Times New Roman"/>
        </w:rPr>
        <w:t xml:space="preserve">; v) </w:t>
      </w:r>
      <w:r w:rsidRPr="00ED1E93">
        <w:rPr>
          <w:rFonts w:ascii="Verdana" w:eastAsia="Calibri" w:hAnsi="Verdana" w:cs="Times New Roman"/>
        </w:rPr>
        <w:t xml:space="preserve">¿En la ejecución de contratos estatales, los hallazgos u observaciones de los órganos de control fiscal —como la Contraloría— tienen fuerza vinculante </w:t>
      </w:r>
      <w:r w:rsidRPr="00ED1E93">
        <w:rPr>
          <w:rFonts w:ascii="Verdana" w:eastAsia="Calibri" w:hAnsi="Verdana" w:cs="Times New Roman"/>
        </w:rPr>
        <w:lastRenderedPageBreak/>
        <w:t>suficiente para facultar a la entidad contratante a suspender pagos, modificar la forma de pago pactada o efectuar descuentos en la facturación, o deben respetarse estrictamente las reglas contractuales iniciales, los procedimientos de solución de controversias y los principios de tipicidad y autonomía de la voluntad?</w:t>
      </w:r>
      <w:r>
        <w:rPr>
          <w:rFonts w:ascii="Verdana" w:eastAsia="Calibri" w:hAnsi="Verdana" w:cs="Times New Roman"/>
        </w:rPr>
        <w:t xml:space="preserve">; vi) </w:t>
      </w:r>
      <w:r w:rsidRPr="00AD6526">
        <w:rPr>
          <w:rFonts w:ascii="Verdana" w:eastAsia="Calibri" w:hAnsi="Verdana" w:cs="Times New Roman"/>
        </w:rPr>
        <w:t>¿En qué medida la aplicación de descuentos retributivos sobre la tarifa global de servicios BPO por novedades de personal, la adopción retroactiva de criterios de supervisión y la implementación de mecanismos transitorios de pago afectan el equilibrio económico del contrato estatal y la vigencia de los principios de buena fe, seguridad jurídica y continuidad en la prestación de servicios públicos esenciales?</w:t>
      </w:r>
    </w:p>
    <w:p w14:paraId="615CA2E6" w14:textId="77777777" w:rsidR="008F6F28" w:rsidRPr="00B57A1B" w:rsidRDefault="008F6F28" w:rsidP="008F6F28">
      <w:pPr>
        <w:spacing w:after="0" w:line="276" w:lineRule="auto"/>
        <w:jc w:val="both"/>
        <w:rPr>
          <w:rFonts w:ascii="Verdana" w:eastAsia="Calibri" w:hAnsi="Verdana" w:cs="Times New Roman"/>
          <w:i/>
          <w:iCs/>
          <w:lang w:val="es-ES"/>
        </w:rPr>
      </w:pPr>
    </w:p>
    <w:p w14:paraId="39E23D14" w14:textId="77777777" w:rsidR="008F6F28" w:rsidRPr="00B57A1B" w:rsidRDefault="008F6F28" w:rsidP="008F6F28">
      <w:pPr>
        <w:numPr>
          <w:ilvl w:val="0"/>
          <w:numId w:val="16"/>
        </w:numPr>
        <w:spacing w:after="0" w:line="256" w:lineRule="auto"/>
        <w:contextualSpacing/>
        <w:rPr>
          <w:rFonts w:ascii="Verdana" w:eastAsia="Calibri" w:hAnsi="Verdana" w:cs="Times New Roman"/>
          <w:b/>
          <w:bCs/>
          <w:lang w:val="es-ES"/>
        </w:rPr>
      </w:pPr>
      <w:r w:rsidRPr="00B57A1B">
        <w:rPr>
          <w:rFonts w:ascii="Verdana" w:eastAsia="Calibri" w:hAnsi="Verdana" w:cs="Times New Roman"/>
          <w:b/>
          <w:bCs/>
          <w:lang w:val="es-ES"/>
        </w:rPr>
        <w:t>Respuesta:</w:t>
      </w:r>
    </w:p>
    <w:p w14:paraId="374DF4D8" w14:textId="77777777" w:rsidR="008F6F28" w:rsidRPr="00B57A1B" w:rsidRDefault="008F6F28" w:rsidP="008F6F28">
      <w:pPr>
        <w:spacing w:after="0" w:line="276" w:lineRule="auto"/>
        <w:rPr>
          <w:rFonts w:ascii="Verdana" w:eastAsia="Calibri" w:hAnsi="Verdana" w:cs="Times New Roman"/>
          <w:b/>
          <w:bCs/>
          <w:lang w:val="es-ES"/>
        </w:rPr>
      </w:pPr>
    </w:p>
    <w:tbl>
      <w:tblPr>
        <w:tblStyle w:val="Tablaconcuadrcula"/>
        <w:tblW w:w="878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8F6F28" w:rsidRPr="00B57A1B" w14:paraId="141902CB" w14:textId="77777777" w:rsidTr="00AF1C96">
        <w:trPr>
          <w:trHeight w:val="345"/>
        </w:trPr>
        <w:tc>
          <w:tcPr>
            <w:tcW w:w="8784" w:type="dxa"/>
            <w:tcBorders>
              <w:bottom w:val="single" w:sz="4" w:space="0" w:color="auto"/>
            </w:tcBorders>
          </w:tcPr>
          <w:p w14:paraId="44B6CE5F" w14:textId="77777777" w:rsidR="008F6F28" w:rsidRDefault="008F6F28" w:rsidP="00AF1C96">
            <w:pPr>
              <w:spacing w:line="276" w:lineRule="auto"/>
              <w:jc w:val="both"/>
              <w:rPr>
                <w:rFonts w:ascii="Verdana" w:hAnsi="Verdana" w:cs="Arial"/>
                <w:lang w:val="es-ES" w:eastAsia="es-ES"/>
              </w:rPr>
            </w:pPr>
            <w:r>
              <w:rPr>
                <w:rFonts w:ascii="Verdana" w:hAnsi="Verdana" w:cs="Arial"/>
                <w:lang w:val="es-ES" w:eastAsia="es-ES"/>
              </w:rPr>
              <w:t>En relación con los problemas jurídicos de su consulta, se expresa lo siguiente:</w:t>
            </w:r>
          </w:p>
          <w:p w14:paraId="3417EC6D" w14:textId="77777777" w:rsidR="008F6F28" w:rsidRDefault="008F6F28" w:rsidP="00AF1C96">
            <w:pPr>
              <w:spacing w:line="276" w:lineRule="auto"/>
              <w:jc w:val="both"/>
              <w:rPr>
                <w:rFonts w:ascii="Verdana" w:hAnsi="Verdana" w:cs="Arial"/>
                <w:lang w:val="es-ES" w:eastAsia="es-ES"/>
              </w:rPr>
            </w:pPr>
          </w:p>
          <w:p w14:paraId="14D5EA3E" w14:textId="77777777" w:rsidR="008F6F28" w:rsidRDefault="008F6F28" w:rsidP="00AF1C96">
            <w:pPr>
              <w:spacing w:after="120" w:line="276" w:lineRule="auto"/>
              <w:jc w:val="both"/>
              <w:rPr>
                <w:rFonts w:ascii="Verdana" w:eastAsia="Calibri" w:hAnsi="Verdana"/>
                <w:color w:val="000000" w:themeColor="text1"/>
              </w:rPr>
            </w:pPr>
            <w:r>
              <w:rPr>
                <w:rFonts w:ascii="Verdana" w:eastAsia="Calibri" w:hAnsi="Verdana"/>
                <w:color w:val="000000" w:themeColor="text1"/>
              </w:rPr>
              <w:t xml:space="preserve">i. En relación con el primer problema jurídico, se expresa que, el valor o precio del Contrato BPO no necesariamente debe ser </w:t>
            </w:r>
            <w:r w:rsidRPr="007B6D8E">
              <w:rPr>
                <w:rFonts w:ascii="Verdana" w:eastAsia="Calibri" w:hAnsi="Verdana"/>
                <w:color w:val="000000" w:themeColor="text1"/>
              </w:rPr>
              <w:t>global, sino que depende</w:t>
            </w:r>
            <w:r>
              <w:rPr>
                <w:rFonts w:ascii="Verdana" w:eastAsia="Calibri" w:hAnsi="Verdana"/>
                <w:color w:val="000000" w:themeColor="text1"/>
              </w:rPr>
              <w:t xml:space="preserve"> del análisis económico, jurídico y técnico que parte de hacer un estudio del sector económico y de las necesidades del contrato, teniendo en cuenta que este tipo de servicios deben buscar criterios que puedan ser flexibles, sin dejar de lado los principios de economía, transparencia y la responsabilidad de las entidades públicas. En este caso, en los contratos BPO </w:t>
            </w:r>
            <w:r w:rsidRPr="008D5AB4">
              <w:rPr>
                <w:rFonts w:ascii="Verdana" w:eastAsia="Calibri" w:hAnsi="Verdana"/>
                <w:color w:val="000000" w:themeColor="text1"/>
              </w:rPr>
              <w:t xml:space="preserve">suele vincularse a variables dinámicas —por ejemplo, número de nóminas procesadas o volumen de llamadas atendidas—, lo que implica que el valor final del contrato no siempre </w:t>
            </w:r>
            <w:r>
              <w:rPr>
                <w:rFonts w:ascii="Verdana" w:eastAsia="Calibri" w:hAnsi="Verdana"/>
                <w:color w:val="000000" w:themeColor="text1"/>
              </w:rPr>
              <w:t xml:space="preserve">sea </w:t>
            </w:r>
            <w:r w:rsidRPr="008D5AB4">
              <w:rPr>
                <w:rFonts w:ascii="Verdana" w:eastAsia="Calibri" w:hAnsi="Verdana"/>
                <w:color w:val="000000" w:themeColor="text1"/>
              </w:rPr>
              <w:t>fijo, sino que depende de la ejecución real.</w:t>
            </w:r>
          </w:p>
          <w:p w14:paraId="6D87FB6D" w14:textId="77777777" w:rsidR="008F6F28" w:rsidRDefault="008F6F28" w:rsidP="00AF1C96">
            <w:pPr>
              <w:spacing w:after="120" w:line="276" w:lineRule="auto"/>
              <w:ind w:firstLine="709"/>
              <w:jc w:val="both"/>
              <w:rPr>
                <w:rFonts w:ascii="Verdana" w:eastAsia="Calibri" w:hAnsi="Verdana"/>
                <w:color w:val="000000" w:themeColor="text1"/>
              </w:rPr>
            </w:pPr>
            <w:r>
              <w:rPr>
                <w:rFonts w:ascii="Verdana" w:eastAsia="Calibri" w:hAnsi="Verdana"/>
                <w:color w:val="000000" w:themeColor="text1"/>
              </w:rPr>
              <w:t xml:space="preserve">Para </w:t>
            </w:r>
            <w:r w:rsidRPr="00EA1C6E">
              <w:rPr>
                <w:rFonts w:ascii="Verdana" w:eastAsia="Calibri" w:hAnsi="Verdana"/>
                <w:color w:val="000000" w:themeColor="text1"/>
              </w:rPr>
              <w:t>efectos de planeación, es de resaltar que la doctrina señala que la flexibilidad contractual</w:t>
            </w:r>
            <w:r>
              <w:rPr>
                <w:rFonts w:ascii="Verdana" w:eastAsia="Calibri" w:hAnsi="Verdana"/>
                <w:color w:val="000000" w:themeColor="text1"/>
              </w:rPr>
              <w:t xml:space="preserve"> del BPO</w:t>
            </w:r>
            <w:r w:rsidRPr="00EA1C6E">
              <w:rPr>
                <w:rFonts w:ascii="Verdana" w:eastAsia="Calibri" w:hAnsi="Verdana"/>
                <w:color w:val="000000" w:themeColor="text1"/>
              </w:rPr>
              <w:t xml:space="preserve"> puede reflejarse en distintos elementos del acuerdo, en especial, en la forma de pactar el precio del servicio externalizado. Este puede ser determinado o determinable sin afectar la validez del contrato, lo que permite ajustar las condiciones económicas a las variaciones del mercado o de la gestión. Un ejemplo de ello es la externalización de la gestión de nóminas, donde la arquitectura contractual flexible facilita la adaptación a las necesidades cambiantes de la organización. En este sentido, un Contrato BPO bien diseñado debe prever mecanismos de adaptación frente a cambios en la demanda o en las condiciones del negocio, evitando renegociaciones constantes y garantizando la continuidad del servicio. Para ello, </w:t>
            </w:r>
            <w:r>
              <w:rPr>
                <w:rFonts w:ascii="Verdana" w:eastAsia="Calibri" w:hAnsi="Verdana"/>
                <w:color w:val="000000" w:themeColor="text1"/>
              </w:rPr>
              <w:t xml:space="preserve">debe tenerse </w:t>
            </w:r>
            <w:r>
              <w:rPr>
                <w:rFonts w:ascii="Verdana" w:eastAsia="Calibri" w:hAnsi="Verdana"/>
                <w:color w:val="000000" w:themeColor="text1"/>
              </w:rPr>
              <w:lastRenderedPageBreak/>
              <w:t xml:space="preserve">en cuenta si </w:t>
            </w:r>
            <w:r w:rsidRPr="00EA1C6E">
              <w:rPr>
                <w:rFonts w:ascii="Verdana" w:eastAsia="Calibri" w:hAnsi="Verdana"/>
                <w:color w:val="000000" w:themeColor="text1"/>
              </w:rPr>
              <w:t>se utilizan</w:t>
            </w:r>
            <w:r>
              <w:rPr>
                <w:rFonts w:ascii="Verdana" w:eastAsia="Calibri" w:hAnsi="Verdana"/>
                <w:color w:val="000000" w:themeColor="text1"/>
              </w:rPr>
              <w:t xml:space="preserve"> en</w:t>
            </w:r>
            <w:r w:rsidRPr="00EA1C6E">
              <w:rPr>
                <w:rFonts w:ascii="Verdana" w:eastAsia="Calibri" w:hAnsi="Verdana"/>
                <w:color w:val="000000" w:themeColor="text1"/>
              </w:rPr>
              <w:t xml:space="preserve"> herramientas como los Acuerdos de Niveles de Servicio (ANS o SLA)</w:t>
            </w:r>
            <w:r>
              <w:rPr>
                <w:rFonts w:ascii="Verdana" w:eastAsia="Calibri" w:hAnsi="Verdana"/>
                <w:color w:val="000000" w:themeColor="text1"/>
              </w:rPr>
              <w:t xml:space="preserve"> </w:t>
            </w:r>
            <w:r w:rsidRPr="00EA1C6E">
              <w:rPr>
                <w:rFonts w:ascii="Verdana" w:eastAsia="Calibri" w:hAnsi="Verdana"/>
                <w:color w:val="000000" w:themeColor="text1"/>
              </w:rPr>
              <w:t>y los Términos de Referencia (</w:t>
            </w:r>
            <w:proofErr w:type="spellStart"/>
            <w:r w:rsidRPr="00EA1C6E">
              <w:rPr>
                <w:rFonts w:ascii="Verdana" w:eastAsia="Calibri" w:hAnsi="Verdana"/>
                <w:color w:val="000000" w:themeColor="text1"/>
              </w:rPr>
              <w:t>TdR</w:t>
            </w:r>
            <w:proofErr w:type="spellEnd"/>
            <w:r w:rsidRPr="00EA1C6E">
              <w:rPr>
                <w:rFonts w:ascii="Verdana" w:eastAsia="Calibri" w:hAnsi="Verdana"/>
                <w:color w:val="000000" w:themeColor="text1"/>
              </w:rPr>
              <w:t>), que permiten ajustar tiempos de respuesta, volúmenes de trabajo o estándares de calidad de manera automática y proporcional</w:t>
            </w:r>
          </w:p>
          <w:p w14:paraId="14C57990" w14:textId="77777777" w:rsidR="008F6F28" w:rsidRDefault="008F6F28" w:rsidP="00AF1C96">
            <w:pPr>
              <w:spacing w:after="120" w:line="276" w:lineRule="auto"/>
              <w:ind w:firstLine="708"/>
              <w:jc w:val="both"/>
              <w:rPr>
                <w:rFonts w:ascii="Verdana" w:eastAsia="Calibri" w:hAnsi="Verdana"/>
                <w:color w:val="000000" w:themeColor="text1"/>
              </w:rPr>
            </w:pPr>
            <w:r w:rsidRPr="008D5AB4">
              <w:rPr>
                <w:rFonts w:ascii="Verdana" w:eastAsia="Calibri" w:hAnsi="Verdana"/>
                <w:color w:val="000000" w:themeColor="text1"/>
              </w:rPr>
              <w:t>Este esquema refleja una lógica similar a la de los contratos de precios unitarios en obra pública: el valor inicial es referencial</w:t>
            </w:r>
            <w:r>
              <w:rPr>
                <w:rFonts w:ascii="Verdana" w:eastAsia="Calibri" w:hAnsi="Verdana"/>
                <w:color w:val="000000" w:themeColor="text1"/>
              </w:rPr>
              <w:t xml:space="preserve"> o estimativo</w:t>
            </w:r>
            <w:r w:rsidRPr="008D5AB4">
              <w:rPr>
                <w:rFonts w:ascii="Verdana" w:eastAsia="Calibri" w:hAnsi="Verdana"/>
                <w:color w:val="000000" w:themeColor="text1"/>
              </w:rPr>
              <w:t xml:space="preserve">, mientras que el definitivo se consolida con la prestación efectiva del servicio. Así, la </w:t>
            </w:r>
            <w:r>
              <w:rPr>
                <w:rFonts w:ascii="Verdana" w:eastAsia="Calibri" w:hAnsi="Verdana"/>
                <w:color w:val="000000" w:themeColor="text1"/>
              </w:rPr>
              <w:t xml:space="preserve">estructura </w:t>
            </w:r>
            <w:r w:rsidRPr="008D5AB4">
              <w:rPr>
                <w:rFonts w:ascii="Verdana" w:eastAsia="Calibri" w:hAnsi="Verdana"/>
                <w:color w:val="000000" w:themeColor="text1"/>
              </w:rPr>
              <w:t>flexible del contrato permite equilibrar seguridad jurídica y adaptabilidad económica, garantizando que el proveedor reciba una remuneración justa y que la entidad contratante pague conforme a la necesidad real del servicio.</w:t>
            </w:r>
          </w:p>
          <w:p w14:paraId="76D5519E" w14:textId="77777777" w:rsidR="008F6F28" w:rsidRDefault="008F6F28" w:rsidP="00AF1C96">
            <w:pPr>
              <w:spacing w:line="276" w:lineRule="auto"/>
              <w:ind w:firstLine="709"/>
              <w:jc w:val="both"/>
              <w:rPr>
                <w:rFonts w:ascii="Verdana" w:eastAsia="Calibri" w:hAnsi="Verdana"/>
                <w:color w:val="000000" w:themeColor="text1"/>
              </w:rPr>
            </w:pPr>
            <w:r w:rsidRPr="00615186">
              <w:rPr>
                <w:rFonts w:ascii="Verdana" w:eastAsia="Calibri" w:hAnsi="Verdana"/>
                <w:color w:val="000000" w:themeColor="text1"/>
              </w:rPr>
              <w:t xml:space="preserve">En todo caso, el valor y forma de pago de este tipo de contratos BPO deben atender </w:t>
            </w:r>
            <w:r w:rsidRPr="00615186">
              <w:rPr>
                <w:rFonts w:ascii="Verdana" w:eastAsia="Verdana" w:hAnsi="Verdana" w:cs="Verdana"/>
                <w:color w:val="000000"/>
                <w:lang w:eastAsia="es-CO"/>
              </w:rPr>
              <w:t>al análisis del sector, que debe partir de la caracterización de la necesidad y las alternativas para satisfacerla; las especificaciones técnicas derivadas del análisis del mercado; la caracterización del sector desde las perspectivas legal, comercial, financiera, organizacional y técnica; el estudio de la demanda y del gasto histórico; la identificación de la oferta y de los proveedores; y la justificación del valor estimado del contrato sustentada en información real del mercado.</w:t>
            </w:r>
            <w:r>
              <w:rPr>
                <w:rFonts w:ascii="Verdana" w:eastAsia="Verdana" w:hAnsi="Verdana" w:cs="Verdana"/>
                <w:color w:val="000000"/>
                <w:lang w:eastAsia="es-CO"/>
              </w:rPr>
              <w:t xml:space="preserve"> </w:t>
            </w:r>
          </w:p>
          <w:p w14:paraId="70A8FF19" w14:textId="77777777" w:rsidR="008F6F28" w:rsidRDefault="008F6F28" w:rsidP="00AF1C96">
            <w:pPr>
              <w:spacing w:line="276" w:lineRule="auto"/>
              <w:jc w:val="both"/>
              <w:rPr>
                <w:rFonts w:ascii="Verdana" w:eastAsia="Calibri" w:hAnsi="Verdana"/>
                <w:color w:val="000000" w:themeColor="text1"/>
              </w:rPr>
            </w:pPr>
          </w:p>
          <w:p w14:paraId="1E4F6715" w14:textId="77777777" w:rsidR="008F6F28" w:rsidRPr="006456CF" w:rsidRDefault="008F6F28" w:rsidP="00AF1C96">
            <w:pPr>
              <w:spacing w:after="120" w:line="276" w:lineRule="auto"/>
              <w:jc w:val="both"/>
              <w:rPr>
                <w:rFonts w:ascii="Verdana" w:eastAsia="Aptos" w:hAnsi="Verdana" w:cs="Arial"/>
                <w:bCs/>
              </w:rPr>
            </w:pPr>
            <w:proofErr w:type="spellStart"/>
            <w:r>
              <w:rPr>
                <w:rFonts w:ascii="Verdana" w:eastAsia="Aptos" w:hAnsi="Verdana" w:cs="Arial"/>
                <w:bCs/>
              </w:rPr>
              <w:t>ii</w:t>
            </w:r>
            <w:proofErr w:type="spellEnd"/>
            <w:r>
              <w:rPr>
                <w:rFonts w:ascii="Verdana" w:eastAsia="Aptos" w:hAnsi="Verdana" w:cs="Arial"/>
                <w:bCs/>
              </w:rPr>
              <w:t>. En torno al segundo problema jurídico, e</w:t>
            </w:r>
            <w:r w:rsidRPr="006456CF">
              <w:rPr>
                <w:rFonts w:ascii="Verdana" w:eastAsia="Aptos" w:hAnsi="Verdana" w:cs="Arial"/>
                <w:bCs/>
              </w:rPr>
              <w:t xml:space="preserve">n los contratos de externalización de servicios BPO, como los </w:t>
            </w:r>
            <w:proofErr w:type="spellStart"/>
            <w:r w:rsidRPr="006456CF">
              <w:rPr>
                <w:rFonts w:ascii="Verdana" w:eastAsia="Aptos" w:hAnsi="Verdana" w:cs="Arial"/>
                <w:bCs/>
                <w:i/>
                <w:iCs/>
              </w:rPr>
              <w:t>call</w:t>
            </w:r>
            <w:proofErr w:type="spellEnd"/>
            <w:r w:rsidRPr="006456CF">
              <w:rPr>
                <w:rFonts w:ascii="Verdana" w:eastAsia="Aptos" w:hAnsi="Verdana" w:cs="Arial"/>
                <w:bCs/>
                <w:i/>
                <w:iCs/>
              </w:rPr>
              <w:t xml:space="preserve"> centres</w:t>
            </w:r>
            <w:r w:rsidRPr="006456CF">
              <w:rPr>
                <w:rFonts w:ascii="Verdana" w:eastAsia="Aptos" w:hAnsi="Verdana" w:cs="Arial"/>
                <w:bCs/>
              </w:rPr>
              <w:t xml:space="preserve">, la supervisión no puede limitarse a verificar el cumplimiento de los niveles de servicio pactados en los Acuerdos de Nivel de Servicio (ANS). Debe también examinar de manera detallada la </w:t>
            </w:r>
            <w:r w:rsidRPr="006456CF">
              <w:rPr>
                <w:rFonts w:ascii="Verdana" w:eastAsia="Aptos" w:hAnsi="Verdana" w:cs="Arial"/>
              </w:rPr>
              <w:t>estructura del valor y la forma de pago,</w:t>
            </w:r>
            <w:r w:rsidRPr="006456CF">
              <w:rPr>
                <w:rFonts w:ascii="Verdana" w:eastAsia="Aptos" w:hAnsi="Verdana" w:cs="Arial"/>
                <w:bCs/>
              </w:rPr>
              <w:t xml:space="preserve"> pues de ello depende la procedencia de descuentos, ajustes o retenciones en la remuneración del proveedor. Este análisis es </w:t>
            </w:r>
            <w:r>
              <w:rPr>
                <w:rFonts w:ascii="Verdana" w:eastAsia="Aptos" w:hAnsi="Verdana" w:cs="Arial"/>
                <w:bCs/>
              </w:rPr>
              <w:t>pertinente</w:t>
            </w:r>
            <w:r w:rsidRPr="006456CF">
              <w:rPr>
                <w:rFonts w:ascii="Verdana" w:eastAsia="Aptos" w:hAnsi="Verdana" w:cs="Arial"/>
                <w:bCs/>
              </w:rPr>
              <w:t xml:space="preserve"> para garantizar que la contraprestación refleje el servicio efectivamente ejecutado y que las medidas de control se apliquen con proporcionalidad.</w:t>
            </w:r>
          </w:p>
          <w:p w14:paraId="673253FD" w14:textId="77777777" w:rsidR="008F6F28" w:rsidRPr="006456CF" w:rsidRDefault="008F6F28" w:rsidP="00AF1C96">
            <w:pPr>
              <w:spacing w:after="120" w:line="276" w:lineRule="auto"/>
              <w:ind w:firstLine="709"/>
              <w:jc w:val="both"/>
              <w:rPr>
                <w:rFonts w:ascii="Verdana" w:eastAsia="Aptos" w:hAnsi="Verdana" w:cs="Arial"/>
                <w:bCs/>
              </w:rPr>
            </w:pPr>
            <w:r w:rsidRPr="006456CF">
              <w:rPr>
                <w:rFonts w:ascii="Verdana" w:eastAsia="Aptos" w:hAnsi="Verdana" w:cs="Arial"/>
                <w:bCs/>
              </w:rPr>
              <w:t xml:space="preserve">La supervisión debe determinar si el contrato se diseñó bajo un esquema de precio global o de precio por servicio efectivamente prestado, y verificar que las obligaciones se cumplan en la práctica. En este punto, corresponde a cada entidad estatal definir los mecanismos de control que resulten pertinentes, necesarios y proporcionales, atendiendo al contenido del contrato, los riesgos previamente identificados y las condiciones de ejecución. </w:t>
            </w:r>
            <w:r w:rsidRPr="006456CF">
              <w:rPr>
                <w:rFonts w:ascii="Verdana" w:eastAsia="Aptos" w:hAnsi="Verdana" w:cs="Arial"/>
                <w:bCs/>
              </w:rPr>
              <w:lastRenderedPageBreak/>
              <w:t xml:space="preserve">La ausencia de este análisis puede generar </w:t>
            </w:r>
            <w:r>
              <w:rPr>
                <w:rFonts w:ascii="Verdana" w:eastAsia="Aptos" w:hAnsi="Verdana" w:cs="Arial"/>
                <w:bCs/>
              </w:rPr>
              <w:t xml:space="preserve">afectaciones económicas al contratista, sin una justificación previa. </w:t>
            </w:r>
          </w:p>
          <w:p w14:paraId="10CCF611" w14:textId="77777777" w:rsidR="008F6F28" w:rsidRDefault="008F6F28" w:rsidP="00AF1C96">
            <w:pPr>
              <w:spacing w:line="276" w:lineRule="auto"/>
              <w:ind w:firstLine="709"/>
              <w:jc w:val="both"/>
              <w:rPr>
                <w:rFonts w:ascii="Verdana" w:eastAsia="Aptos" w:hAnsi="Verdana" w:cs="Arial"/>
                <w:bCs/>
              </w:rPr>
            </w:pPr>
            <w:r w:rsidRPr="006456CF">
              <w:rPr>
                <w:rFonts w:ascii="Verdana" w:eastAsia="Aptos" w:hAnsi="Verdana" w:cs="Arial"/>
                <w:bCs/>
              </w:rPr>
              <w:t>Finalmente, es importante señalar que no existe una periodicidad uniforme para la aplicación de estos controles: pueden vincularse a informes de ejecución, cuentas de cobro, facturas, hitos contractuales o la modalidad de prestación del servicio. Tales condiciones deben quedar claramente definidas desde la fase de estructuración del proceso, sin perjuicio de que el supervisor o interventor solicite información adicional cuando advierta hechos que puedan poner en riesgo el cumplimiento contractual. En caso de identificar un posible incumplimiento, el supervisor tiene el deber de documentar los hechos, requerir explicaciones al contratista y mantener informada a la entidad estatal, asegurando transparencia y eficacia en la gestión contractual.</w:t>
            </w:r>
          </w:p>
          <w:p w14:paraId="2208A5E5" w14:textId="77777777" w:rsidR="008F6F28" w:rsidRPr="00225C1C" w:rsidRDefault="008F6F28" w:rsidP="00AF1C96">
            <w:pPr>
              <w:spacing w:line="276" w:lineRule="auto"/>
              <w:ind w:firstLine="709"/>
              <w:jc w:val="both"/>
              <w:rPr>
                <w:rFonts w:ascii="Verdana" w:eastAsia="Aptos" w:hAnsi="Verdana" w:cs="Arial"/>
                <w:bCs/>
              </w:rPr>
            </w:pPr>
          </w:p>
          <w:p w14:paraId="40D1131D" w14:textId="77777777" w:rsidR="008F6F28" w:rsidRPr="00916BBA" w:rsidRDefault="008F6F28" w:rsidP="00AF1C96">
            <w:pPr>
              <w:spacing w:after="120" w:line="276" w:lineRule="auto"/>
              <w:jc w:val="both"/>
              <w:rPr>
                <w:rFonts w:ascii="Verdana" w:hAnsi="Verdana" w:cs="Arial"/>
                <w:bCs/>
                <w:color w:val="000000" w:themeColor="text1"/>
                <w:sz w:val="20"/>
                <w:szCs w:val="20"/>
              </w:rPr>
            </w:pPr>
            <w:proofErr w:type="spellStart"/>
            <w:r>
              <w:rPr>
                <w:rFonts w:ascii="Verdana" w:eastAsia="Calibri" w:hAnsi="Verdana"/>
                <w:color w:val="000000" w:themeColor="text1"/>
              </w:rPr>
              <w:t>iii</w:t>
            </w:r>
            <w:proofErr w:type="spellEnd"/>
            <w:r>
              <w:rPr>
                <w:rFonts w:ascii="Verdana" w:eastAsia="Calibri" w:hAnsi="Verdana"/>
                <w:color w:val="000000" w:themeColor="text1"/>
              </w:rPr>
              <w:t>. Para resolver el tercer problema jurídico de su consulta, se detalla que d</w:t>
            </w:r>
            <w:r>
              <w:rPr>
                <w:rFonts w:ascii="Verdana" w:hAnsi="Verdana" w:cs="Arial"/>
                <w:bCs/>
                <w:color w:val="000000" w:themeColor="text1"/>
              </w:rPr>
              <w:t xml:space="preserve">entro de este tipo de contratos </w:t>
            </w:r>
            <w:r w:rsidRPr="00B22C80">
              <w:rPr>
                <w:rFonts w:ascii="Verdana" w:hAnsi="Verdana" w:cs="Arial"/>
                <w:bCs/>
                <w:color w:val="000000" w:themeColor="text1"/>
              </w:rPr>
              <w:t>se encuentran los BPO (Business Process Outsourcing), conocidos en español como subcontratación de procesos de negocio. Est</w:t>
            </w:r>
            <w:r>
              <w:rPr>
                <w:rFonts w:ascii="Verdana" w:hAnsi="Verdana" w:cs="Arial"/>
                <w:bCs/>
                <w:color w:val="000000" w:themeColor="text1"/>
              </w:rPr>
              <w:t xml:space="preserve">e contrato atípico que </w:t>
            </w:r>
            <w:r w:rsidRPr="00B22C80">
              <w:rPr>
                <w:rFonts w:ascii="Verdana" w:hAnsi="Verdana" w:cs="Arial"/>
                <w:bCs/>
                <w:color w:val="000000" w:themeColor="text1"/>
              </w:rPr>
              <w:t xml:space="preserve">consiste en la práctica de contratar proveedores externos especializados para gestionar funciones o procesos que, si bien son necesarios para el funcionamiento de la entidad, no constituyen </w:t>
            </w:r>
            <w:r>
              <w:rPr>
                <w:rFonts w:ascii="Verdana" w:hAnsi="Verdana" w:cs="Arial"/>
                <w:bCs/>
                <w:color w:val="000000" w:themeColor="text1"/>
              </w:rPr>
              <w:t>en principio su propósito o misión</w:t>
            </w:r>
            <w:r w:rsidRPr="00B22C80">
              <w:rPr>
                <w:rFonts w:ascii="Verdana" w:hAnsi="Verdana" w:cs="Arial"/>
                <w:bCs/>
                <w:color w:val="000000" w:themeColor="text1"/>
              </w:rPr>
              <w:t>.</w:t>
            </w:r>
            <w:r>
              <w:rPr>
                <w:rFonts w:ascii="Verdana" w:hAnsi="Verdana" w:cs="Arial"/>
                <w:bCs/>
                <w:color w:val="000000" w:themeColor="text1"/>
              </w:rPr>
              <w:t xml:space="preserve"> </w:t>
            </w:r>
            <w:r w:rsidRPr="00B22C80">
              <w:rPr>
                <w:rFonts w:ascii="Verdana" w:hAnsi="Verdana" w:cs="Arial"/>
                <w:bCs/>
                <w:color w:val="000000" w:themeColor="text1"/>
              </w:rPr>
              <w:t xml:space="preserve">El BPO se ha consolidado como un mecanismo eficiente para optimizar recursos, mejorar la calidad del servicio y permitir que las organizaciones públicas o privadas concentren sus esfuerzos en actividades estratégicas. </w:t>
            </w:r>
          </w:p>
          <w:p w14:paraId="2FD71FF8" w14:textId="77777777" w:rsidR="008F6F28" w:rsidRPr="001E3F1C" w:rsidRDefault="008F6F28" w:rsidP="00AF1C96">
            <w:pPr>
              <w:spacing w:after="120" w:line="276" w:lineRule="auto"/>
              <w:ind w:firstLine="708"/>
              <w:jc w:val="both"/>
              <w:rPr>
                <w:rFonts w:ascii="Verdana" w:eastAsia="Calibri" w:hAnsi="Verdana"/>
                <w:color w:val="000000" w:themeColor="text1"/>
              </w:rPr>
            </w:pPr>
            <w:r>
              <w:rPr>
                <w:rFonts w:ascii="Verdana" w:eastAsia="Calibri" w:hAnsi="Verdana"/>
                <w:color w:val="000000" w:themeColor="text1"/>
              </w:rPr>
              <w:t>Así pues</w:t>
            </w:r>
            <w:r w:rsidRPr="001E3F1C">
              <w:rPr>
                <w:rFonts w:ascii="Verdana" w:eastAsia="Calibri" w:hAnsi="Verdana"/>
                <w:color w:val="000000" w:themeColor="text1"/>
              </w:rPr>
              <w:t xml:space="preserve">, los contratos de Business Process Outsourcing (BPO) constituyen una herramienta estratégica para optimizar y, en lo posible, automatizar procesos de negocio, lo que permite reducir gastos operativos y transformar costes fijos en variables. La garantía de los procesos recae en la empresa especializada que asume la externalización, de ahí la importancia de seleccionar proveedores con experiencia y capacidad de asesoramiento, capaces de generar confianza y orientar al cliente en la mejor forma de ejecutar las operaciones. Este modelo facilita que las organizaciones concentren sus esfuerzos en su actividad principal y, al mismo tiempo, les otorga flexibilidad para adaptarse a cambios del entorno, incluso posibilitando el lanzamiento ágil de nuevas líneas de negocio gracias a la eliminación de gastos de estructura. </w:t>
            </w:r>
          </w:p>
          <w:p w14:paraId="6AF23E2A" w14:textId="77777777" w:rsidR="008F6F28" w:rsidRPr="006416E4" w:rsidRDefault="008F6F28" w:rsidP="00AF1C96">
            <w:pPr>
              <w:spacing w:line="276" w:lineRule="auto"/>
              <w:ind w:firstLine="709"/>
              <w:jc w:val="both"/>
              <w:rPr>
                <w:rFonts w:ascii="Verdana" w:eastAsia="Calibri" w:hAnsi="Verdana"/>
                <w:color w:val="000000" w:themeColor="text1"/>
              </w:rPr>
            </w:pPr>
            <w:r w:rsidRPr="007E538D">
              <w:rPr>
                <w:rFonts w:ascii="Verdana" w:eastAsia="Calibri" w:hAnsi="Verdana"/>
                <w:color w:val="000000" w:themeColor="text1"/>
              </w:rPr>
              <w:lastRenderedPageBreak/>
              <w:t xml:space="preserve">Desde el punto de vista jurídico, los contratos BPO pueden catalogarse como </w:t>
            </w:r>
            <w:r w:rsidRPr="00D64DAC">
              <w:rPr>
                <w:rFonts w:ascii="Verdana" w:eastAsia="Calibri" w:hAnsi="Verdana"/>
                <w:color w:val="000000" w:themeColor="text1"/>
              </w:rPr>
              <w:t>contratos mixtos y atípicos</w:t>
            </w:r>
            <w:r w:rsidRPr="007E538D">
              <w:rPr>
                <w:rFonts w:ascii="Verdana" w:eastAsia="Calibri" w:hAnsi="Verdana"/>
                <w:color w:val="000000" w:themeColor="text1"/>
              </w:rPr>
              <w:t>, pues no se encuentran tipificados en la legislación civil, comercial ni en el régimen de contratación pública. En la práctica, suelen integrar elementos de prestación de servicios, consultoría y otras tipologías contractuales, dependiendo de las necesidades específicas de la entidad estatal. Esta naturaleza híbrida exige un análisis flexible que reconozca la pluralidad de obligaciones que pueden coexistir en un mismo acuerdo.</w:t>
            </w:r>
            <w:r>
              <w:rPr>
                <w:rFonts w:ascii="Verdana" w:eastAsia="Calibri" w:hAnsi="Verdana"/>
                <w:color w:val="000000" w:themeColor="text1"/>
              </w:rPr>
              <w:t xml:space="preserve"> </w:t>
            </w:r>
            <w:r>
              <w:rPr>
                <w:rFonts w:ascii="Verdana" w:eastAsia="Calibri" w:hAnsi="Verdana"/>
                <w:color w:val="000000" w:themeColor="text1"/>
                <w:lang w:val="es-ES_tradnl"/>
              </w:rPr>
              <w:t xml:space="preserve">Por ello, como contrato atípico, la doctrina sugiere integrar su contenido teniendo en cuenta los siguientes criterios: “[…] </w:t>
            </w:r>
            <w:r w:rsidRPr="00DE4EF6">
              <w:rPr>
                <w:rFonts w:ascii="Verdana" w:eastAsia="Calibri" w:hAnsi="Verdana"/>
                <w:color w:val="000000" w:themeColor="text1"/>
                <w:lang w:val="es-ES_tradnl"/>
              </w:rPr>
              <w:t>1°) las leyes imperativas; 2°) las cláusulas libremente redactadas o estipuladas</w:t>
            </w:r>
            <w:r>
              <w:rPr>
                <w:rFonts w:ascii="Verdana" w:eastAsia="Calibri" w:hAnsi="Verdana"/>
                <w:color w:val="000000" w:themeColor="text1"/>
                <w:lang w:val="es-ES_tradnl"/>
              </w:rPr>
              <w:t xml:space="preserve"> </w:t>
            </w:r>
            <w:r w:rsidRPr="00DE4EF6">
              <w:rPr>
                <w:rFonts w:ascii="Verdana" w:eastAsia="Calibri" w:hAnsi="Verdana"/>
                <w:color w:val="000000" w:themeColor="text1"/>
                <w:lang w:val="es-ES_tradnl"/>
              </w:rPr>
              <w:t>por los agentes; 3°) las reglas generales de los actos jurídicos y de los contratos,</w:t>
            </w:r>
            <w:r>
              <w:rPr>
                <w:rFonts w:ascii="Verdana" w:eastAsia="Calibri" w:hAnsi="Verdana"/>
                <w:color w:val="000000" w:themeColor="text1"/>
                <w:lang w:val="es-ES_tradnl"/>
              </w:rPr>
              <w:t xml:space="preserve"> </w:t>
            </w:r>
            <w:r w:rsidRPr="00DE4EF6">
              <w:rPr>
                <w:rFonts w:ascii="Verdana" w:eastAsia="Calibri" w:hAnsi="Verdana"/>
                <w:color w:val="000000" w:themeColor="text1"/>
                <w:lang w:val="es-ES_tradnl"/>
              </w:rPr>
              <w:t>según el caso; 4°) las reglas propias del contrato típico más próximo o semejante,</w:t>
            </w:r>
            <w:r>
              <w:rPr>
                <w:rFonts w:ascii="Verdana" w:eastAsia="Calibri" w:hAnsi="Verdana"/>
                <w:color w:val="000000" w:themeColor="text1"/>
                <w:lang w:val="es-ES_tradnl"/>
              </w:rPr>
              <w:t xml:space="preserve"> </w:t>
            </w:r>
            <w:r w:rsidRPr="00DE4EF6">
              <w:rPr>
                <w:rFonts w:ascii="Verdana" w:eastAsia="Calibri" w:hAnsi="Verdana"/>
                <w:color w:val="000000" w:themeColor="text1"/>
                <w:lang w:val="es-ES_tradnl"/>
              </w:rPr>
              <w:t>y 5°) la doctrina constitucional y los principios generales de derecho</w:t>
            </w:r>
            <w:r>
              <w:rPr>
                <w:rFonts w:ascii="Verdana" w:eastAsia="Calibri" w:hAnsi="Verdana"/>
                <w:color w:val="000000" w:themeColor="text1"/>
                <w:lang w:val="es-ES_tradnl"/>
              </w:rPr>
              <w:t>”</w:t>
            </w:r>
            <w:r w:rsidRPr="00DE4EF6">
              <w:rPr>
                <w:rFonts w:ascii="Verdana" w:eastAsia="Calibri" w:hAnsi="Verdana"/>
                <w:color w:val="000000" w:themeColor="text1"/>
                <w:lang w:val="es-ES_tradnl"/>
              </w:rPr>
              <w:t>.</w:t>
            </w:r>
            <w:r>
              <w:rPr>
                <w:rFonts w:ascii="Verdana" w:eastAsia="Calibri" w:hAnsi="Verdana"/>
                <w:color w:val="000000" w:themeColor="text1"/>
                <w:lang w:val="es-ES_tradnl"/>
              </w:rPr>
              <w:t xml:space="preserve"> </w:t>
            </w:r>
          </w:p>
          <w:p w14:paraId="6A47BFA0" w14:textId="77777777" w:rsidR="008F6F28" w:rsidRDefault="008F6F28" w:rsidP="00AF1C96">
            <w:pPr>
              <w:spacing w:line="276" w:lineRule="auto"/>
              <w:jc w:val="both"/>
              <w:rPr>
                <w:rFonts w:ascii="Verdana" w:eastAsia="Calibri" w:hAnsi="Verdana"/>
                <w:color w:val="000000" w:themeColor="text1"/>
              </w:rPr>
            </w:pPr>
          </w:p>
          <w:p w14:paraId="5D8F4C64" w14:textId="77777777" w:rsidR="008F6F28" w:rsidRDefault="008F6F28" w:rsidP="00AF1C96">
            <w:pPr>
              <w:widowControl w:val="0"/>
              <w:autoSpaceDE w:val="0"/>
              <w:autoSpaceDN w:val="0"/>
              <w:spacing w:after="120" w:line="276" w:lineRule="auto"/>
              <w:jc w:val="both"/>
              <w:rPr>
                <w:rFonts w:ascii="Verdana" w:eastAsia="Arial MT" w:hAnsi="Verdana" w:cs="Arial"/>
                <w:color w:val="000000" w:themeColor="text1"/>
                <w:lang w:val="es-MX"/>
              </w:rPr>
            </w:pPr>
            <w:proofErr w:type="spellStart"/>
            <w:r>
              <w:rPr>
                <w:rFonts w:ascii="Verdana" w:eastAsia="Calibri" w:hAnsi="Verdana"/>
                <w:color w:val="000000" w:themeColor="text1"/>
              </w:rPr>
              <w:t>iv</w:t>
            </w:r>
            <w:proofErr w:type="spellEnd"/>
            <w:r>
              <w:rPr>
                <w:rFonts w:ascii="Verdana" w:eastAsia="Calibri" w:hAnsi="Verdana"/>
                <w:color w:val="000000" w:themeColor="text1"/>
              </w:rPr>
              <w:t xml:space="preserve">. En torno al cuarto problema jurídico, </w:t>
            </w:r>
            <w:r>
              <w:rPr>
                <w:rFonts w:ascii="Verdana" w:eastAsia="Arial MT" w:hAnsi="Verdana" w:cs="Arial"/>
                <w:color w:val="000000" w:themeColor="text1"/>
                <w:lang w:val="es-MX"/>
              </w:rPr>
              <w:t xml:space="preserve">cobra importancia </w:t>
            </w:r>
            <w:r w:rsidRPr="00B93E09">
              <w:rPr>
                <w:rFonts w:ascii="Verdana" w:eastAsia="Arial MT" w:hAnsi="Verdana" w:cs="Arial"/>
                <w:color w:val="000000" w:themeColor="text1"/>
                <w:lang w:val="es-MX"/>
              </w:rPr>
              <w:t>la metodología para el ejercicio de la supervisión e interventoría, la cual usualmente se formaliza mediante manuales</w:t>
            </w:r>
            <w:r>
              <w:rPr>
                <w:rFonts w:ascii="Verdana" w:eastAsia="Arial MT" w:hAnsi="Verdana" w:cs="Arial"/>
                <w:color w:val="000000" w:themeColor="text1"/>
                <w:lang w:val="es-MX"/>
              </w:rPr>
              <w:t xml:space="preserve"> que expiden las entidades públicas, que estandarizan las condiciones de control y vigilancia. Además, de la habilitación del artículo 84 del Estatuto Anticorrupción para solicitar</w:t>
            </w:r>
            <w:r w:rsidRPr="00445243">
              <w:rPr>
                <w:rFonts w:ascii="Verdana" w:eastAsia="Arial MT" w:hAnsi="Verdana" w:cs="Arial"/>
                <w:color w:val="000000" w:themeColor="text1"/>
                <w:lang w:val="es-MX"/>
              </w:rPr>
              <w:t xml:space="preserve"> informes, aclaraciones y explicaciones sobre el desarrollo de la ejecución contractual</w:t>
            </w:r>
            <w:r>
              <w:rPr>
                <w:rFonts w:ascii="Verdana" w:eastAsia="Arial MT" w:hAnsi="Verdana" w:cs="Arial"/>
                <w:color w:val="000000" w:themeColor="text1"/>
                <w:lang w:val="es-MX"/>
              </w:rPr>
              <w:t xml:space="preserve">, dichos manuales desarrollan procedimientos internos para desarrollo de estas actividades. Estos últimos sujetan al contratista vigilado, ya que existe un nexo </w:t>
            </w:r>
            <w:r w:rsidRPr="00445243">
              <w:rPr>
                <w:rFonts w:ascii="Verdana" w:eastAsia="Arial MT" w:hAnsi="Verdana" w:cs="Arial"/>
                <w:color w:val="000000" w:themeColor="text1"/>
                <w:lang w:val="es-MX"/>
              </w:rPr>
              <w:t>inescindible</w:t>
            </w:r>
            <w:r>
              <w:rPr>
                <w:rFonts w:ascii="Verdana" w:eastAsia="Arial MT" w:hAnsi="Verdana" w:cs="Arial"/>
                <w:color w:val="000000" w:themeColor="text1"/>
                <w:lang w:val="es-MX"/>
              </w:rPr>
              <w:t xml:space="preserve"> entre las obligaciones ejecutadas y el control sobre su efectivo cumplimiento. Sumado a lo anterior, tratándose de la interventoría, el contrato también delimita criterios adicionales para verificar el avance de la prestación de los servicios de acuerdo con la complejidad del objeto. Éstos últimos también sujetan al contratista vigilado, pues tiene la obligación de acatar las directrices derivadas del ejercicio de la potestad de control.  </w:t>
            </w:r>
          </w:p>
          <w:p w14:paraId="5D728E6A" w14:textId="77777777" w:rsidR="008F6F28" w:rsidRDefault="008F6F28" w:rsidP="00AF1C96">
            <w:pPr>
              <w:widowControl w:val="0"/>
              <w:autoSpaceDE w:val="0"/>
              <w:autoSpaceDN w:val="0"/>
              <w:spacing w:after="120" w:line="276" w:lineRule="auto"/>
              <w:ind w:firstLine="709"/>
              <w:jc w:val="both"/>
              <w:rPr>
                <w:rFonts w:ascii="Verdana" w:eastAsia="Arial MT" w:hAnsi="Verdana" w:cs="Arial"/>
                <w:color w:val="000000" w:themeColor="text1"/>
                <w:lang w:val="es-MX"/>
              </w:rPr>
            </w:pPr>
            <w:r>
              <w:rPr>
                <w:rFonts w:ascii="Verdana" w:eastAsia="Arial MT" w:hAnsi="Verdana" w:cs="Arial"/>
                <w:color w:val="000000" w:themeColor="text1"/>
                <w:lang w:val="es-MX"/>
              </w:rPr>
              <w:t xml:space="preserve">La vigilancia sobre el cumplimiento obligacional se somete a la ley, los manuales internos y las condiciones que establece la entidad tanto en el contrato de interventoría como en el contrato BPO, criterios que debe acatar el contratista prestador del servicio, así como el supervisor de la interventoría y la entidad como responsable de la dirección y control. Como los mismos establecen los linderos de la potestad de control, no pueden adoptarse protocolos, requisitos o procedimientos ajenos al marco citado, por lo que no </w:t>
            </w:r>
            <w:r>
              <w:rPr>
                <w:rFonts w:ascii="Verdana" w:eastAsia="Arial MT" w:hAnsi="Verdana" w:cs="Arial"/>
                <w:color w:val="000000" w:themeColor="text1"/>
                <w:lang w:val="es-MX"/>
              </w:rPr>
              <w:lastRenderedPageBreak/>
              <w:t xml:space="preserve">son oponibles al contratista salvo que medien modificaciones previas a los manuales expedidos y/o a los contratos suscritos. Estas actividades no implican </w:t>
            </w:r>
            <w:proofErr w:type="spellStart"/>
            <w:r>
              <w:rPr>
                <w:rFonts w:ascii="Verdana" w:eastAsia="Arial MT" w:hAnsi="Verdana" w:cs="Arial"/>
                <w:color w:val="000000" w:themeColor="text1"/>
                <w:lang w:val="es-MX"/>
              </w:rPr>
              <w:t>coejecución</w:t>
            </w:r>
            <w:proofErr w:type="spellEnd"/>
            <w:r>
              <w:rPr>
                <w:rFonts w:ascii="Verdana" w:eastAsia="Arial MT" w:hAnsi="Verdana" w:cs="Arial"/>
                <w:color w:val="000000" w:themeColor="text1"/>
                <w:lang w:val="es-MX"/>
              </w:rPr>
              <w:t xml:space="preserve"> y las modificaciones sobre la forma de validar el cumplimiento no dan lugar a reconocimientos económicos adicionales, a menos que impliquen mayores costos para el contratista. </w:t>
            </w:r>
          </w:p>
          <w:p w14:paraId="0ECE5C8A" w14:textId="77777777" w:rsidR="008F6F28" w:rsidRPr="003B422C" w:rsidRDefault="008F6F28" w:rsidP="00AF1C96">
            <w:pPr>
              <w:widowControl w:val="0"/>
              <w:autoSpaceDE w:val="0"/>
              <w:autoSpaceDN w:val="0"/>
              <w:spacing w:after="120" w:line="276" w:lineRule="auto"/>
              <w:ind w:firstLine="709"/>
              <w:jc w:val="both"/>
              <w:rPr>
                <w:rFonts w:ascii="Verdana" w:eastAsia="Arial MT" w:hAnsi="Verdana" w:cs="Arial"/>
                <w:color w:val="000000" w:themeColor="text1"/>
              </w:rPr>
            </w:pPr>
            <w:r w:rsidRPr="003B422C">
              <w:rPr>
                <w:rFonts w:ascii="Verdana" w:eastAsia="Arial MT" w:hAnsi="Verdana" w:cs="Arial"/>
                <w:color w:val="000000" w:themeColor="text1"/>
              </w:rPr>
              <w:t>Si bien el contratista goza de autonomía para la ejecución del contrato BPO, dicha autonomía no significa ausencia de control. En el marco del seguimiento contractual, la supervisión está facultada para formular requerimientos, observaciones y solicitudes de información orientadas a verificar el cumplimiento de las obligaciones pactadas. De igual manera, la entidad estatal conserva la dirección y control del contrato, lo que implica que puede impartir lineamientos generales y exigir aclaraciones cuando advierta riesgos de incumplimiento o deficiencias en la prestación del servicio.</w:t>
            </w:r>
          </w:p>
          <w:p w14:paraId="1DC0E06B" w14:textId="77777777" w:rsidR="008F6F28" w:rsidRPr="00E611A1" w:rsidRDefault="008F6F28" w:rsidP="00AF1C96">
            <w:pPr>
              <w:widowControl w:val="0"/>
              <w:autoSpaceDE w:val="0"/>
              <w:autoSpaceDN w:val="0"/>
              <w:spacing w:line="276" w:lineRule="auto"/>
              <w:ind w:firstLine="709"/>
              <w:jc w:val="both"/>
              <w:rPr>
                <w:rFonts w:ascii="Verdana" w:eastAsia="Arial MT" w:hAnsi="Verdana" w:cs="Arial"/>
                <w:color w:val="000000" w:themeColor="text1"/>
                <w:lang w:val="es-ES"/>
              </w:rPr>
            </w:pPr>
            <w:r>
              <w:rPr>
                <w:rFonts w:ascii="Verdana" w:eastAsia="Arial MT" w:hAnsi="Verdana" w:cs="Arial"/>
                <w:color w:val="000000" w:themeColor="text1"/>
                <w:lang w:val="es-MX"/>
              </w:rPr>
              <w:t>En este sentido, f</w:t>
            </w:r>
            <w:proofErr w:type="spellStart"/>
            <w:r w:rsidRPr="00FE58B5">
              <w:rPr>
                <w:rFonts w:ascii="Verdana" w:eastAsia="Arial MT" w:hAnsi="Verdana" w:cs="Arial"/>
                <w:color w:val="000000" w:themeColor="text1"/>
              </w:rPr>
              <w:t>rente</w:t>
            </w:r>
            <w:proofErr w:type="spellEnd"/>
            <w:r w:rsidRPr="00FE58B5">
              <w:rPr>
                <w:rFonts w:ascii="Verdana" w:eastAsia="Arial MT" w:hAnsi="Verdana" w:cs="Arial"/>
                <w:color w:val="000000" w:themeColor="text1"/>
              </w:rPr>
              <w:t xml:space="preserve"> a situaciones de extralimitación en el ejercicio de la actividad contractual, los artículos 50, 51 y 52 de la Ley 80 de 1993 consagran el régimen de responsabilidad que recae sobre las entidades estatales, sus servidores públicos y los contratistas. La valoración y determinación de dicha responsabilidad corresponde a las autoridades competentes, las cuales deberán efectuar el análisis respectivo atendiendo las circunstancias y particularidades del caso concreto.</w:t>
            </w:r>
            <w:r>
              <w:rPr>
                <w:rFonts w:ascii="Verdana" w:eastAsia="Arial MT" w:hAnsi="Verdana" w:cs="Arial"/>
                <w:color w:val="000000" w:themeColor="text1"/>
                <w:lang w:val="es-ES"/>
              </w:rPr>
              <w:t xml:space="preserve"> </w:t>
            </w:r>
            <w:r>
              <w:rPr>
                <w:rFonts w:ascii="Verdana" w:eastAsia="Arial MT" w:hAnsi="Verdana" w:cs="Arial"/>
                <w:color w:val="000000" w:themeColor="text1"/>
                <w:lang w:val="es-MX"/>
              </w:rPr>
              <w:t xml:space="preserve">Para delimitar la frontera entre la vigilancia y el contrato vigilado, es necesario tener en cuenta que es al contratista a quien le corresponde la ejecución material del objeto contratado. Este último se sujeta a la potestad de control que ejerce la entidad estatal, bien a través de sus propios funcionarios –supervisión– o a través de terceros –interventoría–. Por tanto, dado que el contratista es sujeto de la vigilancia sobre el cumplimiento de las obligaciones, éste se somete al control de los supervisores o interventores, según corresponda. </w:t>
            </w:r>
          </w:p>
          <w:p w14:paraId="0B6E2AE3" w14:textId="77777777" w:rsidR="008F6F28" w:rsidRDefault="008F6F28" w:rsidP="00AF1C96">
            <w:pPr>
              <w:spacing w:line="276" w:lineRule="auto"/>
              <w:jc w:val="both"/>
              <w:rPr>
                <w:rFonts w:ascii="Verdana" w:eastAsia="Calibri" w:hAnsi="Verdana"/>
                <w:color w:val="000000" w:themeColor="text1"/>
              </w:rPr>
            </w:pPr>
          </w:p>
          <w:p w14:paraId="1C6FFAEB" w14:textId="77777777" w:rsidR="008F6F28" w:rsidRPr="00893534" w:rsidRDefault="008F6F28" w:rsidP="00AF1C96">
            <w:pPr>
              <w:spacing w:after="120" w:line="276" w:lineRule="auto"/>
              <w:jc w:val="both"/>
              <w:rPr>
                <w:rFonts w:ascii="Verdana" w:eastAsia="Aptos" w:hAnsi="Verdana" w:cs="Arial"/>
                <w:bCs/>
              </w:rPr>
            </w:pPr>
            <w:r>
              <w:rPr>
                <w:rFonts w:ascii="Verdana" w:eastAsia="Aptos" w:hAnsi="Verdana" w:cs="Arial"/>
                <w:bCs/>
              </w:rPr>
              <w:t>v. En torno al quinto problema jurídico, se precisa que e</w:t>
            </w:r>
            <w:r w:rsidRPr="00893534">
              <w:rPr>
                <w:rFonts w:ascii="Verdana" w:eastAsia="Aptos" w:hAnsi="Verdana" w:cs="Arial"/>
                <w:bCs/>
              </w:rPr>
              <w:t>l deber de seguimiento y control en los contratos estatales es permanente y recae tanto en el supervisor o interventor como en la entidad que conserva la dirección, vigilancia y responsabilidad sobre la ejecución contractual. Este carácter continuo implica que las funciones de verificación, documentación y reporte no se limitan a momentos específicos, sino que deben ejercerse de manera constante a lo largo de toda la ejecución del contrato.</w:t>
            </w:r>
            <w:r>
              <w:rPr>
                <w:rFonts w:ascii="Verdana" w:eastAsia="Aptos" w:hAnsi="Verdana" w:cs="Arial"/>
                <w:bCs/>
              </w:rPr>
              <w:t xml:space="preserve"> </w:t>
            </w:r>
            <w:r w:rsidRPr="00893534">
              <w:rPr>
                <w:rFonts w:ascii="Verdana" w:eastAsia="Aptos" w:hAnsi="Verdana" w:cs="Arial"/>
                <w:bCs/>
              </w:rPr>
              <w:t xml:space="preserve">La supervisión activa </w:t>
            </w:r>
            <w:r w:rsidRPr="00893534">
              <w:rPr>
                <w:rFonts w:ascii="Verdana" w:eastAsia="Aptos" w:hAnsi="Verdana" w:cs="Arial"/>
                <w:bCs/>
              </w:rPr>
              <w:lastRenderedPageBreak/>
              <w:t>permite identificar oportunamente posibles incumplimientos, solicitar explicaciones al contratista y adoptar medidas correctivas</w:t>
            </w:r>
            <w:r>
              <w:rPr>
                <w:rFonts w:ascii="Verdana" w:eastAsia="Aptos" w:hAnsi="Verdana" w:cs="Arial"/>
                <w:bCs/>
              </w:rPr>
              <w:t xml:space="preserve"> por observaciones de los órganos de control</w:t>
            </w:r>
            <w:r w:rsidRPr="00893534">
              <w:rPr>
                <w:rFonts w:ascii="Verdana" w:eastAsia="Aptos" w:hAnsi="Verdana" w:cs="Arial"/>
                <w:bCs/>
              </w:rPr>
              <w:t>.</w:t>
            </w:r>
          </w:p>
          <w:p w14:paraId="0EF9C28B" w14:textId="77777777" w:rsidR="008F6F28" w:rsidRDefault="008F6F28" w:rsidP="00AF1C96">
            <w:pPr>
              <w:spacing w:line="276" w:lineRule="auto"/>
              <w:ind w:firstLine="709"/>
              <w:jc w:val="both"/>
              <w:rPr>
                <w:rFonts w:ascii="Verdana" w:eastAsia="Aptos" w:hAnsi="Verdana" w:cs="Arial"/>
                <w:bCs/>
              </w:rPr>
            </w:pPr>
            <w:r w:rsidRPr="000B118D">
              <w:rPr>
                <w:rFonts w:ascii="Verdana" w:eastAsia="Aptos" w:hAnsi="Verdana" w:cs="Arial"/>
                <w:bCs/>
              </w:rPr>
              <w:t>En este punto, los hallazgos u observaciones formulados por los órganos de control fiscal, como la Contraloría, constituyen insumos valiosos para la vigilancia y el mejoramiento de la gestión pública, pero carecen de la facultad para modificar directamente las condiciones pactadas en el contrato estatal. Su función es eminentemente preventiva y correctiva, orientada a advertir riesgos y posibles irregularidades, sin que implique la alteración automática de las cláusulas contractuales o de los compromisos adquiridos entre las partes.</w:t>
            </w:r>
            <w:r>
              <w:rPr>
                <w:rFonts w:ascii="Verdana" w:eastAsia="Aptos" w:hAnsi="Verdana" w:cs="Arial"/>
                <w:bCs/>
              </w:rPr>
              <w:t xml:space="preserve"> </w:t>
            </w:r>
            <w:r w:rsidRPr="000B118D">
              <w:rPr>
                <w:rFonts w:ascii="Verdana" w:eastAsia="Aptos" w:hAnsi="Verdana" w:cs="Arial"/>
                <w:bCs/>
              </w:rPr>
              <w:t xml:space="preserve">En todo caso, la Agencia </w:t>
            </w:r>
            <w:r>
              <w:rPr>
                <w:rFonts w:ascii="Verdana" w:eastAsia="Aptos" w:hAnsi="Verdana" w:cs="Arial"/>
                <w:bCs/>
              </w:rPr>
              <w:t xml:space="preserve">advierte que </w:t>
            </w:r>
            <w:r w:rsidRPr="000B118D">
              <w:rPr>
                <w:rFonts w:ascii="Verdana" w:eastAsia="Aptos" w:hAnsi="Verdana" w:cs="Arial"/>
                <w:bCs/>
              </w:rPr>
              <w:t>no tiene competencia para determinar la naturaleza jurídica</w:t>
            </w:r>
            <w:r>
              <w:rPr>
                <w:rFonts w:ascii="Verdana" w:eastAsia="Aptos" w:hAnsi="Verdana" w:cs="Arial"/>
                <w:bCs/>
              </w:rPr>
              <w:t xml:space="preserve"> y los efectos</w:t>
            </w:r>
            <w:r w:rsidRPr="000B118D">
              <w:rPr>
                <w:rFonts w:ascii="Verdana" w:eastAsia="Aptos" w:hAnsi="Verdana" w:cs="Arial"/>
                <w:bCs/>
              </w:rPr>
              <w:t xml:space="preserve"> de dichos hallazgos u observaciones, pues esta valoración corresponde a las autoridades competentes dentro de los procedimientos establecidos en la normativa vigente.</w:t>
            </w:r>
          </w:p>
          <w:p w14:paraId="1EA918AD" w14:textId="77777777" w:rsidR="008F6F28" w:rsidRPr="000B118D" w:rsidRDefault="008F6F28" w:rsidP="00AF1C96">
            <w:pPr>
              <w:spacing w:line="276" w:lineRule="auto"/>
              <w:ind w:firstLine="709"/>
              <w:jc w:val="both"/>
              <w:rPr>
                <w:rFonts w:ascii="Verdana" w:eastAsia="Aptos" w:hAnsi="Verdana" w:cs="Arial"/>
                <w:bCs/>
              </w:rPr>
            </w:pPr>
          </w:p>
          <w:p w14:paraId="582477F1" w14:textId="77777777" w:rsidR="008F6F28" w:rsidRPr="000F219C" w:rsidRDefault="008F6F28" w:rsidP="00AF1C96">
            <w:pPr>
              <w:spacing w:after="120" w:line="276" w:lineRule="auto"/>
              <w:jc w:val="both"/>
              <w:rPr>
                <w:rFonts w:ascii="Verdana" w:eastAsia="Aptos" w:hAnsi="Verdana" w:cs="Arial"/>
                <w:bCs/>
              </w:rPr>
            </w:pPr>
            <w:r>
              <w:rPr>
                <w:rFonts w:ascii="Verdana" w:eastAsia="Calibri" w:hAnsi="Verdana"/>
                <w:color w:val="000000" w:themeColor="text1"/>
              </w:rPr>
              <w:t>vi. Frente al último problema jurídico, se precisa que</w:t>
            </w:r>
            <w:r>
              <w:rPr>
                <w:rFonts w:ascii="Verdana" w:eastAsia="Aptos" w:hAnsi="Verdana" w:cs="Arial"/>
                <w:bCs/>
              </w:rPr>
              <w:t xml:space="preserve"> l</w:t>
            </w:r>
            <w:r w:rsidRPr="000F219C">
              <w:rPr>
                <w:rFonts w:ascii="Verdana" w:eastAsia="Aptos" w:hAnsi="Verdana" w:cs="Arial"/>
                <w:bCs/>
              </w:rPr>
              <w:t xml:space="preserve">a aplicación de descuentos retributivos sobre la tarifa global de servicios BPO por novedades de personal, la adopción retroactiva de criterios de supervisión y la implementación de mecanismos transitorios de pago deben </w:t>
            </w:r>
            <w:r>
              <w:rPr>
                <w:rFonts w:ascii="Verdana" w:eastAsia="Aptos" w:hAnsi="Verdana" w:cs="Arial"/>
                <w:bCs/>
              </w:rPr>
              <w:t xml:space="preserve">tener en cuenta la forma en cómo </w:t>
            </w:r>
            <w:r w:rsidRPr="000F219C">
              <w:rPr>
                <w:rFonts w:ascii="Verdana" w:eastAsia="Aptos" w:hAnsi="Verdana" w:cs="Arial"/>
                <w:bCs/>
              </w:rPr>
              <w:t xml:space="preserve">se estructuró la remuneración contractual, ya sea como </w:t>
            </w:r>
            <w:r w:rsidRPr="00AA6F46">
              <w:rPr>
                <w:rFonts w:ascii="Verdana" w:eastAsia="Aptos" w:hAnsi="Verdana" w:cs="Arial"/>
              </w:rPr>
              <w:t>precio global</w:t>
            </w:r>
            <w:r w:rsidRPr="000F219C">
              <w:rPr>
                <w:rFonts w:ascii="Verdana" w:eastAsia="Aptos" w:hAnsi="Verdana" w:cs="Arial"/>
                <w:bCs/>
              </w:rPr>
              <w:t xml:space="preserve"> o como </w:t>
            </w:r>
            <w:r w:rsidRPr="00AA6F46">
              <w:rPr>
                <w:rFonts w:ascii="Verdana" w:eastAsia="Aptos" w:hAnsi="Verdana" w:cs="Arial"/>
              </w:rPr>
              <w:t>precio determinable</w:t>
            </w:r>
            <w:r w:rsidRPr="000F219C">
              <w:rPr>
                <w:rFonts w:ascii="Verdana" w:eastAsia="Aptos" w:hAnsi="Verdana" w:cs="Arial"/>
                <w:bCs/>
              </w:rPr>
              <w:t>. En cualquiera de los esquemas, la supervisión o interventoría cumple un papel esencial en el seguimiento de la ejecución, pero sus controles no pueden alterar la ecuación económica del contrato ni desconocer la naturaleza de la obligación pactada</w:t>
            </w:r>
            <w:r>
              <w:rPr>
                <w:rFonts w:ascii="Verdana" w:eastAsia="Aptos" w:hAnsi="Verdana" w:cs="Arial"/>
                <w:bCs/>
              </w:rPr>
              <w:t xml:space="preserve"> en los Contratos BPO</w:t>
            </w:r>
            <w:r w:rsidRPr="000F219C">
              <w:rPr>
                <w:rFonts w:ascii="Verdana" w:eastAsia="Aptos" w:hAnsi="Verdana" w:cs="Arial"/>
                <w:bCs/>
              </w:rPr>
              <w:t>. La vigilancia debe orientarse a garantizar el cumplimiento de los niveles de servicio y la transparencia en la gestión, sin que implique imponer cargas adicionales o modificar unilateralmente las condiciones previamente acordada</w:t>
            </w:r>
            <w:r>
              <w:rPr>
                <w:rFonts w:ascii="Verdana" w:eastAsia="Aptos" w:hAnsi="Verdana" w:cs="Arial"/>
                <w:bCs/>
              </w:rPr>
              <w:t xml:space="preserve">s en el contrato. </w:t>
            </w:r>
          </w:p>
          <w:p w14:paraId="0A1A4341" w14:textId="77777777" w:rsidR="008F6F28" w:rsidRDefault="008F6F28" w:rsidP="00AF1C96">
            <w:pPr>
              <w:spacing w:after="120" w:line="276" w:lineRule="auto"/>
              <w:ind w:firstLine="708"/>
              <w:jc w:val="both"/>
              <w:rPr>
                <w:rFonts w:ascii="Verdana" w:eastAsia="Aptos" w:hAnsi="Verdana" w:cs="Arial"/>
                <w:bCs/>
              </w:rPr>
            </w:pPr>
            <w:r>
              <w:rPr>
                <w:rFonts w:ascii="Verdana" w:eastAsia="Aptos" w:hAnsi="Verdana" w:cs="Arial"/>
                <w:bCs/>
              </w:rPr>
              <w:t xml:space="preserve">En esta línea, el </w:t>
            </w:r>
            <w:r w:rsidRPr="000F219C">
              <w:rPr>
                <w:rFonts w:ascii="Verdana" w:eastAsia="Aptos" w:hAnsi="Verdana" w:cs="Arial"/>
                <w:bCs/>
              </w:rPr>
              <w:t>contratista conserva el derecho a recibir oportunamente la remuneración pactada y a que el valor intrínseco de la misma no se altere durante la vigencia del contrato, conforme lo establece el artículo 5, numeral 1 de la Ley 80 de 1993</w:t>
            </w:r>
            <w:r>
              <w:rPr>
                <w:rFonts w:ascii="Verdana" w:eastAsia="Aptos" w:hAnsi="Verdana" w:cs="Arial"/>
                <w:bCs/>
              </w:rPr>
              <w:t xml:space="preserve">, que dispone: “[…] </w:t>
            </w:r>
            <w:r w:rsidRPr="009E6061">
              <w:rPr>
                <w:rFonts w:ascii="Verdana" w:eastAsia="Aptos" w:hAnsi="Verdana" w:cs="Arial"/>
                <w:bCs/>
              </w:rPr>
              <w:t xml:space="preserve">Para la realización de los fines de que trata el artículo </w:t>
            </w:r>
            <w:hyperlink r:id="rId13" w:anchor="3" w:history="1">
              <w:r w:rsidRPr="009E6061">
                <w:rPr>
                  <w:rStyle w:val="Hipervnculo"/>
                  <w:rFonts w:ascii="Verdana" w:eastAsia="Aptos" w:hAnsi="Verdana" w:cs="Arial"/>
                  <w:bCs/>
                  <w:color w:val="auto"/>
                  <w:u w:val="none"/>
                </w:rPr>
                <w:t>3</w:t>
              </w:r>
            </w:hyperlink>
            <w:r w:rsidRPr="009E6061">
              <w:rPr>
                <w:rFonts w:ascii="Verdana" w:eastAsia="Aptos" w:hAnsi="Verdana" w:cs="Arial"/>
                <w:bCs/>
              </w:rPr>
              <w:t>o. de esta ley, los contratistas:</w:t>
            </w:r>
            <w:r>
              <w:rPr>
                <w:rFonts w:ascii="Verdana" w:eastAsia="Aptos" w:hAnsi="Verdana" w:cs="Arial"/>
                <w:bCs/>
              </w:rPr>
              <w:t xml:space="preserve"> </w:t>
            </w:r>
            <w:r w:rsidRPr="009E6061">
              <w:rPr>
                <w:rFonts w:ascii="Verdana" w:eastAsia="Aptos" w:hAnsi="Verdana" w:cs="Arial"/>
                <w:bCs/>
              </w:rPr>
              <w:t xml:space="preserve">1o. Tendrán derecho a recibir oportunamente la remuneración pactada y a </w:t>
            </w:r>
            <w:r w:rsidRPr="009E6061">
              <w:rPr>
                <w:rFonts w:ascii="Verdana" w:eastAsia="Aptos" w:hAnsi="Verdana" w:cs="Arial"/>
                <w:bCs/>
              </w:rPr>
              <w:lastRenderedPageBreak/>
              <w:t>que el valor intrínseco de la misma no se altere o modifique durante la vigencia del contrato</w:t>
            </w:r>
            <w:r>
              <w:rPr>
                <w:rFonts w:ascii="Verdana" w:eastAsia="Aptos" w:hAnsi="Verdana" w:cs="Arial"/>
                <w:bCs/>
              </w:rPr>
              <w:t>”</w:t>
            </w:r>
            <w:r w:rsidRPr="009E6061">
              <w:rPr>
                <w:rFonts w:ascii="Verdana" w:eastAsia="Aptos" w:hAnsi="Verdana" w:cs="Arial"/>
                <w:bCs/>
              </w:rPr>
              <w:t>.</w:t>
            </w:r>
            <w:r>
              <w:rPr>
                <w:rFonts w:ascii="Verdana" w:eastAsia="Aptos" w:hAnsi="Verdana" w:cs="Arial"/>
                <w:bCs/>
              </w:rPr>
              <w:t xml:space="preserve"> En este aspecto, c</w:t>
            </w:r>
            <w:r w:rsidRPr="000F219C">
              <w:rPr>
                <w:rFonts w:ascii="Verdana" w:eastAsia="Aptos" w:hAnsi="Verdana" w:cs="Arial"/>
                <w:bCs/>
              </w:rPr>
              <w:t xml:space="preserve">ualquier medida de supervisión que implique descuentos retroactivos, glosas o retenciones debe respetar los principios de </w:t>
            </w:r>
            <w:r w:rsidRPr="007A5408">
              <w:rPr>
                <w:rFonts w:ascii="Verdana" w:eastAsia="Aptos" w:hAnsi="Verdana" w:cs="Arial"/>
              </w:rPr>
              <w:t>buena fe contractual</w:t>
            </w:r>
            <w:r>
              <w:rPr>
                <w:rFonts w:ascii="Verdana" w:eastAsia="Aptos" w:hAnsi="Verdana" w:cs="Arial"/>
              </w:rPr>
              <w:t xml:space="preserve"> y seguridad jurídica</w:t>
            </w:r>
            <w:r w:rsidRPr="007A5408">
              <w:rPr>
                <w:rFonts w:ascii="Verdana" w:eastAsia="Aptos" w:hAnsi="Verdana" w:cs="Arial"/>
              </w:rPr>
              <w:t xml:space="preserve">, </w:t>
            </w:r>
            <w:r w:rsidRPr="000F219C">
              <w:rPr>
                <w:rFonts w:ascii="Verdana" w:eastAsia="Aptos" w:hAnsi="Verdana" w:cs="Arial"/>
                <w:bCs/>
              </w:rPr>
              <w:t xml:space="preserve">pues de lo contrario se compromete la continuidad en la prestación </w:t>
            </w:r>
            <w:r>
              <w:rPr>
                <w:rFonts w:ascii="Verdana" w:eastAsia="Aptos" w:hAnsi="Verdana" w:cs="Arial"/>
                <w:bCs/>
              </w:rPr>
              <w:t xml:space="preserve">del servicio </w:t>
            </w:r>
            <w:r w:rsidRPr="000F219C">
              <w:rPr>
                <w:rFonts w:ascii="Verdana" w:eastAsia="Aptos" w:hAnsi="Verdana" w:cs="Arial"/>
                <w:bCs/>
              </w:rPr>
              <w:t>y se vulnera la estabilidad de la relación contractual. La función de control</w:t>
            </w:r>
            <w:r>
              <w:rPr>
                <w:rFonts w:ascii="Verdana" w:eastAsia="Aptos" w:hAnsi="Verdana" w:cs="Arial"/>
                <w:bCs/>
              </w:rPr>
              <w:t xml:space="preserve"> y seguimiento como se ha indicado </w:t>
            </w:r>
            <w:r w:rsidRPr="000F219C">
              <w:rPr>
                <w:rFonts w:ascii="Verdana" w:eastAsia="Aptos" w:hAnsi="Verdana" w:cs="Arial"/>
                <w:bCs/>
              </w:rPr>
              <w:t xml:space="preserve">debe ejercerse con proporcionalidad y dentro de los límites legales, asegurando que el contratista cumpla con sus obligaciones sin que se afecte indebidamente la remuneración </w:t>
            </w:r>
            <w:r>
              <w:rPr>
                <w:rFonts w:ascii="Verdana" w:eastAsia="Aptos" w:hAnsi="Verdana" w:cs="Arial"/>
                <w:bCs/>
              </w:rPr>
              <w:t xml:space="preserve">que se estipuló dentro del contrato. </w:t>
            </w:r>
          </w:p>
          <w:p w14:paraId="2C92BAE7" w14:textId="77777777" w:rsidR="008F6F28" w:rsidRPr="005D442C" w:rsidRDefault="008F6F28" w:rsidP="00AF1C96">
            <w:pPr>
              <w:spacing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la entidad </w:t>
            </w:r>
            <w:r w:rsidRPr="00485C44">
              <w:rPr>
                <w:rFonts w:ascii="Verdana" w:hAnsi="Verdana" w:cs="Arial"/>
                <w:lang w:val="es-ES" w:eastAsia="es-ES"/>
              </w:rPr>
              <w:t xml:space="preserve">pública </w:t>
            </w:r>
            <w:r>
              <w:rPr>
                <w:rFonts w:ascii="Verdana" w:hAnsi="Verdana" w:cs="Arial"/>
                <w:lang w:val="es-ES" w:eastAsia="es-ES"/>
              </w:rPr>
              <w:t>definirá</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1E8CD52E" w14:textId="77777777" w:rsidR="008F6F28" w:rsidRPr="00B57A1B" w:rsidRDefault="008F6F28" w:rsidP="008F6F28">
      <w:pPr>
        <w:spacing w:after="0" w:line="240" w:lineRule="auto"/>
        <w:jc w:val="both"/>
        <w:rPr>
          <w:rFonts w:ascii="Verdana" w:eastAsia="Calibri" w:hAnsi="Verdana" w:cs="Arial"/>
          <w:bCs/>
          <w:color w:val="000000" w:themeColor="text1"/>
        </w:rPr>
      </w:pPr>
    </w:p>
    <w:p w14:paraId="1BDAF85D" w14:textId="77777777" w:rsidR="008F6F28" w:rsidRPr="00B57A1B" w:rsidRDefault="008F6F28" w:rsidP="008F6F28">
      <w:pPr>
        <w:numPr>
          <w:ilvl w:val="0"/>
          <w:numId w:val="16"/>
        </w:numPr>
        <w:tabs>
          <w:tab w:val="left" w:pos="2268"/>
        </w:tabs>
        <w:spacing w:after="0" w:line="240" w:lineRule="auto"/>
        <w:rPr>
          <w:rFonts w:ascii="Verdana" w:eastAsia="Calibri" w:hAnsi="Verdana" w:cs="Times New Roman"/>
          <w:b/>
          <w:bCs/>
          <w:lang w:val="es-ES"/>
        </w:rPr>
      </w:pPr>
      <w:r w:rsidRPr="00B57A1B">
        <w:rPr>
          <w:rFonts w:ascii="Verdana" w:eastAsia="Calibri" w:hAnsi="Verdana" w:cs="Times New Roman"/>
          <w:b/>
          <w:bCs/>
          <w:lang w:val="es-ES"/>
        </w:rPr>
        <w:t>Razones de la respuesta:</w:t>
      </w:r>
    </w:p>
    <w:p w14:paraId="3A76D988" w14:textId="77777777" w:rsidR="008F6F28" w:rsidRPr="00B57A1B" w:rsidRDefault="008F6F28" w:rsidP="008F6F28">
      <w:pPr>
        <w:spacing w:after="0" w:line="240" w:lineRule="auto"/>
        <w:rPr>
          <w:rFonts w:ascii="Verdana" w:eastAsia="Calibri" w:hAnsi="Verdana" w:cs="Times New Roman"/>
          <w:b/>
          <w:bCs/>
          <w:lang w:val="es-ES"/>
        </w:rPr>
      </w:pPr>
    </w:p>
    <w:p w14:paraId="7C8416C3" w14:textId="77777777" w:rsidR="008F6F28" w:rsidRPr="00B57A1B" w:rsidRDefault="008F6F28" w:rsidP="008F6F28">
      <w:pPr>
        <w:spacing w:after="0" w:line="240" w:lineRule="auto"/>
        <w:jc w:val="both"/>
        <w:rPr>
          <w:rFonts w:ascii="Verdana" w:eastAsia="Calibri" w:hAnsi="Verdana" w:cs="Arial"/>
          <w:lang w:val="es-ES"/>
        </w:rPr>
      </w:pPr>
      <w:r w:rsidRPr="00B57A1B">
        <w:rPr>
          <w:rFonts w:ascii="Verdana" w:eastAsia="Calibri" w:hAnsi="Verdana" w:cs="Arial"/>
          <w:lang w:val="es-ES"/>
        </w:rPr>
        <w:t xml:space="preserve">Lo anterior se sustenta en las siguientes consideraciones: </w:t>
      </w:r>
    </w:p>
    <w:p w14:paraId="726A274E" w14:textId="77777777" w:rsidR="008F6F28" w:rsidRDefault="008F6F28" w:rsidP="008F6F28">
      <w:pPr>
        <w:spacing w:after="0" w:line="240" w:lineRule="auto"/>
        <w:jc w:val="both"/>
        <w:rPr>
          <w:rFonts w:ascii="Verdana" w:hAnsi="Verdana" w:cs="Arial"/>
          <w:bCs/>
          <w:lang w:val="es-MX"/>
        </w:rPr>
      </w:pPr>
      <w:bookmarkStart w:id="1" w:name="_Hlk78820161"/>
    </w:p>
    <w:p w14:paraId="6D72CDE6" w14:textId="77777777" w:rsidR="008F6F28" w:rsidRPr="009741DE" w:rsidRDefault="008F6F28" w:rsidP="008F6F28">
      <w:pPr>
        <w:spacing w:after="120" w:line="276" w:lineRule="auto"/>
        <w:jc w:val="both"/>
        <w:rPr>
          <w:rFonts w:ascii="Verdana" w:eastAsia="Times New Roman" w:hAnsi="Verdana" w:cs="Arial"/>
          <w:color w:val="000000" w:themeColor="text1"/>
          <w:lang w:eastAsia="es-CO"/>
        </w:rPr>
      </w:pPr>
      <w:r>
        <w:rPr>
          <w:rFonts w:ascii="Verdana" w:hAnsi="Verdana" w:cs="Arial"/>
          <w:bCs/>
          <w:lang w:val="es-MX"/>
        </w:rPr>
        <w:t xml:space="preserve">i. </w:t>
      </w:r>
      <w:r w:rsidRPr="00CB68C5">
        <w:rPr>
          <w:rFonts w:ascii="Verdana" w:eastAsia="Calibri" w:hAnsi="Verdana" w:cs="Arial"/>
          <w:lang w:val="es-ES"/>
        </w:rPr>
        <w:t>El Estatuto General de Contratación de la Administración Pública</w:t>
      </w:r>
      <w:r>
        <w:rPr>
          <w:rFonts w:ascii="Verdana" w:eastAsia="Calibri" w:hAnsi="Verdana" w:cs="Arial"/>
          <w:lang w:val="es-ES"/>
        </w:rPr>
        <w:t xml:space="preserve"> –EGCAP-</w:t>
      </w:r>
      <w:r w:rsidRPr="00CB68C5">
        <w:rPr>
          <w:rFonts w:ascii="Verdana" w:eastAsia="Calibri" w:hAnsi="Verdana" w:cs="Arial"/>
          <w:lang w:val="es-ES"/>
        </w:rPr>
        <w:t xml:space="preserve">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CB68C5">
        <w:rPr>
          <w:rFonts w:ascii="Verdana" w:hAnsi="Verdana" w:cs="Arial"/>
        </w:rPr>
        <w:t>el inciso prim</w:t>
      </w:r>
      <w:r>
        <w:rPr>
          <w:rFonts w:ascii="Verdana" w:hAnsi="Verdana" w:cs="Arial"/>
        </w:rPr>
        <w:t xml:space="preserve">ero del artículo 13 dispone: </w:t>
      </w:r>
      <w:r w:rsidRPr="00CB68C5">
        <w:rPr>
          <w:rFonts w:ascii="Verdana" w:hAnsi="Verdana" w:cs="Arial"/>
        </w:rPr>
        <w:t xml:space="preserve">“Los contratos que celebren las entidades a que se refiere el artículo 2o. del presente estatuto se regirán por las disposiciones comerciales y civiles pertinentes, salvo en las materias particularmente reguladas en esta ley”. </w:t>
      </w:r>
    </w:p>
    <w:p w14:paraId="6851E66A" w14:textId="77777777" w:rsidR="008F6F28" w:rsidRPr="00CB68C5" w:rsidRDefault="008F6F28" w:rsidP="008F6F28">
      <w:pPr>
        <w:spacing w:after="120" w:line="276" w:lineRule="auto"/>
        <w:ind w:firstLine="709"/>
        <w:jc w:val="both"/>
        <w:rPr>
          <w:rFonts w:ascii="Verdana" w:hAnsi="Verdana" w:cs="Arial"/>
        </w:rPr>
      </w:pPr>
      <w:r w:rsidRPr="00CB68C5">
        <w:rPr>
          <w:rFonts w:ascii="Verdana" w:hAnsi="Verdana" w:cs="Arial"/>
        </w:rPr>
        <w:t>Dicha idea también se reitera en el EGCAP considerando que</w:t>
      </w:r>
      <w:r>
        <w:rPr>
          <w:rFonts w:ascii="Verdana" w:hAnsi="Verdana" w:cs="Arial"/>
        </w:rPr>
        <w:t>:</w:t>
      </w:r>
      <w:r w:rsidRPr="00CB68C5">
        <w:rPr>
          <w:rFonts w:ascii="Verdana" w:hAnsi="Verdana" w:cs="Arial"/>
        </w:rPr>
        <w:t xml:space="preserv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w:t>
      </w:r>
      <w:r w:rsidRPr="00CB68C5">
        <w:rPr>
          <w:rFonts w:ascii="Verdana" w:hAnsi="Verdana" w:cs="Arial"/>
        </w:rPr>
        <w:lastRenderedPageBreak/>
        <w:t>estipulaciones de los contratos serán las que, de acuerdo con las normas civiles, comerciales y las previstas en esta ley, correspondan a su esencia y naturaleza” –art. 40, inciso primero–.</w:t>
      </w:r>
    </w:p>
    <w:p w14:paraId="29016612" w14:textId="77777777" w:rsidR="008F6F28" w:rsidRPr="00CB68C5" w:rsidRDefault="008F6F28" w:rsidP="008F6F28">
      <w:pPr>
        <w:spacing w:after="0" w:line="276" w:lineRule="auto"/>
        <w:ind w:firstLine="708"/>
        <w:jc w:val="both"/>
        <w:rPr>
          <w:rFonts w:ascii="Verdana" w:hAnsi="Verdana" w:cs="Arial"/>
        </w:rPr>
      </w:pPr>
      <w:r w:rsidRPr="00CB68C5">
        <w:rPr>
          <w:rFonts w:ascii="Verdana" w:hAnsi="Verdana" w:cs="Arial"/>
        </w:rPr>
        <w:t>De esta manera, los contratos de las entidades sometidas al Estatuto General de Contratación se rigen generalmente por el derecho privado y excepcionalmente</w:t>
      </w:r>
      <w:r>
        <w:rPr>
          <w:rFonts w:ascii="Verdana" w:hAnsi="Verdana" w:cs="Arial"/>
        </w:rPr>
        <w:t>,</w:t>
      </w:r>
      <w:r w:rsidRPr="00CB68C5">
        <w:rPr>
          <w:rFonts w:ascii="Verdana" w:hAnsi="Verdana" w:cs="Arial"/>
        </w:rPr>
        <w:t xml:space="preserve"> por el derecho público, pues las normas civiles y comerciales son el derecho común de los contratos estatales</w:t>
      </w:r>
      <w:r w:rsidRPr="00CB68C5">
        <w:rPr>
          <w:rStyle w:val="Refdenotaalpie"/>
          <w:rFonts w:ascii="Verdana" w:hAnsi="Verdana" w:cs="Arial"/>
        </w:rPr>
        <w:footnoteReference w:id="1"/>
      </w:r>
      <w:r w:rsidRPr="00CB68C5">
        <w:rPr>
          <w:rFonts w:ascii="Verdana" w:hAnsi="Verdana" w:cs="Arial"/>
        </w:rPr>
        <w:t>. Para la doctrina, la mixtura del régimen contractual:</w:t>
      </w:r>
    </w:p>
    <w:p w14:paraId="35B59A27" w14:textId="77777777" w:rsidR="008F6F28" w:rsidRPr="00CB68C5" w:rsidRDefault="008F6F28" w:rsidP="008F6F28">
      <w:pPr>
        <w:spacing w:after="0" w:line="276" w:lineRule="auto"/>
        <w:ind w:firstLine="709"/>
        <w:jc w:val="both"/>
        <w:rPr>
          <w:rFonts w:ascii="Verdana" w:hAnsi="Verdana" w:cs="Arial"/>
        </w:rPr>
      </w:pPr>
    </w:p>
    <w:p w14:paraId="12E7AD4D" w14:textId="77777777" w:rsidR="008F6F28" w:rsidRPr="00B11281" w:rsidRDefault="008F6F28" w:rsidP="008F6F28">
      <w:pPr>
        <w:spacing w:after="0" w:line="240" w:lineRule="auto"/>
        <w:ind w:left="709" w:right="709"/>
        <w:jc w:val="both"/>
        <w:rPr>
          <w:rFonts w:ascii="Verdana" w:hAnsi="Verdana" w:cs="Arial"/>
          <w:sz w:val="20"/>
          <w:szCs w:val="20"/>
        </w:rPr>
      </w:pPr>
      <w:r w:rsidRPr="00B11281">
        <w:rPr>
          <w:rFonts w:ascii="Verdana" w:hAnsi="Verdana" w:cs="Arial"/>
          <w:sz w:val="20"/>
          <w:szCs w:val="20"/>
        </w:rPr>
        <w:t xml:space="preserve">“[…] no hace otra cosa que aprovechar ciertos principios rectores de la contratación general </w:t>
      </w:r>
      <w:proofErr w:type="gramStart"/>
      <w:r w:rsidRPr="00B11281">
        <w:rPr>
          <w:rFonts w:ascii="Verdana" w:hAnsi="Verdana" w:cs="Arial"/>
          <w:sz w:val="20"/>
          <w:szCs w:val="20"/>
        </w:rPr>
        <w:t>que</w:t>
      </w:r>
      <w:proofErr w:type="gramEnd"/>
      <w:r w:rsidRPr="00B11281">
        <w:rPr>
          <w:rFonts w:ascii="Verdana" w:hAnsi="Verdana" w:cs="Arial"/>
          <w:sz w:val="20"/>
          <w:szCs w:val="20"/>
        </w:rPr>
        <w:t xml:space="preserve"> aunque tengan su consagración en códigos de derecho privado como el civil o el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etc. Extremos éstos que de derecho privado no tienen sino su presentación formal o el nombre y que la tradición, desde su origen romano, se acostumbró a calificarlos así y a no preocuparse por su cuestionamiento o definición.</w:t>
      </w:r>
    </w:p>
    <w:p w14:paraId="5CF0225C" w14:textId="77777777" w:rsidR="008F6F28" w:rsidRPr="00B11281" w:rsidRDefault="008F6F28" w:rsidP="008F6F28">
      <w:pPr>
        <w:spacing w:after="0" w:line="240" w:lineRule="auto"/>
        <w:ind w:right="709"/>
        <w:jc w:val="both"/>
        <w:rPr>
          <w:rFonts w:ascii="Verdana" w:hAnsi="Verdana" w:cs="Arial"/>
          <w:sz w:val="20"/>
          <w:szCs w:val="20"/>
        </w:rPr>
      </w:pPr>
      <w:r w:rsidRPr="00B11281">
        <w:rPr>
          <w:rFonts w:ascii="Verdana" w:hAnsi="Verdana" w:cs="Arial"/>
          <w:sz w:val="20"/>
          <w:szCs w:val="20"/>
        </w:rPr>
        <w:tab/>
      </w:r>
    </w:p>
    <w:p w14:paraId="036316E4" w14:textId="77777777" w:rsidR="008F6F28" w:rsidRPr="00B11281" w:rsidRDefault="008F6F28" w:rsidP="008F6F28">
      <w:pPr>
        <w:spacing w:after="0" w:line="240" w:lineRule="auto"/>
        <w:ind w:left="709" w:right="709"/>
        <w:jc w:val="both"/>
        <w:rPr>
          <w:rFonts w:ascii="Verdana" w:hAnsi="Verdana" w:cs="Arial"/>
          <w:sz w:val="20"/>
          <w:szCs w:val="20"/>
        </w:rPr>
      </w:pPr>
      <w:r w:rsidRPr="00B11281">
        <w:rPr>
          <w:rFonts w:ascii="Verdana" w:hAnsi="Verdana" w:cs="Arial"/>
          <w:sz w:val="20"/>
          <w:szCs w:val="20"/>
        </w:rPr>
        <w:t>En otras palabras, extremos como los indicados no son ni de derecho público ni de derecho privado, sino, simplemente, de derecho propio, aplicables a toda relación contractual, con prescindencia de la naturaleza de los sujetos involucrados en la misma”</w:t>
      </w:r>
      <w:r w:rsidRPr="00B11281">
        <w:rPr>
          <w:rStyle w:val="Refdenotaalpie"/>
          <w:rFonts w:ascii="Verdana" w:hAnsi="Verdana" w:cs="Arial"/>
          <w:sz w:val="20"/>
          <w:szCs w:val="20"/>
        </w:rPr>
        <w:footnoteReference w:id="2"/>
      </w:r>
      <w:r w:rsidRPr="00B11281">
        <w:rPr>
          <w:rFonts w:ascii="Verdana" w:hAnsi="Verdana" w:cs="Arial"/>
          <w:sz w:val="20"/>
          <w:szCs w:val="20"/>
        </w:rPr>
        <w:t xml:space="preserve">. </w:t>
      </w:r>
    </w:p>
    <w:p w14:paraId="0B71D8C9" w14:textId="77777777" w:rsidR="008F6F28" w:rsidRPr="00B11281" w:rsidRDefault="008F6F28" w:rsidP="008F6F28">
      <w:pPr>
        <w:spacing w:after="0" w:line="276" w:lineRule="auto"/>
        <w:ind w:left="709" w:right="709"/>
        <w:jc w:val="both"/>
        <w:rPr>
          <w:rFonts w:ascii="Verdana" w:hAnsi="Verdana" w:cs="Arial"/>
          <w:sz w:val="20"/>
          <w:szCs w:val="20"/>
        </w:rPr>
      </w:pPr>
      <w:r w:rsidRPr="00B11281">
        <w:rPr>
          <w:rFonts w:ascii="Verdana" w:hAnsi="Verdana" w:cs="Arial"/>
          <w:sz w:val="20"/>
          <w:szCs w:val="20"/>
        </w:rPr>
        <w:t xml:space="preserve"> </w:t>
      </w:r>
    </w:p>
    <w:p w14:paraId="29965416" w14:textId="77777777" w:rsidR="008F6F28" w:rsidRDefault="008F6F28" w:rsidP="008F6F28">
      <w:pPr>
        <w:spacing w:after="0" w:line="276" w:lineRule="auto"/>
        <w:jc w:val="both"/>
        <w:rPr>
          <w:rFonts w:ascii="Verdana" w:hAnsi="Verdana" w:cs="Arial"/>
        </w:rPr>
      </w:pPr>
      <w:r w:rsidRPr="00CB68C5">
        <w:rPr>
          <w:rFonts w:ascii="Verdana" w:hAnsi="Verdana" w:cs="Arial"/>
        </w:rPr>
        <w:tab/>
        <w:t>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w:t>
      </w:r>
      <w:r>
        <w:rPr>
          <w:rFonts w:ascii="Verdana" w:hAnsi="Verdana" w:cs="Arial"/>
        </w:rPr>
        <w:t xml:space="preserve"> </w:t>
      </w:r>
    </w:p>
    <w:p w14:paraId="0724AB42" w14:textId="77777777" w:rsidR="008F6F28" w:rsidRDefault="008F6F28" w:rsidP="008F6F28">
      <w:pPr>
        <w:spacing w:after="0" w:line="276" w:lineRule="auto"/>
        <w:jc w:val="both"/>
        <w:rPr>
          <w:rFonts w:ascii="Verdana" w:hAnsi="Verdana" w:cs="Arial"/>
        </w:rPr>
      </w:pPr>
    </w:p>
    <w:p w14:paraId="24CABF98" w14:textId="77777777" w:rsidR="008F6F28" w:rsidRDefault="008F6F28" w:rsidP="008F6F28">
      <w:pPr>
        <w:spacing w:after="0" w:line="276" w:lineRule="auto"/>
        <w:jc w:val="both"/>
        <w:rPr>
          <w:rFonts w:ascii="Verdana" w:hAnsi="Verdana" w:cs="Arial"/>
        </w:rPr>
      </w:pPr>
      <w:proofErr w:type="spellStart"/>
      <w:r>
        <w:rPr>
          <w:rFonts w:ascii="Verdana" w:hAnsi="Verdana" w:cs="Arial"/>
        </w:rPr>
        <w:lastRenderedPageBreak/>
        <w:t>ii</w:t>
      </w:r>
      <w:proofErr w:type="spellEnd"/>
      <w:r>
        <w:rPr>
          <w:rFonts w:ascii="Verdana" w:hAnsi="Verdana" w:cs="Arial"/>
        </w:rPr>
        <w:t xml:space="preserve">. </w:t>
      </w:r>
      <w:r w:rsidRPr="00CB68C5">
        <w:rPr>
          <w:rFonts w:ascii="Verdana" w:hAnsi="Verdana" w:cs="Arial"/>
        </w:rPr>
        <w:t xml:space="preserve">Esta precisión es importante, porque </w:t>
      </w:r>
      <w:r>
        <w:rPr>
          <w:rFonts w:ascii="Verdana" w:hAnsi="Verdana" w:cs="Arial"/>
        </w:rPr>
        <w:t xml:space="preserve">el grueso de los </w:t>
      </w:r>
      <w:r w:rsidRPr="00082689">
        <w:rPr>
          <w:rFonts w:ascii="Verdana" w:hAnsi="Verdana" w:cs="Arial"/>
          <w:i/>
          <w:iCs/>
        </w:rPr>
        <w:t>contratos típicos</w:t>
      </w:r>
      <w:r>
        <w:rPr>
          <w:rFonts w:ascii="Verdana" w:hAnsi="Verdana" w:cs="Arial"/>
        </w:rPr>
        <w:t xml:space="preserve"> –v. gr. compraventa, arrendamiento, mutuo, comodato, depósito, suministro, transporte, entre otros–</w:t>
      </w:r>
      <w:r w:rsidRPr="00CB68C5">
        <w:rPr>
          <w:rFonts w:ascii="Verdana" w:hAnsi="Verdana" w:cs="Arial"/>
        </w:rPr>
        <w:t xml:space="preserve"> se encuentra</w:t>
      </w:r>
      <w:r>
        <w:rPr>
          <w:rFonts w:ascii="Verdana" w:hAnsi="Verdana" w:cs="Arial"/>
        </w:rPr>
        <w:t>n</w:t>
      </w:r>
      <w:r w:rsidRPr="00CB68C5">
        <w:rPr>
          <w:rFonts w:ascii="Verdana" w:hAnsi="Verdana" w:cs="Arial"/>
        </w:rPr>
        <w:t xml:space="preserve"> en el Código Civil y</w:t>
      </w:r>
      <w:r>
        <w:rPr>
          <w:rFonts w:ascii="Verdana" w:hAnsi="Verdana" w:cs="Arial"/>
        </w:rPr>
        <w:t xml:space="preserve"> en el Código de Comercio, por lo que</w:t>
      </w:r>
      <w:r w:rsidRPr="00CB68C5">
        <w:rPr>
          <w:rFonts w:ascii="Verdana" w:hAnsi="Verdana" w:cs="Arial"/>
        </w:rPr>
        <w:t xml:space="preserve"> encuentra</w:t>
      </w:r>
      <w:r>
        <w:rPr>
          <w:rFonts w:ascii="Verdana" w:hAnsi="Verdana" w:cs="Arial"/>
        </w:rPr>
        <w:t>n</w:t>
      </w:r>
      <w:r w:rsidRPr="00CB68C5">
        <w:rPr>
          <w:rFonts w:ascii="Verdana" w:hAnsi="Verdana" w:cs="Arial"/>
        </w:rPr>
        <w:t xml:space="preserve"> gran parte de su régimen jurídico</w:t>
      </w:r>
      <w:r>
        <w:rPr>
          <w:rFonts w:ascii="Verdana" w:hAnsi="Verdana" w:cs="Arial"/>
        </w:rPr>
        <w:t xml:space="preserve">. Sin embargo, no obsta para la existencia de </w:t>
      </w:r>
      <w:r w:rsidRPr="009D4B09">
        <w:rPr>
          <w:rFonts w:ascii="Verdana" w:hAnsi="Verdana" w:cs="Arial"/>
          <w:i/>
          <w:iCs/>
        </w:rPr>
        <w:t>contratos atípicos</w:t>
      </w:r>
      <w:r>
        <w:rPr>
          <w:rFonts w:ascii="Verdana" w:hAnsi="Verdana" w:cs="Arial"/>
        </w:rPr>
        <w:t>, pues –aunque no corresponden a un marco legal predefinido– en ellos obra con mayor alcance la libertad contractual. Como explica la doctrina:</w:t>
      </w:r>
    </w:p>
    <w:p w14:paraId="1125020A" w14:textId="77777777" w:rsidR="008F6F28" w:rsidRPr="00B11281" w:rsidRDefault="008F6F28" w:rsidP="008F6F28">
      <w:pPr>
        <w:spacing w:after="0" w:line="276" w:lineRule="auto"/>
        <w:jc w:val="both"/>
        <w:rPr>
          <w:rFonts w:ascii="Verdana" w:hAnsi="Verdana" w:cs="Arial"/>
          <w:sz w:val="20"/>
          <w:szCs w:val="20"/>
        </w:rPr>
      </w:pPr>
    </w:p>
    <w:p w14:paraId="53CBE89D" w14:textId="77777777" w:rsidR="008F6F28" w:rsidRPr="00B11281" w:rsidRDefault="008F6F28" w:rsidP="008F6F28">
      <w:pPr>
        <w:spacing w:after="0" w:line="240" w:lineRule="auto"/>
        <w:ind w:left="709" w:right="709"/>
        <w:jc w:val="both"/>
        <w:rPr>
          <w:rFonts w:ascii="Verdana" w:hAnsi="Verdana" w:cs="Arial"/>
          <w:sz w:val="20"/>
          <w:szCs w:val="20"/>
        </w:rPr>
      </w:pPr>
      <w:r w:rsidRPr="00B11281">
        <w:rPr>
          <w:rFonts w:ascii="Verdana" w:hAnsi="Verdana" w:cs="Arial"/>
          <w:sz w:val="20"/>
          <w:szCs w:val="20"/>
        </w:rPr>
        <w:t>“En los actos jurídicos atípicos se refleja en su mayor alcance, el postulado de la autonomía de la voluntad privada, pues es en ellos donde los interesados, consultando su mejor conveniencia, determinan los efectos que han de producir, su alcance, sus condiciones y modalidades, aunque las respectivas estipulaciones no se amolden a los actos patrones reglamentados por la ley. ‘Bajo nuestro régimen jurídico —explica la Corte Suprema de Justicia—, la ley reglamenta ciertos tipos de contratos, lo cual no impide al tráfico moverse dentro de especies de convenciones distintas que satisfagan necesidades no previstas por el legislador, debido a que él obtiene sus materiales del pasado y se halla a menudo en retardo respecto de los hechos económicos’"</w:t>
      </w:r>
      <w:r w:rsidRPr="00B11281">
        <w:rPr>
          <w:rStyle w:val="Refdenotaalpie"/>
          <w:rFonts w:ascii="Verdana" w:hAnsi="Verdana" w:cs="Arial"/>
          <w:sz w:val="20"/>
          <w:szCs w:val="20"/>
        </w:rPr>
        <w:footnoteReference w:id="3"/>
      </w:r>
      <w:r w:rsidRPr="00B11281">
        <w:rPr>
          <w:rFonts w:ascii="Verdana" w:hAnsi="Verdana" w:cs="Arial"/>
          <w:sz w:val="20"/>
          <w:szCs w:val="20"/>
        </w:rPr>
        <w:t>.</w:t>
      </w:r>
    </w:p>
    <w:p w14:paraId="50A7A49A" w14:textId="77777777" w:rsidR="008F6F28" w:rsidRDefault="008F6F28" w:rsidP="008F6F28">
      <w:pPr>
        <w:spacing w:after="0" w:line="276" w:lineRule="auto"/>
        <w:jc w:val="both"/>
        <w:rPr>
          <w:rFonts w:ascii="Verdana" w:hAnsi="Verdana" w:cs="Arial"/>
        </w:rPr>
      </w:pPr>
    </w:p>
    <w:p w14:paraId="4A62926B" w14:textId="77777777" w:rsidR="008F6F28" w:rsidRPr="00D239E3" w:rsidRDefault="008F6F28" w:rsidP="008F6F28">
      <w:pPr>
        <w:spacing w:line="276" w:lineRule="auto"/>
        <w:ind w:firstLine="567"/>
        <w:jc w:val="both"/>
        <w:rPr>
          <w:rFonts w:ascii="Verdana" w:eastAsia="Calibri" w:hAnsi="Verdana"/>
          <w:color w:val="000000" w:themeColor="text1"/>
          <w:lang w:val="es-ES_tradnl"/>
        </w:rPr>
      </w:pPr>
      <w:r w:rsidRPr="005F70F5">
        <w:rPr>
          <w:rFonts w:ascii="Verdana" w:eastAsia="Calibri" w:hAnsi="Verdana"/>
          <w:color w:val="000000" w:themeColor="text1"/>
          <w:lang w:val="es-ES_tradnl"/>
        </w:rPr>
        <w:t xml:space="preserve">El inciso primero del </w:t>
      </w:r>
      <w:r>
        <w:rPr>
          <w:rFonts w:ascii="Verdana" w:eastAsia="Calibri" w:hAnsi="Verdana"/>
          <w:color w:val="000000" w:themeColor="text1"/>
          <w:lang w:val="es-ES_tradnl"/>
        </w:rPr>
        <w:t xml:space="preserve">precitado </w:t>
      </w:r>
      <w:r w:rsidRPr="005F70F5">
        <w:rPr>
          <w:rFonts w:ascii="Verdana" w:eastAsia="Calibri" w:hAnsi="Verdana"/>
          <w:color w:val="000000" w:themeColor="text1"/>
          <w:lang w:val="es-ES_tradnl"/>
        </w:rPr>
        <w:t xml:space="preserve">artículo 32 de la Ley 80 de 1993 define los contratos estatales como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 todos los actos jurídicos generadores de obligaciones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 derivados del ejercicio de la autonomía de la voluntad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 por lo que </w:t>
      </w:r>
      <w:bookmarkStart w:id="2" w:name="_Hlk81430928"/>
      <w:r w:rsidRPr="005F70F5">
        <w:rPr>
          <w:rFonts w:ascii="Verdana" w:eastAsia="Calibri" w:hAnsi="Verdana"/>
          <w:color w:val="000000" w:themeColor="text1"/>
          <w:lang w:val="es-ES_tradnl"/>
        </w:rPr>
        <w:t xml:space="preserve">las partes están facultadas para suscribir </w:t>
      </w:r>
      <w:r w:rsidRPr="005F70F5">
        <w:rPr>
          <w:rFonts w:ascii="Verdana" w:eastAsia="Calibri" w:hAnsi="Verdana"/>
          <w:i/>
          <w:iCs/>
          <w:color w:val="000000" w:themeColor="text1"/>
          <w:lang w:val="es-ES_tradnl"/>
        </w:rPr>
        <w:t>contratos mixtos</w:t>
      </w:r>
      <w:r w:rsidRPr="005F70F5">
        <w:rPr>
          <w:rFonts w:ascii="Verdana" w:eastAsia="Calibri" w:hAnsi="Verdana"/>
          <w:color w:val="000000" w:themeColor="text1"/>
          <w:lang w:val="es-ES_tradnl"/>
        </w:rPr>
        <w:t xml:space="preserve">. Como una forma de contratación atípica, estos se caracterizan por acumular prestaciones de varios contratos nominados para satisfacer una necesidad común, es decir,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Su finalidad económica es única y condensa el propósito perseguido por los contratantes. Las diversas </w:t>
      </w:r>
      <w:r w:rsidRPr="00D239E3">
        <w:rPr>
          <w:rFonts w:ascii="Verdana" w:eastAsia="Calibri" w:hAnsi="Verdana"/>
          <w:color w:val="000000" w:themeColor="text1"/>
          <w:lang w:val="es-ES_tradnl"/>
        </w:rPr>
        <w:t>prestaciones, aunque corresponden a diversos contratos típicos, se subordinan a esa finalidad e intención de las partes</w:t>
      </w:r>
      <w:bookmarkEnd w:id="2"/>
      <w:r w:rsidRPr="00D239E3">
        <w:rPr>
          <w:rFonts w:ascii="Verdana" w:eastAsia="Calibri" w:hAnsi="Verdana"/>
          <w:color w:val="000000" w:themeColor="text1"/>
          <w:lang w:val="es-ES_tradnl"/>
        </w:rPr>
        <w:t>”</w:t>
      </w:r>
      <w:r w:rsidRPr="00D239E3">
        <w:rPr>
          <w:rStyle w:val="Refdenotaalpie"/>
          <w:rFonts w:ascii="Verdana" w:eastAsia="Calibri" w:hAnsi="Verdana"/>
          <w:color w:val="000000" w:themeColor="text1"/>
          <w:lang w:val="es-ES_tradnl"/>
        </w:rPr>
        <w:footnoteReference w:id="4"/>
      </w:r>
      <w:r w:rsidRPr="00D239E3">
        <w:rPr>
          <w:rFonts w:ascii="Verdana" w:eastAsia="Calibri" w:hAnsi="Verdana"/>
          <w:color w:val="000000" w:themeColor="text1"/>
          <w:lang w:val="es-ES_tradnl"/>
        </w:rPr>
        <w:t xml:space="preserve">. </w:t>
      </w:r>
    </w:p>
    <w:p w14:paraId="4297F0FB" w14:textId="77777777" w:rsidR="008F6F28" w:rsidRDefault="008F6F28" w:rsidP="008F6F28">
      <w:pPr>
        <w:spacing w:before="120" w:line="276" w:lineRule="auto"/>
        <w:ind w:firstLine="708"/>
        <w:jc w:val="both"/>
        <w:rPr>
          <w:rFonts w:ascii="Verdana" w:eastAsia="Calibri" w:hAnsi="Verdana"/>
          <w:color w:val="000000" w:themeColor="text1"/>
          <w:lang w:val="es-ES_tradnl"/>
        </w:rPr>
      </w:pPr>
      <w:r w:rsidRPr="00D239E3">
        <w:rPr>
          <w:rFonts w:ascii="Verdana" w:eastAsia="Calibri" w:hAnsi="Verdana"/>
          <w:color w:val="000000" w:themeColor="text1"/>
        </w:rPr>
        <w:t xml:space="preserve">En este contexto, es importante diferenciar los </w:t>
      </w:r>
      <w:r>
        <w:rPr>
          <w:rFonts w:ascii="Verdana" w:eastAsia="Calibri" w:hAnsi="Verdana"/>
          <w:color w:val="000000" w:themeColor="text1"/>
          <w:sz w:val="20"/>
          <w:szCs w:val="20"/>
        </w:rPr>
        <w:t>“</w:t>
      </w:r>
      <w:r w:rsidRPr="00D239E3">
        <w:rPr>
          <w:rFonts w:ascii="Verdana" w:eastAsia="Calibri" w:hAnsi="Verdana"/>
          <w:color w:val="000000" w:themeColor="text1"/>
        </w:rPr>
        <w:t>contratos mixtos</w:t>
      </w:r>
      <w:r>
        <w:rPr>
          <w:rFonts w:ascii="Verdana" w:eastAsia="Calibri" w:hAnsi="Verdana"/>
          <w:color w:val="000000" w:themeColor="text1"/>
        </w:rPr>
        <w:t>”</w:t>
      </w:r>
      <w:r w:rsidRPr="00D239E3">
        <w:rPr>
          <w:rFonts w:ascii="Verdana" w:eastAsia="Calibri" w:hAnsi="Verdana"/>
          <w:color w:val="000000" w:themeColor="text1"/>
        </w:rPr>
        <w:t xml:space="preserve"> de las </w:t>
      </w:r>
      <w:r>
        <w:rPr>
          <w:rFonts w:ascii="Verdana" w:eastAsia="Calibri" w:hAnsi="Verdana"/>
          <w:color w:val="000000" w:themeColor="text1"/>
        </w:rPr>
        <w:t>“</w:t>
      </w:r>
      <w:r w:rsidRPr="00D239E3">
        <w:rPr>
          <w:rFonts w:ascii="Verdana" w:eastAsia="Calibri" w:hAnsi="Verdana"/>
          <w:color w:val="000000" w:themeColor="text1"/>
        </w:rPr>
        <w:t>uniones de contratos</w:t>
      </w:r>
      <w:r>
        <w:rPr>
          <w:rFonts w:ascii="Verdana" w:eastAsia="Calibri" w:hAnsi="Verdana"/>
          <w:color w:val="000000" w:themeColor="text1"/>
        </w:rPr>
        <w:t>”</w:t>
      </w:r>
      <w:r w:rsidRPr="00D239E3">
        <w:rPr>
          <w:rFonts w:ascii="Verdana" w:eastAsia="Calibri" w:hAnsi="Verdana"/>
          <w:color w:val="000000" w:themeColor="text1"/>
        </w:rPr>
        <w:t xml:space="preserve">. En el </w:t>
      </w:r>
      <w:r w:rsidRPr="00D239E3">
        <w:rPr>
          <w:rFonts w:ascii="Verdana" w:eastAsia="Calibri" w:hAnsi="Verdana"/>
          <w:i/>
          <w:iCs/>
          <w:color w:val="000000" w:themeColor="text1"/>
        </w:rPr>
        <w:t>contrato mixto</w:t>
      </w:r>
      <w:r w:rsidRPr="00D239E3">
        <w:rPr>
          <w:rFonts w:ascii="Verdana" w:eastAsia="Calibri" w:hAnsi="Verdana"/>
          <w:color w:val="000000" w:themeColor="text1"/>
        </w:rPr>
        <w:t xml:space="preserve"> existe un solo acuerdo con </w:t>
      </w:r>
      <w:r w:rsidRPr="00D239E3">
        <w:rPr>
          <w:rFonts w:ascii="Verdana" w:eastAsia="Calibri" w:hAnsi="Verdana"/>
          <w:color w:val="000000" w:themeColor="text1"/>
        </w:rPr>
        <w:lastRenderedPageBreak/>
        <w:t xml:space="preserve">elementos de diversos tipos de contrato, mientras que en las </w:t>
      </w:r>
      <w:r w:rsidRPr="00D239E3">
        <w:rPr>
          <w:rFonts w:ascii="Verdana" w:eastAsia="Calibri" w:hAnsi="Verdana"/>
          <w:i/>
          <w:iCs/>
          <w:color w:val="000000" w:themeColor="text1"/>
        </w:rPr>
        <w:t>uniones de contrato</w:t>
      </w:r>
      <w:r w:rsidRPr="00D239E3">
        <w:rPr>
          <w:rFonts w:ascii="Verdana" w:eastAsia="Calibri" w:hAnsi="Verdana"/>
          <w:color w:val="000000" w:themeColor="text1"/>
        </w:rPr>
        <w:t xml:space="preserve"> cada uno de ellos mantiene su régimen y autonomía. Para esta distinción corresponde identificar la causa del contrato, es decir, el móvil para celebrarlo: si existe unidad causal corresponde a un </w:t>
      </w:r>
      <w:r>
        <w:rPr>
          <w:rFonts w:ascii="Verdana" w:eastAsia="Calibri" w:hAnsi="Verdana"/>
          <w:color w:val="000000" w:themeColor="text1"/>
          <w:sz w:val="20"/>
          <w:szCs w:val="20"/>
        </w:rPr>
        <w:t>“</w:t>
      </w:r>
      <w:r w:rsidRPr="00D239E3">
        <w:rPr>
          <w:rFonts w:ascii="Verdana" w:eastAsia="Calibri" w:hAnsi="Verdana"/>
          <w:color w:val="000000" w:themeColor="text1"/>
        </w:rPr>
        <w:t>contrato mixto</w:t>
      </w:r>
      <w:r>
        <w:rPr>
          <w:rFonts w:ascii="Verdana" w:eastAsia="Calibri" w:hAnsi="Verdana"/>
          <w:color w:val="000000" w:themeColor="text1"/>
        </w:rPr>
        <w:t>”</w:t>
      </w:r>
      <w:r w:rsidRPr="00D239E3">
        <w:rPr>
          <w:rFonts w:ascii="Verdana" w:eastAsia="Calibri" w:hAnsi="Verdana"/>
          <w:color w:val="000000" w:themeColor="text1"/>
        </w:rPr>
        <w:t xml:space="preserve">; de lo contrario, es una </w:t>
      </w:r>
      <w:r>
        <w:rPr>
          <w:rFonts w:ascii="Verdana" w:eastAsia="Calibri" w:hAnsi="Verdana"/>
          <w:color w:val="000000" w:themeColor="text1"/>
        </w:rPr>
        <w:t>“</w:t>
      </w:r>
      <w:r w:rsidRPr="00D239E3">
        <w:rPr>
          <w:rFonts w:ascii="Verdana" w:eastAsia="Calibri" w:hAnsi="Verdana"/>
          <w:color w:val="000000" w:themeColor="text1"/>
        </w:rPr>
        <w:t>unión de contratos</w:t>
      </w:r>
      <w:r>
        <w:rPr>
          <w:rFonts w:ascii="Verdana" w:eastAsia="Calibri" w:hAnsi="Verdana"/>
          <w:color w:val="000000" w:themeColor="text1"/>
        </w:rPr>
        <w:t>”</w:t>
      </w:r>
      <w:r w:rsidRPr="00D239E3">
        <w:rPr>
          <w:rStyle w:val="Refdenotaalpie"/>
          <w:rFonts w:ascii="Verdana" w:eastAsia="Calibri" w:hAnsi="Verdana"/>
          <w:color w:val="000000" w:themeColor="text1"/>
        </w:rPr>
        <w:footnoteReference w:id="5"/>
      </w:r>
      <w:r w:rsidRPr="00D239E3">
        <w:rPr>
          <w:rFonts w:ascii="Verdana" w:eastAsia="Calibri" w:hAnsi="Verdana"/>
          <w:color w:val="000000" w:themeColor="text1"/>
        </w:rPr>
        <w:t>.</w:t>
      </w:r>
      <w:r w:rsidRPr="00D239E3">
        <w:rPr>
          <w:rFonts w:ascii="Verdana" w:eastAsia="Calibri" w:hAnsi="Verdana"/>
          <w:color w:val="000000" w:themeColor="text1"/>
          <w:lang w:val="es-ES_tradnl"/>
        </w:rPr>
        <w:t xml:space="preserve"> </w:t>
      </w:r>
    </w:p>
    <w:p w14:paraId="5A04AC6B" w14:textId="77777777" w:rsidR="008F6F28" w:rsidRPr="006E6F5F" w:rsidRDefault="008F6F28" w:rsidP="008F6F28">
      <w:pPr>
        <w:spacing w:before="120" w:line="276" w:lineRule="auto"/>
        <w:ind w:firstLine="708"/>
        <w:jc w:val="both"/>
        <w:rPr>
          <w:rFonts w:ascii="Verdana" w:hAnsi="Verdana" w:cs="Arial"/>
          <w:bCs/>
          <w:color w:val="000000" w:themeColor="text1"/>
        </w:rPr>
      </w:pPr>
      <w:r w:rsidRPr="006E6F5F">
        <w:rPr>
          <w:rFonts w:ascii="Verdana" w:hAnsi="Verdana" w:cs="Arial"/>
          <w:bCs/>
          <w:color w:val="000000" w:themeColor="text1"/>
        </w:rPr>
        <w:t>En virtud de la libertad y autonomía contractual reconocida a las entidades estatales para celebrar contratos típicos o atípicos, independientemente de su régimen jurídico, se dispone de una amplia gama de mecanismos para estructurar la participación del sector privado en la prestación de servicios públicos. Esta flexibilidad permite diseñar esquemas contractuales que se ajusten a las necesidades específicas de cada proyecto, garantizando eficiencia, sostenibilidad y adecuada asignación de riesgos.</w:t>
      </w:r>
    </w:p>
    <w:p w14:paraId="0057598B" w14:textId="77777777" w:rsidR="008F6F28" w:rsidRPr="006E6F5F" w:rsidRDefault="008F6F28" w:rsidP="008F6F28">
      <w:pPr>
        <w:spacing w:before="120" w:line="276" w:lineRule="auto"/>
        <w:ind w:firstLine="708"/>
        <w:jc w:val="both"/>
        <w:rPr>
          <w:rFonts w:ascii="Verdana" w:hAnsi="Verdana" w:cs="Arial"/>
          <w:bCs/>
          <w:color w:val="000000" w:themeColor="text1"/>
        </w:rPr>
      </w:pPr>
      <w:r w:rsidRPr="006E6F5F">
        <w:rPr>
          <w:rFonts w:ascii="Verdana" w:hAnsi="Verdana" w:cs="Arial"/>
          <w:bCs/>
          <w:color w:val="000000" w:themeColor="text1"/>
        </w:rPr>
        <w:t xml:space="preserve">En el ámbito de la infraestructura, se destacan modalidades como la concesión, el </w:t>
      </w:r>
      <w:proofErr w:type="spellStart"/>
      <w:r w:rsidRPr="006E6F5F">
        <w:rPr>
          <w:rFonts w:ascii="Verdana" w:hAnsi="Verdana" w:cs="Arial"/>
          <w:bCs/>
          <w:color w:val="000000" w:themeColor="text1"/>
        </w:rPr>
        <w:t>affermage</w:t>
      </w:r>
      <w:proofErr w:type="spellEnd"/>
      <w:r w:rsidRPr="006E6F5F">
        <w:rPr>
          <w:rFonts w:ascii="Verdana" w:hAnsi="Verdana" w:cs="Arial"/>
          <w:bCs/>
          <w:color w:val="000000" w:themeColor="text1"/>
        </w:rPr>
        <w:t>, los contratos BOOT (</w:t>
      </w:r>
      <w:proofErr w:type="spellStart"/>
      <w:r w:rsidRPr="006E6F5F">
        <w:rPr>
          <w:rFonts w:ascii="Verdana" w:hAnsi="Verdana" w:cs="Arial"/>
          <w:bCs/>
          <w:color w:val="000000" w:themeColor="text1"/>
        </w:rPr>
        <w:t>Build</w:t>
      </w:r>
      <w:proofErr w:type="spellEnd"/>
      <w:r w:rsidRPr="006E6F5F">
        <w:rPr>
          <w:rFonts w:ascii="Verdana" w:hAnsi="Verdana" w:cs="Arial"/>
          <w:bCs/>
          <w:color w:val="000000" w:themeColor="text1"/>
        </w:rPr>
        <w:t>-</w:t>
      </w:r>
      <w:proofErr w:type="spellStart"/>
      <w:r w:rsidRPr="006E6F5F">
        <w:rPr>
          <w:rFonts w:ascii="Verdana" w:hAnsi="Verdana" w:cs="Arial"/>
          <w:bCs/>
          <w:color w:val="000000" w:themeColor="text1"/>
        </w:rPr>
        <w:t>Own</w:t>
      </w:r>
      <w:proofErr w:type="spellEnd"/>
      <w:r w:rsidRPr="006E6F5F">
        <w:rPr>
          <w:rFonts w:ascii="Verdana" w:hAnsi="Verdana" w:cs="Arial"/>
          <w:bCs/>
          <w:color w:val="000000" w:themeColor="text1"/>
        </w:rPr>
        <w:t>-</w:t>
      </w:r>
      <w:proofErr w:type="spellStart"/>
      <w:r w:rsidRPr="006E6F5F">
        <w:rPr>
          <w:rFonts w:ascii="Verdana" w:hAnsi="Verdana" w:cs="Arial"/>
          <w:bCs/>
          <w:color w:val="000000" w:themeColor="text1"/>
        </w:rPr>
        <w:t>Operate</w:t>
      </w:r>
      <w:proofErr w:type="spellEnd"/>
      <w:r w:rsidRPr="006E6F5F">
        <w:rPr>
          <w:rFonts w:ascii="Verdana" w:hAnsi="Verdana" w:cs="Arial"/>
          <w:bCs/>
          <w:color w:val="000000" w:themeColor="text1"/>
        </w:rPr>
        <w:t>-Transfer), BOT (</w:t>
      </w:r>
      <w:proofErr w:type="spellStart"/>
      <w:r w:rsidRPr="006E6F5F">
        <w:rPr>
          <w:rFonts w:ascii="Verdana" w:hAnsi="Verdana" w:cs="Arial"/>
          <w:bCs/>
          <w:color w:val="000000" w:themeColor="text1"/>
        </w:rPr>
        <w:t>Build</w:t>
      </w:r>
      <w:proofErr w:type="spellEnd"/>
      <w:r w:rsidRPr="006E6F5F">
        <w:rPr>
          <w:rFonts w:ascii="Verdana" w:hAnsi="Verdana" w:cs="Arial"/>
          <w:bCs/>
          <w:color w:val="000000" w:themeColor="text1"/>
        </w:rPr>
        <w:t>-</w:t>
      </w:r>
      <w:proofErr w:type="spellStart"/>
      <w:r w:rsidRPr="006E6F5F">
        <w:rPr>
          <w:rFonts w:ascii="Verdana" w:hAnsi="Verdana" w:cs="Arial"/>
          <w:bCs/>
          <w:color w:val="000000" w:themeColor="text1"/>
        </w:rPr>
        <w:t>Operate</w:t>
      </w:r>
      <w:proofErr w:type="spellEnd"/>
      <w:r w:rsidRPr="006E6F5F">
        <w:rPr>
          <w:rFonts w:ascii="Verdana" w:hAnsi="Verdana" w:cs="Arial"/>
          <w:bCs/>
          <w:color w:val="000000" w:themeColor="text1"/>
        </w:rPr>
        <w:t>-Transfer), ROT (</w:t>
      </w:r>
      <w:proofErr w:type="spellStart"/>
      <w:r w:rsidRPr="006E6F5F">
        <w:rPr>
          <w:rFonts w:ascii="Verdana" w:hAnsi="Verdana" w:cs="Arial"/>
          <w:bCs/>
          <w:color w:val="000000" w:themeColor="text1"/>
        </w:rPr>
        <w:t>Rehabilitate</w:t>
      </w:r>
      <w:proofErr w:type="spellEnd"/>
      <w:r w:rsidRPr="006E6F5F">
        <w:rPr>
          <w:rFonts w:ascii="Verdana" w:hAnsi="Verdana" w:cs="Arial"/>
          <w:bCs/>
          <w:color w:val="000000" w:themeColor="text1"/>
        </w:rPr>
        <w:t>-</w:t>
      </w:r>
      <w:proofErr w:type="spellStart"/>
      <w:r w:rsidRPr="006E6F5F">
        <w:rPr>
          <w:rFonts w:ascii="Verdana" w:hAnsi="Verdana" w:cs="Arial"/>
          <w:bCs/>
          <w:color w:val="000000" w:themeColor="text1"/>
        </w:rPr>
        <w:t>Operate</w:t>
      </w:r>
      <w:proofErr w:type="spellEnd"/>
      <w:r w:rsidRPr="006E6F5F">
        <w:rPr>
          <w:rFonts w:ascii="Verdana" w:hAnsi="Verdana" w:cs="Arial"/>
          <w:bCs/>
          <w:color w:val="000000" w:themeColor="text1"/>
        </w:rPr>
        <w:t>-Transfer), BOO (</w:t>
      </w:r>
      <w:proofErr w:type="spellStart"/>
      <w:r w:rsidRPr="006E6F5F">
        <w:rPr>
          <w:rFonts w:ascii="Verdana" w:hAnsi="Verdana" w:cs="Arial"/>
          <w:bCs/>
          <w:color w:val="000000" w:themeColor="text1"/>
        </w:rPr>
        <w:t>Build-Own-Operate</w:t>
      </w:r>
      <w:proofErr w:type="spellEnd"/>
      <w:r w:rsidRPr="006E6F5F">
        <w:rPr>
          <w:rFonts w:ascii="Verdana" w:hAnsi="Verdana" w:cs="Arial"/>
          <w:bCs/>
          <w:color w:val="000000" w:themeColor="text1"/>
        </w:rPr>
        <w:t>), ROO (</w:t>
      </w:r>
      <w:proofErr w:type="spellStart"/>
      <w:r w:rsidRPr="006E6F5F">
        <w:rPr>
          <w:rFonts w:ascii="Verdana" w:hAnsi="Verdana" w:cs="Arial"/>
          <w:bCs/>
          <w:color w:val="000000" w:themeColor="text1"/>
        </w:rPr>
        <w:t>Rehabilitate-Own-Operate</w:t>
      </w:r>
      <w:proofErr w:type="spellEnd"/>
      <w:r w:rsidRPr="006E6F5F">
        <w:rPr>
          <w:rFonts w:ascii="Verdana" w:hAnsi="Verdana" w:cs="Arial"/>
          <w:bCs/>
          <w:color w:val="000000" w:themeColor="text1"/>
        </w:rPr>
        <w:t>) y DBFO (</w:t>
      </w:r>
      <w:proofErr w:type="spellStart"/>
      <w:r w:rsidRPr="006E6F5F">
        <w:rPr>
          <w:rFonts w:ascii="Verdana" w:hAnsi="Verdana" w:cs="Arial"/>
          <w:bCs/>
          <w:color w:val="000000" w:themeColor="text1"/>
        </w:rPr>
        <w:t>Design-Build-Finance-Operate</w:t>
      </w:r>
      <w:proofErr w:type="spellEnd"/>
      <w:r w:rsidRPr="006E6F5F">
        <w:rPr>
          <w:rFonts w:ascii="Verdana" w:hAnsi="Verdana" w:cs="Arial"/>
          <w:bCs/>
          <w:color w:val="000000" w:themeColor="text1"/>
        </w:rPr>
        <w:t>), entre otros. Cada una de estas fórmulas contractuales implica efectos jurídicos y económicos distintos, que determinan la manera en que se distribuyen las responsabilidades, los riesgos y los beneficios entre el sector público y el privado</w:t>
      </w:r>
      <w:r w:rsidRPr="002675E7">
        <w:rPr>
          <w:rFonts w:ascii="Verdana" w:hAnsi="Verdana" w:cs="Arial"/>
          <w:bCs/>
          <w:color w:val="000000" w:themeColor="text1"/>
          <w:vertAlign w:val="superscript"/>
          <w:lang w:val="es-ES_tradnl"/>
        </w:rPr>
        <w:footnoteReference w:id="6"/>
      </w:r>
      <w:r w:rsidRPr="006E6F5F">
        <w:rPr>
          <w:rFonts w:ascii="Verdana" w:hAnsi="Verdana" w:cs="Arial"/>
          <w:bCs/>
          <w:color w:val="000000" w:themeColor="text1"/>
        </w:rPr>
        <w:t>.</w:t>
      </w:r>
      <w:r>
        <w:rPr>
          <w:rFonts w:ascii="Verdana" w:hAnsi="Verdana" w:cs="Arial"/>
          <w:bCs/>
          <w:color w:val="000000" w:themeColor="text1"/>
        </w:rPr>
        <w:t xml:space="preserve"> </w:t>
      </w:r>
      <w:r w:rsidRPr="006E6F5F">
        <w:rPr>
          <w:rFonts w:ascii="Verdana" w:hAnsi="Verdana" w:cs="Arial"/>
          <w:bCs/>
          <w:color w:val="000000" w:themeColor="text1"/>
        </w:rPr>
        <w:t>Un ejemplo ilustrativo lo constituyen las licitaciones internacionales en las que se emplea el esquema DBFO (Diseñar, Construir, Financiar y Operar), de origen anglosajón y ampliamente utilizado en proyectos de infraestructura vial, especialmente autopistas. En este tipo de contrato, la empresa privada asume la obligación integral de diseñar, construir y operar la infraestructura objeto del contrato, además de gestionar la financiación necesaria para su ejecución durante el plazo pactado. Aunque el contratista privado asume inicialmente la titularidad funcional del proyecto, la infraestructura termina siendo propiedad del ente estatal, lo que asegura la prevalencia del interés público y la continuidad del servicio</w:t>
      </w:r>
      <w:r w:rsidRPr="002675E7">
        <w:rPr>
          <w:rFonts w:ascii="Verdana" w:eastAsia="Bookman Old Style" w:hAnsi="Verdana" w:cs="Bookman Old Style"/>
          <w:vertAlign w:val="superscript"/>
          <w:lang w:val="es"/>
        </w:rPr>
        <w:footnoteReference w:id="7"/>
      </w:r>
      <w:r w:rsidRPr="006E6F5F">
        <w:rPr>
          <w:rFonts w:ascii="Verdana" w:hAnsi="Verdana" w:cs="Arial"/>
          <w:bCs/>
          <w:color w:val="000000" w:themeColor="text1"/>
        </w:rPr>
        <w:t>.</w:t>
      </w:r>
    </w:p>
    <w:p w14:paraId="3212E6B7" w14:textId="77777777" w:rsidR="008F6F28" w:rsidRPr="001526AD" w:rsidRDefault="008F6F28" w:rsidP="008F6F28">
      <w:pPr>
        <w:spacing w:before="120" w:line="276" w:lineRule="auto"/>
        <w:ind w:firstLine="708"/>
        <w:jc w:val="both"/>
        <w:rPr>
          <w:rFonts w:ascii="Verdana" w:hAnsi="Verdana" w:cs="Arial"/>
          <w:bCs/>
          <w:color w:val="000000" w:themeColor="text1"/>
          <w:lang w:val="en-US"/>
        </w:rPr>
      </w:pPr>
      <w:r w:rsidRPr="00B22C80">
        <w:rPr>
          <w:rFonts w:ascii="Verdana" w:hAnsi="Verdana" w:cs="Arial"/>
          <w:bCs/>
          <w:color w:val="000000" w:themeColor="text1"/>
        </w:rPr>
        <w:lastRenderedPageBreak/>
        <w:t>En otros escenarios de participación del sector privado,</w:t>
      </w:r>
      <w:r w:rsidRPr="002C6B04">
        <w:rPr>
          <w:rFonts w:ascii="Times New Roman" w:eastAsia="Times New Roman" w:hAnsi="Times New Roman" w:cs="Times New Roman"/>
          <w:sz w:val="24"/>
          <w:szCs w:val="24"/>
          <w:lang w:eastAsia="es-CO"/>
        </w:rPr>
        <w:t xml:space="preserve"> </w:t>
      </w:r>
      <w:r>
        <w:rPr>
          <w:rFonts w:ascii="Verdana" w:hAnsi="Verdana" w:cs="Arial"/>
          <w:bCs/>
          <w:color w:val="000000" w:themeColor="text1"/>
        </w:rPr>
        <w:t xml:space="preserve">se expone la </w:t>
      </w:r>
      <w:r w:rsidRPr="00D22864">
        <w:rPr>
          <w:rFonts w:ascii="Verdana" w:hAnsi="Verdana" w:cs="Arial"/>
          <w:color w:val="000000" w:themeColor="text1"/>
        </w:rPr>
        <w:t>complejidad terminológica y conceptual</w:t>
      </w:r>
      <w:r w:rsidRPr="002C6B04">
        <w:rPr>
          <w:rFonts w:ascii="Verdana" w:hAnsi="Verdana" w:cs="Arial"/>
          <w:bCs/>
          <w:color w:val="000000" w:themeColor="text1"/>
        </w:rPr>
        <w:t xml:space="preserve"> que existe en torno a la externalización de procesos de conocimiento. </w:t>
      </w:r>
      <w:r>
        <w:rPr>
          <w:rFonts w:ascii="Verdana" w:hAnsi="Verdana" w:cs="Arial"/>
          <w:bCs/>
          <w:color w:val="000000" w:themeColor="text1"/>
        </w:rPr>
        <w:t xml:space="preserve">En este aspecto, la doctrina ha señalado que no </w:t>
      </w:r>
      <w:r w:rsidRPr="002C6B04">
        <w:rPr>
          <w:rFonts w:ascii="Verdana" w:hAnsi="Verdana" w:cs="Arial"/>
          <w:bCs/>
          <w:color w:val="000000" w:themeColor="text1"/>
        </w:rPr>
        <w:t>hay uniformidad ni univocidad en el uso de los términos, pues muchos provienen del inglés y se han trasladado al ámbito académico y empresarial con significados diversos, lo que genera confusión y falta de precisión conceptual.</w:t>
      </w:r>
      <w:r>
        <w:rPr>
          <w:rFonts w:ascii="Verdana" w:hAnsi="Verdana" w:cs="Arial"/>
          <w:bCs/>
          <w:color w:val="000000" w:themeColor="text1"/>
        </w:rPr>
        <w:t xml:space="preserve"> </w:t>
      </w:r>
      <w:r w:rsidRPr="002C6B04">
        <w:rPr>
          <w:rFonts w:ascii="Verdana" w:hAnsi="Verdana" w:cs="Arial"/>
          <w:bCs/>
          <w:color w:val="000000" w:themeColor="text1"/>
          <w:lang w:val="en-US"/>
        </w:rPr>
        <w:t xml:space="preserve">En </w:t>
      </w:r>
      <w:proofErr w:type="spellStart"/>
      <w:r w:rsidRPr="002C6B04">
        <w:rPr>
          <w:rFonts w:ascii="Verdana" w:hAnsi="Verdana" w:cs="Arial"/>
          <w:bCs/>
          <w:color w:val="000000" w:themeColor="text1"/>
          <w:lang w:val="en-US"/>
        </w:rPr>
        <w:t>este</w:t>
      </w:r>
      <w:proofErr w:type="spellEnd"/>
      <w:r w:rsidRPr="002C6B04">
        <w:rPr>
          <w:rFonts w:ascii="Verdana" w:hAnsi="Verdana" w:cs="Arial"/>
          <w:bCs/>
          <w:color w:val="000000" w:themeColor="text1"/>
          <w:lang w:val="en-US"/>
        </w:rPr>
        <w:t xml:space="preserve"> </w:t>
      </w:r>
      <w:proofErr w:type="spellStart"/>
      <w:r w:rsidRPr="002C6B04">
        <w:rPr>
          <w:rFonts w:ascii="Verdana" w:hAnsi="Verdana" w:cs="Arial"/>
          <w:bCs/>
          <w:color w:val="000000" w:themeColor="text1"/>
          <w:lang w:val="en-US"/>
        </w:rPr>
        <w:t>sentido</w:t>
      </w:r>
      <w:proofErr w:type="spellEnd"/>
      <w:r w:rsidRPr="002C6B04">
        <w:rPr>
          <w:rFonts w:ascii="Verdana" w:hAnsi="Verdana" w:cs="Arial"/>
          <w:bCs/>
          <w:color w:val="000000" w:themeColor="text1"/>
          <w:lang w:val="en-US"/>
        </w:rPr>
        <w:t xml:space="preserve">, se </w:t>
      </w:r>
      <w:proofErr w:type="spellStart"/>
      <w:r w:rsidRPr="002C6B04">
        <w:rPr>
          <w:rFonts w:ascii="Verdana" w:hAnsi="Verdana" w:cs="Arial"/>
          <w:bCs/>
          <w:color w:val="000000" w:themeColor="text1"/>
          <w:lang w:val="en-US"/>
        </w:rPr>
        <w:t>enumeran</w:t>
      </w:r>
      <w:proofErr w:type="spellEnd"/>
      <w:r w:rsidRPr="002C6B04">
        <w:rPr>
          <w:rFonts w:ascii="Verdana" w:hAnsi="Verdana" w:cs="Arial"/>
          <w:bCs/>
          <w:color w:val="000000" w:themeColor="text1"/>
          <w:lang w:val="en-US"/>
        </w:rPr>
        <w:t xml:space="preserve"> </w:t>
      </w:r>
      <w:proofErr w:type="spellStart"/>
      <w:r w:rsidRPr="002C6B04">
        <w:rPr>
          <w:rFonts w:ascii="Verdana" w:hAnsi="Verdana" w:cs="Arial"/>
          <w:bCs/>
          <w:color w:val="000000" w:themeColor="text1"/>
          <w:lang w:val="en-US"/>
        </w:rPr>
        <w:t>múltiples</w:t>
      </w:r>
      <w:proofErr w:type="spellEnd"/>
      <w:r w:rsidRPr="002C6B04">
        <w:rPr>
          <w:rFonts w:ascii="Verdana" w:hAnsi="Verdana" w:cs="Arial"/>
          <w:bCs/>
          <w:color w:val="000000" w:themeColor="text1"/>
          <w:lang w:val="en-US"/>
        </w:rPr>
        <w:t xml:space="preserve"> </w:t>
      </w:r>
      <w:proofErr w:type="spellStart"/>
      <w:r w:rsidRPr="002C6B04">
        <w:rPr>
          <w:rFonts w:ascii="Verdana" w:hAnsi="Verdana" w:cs="Arial"/>
          <w:bCs/>
          <w:color w:val="000000" w:themeColor="text1"/>
          <w:lang w:val="en-US"/>
        </w:rPr>
        <w:t>expresiones</w:t>
      </w:r>
      <w:proofErr w:type="spellEnd"/>
      <w:r w:rsidRPr="002C6B04">
        <w:rPr>
          <w:rFonts w:ascii="Verdana" w:hAnsi="Verdana" w:cs="Arial"/>
          <w:bCs/>
          <w:color w:val="000000" w:themeColor="text1"/>
          <w:lang w:val="en-US"/>
        </w:rPr>
        <w:t xml:space="preserve"> </w:t>
      </w:r>
      <w:proofErr w:type="spellStart"/>
      <w:r w:rsidRPr="002C6B04">
        <w:rPr>
          <w:rFonts w:ascii="Verdana" w:hAnsi="Verdana" w:cs="Arial"/>
          <w:bCs/>
          <w:color w:val="000000" w:themeColor="text1"/>
          <w:lang w:val="en-US"/>
        </w:rPr>
        <w:t>relacionadas</w:t>
      </w:r>
      <w:proofErr w:type="spellEnd"/>
      <w:r w:rsidRPr="002C6B04">
        <w:rPr>
          <w:rFonts w:ascii="Verdana" w:hAnsi="Verdana" w:cs="Arial"/>
          <w:bCs/>
          <w:color w:val="000000" w:themeColor="text1"/>
          <w:lang w:val="en-US"/>
        </w:rPr>
        <w:t xml:space="preserve"> con el </w:t>
      </w:r>
      <w:proofErr w:type="spellStart"/>
      <w:r w:rsidRPr="002C6B04">
        <w:rPr>
          <w:rFonts w:ascii="Verdana" w:hAnsi="Verdana" w:cs="Arial"/>
          <w:bCs/>
          <w:color w:val="000000" w:themeColor="text1"/>
          <w:lang w:val="en-US"/>
        </w:rPr>
        <w:t>fenómeno</w:t>
      </w:r>
      <w:proofErr w:type="spellEnd"/>
      <w:r w:rsidRPr="002C6B04">
        <w:rPr>
          <w:rFonts w:ascii="Verdana" w:hAnsi="Verdana" w:cs="Arial"/>
          <w:bCs/>
          <w:color w:val="000000" w:themeColor="text1"/>
          <w:lang w:val="en-US"/>
        </w:rPr>
        <w:t xml:space="preserve">, tales como </w:t>
      </w:r>
      <w:r w:rsidRPr="002C6B04">
        <w:rPr>
          <w:rFonts w:ascii="Verdana" w:hAnsi="Verdana" w:cs="Arial"/>
          <w:bCs/>
          <w:i/>
          <w:iCs/>
          <w:color w:val="000000" w:themeColor="text1"/>
          <w:lang w:val="en-US"/>
        </w:rPr>
        <w:t xml:space="preserve">outsourcing, offshoring, offshore, captive, facilities management, provisions of services, </w:t>
      </w:r>
      <w:proofErr w:type="spellStart"/>
      <w:r w:rsidRPr="002C6B04">
        <w:rPr>
          <w:rFonts w:ascii="Verdana" w:hAnsi="Verdana" w:cs="Arial"/>
          <w:bCs/>
          <w:i/>
          <w:iCs/>
          <w:color w:val="000000" w:themeColor="text1"/>
          <w:lang w:val="en-US"/>
        </w:rPr>
        <w:t>hostings</w:t>
      </w:r>
      <w:proofErr w:type="spellEnd"/>
      <w:r w:rsidRPr="002C6B04">
        <w:rPr>
          <w:rFonts w:ascii="Verdana" w:hAnsi="Verdana" w:cs="Arial"/>
          <w:bCs/>
          <w:i/>
          <w:iCs/>
          <w:color w:val="000000" w:themeColor="text1"/>
          <w:lang w:val="en-US"/>
        </w:rPr>
        <w:t>, externalization, nearshore, insourcing, Business Process Outsourcing (BPO), Knowledge Process Outsourcing (KPO), Knowledge Intensive Business Services (KIBS), Knowledge Intensive Firm (KIF)</w:t>
      </w:r>
      <w:r w:rsidRPr="002C6B04">
        <w:rPr>
          <w:rFonts w:ascii="Verdana" w:hAnsi="Verdana" w:cs="Arial"/>
          <w:bCs/>
          <w:color w:val="000000" w:themeColor="text1"/>
          <w:lang w:val="en-US"/>
        </w:rPr>
        <w:t>, entre otras</w:t>
      </w:r>
      <w:r>
        <w:rPr>
          <w:rStyle w:val="Refdenotaalpie"/>
          <w:rFonts w:ascii="Verdana" w:hAnsi="Verdana" w:cs="Arial"/>
          <w:bCs/>
          <w:color w:val="000000" w:themeColor="text1"/>
          <w:lang w:val="en-US"/>
        </w:rPr>
        <w:footnoteReference w:id="8"/>
      </w:r>
      <w:r w:rsidRPr="002C6B04">
        <w:rPr>
          <w:rFonts w:ascii="Verdana" w:hAnsi="Verdana" w:cs="Arial"/>
          <w:bCs/>
          <w:color w:val="000000" w:themeColor="text1"/>
          <w:lang w:val="en-US"/>
        </w:rPr>
        <w:t xml:space="preserve">. </w:t>
      </w:r>
    </w:p>
    <w:p w14:paraId="1A29BD52" w14:textId="77777777" w:rsidR="008F6F28" w:rsidRPr="002C6B04" w:rsidRDefault="008F6F28" w:rsidP="008F6F28">
      <w:pPr>
        <w:spacing w:before="120" w:line="276" w:lineRule="auto"/>
        <w:ind w:firstLine="708"/>
        <w:jc w:val="both"/>
        <w:rPr>
          <w:rFonts w:ascii="Verdana" w:hAnsi="Verdana" w:cs="Arial"/>
          <w:bCs/>
          <w:color w:val="000000" w:themeColor="text1"/>
        </w:rPr>
      </w:pPr>
      <w:r>
        <w:rPr>
          <w:rFonts w:ascii="Verdana" w:hAnsi="Verdana" w:cs="Arial"/>
          <w:bCs/>
          <w:color w:val="000000" w:themeColor="text1"/>
        </w:rPr>
        <w:t xml:space="preserve">En este punto, se presenta una </w:t>
      </w:r>
      <w:r w:rsidRPr="00FE22D3">
        <w:rPr>
          <w:rFonts w:ascii="Verdana" w:hAnsi="Verdana" w:cs="Arial"/>
          <w:bCs/>
          <w:color w:val="000000" w:themeColor="text1"/>
        </w:rPr>
        <w:t xml:space="preserve">dificultad de traducir conceptos como </w:t>
      </w:r>
      <w:r w:rsidRPr="00FE22D3">
        <w:rPr>
          <w:rFonts w:ascii="Verdana" w:hAnsi="Verdana" w:cs="Arial"/>
          <w:bCs/>
          <w:i/>
          <w:iCs/>
          <w:color w:val="000000" w:themeColor="text1"/>
        </w:rPr>
        <w:t>outsourcing</w:t>
      </w:r>
      <w:r w:rsidRPr="00FE22D3">
        <w:rPr>
          <w:rFonts w:ascii="Verdana" w:hAnsi="Verdana" w:cs="Arial"/>
          <w:bCs/>
          <w:color w:val="000000" w:themeColor="text1"/>
        </w:rPr>
        <w:t xml:space="preserve">, </w:t>
      </w:r>
      <w:proofErr w:type="spellStart"/>
      <w:r w:rsidRPr="00FE22D3">
        <w:rPr>
          <w:rFonts w:ascii="Verdana" w:hAnsi="Verdana" w:cs="Arial"/>
          <w:bCs/>
          <w:i/>
          <w:iCs/>
          <w:color w:val="000000" w:themeColor="text1"/>
        </w:rPr>
        <w:t>offshoring</w:t>
      </w:r>
      <w:proofErr w:type="spellEnd"/>
      <w:r w:rsidRPr="00FE22D3">
        <w:rPr>
          <w:rFonts w:ascii="Verdana" w:hAnsi="Verdana" w:cs="Arial"/>
          <w:bCs/>
          <w:color w:val="000000" w:themeColor="text1"/>
        </w:rPr>
        <w:t xml:space="preserve"> o </w:t>
      </w:r>
      <w:r w:rsidRPr="00FE22D3">
        <w:rPr>
          <w:rFonts w:ascii="Verdana" w:hAnsi="Verdana" w:cs="Arial"/>
          <w:bCs/>
          <w:i/>
          <w:iCs/>
          <w:color w:val="000000" w:themeColor="text1"/>
        </w:rPr>
        <w:t>Business Process Outsourcing</w:t>
      </w:r>
      <w:r w:rsidRPr="00FE22D3">
        <w:rPr>
          <w:rFonts w:ascii="Verdana" w:hAnsi="Verdana" w:cs="Arial"/>
          <w:bCs/>
          <w:color w:val="000000" w:themeColor="text1"/>
        </w:rPr>
        <w:t xml:space="preserve"> sin un contexto claro</w:t>
      </w:r>
      <w:r>
        <w:rPr>
          <w:rFonts w:ascii="Verdana" w:hAnsi="Verdana" w:cs="Arial"/>
          <w:bCs/>
          <w:color w:val="000000" w:themeColor="text1"/>
        </w:rPr>
        <w:t>, en el entendido de</w:t>
      </w:r>
      <w:r w:rsidRPr="00FE22D3">
        <w:rPr>
          <w:rFonts w:ascii="Verdana" w:hAnsi="Verdana" w:cs="Arial"/>
          <w:bCs/>
          <w:color w:val="000000" w:themeColor="text1"/>
        </w:rPr>
        <w:t xml:space="preserve"> que cada término encierra matices específicos que no siempre encuentran un equivalente exacto en español. Palabras como </w:t>
      </w:r>
      <w:r w:rsidRPr="00FE22D3">
        <w:rPr>
          <w:rFonts w:ascii="Verdana" w:hAnsi="Verdana" w:cs="Arial"/>
          <w:bCs/>
          <w:i/>
          <w:iCs/>
          <w:color w:val="000000" w:themeColor="text1"/>
        </w:rPr>
        <w:t>subcontratación</w:t>
      </w:r>
      <w:r w:rsidRPr="00FE22D3">
        <w:rPr>
          <w:rFonts w:ascii="Verdana" w:hAnsi="Verdana" w:cs="Arial"/>
          <w:bCs/>
          <w:color w:val="000000" w:themeColor="text1"/>
        </w:rPr>
        <w:t xml:space="preserve">, </w:t>
      </w:r>
      <w:r w:rsidRPr="00FE22D3">
        <w:rPr>
          <w:rFonts w:ascii="Verdana" w:hAnsi="Verdana" w:cs="Arial"/>
          <w:bCs/>
          <w:i/>
          <w:iCs/>
          <w:color w:val="000000" w:themeColor="text1"/>
        </w:rPr>
        <w:t>externalización</w:t>
      </w:r>
      <w:r w:rsidRPr="00FE22D3">
        <w:rPr>
          <w:rFonts w:ascii="Verdana" w:hAnsi="Verdana" w:cs="Arial"/>
          <w:bCs/>
          <w:color w:val="000000" w:themeColor="text1"/>
        </w:rPr>
        <w:t xml:space="preserve"> o </w:t>
      </w:r>
      <w:r w:rsidRPr="00FE22D3">
        <w:rPr>
          <w:rFonts w:ascii="Verdana" w:hAnsi="Verdana" w:cs="Arial"/>
          <w:bCs/>
          <w:i/>
          <w:iCs/>
          <w:color w:val="000000" w:themeColor="text1"/>
        </w:rPr>
        <w:t>tercerización</w:t>
      </w:r>
      <w:r w:rsidRPr="00FE22D3">
        <w:rPr>
          <w:rFonts w:ascii="Verdana" w:hAnsi="Verdana" w:cs="Arial"/>
          <w:bCs/>
          <w:color w:val="000000" w:themeColor="text1"/>
        </w:rPr>
        <w:t xml:space="preserve"> pueden parecer sinónimos, pero en realidad responden a realidades distintas según el ámbito en que se empleen: jurídico, económico, tecnológico o administrativo. Sin un marco de referencia preciso, la traducción corre el riesgo de simplificar o distorsionar el significado original, generando confusión conceptual y dificultando la clasificación de los modelos de negocio. Por ello, más que una traducción literal, se requiere un análisis contextual que permita identificar la función, alcance y efectos de cada término en el escenario en que se aplica</w:t>
      </w:r>
      <w:r>
        <w:rPr>
          <w:rStyle w:val="Refdenotaalpie"/>
          <w:rFonts w:ascii="Verdana" w:hAnsi="Verdana" w:cs="Arial"/>
          <w:bCs/>
          <w:color w:val="000000" w:themeColor="text1"/>
        </w:rPr>
        <w:footnoteReference w:id="9"/>
      </w:r>
      <w:r w:rsidRPr="00FE22D3">
        <w:rPr>
          <w:rFonts w:ascii="Verdana" w:hAnsi="Verdana" w:cs="Arial"/>
          <w:bCs/>
          <w:color w:val="000000" w:themeColor="text1"/>
        </w:rPr>
        <w:t>.</w:t>
      </w:r>
    </w:p>
    <w:p w14:paraId="4E50B58D" w14:textId="77777777" w:rsidR="008F6F28" w:rsidRDefault="008F6F28" w:rsidP="008F6F28">
      <w:pPr>
        <w:spacing w:before="120" w:after="0" w:line="276" w:lineRule="auto"/>
        <w:ind w:firstLine="709"/>
        <w:jc w:val="both"/>
        <w:rPr>
          <w:rFonts w:ascii="Verdana" w:hAnsi="Verdana" w:cs="Arial"/>
          <w:bCs/>
          <w:color w:val="000000" w:themeColor="text1"/>
        </w:rPr>
      </w:pPr>
      <w:r>
        <w:rPr>
          <w:rFonts w:ascii="Verdana" w:hAnsi="Verdana" w:cs="Arial"/>
          <w:bCs/>
          <w:color w:val="000000" w:themeColor="text1"/>
        </w:rPr>
        <w:t xml:space="preserve">Dentro de este tipo de contratos </w:t>
      </w:r>
      <w:r w:rsidRPr="00B22C80">
        <w:rPr>
          <w:rFonts w:ascii="Verdana" w:hAnsi="Verdana" w:cs="Arial"/>
          <w:bCs/>
          <w:color w:val="000000" w:themeColor="text1"/>
        </w:rPr>
        <w:t>se encuentran los BPO (Business Process Outsourcing), conocidos en español como subcontratación de procesos de negocio</w:t>
      </w:r>
      <w:r>
        <w:rPr>
          <w:rStyle w:val="Refdenotaalpie"/>
          <w:rFonts w:ascii="Verdana" w:hAnsi="Verdana" w:cs="Arial"/>
          <w:bCs/>
          <w:color w:val="000000" w:themeColor="text1"/>
        </w:rPr>
        <w:footnoteReference w:id="10"/>
      </w:r>
      <w:r w:rsidRPr="00B22C80">
        <w:rPr>
          <w:rFonts w:ascii="Verdana" w:hAnsi="Verdana" w:cs="Arial"/>
          <w:bCs/>
          <w:color w:val="000000" w:themeColor="text1"/>
        </w:rPr>
        <w:t>. Est</w:t>
      </w:r>
      <w:r>
        <w:rPr>
          <w:rFonts w:ascii="Verdana" w:hAnsi="Verdana" w:cs="Arial"/>
          <w:bCs/>
          <w:color w:val="000000" w:themeColor="text1"/>
        </w:rPr>
        <w:t xml:space="preserve">e contrato atípico que </w:t>
      </w:r>
      <w:r w:rsidRPr="00B22C80">
        <w:rPr>
          <w:rFonts w:ascii="Verdana" w:hAnsi="Verdana" w:cs="Arial"/>
          <w:bCs/>
          <w:color w:val="000000" w:themeColor="text1"/>
        </w:rPr>
        <w:t xml:space="preserve">consiste en la práctica de contratar proveedores externos especializados para gestionar funciones o procesos que, si bien son necesarios para el funcionamiento de la entidad, no constituyen </w:t>
      </w:r>
      <w:r>
        <w:rPr>
          <w:rFonts w:ascii="Verdana" w:hAnsi="Verdana" w:cs="Arial"/>
          <w:bCs/>
          <w:color w:val="000000" w:themeColor="text1"/>
        </w:rPr>
        <w:t>en principio su propósito o misión</w:t>
      </w:r>
      <w:r w:rsidRPr="00B22C80">
        <w:rPr>
          <w:rFonts w:ascii="Verdana" w:hAnsi="Verdana" w:cs="Arial"/>
          <w:bCs/>
          <w:color w:val="000000" w:themeColor="text1"/>
        </w:rPr>
        <w:t>.</w:t>
      </w:r>
      <w:r>
        <w:rPr>
          <w:rFonts w:ascii="Verdana" w:hAnsi="Verdana" w:cs="Arial"/>
          <w:bCs/>
          <w:color w:val="000000" w:themeColor="text1"/>
        </w:rPr>
        <w:t xml:space="preserve"> </w:t>
      </w:r>
      <w:r w:rsidRPr="00B22C80">
        <w:rPr>
          <w:rFonts w:ascii="Verdana" w:hAnsi="Verdana" w:cs="Arial"/>
          <w:bCs/>
          <w:color w:val="000000" w:themeColor="text1"/>
        </w:rPr>
        <w:t xml:space="preserve">El BPO se ha consolidado como un mecanismo </w:t>
      </w:r>
      <w:r w:rsidRPr="00B22C80">
        <w:rPr>
          <w:rFonts w:ascii="Verdana" w:hAnsi="Verdana" w:cs="Arial"/>
          <w:bCs/>
          <w:color w:val="000000" w:themeColor="text1"/>
        </w:rPr>
        <w:lastRenderedPageBreak/>
        <w:t xml:space="preserve">eficiente para optimizar recursos, mejorar la calidad del servicio y permitir que las organizaciones públicas o privadas concentren sus esfuerzos en actividades estratégicas. </w:t>
      </w:r>
      <w:r>
        <w:rPr>
          <w:rFonts w:ascii="Verdana" w:hAnsi="Verdana" w:cs="Arial"/>
          <w:bCs/>
          <w:color w:val="000000" w:themeColor="text1"/>
        </w:rPr>
        <w:t>Al respecto, la doctrina expresa:</w:t>
      </w:r>
    </w:p>
    <w:p w14:paraId="0951B5FF" w14:textId="77777777" w:rsidR="008F6F28" w:rsidRDefault="008F6F28" w:rsidP="008F6F28">
      <w:pPr>
        <w:spacing w:after="0" w:line="276" w:lineRule="auto"/>
        <w:ind w:firstLine="709"/>
        <w:jc w:val="both"/>
        <w:rPr>
          <w:rFonts w:ascii="Verdana" w:hAnsi="Verdana" w:cs="Arial"/>
          <w:bCs/>
          <w:color w:val="000000" w:themeColor="text1"/>
        </w:rPr>
      </w:pPr>
    </w:p>
    <w:p w14:paraId="1EBFADF6" w14:textId="77777777" w:rsidR="008F6F28" w:rsidRPr="0060130E" w:rsidRDefault="008F6F28" w:rsidP="008F6F28">
      <w:pPr>
        <w:spacing w:after="0" w:line="240" w:lineRule="auto"/>
        <w:ind w:left="709" w:right="709"/>
        <w:jc w:val="both"/>
        <w:rPr>
          <w:rFonts w:ascii="Verdana" w:hAnsi="Verdana" w:cs="Arial"/>
          <w:bCs/>
          <w:color w:val="000000" w:themeColor="text1"/>
          <w:sz w:val="20"/>
          <w:szCs w:val="20"/>
        </w:rPr>
      </w:pPr>
      <w:r w:rsidRPr="0060130E">
        <w:rPr>
          <w:rFonts w:ascii="Verdana" w:hAnsi="Verdana" w:cs="Arial"/>
          <w:bCs/>
          <w:i/>
          <w:iCs/>
          <w:color w:val="000000" w:themeColor="text1"/>
          <w:sz w:val="20"/>
          <w:szCs w:val="20"/>
        </w:rPr>
        <w:t>[…] esta conocida como Business Process Outsourcing (BPO)</w:t>
      </w:r>
      <w:r w:rsidRPr="0060130E">
        <w:rPr>
          <w:rFonts w:ascii="Verdana" w:hAnsi="Verdana" w:cs="Arial"/>
          <w:bCs/>
          <w:color w:val="000000" w:themeColor="text1"/>
          <w:sz w:val="20"/>
          <w:szCs w:val="20"/>
        </w:rPr>
        <w:t xml:space="preserve">. Está referida a actividades de servicios de atención al cliente. Son típicos </w:t>
      </w:r>
      <w:proofErr w:type="spellStart"/>
      <w:r w:rsidRPr="0060130E">
        <w:rPr>
          <w:rFonts w:ascii="Verdana" w:hAnsi="Verdana" w:cs="Arial"/>
          <w:bCs/>
          <w:i/>
          <w:iCs/>
          <w:color w:val="000000" w:themeColor="text1"/>
          <w:sz w:val="20"/>
          <w:szCs w:val="20"/>
        </w:rPr>
        <w:t>softservices</w:t>
      </w:r>
      <w:proofErr w:type="spellEnd"/>
      <w:r w:rsidRPr="0060130E">
        <w:rPr>
          <w:rFonts w:ascii="Verdana" w:hAnsi="Verdana" w:cs="Arial"/>
          <w:bCs/>
          <w:color w:val="000000" w:themeColor="text1"/>
          <w:sz w:val="20"/>
          <w:szCs w:val="20"/>
        </w:rPr>
        <w:t>, en atención que se consumen y producen en un mismo momento, aunque usualmente por medios remotos. Son de esta clase los centros de atención al cliente (</w:t>
      </w:r>
      <w:proofErr w:type="spellStart"/>
      <w:r w:rsidRPr="0060130E">
        <w:rPr>
          <w:rFonts w:ascii="Verdana" w:hAnsi="Verdana" w:cs="Arial"/>
          <w:bCs/>
          <w:color w:val="000000" w:themeColor="text1"/>
          <w:sz w:val="20"/>
          <w:szCs w:val="20"/>
        </w:rPr>
        <w:t>contact</w:t>
      </w:r>
      <w:proofErr w:type="spellEnd"/>
      <w:r w:rsidRPr="0060130E">
        <w:rPr>
          <w:rFonts w:ascii="Verdana" w:hAnsi="Verdana" w:cs="Arial"/>
          <w:bCs/>
          <w:color w:val="000000" w:themeColor="text1"/>
          <w:sz w:val="20"/>
          <w:szCs w:val="20"/>
        </w:rPr>
        <w:t xml:space="preserve"> &amp; </w:t>
      </w:r>
      <w:proofErr w:type="spellStart"/>
      <w:r w:rsidRPr="0060130E">
        <w:rPr>
          <w:rFonts w:ascii="Verdana" w:hAnsi="Verdana" w:cs="Arial"/>
          <w:bCs/>
          <w:color w:val="000000" w:themeColor="text1"/>
          <w:sz w:val="20"/>
          <w:szCs w:val="20"/>
        </w:rPr>
        <w:t>call</w:t>
      </w:r>
      <w:proofErr w:type="spellEnd"/>
      <w:r w:rsidRPr="0060130E">
        <w:rPr>
          <w:rFonts w:ascii="Verdana" w:hAnsi="Verdana" w:cs="Arial"/>
          <w:bCs/>
          <w:color w:val="000000" w:themeColor="text1"/>
          <w:sz w:val="20"/>
          <w:szCs w:val="20"/>
        </w:rPr>
        <w:t xml:space="preserve"> centres), cobranzas, televentas y, en general, los procesos referidos a procesos de negocios sometidos a estándares </w:t>
      </w:r>
      <w:proofErr w:type="gramStart"/>
      <w:r w:rsidRPr="0060130E">
        <w:rPr>
          <w:rFonts w:ascii="Verdana" w:hAnsi="Verdana" w:cs="Arial"/>
          <w:bCs/>
          <w:color w:val="000000" w:themeColor="text1"/>
          <w:sz w:val="20"/>
          <w:szCs w:val="20"/>
        </w:rPr>
        <w:t>pre diseñados</w:t>
      </w:r>
      <w:proofErr w:type="gramEnd"/>
      <w:r w:rsidRPr="0060130E">
        <w:rPr>
          <w:rFonts w:ascii="Verdana" w:hAnsi="Verdana" w:cs="Arial"/>
          <w:bCs/>
          <w:color w:val="000000" w:themeColor="text1"/>
          <w:sz w:val="20"/>
          <w:szCs w:val="20"/>
        </w:rPr>
        <w:t>, sin mayor complejidad en la ejecución, salvo aspectos idiomáticos y culturales.”</w:t>
      </w:r>
      <w:r>
        <w:rPr>
          <w:rStyle w:val="Refdenotaalpie"/>
          <w:rFonts w:ascii="Verdana" w:hAnsi="Verdana" w:cs="Arial"/>
          <w:bCs/>
          <w:color w:val="000000" w:themeColor="text1"/>
          <w:sz w:val="20"/>
          <w:szCs w:val="20"/>
        </w:rPr>
        <w:footnoteReference w:id="11"/>
      </w:r>
    </w:p>
    <w:p w14:paraId="3A81844B" w14:textId="77777777" w:rsidR="008F6F28" w:rsidRDefault="008F6F28" w:rsidP="008F6F28">
      <w:pPr>
        <w:spacing w:after="0" w:line="276" w:lineRule="auto"/>
        <w:jc w:val="both"/>
        <w:rPr>
          <w:rFonts w:ascii="Verdana" w:eastAsia="Calibri" w:hAnsi="Verdana"/>
          <w:color w:val="000000" w:themeColor="text1"/>
        </w:rPr>
      </w:pPr>
    </w:p>
    <w:p w14:paraId="15BD077E" w14:textId="77777777" w:rsidR="008F6F28" w:rsidRPr="001E3F1C" w:rsidRDefault="008F6F28" w:rsidP="008F6F28">
      <w:pPr>
        <w:spacing w:after="120" w:line="276" w:lineRule="auto"/>
        <w:ind w:firstLine="708"/>
        <w:jc w:val="both"/>
        <w:rPr>
          <w:rFonts w:ascii="Verdana" w:eastAsia="Calibri" w:hAnsi="Verdana"/>
          <w:color w:val="000000" w:themeColor="text1"/>
        </w:rPr>
      </w:pPr>
      <w:r w:rsidRPr="001E3F1C">
        <w:rPr>
          <w:rFonts w:ascii="Verdana" w:eastAsia="Calibri" w:hAnsi="Verdana"/>
          <w:color w:val="000000" w:themeColor="text1"/>
        </w:rPr>
        <w:t xml:space="preserve">En términos generales, los contratos de Business Process Outsourcing (BPO) constituyen una herramienta estratégica para optimizar y, en lo posible, automatizar procesos de negocio, lo que permite reducir gastos operativos y transformar costes fijos en variables. La garantía de los procesos recae en la empresa especializada que asume la externalización, de ahí la importancia de seleccionar proveedores con experiencia y capacidad de asesoramiento, capaces de generar confianza y orientar al cliente en la mejor forma de ejecutar las operaciones. Este modelo facilita que las organizaciones concentren sus esfuerzos en su actividad principal y, al mismo tiempo, les otorga flexibilidad para adaptarse a cambios del entorno, incluso posibilitando el lanzamiento ágil de nuevas líneas de negocio gracias a la eliminación de gastos de estructura. </w:t>
      </w:r>
    </w:p>
    <w:p w14:paraId="0FD522E0" w14:textId="77777777" w:rsidR="008F6F28" w:rsidRPr="006416E4" w:rsidRDefault="008F6F28" w:rsidP="008F6F28">
      <w:pPr>
        <w:spacing w:after="120" w:line="276" w:lineRule="auto"/>
        <w:ind w:firstLine="708"/>
        <w:jc w:val="both"/>
        <w:rPr>
          <w:rFonts w:ascii="Verdana" w:eastAsia="Calibri" w:hAnsi="Verdana"/>
          <w:color w:val="000000" w:themeColor="text1"/>
        </w:rPr>
      </w:pPr>
      <w:r w:rsidRPr="007E538D">
        <w:rPr>
          <w:rFonts w:ascii="Verdana" w:eastAsia="Calibri" w:hAnsi="Verdana"/>
          <w:color w:val="000000" w:themeColor="text1"/>
        </w:rPr>
        <w:t xml:space="preserve">Desde el punto de vista jurídico, los contratos BPO pueden catalogarse como </w:t>
      </w:r>
      <w:r w:rsidRPr="00D64DAC">
        <w:rPr>
          <w:rFonts w:ascii="Verdana" w:eastAsia="Calibri" w:hAnsi="Verdana"/>
          <w:color w:val="000000" w:themeColor="text1"/>
        </w:rPr>
        <w:t>contratos mixtos y atípicos</w:t>
      </w:r>
      <w:r w:rsidRPr="007E538D">
        <w:rPr>
          <w:rFonts w:ascii="Verdana" w:eastAsia="Calibri" w:hAnsi="Verdana"/>
          <w:color w:val="000000" w:themeColor="text1"/>
        </w:rPr>
        <w:t xml:space="preserve">, pues no se encuentran tipificados en la legislación civil, comercial ni en el régimen de contratación pública. En la práctica, suelen integrar elementos de prestación de servicios, consultoría y otras tipologías contractuales, dependiendo de las necesidades específicas </w:t>
      </w:r>
      <w:r>
        <w:rPr>
          <w:rFonts w:ascii="Verdana" w:eastAsia="Calibri" w:hAnsi="Verdana"/>
          <w:color w:val="000000" w:themeColor="text1"/>
        </w:rPr>
        <w:t>y lo acordado en el contrato</w:t>
      </w:r>
      <w:r w:rsidRPr="007E538D">
        <w:rPr>
          <w:rFonts w:ascii="Verdana" w:eastAsia="Calibri" w:hAnsi="Verdana"/>
          <w:color w:val="000000" w:themeColor="text1"/>
        </w:rPr>
        <w:t>. Esta naturaleza híbrida exige un análisis flexible que reconozca la pluralidad de obligaciones que pueden coexistir en un mismo acuerdo.</w:t>
      </w:r>
      <w:r>
        <w:rPr>
          <w:rFonts w:ascii="Verdana" w:eastAsia="Calibri" w:hAnsi="Verdana"/>
          <w:color w:val="000000" w:themeColor="text1"/>
        </w:rPr>
        <w:t xml:space="preserve"> </w:t>
      </w:r>
      <w:r>
        <w:rPr>
          <w:rFonts w:ascii="Verdana" w:eastAsia="Calibri" w:hAnsi="Verdana"/>
          <w:color w:val="000000" w:themeColor="text1"/>
          <w:lang w:val="es-ES_tradnl"/>
        </w:rPr>
        <w:t xml:space="preserve">Por ello, como contrato atípico, la doctrina sugiere integrar su contenido teniendo en cuenta los siguientes criterios: “[…] </w:t>
      </w:r>
      <w:r w:rsidRPr="00DE4EF6">
        <w:rPr>
          <w:rFonts w:ascii="Verdana" w:eastAsia="Calibri" w:hAnsi="Verdana"/>
          <w:color w:val="000000" w:themeColor="text1"/>
          <w:lang w:val="es-ES_tradnl"/>
        </w:rPr>
        <w:t>1°) las leyes imperativas; 2°) las cláusulas libremente redactadas o estipuladas</w:t>
      </w:r>
      <w:r>
        <w:rPr>
          <w:rFonts w:ascii="Verdana" w:eastAsia="Calibri" w:hAnsi="Verdana"/>
          <w:color w:val="000000" w:themeColor="text1"/>
          <w:lang w:val="es-ES_tradnl"/>
        </w:rPr>
        <w:t xml:space="preserve"> </w:t>
      </w:r>
      <w:r w:rsidRPr="00DE4EF6">
        <w:rPr>
          <w:rFonts w:ascii="Verdana" w:eastAsia="Calibri" w:hAnsi="Verdana"/>
          <w:color w:val="000000" w:themeColor="text1"/>
          <w:lang w:val="es-ES_tradnl"/>
        </w:rPr>
        <w:t>por los agentes; 3°) las reglas generales de los actos jurídicos y de los contratos,</w:t>
      </w:r>
      <w:r>
        <w:rPr>
          <w:rFonts w:ascii="Verdana" w:eastAsia="Calibri" w:hAnsi="Verdana"/>
          <w:color w:val="000000" w:themeColor="text1"/>
          <w:lang w:val="es-ES_tradnl"/>
        </w:rPr>
        <w:t xml:space="preserve"> </w:t>
      </w:r>
      <w:r w:rsidRPr="00DE4EF6">
        <w:rPr>
          <w:rFonts w:ascii="Verdana" w:eastAsia="Calibri" w:hAnsi="Verdana"/>
          <w:color w:val="000000" w:themeColor="text1"/>
          <w:lang w:val="es-ES_tradnl"/>
        </w:rPr>
        <w:t xml:space="preserve">según </w:t>
      </w:r>
      <w:r w:rsidRPr="00DE4EF6">
        <w:rPr>
          <w:rFonts w:ascii="Verdana" w:eastAsia="Calibri" w:hAnsi="Verdana"/>
          <w:color w:val="000000" w:themeColor="text1"/>
          <w:lang w:val="es-ES_tradnl"/>
        </w:rPr>
        <w:lastRenderedPageBreak/>
        <w:t>el caso; 4°) las reglas propias del contrato típico más próximo o semejante,</w:t>
      </w:r>
      <w:r>
        <w:rPr>
          <w:rFonts w:ascii="Verdana" w:eastAsia="Calibri" w:hAnsi="Verdana"/>
          <w:color w:val="000000" w:themeColor="text1"/>
          <w:lang w:val="es-ES_tradnl"/>
        </w:rPr>
        <w:t xml:space="preserve"> </w:t>
      </w:r>
      <w:r w:rsidRPr="00DE4EF6">
        <w:rPr>
          <w:rFonts w:ascii="Verdana" w:eastAsia="Calibri" w:hAnsi="Verdana"/>
          <w:color w:val="000000" w:themeColor="text1"/>
          <w:lang w:val="es-ES_tradnl"/>
        </w:rPr>
        <w:t>y 5°) la doctrina constitucional y los principios generales de derecho</w:t>
      </w:r>
      <w:r>
        <w:rPr>
          <w:rFonts w:ascii="Verdana" w:eastAsia="Calibri" w:hAnsi="Verdana"/>
          <w:color w:val="000000" w:themeColor="text1"/>
          <w:lang w:val="es-ES_tradnl"/>
        </w:rPr>
        <w:t>”</w:t>
      </w:r>
      <w:r>
        <w:rPr>
          <w:rStyle w:val="Refdenotaalpie"/>
          <w:rFonts w:ascii="Verdana" w:eastAsia="Calibri" w:hAnsi="Verdana"/>
          <w:color w:val="000000" w:themeColor="text1"/>
          <w:lang w:val="es-ES_tradnl"/>
        </w:rPr>
        <w:footnoteReference w:id="12"/>
      </w:r>
      <w:r w:rsidRPr="00DE4EF6">
        <w:rPr>
          <w:rFonts w:ascii="Verdana" w:eastAsia="Calibri" w:hAnsi="Verdana"/>
          <w:color w:val="000000" w:themeColor="text1"/>
          <w:lang w:val="es-ES_tradnl"/>
        </w:rPr>
        <w:t>.</w:t>
      </w:r>
      <w:r>
        <w:rPr>
          <w:rFonts w:ascii="Verdana" w:eastAsia="Calibri" w:hAnsi="Verdana"/>
          <w:color w:val="000000" w:themeColor="text1"/>
          <w:lang w:val="es-ES_tradnl"/>
        </w:rPr>
        <w:t xml:space="preserve"> </w:t>
      </w:r>
    </w:p>
    <w:p w14:paraId="7EA7A464" w14:textId="77777777" w:rsidR="008F6F28" w:rsidRDefault="008F6F28" w:rsidP="008F6F28">
      <w:pPr>
        <w:spacing w:before="120" w:line="276" w:lineRule="auto"/>
        <w:ind w:firstLine="708"/>
        <w:jc w:val="both"/>
        <w:rPr>
          <w:rFonts w:ascii="Verdana" w:eastAsia="Calibri" w:hAnsi="Verdana"/>
          <w:color w:val="000000" w:themeColor="text1"/>
          <w:lang w:val="es-ES"/>
        </w:rPr>
      </w:pPr>
      <w:r w:rsidRPr="21328DCE">
        <w:rPr>
          <w:rFonts w:ascii="Verdana" w:eastAsia="Calibri" w:hAnsi="Verdana"/>
          <w:color w:val="000000" w:themeColor="text1"/>
          <w:lang w:val="es-ES"/>
        </w:rPr>
        <w:t>Más allá de la tipicidad o no del negocio, es necesario tener en cuenta que la capacidad contractual para</w:t>
      </w:r>
      <w:r>
        <w:rPr>
          <w:rFonts w:ascii="Verdana" w:eastAsia="Calibri" w:hAnsi="Verdana"/>
          <w:color w:val="000000" w:themeColor="text1"/>
          <w:lang w:val="es-ES"/>
        </w:rPr>
        <w:t xml:space="preserve"> celebrar contratos estatales está</w:t>
      </w:r>
      <w:r w:rsidRPr="21328DCE">
        <w:rPr>
          <w:rFonts w:ascii="Verdana" w:eastAsia="Calibri" w:hAnsi="Verdana"/>
          <w:color w:val="000000" w:themeColor="text1"/>
          <w:lang w:val="es-ES"/>
        </w:rPr>
        <w:t xml:space="preserve"> regulada en el artículo 6 de la Ley 80 de 1993. De conformidad con la norma citada, “Pueden celebrar contratos con las entidades estatales las personas consideradas legalmente capaces en las disposiciones vigentes […]”. De acuerdo con la modificación de la Ley 2160 de 2021, la norma agrega lo siguiente: “[…] También podrán celebrar contratos con las entidades estatales los Cabildos Indígenas, las asociaciones de Autoridades Tradicionales Indígenas, los consejos comunitarios de las comunidades negras regulados por la Ley 70 de 1993 […] las organizaciones de base de comunidades negras, afrocolombianas, raizales y palenqueras y las demás formas y expresiones organizativas […]; y los consorcios y uniones temporales”. </w:t>
      </w:r>
    </w:p>
    <w:p w14:paraId="005A994D" w14:textId="77777777" w:rsidR="008F6F28" w:rsidRDefault="008F6F28" w:rsidP="008F6F28">
      <w:pPr>
        <w:spacing w:before="120" w:after="120" w:line="276" w:lineRule="auto"/>
        <w:ind w:firstLine="709"/>
        <w:jc w:val="both"/>
        <w:rPr>
          <w:rFonts w:ascii="Verdana" w:eastAsia="Calibri" w:hAnsi="Verdana"/>
          <w:color w:val="000000" w:themeColor="text1"/>
        </w:rPr>
      </w:pPr>
      <w:r w:rsidRPr="21328DCE">
        <w:rPr>
          <w:rFonts w:ascii="Verdana" w:eastAsia="Calibri" w:hAnsi="Verdana"/>
          <w:color w:val="000000" w:themeColor="text1"/>
        </w:rPr>
        <w:t xml:space="preserve">Asimismo, para efectos de individualizar sus requisitos esenciales, el artículo 1501 del Código Civil dispone que corresponden a “[…] aquellas cosas sin las cuales, o no produce efecto alguno, o degeneran en otro contrato diferente […]”. Sobre este último elemento de la norma citada, en la medida que el contrato </w:t>
      </w:r>
      <w:r>
        <w:rPr>
          <w:rFonts w:ascii="Verdana" w:eastAsia="Calibri" w:hAnsi="Verdana"/>
          <w:color w:val="000000" w:themeColor="text1"/>
        </w:rPr>
        <w:t xml:space="preserve">BPO </w:t>
      </w:r>
      <w:r w:rsidRPr="21328DCE">
        <w:rPr>
          <w:rFonts w:ascii="Verdana" w:eastAsia="Calibri" w:hAnsi="Verdana"/>
          <w:color w:val="000000" w:themeColor="text1"/>
        </w:rPr>
        <w:t>es una amalgama de prestaciones de otras tipologías, éste no pierde su calificación por la ausencia de una o varias de ellas. Es decir, “[…] no es admisible un juicio de comparación con las figuras típicas del ordenamiento, en virtud de la indeterminación inherente antes de su perfeccionamiento, pues […] este es fruto de la mera autonomía privada de las partes, la cual da vida a una figura absolutamente extraña a los tipos contractuales establecidos por las normas jurídicas del ordenamiento jurídico y por la costumbre […]”</w:t>
      </w:r>
      <w:r w:rsidRPr="21328DCE">
        <w:rPr>
          <w:rStyle w:val="Refdenotaalpie"/>
          <w:rFonts w:ascii="Verdana" w:eastAsia="Calibri" w:hAnsi="Verdana"/>
          <w:color w:val="000000" w:themeColor="text1"/>
        </w:rPr>
        <w:footnoteReference w:id="13"/>
      </w:r>
      <w:r w:rsidRPr="21328DCE">
        <w:rPr>
          <w:rFonts w:ascii="Verdana" w:eastAsia="Calibri" w:hAnsi="Verdana"/>
          <w:color w:val="000000" w:themeColor="text1"/>
        </w:rPr>
        <w:t xml:space="preserve">. </w:t>
      </w:r>
    </w:p>
    <w:p w14:paraId="2EB7D3F3" w14:textId="77777777" w:rsidR="008F6F28" w:rsidRDefault="008F6F28" w:rsidP="008F6F28">
      <w:pPr>
        <w:spacing w:before="120" w:after="0" w:line="276" w:lineRule="auto"/>
        <w:ind w:firstLine="708"/>
        <w:jc w:val="both"/>
        <w:rPr>
          <w:rFonts w:ascii="Verdana" w:eastAsia="Calibri" w:hAnsi="Verdana"/>
          <w:color w:val="000000" w:themeColor="text1"/>
          <w:lang w:val="es-ES"/>
        </w:rPr>
      </w:pPr>
      <w:r>
        <w:rPr>
          <w:rFonts w:ascii="Verdana" w:eastAsia="Calibri" w:hAnsi="Verdana"/>
          <w:color w:val="000000" w:themeColor="text1"/>
          <w:lang w:val="es-ES"/>
        </w:rPr>
        <w:t xml:space="preserve">Independiente de su tipicidad, </w:t>
      </w:r>
      <w:r w:rsidRPr="21328DCE">
        <w:rPr>
          <w:rFonts w:ascii="Verdana" w:eastAsia="Calibri" w:hAnsi="Verdana"/>
          <w:color w:val="000000" w:themeColor="text1"/>
          <w:lang w:val="es-ES"/>
        </w:rPr>
        <w:t xml:space="preserve">la existencia de los contratos estatales, es decir, la producción de efectos jurídicos en los términos del artículo 1501 </w:t>
      </w:r>
      <w:proofErr w:type="spellStart"/>
      <w:r w:rsidRPr="21328DCE">
        <w:rPr>
          <w:rFonts w:ascii="Verdana" w:eastAsia="Calibri" w:hAnsi="Verdana"/>
          <w:i/>
          <w:color w:val="000000" w:themeColor="text1"/>
          <w:lang w:val="es-ES"/>
        </w:rPr>
        <w:t>ibídem</w:t>
      </w:r>
      <w:proofErr w:type="spellEnd"/>
      <w:r w:rsidRPr="21328DCE">
        <w:rPr>
          <w:rFonts w:ascii="Verdana" w:eastAsia="Calibri" w:hAnsi="Verdana"/>
          <w:color w:val="000000" w:themeColor="text1"/>
          <w:lang w:val="es-ES"/>
        </w:rPr>
        <w:t xml:space="preserve">, depende de la regulación del inciso primero de los artículos 39 y 41 del Estatuto General de Contratación de la Administración Pública. Por un lado, “Los contratos que celebren las entidades estatales constarán por escrito y no requerirán ser elevados a escritura pública, con excepción de aquellos que impliquen mutación </w:t>
      </w:r>
      <w:r w:rsidRPr="21328DCE">
        <w:rPr>
          <w:rFonts w:ascii="Verdana" w:eastAsia="Calibri" w:hAnsi="Verdana"/>
          <w:color w:val="000000" w:themeColor="text1"/>
          <w:lang w:val="es-ES"/>
        </w:rPr>
        <w:lastRenderedPageBreak/>
        <w:t xml:space="preserve">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5D4AD4DD" w14:textId="77777777" w:rsidR="008F6F28" w:rsidRDefault="008F6F28" w:rsidP="008F6F28">
      <w:pPr>
        <w:spacing w:after="0" w:line="276" w:lineRule="auto"/>
        <w:jc w:val="both"/>
        <w:rPr>
          <w:rFonts w:ascii="Verdana" w:eastAsia="Calibri" w:hAnsi="Verdana" w:cs="Arial"/>
        </w:rPr>
      </w:pPr>
    </w:p>
    <w:p w14:paraId="1AD5045E" w14:textId="77777777" w:rsidR="008F6F28" w:rsidRPr="00330C3F" w:rsidRDefault="008F6F28" w:rsidP="008F6F28">
      <w:pPr>
        <w:spacing w:after="0" w:line="276" w:lineRule="auto"/>
        <w:jc w:val="both"/>
        <w:rPr>
          <w:rFonts w:ascii="Verdana" w:eastAsia="Calibri" w:hAnsi="Verdana" w:cs="Arial"/>
          <w:lang w:val="es-ES"/>
        </w:rPr>
      </w:pPr>
      <w:proofErr w:type="spellStart"/>
      <w:r>
        <w:rPr>
          <w:rFonts w:ascii="Verdana" w:eastAsia="Calibri" w:hAnsi="Verdana" w:cs="Arial"/>
        </w:rPr>
        <w:t>iii</w:t>
      </w:r>
      <w:proofErr w:type="spellEnd"/>
      <w:r>
        <w:rPr>
          <w:rFonts w:ascii="Verdana" w:eastAsia="Calibri" w:hAnsi="Verdana" w:cs="Arial"/>
        </w:rPr>
        <w:t xml:space="preserve">. </w:t>
      </w:r>
      <w:r>
        <w:rPr>
          <w:rFonts w:ascii="Verdana" w:eastAsia="Arial" w:hAnsi="Verdana" w:cs="Arial"/>
          <w:bCs/>
        </w:rPr>
        <w:t>Conforme</w:t>
      </w:r>
      <w:r>
        <w:rPr>
          <w:rFonts w:ascii="Verdana" w:eastAsia="Arial" w:hAnsi="Verdana" w:cs="Arial"/>
          <w:bCs/>
          <w:lang w:val="es-MX"/>
        </w:rPr>
        <w:t xml:space="preserve"> al principio de planeación la entidad debe determinar la forma en la que se contratará las actividades propias del Contrato BPO durante la vigencia fiscal, atendiendo a la necesidad a satisfacer,</w:t>
      </w:r>
      <w:r w:rsidRPr="00C24533">
        <w:rPr>
          <w:rFonts w:ascii="Verdana" w:hAnsi="Verdana" w:cs="Arial"/>
        </w:rPr>
        <w:t xml:space="preserve"> </w:t>
      </w:r>
      <w:r>
        <w:rPr>
          <w:rFonts w:ascii="Verdana" w:hAnsi="Verdana" w:cs="Arial"/>
        </w:rPr>
        <w:t xml:space="preserve">a la conveniencia o inconveniencia del objeto a contratar, a </w:t>
      </w:r>
      <w:r w:rsidRPr="00087B05">
        <w:rPr>
          <w:rFonts w:ascii="Verdana" w:hAnsi="Verdana" w:cs="Arial"/>
        </w:rPr>
        <w:t xml:space="preserve">los costos </w:t>
      </w:r>
      <w:r>
        <w:rPr>
          <w:rFonts w:ascii="Verdana" w:hAnsi="Verdana" w:cs="Arial"/>
        </w:rPr>
        <w:t xml:space="preserve">que </w:t>
      </w:r>
      <w:r w:rsidRPr="00087B05">
        <w:rPr>
          <w:rFonts w:ascii="Verdana" w:hAnsi="Verdana" w:cs="Arial"/>
        </w:rPr>
        <w:t>podría</w:t>
      </w:r>
      <w:r>
        <w:rPr>
          <w:rFonts w:ascii="Verdana" w:hAnsi="Verdana" w:cs="Arial"/>
        </w:rPr>
        <w:t>n</w:t>
      </w:r>
      <w:r w:rsidRPr="00087B05">
        <w:rPr>
          <w:rFonts w:ascii="Verdana" w:hAnsi="Verdana" w:cs="Arial"/>
        </w:rPr>
        <w:t xml:space="preserve"> demandar la celebración y ejecución del contrato,</w:t>
      </w:r>
      <w:r w:rsidRPr="00C24533">
        <w:rPr>
          <w:rFonts w:ascii="Verdana" w:hAnsi="Verdana" w:cs="Arial"/>
        </w:rPr>
        <w:t xml:space="preserve"> </w:t>
      </w:r>
      <w:r w:rsidRPr="00087B05">
        <w:rPr>
          <w:rFonts w:ascii="Verdana" w:hAnsi="Verdana" w:cs="Arial"/>
        </w:rPr>
        <w:t>la disponibilidad de recursos o la capacidad financiera de la entidad contratante</w:t>
      </w:r>
      <w:r>
        <w:rPr>
          <w:rFonts w:ascii="Verdana" w:hAnsi="Verdana" w:cs="Arial"/>
        </w:rPr>
        <w:t xml:space="preserve"> </w:t>
      </w:r>
      <w:r w:rsidRPr="00087B05">
        <w:rPr>
          <w:rFonts w:ascii="Verdana" w:hAnsi="Verdana" w:cs="Arial"/>
        </w:rPr>
        <w:t xml:space="preserve">para asumir las obligaciones de pago producto </w:t>
      </w:r>
      <w:r>
        <w:rPr>
          <w:rFonts w:ascii="Verdana" w:hAnsi="Verdana" w:cs="Arial"/>
        </w:rPr>
        <w:t>y demás condiciones. Al respecto, el</w:t>
      </w:r>
      <w:r w:rsidRPr="00330C3F">
        <w:rPr>
          <w:rFonts w:ascii="Verdana" w:eastAsia="Calibri" w:hAnsi="Verdana" w:cs="Arial"/>
          <w:lang w:val="es-ES"/>
        </w:rPr>
        <w:t xml:space="preserve"> Estatuto General de Contratación de la Administración Pública, en adelante EGCAP, contiene disposiciones que exigen a las Entidades Estatales el deber de realizar actividades de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79155B11" w14:textId="77777777" w:rsidR="008F6F28" w:rsidRPr="00330C3F" w:rsidRDefault="008F6F28" w:rsidP="008F6F28">
      <w:pPr>
        <w:spacing w:after="0" w:line="276" w:lineRule="auto"/>
        <w:jc w:val="both"/>
        <w:rPr>
          <w:rFonts w:ascii="Arial" w:eastAsia="Times New Roman" w:hAnsi="Arial" w:cs="Arial"/>
          <w:color w:val="000000"/>
          <w:szCs w:val="24"/>
          <w:lang w:val="es-ES_tradnl" w:eastAsia="es-ES_tradnl"/>
        </w:rPr>
      </w:pPr>
    </w:p>
    <w:p w14:paraId="4353A1F9" w14:textId="77777777" w:rsidR="008F6F28" w:rsidRPr="00330C3F" w:rsidRDefault="008F6F28" w:rsidP="008F6F28">
      <w:pPr>
        <w:spacing w:after="0" w:line="240" w:lineRule="auto"/>
        <w:ind w:left="709" w:right="709"/>
        <w:jc w:val="both"/>
        <w:rPr>
          <w:rFonts w:ascii="Arial" w:eastAsia="Times New Roman" w:hAnsi="Arial" w:cs="Arial"/>
          <w:color w:val="000000"/>
          <w:sz w:val="21"/>
          <w:szCs w:val="21"/>
          <w:lang w:val="es-ES_tradnl" w:eastAsia="es-ES_tradnl"/>
        </w:rPr>
      </w:pPr>
      <w:r w:rsidRPr="00330C3F">
        <w:rPr>
          <w:rFonts w:ascii="Arial" w:eastAsia="Times New Roman" w:hAnsi="Arial" w:cs="Arial"/>
          <w:color w:val="000000"/>
          <w:sz w:val="21"/>
          <w:szCs w:val="21"/>
          <w:lang w:val="es-ES_tradnl" w:eastAsia="es-ES_tradnl"/>
        </w:rPr>
        <w:t>“7. La conveniencia o inconveniencia del objeto a contratar y las autorizaciones y aprobaciones para ello, se analizarán o impartirán con antelación al inicio del proceso de selección del contratista o al de la firma del contrato, según el caso.</w:t>
      </w:r>
    </w:p>
    <w:p w14:paraId="7A799E9A" w14:textId="77777777" w:rsidR="008F6F28" w:rsidRPr="00330C3F" w:rsidRDefault="008F6F28" w:rsidP="008F6F28">
      <w:pPr>
        <w:spacing w:after="0" w:line="240" w:lineRule="auto"/>
        <w:ind w:left="709" w:right="709"/>
        <w:jc w:val="both"/>
        <w:rPr>
          <w:rFonts w:ascii="Arial" w:eastAsia="Times New Roman" w:hAnsi="Arial" w:cs="Arial"/>
          <w:color w:val="000000"/>
          <w:sz w:val="21"/>
          <w:szCs w:val="21"/>
          <w:lang w:val="es-ES_tradnl" w:eastAsia="es-ES_tradnl"/>
        </w:rPr>
      </w:pPr>
      <w:r w:rsidRPr="00330C3F">
        <w:rPr>
          <w:rFonts w:ascii="Arial" w:eastAsia="Times New Roman" w:hAnsi="Arial" w:cs="Arial"/>
          <w:color w:val="000000"/>
          <w:sz w:val="21"/>
          <w:szCs w:val="21"/>
          <w:lang w:val="es-ES_tradnl" w:eastAsia="es-ES_tradnl"/>
        </w:rPr>
        <w:t>[…]</w:t>
      </w:r>
    </w:p>
    <w:p w14:paraId="26C66F49" w14:textId="77777777" w:rsidR="008F6F28" w:rsidRPr="00330C3F" w:rsidRDefault="008F6F28" w:rsidP="008F6F28">
      <w:pPr>
        <w:spacing w:after="0" w:line="240" w:lineRule="auto"/>
        <w:ind w:left="709" w:right="709"/>
        <w:jc w:val="both"/>
        <w:rPr>
          <w:rFonts w:ascii="Arial" w:eastAsia="Times New Roman" w:hAnsi="Arial" w:cs="Arial"/>
          <w:color w:val="000000"/>
          <w:sz w:val="21"/>
          <w:szCs w:val="21"/>
          <w:lang w:val="es-ES_tradnl" w:eastAsia="es-ES_tradnl"/>
        </w:rPr>
      </w:pPr>
      <w:r w:rsidRPr="00330C3F">
        <w:rPr>
          <w:rFonts w:ascii="Arial" w:eastAsia="Times New Roman" w:hAnsi="Arial" w:cs="Arial"/>
          <w:color w:val="000000"/>
          <w:sz w:val="21"/>
          <w:szCs w:val="21"/>
          <w:lang w:val="es-ES_tradnl" w:eastAsia="es-ES_tradnl"/>
        </w:rPr>
        <w:t xml:space="preserve">12. Previo a la apertura de un proceso de selección, </w:t>
      </w:r>
      <w:r w:rsidRPr="00330C3F">
        <w:rPr>
          <w:rFonts w:ascii="Arial" w:eastAsia="Times New Roman" w:hAnsi="Arial" w:cs="Arial"/>
          <w:i/>
          <w:iCs/>
          <w:color w:val="000000"/>
          <w:sz w:val="21"/>
          <w:szCs w:val="21"/>
          <w:u w:val="single"/>
          <w:lang w:val="es-ES_tradnl" w:eastAsia="es-ES_tradnl"/>
        </w:rPr>
        <w:t>o a la firma del contrato en el caso en que la modalidad de selección sea contratación directa,</w:t>
      </w:r>
      <w:r w:rsidRPr="00330C3F">
        <w:rPr>
          <w:rFonts w:ascii="Arial" w:eastAsia="Times New Roman" w:hAnsi="Arial" w:cs="Arial"/>
          <w:color w:val="000000"/>
          <w:sz w:val="21"/>
          <w:szCs w:val="21"/>
          <w:lang w:val="es-ES_tradnl" w:eastAsia="es-ES_tradnl"/>
        </w:rPr>
        <w:t xml:space="preserve"> deberán elaborarse los estudios, diseños y proyectos requeridos, y los pliegos de condiciones, según corresponda. […]” [Énfasis fuera de texto]</w:t>
      </w:r>
    </w:p>
    <w:p w14:paraId="25A80861" w14:textId="77777777" w:rsidR="008F6F28" w:rsidRPr="00330C3F" w:rsidRDefault="008F6F28" w:rsidP="008F6F28">
      <w:pPr>
        <w:spacing w:after="0" w:line="276" w:lineRule="auto"/>
        <w:ind w:firstLine="709"/>
        <w:jc w:val="both"/>
        <w:rPr>
          <w:rFonts w:ascii="Arial" w:eastAsia="Times New Roman" w:hAnsi="Arial" w:cs="Arial"/>
          <w:color w:val="000000"/>
          <w:szCs w:val="24"/>
          <w:lang w:val="es-ES_tradnl" w:eastAsia="es-ES_tradnl"/>
        </w:rPr>
      </w:pPr>
    </w:p>
    <w:p w14:paraId="3A56484E" w14:textId="77777777" w:rsidR="008F6F28" w:rsidRPr="00330C3F" w:rsidRDefault="008F6F28" w:rsidP="008F6F28">
      <w:pPr>
        <w:spacing w:after="120" w:line="276" w:lineRule="auto"/>
        <w:ind w:firstLine="709"/>
        <w:jc w:val="both"/>
        <w:rPr>
          <w:rFonts w:ascii="Verdana" w:eastAsia="Times New Roman" w:hAnsi="Verdana" w:cs="Arial"/>
          <w:szCs w:val="24"/>
          <w:lang w:eastAsia="es-ES_tradnl"/>
        </w:rPr>
      </w:pPr>
      <w:r w:rsidRPr="00330C3F">
        <w:rPr>
          <w:rFonts w:ascii="Verdana" w:eastAsia="Calibri" w:hAnsi="Verdana" w:cs="Arial"/>
          <w:lang w:val="es-ES"/>
        </w:rPr>
        <w:t xml:space="preserve">De lo anterior se desprende que, </w:t>
      </w:r>
      <w:r w:rsidRPr="00330C3F">
        <w:rPr>
          <w:rFonts w:ascii="Verdana" w:eastAsia="Times New Roman" w:hAnsi="Verdana" w:cs="Arial"/>
          <w:szCs w:val="24"/>
          <w:lang w:eastAsia="es-ES_tradnl"/>
        </w:rPr>
        <w:t xml:space="preserve">las entidades tienen el deber de realizar estudios previos en dos momentos específicos: i) previo a la apertura de un proceso de selección y </w:t>
      </w:r>
      <w:proofErr w:type="spellStart"/>
      <w:r w:rsidRPr="00330C3F">
        <w:rPr>
          <w:rFonts w:ascii="Verdana" w:eastAsia="Times New Roman" w:hAnsi="Verdana" w:cs="Arial"/>
          <w:szCs w:val="24"/>
          <w:lang w:eastAsia="es-ES_tradnl"/>
        </w:rPr>
        <w:t>ii</w:t>
      </w:r>
      <w:proofErr w:type="spellEnd"/>
      <w:r w:rsidRPr="00330C3F">
        <w:rPr>
          <w:rFonts w:ascii="Verdana" w:eastAsia="Times New Roman" w:hAnsi="Verdana" w:cs="Arial"/>
          <w:szCs w:val="24"/>
          <w:lang w:eastAsia="es-ES_tradnl"/>
        </w:rPr>
        <w:t xml:space="preserve">) previo a la firma del contrato en el caso en que la modalidad de selección sea contratación directa. Por su parte, el reglamento, es decir los artículos 2.2.1.1.1.6.1 y 2.2.1.1.2.1.1 del Decreto 1082 de 2015, no imponen la obligación de realizar estudios y documentos previos en etapas </w:t>
      </w:r>
      <w:r w:rsidRPr="00330C3F">
        <w:rPr>
          <w:rFonts w:ascii="Verdana" w:eastAsia="Times New Roman" w:hAnsi="Verdana" w:cs="Arial"/>
          <w:szCs w:val="24"/>
          <w:lang w:eastAsia="es-ES_tradnl"/>
        </w:rPr>
        <w:lastRenderedPageBreak/>
        <w:t xml:space="preserve">diferentes a la de planeación del contrato. </w:t>
      </w:r>
      <w:r w:rsidRPr="00330C3F">
        <w:rPr>
          <w:rFonts w:ascii="Verdana" w:eastAsia="Calibri" w:hAnsi="Verdana" w:cs="Arial"/>
          <w:lang w:val="es-ES"/>
        </w:rPr>
        <w:t>Esto,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en la obra y, en general, el fracaso en la ejecución de contratos estatales”</w:t>
      </w:r>
      <w:r w:rsidRPr="00330C3F">
        <w:rPr>
          <w:rFonts w:ascii="Verdana" w:eastAsia="Aptos" w:hAnsi="Verdana" w:cs="Arial"/>
          <w:vertAlign w:val="superscript"/>
        </w:rPr>
        <w:footnoteReference w:id="14"/>
      </w:r>
      <w:r w:rsidRPr="00330C3F">
        <w:rPr>
          <w:rFonts w:ascii="Verdana" w:eastAsia="Times New Roman" w:hAnsi="Verdana" w:cs="Arial"/>
          <w:color w:val="000000"/>
          <w:szCs w:val="24"/>
          <w:lang w:val="es-ES_tradnl" w:eastAsia="es-ES_tradnl"/>
        </w:rPr>
        <w:t xml:space="preserve">. </w:t>
      </w:r>
    </w:p>
    <w:p w14:paraId="1B20B4BA" w14:textId="77777777" w:rsidR="008F6F28" w:rsidRDefault="008F6F28" w:rsidP="008F6F28">
      <w:pPr>
        <w:spacing w:before="120" w:after="120" w:line="276" w:lineRule="auto"/>
        <w:ind w:firstLine="709"/>
        <w:jc w:val="both"/>
        <w:rPr>
          <w:rFonts w:ascii="Verdana" w:eastAsia="Aptos" w:hAnsi="Verdana" w:cs="Arial"/>
        </w:rPr>
      </w:pPr>
      <w:r w:rsidRPr="00330C3F">
        <w:rPr>
          <w:rFonts w:ascii="Verdana" w:eastAsia="Calibri" w:hAnsi="Verdana" w:cs="Arial"/>
        </w:rPr>
        <w:t xml:space="preserve">De esta forma, antes de iniciar un proceso de selección, la Entidad Estatal podrá determinar con los estudios previos: i) la verdadera necesidad de la celebración del contrato; </w:t>
      </w:r>
      <w:proofErr w:type="spellStart"/>
      <w:r w:rsidRPr="00330C3F">
        <w:rPr>
          <w:rFonts w:ascii="Verdana" w:eastAsia="Calibri" w:hAnsi="Verdana" w:cs="Arial"/>
        </w:rPr>
        <w:t>ii</w:t>
      </w:r>
      <w:proofErr w:type="spellEnd"/>
      <w:r w:rsidRPr="00330C3F">
        <w:rPr>
          <w:rFonts w:ascii="Verdana" w:eastAsia="Calibri" w:hAnsi="Verdana" w:cs="Arial"/>
        </w:rPr>
        <w:t xml:space="preserve">) las modalidades existentes para satisfacer esa necesidad y las razones que justifiquen la modalidad o tipo contractual que se escoja; </w:t>
      </w:r>
      <w:proofErr w:type="spellStart"/>
      <w:r w:rsidRPr="00330C3F">
        <w:rPr>
          <w:rFonts w:ascii="Verdana" w:eastAsia="Calibri" w:hAnsi="Verdana" w:cs="Arial"/>
        </w:rPr>
        <w:t>iii</w:t>
      </w:r>
      <w:proofErr w:type="spellEnd"/>
      <w:r w:rsidRPr="00330C3F">
        <w:rPr>
          <w:rFonts w:ascii="Verdana" w:eastAsia="Calibri" w:hAnsi="Verdana" w:cs="Arial"/>
        </w:rPr>
        <w:t xml:space="preserve">) las calidades, especificaciones, cantidades y demás características que puedan o deban reunir los bienes, las obras, los servicios, etcétera, cuya contratación, se haya determinado necesaria, </w:t>
      </w:r>
      <w:proofErr w:type="spellStart"/>
      <w:r w:rsidRPr="00330C3F">
        <w:rPr>
          <w:rFonts w:ascii="Verdana" w:eastAsia="Calibri" w:hAnsi="Verdana" w:cs="Arial"/>
        </w:rPr>
        <w:t>iv</w:t>
      </w:r>
      <w:proofErr w:type="spellEnd"/>
      <w:r w:rsidRPr="00330C3F">
        <w:rPr>
          <w:rFonts w:ascii="Verdana" w:eastAsia="Calibri" w:hAnsi="Verdana" w:cs="Arial"/>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330C3F">
        <w:rPr>
          <w:rFonts w:ascii="Verdana" w:eastAsia="Calibri" w:hAnsi="Verdana" w:cs="Arial"/>
        </w:rPr>
        <w:t>vii</w:t>
      </w:r>
      <w:proofErr w:type="spellEnd"/>
      <w:r w:rsidRPr="00330C3F">
        <w:rPr>
          <w:rFonts w:ascii="Verdana" w:eastAsia="Calibri" w:hAnsi="Verdana" w:cs="Arial"/>
        </w:rPr>
        <w:t>) los procedimientos, trámites y requisitos que deban satisfacerse, reunirse u obtenerse para llevar a cabo la selección del respectivo contratista y la celebración del contrato</w:t>
      </w:r>
      <w:r w:rsidRPr="00330C3F">
        <w:rPr>
          <w:rFonts w:ascii="Verdana" w:eastAsia="Aptos" w:hAnsi="Verdana" w:cs="Arial"/>
          <w:vertAlign w:val="superscript"/>
        </w:rPr>
        <w:footnoteReference w:id="15"/>
      </w:r>
      <w:r w:rsidRPr="00330C3F">
        <w:rPr>
          <w:rFonts w:ascii="Verdana" w:eastAsia="Aptos" w:hAnsi="Verdana" w:cs="Arial"/>
        </w:rPr>
        <w:t>.</w:t>
      </w:r>
    </w:p>
    <w:p w14:paraId="50C1F59F" w14:textId="77777777" w:rsidR="008F6F28" w:rsidRPr="00A01048" w:rsidRDefault="008F6F28" w:rsidP="008F6F28">
      <w:pPr>
        <w:spacing w:after="120" w:line="276" w:lineRule="auto"/>
        <w:ind w:firstLine="708"/>
        <w:jc w:val="both"/>
        <w:rPr>
          <w:rFonts w:ascii="Verdana" w:eastAsia="Calibri" w:hAnsi="Verdana"/>
          <w:color w:val="000000" w:themeColor="text1"/>
        </w:rPr>
      </w:pPr>
      <w:r>
        <w:rPr>
          <w:rFonts w:ascii="Verdana" w:eastAsia="Calibri" w:hAnsi="Verdana"/>
          <w:color w:val="000000" w:themeColor="text1"/>
        </w:rPr>
        <w:t>En relación con estas exigencias, debe destacarse que</w:t>
      </w:r>
      <w:r w:rsidRPr="00F50EAB">
        <w:rPr>
          <w:rFonts w:ascii="Verdana" w:eastAsia="Calibri" w:hAnsi="Verdana"/>
          <w:color w:val="000000" w:themeColor="text1"/>
        </w:rPr>
        <w:t xml:space="preserve"> los Contratos BPO (Business Process Outsourcing) </w:t>
      </w:r>
      <w:r>
        <w:rPr>
          <w:rFonts w:ascii="Verdana" w:eastAsia="Calibri" w:hAnsi="Verdana"/>
          <w:color w:val="000000" w:themeColor="text1"/>
        </w:rPr>
        <w:t xml:space="preserve">están vinculados </w:t>
      </w:r>
      <w:r w:rsidRPr="00F50EAB">
        <w:rPr>
          <w:rFonts w:ascii="Verdana" w:eastAsia="Calibri" w:hAnsi="Verdana"/>
          <w:color w:val="000000" w:themeColor="text1"/>
        </w:rPr>
        <w:t xml:space="preserve">principalmente a servicios de atención al cliente y procesos estandarizados, como </w:t>
      </w:r>
      <w:proofErr w:type="spellStart"/>
      <w:r w:rsidRPr="00F50EAB">
        <w:rPr>
          <w:rFonts w:ascii="Verdana" w:eastAsia="Calibri" w:hAnsi="Verdana"/>
          <w:color w:val="000000" w:themeColor="text1"/>
        </w:rPr>
        <w:t>call</w:t>
      </w:r>
      <w:proofErr w:type="spellEnd"/>
      <w:r w:rsidRPr="00F50EAB">
        <w:rPr>
          <w:rFonts w:ascii="Verdana" w:eastAsia="Calibri" w:hAnsi="Verdana"/>
          <w:color w:val="000000" w:themeColor="text1"/>
        </w:rPr>
        <w:t xml:space="preserve"> centers, cobranzas o televentas. Estos servicios, se caracterizan por producirse y consumirse de manera simultánea, generalmente a través de medios remotos, y aunque no </w:t>
      </w:r>
      <w:r w:rsidRPr="00F50EAB">
        <w:rPr>
          <w:rFonts w:ascii="Verdana" w:eastAsia="Calibri" w:hAnsi="Verdana"/>
          <w:color w:val="000000" w:themeColor="text1"/>
        </w:rPr>
        <w:lastRenderedPageBreak/>
        <w:t>presentan gran complejidad técnica, sí implican retos.</w:t>
      </w:r>
      <w:r>
        <w:rPr>
          <w:rFonts w:ascii="Verdana" w:eastAsia="Calibri" w:hAnsi="Verdana"/>
          <w:color w:val="000000" w:themeColor="text1"/>
        </w:rPr>
        <w:t xml:space="preserve"> En este aspecto, se requiere que estos contratos fundados en la </w:t>
      </w:r>
      <w:r w:rsidRPr="00034411">
        <w:rPr>
          <w:rFonts w:ascii="Verdana" w:eastAsia="Calibri" w:hAnsi="Verdana"/>
          <w:color w:val="000000" w:themeColor="text1"/>
        </w:rPr>
        <w:t>gestión de externalización</w:t>
      </w:r>
      <w:r w:rsidRPr="00A01048">
        <w:rPr>
          <w:rFonts w:ascii="Verdana" w:eastAsia="Calibri" w:hAnsi="Verdana"/>
          <w:color w:val="000000" w:themeColor="text1"/>
        </w:rPr>
        <w:t xml:space="preserve"> deben contar con estructuras contractuales flexibles, capaces de adaptarse a cambios en la demanda de servicios, en las áreas de negocio o en el entorno empresarial. </w:t>
      </w:r>
    </w:p>
    <w:p w14:paraId="3BF8BB7D" w14:textId="77777777" w:rsidR="008F6F28" w:rsidRDefault="008F6F28" w:rsidP="008F6F28">
      <w:pPr>
        <w:spacing w:after="0" w:line="276" w:lineRule="auto"/>
        <w:ind w:firstLine="709"/>
        <w:jc w:val="both"/>
        <w:rPr>
          <w:rFonts w:ascii="Verdana" w:eastAsia="Calibri" w:hAnsi="Verdana"/>
          <w:color w:val="000000" w:themeColor="text1"/>
        </w:rPr>
      </w:pPr>
      <w:r w:rsidRPr="00A01048">
        <w:rPr>
          <w:rFonts w:ascii="Verdana" w:eastAsia="Calibri" w:hAnsi="Verdana"/>
          <w:color w:val="000000" w:themeColor="text1"/>
        </w:rPr>
        <w:t>Asimismo,</w:t>
      </w:r>
      <w:r>
        <w:rPr>
          <w:rFonts w:ascii="Verdana" w:eastAsia="Calibri" w:hAnsi="Verdana"/>
          <w:color w:val="000000" w:themeColor="text1"/>
        </w:rPr>
        <w:t xml:space="preserve"> para efectos de planeación, es de resaltar que la doctrina </w:t>
      </w:r>
      <w:r w:rsidRPr="00A01048">
        <w:rPr>
          <w:rFonts w:ascii="Verdana" w:eastAsia="Calibri" w:hAnsi="Verdana"/>
          <w:color w:val="000000" w:themeColor="text1"/>
        </w:rPr>
        <w:t xml:space="preserve">señala que la flexibilidad contractual puede reflejarse en distintos elementos del acuerdo, </w:t>
      </w:r>
      <w:r>
        <w:rPr>
          <w:rFonts w:ascii="Verdana" w:eastAsia="Calibri" w:hAnsi="Verdana"/>
          <w:color w:val="000000" w:themeColor="text1"/>
        </w:rPr>
        <w:t xml:space="preserve">en especial, </w:t>
      </w:r>
      <w:r w:rsidRPr="00A01048">
        <w:rPr>
          <w:rFonts w:ascii="Verdana" w:eastAsia="Calibri" w:hAnsi="Verdana"/>
          <w:color w:val="000000" w:themeColor="text1"/>
        </w:rPr>
        <w:t>en la forma de pactar el precio del servicio externalizado. Este puede ser determinado o determinable sin afectar la validez del contrato, lo que permite ajustar las condiciones económicas a las variaciones del mercado o de la gestión</w:t>
      </w:r>
      <w:r>
        <w:rPr>
          <w:rStyle w:val="Refdenotaalpie"/>
          <w:rFonts w:ascii="Verdana" w:eastAsia="Calibri" w:hAnsi="Verdana"/>
          <w:color w:val="000000" w:themeColor="text1"/>
        </w:rPr>
        <w:footnoteReference w:id="16"/>
      </w:r>
      <w:r w:rsidRPr="00A01048">
        <w:rPr>
          <w:rFonts w:ascii="Verdana" w:eastAsia="Calibri" w:hAnsi="Verdana"/>
          <w:color w:val="000000" w:themeColor="text1"/>
        </w:rPr>
        <w:t xml:space="preserve">. Un ejemplo de ello es la externalización de la </w:t>
      </w:r>
      <w:r w:rsidRPr="009020F1">
        <w:rPr>
          <w:rFonts w:ascii="Verdana" w:eastAsia="Calibri" w:hAnsi="Verdana"/>
          <w:color w:val="000000" w:themeColor="text1"/>
        </w:rPr>
        <w:t>gestión de nóminas, donde</w:t>
      </w:r>
      <w:r w:rsidRPr="00A01048">
        <w:rPr>
          <w:rFonts w:ascii="Verdana" w:eastAsia="Calibri" w:hAnsi="Verdana"/>
          <w:color w:val="000000" w:themeColor="text1"/>
        </w:rPr>
        <w:t xml:space="preserve"> la arquitectura contractual flexible facilita la adaptación a las necesidades cambiantes de la organización.</w:t>
      </w:r>
      <w:r>
        <w:rPr>
          <w:rFonts w:ascii="Verdana" w:eastAsia="Calibri" w:hAnsi="Verdana"/>
          <w:color w:val="000000" w:themeColor="text1"/>
        </w:rPr>
        <w:t xml:space="preserve"> En este sentido, un Contrato BPO </w:t>
      </w:r>
      <w:r w:rsidRPr="008D5AB4">
        <w:rPr>
          <w:rFonts w:ascii="Verdana" w:eastAsia="Calibri" w:hAnsi="Verdana"/>
          <w:color w:val="000000" w:themeColor="text1"/>
        </w:rPr>
        <w:t xml:space="preserve">bien diseñado debe prever mecanismos de adaptación frente a cambios en la demanda o en las condiciones del negocio, evitando renegociaciones constantes y garantizando la continuidad del servicio. Para ello, </w:t>
      </w:r>
      <w:r>
        <w:rPr>
          <w:rFonts w:ascii="Verdana" w:eastAsia="Calibri" w:hAnsi="Verdana"/>
          <w:color w:val="000000" w:themeColor="text1"/>
        </w:rPr>
        <w:t xml:space="preserve">hay que tener en cuenta </w:t>
      </w:r>
      <w:r w:rsidRPr="008D5AB4">
        <w:rPr>
          <w:rFonts w:ascii="Verdana" w:eastAsia="Calibri" w:hAnsi="Verdana"/>
          <w:color w:val="000000" w:themeColor="text1"/>
        </w:rPr>
        <w:t xml:space="preserve">herramientas como los </w:t>
      </w:r>
      <w:r w:rsidRPr="00911FB8">
        <w:rPr>
          <w:rFonts w:ascii="Verdana" w:eastAsia="Calibri" w:hAnsi="Verdana"/>
          <w:color w:val="000000" w:themeColor="text1"/>
        </w:rPr>
        <w:t>Acuerdos de Niveles de Servicio (ANS o SLA) y los Términos de Referencia (</w:t>
      </w:r>
      <w:proofErr w:type="spellStart"/>
      <w:r w:rsidRPr="00911FB8">
        <w:rPr>
          <w:rFonts w:ascii="Verdana" w:eastAsia="Calibri" w:hAnsi="Verdana"/>
          <w:color w:val="000000" w:themeColor="text1"/>
        </w:rPr>
        <w:t>TdR</w:t>
      </w:r>
      <w:proofErr w:type="spellEnd"/>
      <w:r w:rsidRPr="00911FB8">
        <w:rPr>
          <w:rFonts w:ascii="Verdana" w:eastAsia="Calibri" w:hAnsi="Verdana"/>
          <w:color w:val="000000" w:themeColor="text1"/>
        </w:rPr>
        <w:t>), que permiten ajustar tiempos de respuesta, volúmenes de trabajo o estándares de calidad de manera automática y proporcional</w:t>
      </w:r>
      <w:r>
        <w:rPr>
          <w:rStyle w:val="Refdenotaalpie"/>
          <w:rFonts w:ascii="Verdana" w:eastAsia="Calibri" w:hAnsi="Verdana"/>
          <w:color w:val="000000" w:themeColor="text1"/>
        </w:rPr>
        <w:footnoteReference w:id="17"/>
      </w:r>
      <w:r w:rsidRPr="00911FB8">
        <w:rPr>
          <w:rFonts w:ascii="Verdana" w:eastAsia="Calibri" w:hAnsi="Verdana"/>
          <w:color w:val="000000" w:themeColor="text1"/>
        </w:rPr>
        <w:t>.</w:t>
      </w:r>
      <w:r>
        <w:rPr>
          <w:rFonts w:ascii="Verdana" w:eastAsia="Calibri" w:hAnsi="Verdana"/>
          <w:color w:val="000000" w:themeColor="text1"/>
        </w:rPr>
        <w:t xml:space="preserve"> Al respecto, la doctrina expresa:</w:t>
      </w:r>
    </w:p>
    <w:p w14:paraId="503D855F" w14:textId="77777777" w:rsidR="008F6F28" w:rsidRDefault="008F6F28" w:rsidP="008F6F28">
      <w:pPr>
        <w:spacing w:after="0" w:line="276" w:lineRule="auto"/>
        <w:ind w:firstLine="709"/>
        <w:jc w:val="both"/>
        <w:rPr>
          <w:rFonts w:ascii="Verdana" w:eastAsia="Calibri" w:hAnsi="Verdana"/>
          <w:color w:val="000000" w:themeColor="text1"/>
        </w:rPr>
      </w:pPr>
    </w:p>
    <w:p w14:paraId="63327AFB" w14:textId="77777777" w:rsidR="008F6F28" w:rsidRDefault="008F6F28" w:rsidP="008F6F28">
      <w:pPr>
        <w:spacing w:after="0" w:line="240" w:lineRule="auto"/>
        <w:ind w:left="709" w:right="709"/>
        <w:jc w:val="both"/>
        <w:rPr>
          <w:rFonts w:ascii="Verdana" w:eastAsia="Calibri" w:hAnsi="Verdana"/>
          <w:color w:val="000000" w:themeColor="text1"/>
          <w:sz w:val="20"/>
          <w:szCs w:val="20"/>
        </w:rPr>
      </w:pPr>
      <w:r w:rsidRPr="00B07AEC">
        <w:rPr>
          <w:rFonts w:ascii="Verdana" w:eastAsia="Calibri" w:hAnsi="Verdana"/>
          <w:color w:val="000000" w:themeColor="text1"/>
          <w:sz w:val="20"/>
          <w:szCs w:val="20"/>
        </w:rPr>
        <w:t xml:space="preserve">En un caso hipotético de externalización de un </w:t>
      </w:r>
      <w:proofErr w:type="spellStart"/>
      <w:r w:rsidRPr="00B07AEC">
        <w:rPr>
          <w:rFonts w:ascii="Verdana" w:eastAsia="Calibri" w:hAnsi="Verdana"/>
          <w:i/>
          <w:iCs/>
          <w:color w:val="000000" w:themeColor="text1"/>
          <w:sz w:val="20"/>
          <w:szCs w:val="20"/>
        </w:rPr>
        <w:t>call</w:t>
      </w:r>
      <w:proofErr w:type="spellEnd"/>
      <w:r w:rsidRPr="00B07AEC">
        <w:rPr>
          <w:rFonts w:ascii="Verdana" w:eastAsia="Calibri" w:hAnsi="Verdana"/>
          <w:i/>
          <w:iCs/>
          <w:color w:val="000000" w:themeColor="text1"/>
          <w:sz w:val="20"/>
          <w:szCs w:val="20"/>
        </w:rPr>
        <w:t xml:space="preserve"> centre </w:t>
      </w:r>
      <w:r w:rsidRPr="00B07AEC">
        <w:rPr>
          <w:rFonts w:ascii="Verdana" w:eastAsia="Calibri" w:hAnsi="Verdana"/>
          <w:color w:val="000000" w:themeColor="text1"/>
          <w:sz w:val="20"/>
          <w:szCs w:val="20"/>
        </w:rPr>
        <w:t>(que constituyen servicios típicos de BPO susceptible de mediciones), si el tiempo máximo de respuesta se ha fijado, por ejemplo, en dos horas, hasta las X peticiones, puede pactarse que se amplíe luego – automáticamente- a tres horas, si se sobrepasa dicho umbral de peticiones. Este control flexible permitirá que el proveedor externo del servicio no sólo no tema recibir más llamadas, sino que las atienda mejor. En el caso contrario, y por cumplir con el indicador prefijado de manera rígida en el ANS, la calidad de las respuestas podría verse seriamente comprometida.</w:t>
      </w:r>
    </w:p>
    <w:p w14:paraId="22A4D77C" w14:textId="77777777" w:rsidR="008F6F28" w:rsidRPr="00B07AEC" w:rsidRDefault="008F6F28" w:rsidP="008F6F28">
      <w:pPr>
        <w:spacing w:after="0" w:line="240" w:lineRule="auto"/>
        <w:ind w:left="709" w:right="709"/>
        <w:jc w:val="both"/>
        <w:rPr>
          <w:rFonts w:ascii="Verdana" w:eastAsia="Calibri" w:hAnsi="Verdana"/>
          <w:color w:val="000000" w:themeColor="text1"/>
          <w:sz w:val="20"/>
          <w:szCs w:val="20"/>
        </w:rPr>
      </w:pPr>
    </w:p>
    <w:p w14:paraId="28EB83E5" w14:textId="77777777" w:rsidR="008F6F28" w:rsidRDefault="008F6F28" w:rsidP="008F6F28">
      <w:pPr>
        <w:spacing w:after="0" w:line="240" w:lineRule="auto"/>
        <w:ind w:left="709" w:right="709"/>
        <w:jc w:val="both"/>
        <w:rPr>
          <w:rFonts w:ascii="Verdana" w:eastAsia="Calibri" w:hAnsi="Verdana"/>
          <w:color w:val="000000" w:themeColor="text1"/>
          <w:sz w:val="20"/>
          <w:szCs w:val="20"/>
        </w:rPr>
      </w:pPr>
      <w:r w:rsidRPr="00B07AEC">
        <w:rPr>
          <w:rFonts w:ascii="Verdana" w:eastAsia="Calibri" w:hAnsi="Verdana"/>
          <w:color w:val="000000" w:themeColor="text1"/>
          <w:sz w:val="20"/>
          <w:szCs w:val="20"/>
        </w:rPr>
        <w:t xml:space="preserve">La definición de determinados </w:t>
      </w:r>
      <w:r w:rsidRPr="00B07AEC">
        <w:rPr>
          <w:rFonts w:ascii="Verdana" w:eastAsia="Calibri" w:hAnsi="Verdana"/>
          <w:i/>
          <w:iCs/>
          <w:color w:val="000000" w:themeColor="text1"/>
          <w:sz w:val="20"/>
          <w:szCs w:val="20"/>
        </w:rPr>
        <w:t xml:space="preserve">niveles de servicio </w:t>
      </w:r>
      <w:r w:rsidRPr="00B07AEC">
        <w:rPr>
          <w:rFonts w:ascii="Verdana" w:eastAsia="Calibri" w:hAnsi="Verdana"/>
          <w:color w:val="000000" w:themeColor="text1"/>
          <w:sz w:val="20"/>
          <w:szCs w:val="20"/>
        </w:rPr>
        <w:t>(</w:t>
      </w:r>
      <w:proofErr w:type="spellStart"/>
      <w:r w:rsidRPr="00B07AEC">
        <w:rPr>
          <w:rFonts w:ascii="Verdana" w:eastAsia="Calibri" w:hAnsi="Verdana"/>
          <w:i/>
          <w:iCs/>
          <w:color w:val="000000" w:themeColor="text1"/>
          <w:sz w:val="20"/>
          <w:szCs w:val="20"/>
        </w:rPr>
        <w:t>service</w:t>
      </w:r>
      <w:proofErr w:type="spellEnd"/>
      <w:r w:rsidRPr="00B07AEC">
        <w:rPr>
          <w:rFonts w:ascii="Verdana" w:eastAsia="Calibri" w:hAnsi="Verdana"/>
          <w:i/>
          <w:iCs/>
          <w:color w:val="000000" w:themeColor="text1"/>
          <w:sz w:val="20"/>
          <w:szCs w:val="20"/>
        </w:rPr>
        <w:t xml:space="preserve"> </w:t>
      </w:r>
      <w:proofErr w:type="spellStart"/>
      <w:r w:rsidRPr="00B07AEC">
        <w:rPr>
          <w:rFonts w:ascii="Verdana" w:eastAsia="Calibri" w:hAnsi="Verdana"/>
          <w:i/>
          <w:iCs/>
          <w:color w:val="000000" w:themeColor="text1"/>
          <w:sz w:val="20"/>
          <w:szCs w:val="20"/>
        </w:rPr>
        <w:t>level</w:t>
      </w:r>
      <w:proofErr w:type="spellEnd"/>
      <w:r w:rsidRPr="00B07AEC">
        <w:rPr>
          <w:rFonts w:ascii="Verdana" w:eastAsia="Calibri" w:hAnsi="Verdana"/>
          <w:color w:val="000000" w:themeColor="text1"/>
          <w:sz w:val="20"/>
          <w:szCs w:val="20"/>
        </w:rPr>
        <w:t xml:space="preserve">) sigue siendo fundamental, incluso en actividades IPO. No obstante, en algunas ocasiones y, sobre todo cuando se externaliza por primera vez, el propio cliente no conoce cuáles deberían ser estos niveles, ya que los parámetros de un servicio prestado internamente (tanto en costes, como en tiempos) son muy difíciles de evaluar </w:t>
      </w:r>
      <w:r w:rsidRPr="00B07AEC">
        <w:rPr>
          <w:rFonts w:ascii="Verdana" w:eastAsia="Calibri" w:hAnsi="Verdana"/>
          <w:i/>
          <w:iCs/>
          <w:color w:val="000000" w:themeColor="text1"/>
          <w:sz w:val="20"/>
          <w:szCs w:val="20"/>
        </w:rPr>
        <w:t>ex ante</w:t>
      </w:r>
      <w:r w:rsidRPr="00B07AEC">
        <w:rPr>
          <w:rFonts w:ascii="Verdana" w:eastAsia="Calibri" w:hAnsi="Verdana"/>
          <w:color w:val="000000" w:themeColor="text1"/>
          <w:sz w:val="20"/>
          <w:szCs w:val="20"/>
        </w:rPr>
        <w:t xml:space="preserve">. Una opción, frente a la rígida fijación en los contratos de los ANS (basados en estándares), sería la previsión de </w:t>
      </w:r>
      <w:r w:rsidRPr="00B07AEC">
        <w:rPr>
          <w:rFonts w:ascii="Verdana" w:eastAsia="Calibri" w:hAnsi="Verdana"/>
          <w:color w:val="000000" w:themeColor="text1"/>
          <w:sz w:val="20"/>
          <w:szCs w:val="20"/>
        </w:rPr>
        <w:lastRenderedPageBreak/>
        <w:t xml:space="preserve">un período de transición o «marcha blanca» (v.gr. seis meses) en el que tanto el proveedor como el cliente se adapten paulatinamente y analicen cuál sería el nivel de servicio más razonable a exigir desde todos los puntos de vista (lo que implica una interpretación y ejecución del contrato diferenciada). En este </w:t>
      </w:r>
      <w:r w:rsidRPr="00B07AEC">
        <w:rPr>
          <w:rFonts w:ascii="Verdana" w:eastAsia="Calibri" w:hAnsi="Verdana"/>
          <w:i/>
          <w:iCs/>
          <w:color w:val="000000" w:themeColor="text1"/>
          <w:sz w:val="20"/>
          <w:szCs w:val="20"/>
        </w:rPr>
        <w:t>período de transición</w:t>
      </w:r>
      <w:r w:rsidRPr="00B07AEC">
        <w:rPr>
          <w:rFonts w:ascii="Verdana" w:eastAsia="Calibri" w:hAnsi="Verdana"/>
          <w:color w:val="000000" w:themeColor="text1"/>
          <w:sz w:val="20"/>
          <w:szCs w:val="20"/>
        </w:rPr>
        <w:t>, asimismo, deben quedar en suspenso o eliminadas las penalizaciones, hasta que tanto el cliente como el proveedor y los propios usuarios finales del servicio (de existir) se hayan adaptado completamente a la nueva situación.</w:t>
      </w:r>
    </w:p>
    <w:p w14:paraId="6E2FA57B" w14:textId="77777777" w:rsidR="008F6F28" w:rsidRPr="00B07AEC" w:rsidRDefault="008F6F28" w:rsidP="008F6F28">
      <w:pPr>
        <w:spacing w:after="0" w:line="276" w:lineRule="auto"/>
        <w:ind w:left="709" w:right="709"/>
        <w:jc w:val="both"/>
        <w:rPr>
          <w:rFonts w:ascii="Verdana" w:eastAsia="Calibri" w:hAnsi="Verdana"/>
          <w:color w:val="000000" w:themeColor="text1"/>
          <w:sz w:val="20"/>
          <w:szCs w:val="20"/>
        </w:rPr>
      </w:pPr>
    </w:p>
    <w:p w14:paraId="34EC4FDA" w14:textId="77777777" w:rsidR="008F6F28" w:rsidRDefault="008F6F28" w:rsidP="008F6F28">
      <w:pPr>
        <w:spacing w:after="120" w:line="276" w:lineRule="auto"/>
        <w:ind w:firstLine="708"/>
        <w:jc w:val="both"/>
        <w:rPr>
          <w:rFonts w:ascii="Verdana" w:eastAsia="Calibri" w:hAnsi="Verdana"/>
          <w:color w:val="000000" w:themeColor="text1"/>
        </w:rPr>
      </w:pPr>
      <w:r>
        <w:rPr>
          <w:rFonts w:ascii="Verdana" w:eastAsia="Calibri" w:hAnsi="Verdana"/>
          <w:color w:val="000000" w:themeColor="text1"/>
        </w:rPr>
        <w:t xml:space="preserve">En este asunto, el valor o precio del Contrato BPO no necesariamente debe ser </w:t>
      </w:r>
      <w:r w:rsidRPr="005B2B49">
        <w:rPr>
          <w:rFonts w:ascii="Verdana" w:eastAsia="Calibri" w:hAnsi="Verdana"/>
          <w:color w:val="000000" w:themeColor="text1"/>
        </w:rPr>
        <w:t>global, sino que depende</w:t>
      </w:r>
      <w:r>
        <w:rPr>
          <w:rFonts w:ascii="Verdana" w:eastAsia="Calibri" w:hAnsi="Verdana"/>
          <w:color w:val="000000" w:themeColor="text1"/>
        </w:rPr>
        <w:t xml:space="preserve"> del análisis económico, jurídico y técnico que parte de hacer un estudio del sector económico y de las necesidades del contrato, teniendo en cuenta que este tipo de servicios deben buscar criterios que puedan ser flexibles, sin dejar de lado los principios de economía, transparencia y la responsabilidad de las entidades públicas. En este caso, en los contratos BPO </w:t>
      </w:r>
      <w:r w:rsidRPr="008D5AB4">
        <w:rPr>
          <w:rFonts w:ascii="Verdana" w:eastAsia="Calibri" w:hAnsi="Verdana"/>
          <w:color w:val="000000" w:themeColor="text1"/>
        </w:rPr>
        <w:t xml:space="preserve">suele vincularse a variables dinámicas —por ejemplo, número de nóminas procesadas o volumen de llamadas atendidas—, lo que implica que el valor final del contrato no siempre </w:t>
      </w:r>
      <w:r>
        <w:rPr>
          <w:rFonts w:ascii="Verdana" w:eastAsia="Calibri" w:hAnsi="Verdana"/>
          <w:color w:val="000000" w:themeColor="text1"/>
        </w:rPr>
        <w:t xml:space="preserve">sea </w:t>
      </w:r>
      <w:r w:rsidRPr="008D5AB4">
        <w:rPr>
          <w:rFonts w:ascii="Verdana" w:eastAsia="Calibri" w:hAnsi="Verdana"/>
          <w:color w:val="000000" w:themeColor="text1"/>
        </w:rPr>
        <w:t xml:space="preserve">fijo, sino que depende de la ejecución real. </w:t>
      </w:r>
    </w:p>
    <w:p w14:paraId="68C034E3" w14:textId="77777777" w:rsidR="008F6F28" w:rsidRDefault="008F6F28" w:rsidP="008F6F28">
      <w:pPr>
        <w:spacing w:after="120" w:line="276" w:lineRule="auto"/>
        <w:ind w:firstLine="708"/>
        <w:jc w:val="both"/>
        <w:rPr>
          <w:rFonts w:ascii="Verdana" w:eastAsia="Calibri" w:hAnsi="Verdana"/>
          <w:color w:val="000000" w:themeColor="text1"/>
        </w:rPr>
      </w:pPr>
      <w:r w:rsidRPr="008D5AB4">
        <w:rPr>
          <w:rFonts w:ascii="Verdana" w:eastAsia="Calibri" w:hAnsi="Verdana"/>
          <w:color w:val="000000" w:themeColor="text1"/>
        </w:rPr>
        <w:t>Este esquema refleja una lógica similar a la de los contratos de precios unitarios en obra pública: el valor inicial es referencial</w:t>
      </w:r>
      <w:r>
        <w:rPr>
          <w:rFonts w:ascii="Verdana" w:eastAsia="Calibri" w:hAnsi="Verdana"/>
          <w:color w:val="000000" w:themeColor="text1"/>
        </w:rPr>
        <w:t xml:space="preserve"> o estimativo</w:t>
      </w:r>
      <w:r w:rsidRPr="008D5AB4">
        <w:rPr>
          <w:rFonts w:ascii="Verdana" w:eastAsia="Calibri" w:hAnsi="Verdana"/>
          <w:color w:val="000000" w:themeColor="text1"/>
        </w:rPr>
        <w:t xml:space="preserve">, mientras que el definitivo se consolida con la prestación efectiva del servicio. Así, la </w:t>
      </w:r>
      <w:r>
        <w:rPr>
          <w:rFonts w:ascii="Verdana" w:eastAsia="Calibri" w:hAnsi="Verdana"/>
          <w:color w:val="000000" w:themeColor="text1"/>
        </w:rPr>
        <w:t xml:space="preserve">estructura </w:t>
      </w:r>
      <w:r w:rsidRPr="008D5AB4">
        <w:rPr>
          <w:rFonts w:ascii="Verdana" w:eastAsia="Calibri" w:hAnsi="Verdana"/>
          <w:color w:val="000000" w:themeColor="text1"/>
        </w:rPr>
        <w:t>flexible del contrato permite equilibrar seguridad jurídica y adaptabilidad económica, garantizando que el proveedor reciba una remuneración justa y que la entidad contratante pague conforme a la necesidad real del servicio.</w:t>
      </w:r>
    </w:p>
    <w:p w14:paraId="30B9C860" w14:textId="77777777" w:rsidR="008F6F28" w:rsidRPr="00D66D87" w:rsidRDefault="008F6F28" w:rsidP="008F6F28">
      <w:pPr>
        <w:spacing w:after="120" w:line="276" w:lineRule="auto"/>
        <w:ind w:firstLine="708"/>
        <w:jc w:val="both"/>
        <w:rPr>
          <w:rFonts w:ascii="Verdana" w:eastAsia="Calibri" w:hAnsi="Verdana"/>
          <w:color w:val="000000" w:themeColor="text1"/>
        </w:rPr>
      </w:pPr>
      <w:r w:rsidRPr="00D66D87">
        <w:rPr>
          <w:rFonts w:ascii="Verdana" w:eastAsia="Calibri" w:hAnsi="Verdana"/>
          <w:color w:val="000000" w:themeColor="text1"/>
        </w:rPr>
        <w:t xml:space="preserve">En todo caso, el valor y forma de pago de este tipo de contratos BPO deben atender </w:t>
      </w:r>
      <w:r w:rsidRPr="005B2B49">
        <w:rPr>
          <w:rFonts w:ascii="Verdana" w:eastAsia="Verdana" w:hAnsi="Verdana" w:cs="Verdana"/>
          <w:color w:val="000000"/>
          <w:lang w:eastAsia="es-CO"/>
        </w:rPr>
        <w:t>al análisis del sector, que debe partir de la caracterización</w:t>
      </w:r>
      <w:r w:rsidRPr="00D66D87">
        <w:rPr>
          <w:rFonts w:ascii="Verdana" w:eastAsia="Verdana" w:hAnsi="Verdana" w:cs="Verdana"/>
          <w:color w:val="000000"/>
          <w:lang w:eastAsia="es-CO"/>
        </w:rPr>
        <w:t xml:space="preserve"> de la necesidad y las alternativas para satisfacerla; las especificaciones técnicas derivadas del análisis del mercado; la caracterización del sector desde las perspectivas legal, comercial, financiera, organizacional y técnica; el estudio de la demanda y del gasto histórico; la identificación de la oferta y de los proveedores; y la justificación del valor estimado del contrato sustentada en información real del mercado. </w:t>
      </w:r>
    </w:p>
    <w:p w14:paraId="6248D188" w14:textId="77777777" w:rsidR="008F6F28" w:rsidRPr="001D3D7D" w:rsidRDefault="008F6F28" w:rsidP="008F6F28">
      <w:pPr>
        <w:spacing w:after="120" w:line="276" w:lineRule="auto"/>
        <w:ind w:firstLine="708"/>
        <w:jc w:val="both"/>
        <w:rPr>
          <w:rFonts w:ascii="Verdana" w:eastAsia="Calibri" w:hAnsi="Verdana"/>
          <w:color w:val="000000" w:themeColor="text1"/>
        </w:rPr>
      </w:pPr>
      <w:r w:rsidRPr="00D66D87">
        <w:rPr>
          <w:rFonts w:ascii="Verdana" w:eastAsia="Calibri" w:hAnsi="Verdana"/>
          <w:color w:val="000000" w:themeColor="text1"/>
        </w:rPr>
        <w:t xml:space="preserve">Este estudio debe incorporar las especificaciones técnicas derivadas del mercado, así como una caracterización integral del sector desde las perspectivas legal, comercial, financiera, organizacional y técnica. Igualmente, resulta indispensable examinar la demanda histórica, el comportamiento del gasto y la </w:t>
      </w:r>
      <w:r w:rsidRPr="00D66D87">
        <w:rPr>
          <w:rFonts w:ascii="Verdana" w:eastAsia="Calibri" w:hAnsi="Verdana"/>
          <w:color w:val="000000" w:themeColor="text1"/>
        </w:rPr>
        <w:lastRenderedPageBreak/>
        <w:t>identificación de la oferta y de los proveedores disponibles, con el fin de garantizar que el contrato se estructure sobre bases reales y verificables. Por último, la justificación del valor estimado del contrato debe sustentarse en información objetiva del mercado, evitando cálculos arbitrarios o descontextualizados. Es precisamente en el estudio del sector donde se logra identificar el precio razonable y la modalidad de pago más adecuada, asegurando que el contrato BPO responda a criterios de eficiencia, transparencia y valor por dinero, en armonía con los principios que rigen la contratación estatal.</w:t>
      </w:r>
    </w:p>
    <w:p w14:paraId="1E9B3343" w14:textId="77777777" w:rsidR="008F6F28" w:rsidRPr="00284868" w:rsidRDefault="008F6F28" w:rsidP="008F6F28">
      <w:pPr>
        <w:spacing w:before="120" w:after="120" w:line="276" w:lineRule="auto"/>
        <w:ind w:firstLine="709"/>
        <w:jc w:val="both"/>
        <w:rPr>
          <w:rFonts w:ascii="Verdana" w:eastAsia="Aptos" w:hAnsi="Verdana" w:cs="Arial"/>
        </w:rPr>
      </w:pPr>
      <w:r>
        <w:rPr>
          <w:rFonts w:ascii="Verdana" w:eastAsia="Aptos" w:hAnsi="Verdana" w:cs="Arial"/>
        </w:rPr>
        <w:t>Ahora bien, para determinar la modalidad de selección</w:t>
      </w:r>
      <w:r>
        <w:rPr>
          <w:rFonts w:ascii="Verdana" w:hAnsi="Verdana" w:cs="Arial"/>
        </w:rPr>
        <w:t>,</w:t>
      </w:r>
      <w:r w:rsidRPr="00F30A39">
        <w:rPr>
          <w:rFonts w:ascii="Verdana" w:hAnsi="Verdana" w:cs="Arial"/>
        </w:rPr>
        <w:t xml:space="preserve"> la </w:t>
      </w:r>
      <w:r>
        <w:rPr>
          <w:rFonts w:ascii="Verdana" w:hAnsi="Verdana" w:cs="Arial"/>
        </w:rPr>
        <w:t xml:space="preserve">entidad debe tener en cuenta el artículo 2 de la Ley 1150 de 2007, el cual establece que </w:t>
      </w:r>
      <w:r w:rsidRPr="00112A00">
        <w:rPr>
          <w:rFonts w:ascii="Verdana" w:hAnsi="Verdana" w:cs="Arial"/>
          <w:i/>
          <w:iCs/>
        </w:rPr>
        <w:t>la escogencia del contratista se efectuará con arreglo a las modalidades de selección de licitación pública, selección abreviada, concurso de méritos y contratación directa</w:t>
      </w:r>
      <w:r>
        <w:rPr>
          <w:rFonts w:ascii="Verdana" w:hAnsi="Verdana" w:cs="Arial"/>
          <w:i/>
          <w:iCs/>
        </w:rPr>
        <w:t xml:space="preserve"> […]</w:t>
      </w:r>
      <w:r w:rsidRPr="00112A00">
        <w:rPr>
          <w:rFonts w:ascii="Verdana" w:hAnsi="Verdana" w:cs="Arial"/>
          <w:i/>
          <w:iCs/>
        </w:rPr>
        <w:t xml:space="preserve">La escogencia del contratista se efectuará por regla general a través de licitación pública, con las excepciones que se señalan en los numerales 2, 3 y 4 del </w:t>
      </w:r>
      <w:r>
        <w:rPr>
          <w:rFonts w:ascii="Verdana" w:hAnsi="Verdana" w:cs="Arial"/>
          <w:i/>
          <w:iCs/>
        </w:rPr>
        <w:t>citado artículo</w:t>
      </w:r>
      <w:r w:rsidRPr="00112A00">
        <w:rPr>
          <w:rFonts w:ascii="Verdana" w:hAnsi="Verdana" w:cs="Arial"/>
          <w:i/>
          <w:iCs/>
        </w:rPr>
        <w:t>.</w:t>
      </w:r>
      <w:r>
        <w:rPr>
          <w:rFonts w:ascii="Verdana" w:hAnsi="Verdana" w:cs="Arial"/>
        </w:rPr>
        <w:t xml:space="preserve"> </w:t>
      </w:r>
      <w:r w:rsidRPr="00F30A39">
        <w:rPr>
          <w:rFonts w:ascii="Verdana" w:hAnsi="Verdana" w:cs="Arial"/>
        </w:rPr>
        <w:t xml:space="preserve">Por tanto, </w:t>
      </w:r>
      <w:r>
        <w:rPr>
          <w:rFonts w:ascii="Verdana" w:hAnsi="Verdana" w:cs="Arial"/>
        </w:rPr>
        <w:t xml:space="preserve">es importante que </w:t>
      </w:r>
      <w:r w:rsidRPr="00F30A39">
        <w:rPr>
          <w:rFonts w:ascii="Verdana" w:hAnsi="Verdana" w:cs="Arial"/>
        </w:rPr>
        <w:t xml:space="preserve">las entidades </w:t>
      </w:r>
      <w:r w:rsidRPr="005B2B49">
        <w:rPr>
          <w:rFonts w:ascii="Verdana" w:hAnsi="Verdana" w:cs="Arial"/>
        </w:rPr>
        <w:t>estatales atiendan debidamente</w:t>
      </w:r>
      <w:r w:rsidRPr="00F30A39">
        <w:rPr>
          <w:rFonts w:ascii="Verdana" w:hAnsi="Verdana" w:cs="Arial"/>
        </w:rPr>
        <w:t xml:space="preserve"> el principio de </w:t>
      </w:r>
      <w:r w:rsidRPr="00C11A68">
        <w:rPr>
          <w:rFonts w:ascii="Verdana" w:hAnsi="Verdana" w:cs="Arial"/>
        </w:rPr>
        <w:t>planeación y selección objetiva</w:t>
      </w:r>
      <w:r w:rsidRPr="00F30A39">
        <w:rPr>
          <w:rFonts w:ascii="Verdana" w:hAnsi="Verdana" w:cs="Arial"/>
        </w:rPr>
        <w:t xml:space="preserve"> asegurando que las decisiones sean oportunas, bien fundamentadas y que contribuyan a la optimización de los recursos disponibles</w:t>
      </w:r>
      <w:r>
        <w:rPr>
          <w:rFonts w:ascii="Verdana" w:hAnsi="Verdana" w:cs="Arial"/>
        </w:rPr>
        <w:t>.</w:t>
      </w:r>
    </w:p>
    <w:p w14:paraId="430A578C" w14:textId="77777777" w:rsidR="008F6F28" w:rsidRPr="00AE38A7" w:rsidRDefault="008F6F28" w:rsidP="008F6F28">
      <w:pPr>
        <w:spacing w:before="120" w:after="120" w:line="276" w:lineRule="auto"/>
        <w:ind w:firstLine="709"/>
        <w:jc w:val="both"/>
        <w:rPr>
          <w:rFonts w:ascii="Verdana" w:eastAsia="Aptos" w:hAnsi="Verdana" w:cs="Arial"/>
        </w:rPr>
      </w:pPr>
      <w:r w:rsidRPr="00AE38A7">
        <w:rPr>
          <w:rFonts w:ascii="Verdana" w:eastAsia="Aptos" w:hAnsi="Verdana" w:cs="Arial"/>
        </w:rPr>
        <w:t xml:space="preserve">En relación con los contratos de operación </w:t>
      </w:r>
      <w:r>
        <w:rPr>
          <w:rFonts w:ascii="Verdana" w:eastAsia="Aptos" w:hAnsi="Verdana" w:cs="Arial"/>
        </w:rPr>
        <w:t>BPO</w:t>
      </w:r>
      <w:r w:rsidRPr="00AE38A7">
        <w:rPr>
          <w:rFonts w:ascii="Verdana" w:eastAsia="Aptos" w:hAnsi="Verdana" w:cs="Arial"/>
        </w:rPr>
        <w:t xml:space="preserve">, es fundamental reiterar que su naturaleza de contratos </w:t>
      </w:r>
      <w:r>
        <w:rPr>
          <w:rFonts w:ascii="Verdana" w:eastAsia="Aptos" w:hAnsi="Verdana" w:cs="Arial"/>
        </w:rPr>
        <w:t xml:space="preserve">atípicos </w:t>
      </w:r>
      <w:r w:rsidRPr="00AE38A7">
        <w:rPr>
          <w:rFonts w:ascii="Verdana" w:eastAsia="Aptos" w:hAnsi="Verdana" w:cs="Arial"/>
        </w:rPr>
        <w:t xml:space="preserve">—al integrar prestaciones propias de varios contratos nominados para satisfacer una necesidad común— impide la existencia de un procedimiento de selección exclusivo o predeterminado. Por ello, no es </w:t>
      </w:r>
      <w:r>
        <w:rPr>
          <w:rFonts w:ascii="Verdana" w:eastAsia="Aptos" w:hAnsi="Verdana" w:cs="Arial"/>
        </w:rPr>
        <w:t xml:space="preserve">procedente </w:t>
      </w:r>
      <w:r w:rsidRPr="00AE38A7">
        <w:rPr>
          <w:rFonts w:ascii="Verdana" w:eastAsia="Aptos" w:hAnsi="Verdana" w:cs="Arial"/>
        </w:rPr>
        <w:t>establecer un criterio uniforme que obligue a utilizar siempre la misma modalidad de selección</w:t>
      </w:r>
      <w:r>
        <w:rPr>
          <w:rFonts w:ascii="Verdana" w:eastAsia="Aptos" w:hAnsi="Verdana" w:cs="Arial"/>
        </w:rPr>
        <w:t>, teniendo en cuenta el objeto y alcance que se le da a este contrato</w:t>
      </w:r>
      <w:r w:rsidRPr="00AE38A7">
        <w:rPr>
          <w:rFonts w:ascii="Verdana" w:eastAsia="Aptos" w:hAnsi="Verdana" w:cs="Arial"/>
        </w:rPr>
        <w:t>.</w:t>
      </w:r>
      <w:r>
        <w:rPr>
          <w:rFonts w:ascii="Verdana" w:eastAsia="Aptos" w:hAnsi="Verdana" w:cs="Arial"/>
        </w:rPr>
        <w:t xml:space="preserve"> En esta línea, l</w:t>
      </w:r>
      <w:r w:rsidRPr="00AE38A7">
        <w:rPr>
          <w:rFonts w:ascii="Verdana" w:eastAsia="Aptos" w:hAnsi="Verdana" w:cs="Arial"/>
        </w:rPr>
        <w:t>a entidad, en ejercicio del principio de planeación, debe analizar el objeto, la cuantía, las condiciones del mercado, la urgencia y la disponibilidad presupuestal para determinar si procede la licitación pública, la selección abreviada</w:t>
      </w:r>
      <w:r>
        <w:rPr>
          <w:rFonts w:ascii="Verdana" w:eastAsia="Aptos" w:hAnsi="Verdana" w:cs="Arial"/>
        </w:rPr>
        <w:t xml:space="preserve"> -ya sea mediante un acuerdo marco de precios, una selección abreviada mediante subasta inversa, entre otros-</w:t>
      </w:r>
      <w:r w:rsidRPr="00AE38A7">
        <w:rPr>
          <w:rFonts w:ascii="Verdana" w:eastAsia="Aptos" w:hAnsi="Verdana" w:cs="Arial"/>
        </w:rPr>
        <w:t>, la mínima cuantía, o incluso la contratación directa cuando se configure una causal legal, como ocurre con los contratos interadministrativos</w:t>
      </w:r>
      <w:r>
        <w:rPr>
          <w:rFonts w:ascii="Verdana" w:eastAsia="Aptos" w:hAnsi="Verdana" w:cs="Arial"/>
        </w:rPr>
        <w:t>, conforme al artículo 2.4. literal c de la Ley 1150 de 2007</w:t>
      </w:r>
      <w:r w:rsidRPr="00AE38A7">
        <w:rPr>
          <w:rFonts w:ascii="Verdana" w:eastAsia="Aptos" w:hAnsi="Verdana" w:cs="Arial"/>
        </w:rPr>
        <w:t>. Lo determinante es que la modalidad elegida sea coherente con las características del servicio requerido y con los principios rectores de la contratación estatal.</w:t>
      </w:r>
    </w:p>
    <w:p w14:paraId="7ECD7743" w14:textId="77777777" w:rsidR="008F6F28" w:rsidRPr="009D6094" w:rsidRDefault="008F6F28" w:rsidP="008F6F28">
      <w:pPr>
        <w:spacing w:after="120" w:line="276" w:lineRule="auto"/>
        <w:ind w:right="103" w:firstLine="708"/>
        <w:jc w:val="both"/>
        <w:rPr>
          <w:rFonts w:ascii="Verdana" w:eastAsia="MS Mincho" w:hAnsi="Verdana" w:cs="Arial"/>
          <w:lang w:eastAsia="es-CO"/>
        </w:rPr>
      </w:pPr>
      <w:bookmarkStart w:id="3" w:name="_Hlk78820654"/>
      <w:r w:rsidRPr="005B7A49">
        <w:rPr>
          <w:rFonts w:ascii="Verdana" w:eastAsia="Calibri" w:hAnsi="Verdana" w:cs="Arial"/>
          <w:lang w:val="es-ES_tradnl" w:eastAsia="es-ES_tradnl"/>
        </w:rPr>
        <w:lastRenderedPageBreak/>
        <w:t>Es decir, para suscribir</w:t>
      </w:r>
      <w:r>
        <w:rPr>
          <w:rFonts w:ascii="Verdana" w:eastAsia="Calibri" w:hAnsi="Verdana" w:cs="Arial"/>
          <w:lang w:val="es-ES_tradnl" w:eastAsia="es-ES_tradnl"/>
        </w:rPr>
        <w:t xml:space="preserve"> este tipo de contrato</w:t>
      </w:r>
      <w:r w:rsidRPr="005B7A49">
        <w:rPr>
          <w:rFonts w:ascii="Verdana" w:eastAsia="Calibri" w:hAnsi="Verdana" w:cs="Arial"/>
          <w:lang w:val="es-ES_tradnl" w:eastAsia="es-ES_tradnl"/>
        </w:rPr>
        <w:t xml:space="preserve">, en principio, no interesa el objeto del contrato, pudiendo ser de obra pública, de </w:t>
      </w:r>
      <w:r w:rsidRPr="005B7A49">
        <w:rPr>
          <w:rFonts w:ascii="Verdana" w:eastAsia="Calibri" w:hAnsi="Verdana" w:cs="Arial"/>
          <w:i/>
          <w:iCs/>
          <w:lang w:val="es-ES_tradnl" w:eastAsia="es-ES_tradnl"/>
        </w:rPr>
        <w:t>consultoría</w:t>
      </w:r>
      <w:r w:rsidRPr="005B7A49">
        <w:rPr>
          <w:rFonts w:ascii="Verdana" w:eastAsia="Calibri" w:hAnsi="Verdana" w:cs="Arial"/>
          <w:lang w:val="es-ES_tradnl" w:eastAsia="es-ES_tradnl"/>
        </w:rPr>
        <w:t>, de suministro, de prestación de servicios, de arrendamiento, entre otros. Se establece que, en principio, no es relevante el objeto del contrato, porque el artículo 2º, numeral 4º, literal c), en su segundo inciso, establece una excepción a dicha regla, al prohibir que determinados contratos interadministrativos se celebren con ciertas entidades si no se ha adelantado antes el correspondiente proceso de licitación pública o selección abreviada. E</w:t>
      </w:r>
      <w:r>
        <w:rPr>
          <w:rFonts w:ascii="Verdana" w:eastAsia="Calibri" w:hAnsi="Verdana" w:cs="Arial"/>
          <w:lang w:val="es-ES_tradnl" w:eastAsia="es-ES_tradnl"/>
        </w:rPr>
        <w:t>stos objetos, se recuerda, son “</w:t>
      </w:r>
      <w:r w:rsidRPr="005B7A49">
        <w:rPr>
          <w:rFonts w:ascii="Verdana" w:eastAsia="Calibri" w:hAnsi="Verdana" w:cs="Arial"/>
          <w:lang w:val="es-ES_tradnl" w:eastAsia="es-ES_tradnl"/>
        </w:rPr>
        <w:t>los contratos de obra, suministro, prestación de servicios de evaluación de conformidad respecto de las normas o reglamentos técnicos, encargo</w:t>
      </w:r>
      <w:r>
        <w:rPr>
          <w:rFonts w:ascii="Verdana" w:eastAsia="Calibri" w:hAnsi="Verdana" w:cs="Arial"/>
          <w:lang w:val="es-ES_tradnl" w:eastAsia="es-ES_tradnl"/>
        </w:rPr>
        <w:t>s fiduciarios y fiducia pública”</w:t>
      </w:r>
      <w:r>
        <w:rPr>
          <w:rStyle w:val="Refdenotaalpie"/>
          <w:rFonts w:ascii="Verdana" w:eastAsia="Calibri" w:hAnsi="Verdana" w:cs="Arial"/>
          <w:lang w:val="es-ES_tradnl" w:eastAsia="es-ES_tradnl"/>
        </w:rPr>
        <w:footnoteReference w:id="18"/>
      </w:r>
      <w:r w:rsidRPr="005B7A49">
        <w:rPr>
          <w:rFonts w:ascii="Verdana" w:eastAsia="Calibri" w:hAnsi="Verdana" w:cs="Arial"/>
          <w:lang w:val="es-ES_tradnl" w:eastAsia="es-ES_tradnl"/>
        </w:rPr>
        <w:t xml:space="preserve">. De este modo, podrán adelantarse mediante </w:t>
      </w:r>
      <w:r w:rsidRPr="00400B1B">
        <w:rPr>
          <w:rFonts w:ascii="Verdana" w:eastAsia="Calibri" w:hAnsi="Verdana" w:cs="Arial"/>
          <w:lang w:val="es-ES_tradnl" w:eastAsia="es-ES_tradnl"/>
        </w:rPr>
        <w:t>contratos interadministrativos, pues no se encuentra</w:t>
      </w:r>
      <w:r w:rsidRPr="005B7A49">
        <w:rPr>
          <w:rFonts w:ascii="Verdana" w:eastAsia="Calibri" w:hAnsi="Verdana" w:cs="Arial"/>
          <w:lang w:val="es-ES_tradnl" w:eastAsia="es-ES_tradnl"/>
        </w:rPr>
        <w:t xml:space="preserve"> dentro de la restricción del artículo 2º, numeral 4º, literal c), en el segundo inciso de la Ley 1150 de 2007. </w:t>
      </w:r>
    </w:p>
    <w:p w14:paraId="2B654AA4" w14:textId="77777777" w:rsidR="008F6F28" w:rsidRPr="00D052C0" w:rsidRDefault="008F6F28" w:rsidP="008F6F28">
      <w:pPr>
        <w:spacing w:before="120" w:after="0" w:line="276" w:lineRule="auto"/>
        <w:ind w:firstLine="709"/>
        <w:jc w:val="both"/>
        <w:rPr>
          <w:rFonts w:ascii="Verdana" w:eastAsia="Times New Roman" w:hAnsi="Verdana" w:cs="Arial"/>
          <w:lang w:eastAsia="es-ES_tradnl"/>
        </w:rPr>
      </w:pPr>
      <w:r w:rsidRPr="009E105D">
        <w:rPr>
          <w:rFonts w:ascii="Verdana" w:eastAsia="Arial" w:hAnsi="Verdana" w:cs="Arial"/>
          <w:lang w:val="es-ES" w:eastAsia="es-ES" w:bidi="es-ES"/>
        </w:rPr>
        <w:t xml:space="preserve">Si bien están previstos en la Ley 80 de 1993, en la Ley 1150 de 2007 y </w:t>
      </w:r>
      <w:r w:rsidRPr="005B2B49">
        <w:rPr>
          <w:rFonts w:ascii="Verdana" w:eastAsia="Arial" w:hAnsi="Verdana" w:cs="Arial"/>
          <w:lang w:val="es-ES" w:eastAsia="es-ES" w:bidi="es-ES"/>
        </w:rPr>
        <w:t>en el Decreto 1082 de 2015</w:t>
      </w:r>
      <w:r w:rsidRPr="009E105D">
        <w:rPr>
          <w:rFonts w:ascii="Verdana" w:eastAsia="Arial" w:hAnsi="Verdana" w:cs="Arial"/>
          <w:lang w:val="es-ES" w:eastAsia="es-ES" w:bidi="es-ES"/>
        </w:rPr>
        <w:t xml:space="preserve">, no quiere decir que solo puedan celebrarse entre entidades estatales que apliquen el régimen de contratación allí </w:t>
      </w:r>
      <w:r>
        <w:rPr>
          <w:rFonts w:ascii="Verdana" w:eastAsia="Arial" w:hAnsi="Verdana" w:cs="Arial"/>
          <w:lang w:val="es-ES" w:eastAsia="es-ES" w:bidi="es-ES"/>
        </w:rPr>
        <w:t>regulado</w:t>
      </w:r>
      <w:r w:rsidRPr="009E105D">
        <w:rPr>
          <w:rFonts w:ascii="Verdana" w:eastAsia="Arial" w:hAnsi="Verdana" w:cs="Arial"/>
          <w:lang w:val="es-ES" w:eastAsia="es-ES" w:bidi="es-ES"/>
        </w:rPr>
        <w:t xml:space="preserve">, pues bien puede una entidad estatal sometida a la Ley 80 de 1993 celebrar esta clase de </w:t>
      </w:r>
      <w:r>
        <w:rPr>
          <w:rFonts w:ascii="Verdana" w:eastAsia="Arial" w:hAnsi="Verdana" w:cs="Arial"/>
          <w:lang w:val="es-ES" w:eastAsia="es-ES" w:bidi="es-ES"/>
        </w:rPr>
        <w:t>negocios</w:t>
      </w:r>
      <w:r w:rsidRPr="009E105D">
        <w:rPr>
          <w:rFonts w:ascii="Verdana" w:eastAsia="Arial" w:hAnsi="Verdana" w:cs="Arial"/>
          <w:lang w:val="es-ES" w:eastAsia="es-ES" w:bidi="es-ES"/>
        </w:rPr>
        <w:t xml:space="preserve"> con una entidad estatal de régimen especial y no por ello dejará de ser </w:t>
      </w:r>
      <w:r>
        <w:rPr>
          <w:rFonts w:ascii="Verdana" w:eastAsia="Arial" w:hAnsi="Verdana" w:cs="Arial"/>
          <w:lang w:val="es-ES" w:eastAsia="es-ES" w:bidi="es-ES"/>
        </w:rPr>
        <w:t>tal</w:t>
      </w:r>
      <w:r w:rsidRPr="009E105D">
        <w:rPr>
          <w:rFonts w:ascii="Verdana" w:eastAsia="Arial" w:hAnsi="Verdana" w:cs="Arial"/>
          <w:lang w:val="es-ES" w:eastAsia="es-ES" w:bidi="es-ES"/>
        </w:rPr>
        <w:t>. De esta manera, sin perjuicio de lo dispuesto en el artículo 56 de la Ley 2195 de 2022, el literal c) del artículo 2.4 de la Ley 1150 de 2007 dispone que “</w:t>
      </w:r>
      <w:r w:rsidRPr="009E105D">
        <w:rPr>
          <w:rFonts w:ascii="Verdana" w:eastAsia="Arial" w:hAnsi="Verdana" w:cs="Arial"/>
          <w:lang w:eastAsia="es-ES" w:bidi="es-ES"/>
        </w:rPr>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p>
    <w:p w14:paraId="67ED2E72" w14:textId="77777777" w:rsidR="008F6F28" w:rsidRPr="002618A0" w:rsidRDefault="008F6F28" w:rsidP="008F6F28">
      <w:pPr>
        <w:widowControl w:val="0"/>
        <w:autoSpaceDE w:val="0"/>
        <w:autoSpaceDN w:val="0"/>
        <w:spacing w:before="119" w:after="120" w:line="276" w:lineRule="auto"/>
        <w:ind w:firstLine="709"/>
        <w:jc w:val="both"/>
        <w:rPr>
          <w:rFonts w:ascii="Verdana" w:eastAsia="Arial" w:hAnsi="Verdana" w:cs="Arial"/>
          <w:lang w:val="es-ES" w:eastAsia="es-ES" w:bidi="es-ES"/>
        </w:rPr>
      </w:pPr>
      <w:bookmarkStart w:id="4" w:name="_Hlk99578261"/>
      <w:r w:rsidRPr="009E105D">
        <w:rPr>
          <w:rFonts w:ascii="Verdana" w:eastAsia="Arial" w:hAnsi="Verdana" w:cs="Arial"/>
          <w:lang w:val="es-ES" w:eastAsia="es-ES" w:bidi="es-ES"/>
        </w:rPr>
        <w:lastRenderedPageBreak/>
        <w:t>Un contrato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Pr>
          <w:rStyle w:val="Refdenotaalpie"/>
          <w:rFonts w:ascii="Verdana" w:eastAsia="Arial" w:hAnsi="Verdana" w:cs="Arial"/>
          <w:lang w:val="es-ES" w:eastAsia="es-ES" w:bidi="es-ES"/>
        </w:rPr>
        <w:footnoteReference w:id="19"/>
      </w:r>
      <w:r w:rsidRPr="009E105D">
        <w:rPr>
          <w:rFonts w:ascii="Verdana" w:eastAsia="Arial" w:hAnsi="Verdana" w:cs="Arial"/>
          <w:lang w:val="es-ES" w:eastAsia="es-ES" w:bidi="es-ES"/>
        </w:rPr>
        <w:t>. Nótese que, en este caso, lo que cambia es la modalidad de selección y no la naturaleza de contrato</w:t>
      </w:r>
      <w:r w:rsidRPr="009E105D">
        <w:rPr>
          <w:rFonts w:ascii="Verdana" w:eastAsia="Arial" w:hAnsi="Verdana" w:cs="Arial"/>
          <w:spacing w:val="-18"/>
          <w:lang w:val="es-ES" w:eastAsia="es-ES" w:bidi="es-ES"/>
        </w:rPr>
        <w:t xml:space="preserve"> </w:t>
      </w:r>
      <w:r w:rsidRPr="009E105D">
        <w:rPr>
          <w:rFonts w:ascii="Verdana" w:eastAsia="Arial" w:hAnsi="Verdana" w:cs="Arial"/>
          <w:lang w:val="es-ES" w:eastAsia="es-ES" w:bidi="es-ES"/>
        </w:rPr>
        <w:t>interadministrativo.</w:t>
      </w:r>
      <w:r>
        <w:rPr>
          <w:rFonts w:ascii="Verdana" w:eastAsia="Arial" w:hAnsi="Verdana" w:cs="Arial"/>
          <w:lang w:val="es-ES" w:eastAsia="es-ES" w:bidi="es-ES"/>
        </w:rPr>
        <w:t xml:space="preserve"> </w:t>
      </w:r>
      <w:bookmarkEnd w:id="3"/>
      <w:bookmarkEnd w:id="4"/>
    </w:p>
    <w:p w14:paraId="111BC673" w14:textId="77777777" w:rsidR="008F6F28" w:rsidRDefault="008F6F28" w:rsidP="008F6F28">
      <w:pPr>
        <w:spacing w:after="120" w:line="276" w:lineRule="auto"/>
        <w:ind w:right="79" w:firstLine="743"/>
        <w:jc w:val="both"/>
        <w:rPr>
          <w:rFonts w:ascii="Verdana" w:eastAsia="Arial" w:hAnsi="Verdana" w:cs="Arial"/>
          <w:bCs/>
        </w:rPr>
      </w:pPr>
      <w:r w:rsidRPr="00C97DA4">
        <w:rPr>
          <w:rFonts w:ascii="Verdana" w:eastAsia="Arial" w:hAnsi="Verdana" w:cs="Arial"/>
          <w:bCs/>
        </w:rPr>
        <w:t xml:space="preserve">La ausencia de un objeto contractual específico asociado a estos procedimientos —pues su configuración depende primordialmente de la cuantía y no de la naturaleza intrínseca de la prestación— implica que no existe impedimento jurídico para emplear las modalidades de selección previamente expuestas en la celebración de contratos </w:t>
      </w:r>
      <w:r>
        <w:rPr>
          <w:rFonts w:ascii="Verdana" w:eastAsia="Arial" w:hAnsi="Verdana" w:cs="Arial"/>
          <w:bCs/>
        </w:rPr>
        <w:t>BPO</w:t>
      </w:r>
      <w:r w:rsidRPr="00C97DA4">
        <w:rPr>
          <w:rFonts w:ascii="Verdana" w:eastAsia="Arial" w:hAnsi="Verdana" w:cs="Arial"/>
          <w:bCs/>
        </w:rPr>
        <w:t xml:space="preserve">. En efecto, al tratarse de procesos cuyo parámetro definitorio es el monto y no un tipo contractual predeterminado, la entidad conserva la facultad de escoger la modalidad procedente dentro del marco normativo aplicable, siempre que se respeten los principios de transparencia, economía y selección objetiva. </w:t>
      </w:r>
    </w:p>
    <w:p w14:paraId="7198E6FE" w14:textId="77777777" w:rsidR="008F6F28" w:rsidRDefault="008F6F28" w:rsidP="008F6F28">
      <w:pPr>
        <w:spacing w:after="0" w:line="276" w:lineRule="auto"/>
        <w:ind w:firstLine="709"/>
        <w:jc w:val="both"/>
        <w:rPr>
          <w:rFonts w:ascii="Verdana" w:eastAsia="Calibri" w:hAnsi="Verdana" w:cs="Arial"/>
          <w:color w:val="000000"/>
          <w:lang w:val="es-ES"/>
        </w:rPr>
      </w:pPr>
      <w:r w:rsidRPr="005B2B49">
        <w:rPr>
          <w:rFonts w:ascii="Verdana" w:eastAsia="Calibri" w:hAnsi="Verdana" w:cs="Arial"/>
          <w:color w:val="000000"/>
          <w:lang w:val="es-ES"/>
        </w:rPr>
        <w:t>Cuando el servicio se encarga mediante contrato interadministrativo, la entidad ejecutora obra con autonomía técnica y administrativa en el cumplimiento del objeto, de modo que la supervisión de la entidad contratante verifica el resultado contratado y no administra el recurso humano de aquella ni el de sus subcontratistas o aliados. La entidad contratante carece de vínculo contractual con los terceros que el ejecutor vincule para la prestación —en virtud del efecto relativo de los contratos (artículo 1602 del Código Civil)—, y de esa relación no se deriva vínculo laboral alguno con la entidad contratante. Por consiguiente, la vigilancia se ejerce sobre el ejecutor y respecto del cumplimiento de las obligaciones pactadas, sin extenderse a la gestión interna del personal del tercero, que corresponde a quien lo vincula.</w:t>
      </w:r>
    </w:p>
    <w:p w14:paraId="11E2877A" w14:textId="77777777" w:rsidR="008F6F28" w:rsidRDefault="008F6F28" w:rsidP="008F6F28">
      <w:pPr>
        <w:spacing w:after="0" w:line="276" w:lineRule="auto"/>
        <w:ind w:right="79"/>
        <w:jc w:val="both"/>
        <w:rPr>
          <w:rFonts w:ascii="Verdana" w:eastAsia="Arial" w:hAnsi="Verdana" w:cs="Arial"/>
          <w:bCs/>
        </w:rPr>
      </w:pPr>
    </w:p>
    <w:p w14:paraId="3A7407B2" w14:textId="77777777" w:rsidR="008F6F28" w:rsidRPr="00E7254D" w:rsidRDefault="008F6F28" w:rsidP="008F6F28">
      <w:pPr>
        <w:spacing w:after="120" w:line="276" w:lineRule="auto"/>
        <w:jc w:val="both"/>
        <w:rPr>
          <w:rFonts w:ascii="Verdana" w:eastAsia="Calibri" w:hAnsi="Verdana" w:cs="Arial"/>
          <w:color w:val="000000"/>
          <w:lang w:val="es-ES"/>
        </w:rPr>
      </w:pPr>
      <w:proofErr w:type="spellStart"/>
      <w:r w:rsidRPr="005B2B49">
        <w:rPr>
          <w:rFonts w:ascii="Verdana" w:eastAsia="Verdana" w:hAnsi="Verdana" w:cs="Verdana"/>
          <w:lang w:eastAsia="es-CO"/>
        </w:rPr>
        <w:lastRenderedPageBreak/>
        <w:t>iv</w:t>
      </w:r>
      <w:proofErr w:type="spellEnd"/>
      <w:r>
        <w:rPr>
          <w:rFonts w:ascii="Verdana" w:eastAsia="Verdana" w:hAnsi="Verdana" w:cs="Verdana"/>
          <w:lang w:eastAsia="es-CO"/>
        </w:rPr>
        <w:t xml:space="preserve">. </w:t>
      </w:r>
      <w:r w:rsidRPr="00E7254D">
        <w:rPr>
          <w:rFonts w:ascii="Verdana" w:eastAsia="Calibri" w:hAnsi="Verdana" w:cs="Arial"/>
          <w:color w:val="000000"/>
          <w:lang w:val="es-ES"/>
        </w:rPr>
        <w:t>El seguimiento de la ejecución del contrato para la dirección, control y vigilancia de su correcto cumplimiento es un deber legal que permite a las entidades estatales tomar medidas orientadas a la satisfacción de los fines de la contratación. Por esto, el EGCAP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 este, y las condiciones de calidad ofrecidas, entre otras.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1058103C" w14:textId="77777777" w:rsidR="008F6F28" w:rsidRPr="00E7254D" w:rsidRDefault="008F6F28" w:rsidP="008F6F28">
      <w:pPr>
        <w:spacing w:after="0" w:line="276" w:lineRule="auto"/>
        <w:ind w:firstLine="708"/>
        <w:jc w:val="both"/>
        <w:rPr>
          <w:rFonts w:ascii="Verdana" w:eastAsia="Times New Roman" w:hAnsi="Verdana" w:cs="Arial"/>
          <w:lang w:val="es-ES" w:eastAsia="es-MX"/>
        </w:rPr>
      </w:pPr>
      <w:r w:rsidRPr="00E7254D">
        <w:rPr>
          <w:rFonts w:ascii="Verdana" w:eastAsia="Times New Roman" w:hAnsi="Verdana" w:cs="Arial"/>
          <w:lang w:val="es-ES" w:eastAsia="es-MX"/>
        </w:rPr>
        <w:t>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E7254D">
        <w:rPr>
          <w:rFonts w:ascii="Verdana" w:eastAsia="Times New Roman" w:hAnsi="Verdana" w:cs="Arial"/>
          <w:vertAlign w:val="superscript"/>
          <w:lang w:val="es-ES" w:eastAsia="es-MX"/>
        </w:rPr>
        <w:footnoteReference w:id="20"/>
      </w:r>
      <w:r w:rsidRPr="00E7254D">
        <w:rPr>
          <w:rFonts w:ascii="Verdana" w:eastAsia="Times New Roman" w:hAnsi="Verdana" w:cs="Arial"/>
          <w:lang w:val="es-ES" w:eastAsia="es-MX"/>
        </w:rPr>
        <w:t>. También se establecen los límites de la responsabilidad del representante legal ante la delegación de sus funciones en materia contractual</w:t>
      </w:r>
      <w:r w:rsidRPr="00E7254D">
        <w:rPr>
          <w:rFonts w:ascii="Verdana" w:eastAsia="Times New Roman" w:hAnsi="Verdana" w:cs="Arial"/>
          <w:vertAlign w:val="superscript"/>
          <w:lang w:val="es-ES" w:eastAsia="es-MX"/>
        </w:rPr>
        <w:footnoteReference w:id="21"/>
      </w:r>
      <w:r w:rsidRPr="00E7254D">
        <w:rPr>
          <w:rFonts w:ascii="Verdana" w:eastAsia="Times New Roman" w:hAnsi="Verdana" w:cs="Arial"/>
          <w:lang w:val="es-ES" w:eastAsia="es-MX"/>
        </w:rPr>
        <w:t xml:space="preserve"> y se regula la supervisión y la interventoría de los contratos estatales</w:t>
      </w:r>
      <w:r w:rsidRPr="00E7254D">
        <w:rPr>
          <w:rFonts w:ascii="Verdana" w:eastAsia="Times New Roman" w:hAnsi="Verdana" w:cs="Arial"/>
          <w:vertAlign w:val="superscript"/>
          <w:lang w:val="es-ES" w:eastAsia="es-MX"/>
        </w:rPr>
        <w:footnoteReference w:id="22"/>
      </w:r>
      <w:r w:rsidRPr="00E7254D">
        <w:rPr>
          <w:rFonts w:ascii="Verdana" w:eastAsia="Times New Roman" w:hAnsi="Verdana" w:cs="Arial"/>
          <w:lang w:val="es-ES" w:eastAsia="es-MX"/>
        </w:rPr>
        <w:t xml:space="preserve">. En consecuencia, se tiene que, la jurisprudencia contencioso-administrativa, por su parte, ha considerado que la obligación de vigilar la correcta ejecución del objeto contractual es una función de la entidad contratante, en los siguientes términos: </w:t>
      </w:r>
    </w:p>
    <w:p w14:paraId="1D7375BC" w14:textId="77777777" w:rsidR="008F6F28" w:rsidRPr="00624EEC" w:rsidRDefault="008F6F28" w:rsidP="008F6F28">
      <w:pPr>
        <w:spacing w:after="0"/>
        <w:ind w:left="709"/>
        <w:contextualSpacing/>
        <w:jc w:val="both"/>
        <w:rPr>
          <w:rFonts w:ascii="Verdana" w:eastAsia="Times New Roman" w:hAnsi="Verdana" w:cs="Arial"/>
          <w:sz w:val="20"/>
          <w:szCs w:val="20"/>
          <w:lang w:val="es-ES_tradnl" w:eastAsia="es-MX"/>
        </w:rPr>
      </w:pPr>
    </w:p>
    <w:p w14:paraId="71788004" w14:textId="77777777" w:rsidR="008F6F28" w:rsidRPr="00624EEC" w:rsidRDefault="008F6F28" w:rsidP="008F6F28">
      <w:pPr>
        <w:spacing w:after="0" w:line="240" w:lineRule="auto"/>
        <w:ind w:left="709" w:right="709"/>
        <w:contextualSpacing/>
        <w:jc w:val="both"/>
        <w:rPr>
          <w:rFonts w:ascii="Verdana" w:eastAsia="Times New Roman" w:hAnsi="Verdana" w:cs="Arial"/>
          <w:sz w:val="20"/>
          <w:szCs w:val="20"/>
          <w:lang w:val="es-ES_tradnl" w:eastAsia="es-MX"/>
        </w:rPr>
      </w:pPr>
      <w:r w:rsidRPr="00624EEC">
        <w:rPr>
          <w:rFonts w:ascii="Verdana" w:eastAsia="Times New Roman" w:hAnsi="Verdana" w:cs="Arial"/>
          <w:sz w:val="20"/>
          <w:szCs w:val="20"/>
          <w:lang w:val="es-ES_tradnl" w:eastAsia="es-MX"/>
        </w:rPr>
        <w:t xml:space="preserve">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w:t>
      </w:r>
      <w:r w:rsidRPr="00624EEC">
        <w:rPr>
          <w:rFonts w:ascii="Verdana" w:eastAsia="Times New Roman" w:hAnsi="Verdana" w:cs="Arial"/>
          <w:sz w:val="20"/>
          <w:szCs w:val="20"/>
          <w:lang w:val="es-ES_tradnl" w:eastAsia="es-MX"/>
        </w:rPr>
        <w:lastRenderedPageBreak/>
        <w:t>sino que el contrato se ejecute en el tiempo y la forma convenidos, para esta forma garantizar la satisfacción de las necesidades que la administración buscaba alcanzar con la celebración del respectivo contrato</w:t>
      </w:r>
      <w:r w:rsidRPr="00624EEC">
        <w:rPr>
          <w:rFonts w:ascii="Verdana" w:eastAsia="Times New Roman" w:hAnsi="Verdana" w:cs="Arial"/>
          <w:sz w:val="20"/>
          <w:szCs w:val="20"/>
          <w:vertAlign w:val="superscript"/>
          <w:lang w:val="es-ES_tradnl" w:eastAsia="es-MX"/>
        </w:rPr>
        <w:footnoteReference w:id="23"/>
      </w:r>
      <w:r w:rsidRPr="00624EEC">
        <w:rPr>
          <w:rFonts w:ascii="Verdana" w:eastAsia="Times New Roman" w:hAnsi="Verdana" w:cs="Arial"/>
          <w:sz w:val="20"/>
          <w:szCs w:val="20"/>
          <w:lang w:val="es-ES_tradnl" w:eastAsia="es-MX"/>
        </w:rPr>
        <w:t>.</w:t>
      </w:r>
    </w:p>
    <w:p w14:paraId="36D407AC" w14:textId="77777777" w:rsidR="008F6F28" w:rsidRPr="00E7254D" w:rsidRDefault="008F6F28" w:rsidP="008F6F28">
      <w:pPr>
        <w:snapToGrid w:val="0"/>
        <w:spacing w:after="0" w:line="276" w:lineRule="auto"/>
        <w:ind w:left="720"/>
        <w:rPr>
          <w:rFonts w:ascii="Verdana" w:eastAsia="Times New Roman" w:hAnsi="Verdana" w:cs="Arial"/>
          <w:lang w:val="es-ES_tradnl" w:eastAsia="es-MX"/>
        </w:rPr>
      </w:pPr>
    </w:p>
    <w:p w14:paraId="7F3732D0" w14:textId="77777777" w:rsidR="008F6F28" w:rsidRPr="00EB721B" w:rsidRDefault="008F6F28" w:rsidP="008F6F28">
      <w:pPr>
        <w:spacing w:after="0" w:line="276" w:lineRule="auto"/>
        <w:ind w:firstLine="709"/>
        <w:jc w:val="both"/>
        <w:rPr>
          <w:rFonts w:ascii="Verdana" w:eastAsia="Times New Roman" w:hAnsi="Verdana" w:cs="Arial"/>
          <w:lang w:eastAsia="es-MX"/>
        </w:rPr>
      </w:pPr>
      <w:r>
        <w:rPr>
          <w:rFonts w:ascii="Verdana" w:eastAsia="Times New Roman" w:hAnsi="Verdana" w:cs="Arial"/>
          <w:lang w:val="es-ES_tradnl" w:eastAsia="es-MX"/>
        </w:rPr>
        <w:t>En este sentido</w:t>
      </w:r>
      <w:r w:rsidRPr="00D31A78">
        <w:rPr>
          <w:rFonts w:ascii="Verdana" w:eastAsia="Times New Roman" w:hAnsi="Verdana" w:cs="Arial"/>
          <w:lang w:eastAsia="es-MX"/>
        </w:rPr>
        <w:t xml:space="preserve">, la vigilancia contractual se entiende como una </w:t>
      </w:r>
      <w:r w:rsidRPr="00D05606">
        <w:rPr>
          <w:rFonts w:ascii="Verdana" w:eastAsia="Times New Roman" w:hAnsi="Verdana" w:cs="Arial"/>
          <w:lang w:eastAsia="es-MX"/>
        </w:rPr>
        <w:t>función</w:t>
      </w:r>
      <w:r>
        <w:rPr>
          <w:rFonts w:ascii="Verdana" w:eastAsia="Times New Roman" w:hAnsi="Verdana" w:cs="Arial"/>
          <w:lang w:eastAsia="es-MX"/>
        </w:rPr>
        <w:t xml:space="preserve"> pública y con mayor precisión es el ejercicio de una función</w:t>
      </w:r>
      <w:r w:rsidRPr="00D05606">
        <w:rPr>
          <w:rFonts w:ascii="Verdana" w:eastAsia="Times New Roman" w:hAnsi="Verdana" w:cs="Arial"/>
          <w:lang w:eastAsia="es-MX"/>
        </w:rPr>
        <w:t xml:space="preserve"> administrativa</w:t>
      </w:r>
      <w:r w:rsidRPr="00D31A78">
        <w:rPr>
          <w:rFonts w:ascii="Verdana" w:eastAsia="Times New Roman" w:hAnsi="Verdana" w:cs="Arial"/>
          <w:lang w:eastAsia="es-MX"/>
        </w:rPr>
        <w:t xml:space="preserve"> en la medida en que comporta el ejercicio de prerrogativas públicas dirigidas a proteger el interés general, prevenir riesgos para el patrimonio público y garantizar la observancia de las obligaciones contractuales. La supervisión y la interventoría, ya sea ejercidas directamente por servidores públicos o delegadas en terceros, se insertan en el marco de la gestión contractual de la entidad y se desarrollan bajo parámetros normativos que delimitan su alcance, responsabilidades y deberes. Por ello, quien administra la adecuada y oportuna ejecución del contrato debe velar no solo por el cumplimiento de las obligaciones, sino por la ejecución en el tiempo y la forma convenidos, lo que reafirma su naturaleza como función pública ejercida en desarrollo de la función administrativa.</w:t>
      </w:r>
      <w:r>
        <w:rPr>
          <w:rFonts w:ascii="Verdana" w:eastAsia="Times New Roman" w:hAnsi="Verdana" w:cs="Arial"/>
          <w:lang w:eastAsia="es-MX"/>
        </w:rPr>
        <w:t xml:space="preserve"> </w:t>
      </w:r>
      <w:r w:rsidRPr="00E7254D">
        <w:rPr>
          <w:rFonts w:ascii="Verdana" w:eastAsia="Times New Roman" w:hAnsi="Verdana" w:cs="Arial"/>
          <w:lang w:val="es-ES"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w:t>
      </w:r>
      <w:r>
        <w:rPr>
          <w:rFonts w:ascii="Verdana" w:eastAsia="Times New Roman" w:hAnsi="Verdana" w:cs="Arial"/>
          <w:lang w:val="es-ES" w:eastAsia="es-MX"/>
        </w:rPr>
        <w:t>e</w:t>
      </w:r>
      <w:r w:rsidRPr="00E7254D">
        <w:rPr>
          <w:rFonts w:ascii="Verdana" w:eastAsia="Times New Roman" w:hAnsi="Verdana" w:cs="Arial"/>
          <w:lang w:val="es-ES" w:eastAsia="es-MX"/>
        </w:rPr>
        <w:t xml:space="preserve">ntidades </w:t>
      </w:r>
      <w:r>
        <w:rPr>
          <w:rFonts w:ascii="Verdana" w:eastAsia="Times New Roman" w:hAnsi="Verdana" w:cs="Arial"/>
          <w:lang w:val="es-ES" w:eastAsia="es-MX"/>
        </w:rPr>
        <w:t>e</w:t>
      </w:r>
      <w:r w:rsidRPr="00E7254D">
        <w:rPr>
          <w:rFonts w:ascii="Verdana" w:eastAsia="Times New Roman" w:hAnsi="Verdana" w:cs="Arial"/>
          <w:lang w:val="es-ES" w:eastAsia="es-MX"/>
        </w:rPr>
        <w:t xml:space="preserve">statales para vigilar el contrato, en estos términos: </w:t>
      </w:r>
    </w:p>
    <w:p w14:paraId="03A553E5" w14:textId="77777777" w:rsidR="008F6F28" w:rsidRPr="00E7254D" w:rsidRDefault="008F6F28" w:rsidP="008F6F28">
      <w:pPr>
        <w:spacing w:after="0" w:line="276" w:lineRule="auto"/>
        <w:ind w:left="720"/>
        <w:jc w:val="both"/>
        <w:textAlignment w:val="baseline"/>
        <w:rPr>
          <w:rFonts w:ascii="Verdana" w:eastAsia="Times New Roman" w:hAnsi="Verdana" w:cs="Arial"/>
          <w:lang w:val="es-ES_tradnl" w:eastAsia="es-MX"/>
        </w:rPr>
      </w:pPr>
    </w:p>
    <w:p w14:paraId="78903541" w14:textId="77777777" w:rsidR="008F6F28" w:rsidRDefault="008F6F28" w:rsidP="008F6F28">
      <w:pPr>
        <w:spacing w:after="0" w:line="240" w:lineRule="auto"/>
        <w:ind w:left="709" w:right="709"/>
        <w:jc w:val="both"/>
        <w:textAlignment w:val="baseline"/>
        <w:rPr>
          <w:rFonts w:ascii="Verdana" w:eastAsia="Times New Roman" w:hAnsi="Verdana" w:cs="Arial"/>
          <w:sz w:val="20"/>
          <w:szCs w:val="20"/>
          <w:lang w:val="es-ES" w:eastAsia="es-MX"/>
        </w:rPr>
      </w:pPr>
      <w:r w:rsidRPr="00624EEC">
        <w:rPr>
          <w:rFonts w:ascii="Verdana" w:eastAsia="Times New Roman" w:hAnsi="Verdana" w:cs="Arial"/>
          <w:sz w:val="20"/>
          <w:szCs w:val="20"/>
          <w:lang w:val="es-ES" w:eastAsia="es-MX"/>
        </w:rPr>
        <w:t xml:space="preserve">La supervisión consistirá en el seguimiento técnico, administrativo, financiero, contable, y jurídico </w:t>
      </w:r>
      <w:proofErr w:type="gramStart"/>
      <w:r w:rsidRPr="00624EEC">
        <w:rPr>
          <w:rFonts w:ascii="Verdana" w:eastAsia="Times New Roman" w:hAnsi="Verdana" w:cs="Arial"/>
          <w:sz w:val="20"/>
          <w:szCs w:val="20"/>
          <w:lang w:val="es-ES" w:eastAsia="es-MX"/>
        </w:rPr>
        <w:t>que</w:t>
      </w:r>
      <w:proofErr w:type="gramEnd"/>
      <w:r w:rsidRPr="00624EEC">
        <w:rPr>
          <w:rFonts w:ascii="Verdana" w:eastAsia="Times New Roman" w:hAnsi="Verdana" w:cs="Arial"/>
          <w:sz w:val="20"/>
          <w:szCs w:val="20"/>
          <w:lang w:val="es-ES" w:eastAsia="es-MX"/>
        </w:rPr>
        <w:t xml:space="preserve"> sobre el cumplimiento del objeto del contrato, es ejercida por la misma entidad estatal cuando no requieran </w:t>
      </w:r>
      <w:r w:rsidRPr="005B2B49">
        <w:rPr>
          <w:rFonts w:ascii="Verdana" w:eastAsia="Times New Roman" w:hAnsi="Verdana" w:cs="Arial"/>
          <w:sz w:val="20"/>
          <w:szCs w:val="20"/>
          <w:lang w:val="es-ES" w:eastAsia="es-MX"/>
        </w:rPr>
        <w:t>conocimientos especializados.</w:t>
      </w:r>
      <w:r w:rsidRPr="00624EEC">
        <w:rPr>
          <w:rFonts w:ascii="Verdana" w:eastAsia="Times New Roman" w:hAnsi="Verdana" w:cs="Arial"/>
          <w:sz w:val="20"/>
          <w:szCs w:val="20"/>
          <w:lang w:val="es-ES" w:eastAsia="es-MX"/>
        </w:rPr>
        <w:t xml:space="preserve"> Para la supervisión, la entidad estatal podrá contratar personal de apoyo, a través de los contratos de prestación de servicio que sean requeridos.</w:t>
      </w:r>
    </w:p>
    <w:p w14:paraId="4F58003D" w14:textId="77777777" w:rsidR="008F6F28" w:rsidRPr="00624EEC" w:rsidRDefault="008F6F28" w:rsidP="008F6F28">
      <w:pPr>
        <w:spacing w:after="0" w:line="240" w:lineRule="auto"/>
        <w:ind w:left="709" w:right="709"/>
        <w:jc w:val="both"/>
        <w:textAlignment w:val="baseline"/>
        <w:rPr>
          <w:rFonts w:ascii="Verdana" w:eastAsia="Times New Roman" w:hAnsi="Verdana" w:cs="Arial"/>
          <w:sz w:val="20"/>
          <w:szCs w:val="20"/>
          <w:lang w:val="es-ES" w:eastAsia="es-MX"/>
        </w:rPr>
      </w:pPr>
    </w:p>
    <w:p w14:paraId="7E0E0749" w14:textId="77777777" w:rsidR="008F6F28" w:rsidRPr="00624EEC" w:rsidRDefault="008F6F28" w:rsidP="008F6F28">
      <w:pPr>
        <w:spacing w:after="0" w:line="240" w:lineRule="auto"/>
        <w:ind w:left="709" w:right="709"/>
        <w:jc w:val="both"/>
        <w:textAlignment w:val="baseline"/>
        <w:rPr>
          <w:rFonts w:ascii="Verdana" w:eastAsia="Times New Roman" w:hAnsi="Verdana" w:cs="Arial"/>
          <w:sz w:val="20"/>
          <w:szCs w:val="20"/>
          <w:lang w:val="es-ES" w:eastAsia="es-MX"/>
        </w:rPr>
      </w:pPr>
      <w:r w:rsidRPr="00624EEC">
        <w:rPr>
          <w:rFonts w:ascii="Verdana" w:eastAsia="Times New Roman" w:hAnsi="Verdana" w:cs="Arial"/>
          <w:sz w:val="20"/>
          <w:szCs w:val="20"/>
          <w:lang w:val="es-ES" w:eastAsia="es-MX"/>
        </w:rPr>
        <w:t xml:space="preserve">La interventoría consistirá en el seguimiento técnico que sobre el cumplimiento del contrato realice una persona natural o jurídica </w:t>
      </w:r>
      <w:r w:rsidRPr="00624EEC">
        <w:rPr>
          <w:rFonts w:ascii="Verdana" w:eastAsia="Times New Roman" w:hAnsi="Verdana" w:cs="Arial"/>
          <w:sz w:val="20"/>
          <w:szCs w:val="20"/>
          <w:lang w:val="es-ES" w:eastAsia="es-MX"/>
        </w:rPr>
        <w:lastRenderedPageBreak/>
        <w:t xml:space="preserve">contratada para tal fin por la entidad estatal, cuando el seguimiento del contrato suponga conocimiento especializado en la materia, o cuando la complejidad o la extensión </w:t>
      </w:r>
      <w:proofErr w:type="gramStart"/>
      <w:r w:rsidRPr="00624EEC">
        <w:rPr>
          <w:rFonts w:ascii="Verdana" w:eastAsia="Times New Roman" w:hAnsi="Verdana" w:cs="Arial"/>
          <w:sz w:val="20"/>
          <w:szCs w:val="20"/>
          <w:lang w:val="es-ES" w:eastAsia="es-MX"/>
        </w:rPr>
        <w:t>del mismo</w:t>
      </w:r>
      <w:proofErr w:type="gramEnd"/>
      <w:r w:rsidRPr="00624EEC">
        <w:rPr>
          <w:rFonts w:ascii="Verdana" w:eastAsia="Times New Roman" w:hAnsi="Verdana" w:cs="Arial"/>
          <w:sz w:val="20"/>
          <w:szCs w:val="20"/>
          <w:lang w:val="es-ES" w:eastAsia="es-MX"/>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00624EEC">
        <w:rPr>
          <w:rFonts w:ascii="Verdana" w:eastAsia="Times New Roman" w:hAnsi="Verdana" w:cs="Arial"/>
          <w:sz w:val="20"/>
          <w:szCs w:val="20"/>
          <w:vertAlign w:val="superscript"/>
          <w:lang w:val="es-ES" w:eastAsia="es-MX"/>
        </w:rPr>
        <w:footnoteReference w:id="24"/>
      </w:r>
      <w:r w:rsidRPr="00624EEC">
        <w:rPr>
          <w:rFonts w:ascii="Verdana" w:eastAsia="Times New Roman" w:hAnsi="Verdana" w:cs="Arial"/>
          <w:sz w:val="20"/>
          <w:szCs w:val="20"/>
          <w:lang w:val="es-ES" w:eastAsia="es-MX"/>
        </w:rPr>
        <w:t>.</w:t>
      </w:r>
    </w:p>
    <w:p w14:paraId="7B3A87A2" w14:textId="77777777" w:rsidR="008F6F28" w:rsidRPr="00E7254D" w:rsidRDefault="008F6F28" w:rsidP="008F6F28">
      <w:pPr>
        <w:spacing w:after="0" w:line="276" w:lineRule="auto"/>
        <w:ind w:left="720"/>
        <w:contextualSpacing/>
        <w:jc w:val="both"/>
        <w:textAlignment w:val="baseline"/>
        <w:rPr>
          <w:rFonts w:ascii="Verdana" w:eastAsia="Times New Roman" w:hAnsi="Verdana" w:cs="Arial"/>
          <w:lang w:val="es-ES" w:eastAsia="es-MX"/>
        </w:rPr>
      </w:pPr>
    </w:p>
    <w:p w14:paraId="0F724578" w14:textId="77777777" w:rsidR="008F6F28" w:rsidRPr="00E7254D" w:rsidRDefault="008F6F28" w:rsidP="008F6F28">
      <w:pPr>
        <w:spacing w:after="120" w:line="276" w:lineRule="auto"/>
        <w:ind w:firstLine="709"/>
        <w:jc w:val="both"/>
        <w:rPr>
          <w:rFonts w:ascii="Verdana" w:eastAsia="Times New Roman" w:hAnsi="Verdana" w:cs="Arial"/>
          <w:shd w:val="clear" w:color="auto" w:fill="FFFFFF"/>
          <w:lang w:val="es-ES"/>
        </w:rPr>
      </w:pPr>
      <w:r w:rsidRPr="00E7254D">
        <w:rPr>
          <w:rFonts w:ascii="Verdana" w:eastAsia="Times New Roman" w:hAnsi="Verdana" w:cs="Arial"/>
          <w:bCs/>
          <w:lang w:val="es-ES"/>
        </w:rPr>
        <w:t>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E7254D">
        <w:rPr>
          <w:rFonts w:ascii="Verdana" w:eastAsia="Times New Roman" w:hAnsi="Verdana" w:cs="Arial"/>
          <w:bCs/>
          <w:vertAlign w:val="superscript"/>
          <w:lang w:val="es-ES"/>
        </w:rPr>
        <w:footnoteReference w:id="25"/>
      </w:r>
      <w:r w:rsidRPr="00E7254D">
        <w:rPr>
          <w:rFonts w:ascii="Verdana" w:eastAsia="Times New Roman" w:hAnsi="Verdana" w:cs="Arial"/>
          <w:bCs/>
          <w:lang w:val="es-ES"/>
        </w:rPr>
        <w:t xml:space="preserve">–; </w:t>
      </w:r>
      <w:proofErr w:type="spellStart"/>
      <w:r w:rsidRPr="00E7254D">
        <w:rPr>
          <w:rFonts w:ascii="Verdana" w:eastAsia="Times New Roman" w:hAnsi="Verdana" w:cs="Arial"/>
          <w:bCs/>
          <w:lang w:val="es-ES"/>
        </w:rPr>
        <w:t>ii</w:t>
      </w:r>
      <w:proofErr w:type="spellEnd"/>
      <w:r w:rsidRPr="00E7254D">
        <w:rPr>
          <w:rFonts w:ascii="Verdana" w:eastAsia="Times New Roman" w:hAnsi="Verdana" w:cs="Arial"/>
          <w:bCs/>
          <w:lang w:val="es-ES"/>
        </w:rPr>
        <w:t xml:space="preserve">) no requiere conocimientos tan especializados como la interventoría; </w:t>
      </w:r>
      <w:proofErr w:type="spellStart"/>
      <w:r w:rsidRPr="00E7254D">
        <w:rPr>
          <w:rFonts w:ascii="Verdana" w:eastAsia="Times New Roman" w:hAnsi="Verdana" w:cs="Arial"/>
          <w:bCs/>
          <w:lang w:val="es-ES"/>
        </w:rPr>
        <w:t>iii</w:t>
      </w:r>
      <w:proofErr w:type="spellEnd"/>
      <w:r w:rsidRPr="00E7254D">
        <w:rPr>
          <w:rFonts w:ascii="Verdana" w:eastAsia="Times New Roman" w:hAnsi="Verdana" w:cs="Arial"/>
          <w:bCs/>
          <w:lang w:val="es-ES"/>
        </w:rPr>
        <w:t xml:space="preserve">) se ejerce por la Entidad Estatal por conducto de la designación de servidores públicos idóneos para cumplir la función; </w:t>
      </w:r>
      <w:proofErr w:type="spellStart"/>
      <w:r w:rsidRPr="00E7254D">
        <w:rPr>
          <w:rFonts w:ascii="Verdana" w:eastAsia="Times New Roman" w:hAnsi="Verdana" w:cs="Arial"/>
          <w:bCs/>
          <w:lang w:val="es-ES"/>
        </w:rPr>
        <w:t>iv</w:t>
      </w:r>
      <w:proofErr w:type="spellEnd"/>
      <w:r w:rsidRPr="00E7254D">
        <w:rPr>
          <w:rFonts w:ascii="Verdana" w:eastAsia="Times New Roman" w:hAnsi="Verdana" w:cs="Arial"/>
          <w:bCs/>
          <w:lang w:val="es-ES"/>
        </w:rPr>
        <w:t>) puede recibir apoyo de personal contratado para tal fin mediante contratos de prestación de servicios; y v) le es inseparable el seguimiento técnico, administrativo, financiero, contable y jurídico del contrato vigilado.</w:t>
      </w:r>
    </w:p>
    <w:p w14:paraId="2DDFCA90" w14:textId="77777777" w:rsidR="008F6F28" w:rsidRDefault="008F6F28" w:rsidP="008F6F28">
      <w:pPr>
        <w:spacing w:after="120" w:line="276" w:lineRule="auto"/>
        <w:jc w:val="both"/>
        <w:rPr>
          <w:rFonts w:ascii="Verdana" w:eastAsia="Aptos" w:hAnsi="Verdana" w:cs="Arial"/>
          <w:bCs/>
        </w:rPr>
      </w:pPr>
      <w:r w:rsidRPr="00E7254D">
        <w:rPr>
          <w:rFonts w:ascii="Verdana" w:eastAsia="Aptos" w:hAnsi="Verdana" w:cs="Arial"/>
          <w:bCs/>
          <w:lang w:val="es-ES"/>
        </w:rPr>
        <w:tab/>
        <w:t xml:space="preserve">Por otro lado, </w:t>
      </w:r>
      <w:r w:rsidRPr="00E7254D">
        <w:rPr>
          <w:rFonts w:ascii="Verdana" w:eastAsia="Aptos" w:hAnsi="Verdana" w:cs="Arial"/>
          <w:bCs/>
        </w:rPr>
        <w:t xml:space="preserve">la interventoría puede caracterizarse de la siguiente manera: i) es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w:t>
      </w:r>
      <w:proofErr w:type="spellStart"/>
      <w:r w:rsidRPr="00E7254D">
        <w:rPr>
          <w:rFonts w:ascii="Verdana" w:eastAsia="Aptos" w:hAnsi="Verdana" w:cs="Arial"/>
          <w:bCs/>
        </w:rPr>
        <w:t>ii</w:t>
      </w:r>
      <w:proofErr w:type="spellEnd"/>
      <w:r w:rsidRPr="00E7254D">
        <w:rPr>
          <w:rFonts w:ascii="Verdana" w:eastAsia="Aptos" w:hAnsi="Verdana" w:cs="Arial"/>
          <w:bCs/>
        </w:rPr>
        <w:t xml:space="preserve">) es un mecanismo de vigilancia que exige, en su ejecución, la </w:t>
      </w:r>
      <w:r w:rsidRPr="00337394">
        <w:rPr>
          <w:rFonts w:ascii="Verdana" w:eastAsia="Aptos" w:hAnsi="Verdana" w:cs="Arial"/>
          <w:bCs/>
        </w:rPr>
        <w:t xml:space="preserve">utilización de conocimientos especializados; </w:t>
      </w:r>
      <w:proofErr w:type="spellStart"/>
      <w:r w:rsidRPr="00337394">
        <w:rPr>
          <w:rFonts w:ascii="Verdana" w:eastAsia="Aptos" w:hAnsi="Verdana" w:cs="Arial"/>
          <w:bCs/>
        </w:rPr>
        <w:t>iii</w:t>
      </w:r>
      <w:proofErr w:type="spellEnd"/>
      <w:r w:rsidRPr="00337394">
        <w:rPr>
          <w:rFonts w:ascii="Verdana" w:eastAsia="Aptos" w:hAnsi="Verdana" w:cs="Arial"/>
          <w:bCs/>
        </w:rPr>
        <w:t>) por lo anterior, la entidad contrata un experto, por regla general, mediante la modalidad de selección de concurso de méritos, al tratarse la interventoría de una especie del contrato de consultoría –art. 32, numeral 2, inciso 2, Ley 80 de 1993</w:t>
      </w:r>
      <w:r w:rsidRPr="00337394">
        <w:rPr>
          <w:rFonts w:ascii="Verdana" w:eastAsia="Aptos" w:hAnsi="Verdana" w:cs="Times New Roman"/>
          <w:kern w:val="2"/>
          <w:vertAlign w:val="superscript"/>
          <w14:ligatures w14:val="standardContextual"/>
        </w:rPr>
        <w:footnoteReference w:id="26"/>
      </w:r>
      <w:r w:rsidRPr="00337394">
        <w:rPr>
          <w:rFonts w:ascii="Verdana" w:eastAsia="Aptos" w:hAnsi="Verdana" w:cs="Arial"/>
          <w:bCs/>
        </w:rPr>
        <w:t xml:space="preserve">‒, de manera que la interventoría es realizada por “una persona natural o jurídica contratada para tal fin por la Entidad Estatal” –art. 83, Ley 1474–; </w:t>
      </w:r>
      <w:proofErr w:type="spellStart"/>
      <w:r w:rsidRPr="00337394">
        <w:rPr>
          <w:rFonts w:ascii="Verdana" w:eastAsia="Aptos" w:hAnsi="Verdana" w:cs="Arial"/>
          <w:bCs/>
        </w:rPr>
        <w:t>iv</w:t>
      </w:r>
      <w:proofErr w:type="spellEnd"/>
      <w:r w:rsidRPr="00337394">
        <w:rPr>
          <w:rFonts w:ascii="Verdana" w:eastAsia="Aptos" w:hAnsi="Verdana" w:cs="Arial"/>
          <w:bCs/>
        </w:rPr>
        <w:t xml:space="preserve">) le es inherente el seguimiento </w:t>
      </w:r>
      <w:r w:rsidRPr="00337394">
        <w:rPr>
          <w:rFonts w:ascii="Verdana" w:eastAsia="Aptos" w:hAnsi="Verdana" w:cs="Arial"/>
          <w:bCs/>
        </w:rPr>
        <w:lastRenderedPageBreak/>
        <w:t>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4–, y finalmente, vi) el contrato de interventoría será supervisado directamente por la entidad –art. 83, inciso 4–.</w:t>
      </w:r>
    </w:p>
    <w:p w14:paraId="7D6AB21A" w14:textId="77777777" w:rsidR="008F6F28" w:rsidRDefault="008F6F28" w:rsidP="008F6F28">
      <w:pPr>
        <w:widowControl w:val="0"/>
        <w:autoSpaceDE w:val="0"/>
        <w:autoSpaceDN w:val="0"/>
        <w:spacing w:after="120" w:line="276" w:lineRule="auto"/>
        <w:ind w:firstLine="709"/>
        <w:jc w:val="both"/>
        <w:rPr>
          <w:rFonts w:ascii="Verdana" w:eastAsia="Arial MT" w:hAnsi="Verdana" w:cs="Arial"/>
          <w:color w:val="000000" w:themeColor="text1"/>
          <w:lang w:val="es-MX"/>
        </w:rPr>
      </w:pPr>
      <w:r>
        <w:rPr>
          <w:rFonts w:ascii="Verdana" w:eastAsia="Arial MT" w:hAnsi="Verdana" w:cs="Arial"/>
          <w:color w:val="000000" w:themeColor="text1"/>
          <w:lang w:val="es-MX"/>
        </w:rPr>
        <w:t xml:space="preserve">Aquí cobra importancia </w:t>
      </w:r>
      <w:r w:rsidRPr="005B2B49">
        <w:rPr>
          <w:rFonts w:ascii="Verdana" w:eastAsia="Arial MT" w:hAnsi="Verdana" w:cs="Arial"/>
          <w:color w:val="000000" w:themeColor="text1"/>
          <w:lang w:val="es-MX"/>
        </w:rPr>
        <w:t>la metodología para el ejercicio de la supervisión e interventoría, la cual usualmente se formaliza mediante manuales</w:t>
      </w:r>
      <w:r>
        <w:rPr>
          <w:rFonts w:ascii="Verdana" w:eastAsia="Arial MT" w:hAnsi="Verdana" w:cs="Arial"/>
          <w:color w:val="000000" w:themeColor="text1"/>
          <w:lang w:val="es-MX"/>
        </w:rPr>
        <w:t xml:space="preserve"> que expiden las entidades públicas, que estandarizan las condiciones de control y vigilancia. Además, de la habilitación del artículo 84 del Estatuto Anticorrupción para solicitar</w:t>
      </w:r>
      <w:r w:rsidRPr="00445243">
        <w:rPr>
          <w:rFonts w:ascii="Verdana" w:eastAsia="Arial MT" w:hAnsi="Verdana" w:cs="Arial"/>
          <w:color w:val="000000" w:themeColor="text1"/>
          <w:lang w:val="es-MX"/>
        </w:rPr>
        <w:t xml:space="preserve"> informes, aclaraciones y explicaciones sobre el desarrollo de la ejecución contractual</w:t>
      </w:r>
      <w:r>
        <w:rPr>
          <w:rFonts w:ascii="Verdana" w:eastAsia="Arial MT" w:hAnsi="Verdana" w:cs="Arial"/>
          <w:color w:val="000000" w:themeColor="text1"/>
          <w:lang w:val="es-MX"/>
        </w:rPr>
        <w:t xml:space="preserve">, dichos manuales desarrollan procedimientos internos para desarrollo de estas actividades. Estos últimos sujetan al contratista vigilado, ya que existe un nexo </w:t>
      </w:r>
      <w:r w:rsidRPr="00445243">
        <w:rPr>
          <w:rFonts w:ascii="Verdana" w:eastAsia="Arial MT" w:hAnsi="Verdana" w:cs="Arial"/>
          <w:color w:val="000000" w:themeColor="text1"/>
          <w:lang w:val="es-MX"/>
        </w:rPr>
        <w:t>inescindible</w:t>
      </w:r>
      <w:r>
        <w:rPr>
          <w:rFonts w:ascii="Verdana" w:eastAsia="Arial MT" w:hAnsi="Verdana" w:cs="Arial"/>
          <w:color w:val="000000" w:themeColor="text1"/>
          <w:lang w:val="es-MX"/>
        </w:rPr>
        <w:t xml:space="preserve"> entre las obligaciones ejecutadas y el control sobre su efectivo cumplimiento. Sumado a lo anterior, tratándose de la interventoría, el contrato también delimita criterios adicionales para verificar el avance de las obras o la prestación de los servicios de acuerdo con la complejidad del objeto. Éstos últimos también sujetan al contratista vigilado, pues tiene la obligación de acatar las directrices derivadas del ejercicio de la potestad de control.  </w:t>
      </w:r>
    </w:p>
    <w:p w14:paraId="013F8DB4" w14:textId="77777777" w:rsidR="008F6F28" w:rsidRPr="00656EF5" w:rsidRDefault="008F6F28" w:rsidP="008F6F28">
      <w:pPr>
        <w:widowControl w:val="0"/>
        <w:autoSpaceDE w:val="0"/>
        <w:autoSpaceDN w:val="0"/>
        <w:spacing w:after="120" w:line="276" w:lineRule="auto"/>
        <w:ind w:firstLine="709"/>
        <w:jc w:val="both"/>
        <w:rPr>
          <w:rFonts w:ascii="Verdana" w:eastAsia="Arial MT" w:hAnsi="Verdana" w:cs="Arial"/>
          <w:color w:val="000000" w:themeColor="text1"/>
          <w:lang w:val="es-MX"/>
        </w:rPr>
      </w:pPr>
      <w:r>
        <w:rPr>
          <w:rFonts w:ascii="Verdana" w:eastAsia="Arial MT" w:hAnsi="Verdana" w:cs="Arial"/>
          <w:color w:val="000000" w:themeColor="text1"/>
          <w:lang w:val="es-MX"/>
        </w:rPr>
        <w:t xml:space="preserve">La vigilancia sobre el cumplimiento obligacional se somete a la ley, los manuales internos y las condiciones que establece la entidad tanto en el contrato de interventoría como en el contrato vigilado, criterios que debe acatar el contratista ejecutor de la obra o prestador del servicio, así como el supervisor de la interventoría y la entidad como responsable de la dirección y control. Como los mismos establecen los linderos de la potestad de control, no pueden adoptarse protocolos, requisitos o procedimientos ajenos al marco citado, por lo que no son oponibles al contratista salvo que medien modificaciones previas a los manuales expedidos y/o a los contratos suscritos. Estas actividades no implican </w:t>
      </w:r>
      <w:proofErr w:type="spellStart"/>
      <w:r>
        <w:rPr>
          <w:rFonts w:ascii="Verdana" w:eastAsia="Arial MT" w:hAnsi="Verdana" w:cs="Arial"/>
          <w:color w:val="000000" w:themeColor="text1"/>
          <w:lang w:val="es-MX"/>
        </w:rPr>
        <w:t>coejecución</w:t>
      </w:r>
      <w:proofErr w:type="spellEnd"/>
      <w:r>
        <w:rPr>
          <w:rFonts w:ascii="Verdana" w:eastAsia="Arial MT" w:hAnsi="Verdana" w:cs="Arial"/>
          <w:color w:val="000000" w:themeColor="text1"/>
          <w:lang w:val="es-MX"/>
        </w:rPr>
        <w:t xml:space="preserve"> por las razones expuestas </w:t>
      </w:r>
      <w:r w:rsidRPr="0046041F">
        <w:rPr>
          <w:rFonts w:ascii="Verdana" w:eastAsia="Arial MT" w:hAnsi="Verdana" w:cs="Arial"/>
          <w:i/>
          <w:iCs/>
          <w:color w:val="000000" w:themeColor="text1"/>
          <w:lang w:val="es-MX"/>
        </w:rPr>
        <w:t>ut supra</w:t>
      </w:r>
      <w:r>
        <w:rPr>
          <w:rFonts w:ascii="Verdana" w:eastAsia="Arial MT" w:hAnsi="Verdana" w:cs="Arial"/>
          <w:color w:val="000000" w:themeColor="text1"/>
          <w:lang w:val="es-MX"/>
        </w:rPr>
        <w:t xml:space="preserve">, y las modificaciones sobre la forma de validar el cumplimiento no dan lugar a reconocimientos económicos adicionales, a menos que impliquen mayores costos para el </w:t>
      </w:r>
      <w:r>
        <w:rPr>
          <w:rFonts w:ascii="Verdana" w:eastAsia="Arial MT" w:hAnsi="Verdana" w:cs="Arial"/>
          <w:color w:val="000000" w:themeColor="text1"/>
          <w:lang w:val="es-MX"/>
        </w:rPr>
        <w:lastRenderedPageBreak/>
        <w:t xml:space="preserve">contratista. </w:t>
      </w:r>
    </w:p>
    <w:p w14:paraId="7E2BE869" w14:textId="77777777" w:rsidR="008F6F28" w:rsidRPr="00E611A1" w:rsidRDefault="008F6F28" w:rsidP="008F6F28">
      <w:pPr>
        <w:widowControl w:val="0"/>
        <w:autoSpaceDE w:val="0"/>
        <w:autoSpaceDN w:val="0"/>
        <w:spacing w:after="120" w:line="276" w:lineRule="auto"/>
        <w:ind w:firstLine="709"/>
        <w:jc w:val="both"/>
        <w:rPr>
          <w:rFonts w:ascii="Verdana" w:eastAsia="Arial MT" w:hAnsi="Verdana" w:cs="Arial"/>
          <w:color w:val="000000" w:themeColor="text1"/>
          <w:lang w:val="es-ES"/>
        </w:rPr>
      </w:pPr>
      <w:r w:rsidRPr="00FE58B5">
        <w:rPr>
          <w:rFonts w:ascii="Verdana" w:eastAsia="Arial MT" w:hAnsi="Verdana" w:cs="Arial"/>
          <w:color w:val="000000" w:themeColor="text1"/>
        </w:rPr>
        <w:t>Frente a situaciones de extralimitación en el ejercicio de la actividad contractual, los artículos 50, 51 y 52 de la Ley 80 de 1993 consagran el régimen de responsabilidad que recae sobre las entidades estatales, sus servidores públicos y los contratistas. La valoración y determinación de dicha responsabilidad corresponde a las autoridades competentes, las cuales deberán efectuar el análisis respectivo atendiendo las circunstancias y particularidades del caso concreto.</w:t>
      </w:r>
      <w:r>
        <w:rPr>
          <w:rFonts w:ascii="Verdana" w:eastAsia="Arial MT" w:hAnsi="Verdana" w:cs="Arial"/>
          <w:color w:val="000000" w:themeColor="text1"/>
          <w:lang w:val="es-ES"/>
        </w:rPr>
        <w:t xml:space="preserve"> </w:t>
      </w:r>
      <w:r>
        <w:rPr>
          <w:rFonts w:ascii="Verdana" w:eastAsia="Arial MT" w:hAnsi="Verdana" w:cs="Arial"/>
          <w:color w:val="000000" w:themeColor="text1"/>
          <w:lang w:val="es-MX"/>
        </w:rPr>
        <w:t xml:space="preserve">Para delimitar la frontera entre la vigilancia y el contrato vigilado, es necesario tener en cuenta que es al contratista a quien le corresponde la ejecución material del objeto contratado. Este último se sujeta a la potestad de control que ejerce la entidad estatal, bien a través de sus propios funcionarios –supervisión– o a través de terceros –interventoría–. Por tanto, dado que el contratista es sujeto de la vigilancia sobre el cumplimiento de las obligaciones, éste se somete al control de los supervisores o interventores, según corresponda. </w:t>
      </w:r>
    </w:p>
    <w:p w14:paraId="758002EC" w14:textId="77777777" w:rsidR="008F6F28" w:rsidRDefault="008F6F28" w:rsidP="008F6F28">
      <w:pPr>
        <w:widowControl w:val="0"/>
        <w:autoSpaceDE w:val="0"/>
        <w:autoSpaceDN w:val="0"/>
        <w:spacing w:after="120" w:line="276" w:lineRule="auto"/>
        <w:ind w:firstLine="709"/>
        <w:jc w:val="both"/>
        <w:rPr>
          <w:rFonts w:ascii="Verdana" w:eastAsia="Arial MT" w:hAnsi="Verdana" w:cs="Arial"/>
          <w:color w:val="000000" w:themeColor="text1"/>
          <w:lang w:val="es-MX"/>
        </w:rPr>
      </w:pPr>
      <w:r>
        <w:rPr>
          <w:rFonts w:ascii="Verdana" w:eastAsia="Arial MT" w:hAnsi="Verdana" w:cs="Arial"/>
          <w:color w:val="000000" w:themeColor="text1"/>
          <w:lang w:val="es-MX"/>
        </w:rPr>
        <w:t>Para RINCÓN CÓRDOBA, la supervisión o la interventoría</w:t>
      </w:r>
      <w:r w:rsidRPr="006F024A">
        <w:rPr>
          <w:rFonts w:ascii="Verdana" w:eastAsia="Arial MT" w:hAnsi="Verdana" w:cs="Arial"/>
          <w:color w:val="000000" w:themeColor="text1"/>
          <w:lang w:val="es-MX"/>
        </w:rPr>
        <w:t xml:space="preserve"> constituye una actividad estrechamente vinculada al contrato objeto de vigilancia, cuya finalidad es garantizar que las obligaciones contractuales se ejecuten conforme a lo pactado. Aunque el incumplimiento del contratista no implica, </w:t>
      </w:r>
      <w:r w:rsidRPr="006F024A">
        <w:rPr>
          <w:rFonts w:ascii="Verdana" w:eastAsia="Arial MT" w:hAnsi="Verdana" w:cs="Arial"/>
          <w:i/>
          <w:iCs/>
          <w:color w:val="000000" w:themeColor="text1"/>
          <w:lang w:val="es-MX"/>
        </w:rPr>
        <w:t>per se</w:t>
      </w:r>
      <w:r w:rsidRPr="006F024A">
        <w:rPr>
          <w:rFonts w:ascii="Verdana" w:eastAsia="Arial MT" w:hAnsi="Verdana" w:cs="Arial"/>
          <w:color w:val="000000" w:themeColor="text1"/>
          <w:lang w:val="es-MX"/>
        </w:rPr>
        <w:t>, responsabilidad del interventor o supervisor</w:t>
      </w:r>
      <w:r>
        <w:rPr>
          <w:rFonts w:ascii="Verdana" w:eastAsia="Arial MT" w:hAnsi="Verdana" w:cs="Arial"/>
          <w:color w:val="000000" w:themeColor="text1"/>
          <w:lang w:val="es-MX"/>
        </w:rPr>
        <w:t xml:space="preserve">, ésta </w:t>
      </w:r>
      <w:r w:rsidRPr="006F024A">
        <w:rPr>
          <w:rFonts w:ascii="Verdana" w:eastAsia="Arial MT" w:hAnsi="Verdana" w:cs="Arial"/>
          <w:color w:val="000000" w:themeColor="text1"/>
          <w:lang w:val="es-MX"/>
        </w:rPr>
        <w:t xml:space="preserve">surge </w:t>
      </w:r>
      <w:r>
        <w:rPr>
          <w:rFonts w:ascii="Verdana" w:eastAsia="Arial MT" w:hAnsi="Verdana" w:cs="Arial"/>
          <w:color w:val="000000" w:themeColor="text1"/>
          <w:lang w:val="es-MX"/>
        </w:rPr>
        <w:t>si</w:t>
      </w:r>
      <w:r w:rsidRPr="006F024A">
        <w:rPr>
          <w:rFonts w:ascii="Verdana" w:eastAsia="Arial MT" w:hAnsi="Verdana" w:cs="Arial"/>
          <w:color w:val="000000" w:themeColor="text1"/>
          <w:lang w:val="es-MX"/>
        </w:rPr>
        <w:t xml:space="preserve"> omite</w:t>
      </w:r>
      <w:r>
        <w:rPr>
          <w:rFonts w:ascii="Verdana" w:eastAsia="Arial MT" w:hAnsi="Verdana" w:cs="Arial"/>
          <w:color w:val="000000" w:themeColor="text1"/>
          <w:lang w:val="es-MX"/>
        </w:rPr>
        <w:t>n</w:t>
      </w:r>
      <w:r w:rsidRPr="006F024A">
        <w:rPr>
          <w:rFonts w:ascii="Verdana" w:eastAsia="Arial MT" w:hAnsi="Verdana" w:cs="Arial"/>
          <w:color w:val="000000" w:themeColor="text1"/>
          <w:lang w:val="es-MX"/>
        </w:rPr>
        <w:t xml:space="preserve"> advertir, informar o gestionar oportunamente las situaciones que puedan conducir </w:t>
      </w:r>
      <w:r>
        <w:rPr>
          <w:rFonts w:ascii="Verdana" w:eastAsia="Arial MT" w:hAnsi="Verdana" w:cs="Arial"/>
          <w:color w:val="000000" w:themeColor="text1"/>
          <w:lang w:val="es-MX"/>
        </w:rPr>
        <w:t>al incumplimiento</w:t>
      </w:r>
      <w:r w:rsidRPr="006F024A">
        <w:rPr>
          <w:rFonts w:ascii="Verdana" w:eastAsia="Arial MT" w:hAnsi="Verdana" w:cs="Arial"/>
          <w:color w:val="000000" w:themeColor="text1"/>
          <w:lang w:val="es-MX"/>
        </w:rPr>
        <w:t>. En ejercicio de sus funciones, debe verificar que el objeto contractual se desarrolle dentro de los plazos previstos, con observancia de las especificaciones técnicas establecidas, así como asegurar la adecuada custodia, administración o entrega de bienes, obras o recursos cuando la naturaleza del contrato lo exija</w:t>
      </w:r>
      <w:r>
        <w:rPr>
          <w:rStyle w:val="Refdenotaalpie"/>
          <w:rFonts w:ascii="Verdana" w:eastAsia="Arial MT" w:hAnsi="Verdana" w:cs="Arial"/>
          <w:color w:val="000000" w:themeColor="text1"/>
          <w:lang w:val="es-MX"/>
        </w:rPr>
        <w:footnoteReference w:id="27"/>
      </w:r>
      <w:r w:rsidRPr="006F024A">
        <w:rPr>
          <w:rFonts w:ascii="Verdana" w:eastAsia="Arial MT" w:hAnsi="Verdana" w:cs="Arial"/>
          <w:color w:val="000000" w:themeColor="text1"/>
          <w:lang w:val="es-MX"/>
        </w:rPr>
        <w:t>.</w:t>
      </w:r>
    </w:p>
    <w:p w14:paraId="4AFD0A00" w14:textId="77777777" w:rsidR="008F6F28" w:rsidRDefault="008F6F28" w:rsidP="008F6F28">
      <w:pPr>
        <w:widowControl w:val="0"/>
        <w:autoSpaceDE w:val="0"/>
        <w:autoSpaceDN w:val="0"/>
        <w:spacing w:after="120" w:line="276" w:lineRule="auto"/>
        <w:jc w:val="both"/>
        <w:rPr>
          <w:rFonts w:ascii="Verdana" w:eastAsia="Arial MT" w:hAnsi="Verdana" w:cs="Arial"/>
          <w:color w:val="000000" w:themeColor="text1"/>
          <w:lang w:val="es-MX"/>
        </w:rPr>
      </w:pPr>
      <w:r>
        <w:rPr>
          <w:rFonts w:ascii="Verdana" w:eastAsia="Arial MT" w:hAnsi="Verdana" w:cs="Arial"/>
          <w:color w:val="000000" w:themeColor="text1"/>
          <w:lang w:val="es-MX"/>
        </w:rPr>
        <w:tab/>
        <w:t>El mismo autor agrega que</w:t>
      </w:r>
      <w:r w:rsidRPr="00B807C9">
        <w:rPr>
          <w:rFonts w:ascii="Verdana" w:eastAsia="Arial MT" w:hAnsi="Verdana" w:cs="Arial"/>
          <w:color w:val="000000" w:themeColor="text1"/>
          <w:lang w:val="es-MX"/>
        </w:rPr>
        <w:t xml:space="preserve"> corresponde al interventor o supervisor identificar las causas de las irregularidades que se presenten durante la ejecución contractual, proponer y verificar la implementación de medidas correctivas, certificar el cumplimiento de las obligaciones para efectos de los pagos y, cuando exista incumplimiento, evaluar su gravedad y recomendar la imposición de las sanciones o la declaratoria de caducidad que resulten </w:t>
      </w:r>
      <w:r w:rsidRPr="00B807C9">
        <w:rPr>
          <w:rFonts w:ascii="Verdana" w:eastAsia="Arial MT" w:hAnsi="Verdana" w:cs="Arial"/>
          <w:color w:val="000000" w:themeColor="text1"/>
          <w:lang w:val="es-MX"/>
        </w:rPr>
        <w:lastRenderedPageBreak/>
        <w:t xml:space="preserve">procedentes. </w:t>
      </w:r>
      <w:r>
        <w:rPr>
          <w:rFonts w:ascii="Verdana" w:eastAsia="Arial MT" w:hAnsi="Verdana" w:cs="Arial"/>
          <w:color w:val="000000" w:themeColor="text1"/>
          <w:lang w:val="es-MX"/>
        </w:rPr>
        <w:t>Por lo demás</w:t>
      </w:r>
      <w:r w:rsidRPr="00B807C9">
        <w:rPr>
          <w:rFonts w:ascii="Verdana" w:eastAsia="Arial MT" w:hAnsi="Verdana" w:cs="Arial"/>
          <w:color w:val="000000" w:themeColor="text1"/>
          <w:lang w:val="es-MX"/>
        </w:rPr>
        <w:t>, debe rendir informes periódicos sobre el estado de ejecución del contrato, suministrar a la entidad los elementos de juicio necesarios para la adopción de decisiones administrativas o judiciales y ejercer la facultad de solicitar al contratista los informes, aclaraciones y explicaciones requeridos para garantizar un adecuado control de la ejecución contractual</w:t>
      </w:r>
      <w:r>
        <w:rPr>
          <w:rStyle w:val="Refdenotaalpie"/>
          <w:rFonts w:ascii="Verdana" w:eastAsia="Arial MT" w:hAnsi="Verdana" w:cs="Arial"/>
          <w:color w:val="000000" w:themeColor="text1"/>
          <w:lang w:val="es-MX"/>
        </w:rPr>
        <w:footnoteReference w:id="28"/>
      </w:r>
      <w:r w:rsidRPr="00B807C9">
        <w:rPr>
          <w:rFonts w:ascii="Verdana" w:eastAsia="Arial MT" w:hAnsi="Verdana" w:cs="Arial"/>
          <w:color w:val="000000" w:themeColor="text1"/>
          <w:lang w:val="es-MX"/>
        </w:rPr>
        <w:t>.</w:t>
      </w:r>
    </w:p>
    <w:p w14:paraId="68757BFD" w14:textId="77777777" w:rsidR="008F6F28" w:rsidRDefault="008F6F28" w:rsidP="008F6F28">
      <w:pPr>
        <w:spacing w:after="120" w:line="276" w:lineRule="auto"/>
        <w:ind w:firstLine="708"/>
        <w:jc w:val="both"/>
        <w:rPr>
          <w:rFonts w:ascii="Verdana" w:eastAsia="Aptos" w:hAnsi="Verdana" w:cs="Arial"/>
          <w:bCs/>
        </w:rPr>
      </w:pPr>
      <w:r>
        <w:rPr>
          <w:rFonts w:ascii="Verdana" w:eastAsia="Arial MT" w:hAnsi="Verdana" w:cs="Arial"/>
          <w:color w:val="000000" w:themeColor="text1"/>
          <w:lang w:val="es-MX"/>
        </w:rPr>
        <w:t xml:space="preserve">Como dispone el precitado artículo 83 del Estatuto Anticorrupción, el seguimiento de los supervisores e interventores corresponde al cumplimiento de las obligaciones pactadas en el contrato estatal, aspecto que se ratifica en el inciso primero del artículo 84 </w:t>
      </w:r>
      <w:r w:rsidRPr="00894572">
        <w:rPr>
          <w:rFonts w:ascii="Verdana" w:eastAsia="Arial MT" w:hAnsi="Verdana" w:cs="Arial"/>
          <w:i/>
          <w:iCs/>
          <w:color w:val="000000" w:themeColor="text1"/>
          <w:lang w:val="es-MX"/>
        </w:rPr>
        <w:t>ibidem</w:t>
      </w:r>
      <w:r>
        <w:rPr>
          <w:rFonts w:ascii="Verdana" w:eastAsia="Arial MT" w:hAnsi="Verdana" w:cs="Arial"/>
          <w:color w:val="000000" w:themeColor="text1"/>
          <w:lang w:val="es-MX"/>
        </w:rPr>
        <w:t>. En su fase técnica, esto implica tanto “V</w:t>
      </w:r>
      <w:r w:rsidRPr="004D03FA">
        <w:rPr>
          <w:rFonts w:ascii="Verdana" w:eastAsia="Arial MT" w:hAnsi="Verdana" w:cs="Arial"/>
          <w:color w:val="000000" w:themeColor="text1"/>
          <w:lang w:val="es-MX"/>
        </w:rPr>
        <w:t>igilar, controlar y verificar el cumplimiento del objeto contractual y las</w:t>
      </w:r>
      <w:r>
        <w:rPr>
          <w:rFonts w:ascii="Verdana" w:eastAsia="Arial MT" w:hAnsi="Verdana" w:cs="Arial"/>
          <w:color w:val="000000" w:themeColor="text1"/>
          <w:lang w:val="es-MX"/>
        </w:rPr>
        <w:t xml:space="preserve"> </w:t>
      </w:r>
      <w:r w:rsidRPr="004D03FA">
        <w:rPr>
          <w:rFonts w:ascii="Verdana" w:eastAsia="Arial MT" w:hAnsi="Verdana" w:cs="Arial"/>
          <w:color w:val="000000" w:themeColor="text1"/>
          <w:lang w:val="es-MX"/>
        </w:rPr>
        <w:t>obligaciones a cargo del contratista</w:t>
      </w:r>
      <w:r>
        <w:rPr>
          <w:rFonts w:ascii="Verdana" w:eastAsia="Arial MT" w:hAnsi="Verdana" w:cs="Arial"/>
          <w:color w:val="000000" w:themeColor="text1"/>
          <w:lang w:val="es-MX"/>
        </w:rPr>
        <w:t>”</w:t>
      </w:r>
      <w:r>
        <w:rPr>
          <w:rStyle w:val="Refdenotaalpie"/>
          <w:rFonts w:ascii="Verdana" w:eastAsia="Arial MT" w:hAnsi="Verdana" w:cs="Arial"/>
          <w:color w:val="000000" w:themeColor="text1"/>
          <w:lang w:val="es-MX"/>
        </w:rPr>
        <w:footnoteReference w:id="29"/>
      </w:r>
      <w:r>
        <w:rPr>
          <w:rFonts w:ascii="Verdana" w:eastAsia="Arial MT" w:hAnsi="Verdana" w:cs="Arial"/>
          <w:color w:val="000000" w:themeColor="text1"/>
          <w:lang w:val="es-MX"/>
        </w:rPr>
        <w:t xml:space="preserve"> como “</w:t>
      </w:r>
      <w:r w:rsidRPr="004D03FA">
        <w:rPr>
          <w:rFonts w:ascii="Verdana" w:eastAsia="Arial MT" w:hAnsi="Verdana" w:cs="Arial"/>
          <w:color w:val="000000" w:themeColor="text1"/>
          <w:lang w:val="es-MX"/>
        </w:rPr>
        <w:t xml:space="preserve">Verificar que las condiciones técnicas del bien, obra o servicio </w:t>
      </w:r>
      <w:proofErr w:type="gramStart"/>
      <w:r w:rsidRPr="004D03FA">
        <w:rPr>
          <w:rFonts w:ascii="Verdana" w:eastAsia="Arial MT" w:hAnsi="Verdana" w:cs="Arial"/>
          <w:color w:val="000000" w:themeColor="text1"/>
          <w:lang w:val="es-MX"/>
        </w:rPr>
        <w:t>contratado,</w:t>
      </w:r>
      <w:proofErr w:type="gramEnd"/>
      <w:r w:rsidRPr="004D03FA">
        <w:rPr>
          <w:rFonts w:ascii="Verdana" w:eastAsia="Arial MT" w:hAnsi="Verdana" w:cs="Arial"/>
          <w:color w:val="000000" w:themeColor="text1"/>
          <w:lang w:val="es-MX"/>
        </w:rPr>
        <w:t xml:space="preserve"> cumplan con los requisitos establecidos por la entidad y con el ofrecimiento formulado, según sea el caso</w:t>
      </w:r>
      <w:r>
        <w:rPr>
          <w:rFonts w:ascii="Verdana" w:eastAsia="Arial MT" w:hAnsi="Verdana" w:cs="Arial"/>
          <w:color w:val="000000" w:themeColor="text1"/>
          <w:lang w:val="es-MX"/>
        </w:rPr>
        <w:t>”</w:t>
      </w:r>
      <w:r>
        <w:rPr>
          <w:rStyle w:val="Refdenotaalpie"/>
          <w:rFonts w:ascii="Verdana" w:eastAsia="Arial MT" w:hAnsi="Verdana" w:cs="Arial"/>
          <w:color w:val="000000" w:themeColor="text1"/>
          <w:lang w:val="es-MX"/>
        </w:rPr>
        <w:footnoteReference w:id="30"/>
      </w:r>
      <w:r w:rsidRPr="004D03FA">
        <w:rPr>
          <w:rFonts w:ascii="Verdana" w:eastAsia="Arial MT" w:hAnsi="Verdana" w:cs="Arial"/>
          <w:color w:val="000000" w:themeColor="text1"/>
          <w:lang w:val="es-MX"/>
        </w:rPr>
        <w:t>.</w:t>
      </w:r>
      <w:r>
        <w:rPr>
          <w:rFonts w:ascii="Verdana" w:eastAsia="Arial MT" w:hAnsi="Verdana" w:cs="Arial"/>
          <w:color w:val="000000" w:themeColor="text1"/>
          <w:lang w:val="es-MX"/>
        </w:rPr>
        <w:t xml:space="preserve"> Así, la verificación del cumplimiento se realiza dentro las exigencias pactadas entre la entidad estatal y el contratista; razón por la cual, pueden abstenerse de recibir obras, bienes o servicios que no satisfagan las especificaciones del contrato. </w:t>
      </w:r>
      <w:r w:rsidRPr="00515430">
        <w:rPr>
          <w:rFonts w:ascii="Verdana" w:eastAsia="Aptos" w:hAnsi="Verdana" w:cs="Arial"/>
          <w:bCs/>
        </w:rPr>
        <w:t xml:space="preserve">Para este propósito, quien ejerza la vigilancia podrá solicitar los informes, aclaraciones, explicaciones y soportes necesarios, conforme al artículo 84 de la Ley 1474 de 2011. </w:t>
      </w:r>
    </w:p>
    <w:p w14:paraId="7E227884" w14:textId="77777777" w:rsidR="008F6F28" w:rsidRPr="0056312A" w:rsidRDefault="008F6F28" w:rsidP="008F6F28">
      <w:pPr>
        <w:spacing w:after="120" w:line="276" w:lineRule="auto"/>
        <w:ind w:firstLine="708"/>
        <w:jc w:val="both"/>
        <w:rPr>
          <w:rFonts w:ascii="Verdana" w:eastAsia="Aptos" w:hAnsi="Verdana" w:cs="Arial"/>
          <w:bCs/>
        </w:rPr>
      </w:pPr>
      <w:r w:rsidRPr="0056312A">
        <w:rPr>
          <w:rFonts w:ascii="Verdana" w:eastAsia="Aptos" w:hAnsi="Verdana" w:cs="Arial"/>
          <w:bCs/>
        </w:rPr>
        <w:t>En</w:t>
      </w:r>
      <w:r>
        <w:rPr>
          <w:rFonts w:ascii="Verdana" w:eastAsia="Aptos" w:hAnsi="Verdana" w:cs="Arial"/>
          <w:bCs/>
        </w:rPr>
        <w:t xml:space="preserve"> el caso de</w:t>
      </w:r>
      <w:r w:rsidRPr="0056312A">
        <w:rPr>
          <w:rFonts w:ascii="Verdana" w:eastAsia="Aptos" w:hAnsi="Verdana" w:cs="Arial"/>
          <w:bCs/>
        </w:rPr>
        <w:t xml:space="preserve"> los contratos de externalización de servicios BPO, como los </w:t>
      </w:r>
      <w:proofErr w:type="spellStart"/>
      <w:r w:rsidRPr="0056312A">
        <w:rPr>
          <w:rFonts w:ascii="Verdana" w:eastAsia="Aptos" w:hAnsi="Verdana" w:cs="Arial"/>
          <w:bCs/>
          <w:i/>
          <w:iCs/>
        </w:rPr>
        <w:t>call</w:t>
      </w:r>
      <w:proofErr w:type="spellEnd"/>
      <w:r w:rsidRPr="0056312A">
        <w:rPr>
          <w:rFonts w:ascii="Verdana" w:eastAsia="Aptos" w:hAnsi="Verdana" w:cs="Arial"/>
          <w:bCs/>
          <w:i/>
          <w:iCs/>
        </w:rPr>
        <w:t xml:space="preserve"> centres</w:t>
      </w:r>
      <w:r w:rsidRPr="0056312A">
        <w:rPr>
          <w:rFonts w:ascii="Verdana" w:eastAsia="Aptos" w:hAnsi="Verdana" w:cs="Arial"/>
          <w:bCs/>
        </w:rPr>
        <w:t>, la supervisión no solo debe verificar el cumplimiento de los niveles de servicio pactados en los Acuerdos de Nivel de Servicio (ANS), sino también revisar cómo se estipuló el valor y la forma de pago. Este análisis resulta esencial para determinar si procede la aplicación de descuentos o ajustes en la remuneración del proveedor, atendiendo a la naturaleza del servicio efectivamente ejecutado.</w:t>
      </w:r>
    </w:p>
    <w:p w14:paraId="0B765778" w14:textId="77777777" w:rsidR="008F6F28" w:rsidRDefault="008F6F28" w:rsidP="008F6F28">
      <w:pPr>
        <w:spacing w:after="120" w:line="276" w:lineRule="auto"/>
        <w:ind w:firstLine="708"/>
        <w:jc w:val="both"/>
        <w:rPr>
          <w:rFonts w:ascii="Verdana" w:eastAsia="Aptos" w:hAnsi="Verdana" w:cs="Arial"/>
          <w:bCs/>
        </w:rPr>
      </w:pPr>
      <w:r w:rsidRPr="0056312A">
        <w:rPr>
          <w:rFonts w:ascii="Verdana" w:eastAsia="Aptos" w:hAnsi="Verdana" w:cs="Arial"/>
          <w:bCs/>
        </w:rPr>
        <w:t xml:space="preserve">La supervisión debe establecer si el contrato se estructuró bajo un esquema de precio global o de precio por servicio efectivamente prestado, y verificar que las obligaciones se cumplan de manera efectiva. Corresponde a cada entidad estatal definir cuáles mecanismos de control son pertinentes, </w:t>
      </w:r>
      <w:r w:rsidRPr="0056312A">
        <w:rPr>
          <w:rFonts w:ascii="Verdana" w:eastAsia="Aptos" w:hAnsi="Verdana" w:cs="Arial"/>
          <w:bCs/>
        </w:rPr>
        <w:lastRenderedPageBreak/>
        <w:t>necesarios y proporcionales, de acuerdo con el contenido del contrato, los riesgos identificados y las condiciones de ejecución.</w:t>
      </w:r>
    </w:p>
    <w:p w14:paraId="56063F47" w14:textId="77777777" w:rsidR="008F6F28" w:rsidRPr="000F219C" w:rsidRDefault="008F6F28" w:rsidP="008F6F28">
      <w:pPr>
        <w:spacing w:after="120" w:line="276" w:lineRule="auto"/>
        <w:ind w:firstLine="708"/>
        <w:jc w:val="both"/>
        <w:rPr>
          <w:rFonts w:ascii="Verdana" w:eastAsia="Aptos" w:hAnsi="Verdana" w:cs="Arial"/>
          <w:bCs/>
        </w:rPr>
      </w:pPr>
      <w:r>
        <w:rPr>
          <w:rFonts w:ascii="Verdana" w:eastAsia="Aptos" w:hAnsi="Verdana" w:cs="Arial"/>
          <w:bCs/>
        </w:rPr>
        <w:t>En este escenario, l</w:t>
      </w:r>
      <w:r w:rsidRPr="000F219C">
        <w:rPr>
          <w:rFonts w:ascii="Verdana" w:eastAsia="Aptos" w:hAnsi="Verdana" w:cs="Arial"/>
          <w:bCs/>
        </w:rPr>
        <w:t xml:space="preserve">a aplicación de descuentos retributivos sobre la tarifa global de servicios BPO por novedades de personal, la adopción retroactiva de criterios de supervisión y la implementación de mecanismos transitorios de pago deben analizarse </w:t>
      </w:r>
      <w:r>
        <w:rPr>
          <w:rFonts w:ascii="Verdana" w:eastAsia="Aptos" w:hAnsi="Verdana" w:cs="Arial"/>
          <w:bCs/>
        </w:rPr>
        <w:t xml:space="preserve">conforme en </w:t>
      </w:r>
      <w:r w:rsidRPr="000F219C">
        <w:rPr>
          <w:rFonts w:ascii="Verdana" w:eastAsia="Aptos" w:hAnsi="Verdana" w:cs="Arial"/>
          <w:bCs/>
        </w:rPr>
        <w:t xml:space="preserve">que se estructuró la remuneración contractual, ya sea como </w:t>
      </w:r>
      <w:r w:rsidRPr="00AA6F46">
        <w:rPr>
          <w:rFonts w:ascii="Verdana" w:eastAsia="Aptos" w:hAnsi="Verdana" w:cs="Arial"/>
        </w:rPr>
        <w:t>precio global</w:t>
      </w:r>
      <w:r w:rsidRPr="000F219C">
        <w:rPr>
          <w:rFonts w:ascii="Verdana" w:eastAsia="Aptos" w:hAnsi="Verdana" w:cs="Arial"/>
          <w:bCs/>
        </w:rPr>
        <w:t xml:space="preserve"> o como </w:t>
      </w:r>
      <w:r w:rsidRPr="00AA6F46">
        <w:rPr>
          <w:rFonts w:ascii="Verdana" w:eastAsia="Aptos" w:hAnsi="Verdana" w:cs="Arial"/>
        </w:rPr>
        <w:t>precio determinable</w:t>
      </w:r>
      <w:r w:rsidRPr="000F219C">
        <w:rPr>
          <w:rFonts w:ascii="Verdana" w:eastAsia="Aptos" w:hAnsi="Verdana" w:cs="Arial"/>
          <w:bCs/>
        </w:rPr>
        <w:t xml:space="preserve">. En cualquiera de los esquemas, la supervisión o interventoría cumple un papel esencial en el seguimiento de la ejecución, pero sus controles no pueden alterar la ecuación económica del contrato ni desconocer la naturaleza de la obligación pactada. </w:t>
      </w:r>
      <w:r w:rsidRPr="00A001EC">
        <w:rPr>
          <w:rFonts w:ascii="Verdana" w:eastAsia="Aptos" w:hAnsi="Verdana" w:cs="Arial"/>
          <w:bCs/>
        </w:rPr>
        <w:t xml:space="preserve">El artículo 27 de la Ley 80 de 1993 impone mantener “la igualdad o equivalencia entre derechos y obligaciones surgidos al momento de proponer o de contratar”, y el artículo 4, numerales 8 y 9, del mismo estatuto obliga a la entidad a adoptar las medidas necesarias para mantener las condiciones técnicas, económicas y financieras existentes y a no generar, por causas a ella imputables, una mayor onerosidad en el cumplimiento de las obligaciones a cargo del contratista. En consecuencia, una glosa o retención que no corresponda a la forma de pago pactada compromete la equivalencia prestacional protegida por estas normas. </w:t>
      </w:r>
      <w:r w:rsidRPr="000F219C">
        <w:rPr>
          <w:rFonts w:ascii="Verdana" w:eastAsia="Aptos" w:hAnsi="Verdana" w:cs="Arial"/>
          <w:bCs/>
        </w:rPr>
        <w:t>La vigilancia debe orientarse a garantizar el cumplimiento de los niveles de servicio y la transparencia en la gestión, sin que implique imponer cargas adicionales o modificar unilateralmente las condiciones previamente acordada</w:t>
      </w:r>
      <w:r>
        <w:rPr>
          <w:rFonts w:ascii="Verdana" w:eastAsia="Aptos" w:hAnsi="Verdana" w:cs="Arial"/>
          <w:bCs/>
        </w:rPr>
        <w:t xml:space="preserve">s en el contrato. </w:t>
      </w:r>
    </w:p>
    <w:p w14:paraId="48B678D5" w14:textId="77777777" w:rsidR="008F6F28" w:rsidRDefault="008F6F28" w:rsidP="008F6F28">
      <w:pPr>
        <w:spacing w:after="120" w:line="276" w:lineRule="auto"/>
        <w:ind w:firstLine="708"/>
        <w:jc w:val="both"/>
        <w:rPr>
          <w:rFonts w:ascii="Verdana" w:eastAsia="Calibri" w:hAnsi="Verdana" w:cs="Arial"/>
          <w:color w:val="000000"/>
          <w:lang w:val="es-ES"/>
        </w:rPr>
      </w:pPr>
      <w:r w:rsidRPr="00A001EC">
        <w:rPr>
          <w:rFonts w:ascii="Verdana" w:eastAsia="Calibri" w:hAnsi="Verdana" w:cs="Arial"/>
          <w:color w:val="000000"/>
          <w:lang w:val="es-ES"/>
        </w:rPr>
        <w:t xml:space="preserve">El criterio determinante para establecer la procedencia de los descuentos radica en la naturaleza de la obligación pactada. Cuando la remuneración se estructura como un precio global asociado a la disponibilidad y a los niveles de servicio (ANS), el objeto de la obligación es un resultado —la prestación continua del servicio con la calidad convenida— y no la provisión de un número determinado de personas u horas de trabajo; por ello, la expresión “número de agentes” o “fuerza de trabajo requerida” opera como un parámetro técnico de dimensionamiento de la capacidad operativa exigida al proveedor, y no como el objeto individualizado de la contraprestación. En consecuencia, si el contratista acredita el cumplimiento de los niveles de servicio mediante esquemas internos de contingencia o sustitución, no existe, en principio, causa jurídica para glosar la facturación por novedades temporales de su personal, pues la entidad recibe el resultado contratado. Situación distinta se presenta cuando la remuneración </w:t>
      </w:r>
      <w:r w:rsidRPr="00A001EC">
        <w:rPr>
          <w:rFonts w:ascii="Verdana" w:eastAsia="Calibri" w:hAnsi="Verdana" w:cs="Arial"/>
          <w:color w:val="000000"/>
          <w:lang w:val="es-ES"/>
        </w:rPr>
        <w:lastRenderedPageBreak/>
        <w:t>se pacta por insumo —esto es, por hora-hombre, por agente efectivamente disponible o por nómina procesada—, evento en el cual el pago sigue la disponibilidad real del recurso y los descuentos por novedades resultan coherentes con la forma de pago convenida. La determinación de uno u otro esquema corresponde a lo efectivamente estipulado, y su modificación unilateral por vía de la supervisión desconoce la ecuación económica del contrato.</w:t>
      </w:r>
    </w:p>
    <w:p w14:paraId="1B466EC1" w14:textId="77777777" w:rsidR="008F6F28" w:rsidRPr="0056312A" w:rsidRDefault="008F6F28" w:rsidP="008F6F28">
      <w:pPr>
        <w:spacing w:after="120" w:line="276" w:lineRule="auto"/>
        <w:ind w:firstLine="708"/>
        <w:jc w:val="both"/>
        <w:rPr>
          <w:rFonts w:ascii="Verdana" w:eastAsia="Aptos" w:hAnsi="Verdana" w:cs="Arial"/>
          <w:bCs/>
        </w:rPr>
      </w:pPr>
      <w:r>
        <w:rPr>
          <w:rFonts w:ascii="Verdana" w:eastAsia="Aptos" w:hAnsi="Verdana" w:cs="Arial"/>
          <w:bCs/>
        </w:rPr>
        <w:t xml:space="preserve">En esta línea, el </w:t>
      </w:r>
      <w:r w:rsidRPr="000F219C">
        <w:rPr>
          <w:rFonts w:ascii="Verdana" w:eastAsia="Aptos" w:hAnsi="Verdana" w:cs="Arial"/>
          <w:bCs/>
        </w:rPr>
        <w:t>contratista conserva el derecho a recibir oportunamente la remuneración pactada y a que el valor intrínseco de la misma no se altere durante la vigencia del contrato, conforme lo establece el artículo 5, numeral 1 de la Ley 80 de 1993</w:t>
      </w:r>
      <w:r>
        <w:rPr>
          <w:rFonts w:ascii="Verdana" w:eastAsia="Aptos" w:hAnsi="Verdana" w:cs="Arial"/>
          <w:bCs/>
        </w:rPr>
        <w:t xml:space="preserve">, que dispone: “[…] </w:t>
      </w:r>
      <w:r w:rsidRPr="009E6061">
        <w:rPr>
          <w:rFonts w:ascii="Verdana" w:eastAsia="Aptos" w:hAnsi="Verdana" w:cs="Arial"/>
          <w:bCs/>
        </w:rPr>
        <w:t xml:space="preserve">Para la realización de los fines de que trata el artículo </w:t>
      </w:r>
      <w:hyperlink r:id="rId14" w:anchor="3" w:history="1">
        <w:r w:rsidRPr="009E6061">
          <w:rPr>
            <w:rStyle w:val="Hipervnculo"/>
            <w:rFonts w:ascii="Verdana" w:eastAsia="Aptos" w:hAnsi="Verdana" w:cs="Arial"/>
            <w:bCs/>
            <w:color w:val="auto"/>
            <w:u w:val="none"/>
          </w:rPr>
          <w:t>3</w:t>
        </w:r>
      </w:hyperlink>
      <w:r w:rsidRPr="009E6061">
        <w:rPr>
          <w:rFonts w:ascii="Verdana" w:eastAsia="Aptos" w:hAnsi="Verdana" w:cs="Arial"/>
          <w:bCs/>
        </w:rPr>
        <w:t>o. de esta ley, los contratistas:</w:t>
      </w:r>
      <w:r>
        <w:rPr>
          <w:rFonts w:ascii="Verdana" w:eastAsia="Aptos" w:hAnsi="Verdana" w:cs="Arial"/>
          <w:bCs/>
        </w:rPr>
        <w:t xml:space="preserve"> </w:t>
      </w:r>
      <w:r w:rsidRPr="009E6061">
        <w:rPr>
          <w:rFonts w:ascii="Verdana" w:eastAsia="Aptos" w:hAnsi="Verdana" w:cs="Arial"/>
          <w:bCs/>
        </w:rPr>
        <w:t>1o. Tendrán derecho a recibir oportunamente la remuneración pactada y a que el valor intrínseco de la misma no se altere o modifique durante la vigencia del contrato</w:t>
      </w:r>
      <w:r>
        <w:rPr>
          <w:rFonts w:ascii="Verdana" w:eastAsia="Aptos" w:hAnsi="Verdana" w:cs="Arial"/>
          <w:bCs/>
        </w:rPr>
        <w:t>”</w:t>
      </w:r>
      <w:r w:rsidRPr="009E6061">
        <w:rPr>
          <w:rFonts w:ascii="Verdana" w:eastAsia="Aptos" w:hAnsi="Verdana" w:cs="Arial"/>
          <w:bCs/>
        </w:rPr>
        <w:t>.</w:t>
      </w:r>
      <w:r>
        <w:rPr>
          <w:rFonts w:ascii="Verdana" w:eastAsia="Aptos" w:hAnsi="Verdana" w:cs="Arial"/>
          <w:bCs/>
        </w:rPr>
        <w:t xml:space="preserve"> En este aspecto, c</w:t>
      </w:r>
      <w:r w:rsidRPr="000F219C">
        <w:rPr>
          <w:rFonts w:ascii="Verdana" w:eastAsia="Aptos" w:hAnsi="Verdana" w:cs="Arial"/>
          <w:bCs/>
        </w:rPr>
        <w:t xml:space="preserve">ualquier medida de supervisión que implique descuentos retroactivos, glosas o retenciones debe respetar los principios de </w:t>
      </w:r>
      <w:r w:rsidRPr="007A5408">
        <w:rPr>
          <w:rFonts w:ascii="Verdana" w:eastAsia="Aptos" w:hAnsi="Verdana" w:cs="Arial"/>
        </w:rPr>
        <w:t>buena fe contractual</w:t>
      </w:r>
      <w:r>
        <w:rPr>
          <w:rFonts w:ascii="Verdana" w:eastAsia="Aptos" w:hAnsi="Verdana" w:cs="Arial"/>
        </w:rPr>
        <w:t xml:space="preserve"> y seguridad jurídica</w:t>
      </w:r>
      <w:r w:rsidRPr="007A5408">
        <w:rPr>
          <w:rFonts w:ascii="Verdana" w:eastAsia="Aptos" w:hAnsi="Verdana" w:cs="Arial"/>
        </w:rPr>
        <w:t xml:space="preserve">, </w:t>
      </w:r>
      <w:r w:rsidRPr="000F219C">
        <w:rPr>
          <w:rFonts w:ascii="Verdana" w:eastAsia="Aptos" w:hAnsi="Verdana" w:cs="Arial"/>
          <w:bCs/>
        </w:rPr>
        <w:t xml:space="preserve">pues de lo contrario se compromete la continuidad en la prestación </w:t>
      </w:r>
      <w:r>
        <w:rPr>
          <w:rFonts w:ascii="Verdana" w:eastAsia="Aptos" w:hAnsi="Verdana" w:cs="Arial"/>
          <w:bCs/>
        </w:rPr>
        <w:t xml:space="preserve">del servicio </w:t>
      </w:r>
      <w:r w:rsidRPr="000F219C">
        <w:rPr>
          <w:rFonts w:ascii="Verdana" w:eastAsia="Aptos" w:hAnsi="Verdana" w:cs="Arial"/>
          <w:bCs/>
        </w:rPr>
        <w:t>y se vulnera la estabilidad de la relación contractual. La función de control</w:t>
      </w:r>
      <w:r>
        <w:rPr>
          <w:rFonts w:ascii="Verdana" w:eastAsia="Aptos" w:hAnsi="Verdana" w:cs="Arial"/>
          <w:bCs/>
        </w:rPr>
        <w:t xml:space="preserve"> y seguimiento como se ha indicado </w:t>
      </w:r>
      <w:r w:rsidRPr="000F219C">
        <w:rPr>
          <w:rFonts w:ascii="Verdana" w:eastAsia="Aptos" w:hAnsi="Verdana" w:cs="Arial"/>
          <w:bCs/>
        </w:rPr>
        <w:t>debe ejercerse con proporcionalidad y dentro de los límites legales, asegurando que el contratista cumpla con sus obligaciones sin que se afecte indebidamente la remuneración convenida.</w:t>
      </w:r>
    </w:p>
    <w:p w14:paraId="7813A0C0" w14:textId="77777777" w:rsidR="008F6F28" w:rsidRDefault="008F6F28" w:rsidP="008F6F28">
      <w:pPr>
        <w:spacing w:after="120" w:line="276" w:lineRule="auto"/>
        <w:ind w:firstLine="708"/>
        <w:jc w:val="both"/>
        <w:rPr>
          <w:rFonts w:ascii="Verdana" w:eastAsia="Calibri" w:hAnsi="Verdana" w:cs="Arial"/>
          <w:color w:val="000000"/>
          <w:lang w:val="es-ES"/>
        </w:rPr>
      </w:pPr>
      <w:r w:rsidRPr="00A001EC">
        <w:rPr>
          <w:rFonts w:ascii="Verdana" w:eastAsia="Calibri" w:hAnsi="Verdana" w:cs="Arial"/>
          <w:color w:val="000000"/>
          <w:lang w:val="es-ES"/>
        </w:rPr>
        <w:t>En cuanto a la aplicación retroactiva de criterios de descuento a periodos ya ejecutados, verificados, aprobados o pagados, debe observarse el principio de buena fe que gobierna la ejecución contractual (artículo 83 de la Constitución Política y artículo 1603 del Código Civil, en concordancia con el artículo 871 del Código de Comercio). De este principio se deriva la teoría de los actos propios (</w:t>
      </w:r>
      <w:proofErr w:type="spellStart"/>
      <w:r w:rsidRPr="00A001EC">
        <w:rPr>
          <w:rFonts w:ascii="Verdana" w:eastAsia="Calibri" w:hAnsi="Verdana" w:cs="Arial"/>
          <w:color w:val="000000"/>
          <w:lang w:val="es-ES"/>
        </w:rPr>
        <w:t>venire</w:t>
      </w:r>
      <w:proofErr w:type="spellEnd"/>
      <w:r w:rsidRPr="00A001EC">
        <w:rPr>
          <w:rFonts w:ascii="Verdana" w:eastAsia="Calibri" w:hAnsi="Verdana" w:cs="Arial"/>
          <w:color w:val="000000"/>
          <w:lang w:val="es-ES"/>
        </w:rPr>
        <w:t xml:space="preserve"> contra </w:t>
      </w:r>
      <w:proofErr w:type="spellStart"/>
      <w:r w:rsidRPr="00A001EC">
        <w:rPr>
          <w:rFonts w:ascii="Verdana" w:eastAsia="Calibri" w:hAnsi="Verdana" w:cs="Arial"/>
          <w:color w:val="000000"/>
          <w:lang w:val="es-ES"/>
        </w:rPr>
        <w:t>factum</w:t>
      </w:r>
      <w:proofErr w:type="spellEnd"/>
      <w:r w:rsidRPr="00A001EC">
        <w:rPr>
          <w:rFonts w:ascii="Verdana" w:eastAsia="Calibri" w:hAnsi="Verdana" w:cs="Arial"/>
          <w:color w:val="000000"/>
          <w:lang w:val="es-ES"/>
        </w:rPr>
        <w:t xml:space="preserve"> </w:t>
      </w:r>
      <w:proofErr w:type="spellStart"/>
      <w:r w:rsidRPr="00A001EC">
        <w:rPr>
          <w:rFonts w:ascii="Verdana" w:eastAsia="Calibri" w:hAnsi="Verdana" w:cs="Arial"/>
          <w:color w:val="000000"/>
          <w:lang w:val="es-ES"/>
        </w:rPr>
        <w:t>proprium</w:t>
      </w:r>
      <w:proofErr w:type="spellEnd"/>
      <w:r w:rsidRPr="00A001EC">
        <w:rPr>
          <w:rFonts w:ascii="Verdana" w:eastAsia="Calibri" w:hAnsi="Verdana" w:cs="Arial"/>
          <w:color w:val="000000"/>
          <w:lang w:val="es-ES"/>
        </w:rPr>
        <w:t xml:space="preserve"> non valet), según la cual a nadie le es lícito contrariar sus propios comportamientos anteriores, jurídicamente relevantes y eficaces, defraudando la confianza legítima que aquellos generaron en la contraparte. Por consiguiente, la modificación sobreviniente de los criterios de aprobación o de descuento, aplicada a periodos ya consolidados, riñe con la seguridad jurídica y con la estabilidad de la relación contractual, sin perjuicio de las salvedades que las partes hubieren dejado y de las acciones que legalmente procedan.</w:t>
      </w:r>
    </w:p>
    <w:p w14:paraId="240AE043" w14:textId="77777777" w:rsidR="008F6F28" w:rsidRDefault="008F6F28" w:rsidP="008F6F28">
      <w:pPr>
        <w:spacing w:after="120" w:line="276" w:lineRule="auto"/>
        <w:ind w:firstLine="708"/>
        <w:jc w:val="both"/>
        <w:rPr>
          <w:rFonts w:ascii="Verdana" w:eastAsia="Aptos" w:hAnsi="Verdana" w:cs="Arial"/>
          <w:bCs/>
        </w:rPr>
      </w:pPr>
      <w:r>
        <w:rPr>
          <w:rFonts w:ascii="Verdana" w:eastAsia="Aptos" w:hAnsi="Verdana" w:cs="Arial"/>
          <w:bCs/>
        </w:rPr>
        <w:t>En todo caso, se advierte que no</w:t>
      </w:r>
      <w:r w:rsidRPr="0056312A">
        <w:rPr>
          <w:rFonts w:ascii="Verdana" w:eastAsia="Aptos" w:hAnsi="Verdana" w:cs="Arial"/>
          <w:bCs/>
        </w:rPr>
        <w:t xml:space="preserve"> existe una periodicidad uniforme para la presentación de estos controle</w:t>
      </w:r>
      <w:r>
        <w:rPr>
          <w:rFonts w:ascii="Verdana" w:eastAsia="Aptos" w:hAnsi="Verdana" w:cs="Arial"/>
          <w:bCs/>
        </w:rPr>
        <w:t>s, las cuales se asocian</w:t>
      </w:r>
      <w:r w:rsidRPr="0056312A">
        <w:rPr>
          <w:rFonts w:ascii="Verdana" w:eastAsia="Aptos" w:hAnsi="Verdana" w:cs="Arial"/>
          <w:bCs/>
        </w:rPr>
        <w:t xml:space="preserve"> a informes de ejecución, </w:t>
      </w:r>
      <w:r w:rsidRPr="0056312A">
        <w:rPr>
          <w:rFonts w:ascii="Verdana" w:eastAsia="Aptos" w:hAnsi="Verdana" w:cs="Arial"/>
          <w:bCs/>
        </w:rPr>
        <w:lastRenderedPageBreak/>
        <w:t>cuentas de cobro, facturas, hitos contractuales o la forma de prestación del servicio. Tales condiciones deben quedar definidas desde la fase de estructuración del proceso, sin perjuicio de que el supervisor o interventor solicite información adicional cuando advierta hechos que puedan poner en riesgo el cumplimiento contractual.</w:t>
      </w:r>
      <w:r>
        <w:rPr>
          <w:rFonts w:ascii="Verdana" w:eastAsia="Aptos" w:hAnsi="Verdana" w:cs="Arial"/>
          <w:bCs/>
        </w:rPr>
        <w:t xml:space="preserve"> </w:t>
      </w:r>
      <w:r w:rsidRPr="0056312A">
        <w:rPr>
          <w:rFonts w:ascii="Verdana" w:eastAsia="Aptos" w:hAnsi="Verdana" w:cs="Arial"/>
          <w:bCs/>
        </w:rPr>
        <w:t>En caso de que la vigilancia identifique un posible incumplimiento, el supervisor o interventor tiene el deber de documentar los hechos, solicitar explicaciones al contratista y mantener informada a la entidad estatal, garantizando así la transparencia y la eficacia en la gestión contractual.</w:t>
      </w:r>
    </w:p>
    <w:p w14:paraId="504A1D37" w14:textId="77777777" w:rsidR="008F6F28" w:rsidRPr="00893534" w:rsidRDefault="008F6F28" w:rsidP="008F6F28">
      <w:pPr>
        <w:spacing w:after="120" w:line="276" w:lineRule="auto"/>
        <w:ind w:firstLine="708"/>
        <w:jc w:val="both"/>
        <w:rPr>
          <w:rFonts w:ascii="Verdana" w:eastAsia="Aptos" w:hAnsi="Verdana" w:cs="Arial"/>
          <w:bCs/>
        </w:rPr>
      </w:pPr>
      <w:r w:rsidRPr="00893534">
        <w:rPr>
          <w:rFonts w:ascii="Verdana" w:eastAsia="Aptos" w:hAnsi="Verdana" w:cs="Arial"/>
          <w:bCs/>
        </w:rPr>
        <w:t>E</w:t>
      </w:r>
      <w:r>
        <w:rPr>
          <w:rFonts w:ascii="Verdana" w:eastAsia="Aptos" w:hAnsi="Verdana" w:cs="Arial"/>
          <w:bCs/>
        </w:rPr>
        <w:t>s evidente que el</w:t>
      </w:r>
      <w:r w:rsidRPr="00893534">
        <w:rPr>
          <w:rFonts w:ascii="Verdana" w:eastAsia="Aptos" w:hAnsi="Verdana" w:cs="Arial"/>
          <w:bCs/>
        </w:rPr>
        <w:t xml:space="preserve"> deber de seguimiento y control en los contratos estatales es permanente y recae tanto en el supervisor o interventor como en la entidad que conserva la dirección, vigilancia y responsabilidad sobre la ejecución contractual. Este carácter continuo implica que las funciones de verificación, documentación y reporte no se limitan a momentos específicos, sino que deben ejercerse de manera constante a lo largo de toda la ejecución del contrato.</w:t>
      </w:r>
      <w:r>
        <w:rPr>
          <w:rFonts w:ascii="Verdana" w:eastAsia="Aptos" w:hAnsi="Verdana" w:cs="Arial"/>
          <w:bCs/>
        </w:rPr>
        <w:t xml:space="preserve"> </w:t>
      </w:r>
      <w:r w:rsidRPr="00893534">
        <w:rPr>
          <w:rFonts w:ascii="Verdana" w:eastAsia="Aptos" w:hAnsi="Verdana" w:cs="Arial"/>
          <w:bCs/>
        </w:rPr>
        <w:t>La supervisión activa permite identificar oportunamente posibles incumplimientos</w:t>
      </w:r>
      <w:r>
        <w:rPr>
          <w:rFonts w:ascii="Verdana" w:eastAsia="Aptos" w:hAnsi="Verdana" w:cs="Arial"/>
          <w:bCs/>
        </w:rPr>
        <w:t xml:space="preserve"> en la prestación del servicio de Contratos BPO</w:t>
      </w:r>
      <w:r w:rsidRPr="00893534">
        <w:rPr>
          <w:rFonts w:ascii="Verdana" w:eastAsia="Aptos" w:hAnsi="Verdana" w:cs="Arial"/>
          <w:bCs/>
        </w:rPr>
        <w:t>, solicitar explicaciones al contratista y adoptar medidas correctivas</w:t>
      </w:r>
      <w:r>
        <w:rPr>
          <w:rFonts w:ascii="Verdana" w:eastAsia="Aptos" w:hAnsi="Verdana" w:cs="Arial"/>
          <w:bCs/>
        </w:rPr>
        <w:t xml:space="preserve"> por observaciones de los órganos de control</w:t>
      </w:r>
      <w:r w:rsidRPr="00893534">
        <w:rPr>
          <w:rFonts w:ascii="Verdana" w:eastAsia="Aptos" w:hAnsi="Verdana" w:cs="Arial"/>
          <w:bCs/>
        </w:rPr>
        <w:t>.</w:t>
      </w:r>
    </w:p>
    <w:p w14:paraId="464FADA2" w14:textId="77777777" w:rsidR="008F6F28" w:rsidRPr="000B118D" w:rsidRDefault="008F6F28" w:rsidP="008F6F28">
      <w:pPr>
        <w:spacing w:after="120" w:line="276" w:lineRule="auto"/>
        <w:ind w:firstLine="709"/>
        <w:jc w:val="both"/>
        <w:rPr>
          <w:rFonts w:ascii="Verdana" w:eastAsia="Aptos" w:hAnsi="Verdana" w:cs="Arial"/>
          <w:bCs/>
        </w:rPr>
      </w:pPr>
      <w:r w:rsidRPr="000B118D">
        <w:rPr>
          <w:rFonts w:ascii="Verdana" w:eastAsia="Aptos" w:hAnsi="Verdana" w:cs="Arial"/>
          <w:bCs/>
        </w:rPr>
        <w:t xml:space="preserve">En este punto, los hallazgos u observaciones formulados por los órganos de control fiscal, como la Contraloría, constituyen insumos valiosos para la vigilancia y el mejoramiento de la gestión pública, pero carecen de la facultad para modificar directamente las condiciones pactadas en el contrato estatal. </w:t>
      </w:r>
      <w:r w:rsidRPr="00A001EC">
        <w:rPr>
          <w:rFonts w:ascii="Verdana" w:eastAsia="Aptos" w:hAnsi="Verdana" w:cs="Arial"/>
          <w:bCs/>
        </w:rPr>
        <w:t xml:space="preserve">Esta conclusión encuentra fundamento en el artículo 267 de la Constitución Política, modificado por el Acto Legislativo 04 de 2019, conforme al cual el control fiscal “se ejercerá en forma posterior y selectiva, y además podrá ser preventivo y concomitante”, y en virtud del cual “el control concomitante y preventivo tiene carácter excepcional, no vinculante, no implica coadministración [y] no versa sobre la conveniencia de las decisiones”. De allí que ni las observaciones ordinarias ni las derivadas del control concomitante y preventivo puedan sustituir la voluntad contractual, modificar la forma de pago pactada ni autorizar por sí solas la suspensión o retención de pagos por servicios efectivamente recibidos. En la misma dirección, la Corte Constitucional, en la Sentencia C-103 de 2015, declaró inexequible la función de advertencia de la Contraloría por resultar incompatible con el carácter posterior del control fiscal y con la </w:t>
      </w:r>
      <w:r w:rsidRPr="00A001EC">
        <w:rPr>
          <w:rFonts w:ascii="Verdana" w:eastAsia="Aptos" w:hAnsi="Verdana" w:cs="Arial"/>
          <w:bCs/>
        </w:rPr>
        <w:lastRenderedPageBreak/>
        <w:t xml:space="preserve">prohibición de coadministración. Los hallazgos podrán dar lugar, si es el caso, al proceso de responsabilidad fiscal regulado por la Ley 610 de 2000, trámite autónomo que no altera la relación contractual ni constituye título para desconocer las cláusulas convenidas. </w:t>
      </w:r>
    </w:p>
    <w:p w14:paraId="79C4F3D8" w14:textId="77777777" w:rsidR="008F6F28" w:rsidRPr="00A001EC" w:rsidRDefault="008F6F28" w:rsidP="008F6F28">
      <w:pPr>
        <w:spacing w:after="120" w:line="276" w:lineRule="auto"/>
        <w:ind w:firstLine="709"/>
        <w:jc w:val="both"/>
        <w:rPr>
          <w:rFonts w:ascii="Verdana" w:eastAsia="Aptos" w:hAnsi="Verdana" w:cs="Arial"/>
          <w:bCs/>
        </w:rPr>
      </w:pPr>
      <w:r w:rsidRPr="00A001EC">
        <w:rPr>
          <w:rFonts w:ascii="Verdana" w:eastAsia="Aptos" w:hAnsi="Verdana" w:cs="Arial"/>
          <w:bCs/>
        </w:rPr>
        <w:t>Su función es eminentemente preventiva</w:t>
      </w:r>
      <w:r>
        <w:rPr>
          <w:rFonts w:ascii="Verdana" w:eastAsia="Aptos" w:hAnsi="Verdana" w:cs="Arial"/>
          <w:bCs/>
        </w:rPr>
        <w:t xml:space="preserve"> </w:t>
      </w:r>
      <w:r w:rsidRPr="00A001EC">
        <w:rPr>
          <w:rFonts w:ascii="Verdana" w:eastAsia="Aptos" w:hAnsi="Verdana" w:cs="Arial"/>
          <w:bCs/>
        </w:rPr>
        <w:t>y correctiva, orientada a advertir riesgos y posibles irregularidades, sin que ello implique la alteración automática de las cláusulas contractuales o de los compromisos adquiridos entre las partes. En todo caso, la Agencia no tiene competencia para determinar la naturaleza jurídica y los efectos de dichos hallazgos u observaciones, pues esta valoración corresponde a las autoridades competentes dentro de los procedimientos establecidos en la normativa vigente.</w:t>
      </w:r>
    </w:p>
    <w:p w14:paraId="13CB9710" w14:textId="77777777" w:rsidR="008F6F28" w:rsidRDefault="008F6F28" w:rsidP="008F6F28">
      <w:pPr>
        <w:spacing w:after="0" w:line="276" w:lineRule="auto"/>
        <w:ind w:firstLine="709"/>
        <w:jc w:val="both"/>
        <w:rPr>
          <w:rFonts w:ascii="Verdana" w:eastAsia="Calibri" w:hAnsi="Verdana" w:cs="Arial"/>
          <w:color w:val="000000"/>
          <w:lang w:val="es-ES"/>
        </w:rPr>
      </w:pPr>
      <w:r w:rsidRPr="00A001EC">
        <w:rPr>
          <w:rFonts w:ascii="Verdana" w:eastAsia="Calibri" w:hAnsi="Verdana" w:cs="Arial"/>
          <w:color w:val="000000"/>
          <w:lang w:val="es-ES"/>
        </w:rPr>
        <w:t>Ante divergencias interpretativas sobre la procedencia de descuentos, el servicio efectivamente recibido debe pagarse conforme a las reglas contractuales vigentes, pues la retención unilateral de pagos por servicios prestados puede generar la mora de la entidad y un enriquecimiento sin causa a su favor. La Agencia no recomienda un mecanismo específico para casos concretos; con todo, el ordenamiento ofrece instrumentos generales para tramitar la controversia sin interrumpir el servicio ni la liquidez del prestador, tales como los pagos parciales soportados en actas y los mecanismos de solución de controversias contractuales —arreglo directo, conciliación, amigable composición y, cuando se haya pactado, la cláusula compromisoria—. La escogencia del mecanismo corresponde a las partes y, en su caso, a las autoridades competentes.</w:t>
      </w:r>
    </w:p>
    <w:p w14:paraId="046F0261" w14:textId="77777777" w:rsidR="008F6F28" w:rsidRPr="00A120BF" w:rsidRDefault="008F6F28" w:rsidP="008F6F28">
      <w:pPr>
        <w:spacing w:after="0" w:line="276" w:lineRule="auto"/>
        <w:ind w:right="79"/>
        <w:jc w:val="both"/>
        <w:rPr>
          <w:rFonts w:ascii="Verdana" w:eastAsia="Arial" w:hAnsi="Verdana" w:cs="Arial"/>
          <w:bCs/>
        </w:rPr>
      </w:pPr>
    </w:p>
    <w:p w14:paraId="31BAF43E" w14:textId="77777777" w:rsidR="008F6F28" w:rsidRPr="00B16AC6" w:rsidRDefault="008F6F28" w:rsidP="008F6F28">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v. Al </w:t>
      </w:r>
      <w:r w:rsidRPr="00B17041">
        <w:rPr>
          <w:rFonts w:ascii="Verdana" w:hAnsi="Verdana" w:cs="Arial"/>
          <w:lang w:val="es-ES_tradnl" w:eastAsia="es-ES"/>
        </w:rPr>
        <w:t>margen de la explicación precedente debe advertirse que el análisis requerido para resolver pr</w:t>
      </w:r>
      <w:r>
        <w:rPr>
          <w:rFonts w:ascii="Verdana" w:hAnsi="Verdana" w:cs="Arial"/>
          <w:lang w:val="es-ES_tradnl" w:eastAsia="es-ES"/>
        </w:rPr>
        <w:t>oblemas específicos en torno a la celebración de contratos BPO por parte de entidades públicas debe realizarse</w:t>
      </w:r>
      <w:r w:rsidRPr="00B17041">
        <w:rPr>
          <w:rFonts w:ascii="Verdana" w:hAnsi="Verdana" w:cs="Arial"/>
          <w:lang w:val="es-ES_tradnl" w:eastAsia="es-ES"/>
        </w:rPr>
        <w:t xml:space="preserv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C38C06B" w14:textId="77777777" w:rsidR="008F6F28" w:rsidRPr="00B17041" w:rsidRDefault="008F6F28" w:rsidP="006E29F7">
      <w:pPr>
        <w:spacing w:after="0"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la entidad </w:t>
      </w:r>
      <w:r w:rsidRPr="00485C44">
        <w:rPr>
          <w:rFonts w:ascii="Verdana" w:hAnsi="Verdana" w:cs="Arial"/>
          <w:lang w:val="es-ES" w:eastAsia="es-ES"/>
        </w:rPr>
        <w:t xml:space="preserve">pública </w:t>
      </w:r>
      <w:r>
        <w:rPr>
          <w:rFonts w:ascii="Verdana" w:hAnsi="Verdana" w:cs="Arial"/>
          <w:lang w:val="es-ES" w:eastAsia="es-ES"/>
        </w:rPr>
        <w:t>definirá</w:t>
      </w:r>
      <w:r w:rsidRPr="00B17041">
        <w:rPr>
          <w:rFonts w:ascii="Verdana" w:hAnsi="Verdana" w:cs="Arial"/>
          <w:lang w:val="es-ES" w:eastAsia="es-ES"/>
        </w:rPr>
        <w:t xml:space="preserve"> en cada caso concreto lo relacionado con el tema objeto de consulta. Al tratarse de un análisis que debe </w:t>
      </w:r>
      <w:r w:rsidRPr="00B17041">
        <w:rPr>
          <w:rFonts w:ascii="Verdana" w:hAnsi="Verdana" w:cs="Arial"/>
          <w:lang w:val="es-ES" w:eastAsia="es-ES"/>
        </w:rPr>
        <w:lastRenderedPageBreak/>
        <w:t>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bookmarkEnd w:id="1"/>
    <w:p w14:paraId="583AB72A" w14:textId="77777777" w:rsidR="008F6F28" w:rsidRPr="00CD0DCD" w:rsidRDefault="008F6F28" w:rsidP="006E29F7">
      <w:pPr>
        <w:spacing w:after="0" w:line="240" w:lineRule="auto"/>
        <w:jc w:val="both"/>
        <w:rPr>
          <w:rFonts w:ascii="Verdana" w:eastAsia="Calibri" w:hAnsi="Verdana" w:cs="Arial"/>
          <w:lang w:val="es-ES" w:eastAsia="es-MX"/>
        </w:rPr>
      </w:pPr>
    </w:p>
    <w:p w14:paraId="5F91AE7B" w14:textId="77777777" w:rsidR="008F6F28" w:rsidRPr="00B57A1B" w:rsidRDefault="008F6F28" w:rsidP="006E29F7">
      <w:pPr>
        <w:numPr>
          <w:ilvl w:val="0"/>
          <w:numId w:val="16"/>
        </w:numPr>
        <w:tabs>
          <w:tab w:val="left" w:pos="142"/>
          <w:tab w:val="left" w:pos="284"/>
        </w:tabs>
        <w:spacing w:after="0" w:line="240" w:lineRule="auto"/>
        <w:contextualSpacing/>
        <w:jc w:val="both"/>
        <w:rPr>
          <w:rFonts w:ascii="Verdana" w:eastAsia="Century Gothic" w:hAnsi="Verdana" w:cs="Century Gothic"/>
          <w:b/>
          <w:bCs/>
          <w:lang w:val="es-ES"/>
        </w:rPr>
      </w:pPr>
      <w:r w:rsidRPr="00B57A1B">
        <w:rPr>
          <w:rFonts w:ascii="Verdana" w:eastAsia="Century Gothic" w:hAnsi="Verdana" w:cs="Century Gothic"/>
          <w:b/>
          <w:bCs/>
          <w:lang w:val="es-ES"/>
        </w:rPr>
        <w:t>Referencias normativas</w:t>
      </w:r>
      <w:r>
        <w:rPr>
          <w:rFonts w:ascii="Verdana" w:eastAsia="Century Gothic" w:hAnsi="Verdana" w:cs="Century Gothic"/>
          <w:b/>
          <w:bCs/>
          <w:lang w:val="es-ES"/>
        </w:rPr>
        <w:t>:</w:t>
      </w:r>
    </w:p>
    <w:p w14:paraId="72DF97EC" w14:textId="77777777" w:rsidR="008F6F28" w:rsidRPr="00B57A1B" w:rsidRDefault="008F6F28" w:rsidP="006E29F7">
      <w:pPr>
        <w:widowControl w:val="0"/>
        <w:autoSpaceDE w:val="0"/>
        <w:autoSpaceDN w:val="0"/>
        <w:spacing w:after="0" w:line="240"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F6F28" w:rsidRPr="00B57A1B" w14:paraId="012C8F11" w14:textId="77777777" w:rsidTr="00AF1C96">
        <w:trPr>
          <w:trHeight w:val="487"/>
          <w:jc w:val="center"/>
        </w:trPr>
        <w:tc>
          <w:tcPr>
            <w:tcW w:w="8647" w:type="dxa"/>
          </w:tcPr>
          <w:p w14:paraId="06D42084" w14:textId="77777777" w:rsidR="008F6F28" w:rsidRPr="00974C01" w:rsidRDefault="008F6F28" w:rsidP="008F6F28">
            <w:pPr>
              <w:pStyle w:val="Prrafodelista"/>
              <w:numPr>
                <w:ilvl w:val="0"/>
                <w:numId w:val="23"/>
              </w:numPr>
              <w:spacing w:before="120" w:after="120" w:line="276" w:lineRule="auto"/>
              <w:ind w:left="714" w:hanging="357"/>
              <w:contextualSpacing w:val="0"/>
              <w:rPr>
                <w:rFonts w:ascii="Verdana" w:eastAsia="Arial MT" w:hAnsi="Verdana" w:cs="Arial"/>
                <w:lang w:eastAsia="es-ES" w:bidi="es-ES"/>
              </w:rPr>
            </w:pPr>
            <w:r>
              <w:rPr>
                <w:rFonts w:ascii="Verdana" w:hAnsi="Verdana" w:cs="Arial"/>
                <w:shd w:val="clear" w:color="auto" w:fill="FFFFFF"/>
              </w:rPr>
              <w:t xml:space="preserve"> </w:t>
            </w:r>
            <w:r w:rsidRPr="00974C01">
              <w:rPr>
                <w:rFonts w:ascii="Verdana" w:eastAsia="Arial MT" w:hAnsi="Verdana" w:cs="Arial"/>
                <w:lang w:eastAsia="es-ES" w:bidi="es-ES"/>
              </w:rPr>
              <w:t xml:space="preserve">Código Civil, artículo 1501. </w:t>
            </w:r>
          </w:p>
          <w:p w14:paraId="12F00B19" w14:textId="77777777" w:rsidR="008F6F28" w:rsidRDefault="008F6F28" w:rsidP="008F6F28">
            <w:pPr>
              <w:pStyle w:val="Prrafodelista"/>
              <w:widowControl w:val="0"/>
              <w:numPr>
                <w:ilvl w:val="0"/>
                <w:numId w:val="23"/>
              </w:numPr>
              <w:autoSpaceDE w:val="0"/>
              <w:autoSpaceDN w:val="0"/>
              <w:spacing w:before="120" w:after="120" w:line="276" w:lineRule="auto"/>
              <w:ind w:left="714" w:hanging="357"/>
              <w:contextualSpacing w:val="0"/>
              <w:jc w:val="both"/>
              <w:rPr>
                <w:rFonts w:ascii="Verdana" w:eastAsia="Arial MT" w:hAnsi="Verdana" w:cs="Arial"/>
                <w:lang w:eastAsia="es-ES" w:bidi="es-ES"/>
              </w:rPr>
            </w:pPr>
            <w:r w:rsidRPr="00974C01">
              <w:rPr>
                <w:rFonts w:ascii="Verdana" w:eastAsia="Arial MT" w:hAnsi="Verdana" w:cs="Arial"/>
                <w:lang w:eastAsia="es-ES" w:bidi="es-ES"/>
              </w:rPr>
              <w:t xml:space="preserve">Ley 80 de 1993, artículos 6, 13, 32, 39, 40 y 41. </w:t>
            </w:r>
          </w:p>
          <w:p w14:paraId="1DE678D4" w14:textId="77777777" w:rsidR="008F6F28" w:rsidRDefault="008F6F28" w:rsidP="008F6F28">
            <w:pPr>
              <w:pStyle w:val="Prrafodelista"/>
              <w:numPr>
                <w:ilvl w:val="0"/>
                <w:numId w:val="23"/>
              </w:numPr>
              <w:spacing w:before="120" w:after="120" w:line="276" w:lineRule="auto"/>
              <w:ind w:left="714" w:hanging="357"/>
              <w:contextualSpacing w:val="0"/>
              <w:rPr>
                <w:rFonts w:ascii="Verdana" w:eastAsia="Arial MT" w:hAnsi="Verdana" w:cs="Arial"/>
                <w:lang w:eastAsia="es-ES" w:bidi="es-ES"/>
              </w:rPr>
            </w:pPr>
            <w:r w:rsidRPr="00974C01">
              <w:rPr>
                <w:rFonts w:ascii="Verdana" w:eastAsia="Arial MT" w:hAnsi="Verdana" w:cs="Arial"/>
                <w:lang w:eastAsia="es-ES" w:bidi="es-ES"/>
              </w:rPr>
              <w:t>Ley 1150 de 2007, artículo 2°</w:t>
            </w:r>
            <w:r>
              <w:rPr>
                <w:rFonts w:ascii="Verdana" w:eastAsia="Arial MT" w:hAnsi="Verdana" w:cs="Arial"/>
                <w:lang w:eastAsia="es-ES" w:bidi="es-ES"/>
              </w:rPr>
              <w:t xml:space="preserve">, 17 y 21. </w:t>
            </w:r>
          </w:p>
          <w:p w14:paraId="2DB62014" w14:textId="77777777" w:rsidR="008F6F28" w:rsidRPr="00974C01" w:rsidRDefault="008F6F28" w:rsidP="008F6F28">
            <w:pPr>
              <w:pStyle w:val="Prrafodelista"/>
              <w:numPr>
                <w:ilvl w:val="0"/>
                <w:numId w:val="23"/>
              </w:numPr>
              <w:spacing w:before="120" w:after="120" w:line="276" w:lineRule="auto"/>
              <w:ind w:left="714" w:hanging="357"/>
              <w:contextualSpacing w:val="0"/>
              <w:rPr>
                <w:rFonts w:ascii="Verdana" w:eastAsia="Arial MT" w:hAnsi="Verdana" w:cs="Arial"/>
                <w:lang w:eastAsia="es-ES" w:bidi="es-ES"/>
              </w:rPr>
            </w:pPr>
            <w:r>
              <w:rPr>
                <w:rFonts w:ascii="Verdana" w:eastAsia="Arial MT" w:hAnsi="Verdana" w:cs="Arial"/>
                <w:lang w:eastAsia="es-ES" w:bidi="es-ES"/>
              </w:rPr>
              <w:t xml:space="preserve">Ley 1474 de 2011, artículos 82 al 85. </w:t>
            </w:r>
          </w:p>
          <w:p w14:paraId="3EF9688C" w14:textId="77777777" w:rsidR="008F6F28" w:rsidRPr="00B57A1B" w:rsidRDefault="008F6F28" w:rsidP="00AF1C96">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974C01">
              <w:rPr>
                <w:rFonts w:ascii="Verdana" w:eastAsia="Arial MT" w:hAnsi="Verdana" w:cs="Arial"/>
                <w:lang w:eastAsia="es-ES" w:bidi="es-ES"/>
              </w:rPr>
              <w:t>Decreto 1082 de 2015, artículo 2.2.1.2.1.4.4 y 2.2.1.2.3.1.5.</w:t>
            </w:r>
          </w:p>
        </w:tc>
      </w:tr>
    </w:tbl>
    <w:p w14:paraId="2579283D" w14:textId="77777777" w:rsidR="008F6F28" w:rsidRPr="00B57A1B" w:rsidRDefault="008F6F28" w:rsidP="006E29F7">
      <w:pPr>
        <w:widowControl w:val="0"/>
        <w:autoSpaceDE w:val="0"/>
        <w:autoSpaceDN w:val="0"/>
        <w:spacing w:after="0" w:line="240" w:lineRule="auto"/>
        <w:jc w:val="both"/>
        <w:rPr>
          <w:rFonts w:ascii="Verdana" w:hAnsi="Verdana" w:cs="Arial"/>
        </w:rPr>
      </w:pPr>
    </w:p>
    <w:p w14:paraId="34097451" w14:textId="77777777" w:rsidR="008F6F28" w:rsidRPr="00B57A1B" w:rsidRDefault="008F6F28" w:rsidP="006E29F7">
      <w:pPr>
        <w:numPr>
          <w:ilvl w:val="0"/>
          <w:numId w:val="16"/>
        </w:numPr>
        <w:tabs>
          <w:tab w:val="left" w:pos="142"/>
          <w:tab w:val="left" w:pos="284"/>
        </w:tabs>
        <w:spacing w:after="0" w:line="240" w:lineRule="auto"/>
        <w:contextualSpacing/>
        <w:jc w:val="both"/>
        <w:rPr>
          <w:rFonts w:ascii="Verdana" w:eastAsia="Century Gothic" w:hAnsi="Verdana" w:cs="Century Gothic"/>
          <w:b/>
          <w:bCs/>
          <w:lang w:val="es-ES"/>
        </w:rPr>
      </w:pPr>
      <w:r w:rsidRPr="00B57A1B">
        <w:rPr>
          <w:rFonts w:ascii="Verdana" w:eastAsia="Century Gothic" w:hAnsi="Verdana" w:cs="Century Gothic"/>
          <w:b/>
          <w:bCs/>
          <w:lang w:val="es-ES"/>
        </w:rPr>
        <w:t>Doctrina de la Agencia Nacional de Contratación Pública:</w:t>
      </w:r>
    </w:p>
    <w:p w14:paraId="69C029B1" w14:textId="77777777" w:rsidR="008F6F28" w:rsidRPr="00B57A1B" w:rsidRDefault="008F6F28" w:rsidP="006E29F7">
      <w:pPr>
        <w:widowControl w:val="0"/>
        <w:autoSpaceDE w:val="0"/>
        <w:autoSpaceDN w:val="0"/>
        <w:spacing w:after="0" w:line="240" w:lineRule="auto"/>
        <w:jc w:val="both"/>
        <w:rPr>
          <w:rFonts w:ascii="Verdana" w:hAnsi="Verdana" w:cs="Arial"/>
        </w:rPr>
      </w:pPr>
    </w:p>
    <w:p w14:paraId="0C0C60D4" w14:textId="77777777" w:rsidR="008F6F28" w:rsidRPr="007D6CC8" w:rsidRDefault="008F6F28" w:rsidP="008F6F28">
      <w:pPr>
        <w:widowControl w:val="0"/>
        <w:autoSpaceDE w:val="0"/>
        <w:autoSpaceDN w:val="0"/>
        <w:spacing w:after="0" w:line="276" w:lineRule="auto"/>
        <w:jc w:val="both"/>
        <w:rPr>
          <w:rFonts w:ascii="Verdana" w:hAnsi="Verdana" w:cs="Arial"/>
          <w:shd w:val="clear" w:color="auto" w:fill="FFFFFF"/>
        </w:rPr>
      </w:pPr>
      <w:r w:rsidRPr="00092546">
        <w:rPr>
          <w:rFonts w:ascii="Verdana" w:hAnsi="Verdana" w:cs="Arial"/>
          <w:shd w:val="clear" w:color="auto" w:fill="FFFFFF"/>
        </w:rPr>
        <w:t>Esta Subdirección no ha emitido previamente conceptos relacionados con los contratos de BPO y sus particularidades, razón por la cual el presente documento se orienta a su análisis y estudio</w:t>
      </w:r>
      <w:r>
        <w:rPr>
          <w:rFonts w:ascii="Verdana" w:hAnsi="Verdana" w:cs="Arial"/>
          <w:shd w:val="clear" w:color="auto" w:fill="FFFFFF"/>
        </w:rPr>
        <w:t>.</w:t>
      </w:r>
      <w:r>
        <w:rPr>
          <w:rFonts w:ascii="Verdana" w:hAnsi="Verdana" w:cs="Arial"/>
          <w:bCs/>
          <w:shd w:val="clear" w:color="auto" w:fill="FFFFFF"/>
          <w:lang w:val="es-ES"/>
        </w:rPr>
        <w:t xml:space="preserve"> </w:t>
      </w: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51EB6800" w14:textId="77777777" w:rsidR="008F6F28" w:rsidRPr="00185EE9" w:rsidRDefault="008F6F28" w:rsidP="008F6F28">
      <w:pPr>
        <w:spacing w:after="0" w:line="256" w:lineRule="auto"/>
        <w:jc w:val="both"/>
        <w:rPr>
          <w:rFonts w:ascii="Verdana" w:eastAsia="Calibri" w:hAnsi="Verdana" w:cs="Times New Roman"/>
        </w:rPr>
      </w:pPr>
      <w:hyperlink r:id="rId15" w:history="1">
        <w:r w:rsidRPr="00F14AAD">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 xml:space="preserve">. </w:t>
      </w:r>
    </w:p>
    <w:p w14:paraId="4F01B0AD" w14:textId="77777777" w:rsidR="008F6F28" w:rsidRPr="009037F6" w:rsidRDefault="008F6F28" w:rsidP="008F6F28">
      <w:pPr>
        <w:spacing w:after="0"/>
        <w:jc w:val="both"/>
        <w:rPr>
          <w:rFonts w:ascii="Verdana" w:hAnsi="Verdana"/>
        </w:rPr>
      </w:pPr>
    </w:p>
    <w:p w14:paraId="0EE3AD2D" w14:textId="77777777" w:rsidR="008F6F28" w:rsidRPr="00231A97" w:rsidRDefault="008F6F28" w:rsidP="008F6F28">
      <w:pPr>
        <w:spacing w:after="0" w:line="256" w:lineRule="auto"/>
        <w:jc w:val="both"/>
        <w:rPr>
          <w:rFonts w:ascii="Verdana" w:eastAsia="Calibri" w:hAnsi="Verdana" w:cs="Times New Roman"/>
        </w:rPr>
      </w:pPr>
      <w:r w:rsidRPr="00231A97">
        <w:rPr>
          <w:rFonts w:ascii="Verdana" w:eastAsia="Calibri" w:hAnsi="Verdana" w:cs="Times New Roman"/>
        </w:rPr>
        <w:t xml:space="preserve">La sostenibilidad no es una opción, es una obligación. Por ello, la Agencia Nacional de Contratación Pública –Colombia Compra Eficiente– te invita a realizar el </w:t>
      </w:r>
      <w:r w:rsidRPr="00231A97">
        <w:rPr>
          <w:rFonts w:ascii="Verdana" w:eastAsia="Calibri" w:hAnsi="Verdana" w:cs="Times New Roman"/>
          <w:b/>
          <w:bCs/>
        </w:rPr>
        <w:t>Curso de Contratación Pública Sostenible y Socialmente Responsable</w:t>
      </w:r>
      <w:r w:rsidRPr="00231A97">
        <w:rPr>
          <w:rFonts w:ascii="Verdana" w:eastAsia="Calibri"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231A97">
        <w:rPr>
          <w:rFonts w:ascii="Verdana" w:eastAsia="Calibri" w:hAnsi="Verdana" w:cs="Times New Roman"/>
        </w:rPr>
        <w:br/>
      </w:r>
      <w:hyperlink r:id="rId16" w:tgtFrame="_new" w:history="1">
        <w:r w:rsidRPr="00231A97">
          <w:rPr>
            <w:rStyle w:val="Hipervnculo"/>
            <w:rFonts w:ascii="Verdana" w:eastAsia="Calibri" w:hAnsi="Verdana" w:cs="Times New Roman"/>
          </w:rPr>
          <w:t>https://formacionvirtual.colombiacompra.gov.co/mod/page/view.php?id=3718</w:t>
        </w:r>
      </w:hyperlink>
    </w:p>
    <w:p w14:paraId="4F774008" w14:textId="77777777" w:rsidR="008F6F28" w:rsidRDefault="008F6F28" w:rsidP="008F6F28">
      <w:pPr>
        <w:spacing w:after="0" w:line="256" w:lineRule="auto"/>
        <w:jc w:val="both"/>
        <w:rPr>
          <w:rFonts w:ascii="Verdana" w:eastAsia="Calibri" w:hAnsi="Verdana" w:cs="Times New Roman"/>
        </w:rPr>
      </w:pPr>
    </w:p>
    <w:p w14:paraId="2CE064F3" w14:textId="77777777" w:rsidR="008F6F28" w:rsidRDefault="008F6F28" w:rsidP="008F6F28">
      <w:pPr>
        <w:spacing w:after="0" w:line="256" w:lineRule="auto"/>
        <w:jc w:val="both"/>
        <w:rPr>
          <w:rFonts w:ascii="Verdana" w:eastAsia="Calibri" w:hAnsi="Verdana" w:cs="Times New Roman"/>
        </w:rPr>
      </w:pPr>
      <w:r w:rsidRPr="00231A97">
        <w:rPr>
          <w:rFonts w:ascii="Verdana" w:eastAsia="Calibri" w:hAnsi="Verdana" w:cs="Times New Roman"/>
        </w:rPr>
        <w:t xml:space="preserve">De otro lado, te contamos que esta Agencia ha da un paso decisivo en la estandarización y modernización del </w:t>
      </w:r>
      <w:r w:rsidRPr="00231A97">
        <w:rPr>
          <w:rFonts w:ascii="Verdana" w:eastAsia="Calibri" w:hAnsi="Verdana" w:cs="Times New Roman"/>
          <w:b/>
          <w:bCs/>
        </w:rPr>
        <w:t>sector  social</w:t>
      </w:r>
      <w:r w:rsidRPr="00231A97">
        <w:rPr>
          <w:rFonts w:ascii="Verdana" w:eastAsia="Calibri" w:hAnsi="Verdana" w:cs="Times New Roman"/>
        </w:rPr>
        <w:t xml:space="preserve"> con la expedición de las </w:t>
      </w:r>
      <w:r w:rsidRPr="00231A97">
        <w:rPr>
          <w:rFonts w:ascii="Verdana" w:eastAsia="Calibri" w:hAnsi="Verdana" w:cs="Times New Roman"/>
          <w:b/>
          <w:bCs/>
        </w:rPr>
        <w:t>Resoluciones 539, 540, 541, 952 y 953 de 2025</w:t>
      </w:r>
      <w:r w:rsidRPr="00231A97">
        <w:rPr>
          <w:rFonts w:ascii="Verdana" w:eastAsia="Calibri" w:hAnsi="Verdana" w:cs="Times New Roman"/>
        </w:rPr>
        <w:t xml:space="preserve">, </w:t>
      </w:r>
      <w:r w:rsidRPr="00231A97">
        <w:rPr>
          <w:rFonts w:ascii="Verdana" w:eastAsia="Calibri" w:hAnsi="Verdana" w:cs="Times New Roman"/>
          <w:b/>
          <w:bCs/>
        </w:rPr>
        <w:t>mediante las cuales adoptó Documentos Tipo</w:t>
      </w:r>
      <w:r w:rsidRPr="00231A97">
        <w:rPr>
          <w:rFonts w:ascii="Verdana" w:eastAsia="Calibri" w:hAnsi="Verdana" w:cs="Times New Roman"/>
        </w:rPr>
        <w:t xml:space="preserve"> para las modalidades de selección de</w:t>
      </w:r>
      <w:r w:rsidRPr="00231A97">
        <w:rPr>
          <w:rFonts w:ascii="Verdana" w:eastAsia="Calibri" w:hAnsi="Verdana" w:cs="Times New Roman"/>
          <w:b/>
          <w:bCs/>
        </w:rPr>
        <w:t xml:space="preserve"> licitación pública (versión 2), selección abreviada de menor cuantía, mínima cuantía, consultoría e interventoría</w:t>
      </w:r>
      <w:r w:rsidRPr="00231A97">
        <w:rPr>
          <w:rFonts w:ascii="Verdana" w:eastAsia="Calibri" w:hAnsi="Verdana" w:cs="Times New Roman"/>
        </w:rPr>
        <w:t xml:space="preserve">, promoviendo procesos más transparentes, eficientes  competitivos y sostenibles en sectores estratégicos como educación, salud, cultura, recreación, deporte, institucional y vivienda. </w:t>
      </w:r>
    </w:p>
    <w:p w14:paraId="378D834A" w14:textId="77777777" w:rsidR="008F6F28" w:rsidRDefault="008F6F28" w:rsidP="008F6F28">
      <w:pPr>
        <w:spacing w:after="0" w:line="256" w:lineRule="auto"/>
        <w:jc w:val="both"/>
      </w:pPr>
      <w:r w:rsidRPr="00231A97">
        <w:rPr>
          <w:rFonts w:ascii="Verdana" w:eastAsia="Calibri" w:hAnsi="Verdana" w:cs="Times New Roman"/>
        </w:rPr>
        <w:t xml:space="preserve">Consulta y descarga los documentos aquí: </w:t>
      </w:r>
      <w:hyperlink r:id="rId17" w:tgtFrame="_new" w:history="1">
        <w:r w:rsidRPr="00231A97">
          <w:rPr>
            <w:rStyle w:val="Hipervnculo"/>
            <w:rFonts w:ascii="Verdana" w:eastAsia="Calibri" w:hAnsi="Verdana" w:cs="Times New Roman"/>
          </w:rPr>
          <w:t>https://www.colombiacompra.gov.co/normativa-y-relatoria/documentos-tipo</w:t>
        </w:r>
      </w:hyperlink>
    </w:p>
    <w:p w14:paraId="4AF26C86" w14:textId="77777777" w:rsidR="008F6F28" w:rsidRPr="00231A97" w:rsidRDefault="008F6F28" w:rsidP="008F6F28">
      <w:pPr>
        <w:spacing w:after="0" w:line="256" w:lineRule="auto"/>
        <w:jc w:val="both"/>
        <w:rPr>
          <w:rFonts w:ascii="Verdana" w:eastAsia="Calibri" w:hAnsi="Verdana" w:cs="Times New Roman"/>
        </w:rPr>
      </w:pPr>
    </w:p>
    <w:p w14:paraId="513A24D3" w14:textId="77777777" w:rsidR="008F6F28" w:rsidRPr="00231A97" w:rsidRDefault="008F6F28" w:rsidP="008F6F28">
      <w:pPr>
        <w:spacing w:after="0" w:line="256" w:lineRule="auto"/>
        <w:jc w:val="both"/>
        <w:rPr>
          <w:rFonts w:ascii="Verdana" w:eastAsia="Calibri" w:hAnsi="Verdana" w:cs="Times New Roman"/>
        </w:rPr>
      </w:pPr>
      <w:r w:rsidRPr="00231A97">
        <w:rPr>
          <w:rFonts w:ascii="Verdana" w:eastAsia="Calibri" w:hAnsi="Verdana" w:cs="Times New Roman"/>
        </w:rPr>
        <w:t xml:space="preserve">Si quieres conocer más sobre la aplicación de Documentos Tipo puedes consultar la última versión de la </w:t>
      </w:r>
      <w:r w:rsidRPr="00231A97">
        <w:rPr>
          <w:rFonts w:ascii="Verdana" w:eastAsia="Calibri" w:hAnsi="Verdana" w:cs="Times New Roman"/>
          <w:b/>
          <w:bCs/>
        </w:rPr>
        <w:t>Guía para la comprensión e implementación de los Documentos Tipo de obra pública de infraestructura de transporte</w:t>
      </w:r>
      <w:r w:rsidRPr="00231A97">
        <w:rPr>
          <w:rFonts w:ascii="Verdana" w:eastAsia="Calibri" w:hAnsi="Verdana" w:cs="Times New Roman"/>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231A97">
        <w:rPr>
          <w:rFonts w:ascii="Verdana" w:eastAsia="Calibri" w:hAnsi="Verdana" w:cs="Times New Roman"/>
        </w:rPr>
        <w:br/>
      </w:r>
      <w:hyperlink r:id="rId18" w:tgtFrame="_new" w:history="1">
        <w:r w:rsidRPr="00231A97">
          <w:rPr>
            <w:rStyle w:val="Hipervnculo"/>
            <w:rFonts w:ascii="Verdana" w:eastAsia="Calibri" w:hAnsi="Verdana" w:cs="Times New Roman"/>
          </w:rPr>
          <w:t>https://www.colombiacompra.gov.co/archivos/manual/guia-para-la-comprension-e-implementacion-de-los-documentos-tipo-de-obra-publica-de-infraestructura-de-transporte-bajo-las-diferentes-modalidades-de-contratacion-vigentes</w:t>
        </w:r>
      </w:hyperlink>
    </w:p>
    <w:p w14:paraId="3EA38BD1" w14:textId="77777777" w:rsidR="008F6F28" w:rsidRPr="009037F6" w:rsidRDefault="008F6F28" w:rsidP="008F6F28">
      <w:pPr>
        <w:spacing w:after="0" w:line="240" w:lineRule="auto"/>
        <w:jc w:val="both"/>
        <w:rPr>
          <w:rFonts w:ascii="Verdana" w:hAnsi="Verdana"/>
        </w:rPr>
      </w:pPr>
    </w:p>
    <w:p w14:paraId="2337B09C" w14:textId="77777777" w:rsidR="008F6F28" w:rsidRPr="00116940" w:rsidRDefault="008F6F28" w:rsidP="008F6F28">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2A7F28CA" w14:textId="77777777" w:rsidR="008F6F28" w:rsidRPr="00116940" w:rsidRDefault="008F6F28" w:rsidP="008F6F28">
      <w:pPr>
        <w:spacing w:after="0"/>
        <w:jc w:val="both"/>
        <w:rPr>
          <w:rFonts w:ascii="Verdana" w:hAnsi="Verdana"/>
        </w:rPr>
      </w:pPr>
    </w:p>
    <w:p w14:paraId="6B4C983C" w14:textId="77777777" w:rsidR="008F6F28" w:rsidRPr="00116940" w:rsidRDefault="008F6F28" w:rsidP="008F6F28">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7479213E" w14:textId="77777777" w:rsidR="008F6F28" w:rsidRPr="00116940" w:rsidRDefault="008F6F28" w:rsidP="008F6F28">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65FD33A5" w14:textId="77777777" w:rsidR="008F6F28" w:rsidRPr="00116940" w:rsidRDefault="008F6F28" w:rsidP="008F6F28">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9">
        <w:r w:rsidRPr="00116940">
          <w:rPr>
            <w:rStyle w:val="Hipervnculo"/>
            <w:rFonts w:ascii="Verdana" w:eastAsia="Verdana" w:hAnsi="Verdana" w:cs="Verdana"/>
            <w:lang w:val="es-MX"/>
          </w:rPr>
          <w:t>ventanilladeradicacion@colombiacompra.gov.co</w:t>
        </w:r>
      </w:hyperlink>
    </w:p>
    <w:p w14:paraId="3DB31EFA" w14:textId="77777777" w:rsidR="008F6F28" w:rsidRPr="00116940" w:rsidRDefault="008F6F28" w:rsidP="008F6F28">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lastRenderedPageBreak/>
        <w:t>Formulario web para</w:t>
      </w:r>
      <w:r w:rsidRPr="00116940">
        <w:rPr>
          <w:rFonts w:ascii="Verdana" w:eastAsia="Verdana" w:hAnsi="Verdana" w:cs="Verdana"/>
          <w:lang w:val="es"/>
        </w:rPr>
        <w:t xml:space="preserve"> PQRSD: </w:t>
      </w:r>
      <w:hyperlink r:id="rId20">
        <w:r w:rsidRPr="00116940">
          <w:rPr>
            <w:rStyle w:val="Hipervnculo"/>
            <w:rFonts w:ascii="Verdana" w:eastAsia="Verdana" w:hAnsi="Verdana" w:cs="Verdana"/>
            <w:lang w:val="es-MX"/>
          </w:rPr>
          <w:t>https://www.colombiacompra.gov.co/pqrsd/informacion-importante-antes-de-formular-una-pqrsd</w:t>
        </w:r>
      </w:hyperlink>
    </w:p>
    <w:p w14:paraId="1BB83517" w14:textId="77777777" w:rsidR="008F6F28" w:rsidRPr="00116940" w:rsidRDefault="008F6F28" w:rsidP="008F6F28">
      <w:pPr>
        <w:spacing w:after="0" w:line="240" w:lineRule="auto"/>
        <w:ind w:left="720"/>
        <w:jc w:val="both"/>
        <w:rPr>
          <w:rFonts w:ascii="Verdana" w:hAnsi="Verdana"/>
        </w:rPr>
      </w:pPr>
    </w:p>
    <w:p w14:paraId="04D965C9" w14:textId="77777777" w:rsidR="008F6F28" w:rsidRPr="00116940" w:rsidRDefault="008F6F28" w:rsidP="008F6F28">
      <w:pPr>
        <w:spacing w:after="0" w:line="240" w:lineRule="auto"/>
        <w:rPr>
          <w:rFonts w:ascii="Verdana" w:hAnsi="Verdana"/>
        </w:rPr>
      </w:pPr>
      <w:r w:rsidRPr="00116940">
        <w:rPr>
          <w:rFonts w:ascii="Verdana" w:hAnsi="Verdana"/>
        </w:rPr>
        <w:t xml:space="preserve">Evalúa el servicio que ofrece la Agencia por el canal de atención de PQRSD en el siguiente </w:t>
      </w:r>
      <w:proofErr w:type="gramStart"/>
      <w:r w:rsidRPr="00116940">
        <w:rPr>
          <w:rFonts w:ascii="Verdana" w:hAnsi="Verdana"/>
        </w:rPr>
        <w:t>enlace :</w:t>
      </w:r>
      <w:proofErr w:type="gramEnd"/>
      <w:hyperlink r:id="rId21"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23228CDD" w14:textId="77777777" w:rsidR="008F6F28" w:rsidRPr="00116940" w:rsidRDefault="008F6F28" w:rsidP="008F6F28">
      <w:pPr>
        <w:spacing w:after="0" w:line="240" w:lineRule="auto"/>
        <w:rPr>
          <w:rFonts w:ascii="Verdana" w:hAnsi="Verdana"/>
        </w:rPr>
      </w:pPr>
    </w:p>
    <w:p w14:paraId="7F82C0A4" w14:textId="77777777" w:rsidR="008F6F28" w:rsidRPr="00116940" w:rsidRDefault="008F6F28" w:rsidP="008F6F28">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562542EC" w14:textId="77777777" w:rsidR="008F6F28" w:rsidRPr="00116940" w:rsidRDefault="008F6F28" w:rsidP="008F6F28">
      <w:pPr>
        <w:spacing w:after="0" w:line="240" w:lineRule="auto"/>
        <w:jc w:val="both"/>
        <w:rPr>
          <w:rFonts w:ascii="Verdana" w:hAnsi="Verdana"/>
        </w:rPr>
      </w:pPr>
    </w:p>
    <w:p w14:paraId="6E852E93" w14:textId="77777777" w:rsidR="008F6F28" w:rsidRPr="00116940" w:rsidRDefault="008F6F28" w:rsidP="008F6F28">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0658AB40" w14:textId="77777777" w:rsidR="008F6F28" w:rsidRPr="00116940" w:rsidRDefault="008F6F28" w:rsidP="008F6F28">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12AE74D1" w14:textId="77777777" w:rsidR="008F6F28" w:rsidRPr="00116940" w:rsidRDefault="008F6F28" w:rsidP="008F6F28">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49C4431A" w14:textId="77777777" w:rsidR="008F6F28" w:rsidRPr="00116940" w:rsidRDefault="008F6F28" w:rsidP="008F6F28">
      <w:pPr>
        <w:spacing w:after="0" w:line="240" w:lineRule="auto"/>
        <w:jc w:val="both"/>
        <w:rPr>
          <w:rFonts w:ascii="Verdana" w:hAnsi="Verdana"/>
        </w:rPr>
      </w:pPr>
    </w:p>
    <w:p w14:paraId="094F19BC" w14:textId="77777777" w:rsidR="008F6F28" w:rsidRPr="009037F6" w:rsidRDefault="008F6F28" w:rsidP="008F6F28">
      <w:pPr>
        <w:spacing w:after="0" w:line="256" w:lineRule="auto"/>
        <w:jc w:val="both"/>
        <w:rPr>
          <w:rFonts w:ascii="Verdana" w:eastAsia="Calibri" w:hAnsi="Verdana" w:cs="Times New Roman"/>
          <w:bCs/>
          <w:lang w:val="es-ES_tradnl"/>
        </w:rPr>
      </w:pPr>
      <w:r w:rsidRPr="009037F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A9AFA3E" w14:textId="77777777" w:rsidR="008F6F28" w:rsidRPr="00492C4A" w:rsidRDefault="008F6F28" w:rsidP="008F6F28">
      <w:pPr>
        <w:spacing w:after="0" w:line="256" w:lineRule="auto"/>
        <w:jc w:val="both"/>
        <w:rPr>
          <w:rFonts w:ascii="Verdana" w:eastAsia="Calibri" w:hAnsi="Verdana" w:cs="Times New Roman"/>
          <w:lang w:val="es-ES_tradnl"/>
        </w:rPr>
      </w:pPr>
    </w:p>
    <w:p w14:paraId="667EF829" w14:textId="77777777" w:rsidR="008F6F28" w:rsidRDefault="008F6F28" w:rsidP="008F6F28">
      <w:pPr>
        <w:spacing w:after="0" w:line="256" w:lineRule="auto"/>
        <w:jc w:val="both"/>
        <w:rPr>
          <w:rFonts w:ascii="Verdana" w:eastAsia="Calibri" w:hAnsi="Verdana" w:cs="Times New Roman"/>
        </w:rPr>
      </w:pPr>
      <w:r w:rsidRPr="009037F6">
        <w:rPr>
          <w:rFonts w:ascii="Verdana" w:eastAsia="Calibri" w:hAnsi="Verdana" w:cs="Times New Roman"/>
        </w:rPr>
        <w:t>Atentamente,</w:t>
      </w:r>
    </w:p>
    <w:p w14:paraId="7B3BB89A" w14:textId="77777777" w:rsidR="006E29F7" w:rsidRPr="00EE2164" w:rsidRDefault="006E29F7" w:rsidP="008F6F28">
      <w:pPr>
        <w:spacing w:after="0" w:line="256" w:lineRule="auto"/>
        <w:jc w:val="both"/>
        <w:rPr>
          <w:rFonts w:ascii="Verdana" w:eastAsia="Calibri" w:hAnsi="Verdana" w:cs="Times New Roman"/>
        </w:rPr>
      </w:pPr>
    </w:p>
    <w:p w14:paraId="30031C5B" w14:textId="29C04800" w:rsidR="008F6F28" w:rsidRDefault="00C432D7" w:rsidP="008F6F28">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5096FF4A" wp14:editId="7FA5783C">
            <wp:extent cx="3412503" cy="1323565"/>
            <wp:effectExtent l="0" t="0" r="0" b="0"/>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2"/>
                    <a:stretch>
                      <a:fillRect/>
                    </a:stretch>
                  </pic:blipFill>
                  <pic:spPr>
                    <a:xfrm>
                      <a:off x="0" y="0"/>
                      <a:ext cx="3710771" cy="1439251"/>
                    </a:xfrm>
                    <a:prstGeom prst="rect">
                      <a:avLst/>
                    </a:prstGeom>
                  </pic:spPr>
                </pic:pic>
              </a:graphicData>
            </a:graphic>
          </wp:inline>
        </w:drawing>
      </w:r>
    </w:p>
    <w:p w14:paraId="02639246" w14:textId="77777777" w:rsidR="008F6F28" w:rsidRPr="00D56F8A" w:rsidRDefault="008F6F28" w:rsidP="008F6F28">
      <w:pPr>
        <w:spacing w:after="0" w:line="256" w:lineRule="auto"/>
        <w:rPr>
          <w:rFonts w:ascii="Verdana" w:hAnsi="Verdana"/>
          <w:sz w:val="12"/>
          <w:szCs w:val="12"/>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8F6F28" w:rsidRPr="00D56F8A" w14:paraId="7E1A2354" w14:textId="77777777" w:rsidTr="00AF1C96">
        <w:trPr>
          <w:trHeight w:val="409"/>
        </w:trPr>
        <w:tc>
          <w:tcPr>
            <w:tcW w:w="817" w:type="dxa"/>
            <w:tcBorders>
              <w:top w:val="nil"/>
              <w:left w:val="nil"/>
              <w:bottom w:val="nil"/>
              <w:right w:val="nil"/>
            </w:tcBorders>
            <w:vAlign w:val="center"/>
            <w:hideMark/>
          </w:tcPr>
          <w:p w14:paraId="40EF3849" w14:textId="77777777" w:rsidR="008F6F28" w:rsidRPr="00D56F8A" w:rsidRDefault="008F6F28" w:rsidP="00AF1C96">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344F0C7C" w14:textId="77777777" w:rsidR="008F6F28" w:rsidRPr="00D56F8A" w:rsidRDefault="008F6F28" w:rsidP="00AF1C96">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José Luis Sánchez Cardona</w:t>
            </w:r>
          </w:p>
          <w:p w14:paraId="579EB1DC" w14:textId="77777777" w:rsidR="008F6F28" w:rsidRPr="00D56F8A" w:rsidRDefault="008F6F28" w:rsidP="00AF1C96">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Contratista de la Subdirección de Gestión Contractual</w:t>
            </w:r>
          </w:p>
        </w:tc>
      </w:tr>
      <w:tr w:rsidR="008F6F28" w:rsidRPr="00D56F8A" w14:paraId="1A819C4D" w14:textId="77777777" w:rsidTr="00AF1C96">
        <w:trPr>
          <w:trHeight w:val="409"/>
        </w:trPr>
        <w:tc>
          <w:tcPr>
            <w:tcW w:w="817" w:type="dxa"/>
            <w:tcBorders>
              <w:top w:val="nil"/>
              <w:left w:val="nil"/>
              <w:bottom w:val="nil"/>
              <w:right w:val="nil"/>
            </w:tcBorders>
            <w:vAlign w:val="center"/>
            <w:hideMark/>
          </w:tcPr>
          <w:p w14:paraId="4BCA489F" w14:textId="77777777" w:rsidR="008F6F28" w:rsidRPr="00D56F8A" w:rsidRDefault="008F6F28" w:rsidP="00AF1C96">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A50E663" w14:textId="77777777" w:rsidR="008F6F28" w:rsidRPr="00D56F8A" w:rsidRDefault="008F6F28" w:rsidP="00AF1C96">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Alejandro R. Sarmiento Cantillo</w:t>
            </w:r>
          </w:p>
          <w:p w14:paraId="7CA329A5" w14:textId="77777777" w:rsidR="008F6F28" w:rsidRPr="00D56F8A" w:rsidRDefault="008F6F28" w:rsidP="00AF1C96">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Gestor T1-15 de la Subdirección de Gestión Contractual </w:t>
            </w:r>
          </w:p>
        </w:tc>
      </w:tr>
      <w:tr w:rsidR="008F6F28" w:rsidRPr="00D56F8A" w14:paraId="61BB7729" w14:textId="77777777" w:rsidTr="00AF1C96">
        <w:trPr>
          <w:trHeight w:val="389"/>
        </w:trPr>
        <w:tc>
          <w:tcPr>
            <w:tcW w:w="817" w:type="dxa"/>
            <w:tcBorders>
              <w:top w:val="nil"/>
              <w:left w:val="nil"/>
              <w:bottom w:val="nil"/>
              <w:right w:val="nil"/>
            </w:tcBorders>
            <w:vAlign w:val="center"/>
            <w:hideMark/>
          </w:tcPr>
          <w:p w14:paraId="7955E519" w14:textId="77777777" w:rsidR="008F6F28" w:rsidRPr="00D56F8A" w:rsidRDefault="008F6F28" w:rsidP="00AF1C96">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F42F9F3" w14:textId="77777777" w:rsidR="008F6F28" w:rsidRPr="00D56F8A" w:rsidRDefault="008F6F28" w:rsidP="00AF1C96">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Carolina Quintero Gacharná</w:t>
            </w:r>
          </w:p>
          <w:p w14:paraId="777BC181" w14:textId="77777777" w:rsidR="008F6F28" w:rsidRPr="00D56F8A" w:rsidRDefault="008F6F28" w:rsidP="00AF1C96">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Subdirectora de Gestión Contractual ANCP – CCE</w:t>
            </w:r>
          </w:p>
        </w:tc>
      </w:tr>
      <w:bookmarkEnd w:id="0"/>
    </w:tbl>
    <w:p w14:paraId="2FB65D84" w14:textId="5A91C7A8" w:rsidR="008F6F28" w:rsidRPr="006E29F7" w:rsidRDefault="008F6F28" w:rsidP="006E29F7">
      <w:pPr>
        <w:spacing w:after="0" w:line="240" w:lineRule="auto"/>
        <w:textAlignment w:val="baseline"/>
        <w:rPr>
          <w:rFonts w:ascii="Verdana" w:eastAsia="Verdana" w:hAnsi="Verdana" w:cs="Verdana"/>
          <w:lang w:eastAsia="es-CO"/>
        </w:rPr>
      </w:pPr>
    </w:p>
    <w:sectPr w:rsidR="008F6F28" w:rsidRPr="006E29F7"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41F87" w14:textId="77777777" w:rsidR="00CD1B46" w:rsidRDefault="00CD1B46" w:rsidP="004A1847">
      <w:pPr>
        <w:spacing w:after="0" w:line="240" w:lineRule="auto"/>
      </w:pPr>
      <w:r>
        <w:separator/>
      </w:r>
    </w:p>
  </w:endnote>
  <w:endnote w:type="continuationSeparator" w:id="0">
    <w:p w14:paraId="0F9143BE" w14:textId="77777777" w:rsidR="00CD1B46" w:rsidRDefault="00CD1B4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altName w:val="Cambria"/>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Bookman Old Style">
    <w:panose1 w:val="020506040505050202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BE429B" w:rsidRDefault="00BE429B">
    <w:pPr>
      <w:pStyle w:val="Piedepgina"/>
    </w:pPr>
  </w:p>
  <w:p w14:paraId="594D6D9F" w14:textId="08F10804" w:rsidR="00BE429B" w:rsidRPr="00174B77" w:rsidRDefault="00BE429B"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246CBB" w:rsidRPr="00246CBB">
      <w:rPr>
        <w:rFonts w:ascii="Verdana" w:eastAsiaTheme="minorEastAsia" w:hAnsi="Verdana"/>
        <w:b/>
        <w:bCs/>
        <w:noProof/>
        <w:sz w:val="16"/>
        <w:szCs w:val="16"/>
      </w:rPr>
      <w:t>55</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BE429B" w:rsidRDefault="00BE429B"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BE429B" w:rsidRPr="00E41027" w:rsidRDefault="00BE429B"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BE429B" w:rsidRDefault="00BE429B"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196AE" w14:textId="77777777" w:rsidR="00CD1B46" w:rsidRDefault="00CD1B46" w:rsidP="004A1847">
      <w:pPr>
        <w:spacing w:after="0" w:line="240" w:lineRule="auto"/>
      </w:pPr>
      <w:r>
        <w:separator/>
      </w:r>
    </w:p>
  </w:footnote>
  <w:footnote w:type="continuationSeparator" w:id="0">
    <w:p w14:paraId="78756987" w14:textId="77777777" w:rsidR="00CD1B46" w:rsidRDefault="00CD1B46" w:rsidP="004A1847">
      <w:pPr>
        <w:spacing w:after="0" w:line="240" w:lineRule="auto"/>
      </w:pPr>
      <w:r>
        <w:continuationSeparator/>
      </w:r>
    </w:p>
  </w:footnote>
  <w:footnote w:id="1">
    <w:p w14:paraId="5325E9CB" w14:textId="77777777" w:rsidR="008F6F28" w:rsidRPr="005F70F5" w:rsidRDefault="008F6F28" w:rsidP="008F6F28">
      <w:pPr>
        <w:pStyle w:val="Textonotapie"/>
        <w:ind w:firstLine="708"/>
        <w:jc w:val="both"/>
        <w:rPr>
          <w:rFonts w:ascii="Verdana" w:hAnsi="Verdana" w:cs="Arial"/>
          <w:sz w:val="16"/>
          <w:szCs w:val="16"/>
          <w:lang w:val="es-ES"/>
        </w:rPr>
      </w:pPr>
      <w:r w:rsidRPr="005F70F5">
        <w:rPr>
          <w:rStyle w:val="Refdenotaalpie"/>
          <w:rFonts w:ascii="Verdana" w:hAnsi="Verdana" w:cs="Arial"/>
          <w:sz w:val="16"/>
          <w:szCs w:val="16"/>
        </w:rPr>
        <w:footnoteRef/>
      </w:r>
      <w:r w:rsidRPr="005F70F5">
        <w:rPr>
          <w:rFonts w:ascii="Verdana" w:hAnsi="Verdana" w:cs="Arial"/>
          <w:sz w:val="16"/>
          <w:szCs w:val="16"/>
        </w:rPr>
        <w:t xml:space="preserve"> Cfr. BENAVIDES, José Luis. El contrato estatal: entre el derecho público y el derecho privado. Segunda edición. Bogotá: Universidad Externado de Colombia, 2009. pp. 78-79.      </w:t>
      </w:r>
    </w:p>
  </w:footnote>
  <w:footnote w:id="2">
    <w:p w14:paraId="70870568" w14:textId="77777777" w:rsidR="008F6F28" w:rsidRPr="005F70F5" w:rsidRDefault="008F6F28" w:rsidP="008F6F28">
      <w:pPr>
        <w:pStyle w:val="Textonotapie"/>
        <w:ind w:firstLine="708"/>
        <w:jc w:val="both"/>
        <w:rPr>
          <w:rFonts w:ascii="Verdana" w:hAnsi="Verdana" w:cs="Arial"/>
          <w:sz w:val="16"/>
          <w:szCs w:val="16"/>
          <w:lang w:val="es-ES"/>
        </w:rPr>
      </w:pPr>
      <w:r w:rsidRPr="005F70F5">
        <w:rPr>
          <w:rStyle w:val="Refdenotaalpie"/>
          <w:rFonts w:ascii="Verdana" w:hAnsi="Verdana" w:cs="Arial"/>
          <w:sz w:val="16"/>
          <w:szCs w:val="16"/>
        </w:rPr>
        <w:footnoteRef/>
      </w:r>
      <w:r w:rsidRPr="005F70F5">
        <w:rPr>
          <w:rFonts w:ascii="Verdana" w:hAnsi="Verdana" w:cs="Arial"/>
          <w:sz w:val="16"/>
          <w:szCs w:val="16"/>
        </w:rPr>
        <w:t xml:space="preserve"> BETANCUR JARAMILLO, Carlos. Derecho procesal administrativo. Octava edición. Medellín: Señal Editora, 2013. p. 627. </w:t>
      </w:r>
    </w:p>
  </w:footnote>
  <w:footnote w:id="3">
    <w:p w14:paraId="06E75FDF" w14:textId="77777777" w:rsidR="008F6F28" w:rsidRPr="00803692" w:rsidRDefault="008F6F28" w:rsidP="008F6F28">
      <w:pPr>
        <w:pStyle w:val="Textonotapie"/>
        <w:ind w:firstLine="708"/>
        <w:jc w:val="both"/>
        <w:rPr>
          <w:rFonts w:ascii="Verdana" w:hAnsi="Verdana"/>
          <w:sz w:val="16"/>
          <w:szCs w:val="16"/>
        </w:rPr>
      </w:pPr>
      <w:r w:rsidRPr="00E57ED8">
        <w:rPr>
          <w:rStyle w:val="Refdenotaalpie"/>
          <w:rFonts w:ascii="Verdana" w:hAnsi="Verdana"/>
          <w:sz w:val="16"/>
          <w:szCs w:val="16"/>
        </w:rPr>
        <w:footnoteRef/>
      </w:r>
      <w:r w:rsidRPr="00E57ED8">
        <w:rPr>
          <w:rFonts w:ascii="Verdana" w:hAnsi="Verdana"/>
          <w:sz w:val="16"/>
          <w:szCs w:val="16"/>
        </w:rPr>
        <w:t xml:space="preserve"> </w:t>
      </w:r>
      <w:r>
        <w:rPr>
          <w:rFonts w:ascii="Verdana" w:hAnsi="Verdana"/>
          <w:sz w:val="16"/>
          <w:szCs w:val="16"/>
        </w:rPr>
        <w:t>OSPINA FERNÁNDEZ, Guillermo &amp; OSPINA ACOSTA, Eduardo. Teoría General del Contrato y del Negocio Jurídico. Séptima edición. Bogotá: Temis, 2021. p. 50.</w:t>
      </w:r>
    </w:p>
  </w:footnote>
  <w:footnote w:id="4">
    <w:p w14:paraId="75558F80" w14:textId="77777777" w:rsidR="008F6F28" w:rsidRPr="00D239E3" w:rsidRDefault="008F6F28" w:rsidP="008F6F28">
      <w:pPr>
        <w:pStyle w:val="Textonotapie"/>
        <w:ind w:firstLine="708"/>
        <w:jc w:val="both"/>
        <w:rPr>
          <w:rFonts w:ascii="Verdana" w:hAnsi="Verdana"/>
          <w:sz w:val="16"/>
          <w:szCs w:val="16"/>
        </w:rPr>
      </w:pPr>
      <w:r w:rsidRPr="005F70F5">
        <w:rPr>
          <w:rStyle w:val="Refdenotaalpie"/>
          <w:rFonts w:ascii="Verdana" w:hAnsi="Verdana"/>
          <w:sz w:val="16"/>
          <w:szCs w:val="16"/>
        </w:rPr>
        <w:footnoteRef/>
      </w:r>
      <w:r>
        <w:rPr>
          <w:rFonts w:ascii="Verdana" w:hAnsi="Verdana"/>
          <w:sz w:val="16"/>
          <w:szCs w:val="16"/>
        </w:rPr>
        <w:t xml:space="preserve"> </w:t>
      </w:r>
      <w:r w:rsidRPr="005B2B49">
        <w:rPr>
          <w:rFonts w:ascii="Verdana" w:hAnsi="Verdana"/>
          <w:sz w:val="16"/>
          <w:szCs w:val="16"/>
        </w:rPr>
        <w:t xml:space="preserve">SUÁREZ BELTRÁN, Gonzalo. Estudios de Derecho Contractual Público: Bogotá: Legis, 2014. p. 238. Al respecto, la doctrina considera que “Esta clase de contratos está constituida por aquellas figuras cuyos elementos son conocidos (elementos legales); dispuestos, sin embargo, en combinaciones diferentes a las que se pueden apreciar en los contratos típicos y que, además, han sido tomadas de más de un tipo de contrato. Estos elementos pueden encontrarse en una relación de coordinación o de subordinación” (Cfr. ARRUBLA PAUCAR, Jaime Alberto. Contratos mercantiles: contratos atípicos. Octava edición. Bogotá: Legis, 2015. p. 36). </w:t>
      </w:r>
    </w:p>
  </w:footnote>
  <w:footnote w:id="5">
    <w:p w14:paraId="6E6F291E" w14:textId="77777777" w:rsidR="008F6F28" w:rsidRPr="00913180" w:rsidRDefault="008F6F28" w:rsidP="008F6F28">
      <w:pPr>
        <w:pStyle w:val="Textonotapie"/>
        <w:ind w:firstLine="708"/>
        <w:jc w:val="both"/>
        <w:rPr>
          <w:rFonts w:ascii="Verdana" w:hAnsi="Verdana"/>
          <w:color w:val="000000" w:themeColor="text1"/>
          <w:sz w:val="16"/>
          <w:szCs w:val="16"/>
          <w:lang w:val="en-US"/>
        </w:rPr>
      </w:pPr>
      <w:r w:rsidRPr="00D239E3">
        <w:rPr>
          <w:rStyle w:val="Refdenotaalpie"/>
          <w:rFonts w:ascii="Verdana" w:hAnsi="Verdana"/>
          <w:sz w:val="16"/>
          <w:szCs w:val="16"/>
        </w:rPr>
        <w:footnoteRef/>
      </w:r>
      <w:r w:rsidRPr="00D239E3">
        <w:rPr>
          <w:rFonts w:ascii="Verdana" w:hAnsi="Verdana"/>
          <w:sz w:val="16"/>
          <w:szCs w:val="16"/>
        </w:rPr>
        <w:t xml:space="preserve"> </w:t>
      </w:r>
      <w:r w:rsidRPr="00D239E3">
        <w:rPr>
          <w:rFonts w:ascii="Verdana" w:hAnsi="Verdana"/>
          <w:color w:val="000000" w:themeColor="text1"/>
          <w:sz w:val="16"/>
          <w:szCs w:val="16"/>
        </w:rPr>
        <w:t xml:space="preserve">CONSEJO DE ESTADO. Sala de Consulta y Servicio Civil. Concepto del 5 de septiembre de 2018. </w:t>
      </w:r>
      <w:r w:rsidRPr="00913180">
        <w:rPr>
          <w:rFonts w:ascii="Verdana" w:hAnsi="Verdana"/>
          <w:color w:val="000000" w:themeColor="text1"/>
          <w:sz w:val="16"/>
          <w:szCs w:val="16"/>
          <w:lang w:val="en-US"/>
        </w:rPr>
        <w:t>Rad. 2.386. C.P. Edgar González López.</w:t>
      </w:r>
    </w:p>
  </w:footnote>
  <w:footnote w:id="6">
    <w:p w14:paraId="39895B69" w14:textId="77777777" w:rsidR="008F6F28" w:rsidRPr="00BB19A8" w:rsidRDefault="008F6F28" w:rsidP="008F6F28">
      <w:pPr>
        <w:pStyle w:val="Textonotapie"/>
        <w:ind w:firstLine="708"/>
        <w:jc w:val="both"/>
        <w:rPr>
          <w:rFonts w:ascii="Verdana" w:hAnsi="Verdana"/>
          <w:sz w:val="16"/>
          <w:szCs w:val="16"/>
          <w:lang w:val="en-US"/>
        </w:rPr>
      </w:pPr>
      <w:r w:rsidRPr="00BB19A8">
        <w:rPr>
          <w:rStyle w:val="Refdenotaalpie"/>
          <w:rFonts w:ascii="Verdana" w:hAnsi="Verdana"/>
          <w:sz w:val="16"/>
          <w:szCs w:val="16"/>
        </w:rPr>
        <w:footnoteRef/>
      </w:r>
      <w:r w:rsidRPr="00BB19A8">
        <w:rPr>
          <w:rFonts w:ascii="Verdana" w:hAnsi="Verdana"/>
          <w:sz w:val="16"/>
          <w:szCs w:val="16"/>
          <w:lang w:val="en-US"/>
        </w:rPr>
        <w:t xml:space="preserve"> DELMON, Jeffrey. </w:t>
      </w:r>
      <w:r w:rsidRPr="00BB19A8">
        <w:rPr>
          <w:rFonts w:ascii="Verdana" w:hAnsi="Verdana"/>
          <w:sz w:val="16"/>
          <w:szCs w:val="16"/>
          <w:lang w:val="en-US"/>
        </w:rPr>
        <w:t>Understanting Options for Public-Private Partnerships in Infrastructure. Sortings out the fores from the trees: BOT, DBFO, DCME, concession, lease…Policy Research Working Paper 5173.</w:t>
      </w:r>
    </w:p>
  </w:footnote>
  <w:footnote w:id="7">
    <w:p w14:paraId="65849A31" w14:textId="77777777" w:rsidR="008F6F28" w:rsidRPr="00BB19A8" w:rsidRDefault="008F6F28" w:rsidP="008F6F28">
      <w:pPr>
        <w:spacing w:after="0" w:line="240" w:lineRule="auto"/>
        <w:ind w:firstLine="708"/>
        <w:jc w:val="both"/>
        <w:rPr>
          <w:rFonts w:ascii="Verdana" w:hAnsi="Verdana"/>
          <w:sz w:val="16"/>
          <w:szCs w:val="16"/>
        </w:rPr>
      </w:pPr>
      <w:r w:rsidRPr="00BB19A8">
        <w:rPr>
          <w:rFonts w:ascii="Verdana" w:hAnsi="Verdana"/>
          <w:sz w:val="16"/>
          <w:szCs w:val="16"/>
          <w:vertAlign w:val="superscript"/>
        </w:rPr>
        <w:footnoteRef/>
      </w:r>
      <w:r w:rsidRPr="00BB19A8">
        <w:rPr>
          <w:rFonts w:ascii="Verdana" w:hAnsi="Verdana"/>
          <w:sz w:val="16"/>
          <w:szCs w:val="16"/>
        </w:rPr>
        <w:t xml:space="preserve"> FERROVIAL. Licitaciones en infraestructuras: una cuestión de siglas. En: Ferrovial Blog [en línea]. 17 de enero de 2017. Disponible en: https://blog.ferrovial.com/es/2017/01/siglas-proceso-de-licitacion-en-infraestructuras/. [Consultado el 1 de octubre de 2025] y VARGAS GUILLÉN, Cristy Alexander. Las asociaciones </w:t>
      </w:r>
      <w:r w:rsidRPr="00BB19A8">
        <w:rPr>
          <w:rFonts w:ascii="Verdana" w:hAnsi="Verdana"/>
          <w:sz w:val="16"/>
          <w:szCs w:val="16"/>
        </w:rPr>
        <w:t>público privadas para la suscripción de contrato de concesión para el diseño, construcción, mantenimiento y operación de los establecimientos de reclusión en Colombia. Bogotá: Universidad Externado de Colombia, 2016. p. 97.</w:t>
      </w:r>
    </w:p>
  </w:footnote>
  <w:footnote w:id="8">
    <w:p w14:paraId="2B1C3BD8" w14:textId="77777777" w:rsidR="008F6F28" w:rsidRPr="00C87E42" w:rsidRDefault="008F6F28" w:rsidP="008F6F28">
      <w:pPr>
        <w:pStyle w:val="Textonotapie"/>
        <w:ind w:firstLine="708"/>
        <w:jc w:val="both"/>
        <w:rPr>
          <w:rFonts w:ascii="Verdana" w:hAnsi="Verdana"/>
          <w:sz w:val="16"/>
          <w:szCs w:val="16"/>
          <w:lang w:val="es-CO"/>
        </w:rPr>
      </w:pPr>
      <w:r w:rsidRPr="00C87E42">
        <w:rPr>
          <w:rStyle w:val="Refdenotaalpie"/>
          <w:rFonts w:ascii="Verdana" w:hAnsi="Verdana"/>
          <w:sz w:val="16"/>
          <w:szCs w:val="16"/>
        </w:rPr>
        <w:footnoteRef/>
      </w:r>
      <w:r w:rsidRPr="00C87E42">
        <w:rPr>
          <w:rFonts w:ascii="Verdana" w:hAnsi="Verdana"/>
          <w:sz w:val="16"/>
          <w:szCs w:val="16"/>
        </w:rPr>
        <w:t xml:space="preserve"> </w:t>
      </w:r>
      <w:r w:rsidRPr="00C87E42">
        <w:rPr>
          <w:rFonts w:ascii="Verdana" w:hAnsi="Verdana"/>
          <w:sz w:val="16"/>
          <w:szCs w:val="16"/>
          <w:lang w:val="es-CO"/>
        </w:rPr>
        <w:t xml:space="preserve">RAMÍREZ HERRERA, Rodrigo Eduardo. </w:t>
      </w:r>
      <w:r w:rsidRPr="00C87E42">
        <w:rPr>
          <w:rFonts w:ascii="Verdana" w:hAnsi="Verdana"/>
          <w:i/>
          <w:iCs/>
          <w:sz w:val="16"/>
          <w:szCs w:val="16"/>
          <w:lang w:val="es-CO"/>
        </w:rPr>
        <w:t>La naturaleza jurídica de la externalización (outsourcing) de procesos de conocimiento como contrato unitario relacional</w:t>
      </w:r>
      <w:r w:rsidRPr="00C87E42">
        <w:rPr>
          <w:rFonts w:ascii="Verdana" w:hAnsi="Verdana"/>
          <w:sz w:val="16"/>
          <w:szCs w:val="16"/>
          <w:lang w:val="es-CO"/>
        </w:rPr>
        <w:t xml:space="preserve">. 2015. Tesis Doctoral. </w:t>
      </w:r>
      <w:r w:rsidRPr="00C87E42">
        <w:rPr>
          <w:rFonts w:ascii="Verdana" w:hAnsi="Verdana"/>
          <w:sz w:val="16"/>
          <w:szCs w:val="16"/>
          <w:lang w:val="es-CO"/>
        </w:rPr>
        <w:t xml:space="preserve">Universitat d'Alacant/Universidad de Alicante. p. 35. </w:t>
      </w:r>
    </w:p>
  </w:footnote>
  <w:footnote w:id="9">
    <w:p w14:paraId="7530927A" w14:textId="77777777" w:rsidR="008F6F28" w:rsidRPr="00C87E42" w:rsidRDefault="008F6F28" w:rsidP="008F6F28">
      <w:pPr>
        <w:pStyle w:val="Textonotapie"/>
        <w:ind w:firstLine="708"/>
        <w:rPr>
          <w:rFonts w:ascii="Verdana" w:hAnsi="Verdana"/>
          <w:sz w:val="16"/>
          <w:szCs w:val="16"/>
        </w:rPr>
      </w:pPr>
      <w:r w:rsidRPr="00C87E42">
        <w:rPr>
          <w:rStyle w:val="Refdenotaalpie"/>
          <w:rFonts w:ascii="Verdana" w:hAnsi="Verdana"/>
          <w:sz w:val="16"/>
          <w:szCs w:val="16"/>
        </w:rPr>
        <w:footnoteRef/>
      </w:r>
      <w:r w:rsidRPr="00C87E42">
        <w:rPr>
          <w:rFonts w:ascii="Verdana" w:hAnsi="Verdana"/>
          <w:sz w:val="16"/>
          <w:szCs w:val="16"/>
        </w:rPr>
        <w:t xml:space="preserve"> </w:t>
      </w:r>
      <w:r w:rsidRPr="00C87E42">
        <w:rPr>
          <w:rFonts w:ascii="Verdana" w:hAnsi="Verdana"/>
          <w:sz w:val="16"/>
          <w:szCs w:val="16"/>
        </w:rPr>
        <w:t xml:space="preserve">Ibídem., p. 36. </w:t>
      </w:r>
    </w:p>
  </w:footnote>
  <w:footnote w:id="10">
    <w:p w14:paraId="63703752" w14:textId="77777777" w:rsidR="008F6F28" w:rsidRPr="00C87E42" w:rsidRDefault="008F6F28" w:rsidP="008F6F28">
      <w:pPr>
        <w:pStyle w:val="Textonotapie"/>
        <w:ind w:firstLine="708"/>
        <w:rPr>
          <w:rFonts w:ascii="Verdana" w:hAnsi="Verdana"/>
          <w:bCs/>
          <w:sz w:val="16"/>
          <w:szCs w:val="16"/>
          <w:lang w:val="es-CO"/>
        </w:rPr>
      </w:pPr>
      <w:r w:rsidRPr="00C87E42">
        <w:rPr>
          <w:rStyle w:val="Refdenotaalpie"/>
          <w:rFonts w:ascii="Verdana" w:hAnsi="Verdana"/>
          <w:sz w:val="16"/>
          <w:szCs w:val="16"/>
        </w:rPr>
        <w:footnoteRef/>
      </w:r>
      <w:r w:rsidRPr="00C87E42">
        <w:rPr>
          <w:rFonts w:ascii="Verdana" w:hAnsi="Verdana"/>
          <w:sz w:val="16"/>
          <w:szCs w:val="16"/>
        </w:rPr>
        <w:t xml:space="preserve"> Disponible en línea: </w:t>
      </w:r>
      <w:hyperlink r:id="rId1" w:history="1">
        <w:r w:rsidRPr="00C87E42">
          <w:rPr>
            <w:rStyle w:val="Hipervnculo"/>
            <w:rFonts w:ascii="Verdana" w:hAnsi="Verdana"/>
            <w:bCs/>
            <w:sz w:val="16"/>
            <w:szCs w:val="16"/>
            <w:lang w:val="es-CO"/>
          </w:rPr>
          <w:t>https://www.ibm.com/mx-es/think/topics/business-process-outsourcing</w:t>
        </w:r>
      </w:hyperlink>
      <w:r w:rsidRPr="00C87E42">
        <w:rPr>
          <w:rFonts w:ascii="Verdana" w:hAnsi="Verdana"/>
          <w:bCs/>
          <w:sz w:val="16"/>
          <w:szCs w:val="16"/>
          <w:lang w:val="es-CO"/>
        </w:rPr>
        <w:t xml:space="preserve"> </w:t>
      </w:r>
    </w:p>
  </w:footnote>
  <w:footnote w:id="11">
    <w:p w14:paraId="63073F4C" w14:textId="77777777" w:rsidR="008F6F28" w:rsidRPr="005B2B49" w:rsidRDefault="008F6F28" w:rsidP="008F6F28">
      <w:pPr>
        <w:pStyle w:val="Textonotapie"/>
        <w:ind w:firstLine="708"/>
        <w:rPr>
          <w:rFonts w:ascii="Verdana" w:hAnsi="Verdana"/>
          <w:sz w:val="16"/>
          <w:szCs w:val="16"/>
          <w:lang w:val="es-CO"/>
        </w:rPr>
      </w:pPr>
      <w:r w:rsidRPr="005B2B49">
        <w:rPr>
          <w:rStyle w:val="Refdenotaalpie"/>
          <w:rFonts w:ascii="Verdana" w:hAnsi="Verdana"/>
          <w:sz w:val="16"/>
          <w:szCs w:val="16"/>
        </w:rPr>
        <w:footnoteRef/>
      </w:r>
      <w:r w:rsidRPr="005B2B49">
        <w:rPr>
          <w:rFonts w:ascii="Verdana" w:hAnsi="Verdana"/>
          <w:sz w:val="16"/>
          <w:szCs w:val="16"/>
          <w:lang w:val="es-CO"/>
        </w:rPr>
        <w:t xml:space="preserve"> </w:t>
      </w:r>
      <w:r w:rsidRPr="00C87E42">
        <w:rPr>
          <w:rFonts w:ascii="Verdana" w:hAnsi="Verdana"/>
          <w:sz w:val="16"/>
          <w:szCs w:val="16"/>
          <w:lang w:val="es-CO"/>
        </w:rPr>
        <w:t>RAMÍREZ HERRERA, Rodrigo Eduardo.</w:t>
      </w:r>
      <w:r>
        <w:rPr>
          <w:rFonts w:ascii="Verdana" w:hAnsi="Verdana"/>
          <w:sz w:val="16"/>
          <w:szCs w:val="16"/>
          <w:lang w:val="es-CO"/>
        </w:rPr>
        <w:t xml:space="preserve"> </w:t>
      </w:r>
      <w:r w:rsidRPr="00D92346">
        <w:rPr>
          <w:rFonts w:ascii="Verdana" w:hAnsi="Verdana"/>
          <w:sz w:val="16"/>
          <w:szCs w:val="16"/>
          <w:lang w:val="es-CO"/>
        </w:rPr>
        <w:t>Op. Cit. p. 52.</w:t>
      </w:r>
    </w:p>
  </w:footnote>
  <w:footnote w:id="12">
    <w:p w14:paraId="28141FC7" w14:textId="77777777" w:rsidR="008F6F28" w:rsidRPr="005B2B49" w:rsidRDefault="008F6F28" w:rsidP="008F6F28">
      <w:pPr>
        <w:pStyle w:val="Textonotapie"/>
        <w:ind w:firstLine="708"/>
        <w:jc w:val="both"/>
        <w:rPr>
          <w:rFonts w:ascii="Verdana" w:hAnsi="Verdana"/>
          <w:sz w:val="16"/>
          <w:szCs w:val="16"/>
          <w:lang w:val="pt-BR"/>
        </w:rPr>
      </w:pPr>
      <w:r w:rsidRPr="00C87E42">
        <w:rPr>
          <w:rStyle w:val="Refdenotaalpie"/>
          <w:rFonts w:ascii="Verdana" w:hAnsi="Verdana"/>
          <w:sz w:val="16"/>
          <w:szCs w:val="16"/>
        </w:rPr>
        <w:footnoteRef/>
      </w:r>
      <w:r w:rsidRPr="00C87E42">
        <w:rPr>
          <w:rFonts w:ascii="Verdana" w:hAnsi="Verdana"/>
          <w:sz w:val="16"/>
          <w:szCs w:val="16"/>
          <w:lang w:val="pt-BR"/>
        </w:rPr>
        <w:t xml:space="preserve"> OSPINA FERNÁNDEZ &amp; OSPINA ACOSTA, Op. cit., p. 51.</w:t>
      </w:r>
    </w:p>
  </w:footnote>
  <w:footnote w:id="13">
    <w:p w14:paraId="2713CE9D" w14:textId="77777777" w:rsidR="008F6F28" w:rsidRPr="00D1450B" w:rsidRDefault="008F6F28" w:rsidP="008F6F28">
      <w:pPr>
        <w:pStyle w:val="Textonotapie"/>
        <w:ind w:firstLine="709"/>
        <w:jc w:val="both"/>
        <w:rPr>
          <w:rFonts w:ascii="Verdana" w:hAnsi="Verdana"/>
          <w:sz w:val="16"/>
          <w:szCs w:val="16"/>
        </w:rPr>
      </w:pPr>
      <w:r w:rsidRPr="00E721F8">
        <w:rPr>
          <w:rStyle w:val="Refdenotaalpie"/>
          <w:rFonts w:ascii="Verdana" w:hAnsi="Verdana"/>
          <w:sz w:val="16"/>
          <w:szCs w:val="16"/>
        </w:rPr>
        <w:footnoteRef/>
      </w:r>
      <w:r w:rsidRPr="00E721F8">
        <w:rPr>
          <w:rFonts w:ascii="Verdana" w:hAnsi="Verdana"/>
          <w:sz w:val="16"/>
          <w:szCs w:val="16"/>
        </w:rPr>
        <w:t xml:space="preserve"> SÁNCHEZ TRUJILLO</w:t>
      </w:r>
      <w:r>
        <w:rPr>
          <w:rFonts w:ascii="Verdana" w:hAnsi="Verdana"/>
          <w:sz w:val="16"/>
          <w:szCs w:val="16"/>
        </w:rPr>
        <w:t>,</w:t>
      </w:r>
      <w:r w:rsidRPr="00E721F8">
        <w:rPr>
          <w:rFonts w:ascii="Verdana" w:hAnsi="Verdana"/>
          <w:sz w:val="16"/>
          <w:szCs w:val="16"/>
        </w:rPr>
        <w:t xml:space="preserve"> Juan Pablo</w:t>
      </w:r>
      <w:r>
        <w:rPr>
          <w:rFonts w:ascii="Verdana" w:hAnsi="Verdana"/>
          <w:sz w:val="16"/>
          <w:szCs w:val="16"/>
        </w:rPr>
        <w:t xml:space="preserve">. </w:t>
      </w:r>
      <w:r w:rsidRPr="00E721F8">
        <w:rPr>
          <w:rFonts w:ascii="Verdana" w:hAnsi="Verdana"/>
          <w:sz w:val="16"/>
          <w:szCs w:val="16"/>
        </w:rPr>
        <w:t>Completitud de la oferta del contrato atípico: elementos esenciales del contrato atípico como requisito de delimitación del objeto de la oferta mercantil</w:t>
      </w:r>
      <w:r>
        <w:rPr>
          <w:rFonts w:ascii="Verdana" w:hAnsi="Verdana"/>
          <w:sz w:val="16"/>
          <w:szCs w:val="16"/>
        </w:rPr>
        <w:t xml:space="preserve">. Consultado el 11 de noviembre de 2024 en la página web </w:t>
      </w:r>
      <w:hyperlink r:id="rId2" w:history="1">
        <w:r w:rsidRPr="00880444">
          <w:rPr>
            <w:rStyle w:val="Hipervnculo"/>
            <w:rFonts w:ascii="Verdana" w:hAnsi="Verdana"/>
            <w:sz w:val="16"/>
            <w:szCs w:val="16"/>
          </w:rPr>
          <w:t>https://revistas.udea.edu.co/index.php/derypol/article/view/331285/20790715</w:t>
        </w:r>
      </w:hyperlink>
      <w:r>
        <w:rPr>
          <w:rFonts w:ascii="Verdana" w:hAnsi="Verdana"/>
          <w:sz w:val="16"/>
          <w:szCs w:val="16"/>
        </w:rPr>
        <w:t xml:space="preserve">. </w:t>
      </w:r>
    </w:p>
  </w:footnote>
  <w:footnote w:id="14">
    <w:p w14:paraId="3DEA3527" w14:textId="77777777" w:rsidR="008F6F28" w:rsidRPr="005B2B49" w:rsidRDefault="008F6F28" w:rsidP="008F6F28">
      <w:pPr>
        <w:spacing w:after="0" w:line="244" w:lineRule="auto"/>
        <w:ind w:left="120" w:firstLine="707"/>
        <w:jc w:val="both"/>
        <w:rPr>
          <w:rFonts w:ascii="Verdana" w:hAnsi="Verdana" w:cs="Arial"/>
          <w:sz w:val="16"/>
          <w:szCs w:val="16"/>
        </w:rPr>
      </w:pPr>
      <w:r w:rsidRPr="005B2B49">
        <w:rPr>
          <w:rStyle w:val="Refdenotaalpie"/>
          <w:rFonts w:ascii="Verdana" w:hAnsi="Verdana" w:cs="Arial"/>
          <w:sz w:val="16"/>
          <w:szCs w:val="16"/>
        </w:rPr>
        <w:footnoteRef/>
      </w:r>
      <w:r w:rsidRPr="005B2B49">
        <w:rPr>
          <w:rFonts w:ascii="Verdana" w:hAnsi="Verdana" w:cs="Arial"/>
          <w:position w:val="6"/>
          <w:sz w:val="16"/>
          <w:szCs w:val="16"/>
        </w:rPr>
        <w:t xml:space="preserve"> </w:t>
      </w:r>
      <w:r w:rsidRPr="005B2B49">
        <w:rPr>
          <w:rFonts w:ascii="Verdana" w:hAnsi="Verdana" w:cs="Arial"/>
          <w:sz w:val="16"/>
          <w:szCs w:val="16"/>
        </w:rPr>
        <w:t>DEIK ACOSTAMADIEDO, Carolina, Guía de Contratación Estatal: Deber de planeación y modalidades de selección, Buenos Aires, 2015, p. 59.</w:t>
      </w:r>
    </w:p>
  </w:footnote>
  <w:footnote w:id="15">
    <w:p w14:paraId="5D05E405" w14:textId="77777777" w:rsidR="008F6F28" w:rsidRPr="005B2B49" w:rsidRDefault="008F6F28" w:rsidP="008F6F28">
      <w:pPr>
        <w:pStyle w:val="Textonotapie"/>
        <w:ind w:firstLine="709"/>
        <w:jc w:val="both"/>
        <w:rPr>
          <w:rFonts w:ascii="Verdana" w:hAnsi="Verdana" w:cs="Arial"/>
          <w:sz w:val="16"/>
          <w:szCs w:val="16"/>
          <w:lang w:val="pt-BR"/>
        </w:rPr>
      </w:pPr>
      <w:r w:rsidRPr="005B2B49">
        <w:rPr>
          <w:rStyle w:val="Refdenotaalpie"/>
          <w:rFonts w:ascii="Verdana" w:hAnsi="Verdana" w:cs="Arial"/>
          <w:sz w:val="16"/>
          <w:szCs w:val="16"/>
        </w:rPr>
        <w:footnoteRef/>
      </w:r>
      <w:r w:rsidRPr="005B2B49">
        <w:rPr>
          <w:rFonts w:ascii="Verdana" w:hAnsi="Verdana" w:cs="Arial"/>
          <w:sz w:val="16"/>
          <w:szCs w:val="16"/>
          <w:lang w:val="pt-BR"/>
        </w:rPr>
        <w:t xml:space="preserve"> Tomado de </w:t>
      </w:r>
      <w:hyperlink r:id="rId3" w:history="1">
        <w:r w:rsidRPr="005B2B49">
          <w:rPr>
            <w:rStyle w:val="Hipervnculo"/>
            <w:rFonts w:ascii="Verdana" w:hAnsi="Verdana" w:cs="Arial"/>
            <w:color w:val="0E2841"/>
            <w:sz w:val="16"/>
            <w:szCs w:val="16"/>
            <w:lang w:val="pt-BR"/>
          </w:rPr>
          <w:t>https://sintesis.colombiacompra.gov.co/sintesis/9-etapa-precontractual-estudios-previos</w:t>
        </w:r>
      </w:hyperlink>
      <w:r w:rsidRPr="005B2B49">
        <w:rPr>
          <w:rFonts w:ascii="Verdana" w:hAnsi="Verdana" w:cs="Arial"/>
          <w:sz w:val="16"/>
          <w:szCs w:val="16"/>
          <w:lang w:val="pt-BR"/>
        </w:rPr>
        <w:t>.</w:t>
      </w:r>
    </w:p>
  </w:footnote>
  <w:footnote w:id="16">
    <w:p w14:paraId="46097F43" w14:textId="77777777" w:rsidR="008F6F28" w:rsidRPr="00BA4BCB" w:rsidRDefault="008F6F28" w:rsidP="008F6F28">
      <w:pPr>
        <w:pStyle w:val="Textonotapie"/>
        <w:ind w:firstLine="708"/>
        <w:rPr>
          <w:rFonts w:ascii="Verdana" w:hAnsi="Verdana"/>
          <w:sz w:val="16"/>
          <w:szCs w:val="16"/>
          <w:lang w:val="es-CO"/>
        </w:rPr>
      </w:pPr>
      <w:r w:rsidRPr="00C87E42">
        <w:rPr>
          <w:rStyle w:val="Refdenotaalpie"/>
          <w:rFonts w:ascii="Verdana" w:hAnsi="Verdana"/>
          <w:sz w:val="16"/>
          <w:szCs w:val="16"/>
        </w:rPr>
        <w:footnoteRef/>
      </w:r>
      <w:r w:rsidRPr="00C87E42">
        <w:rPr>
          <w:rFonts w:ascii="Verdana" w:hAnsi="Verdana"/>
          <w:sz w:val="16"/>
          <w:szCs w:val="16"/>
          <w:lang w:val="es-CO"/>
        </w:rPr>
        <w:t xml:space="preserve"> RAMÍREZ HERRERA, Rodrigo Eduardo. </w:t>
      </w:r>
      <w:r w:rsidRPr="00BA4BCB">
        <w:rPr>
          <w:rFonts w:ascii="Verdana" w:hAnsi="Verdana"/>
          <w:sz w:val="16"/>
          <w:szCs w:val="16"/>
          <w:lang w:val="es-CO"/>
        </w:rPr>
        <w:t xml:space="preserve">Op. Cit. p. 157. </w:t>
      </w:r>
    </w:p>
  </w:footnote>
  <w:footnote w:id="17">
    <w:p w14:paraId="7564194F" w14:textId="77777777" w:rsidR="008F6F28" w:rsidRPr="00BA4BCB" w:rsidRDefault="008F6F28" w:rsidP="008F6F28">
      <w:pPr>
        <w:pStyle w:val="Textonotapie"/>
        <w:ind w:firstLine="708"/>
        <w:rPr>
          <w:rFonts w:ascii="Verdana" w:hAnsi="Verdana"/>
          <w:sz w:val="16"/>
          <w:szCs w:val="16"/>
          <w:lang w:val="es-CO"/>
        </w:rPr>
      </w:pPr>
      <w:r w:rsidRPr="00C87E42">
        <w:rPr>
          <w:rStyle w:val="Refdenotaalpie"/>
          <w:rFonts w:ascii="Verdana" w:hAnsi="Verdana"/>
          <w:sz w:val="16"/>
          <w:szCs w:val="16"/>
        </w:rPr>
        <w:footnoteRef/>
      </w:r>
      <w:r w:rsidRPr="00BA4BCB">
        <w:rPr>
          <w:rFonts w:ascii="Verdana" w:hAnsi="Verdana"/>
          <w:sz w:val="16"/>
          <w:szCs w:val="16"/>
          <w:lang w:val="es-CO"/>
        </w:rPr>
        <w:t xml:space="preserve"> </w:t>
      </w:r>
      <w:r w:rsidRPr="00BA4BCB">
        <w:rPr>
          <w:rFonts w:ascii="Verdana" w:hAnsi="Verdana"/>
          <w:sz w:val="16"/>
          <w:szCs w:val="16"/>
          <w:lang w:val="es-CO"/>
        </w:rPr>
        <w:t xml:space="preserve">Ibídem., p. 158. </w:t>
      </w:r>
    </w:p>
  </w:footnote>
  <w:footnote w:id="18">
    <w:p w14:paraId="1C2BE217" w14:textId="77777777" w:rsidR="008F6F28" w:rsidRPr="004272A2" w:rsidRDefault="008F6F28" w:rsidP="008F6F28">
      <w:pPr>
        <w:pStyle w:val="Textonotapie"/>
        <w:ind w:firstLine="707"/>
        <w:jc w:val="both"/>
        <w:rPr>
          <w:rFonts w:ascii="Verdana" w:hAnsi="Verdana"/>
          <w:sz w:val="16"/>
          <w:szCs w:val="16"/>
          <w:lang w:val="es-ES"/>
        </w:rPr>
      </w:pPr>
      <w:r w:rsidRPr="00AE2D73">
        <w:rPr>
          <w:rStyle w:val="Refdenotaalpie"/>
          <w:rFonts w:ascii="Verdana" w:hAnsi="Verdana"/>
          <w:sz w:val="16"/>
          <w:szCs w:val="16"/>
        </w:rPr>
        <w:footnoteRef/>
      </w:r>
      <w:r w:rsidRPr="00AE2D73">
        <w:rPr>
          <w:rFonts w:ascii="Verdana" w:hAnsi="Verdana"/>
          <w:sz w:val="16"/>
          <w:szCs w:val="16"/>
        </w:rPr>
        <w:t xml:space="preserve"> </w:t>
      </w:r>
      <w:r>
        <w:rPr>
          <w:rFonts w:ascii="Verdana" w:hAnsi="Verdana"/>
          <w:sz w:val="16"/>
          <w:szCs w:val="16"/>
          <w:lang w:val="es-ES"/>
        </w:rPr>
        <w:t>“</w:t>
      </w:r>
      <w:r w:rsidRPr="004272A2">
        <w:rPr>
          <w:rFonts w:ascii="Verdana" w:hAnsi="Verdana"/>
          <w:sz w:val="16"/>
          <w:szCs w:val="16"/>
          <w:lang w:val="es-CO"/>
        </w:rPr>
        <w:t xml:space="preserve">El literal c, del numeral 4, del artículo 2 de la Ley 1150 de 2007, prescribe: </w:t>
      </w:r>
      <w:r w:rsidRPr="004272A2">
        <w:rPr>
          <w:rFonts w:ascii="Verdana" w:hAnsi="Verdana"/>
          <w:sz w:val="16"/>
          <w:szCs w:val="16"/>
          <w:lang w:val="es-ES"/>
        </w:rPr>
        <w:t>c) &lt;Inciso 1o. modificado por el artículo </w:t>
      </w:r>
      <w:hyperlink r:id="rId4" w:anchor="92" w:history="1">
        <w:r w:rsidRPr="004272A2">
          <w:rPr>
            <w:rStyle w:val="Hipervnculo"/>
            <w:rFonts w:ascii="Verdana" w:hAnsi="Verdana"/>
            <w:color w:val="auto"/>
            <w:sz w:val="16"/>
            <w:szCs w:val="16"/>
            <w:lang w:val="es-ES"/>
          </w:rPr>
          <w:t>92</w:t>
        </w:r>
      </w:hyperlink>
      <w:r w:rsidRPr="004272A2">
        <w:rPr>
          <w:rFonts w:ascii="Verdana" w:hAnsi="Verdana"/>
          <w:sz w:val="16"/>
          <w:szCs w:val="16"/>
          <w:lang w:val="es-ES"/>
        </w:rPr>
        <w:t> de la Ley 1474 de 2011. El nuevo texto es el siguiente:&gt; Contratos interadministrativos, siempre que las obligaciones derivadas del mismo tengan relación directa con el objeto de la entidad ejecutora señalado en la ley o en sus reglamentos».</w:t>
      </w:r>
    </w:p>
    <w:p w14:paraId="5A8D3F88" w14:textId="77777777" w:rsidR="008F6F28" w:rsidRPr="00803692" w:rsidRDefault="008F6F28" w:rsidP="008F6F28">
      <w:pPr>
        <w:pStyle w:val="Textonotapie"/>
        <w:ind w:firstLine="707"/>
        <w:jc w:val="both"/>
        <w:rPr>
          <w:rFonts w:ascii="Verdana" w:hAnsi="Verdana"/>
          <w:sz w:val="16"/>
          <w:szCs w:val="16"/>
          <w:lang w:val="es-ES"/>
        </w:rPr>
      </w:pPr>
      <w:r w:rsidRPr="004272A2">
        <w:rPr>
          <w:rFonts w:ascii="Verdana" w:hAnsi="Verdana"/>
          <w:sz w:val="16"/>
          <w:szCs w:val="16"/>
          <w:lang w:val="es-ES"/>
        </w:rPr>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19">
    <w:p w14:paraId="77CB2091" w14:textId="77777777" w:rsidR="008F6F28" w:rsidRPr="00AE2D73" w:rsidRDefault="008F6F28" w:rsidP="008F6F28">
      <w:pPr>
        <w:pStyle w:val="Textonotapie"/>
        <w:ind w:firstLine="707"/>
        <w:jc w:val="both"/>
        <w:rPr>
          <w:rFonts w:ascii="Verdana" w:hAnsi="Verdana"/>
          <w:sz w:val="16"/>
          <w:szCs w:val="16"/>
          <w:lang w:val="es-ES"/>
        </w:rPr>
      </w:pPr>
      <w:r w:rsidRPr="00AE2D73">
        <w:rPr>
          <w:rStyle w:val="Refdenotaalpie"/>
          <w:rFonts w:ascii="Verdana" w:hAnsi="Verdana"/>
          <w:sz w:val="16"/>
          <w:szCs w:val="16"/>
        </w:rPr>
        <w:footnoteRef/>
      </w:r>
      <w:r w:rsidRPr="00AE2D73">
        <w:rPr>
          <w:rFonts w:ascii="Verdana" w:hAnsi="Verdana"/>
          <w:sz w:val="16"/>
          <w:szCs w:val="16"/>
        </w:rPr>
        <w:t xml:space="preserve"> </w:t>
      </w:r>
      <w:r w:rsidRPr="00AE2D73">
        <w:rPr>
          <w:rFonts w:ascii="Verdana" w:hAnsi="Verdana" w:cs="Arial"/>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AE2D73">
        <w:rPr>
          <w:rFonts w:ascii="Verdana" w:hAnsi="Verdana" w:cs="Arial"/>
          <w:spacing w:val="-6"/>
          <w:sz w:val="16"/>
          <w:szCs w:val="16"/>
        </w:rPr>
        <w:t xml:space="preserve"> </w:t>
      </w:r>
      <w:r w:rsidRPr="00AE2D73">
        <w:rPr>
          <w:rFonts w:ascii="Verdana" w:hAnsi="Verdana" w:cs="Arial"/>
          <w:sz w:val="16"/>
          <w:szCs w:val="16"/>
        </w:rPr>
        <w:t>artículo”.</w:t>
      </w:r>
    </w:p>
  </w:footnote>
  <w:footnote w:id="20">
    <w:p w14:paraId="46AD448D" w14:textId="77777777" w:rsidR="008F6F28" w:rsidRPr="00D965A1" w:rsidRDefault="008F6F28" w:rsidP="008F6F28">
      <w:pPr>
        <w:pStyle w:val="Textonotapie"/>
        <w:ind w:firstLine="709"/>
        <w:jc w:val="both"/>
        <w:rPr>
          <w:rFonts w:ascii="Verdana" w:hAnsi="Verdana"/>
          <w:sz w:val="16"/>
          <w:szCs w:val="16"/>
        </w:rPr>
      </w:pPr>
      <w:r w:rsidRPr="00D965A1">
        <w:rPr>
          <w:rFonts w:ascii="Verdana" w:hAnsi="Verdana"/>
          <w:sz w:val="16"/>
          <w:szCs w:val="16"/>
          <w:vertAlign w:val="superscript"/>
        </w:rPr>
        <w:footnoteRef/>
      </w:r>
      <w:r w:rsidRPr="00D965A1">
        <w:rPr>
          <w:rFonts w:ascii="Verdana" w:hAnsi="Verdana"/>
          <w:sz w:val="16"/>
          <w:szCs w:val="16"/>
        </w:rPr>
        <w:t xml:space="preserve"> Artículo 17 de la Ley 1150 de 2007</w:t>
      </w:r>
    </w:p>
  </w:footnote>
  <w:footnote w:id="21">
    <w:p w14:paraId="002BA207" w14:textId="77777777" w:rsidR="008F6F28" w:rsidRPr="00D965A1" w:rsidRDefault="008F6F28" w:rsidP="008F6F28">
      <w:pPr>
        <w:pStyle w:val="Textonotapie"/>
        <w:ind w:firstLine="709"/>
        <w:jc w:val="both"/>
        <w:rPr>
          <w:rFonts w:ascii="Verdana" w:hAnsi="Verdana"/>
          <w:sz w:val="16"/>
          <w:szCs w:val="16"/>
        </w:rPr>
      </w:pPr>
      <w:r w:rsidRPr="00D965A1">
        <w:rPr>
          <w:rFonts w:ascii="Verdana" w:hAnsi="Verdana"/>
          <w:sz w:val="16"/>
          <w:szCs w:val="16"/>
          <w:vertAlign w:val="superscript"/>
        </w:rPr>
        <w:footnoteRef/>
      </w:r>
      <w:r w:rsidRPr="00D965A1">
        <w:rPr>
          <w:rFonts w:ascii="Verdana" w:hAnsi="Verdana"/>
          <w:sz w:val="16"/>
          <w:szCs w:val="16"/>
        </w:rPr>
        <w:t xml:space="preserve"> Artículo 21 de la Ley 1150 de 2007</w:t>
      </w:r>
    </w:p>
  </w:footnote>
  <w:footnote w:id="22">
    <w:p w14:paraId="24F3A0FD" w14:textId="77777777" w:rsidR="008F6F28" w:rsidRPr="00D965A1" w:rsidRDefault="008F6F28" w:rsidP="008F6F28">
      <w:pPr>
        <w:pStyle w:val="Textonotapie"/>
        <w:ind w:firstLine="709"/>
        <w:jc w:val="both"/>
        <w:rPr>
          <w:rFonts w:ascii="Verdana" w:hAnsi="Verdana"/>
          <w:sz w:val="16"/>
          <w:szCs w:val="16"/>
        </w:rPr>
      </w:pPr>
      <w:r w:rsidRPr="00D965A1">
        <w:rPr>
          <w:rFonts w:ascii="Verdana" w:hAnsi="Verdana"/>
          <w:sz w:val="16"/>
          <w:szCs w:val="16"/>
          <w:vertAlign w:val="superscript"/>
        </w:rPr>
        <w:footnoteRef/>
      </w:r>
      <w:r w:rsidRPr="00D965A1">
        <w:rPr>
          <w:rFonts w:ascii="Verdana" w:hAnsi="Verdana"/>
          <w:sz w:val="16"/>
          <w:szCs w:val="16"/>
        </w:rPr>
        <w:t xml:space="preserve"> Artículos 83 a 86 de la Ley 1474 de 2011</w:t>
      </w:r>
    </w:p>
  </w:footnote>
  <w:footnote w:id="23">
    <w:p w14:paraId="3173D777" w14:textId="77777777" w:rsidR="008F6F28" w:rsidRPr="00D965A1" w:rsidRDefault="008F6F28" w:rsidP="008F6F28">
      <w:pPr>
        <w:pStyle w:val="Textonotapie"/>
        <w:ind w:firstLine="709"/>
        <w:jc w:val="both"/>
        <w:rPr>
          <w:rFonts w:ascii="Verdana" w:hAnsi="Verdana"/>
          <w:sz w:val="16"/>
          <w:szCs w:val="16"/>
        </w:rPr>
      </w:pPr>
      <w:r w:rsidRPr="00D965A1">
        <w:rPr>
          <w:rFonts w:ascii="Verdana" w:hAnsi="Verdana"/>
          <w:sz w:val="16"/>
          <w:szCs w:val="16"/>
          <w:vertAlign w:val="superscript"/>
        </w:rPr>
        <w:footnoteRef/>
      </w:r>
      <w:r w:rsidRPr="00D965A1">
        <w:rPr>
          <w:rFonts w:ascii="Verdana" w:hAnsi="Verdana"/>
          <w:sz w:val="16"/>
          <w:szCs w:val="16"/>
        </w:rPr>
        <w:t xml:space="preserve"> Consejo de Estado. Sección Tercera –Subsección C. Sentencia del 27 de noviembre de 2017.</w:t>
      </w:r>
      <w:r w:rsidRPr="00D965A1">
        <w:rPr>
          <w:rFonts w:ascii="Verdana" w:hAnsi="Verdana"/>
          <w:sz w:val="16"/>
          <w:szCs w:val="16"/>
          <w:lang w:val="es-CO"/>
        </w:rPr>
        <w:t xml:space="preserve"> </w:t>
      </w:r>
      <w:r w:rsidRPr="00D965A1">
        <w:rPr>
          <w:rFonts w:ascii="Verdana" w:hAnsi="Verdana"/>
          <w:sz w:val="16"/>
          <w:szCs w:val="16"/>
          <w:lang w:val="es-CO"/>
        </w:rPr>
        <w:t>Exp. 51.802.</w:t>
      </w:r>
      <w:r w:rsidRPr="00D965A1">
        <w:rPr>
          <w:rFonts w:ascii="Verdana" w:hAnsi="Verdana"/>
          <w:sz w:val="16"/>
          <w:szCs w:val="16"/>
        </w:rPr>
        <w:t xml:space="preserve"> C.P. Jaime Orlando Santofimio Gamboa. </w:t>
      </w:r>
    </w:p>
  </w:footnote>
  <w:footnote w:id="24">
    <w:p w14:paraId="441DB205" w14:textId="77777777" w:rsidR="008F6F28" w:rsidRPr="00D965A1" w:rsidRDefault="008F6F28" w:rsidP="008F6F28">
      <w:pPr>
        <w:pStyle w:val="Textonotapie"/>
        <w:ind w:firstLine="709"/>
        <w:jc w:val="both"/>
        <w:rPr>
          <w:rFonts w:ascii="Verdana" w:hAnsi="Verdana"/>
          <w:sz w:val="16"/>
          <w:szCs w:val="16"/>
        </w:rPr>
      </w:pPr>
      <w:r w:rsidRPr="00D965A1">
        <w:rPr>
          <w:rFonts w:ascii="Verdana" w:hAnsi="Verdana"/>
          <w:sz w:val="16"/>
          <w:szCs w:val="16"/>
          <w:vertAlign w:val="superscript"/>
        </w:rPr>
        <w:footnoteRef/>
      </w:r>
      <w:r w:rsidRPr="00D965A1">
        <w:rPr>
          <w:rFonts w:ascii="Verdana" w:hAnsi="Verdana"/>
          <w:sz w:val="16"/>
          <w:szCs w:val="16"/>
        </w:rPr>
        <w:t xml:space="preserve"> Artículo 83 de la Ley 1474 de 2011</w:t>
      </w:r>
    </w:p>
  </w:footnote>
  <w:footnote w:id="25">
    <w:p w14:paraId="42432FBA" w14:textId="77777777" w:rsidR="008F6F28" w:rsidRPr="00D965A1" w:rsidRDefault="008F6F28" w:rsidP="008F6F28">
      <w:pPr>
        <w:pStyle w:val="Textonotapie"/>
        <w:ind w:firstLine="709"/>
        <w:jc w:val="both"/>
        <w:rPr>
          <w:rFonts w:ascii="Verdana" w:hAnsi="Verdana"/>
          <w:sz w:val="16"/>
          <w:szCs w:val="16"/>
        </w:rPr>
      </w:pPr>
      <w:r w:rsidRPr="00D965A1">
        <w:rPr>
          <w:rFonts w:ascii="Verdana" w:hAnsi="Verdana"/>
          <w:sz w:val="16"/>
          <w:szCs w:val="16"/>
          <w:vertAlign w:val="superscript"/>
        </w:rPr>
        <w:footnoteRef/>
      </w:r>
      <w:r w:rsidRPr="00D965A1">
        <w:rPr>
          <w:rFonts w:ascii="Verdana" w:hAnsi="Verdana"/>
          <w:sz w:val="16"/>
          <w:szCs w:val="16"/>
        </w:rPr>
        <w:t xml:space="preserve"> A excepción de la interventoría del contrato de obra adjudicado por licitación pública que es obligatoria según el numeral 1° del artículo 32 de la Ley 80 de 1993.</w:t>
      </w:r>
    </w:p>
  </w:footnote>
  <w:footnote w:id="26">
    <w:p w14:paraId="268AB81B" w14:textId="77777777" w:rsidR="008F6F28" w:rsidRPr="00D965A1" w:rsidRDefault="008F6F28" w:rsidP="008F6F28">
      <w:pPr>
        <w:pStyle w:val="Textonotapie"/>
        <w:adjustRightInd w:val="0"/>
        <w:snapToGrid w:val="0"/>
        <w:ind w:firstLine="709"/>
        <w:jc w:val="both"/>
        <w:rPr>
          <w:rFonts w:ascii="Verdana" w:hAnsi="Verdana" w:cs="Arial"/>
          <w:color w:val="161616"/>
          <w:sz w:val="16"/>
          <w:szCs w:val="16"/>
        </w:rPr>
      </w:pPr>
      <w:r w:rsidRPr="00D965A1">
        <w:rPr>
          <w:rStyle w:val="Refdenotaalpie"/>
          <w:rFonts w:ascii="Verdana" w:hAnsi="Verdana"/>
          <w:sz w:val="16"/>
          <w:szCs w:val="16"/>
        </w:rPr>
        <w:footnoteRef/>
      </w:r>
      <w:r w:rsidRPr="00D965A1">
        <w:rPr>
          <w:rFonts w:ascii="Verdana" w:hAnsi="Verdana"/>
          <w:sz w:val="16"/>
          <w:szCs w:val="16"/>
        </w:rPr>
        <w:t xml:space="preserve"> </w:t>
      </w:r>
      <w:r w:rsidRPr="00D965A1">
        <w:rPr>
          <w:rFonts w:ascii="Verdana" w:hAnsi="Verdana" w:cs="Arial"/>
          <w:color w:val="161616"/>
          <w:sz w:val="16"/>
          <w:szCs w:val="16"/>
        </w:rPr>
        <w:t>“Son también contratos de consultoría los que tienen por objeto la interventoría […]”</w:t>
      </w:r>
    </w:p>
  </w:footnote>
  <w:footnote w:id="27">
    <w:p w14:paraId="32C5ACDD" w14:textId="77777777" w:rsidR="008F6F28" w:rsidRPr="00D965A1" w:rsidRDefault="008F6F28" w:rsidP="008F6F28">
      <w:pPr>
        <w:pStyle w:val="Textonotapie"/>
        <w:ind w:firstLine="708"/>
        <w:jc w:val="both"/>
        <w:rPr>
          <w:rFonts w:ascii="Verdana" w:hAnsi="Verdana"/>
          <w:sz w:val="16"/>
          <w:szCs w:val="16"/>
          <w:lang w:val="es-CO"/>
        </w:rPr>
      </w:pPr>
      <w:r w:rsidRPr="00D965A1">
        <w:rPr>
          <w:rStyle w:val="Refdenotaalpie"/>
          <w:rFonts w:ascii="Verdana" w:hAnsi="Verdana"/>
          <w:sz w:val="16"/>
          <w:szCs w:val="16"/>
        </w:rPr>
        <w:footnoteRef/>
      </w:r>
      <w:r w:rsidRPr="00D965A1">
        <w:rPr>
          <w:rFonts w:ascii="Verdana" w:hAnsi="Verdana"/>
          <w:sz w:val="16"/>
          <w:szCs w:val="16"/>
        </w:rPr>
        <w:t xml:space="preserve"> RINCÓN CÓRDOBA, Jorge Iván. La interventoría y supervisión: los presupuestos en los que se desarrolla la función administrativa de vigilancia de la ejecución contractual. En: Contratos públicos: problemas, perspectivas y prospectivas. Bogotá: Universidad Externado de Colombia, 2017. p. 628. </w:t>
      </w:r>
    </w:p>
  </w:footnote>
  <w:footnote w:id="28">
    <w:p w14:paraId="648577F2" w14:textId="77777777" w:rsidR="008F6F28" w:rsidRPr="00D965A1" w:rsidRDefault="008F6F28" w:rsidP="008F6F28">
      <w:pPr>
        <w:pStyle w:val="Textonotapie"/>
        <w:ind w:firstLine="708"/>
        <w:jc w:val="both"/>
        <w:rPr>
          <w:rFonts w:ascii="Verdana" w:hAnsi="Verdana"/>
          <w:sz w:val="16"/>
          <w:szCs w:val="16"/>
          <w:lang w:val="es-CO"/>
        </w:rPr>
      </w:pPr>
      <w:r w:rsidRPr="00D965A1">
        <w:rPr>
          <w:rStyle w:val="Refdenotaalpie"/>
          <w:rFonts w:ascii="Verdana" w:hAnsi="Verdana"/>
          <w:sz w:val="16"/>
          <w:szCs w:val="16"/>
        </w:rPr>
        <w:footnoteRef/>
      </w:r>
      <w:r w:rsidRPr="00D965A1">
        <w:rPr>
          <w:rFonts w:ascii="Verdana" w:hAnsi="Verdana"/>
          <w:sz w:val="16"/>
          <w:szCs w:val="16"/>
        </w:rPr>
        <w:t xml:space="preserve"> </w:t>
      </w:r>
      <w:r w:rsidRPr="00D965A1">
        <w:rPr>
          <w:rFonts w:ascii="Verdana" w:hAnsi="Verdana"/>
          <w:i/>
          <w:iCs/>
          <w:sz w:val="16"/>
          <w:szCs w:val="16"/>
        </w:rPr>
        <w:t>Ibidem</w:t>
      </w:r>
      <w:r w:rsidRPr="00D965A1">
        <w:rPr>
          <w:rFonts w:ascii="Verdana" w:hAnsi="Verdana"/>
          <w:sz w:val="16"/>
          <w:szCs w:val="16"/>
        </w:rPr>
        <w:t>, p. 629.</w:t>
      </w:r>
    </w:p>
  </w:footnote>
  <w:footnote w:id="29">
    <w:p w14:paraId="6F575AB3" w14:textId="77777777" w:rsidR="008F6F28" w:rsidRPr="00D965A1" w:rsidRDefault="008F6F28" w:rsidP="008F6F28">
      <w:pPr>
        <w:pStyle w:val="Textonotapie"/>
        <w:ind w:firstLine="708"/>
        <w:jc w:val="both"/>
        <w:rPr>
          <w:rFonts w:ascii="Verdana" w:hAnsi="Verdana"/>
          <w:sz w:val="16"/>
          <w:szCs w:val="16"/>
          <w:lang w:val="en-US"/>
        </w:rPr>
      </w:pPr>
      <w:r w:rsidRPr="00D965A1">
        <w:rPr>
          <w:rStyle w:val="Refdenotaalpie"/>
          <w:rFonts w:ascii="Verdana" w:hAnsi="Verdana"/>
          <w:sz w:val="16"/>
          <w:szCs w:val="16"/>
        </w:rPr>
        <w:footnoteRef/>
      </w:r>
      <w:r w:rsidRPr="00D965A1">
        <w:rPr>
          <w:rFonts w:ascii="Verdana" w:hAnsi="Verdana"/>
          <w:sz w:val="16"/>
          <w:szCs w:val="16"/>
        </w:rPr>
        <w:t xml:space="preserve"> SUÁREZ BELTRÁN, Gonzalo. Estudios de derecho contractual público. Bogotá: Universidad Pontificia Javeriana – Legis, 2014. p. 259.</w:t>
      </w:r>
    </w:p>
  </w:footnote>
  <w:footnote w:id="30">
    <w:p w14:paraId="053F726D" w14:textId="77777777" w:rsidR="008F6F28" w:rsidRPr="004D03FA" w:rsidRDefault="008F6F28" w:rsidP="008F6F28">
      <w:pPr>
        <w:pStyle w:val="Textonotapie"/>
        <w:ind w:firstLine="708"/>
        <w:jc w:val="both"/>
        <w:rPr>
          <w:rFonts w:ascii="Verdana" w:hAnsi="Verdana"/>
          <w:sz w:val="16"/>
          <w:szCs w:val="16"/>
          <w:lang w:val="en-US"/>
        </w:rPr>
      </w:pPr>
      <w:r w:rsidRPr="00D965A1">
        <w:rPr>
          <w:rStyle w:val="Refdenotaalpie"/>
          <w:rFonts w:ascii="Verdana" w:hAnsi="Verdana"/>
          <w:sz w:val="16"/>
          <w:szCs w:val="16"/>
        </w:rPr>
        <w:footnoteRef/>
      </w:r>
      <w:r w:rsidRPr="00D965A1">
        <w:rPr>
          <w:rFonts w:ascii="Verdana" w:hAnsi="Verdana"/>
          <w:sz w:val="16"/>
          <w:szCs w:val="16"/>
        </w:rPr>
        <w:t xml:space="preserve"> </w:t>
      </w:r>
      <w:r w:rsidRPr="00D965A1">
        <w:rPr>
          <w:rFonts w:ascii="Verdana" w:hAnsi="Verdana"/>
          <w:i/>
          <w:iCs/>
          <w:sz w:val="16"/>
          <w:szCs w:val="16"/>
        </w:rPr>
        <w:t>Ibidem</w:t>
      </w:r>
      <w:r w:rsidRPr="00D965A1">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BE429B" w:rsidRDefault="00BE429B"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BE429B" w:rsidRDefault="00BE429B">
    <w:pPr>
      <w:pStyle w:val="Encabezado"/>
    </w:pPr>
  </w:p>
  <w:p w14:paraId="5E18350A" w14:textId="705F7B76" w:rsidR="00BE429B" w:rsidRPr="004A305D" w:rsidRDefault="00BE429B" w:rsidP="00B01B1A">
    <w:pPr>
      <w:spacing w:after="0" w:line="120" w:lineRule="auto"/>
      <w:rPr>
        <w:rFonts w:ascii="Century Gothic" w:eastAsia="Geo" w:hAnsi="Century Gothic" w:cs="Geo"/>
        <w:sz w:val="16"/>
        <w:szCs w:val="16"/>
        <w:lang w:eastAsia="es-CO"/>
      </w:rPr>
    </w:pPr>
  </w:p>
  <w:p w14:paraId="211B7F5D" w14:textId="77777777" w:rsidR="00BE429B" w:rsidRDefault="00BE429B" w:rsidP="00844AE9">
    <w:pPr>
      <w:spacing w:after="0" w:line="240" w:lineRule="auto"/>
      <w:rPr>
        <w:rFonts w:ascii="Verdana" w:hAnsi="Verdana"/>
        <w:sz w:val="24"/>
        <w:szCs w:val="24"/>
      </w:rPr>
    </w:pPr>
  </w:p>
  <w:p w14:paraId="5A0054B1" w14:textId="77777777" w:rsidR="00BE429B" w:rsidRPr="00C925AC" w:rsidRDefault="00BE429B" w:rsidP="00844AE9">
    <w:pPr>
      <w:spacing w:after="0" w:line="240" w:lineRule="auto"/>
      <w:rPr>
        <w:rFonts w:ascii="Verdana" w:hAnsi="Verdana"/>
        <w:sz w:val="24"/>
        <w:szCs w:val="24"/>
      </w:rPr>
    </w:pPr>
  </w:p>
  <w:p w14:paraId="1FD1C243" w14:textId="37C5500A" w:rsidR="00BE429B" w:rsidRPr="00C925AC" w:rsidRDefault="00BE429B"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E392355"/>
    <w:multiLevelType w:val="multilevel"/>
    <w:tmpl w:val="5E182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FA3AEF"/>
    <w:multiLevelType w:val="multilevel"/>
    <w:tmpl w:val="4D145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1B2447"/>
    <w:multiLevelType w:val="multilevel"/>
    <w:tmpl w:val="F6CC9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81599D"/>
    <w:multiLevelType w:val="multilevel"/>
    <w:tmpl w:val="66E28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6A231F"/>
    <w:multiLevelType w:val="hybridMultilevel"/>
    <w:tmpl w:val="42E84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4261362">
    <w:abstractNumId w:val="6"/>
  </w:num>
  <w:num w:numId="2" w16cid:durableId="691995219">
    <w:abstractNumId w:val="1"/>
  </w:num>
  <w:num w:numId="3" w16cid:durableId="1948075818">
    <w:abstractNumId w:val="4"/>
  </w:num>
  <w:num w:numId="4" w16cid:durableId="17030932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1066974">
    <w:abstractNumId w:val="1"/>
  </w:num>
  <w:num w:numId="6" w16cid:durableId="215746921">
    <w:abstractNumId w:val="16"/>
  </w:num>
  <w:num w:numId="7" w16cid:durableId="277763846">
    <w:abstractNumId w:val="5"/>
  </w:num>
  <w:num w:numId="8" w16cid:durableId="991908881">
    <w:abstractNumId w:val="15"/>
  </w:num>
  <w:num w:numId="9" w16cid:durableId="1945187706">
    <w:abstractNumId w:val="7"/>
  </w:num>
  <w:num w:numId="10" w16cid:durableId="1433236248">
    <w:abstractNumId w:val="14"/>
  </w:num>
  <w:num w:numId="11" w16cid:durableId="2000814608">
    <w:abstractNumId w:val="8"/>
  </w:num>
  <w:num w:numId="12" w16cid:durableId="945817607">
    <w:abstractNumId w:val="0"/>
  </w:num>
  <w:num w:numId="13" w16cid:durableId="1140071097">
    <w:abstractNumId w:val="2"/>
  </w:num>
  <w:num w:numId="14" w16cid:durableId="1947730645">
    <w:abstractNumId w:val="17"/>
  </w:num>
  <w:num w:numId="15" w16cid:durableId="333535049">
    <w:abstractNumId w:val="13"/>
  </w:num>
  <w:num w:numId="16" w16cid:durableId="2079400852">
    <w:abstractNumId w:val="3"/>
  </w:num>
  <w:num w:numId="17" w16cid:durableId="422148650">
    <w:abstractNumId w:val="9"/>
  </w:num>
  <w:num w:numId="18" w16cid:durableId="1675762362">
    <w:abstractNumId w:val="18"/>
  </w:num>
  <w:num w:numId="19" w16cid:durableId="260994467">
    <w:abstractNumId w:val="19"/>
  </w:num>
  <w:num w:numId="20" w16cid:durableId="1441339328">
    <w:abstractNumId w:val="10"/>
  </w:num>
  <w:num w:numId="21" w16cid:durableId="693654748">
    <w:abstractNumId w:val="11"/>
  </w:num>
  <w:num w:numId="22" w16cid:durableId="1616911581">
    <w:abstractNumId w:val="12"/>
  </w:num>
  <w:num w:numId="23" w16cid:durableId="14789539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7D0C"/>
    <w:rsid w:val="000130CF"/>
    <w:rsid w:val="00016F78"/>
    <w:rsid w:val="00024E33"/>
    <w:rsid w:val="00025422"/>
    <w:rsid w:val="00026551"/>
    <w:rsid w:val="00033FC7"/>
    <w:rsid w:val="00034411"/>
    <w:rsid w:val="00046945"/>
    <w:rsid w:val="0005185D"/>
    <w:rsid w:val="00051D93"/>
    <w:rsid w:val="00052C0F"/>
    <w:rsid w:val="000545D0"/>
    <w:rsid w:val="00055945"/>
    <w:rsid w:val="00061B2A"/>
    <w:rsid w:val="00063148"/>
    <w:rsid w:val="0007272A"/>
    <w:rsid w:val="00072D02"/>
    <w:rsid w:val="000754B3"/>
    <w:rsid w:val="00075DBC"/>
    <w:rsid w:val="00082362"/>
    <w:rsid w:val="00085FA5"/>
    <w:rsid w:val="000906DA"/>
    <w:rsid w:val="00090821"/>
    <w:rsid w:val="00092254"/>
    <w:rsid w:val="00092546"/>
    <w:rsid w:val="000929B1"/>
    <w:rsid w:val="00097870"/>
    <w:rsid w:val="00097894"/>
    <w:rsid w:val="000A683E"/>
    <w:rsid w:val="000B118D"/>
    <w:rsid w:val="000B19B9"/>
    <w:rsid w:val="000B55D2"/>
    <w:rsid w:val="000B59C7"/>
    <w:rsid w:val="000B60D1"/>
    <w:rsid w:val="000C559A"/>
    <w:rsid w:val="000C55F1"/>
    <w:rsid w:val="000C564D"/>
    <w:rsid w:val="000C6DC8"/>
    <w:rsid w:val="000C7A21"/>
    <w:rsid w:val="000C7D33"/>
    <w:rsid w:val="000D0334"/>
    <w:rsid w:val="000D5DA7"/>
    <w:rsid w:val="000F219C"/>
    <w:rsid w:val="000F6486"/>
    <w:rsid w:val="00100732"/>
    <w:rsid w:val="00111DF2"/>
    <w:rsid w:val="00114667"/>
    <w:rsid w:val="00116940"/>
    <w:rsid w:val="00121629"/>
    <w:rsid w:val="00125105"/>
    <w:rsid w:val="00127233"/>
    <w:rsid w:val="00132DAE"/>
    <w:rsid w:val="00134536"/>
    <w:rsid w:val="00136E0C"/>
    <w:rsid w:val="00143A4C"/>
    <w:rsid w:val="001526AD"/>
    <w:rsid w:val="001526EF"/>
    <w:rsid w:val="00155522"/>
    <w:rsid w:val="0015699B"/>
    <w:rsid w:val="001702F7"/>
    <w:rsid w:val="00171E98"/>
    <w:rsid w:val="001743CA"/>
    <w:rsid w:val="001904CA"/>
    <w:rsid w:val="00197553"/>
    <w:rsid w:val="001A33BF"/>
    <w:rsid w:val="001A3517"/>
    <w:rsid w:val="001B279D"/>
    <w:rsid w:val="001B4EDD"/>
    <w:rsid w:val="001C1B26"/>
    <w:rsid w:val="001C1E5C"/>
    <w:rsid w:val="001C1ED7"/>
    <w:rsid w:val="001C1EF8"/>
    <w:rsid w:val="001C3ECC"/>
    <w:rsid w:val="001C63DD"/>
    <w:rsid w:val="001C7276"/>
    <w:rsid w:val="001D1BCA"/>
    <w:rsid w:val="001D3D7D"/>
    <w:rsid w:val="001D5B51"/>
    <w:rsid w:val="001E2A0C"/>
    <w:rsid w:val="001E3F1C"/>
    <w:rsid w:val="001E4177"/>
    <w:rsid w:val="001E7DD7"/>
    <w:rsid w:val="001F0B24"/>
    <w:rsid w:val="001F2EE8"/>
    <w:rsid w:val="001F7DC6"/>
    <w:rsid w:val="002000C8"/>
    <w:rsid w:val="0020519B"/>
    <w:rsid w:val="00210DF7"/>
    <w:rsid w:val="00211230"/>
    <w:rsid w:val="00211357"/>
    <w:rsid w:val="00213ABC"/>
    <w:rsid w:val="00215475"/>
    <w:rsid w:val="0022400B"/>
    <w:rsid w:val="00225C1C"/>
    <w:rsid w:val="002272C4"/>
    <w:rsid w:val="00233173"/>
    <w:rsid w:val="002345A0"/>
    <w:rsid w:val="002421BB"/>
    <w:rsid w:val="00242C7A"/>
    <w:rsid w:val="002456A8"/>
    <w:rsid w:val="00246CBB"/>
    <w:rsid w:val="00250FC8"/>
    <w:rsid w:val="00252059"/>
    <w:rsid w:val="0025796E"/>
    <w:rsid w:val="0026112B"/>
    <w:rsid w:val="0026215B"/>
    <w:rsid w:val="002707A2"/>
    <w:rsid w:val="00283D42"/>
    <w:rsid w:val="002951A0"/>
    <w:rsid w:val="002962BC"/>
    <w:rsid w:val="00297D6C"/>
    <w:rsid w:val="002A093D"/>
    <w:rsid w:val="002A0DD0"/>
    <w:rsid w:val="002A49AC"/>
    <w:rsid w:val="002A58CD"/>
    <w:rsid w:val="002A64FD"/>
    <w:rsid w:val="002B31B2"/>
    <w:rsid w:val="002B4255"/>
    <w:rsid w:val="002B48C1"/>
    <w:rsid w:val="002B6DBE"/>
    <w:rsid w:val="002B730F"/>
    <w:rsid w:val="002C3882"/>
    <w:rsid w:val="002C6B04"/>
    <w:rsid w:val="002C7A84"/>
    <w:rsid w:val="002E2BF8"/>
    <w:rsid w:val="002E4FD9"/>
    <w:rsid w:val="002F79EE"/>
    <w:rsid w:val="003004D2"/>
    <w:rsid w:val="0030657A"/>
    <w:rsid w:val="00311BD2"/>
    <w:rsid w:val="00316E43"/>
    <w:rsid w:val="00322A85"/>
    <w:rsid w:val="00322D2C"/>
    <w:rsid w:val="00324168"/>
    <w:rsid w:val="00325055"/>
    <w:rsid w:val="00330834"/>
    <w:rsid w:val="00335EB7"/>
    <w:rsid w:val="003448F4"/>
    <w:rsid w:val="00346D88"/>
    <w:rsid w:val="00351600"/>
    <w:rsid w:val="003574F6"/>
    <w:rsid w:val="0036053B"/>
    <w:rsid w:val="003608FD"/>
    <w:rsid w:val="003626FF"/>
    <w:rsid w:val="0036649A"/>
    <w:rsid w:val="0037015E"/>
    <w:rsid w:val="003741DF"/>
    <w:rsid w:val="00374F5E"/>
    <w:rsid w:val="00377E3E"/>
    <w:rsid w:val="003828FA"/>
    <w:rsid w:val="0038351B"/>
    <w:rsid w:val="00385961"/>
    <w:rsid w:val="003A22FA"/>
    <w:rsid w:val="003A762F"/>
    <w:rsid w:val="003A779E"/>
    <w:rsid w:val="003A7DBB"/>
    <w:rsid w:val="003B1D72"/>
    <w:rsid w:val="003B422C"/>
    <w:rsid w:val="003B5C92"/>
    <w:rsid w:val="003B6E2D"/>
    <w:rsid w:val="003C36DA"/>
    <w:rsid w:val="003C5FD9"/>
    <w:rsid w:val="003D0859"/>
    <w:rsid w:val="003D0F4D"/>
    <w:rsid w:val="003D55B4"/>
    <w:rsid w:val="003D5B0D"/>
    <w:rsid w:val="003E0499"/>
    <w:rsid w:val="003E4F80"/>
    <w:rsid w:val="003E6439"/>
    <w:rsid w:val="003F006E"/>
    <w:rsid w:val="003F3941"/>
    <w:rsid w:val="00401770"/>
    <w:rsid w:val="00403C57"/>
    <w:rsid w:val="00406575"/>
    <w:rsid w:val="0041258E"/>
    <w:rsid w:val="00414C74"/>
    <w:rsid w:val="0042400D"/>
    <w:rsid w:val="0042722E"/>
    <w:rsid w:val="00431D33"/>
    <w:rsid w:val="0043278C"/>
    <w:rsid w:val="0043297E"/>
    <w:rsid w:val="00440DF8"/>
    <w:rsid w:val="00442203"/>
    <w:rsid w:val="0044528D"/>
    <w:rsid w:val="004508F1"/>
    <w:rsid w:val="00450D40"/>
    <w:rsid w:val="00454215"/>
    <w:rsid w:val="004562C0"/>
    <w:rsid w:val="004636A9"/>
    <w:rsid w:val="004649CD"/>
    <w:rsid w:val="0046656B"/>
    <w:rsid w:val="00466E39"/>
    <w:rsid w:val="00470178"/>
    <w:rsid w:val="00471CFE"/>
    <w:rsid w:val="00474655"/>
    <w:rsid w:val="004829F3"/>
    <w:rsid w:val="004A05F8"/>
    <w:rsid w:val="004A1847"/>
    <w:rsid w:val="004A305D"/>
    <w:rsid w:val="004B711A"/>
    <w:rsid w:val="004C28D1"/>
    <w:rsid w:val="004D13E9"/>
    <w:rsid w:val="004D5C33"/>
    <w:rsid w:val="004E3492"/>
    <w:rsid w:val="004F21C4"/>
    <w:rsid w:val="004F510A"/>
    <w:rsid w:val="004F685F"/>
    <w:rsid w:val="00501CA6"/>
    <w:rsid w:val="00503A4D"/>
    <w:rsid w:val="00522196"/>
    <w:rsid w:val="00533A77"/>
    <w:rsid w:val="005400FC"/>
    <w:rsid w:val="00545054"/>
    <w:rsid w:val="00550BA2"/>
    <w:rsid w:val="005520BB"/>
    <w:rsid w:val="005566E8"/>
    <w:rsid w:val="00560ECB"/>
    <w:rsid w:val="0056312A"/>
    <w:rsid w:val="00564401"/>
    <w:rsid w:val="00574867"/>
    <w:rsid w:val="00581F5C"/>
    <w:rsid w:val="00585AEC"/>
    <w:rsid w:val="0058768C"/>
    <w:rsid w:val="00591460"/>
    <w:rsid w:val="005A0D80"/>
    <w:rsid w:val="005A4902"/>
    <w:rsid w:val="005A65E0"/>
    <w:rsid w:val="005B429B"/>
    <w:rsid w:val="005C025F"/>
    <w:rsid w:val="005C2337"/>
    <w:rsid w:val="005C3777"/>
    <w:rsid w:val="005C47DD"/>
    <w:rsid w:val="005C5CDC"/>
    <w:rsid w:val="005D3F1F"/>
    <w:rsid w:val="005D442C"/>
    <w:rsid w:val="005D476C"/>
    <w:rsid w:val="005E1891"/>
    <w:rsid w:val="005E2B1A"/>
    <w:rsid w:val="005E4770"/>
    <w:rsid w:val="005E7256"/>
    <w:rsid w:val="005E7C99"/>
    <w:rsid w:val="005F1A8F"/>
    <w:rsid w:val="005F366E"/>
    <w:rsid w:val="005F55CC"/>
    <w:rsid w:val="005F7F96"/>
    <w:rsid w:val="0060130E"/>
    <w:rsid w:val="00601C1F"/>
    <w:rsid w:val="00603964"/>
    <w:rsid w:val="006200BF"/>
    <w:rsid w:val="006206A2"/>
    <w:rsid w:val="006219F8"/>
    <w:rsid w:val="006302F7"/>
    <w:rsid w:val="006416E4"/>
    <w:rsid w:val="006456CF"/>
    <w:rsid w:val="00646B9F"/>
    <w:rsid w:val="00646C8B"/>
    <w:rsid w:val="006506D8"/>
    <w:rsid w:val="00653589"/>
    <w:rsid w:val="006539BE"/>
    <w:rsid w:val="006571B8"/>
    <w:rsid w:val="00665D70"/>
    <w:rsid w:val="00670FE5"/>
    <w:rsid w:val="00681FBD"/>
    <w:rsid w:val="00682DBB"/>
    <w:rsid w:val="00683EF4"/>
    <w:rsid w:val="006900D9"/>
    <w:rsid w:val="006913CB"/>
    <w:rsid w:val="0069570A"/>
    <w:rsid w:val="006A3B86"/>
    <w:rsid w:val="006B5A7B"/>
    <w:rsid w:val="006C095C"/>
    <w:rsid w:val="006D313E"/>
    <w:rsid w:val="006D379A"/>
    <w:rsid w:val="006E29F7"/>
    <w:rsid w:val="006E6E0B"/>
    <w:rsid w:val="006E6F5F"/>
    <w:rsid w:val="006F092A"/>
    <w:rsid w:val="006F230F"/>
    <w:rsid w:val="00700C7F"/>
    <w:rsid w:val="00706C16"/>
    <w:rsid w:val="00706F0B"/>
    <w:rsid w:val="0071396B"/>
    <w:rsid w:val="0071632A"/>
    <w:rsid w:val="00721002"/>
    <w:rsid w:val="00724E21"/>
    <w:rsid w:val="00725483"/>
    <w:rsid w:val="007254D5"/>
    <w:rsid w:val="007279E3"/>
    <w:rsid w:val="007340C3"/>
    <w:rsid w:val="0074296B"/>
    <w:rsid w:val="007470E0"/>
    <w:rsid w:val="00747A86"/>
    <w:rsid w:val="0075235A"/>
    <w:rsid w:val="00752FDC"/>
    <w:rsid w:val="00754CEE"/>
    <w:rsid w:val="00755BF3"/>
    <w:rsid w:val="00756841"/>
    <w:rsid w:val="00764769"/>
    <w:rsid w:val="007649AB"/>
    <w:rsid w:val="007653F8"/>
    <w:rsid w:val="00771D0C"/>
    <w:rsid w:val="00771E3F"/>
    <w:rsid w:val="0078208B"/>
    <w:rsid w:val="00782A96"/>
    <w:rsid w:val="007833AC"/>
    <w:rsid w:val="00790119"/>
    <w:rsid w:val="007A1830"/>
    <w:rsid w:val="007A5408"/>
    <w:rsid w:val="007B268C"/>
    <w:rsid w:val="007B4B06"/>
    <w:rsid w:val="007B7171"/>
    <w:rsid w:val="007C0C0F"/>
    <w:rsid w:val="007C3DC2"/>
    <w:rsid w:val="007D1AA3"/>
    <w:rsid w:val="007D25F9"/>
    <w:rsid w:val="007D2FB9"/>
    <w:rsid w:val="007E0ED1"/>
    <w:rsid w:val="007E1677"/>
    <w:rsid w:val="007E538D"/>
    <w:rsid w:val="007E5497"/>
    <w:rsid w:val="007F0110"/>
    <w:rsid w:val="007F1192"/>
    <w:rsid w:val="00806F5F"/>
    <w:rsid w:val="00817FDD"/>
    <w:rsid w:val="00820278"/>
    <w:rsid w:val="00821F8D"/>
    <w:rsid w:val="008258C9"/>
    <w:rsid w:val="00826E5C"/>
    <w:rsid w:val="008316FF"/>
    <w:rsid w:val="00844AE9"/>
    <w:rsid w:val="00845B92"/>
    <w:rsid w:val="00847BD5"/>
    <w:rsid w:val="00851752"/>
    <w:rsid w:val="0085732C"/>
    <w:rsid w:val="0086139E"/>
    <w:rsid w:val="00864ECD"/>
    <w:rsid w:val="00867F95"/>
    <w:rsid w:val="00873EEB"/>
    <w:rsid w:val="008843B6"/>
    <w:rsid w:val="008853C8"/>
    <w:rsid w:val="00891928"/>
    <w:rsid w:val="00893534"/>
    <w:rsid w:val="00894625"/>
    <w:rsid w:val="00894BE1"/>
    <w:rsid w:val="00897556"/>
    <w:rsid w:val="008A3E33"/>
    <w:rsid w:val="008A446D"/>
    <w:rsid w:val="008A5B77"/>
    <w:rsid w:val="008A7CC6"/>
    <w:rsid w:val="008B11DA"/>
    <w:rsid w:val="008B25F1"/>
    <w:rsid w:val="008B46C5"/>
    <w:rsid w:val="008B56D9"/>
    <w:rsid w:val="008B6FE1"/>
    <w:rsid w:val="008C31CA"/>
    <w:rsid w:val="008C6C1B"/>
    <w:rsid w:val="008D180B"/>
    <w:rsid w:val="008D3AB1"/>
    <w:rsid w:val="008D5AB4"/>
    <w:rsid w:val="008F0EA7"/>
    <w:rsid w:val="008F522D"/>
    <w:rsid w:val="008F6F28"/>
    <w:rsid w:val="00900D58"/>
    <w:rsid w:val="0090121D"/>
    <w:rsid w:val="009020F1"/>
    <w:rsid w:val="009022E2"/>
    <w:rsid w:val="009101D8"/>
    <w:rsid w:val="0091067F"/>
    <w:rsid w:val="009108E1"/>
    <w:rsid w:val="00911FB8"/>
    <w:rsid w:val="00913180"/>
    <w:rsid w:val="009143D1"/>
    <w:rsid w:val="009146CB"/>
    <w:rsid w:val="00916BBA"/>
    <w:rsid w:val="00921B3E"/>
    <w:rsid w:val="00923EEF"/>
    <w:rsid w:val="009250DE"/>
    <w:rsid w:val="00925E0C"/>
    <w:rsid w:val="00931022"/>
    <w:rsid w:val="009419F9"/>
    <w:rsid w:val="00945E3D"/>
    <w:rsid w:val="00954A6D"/>
    <w:rsid w:val="0095685E"/>
    <w:rsid w:val="00961B09"/>
    <w:rsid w:val="00965334"/>
    <w:rsid w:val="0097093E"/>
    <w:rsid w:val="009741DE"/>
    <w:rsid w:val="009755F6"/>
    <w:rsid w:val="00982C6E"/>
    <w:rsid w:val="00985AC9"/>
    <w:rsid w:val="00987DF6"/>
    <w:rsid w:val="00996721"/>
    <w:rsid w:val="009A0DFA"/>
    <w:rsid w:val="009A2CE0"/>
    <w:rsid w:val="009A52F8"/>
    <w:rsid w:val="009B2D26"/>
    <w:rsid w:val="009C71FA"/>
    <w:rsid w:val="009C72E7"/>
    <w:rsid w:val="009C7F7E"/>
    <w:rsid w:val="009D3058"/>
    <w:rsid w:val="009D53A2"/>
    <w:rsid w:val="009E1B7D"/>
    <w:rsid w:val="009E1C48"/>
    <w:rsid w:val="009E6061"/>
    <w:rsid w:val="009E6E1F"/>
    <w:rsid w:val="009F3A13"/>
    <w:rsid w:val="00A01048"/>
    <w:rsid w:val="00A01DFC"/>
    <w:rsid w:val="00A02AB0"/>
    <w:rsid w:val="00A122D3"/>
    <w:rsid w:val="00A12B35"/>
    <w:rsid w:val="00A14468"/>
    <w:rsid w:val="00A16B82"/>
    <w:rsid w:val="00A17EA6"/>
    <w:rsid w:val="00A17F13"/>
    <w:rsid w:val="00A20739"/>
    <w:rsid w:val="00A21B0B"/>
    <w:rsid w:val="00A23AF9"/>
    <w:rsid w:val="00A254CA"/>
    <w:rsid w:val="00A26F8C"/>
    <w:rsid w:val="00A33C78"/>
    <w:rsid w:val="00A52327"/>
    <w:rsid w:val="00A57992"/>
    <w:rsid w:val="00A7153D"/>
    <w:rsid w:val="00A87867"/>
    <w:rsid w:val="00A903C3"/>
    <w:rsid w:val="00A9082E"/>
    <w:rsid w:val="00A910BA"/>
    <w:rsid w:val="00A9622D"/>
    <w:rsid w:val="00A96668"/>
    <w:rsid w:val="00AA6F46"/>
    <w:rsid w:val="00AB0ADB"/>
    <w:rsid w:val="00AB1E87"/>
    <w:rsid w:val="00AC1FB5"/>
    <w:rsid w:val="00AD3FBF"/>
    <w:rsid w:val="00AD4AAB"/>
    <w:rsid w:val="00AD54FA"/>
    <w:rsid w:val="00AD56E5"/>
    <w:rsid w:val="00AD6526"/>
    <w:rsid w:val="00AE156A"/>
    <w:rsid w:val="00AE666A"/>
    <w:rsid w:val="00AF01F3"/>
    <w:rsid w:val="00AF0C98"/>
    <w:rsid w:val="00AF5D76"/>
    <w:rsid w:val="00AF7F04"/>
    <w:rsid w:val="00B00412"/>
    <w:rsid w:val="00B00C0E"/>
    <w:rsid w:val="00B01B1A"/>
    <w:rsid w:val="00B02629"/>
    <w:rsid w:val="00B07AEC"/>
    <w:rsid w:val="00B138B3"/>
    <w:rsid w:val="00B16C8C"/>
    <w:rsid w:val="00B22C80"/>
    <w:rsid w:val="00B23E2C"/>
    <w:rsid w:val="00B311EF"/>
    <w:rsid w:val="00B3348D"/>
    <w:rsid w:val="00B44A47"/>
    <w:rsid w:val="00B55330"/>
    <w:rsid w:val="00B659D1"/>
    <w:rsid w:val="00B70AE8"/>
    <w:rsid w:val="00B72CD3"/>
    <w:rsid w:val="00B72FFF"/>
    <w:rsid w:val="00B77287"/>
    <w:rsid w:val="00B86929"/>
    <w:rsid w:val="00B9517E"/>
    <w:rsid w:val="00B9746A"/>
    <w:rsid w:val="00BA022E"/>
    <w:rsid w:val="00BA21C7"/>
    <w:rsid w:val="00BA4BCB"/>
    <w:rsid w:val="00BA539D"/>
    <w:rsid w:val="00BB1A91"/>
    <w:rsid w:val="00BB2590"/>
    <w:rsid w:val="00BC099B"/>
    <w:rsid w:val="00BC3D36"/>
    <w:rsid w:val="00BC44A1"/>
    <w:rsid w:val="00BC79C5"/>
    <w:rsid w:val="00BD22A3"/>
    <w:rsid w:val="00BD54A6"/>
    <w:rsid w:val="00BD7F72"/>
    <w:rsid w:val="00BE0203"/>
    <w:rsid w:val="00BE32E0"/>
    <w:rsid w:val="00BE429B"/>
    <w:rsid w:val="00BF7425"/>
    <w:rsid w:val="00C04FB3"/>
    <w:rsid w:val="00C11D8B"/>
    <w:rsid w:val="00C13D1D"/>
    <w:rsid w:val="00C15164"/>
    <w:rsid w:val="00C16B06"/>
    <w:rsid w:val="00C21232"/>
    <w:rsid w:val="00C25CE6"/>
    <w:rsid w:val="00C330EB"/>
    <w:rsid w:val="00C349CB"/>
    <w:rsid w:val="00C432D7"/>
    <w:rsid w:val="00C43CC8"/>
    <w:rsid w:val="00C451B3"/>
    <w:rsid w:val="00C46FD8"/>
    <w:rsid w:val="00C50D69"/>
    <w:rsid w:val="00C51232"/>
    <w:rsid w:val="00C5365C"/>
    <w:rsid w:val="00C57901"/>
    <w:rsid w:val="00C65B61"/>
    <w:rsid w:val="00C665EB"/>
    <w:rsid w:val="00C754BE"/>
    <w:rsid w:val="00C76B1C"/>
    <w:rsid w:val="00C820B1"/>
    <w:rsid w:val="00C87E42"/>
    <w:rsid w:val="00C90658"/>
    <w:rsid w:val="00C9125B"/>
    <w:rsid w:val="00C91F5C"/>
    <w:rsid w:val="00C925AC"/>
    <w:rsid w:val="00CA1458"/>
    <w:rsid w:val="00CA6140"/>
    <w:rsid w:val="00CA77AB"/>
    <w:rsid w:val="00CB2204"/>
    <w:rsid w:val="00CB48DB"/>
    <w:rsid w:val="00CB58BA"/>
    <w:rsid w:val="00CB6357"/>
    <w:rsid w:val="00CC1B26"/>
    <w:rsid w:val="00CC6D87"/>
    <w:rsid w:val="00CD1B46"/>
    <w:rsid w:val="00CD389A"/>
    <w:rsid w:val="00CD77F7"/>
    <w:rsid w:val="00CE0E71"/>
    <w:rsid w:val="00CE3334"/>
    <w:rsid w:val="00CE3D3F"/>
    <w:rsid w:val="00CF2DF2"/>
    <w:rsid w:val="00CF69B6"/>
    <w:rsid w:val="00D01973"/>
    <w:rsid w:val="00D1398D"/>
    <w:rsid w:val="00D17F80"/>
    <w:rsid w:val="00D22864"/>
    <w:rsid w:val="00D24BFA"/>
    <w:rsid w:val="00D24E1B"/>
    <w:rsid w:val="00D326F5"/>
    <w:rsid w:val="00D333F4"/>
    <w:rsid w:val="00D361FD"/>
    <w:rsid w:val="00D367D0"/>
    <w:rsid w:val="00D423A2"/>
    <w:rsid w:val="00D43145"/>
    <w:rsid w:val="00D431B4"/>
    <w:rsid w:val="00D44E26"/>
    <w:rsid w:val="00D4503D"/>
    <w:rsid w:val="00D461E4"/>
    <w:rsid w:val="00D50836"/>
    <w:rsid w:val="00D520D8"/>
    <w:rsid w:val="00D532F2"/>
    <w:rsid w:val="00D63AC2"/>
    <w:rsid w:val="00D64DAC"/>
    <w:rsid w:val="00D652B7"/>
    <w:rsid w:val="00D65DDA"/>
    <w:rsid w:val="00D66D87"/>
    <w:rsid w:val="00D7383B"/>
    <w:rsid w:val="00D7471F"/>
    <w:rsid w:val="00D7788A"/>
    <w:rsid w:val="00D8531F"/>
    <w:rsid w:val="00DA231B"/>
    <w:rsid w:val="00DA4B3B"/>
    <w:rsid w:val="00DA718B"/>
    <w:rsid w:val="00DB6486"/>
    <w:rsid w:val="00DB69BD"/>
    <w:rsid w:val="00DC12CA"/>
    <w:rsid w:val="00DC39FC"/>
    <w:rsid w:val="00DD14CE"/>
    <w:rsid w:val="00DD23D8"/>
    <w:rsid w:val="00DD699D"/>
    <w:rsid w:val="00DD7576"/>
    <w:rsid w:val="00DE29EE"/>
    <w:rsid w:val="00DE3E43"/>
    <w:rsid w:val="00DF3010"/>
    <w:rsid w:val="00DF3306"/>
    <w:rsid w:val="00DF4E24"/>
    <w:rsid w:val="00DF5254"/>
    <w:rsid w:val="00DF5FCF"/>
    <w:rsid w:val="00E0108D"/>
    <w:rsid w:val="00E02524"/>
    <w:rsid w:val="00E045CB"/>
    <w:rsid w:val="00E16408"/>
    <w:rsid w:val="00E20894"/>
    <w:rsid w:val="00E245AB"/>
    <w:rsid w:val="00E2764C"/>
    <w:rsid w:val="00E27F2E"/>
    <w:rsid w:val="00E4513D"/>
    <w:rsid w:val="00E50AFE"/>
    <w:rsid w:val="00E53770"/>
    <w:rsid w:val="00E55980"/>
    <w:rsid w:val="00E64E08"/>
    <w:rsid w:val="00E73CBE"/>
    <w:rsid w:val="00E75C92"/>
    <w:rsid w:val="00E771DC"/>
    <w:rsid w:val="00E81F22"/>
    <w:rsid w:val="00E8312F"/>
    <w:rsid w:val="00E84AD2"/>
    <w:rsid w:val="00E84C33"/>
    <w:rsid w:val="00E8772A"/>
    <w:rsid w:val="00E90F6B"/>
    <w:rsid w:val="00E92C27"/>
    <w:rsid w:val="00E94B76"/>
    <w:rsid w:val="00EA0E3D"/>
    <w:rsid w:val="00EA0F6A"/>
    <w:rsid w:val="00EA1C6E"/>
    <w:rsid w:val="00EA2B7D"/>
    <w:rsid w:val="00EA48CC"/>
    <w:rsid w:val="00EB3102"/>
    <w:rsid w:val="00EC2086"/>
    <w:rsid w:val="00EC2E4F"/>
    <w:rsid w:val="00EC38A7"/>
    <w:rsid w:val="00ED06F9"/>
    <w:rsid w:val="00ED0AD9"/>
    <w:rsid w:val="00ED1E93"/>
    <w:rsid w:val="00EE1AA8"/>
    <w:rsid w:val="00EF42C1"/>
    <w:rsid w:val="00EF570D"/>
    <w:rsid w:val="00F03CD5"/>
    <w:rsid w:val="00F079C8"/>
    <w:rsid w:val="00F10240"/>
    <w:rsid w:val="00F12187"/>
    <w:rsid w:val="00F13BE2"/>
    <w:rsid w:val="00F217BC"/>
    <w:rsid w:val="00F23FEA"/>
    <w:rsid w:val="00F27B7B"/>
    <w:rsid w:val="00F31EDC"/>
    <w:rsid w:val="00F324F0"/>
    <w:rsid w:val="00F33432"/>
    <w:rsid w:val="00F34E3A"/>
    <w:rsid w:val="00F444A0"/>
    <w:rsid w:val="00F462B3"/>
    <w:rsid w:val="00F507AF"/>
    <w:rsid w:val="00F50EAB"/>
    <w:rsid w:val="00F53105"/>
    <w:rsid w:val="00F53F38"/>
    <w:rsid w:val="00F55D5F"/>
    <w:rsid w:val="00F5664F"/>
    <w:rsid w:val="00F570E9"/>
    <w:rsid w:val="00F60DC6"/>
    <w:rsid w:val="00F666C4"/>
    <w:rsid w:val="00F66CD3"/>
    <w:rsid w:val="00F71139"/>
    <w:rsid w:val="00F74090"/>
    <w:rsid w:val="00F7501A"/>
    <w:rsid w:val="00F76AFC"/>
    <w:rsid w:val="00F92674"/>
    <w:rsid w:val="00FA47C0"/>
    <w:rsid w:val="00FB1FD9"/>
    <w:rsid w:val="00FB3FF4"/>
    <w:rsid w:val="00FB5DD1"/>
    <w:rsid w:val="00FB6B5E"/>
    <w:rsid w:val="00FC2B5D"/>
    <w:rsid w:val="00FC479C"/>
    <w:rsid w:val="00FC6C8C"/>
    <w:rsid w:val="00FD00C3"/>
    <w:rsid w:val="00FD2581"/>
    <w:rsid w:val="00FD3FA7"/>
    <w:rsid w:val="00FE22D3"/>
    <w:rsid w:val="00FF1449"/>
    <w:rsid w:val="00FF3D97"/>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53D"/>
  </w:style>
  <w:style w:type="paragraph" w:styleId="Ttulo3">
    <w:name w:val="heading 3"/>
    <w:basedOn w:val="Normal"/>
    <w:next w:val="Normal"/>
    <w:link w:val="Ttulo3Car"/>
    <w:uiPriority w:val="9"/>
    <w:semiHidden/>
    <w:unhideWhenUsed/>
    <w:qFormat/>
    <w:rsid w:val="007653F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F3D97"/>
    <w:rPr>
      <w:rFonts w:ascii="Geomanist Light" w:hAnsi="Geomanist Light"/>
      <w:lang w:val="es-ES"/>
    </w:rPr>
  </w:style>
  <w:style w:type="character" w:customStyle="1" w:styleId="NormalWebCar">
    <w:name w:val="Normal (Web) Car"/>
    <w:link w:val="NormalWeb"/>
    <w:uiPriority w:val="99"/>
    <w:locked/>
    <w:rsid w:val="00A7153D"/>
    <w:rPr>
      <w:rFonts w:ascii="Times New Roman" w:eastAsia="Times New Roman" w:hAnsi="Times New Roman" w:cs="Times New Roman"/>
      <w:sz w:val="24"/>
      <w:szCs w:val="24"/>
      <w:lang w:eastAsia="es-CO"/>
    </w:rPr>
  </w:style>
  <w:style w:type="character" w:customStyle="1" w:styleId="baj">
    <w:name w:val="b_aj"/>
    <w:basedOn w:val="Fuentedeprrafopredeter"/>
    <w:rsid w:val="00A7153D"/>
  </w:style>
  <w:style w:type="character" w:styleId="Mencinsinresolver">
    <w:name w:val="Unresolved Mention"/>
    <w:basedOn w:val="Fuentedeprrafopredeter"/>
    <w:uiPriority w:val="99"/>
    <w:semiHidden/>
    <w:unhideWhenUsed/>
    <w:rsid w:val="00F324F0"/>
    <w:rPr>
      <w:color w:val="605E5C"/>
      <w:shd w:val="clear" w:color="auto" w:fill="E1DFDD"/>
    </w:rPr>
  </w:style>
  <w:style w:type="character" w:customStyle="1" w:styleId="Ttulo3Car">
    <w:name w:val="Título 3 Car"/>
    <w:basedOn w:val="Fuentedeprrafopredeter"/>
    <w:link w:val="Ttulo3"/>
    <w:uiPriority w:val="9"/>
    <w:semiHidden/>
    <w:rsid w:val="007653F8"/>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7703">
      <w:bodyDiv w:val="1"/>
      <w:marLeft w:val="0"/>
      <w:marRight w:val="0"/>
      <w:marTop w:val="0"/>
      <w:marBottom w:val="0"/>
      <w:divBdr>
        <w:top w:val="none" w:sz="0" w:space="0" w:color="auto"/>
        <w:left w:val="none" w:sz="0" w:space="0" w:color="auto"/>
        <w:bottom w:val="none" w:sz="0" w:space="0" w:color="auto"/>
        <w:right w:val="none" w:sz="0" w:space="0" w:color="auto"/>
      </w:divBdr>
    </w:div>
    <w:div w:id="362830511">
      <w:bodyDiv w:val="1"/>
      <w:marLeft w:val="0"/>
      <w:marRight w:val="0"/>
      <w:marTop w:val="0"/>
      <w:marBottom w:val="0"/>
      <w:divBdr>
        <w:top w:val="none" w:sz="0" w:space="0" w:color="auto"/>
        <w:left w:val="none" w:sz="0" w:space="0" w:color="auto"/>
        <w:bottom w:val="none" w:sz="0" w:space="0" w:color="auto"/>
        <w:right w:val="none" w:sz="0" w:space="0" w:color="auto"/>
      </w:divBdr>
    </w:div>
    <w:div w:id="364061825">
      <w:bodyDiv w:val="1"/>
      <w:marLeft w:val="0"/>
      <w:marRight w:val="0"/>
      <w:marTop w:val="0"/>
      <w:marBottom w:val="0"/>
      <w:divBdr>
        <w:top w:val="none" w:sz="0" w:space="0" w:color="auto"/>
        <w:left w:val="none" w:sz="0" w:space="0" w:color="auto"/>
        <w:bottom w:val="none" w:sz="0" w:space="0" w:color="auto"/>
        <w:right w:val="none" w:sz="0" w:space="0" w:color="auto"/>
      </w:divBdr>
    </w:div>
    <w:div w:id="555898339">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94171352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0080_1993.html" TargetMode="External"/><Relationship Id="rId18"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forms.office.com/r/pPHyWVs2SZ" TargetMode="External"/><Relationship Id="rId7" Type="http://schemas.openxmlformats.org/officeDocument/2006/relationships/settings" Target="settings.xml"/><Relationship Id="rId12" Type="http://schemas.openxmlformats.org/officeDocument/2006/relationships/hyperlink" Target="mailto:germneir@etb.com.co" TargetMode="External"/><Relationship Id="rId17" Type="http://schemas.openxmlformats.org/officeDocument/2006/relationships/hyperlink" Target="https://www.colombiacompra.gov.co/normativa-y-relatoria/documentos-tipo"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formacionvirtual.colombiacompra.gov.co/mod/page/view.php?id=3718" TargetMode="External"/><Relationship Id="rId20" Type="http://schemas.openxmlformats.org/officeDocument/2006/relationships/hyperlink" Target="https://www.colombiacompra.gov.co/pqrsd/informacion-importante-antes-de-formular-una-pqrs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ventanilladeradicacion@colombiacompra.gov.c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ecretariasenado.gov.co/senado/basedoc/ley_0080_1993.html" TargetMode="External"/><Relationship Id="rId22"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sintesis.colombiacompra.gov.co/sintesis/9-etapa-precontractual-estudios-previos" TargetMode="External"/><Relationship Id="rId2" Type="http://schemas.openxmlformats.org/officeDocument/2006/relationships/hyperlink" Target="https://revistas.udea.edu.co/index.php/derypol/article/view/331285/20790715" TargetMode="External"/><Relationship Id="rId1" Type="http://schemas.openxmlformats.org/officeDocument/2006/relationships/hyperlink" Target="https://www.ibm.com/mx-es/think/topics/business-process-outsourcing" TargetMode="External"/><Relationship Id="rId4" Type="http://schemas.openxmlformats.org/officeDocument/2006/relationships/hyperlink" Target="http://www.secretariasenado.gov.co/senado/basedoc/ley_1474_2011_pr001.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3EF3F7A8-FFC3-4237-A751-42DB641566A6}">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14D9D42B-967E-4FDD-8994-ACB818AA17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44</Pages>
  <Words>16892</Words>
  <Characters>92908</Characters>
  <Application>Microsoft Office Word</Application>
  <DocSecurity>0</DocSecurity>
  <Lines>774</Lines>
  <Paragraphs>219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21</cp:revision>
  <cp:lastPrinted>2023-01-10T21:18:00Z</cp:lastPrinted>
  <dcterms:created xsi:type="dcterms:W3CDTF">2026-09-24T16:37:00Z</dcterms:created>
  <dcterms:modified xsi:type="dcterms:W3CDTF">2026-09-25T21:34:00Z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