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10"/>
      </w:tblGrid>
      <w:tr w:rsidR="00BB7754" w:rsidRPr="00A27D65" w14:paraId="0449B4CC" w14:textId="77777777" w:rsidTr="006274A3">
        <w:trPr>
          <w:trHeight w:val="300"/>
        </w:trPr>
        <w:tc>
          <w:tcPr>
            <w:tcW w:w="6100" w:type="dxa"/>
          </w:tcPr>
          <w:p w14:paraId="3F686E31" w14:textId="77777777" w:rsidR="00BB7754" w:rsidRPr="00BB7754" w:rsidRDefault="00BB7754" w:rsidP="00BB7754">
            <w:pPr>
              <w:snapToGrid w:val="0"/>
              <w:jc w:val="both"/>
              <w:rPr>
                <w:rFonts w:ascii="Verdana" w:eastAsia="Calibri" w:hAnsi="Verdana" w:cs="Arial"/>
                <w:b/>
                <w:bCs/>
                <w:color w:val="000000" w:themeColor="text1"/>
                <w:lang w:val="es-ES" w:eastAsia="es-ES"/>
              </w:rPr>
            </w:pPr>
            <w:r w:rsidRPr="00BB7754">
              <w:rPr>
                <w:rFonts w:ascii="Verdana" w:eastAsia="Calibri" w:hAnsi="Verdana" w:cs="Arial"/>
                <w:b/>
                <w:bCs/>
                <w:color w:val="000000" w:themeColor="text1"/>
                <w:lang w:val="es-ES" w:eastAsia="es-ES"/>
              </w:rPr>
              <w:t>EXPERIENCIA – Concepto</w:t>
            </w:r>
          </w:p>
          <w:p w14:paraId="37C26B5A" w14:textId="77777777" w:rsidR="00BB7754" w:rsidRDefault="00BB7754" w:rsidP="00BB7754">
            <w:pPr>
              <w:widowControl w:val="0"/>
              <w:autoSpaceDE w:val="0"/>
              <w:autoSpaceDN w:val="0"/>
              <w:snapToGrid w:val="0"/>
              <w:jc w:val="both"/>
              <w:rPr>
                <w:rFonts w:ascii="Verdana" w:eastAsia="Times New Roman" w:hAnsi="Verdana" w:cs="Times New Roman"/>
                <w:sz w:val="20"/>
                <w:szCs w:val="20"/>
                <w:lang w:val="es-ES"/>
              </w:rPr>
            </w:pPr>
          </w:p>
          <w:p w14:paraId="55672B3C" w14:textId="35630BB1" w:rsidR="00BB7754" w:rsidRPr="00BB7754" w:rsidRDefault="00BB7754" w:rsidP="00BB7754">
            <w:pPr>
              <w:widowControl w:val="0"/>
              <w:autoSpaceDE w:val="0"/>
              <w:autoSpaceDN w:val="0"/>
              <w:snapToGrid w:val="0"/>
              <w:jc w:val="both"/>
              <w:rPr>
                <w:rFonts w:ascii="Verdana" w:hAnsi="Verdana"/>
                <w:sz w:val="20"/>
                <w:szCs w:val="20"/>
                <w:lang w:val="es-ES"/>
              </w:rPr>
            </w:pPr>
            <w:r w:rsidRPr="00BB7754">
              <w:rPr>
                <w:rFonts w:ascii="Verdana" w:eastAsia="Times New Roman" w:hAnsi="Verdana" w:cs="Times New Roman"/>
                <w:sz w:val="20"/>
                <w:szCs w:val="20"/>
                <w:lang w:val="es-ES"/>
              </w:rPr>
              <w:t>De la disposición transcrita se desprende que la experiencia es un requisito habilitante: no otorga puntaje, se verifica como condición de participación y su exigencia debe ser adecuada y proporcional a la naturaleza y al valor del contrato. La norma no define qué contratos sirven para demostrarla ni restringe su origen, de modo que corresponde a cada entidad estatal, en la estructuración de sus documentos del proceso, definir la experiencia exigida y su forma de acreditación. Esta Subdirección ha entendido la experiencia como el conocimiento del proponente derivado de su participación previa en actividades iguales o similares a las previstas en el objeto del contrato, y ha destacado su carácter personal, en cuanto supone que quien la invoca participó, con anterioridad, en actividades que le permitieron conocer cómo ejecutar el objeto contractual. En la misma línea, ha sostenido de manera reiterada que “la experiencia es aquella que se derive de los contratos que el proponente ha celebrado y ejecutado con diferentes contratantes, sin importar la naturaleza de estos”, por lo que el ordenamiento no restringe la experiencia a contratos celebrados con entidades públicas ni a determinada tipología contractual: pueden invocarse contratos civiles, comerciales o estatales, típicos o atípicos, celebrados con personas públicas o privadas, siempre que su ejecución dé cuenta de las actividades exigidas.</w:t>
            </w:r>
          </w:p>
          <w:p w14:paraId="5B187C58"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1B89D743" w14:textId="77777777" w:rsidR="00BB7754" w:rsidRPr="00BB7754" w:rsidRDefault="00BB7754" w:rsidP="00BB7754">
            <w:pPr>
              <w:snapToGrid w:val="0"/>
              <w:jc w:val="both"/>
              <w:rPr>
                <w:rFonts w:ascii="Verdana" w:eastAsia="Calibri" w:hAnsi="Verdana" w:cs="Arial"/>
                <w:b/>
                <w:bCs/>
                <w:color w:val="000000" w:themeColor="text1"/>
                <w:lang w:val="es-ES" w:eastAsia="es-ES"/>
              </w:rPr>
            </w:pPr>
            <w:r w:rsidRPr="00BB7754">
              <w:rPr>
                <w:rFonts w:ascii="Verdana" w:eastAsia="Calibri" w:hAnsi="Verdana" w:cs="Arial"/>
                <w:b/>
                <w:bCs/>
                <w:color w:val="000000" w:themeColor="text1"/>
                <w:lang w:val="es-ES" w:eastAsia="es-ES"/>
              </w:rPr>
              <w:t xml:space="preserve">EXPERIENCIA – Carácter personal e intransferible – Excepciones </w:t>
            </w:r>
          </w:p>
          <w:p w14:paraId="11FE2450" w14:textId="77777777" w:rsidR="00BB7754" w:rsidRDefault="00BB7754" w:rsidP="00BB7754">
            <w:pPr>
              <w:snapToGrid w:val="0"/>
              <w:jc w:val="both"/>
              <w:rPr>
                <w:rFonts w:ascii="Verdana" w:eastAsia="Calibri" w:hAnsi="Verdana" w:cs="Arial"/>
                <w:sz w:val="20"/>
                <w:szCs w:val="20"/>
                <w:lang w:val="es-ES" w:eastAsia="es-CO"/>
              </w:rPr>
            </w:pPr>
          </w:p>
          <w:p w14:paraId="5C632234" w14:textId="4818AF84" w:rsidR="00BB7754" w:rsidRPr="00BB7754" w:rsidRDefault="00BB7754" w:rsidP="00BB7754">
            <w:pPr>
              <w:snapToGrid w:val="0"/>
              <w:jc w:val="both"/>
              <w:rPr>
                <w:rFonts w:ascii="Verdana" w:hAnsi="Verdana" w:cs="Arial"/>
                <w:sz w:val="20"/>
                <w:szCs w:val="20"/>
                <w:lang w:val="es-ES"/>
              </w:rPr>
            </w:pPr>
            <w:r w:rsidRPr="00BB7754">
              <w:rPr>
                <w:rFonts w:ascii="Verdana" w:eastAsia="Calibri" w:hAnsi="Verdana" w:cs="Arial"/>
                <w:sz w:val="20"/>
                <w:szCs w:val="20"/>
                <w:lang w:val="es-ES" w:eastAsia="es-CO"/>
              </w:rPr>
              <w:t xml:space="preserve">En este sentido, el Manual señala que un aspecto esencial de la experiencia es su </w:t>
            </w:r>
            <w:r w:rsidRPr="00BB7754">
              <w:rPr>
                <w:rFonts w:ascii="Verdana" w:eastAsia="Calibri" w:hAnsi="Verdana" w:cs="Arial"/>
                <w:i/>
                <w:iCs/>
                <w:sz w:val="20"/>
                <w:szCs w:val="20"/>
                <w:u w:val="single"/>
                <w:lang w:val="es-ES" w:eastAsia="es-CO"/>
              </w:rPr>
              <w:t>carácter personal</w:t>
            </w:r>
            <w:r w:rsidRPr="00BB7754">
              <w:rPr>
                <w:rFonts w:ascii="Verdana" w:eastAsia="Calibri" w:hAnsi="Verdana" w:cs="Arial"/>
                <w:sz w:val="20"/>
                <w:szCs w:val="20"/>
                <w:lang w:val="es-ES" w:eastAsia="es-CO"/>
              </w:rPr>
              <w:t>, lo cual significa que quien tiene la experiencia lo hace debido a su participación, con anterioridad, en actividades que le permitieron conocer cómo ejecutar el objeto contractual que la entidad pretende satisfacer ahora. Lo anterior es determinante, porque no es posible tener experiencia si en la práctica no se han ejecutado actividades similares previas. Precisamente, de la experiencia se deriva el conocimiento del proponente, el cual garantiza que no habrá improvisación ni mayores costos por errores o dificultades derivadas de realizar una actividad por primera vez. Al respecto, la jurisprudencia ha señalado que la experiencia acreditable “no es más que un valor agregado para el contratista en consideración al registro documentado del hecho de haberlo ejecutado, es decir de haber cumplido las consideraciones pactadas, asunto que</w:t>
            </w:r>
            <w:r w:rsidRPr="00BB7754">
              <w:rPr>
                <w:rFonts w:ascii="Verdana" w:eastAsia="Calibri" w:hAnsi="Verdana" w:cs="Arial"/>
                <w:sz w:val="20"/>
                <w:szCs w:val="20"/>
                <w:lang w:val="es-ES"/>
              </w:rPr>
              <w:t xml:space="preserve"> alude a un estado adquirido por el contratante en función de la real ejecución que han hecho del contrato. La experiencia predicada de un sujeto comprende unas competencias o habilidades que este obtuvo, como consecuencia de la ejecución del contrato […]</w:t>
            </w:r>
            <w:r w:rsidRPr="00BB7754">
              <w:rPr>
                <w:rFonts w:ascii="Verdana" w:hAnsi="Verdana" w:cs="Arial"/>
                <w:sz w:val="20"/>
                <w:szCs w:val="20"/>
                <w:lang w:val="es-ES"/>
              </w:rPr>
              <w:t xml:space="preserve">”. En tal sentido, la ejecución del contrato “se revela como un aspecto inherente a la persona que lo ejecutó”, por lo que es en virtud de dicha ejecución que se obtiene las habilidades y competencias que califican al proponente. </w:t>
            </w:r>
          </w:p>
          <w:p w14:paraId="41BFE62E" w14:textId="77777777" w:rsidR="00BB7754" w:rsidRDefault="00BB7754" w:rsidP="00BB7754">
            <w:pPr>
              <w:snapToGrid w:val="0"/>
              <w:jc w:val="both"/>
              <w:rPr>
                <w:rFonts w:ascii="Verdana" w:hAnsi="Verdana" w:cs="Arial"/>
                <w:sz w:val="20"/>
                <w:szCs w:val="20"/>
                <w:lang w:val="es-ES"/>
              </w:rPr>
            </w:pPr>
          </w:p>
          <w:p w14:paraId="33D8AE4E" w14:textId="2E139ECD" w:rsidR="00BB7754" w:rsidRPr="00BB7754" w:rsidRDefault="00BB7754" w:rsidP="00BB7754">
            <w:pPr>
              <w:snapToGrid w:val="0"/>
              <w:jc w:val="both"/>
              <w:rPr>
                <w:rFonts w:ascii="Verdana" w:eastAsia="Calibri" w:hAnsi="Verdana" w:cs="Arial"/>
                <w:sz w:val="20"/>
                <w:szCs w:val="20"/>
                <w:lang w:val="es-ES"/>
              </w:rPr>
            </w:pPr>
            <w:r w:rsidRPr="00BB7754">
              <w:rPr>
                <w:rFonts w:ascii="Verdana" w:hAnsi="Verdana" w:cs="Arial"/>
                <w:sz w:val="20"/>
                <w:szCs w:val="20"/>
                <w:lang w:val="es-ES"/>
              </w:rPr>
              <w:t>[…]</w:t>
            </w:r>
            <w:r w:rsidRPr="00BB7754">
              <w:rPr>
                <w:rFonts w:ascii="Verdana" w:eastAsia="Calibri" w:hAnsi="Verdana" w:cs="Arial"/>
                <w:sz w:val="20"/>
                <w:szCs w:val="20"/>
                <w:lang w:val="es-ES"/>
              </w:rPr>
              <w:t xml:space="preserve">De lo anterior se desprende que, por regla general, en la actividad contractual regulada por el Estatuto General de Contratación de la Administración Pública la experiencia es personal e intransferible, salvo las excepciones que expresamente establece la ley. Una primera excepción a la regla anteriormente descrita se </w:t>
            </w:r>
            <w:r w:rsidRPr="00BB7754">
              <w:rPr>
                <w:rFonts w:ascii="Verdana" w:eastAsia="Calibri" w:hAnsi="Verdana" w:cs="Arial"/>
                <w:sz w:val="20"/>
                <w:szCs w:val="20"/>
                <w:lang w:val="es-ES"/>
              </w:rPr>
              <w:lastRenderedPageBreak/>
              <w:t>encuentra consagrada en el numeral 2.5. del artículo 2.2.1.1.1.5.2. del Decreto 1082 de 2015, con arreglo al cual “Si la constitución del interesado es menor a tres (3) años, puede acreditar la experiencia de sus accionistas, socios o constituyentes” para la inscripción, renovación o actualización del Registro Único de Proponentes (RUP).</w:t>
            </w:r>
          </w:p>
          <w:p w14:paraId="26EEB146" w14:textId="77777777" w:rsidR="00BB7754" w:rsidRDefault="00BB7754" w:rsidP="00BB7754">
            <w:pPr>
              <w:snapToGrid w:val="0"/>
              <w:jc w:val="both"/>
              <w:rPr>
                <w:rFonts w:ascii="Verdana" w:eastAsia="Calibri" w:hAnsi="Verdana" w:cs="Arial"/>
                <w:sz w:val="20"/>
                <w:szCs w:val="20"/>
                <w:lang w:val="es-ES"/>
              </w:rPr>
            </w:pPr>
          </w:p>
          <w:p w14:paraId="6CFBB37B" w14:textId="1D92E1D7" w:rsidR="00BB7754" w:rsidRPr="00BB7754" w:rsidRDefault="00BB7754" w:rsidP="00BB7754">
            <w:pPr>
              <w:snapToGrid w:val="0"/>
              <w:jc w:val="both"/>
              <w:rPr>
                <w:rFonts w:ascii="Verdana" w:eastAsia="Calibri" w:hAnsi="Verdana" w:cs="Arial"/>
                <w:sz w:val="20"/>
                <w:szCs w:val="20"/>
                <w:lang w:val="es-ES" w:eastAsia="es-CO"/>
              </w:rPr>
            </w:pPr>
            <w:r w:rsidRPr="00BB7754">
              <w:rPr>
                <w:rFonts w:ascii="Verdana" w:eastAsia="Calibri" w:hAnsi="Verdana" w:cs="Arial"/>
                <w:sz w:val="20"/>
                <w:szCs w:val="20"/>
                <w:lang w:val="es-ES"/>
              </w:rPr>
              <w:t xml:space="preserve">Una segunda excepción al carácter intransferible de la experiencia son algunas reformas estatutarias de las personas jurídicas o de reorganización empresarial, en las que la persona jurídica </w:t>
            </w:r>
            <w:r w:rsidRPr="00BB7754">
              <w:rPr>
                <w:rFonts w:ascii="Verdana" w:eastAsia="Calibri" w:hAnsi="Verdana" w:cs="Arial"/>
                <w:i/>
                <w:iCs/>
                <w:sz w:val="20"/>
                <w:szCs w:val="20"/>
                <w:lang w:val="es-ES"/>
              </w:rPr>
              <w:t>no se liquida</w:t>
            </w:r>
            <w:r w:rsidRPr="00BB7754">
              <w:rPr>
                <w:rFonts w:ascii="Verdana" w:eastAsia="Calibri" w:hAnsi="Verdana" w:cs="Arial"/>
                <w:sz w:val="20"/>
                <w:szCs w:val="20"/>
                <w:lang w:val="es-ES"/>
              </w:rPr>
              <w:t xml:space="preserve"> y, por lo tanto, puede transferir su experiencia a la persona jurídica resultante. En efecto, la Subdirección de Gestión Contractual de esta Agencia ha considerado de manera reiterada que ante la definición los conceptos de “disolución” y “liquidación” del Código de Comercio, es viable la transferencia de experiencia en la transformación y en la fusión, pero no en la escisión, de sociedades comerciales</w:t>
            </w:r>
          </w:p>
          <w:p w14:paraId="45017A25" w14:textId="77777777" w:rsidR="00BB7754" w:rsidRDefault="00BB7754" w:rsidP="00BB7754">
            <w:pPr>
              <w:snapToGrid w:val="0"/>
              <w:jc w:val="both"/>
              <w:rPr>
                <w:rFonts w:ascii="Verdana" w:eastAsia="Calibri" w:hAnsi="Verdana" w:cs="Arial"/>
                <w:color w:val="000000" w:themeColor="text1"/>
                <w:sz w:val="20"/>
                <w:szCs w:val="20"/>
                <w:lang w:val="es-ES" w:eastAsia="es-ES"/>
              </w:rPr>
            </w:pPr>
          </w:p>
          <w:p w14:paraId="5C136514" w14:textId="79EE4607" w:rsidR="00BB7754" w:rsidRPr="00BB7754" w:rsidRDefault="00BB7754" w:rsidP="00BB7754">
            <w:pPr>
              <w:snapToGrid w:val="0"/>
              <w:jc w:val="both"/>
              <w:rPr>
                <w:rFonts w:ascii="Verdana" w:eastAsia="Calibri" w:hAnsi="Verdana" w:cs="Arial"/>
                <w:b/>
                <w:bCs/>
                <w:color w:val="000000" w:themeColor="text1"/>
                <w:lang w:val="es-ES" w:eastAsia="es-ES"/>
              </w:rPr>
            </w:pPr>
            <w:r w:rsidRPr="00BB7754">
              <w:rPr>
                <w:rFonts w:ascii="Verdana" w:eastAsia="Calibri" w:hAnsi="Verdana" w:cs="Arial"/>
                <w:b/>
                <w:bCs/>
                <w:color w:val="000000" w:themeColor="text1"/>
                <w:lang w:val="es-ES" w:eastAsia="es-ES"/>
              </w:rPr>
              <w:t>EXPERIENCIA – Transformación</w:t>
            </w:r>
          </w:p>
          <w:p w14:paraId="110B91FA"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4EB06ED9" w14:textId="44388A26" w:rsidR="00BB7754" w:rsidRPr="00BB7754" w:rsidRDefault="00BB7754" w:rsidP="00BB7754">
            <w:pPr>
              <w:snapToGrid w:val="0"/>
              <w:jc w:val="both"/>
              <w:rPr>
                <w:rFonts w:ascii="Verdana" w:eastAsia="Calibri" w:hAnsi="Verdana" w:cs="Arial"/>
                <w:sz w:val="20"/>
                <w:szCs w:val="20"/>
                <w:lang w:val="es-ES"/>
              </w:rPr>
            </w:pPr>
            <w:r w:rsidRPr="00BB7754">
              <w:rPr>
                <w:rFonts w:ascii="Verdana" w:eastAsia="Calibri" w:hAnsi="Verdana" w:cs="Arial"/>
                <w:bCs/>
                <w:sz w:val="20"/>
                <w:szCs w:val="20"/>
                <w:lang w:val="es-ES"/>
              </w:rPr>
              <w:t xml:space="preserve">Como parte de las reformas estatutarias de las sociedades comerciales, la </w:t>
            </w:r>
            <w:r w:rsidRPr="00BB7754">
              <w:rPr>
                <w:rFonts w:ascii="Verdana" w:eastAsia="Calibri" w:hAnsi="Verdana" w:cs="Arial"/>
                <w:bCs/>
                <w:i/>
                <w:iCs/>
                <w:sz w:val="20"/>
                <w:szCs w:val="20"/>
                <w:lang w:val="es-ES"/>
              </w:rPr>
              <w:t>transformación</w:t>
            </w:r>
            <w:r w:rsidRPr="00BB7754">
              <w:rPr>
                <w:rFonts w:ascii="Verdana" w:eastAsia="Calibri" w:hAnsi="Verdana" w:cs="Arial"/>
                <w:bCs/>
                <w:sz w:val="20"/>
                <w:szCs w:val="20"/>
                <w:lang w:val="es-ES"/>
              </w:rPr>
              <w:t xml:space="preserve"> implica que </w:t>
            </w:r>
            <w:r w:rsidRPr="00BB7754">
              <w:rPr>
                <w:rFonts w:ascii="Verdana" w:eastAsia="Calibri" w:hAnsi="Verdana" w:cs="Arial"/>
                <w:sz w:val="20"/>
                <w:szCs w:val="20"/>
                <w:lang w:val="es-ES"/>
              </w:rPr>
              <w:t>se detalle la naturaleza jurídica, composición, estructura, capital, entre otros, con el propósito de cambiar la forma o tipo societario inicialmente adoptado. Es decir, si una sociedad se crea como sociedad de responsabilidad limitada y, sin “disolverse”, decide adoptar la figura de sociedad anónima, lo podrá hacer mediante una reforma estatutaria, sin que se interrumpa la continuidad de la sociedad comercial o persona jurídica. Es importante destacar que en esta reforma estatutaria solo participa la sociedad involucrada, y no existen otras sociedades que se relacionen o intervengan, lo cual diferencia la transformación de otras reformas o figuras.</w:t>
            </w:r>
          </w:p>
          <w:p w14:paraId="787042A7" w14:textId="77777777" w:rsidR="00BB7754" w:rsidRDefault="00BB7754" w:rsidP="00BB7754">
            <w:pPr>
              <w:snapToGrid w:val="0"/>
              <w:jc w:val="both"/>
              <w:rPr>
                <w:rFonts w:ascii="Verdana" w:eastAsia="Calibri" w:hAnsi="Verdana" w:cs="Arial"/>
                <w:sz w:val="20"/>
                <w:szCs w:val="20"/>
                <w:lang w:val="es-ES"/>
              </w:rPr>
            </w:pPr>
          </w:p>
          <w:p w14:paraId="619962C1" w14:textId="523C9014" w:rsidR="00BB7754" w:rsidRPr="00BB7754" w:rsidRDefault="00BB7754" w:rsidP="00BB7754">
            <w:pPr>
              <w:snapToGrid w:val="0"/>
              <w:jc w:val="both"/>
              <w:rPr>
                <w:rFonts w:ascii="Verdana" w:eastAsia="Calibri" w:hAnsi="Verdana" w:cs="Arial"/>
                <w:sz w:val="20"/>
                <w:szCs w:val="20"/>
                <w:lang w:val="es-ES"/>
              </w:rPr>
            </w:pPr>
            <w:r w:rsidRPr="00BB7754">
              <w:rPr>
                <w:rFonts w:ascii="Verdana" w:eastAsia="Calibri" w:hAnsi="Verdana" w:cs="Arial"/>
                <w:sz w:val="20"/>
                <w:szCs w:val="20"/>
                <w:lang w:val="es-ES"/>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w:t>
            </w:r>
          </w:p>
          <w:p w14:paraId="0B9ADA2C"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5222D780" w14:textId="77777777" w:rsidR="00BB7754" w:rsidRPr="00BB7754" w:rsidRDefault="00BB7754" w:rsidP="00BB7754">
            <w:pPr>
              <w:snapToGrid w:val="0"/>
              <w:jc w:val="both"/>
              <w:rPr>
                <w:rFonts w:ascii="Verdana" w:eastAsia="Calibri" w:hAnsi="Verdana" w:cs="Arial"/>
                <w:b/>
                <w:bCs/>
                <w:color w:val="000000" w:themeColor="text1"/>
                <w:lang w:val="es-ES" w:eastAsia="es-ES"/>
              </w:rPr>
            </w:pPr>
            <w:r w:rsidRPr="00BB7754">
              <w:rPr>
                <w:rFonts w:ascii="Verdana" w:eastAsia="Calibri" w:hAnsi="Verdana" w:cs="Arial"/>
                <w:b/>
                <w:bCs/>
                <w:color w:val="000000" w:themeColor="text1"/>
                <w:lang w:val="es-ES" w:eastAsia="es-ES"/>
              </w:rPr>
              <w:t>EXPERIENCIA – Escisión</w:t>
            </w:r>
          </w:p>
          <w:p w14:paraId="03B65949"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2B50A24B" w14:textId="5BBCE80A" w:rsidR="00BB7754" w:rsidRPr="00BB7754" w:rsidRDefault="00BB7754" w:rsidP="00BB7754">
            <w:pPr>
              <w:snapToGrid w:val="0"/>
              <w:jc w:val="both"/>
              <w:rPr>
                <w:rFonts w:ascii="Verdana" w:eastAsia="Calibri" w:hAnsi="Verdana" w:cs="Arial"/>
                <w:sz w:val="20"/>
                <w:szCs w:val="20"/>
                <w:lang w:val="es-ES"/>
              </w:rPr>
            </w:pPr>
            <w:r w:rsidRPr="00BB7754">
              <w:rPr>
                <w:rFonts w:ascii="Verdana" w:eastAsia="Calibri" w:hAnsi="Verdana" w:cs="Arial"/>
                <w:sz w:val="20"/>
                <w:szCs w:val="20"/>
                <w:lang w:val="es-ES"/>
              </w:rPr>
              <w:t xml:space="preserve">[…] En consecuencia, en la primera modalidad de escisión, la sociedad conserva su identidad y continúa sin alteraciones. Por esa razón, la sociedad puede compartir su experiencia mediante esquemas asociativos, pero no puede transferirla. La sociedad subsiste por sí misma y sigue adquiriendo experiencia; de modo que esa experiencia le pertenece y no puede trasladarla a otra, porque es ella quien la adquirió. En la segunda modalidad, en cambio, la sociedad se disuelve, pero su experiencia tampoco se transfiere. La persona jurídica fraccionada pierde su identidad y desaparece, y su patrimonio se reparte entre varias sociedades, nuevas o existentes. Ese fraccionamiento impide determinar cuál de las sociedades receptoras conserva la experiencia. Ninguna de ellas puede acreditarla, y todas en conjunto tampoco pueden </w:t>
            </w:r>
            <w:r w:rsidRPr="00BB7754">
              <w:rPr>
                <w:rFonts w:ascii="Verdana" w:eastAsia="Calibri" w:hAnsi="Verdana" w:cs="Arial"/>
                <w:sz w:val="20"/>
                <w:szCs w:val="20"/>
                <w:lang w:val="es-ES"/>
              </w:rPr>
              <w:lastRenderedPageBreak/>
              <w:t>multiplicarla para invocarla cuantas veces resulte conveniente. La experiencia pertenece a quien la adquirió, y esa persona jurídica no subsiste en ninguna otra, porque desapareció al dividirse en dos o más partes. Este supuesto no encaja en la definición de experiencia personal ni en la de transferencia de experiencia, pues esta última exige que la persona jurídica siga siendo la misma a través de otra, sin fraccionamientos que la hagan dejar de ser quien era y desaparecer.</w:t>
            </w:r>
          </w:p>
          <w:p w14:paraId="67AAEB7C"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4A631554" w14:textId="77777777" w:rsidR="00BB7754" w:rsidRPr="00BB7754" w:rsidRDefault="00BB7754" w:rsidP="00BB7754">
            <w:pPr>
              <w:snapToGrid w:val="0"/>
              <w:jc w:val="both"/>
              <w:rPr>
                <w:rFonts w:ascii="Verdana" w:eastAsia="Calibri" w:hAnsi="Verdana" w:cs="Arial"/>
                <w:b/>
                <w:bCs/>
                <w:color w:val="000000" w:themeColor="text1"/>
                <w:lang w:val="es-ES" w:eastAsia="es-ES"/>
              </w:rPr>
            </w:pPr>
            <w:r w:rsidRPr="00BB7754">
              <w:rPr>
                <w:rFonts w:ascii="Verdana" w:eastAsia="Calibri" w:hAnsi="Verdana" w:cs="Arial"/>
                <w:b/>
                <w:bCs/>
                <w:color w:val="000000" w:themeColor="text1"/>
                <w:lang w:val="es-ES" w:eastAsia="es-ES"/>
              </w:rPr>
              <w:t>EXPERIENCIA – Fusión</w:t>
            </w:r>
          </w:p>
          <w:p w14:paraId="20FFC20F"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42E1DD43" w14:textId="550BFF7E" w:rsidR="00BB7754" w:rsidRPr="00BB7754" w:rsidRDefault="00BB7754" w:rsidP="00BB7754">
            <w:pPr>
              <w:snapToGrid w:val="0"/>
              <w:jc w:val="both"/>
              <w:rPr>
                <w:rFonts w:ascii="Verdana" w:eastAsia="Calibri" w:hAnsi="Verdana" w:cs="Arial"/>
                <w:bCs/>
                <w:sz w:val="20"/>
                <w:szCs w:val="20"/>
                <w:lang w:val="es-ES"/>
              </w:rPr>
            </w:pPr>
            <w:r w:rsidRPr="00BB7754">
              <w:rPr>
                <w:rFonts w:ascii="Verdana" w:eastAsia="Calibri" w:hAnsi="Verdana" w:cs="Arial"/>
                <w:color w:val="000000" w:themeColor="text1"/>
                <w:sz w:val="20"/>
                <w:szCs w:val="20"/>
                <w:lang w:val="es-ES" w:eastAsia="es-ES"/>
              </w:rPr>
              <w:t>[…]</w:t>
            </w:r>
            <w:r>
              <w:rPr>
                <w:rFonts w:ascii="Verdana" w:eastAsia="Calibri" w:hAnsi="Verdana" w:cs="Arial"/>
                <w:color w:val="000000" w:themeColor="text1"/>
                <w:sz w:val="20"/>
                <w:szCs w:val="20"/>
                <w:lang w:val="es-ES" w:eastAsia="es-ES"/>
              </w:rPr>
              <w:t xml:space="preserve"> </w:t>
            </w:r>
            <w:r w:rsidRPr="00BB7754">
              <w:rPr>
                <w:rFonts w:ascii="Verdana" w:eastAsia="Calibri" w:hAnsi="Verdana" w:cs="Arial"/>
                <w:bCs/>
                <w:sz w:val="20"/>
                <w:szCs w:val="20"/>
                <w:lang w:val="es-ES"/>
              </w:rPr>
              <w:t xml:space="preserve">Para analizar la fusión y sus efectos respecto de la experiencia de la sociedad que se </w:t>
            </w:r>
            <w:proofErr w:type="gramStart"/>
            <w:r w:rsidRPr="00BB7754">
              <w:rPr>
                <w:rFonts w:ascii="Verdana" w:eastAsia="Calibri" w:hAnsi="Verdana" w:cs="Arial"/>
                <w:bCs/>
                <w:sz w:val="20"/>
                <w:szCs w:val="20"/>
                <w:lang w:val="es-ES"/>
              </w:rPr>
              <w:t>disuelve</w:t>
            </w:r>
            <w:proofErr w:type="gramEnd"/>
            <w:r w:rsidRPr="00BB7754">
              <w:rPr>
                <w:rFonts w:ascii="Verdana" w:eastAsia="Calibri" w:hAnsi="Verdana" w:cs="Arial"/>
                <w:bCs/>
                <w:sz w:val="20"/>
                <w:szCs w:val="20"/>
                <w:lang w:val="es-ES"/>
              </w:rPr>
              <w:t xml:space="preserve"> pero no se </w:t>
            </w:r>
            <w:r w:rsidRPr="00BB7754">
              <w:rPr>
                <w:rFonts w:ascii="Verdana" w:eastAsia="Calibri" w:hAnsi="Verdana" w:cs="Arial"/>
                <w:sz w:val="20"/>
                <w:szCs w:val="20"/>
                <w:lang w:val="es-ES"/>
              </w:rPr>
              <w:t>l</w:t>
            </w:r>
            <w:r w:rsidRPr="00BB7754">
              <w:rPr>
                <w:rFonts w:ascii="Verdana" w:eastAsia="Calibri" w:hAnsi="Verdana" w:cs="Arial"/>
                <w:bCs/>
                <w:sz w:val="20"/>
                <w:szCs w:val="20"/>
                <w:lang w:val="es-ES"/>
              </w:rPr>
              <w:t xml:space="preserve">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w:t>
            </w:r>
            <w:r w:rsidRPr="00BB7754">
              <w:rPr>
                <w:rFonts w:ascii="Verdana" w:eastAsia="Calibri" w:hAnsi="Verdana" w:cs="Arial"/>
                <w:bCs/>
                <w:i/>
                <w:iCs/>
                <w:sz w:val="20"/>
                <w:szCs w:val="20"/>
                <w:lang w:val="es-ES"/>
              </w:rPr>
              <w:t>transfiere</w:t>
            </w:r>
            <w:r w:rsidRPr="00BB7754">
              <w:rPr>
                <w:rFonts w:ascii="Verdana" w:eastAsia="Calibri" w:hAnsi="Verdana" w:cs="Arial"/>
                <w:bCs/>
                <w:sz w:val="20"/>
                <w:szCs w:val="20"/>
                <w:lang w:val="es-ES"/>
              </w:rPr>
              <w:t xml:space="preserve"> su experiencia y todos sus derechos y obligaciones, de conformidad con el artículo 172 y siguientes del Código de Comercio.</w:t>
            </w:r>
          </w:p>
          <w:p w14:paraId="23C10D2C" w14:textId="6DF231F9"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4FCB3FA7" w14:textId="77777777" w:rsidR="00BB7754" w:rsidRPr="00BB7754" w:rsidRDefault="00BB7754" w:rsidP="00BB7754">
            <w:pPr>
              <w:snapToGrid w:val="0"/>
              <w:jc w:val="both"/>
              <w:rPr>
                <w:rFonts w:ascii="Verdana" w:eastAsia="Calibri" w:hAnsi="Verdana" w:cs="Arial"/>
                <w:b/>
                <w:bCs/>
                <w:color w:val="000000" w:themeColor="text1"/>
                <w:lang w:val="es-ES" w:eastAsia="es-ES"/>
              </w:rPr>
            </w:pPr>
            <w:r w:rsidRPr="00BB7754">
              <w:rPr>
                <w:rFonts w:ascii="Verdana" w:eastAsia="Calibri" w:hAnsi="Verdana" w:cs="Arial"/>
                <w:b/>
                <w:bCs/>
                <w:color w:val="000000" w:themeColor="text1"/>
                <w:lang w:val="es-ES" w:eastAsia="es-ES"/>
              </w:rPr>
              <w:t>SOCIEDADES NUEVAS – Acreditación – Experiencia – Socios – Menos de 3 años de constitución</w:t>
            </w:r>
          </w:p>
          <w:p w14:paraId="34662881"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010CE1F9" w14:textId="631D6568" w:rsidR="00BB7754" w:rsidRPr="00BB7754" w:rsidRDefault="00BB7754" w:rsidP="00BB7754">
            <w:pPr>
              <w:snapToGrid w:val="0"/>
              <w:jc w:val="both"/>
              <w:rPr>
                <w:rFonts w:ascii="Verdana" w:eastAsia="Calibri" w:hAnsi="Verdana" w:cs="Arial"/>
                <w:color w:val="000000" w:themeColor="text1"/>
                <w:sz w:val="20"/>
                <w:szCs w:val="20"/>
                <w:lang w:val="es-ES"/>
              </w:rPr>
            </w:pPr>
            <w:r w:rsidRPr="00BB7754">
              <w:rPr>
                <w:rFonts w:ascii="Verdana" w:hAnsi="Verdana" w:cs="Arial"/>
                <w:color w:val="000000"/>
                <w:sz w:val="20"/>
                <w:szCs w:val="20"/>
                <w:lang w:val="es-ES"/>
              </w:rPr>
              <w:t>Según lo expuesto</w:t>
            </w:r>
            <w:r>
              <w:rPr>
                <w:rFonts w:ascii="Verdana" w:hAnsi="Verdana" w:cs="Arial"/>
                <w:color w:val="000000"/>
                <w:sz w:val="20"/>
                <w:szCs w:val="20"/>
                <w:lang w:val="es-ES"/>
              </w:rPr>
              <w:t>,</w:t>
            </w:r>
            <w:r w:rsidRPr="00BB7754">
              <w:rPr>
                <w:rFonts w:ascii="Verdana" w:hAnsi="Verdana" w:cs="Arial"/>
                <w:color w:val="000000"/>
                <w:sz w:val="20"/>
                <w:szCs w:val="20"/>
                <w:lang w:val="es-ES"/>
              </w:rPr>
              <w:t xml:space="preserve"> otro de los supuestos contemplados en la normativa que constituyen una excepción al carácter personal de la experiencia es la acreditación de la experiencia de los socios por parte de sociedades con menos de tres (3) años de constitución. </w:t>
            </w:r>
            <w:r w:rsidRPr="00BB7754">
              <w:rPr>
                <w:rFonts w:ascii="Verdana" w:eastAsia="Calibri" w:hAnsi="Verdana" w:cs="Arial"/>
                <w:color w:val="000000" w:themeColor="text1"/>
                <w:sz w:val="20"/>
                <w:szCs w:val="20"/>
                <w:lang w:val="es-ES"/>
              </w:rPr>
              <w:t>El numeral 1.2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 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p>
          <w:p w14:paraId="14943EF9" w14:textId="77777777" w:rsidR="00BB7754" w:rsidRDefault="00BB7754" w:rsidP="00BB7754">
            <w:pPr>
              <w:snapToGrid w:val="0"/>
              <w:jc w:val="both"/>
              <w:rPr>
                <w:rFonts w:ascii="Verdana" w:eastAsia="Calibri" w:hAnsi="Verdana" w:cs="Arial"/>
                <w:color w:val="000000" w:themeColor="text1"/>
                <w:sz w:val="20"/>
                <w:szCs w:val="20"/>
                <w:lang w:val="es-ES"/>
              </w:rPr>
            </w:pPr>
          </w:p>
          <w:p w14:paraId="6645BFA8" w14:textId="73FB8E6F" w:rsidR="00BB7754" w:rsidRPr="00BB7754" w:rsidRDefault="00BB7754" w:rsidP="00BB7754">
            <w:pPr>
              <w:snapToGrid w:val="0"/>
              <w:jc w:val="both"/>
              <w:rPr>
                <w:rFonts w:ascii="Verdana" w:eastAsia="Calibri" w:hAnsi="Verdana" w:cs="Arial"/>
                <w:color w:val="000000" w:themeColor="text1"/>
                <w:sz w:val="20"/>
                <w:szCs w:val="20"/>
                <w:lang w:val="es-ES"/>
              </w:rPr>
            </w:pPr>
            <w:r w:rsidRPr="00BB7754">
              <w:rPr>
                <w:rFonts w:ascii="Verdana" w:eastAsia="Calibri" w:hAnsi="Verdana" w:cs="Arial"/>
                <w:color w:val="000000" w:themeColor="text1"/>
                <w:sz w:val="20"/>
                <w:szCs w:val="20"/>
                <w:lang w:val="es-ES"/>
              </w:rPr>
              <w:t xml:space="preserve">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“Si la constitución del interesado es menor a tres (3) años, puede acreditar la experiencia de sus accionistas, socios o constituyentes”. De este modo, se evidencia que, la parte final del numeral 2.5 del </w:t>
            </w:r>
            <w:r w:rsidRPr="00BB7754">
              <w:rPr>
                <w:rFonts w:ascii="Verdana" w:eastAsia="Calibri" w:hAnsi="Verdana" w:cs="Arial"/>
                <w:color w:val="000000" w:themeColor="text1"/>
                <w:sz w:val="20"/>
                <w:szCs w:val="20"/>
                <w:lang w:val="es-ES"/>
              </w:rPr>
              <w:lastRenderedPageBreak/>
              <w:t>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201FDA78"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4B6D4FEC" w14:textId="2BF77834" w:rsidR="00BB7754" w:rsidRPr="00DB2F8A" w:rsidRDefault="00BB7754" w:rsidP="00BB7754">
            <w:pPr>
              <w:snapToGrid w:val="0"/>
              <w:jc w:val="both"/>
              <w:rPr>
                <w:rFonts w:ascii="Verdana" w:eastAsia="Calibri" w:hAnsi="Verdana" w:cs="Arial"/>
                <w:b/>
                <w:bCs/>
                <w:color w:val="000000" w:themeColor="text1"/>
                <w:lang w:val="es-ES" w:eastAsia="es-ES"/>
              </w:rPr>
            </w:pPr>
            <w:r w:rsidRPr="00DB2F8A">
              <w:rPr>
                <w:rFonts w:ascii="Verdana" w:eastAsia="Calibri" w:hAnsi="Verdana" w:cs="Arial"/>
                <w:b/>
                <w:bCs/>
                <w:color w:val="000000" w:themeColor="text1"/>
                <w:lang w:val="es-ES" w:eastAsia="es-ES"/>
              </w:rPr>
              <w:t xml:space="preserve">EXPERIENCIA – Transferencia entre ESAL – Decreto </w:t>
            </w:r>
            <w:r w:rsidRPr="00DB2F8A">
              <w:rPr>
                <w:rFonts w:ascii="Verdana" w:eastAsia="Calibri" w:hAnsi="Verdana" w:cs="Arial"/>
                <w:b/>
                <w:bCs/>
                <w:lang w:val="es-ES"/>
              </w:rPr>
              <w:t xml:space="preserve">1529 de 1990 </w:t>
            </w:r>
            <w:r w:rsidRPr="00DB2F8A">
              <w:rPr>
                <w:rFonts w:ascii="Verdana" w:eastAsia="Calibri" w:hAnsi="Verdana" w:cs="Arial"/>
                <w:b/>
                <w:bCs/>
                <w:color w:val="000000" w:themeColor="text1"/>
                <w:lang w:val="es-ES" w:eastAsia="es-ES"/>
              </w:rPr>
              <w:t>– Articulo 20 – No aplica</w:t>
            </w:r>
          </w:p>
          <w:p w14:paraId="1514CE23" w14:textId="77777777" w:rsidR="00BB7754" w:rsidRPr="00BB7754" w:rsidRDefault="00BB7754" w:rsidP="00BB7754">
            <w:pPr>
              <w:snapToGrid w:val="0"/>
              <w:jc w:val="both"/>
              <w:rPr>
                <w:rFonts w:ascii="Verdana" w:eastAsia="Calibri" w:hAnsi="Verdana" w:cs="Arial"/>
                <w:color w:val="000000" w:themeColor="text1"/>
                <w:sz w:val="20"/>
                <w:szCs w:val="20"/>
                <w:lang w:val="es-ES" w:eastAsia="es-ES"/>
              </w:rPr>
            </w:pPr>
          </w:p>
          <w:p w14:paraId="76115927" w14:textId="77777777" w:rsidR="00BB7754" w:rsidRPr="00BB7754" w:rsidRDefault="00BB7754" w:rsidP="00BB7754">
            <w:pPr>
              <w:snapToGrid w:val="0"/>
              <w:jc w:val="both"/>
              <w:rPr>
                <w:rFonts w:ascii="Verdana" w:hAnsi="Verdana" w:cs="Arial"/>
                <w:color w:val="000000" w:themeColor="text1"/>
                <w:sz w:val="20"/>
                <w:szCs w:val="20"/>
                <w:lang w:val="es-ES"/>
              </w:rPr>
            </w:pPr>
            <w:r w:rsidRPr="00BB7754">
              <w:rPr>
                <w:rFonts w:ascii="Verdana" w:hAnsi="Verdana" w:cs="Arial"/>
                <w:color w:val="000000" w:themeColor="text1"/>
                <w:sz w:val="20"/>
                <w:szCs w:val="20"/>
                <w:lang w:val="es-ES"/>
              </w:rPr>
              <w:t>No es jurídicamente procedente integrar el artículo 20 del Decreto 1529 de 1990 como criterio para reconocer la continuidad de la experiencia de una ESAL liquidada en los procesos de contratación estatal. En el Estatuto General de Contratación de la Administración Pública la experiencia es un requisito habilitante de carácter personal y, por regla general, intransferible. Solo se transfiere de manera excepcional cuando la persona jurídica que la adquirió no se liquida, es decir, cuando no desaparece, sino que continúa a través de otra, como sucede en la transformación y en la fusión de sociedades comerciales, además del supuesto del numeral 2.5 del artículo 2.2.1.1.1.5.2 del Decreto 1082 de 2015, que permite a las personas jurídicas con menos de tres (3) años de constitución acreditar la experiencia de sus accionistas, socios o constituyentes.</w:t>
            </w:r>
          </w:p>
          <w:p w14:paraId="146AEA1C" w14:textId="77777777" w:rsidR="00BB7754" w:rsidRDefault="00BB7754" w:rsidP="00BB7754">
            <w:pPr>
              <w:snapToGrid w:val="0"/>
              <w:jc w:val="both"/>
              <w:rPr>
                <w:rFonts w:ascii="Verdana" w:hAnsi="Verdana" w:cs="Arial"/>
                <w:color w:val="000000" w:themeColor="text1"/>
                <w:sz w:val="20"/>
                <w:szCs w:val="20"/>
                <w:lang w:val="es-ES"/>
              </w:rPr>
            </w:pPr>
          </w:p>
          <w:p w14:paraId="129612B3" w14:textId="6C22F702" w:rsidR="00BB7754" w:rsidRPr="00BB7754" w:rsidRDefault="00BB7754" w:rsidP="00BB7754">
            <w:pPr>
              <w:snapToGrid w:val="0"/>
              <w:jc w:val="both"/>
              <w:rPr>
                <w:rFonts w:ascii="Verdana" w:hAnsi="Verdana" w:cs="Arial"/>
                <w:color w:val="000000" w:themeColor="text1"/>
                <w:sz w:val="20"/>
                <w:szCs w:val="20"/>
                <w:lang w:val="es-ES"/>
              </w:rPr>
            </w:pPr>
            <w:r w:rsidRPr="00BB7754">
              <w:rPr>
                <w:rFonts w:ascii="Verdana" w:hAnsi="Verdana" w:cs="Arial"/>
                <w:color w:val="000000" w:themeColor="text1"/>
                <w:sz w:val="20"/>
                <w:szCs w:val="20"/>
                <w:lang w:val="es-ES"/>
              </w:rPr>
              <w:t>El artículo 20 del Decreto 1529 de 1990 regula el procedimiento de liquidación de las ESAL. Al igual que el artículo 247 del Código de Comercio para las sociedades comerciales, se refiere a la etapa en la que, pagado el pasivo, se destina el remanente del activo patrimonial a otra entidad de fines análogos. Se trata, por tanto, de un supuesto de liquidación que supone la extinción de la persona jurídica. Como la experiencia sigue la suerte de quien la adquirió, extinguida la ESAL por la liquidación se extingue con ella su experiencia. En consecuencia, con independencia de si la experiencia se considera o no parte del activo patrimonial, no se transfiere con el remanente, pues falta el presupuesto que habilita su traslado: la subsistencia y continuidad de la ESAL.</w:t>
            </w:r>
            <w:r w:rsidRPr="00BB7754">
              <w:rPr>
                <w:rFonts w:ascii="Verdana" w:eastAsia="Arial" w:hAnsi="Verdana" w:cs="Arial"/>
                <w:sz w:val="20"/>
                <w:szCs w:val="20"/>
                <w:lang w:val="es-ES"/>
              </w:rPr>
              <w:t xml:space="preserve"> En este punto no existe entonces un tratamiento disímil, la ESAL liquidada no queda, por esta vía, en peor situación que una sociedad comercial, pues en ambos casos la liquidación extingue la experiencia.</w:t>
            </w:r>
          </w:p>
          <w:p w14:paraId="38F04EF2" w14:textId="77777777" w:rsidR="00BB7754" w:rsidRPr="00A27D65" w:rsidRDefault="00BB7754" w:rsidP="006274A3">
            <w:pPr>
              <w:spacing w:line="276" w:lineRule="auto"/>
              <w:jc w:val="both"/>
              <w:rPr>
                <w:rFonts w:ascii="Verdana" w:eastAsia="Calibri" w:hAnsi="Verdana" w:cs="Arial"/>
                <w:color w:val="000000" w:themeColor="text1"/>
                <w:lang w:val="es-ES" w:eastAsia="es-ES"/>
              </w:rPr>
            </w:pPr>
          </w:p>
          <w:p w14:paraId="3BA000C1" w14:textId="77777777" w:rsidR="00BB7754" w:rsidRPr="00A27D65" w:rsidRDefault="00BB7754" w:rsidP="006274A3">
            <w:pPr>
              <w:spacing w:line="276" w:lineRule="auto"/>
              <w:jc w:val="both"/>
              <w:rPr>
                <w:rFonts w:ascii="Verdana" w:eastAsia="Calibri" w:hAnsi="Verdana" w:cs="Arial"/>
                <w:color w:val="000000" w:themeColor="text1"/>
                <w:lang w:val="es-ES" w:eastAsia="es-ES"/>
              </w:rPr>
            </w:pPr>
          </w:p>
        </w:tc>
      </w:tr>
    </w:tbl>
    <w:p w14:paraId="4B104D2B" w14:textId="77777777" w:rsidR="00BB7754" w:rsidRDefault="00BB7754" w:rsidP="00A57C48">
      <w:pPr>
        <w:widowControl w:val="0"/>
        <w:spacing w:after="0" w:line="276" w:lineRule="auto"/>
        <w:jc w:val="both"/>
        <w:rPr>
          <w:rFonts w:ascii="Verdana" w:hAnsi="Verdana"/>
          <w:lang w:val="es-ES"/>
        </w:rPr>
      </w:pPr>
    </w:p>
    <w:p w14:paraId="40AEC1E4" w14:textId="77777777" w:rsidR="00BB7754" w:rsidRDefault="00BB7754" w:rsidP="00A57C48">
      <w:pPr>
        <w:widowControl w:val="0"/>
        <w:spacing w:after="0" w:line="276" w:lineRule="auto"/>
        <w:jc w:val="both"/>
        <w:rPr>
          <w:rFonts w:ascii="Verdana" w:hAnsi="Verdana"/>
          <w:lang w:val="es-ES"/>
        </w:rPr>
      </w:pPr>
    </w:p>
    <w:p w14:paraId="4303E91A" w14:textId="77777777" w:rsidR="00BB7754" w:rsidRDefault="00BB7754" w:rsidP="00A57C48">
      <w:pPr>
        <w:widowControl w:val="0"/>
        <w:spacing w:after="0" w:line="276" w:lineRule="auto"/>
        <w:jc w:val="both"/>
        <w:rPr>
          <w:rFonts w:ascii="Verdana" w:hAnsi="Verdana"/>
          <w:lang w:val="es-ES"/>
        </w:rPr>
      </w:pPr>
    </w:p>
    <w:p w14:paraId="461F44DD" w14:textId="77777777" w:rsidR="00BB7754" w:rsidRDefault="00BB7754" w:rsidP="00A57C48">
      <w:pPr>
        <w:widowControl w:val="0"/>
        <w:spacing w:after="0" w:line="276" w:lineRule="auto"/>
        <w:jc w:val="both"/>
        <w:rPr>
          <w:rFonts w:ascii="Verdana" w:hAnsi="Verdana"/>
          <w:lang w:val="es-ES"/>
        </w:rPr>
      </w:pPr>
    </w:p>
    <w:p w14:paraId="2AFF3433" w14:textId="77777777" w:rsidR="00BB7754" w:rsidRDefault="00BB7754" w:rsidP="00A57C48">
      <w:pPr>
        <w:widowControl w:val="0"/>
        <w:spacing w:after="0" w:line="276" w:lineRule="auto"/>
        <w:jc w:val="both"/>
        <w:rPr>
          <w:rFonts w:ascii="Verdana" w:hAnsi="Verdana"/>
          <w:lang w:val="es-ES"/>
        </w:rPr>
      </w:pPr>
    </w:p>
    <w:p w14:paraId="702D6E0C" w14:textId="77777777" w:rsidR="00BB7754" w:rsidRDefault="00BB7754" w:rsidP="00A57C48">
      <w:pPr>
        <w:widowControl w:val="0"/>
        <w:spacing w:after="0" w:line="276" w:lineRule="auto"/>
        <w:jc w:val="both"/>
        <w:rPr>
          <w:rFonts w:ascii="Verdana" w:hAnsi="Verdana"/>
          <w:lang w:val="es-ES"/>
        </w:rPr>
      </w:pPr>
    </w:p>
    <w:p w14:paraId="6D1D236D" w14:textId="77777777" w:rsidR="002847C4" w:rsidRDefault="002847C4" w:rsidP="00A57C48">
      <w:pPr>
        <w:widowControl w:val="0"/>
        <w:spacing w:after="0" w:line="276" w:lineRule="auto"/>
        <w:jc w:val="both"/>
        <w:rPr>
          <w:rFonts w:ascii="Verdana" w:hAnsi="Verdana"/>
          <w:lang w:val="es-ES"/>
        </w:rPr>
      </w:pPr>
    </w:p>
    <w:p w14:paraId="1B1F8817" w14:textId="03947309" w:rsidR="00A57C48" w:rsidRPr="00A27D65" w:rsidRDefault="00A57C48" w:rsidP="00A57C48">
      <w:pPr>
        <w:widowControl w:val="0"/>
        <w:spacing w:after="0" w:line="276" w:lineRule="auto"/>
        <w:jc w:val="both"/>
        <w:rPr>
          <w:rFonts w:ascii="Verdana" w:hAnsi="Verdana"/>
          <w:lang w:val="es-ES"/>
        </w:rPr>
      </w:pPr>
      <w:r w:rsidRPr="00A27D65">
        <w:rPr>
          <w:rFonts w:ascii="Verdana" w:hAnsi="Verdana"/>
          <w:lang w:val="es-ES"/>
        </w:rPr>
        <w:lastRenderedPageBreak/>
        <w:t xml:space="preserve">Bogotá D.C., </w:t>
      </w:r>
      <w:r w:rsidR="002847C4">
        <w:rPr>
          <w:rFonts w:ascii="Verdana" w:hAnsi="Verdana"/>
          <w:lang w:val="es-ES"/>
        </w:rPr>
        <w:t>15 de septiembre de 2026</w:t>
      </w:r>
    </w:p>
    <w:p w14:paraId="23B49CBE" w14:textId="08C47E98" w:rsidR="00A57C48" w:rsidRPr="00A27D65" w:rsidRDefault="002847C4" w:rsidP="00A57C48">
      <w:pPr>
        <w:spacing w:after="0"/>
        <w:rPr>
          <w:rFonts w:ascii="Verdana" w:hAnsi="Verdana"/>
          <w:lang w:val="es-ES"/>
        </w:rPr>
      </w:pPr>
      <w:r>
        <w:rPr>
          <w:rFonts w:ascii="Verdana" w:eastAsia="Calibri" w:hAnsi="Verdana" w:cs="Arial"/>
          <w:noProof/>
          <w:color w:val="000000" w:themeColor="text1"/>
          <w:lang w:val="es-ES" w:eastAsia="es-ES"/>
        </w:rPr>
        <w:drawing>
          <wp:anchor distT="0" distB="0" distL="114300" distR="114300" simplePos="0" relativeHeight="251660288" behindDoc="0" locked="0" layoutInCell="1" allowOverlap="1" wp14:anchorId="23EC9A9B" wp14:editId="4791275A">
            <wp:simplePos x="0" y="0"/>
            <wp:positionH relativeFrom="column">
              <wp:posOffset>3331845</wp:posOffset>
            </wp:positionH>
            <wp:positionV relativeFrom="paragraph">
              <wp:posOffset>17780</wp:posOffset>
            </wp:positionV>
            <wp:extent cx="2279015" cy="638810"/>
            <wp:effectExtent l="0" t="0" r="0" b="0"/>
            <wp:wrapSquare wrapText="bothSides"/>
            <wp:docPr id="140493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3454" name="Picture 140493454"/>
                    <pic:cNvPicPr/>
                  </pic:nvPicPr>
                  <pic:blipFill>
                    <a:blip r:embed="rId10">
                      <a:extLst>
                        <a:ext uri="{28A0092B-C50C-407E-A947-70E740481C1C}">
                          <a14:useLocalDpi xmlns:a14="http://schemas.microsoft.com/office/drawing/2010/main" val="0"/>
                        </a:ext>
                      </a:extLst>
                    </a:blip>
                    <a:stretch>
                      <a:fillRect/>
                    </a:stretch>
                  </pic:blipFill>
                  <pic:spPr>
                    <a:xfrm>
                      <a:off x="0" y="0"/>
                      <a:ext cx="2279015" cy="638810"/>
                    </a:xfrm>
                    <a:prstGeom prst="rect">
                      <a:avLst/>
                    </a:prstGeom>
                  </pic:spPr>
                </pic:pic>
              </a:graphicData>
            </a:graphic>
            <wp14:sizeRelH relativeFrom="page">
              <wp14:pctWidth>0</wp14:pctWidth>
            </wp14:sizeRelH>
            <wp14:sizeRelV relativeFrom="page">
              <wp14:pctHeight>0</wp14:pctHeight>
            </wp14:sizeRelV>
          </wp:anchor>
        </w:drawing>
      </w:r>
    </w:p>
    <w:p w14:paraId="62EDFC50" w14:textId="78FC7940" w:rsidR="00A57C48" w:rsidRPr="00A27D65" w:rsidRDefault="00A57C48" w:rsidP="00A57C48">
      <w:pPr>
        <w:spacing w:after="0" w:line="240" w:lineRule="auto"/>
        <w:rPr>
          <w:rFonts w:ascii="Verdana" w:eastAsia="Calibri" w:hAnsi="Verdana" w:cs="Arial"/>
          <w:color w:val="000000" w:themeColor="text1"/>
          <w:lang w:val="es-ES" w:eastAsia="es-ES"/>
        </w:rPr>
      </w:pPr>
      <w:r w:rsidRPr="00A27D65">
        <w:rPr>
          <w:rFonts w:ascii="Verdana" w:eastAsia="Calibri" w:hAnsi="Verdana" w:cs="Arial"/>
          <w:color w:val="000000" w:themeColor="text1"/>
          <w:lang w:val="es-ES" w:eastAsia="es-ES"/>
        </w:rPr>
        <w:t>Señora</w:t>
      </w:r>
    </w:p>
    <w:p w14:paraId="5EF57A5A" w14:textId="77777777" w:rsidR="00A57C48" w:rsidRPr="00A27D65" w:rsidRDefault="00A57C48" w:rsidP="00A57C48">
      <w:pPr>
        <w:spacing w:after="0" w:line="240" w:lineRule="auto"/>
        <w:rPr>
          <w:rFonts w:ascii="Verdana" w:eastAsia="Calibri" w:hAnsi="Verdana" w:cs="Arial"/>
          <w:b/>
          <w:bCs/>
          <w:color w:val="000000" w:themeColor="text1"/>
          <w:lang w:val="es-ES" w:eastAsia="es-ES"/>
        </w:rPr>
      </w:pPr>
      <w:r w:rsidRPr="00A27D65">
        <w:rPr>
          <w:rFonts w:ascii="Verdana" w:eastAsia="Calibri" w:hAnsi="Verdana" w:cs="Arial"/>
          <w:b/>
          <w:bCs/>
          <w:color w:val="000000" w:themeColor="text1"/>
          <w:lang w:val="es-ES" w:eastAsia="es-ES"/>
        </w:rPr>
        <w:t xml:space="preserve">Diana Carolina Cuervo Torres </w:t>
      </w:r>
    </w:p>
    <w:p w14:paraId="0A63C11D" w14:textId="77777777" w:rsidR="00A57C48" w:rsidRPr="00A27D65" w:rsidRDefault="00A57C48" w:rsidP="00A57C48">
      <w:pPr>
        <w:spacing w:after="0" w:line="240" w:lineRule="auto"/>
        <w:rPr>
          <w:rFonts w:ascii="Verdana" w:eastAsia="Calibri" w:hAnsi="Verdana" w:cs="Arial"/>
          <w:color w:val="000000" w:themeColor="text1"/>
          <w:lang w:val="es-ES" w:eastAsia="es-ES"/>
        </w:rPr>
      </w:pPr>
      <w:hyperlink r:id="rId11" w:history="1">
        <w:r w:rsidRPr="00A27D65">
          <w:rPr>
            <w:rStyle w:val="Hipervnculo"/>
            <w:rFonts w:ascii="Verdana" w:eastAsia="Calibri" w:hAnsi="Verdana" w:cs="Arial"/>
            <w:lang w:val="es-ES" w:eastAsia="es-ES"/>
          </w:rPr>
          <w:t>juancarlosorozcohernandez4@gmail.com</w:t>
        </w:r>
      </w:hyperlink>
    </w:p>
    <w:p w14:paraId="2FF43706" w14:textId="77777777" w:rsidR="00A57C48" w:rsidRPr="00A27D65" w:rsidRDefault="00A57C48" w:rsidP="00A57C48">
      <w:pPr>
        <w:spacing w:after="0" w:line="240" w:lineRule="auto"/>
        <w:rPr>
          <w:rFonts w:ascii="Verdana" w:eastAsia="Calibri" w:hAnsi="Verdana" w:cs="Arial"/>
          <w:color w:val="000000" w:themeColor="text1"/>
          <w:lang w:val="es-ES" w:eastAsia="es-ES"/>
        </w:rPr>
      </w:pPr>
      <w:r w:rsidRPr="00A27D65">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A57C48" w:rsidRPr="00A27D65" w14:paraId="1643E029" w14:textId="77777777" w:rsidTr="005A3AD8">
        <w:trPr>
          <w:trHeight w:val="300"/>
        </w:trPr>
        <w:tc>
          <w:tcPr>
            <w:tcW w:w="2410" w:type="dxa"/>
          </w:tcPr>
          <w:p w14:paraId="46EFB194" w14:textId="77777777" w:rsidR="00A57C48" w:rsidRPr="00A27D65" w:rsidRDefault="00A57C48" w:rsidP="005A3AD8">
            <w:pPr>
              <w:ind w:left="-142"/>
              <w:jc w:val="both"/>
              <w:rPr>
                <w:rFonts w:ascii="Verdana" w:eastAsia="Calibri" w:hAnsi="Verdana" w:cs="Arial"/>
                <w:b/>
                <w:bCs/>
                <w:color w:val="000000" w:themeColor="text1"/>
                <w:lang w:val="es-ES" w:eastAsia="es-ES_tradnl"/>
              </w:rPr>
            </w:pPr>
          </w:p>
        </w:tc>
        <w:tc>
          <w:tcPr>
            <w:tcW w:w="6100" w:type="dxa"/>
          </w:tcPr>
          <w:p w14:paraId="747C50C8" w14:textId="77777777" w:rsidR="00A57C48" w:rsidRPr="00A27D65" w:rsidRDefault="00A57C48" w:rsidP="005A3AD8">
            <w:pPr>
              <w:ind w:left="3"/>
              <w:jc w:val="both"/>
              <w:rPr>
                <w:rFonts w:ascii="Verdana" w:eastAsia="Calibri" w:hAnsi="Verdana" w:cs="Arial"/>
                <w:b/>
                <w:bCs/>
                <w:color w:val="000000" w:themeColor="text1"/>
                <w:lang w:val="es-ES" w:eastAsia="es-ES"/>
              </w:rPr>
            </w:pPr>
          </w:p>
          <w:p w14:paraId="6033F693" w14:textId="77777777" w:rsidR="00A57C48" w:rsidRPr="00A27D65" w:rsidRDefault="00A57C48" w:rsidP="005A3AD8">
            <w:pPr>
              <w:ind w:left="3"/>
              <w:jc w:val="both"/>
              <w:rPr>
                <w:rFonts w:ascii="Verdana" w:eastAsia="Calibri" w:hAnsi="Verdana" w:cs="Arial"/>
                <w:b/>
                <w:bCs/>
                <w:color w:val="000000" w:themeColor="text1"/>
                <w:lang w:val="es-ES" w:eastAsia="es-ES"/>
              </w:rPr>
            </w:pPr>
            <w:r w:rsidRPr="00A27D65">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1295</w:t>
            </w:r>
            <w:r w:rsidRPr="00A27D65">
              <w:rPr>
                <w:rFonts w:ascii="Verdana" w:eastAsia="Calibri" w:hAnsi="Verdana" w:cs="Arial"/>
                <w:b/>
                <w:bCs/>
                <w:color w:val="000000" w:themeColor="text1"/>
                <w:lang w:val="es-ES" w:eastAsia="es-ES"/>
              </w:rPr>
              <w:t xml:space="preserve"> de 2026</w:t>
            </w:r>
          </w:p>
          <w:p w14:paraId="44875139" w14:textId="77777777" w:rsidR="00A57C48" w:rsidRPr="00A27D65" w:rsidRDefault="00A57C48" w:rsidP="005A3AD8">
            <w:pPr>
              <w:ind w:left="3"/>
              <w:jc w:val="both"/>
              <w:rPr>
                <w:rFonts w:ascii="Verdana" w:eastAsia="Calibri" w:hAnsi="Verdana" w:cs="Arial"/>
                <w:b/>
                <w:bCs/>
                <w:color w:val="000000" w:themeColor="text1"/>
                <w:lang w:val="es-ES" w:eastAsia="es-ES"/>
              </w:rPr>
            </w:pPr>
          </w:p>
        </w:tc>
      </w:tr>
      <w:tr w:rsidR="00A57C48" w:rsidRPr="00A27D65" w14:paraId="3B05C306" w14:textId="77777777" w:rsidTr="005A3AD8">
        <w:trPr>
          <w:trHeight w:val="300"/>
        </w:trPr>
        <w:tc>
          <w:tcPr>
            <w:tcW w:w="2410" w:type="dxa"/>
          </w:tcPr>
          <w:p w14:paraId="44FB4050" w14:textId="77777777" w:rsidR="00A57C48" w:rsidRPr="00A27D65" w:rsidRDefault="00A57C48" w:rsidP="005A3AD8">
            <w:pPr>
              <w:ind w:left="424" w:firstLine="142"/>
              <w:jc w:val="both"/>
              <w:rPr>
                <w:rFonts w:ascii="Verdana" w:eastAsia="Calibri" w:hAnsi="Verdana" w:cs="Arial"/>
                <w:color w:val="000000" w:themeColor="text1"/>
                <w:lang w:val="es-ES" w:eastAsia="es-ES_tradnl"/>
              </w:rPr>
            </w:pPr>
            <w:r w:rsidRPr="00A27D65">
              <w:rPr>
                <w:rFonts w:ascii="Verdana" w:eastAsia="Calibri" w:hAnsi="Verdana" w:cs="Arial"/>
                <w:b/>
                <w:color w:val="000000" w:themeColor="text1"/>
                <w:lang w:val="es-ES" w:eastAsia="es-ES_tradnl"/>
              </w:rPr>
              <w:t>Temas:</w:t>
            </w:r>
            <w:r w:rsidRPr="00A27D65">
              <w:rPr>
                <w:rFonts w:ascii="Verdana" w:eastAsia="Calibri" w:hAnsi="Verdana" w:cs="Arial"/>
                <w:color w:val="000000" w:themeColor="text1"/>
                <w:lang w:val="es-ES" w:eastAsia="es-ES_tradnl"/>
              </w:rPr>
              <w:t xml:space="preserve">                  </w:t>
            </w:r>
          </w:p>
        </w:tc>
        <w:tc>
          <w:tcPr>
            <w:tcW w:w="6100" w:type="dxa"/>
          </w:tcPr>
          <w:p w14:paraId="75DF1879" w14:textId="6377CB22" w:rsidR="00A57C48" w:rsidRPr="00A27D65" w:rsidRDefault="00A57C48" w:rsidP="005A3AD8">
            <w:pPr>
              <w:spacing w:line="276" w:lineRule="auto"/>
              <w:jc w:val="both"/>
              <w:rPr>
                <w:rFonts w:ascii="Verdana" w:eastAsia="Calibri" w:hAnsi="Verdana" w:cs="Arial"/>
                <w:color w:val="000000" w:themeColor="text1"/>
                <w:lang w:val="es-ES" w:eastAsia="es-ES"/>
              </w:rPr>
            </w:pPr>
            <w:r w:rsidRPr="00A27D65">
              <w:rPr>
                <w:rFonts w:ascii="Verdana" w:eastAsia="Calibri" w:hAnsi="Verdana" w:cs="Arial"/>
                <w:color w:val="000000" w:themeColor="text1"/>
                <w:lang w:val="es-ES" w:eastAsia="es-ES"/>
              </w:rPr>
              <w:t xml:space="preserve">EXPERIENCIA – Concepto / EXPERIENCIA – Carácter personal e intransferible – Excepciones / EXPERIENCIA – Transformación / EXPERIENCIA – Escisión / EXPERIENCIA – Fusión </w:t>
            </w:r>
            <w:r w:rsidR="006B2778" w:rsidRPr="00A27D65">
              <w:rPr>
                <w:rFonts w:ascii="Verdana" w:eastAsia="Calibri" w:hAnsi="Verdana" w:cs="Arial"/>
                <w:color w:val="000000" w:themeColor="text1"/>
                <w:lang w:val="es-ES" w:eastAsia="es-ES"/>
              </w:rPr>
              <w:t>/ SOCIEDADES</w:t>
            </w:r>
            <w:r w:rsidRPr="00A27D65">
              <w:rPr>
                <w:rFonts w:ascii="Verdana" w:eastAsia="Calibri" w:hAnsi="Verdana" w:cs="Arial"/>
                <w:color w:val="000000" w:themeColor="text1"/>
                <w:lang w:val="es-ES" w:eastAsia="es-ES"/>
              </w:rPr>
              <w:t xml:space="preserve"> NUEVAS – Acreditación – Experiencia – Socios – Menos de 3 años de constitución / EXPERIENCIA – Transferencia entre ESAL – Decreto </w:t>
            </w:r>
            <w:r w:rsidRPr="00A27D65">
              <w:rPr>
                <w:rFonts w:ascii="Verdana" w:eastAsia="Calibri" w:hAnsi="Verdana" w:cs="Arial"/>
                <w:lang w:val="es-ES"/>
              </w:rPr>
              <w:t xml:space="preserve">1529 de 1990 </w:t>
            </w:r>
            <w:r w:rsidRPr="00A27D65">
              <w:rPr>
                <w:rFonts w:ascii="Verdana" w:eastAsia="Calibri" w:hAnsi="Verdana" w:cs="Arial"/>
                <w:color w:val="000000" w:themeColor="text1"/>
                <w:lang w:val="es-ES" w:eastAsia="es-ES"/>
              </w:rPr>
              <w:t>– Articulo 20 – No aplica</w:t>
            </w:r>
          </w:p>
          <w:p w14:paraId="0ABACAE1" w14:textId="77777777" w:rsidR="00A57C48" w:rsidRPr="00A27D65" w:rsidRDefault="00A57C48" w:rsidP="005A3AD8">
            <w:pPr>
              <w:spacing w:line="276" w:lineRule="auto"/>
              <w:jc w:val="both"/>
              <w:rPr>
                <w:rFonts w:ascii="Verdana" w:eastAsia="Calibri" w:hAnsi="Verdana" w:cs="Arial"/>
                <w:color w:val="000000" w:themeColor="text1"/>
                <w:lang w:val="es-ES" w:eastAsia="es-ES"/>
              </w:rPr>
            </w:pPr>
          </w:p>
        </w:tc>
      </w:tr>
      <w:tr w:rsidR="00A57C48" w:rsidRPr="00A27D65" w14:paraId="7D679A18" w14:textId="77777777" w:rsidTr="005A3AD8">
        <w:trPr>
          <w:trHeight w:val="300"/>
        </w:trPr>
        <w:tc>
          <w:tcPr>
            <w:tcW w:w="2410" w:type="dxa"/>
          </w:tcPr>
          <w:p w14:paraId="67179A3D" w14:textId="77777777" w:rsidR="00A57C48" w:rsidRPr="00A27D65" w:rsidRDefault="00A57C48" w:rsidP="005A3AD8">
            <w:pPr>
              <w:ind w:left="561"/>
              <w:jc w:val="both"/>
              <w:rPr>
                <w:rFonts w:ascii="Verdana" w:eastAsia="Calibri" w:hAnsi="Verdana" w:cs="Arial"/>
                <w:b/>
                <w:color w:val="000000" w:themeColor="text1"/>
                <w:lang w:val="es-ES" w:eastAsia="es-ES_tradnl"/>
              </w:rPr>
            </w:pPr>
            <w:r w:rsidRPr="00A27D65">
              <w:rPr>
                <w:rFonts w:ascii="Verdana" w:eastAsia="Calibri" w:hAnsi="Verdana" w:cs="Arial"/>
                <w:b/>
                <w:color w:val="000000" w:themeColor="text1"/>
                <w:lang w:val="es-ES" w:eastAsia="es-ES_tradnl"/>
              </w:rPr>
              <w:t xml:space="preserve">Radicación:              </w:t>
            </w:r>
          </w:p>
        </w:tc>
        <w:tc>
          <w:tcPr>
            <w:tcW w:w="6100" w:type="dxa"/>
          </w:tcPr>
          <w:p w14:paraId="0F8506EE" w14:textId="57A574C4" w:rsidR="00A57C48" w:rsidRPr="00A27D65" w:rsidRDefault="00A57C48" w:rsidP="005A3AD8">
            <w:pPr>
              <w:ind w:left="3"/>
              <w:jc w:val="both"/>
              <w:rPr>
                <w:rFonts w:ascii="Verdana" w:hAnsi="Verdana"/>
                <w:bCs/>
                <w:color w:val="000000"/>
                <w:lang w:val="es-ES"/>
              </w:rPr>
            </w:pPr>
            <w:r w:rsidRPr="00A27D65">
              <w:rPr>
                <w:rFonts w:ascii="Verdana" w:eastAsia="Calibri" w:hAnsi="Verdana" w:cs="Arial"/>
                <w:bCs/>
                <w:color w:val="000000" w:themeColor="text1"/>
                <w:lang w:val="es-ES" w:eastAsia="es-ES"/>
              </w:rPr>
              <w:t xml:space="preserve">Respuesta a consulta con radicado </w:t>
            </w:r>
            <w:r w:rsidR="006B2778" w:rsidRPr="00A27D65">
              <w:rPr>
                <w:rFonts w:ascii="Verdana" w:eastAsia="Calibri" w:hAnsi="Verdana" w:cs="Arial"/>
                <w:bCs/>
                <w:color w:val="000000" w:themeColor="text1"/>
                <w:lang w:val="es-ES" w:eastAsia="es-ES"/>
              </w:rPr>
              <w:t>No.</w:t>
            </w:r>
            <w:r w:rsidR="006B2778" w:rsidRPr="00A27D65">
              <w:rPr>
                <w:rFonts w:ascii="Verdana" w:hAnsi="Verdana" w:cs="Segoe UI"/>
                <w:bCs/>
                <w:color w:val="242424"/>
                <w:shd w:val="clear" w:color="auto" w:fill="FFFFFF"/>
                <w:lang w:val="es-ES"/>
              </w:rPr>
              <w:t xml:space="preserve"> </w:t>
            </w:r>
            <w:r w:rsidR="006B2778" w:rsidRPr="00A27D65">
              <w:rPr>
                <w:rFonts w:ascii="Verdana" w:eastAsia="Calibri" w:hAnsi="Verdana" w:cs="Arial"/>
                <w:bCs/>
                <w:color w:val="000000" w:themeColor="text1"/>
                <w:lang w:val="es-ES" w:eastAsia="es-ES"/>
              </w:rPr>
              <w:t>1</w:t>
            </w:r>
            <w:r w:rsidRPr="00A27D65">
              <w:rPr>
                <w:rFonts w:ascii="Verdana" w:eastAsia="Calibri" w:hAnsi="Verdana" w:cs="Arial"/>
                <w:bCs/>
                <w:color w:val="000000" w:themeColor="text1"/>
                <w:lang w:val="es-ES" w:eastAsia="es-ES"/>
              </w:rPr>
              <w:t>_2026_08_14_010868</w:t>
            </w:r>
          </w:p>
        </w:tc>
      </w:tr>
    </w:tbl>
    <w:p w14:paraId="0A8F8F6C" w14:textId="77777777" w:rsidR="00A57C48" w:rsidRPr="00A27D65" w:rsidRDefault="00A57C48" w:rsidP="00A57C48">
      <w:pPr>
        <w:spacing w:after="0" w:line="276" w:lineRule="auto"/>
        <w:jc w:val="both"/>
        <w:rPr>
          <w:rFonts w:ascii="Verdana" w:eastAsia="Calibri" w:hAnsi="Verdana" w:cs="Arial"/>
          <w:color w:val="000000" w:themeColor="text1"/>
          <w:lang w:val="es-ES" w:eastAsia="es-ES"/>
        </w:rPr>
      </w:pPr>
    </w:p>
    <w:p w14:paraId="407DC9B9" w14:textId="77777777" w:rsidR="00A57C48" w:rsidRPr="00A27D65" w:rsidRDefault="00A57C48" w:rsidP="00A57C48">
      <w:pPr>
        <w:spacing w:after="0" w:line="276" w:lineRule="auto"/>
        <w:jc w:val="both"/>
        <w:rPr>
          <w:rFonts w:ascii="Verdana" w:eastAsia="Calibri" w:hAnsi="Verdana" w:cs="Arial"/>
          <w:color w:val="000000" w:themeColor="text1"/>
          <w:lang w:val="es-ES" w:eastAsia="es-ES"/>
        </w:rPr>
      </w:pPr>
      <w:r w:rsidRPr="00A27D65">
        <w:rPr>
          <w:rFonts w:ascii="Verdana" w:eastAsia="Calibri" w:hAnsi="Verdana" w:cs="Arial"/>
          <w:color w:val="000000" w:themeColor="text1"/>
          <w:lang w:val="es-ES" w:eastAsia="es-ES"/>
        </w:rPr>
        <w:t xml:space="preserve">Estimada señora Cuervo: </w:t>
      </w:r>
    </w:p>
    <w:p w14:paraId="34B08D7B" w14:textId="77777777" w:rsidR="00A57C48" w:rsidRPr="00A27D65" w:rsidRDefault="00A57C48" w:rsidP="00A57C48">
      <w:pPr>
        <w:tabs>
          <w:tab w:val="left" w:pos="3768"/>
        </w:tabs>
        <w:spacing w:after="0" w:line="276" w:lineRule="auto"/>
        <w:jc w:val="both"/>
        <w:rPr>
          <w:rFonts w:ascii="Verdana" w:eastAsia="Calibri" w:hAnsi="Verdana" w:cs="Arial"/>
          <w:color w:val="000000" w:themeColor="text1"/>
          <w:lang w:val="es-ES" w:eastAsia="es-ES"/>
        </w:rPr>
      </w:pPr>
      <w:r w:rsidRPr="00A27D65">
        <w:rPr>
          <w:rFonts w:ascii="Verdana" w:eastAsia="Calibri" w:hAnsi="Verdana" w:cs="Arial"/>
          <w:color w:val="000000" w:themeColor="text1"/>
          <w:lang w:val="es-ES" w:eastAsia="es-ES"/>
        </w:rPr>
        <w:tab/>
      </w:r>
    </w:p>
    <w:p w14:paraId="74308843" w14:textId="6B29B9B9" w:rsidR="00A57C48" w:rsidRPr="00A27D65" w:rsidRDefault="00A57C48" w:rsidP="00A57C48">
      <w:pPr>
        <w:spacing w:after="0" w:line="276" w:lineRule="auto"/>
        <w:jc w:val="both"/>
        <w:rPr>
          <w:rFonts w:ascii="Verdana" w:eastAsia="Calibri" w:hAnsi="Verdana" w:cs="Arial"/>
          <w:color w:val="000000" w:themeColor="text1"/>
          <w:lang w:val="es-ES" w:eastAsia="es-ES"/>
        </w:rPr>
      </w:pPr>
      <w:r w:rsidRPr="00A27D65">
        <w:rPr>
          <w:rFonts w:ascii="Verdana" w:eastAsia="Calibri" w:hAnsi="Verdana" w:cs="Arial"/>
          <w:color w:val="000000" w:themeColor="text1"/>
          <w:lang w:val="es-ES" w:eastAsia="es-ES"/>
        </w:rPr>
        <w:t>En ejercicio de la competencia otorgada por los artículos 3, numeral 5º, y 11, numeral 8º, del Decreto Ley 4170 de 2011,</w:t>
      </w:r>
      <w:r w:rsidRPr="00A27D65">
        <w:rPr>
          <w:rFonts w:ascii="Verdana" w:eastAsia="Arial MT" w:hAnsi="Verdana" w:cs="Arial MT"/>
          <w:color w:val="000000" w:themeColor="text1"/>
          <w:lang w:val="es-ES" w:eastAsia="es-ES"/>
        </w:rPr>
        <w:t xml:space="preserve"> </w:t>
      </w:r>
      <w:r w:rsidRPr="00A27D65">
        <w:rPr>
          <w:rFonts w:ascii="Verdana" w:hAnsi="Verdana" w:cs="Arial"/>
          <w:color w:val="000000" w:themeColor="text1"/>
          <w:lang w:val="es-ES"/>
        </w:rPr>
        <w:t xml:space="preserve">así como lo establecido en el artículo 4 de la Resolución 1707 de 2018 expedida por esta Entidad, </w:t>
      </w:r>
      <w:r w:rsidRPr="00A27D65">
        <w:rPr>
          <w:rFonts w:ascii="Verdana" w:eastAsia="Calibri" w:hAnsi="Verdana" w:cs="Arial"/>
          <w:color w:val="000000" w:themeColor="text1"/>
          <w:lang w:val="es-ES" w:eastAsia="es-ES"/>
        </w:rPr>
        <w:t xml:space="preserve">la Agencia Nacional de Contratación Pública – Colombia Compra Eficiente– responde su solicitud de consulta del </w:t>
      </w:r>
      <w:r w:rsidR="00D3158B">
        <w:rPr>
          <w:rFonts w:ascii="Verdana" w:eastAsia="Calibri" w:hAnsi="Verdana" w:cs="Arial"/>
          <w:color w:val="000000" w:themeColor="text1"/>
          <w:lang w:val="es-ES" w:eastAsia="es-ES"/>
        </w:rPr>
        <w:t>1</w:t>
      </w:r>
      <w:r w:rsidRPr="00A27D65">
        <w:rPr>
          <w:rFonts w:ascii="Verdana" w:eastAsia="Calibri" w:hAnsi="Verdana" w:cs="Arial"/>
          <w:color w:val="000000" w:themeColor="text1"/>
          <w:lang w:val="es-ES" w:eastAsia="es-ES"/>
        </w:rPr>
        <w:t xml:space="preserve">4 de agosto de 2026, en la cual manifiesta lo siguiente: </w:t>
      </w:r>
    </w:p>
    <w:p w14:paraId="04E877B7" w14:textId="77777777" w:rsidR="00A57C48" w:rsidRPr="00A27D65" w:rsidRDefault="00A57C48" w:rsidP="00A57C48">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6545673E" w14:textId="045C5BF2" w:rsidR="00A57C48" w:rsidRPr="00A27D65" w:rsidRDefault="00A57C48" w:rsidP="00A57C48">
      <w:pPr>
        <w:ind w:left="709" w:right="709"/>
        <w:jc w:val="both"/>
        <w:rPr>
          <w:rFonts w:ascii="Verdana" w:eastAsia="Calibri" w:hAnsi="Verdana" w:cs="Arial"/>
          <w:i/>
          <w:iCs/>
          <w:sz w:val="20"/>
          <w:szCs w:val="20"/>
          <w:lang w:val="es-ES"/>
        </w:rPr>
      </w:pPr>
      <w:r w:rsidRPr="00A27D65">
        <w:rPr>
          <w:rFonts w:ascii="Verdana" w:eastAsia="Calibri" w:hAnsi="Verdana" w:cs="Arial"/>
          <w:i/>
          <w:iCs/>
          <w:sz w:val="20"/>
          <w:szCs w:val="20"/>
          <w:lang w:val="es-ES"/>
        </w:rPr>
        <w:t xml:space="preserve">“[…]1. ¿Reconoce la Agencia que la imposibilidad legal de aplicar figuras de </w:t>
      </w:r>
      <w:r w:rsidR="00402E27" w:rsidRPr="00A27D65">
        <w:rPr>
          <w:rFonts w:ascii="Verdana" w:eastAsia="Calibri" w:hAnsi="Verdana" w:cs="Arial"/>
          <w:i/>
          <w:iCs/>
          <w:sz w:val="20"/>
          <w:szCs w:val="20"/>
          <w:lang w:val="es-ES"/>
        </w:rPr>
        <w:t>fusión</w:t>
      </w:r>
      <w:r w:rsidRPr="00A27D65">
        <w:rPr>
          <w:rFonts w:ascii="Verdana" w:eastAsia="Calibri" w:hAnsi="Verdana" w:cs="Arial"/>
          <w:i/>
          <w:iCs/>
          <w:sz w:val="20"/>
          <w:szCs w:val="20"/>
          <w:lang w:val="es-ES"/>
        </w:rPr>
        <w:t xml:space="preserve">, </w:t>
      </w:r>
      <w:r w:rsidR="00402E27" w:rsidRPr="00A27D65">
        <w:rPr>
          <w:rFonts w:ascii="Verdana" w:eastAsia="Calibri" w:hAnsi="Verdana" w:cs="Arial"/>
          <w:i/>
          <w:iCs/>
          <w:sz w:val="20"/>
          <w:szCs w:val="20"/>
          <w:lang w:val="es-ES"/>
        </w:rPr>
        <w:t>escisión</w:t>
      </w:r>
      <w:r w:rsidRPr="00A27D65">
        <w:rPr>
          <w:rFonts w:ascii="Verdana" w:eastAsia="Calibri" w:hAnsi="Verdana" w:cs="Arial"/>
          <w:i/>
          <w:iCs/>
          <w:sz w:val="20"/>
          <w:szCs w:val="20"/>
          <w:lang w:val="es-ES"/>
        </w:rPr>
        <w:t xml:space="preserve"> o </w:t>
      </w:r>
      <w:r w:rsidR="00402E27" w:rsidRPr="00A27D65">
        <w:rPr>
          <w:rFonts w:ascii="Verdana" w:eastAsia="Calibri" w:hAnsi="Verdana" w:cs="Arial"/>
          <w:i/>
          <w:iCs/>
          <w:sz w:val="20"/>
          <w:szCs w:val="20"/>
          <w:lang w:val="es-ES"/>
        </w:rPr>
        <w:t>transformación</w:t>
      </w:r>
      <w:r w:rsidRPr="00A27D65">
        <w:rPr>
          <w:rFonts w:ascii="Verdana" w:eastAsia="Calibri" w:hAnsi="Verdana" w:cs="Arial"/>
          <w:i/>
          <w:iCs/>
          <w:sz w:val="20"/>
          <w:szCs w:val="20"/>
          <w:lang w:val="es-ES"/>
        </w:rPr>
        <w:t xml:space="preserve"> a las ESAL genera un </w:t>
      </w:r>
      <w:r w:rsidR="00402E27" w:rsidRPr="00A27D65">
        <w:rPr>
          <w:rFonts w:ascii="Verdana" w:eastAsia="Calibri" w:hAnsi="Verdana" w:cs="Arial"/>
          <w:i/>
          <w:iCs/>
          <w:sz w:val="20"/>
          <w:szCs w:val="20"/>
          <w:lang w:val="es-ES"/>
        </w:rPr>
        <w:t>vacío</w:t>
      </w:r>
      <w:r w:rsidRPr="00A27D65">
        <w:rPr>
          <w:rFonts w:ascii="Verdana" w:eastAsia="Calibri" w:hAnsi="Verdana" w:cs="Arial"/>
          <w:i/>
          <w:iCs/>
          <w:sz w:val="20"/>
          <w:szCs w:val="20"/>
          <w:lang w:val="es-ES"/>
        </w:rPr>
        <w:t xml:space="preserve"> normativo que impide que estas entidades acrediten su experiencia institucional en igualdad de condiciones que las sociedades comerciales? </w:t>
      </w:r>
    </w:p>
    <w:p w14:paraId="3296A578" w14:textId="77777777" w:rsidR="00A57C48" w:rsidRPr="00A27D65" w:rsidRDefault="00A57C48" w:rsidP="00A57C48">
      <w:pPr>
        <w:ind w:left="709" w:right="709"/>
        <w:jc w:val="both"/>
        <w:rPr>
          <w:rFonts w:ascii="Verdana" w:eastAsia="Calibri" w:hAnsi="Verdana" w:cs="Arial"/>
          <w:i/>
          <w:iCs/>
          <w:sz w:val="20"/>
          <w:szCs w:val="20"/>
          <w:lang w:val="es-ES"/>
        </w:rPr>
      </w:pPr>
      <w:r w:rsidRPr="00A27D65">
        <w:rPr>
          <w:rFonts w:ascii="Verdana" w:eastAsia="Calibri" w:hAnsi="Verdana" w:cs="Arial"/>
          <w:i/>
          <w:iCs/>
          <w:sz w:val="20"/>
          <w:szCs w:val="20"/>
          <w:lang w:val="es-ES"/>
        </w:rPr>
        <w:t xml:space="preserve">2. ¿Considera la Agencia que, dado que el fin y la naturaleza normativa de las ESAL son distintos a los de una sociedad comercial, es jurídicamente procedente integrar el artículo 20 del Decreto 1529 de 1990 como criterio para interpretar la continuidad de la experiencia institucional en los procesos de contratación pública? </w:t>
      </w:r>
    </w:p>
    <w:p w14:paraId="5856AE4E" w14:textId="77777777" w:rsidR="00A57C48" w:rsidRPr="00A27D65" w:rsidRDefault="00A57C48" w:rsidP="00A57C48">
      <w:pPr>
        <w:ind w:left="709" w:right="709"/>
        <w:jc w:val="both"/>
        <w:rPr>
          <w:rFonts w:ascii="Verdana" w:eastAsia="Calibri" w:hAnsi="Verdana" w:cs="Arial"/>
          <w:i/>
          <w:iCs/>
          <w:sz w:val="20"/>
          <w:szCs w:val="20"/>
          <w:lang w:val="es-ES"/>
        </w:rPr>
      </w:pPr>
      <w:r w:rsidRPr="00A27D65">
        <w:rPr>
          <w:rFonts w:ascii="Verdana" w:eastAsia="Calibri" w:hAnsi="Verdana" w:cs="Arial"/>
          <w:i/>
          <w:iCs/>
          <w:sz w:val="20"/>
          <w:szCs w:val="20"/>
          <w:lang w:val="es-ES"/>
        </w:rPr>
        <w:lastRenderedPageBreak/>
        <w:t xml:space="preserve">3. ¿Puede la Agencia determinar que, cuando se demuestra la transferencia del remanente patrimonial bajo los </w:t>
      </w:r>
      <w:proofErr w:type="spellStart"/>
      <w:r w:rsidRPr="00A27D65">
        <w:rPr>
          <w:rFonts w:ascii="Verdana" w:eastAsia="Calibri" w:hAnsi="Verdana" w:cs="Arial"/>
          <w:i/>
          <w:iCs/>
          <w:sz w:val="20"/>
          <w:szCs w:val="20"/>
          <w:lang w:val="es-ES"/>
        </w:rPr>
        <w:t>parámetros</w:t>
      </w:r>
      <w:proofErr w:type="spellEnd"/>
      <w:r w:rsidRPr="00A27D65">
        <w:rPr>
          <w:rFonts w:ascii="Verdana" w:eastAsia="Calibri" w:hAnsi="Verdana" w:cs="Arial"/>
          <w:i/>
          <w:iCs/>
          <w:sz w:val="20"/>
          <w:szCs w:val="20"/>
          <w:lang w:val="es-ES"/>
        </w:rPr>
        <w:t xml:space="preserve"> del </w:t>
      </w:r>
      <w:proofErr w:type="spellStart"/>
      <w:r w:rsidRPr="00A27D65">
        <w:rPr>
          <w:rFonts w:ascii="Verdana" w:eastAsia="Calibri" w:hAnsi="Verdana" w:cs="Arial"/>
          <w:i/>
          <w:iCs/>
          <w:sz w:val="20"/>
          <w:szCs w:val="20"/>
          <w:lang w:val="es-ES"/>
        </w:rPr>
        <w:t>artículo</w:t>
      </w:r>
      <w:proofErr w:type="spellEnd"/>
      <w:r w:rsidRPr="00A27D65">
        <w:rPr>
          <w:rFonts w:ascii="Verdana" w:eastAsia="Calibri" w:hAnsi="Verdana" w:cs="Arial"/>
          <w:i/>
          <w:iCs/>
          <w:sz w:val="20"/>
          <w:szCs w:val="20"/>
          <w:lang w:val="es-ES"/>
        </w:rPr>
        <w:t xml:space="preserve"> 20 del Decreto 1529 de 1990, la experiencia de la entidad liquidada constituye un activo que debe ser reconocido a la entidad receptora, dado que esta es la sucesora legal de su fin social e </w:t>
      </w:r>
      <w:proofErr w:type="spellStart"/>
      <w:r w:rsidRPr="00A27D65">
        <w:rPr>
          <w:rFonts w:ascii="Verdana" w:eastAsia="Calibri" w:hAnsi="Verdana" w:cs="Arial"/>
          <w:i/>
          <w:iCs/>
          <w:sz w:val="20"/>
          <w:szCs w:val="20"/>
          <w:lang w:val="es-ES"/>
        </w:rPr>
        <w:t>inscriber</w:t>
      </w:r>
      <w:proofErr w:type="spellEnd"/>
      <w:r w:rsidRPr="00A27D65">
        <w:rPr>
          <w:rFonts w:ascii="Verdana" w:eastAsia="Calibri" w:hAnsi="Verdana" w:cs="Arial"/>
          <w:i/>
          <w:iCs/>
          <w:sz w:val="20"/>
          <w:szCs w:val="20"/>
          <w:lang w:val="es-ES"/>
        </w:rPr>
        <w:t xml:space="preserve"> en el RUp? </w:t>
      </w:r>
    </w:p>
    <w:p w14:paraId="1069CBA4" w14:textId="21FA04AD" w:rsidR="00A57C48" w:rsidRPr="00A27D65" w:rsidRDefault="00A57C48" w:rsidP="00D3158B">
      <w:pPr>
        <w:spacing w:after="0"/>
        <w:ind w:left="709" w:right="709"/>
        <w:jc w:val="both"/>
        <w:rPr>
          <w:rFonts w:ascii="Verdana" w:eastAsia="Calibri" w:hAnsi="Verdana" w:cs="Arial"/>
          <w:i/>
          <w:iCs/>
          <w:sz w:val="20"/>
          <w:szCs w:val="20"/>
          <w:lang w:val="es-ES"/>
        </w:rPr>
      </w:pPr>
      <w:r w:rsidRPr="00A27D65">
        <w:rPr>
          <w:rFonts w:ascii="Verdana" w:eastAsia="Calibri" w:hAnsi="Verdana" w:cs="Arial"/>
          <w:i/>
          <w:iCs/>
          <w:sz w:val="20"/>
          <w:szCs w:val="20"/>
          <w:lang w:val="es-ES"/>
        </w:rPr>
        <w:t xml:space="preserve">4. ¿Qué condiciones objetivas, de trazabilidad y legalidad, </w:t>
      </w:r>
      <w:r w:rsidR="00402E27" w:rsidRPr="00A27D65">
        <w:rPr>
          <w:rFonts w:ascii="Verdana" w:eastAsia="Calibri" w:hAnsi="Verdana" w:cs="Arial"/>
          <w:i/>
          <w:iCs/>
          <w:sz w:val="20"/>
          <w:szCs w:val="20"/>
          <w:lang w:val="es-ES"/>
        </w:rPr>
        <w:t>consideraría</w:t>
      </w:r>
      <w:r w:rsidRPr="00A27D65">
        <w:rPr>
          <w:rFonts w:ascii="Verdana" w:eastAsia="Calibri" w:hAnsi="Verdana" w:cs="Arial"/>
          <w:i/>
          <w:iCs/>
          <w:sz w:val="20"/>
          <w:szCs w:val="20"/>
          <w:lang w:val="es-ES"/>
        </w:rPr>
        <w:t xml:space="preserve"> la Agencia necesarias para que esta continuidad de la experiencia no afecte la transparencia ni la selección objetiva, sino que, por el contrario, fomente la eficiencia en el uso de la capacidad </w:t>
      </w:r>
      <w:r w:rsidR="00402E27" w:rsidRPr="00A27D65">
        <w:rPr>
          <w:rFonts w:ascii="Verdana" w:eastAsia="Calibri" w:hAnsi="Verdana" w:cs="Arial"/>
          <w:i/>
          <w:iCs/>
          <w:sz w:val="20"/>
          <w:szCs w:val="20"/>
          <w:lang w:val="es-ES"/>
        </w:rPr>
        <w:t>técnica</w:t>
      </w:r>
      <w:r w:rsidRPr="00A27D65">
        <w:rPr>
          <w:rFonts w:ascii="Verdana" w:eastAsia="Calibri" w:hAnsi="Verdana" w:cs="Arial"/>
          <w:i/>
          <w:iCs/>
          <w:sz w:val="20"/>
          <w:szCs w:val="20"/>
          <w:lang w:val="es-ES"/>
        </w:rPr>
        <w:t xml:space="preserve"> probada al servicio del Estado?”.</w:t>
      </w:r>
    </w:p>
    <w:p w14:paraId="45B61C3C" w14:textId="77777777" w:rsidR="00A57C48" w:rsidRPr="00A27D65" w:rsidRDefault="00A57C48" w:rsidP="00A57C48">
      <w:pPr>
        <w:spacing w:after="0" w:line="276" w:lineRule="auto"/>
        <w:ind w:right="709"/>
        <w:jc w:val="both"/>
        <w:rPr>
          <w:rFonts w:ascii="Verdana" w:eastAsia="Calibri" w:hAnsi="Verdana" w:cs="Arial"/>
          <w:lang w:val="es-ES"/>
        </w:rPr>
      </w:pPr>
    </w:p>
    <w:p w14:paraId="7665F279" w14:textId="77777777" w:rsidR="00A57C48" w:rsidRPr="00A27D65" w:rsidRDefault="00A57C48" w:rsidP="00A57C48">
      <w:pPr>
        <w:spacing w:after="120" w:line="276" w:lineRule="auto"/>
        <w:ind w:firstLine="708"/>
        <w:jc w:val="both"/>
        <w:rPr>
          <w:rFonts w:ascii="Verdana" w:eastAsia="Calibri" w:hAnsi="Verdana" w:cs="Arial"/>
          <w:color w:val="000000" w:themeColor="text1"/>
          <w:lang w:val="es-ES" w:eastAsia="es-ES"/>
        </w:rPr>
      </w:pPr>
      <w:r w:rsidRPr="00A27D65">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27D65">
        <w:rPr>
          <w:rFonts w:ascii="Verdana" w:hAnsi="Verdana"/>
          <w:lang w:val="es-ES"/>
        </w:rPr>
        <w:tab/>
      </w:r>
    </w:p>
    <w:p w14:paraId="40141381" w14:textId="77777777" w:rsidR="00A57C48" w:rsidRPr="00A27D65" w:rsidRDefault="00A57C48" w:rsidP="00A57C48">
      <w:pPr>
        <w:spacing w:after="0" w:line="276" w:lineRule="auto"/>
        <w:ind w:firstLine="709"/>
        <w:jc w:val="both"/>
        <w:rPr>
          <w:rFonts w:ascii="Verdana" w:eastAsia="Calibri" w:hAnsi="Verdana" w:cs="Arial"/>
          <w:color w:val="000000" w:themeColor="text1"/>
          <w:lang w:val="es-ES" w:eastAsia="es-ES"/>
        </w:rPr>
      </w:pPr>
      <w:r w:rsidRPr="00A27D65">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D3D05F7" w14:textId="77777777" w:rsidR="00A57C48" w:rsidRPr="00A27D65" w:rsidRDefault="00A57C48" w:rsidP="00A57C48">
      <w:pPr>
        <w:spacing w:after="0" w:line="276" w:lineRule="auto"/>
        <w:jc w:val="both"/>
        <w:rPr>
          <w:rFonts w:ascii="Verdana" w:eastAsia="Calibri" w:hAnsi="Verdana" w:cs="Arial"/>
          <w:color w:val="000000" w:themeColor="text1"/>
          <w:lang w:val="es-ES" w:eastAsia="es-ES"/>
        </w:rPr>
      </w:pPr>
    </w:p>
    <w:p w14:paraId="091AC739" w14:textId="77777777" w:rsidR="00A57C48" w:rsidRPr="00A27D65" w:rsidRDefault="00A57C48" w:rsidP="00A57C48">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A27D65">
        <w:rPr>
          <w:rFonts w:ascii="Verdana" w:eastAsia="Century Gothic" w:hAnsi="Verdana" w:cs="Century Gothic"/>
          <w:b/>
          <w:bCs/>
          <w:color w:val="000000" w:themeColor="text1"/>
        </w:rPr>
        <w:t>Problema planteado:</w:t>
      </w:r>
    </w:p>
    <w:p w14:paraId="63599E29" w14:textId="77777777" w:rsidR="00A57C48" w:rsidRPr="00A27D65" w:rsidRDefault="00A57C48" w:rsidP="00A57C48">
      <w:pPr>
        <w:tabs>
          <w:tab w:val="left" w:pos="426"/>
        </w:tabs>
        <w:spacing w:after="0" w:line="276" w:lineRule="auto"/>
        <w:jc w:val="both"/>
        <w:rPr>
          <w:rFonts w:ascii="Verdana" w:eastAsia="Century Gothic" w:hAnsi="Verdana" w:cs="Century Gothic"/>
          <w:color w:val="000000" w:themeColor="text1"/>
          <w:lang w:val="es-ES"/>
        </w:rPr>
      </w:pPr>
    </w:p>
    <w:p w14:paraId="00157D8A" w14:textId="77777777" w:rsidR="00A57C48" w:rsidRPr="00A27D65" w:rsidRDefault="00A57C48" w:rsidP="00A57C48">
      <w:pPr>
        <w:spacing w:after="140" w:line="276" w:lineRule="auto"/>
        <w:jc w:val="both"/>
        <w:rPr>
          <w:rFonts w:ascii="Verdana" w:eastAsia="Arial" w:hAnsi="Verdana" w:cs="Arial"/>
          <w:lang w:val="es-ES"/>
        </w:rPr>
      </w:pPr>
      <w:r w:rsidRPr="00A27D65">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 xml:space="preserve">el siguiente </w:t>
      </w:r>
      <w:r w:rsidRPr="00A27D65">
        <w:rPr>
          <w:rFonts w:ascii="Verdana" w:eastAsia="Century Gothic" w:hAnsi="Verdana" w:cs="Century Gothic"/>
          <w:color w:val="000000" w:themeColor="text1"/>
          <w:lang w:val="es-ES"/>
        </w:rPr>
        <w:t xml:space="preserve">problema jurídico: </w:t>
      </w:r>
      <w:r w:rsidRPr="00A27D65">
        <w:rPr>
          <w:rFonts w:ascii="Verdana" w:eastAsia="Arial" w:hAnsi="Verdana" w:cs="Arial"/>
          <w:lang w:val="es-ES"/>
        </w:rPr>
        <w:t xml:space="preserve">¿Es jurídicamente procedente integrar el artículo 20 del Decreto 1529 de 1990 como criterio para interpretar la continuidad de la experiencia de una ESAL liquidada en los procesos de contratación estatal? </w:t>
      </w:r>
    </w:p>
    <w:p w14:paraId="537DC729" w14:textId="77777777" w:rsidR="00A57C48" w:rsidRPr="00A27D65" w:rsidRDefault="00A57C48" w:rsidP="00A57C48">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A27D65">
        <w:rPr>
          <w:rFonts w:ascii="Verdana" w:eastAsia="Century Gothic" w:hAnsi="Verdana" w:cs="Century Gothic"/>
          <w:b/>
          <w:bCs/>
          <w:color w:val="000000" w:themeColor="text1"/>
        </w:rPr>
        <w:t>Respuesta:</w:t>
      </w:r>
    </w:p>
    <w:p w14:paraId="1B4E5A4C" w14:textId="77777777" w:rsidR="00A57C48" w:rsidRPr="00A27D65" w:rsidRDefault="00A57C48" w:rsidP="00A57C48">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57C48" w:rsidRPr="00A27D65" w14:paraId="318416B6" w14:textId="77777777" w:rsidTr="005A3AD8">
        <w:trPr>
          <w:trHeight w:val="300"/>
        </w:trPr>
        <w:tc>
          <w:tcPr>
            <w:tcW w:w="8828" w:type="dxa"/>
          </w:tcPr>
          <w:p w14:paraId="27EAD407" w14:textId="77777777" w:rsidR="00A57C48" w:rsidRPr="008D4706" w:rsidRDefault="00A57C48" w:rsidP="005A3AD8">
            <w:pPr>
              <w:spacing w:before="120" w:after="120" w:line="276" w:lineRule="auto"/>
              <w:jc w:val="both"/>
              <w:rPr>
                <w:rFonts w:ascii="Verdana" w:hAnsi="Verdana" w:cs="Arial"/>
                <w:color w:val="000000" w:themeColor="text1"/>
                <w:lang w:val="es-ES"/>
              </w:rPr>
            </w:pPr>
            <w:r w:rsidRPr="008D4706">
              <w:rPr>
                <w:rFonts w:ascii="Verdana" w:hAnsi="Verdana" w:cs="Arial"/>
                <w:color w:val="000000" w:themeColor="text1"/>
                <w:lang w:val="es-ES"/>
              </w:rPr>
              <w:t>No es jurídicamente procedente integrar el artículo 20 del Decreto 1529 de 1990 como criterio para reconocer la continuidad de la experiencia de una ESAL liquidada en los procesos de contratación estatal</w:t>
            </w:r>
            <w:r w:rsidRPr="00A27D65">
              <w:rPr>
                <w:rFonts w:ascii="Verdana" w:hAnsi="Verdana" w:cs="Arial"/>
                <w:color w:val="000000" w:themeColor="text1"/>
                <w:lang w:val="es-ES"/>
              </w:rPr>
              <w:t xml:space="preserve">. </w:t>
            </w:r>
            <w:r w:rsidRPr="008D4706">
              <w:rPr>
                <w:rFonts w:ascii="Verdana" w:hAnsi="Verdana" w:cs="Arial"/>
                <w:color w:val="000000" w:themeColor="text1"/>
                <w:lang w:val="es-ES"/>
              </w:rPr>
              <w:t>En el Estatuto General de Contratación de la Administración Pública la experiencia es un requisito habilitante de carácter personal y, por regla general, intransferible. Solo se transfiere de manera excepcional cuando la persona jurídica que la adquirió no se liquid</w:t>
            </w:r>
            <w:r w:rsidRPr="00A27D65">
              <w:rPr>
                <w:rFonts w:ascii="Verdana" w:hAnsi="Verdana" w:cs="Arial"/>
                <w:color w:val="000000" w:themeColor="text1"/>
                <w:lang w:val="es-ES"/>
              </w:rPr>
              <w:t>a, es decir, cuando</w:t>
            </w:r>
            <w:r w:rsidRPr="008D4706">
              <w:rPr>
                <w:rFonts w:ascii="Verdana" w:hAnsi="Verdana" w:cs="Arial"/>
                <w:color w:val="000000" w:themeColor="text1"/>
                <w:lang w:val="es-ES"/>
              </w:rPr>
              <w:t xml:space="preserve"> no desaparece, sino que continúa a través de otra, como sucede en la transformación y en la fusión de sociedades comerciales, además del supuesto del numeral 2.5 del artículo 2.2.1.1.1.5.2 del Decreto 1082 de 2015, que permite a las personas jurídicas con menos de tres (3) años de constitución acreditar la experiencia de sus accionistas, socios o constituyentes.</w:t>
            </w:r>
          </w:p>
          <w:p w14:paraId="76D4CFC8" w14:textId="77777777" w:rsidR="00A57C48" w:rsidRPr="00A27D65" w:rsidRDefault="00A57C48" w:rsidP="005A3AD8">
            <w:pPr>
              <w:spacing w:before="120" w:after="120" w:line="276" w:lineRule="auto"/>
              <w:ind w:firstLine="744"/>
              <w:jc w:val="both"/>
              <w:rPr>
                <w:rFonts w:ascii="Verdana" w:hAnsi="Verdana" w:cs="Arial"/>
                <w:color w:val="000000" w:themeColor="text1"/>
                <w:lang w:val="es-ES"/>
              </w:rPr>
            </w:pPr>
            <w:r w:rsidRPr="008D4706">
              <w:rPr>
                <w:rFonts w:ascii="Verdana" w:hAnsi="Verdana" w:cs="Arial"/>
                <w:color w:val="000000" w:themeColor="text1"/>
                <w:lang w:val="es-ES"/>
              </w:rPr>
              <w:t>El artículo 20 del Decreto 1529 de 1990 regula el procedimiento de liquidación de las ESAL. Al igual que el artículo 247 del Código de Comercio para las sociedades comerciales, se refiere a la etapa en la que, pagado el pasivo, se destina el remanente del activo patrimonial a otra entidad de fines análogos. Se trata, por tanto, de un supuesto de liquidación que supone la extinción de la persona jurídica.</w:t>
            </w:r>
            <w:r w:rsidRPr="00A27D65">
              <w:rPr>
                <w:rFonts w:ascii="Verdana" w:hAnsi="Verdana" w:cs="Arial"/>
                <w:color w:val="000000" w:themeColor="text1"/>
                <w:lang w:val="es-ES"/>
              </w:rPr>
              <w:t xml:space="preserve"> </w:t>
            </w:r>
            <w:r w:rsidRPr="008D4706">
              <w:rPr>
                <w:rFonts w:ascii="Verdana" w:hAnsi="Verdana" w:cs="Arial"/>
                <w:color w:val="000000" w:themeColor="text1"/>
                <w:lang w:val="es-ES"/>
              </w:rPr>
              <w:t>Como la experiencia sigue la suerte de quien la adquirió, extinguida la ESAL por la liquidación se extingue con ella su experiencia. En consecuencia, con independencia de si la experiencia se considera o no parte del activo patrimonial, no se transfiere con el remanente, pues falta el presupuesto que habilita su traslado: la subsistencia y continuidad de la</w:t>
            </w:r>
            <w:r w:rsidRPr="00A27D65">
              <w:rPr>
                <w:rFonts w:ascii="Verdana" w:hAnsi="Verdana" w:cs="Arial"/>
                <w:color w:val="000000" w:themeColor="text1"/>
                <w:lang w:val="es-ES"/>
              </w:rPr>
              <w:t xml:space="preserve"> ESAL</w:t>
            </w:r>
            <w:r w:rsidRPr="008D4706">
              <w:rPr>
                <w:rFonts w:ascii="Verdana" w:hAnsi="Verdana" w:cs="Arial"/>
                <w:color w:val="000000" w:themeColor="text1"/>
                <w:lang w:val="es-ES"/>
              </w:rPr>
              <w:t>.</w:t>
            </w:r>
            <w:r w:rsidRPr="00A27D65">
              <w:rPr>
                <w:rFonts w:ascii="Verdana" w:eastAsia="Arial" w:hAnsi="Verdana" w:cs="Arial"/>
                <w:lang w:val="es-ES"/>
              </w:rPr>
              <w:t xml:space="preserve"> En este punto no existe entonces un tratamiento disímil, la ESAL liquidada no queda, por esta vía, en peor situación que una sociedad comercial, pues en ambos casos la liquidación extingue la experiencia.</w:t>
            </w:r>
          </w:p>
          <w:p w14:paraId="5D34112F" w14:textId="77777777" w:rsidR="00A57C48" w:rsidRPr="00A27D65" w:rsidRDefault="00A57C48" w:rsidP="005A3AD8">
            <w:pPr>
              <w:spacing w:before="120" w:after="120" w:line="276" w:lineRule="auto"/>
              <w:ind w:firstLine="744"/>
              <w:jc w:val="both"/>
              <w:rPr>
                <w:rFonts w:ascii="Verdana" w:hAnsi="Verdana" w:cs="Arial"/>
                <w:color w:val="000000" w:themeColor="text1"/>
                <w:lang w:val="es-ES"/>
              </w:rPr>
            </w:pPr>
            <w:r w:rsidRPr="008D4706">
              <w:rPr>
                <w:rFonts w:ascii="Verdana" w:hAnsi="Verdana" w:cs="Arial"/>
                <w:color w:val="000000" w:themeColor="text1"/>
                <w:lang w:val="es-ES"/>
              </w:rPr>
              <w:t>Por último, como la contratación estatal es una actividad reglada y los requisitos habilitantes son de interpretación restrictiva, no cabe integrar por analogía el artículo 20 del Decreto 1529 de 1990 para crear una excepción a la regla de intransferibilidad de la experiencia no prevista por el legislador ni por el reglamento. Sin perjuicio de lo anterior, corresponde a cada entidad estatal, en el caso concreto y bajo su responsabilidad, definir lo relativo a la experiencia exigida y su acreditación, sin que sea atribución de esta Agencia validar tales decisiones.</w:t>
            </w:r>
            <w:r w:rsidRPr="00A27D65">
              <w:rPr>
                <w:rFonts w:ascii="Verdana" w:hAnsi="Verdana" w:cs="Arial"/>
                <w:color w:val="000000" w:themeColor="text1"/>
                <w:lang w:val="es-ES"/>
              </w:rPr>
              <w:t xml:space="preserve"> Así, cada Entidad Estatal establecerá la forma de adelantar su gestión contractual y determinará, bajo su propia responsabilidad </w:t>
            </w:r>
            <w:r w:rsidRPr="00A27D65">
              <w:rPr>
                <w:rFonts w:ascii="Verdana" w:hAnsi="Verdana" w:cs="Arial"/>
                <w:color w:val="000000" w:themeColor="text1"/>
                <w:lang w:val="es-ES"/>
              </w:rPr>
              <w:lastRenderedPageBreak/>
              <w:t>los aspectos objeto de consulta, sin que sea atribución de la Agencia Nacional de Contratación Pública – Colombia Compra Eficiente definir, autorizar o validar esa decisión.</w:t>
            </w:r>
          </w:p>
        </w:tc>
      </w:tr>
    </w:tbl>
    <w:p w14:paraId="33680767" w14:textId="77777777" w:rsidR="00A57C48" w:rsidRPr="00A27D65" w:rsidRDefault="00A57C48" w:rsidP="00A57C4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8F0D89B" w14:textId="77777777" w:rsidR="00A57C48" w:rsidRPr="00A27D65" w:rsidRDefault="00A57C48" w:rsidP="00A57C48">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7D65">
        <w:rPr>
          <w:rFonts w:ascii="Verdana" w:eastAsia="Century Gothic" w:hAnsi="Verdana" w:cs="Century Gothic"/>
          <w:b/>
          <w:color w:val="000000" w:themeColor="text1"/>
        </w:rPr>
        <w:t>Razones de la respuesta:</w:t>
      </w:r>
    </w:p>
    <w:p w14:paraId="0AB27227" w14:textId="77777777" w:rsidR="00A57C48" w:rsidRPr="00A27D65" w:rsidRDefault="00A57C48" w:rsidP="00A57C48">
      <w:pPr>
        <w:spacing w:after="0" w:line="276" w:lineRule="auto"/>
        <w:jc w:val="both"/>
        <w:rPr>
          <w:rFonts w:ascii="Verdana" w:eastAsia="Calibri" w:hAnsi="Verdana" w:cs="Arial"/>
          <w:color w:val="000000" w:themeColor="text1"/>
          <w:lang w:val="es-ES"/>
        </w:rPr>
      </w:pPr>
    </w:p>
    <w:p w14:paraId="7AD1EC59" w14:textId="77777777" w:rsidR="00A57C48" w:rsidRPr="00A27D65" w:rsidRDefault="00A57C48" w:rsidP="00A57C48">
      <w:pPr>
        <w:spacing w:after="120" w:line="276" w:lineRule="auto"/>
        <w:jc w:val="both"/>
        <w:rPr>
          <w:rFonts w:ascii="Verdana" w:eastAsia="Calibri" w:hAnsi="Verdana" w:cs="Arial"/>
          <w:highlight w:val="yellow"/>
          <w:lang w:val="es-ES"/>
        </w:rPr>
      </w:pPr>
      <w:r w:rsidRPr="00A27D65">
        <w:rPr>
          <w:rFonts w:ascii="Verdana" w:eastAsia="Verdana" w:hAnsi="Verdana" w:cs="Verdana"/>
          <w:lang w:val="es-ES"/>
        </w:rPr>
        <w:t xml:space="preserve">i. </w:t>
      </w:r>
      <w:bookmarkStart w:id="0" w:name="_Hlk113212496"/>
      <w:r w:rsidRPr="00A27D65">
        <w:rPr>
          <w:rFonts w:ascii="Verdana" w:eastAsia="Times New Roman" w:hAnsi="Verdana" w:cs="Times New Roman"/>
          <w:lang w:val="es-ES"/>
        </w:rPr>
        <w:t>El artículo 209 de la Constitución Política dispone que la función administrativa está al servicio de los intereses generales y se desarrolla con fundamento en los principios de igualdad, moralidad, eficacia, economía, celeridad, imparcialidad y publicidad. En desarrollo de ese mandato, el Estatuto General de Contratación de la Administración Pública –integrado, entre otras, por las Leyes 80 de 1993 y 1150 de 2007– estructuró la selección objetiva de los contratistas sobre la distinción entre los requisitos habilitantes, que miden la aptitud del proponente para participar en el proceso, y los factores de evaluación, que permiten la comparación objetiva de las ofertas. Respecto de los primeros, el numeral 1 del artículo 5 de la Ley 1150 de 2007 dispone:</w:t>
      </w:r>
    </w:p>
    <w:p w14:paraId="62651CA6" w14:textId="77777777" w:rsidR="00A57C48" w:rsidRPr="00A27D65" w:rsidRDefault="00A57C48" w:rsidP="00A57C48">
      <w:pPr>
        <w:spacing w:after="0" w:line="240" w:lineRule="auto"/>
        <w:ind w:left="708" w:right="709"/>
        <w:jc w:val="both"/>
        <w:rPr>
          <w:rFonts w:ascii="Verdana" w:eastAsia="Century Gothic" w:hAnsi="Verdana" w:cs="Century Gothic"/>
          <w:sz w:val="20"/>
          <w:szCs w:val="20"/>
          <w:lang w:val="es-ES"/>
        </w:rPr>
      </w:pPr>
      <w:r w:rsidRPr="00A27D65">
        <w:rPr>
          <w:rFonts w:ascii="Verdana" w:eastAsia="Century Gothic" w:hAnsi="Verdana" w:cs="Century Gothic"/>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5C08F221" w14:textId="77777777" w:rsidR="00A57C48" w:rsidRPr="00A27D65" w:rsidRDefault="00A57C48" w:rsidP="00A57C48">
      <w:pPr>
        <w:spacing w:after="0" w:line="240" w:lineRule="auto"/>
        <w:ind w:left="708" w:right="709"/>
        <w:jc w:val="both"/>
        <w:rPr>
          <w:rFonts w:ascii="Verdana" w:eastAsia="Century Gothic" w:hAnsi="Verdana" w:cs="Century Gothic"/>
          <w:sz w:val="20"/>
          <w:szCs w:val="20"/>
          <w:lang w:val="es-ES"/>
        </w:rPr>
      </w:pPr>
    </w:p>
    <w:p w14:paraId="5E3DD66B" w14:textId="77777777" w:rsidR="00A57C48" w:rsidRPr="00A27D65" w:rsidRDefault="00A57C48" w:rsidP="00A57C48">
      <w:pPr>
        <w:widowControl w:val="0"/>
        <w:autoSpaceDE w:val="0"/>
        <w:autoSpaceDN w:val="0"/>
        <w:spacing w:after="120" w:line="276" w:lineRule="auto"/>
        <w:ind w:firstLine="708"/>
        <w:jc w:val="both"/>
        <w:rPr>
          <w:rFonts w:ascii="Verdana" w:hAnsi="Verdana"/>
          <w:lang w:val="es-ES"/>
        </w:rPr>
      </w:pPr>
      <w:r w:rsidRPr="00A27D65">
        <w:rPr>
          <w:rFonts w:ascii="Verdana" w:eastAsia="Times New Roman" w:hAnsi="Verdana" w:cs="Times New Roman"/>
          <w:lang w:val="es-ES"/>
        </w:rPr>
        <w:t xml:space="preserve">De la disposición transcrita se desprende que la experiencia es un requisito habilitante: no otorga puntaje, se verifica como condición de participación y su exigencia debe ser adecuada y proporcional a la naturaleza y al valor del contrato. La norma no define qué contratos sirven para demostrarla ni restringe su origen, de modo que corresponde a cada entidad estatal, en la estructuración de sus documentos del proceso, definir la experiencia exigida y su forma de acreditación. Esta Subdirección ha entendido la experiencia como el conocimiento del proponente derivado de su participación previa en actividades iguales o similares a las previstas en el objeto del contrato, y ha destacado su carácter personal, en cuanto supone que quien la invoca participó, con anterioridad, en actividades que le permitieron conocer cómo ejecutar el objeto </w:t>
      </w:r>
      <w:r w:rsidRPr="00A27D65">
        <w:rPr>
          <w:rFonts w:ascii="Verdana" w:eastAsia="Times New Roman" w:hAnsi="Verdana" w:cs="Times New Roman"/>
          <w:lang w:val="es-ES"/>
        </w:rPr>
        <w:lastRenderedPageBreak/>
        <w:t>contractual</w:t>
      </w:r>
      <w:r w:rsidRPr="00A27D65">
        <w:rPr>
          <w:rStyle w:val="Refdenotaalpie"/>
          <w:rFonts w:ascii="Verdana" w:eastAsia="Times New Roman" w:hAnsi="Verdana" w:cs="Times New Roman"/>
          <w:lang w:val="es-ES"/>
        </w:rPr>
        <w:footnoteReference w:id="2"/>
      </w:r>
      <w:r w:rsidRPr="00A27D65">
        <w:rPr>
          <w:rFonts w:ascii="Verdana" w:eastAsia="Times New Roman" w:hAnsi="Verdana" w:cs="Times New Roman"/>
          <w:lang w:val="es-ES"/>
        </w:rPr>
        <w:t>. En la misma línea, ha sostenido de manera reiterada que “la experiencia es aquella que se derive de los contratos que el proponente ha celebrado y ejecutado con diferentes contratantes, sin importar la naturaleza de estos”</w:t>
      </w:r>
      <w:r w:rsidRPr="00A27D65">
        <w:rPr>
          <w:rStyle w:val="Refdenotaalpie"/>
          <w:rFonts w:ascii="Verdana" w:eastAsia="Times New Roman" w:hAnsi="Verdana" w:cs="Times New Roman"/>
          <w:lang w:val="es-ES"/>
        </w:rPr>
        <w:footnoteReference w:id="3"/>
      </w:r>
      <w:r w:rsidRPr="00A27D65">
        <w:rPr>
          <w:rFonts w:ascii="Verdana" w:eastAsia="Times New Roman" w:hAnsi="Verdana" w:cs="Times New Roman"/>
          <w:lang w:val="es-ES"/>
        </w:rPr>
        <w:t>, por lo que el ordenamiento no restringe la experiencia a contratos celebrados con entidades públicas ni a determinada tipología contractual: pueden invocarse contratos civiles, comerciales o estatales, típicos o atípicos, celebrados con personas públicas o privadas, siempre que su ejecución dé cuenta de las actividades exigidas.</w:t>
      </w:r>
    </w:p>
    <w:p w14:paraId="0557BF6F" w14:textId="77777777" w:rsidR="00A57C48" w:rsidRPr="00A27D65" w:rsidRDefault="00A57C48" w:rsidP="00A57C48">
      <w:pPr>
        <w:spacing w:after="120" w:line="276" w:lineRule="auto"/>
        <w:ind w:firstLine="708"/>
        <w:jc w:val="both"/>
        <w:rPr>
          <w:rFonts w:ascii="Verdana" w:eastAsia="Calibri" w:hAnsi="Verdana" w:cs="Arial"/>
          <w:lang w:val="es-ES"/>
        </w:rPr>
      </w:pPr>
      <w:r w:rsidRPr="00A27D65">
        <w:rPr>
          <w:rFonts w:ascii="Verdana" w:eastAsia="Calibri" w:hAnsi="Verdana" w:cs="Arial"/>
          <w:lang w:val="es-ES"/>
        </w:rPr>
        <w:t>Con respecto a la acreditación, la experiencia debe inscribirse, renovarse o actualizarse en el RUP con copia o con certificados de los contratos celebrados por el proponente con diferentes contratantes, quienes los expiden cuando el contrato fue ejecutado y recibieron los bienes, obras o servicios de parte del proponente. Tales documentos deben codificarse con el clasificador de bienes y servicios en el tercer nivel</w:t>
      </w:r>
      <w:r w:rsidRPr="00A27D65">
        <w:rPr>
          <w:rFonts w:ascii="Verdana" w:eastAsia="Calibri" w:hAnsi="Verdana" w:cs="Arial"/>
          <w:vertAlign w:val="superscript"/>
          <w:lang w:val="es-ES"/>
        </w:rPr>
        <w:footnoteReference w:id="4"/>
      </w:r>
      <w:r w:rsidRPr="00A27D65">
        <w:rPr>
          <w:rFonts w:ascii="Verdana" w:eastAsia="Calibri" w:hAnsi="Verdana" w:cs="Arial"/>
          <w:lang w:val="es-ES"/>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1257C2C5" w14:textId="77777777" w:rsidR="00A57C48" w:rsidRPr="00A27D65" w:rsidRDefault="00A57C48" w:rsidP="00A57C48">
      <w:pPr>
        <w:spacing w:after="120" w:line="276" w:lineRule="auto"/>
        <w:ind w:firstLine="708"/>
        <w:jc w:val="both"/>
        <w:rPr>
          <w:rFonts w:ascii="Verdana" w:eastAsia="Calibri" w:hAnsi="Verdana" w:cs="Arial"/>
          <w:lang w:val="es-ES"/>
        </w:rPr>
      </w:pPr>
      <w:r w:rsidRPr="00A27D65">
        <w:rPr>
          <w:rFonts w:ascii="Verdana" w:eastAsia="Calibri" w:hAnsi="Verdana" w:cs="Arial"/>
          <w:color w:val="000000"/>
          <w:lang w:val="es-ES" w:eastAsia="es-ES_tradnl"/>
        </w:rPr>
        <w:t>Tal y c</w:t>
      </w:r>
      <w:r w:rsidRPr="00A27D65">
        <w:rPr>
          <w:rFonts w:ascii="Verdana" w:eastAsia="Calibri" w:hAnsi="Verdana" w:cs="Arial"/>
          <w:lang w:val="es-ES"/>
        </w:rPr>
        <w:t xml:space="preserve">omo lo indica </w:t>
      </w:r>
      <w:r w:rsidRPr="00A27D65">
        <w:rPr>
          <w:rFonts w:ascii="Verdana" w:eastAsia="Calibri" w:hAnsi="Verdana" w:cs="Arial"/>
          <w:lang w:val="es-ES" w:eastAsia="es-CO"/>
        </w:rPr>
        <w:t>el “</w:t>
      </w:r>
      <w:r w:rsidRPr="00A27D65">
        <w:rPr>
          <w:rFonts w:ascii="Verdana" w:eastAsia="Calibri" w:hAnsi="Verdana" w:cs="Arial"/>
          <w:i/>
          <w:iCs/>
          <w:lang w:val="es-ES" w:eastAsia="es-CO"/>
        </w:rPr>
        <w:t>Manual para determinar y verificar requisitos habilitantes en los procesos de contratación”</w:t>
      </w:r>
      <w:r w:rsidRPr="00A27D65">
        <w:rPr>
          <w:rStyle w:val="Refdenotaalpie"/>
          <w:rFonts w:ascii="Verdana" w:eastAsia="Calibri" w:hAnsi="Verdana" w:cs="Arial"/>
          <w:i/>
          <w:iCs/>
          <w:lang w:val="es-ES" w:eastAsia="es-CO"/>
        </w:rPr>
        <w:footnoteReference w:id="5"/>
      </w:r>
      <w:r w:rsidRPr="00A27D65">
        <w:rPr>
          <w:rFonts w:ascii="Verdana" w:eastAsia="Calibri" w:hAnsi="Verdana" w:cs="Arial"/>
          <w:i/>
          <w:iCs/>
          <w:lang w:val="es-ES" w:eastAsia="es-CO"/>
        </w:rPr>
        <w:t>,</w:t>
      </w:r>
      <w:r w:rsidRPr="00A27D65">
        <w:rPr>
          <w:rFonts w:ascii="Verdana" w:eastAsia="Calibri" w:hAnsi="Verdana" w:cs="Arial"/>
          <w:lang w:val="es-ES" w:eastAsia="es-CO"/>
        </w:rPr>
        <w:t xml:space="preserve"> expedido por la Agencia Nacional de Contratación Pública, la experiencia debe ser entendida como el conocimiento </w:t>
      </w:r>
      <w:r w:rsidRPr="00A27D65">
        <w:rPr>
          <w:rFonts w:ascii="Verdana" w:eastAsia="Calibri" w:hAnsi="Verdana" w:cs="Arial"/>
          <w:lang w:val="es-ES" w:eastAsia="es-CO"/>
        </w:rPr>
        <w:lastRenderedPageBreak/>
        <w:t>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A27D65">
        <w:rPr>
          <w:rFonts w:ascii="Verdana" w:eastAsia="Calibri" w:hAnsi="Verdana" w:cs="Arial"/>
          <w:vertAlign w:val="superscript"/>
          <w:lang w:val="es-ES" w:eastAsia="es-CO"/>
        </w:rPr>
        <w:footnoteReference w:id="6"/>
      </w:r>
      <w:r w:rsidRPr="00A27D65">
        <w:rPr>
          <w:rFonts w:ascii="Verdana" w:eastAsia="Calibri" w:hAnsi="Verdana" w:cs="Arial"/>
          <w:lang w:val="es-ES" w:eastAsia="es-CO"/>
        </w:rPr>
        <w:t xml:space="preserve">. </w:t>
      </w:r>
    </w:p>
    <w:p w14:paraId="4BD7B0F2" w14:textId="77777777" w:rsidR="00A57C48" w:rsidRPr="00A27D65" w:rsidRDefault="00A57C48" w:rsidP="00A57C48">
      <w:pPr>
        <w:spacing w:after="120" w:line="276" w:lineRule="auto"/>
        <w:ind w:firstLine="709"/>
        <w:jc w:val="both"/>
        <w:rPr>
          <w:rFonts w:ascii="Verdana" w:eastAsia="Calibri" w:hAnsi="Verdana" w:cs="Arial"/>
          <w:lang w:val="es-ES" w:eastAsia="es-CO"/>
        </w:rPr>
      </w:pPr>
      <w:r w:rsidRPr="00A27D65">
        <w:rPr>
          <w:rFonts w:ascii="Verdana" w:eastAsia="Calibri" w:hAnsi="Verdana" w:cs="Arial"/>
          <w:lang w:val="es-ES" w:eastAsia="es-CO"/>
        </w:rPr>
        <w:t xml:space="preserve">En este sentido, el Manual señala que un aspecto esencial de la experiencia es su </w:t>
      </w:r>
      <w:r w:rsidRPr="00A27D65">
        <w:rPr>
          <w:rFonts w:ascii="Verdana" w:eastAsia="Calibri" w:hAnsi="Verdana" w:cs="Arial"/>
          <w:i/>
          <w:iCs/>
          <w:u w:val="single"/>
          <w:lang w:val="es-ES" w:eastAsia="es-CO"/>
        </w:rPr>
        <w:t>carácter personal</w:t>
      </w:r>
      <w:r w:rsidRPr="00A27D65">
        <w:rPr>
          <w:rFonts w:ascii="Verdana" w:eastAsia="Calibri" w:hAnsi="Verdana" w:cs="Arial"/>
          <w:lang w:val="es-ES" w:eastAsia="es-CO"/>
        </w:rPr>
        <w:t xml:space="preserve">, lo cual significa que quien tiene la experiencia lo hace debido a su participación, con anterioridad, en actividades que le permitieron conocer cómo ejecutar el objeto contractual que la entidad pretende satisfacer ahora. Lo anterior es determinante, porque no es posible tener experiencia si en la práctica no se han ejecutado actividades similares previas. Precisamente, de la experiencia se deriva el conocimiento del proponente, el cual garantiza que no habrá improvisación ni mayores costos por errores o dificultades derivadas de realizar una actividad por primera vez. </w:t>
      </w:r>
      <w:bookmarkStart w:id="1" w:name="_Hlk113212591"/>
      <w:r w:rsidRPr="00A27D65">
        <w:rPr>
          <w:rFonts w:ascii="Verdana" w:eastAsia="Calibri" w:hAnsi="Verdana" w:cs="Arial"/>
          <w:lang w:val="es-ES" w:eastAsia="es-CO"/>
        </w:rPr>
        <w:t>Al respecto, la jurisprudencia ha señalado que la experiencia acreditable “no es más que un valor agregado para el contratista en consideración al registro documentado del hecho de haberlo ejecutado, es decir de haber cumplido las consideraciones pactadas, asunto que</w:t>
      </w:r>
      <w:r w:rsidRPr="00A27D65">
        <w:rPr>
          <w:rFonts w:ascii="Verdana" w:eastAsia="Calibri" w:hAnsi="Verdana" w:cs="Arial"/>
          <w:lang w:val="es-ES"/>
        </w:rPr>
        <w:t xml:space="preserve"> alude a un estado adquirido por el contratante en función de la real ejecución que han hecho del contrato. La experiencia predicada de un sujeto comprende unas competencias o habilidades que este obtuvo, como consecuencia de la ejecución del contrato […]</w:t>
      </w:r>
      <w:r w:rsidRPr="00A27D65">
        <w:rPr>
          <w:rFonts w:ascii="Verdana" w:hAnsi="Verdana" w:cs="Arial"/>
          <w:lang w:val="es-ES"/>
        </w:rPr>
        <w:t>”</w:t>
      </w:r>
      <w:r w:rsidRPr="00A27D65">
        <w:rPr>
          <w:rFonts w:ascii="Verdana" w:hAnsi="Verdana" w:cs="Arial"/>
          <w:vertAlign w:val="superscript"/>
          <w:lang w:val="es-ES"/>
        </w:rPr>
        <w:footnoteReference w:id="7"/>
      </w:r>
      <w:r w:rsidRPr="00A27D65">
        <w:rPr>
          <w:rFonts w:ascii="Verdana" w:hAnsi="Verdana" w:cs="Arial"/>
          <w:lang w:val="es-ES"/>
        </w:rPr>
        <w:t xml:space="preserve">. En tal sentido, la ejecución del contrato “se revela como un aspecto inherente a la </w:t>
      </w:r>
      <w:r w:rsidRPr="00A27D65">
        <w:rPr>
          <w:rFonts w:ascii="Verdana" w:hAnsi="Verdana" w:cs="Arial"/>
          <w:lang w:val="es-ES"/>
        </w:rPr>
        <w:lastRenderedPageBreak/>
        <w:t xml:space="preserve">persona que lo ejecutó”, por lo que es en virtud de dicha ejecución que se obtiene las habilidades y competencias que califican al proponente. </w:t>
      </w:r>
    </w:p>
    <w:p w14:paraId="2CAC024A" w14:textId="77777777" w:rsidR="00A57C48" w:rsidRPr="00A27D65" w:rsidRDefault="00A57C48" w:rsidP="00A57C48">
      <w:pPr>
        <w:spacing w:after="120" w:line="276" w:lineRule="auto"/>
        <w:ind w:firstLine="709"/>
        <w:jc w:val="both"/>
        <w:rPr>
          <w:rFonts w:ascii="Verdana" w:hAnsi="Verdana" w:cs="Arial"/>
          <w:lang w:val="es-ES"/>
        </w:rPr>
      </w:pPr>
      <w:bookmarkStart w:id="2" w:name="_Hlk113212612"/>
      <w:bookmarkEnd w:id="1"/>
      <w:r w:rsidRPr="00A27D65">
        <w:rPr>
          <w:rFonts w:ascii="Verdana" w:hAnsi="Verdana" w:cs="Arial"/>
          <w:lang w:val="es-ES"/>
        </w:rPr>
        <w:t>De lo anteriormente expuesto</w:t>
      </w:r>
      <w:bookmarkEnd w:id="2"/>
      <w:r w:rsidRPr="00A27D65">
        <w:rPr>
          <w:rFonts w:ascii="Verdana" w:hAnsi="Verdana" w:cs="Arial"/>
          <w:lang w:val="es-ES"/>
        </w:rPr>
        <w:t xml:space="preserve">, se pueden extraer cuatro conclusiones relevantes respecto de la experiencia: </w:t>
      </w:r>
    </w:p>
    <w:p w14:paraId="5DE0AA92" w14:textId="77777777" w:rsidR="00A57C48" w:rsidRPr="00A27D65" w:rsidRDefault="00A57C48" w:rsidP="00A57C48">
      <w:pPr>
        <w:spacing w:after="120" w:line="276" w:lineRule="auto"/>
        <w:ind w:firstLine="709"/>
        <w:jc w:val="both"/>
        <w:rPr>
          <w:rFonts w:ascii="Verdana" w:hAnsi="Verdana" w:cs="Arial"/>
          <w:lang w:val="es-ES"/>
        </w:rPr>
      </w:pPr>
      <w:r w:rsidRPr="00A27D65">
        <w:rPr>
          <w:rFonts w:ascii="Verdana" w:hAnsi="Verdana" w:cs="Arial"/>
          <w:lang w:val="es-ES"/>
        </w:rPr>
        <w:t>a) La experiencia es personal, esto es, se adquiere participando, directa o indirectamente, sin que sea posible acreditarla sin haber ejecutado actividades similares previas.</w:t>
      </w:r>
    </w:p>
    <w:p w14:paraId="0EFC8D24" w14:textId="77777777" w:rsidR="00A57C48" w:rsidRPr="00A27D65" w:rsidRDefault="00A57C48" w:rsidP="00A57C48">
      <w:pPr>
        <w:spacing w:after="120" w:line="276" w:lineRule="auto"/>
        <w:ind w:firstLine="709"/>
        <w:jc w:val="both"/>
        <w:rPr>
          <w:rFonts w:ascii="Verdana" w:hAnsi="Verdana" w:cs="Arial"/>
          <w:lang w:val="es-ES"/>
        </w:rPr>
      </w:pPr>
      <w:r w:rsidRPr="00A27D65">
        <w:rPr>
          <w:rFonts w:ascii="Verdana" w:hAnsi="Verdana" w:cs="Arial"/>
          <w:lang w:val="es-ES"/>
        </w:rPr>
        <w:t>b) Se puede compartir, sin que esto implique que la experiencia compartida a otra persona se entienda suya, ya que dentro del procedimiento contractual se reflejará que esa persona tiene la experiencia de otra. Un ejemplo de ello es el caso de las figuras asociativas –consorcios y uniones temporales– frente a las cuales dicha circunstancia se verifica en el documento privado de constitución del proponente plural.</w:t>
      </w:r>
    </w:p>
    <w:p w14:paraId="09BF595A" w14:textId="77777777" w:rsidR="00A57C48" w:rsidRPr="00A27D65" w:rsidRDefault="00A57C48" w:rsidP="00A57C48">
      <w:pPr>
        <w:spacing w:after="120" w:line="276" w:lineRule="auto"/>
        <w:ind w:firstLine="709"/>
        <w:jc w:val="both"/>
        <w:rPr>
          <w:rFonts w:ascii="Verdana" w:hAnsi="Verdana" w:cs="Arial"/>
          <w:lang w:val="es-ES"/>
        </w:rPr>
      </w:pPr>
      <w:r w:rsidRPr="00A27D65">
        <w:rPr>
          <w:rFonts w:ascii="Verdana" w:hAnsi="Verdana" w:cs="Arial"/>
          <w:lang w:val="es-ES"/>
        </w:rPr>
        <w:t>c) La experiencia también se puede transferir. Este supuesto, a diferencia del anterior, implica que la experiencia de una persona se traslada a otra, y esta última la acredita como propia. Tal es el caso de algunas figuras y reformas estatutarias, que se explicarán más adelante con respecto a las sociedades comerciales.</w:t>
      </w:r>
    </w:p>
    <w:p w14:paraId="0CD378D0" w14:textId="77777777" w:rsidR="00A57C48" w:rsidRPr="00A27D65" w:rsidRDefault="00A57C48" w:rsidP="00A57C48">
      <w:pPr>
        <w:spacing w:after="120" w:line="276" w:lineRule="auto"/>
        <w:ind w:firstLine="708"/>
        <w:jc w:val="both"/>
        <w:rPr>
          <w:rFonts w:ascii="Verdana" w:hAnsi="Verdana" w:cs="Arial"/>
          <w:lang w:val="es-ES"/>
        </w:rPr>
      </w:pPr>
      <w:r w:rsidRPr="00A27D65">
        <w:rPr>
          <w:rFonts w:ascii="Verdana" w:hAnsi="Verdana" w:cs="Arial"/>
          <w:lang w:val="es-ES"/>
        </w:rPr>
        <w:t xml:space="preserve">d) Cuando </w:t>
      </w:r>
      <w:bookmarkStart w:id="3" w:name="_Hlk113212638"/>
      <w:r w:rsidRPr="00A27D65">
        <w:rPr>
          <w:rFonts w:ascii="Verdana" w:hAnsi="Verdana" w:cs="Arial"/>
          <w:lang w:val="es-ES"/>
        </w:rPr>
        <w:t xml:space="preserve">la persona que adquirió la experiencia desaparece o </w:t>
      </w:r>
      <w:r w:rsidRPr="00A27D65">
        <w:rPr>
          <w:rFonts w:ascii="Verdana" w:hAnsi="Verdana" w:cs="Arial"/>
          <w:i/>
          <w:iCs/>
          <w:lang w:val="es-ES"/>
        </w:rPr>
        <w:t>se liquida</w:t>
      </w:r>
      <w:r w:rsidRPr="00A27D65">
        <w:rPr>
          <w:rFonts w:ascii="Verdana" w:hAnsi="Verdana" w:cs="Arial"/>
          <w:lang w:val="es-ES"/>
        </w:rPr>
        <w:t>, no es posible que comparta o transfiera su experiencia, puesto que, al ser esta personal, sigue la suerte de quien la adquirió</w:t>
      </w:r>
      <w:bookmarkEnd w:id="3"/>
      <w:r w:rsidRPr="00A27D65">
        <w:rPr>
          <w:rFonts w:ascii="Verdana" w:hAnsi="Verdana" w:cs="Arial"/>
          <w:lang w:val="es-ES"/>
        </w:rPr>
        <w:t>: una vez desaparece la persona, se extingue con ella su experiencia.</w:t>
      </w:r>
    </w:p>
    <w:p w14:paraId="27CE6FFF" w14:textId="77777777" w:rsidR="00A57C48" w:rsidRPr="00A27D65" w:rsidRDefault="00A57C48" w:rsidP="00A57C48">
      <w:pPr>
        <w:spacing w:before="120" w:after="120" w:line="276" w:lineRule="auto"/>
        <w:ind w:firstLine="708"/>
        <w:jc w:val="both"/>
        <w:rPr>
          <w:rFonts w:ascii="Verdana" w:eastAsia="Calibri" w:hAnsi="Verdana" w:cs="Arial"/>
          <w:lang w:val="es-ES"/>
        </w:rPr>
      </w:pPr>
      <w:r w:rsidRPr="00A27D65">
        <w:rPr>
          <w:rFonts w:ascii="Verdana" w:eastAsia="Calibri" w:hAnsi="Verdana" w:cs="Arial"/>
          <w:lang w:val="es-ES"/>
        </w:rPr>
        <w:t>De lo anterior se desprende que, por regla general, en la actividad contractual regulada por el Estatuto General de Contratación de la Administración Pública la experiencia es personal e intransferible, salvo las excepciones que expresamente establece la ley. Una primera excepción a la regla anteriormente descrita se encuentra consagrada en el numeral 2.5. del artículo 2.2.1.1.1.5.2. del Decreto 1082 de 2015, con arreglo al cual “Si la constitución del interesado es menor a tres (3) años, puede acreditar la experiencia de sus accionistas, socios o constituyentes” para la inscripción, renovación o actualización del Registro Único de Proponentes (RUP).</w:t>
      </w:r>
    </w:p>
    <w:p w14:paraId="35AB5876" w14:textId="77777777" w:rsidR="00A57C48" w:rsidRPr="00A27D65" w:rsidRDefault="00A57C48" w:rsidP="00A57C48">
      <w:pPr>
        <w:spacing w:after="0" w:line="276" w:lineRule="auto"/>
        <w:ind w:firstLine="709"/>
        <w:jc w:val="both"/>
        <w:rPr>
          <w:rFonts w:ascii="Verdana" w:eastAsia="Calibri" w:hAnsi="Verdana" w:cs="Arial"/>
          <w:lang w:val="es-ES"/>
        </w:rPr>
      </w:pPr>
      <w:r w:rsidRPr="00A27D65">
        <w:rPr>
          <w:rFonts w:ascii="Verdana" w:eastAsia="Calibri" w:hAnsi="Verdana" w:cs="Arial"/>
          <w:lang w:val="es-ES"/>
        </w:rPr>
        <w:t xml:space="preserve">Una segunda excepción al carácter intransferible de la experiencia son algunas reformas estatutarias de las personas jurídicas o de reorganización empresarial, en las que la persona jurídica </w:t>
      </w:r>
      <w:r w:rsidRPr="00A27D65">
        <w:rPr>
          <w:rFonts w:ascii="Verdana" w:eastAsia="Calibri" w:hAnsi="Verdana" w:cs="Arial"/>
          <w:i/>
          <w:iCs/>
          <w:lang w:val="es-ES"/>
        </w:rPr>
        <w:t>no se liquida</w:t>
      </w:r>
      <w:r w:rsidRPr="00A27D65">
        <w:rPr>
          <w:rFonts w:ascii="Verdana" w:eastAsia="Calibri" w:hAnsi="Verdana" w:cs="Arial"/>
          <w:lang w:val="es-ES"/>
        </w:rPr>
        <w:t xml:space="preserve"> y, por lo tanto, puede </w:t>
      </w:r>
      <w:r w:rsidRPr="00A27D65">
        <w:rPr>
          <w:rFonts w:ascii="Verdana" w:eastAsia="Calibri" w:hAnsi="Verdana" w:cs="Arial"/>
          <w:lang w:val="es-ES"/>
        </w:rPr>
        <w:lastRenderedPageBreak/>
        <w:t>transferir su experiencia a la persona jurídica resultante. En efecto, la Subdirección de Gestión Contractual de esta Agencia ha considerado de manera reiterada que ante la definición los conceptos de “disolución” y “liquidación” del Código de Comercio, es viable la transferencia de experiencia en la transformación y en la fusión, pero no en la escisión,</w:t>
      </w:r>
      <w:bookmarkStart w:id="4" w:name="_Hlk113212692"/>
      <w:r w:rsidRPr="00A27D65">
        <w:rPr>
          <w:rFonts w:ascii="Verdana" w:eastAsia="Calibri" w:hAnsi="Verdana" w:cs="Arial"/>
          <w:lang w:val="es-ES"/>
        </w:rPr>
        <w:t xml:space="preserve"> de sociedades comerciales</w:t>
      </w:r>
      <w:r w:rsidRPr="00A27D65">
        <w:rPr>
          <w:rStyle w:val="Refdenotaalpie"/>
          <w:rFonts w:ascii="Verdana" w:eastAsia="Calibri" w:hAnsi="Verdana" w:cs="Arial"/>
          <w:lang w:val="es-ES"/>
        </w:rPr>
        <w:footnoteReference w:id="8"/>
      </w:r>
      <w:r w:rsidRPr="00A27D65">
        <w:rPr>
          <w:rFonts w:ascii="Verdana" w:eastAsia="Calibri" w:hAnsi="Verdana" w:cs="Arial"/>
          <w:lang w:val="es-ES"/>
        </w:rPr>
        <w:t>.</w:t>
      </w:r>
      <w:bookmarkEnd w:id="0"/>
      <w:bookmarkEnd w:id="4"/>
    </w:p>
    <w:p w14:paraId="096D8402" w14:textId="77777777" w:rsidR="00A57C48" w:rsidRPr="00A27D65" w:rsidRDefault="00A57C48" w:rsidP="00A57C48">
      <w:pPr>
        <w:spacing w:before="120" w:after="0" w:line="276" w:lineRule="auto"/>
        <w:ind w:firstLine="709"/>
        <w:jc w:val="both"/>
        <w:rPr>
          <w:rFonts w:ascii="Verdana" w:eastAsia="Calibri" w:hAnsi="Verdana" w:cs="Arial"/>
          <w:bCs/>
          <w:lang w:val="es-ES"/>
        </w:rPr>
      </w:pPr>
      <w:r w:rsidRPr="00A27D65">
        <w:rPr>
          <w:rFonts w:ascii="Verdana" w:eastAsia="Calibri" w:hAnsi="Verdana" w:cs="Arial"/>
          <w:lang w:val="es-ES"/>
        </w:rPr>
        <w:t xml:space="preserve">En esta medida, la regla fijada por esta Agencia es </w:t>
      </w:r>
      <w:proofErr w:type="gramStart"/>
      <w:r w:rsidRPr="00A27D65">
        <w:rPr>
          <w:rFonts w:ascii="Verdana" w:eastAsia="Calibri" w:hAnsi="Verdana" w:cs="Arial"/>
          <w:lang w:val="es-ES"/>
        </w:rPr>
        <w:t>que</w:t>
      </w:r>
      <w:proofErr w:type="gramEnd"/>
      <w:r w:rsidRPr="00A27D65">
        <w:rPr>
          <w:rFonts w:ascii="Verdana" w:eastAsia="Calibri" w:hAnsi="Verdana" w:cs="Arial"/>
          <w:lang w:val="es-ES"/>
        </w:rPr>
        <w:t xml:space="preserve"> si la sociedad comercial </w:t>
      </w:r>
      <w:r w:rsidRPr="00A27D65">
        <w:rPr>
          <w:rFonts w:ascii="Verdana" w:eastAsia="Calibri" w:hAnsi="Verdana" w:cs="Arial"/>
          <w:i/>
          <w:iCs/>
          <w:lang w:val="es-ES"/>
        </w:rPr>
        <w:t>no desaparece</w:t>
      </w:r>
      <w:r w:rsidRPr="00A27D65">
        <w:rPr>
          <w:rFonts w:ascii="Verdana" w:eastAsia="Calibri" w:hAnsi="Verdana" w:cs="Arial"/>
          <w:lang w:val="es-ES"/>
        </w:rPr>
        <w:t xml:space="preserve">, su experiencia se conserva y puede transferirse. En este marco, es importante la distinción entre la disolución y la liquidación. El Código de Comercio señala, como efecto de la “disolución”, que la persona jurídica </w:t>
      </w:r>
      <w:r w:rsidRPr="00A27D65">
        <w:rPr>
          <w:rFonts w:ascii="Verdana" w:eastAsia="Calibri" w:hAnsi="Verdana" w:cs="Arial"/>
          <w:i/>
          <w:iCs/>
          <w:lang w:val="es-ES"/>
        </w:rPr>
        <w:t>no desaparece</w:t>
      </w:r>
      <w:r w:rsidRPr="00A27D65">
        <w:rPr>
          <w:rFonts w:ascii="Verdana" w:eastAsia="Calibri" w:hAnsi="Verdana" w:cs="Arial"/>
          <w:lang w:val="es-ES"/>
        </w:rPr>
        <w:t>, sino que conserva su capacidad</w:t>
      </w:r>
      <w:r w:rsidRPr="00A27D65">
        <w:rPr>
          <w:rFonts w:ascii="Verdana" w:eastAsia="Calibri" w:hAnsi="Verdana" w:cs="Arial"/>
          <w:bCs/>
          <w:lang w:val="es-ES"/>
        </w:rPr>
        <w:t xml:space="preserve"> jurídica, únicamente para “liquidarse” y para las operaciones o actos autorizados por la ley</w:t>
      </w:r>
      <w:r w:rsidRPr="00A27D65">
        <w:rPr>
          <w:rFonts w:ascii="Verdana" w:eastAsia="Calibri" w:hAnsi="Verdana" w:cs="Arial"/>
          <w:bCs/>
          <w:vertAlign w:val="superscript"/>
          <w:lang w:val="es-ES"/>
        </w:rPr>
        <w:footnoteReference w:id="9"/>
      </w:r>
      <w:r w:rsidRPr="00A27D65">
        <w:rPr>
          <w:rFonts w:ascii="Verdana" w:eastAsia="Calibri" w:hAnsi="Verdana" w:cs="Arial"/>
          <w:bCs/>
          <w:lang w:val="es-ES"/>
        </w:rPr>
        <w:t xml:space="preserve">. Por el contrario, respecto de la “liquidación” de las sociedades comerciales, el Código de Comercio </w:t>
      </w:r>
      <w:proofErr w:type="gramStart"/>
      <w:r w:rsidRPr="00A27D65">
        <w:rPr>
          <w:rFonts w:ascii="Verdana" w:eastAsia="Calibri" w:hAnsi="Verdana" w:cs="Arial"/>
          <w:bCs/>
          <w:lang w:val="es-ES"/>
        </w:rPr>
        <w:t>dispone  el</w:t>
      </w:r>
      <w:proofErr w:type="gramEnd"/>
      <w:r w:rsidRPr="00A27D65">
        <w:rPr>
          <w:rFonts w:ascii="Verdana" w:eastAsia="Calibri" w:hAnsi="Verdana" w:cs="Arial"/>
          <w:bCs/>
          <w:lang w:val="es-ES"/>
        </w:rPr>
        <w:t xml:space="preserve"> procedimiento para realizar el inventario y distribución del patrimonio social, de lo cual se infiere que termina la persona jurídica</w:t>
      </w:r>
      <w:r w:rsidRPr="00A27D65">
        <w:rPr>
          <w:rFonts w:ascii="Verdana" w:eastAsia="Calibri" w:hAnsi="Verdana" w:cs="Arial"/>
          <w:bCs/>
          <w:vertAlign w:val="superscript"/>
          <w:lang w:val="es-ES"/>
        </w:rPr>
        <w:footnoteReference w:id="10"/>
      </w:r>
      <w:r w:rsidRPr="00A27D65">
        <w:rPr>
          <w:rFonts w:ascii="Verdana" w:eastAsia="Calibri" w:hAnsi="Verdana" w:cs="Arial"/>
          <w:bCs/>
          <w:lang w:val="es-ES"/>
        </w:rPr>
        <w:t xml:space="preserve"> y la experiencia desaparece junto con la sociedad que la adquirió.</w:t>
      </w:r>
    </w:p>
    <w:p w14:paraId="496DEBBC" w14:textId="77777777" w:rsidR="00A57C48" w:rsidRPr="00A27D65" w:rsidRDefault="00A57C48" w:rsidP="00A57C48">
      <w:pPr>
        <w:spacing w:before="120" w:after="120" w:line="276" w:lineRule="auto"/>
        <w:ind w:firstLine="709"/>
        <w:jc w:val="both"/>
        <w:rPr>
          <w:rFonts w:ascii="Verdana" w:eastAsia="Calibri" w:hAnsi="Verdana" w:cs="Arial"/>
          <w:lang w:val="es-ES"/>
        </w:rPr>
      </w:pPr>
      <w:r w:rsidRPr="00A27D65">
        <w:rPr>
          <w:rFonts w:ascii="Verdana" w:eastAsia="Calibri" w:hAnsi="Verdana" w:cs="Arial"/>
          <w:bCs/>
          <w:lang w:val="es-ES"/>
        </w:rPr>
        <w:t>Como parte de las reformas estatutarias de las sociedades comercial</w:t>
      </w:r>
      <w:r>
        <w:rPr>
          <w:rFonts w:ascii="Verdana" w:eastAsia="Calibri" w:hAnsi="Verdana" w:cs="Arial"/>
          <w:bCs/>
          <w:lang w:val="es-ES"/>
        </w:rPr>
        <w:t>es</w:t>
      </w:r>
      <w:r w:rsidRPr="00A27D65">
        <w:rPr>
          <w:rFonts w:ascii="Verdana" w:eastAsia="Calibri" w:hAnsi="Verdana" w:cs="Arial"/>
          <w:bCs/>
          <w:lang w:val="es-ES"/>
        </w:rPr>
        <w:t xml:space="preserve">, la </w:t>
      </w:r>
      <w:r w:rsidRPr="00A27D65">
        <w:rPr>
          <w:rFonts w:ascii="Verdana" w:eastAsia="Calibri" w:hAnsi="Verdana" w:cs="Arial"/>
          <w:bCs/>
          <w:i/>
          <w:iCs/>
          <w:lang w:val="es-ES"/>
        </w:rPr>
        <w:t>transformación</w:t>
      </w:r>
      <w:r w:rsidRPr="00A27D65">
        <w:rPr>
          <w:rFonts w:ascii="Verdana" w:eastAsia="Calibri" w:hAnsi="Verdana" w:cs="Arial"/>
          <w:bCs/>
          <w:lang w:val="es-ES"/>
        </w:rPr>
        <w:t xml:space="preserve"> implica que </w:t>
      </w:r>
      <w:r w:rsidRPr="00A27D65">
        <w:rPr>
          <w:rFonts w:ascii="Verdana" w:eastAsia="Calibri" w:hAnsi="Verdana" w:cs="Arial"/>
          <w:lang w:val="es-ES"/>
        </w:rPr>
        <w:t xml:space="preserve">se detalle la naturaleza jurídica, composición, estructura, capital, entre otros, con el propósito de cambiar la forma o tipo societario inicialmente adoptado. Es decir, si una sociedad se crea como sociedad de responsabilidad limitada y, sin “disolverse”, decide adoptar la figura de sociedad anónima, lo podrá hacer mediante una reforma estatutaria, sin que se </w:t>
      </w:r>
      <w:r w:rsidRPr="00A27D65">
        <w:rPr>
          <w:rFonts w:ascii="Verdana" w:eastAsia="Calibri" w:hAnsi="Verdana" w:cs="Arial"/>
          <w:lang w:val="es-ES"/>
        </w:rPr>
        <w:lastRenderedPageBreak/>
        <w:t>interrumpa la continuidad de la sociedad comercial o persona jurídica</w:t>
      </w:r>
      <w:r w:rsidRPr="00A27D65">
        <w:rPr>
          <w:rFonts w:ascii="Verdana" w:eastAsia="Calibri" w:hAnsi="Verdana" w:cs="Arial"/>
          <w:vertAlign w:val="superscript"/>
          <w:lang w:val="es-ES"/>
        </w:rPr>
        <w:footnoteReference w:id="11"/>
      </w:r>
      <w:r w:rsidRPr="00A27D65">
        <w:rPr>
          <w:rFonts w:ascii="Verdana" w:eastAsia="Calibri" w:hAnsi="Verdana" w:cs="Arial"/>
          <w:lang w:val="es-ES"/>
        </w:rPr>
        <w:t>. Es importante destacar que en esta reforma estatutaria solo participa la sociedad involucrada, y no existen otras sociedades que se relacionen o intervengan, lo cual diferencia la transformación de otras reformas o figuras.</w:t>
      </w:r>
    </w:p>
    <w:p w14:paraId="18F96F2E" w14:textId="77777777" w:rsidR="00A57C48" w:rsidRPr="00A27D65" w:rsidRDefault="00A57C48" w:rsidP="00A57C48">
      <w:pPr>
        <w:spacing w:after="120" w:line="276" w:lineRule="auto"/>
        <w:ind w:firstLine="708"/>
        <w:jc w:val="both"/>
        <w:rPr>
          <w:rFonts w:ascii="Verdana" w:eastAsia="Calibri" w:hAnsi="Verdana" w:cs="Arial"/>
          <w:lang w:val="es-ES"/>
        </w:rPr>
      </w:pPr>
      <w:r w:rsidRPr="00A27D65">
        <w:rPr>
          <w:rFonts w:ascii="Verdana" w:eastAsia="Calibri" w:hAnsi="Verdana" w:cs="Arial"/>
          <w:lang w:val="es-ES"/>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w:t>
      </w:r>
    </w:p>
    <w:p w14:paraId="342AF00F" w14:textId="77777777" w:rsidR="00A57C48" w:rsidRPr="00A27D65" w:rsidRDefault="00A57C48" w:rsidP="00A57C48">
      <w:pPr>
        <w:spacing w:after="120" w:line="276" w:lineRule="auto"/>
        <w:ind w:firstLine="708"/>
        <w:jc w:val="both"/>
        <w:rPr>
          <w:rFonts w:ascii="Verdana" w:eastAsia="Calibri" w:hAnsi="Verdana" w:cs="Arial"/>
          <w:lang w:val="es-ES"/>
        </w:rPr>
      </w:pPr>
      <w:r w:rsidRPr="00A27D65">
        <w:rPr>
          <w:rFonts w:ascii="Verdana" w:eastAsia="Calibri" w:hAnsi="Verdana" w:cs="Arial"/>
          <w:lang w:val="es-ES"/>
        </w:rPr>
        <w:t xml:space="preserve">Esto se reafirma teniendo en cuenta que en la transformación la norma señala expresamente que la sociedad no se “disuelve”. De acuerdo con el artículo 222 del Código de Comercio, la disolución es un requisito para la liquidación de la sociedad, de modo </w:t>
      </w:r>
      <w:proofErr w:type="gramStart"/>
      <w:r w:rsidRPr="00A27D65">
        <w:rPr>
          <w:rFonts w:ascii="Verdana" w:eastAsia="Calibri" w:hAnsi="Verdana" w:cs="Arial"/>
          <w:lang w:val="es-ES"/>
        </w:rPr>
        <w:t>que</w:t>
      </w:r>
      <w:proofErr w:type="gramEnd"/>
      <w:r w:rsidRPr="00A27D65">
        <w:rPr>
          <w:rFonts w:ascii="Verdana" w:eastAsia="Calibri" w:hAnsi="Verdana" w:cs="Arial"/>
          <w:lang w:val="es-ES"/>
        </w:rPr>
        <w:t xml:space="preserve"> en este supuesto, al no liquidarse, tampoco se extingue la experiencia de la sociedad. De esta manera, solo cambia el tipo societario que había adoptado en su constitución, es decir, no sufre modificaciones o alteraciones, y por eso puede continuar adquiriendo experiencia y compartirla. </w:t>
      </w:r>
    </w:p>
    <w:p w14:paraId="6E4839B3" w14:textId="77777777" w:rsidR="00A57C48" w:rsidRPr="00A27D65" w:rsidRDefault="00A57C48" w:rsidP="00A57C48">
      <w:pPr>
        <w:spacing w:after="120" w:line="276" w:lineRule="auto"/>
        <w:ind w:firstLine="708"/>
        <w:jc w:val="both"/>
        <w:rPr>
          <w:rFonts w:ascii="Verdana" w:eastAsia="Calibri" w:hAnsi="Verdana" w:cs="Arial"/>
          <w:lang w:val="es-ES"/>
        </w:rPr>
      </w:pPr>
      <w:r w:rsidRPr="00A27D65">
        <w:rPr>
          <w:rFonts w:ascii="Verdana" w:eastAsia="Calibri" w:hAnsi="Verdana" w:cs="Arial"/>
          <w:lang w:val="es-ES"/>
        </w:rPr>
        <w:t xml:space="preserve">Por su parte, la </w:t>
      </w:r>
      <w:r w:rsidRPr="00A27D65">
        <w:rPr>
          <w:rFonts w:ascii="Verdana" w:eastAsia="Calibri" w:hAnsi="Verdana" w:cs="Arial"/>
          <w:i/>
          <w:iCs/>
          <w:lang w:val="es-ES"/>
        </w:rPr>
        <w:t>escisión</w:t>
      </w:r>
      <w:r w:rsidRPr="00A27D65">
        <w:rPr>
          <w:rFonts w:ascii="Verdana" w:eastAsia="Calibri" w:hAnsi="Verdana" w:cs="Arial"/>
          <w:lang w:val="es-ES"/>
        </w:rPr>
        <w:t xml:space="preserve"> es una figura con dos modalidades reguladas por la Ley 222 de 1995. La primera se refiere a una sociedad que no se “disuelve” ni se “liquida”, es decir, permanece sin modificaciones ni reformas, pero fracciona su patrimonio para transferir una o varias partes, a una o varias sociedades existentes o que están por crearse. En este caso, la escisión se refiere al patrimonio de la sociedad sin incluir ningún otro aspecto, lo cual significa que la sociedad continúa con un patrimonio reducido debido al fraccionamiento, sin que exista ninguna otra implicación para la persona jurídica, como su desaparición por disolución o liquidación. En ese sentido, esta Subdirección considera que las sociedades que reciben una parte del patrimonio de una sociedad que continúa existiendo, no reciben su experiencia, ya que no es posible que varias sociedades mantengan la misma experiencia, duplicándola por </w:t>
      </w:r>
      <w:proofErr w:type="gramStart"/>
      <w:r w:rsidRPr="00A27D65">
        <w:rPr>
          <w:rFonts w:ascii="Verdana" w:eastAsia="Calibri" w:hAnsi="Verdana" w:cs="Arial"/>
          <w:lang w:val="es-ES"/>
        </w:rPr>
        <w:t>la veces</w:t>
      </w:r>
      <w:proofErr w:type="gramEnd"/>
      <w:r w:rsidRPr="00A27D65">
        <w:rPr>
          <w:rFonts w:ascii="Verdana" w:eastAsia="Calibri" w:hAnsi="Verdana" w:cs="Arial"/>
          <w:lang w:val="es-ES"/>
        </w:rPr>
        <w:t xml:space="preserve"> que se haya fraccionado el patrimonio. En este supuesto, </w:t>
      </w:r>
      <w:r w:rsidRPr="00A27D65">
        <w:rPr>
          <w:rFonts w:ascii="Verdana" w:eastAsia="Calibri" w:hAnsi="Verdana" w:cs="Arial"/>
          <w:lang w:val="es-ES"/>
        </w:rPr>
        <w:lastRenderedPageBreak/>
        <w:t xml:space="preserve">precisamente porque la sociedad no se extingue, la experiencia pertenece a quien la adquirió ejecutando los contratos a su cargo. </w:t>
      </w:r>
    </w:p>
    <w:p w14:paraId="63DA8874" w14:textId="77777777" w:rsidR="00A57C48" w:rsidRPr="00A27D65" w:rsidRDefault="00A57C48" w:rsidP="00A57C48">
      <w:pPr>
        <w:spacing w:after="120" w:line="276" w:lineRule="auto"/>
        <w:ind w:firstLine="708"/>
        <w:jc w:val="both"/>
        <w:rPr>
          <w:rFonts w:ascii="Verdana" w:eastAsia="Calibri" w:hAnsi="Verdana" w:cs="Arial"/>
          <w:lang w:val="es-ES"/>
        </w:rPr>
      </w:pPr>
      <w:r w:rsidRPr="00A27D65">
        <w:rPr>
          <w:rFonts w:ascii="Verdana" w:eastAsia="Calibri" w:hAnsi="Verdana" w:cs="Arial"/>
          <w:lang w:val="es-ES"/>
        </w:rPr>
        <w:t>La segunda modalidad se caracteriza porque una sociedad se disuelve sin liquidarse, lo cual implica una reforma social y el fraccionamiento del patrimonio con el mismo fin</w:t>
      </w:r>
      <w:r w:rsidRPr="00A27D65">
        <w:rPr>
          <w:rFonts w:ascii="Verdana" w:eastAsia="Calibri" w:hAnsi="Verdana" w:cs="Arial"/>
          <w:vertAlign w:val="superscript"/>
          <w:lang w:val="es-ES"/>
        </w:rPr>
        <w:footnoteReference w:id="12"/>
      </w:r>
      <w:r w:rsidRPr="00A27D65">
        <w:rPr>
          <w:rFonts w:ascii="Verdana" w:eastAsia="Calibri" w:hAnsi="Verdana" w:cs="Arial"/>
          <w:lang w:val="es-ES"/>
        </w:rPr>
        <w:t xml:space="preserve">. Como se observa, participa una sociedad y otra, u otras, que reciben la transferencia del patrimonio en bloque. </w:t>
      </w:r>
    </w:p>
    <w:p w14:paraId="51B1B0DE" w14:textId="77777777" w:rsidR="00A57C48" w:rsidRPr="00A27D65" w:rsidRDefault="00A57C48" w:rsidP="00A57C48">
      <w:pPr>
        <w:spacing w:after="120" w:line="276" w:lineRule="auto"/>
        <w:ind w:firstLine="708"/>
        <w:jc w:val="both"/>
        <w:rPr>
          <w:rFonts w:ascii="Verdana" w:eastAsia="Calibri" w:hAnsi="Verdana" w:cs="Arial"/>
          <w:lang w:val="es-ES"/>
        </w:rPr>
      </w:pPr>
      <w:r w:rsidRPr="00A27D65">
        <w:rPr>
          <w:rFonts w:ascii="Verdana" w:eastAsia="Calibri" w:hAnsi="Verdana" w:cs="Arial"/>
          <w:lang w:val="es-ES"/>
        </w:rPr>
        <w:t>En consecuencia, en la primera modalidad de escisión, la sociedad conserva su identidad y continúa sin alteraciones. Por esa razón, la sociedad puede compartir su experiencia mediante esquemas asociativos, pero no puede transferirla. La sociedad subsiste por sí misma y sigue adquiriendo experiencia; de modo que esa experiencia le pertenece y no puede trasladarla a otra, porque es ella quien la adquirió. En la segunda modalidad, en cambio, la sociedad se disuelve, pero su experiencia tampoco se transfiere. La persona jurídica fraccionada pierde su identidad y desaparece, y su patrimonio se reparte entre varias sociedades, nuevas o existentes. Ese fraccionamiento impide determinar cuál de las sociedades receptoras conserva la experiencia. Ninguna de ellas puede acreditarla, y todas en conjunto tampoco pueden multiplicarla para invocarla cuantas veces resulte conveniente. La experiencia pertenece a quien la adquirió, y esa persona jurídica no subsiste en ninguna otra, porque desapareció al dividirse en dos o más partes. Este supuesto no encaja en la definición de experiencia personal ni en la de transferencia de experiencia, pues esta última exige que la persona jurídica siga siendo la misma a través de otra, sin fraccionamientos que la hagan dejar de ser quien era y desaparecer.</w:t>
      </w:r>
    </w:p>
    <w:p w14:paraId="28DB0F9D" w14:textId="77777777" w:rsidR="00A57C48" w:rsidRPr="00A27D65" w:rsidRDefault="00A57C48" w:rsidP="00A57C48">
      <w:pPr>
        <w:spacing w:after="120" w:line="276" w:lineRule="auto"/>
        <w:ind w:firstLine="708"/>
        <w:jc w:val="both"/>
        <w:rPr>
          <w:rFonts w:ascii="Verdana" w:eastAsia="Calibri" w:hAnsi="Verdana" w:cs="Arial"/>
          <w:lang w:val="es-ES"/>
        </w:rPr>
      </w:pPr>
      <w:r w:rsidRPr="00A27D65">
        <w:rPr>
          <w:rFonts w:ascii="Verdana" w:eastAsia="Calibri" w:hAnsi="Verdana" w:cs="Arial"/>
          <w:lang w:val="es-ES"/>
        </w:rPr>
        <w:t xml:space="preserve">La fusión, es una figura con 4 tipologías: a) por absorción: una o más sociedades se disuelven sin liquidarse para ser absorbidas por otra existente; </w:t>
      </w:r>
      <w:r>
        <w:rPr>
          <w:rFonts w:ascii="Verdana" w:eastAsia="Calibri" w:hAnsi="Verdana" w:cs="Arial"/>
          <w:lang w:val="es-ES"/>
        </w:rPr>
        <w:t>b</w:t>
      </w:r>
      <w:r w:rsidRPr="00A27D65">
        <w:rPr>
          <w:rFonts w:ascii="Verdana" w:eastAsia="Calibri" w:hAnsi="Verdana" w:cs="Arial"/>
          <w:lang w:val="es-ES"/>
        </w:rPr>
        <w:t xml:space="preserve">) por creación: una o más sociedades se disuelven sin liquidarse para ser </w:t>
      </w:r>
      <w:r w:rsidRPr="00A27D65">
        <w:rPr>
          <w:rFonts w:ascii="Verdana" w:eastAsia="Calibri" w:hAnsi="Verdana" w:cs="Arial"/>
          <w:lang w:val="es-ES"/>
        </w:rPr>
        <w:lastRenderedPageBreak/>
        <w:t>absorbidas por otra nueva</w:t>
      </w:r>
      <w:r w:rsidRPr="00A27D65">
        <w:rPr>
          <w:rFonts w:ascii="Verdana" w:eastAsia="Calibri" w:hAnsi="Verdana" w:cs="Arial"/>
          <w:vertAlign w:val="superscript"/>
          <w:lang w:val="es-ES"/>
        </w:rPr>
        <w:footnoteReference w:id="13"/>
      </w:r>
      <w:r w:rsidRPr="00A27D65">
        <w:rPr>
          <w:rFonts w:ascii="Verdana" w:eastAsia="Calibri" w:hAnsi="Verdana" w:cs="Arial"/>
          <w:lang w:val="es-ES"/>
        </w:rPr>
        <w:t xml:space="preserve">; </w:t>
      </w:r>
      <w:r>
        <w:rPr>
          <w:rFonts w:ascii="Verdana" w:eastAsia="Calibri" w:hAnsi="Verdana" w:cs="Arial"/>
          <w:lang w:val="es-ES"/>
        </w:rPr>
        <w:t>c</w:t>
      </w:r>
      <w:r w:rsidRPr="00A27D65">
        <w:rPr>
          <w:rFonts w:ascii="Verdana" w:eastAsia="Calibri" w:hAnsi="Verdana" w:cs="Arial"/>
          <w:lang w:val="es-ES"/>
        </w:rPr>
        <w:t>) impropia: una sociedad se disuelve sin el propósito de realizar una fusión sino de liquidarse y antes de la liquidación se toma la decisión de crear una sociedad</w:t>
      </w:r>
      <w:r w:rsidRPr="00A27D65">
        <w:rPr>
          <w:rFonts w:ascii="Verdana" w:eastAsia="Calibri" w:hAnsi="Verdana" w:cs="Arial"/>
          <w:vertAlign w:val="superscript"/>
          <w:lang w:val="es-ES"/>
        </w:rPr>
        <w:footnoteReference w:id="14"/>
      </w:r>
      <w:r w:rsidRPr="00A27D65">
        <w:rPr>
          <w:rFonts w:ascii="Verdana" w:eastAsia="Calibri" w:hAnsi="Verdana" w:cs="Arial"/>
          <w:lang w:val="es-ES"/>
        </w:rPr>
        <w:t xml:space="preserve">; y </w:t>
      </w:r>
      <w:r>
        <w:rPr>
          <w:rFonts w:ascii="Verdana" w:eastAsia="Calibri" w:hAnsi="Verdana" w:cs="Arial"/>
          <w:lang w:val="es-ES"/>
        </w:rPr>
        <w:t>d</w:t>
      </w:r>
      <w:r w:rsidRPr="00A27D65">
        <w:rPr>
          <w:rFonts w:ascii="Verdana" w:eastAsia="Calibri" w:hAnsi="Verdana" w:cs="Arial"/>
          <w:lang w:val="es-ES"/>
        </w:rPr>
        <w:t>) abreviada: solo aplica cuando una Sociedad por Acciones Simplificada (S.A.S.) pertenece a otra sociedad en más del 90% de sus acciones, y es posible que esa sociedad controlante absorba a la S.A.S, es decir, que ocurra una fusión por absorción</w:t>
      </w:r>
      <w:r w:rsidRPr="00A27D65">
        <w:rPr>
          <w:rFonts w:ascii="Verdana" w:eastAsia="Calibri" w:hAnsi="Verdana" w:cs="Arial"/>
          <w:vertAlign w:val="superscript"/>
          <w:lang w:val="es-ES"/>
        </w:rPr>
        <w:footnoteReference w:id="15"/>
      </w:r>
      <w:r w:rsidRPr="00A27D65">
        <w:rPr>
          <w:rFonts w:ascii="Verdana" w:eastAsia="Calibri" w:hAnsi="Verdana" w:cs="Arial"/>
          <w:lang w:val="es-ES"/>
        </w:rPr>
        <w:t>. La norma no se refiere a la “disolución de la S.A.S”, lo cual no implica que no exista fusión, sino que es abreviada porque no se requiere configurar el estado de disolución de la sociedad.</w:t>
      </w:r>
    </w:p>
    <w:p w14:paraId="76F2C124" w14:textId="77777777" w:rsidR="00A57C48" w:rsidRPr="00A27D65" w:rsidRDefault="00A57C48" w:rsidP="00A57C48">
      <w:pPr>
        <w:spacing w:before="120" w:after="120" w:line="276" w:lineRule="auto"/>
        <w:ind w:firstLine="709"/>
        <w:jc w:val="both"/>
        <w:rPr>
          <w:rFonts w:ascii="Verdana" w:eastAsia="Calibri" w:hAnsi="Verdana" w:cs="Arial"/>
          <w:bCs/>
          <w:lang w:val="es-ES"/>
        </w:rPr>
      </w:pPr>
      <w:bookmarkStart w:id="6" w:name="_Hlk77271644"/>
      <w:r w:rsidRPr="00A27D65">
        <w:rPr>
          <w:rFonts w:ascii="Verdana" w:eastAsia="Calibri" w:hAnsi="Verdana" w:cs="Arial"/>
          <w:bCs/>
          <w:lang w:val="es-ES"/>
        </w:rPr>
        <w:t xml:space="preserve">Para analizar la fusión y sus efectos respecto de la experiencia de la sociedad que se </w:t>
      </w:r>
      <w:proofErr w:type="gramStart"/>
      <w:r w:rsidRPr="00A27D65">
        <w:rPr>
          <w:rFonts w:ascii="Verdana" w:eastAsia="Calibri" w:hAnsi="Verdana" w:cs="Arial"/>
          <w:bCs/>
          <w:lang w:val="es-ES"/>
        </w:rPr>
        <w:t>disuelve</w:t>
      </w:r>
      <w:proofErr w:type="gramEnd"/>
      <w:r w:rsidRPr="00A27D65">
        <w:rPr>
          <w:rFonts w:ascii="Verdana" w:eastAsia="Calibri" w:hAnsi="Verdana" w:cs="Arial"/>
          <w:bCs/>
          <w:lang w:val="es-ES"/>
        </w:rPr>
        <w:t xml:space="preserve"> pero no se </w:t>
      </w:r>
      <w:r w:rsidRPr="00A27D65">
        <w:rPr>
          <w:rFonts w:ascii="Verdana" w:eastAsia="Calibri" w:hAnsi="Verdana" w:cs="Arial"/>
          <w:lang w:val="es-ES"/>
        </w:rPr>
        <w:t>l</w:t>
      </w:r>
      <w:r w:rsidRPr="00A27D65">
        <w:rPr>
          <w:rFonts w:ascii="Verdana" w:eastAsia="Calibri" w:hAnsi="Verdana" w:cs="Arial"/>
          <w:bCs/>
          <w:lang w:val="es-ES"/>
        </w:rPr>
        <w:t xml:space="preserve">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w:t>
      </w:r>
      <w:r w:rsidRPr="00A27D65">
        <w:rPr>
          <w:rFonts w:ascii="Verdana" w:eastAsia="Calibri" w:hAnsi="Verdana" w:cs="Arial"/>
          <w:bCs/>
          <w:i/>
          <w:iCs/>
          <w:lang w:val="es-ES"/>
        </w:rPr>
        <w:t>transfiere</w:t>
      </w:r>
      <w:r w:rsidRPr="00A27D65">
        <w:rPr>
          <w:rFonts w:ascii="Verdana" w:eastAsia="Calibri" w:hAnsi="Verdana" w:cs="Arial"/>
          <w:bCs/>
          <w:lang w:val="es-ES"/>
        </w:rPr>
        <w:t xml:space="preserve"> su experiencia y todos sus </w:t>
      </w:r>
      <w:r w:rsidRPr="00A27D65">
        <w:rPr>
          <w:rFonts w:ascii="Verdana" w:eastAsia="Calibri" w:hAnsi="Verdana" w:cs="Arial"/>
          <w:bCs/>
          <w:lang w:val="es-ES"/>
        </w:rPr>
        <w:lastRenderedPageBreak/>
        <w:t>derechos y obligaciones, de conformidad con el artículo 172 y siguientes del Código de Comercio.</w:t>
      </w:r>
    </w:p>
    <w:bookmarkEnd w:id="6"/>
    <w:p w14:paraId="59E86A61" w14:textId="77777777" w:rsidR="00A57C48" w:rsidRPr="00A27D65" w:rsidRDefault="00A57C48" w:rsidP="00A57C48">
      <w:pPr>
        <w:spacing w:before="120" w:after="120" w:line="276" w:lineRule="auto"/>
        <w:ind w:firstLine="709"/>
        <w:jc w:val="both"/>
        <w:rPr>
          <w:rFonts w:ascii="Verdana" w:eastAsia="Calibri" w:hAnsi="Verdana" w:cs="Arial"/>
          <w:bCs/>
          <w:lang w:val="es-ES"/>
        </w:rPr>
      </w:pPr>
      <w:r w:rsidRPr="00A27D65">
        <w:rPr>
          <w:rFonts w:ascii="Verdana" w:eastAsia="Calibri" w:hAnsi="Verdana" w:cs="Arial"/>
          <w:bCs/>
          <w:lang w:val="es-ES"/>
        </w:rPr>
        <w:t xml:space="preserve">La anterior conclusión es coherente con lo establecido en la Guía de Asuntos Corporativos en los Procesos de Contratación, expedida por la Agencia Nacional de Contratación Pública – Colombia Compra Eficiente, pues en ella se dice que “La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 Obsérvese que la Guía no establece que la experiencia es “siempre” intransferible, sino que sostiene que ello es así “en principio”. Además, precisa que no es posible transferir la experiencia en la escisión y en la liquidación, justamente porque en esos casos la persona jurídica desaparece, lo que no sucede en la fusión. Es decir que en este supuesto sí es posible la transferencia de la experiencia de la sociedad fusionada a la resultante. </w:t>
      </w:r>
    </w:p>
    <w:p w14:paraId="4445DF15" w14:textId="77777777" w:rsidR="00A57C48" w:rsidRPr="00A27D65" w:rsidRDefault="00A57C48" w:rsidP="00A57C48">
      <w:pPr>
        <w:spacing w:after="0" w:line="276" w:lineRule="auto"/>
        <w:ind w:firstLine="708"/>
        <w:jc w:val="both"/>
        <w:rPr>
          <w:rFonts w:ascii="Verdana" w:eastAsia="Calibri" w:hAnsi="Verdana" w:cs="Arial"/>
          <w:bCs/>
          <w:lang w:val="es-ES"/>
        </w:rPr>
      </w:pPr>
      <w:r w:rsidRPr="00A27D65">
        <w:rPr>
          <w:rFonts w:ascii="Verdana" w:eastAsia="Calibri" w:hAnsi="Verdana" w:cs="Arial"/>
          <w:bCs/>
          <w:lang w:val="es-ES"/>
        </w:rPr>
        <w:t>Esta postura en torno a la validez de la transferencia de experiencia de la sociedad absorbida a la absorbente es compartida por la Superintendencia de Sociedades. En ejercicio de la función consultiva, esta entidad ha manifestado que en la figura es adecuado que la sociedad absorbida transfiera a la segunda sus atributos en lo relacionado con la experiencia</w:t>
      </w:r>
      <w:r w:rsidRPr="00A27D65">
        <w:rPr>
          <w:rFonts w:ascii="Verdana" w:eastAsia="Calibri" w:hAnsi="Verdana" w:cs="Arial"/>
          <w:bCs/>
          <w:vertAlign w:val="superscript"/>
          <w:lang w:val="es-ES"/>
        </w:rPr>
        <w:footnoteReference w:id="16"/>
      </w:r>
      <w:r w:rsidRPr="00A27D65">
        <w:rPr>
          <w:rFonts w:ascii="Verdana" w:eastAsia="Calibri" w:hAnsi="Verdana" w:cs="Arial"/>
          <w:bCs/>
          <w:lang w:val="es-ES"/>
        </w:rPr>
        <w:t>. Al respecto</w:t>
      </w:r>
      <w:r>
        <w:rPr>
          <w:rFonts w:ascii="Verdana" w:eastAsia="Calibri" w:hAnsi="Verdana" w:cs="Arial"/>
          <w:bCs/>
          <w:lang w:val="es-ES"/>
        </w:rPr>
        <w:t>,</w:t>
      </w:r>
      <w:r w:rsidRPr="00A27D65">
        <w:rPr>
          <w:rFonts w:ascii="Verdana" w:eastAsia="Calibri" w:hAnsi="Verdana" w:cs="Arial"/>
          <w:bCs/>
          <w:lang w:val="es-ES"/>
        </w:rPr>
        <w:t xml:space="preserve"> manifest</w:t>
      </w:r>
      <w:r>
        <w:rPr>
          <w:rFonts w:ascii="Verdana" w:eastAsia="Calibri" w:hAnsi="Verdana" w:cs="Arial"/>
          <w:bCs/>
          <w:lang w:val="es-ES"/>
        </w:rPr>
        <w:t>ó</w:t>
      </w:r>
      <w:r w:rsidRPr="00A27D65">
        <w:rPr>
          <w:rFonts w:ascii="Verdana" w:eastAsia="Calibri" w:hAnsi="Verdana" w:cs="Arial"/>
          <w:bCs/>
          <w:lang w:val="es-ES"/>
        </w:rPr>
        <w:t xml:space="preserve">: </w:t>
      </w:r>
    </w:p>
    <w:p w14:paraId="478C0C49" w14:textId="77777777" w:rsidR="00A57C48" w:rsidRPr="00A27D65" w:rsidRDefault="00A57C48" w:rsidP="00A57C48">
      <w:pPr>
        <w:spacing w:after="0"/>
        <w:ind w:right="709"/>
        <w:jc w:val="both"/>
        <w:rPr>
          <w:rFonts w:ascii="Verdana" w:hAnsi="Verdana" w:cs="Arial"/>
          <w:lang w:val="es-ES"/>
        </w:rPr>
      </w:pPr>
    </w:p>
    <w:p w14:paraId="62C01652" w14:textId="77777777" w:rsidR="00A57C48" w:rsidRPr="00A27D65" w:rsidRDefault="00A57C48" w:rsidP="00A57C48">
      <w:pPr>
        <w:spacing w:after="0" w:line="240" w:lineRule="auto"/>
        <w:ind w:left="709" w:right="709"/>
        <w:jc w:val="both"/>
        <w:rPr>
          <w:rFonts w:ascii="Verdana" w:hAnsi="Verdana" w:cs="Arial"/>
          <w:sz w:val="20"/>
          <w:szCs w:val="20"/>
          <w:lang w:val="es-ES"/>
        </w:rPr>
      </w:pPr>
      <w:r w:rsidRPr="00A27D65">
        <w:rPr>
          <w:rFonts w:ascii="Verdana" w:hAnsi="Verdana" w:cs="Arial"/>
          <w:sz w:val="20"/>
          <w:szCs w:val="20"/>
          <w:lang w:val="es-ES"/>
        </w:rPr>
        <w:t xml:space="preserve">La fusión surge como el mecanismo pertinente para que los atributos de las compañías </w:t>
      </w:r>
      <w:proofErr w:type="gramStart"/>
      <w:r w:rsidRPr="00A27D65">
        <w:rPr>
          <w:rFonts w:ascii="Verdana" w:hAnsi="Verdana" w:cs="Arial"/>
          <w:sz w:val="20"/>
          <w:szCs w:val="20"/>
          <w:lang w:val="es-ES"/>
        </w:rPr>
        <w:t>absorbidas,</w:t>
      </w:r>
      <w:proofErr w:type="gramEnd"/>
      <w:r w:rsidRPr="00A27D65">
        <w:rPr>
          <w:rFonts w:ascii="Verdana" w:hAnsi="Verdana" w:cs="Arial"/>
          <w:sz w:val="20"/>
          <w:szCs w:val="20"/>
          <w:lang w:val="es-ES"/>
        </w:rPr>
        <w:t xml:space="preserve">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propuesta, a aquellos quienes, en virtud de su calidad de absorbentes, aprovechan todos los recursos que le fueron transmitidos por las absorbidas, incluidos intangibles como su experiencia, Know How, entre otros.</w:t>
      </w:r>
    </w:p>
    <w:p w14:paraId="7E2544C4" w14:textId="77777777" w:rsidR="00A57C48" w:rsidRPr="00A27D65" w:rsidRDefault="00A57C48" w:rsidP="00A57C48">
      <w:pPr>
        <w:spacing w:after="0" w:line="240" w:lineRule="auto"/>
        <w:ind w:left="709" w:right="709"/>
        <w:jc w:val="both"/>
        <w:rPr>
          <w:rFonts w:ascii="Verdana" w:hAnsi="Verdana" w:cs="Arial"/>
          <w:sz w:val="20"/>
          <w:szCs w:val="20"/>
          <w:lang w:val="es-ES"/>
        </w:rPr>
      </w:pPr>
      <w:r w:rsidRPr="00A27D65">
        <w:rPr>
          <w:rFonts w:ascii="Verdana" w:hAnsi="Verdana" w:cs="Arial"/>
          <w:sz w:val="20"/>
          <w:szCs w:val="20"/>
          <w:lang w:val="es-ES"/>
        </w:rPr>
        <w:t>[…]</w:t>
      </w:r>
    </w:p>
    <w:p w14:paraId="76CC1281" w14:textId="77777777" w:rsidR="00A57C48" w:rsidRPr="00A27D65" w:rsidRDefault="00A57C48" w:rsidP="00A57C48">
      <w:pPr>
        <w:spacing w:after="0" w:line="240" w:lineRule="auto"/>
        <w:ind w:left="709" w:right="709"/>
        <w:jc w:val="both"/>
        <w:rPr>
          <w:rFonts w:ascii="Verdana" w:hAnsi="Verdana" w:cs="Arial"/>
          <w:sz w:val="20"/>
          <w:szCs w:val="20"/>
          <w:lang w:val="es-ES"/>
        </w:rPr>
      </w:pPr>
      <w:r w:rsidRPr="00A27D65">
        <w:rPr>
          <w:rFonts w:ascii="Verdana" w:hAnsi="Verdana" w:cs="Arial"/>
          <w:sz w:val="20"/>
          <w:szCs w:val="20"/>
          <w:lang w:val="es-ES"/>
        </w:rPr>
        <w:t xml:space="preserve">En cuanto refiere a </w:t>
      </w:r>
      <w:r w:rsidRPr="00A27D65">
        <w:rPr>
          <w:rFonts w:ascii="Verdana" w:hAnsi="Verdana" w:cs="Arial"/>
          <w:i/>
          <w:iCs/>
          <w:sz w:val="20"/>
          <w:szCs w:val="20"/>
          <w:u w:val="single"/>
          <w:lang w:val="es-ES"/>
        </w:rPr>
        <w:t xml:space="preserve">la certificación que sobre la experiencia de un proponente, expiden las cámaras de comercio a través del Registro Único de Proponentes que administran, esta oficina considera que la normativa </w:t>
      </w:r>
      <w:r w:rsidRPr="00A27D65">
        <w:rPr>
          <w:rFonts w:ascii="Verdana" w:hAnsi="Verdana" w:cs="Arial"/>
          <w:i/>
          <w:iCs/>
          <w:sz w:val="20"/>
          <w:szCs w:val="20"/>
          <w:u w:val="single"/>
          <w:lang w:val="es-ES"/>
        </w:rPr>
        <w:lastRenderedPageBreak/>
        <w:t xml:space="preserve">a que se ha venido aludiendo no reguló, pero tampoco prohibió, otras situaciones de transferencia de experiencia como la que se presenta con la fusión, </w:t>
      </w:r>
      <w:r w:rsidRPr="00A27D65">
        <w:rPr>
          <w:rFonts w:ascii="Verdana" w:hAnsi="Verdana" w:cs="Arial"/>
          <w:sz w:val="20"/>
          <w:szCs w:val="20"/>
          <w:lang w:val="es-ES"/>
        </w:rPr>
        <w:t>por lo que la considera válida para efecto de ser invocada por la absorbente, a través del certificado que le expida la cámara de comercio con base en la información depositada en el Registro Único de Proponentes, RUP</w:t>
      </w:r>
      <w:r w:rsidRPr="00A27D65">
        <w:rPr>
          <w:rFonts w:ascii="Verdana" w:hAnsi="Verdana" w:cs="Arial"/>
          <w:sz w:val="20"/>
          <w:szCs w:val="20"/>
          <w:vertAlign w:val="superscript"/>
          <w:lang w:val="es-ES"/>
        </w:rPr>
        <w:footnoteReference w:id="17"/>
      </w:r>
      <w:r w:rsidRPr="00A27D65">
        <w:rPr>
          <w:rFonts w:ascii="Verdana" w:hAnsi="Verdana" w:cs="Arial"/>
          <w:sz w:val="20"/>
          <w:szCs w:val="20"/>
          <w:lang w:val="es-ES"/>
        </w:rPr>
        <w:t>. (Énfasis fuera de texto).</w:t>
      </w:r>
    </w:p>
    <w:p w14:paraId="0DEED015" w14:textId="77777777" w:rsidR="00A57C48" w:rsidRPr="00A27D65" w:rsidRDefault="00A57C48" w:rsidP="00A57C48">
      <w:pPr>
        <w:spacing w:after="0" w:line="276" w:lineRule="auto"/>
        <w:ind w:left="709" w:right="709"/>
        <w:jc w:val="both"/>
        <w:rPr>
          <w:rFonts w:ascii="Verdana" w:hAnsi="Verdana" w:cs="Arial"/>
          <w:lang w:val="es-ES"/>
        </w:rPr>
      </w:pPr>
    </w:p>
    <w:p w14:paraId="1DB17ACA" w14:textId="77777777" w:rsidR="00A57C48" w:rsidRPr="00A27D65" w:rsidRDefault="00A57C48" w:rsidP="00A57C48">
      <w:pPr>
        <w:spacing w:after="120" w:line="276" w:lineRule="auto"/>
        <w:ind w:firstLine="709"/>
        <w:jc w:val="both"/>
        <w:rPr>
          <w:rFonts w:ascii="Verdana" w:hAnsi="Verdana" w:cs="Arial"/>
          <w:color w:val="000000"/>
          <w:lang w:val="es-ES"/>
        </w:rPr>
      </w:pPr>
      <w:r w:rsidRPr="00A27D65">
        <w:rPr>
          <w:rFonts w:ascii="Verdana" w:eastAsia="Calibri" w:hAnsi="Verdana" w:cs="Arial"/>
          <w:bCs/>
          <w:lang w:val="es-ES"/>
        </w:rPr>
        <w:t>En efecto, el artículo 2.2.1.1.1.5.3 del Decreto 1082 de 2015 hace referencia a que las cámaras de comercio deberán registrar la experiencia certificada con base en los “</w:t>
      </w:r>
      <w:r w:rsidRPr="00A27D65">
        <w:rPr>
          <w:rFonts w:ascii="Verdana" w:hAnsi="Verdana" w:cs="Arial"/>
          <w:color w:val="000000"/>
          <w:lang w:val="es-ES"/>
        </w:rPr>
        <w:t xml:space="preserve">Los contratos celebrados por el interesado” y “Los contratos celebrados por consorcios, uniones temporales y sociedades en las cuales el interesado tenga o haya tenido participación”, sin hacer alusión a las diferentes reformas estatutarias que podrían amparar la transferencia de experiencia conforme a lo explicado </w:t>
      </w:r>
      <w:r w:rsidRPr="00A27D65">
        <w:rPr>
          <w:rFonts w:ascii="Verdana" w:hAnsi="Verdana" w:cs="Arial"/>
          <w:i/>
          <w:iCs/>
          <w:color w:val="000000"/>
          <w:lang w:val="es-ES"/>
        </w:rPr>
        <w:t>supra</w:t>
      </w:r>
      <w:r w:rsidRPr="00A27D65">
        <w:rPr>
          <w:rFonts w:ascii="Verdana" w:hAnsi="Verdana" w:cs="Arial"/>
          <w:i/>
          <w:iCs/>
          <w:color w:val="000000"/>
          <w:vertAlign w:val="superscript"/>
          <w:lang w:val="es-ES"/>
        </w:rPr>
        <w:footnoteReference w:id="18"/>
      </w:r>
      <w:r w:rsidRPr="00A27D65">
        <w:rPr>
          <w:rFonts w:ascii="Verdana" w:hAnsi="Verdana" w:cs="Arial"/>
          <w:color w:val="000000"/>
          <w:lang w:val="es-ES"/>
        </w:rPr>
        <w:t xml:space="preserve">. Caso contario ocurre con la posibilidad de que una sociedad, durante los primeros tres (3) años de su constitución–e incluso después– pueda acreditar como suya la experiencia de los socios, supuesto regulado por el numeral 2.5 del artículo 2.2.1.1.1.5.2 del Decreto 1082 de 2015. </w:t>
      </w:r>
    </w:p>
    <w:p w14:paraId="3CC063F6" w14:textId="77777777" w:rsidR="00A57C48" w:rsidRPr="00A27D65" w:rsidRDefault="00A57C48" w:rsidP="00A57C48">
      <w:pPr>
        <w:spacing w:after="0" w:line="276" w:lineRule="auto"/>
        <w:ind w:firstLine="708"/>
        <w:jc w:val="both"/>
        <w:rPr>
          <w:rFonts w:ascii="Verdana" w:hAnsi="Verdana" w:cs="Arial"/>
          <w:color w:val="000000"/>
          <w:lang w:val="es-ES"/>
        </w:rPr>
      </w:pPr>
      <w:r w:rsidRPr="00A27D65">
        <w:rPr>
          <w:rFonts w:ascii="Verdana" w:hAnsi="Verdana" w:cs="Arial"/>
          <w:color w:val="000000"/>
          <w:lang w:val="es-ES"/>
        </w:rPr>
        <w:t xml:space="preserve">En ese sentido, considerando que el RUP es el documento que constituye plena prueba de la experiencia adquirida por el proponente, es necesario que la experiencia de la sociedad absorbida quede incorporada en el RUP de la absorbente para que esta pueda acreditarla. Esto implica que la sociedad absorbente haya adelantado el respectivo trámite de actualización o renovación del RUP, en el marco del cual se haya consolidado la transferencia de experiencia. </w:t>
      </w:r>
      <w:r w:rsidRPr="00A27D65">
        <w:rPr>
          <w:rFonts w:ascii="Verdana" w:hAnsi="Verdana" w:cs="Arial"/>
          <w:bCs/>
          <w:color w:val="000000"/>
          <w:lang w:val="es-ES"/>
        </w:rPr>
        <w:t xml:space="preserve">Para estos efectos, el proponente debe realizar el trámite correspondiente ante la cámara de comercio </w:t>
      </w:r>
      <w:r w:rsidRPr="00A27D65">
        <w:rPr>
          <w:rFonts w:ascii="Verdana" w:hAnsi="Verdana" w:cs="Arial"/>
          <w:color w:val="000000"/>
          <w:lang w:val="es-ES"/>
        </w:rPr>
        <w:t xml:space="preserve">con copia de los contratos o con certificados de los contratos celebrados con diferentes contratantes y los demás documentos requeridos por dicha entidad. Tales contratos deben codificarse con el clasificador de bienes y servicios en el tercer nivel. </w:t>
      </w:r>
    </w:p>
    <w:p w14:paraId="3BC7A045" w14:textId="77777777" w:rsidR="00A57C48" w:rsidRPr="00A27D65" w:rsidRDefault="00A57C48" w:rsidP="00A57C48">
      <w:pPr>
        <w:spacing w:before="120" w:after="120" w:line="276" w:lineRule="auto"/>
        <w:ind w:firstLine="709"/>
        <w:jc w:val="both"/>
        <w:rPr>
          <w:rFonts w:ascii="Verdana" w:eastAsia="Calibri" w:hAnsi="Verdana" w:cs="Arial"/>
          <w:color w:val="000000" w:themeColor="text1"/>
          <w:lang w:val="es-ES"/>
        </w:rPr>
      </w:pPr>
      <w:r w:rsidRPr="00A27D65">
        <w:rPr>
          <w:rFonts w:ascii="Verdana" w:hAnsi="Verdana" w:cs="Arial"/>
          <w:color w:val="000000"/>
          <w:lang w:val="es-ES"/>
        </w:rPr>
        <w:lastRenderedPageBreak/>
        <w:t xml:space="preserve">Según lo expuesto otro de los supuestos contemplados en la normativa que constituyen una excepción al carácter personal de la experiencia es la acreditación de la experiencia de los socios por parte de sociedades con menos de tres (3) años de constitución. </w:t>
      </w:r>
      <w:r w:rsidRPr="00A27D65">
        <w:rPr>
          <w:rFonts w:ascii="Verdana" w:eastAsia="Calibri" w:hAnsi="Verdana" w:cs="Arial"/>
          <w:color w:val="000000" w:themeColor="text1"/>
          <w:lang w:val="es-ES"/>
        </w:rPr>
        <w:t xml:space="preserve">El numeral </w:t>
      </w:r>
      <w:r>
        <w:rPr>
          <w:rFonts w:ascii="Verdana" w:eastAsia="Calibri" w:hAnsi="Verdana" w:cs="Arial"/>
          <w:color w:val="000000" w:themeColor="text1"/>
          <w:lang w:val="es-ES"/>
        </w:rPr>
        <w:t>1</w:t>
      </w:r>
      <w:r w:rsidRPr="00A27D65">
        <w:rPr>
          <w:rFonts w:ascii="Verdana" w:eastAsia="Calibri" w:hAnsi="Verdana" w:cs="Arial"/>
          <w:color w:val="000000" w:themeColor="text1"/>
          <w:lang w:val="es-ES"/>
        </w:rPr>
        <w:t>.</w:t>
      </w:r>
      <w:r>
        <w:rPr>
          <w:rFonts w:ascii="Verdana" w:eastAsia="Calibri" w:hAnsi="Verdana" w:cs="Arial"/>
          <w:color w:val="000000" w:themeColor="text1"/>
          <w:lang w:val="es-ES"/>
        </w:rPr>
        <w:t>2</w:t>
      </w:r>
      <w:r w:rsidRPr="00A27D65">
        <w:rPr>
          <w:rFonts w:ascii="Verdana" w:eastAsia="Calibri" w:hAnsi="Verdana" w:cs="Arial"/>
          <w:color w:val="000000" w:themeColor="text1"/>
          <w:lang w:val="es-ES"/>
        </w:rPr>
        <w:t xml:space="preserve">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A27D65">
        <w:rPr>
          <w:rFonts w:ascii="Verdana" w:eastAsia="Calibri" w:hAnsi="Verdana" w:cs="Arial"/>
          <w:color w:val="000000" w:themeColor="text1"/>
          <w:vertAlign w:val="superscript"/>
          <w:lang w:val="es-ES"/>
        </w:rPr>
        <w:footnoteReference w:id="19"/>
      </w:r>
      <w:r w:rsidRPr="00A27D65">
        <w:rPr>
          <w:rFonts w:ascii="Verdana" w:eastAsia="Calibri" w:hAnsi="Verdana" w:cs="Arial"/>
          <w:color w:val="000000" w:themeColor="text1"/>
          <w:lang w:val="es-ES"/>
        </w:rPr>
        <w:t>. 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A27D65">
        <w:rPr>
          <w:rFonts w:ascii="Verdana" w:eastAsia="Calibri" w:hAnsi="Verdana" w:cs="Arial"/>
          <w:color w:val="000000" w:themeColor="text1"/>
          <w:vertAlign w:val="superscript"/>
          <w:lang w:val="es-ES"/>
        </w:rPr>
        <w:footnoteReference w:id="20"/>
      </w:r>
      <w:r w:rsidRPr="00A27D65">
        <w:rPr>
          <w:rFonts w:ascii="Verdana" w:eastAsia="Calibri" w:hAnsi="Verdana" w:cs="Arial"/>
          <w:color w:val="000000" w:themeColor="text1"/>
          <w:lang w:val="es-ES"/>
        </w:rPr>
        <w:t>.</w:t>
      </w:r>
    </w:p>
    <w:p w14:paraId="745C50FA" w14:textId="77777777" w:rsidR="00A57C48" w:rsidRPr="00A27D65" w:rsidRDefault="00A57C48" w:rsidP="00A57C48">
      <w:pPr>
        <w:spacing w:before="120" w:after="120" w:line="276" w:lineRule="auto"/>
        <w:ind w:firstLine="709"/>
        <w:jc w:val="both"/>
        <w:rPr>
          <w:rFonts w:ascii="Verdana" w:eastAsia="Calibri" w:hAnsi="Verdana" w:cs="Arial"/>
          <w:color w:val="000000" w:themeColor="text1"/>
          <w:lang w:val="es-ES"/>
        </w:rPr>
      </w:pPr>
      <w:r w:rsidRPr="00A27D65">
        <w:rPr>
          <w:rFonts w:ascii="Verdana" w:eastAsia="Calibri" w:hAnsi="Verdana" w:cs="Arial"/>
          <w:color w:val="000000" w:themeColor="text1"/>
          <w:lang w:val="es-ES"/>
        </w:rPr>
        <w:t xml:space="preserve">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“Si la constitución del interesado es menor a tres (3) años, puede acreditar la experiencia de sus </w:t>
      </w:r>
      <w:r w:rsidRPr="00A27D65">
        <w:rPr>
          <w:rFonts w:ascii="Verdana" w:eastAsia="Calibri" w:hAnsi="Verdana" w:cs="Arial"/>
          <w:color w:val="000000" w:themeColor="text1"/>
          <w:lang w:val="es-ES"/>
        </w:rPr>
        <w:lastRenderedPageBreak/>
        <w:t>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149B85D4" w14:textId="77777777" w:rsidR="00A57C48" w:rsidRPr="00A27D65" w:rsidRDefault="00A57C48" w:rsidP="00A57C48">
      <w:pPr>
        <w:spacing w:before="120" w:after="120" w:line="276" w:lineRule="auto"/>
        <w:ind w:firstLine="709"/>
        <w:jc w:val="both"/>
        <w:rPr>
          <w:rFonts w:ascii="Verdana" w:eastAsia="Calibri" w:hAnsi="Verdana" w:cs="Arial"/>
          <w:color w:val="000000" w:themeColor="text1"/>
          <w:lang w:val="es-ES"/>
        </w:rPr>
      </w:pPr>
      <w:r w:rsidRPr="00A27D65">
        <w:rPr>
          <w:rFonts w:ascii="Verdana" w:eastAsia="Calibri" w:hAnsi="Verdana" w:cs="Arial"/>
          <w:color w:val="000000" w:themeColor="text1"/>
          <w:lang w:val="es-ES"/>
        </w:rPr>
        <w:t>A pesar de que la experiencia es inherente a la persona que la ha obtenido, razón por la cual es, en principio, intransferible en virtud de su carácter personalísimo, por disposición legal o reglamentaria, casos excepcionales, como el descrito en el artículo mencionado, se aplica de otra manera.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y de esta forma promover el desarrollo de la empresa y la pluralidad de oferentes en la contratación pública.</w:t>
      </w:r>
    </w:p>
    <w:p w14:paraId="2D69C4FF" w14:textId="77777777" w:rsidR="00A57C48" w:rsidRPr="00A27D65" w:rsidRDefault="00A57C48" w:rsidP="00A57C48">
      <w:pPr>
        <w:spacing w:before="120" w:after="0" w:line="276" w:lineRule="auto"/>
        <w:ind w:firstLine="709"/>
        <w:jc w:val="both"/>
        <w:rPr>
          <w:rFonts w:ascii="Verdana" w:hAnsi="Verdana" w:cs="Arial"/>
          <w:bCs/>
          <w:color w:val="000000"/>
          <w:lang w:val="es-ES"/>
        </w:rPr>
      </w:pPr>
      <w:r w:rsidRPr="00A27D65">
        <w:rPr>
          <w:rFonts w:ascii="Verdana" w:hAnsi="Verdana" w:cs="Arial"/>
          <w:bCs/>
          <w:color w:val="000000"/>
          <w:lang w:val="es-ES"/>
        </w:rPr>
        <w:t xml:space="preserve">En suma, la regla general es que la experiencia de las personas jurídicas es </w:t>
      </w:r>
      <w:r w:rsidRPr="00A27D65">
        <w:rPr>
          <w:rFonts w:ascii="Verdana" w:hAnsi="Verdana" w:cs="Arial"/>
          <w:bCs/>
          <w:i/>
          <w:iCs/>
          <w:color w:val="000000"/>
          <w:lang w:val="es-ES"/>
        </w:rPr>
        <w:t xml:space="preserve">intransferible </w:t>
      </w:r>
      <w:r w:rsidRPr="00A27D65">
        <w:rPr>
          <w:rFonts w:ascii="Verdana" w:hAnsi="Verdana" w:cs="Arial"/>
          <w:bCs/>
          <w:color w:val="000000"/>
          <w:lang w:val="es-ES"/>
        </w:rPr>
        <w:t xml:space="preserve">en la contratación estatal regulada por el Estatuto General de Contratación de la Administración Pública, salvo en algunas excepciones en las cuales la experiencia es transferible en la medida en que la sociedad no se liquida, es decir, no desaparece, sino que continúa a través de otra. En este sentido, la trasferencia de la experiencia ocurre porque la persona jurídica continúa; aunque deja de ser quien es, no desaparece porque otra sociedad se convierte en ella, ya sea una sociedad nueva, como en la fusión por creación, o una sociedad existente, en la fusión por absorción. A estos supuestos se agrega la acreditación de la experiencia de los socios por parte de las sociedades comerciales con menos de tres años de constitución, supuesto en el cual la transferencia es posible porque la normativa de manera expresa lo autoriza, bajo los presupuestos allí señalados. </w:t>
      </w:r>
    </w:p>
    <w:p w14:paraId="4DB74034" w14:textId="77777777" w:rsidR="00A57C48" w:rsidRPr="00A27D65" w:rsidRDefault="00A57C48" w:rsidP="00A57C48">
      <w:pPr>
        <w:spacing w:after="0" w:line="276" w:lineRule="auto"/>
        <w:ind w:firstLine="709"/>
        <w:jc w:val="both"/>
        <w:rPr>
          <w:rFonts w:ascii="Verdana" w:eastAsia="Calibri" w:hAnsi="Verdana" w:cs="Arial"/>
          <w:color w:val="000000" w:themeColor="text1"/>
          <w:lang w:val="es-ES"/>
        </w:rPr>
      </w:pPr>
    </w:p>
    <w:p w14:paraId="0A26F55E" w14:textId="77777777" w:rsidR="00A57C48" w:rsidRPr="00A27D65" w:rsidRDefault="00A57C48" w:rsidP="00A57C48">
      <w:pPr>
        <w:spacing w:after="0" w:line="276" w:lineRule="auto"/>
        <w:jc w:val="both"/>
        <w:rPr>
          <w:rFonts w:ascii="Verdana" w:eastAsia="Calibri" w:hAnsi="Verdana" w:cs="Arial"/>
          <w:lang w:val="es-ES" w:eastAsia="es-ES_tradnl"/>
        </w:rPr>
      </w:pPr>
      <w:proofErr w:type="spellStart"/>
      <w:r w:rsidRPr="00A27D65">
        <w:rPr>
          <w:rFonts w:ascii="Verdana" w:eastAsia="Calibri" w:hAnsi="Verdana" w:cs="Arial"/>
          <w:color w:val="000000" w:themeColor="text1"/>
          <w:lang w:val="es-ES"/>
        </w:rPr>
        <w:lastRenderedPageBreak/>
        <w:t>ii</w:t>
      </w:r>
      <w:proofErr w:type="spellEnd"/>
      <w:r w:rsidRPr="00A27D65">
        <w:rPr>
          <w:rFonts w:ascii="Verdana" w:eastAsia="Calibri" w:hAnsi="Verdana" w:cs="Arial"/>
          <w:color w:val="000000" w:themeColor="text1"/>
          <w:lang w:val="es-ES"/>
        </w:rPr>
        <w:t xml:space="preserve">. Con respecto al supuesto objeto de consulta es preciso señalar que </w:t>
      </w:r>
      <w:r w:rsidRPr="00A27D65">
        <w:rPr>
          <w:rFonts w:ascii="Verdana" w:eastAsia="Calibri" w:hAnsi="Verdana" w:cs="Arial"/>
          <w:lang w:val="es-ES" w:eastAsia="es-ES_tradnl"/>
        </w:rPr>
        <w:t xml:space="preserve">el Libro Segundo del Código de Comercio no incluye a las ESAL en la enumeración de las sociedades comerciales. La razón de la exclusión radica en que estas organizaciones no tienen fines comerciales, es decir, carecen de ánimo de lucro, de modo que no forman un tipo o clase de sociedad comercial. </w:t>
      </w:r>
    </w:p>
    <w:p w14:paraId="139FCEE6" w14:textId="77777777" w:rsidR="00A57C48" w:rsidRPr="00A27D65" w:rsidRDefault="00A57C48" w:rsidP="00A57C48">
      <w:pPr>
        <w:spacing w:before="120" w:after="0" w:line="276" w:lineRule="auto"/>
        <w:ind w:firstLine="709"/>
        <w:jc w:val="both"/>
        <w:rPr>
          <w:rFonts w:ascii="Verdana" w:eastAsia="Calibri" w:hAnsi="Verdana" w:cs="Arial"/>
          <w:lang w:val="es-ES" w:eastAsia="es-ES_tradnl"/>
        </w:rPr>
      </w:pPr>
      <w:r w:rsidRPr="00A27D65">
        <w:rPr>
          <w:rFonts w:ascii="Verdana" w:eastAsia="Calibri" w:hAnsi="Verdana" w:cs="Arial"/>
          <w:lang w:val="es-ES" w:eastAsia="es-ES_tradnl"/>
        </w:rPr>
        <w:t>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A27D65">
        <w:rPr>
          <w:rStyle w:val="Refdenotaalpie"/>
          <w:rFonts w:ascii="Verdana" w:eastAsia="Calibri" w:hAnsi="Verdana" w:cs="Arial"/>
          <w:lang w:val="es-ES" w:eastAsia="es-ES_tradnl"/>
        </w:rPr>
        <w:footnoteReference w:id="21"/>
      </w:r>
      <w:r w:rsidRPr="00A27D65">
        <w:rPr>
          <w:rFonts w:ascii="Verdana" w:eastAsia="Calibri" w:hAnsi="Verdana" w:cs="Arial"/>
          <w:lang w:val="es-ES" w:eastAsia="es-ES_tradnl"/>
        </w:rPr>
        <w:t>. La ausencia de ánimo de lucro es, entonces, la característica determinante de estas corporaciones u organizaciones, lo que explica su nombre, y la diferencia fundamental con las sociedades comerciales.</w:t>
      </w:r>
    </w:p>
    <w:p w14:paraId="74D1066C" w14:textId="77777777" w:rsidR="00A57C48" w:rsidRPr="00A27D65" w:rsidRDefault="00A57C48" w:rsidP="00A57C48">
      <w:pPr>
        <w:spacing w:before="120" w:after="0" w:line="276" w:lineRule="auto"/>
        <w:ind w:firstLine="709"/>
        <w:jc w:val="both"/>
        <w:rPr>
          <w:rFonts w:ascii="Verdana" w:eastAsia="Calibri" w:hAnsi="Verdana" w:cs="Arial"/>
          <w:lang w:val="es-ES" w:eastAsia="es-ES"/>
        </w:rPr>
      </w:pPr>
      <w:r w:rsidRPr="00A27D65">
        <w:rPr>
          <w:rFonts w:ascii="Verdana" w:eastAsia="Calibri" w:hAnsi="Verdana" w:cs="Arial"/>
          <w:lang w:val="es-ES" w:eastAsia="es-ES"/>
        </w:rPr>
        <w:t>Que una ESAL no sea una forma de sociedad comercial se infiere igualmente de los requisitos que exige el artículo 98 del Código de Comercio, concretamente del previsto al final del inciso primero relacionado con su finalidad. En efecto, la norma en comento dispone: “[p]</w:t>
      </w:r>
      <w:proofErr w:type="spellStart"/>
      <w:r w:rsidRPr="00A27D65">
        <w:rPr>
          <w:rFonts w:ascii="Verdana" w:eastAsia="Calibri" w:hAnsi="Verdana" w:cs="Arial"/>
          <w:lang w:val="es-ES" w:eastAsia="es-ES"/>
        </w:rPr>
        <w:t>or</w:t>
      </w:r>
      <w:proofErr w:type="spellEnd"/>
      <w:r w:rsidRPr="00A27D65">
        <w:rPr>
          <w:rFonts w:ascii="Verdana" w:eastAsia="Calibri" w:hAnsi="Verdana" w:cs="Arial"/>
          <w:lang w:val="es-ES" w:eastAsia="es-ES"/>
        </w:rPr>
        <w:t xml:space="preserve"> el contrato de sociedad dos o más personas se obligan a hacer un aporte en dinero, en trabajo o en otros bienes apreciables en dinero, </w:t>
      </w:r>
      <w:r w:rsidRPr="00A27D65">
        <w:rPr>
          <w:rFonts w:ascii="Verdana" w:eastAsia="Calibri" w:hAnsi="Verdana" w:cs="Arial"/>
          <w:i/>
          <w:iCs/>
          <w:lang w:val="es-ES" w:eastAsia="es-ES"/>
        </w:rPr>
        <w:t>con el fin de repartirse entre sí las utilidades obtenidas en la empresa o actividad socia</w:t>
      </w:r>
      <w:r w:rsidRPr="00A27D65">
        <w:rPr>
          <w:rFonts w:ascii="Verdana" w:eastAsia="Calibri" w:hAnsi="Verdana" w:cs="Arial"/>
          <w:lang w:val="es-ES" w:eastAsia="es-ES"/>
        </w:rPr>
        <w:t xml:space="preserve">l” [Énfasis fuera de texto]. </w:t>
      </w:r>
    </w:p>
    <w:p w14:paraId="11F05845" w14:textId="77777777" w:rsidR="00A57C48" w:rsidRPr="00A27D65" w:rsidRDefault="00A57C48" w:rsidP="00A57C48">
      <w:pPr>
        <w:spacing w:before="120" w:after="0" w:line="276" w:lineRule="auto"/>
        <w:ind w:firstLine="709"/>
        <w:jc w:val="both"/>
        <w:rPr>
          <w:rFonts w:ascii="Verdana" w:eastAsia="Calibri" w:hAnsi="Verdana" w:cs="Arial"/>
          <w:lang w:val="es-ES" w:eastAsia="es-ES_tradnl"/>
        </w:rPr>
      </w:pPr>
      <w:r w:rsidRPr="00A27D65">
        <w:rPr>
          <w:rFonts w:ascii="Verdana" w:eastAsia="Calibri" w:hAnsi="Verdana" w:cs="Arial"/>
          <w:lang w:val="es-ES" w:eastAsia="es-ES_tradnl"/>
        </w:rPr>
        <w:t>Así pues, se precisa que en el caso de las ESAL no se admite el reparto de utilidades, ni durante la existencia de la organización ni cuando se extinga. En este aspecto, se insiste, radica la diferencia más apreciable entre unas y otras organizaciones, pese a que ambas se crean con libertad y al amparo del derecho fundamental de asociación, previsto en el artículo 38 de la Constitución Política</w:t>
      </w:r>
      <w:r>
        <w:rPr>
          <w:rFonts w:ascii="Verdana" w:eastAsia="Calibri" w:hAnsi="Verdana" w:cs="Arial"/>
          <w:lang w:val="es-ES" w:eastAsia="es-ES_tradnl"/>
        </w:rPr>
        <w:t>,</w:t>
      </w:r>
      <w:r w:rsidRPr="00A27D65">
        <w:rPr>
          <w:rFonts w:ascii="Verdana" w:eastAsia="Calibri" w:hAnsi="Verdana" w:cs="Arial"/>
          <w:lang w:val="es-ES" w:eastAsia="es-ES_tradnl"/>
        </w:rPr>
        <w:t xml:space="preserve"> y otras normas contenidas en tratados internacionales suscritos por Colombia.</w:t>
      </w:r>
    </w:p>
    <w:p w14:paraId="4C770C6F" w14:textId="77777777" w:rsidR="00A57C48" w:rsidRPr="00A27D65" w:rsidRDefault="00A57C48" w:rsidP="00A57C48">
      <w:pPr>
        <w:spacing w:before="120" w:after="0" w:line="276" w:lineRule="auto"/>
        <w:ind w:firstLine="709"/>
        <w:jc w:val="both"/>
        <w:rPr>
          <w:rFonts w:ascii="Verdana" w:eastAsia="Calibri" w:hAnsi="Verdana" w:cs="Arial"/>
          <w:lang w:val="es-ES" w:eastAsia="es-ES"/>
        </w:rPr>
      </w:pPr>
      <w:r w:rsidRPr="00A27D65">
        <w:rPr>
          <w:rFonts w:ascii="Verdana" w:eastAsia="Calibri" w:hAnsi="Verdana" w:cs="Arial"/>
          <w:lang w:val="es-ES" w:eastAsia="es-ES"/>
        </w:rPr>
        <w:lastRenderedPageBreak/>
        <w:t>De conformidad con lo anterior, una “fundación” o una “asociación o corporación”, constituidas en los términos del Código Civil, no pueden asimilarse o identificarse con una “sociedad comercial”, como uniformemente lo considera la doctrina y la jurisprudencia civil y comercial. Lo anterior, en la medida en que esta última se crea con la finalidad de que sus socios repartan las utilidades obtenidas en desarrollo de la empresa o actividad social. Por el contrario, las fundaciones o asociaciones destinan su patrimonio a la consecución de un interés general y, como tal, no se percibe lucro, debiéndose reinvertir los excedentes monetarios que se presenten en la ESAL, al no ser viable su reparto entre los asociados.</w:t>
      </w:r>
    </w:p>
    <w:p w14:paraId="0E24CF1A" w14:textId="77777777" w:rsidR="00A57C48" w:rsidRPr="00A27D65" w:rsidRDefault="00A57C48" w:rsidP="00A57C48">
      <w:pPr>
        <w:spacing w:before="120" w:after="0" w:line="276" w:lineRule="auto"/>
        <w:ind w:firstLine="709"/>
        <w:jc w:val="both"/>
        <w:rPr>
          <w:rFonts w:ascii="Verdana" w:eastAsia="Calibri" w:hAnsi="Verdana" w:cs="Arial"/>
          <w:lang w:val="es-ES" w:eastAsia="es-ES_tradnl"/>
        </w:rPr>
      </w:pPr>
      <w:r w:rsidRPr="00A27D65">
        <w:rPr>
          <w:rFonts w:ascii="Verdana" w:eastAsia="Calibri" w:hAnsi="Verdana" w:cs="Arial"/>
          <w:lang w:val="es-ES" w:eastAsia="es-ES_tradnl"/>
        </w:rPr>
        <w:t>Por su parte, la Corte Constitucional, en la sentencia C-287 de 2012, reiteró que la diferencia existente entre las sociedades comerciales y las ESAL es que estas últimas no reparten sus utilidades entre los socios</w:t>
      </w:r>
      <w:r w:rsidRPr="00A27D65">
        <w:rPr>
          <w:rStyle w:val="Refdenotaalpie"/>
          <w:rFonts w:ascii="Verdana" w:eastAsia="Calibri" w:hAnsi="Verdana" w:cs="Arial"/>
          <w:lang w:val="es-ES" w:eastAsia="es-ES_tradnl"/>
        </w:rPr>
        <w:footnoteReference w:id="22"/>
      </w:r>
      <w:r w:rsidRPr="00A27D65">
        <w:rPr>
          <w:rFonts w:ascii="Verdana" w:eastAsia="Calibri" w:hAnsi="Verdana" w:cs="Arial"/>
          <w:lang w:val="es-ES" w:eastAsia="es-ES_tradnl"/>
        </w:rPr>
        <w:t>. Así lo explicó en los siguientes términos:</w:t>
      </w:r>
    </w:p>
    <w:p w14:paraId="3529C494" w14:textId="77777777" w:rsidR="00A57C48" w:rsidRPr="00A27D65" w:rsidRDefault="00A57C48" w:rsidP="00A57C48">
      <w:pPr>
        <w:spacing w:after="0" w:line="276" w:lineRule="auto"/>
        <w:ind w:firstLine="709"/>
        <w:jc w:val="both"/>
        <w:rPr>
          <w:rFonts w:ascii="Verdana" w:eastAsia="Calibri" w:hAnsi="Verdana" w:cs="Arial"/>
          <w:lang w:val="es-ES" w:eastAsia="es-ES_tradnl"/>
        </w:rPr>
      </w:pPr>
    </w:p>
    <w:p w14:paraId="1E673B15" w14:textId="77777777" w:rsidR="00A57C48" w:rsidRPr="00A27D65" w:rsidRDefault="00A57C48" w:rsidP="00A57C48">
      <w:pPr>
        <w:spacing w:after="0" w:line="240" w:lineRule="auto"/>
        <w:ind w:left="709" w:right="709"/>
        <w:jc w:val="both"/>
        <w:rPr>
          <w:rFonts w:ascii="Verdana" w:eastAsia="Calibri" w:hAnsi="Verdana" w:cs="Arial"/>
          <w:sz w:val="20"/>
          <w:szCs w:val="20"/>
          <w:lang w:val="es-ES" w:eastAsia="es-ES"/>
        </w:rPr>
      </w:pPr>
      <w:r w:rsidRPr="00A27D65">
        <w:rPr>
          <w:rFonts w:ascii="Verdana" w:eastAsia="Calibri" w:hAnsi="Verdana" w:cs="Arial"/>
          <w:sz w:val="20"/>
          <w:szCs w:val="20"/>
          <w:lang w:val="es-ES" w:eastAsia="es-ES"/>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A27D65">
        <w:rPr>
          <w:rFonts w:ascii="Verdana" w:eastAsia="Calibri" w:hAnsi="Verdana" w:cs="Arial"/>
          <w:sz w:val="20"/>
          <w:szCs w:val="20"/>
          <w:lang w:val="es-ES" w:eastAsia="es-ES"/>
        </w:rPr>
        <w:t>miembros</w:t>
      </w:r>
      <w:proofErr w:type="gramEnd"/>
      <w:r w:rsidRPr="00A27D65">
        <w:rPr>
          <w:rFonts w:ascii="Verdana" w:eastAsia="Calibri" w:hAnsi="Verdana" w:cs="Arial"/>
          <w:sz w:val="20"/>
          <w:szCs w:val="20"/>
          <w:lang w:val="es-ES" w:eastAsia="es-ES"/>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A27D65">
        <w:rPr>
          <w:rFonts w:ascii="Verdana" w:eastAsia="Calibri" w:hAnsi="Verdana" w:cs="Arial"/>
          <w:sz w:val="20"/>
          <w:szCs w:val="20"/>
          <w:lang w:val="es-ES" w:eastAsia="es-ES"/>
        </w:rPr>
        <w:t>del mismo</w:t>
      </w:r>
      <w:proofErr w:type="gramEnd"/>
      <w:r w:rsidRPr="00A27D65">
        <w:rPr>
          <w:rFonts w:ascii="Verdana" w:eastAsia="Calibri" w:hAnsi="Verdana" w:cs="Arial"/>
          <w:sz w:val="20"/>
          <w:szCs w:val="20"/>
          <w:lang w:val="es-ES" w:eastAsia="es-ES"/>
        </w:rPr>
        <w:t xml:space="preserve"> en el momento de su disolución o liquidación”.</w:t>
      </w:r>
    </w:p>
    <w:p w14:paraId="79525BE2" w14:textId="77777777" w:rsidR="00A57C48" w:rsidRPr="00A27D65" w:rsidRDefault="00A57C48" w:rsidP="00A57C48">
      <w:pPr>
        <w:spacing w:after="0" w:line="240" w:lineRule="auto"/>
        <w:ind w:left="709" w:right="709"/>
        <w:jc w:val="both"/>
        <w:rPr>
          <w:rFonts w:ascii="Verdana" w:eastAsia="Calibri" w:hAnsi="Verdana" w:cs="Arial"/>
          <w:sz w:val="20"/>
          <w:szCs w:val="20"/>
          <w:lang w:val="es-ES" w:eastAsia="es-ES"/>
        </w:rPr>
      </w:pPr>
    </w:p>
    <w:p w14:paraId="679BE356" w14:textId="77777777" w:rsidR="00A57C48" w:rsidRPr="00A27D65" w:rsidRDefault="00A57C48" w:rsidP="00A57C48">
      <w:pPr>
        <w:widowControl w:val="0"/>
        <w:autoSpaceDE w:val="0"/>
        <w:autoSpaceDN w:val="0"/>
        <w:spacing w:after="120" w:line="276" w:lineRule="auto"/>
        <w:ind w:firstLine="708"/>
        <w:jc w:val="both"/>
        <w:rPr>
          <w:rFonts w:ascii="Verdana" w:eastAsia="Calibri" w:hAnsi="Verdana" w:cs="Arial"/>
          <w:lang w:val="es-ES" w:eastAsia="es-ES_tradnl"/>
        </w:rPr>
      </w:pPr>
      <w:r w:rsidRPr="00A27D65">
        <w:rPr>
          <w:rFonts w:ascii="Verdana" w:eastAsia="Calibri" w:hAnsi="Verdana" w:cs="Arial"/>
          <w:lang w:val="es-ES" w:eastAsia="es-ES_tradnl"/>
        </w:rPr>
        <w:t>Igualmente, el Consejo de Estado expresó que la naturaleza jurídica de las ESAL es diferente a las sociedades mercantiles, toda vez que su objeto no está destinado a perseguir un lucro que pueda ser repartido entre sus asociados, sino que las ganancias se reinvierten en la ESAL para el desarrollo de su objeto social</w:t>
      </w:r>
      <w:r w:rsidRPr="00A27D65">
        <w:rPr>
          <w:rStyle w:val="Refdenotaalpie"/>
          <w:rFonts w:ascii="Verdana" w:eastAsia="Calibri" w:hAnsi="Verdana" w:cs="Arial"/>
          <w:lang w:val="es-ES" w:eastAsia="es-ES_tradnl"/>
        </w:rPr>
        <w:footnoteReference w:id="23"/>
      </w:r>
      <w:r w:rsidRPr="00A27D65">
        <w:rPr>
          <w:rFonts w:ascii="Verdana" w:eastAsia="Calibri" w:hAnsi="Verdana" w:cs="Arial"/>
          <w:lang w:val="es-ES" w:eastAsia="es-ES_tradnl"/>
        </w:rPr>
        <w:t xml:space="preserve">. </w:t>
      </w:r>
    </w:p>
    <w:p w14:paraId="626D4C5B" w14:textId="77777777" w:rsidR="00A57C48" w:rsidRPr="00A27D65" w:rsidRDefault="00A57C48" w:rsidP="00A57C48">
      <w:pPr>
        <w:widowControl w:val="0"/>
        <w:autoSpaceDE w:val="0"/>
        <w:autoSpaceDN w:val="0"/>
        <w:spacing w:after="120" w:line="276" w:lineRule="auto"/>
        <w:ind w:firstLine="708"/>
        <w:jc w:val="both"/>
        <w:rPr>
          <w:rFonts w:ascii="Verdana" w:eastAsia="Calibri" w:hAnsi="Verdana" w:cs="Arial"/>
          <w:lang w:val="es-ES" w:eastAsia="es-ES_tradnl"/>
        </w:rPr>
      </w:pPr>
      <w:r w:rsidRPr="00A27D65">
        <w:rPr>
          <w:rFonts w:ascii="Verdana" w:eastAsia="Calibri" w:hAnsi="Verdana" w:cs="Arial"/>
          <w:lang w:val="es-ES" w:eastAsia="es-ES_tradnl"/>
        </w:rPr>
        <w:t xml:space="preserve">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w:t>
      </w:r>
      <w:r w:rsidRPr="00A27D65">
        <w:rPr>
          <w:rFonts w:ascii="Verdana" w:eastAsia="Calibri" w:hAnsi="Verdana" w:cs="Arial"/>
          <w:lang w:val="es-ES" w:eastAsia="es-ES_tradnl"/>
        </w:rPr>
        <w:lastRenderedPageBreak/>
        <w:t>persiguen el reparto de utilidades entre sus miembros</w:t>
      </w:r>
      <w:r w:rsidRPr="00A27D65">
        <w:rPr>
          <w:rStyle w:val="Refdenotaalpie"/>
          <w:rFonts w:ascii="Verdana" w:eastAsia="Calibri" w:hAnsi="Verdana" w:cs="Arial"/>
          <w:lang w:val="es-ES" w:eastAsia="es-ES_tradnl"/>
        </w:rPr>
        <w:footnoteReference w:id="24"/>
      </w:r>
      <w:r w:rsidRPr="00A27D65">
        <w:rPr>
          <w:rFonts w:ascii="Verdana" w:eastAsia="Calibri" w:hAnsi="Verdana" w:cs="Arial"/>
          <w:lang w:val="es-ES" w:eastAsia="es-ES_tradnl"/>
        </w:rPr>
        <w:t>”. Las ESAL, no tienen la naturaleza jurídica de empresa sino, de asociaciones que buscan la realización de un fin común y objetivos carentes de un contenido esencialmente patrimonial –fin de lucro y reparto de las utilidades–.</w:t>
      </w:r>
    </w:p>
    <w:p w14:paraId="16173167" w14:textId="77777777" w:rsidR="00A57C48" w:rsidRPr="00A27D65" w:rsidRDefault="00A57C48" w:rsidP="00A57C48">
      <w:pPr>
        <w:spacing w:before="120" w:after="120" w:line="276" w:lineRule="auto"/>
        <w:jc w:val="both"/>
        <w:rPr>
          <w:rFonts w:ascii="Verdana" w:eastAsia="Calibri" w:hAnsi="Verdana" w:cs="Arial"/>
          <w:color w:val="000000" w:themeColor="text1"/>
          <w:lang w:val="es-ES"/>
        </w:rPr>
      </w:pPr>
      <w:r w:rsidRPr="00A27D65">
        <w:rPr>
          <w:rFonts w:ascii="Verdana" w:eastAsia="Calibri" w:hAnsi="Verdana" w:cs="Arial"/>
          <w:color w:val="000000" w:themeColor="text1"/>
          <w:lang w:val="es-ES"/>
        </w:rPr>
        <w:tab/>
      </w:r>
      <w:r>
        <w:rPr>
          <w:rFonts w:ascii="Verdana" w:eastAsia="Calibri" w:hAnsi="Verdana" w:cs="Arial"/>
          <w:color w:val="000000" w:themeColor="text1"/>
          <w:lang w:val="es-ES"/>
        </w:rPr>
        <w:t>En consecuencia</w:t>
      </w:r>
      <w:r w:rsidRPr="00A27D65">
        <w:rPr>
          <w:rFonts w:ascii="Verdana" w:eastAsia="Calibri" w:hAnsi="Verdana" w:cs="Arial"/>
          <w:color w:val="000000" w:themeColor="text1"/>
          <w:lang w:val="es-ES"/>
        </w:rPr>
        <w:t>, la Superintendencia de Sociedades ha señalado que las reformas estatutarias</w:t>
      </w:r>
      <w:r>
        <w:rPr>
          <w:rFonts w:ascii="Verdana" w:eastAsia="Calibri" w:hAnsi="Verdana" w:cs="Arial"/>
          <w:color w:val="000000" w:themeColor="text1"/>
          <w:lang w:val="es-ES"/>
        </w:rPr>
        <w:t xml:space="preserve"> como la fusión o escisión </w:t>
      </w:r>
      <w:r w:rsidRPr="00A27D65">
        <w:rPr>
          <w:rFonts w:ascii="Verdana" w:eastAsia="Calibri" w:hAnsi="Verdana" w:cs="Arial"/>
          <w:color w:val="000000" w:themeColor="text1"/>
          <w:lang w:val="es-ES"/>
        </w:rPr>
        <w:t>son propias de las sociedades mercantiles y no son extensibles a las ESAL. Así, en Oficio 220-201838 del 3 de diciembre de 2018,</w:t>
      </w:r>
      <w:r>
        <w:rPr>
          <w:rFonts w:ascii="Verdana" w:eastAsia="Calibri" w:hAnsi="Verdana" w:cs="Arial"/>
          <w:color w:val="000000" w:themeColor="text1"/>
          <w:lang w:val="es-ES"/>
        </w:rPr>
        <w:t xml:space="preserve"> </w:t>
      </w:r>
      <w:r w:rsidRPr="00A27D65">
        <w:rPr>
          <w:rFonts w:ascii="Verdana" w:eastAsia="Calibri" w:hAnsi="Verdana" w:cs="Arial"/>
          <w:color w:val="000000" w:themeColor="text1"/>
          <w:lang w:val="es-ES"/>
        </w:rPr>
        <w:t xml:space="preserve">dicha entidad señaló que es legalmente inviable que una sociedad se fusione con una entidad sin ánimo de lucro, pues el artículo 172 del Estatuto Mercantil solo contempla la fusión para sociedades comerciales, y por aplicación del artículo 80 de la Ley 222 de 1995 para las empresas unipersonales. En efecto, como quiera que el artículo 172 del Código de Comercio solo opera en materia de sociedades y de empresas unipersonales, no resulta jurídicamente posible la aplicación de dicha figura a las ESAL. En desarrollo de lo anterior, tampoco es procedente la fusión o escisión cuando los estatutos de la ESAL señalen su procedencia dado que “las disposiciones legales que regulan este </w:t>
      </w:r>
      <w:proofErr w:type="gramStart"/>
      <w:r w:rsidRPr="00A27D65">
        <w:rPr>
          <w:rFonts w:ascii="Verdana" w:eastAsia="Calibri" w:hAnsi="Verdana" w:cs="Arial"/>
          <w:color w:val="000000" w:themeColor="text1"/>
          <w:lang w:val="es-ES"/>
        </w:rPr>
        <w:t>procedimiento,</w:t>
      </w:r>
      <w:proofErr w:type="gramEnd"/>
      <w:r w:rsidRPr="00A27D65">
        <w:rPr>
          <w:rFonts w:ascii="Verdana" w:eastAsia="Calibri" w:hAnsi="Verdana" w:cs="Arial"/>
          <w:color w:val="000000" w:themeColor="text1"/>
          <w:lang w:val="es-ES"/>
        </w:rPr>
        <w:t xml:space="preserve"> son de carácter restrictivo y en esa medida aplican para las personas jurídicas destinatarias de </w:t>
      </w:r>
      <w:proofErr w:type="gramStart"/>
      <w:r w:rsidRPr="00A27D65">
        <w:rPr>
          <w:rFonts w:ascii="Verdana" w:eastAsia="Calibri" w:hAnsi="Verdana" w:cs="Arial"/>
          <w:color w:val="000000" w:themeColor="text1"/>
          <w:lang w:val="es-ES"/>
        </w:rPr>
        <w:t>las mismas</w:t>
      </w:r>
      <w:proofErr w:type="gramEnd"/>
      <w:r w:rsidRPr="00A27D65">
        <w:rPr>
          <w:rFonts w:ascii="Verdana" w:eastAsia="Calibri" w:hAnsi="Verdana" w:cs="Arial"/>
          <w:color w:val="000000" w:themeColor="text1"/>
          <w:lang w:val="es-ES"/>
        </w:rPr>
        <w:t xml:space="preserve">, de manera que la circunstancia de estipular su </w:t>
      </w:r>
      <w:proofErr w:type="gramStart"/>
      <w:r w:rsidRPr="00A27D65">
        <w:rPr>
          <w:rFonts w:ascii="Verdana" w:eastAsia="Calibri" w:hAnsi="Verdana" w:cs="Arial"/>
          <w:color w:val="000000" w:themeColor="text1"/>
          <w:lang w:val="es-ES"/>
        </w:rPr>
        <w:t>procedencia,</w:t>
      </w:r>
      <w:proofErr w:type="gramEnd"/>
      <w:r w:rsidRPr="00A27D65">
        <w:rPr>
          <w:rFonts w:ascii="Verdana" w:eastAsia="Calibri" w:hAnsi="Verdana" w:cs="Arial"/>
          <w:color w:val="000000" w:themeColor="text1"/>
          <w:lang w:val="es-ES"/>
        </w:rPr>
        <w:t xml:space="preserve"> no tiene la virtud de hacer extensivos a las ESAL”</w:t>
      </w:r>
      <w:r w:rsidRPr="00A27D65">
        <w:rPr>
          <w:rStyle w:val="Refdenotaalpie"/>
          <w:rFonts w:ascii="Verdana" w:eastAsia="Calibri" w:hAnsi="Verdana" w:cs="Arial"/>
          <w:color w:val="000000" w:themeColor="text1"/>
          <w:lang w:val="es-ES"/>
        </w:rPr>
        <w:footnoteReference w:id="25"/>
      </w:r>
      <w:r w:rsidRPr="00A27D65">
        <w:rPr>
          <w:rFonts w:ascii="Verdana" w:eastAsia="Calibri" w:hAnsi="Verdana" w:cs="Arial"/>
          <w:color w:val="000000" w:themeColor="text1"/>
          <w:lang w:val="es-ES"/>
        </w:rPr>
        <w:t>.</w:t>
      </w:r>
    </w:p>
    <w:p w14:paraId="12CEF6F1" w14:textId="77777777" w:rsidR="00A57C48" w:rsidRPr="00A27D65" w:rsidRDefault="00A57C48" w:rsidP="00A57C48">
      <w:pPr>
        <w:spacing w:before="120" w:after="120" w:line="276" w:lineRule="auto"/>
        <w:ind w:firstLine="709"/>
        <w:jc w:val="both"/>
        <w:rPr>
          <w:rFonts w:ascii="Verdana" w:eastAsia="Arial" w:hAnsi="Verdana" w:cs="Arial"/>
          <w:lang w:val="es-ES"/>
        </w:rPr>
      </w:pPr>
      <w:r w:rsidRPr="00A27D65">
        <w:rPr>
          <w:rFonts w:ascii="Verdana" w:eastAsia="Calibri" w:hAnsi="Verdana" w:cs="Arial"/>
          <w:color w:val="000000" w:themeColor="text1"/>
          <w:lang w:val="es-ES"/>
        </w:rPr>
        <w:t>De esa forma</w:t>
      </w:r>
      <w:r>
        <w:rPr>
          <w:rFonts w:ascii="Verdana" w:eastAsia="Calibri" w:hAnsi="Verdana" w:cs="Arial"/>
          <w:color w:val="000000" w:themeColor="text1"/>
          <w:lang w:val="es-ES"/>
        </w:rPr>
        <w:t>,</w:t>
      </w:r>
      <w:r w:rsidRPr="00A27D65">
        <w:rPr>
          <w:rFonts w:ascii="Verdana" w:eastAsia="Calibri" w:hAnsi="Verdana" w:cs="Arial"/>
          <w:color w:val="000000" w:themeColor="text1"/>
          <w:lang w:val="es-ES"/>
        </w:rPr>
        <w:t xml:space="preserve"> los mecanismos de reorganización existentes entre las sociedades comerciales y las ESAL son distintos y se circunscriben a los sujetos y supuestos expresamente señalados en las normas que los rigen. En este marco, e</w:t>
      </w:r>
      <w:r w:rsidRPr="00A27D65">
        <w:rPr>
          <w:rFonts w:ascii="Verdana" w:eastAsia="Arial" w:hAnsi="Verdana" w:cs="Arial"/>
          <w:lang w:val="es-ES"/>
        </w:rPr>
        <w:t xml:space="preserve">l artículo 20 del Decreto 1529 de 1990 regula el </w:t>
      </w:r>
      <w:r w:rsidRPr="00E8466F">
        <w:rPr>
          <w:rFonts w:ascii="Verdana" w:eastAsia="Arial" w:hAnsi="Verdana" w:cs="Arial"/>
          <w:lang w:val="es-ES"/>
        </w:rPr>
        <w:t>procedimiento de</w:t>
      </w:r>
      <w:r w:rsidRPr="00A27D65">
        <w:rPr>
          <w:rFonts w:ascii="Verdana" w:eastAsia="Arial" w:hAnsi="Verdana" w:cs="Arial"/>
          <w:i/>
          <w:iCs/>
          <w:lang w:val="es-ES"/>
        </w:rPr>
        <w:t xml:space="preserve"> liquidación</w:t>
      </w:r>
      <w:r w:rsidRPr="00A27D65">
        <w:rPr>
          <w:rFonts w:ascii="Verdana" w:eastAsia="Arial" w:hAnsi="Verdana" w:cs="Arial"/>
          <w:lang w:val="es-ES"/>
        </w:rPr>
        <w:t xml:space="preserve"> de las ESAL. Al respecto, señala que el liquidador publicará tres (3) avisos en un periódico de amplia circulación nacional, dejando entre uno y otro un plazo de quince (15) días, en los cuales informará a la ciudadanía sobre el proceso de liquidación, instando a los acreedores a hacer valer sus derechos.</w:t>
      </w:r>
      <w:r w:rsidRPr="00A27D65">
        <w:rPr>
          <w:rFonts w:ascii="Verdana" w:hAnsi="Verdana"/>
          <w:color w:val="333333"/>
          <w:sz w:val="25"/>
          <w:szCs w:val="25"/>
          <w:shd w:val="clear" w:color="auto" w:fill="FFFFFF"/>
          <w:lang w:val="es-ES"/>
        </w:rPr>
        <w:t xml:space="preserve"> </w:t>
      </w:r>
      <w:r w:rsidRPr="00A27D65">
        <w:rPr>
          <w:rFonts w:ascii="Verdana" w:eastAsia="Arial" w:hAnsi="Verdana" w:cs="Arial"/>
          <w:lang w:val="es-ES"/>
        </w:rPr>
        <w:t xml:space="preserve">Quince días después de la publicación del último aviso </w:t>
      </w:r>
      <w:r w:rsidRPr="00A27D65">
        <w:rPr>
          <w:rFonts w:ascii="Verdana" w:eastAsia="Arial" w:hAnsi="Verdana" w:cs="Arial"/>
          <w:i/>
          <w:iCs/>
          <w:u w:val="single"/>
          <w:lang w:val="es-ES"/>
        </w:rPr>
        <w:t>se liquidará la entidad</w:t>
      </w:r>
      <w:r w:rsidRPr="00A27D65">
        <w:rPr>
          <w:rFonts w:ascii="Verdana" w:eastAsia="Arial" w:hAnsi="Verdana" w:cs="Arial"/>
          <w:lang w:val="es-ES"/>
        </w:rPr>
        <w:t xml:space="preserve">, pagando las obligaciones contraídas con terceros, y observando las disposiciones legales sobre prelación de créditos. Adicionalmente, la norma señala </w:t>
      </w:r>
      <w:proofErr w:type="gramStart"/>
      <w:r w:rsidRPr="00A27D65">
        <w:rPr>
          <w:rFonts w:ascii="Verdana" w:eastAsia="Arial" w:hAnsi="Verdana" w:cs="Arial"/>
          <w:lang w:val="es-ES"/>
        </w:rPr>
        <w:t>que</w:t>
      </w:r>
      <w:proofErr w:type="gramEnd"/>
      <w:r w:rsidRPr="00A27D65">
        <w:rPr>
          <w:rFonts w:ascii="Verdana" w:eastAsia="Arial" w:hAnsi="Verdana" w:cs="Arial"/>
          <w:lang w:val="es-ES"/>
        </w:rPr>
        <w:t xml:space="preserve"> si “queda un remanente de activo patrimonial”, este pasará a la entidad escogida </w:t>
      </w:r>
      <w:r w:rsidRPr="00A27D65">
        <w:rPr>
          <w:rFonts w:ascii="Verdana" w:eastAsia="Arial" w:hAnsi="Verdana" w:cs="Arial"/>
          <w:lang w:val="es-ES"/>
        </w:rPr>
        <w:lastRenderedPageBreak/>
        <w:t xml:space="preserve">por la asamblea o a una similar según los estatutos o, en su defecto, a una entidad de beneficencia de fines análogos. </w:t>
      </w:r>
    </w:p>
    <w:p w14:paraId="28E429B5" w14:textId="77777777" w:rsidR="00A57C48" w:rsidRPr="00A27D65" w:rsidRDefault="00A57C48" w:rsidP="00A57C48">
      <w:pPr>
        <w:spacing w:before="120" w:after="120" w:line="276" w:lineRule="auto"/>
        <w:ind w:firstLine="709"/>
        <w:jc w:val="both"/>
        <w:rPr>
          <w:rFonts w:ascii="Verdana" w:eastAsia="Arial" w:hAnsi="Verdana" w:cs="Arial"/>
          <w:lang w:val="es-ES"/>
        </w:rPr>
      </w:pPr>
      <w:r w:rsidRPr="00A27D65">
        <w:rPr>
          <w:rFonts w:ascii="Verdana" w:eastAsia="Arial" w:hAnsi="Verdana" w:cs="Arial"/>
          <w:lang w:val="es-ES"/>
        </w:rPr>
        <w:t xml:space="preserve">El artículo 20 referido es entonces una norma de destinación del activo residual que impide que el patrimonio afectado a un fin altruista se reparta entre particulares. En su estructuración, implementa una fórmula equivalente a la del artículo 247 del Código de Comercio para la liquidación de sociedades comerciales, el cual señala que “Pagado el pasivo externo de la sociedad, se distribuirá el </w:t>
      </w:r>
      <w:r w:rsidRPr="00A27D65">
        <w:rPr>
          <w:rFonts w:ascii="Verdana" w:eastAsia="Arial" w:hAnsi="Verdana" w:cs="Arial"/>
          <w:i/>
          <w:iCs/>
          <w:u w:val="single"/>
          <w:lang w:val="es-ES"/>
        </w:rPr>
        <w:t>remanente de los activos sociales</w:t>
      </w:r>
      <w:r w:rsidRPr="00A27D65">
        <w:rPr>
          <w:rFonts w:ascii="Verdana" w:eastAsia="Arial" w:hAnsi="Verdana" w:cs="Arial"/>
          <w:lang w:val="es-ES"/>
        </w:rPr>
        <w:t xml:space="preserve"> entre los asociados, conforme a lo estipulado en el contrato o a lo que ellos acuerden […]”. </w:t>
      </w:r>
    </w:p>
    <w:p w14:paraId="5420DA65" w14:textId="77777777" w:rsidR="00A57C48" w:rsidRPr="00A27D65" w:rsidRDefault="00A57C48" w:rsidP="00A57C48">
      <w:pPr>
        <w:spacing w:before="120" w:after="120" w:line="276" w:lineRule="auto"/>
        <w:ind w:firstLine="709"/>
        <w:jc w:val="both"/>
        <w:rPr>
          <w:rFonts w:ascii="Verdana" w:eastAsia="Arial" w:hAnsi="Verdana" w:cs="Arial"/>
          <w:lang w:val="es-ES"/>
        </w:rPr>
      </w:pPr>
      <w:r w:rsidRPr="00A27D65">
        <w:rPr>
          <w:rFonts w:ascii="Verdana" w:eastAsia="Arial" w:hAnsi="Verdana" w:cs="Arial"/>
          <w:lang w:val="es-ES"/>
        </w:rPr>
        <w:t>En efecto, tanto para el caso de las ESAL como de las sociedades comerciales la normativa se refirió a una etapa dentro del proceso de liquidación en la cual, una vez pagado el pasivo o las obligaciones c</w:t>
      </w:r>
      <w:r>
        <w:rPr>
          <w:rFonts w:ascii="Verdana" w:eastAsia="Arial" w:hAnsi="Verdana" w:cs="Arial"/>
          <w:lang w:val="es-ES"/>
        </w:rPr>
        <w:t>ontraídas</w:t>
      </w:r>
      <w:r w:rsidRPr="00A27D65">
        <w:rPr>
          <w:rFonts w:ascii="Verdana" w:eastAsia="Arial" w:hAnsi="Verdana" w:cs="Arial"/>
          <w:lang w:val="es-ES"/>
        </w:rPr>
        <w:t>, la sociedad o la ESAL distribuye o asigna el remanente de su activo patrimonial. Así, tanto el artículo 20 del Decreto 1529 de 1990</w:t>
      </w:r>
      <w:r>
        <w:rPr>
          <w:rFonts w:ascii="Verdana" w:eastAsia="Arial" w:hAnsi="Verdana" w:cs="Arial"/>
          <w:lang w:val="es-ES"/>
        </w:rPr>
        <w:t>,</w:t>
      </w:r>
      <w:r w:rsidRPr="00A27D65">
        <w:rPr>
          <w:rFonts w:ascii="Verdana" w:eastAsia="Arial" w:hAnsi="Verdana" w:cs="Arial"/>
          <w:lang w:val="es-ES"/>
        </w:rPr>
        <w:t xml:space="preserve"> para el caso de las ESAL, como el artículo 247 del Código de Comercio</w:t>
      </w:r>
      <w:r>
        <w:rPr>
          <w:rFonts w:ascii="Verdana" w:eastAsia="Arial" w:hAnsi="Verdana" w:cs="Arial"/>
          <w:lang w:val="es-ES"/>
        </w:rPr>
        <w:t>,</w:t>
      </w:r>
      <w:r w:rsidRPr="00A27D65">
        <w:rPr>
          <w:rFonts w:ascii="Verdana" w:eastAsia="Arial" w:hAnsi="Verdana" w:cs="Arial"/>
          <w:lang w:val="es-ES"/>
        </w:rPr>
        <w:t xml:space="preserve"> para las sociedades comerciales, se refieren al supuesto de hecho de la </w:t>
      </w:r>
      <w:r w:rsidRPr="00E8466F">
        <w:rPr>
          <w:rFonts w:ascii="Verdana" w:eastAsia="Arial" w:hAnsi="Verdana" w:cs="Arial"/>
          <w:i/>
          <w:iCs/>
          <w:lang w:val="es-ES"/>
        </w:rPr>
        <w:t>liquidación</w:t>
      </w:r>
      <w:r w:rsidRPr="00A27D65">
        <w:rPr>
          <w:rFonts w:ascii="Verdana" w:eastAsia="Arial" w:hAnsi="Verdana" w:cs="Arial"/>
          <w:lang w:val="es-ES"/>
        </w:rPr>
        <w:t xml:space="preserve">. </w:t>
      </w:r>
    </w:p>
    <w:p w14:paraId="0B674623" w14:textId="77777777" w:rsidR="00A57C48" w:rsidRPr="00A27D65" w:rsidRDefault="00A57C48" w:rsidP="00A57C48">
      <w:pPr>
        <w:spacing w:before="120" w:after="120" w:line="276" w:lineRule="auto"/>
        <w:ind w:firstLine="709"/>
        <w:jc w:val="both"/>
        <w:rPr>
          <w:rFonts w:ascii="Verdana" w:eastAsia="Arial" w:hAnsi="Verdana" w:cs="Arial"/>
          <w:lang w:val="es-ES"/>
        </w:rPr>
      </w:pPr>
      <w:r w:rsidRPr="00672B08">
        <w:rPr>
          <w:rFonts w:ascii="Verdana" w:eastAsia="Arial" w:hAnsi="Verdana" w:cs="Arial"/>
        </w:rPr>
        <w:t>Lo anterior es relevante para resolver su consulta</w:t>
      </w:r>
      <w:r>
        <w:rPr>
          <w:rFonts w:ascii="Verdana" w:eastAsia="Arial" w:hAnsi="Verdana" w:cs="Arial"/>
        </w:rPr>
        <w:t xml:space="preserve"> pues,</w:t>
      </w:r>
      <w:r w:rsidRPr="00672B08">
        <w:rPr>
          <w:rFonts w:ascii="Verdana" w:eastAsia="Arial" w:hAnsi="Verdana" w:cs="Arial"/>
        </w:rPr>
        <w:t xml:space="preserve"> </w:t>
      </w:r>
      <w:r>
        <w:rPr>
          <w:rFonts w:ascii="Verdana" w:eastAsia="Arial" w:hAnsi="Verdana" w:cs="Arial"/>
        </w:rPr>
        <w:t>e</w:t>
      </w:r>
      <w:r w:rsidRPr="00672B08">
        <w:rPr>
          <w:rFonts w:ascii="Verdana" w:eastAsia="Arial" w:hAnsi="Verdana" w:cs="Arial"/>
        </w:rPr>
        <w:t xml:space="preserve">n los términos ya explicados, esta Agencia ha sostenido de manera reiterada que la </w:t>
      </w:r>
      <w:r w:rsidRPr="00E8466F">
        <w:rPr>
          <w:rFonts w:ascii="Verdana" w:eastAsia="Arial" w:hAnsi="Verdana" w:cs="Arial"/>
          <w:i/>
          <w:iCs/>
        </w:rPr>
        <w:t xml:space="preserve">liquidación </w:t>
      </w:r>
      <w:r w:rsidRPr="00672B08">
        <w:rPr>
          <w:rFonts w:ascii="Verdana" w:eastAsia="Arial" w:hAnsi="Verdana" w:cs="Arial"/>
        </w:rPr>
        <w:t>de las sociedades supone la extinción de la persona jurídica que atraviesa ese proceso y que, con ella, se extingue la experiencia adquirida, por su carácter personal. La experiencia solo se transfiere en los supuestos excepcionales que la normativa autoriza, y el presupuesto indispensable para ello es que la sociedad continúe sin liquidarse.</w:t>
      </w:r>
      <w:r>
        <w:rPr>
          <w:rFonts w:ascii="Verdana" w:eastAsia="Arial" w:hAnsi="Verdana" w:cs="Arial"/>
          <w:lang w:val="es-ES"/>
        </w:rPr>
        <w:t xml:space="preserve"> </w:t>
      </w:r>
      <w:r w:rsidRPr="00A27D65">
        <w:rPr>
          <w:rFonts w:ascii="Verdana" w:eastAsia="Arial" w:hAnsi="Verdana" w:cs="Arial"/>
          <w:lang w:val="es-ES"/>
        </w:rPr>
        <w:t>La liquidación produce el efecto de extinguir a la persona jurídica, de modo que no hay continuidad de la sociedad como unidad, sino una destinación o reparto de los activos patrimoniales residuales. Por ello, esta Agencia ha sostenido que en la liquidación “la experiencia desaparece junto con la sociedad que la adquirió”.</w:t>
      </w:r>
    </w:p>
    <w:p w14:paraId="13FA6058" w14:textId="77777777" w:rsidR="00A57C48" w:rsidRPr="00A27D65" w:rsidRDefault="00A57C48" w:rsidP="00A57C48">
      <w:pPr>
        <w:spacing w:before="120" w:after="120" w:line="276" w:lineRule="auto"/>
        <w:ind w:firstLine="709"/>
        <w:jc w:val="both"/>
        <w:rPr>
          <w:rFonts w:ascii="Verdana" w:eastAsia="Arial" w:hAnsi="Verdana" w:cs="Arial"/>
          <w:lang w:val="es-ES"/>
        </w:rPr>
      </w:pPr>
      <w:r w:rsidRPr="00A27D65">
        <w:rPr>
          <w:rFonts w:ascii="Verdana" w:eastAsia="Arial" w:hAnsi="Verdana" w:cs="Arial"/>
          <w:lang w:val="es-ES"/>
        </w:rPr>
        <w:t xml:space="preserve">El supuesto del artículo 20 ibidem se refiere estructural y taxativamente a una liquidación, con la cual la ESAL se extingue y su activo residual se destina a otra entidad de fines similares. En esta medida, la entidad receptora </w:t>
      </w:r>
      <w:r w:rsidRPr="00A27D65">
        <w:rPr>
          <w:rFonts w:ascii="Verdana" w:eastAsia="Arial" w:hAnsi="Verdana" w:cs="Arial"/>
          <w:i/>
          <w:iCs/>
          <w:lang w:val="es-ES"/>
        </w:rPr>
        <w:t xml:space="preserve">no continúa el objeto </w:t>
      </w:r>
      <w:r w:rsidRPr="00A27D65">
        <w:rPr>
          <w:rFonts w:ascii="Verdana" w:eastAsia="Arial" w:hAnsi="Verdana" w:cs="Arial"/>
          <w:lang w:val="es-ES"/>
        </w:rPr>
        <w:t>de la liquidada —como sí ocurre por ejemplo con la sociedad absorbente en la fusión de sociedades comerciales—, sino que recibe sus bienes. De ahí que, con independencia de si la experiencia se considera parte o no del activo patrimonial, no viaje con el remanente, pues falta el presupuesto que habilita su traslado, esto es, la subsistencia y continuidad de la</w:t>
      </w:r>
      <w:r>
        <w:rPr>
          <w:rFonts w:ascii="Verdana" w:eastAsia="Arial" w:hAnsi="Verdana" w:cs="Arial"/>
          <w:lang w:val="es-ES"/>
        </w:rPr>
        <w:t xml:space="preserve"> persona jurídica</w:t>
      </w:r>
      <w:r w:rsidRPr="00A27D65">
        <w:rPr>
          <w:rFonts w:ascii="Verdana" w:eastAsia="Arial" w:hAnsi="Verdana" w:cs="Arial"/>
          <w:lang w:val="es-ES"/>
        </w:rPr>
        <w:t xml:space="preserve">. </w:t>
      </w:r>
      <w:r>
        <w:rPr>
          <w:rFonts w:ascii="Verdana" w:eastAsia="Arial" w:hAnsi="Verdana" w:cs="Arial"/>
          <w:lang w:val="es-ES"/>
        </w:rPr>
        <w:lastRenderedPageBreak/>
        <w:t>A</w:t>
      </w:r>
      <w:r w:rsidRPr="003203D7">
        <w:rPr>
          <w:rFonts w:ascii="Verdana" w:eastAsia="Arial" w:hAnsi="Verdana" w:cs="Arial"/>
        </w:rPr>
        <w:t>sí, aunque los mecanismos de reorganización de las ESAL y de las sociedades comerciales son distintos, ambos convergen en un mismo resultado: extinguida la persona jurídica por la liquidación, no hay experiencia que trasladar.</w:t>
      </w:r>
    </w:p>
    <w:p w14:paraId="074EC938" w14:textId="77777777" w:rsidR="00A57C48" w:rsidRPr="00A27D65" w:rsidRDefault="00A57C48" w:rsidP="00A57C48">
      <w:pPr>
        <w:spacing w:before="120" w:after="120" w:line="276" w:lineRule="auto"/>
        <w:ind w:firstLine="709"/>
        <w:jc w:val="both"/>
        <w:rPr>
          <w:rFonts w:ascii="Verdana" w:eastAsia="Arial" w:hAnsi="Verdana" w:cs="Arial"/>
          <w:lang w:val="es-ES"/>
        </w:rPr>
      </w:pPr>
      <w:r w:rsidRPr="00A27D65">
        <w:rPr>
          <w:rFonts w:ascii="Verdana" w:eastAsia="Arial" w:hAnsi="Verdana" w:cs="Arial"/>
          <w:lang w:val="es-ES"/>
        </w:rPr>
        <w:t xml:space="preserve">En este punto no existe entonces un tratamiento disímil, la ESAL liquidada no queda, por esta vía, en peor situación que una sociedad comercial, pues en ambos casos la liquidación extingue la experiencia. La asimetría no consiste en que las sociedades trasladen libremente su experiencia, pues en ninguno de los dos supuestos lo hacen cuando se liquidan; de modo que no existe tratamiento </w:t>
      </w:r>
      <w:r>
        <w:rPr>
          <w:rFonts w:ascii="Verdana" w:eastAsia="Arial" w:hAnsi="Verdana" w:cs="Arial"/>
          <w:lang w:val="es-ES"/>
        </w:rPr>
        <w:t xml:space="preserve">desigual </w:t>
      </w:r>
      <w:r w:rsidRPr="00A27D65">
        <w:rPr>
          <w:rFonts w:ascii="Verdana" w:eastAsia="Arial" w:hAnsi="Verdana" w:cs="Arial"/>
          <w:lang w:val="es-ES"/>
        </w:rPr>
        <w:t xml:space="preserve">sobre las reglas de acreditación de la experiencia, sino en la existencia de rutas de reorganización o </w:t>
      </w:r>
      <w:r w:rsidRPr="00A27D65">
        <w:rPr>
          <w:rFonts w:ascii="Verdana" w:eastAsia="Arial" w:hAnsi="Verdana" w:cs="Arial"/>
          <w:i/>
          <w:iCs/>
          <w:lang w:val="es-ES"/>
        </w:rPr>
        <w:t>mecanismos de continuidad de las sociedades comerciales cuya regulación es expresa en el ordenamiento jurídico</w:t>
      </w:r>
      <w:r w:rsidRPr="00A27D65">
        <w:rPr>
          <w:rFonts w:ascii="Verdana" w:eastAsia="Arial" w:hAnsi="Verdana" w:cs="Arial"/>
          <w:lang w:val="es-ES"/>
        </w:rPr>
        <w:t>.</w:t>
      </w:r>
    </w:p>
    <w:p w14:paraId="748A1420" w14:textId="77777777" w:rsidR="00A57C48" w:rsidRPr="00A27D65" w:rsidRDefault="00A57C48" w:rsidP="00A57C48">
      <w:pPr>
        <w:spacing w:before="120" w:after="120" w:line="276" w:lineRule="auto"/>
        <w:ind w:firstLine="709"/>
        <w:jc w:val="both"/>
        <w:rPr>
          <w:rFonts w:ascii="Verdana" w:eastAsia="Arial" w:hAnsi="Verdana" w:cs="Arial"/>
          <w:lang w:val="es-ES"/>
        </w:rPr>
      </w:pPr>
      <w:r w:rsidRPr="00A27D65">
        <w:rPr>
          <w:rFonts w:ascii="Verdana" w:eastAsia="Arial" w:hAnsi="Verdana" w:cs="Arial"/>
          <w:lang w:val="es-ES"/>
        </w:rPr>
        <w:t xml:space="preserve">La contratación estatal es una actividad reglada y los requisitos habilitantes, junto con sus reglas de acreditación, están sujetos a reserva legal y reglamentaria; su interpretación es restrictiva y no admite ampliaciones por analogía que creen títulos de habilitación no previstos. En consecuencia, integrar el artículo 20 del Decreto 1529 de 1990 como fuente para reconocer «continuidad de experiencia» entre las ESAL supondría atribuirle un contenido que no tiene y crear, por vía de concepto, una excepción a la regla de </w:t>
      </w:r>
      <w:r>
        <w:rPr>
          <w:rFonts w:ascii="Verdana" w:eastAsia="Arial" w:hAnsi="Verdana" w:cs="Arial"/>
          <w:lang w:val="es-ES"/>
        </w:rPr>
        <w:t>in</w:t>
      </w:r>
      <w:r w:rsidRPr="00A27D65">
        <w:rPr>
          <w:rFonts w:ascii="Verdana" w:eastAsia="Arial" w:hAnsi="Verdana" w:cs="Arial"/>
          <w:lang w:val="es-ES"/>
        </w:rPr>
        <w:t xml:space="preserve">transferibilidad que solo el legislador o el reglamento pueden establecer. </w:t>
      </w:r>
    </w:p>
    <w:p w14:paraId="703304F6" w14:textId="77777777" w:rsidR="00A57C48" w:rsidRPr="00A27D65" w:rsidRDefault="00A57C48" w:rsidP="00A57C48">
      <w:pPr>
        <w:spacing w:before="120" w:after="0" w:line="276" w:lineRule="auto"/>
        <w:ind w:firstLine="708"/>
        <w:jc w:val="both"/>
        <w:rPr>
          <w:rFonts w:ascii="Verdana" w:eastAsia="Calibri" w:hAnsi="Verdana" w:cs="Arial"/>
          <w:lang w:val="es-ES"/>
        </w:rPr>
      </w:pPr>
      <w:r w:rsidRPr="00A27D65">
        <w:rPr>
          <w:rFonts w:ascii="Verdana" w:hAnsi="Verdana" w:cs="Arial"/>
          <w:lang w:val="es-ES" w:eastAsia="es-ES"/>
        </w:rPr>
        <w:t xml:space="preserve">Al margen de la explicación precedente debe advertirse que el análisis requerido para resolver problemas específicos en torno al clausulado contractual debe ser realizado por quienes tengan interés en ello, de acuerdo con lo explicado </w:t>
      </w:r>
      <w:r>
        <w:rPr>
          <w:rFonts w:ascii="Verdana" w:hAnsi="Verdana" w:cs="Arial"/>
          <w:lang w:val="es-ES" w:eastAsia="es-ES"/>
        </w:rPr>
        <w:t xml:space="preserve">en </w:t>
      </w:r>
      <w:r w:rsidRPr="00A27D65">
        <w:rPr>
          <w:rFonts w:ascii="Verdana" w:hAnsi="Verdana" w:cs="Arial"/>
          <w:lang w:val="es-ES" w:eastAsia="es-ES"/>
        </w:rPr>
        <w:t>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70523C96" w14:textId="77777777" w:rsidR="00A57C48" w:rsidRPr="00A27D65" w:rsidRDefault="00A57C48" w:rsidP="00A57C48">
      <w:pPr>
        <w:spacing w:before="120" w:after="0" w:line="276" w:lineRule="auto"/>
        <w:ind w:firstLine="709"/>
        <w:jc w:val="both"/>
        <w:rPr>
          <w:rFonts w:ascii="Verdana" w:hAnsi="Verdana" w:cs="Arial"/>
          <w:lang w:val="es-ES" w:eastAsia="es-ES"/>
        </w:rPr>
      </w:pPr>
      <w:r w:rsidRPr="00A27D65">
        <w:rPr>
          <w:rFonts w:ascii="Verdana" w:hAnsi="Verdana" w:cs="Arial"/>
          <w:lang w:val="es-ES"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A27D65">
        <w:rPr>
          <w:rFonts w:ascii="Verdana" w:hAnsi="Verdana" w:cs="Arial"/>
          <w:lang w:val="es-ES" w:eastAsia="es-ES"/>
        </w:rPr>
        <w:lastRenderedPageBreak/>
        <w:t>el principio de juridicidad. Así, cada entidad definirá la forma de adelantar su gestión contractual, sin que sea atribución de Colombia Compra Eficiente validar sus actuaciones.</w:t>
      </w:r>
    </w:p>
    <w:p w14:paraId="1DEB4400" w14:textId="77777777" w:rsidR="00A57C48" w:rsidRPr="00A27D65" w:rsidRDefault="00A57C48" w:rsidP="00A57C48">
      <w:pPr>
        <w:spacing w:after="0" w:line="276" w:lineRule="auto"/>
        <w:jc w:val="both"/>
        <w:rPr>
          <w:rFonts w:ascii="Verdana" w:eastAsia="Times New Roman" w:hAnsi="Verdana" w:cs="Arial"/>
          <w:color w:val="000000" w:themeColor="text1"/>
          <w:lang w:val="es-ES"/>
        </w:rPr>
      </w:pPr>
    </w:p>
    <w:p w14:paraId="659C7111" w14:textId="77777777" w:rsidR="00A57C48" w:rsidRPr="00A27D65" w:rsidRDefault="00A57C48" w:rsidP="00A57C48">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7D65">
        <w:rPr>
          <w:rFonts w:ascii="Verdana" w:eastAsia="Century Gothic" w:hAnsi="Verdana" w:cs="Century Gothic"/>
          <w:b/>
          <w:color w:val="000000" w:themeColor="text1"/>
        </w:rPr>
        <w:t>Referencias normativas, jurisprudenciales y otras fuentes:</w:t>
      </w:r>
    </w:p>
    <w:p w14:paraId="3DAA7470" w14:textId="77777777" w:rsidR="00A57C48" w:rsidRPr="00A27D65" w:rsidRDefault="00A57C48" w:rsidP="00A57C48">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57C48" w:rsidRPr="00A27D65" w14:paraId="64E4B46A" w14:textId="77777777" w:rsidTr="005A3AD8">
        <w:trPr>
          <w:trHeight w:val="297"/>
        </w:trPr>
        <w:tc>
          <w:tcPr>
            <w:tcW w:w="8647" w:type="dxa"/>
          </w:tcPr>
          <w:p w14:paraId="4F41CFAB"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Constitución Política de Colombia, artículos 38 y 209.</w:t>
            </w:r>
          </w:p>
          <w:p w14:paraId="2AC8AAF0"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Código Civil.</w:t>
            </w:r>
          </w:p>
          <w:p w14:paraId="6F528E87"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Código de Comercio, artículos 98, 167, 172, 180, 222, 225 y siguientes, y 247.</w:t>
            </w:r>
          </w:p>
          <w:p w14:paraId="4D32CCF9"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Ley 80 de 1993.</w:t>
            </w:r>
          </w:p>
          <w:p w14:paraId="30EE5715"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Ley 222 de 1995, artículos 3 y 80.</w:t>
            </w:r>
          </w:p>
          <w:p w14:paraId="428F8650"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Ley 1150 de 2007, artículos 5 y 6.</w:t>
            </w:r>
          </w:p>
          <w:p w14:paraId="1720820F"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Ley 1258 de 2008, artículo 33.</w:t>
            </w:r>
          </w:p>
          <w:p w14:paraId="552A2881"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Decreto 1529 de 1990, artículo 20.</w:t>
            </w:r>
          </w:p>
          <w:p w14:paraId="4D60B966"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Decreto 1082 de 2015, artículos 2.2.1.1.1.5.2 y 2.2.1.1.1.5.3.</w:t>
            </w:r>
          </w:p>
          <w:p w14:paraId="12B56469"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Corte Constitucional. Sentencia C-287 de 2012. M.P.: María Victoria Calle Correa.</w:t>
            </w:r>
          </w:p>
          <w:p w14:paraId="53D9C844" w14:textId="77777777" w:rsidR="00A57C48" w:rsidRPr="00A27D65" w:rsidRDefault="00A57C48" w:rsidP="005A3AD8">
            <w:pPr>
              <w:widowControl w:val="0"/>
              <w:numPr>
                <w:ilvl w:val="0"/>
                <w:numId w:val="16"/>
              </w:numPr>
              <w:autoSpaceDE w:val="0"/>
              <w:autoSpaceDN w:val="0"/>
              <w:spacing w:before="120" w:after="120"/>
              <w:jc w:val="both"/>
              <w:rPr>
                <w:rFonts w:ascii="Verdana" w:hAnsi="Verdana" w:cs="Arial"/>
                <w:lang w:val="es-ES"/>
              </w:rPr>
            </w:pPr>
            <w:r w:rsidRPr="00A27D65">
              <w:rPr>
                <w:rFonts w:ascii="Verdana" w:hAnsi="Verdana" w:cs="Arial"/>
                <w:lang w:val="es-ES"/>
              </w:rPr>
              <w:t>Consejo de Estado. Sección Tercera. Sentencia del 20 de abril de 2022. Radicación Nro. 54482. C.P.: Jaime Enrique Rodríguez Navas.</w:t>
            </w:r>
          </w:p>
        </w:tc>
      </w:tr>
    </w:tbl>
    <w:p w14:paraId="34EA2CF0" w14:textId="77777777" w:rsidR="00A57C48" w:rsidRPr="00A27D65" w:rsidRDefault="00A57C48" w:rsidP="00A57C48">
      <w:pPr>
        <w:widowControl w:val="0"/>
        <w:autoSpaceDE w:val="0"/>
        <w:autoSpaceDN w:val="0"/>
        <w:spacing w:after="0" w:line="276" w:lineRule="auto"/>
        <w:jc w:val="both"/>
        <w:rPr>
          <w:rFonts w:ascii="Verdana" w:hAnsi="Verdana" w:cs="Arial"/>
          <w:color w:val="000000" w:themeColor="text1"/>
          <w:lang w:val="es-ES"/>
        </w:rPr>
      </w:pPr>
    </w:p>
    <w:p w14:paraId="16CAB248" w14:textId="77777777" w:rsidR="00A57C48" w:rsidRPr="00A27D65" w:rsidRDefault="00A57C48" w:rsidP="00A57C48">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7D65">
        <w:rPr>
          <w:rFonts w:ascii="Verdana" w:eastAsia="Century Gothic" w:hAnsi="Verdana" w:cs="Century Gothic"/>
          <w:b/>
          <w:color w:val="000000" w:themeColor="text1"/>
        </w:rPr>
        <w:t>Doctrina de la Agencia Nacional de Contratación Pública:</w:t>
      </w:r>
    </w:p>
    <w:p w14:paraId="79262562" w14:textId="77777777" w:rsidR="00A57C48" w:rsidRPr="00A27D65" w:rsidRDefault="00A57C48" w:rsidP="00A57C48">
      <w:pPr>
        <w:widowControl w:val="0"/>
        <w:autoSpaceDE w:val="0"/>
        <w:autoSpaceDN w:val="0"/>
        <w:spacing w:after="0" w:line="276" w:lineRule="auto"/>
        <w:jc w:val="both"/>
        <w:rPr>
          <w:rFonts w:ascii="Verdana" w:hAnsi="Verdana" w:cs="Arial"/>
          <w:color w:val="000000" w:themeColor="text1"/>
          <w:lang w:val="es-ES"/>
        </w:rPr>
      </w:pPr>
    </w:p>
    <w:p w14:paraId="47750767" w14:textId="77777777" w:rsidR="00A57C48" w:rsidRPr="00A27D65" w:rsidRDefault="00A57C48" w:rsidP="00A57C48">
      <w:pPr>
        <w:jc w:val="both"/>
        <w:rPr>
          <w:rFonts w:ascii="Verdana" w:eastAsia="Calibri" w:hAnsi="Verdana" w:cs="Arial"/>
          <w:b/>
          <w:bCs/>
          <w:lang w:val="es-ES" w:eastAsia="es-ES"/>
        </w:rPr>
      </w:pPr>
      <w:r w:rsidRPr="00A27D65">
        <w:rPr>
          <w:rFonts w:ascii="Verdana" w:eastAsia="Calibri" w:hAnsi="Verdana" w:cs="Arial"/>
          <w:lang w:val="es-ES"/>
        </w:rPr>
        <w:t xml:space="preserve">La Agencia Nacional de Contratación Pública – Colombia Compra Eficiente se ha pronunciado </w:t>
      </w:r>
      <w:r w:rsidRPr="00A27D65">
        <w:rPr>
          <w:rStyle w:val="normaltextrun"/>
          <w:rFonts w:ascii="Verdana" w:hAnsi="Verdana" w:cs="Arial"/>
          <w:shd w:val="clear" w:color="auto" w:fill="FFFFFF"/>
          <w:lang w:val="es-ES"/>
        </w:rPr>
        <w:t>sobre los efectos de las reformas estatutarias en los Conceptos</w:t>
      </w:r>
      <w:r w:rsidRPr="00A27D65">
        <w:rPr>
          <w:rStyle w:val="normaltextrun"/>
          <w:rFonts w:ascii="Verdana" w:hAnsi="Verdana" w:cs="Calibri"/>
          <w:shd w:val="clear" w:color="auto" w:fill="FFFFFF"/>
          <w:lang w:val="es-ES"/>
        </w:rPr>
        <w:t xml:space="preserve"> </w:t>
      </w:r>
      <w:r w:rsidRPr="00A27D65">
        <w:rPr>
          <w:rStyle w:val="normaltextrun"/>
          <w:rFonts w:ascii="Verdana" w:hAnsi="Verdana" w:cs="Arial"/>
          <w:shd w:val="clear" w:color="auto" w:fill="FFFFFF"/>
          <w:lang w:val="es-ES"/>
        </w:rPr>
        <w:t xml:space="preserve">C-491 del 27 de julio de 2020, C-350 del 1 de junio de 2020, C-584 del 31 de agosto de 2020, C-002 del 9 de febrero de 2021, C-115 del 29 de marzo de 2021, C-343 del 13 de julio de 2021 y C-342 del 13 de julio de 2021, C-121 del 12 de mayo de 2023, C-820 del 29 de noviembre de 2022, C-005 del 15 de febrero de 2024, C-088 del 13 de junio de 2024 y </w:t>
      </w:r>
      <w:r w:rsidRPr="00A27D65">
        <w:rPr>
          <w:rFonts w:ascii="Verdana" w:eastAsia="Calibri" w:hAnsi="Verdana" w:cs="Arial"/>
          <w:lang w:val="es-ES" w:eastAsia="es-ES"/>
        </w:rPr>
        <w:t>C-774 del 29 de mayo de 2026</w:t>
      </w:r>
      <w:r w:rsidRPr="00A27D65">
        <w:rPr>
          <w:rFonts w:ascii="Verdana" w:eastAsia="Arial" w:hAnsi="Verdana" w:cs="Arial"/>
          <w:lang w:val="es-ES"/>
        </w:rPr>
        <w:t>. Estos y</w:t>
      </w:r>
      <w:r w:rsidRPr="00A27D65">
        <w:rPr>
          <w:rFonts w:ascii="Verdana" w:hAnsi="Verdana" w:cs="Arial"/>
          <w:shd w:val="clear" w:color="auto" w:fill="FFFFFF"/>
          <w:lang w:val="es-ES"/>
        </w:rPr>
        <w:t xml:space="preserve"> </w:t>
      </w:r>
      <w:r w:rsidRPr="00A27D65">
        <w:rPr>
          <w:rFonts w:ascii="Verdana" w:hAnsi="Verdana"/>
          <w:lang w:val="es-ES"/>
        </w:rPr>
        <w:t>otros conceptos se encuentran disponibles para consulta en el Sistema de relatoría de la Agencia, al cual se puede acceder a través del siguiente enlace:</w:t>
      </w:r>
      <w:r w:rsidRPr="00A27D65">
        <w:rPr>
          <w:rFonts w:ascii="Verdana" w:hAnsi="Verdana" w:cs="Arial"/>
          <w:shd w:val="clear" w:color="auto" w:fill="FFFFFF"/>
          <w:lang w:val="es-ES"/>
        </w:rPr>
        <w:t xml:space="preserve"> </w:t>
      </w:r>
      <w:hyperlink r:id="rId12" w:history="1">
        <w:r w:rsidRPr="00A27D65">
          <w:rPr>
            <w:rStyle w:val="Hipervnculo"/>
            <w:rFonts w:ascii="Verdana" w:hAnsi="Verdana"/>
            <w:lang w:val="es-ES"/>
          </w:rPr>
          <w:t>https://relatoria.colombiacompra.gov.co/busqueda/conceptos</w:t>
        </w:r>
      </w:hyperlink>
      <w:r w:rsidRPr="00A27D65">
        <w:rPr>
          <w:rFonts w:ascii="Verdana" w:hAnsi="Verdana" w:cs="Arial"/>
          <w:shd w:val="clear" w:color="auto" w:fill="FFFFFF"/>
          <w:lang w:val="es-ES"/>
        </w:rPr>
        <w:t>.</w:t>
      </w:r>
      <w:r w:rsidRPr="00A27D65">
        <w:rPr>
          <w:rFonts w:ascii="Verdana" w:hAnsi="Verdana" w:cs="Arial"/>
          <w:color w:val="FF0000"/>
          <w:shd w:val="clear" w:color="auto" w:fill="FFFFFF"/>
          <w:lang w:val="es-ES"/>
        </w:rPr>
        <w:t xml:space="preserve"> </w:t>
      </w:r>
      <w:r w:rsidRPr="00A27D65">
        <w:rPr>
          <w:rFonts w:ascii="Verdana" w:hAnsi="Verdana" w:cs="Arial"/>
          <w:color w:val="000000" w:themeColor="text1"/>
          <w:shd w:val="clear" w:color="auto" w:fill="FFFFFF"/>
          <w:lang w:val="es-ES"/>
        </w:rPr>
        <w:t>  </w:t>
      </w:r>
    </w:p>
    <w:p w14:paraId="62772BAE" w14:textId="6E434A80" w:rsidR="00A57C48" w:rsidRPr="00A27D65" w:rsidRDefault="00A57C48" w:rsidP="00A57C48">
      <w:pPr>
        <w:spacing w:after="120" w:line="276" w:lineRule="auto"/>
        <w:jc w:val="both"/>
        <w:rPr>
          <w:rFonts w:ascii="Verdana" w:hAnsi="Verdana"/>
          <w:lang w:val="es-ES"/>
        </w:rPr>
      </w:pPr>
      <w:r w:rsidRPr="00A27D65">
        <w:rPr>
          <w:rFonts w:ascii="Verdana" w:hAnsi="Verdana"/>
          <w:lang w:val="es-ES"/>
        </w:rPr>
        <w:lastRenderedPageBreak/>
        <w:t>Las garantías no son un requisito formal: son el instrumento con el que se protege el patrimonio público frente a los riesgos del contrato. Por ello, la Agencia Nacional de Contratación Pública –Colombia Compra Eficiente</w:t>
      </w:r>
      <w:proofErr w:type="gramStart"/>
      <w:r w:rsidRPr="00A27D65">
        <w:rPr>
          <w:rFonts w:ascii="Verdana" w:hAnsi="Verdana"/>
          <w:lang w:val="es-ES"/>
        </w:rPr>
        <w:t>–  invita</w:t>
      </w:r>
      <w:proofErr w:type="gramEnd"/>
      <w:r w:rsidRPr="00A27D65">
        <w:rPr>
          <w:rFonts w:ascii="Verdana" w:hAnsi="Verdana"/>
          <w:lang w:val="es-ES"/>
        </w:rPr>
        <w:t xml:space="preserve"> a consultar la nueva versión de la </w:t>
      </w:r>
      <w:r w:rsidRPr="00A27D65">
        <w:rPr>
          <w:rFonts w:ascii="Verdana" w:hAnsi="Verdana"/>
          <w:b/>
          <w:bCs/>
          <w:lang w:val="es-ES"/>
        </w:rPr>
        <w:t>Guía para la Exigencia y Constitución de Garantías en los Procesos de Contratación</w:t>
      </w:r>
      <w:r w:rsidRPr="00A27D65">
        <w:rPr>
          <w:rFonts w:ascii="Verdana" w:hAnsi="Verdana"/>
          <w:lang w:val="es-ES"/>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r w:rsidRPr="00A27D65">
          <w:rPr>
            <w:rStyle w:val="Hipervnculo"/>
            <w:rFonts w:ascii="Verdana" w:hAnsi="Verdana"/>
            <w:lang w:val="es-ES"/>
          </w:rPr>
          <w:t>https://www.colombiacompra.gov.co/archivos/manual/guia-de-garantias-en-procesos-de-contratacion</w:t>
        </w:r>
      </w:hyperlink>
    </w:p>
    <w:p w14:paraId="20EF8688" w14:textId="1BF30EB9" w:rsidR="00A57C48" w:rsidRPr="00A27D65" w:rsidRDefault="00A57C48" w:rsidP="00A57C48">
      <w:pPr>
        <w:spacing w:after="120" w:line="276" w:lineRule="auto"/>
        <w:jc w:val="both"/>
        <w:rPr>
          <w:rFonts w:ascii="Verdana" w:hAnsi="Verdana"/>
          <w:lang w:val="es-ES"/>
        </w:rPr>
      </w:pPr>
      <w:r w:rsidRPr="00A27D65">
        <w:rPr>
          <w:rFonts w:ascii="Verdana" w:hAnsi="Verdana"/>
          <w:lang w:val="es-ES"/>
        </w:rPr>
        <w:t>De otro lado, le contamos que el Decreto 287 del 19 de marzo de 2026 sustituyó los artículos 2.2.1.2.4.2.6., 2.2.1.2.4.2.7. y 2.2.1.2.4.2.8. del Decreto 1082 de 2015 y estructuró el </w:t>
      </w:r>
      <w:r w:rsidRPr="00A27D65">
        <w:rPr>
          <w:rFonts w:ascii="Verdana" w:hAnsi="Verdana"/>
          <w:b/>
          <w:bCs/>
          <w:lang w:val="es-ES"/>
        </w:rPr>
        <w:t>Sistema Integral de Preferencias en favor de las personas con discapacidad</w:t>
      </w:r>
      <w:r w:rsidRPr="00A27D65">
        <w:rPr>
          <w:rFonts w:ascii="Verdana" w:hAnsi="Verdana"/>
          <w:lang w:val="es-ES"/>
        </w:rPr>
        <w:t>, en cumplimiento del artículo 13 de la Ley Estatutaria 1618 de 2013. Para orientar su aplicación, esta Agencia expidió la </w:t>
      </w:r>
      <w:r w:rsidRPr="00A27D65">
        <w:rPr>
          <w:rFonts w:ascii="Verdana" w:hAnsi="Verdana"/>
          <w:b/>
          <w:bCs/>
          <w:lang w:val="es-ES"/>
        </w:rPr>
        <w:t>Circular Externa 003 del 12 de mayo de 2026, </w:t>
      </w:r>
      <w:r w:rsidRPr="00A27D65">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Consúltela aquí: </w:t>
      </w:r>
      <w:hyperlink r:id="rId14">
        <w:r w:rsidRPr="00A27D65">
          <w:rPr>
            <w:rStyle w:val="Hipervnculo"/>
            <w:rFonts w:ascii="Verdana" w:hAnsi="Verdana"/>
            <w:lang w:val="es-ES"/>
          </w:rPr>
          <w:t>https://www.colombiacompra.gov.co/archivos/circular/circular-externa-003-de-2026</w:t>
        </w:r>
      </w:hyperlink>
    </w:p>
    <w:p w14:paraId="0E0EC869" w14:textId="5F75F986" w:rsidR="00A57C48" w:rsidRPr="00A27D65" w:rsidRDefault="00A57C48" w:rsidP="00A57C48">
      <w:pPr>
        <w:spacing w:after="120" w:line="276" w:lineRule="auto"/>
        <w:jc w:val="both"/>
        <w:rPr>
          <w:rFonts w:ascii="Verdana" w:hAnsi="Verdana"/>
          <w:lang w:val="es-ES"/>
        </w:rPr>
      </w:pPr>
      <w:r w:rsidRPr="00A27D65">
        <w:rPr>
          <w:rFonts w:ascii="Verdana" w:hAnsi="Verdana"/>
          <w:lang w:val="es-ES"/>
        </w:rPr>
        <w:t>Recuerde también que la</w:t>
      </w:r>
      <w:r w:rsidRPr="00A27D65">
        <w:rPr>
          <w:rFonts w:ascii="Verdana" w:hAnsi="Verdana"/>
          <w:b/>
          <w:bCs/>
          <w:lang w:val="es-ES"/>
        </w:rPr>
        <w:t> información sobre sanciones e inhabilidades </w:t>
      </w:r>
      <w:r w:rsidRPr="00A27D65">
        <w:rPr>
          <w:rFonts w:ascii="Verdana" w:hAnsi="Verdana"/>
          <w:lang w:val="es-ES"/>
        </w:rPr>
        <w:t>solo cumple su función preventiva si llega oportunamente a los registros públicos. Sobre este deber, esta Agencia expidió la </w:t>
      </w:r>
      <w:r w:rsidRPr="00A27D65">
        <w:rPr>
          <w:rFonts w:ascii="Verdana" w:hAnsi="Verdana"/>
          <w:b/>
          <w:bCs/>
          <w:lang w:val="es-ES"/>
        </w:rPr>
        <w:t>Circular Externa 002 del 5 de mayo de 2026,</w:t>
      </w:r>
      <w:r w:rsidRPr="00A27D65">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5">
        <w:r w:rsidRPr="00A27D65">
          <w:rPr>
            <w:rStyle w:val="Hipervnculo"/>
            <w:rFonts w:ascii="Verdana" w:hAnsi="Verdana"/>
            <w:lang w:val="es-ES"/>
          </w:rPr>
          <w:t>https://www.colombiacompra.gov.co/archivos/circular/circular-externa-002-de-2026</w:t>
        </w:r>
      </w:hyperlink>
    </w:p>
    <w:p w14:paraId="59C86E54" w14:textId="16CA37CA" w:rsidR="00A57C48" w:rsidRPr="00A27D65" w:rsidRDefault="00A57C48" w:rsidP="00A57C48">
      <w:pPr>
        <w:spacing w:after="120" w:line="276" w:lineRule="auto"/>
        <w:jc w:val="both"/>
        <w:rPr>
          <w:rFonts w:ascii="Verdana" w:hAnsi="Verdana"/>
          <w:lang w:val="es-ES"/>
        </w:rPr>
      </w:pPr>
      <w:r w:rsidRPr="00A27D65">
        <w:rPr>
          <w:rFonts w:ascii="Verdana" w:hAnsi="Verdana"/>
          <w:lang w:val="es-ES"/>
        </w:rPr>
        <w:t>Finalmente, si quiere seguir de cerca la actividad de la Agencia, la tercera edición de 2026 del</w:t>
      </w:r>
      <w:r w:rsidRPr="00A27D65">
        <w:rPr>
          <w:rFonts w:ascii="Verdana" w:hAnsi="Verdana"/>
          <w:b/>
          <w:bCs/>
          <w:lang w:val="es-ES"/>
        </w:rPr>
        <w:t> Radar de la Compra Pública</w:t>
      </w:r>
      <w:r w:rsidRPr="00A27D65">
        <w:rPr>
          <w:rFonts w:ascii="Verdana" w:hAnsi="Verdana"/>
          <w:lang w:val="es-ES"/>
        </w:rPr>
        <w:t xml:space="preserve"> reúne, entre otros contenidos, la </w:t>
      </w:r>
      <w:r w:rsidRPr="00A27D65">
        <w:rPr>
          <w:rFonts w:ascii="Verdana" w:hAnsi="Verdana"/>
          <w:lang w:val="es-ES"/>
        </w:rPr>
        <w:lastRenderedPageBreak/>
        <w:t>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r w:rsidRPr="00A27D65">
          <w:rPr>
            <w:rStyle w:val="Hipervnculo"/>
            <w:rFonts w:ascii="Verdana" w:hAnsi="Verdana"/>
            <w:lang w:val="es-ES"/>
          </w:rPr>
          <w:t>https://www.colombiacompra.gov.co/archivos/boletin/boletin-edicion-n-3-de-2026-radar-de-la-compra-publica</w:t>
        </w:r>
      </w:hyperlink>
    </w:p>
    <w:p w14:paraId="4341C618" w14:textId="6873FFA3" w:rsidR="00A57C48" w:rsidRPr="00A27D65" w:rsidRDefault="00A57C48" w:rsidP="00A57C48">
      <w:pPr>
        <w:spacing w:after="120" w:line="276" w:lineRule="auto"/>
        <w:jc w:val="both"/>
        <w:rPr>
          <w:rFonts w:ascii="Verdana" w:hAnsi="Verdana"/>
          <w:lang w:val="es-ES"/>
        </w:rPr>
      </w:pPr>
      <w:r w:rsidRPr="00A27D65">
        <w:rPr>
          <w:rFonts w:ascii="Verdana" w:hAnsi="Verdana"/>
          <w:lang w:val="es-ES"/>
        </w:rPr>
        <w:t xml:space="preserve">Por último, le invitamos a seguirnos en las redes sociales en las cuales se difunde información institucional: </w:t>
      </w:r>
    </w:p>
    <w:p w14:paraId="4D59582A" w14:textId="77777777" w:rsidR="00A57C48" w:rsidRPr="00A27D65" w:rsidRDefault="00A57C48" w:rsidP="00A57C48">
      <w:pPr>
        <w:spacing w:after="0" w:line="276" w:lineRule="auto"/>
        <w:jc w:val="both"/>
        <w:rPr>
          <w:rFonts w:ascii="Verdana" w:hAnsi="Verdana"/>
          <w:lang w:val="es-ES"/>
        </w:rPr>
      </w:pPr>
      <w:r w:rsidRPr="00A27D65">
        <w:rPr>
          <w:rFonts w:ascii="Verdana" w:hAnsi="Verdana"/>
          <w:lang w:val="es-ES"/>
        </w:rPr>
        <w:t xml:space="preserve">Twitter: </w:t>
      </w:r>
      <w:r w:rsidRPr="00A27D65">
        <w:rPr>
          <w:rStyle w:val="Hipervnculo"/>
          <w:rFonts w:ascii="Verdana" w:hAnsi="Verdana" w:cs="Arial"/>
          <w:shd w:val="clear" w:color="auto" w:fill="FFFFFF"/>
          <w:lang w:val="es-ES"/>
        </w:rPr>
        <w:t>@colombiacompra</w:t>
      </w:r>
      <w:r w:rsidRPr="00A27D65">
        <w:rPr>
          <w:rFonts w:ascii="Verdana" w:hAnsi="Verdana"/>
          <w:color w:val="4472C4" w:themeColor="accent1"/>
          <w:lang w:val="es-ES"/>
        </w:rPr>
        <w:t xml:space="preserve"> </w:t>
      </w:r>
    </w:p>
    <w:p w14:paraId="77982E1A" w14:textId="77777777" w:rsidR="00A57C48" w:rsidRPr="00A27D65" w:rsidRDefault="00A57C48" w:rsidP="00A57C48">
      <w:pPr>
        <w:spacing w:after="0" w:line="276" w:lineRule="auto"/>
        <w:jc w:val="both"/>
        <w:rPr>
          <w:rFonts w:ascii="Verdana" w:hAnsi="Verdana"/>
          <w:lang w:val="es-ES"/>
        </w:rPr>
      </w:pPr>
      <w:r w:rsidRPr="00A27D65">
        <w:rPr>
          <w:rFonts w:ascii="Verdana" w:hAnsi="Verdana"/>
          <w:lang w:val="es-ES"/>
        </w:rPr>
        <w:t xml:space="preserve">Facebook: </w:t>
      </w:r>
      <w:proofErr w:type="spellStart"/>
      <w:r w:rsidRPr="00A27D65">
        <w:rPr>
          <w:rStyle w:val="Hipervnculo"/>
          <w:rFonts w:ascii="Verdana" w:hAnsi="Verdana" w:cs="Arial"/>
          <w:shd w:val="clear" w:color="auto" w:fill="FFFFFF"/>
          <w:lang w:val="es-ES"/>
        </w:rPr>
        <w:t>ColombiaCompraEficiente</w:t>
      </w:r>
      <w:proofErr w:type="spellEnd"/>
    </w:p>
    <w:p w14:paraId="04D5BFC3" w14:textId="52D9FDE8" w:rsidR="00A57C48" w:rsidRPr="00A57C48" w:rsidRDefault="00A57C48" w:rsidP="00A57C48">
      <w:pPr>
        <w:spacing w:after="120" w:line="276" w:lineRule="auto"/>
        <w:jc w:val="both"/>
        <w:rPr>
          <w:rFonts w:ascii="Verdana" w:hAnsi="Verdana"/>
          <w:lang w:val="es-ES"/>
        </w:rPr>
      </w:pPr>
      <w:r w:rsidRPr="00A27D65">
        <w:rPr>
          <w:rFonts w:ascii="Verdana" w:hAnsi="Verdana"/>
          <w:lang w:val="es-ES"/>
        </w:rPr>
        <w:t xml:space="preserve">LinkedIn: </w:t>
      </w:r>
      <w:r w:rsidRPr="00A27D65">
        <w:rPr>
          <w:rStyle w:val="Hipervnculo"/>
          <w:rFonts w:ascii="Verdana" w:hAnsi="Verdana" w:cs="Arial"/>
          <w:shd w:val="clear" w:color="auto" w:fill="FFFFFF"/>
          <w:lang w:val="es-ES"/>
        </w:rPr>
        <w:t xml:space="preserve">Agencia Nacional de Contratación Pública - Colombia Compra Eficiente </w:t>
      </w:r>
      <w:r w:rsidRPr="00A27D65">
        <w:rPr>
          <w:rFonts w:ascii="Verdana" w:hAnsi="Verdana"/>
          <w:lang w:val="es-ES"/>
        </w:rPr>
        <w:t xml:space="preserve">Instagram: </w:t>
      </w:r>
      <w:r w:rsidRPr="00A27D65">
        <w:rPr>
          <w:rStyle w:val="Hipervnculo"/>
          <w:rFonts w:ascii="Verdana" w:hAnsi="Verdana" w:cs="Arial"/>
          <w:shd w:val="clear" w:color="auto" w:fill="FFFFFF"/>
          <w:lang w:val="es-ES"/>
        </w:rPr>
        <w:t>@colombiacompraeficiente_cce</w:t>
      </w:r>
    </w:p>
    <w:p w14:paraId="172A52FD" w14:textId="77777777" w:rsidR="00A57C48" w:rsidRPr="00A27D65" w:rsidRDefault="00A57C48" w:rsidP="00A57C48">
      <w:pPr>
        <w:widowControl w:val="0"/>
        <w:autoSpaceDE w:val="0"/>
        <w:autoSpaceDN w:val="0"/>
        <w:spacing w:after="0" w:line="276" w:lineRule="auto"/>
        <w:jc w:val="both"/>
        <w:rPr>
          <w:rFonts w:ascii="Verdana" w:hAnsi="Verdana" w:cs="Arial"/>
          <w:lang w:val="es-ES"/>
        </w:rPr>
      </w:pPr>
      <w:r w:rsidRPr="00A27D65">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DBE81C3" w14:textId="77777777" w:rsidR="00A57C48" w:rsidRPr="00A27D65" w:rsidRDefault="00A57C48" w:rsidP="00A57C48">
      <w:pPr>
        <w:widowControl w:val="0"/>
        <w:autoSpaceDE w:val="0"/>
        <w:autoSpaceDN w:val="0"/>
        <w:spacing w:after="0" w:line="276" w:lineRule="auto"/>
        <w:jc w:val="both"/>
        <w:rPr>
          <w:rFonts w:ascii="Verdana" w:hAnsi="Verdana" w:cs="Arial"/>
          <w:lang w:val="es-ES"/>
        </w:rPr>
      </w:pPr>
    </w:p>
    <w:p w14:paraId="2084E51E" w14:textId="77777777" w:rsidR="00A57C48" w:rsidRPr="00A27D65" w:rsidRDefault="00A57C48" w:rsidP="00A57C48">
      <w:pPr>
        <w:spacing w:after="0" w:line="276" w:lineRule="auto"/>
        <w:rPr>
          <w:rFonts w:ascii="Verdana" w:hAnsi="Verdana" w:cs="Arial"/>
          <w:color w:val="000000" w:themeColor="text1"/>
          <w:lang w:val="es-ES" w:eastAsia="es-CO"/>
        </w:rPr>
      </w:pPr>
      <w:r w:rsidRPr="00A27D65">
        <w:rPr>
          <w:rFonts w:ascii="Verdana" w:eastAsia="Times New Roman" w:hAnsi="Verdana" w:cs="Arial"/>
          <w:color w:val="000000" w:themeColor="text1"/>
          <w:lang w:val="es-ES" w:eastAsia="es-CO"/>
        </w:rPr>
        <w:t>Atentamente,</w:t>
      </w:r>
      <w:r w:rsidRPr="00A27D65">
        <w:rPr>
          <w:rFonts w:ascii="Verdana" w:hAnsi="Verdana" w:cs="Arial"/>
          <w:color w:val="000000" w:themeColor="text1"/>
          <w:lang w:val="es-ES" w:eastAsia="es-CO"/>
        </w:rPr>
        <w:t xml:space="preserve"> </w:t>
      </w:r>
    </w:p>
    <w:p w14:paraId="25566A1F" w14:textId="482DCC4C" w:rsidR="00A57C48" w:rsidRPr="00A27D65" w:rsidRDefault="002847C4" w:rsidP="00A57C48">
      <w:pPr>
        <w:spacing w:after="0" w:line="276" w:lineRule="auto"/>
        <w:rPr>
          <w:rFonts w:ascii="Verdana" w:hAnsi="Verdana" w:cs="Arial"/>
          <w:color w:val="000000" w:themeColor="text1"/>
          <w:lang w:val="es-ES" w:eastAsia="es-CO"/>
        </w:rPr>
      </w:pPr>
      <w:r w:rsidRPr="000E2097">
        <w:rPr>
          <w:rFonts w:ascii="Century Gothic" w:hAnsi="Century Gothic"/>
          <w:noProof/>
          <w:lang w:val="es-ES"/>
        </w:rPr>
        <w:drawing>
          <wp:anchor distT="0" distB="0" distL="114300" distR="114300" simplePos="0" relativeHeight="251659264" behindDoc="0" locked="0" layoutInCell="1" allowOverlap="1" wp14:anchorId="2A256B34" wp14:editId="59E78505">
            <wp:simplePos x="0" y="0"/>
            <wp:positionH relativeFrom="column">
              <wp:posOffset>985422</wp:posOffset>
            </wp:positionH>
            <wp:positionV relativeFrom="paragraph">
              <wp:posOffset>70429</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31DFE7" w14:textId="14562749" w:rsidR="00A57C48" w:rsidRPr="00A27D65" w:rsidRDefault="00A57C48" w:rsidP="00A57C48">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57C48" w:rsidRPr="00A27D65" w14:paraId="2CCA645A" w14:textId="77777777" w:rsidTr="005A3AD8">
        <w:trPr>
          <w:trHeight w:val="315"/>
        </w:trPr>
        <w:tc>
          <w:tcPr>
            <w:tcW w:w="893" w:type="dxa"/>
            <w:vAlign w:val="center"/>
            <w:hideMark/>
          </w:tcPr>
          <w:p w14:paraId="3767AD69" w14:textId="77777777" w:rsidR="00A57C48" w:rsidRPr="00A27D65" w:rsidRDefault="00A57C48" w:rsidP="005A3AD8">
            <w:pPr>
              <w:contextualSpacing/>
              <w:rPr>
                <w:rFonts w:ascii="Verdana" w:hAnsi="Verdana" w:cs="Arial"/>
                <w:sz w:val="16"/>
                <w:szCs w:val="16"/>
                <w:lang w:val="es-ES" w:eastAsia="es-ES"/>
              </w:rPr>
            </w:pPr>
            <w:r w:rsidRPr="00A27D6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F745ECD" w14:textId="77777777" w:rsidR="00A57C48" w:rsidRPr="00A27D65" w:rsidRDefault="00A57C48" w:rsidP="005A3AD8">
            <w:pPr>
              <w:contextualSpacing/>
              <w:rPr>
                <w:rFonts w:ascii="Verdana" w:eastAsia="Arial" w:hAnsi="Verdana" w:cs="Arial"/>
                <w:color w:val="000000" w:themeColor="text1"/>
                <w:sz w:val="16"/>
                <w:szCs w:val="16"/>
                <w:lang w:val="es-ES"/>
              </w:rPr>
            </w:pPr>
            <w:r w:rsidRPr="00A27D65">
              <w:rPr>
                <w:rFonts w:ascii="Verdana" w:eastAsia="Arial" w:hAnsi="Verdana" w:cs="Arial"/>
                <w:color w:val="000000" w:themeColor="text1"/>
                <w:sz w:val="16"/>
                <w:szCs w:val="16"/>
                <w:lang w:val="es-ES"/>
              </w:rPr>
              <w:t>Anamaría Bonilla Prieto</w:t>
            </w:r>
          </w:p>
          <w:p w14:paraId="4E65A727" w14:textId="77777777" w:rsidR="00A57C48" w:rsidRPr="00A27D65" w:rsidRDefault="00A57C48" w:rsidP="005A3AD8">
            <w:pPr>
              <w:contextualSpacing/>
              <w:rPr>
                <w:rFonts w:ascii="Verdana" w:eastAsia="Arial" w:hAnsi="Verdana" w:cs="Arial"/>
                <w:sz w:val="16"/>
                <w:szCs w:val="16"/>
                <w:lang w:val="es-ES"/>
              </w:rPr>
            </w:pPr>
            <w:r w:rsidRPr="00A27D65">
              <w:rPr>
                <w:rStyle w:val="normaltextrun"/>
                <w:rFonts w:ascii="Verdana" w:eastAsia="Arial" w:hAnsi="Verdana" w:cs="Arial"/>
                <w:color w:val="000000" w:themeColor="text1"/>
                <w:sz w:val="16"/>
                <w:szCs w:val="16"/>
                <w:lang w:val="es-ES"/>
              </w:rPr>
              <w:t xml:space="preserve">Contratista de la Subdirección </w:t>
            </w:r>
            <w:r w:rsidRPr="00A27D65">
              <w:rPr>
                <w:rStyle w:val="normaltextrun"/>
                <w:rFonts w:ascii="Verdana" w:eastAsia="Arial" w:hAnsi="Verdana" w:cs="Arial"/>
                <w:sz w:val="16"/>
                <w:szCs w:val="16"/>
                <w:lang w:val="es-ES"/>
              </w:rPr>
              <w:t>de Gestión Contractual</w:t>
            </w:r>
          </w:p>
        </w:tc>
      </w:tr>
      <w:tr w:rsidR="00A57C48" w:rsidRPr="00A27D65" w14:paraId="77CB5D5C" w14:textId="77777777" w:rsidTr="005A3AD8">
        <w:trPr>
          <w:trHeight w:val="330"/>
        </w:trPr>
        <w:tc>
          <w:tcPr>
            <w:tcW w:w="893" w:type="dxa"/>
            <w:vAlign w:val="center"/>
            <w:hideMark/>
          </w:tcPr>
          <w:p w14:paraId="6B789AB9" w14:textId="77777777" w:rsidR="00A57C48" w:rsidRPr="00A27D65" w:rsidRDefault="00A57C48" w:rsidP="005A3AD8">
            <w:pPr>
              <w:contextualSpacing/>
              <w:rPr>
                <w:rFonts w:ascii="Verdana" w:hAnsi="Verdana" w:cs="Arial"/>
                <w:sz w:val="16"/>
                <w:szCs w:val="16"/>
                <w:lang w:val="es-ES" w:eastAsia="es-ES"/>
              </w:rPr>
            </w:pPr>
            <w:r w:rsidRPr="00A27D6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D496BC" w14:textId="77777777" w:rsidR="00A57C48" w:rsidRPr="00A27D65" w:rsidRDefault="00A57C48" w:rsidP="005A3AD8">
            <w:pPr>
              <w:spacing w:line="276" w:lineRule="auto"/>
              <w:contextualSpacing/>
              <w:textAlignment w:val="baseline"/>
              <w:rPr>
                <w:rStyle w:val="normaltextrun"/>
                <w:rFonts w:ascii="Verdana" w:eastAsia="Arial" w:hAnsi="Verdana"/>
                <w:color w:val="000000" w:themeColor="text1"/>
                <w:sz w:val="16"/>
                <w:szCs w:val="16"/>
                <w:lang w:val="es-ES"/>
              </w:rPr>
            </w:pPr>
            <w:r w:rsidRPr="00A27D65">
              <w:rPr>
                <w:rStyle w:val="normaltextrun"/>
                <w:rFonts w:ascii="Verdana" w:eastAsia="Arial" w:hAnsi="Verdana"/>
                <w:color w:val="000000" w:themeColor="text1"/>
                <w:sz w:val="16"/>
                <w:szCs w:val="16"/>
                <w:lang w:val="es-ES"/>
              </w:rPr>
              <w:t>Alejandro Sarmiento Cantillo</w:t>
            </w:r>
          </w:p>
          <w:p w14:paraId="52A75096" w14:textId="77777777" w:rsidR="00A57C48" w:rsidRPr="00A27D65" w:rsidRDefault="00A57C48" w:rsidP="005A3AD8">
            <w:pPr>
              <w:pStyle w:val="paragraph"/>
              <w:spacing w:before="0" w:beforeAutospacing="0" w:after="0" w:afterAutospacing="0"/>
              <w:contextualSpacing/>
              <w:textAlignment w:val="baseline"/>
              <w:rPr>
                <w:rFonts w:ascii="Verdana" w:hAnsi="Verdana" w:cs="Segoe UI"/>
                <w:sz w:val="16"/>
                <w:szCs w:val="16"/>
                <w:lang w:val="es-ES"/>
              </w:rPr>
            </w:pPr>
            <w:r w:rsidRPr="00A27D65">
              <w:rPr>
                <w:rStyle w:val="normaltextrun"/>
                <w:rFonts w:ascii="Verdana" w:eastAsia="Arial" w:hAnsi="Verdana"/>
                <w:color w:val="000000" w:themeColor="text1"/>
                <w:sz w:val="16"/>
                <w:szCs w:val="16"/>
                <w:lang w:val="es-ES" w:eastAsia="en-US"/>
              </w:rPr>
              <w:t xml:space="preserve">Gestor T1 – 15 </w:t>
            </w:r>
            <w:r w:rsidRPr="00A27D65">
              <w:rPr>
                <w:rStyle w:val="normaltextrun"/>
                <w:rFonts w:ascii="Verdana" w:eastAsia="Arial" w:hAnsi="Verdana" w:cs="Arial"/>
                <w:color w:val="000000" w:themeColor="text1"/>
                <w:sz w:val="16"/>
                <w:szCs w:val="16"/>
                <w:lang w:val="es-ES" w:eastAsia="en-US"/>
              </w:rPr>
              <w:t>de la Subdirección de Gestión Contractual</w:t>
            </w:r>
            <w:r w:rsidRPr="00A27D65">
              <w:rPr>
                <w:rStyle w:val="eop"/>
                <w:rFonts w:ascii="Verdana" w:hAnsi="Verdana" w:cs="Arial"/>
                <w:sz w:val="16"/>
                <w:szCs w:val="16"/>
                <w:lang w:val="es-ES"/>
              </w:rPr>
              <w:t> </w:t>
            </w:r>
          </w:p>
        </w:tc>
      </w:tr>
      <w:tr w:rsidR="00A57C48" w:rsidRPr="00A27D65" w14:paraId="75B797AA" w14:textId="77777777" w:rsidTr="005A3AD8">
        <w:trPr>
          <w:trHeight w:val="300"/>
        </w:trPr>
        <w:tc>
          <w:tcPr>
            <w:tcW w:w="893" w:type="dxa"/>
            <w:vAlign w:val="center"/>
          </w:tcPr>
          <w:p w14:paraId="4FC98E94" w14:textId="77777777" w:rsidR="00A57C48" w:rsidRPr="00A27D65" w:rsidRDefault="00A57C48" w:rsidP="005A3AD8">
            <w:pPr>
              <w:contextualSpacing/>
              <w:rPr>
                <w:rFonts w:ascii="Verdana" w:hAnsi="Verdana" w:cs="Arial"/>
                <w:sz w:val="16"/>
                <w:szCs w:val="16"/>
                <w:lang w:val="es-ES" w:eastAsia="es-ES"/>
              </w:rPr>
            </w:pPr>
            <w:r w:rsidRPr="00A27D6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6F9CDC" w14:textId="77777777" w:rsidR="00A57C48" w:rsidRPr="00A27D65" w:rsidRDefault="00A57C48" w:rsidP="005A3AD8">
            <w:pPr>
              <w:contextualSpacing/>
              <w:rPr>
                <w:rFonts w:ascii="Verdana" w:eastAsia="Calibri" w:hAnsi="Verdana" w:cs="Arial"/>
                <w:sz w:val="16"/>
                <w:szCs w:val="16"/>
                <w:lang w:val="es-ES" w:eastAsia="es-ES"/>
              </w:rPr>
            </w:pPr>
            <w:r w:rsidRPr="00A27D65">
              <w:rPr>
                <w:rFonts w:ascii="Verdana" w:eastAsia="Calibri" w:hAnsi="Verdana" w:cs="Arial"/>
                <w:sz w:val="16"/>
                <w:szCs w:val="16"/>
                <w:lang w:val="es-ES" w:eastAsia="es-ES"/>
              </w:rPr>
              <w:t>Carolina Quintero Gacharná</w:t>
            </w:r>
          </w:p>
          <w:p w14:paraId="0EE15647" w14:textId="77777777" w:rsidR="00A57C48" w:rsidRPr="00A27D65" w:rsidRDefault="00A57C48" w:rsidP="005A3AD8">
            <w:pPr>
              <w:contextualSpacing/>
              <w:rPr>
                <w:rFonts w:ascii="Verdana" w:eastAsia="Calibri" w:hAnsi="Verdana" w:cs="Arial"/>
                <w:sz w:val="16"/>
                <w:szCs w:val="16"/>
                <w:lang w:val="es-ES" w:eastAsia="es-ES"/>
              </w:rPr>
            </w:pPr>
            <w:r w:rsidRPr="00A27D65">
              <w:rPr>
                <w:rFonts w:ascii="Verdana" w:eastAsia="Calibri" w:hAnsi="Verdana" w:cs="Arial"/>
                <w:sz w:val="16"/>
                <w:szCs w:val="16"/>
                <w:lang w:val="es-ES" w:eastAsia="es-ES"/>
              </w:rPr>
              <w:t>Subdirectora de Gestión Contractual ANCP – CCE</w:t>
            </w:r>
          </w:p>
        </w:tc>
      </w:tr>
    </w:tbl>
    <w:p w14:paraId="1F425C9B" w14:textId="607C3417" w:rsidR="00A57C48" w:rsidRPr="00A27D65" w:rsidRDefault="00A57C48" w:rsidP="00A57C48">
      <w:pPr>
        <w:spacing w:after="0" w:line="276" w:lineRule="auto"/>
        <w:jc w:val="center"/>
        <w:rPr>
          <w:rFonts w:ascii="Verdana" w:hAnsi="Verdana"/>
          <w:lang w:val="es-ES"/>
        </w:rPr>
      </w:pPr>
    </w:p>
    <w:p w14:paraId="4FE765EC" w14:textId="77777777" w:rsidR="00A57C48" w:rsidRPr="00A27D65" w:rsidRDefault="00A57C48" w:rsidP="00A57C48">
      <w:pPr>
        <w:spacing w:after="0" w:line="240" w:lineRule="auto"/>
        <w:textAlignment w:val="baseline"/>
        <w:rPr>
          <w:rFonts w:ascii="Verdana" w:eastAsia="Times New Roman" w:hAnsi="Verdana" w:cs="Segoe UI"/>
          <w:b/>
          <w:bCs/>
          <w:color w:val="46589C"/>
          <w:lang w:val="es-ES" w:eastAsia="es-CO"/>
        </w:rPr>
      </w:pPr>
    </w:p>
    <w:p w14:paraId="0B1470D3" w14:textId="77777777" w:rsidR="00A57C48" w:rsidRPr="00A27D65" w:rsidRDefault="00A57C48" w:rsidP="00A57C48">
      <w:pPr>
        <w:rPr>
          <w:rFonts w:ascii="Verdana" w:hAnsi="Verdana"/>
          <w:lang w:val="es-ES"/>
        </w:rPr>
      </w:pPr>
    </w:p>
    <w:p w14:paraId="0F293BF4" w14:textId="5ACEBD54" w:rsidR="00127233" w:rsidRPr="00985DB5" w:rsidRDefault="00127233" w:rsidP="00985DB5"/>
    <w:sectPr w:rsidR="00127233" w:rsidRPr="00985DB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3A6C8" w14:textId="77777777" w:rsidR="00580E38" w:rsidRDefault="00580E38" w:rsidP="004A1847">
      <w:pPr>
        <w:spacing w:after="0" w:line="240" w:lineRule="auto"/>
      </w:pPr>
      <w:r>
        <w:separator/>
      </w:r>
    </w:p>
  </w:endnote>
  <w:endnote w:type="continuationSeparator" w:id="0">
    <w:p w14:paraId="43058A5D" w14:textId="77777777" w:rsidR="00580E38" w:rsidRDefault="00580E38" w:rsidP="004A1847">
      <w:pPr>
        <w:spacing w:after="0" w:line="240" w:lineRule="auto"/>
      </w:pPr>
      <w:r>
        <w:continuationSeparator/>
      </w:r>
    </w:p>
  </w:endnote>
  <w:endnote w:type="continuationNotice" w:id="1">
    <w:p w14:paraId="186FFC21" w14:textId="77777777" w:rsidR="00580E38" w:rsidRDefault="00580E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8F4FF" w14:textId="77777777" w:rsidR="00580E38" w:rsidRDefault="00580E38" w:rsidP="004A1847">
      <w:pPr>
        <w:spacing w:after="0" w:line="240" w:lineRule="auto"/>
      </w:pPr>
      <w:r>
        <w:separator/>
      </w:r>
    </w:p>
  </w:footnote>
  <w:footnote w:type="continuationSeparator" w:id="0">
    <w:p w14:paraId="01401D9C" w14:textId="77777777" w:rsidR="00580E38" w:rsidRDefault="00580E38" w:rsidP="004A1847">
      <w:pPr>
        <w:spacing w:after="0" w:line="240" w:lineRule="auto"/>
      </w:pPr>
      <w:r>
        <w:continuationSeparator/>
      </w:r>
    </w:p>
  </w:footnote>
  <w:footnote w:type="continuationNotice" w:id="1">
    <w:p w14:paraId="43FA0298" w14:textId="77777777" w:rsidR="00580E38" w:rsidRDefault="00580E38">
      <w:pPr>
        <w:spacing w:after="0" w:line="240" w:lineRule="auto"/>
      </w:pPr>
    </w:p>
  </w:footnote>
  <w:footnote w:id="2">
    <w:p w14:paraId="54A6E932" w14:textId="77777777" w:rsidR="00A57C48" w:rsidRPr="005B67C0" w:rsidRDefault="00A57C48" w:rsidP="00A57C48">
      <w:pPr>
        <w:pStyle w:val="Textonotapie"/>
        <w:snapToGrid w:val="0"/>
        <w:ind w:firstLine="708"/>
        <w:jc w:val="both"/>
        <w:rPr>
          <w:rFonts w:ascii="Verdana" w:hAnsi="Verdana"/>
          <w:sz w:val="16"/>
          <w:szCs w:val="16"/>
        </w:rPr>
      </w:pPr>
      <w:r w:rsidRPr="005B67C0">
        <w:rPr>
          <w:rStyle w:val="Refdenotaalpie"/>
          <w:rFonts w:ascii="Verdana" w:hAnsi="Verdana"/>
          <w:sz w:val="16"/>
          <w:szCs w:val="16"/>
        </w:rPr>
        <w:footnoteRef/>
      </w:r>
      <w:r w:rsidRPr="005B67C0">
        <w:rPr>
          <w:rFonts w:ascii="Verdana" w:hAnsi="Verdana"/>
          <w:sz w:val="16"/>
          <w:szCs w:val="16"/>
        </w:rPr>
        <w:t xml:space="preserve"> Agencia Nacional de Contratación Pública – Colombia Compra Eficiente, Subdirección de Gestión Contractual. Concepto C-568 del 24 de junio de 2025.</w:t>
      </w:r>
    </w:p>
  </w:footnote>
  <w:footnote w:id="3">
    <w:p w14:paraId="224D0399" w14:textId="77777777" w:rsidR="00A57C48" w:rsidRPr="005B67C0" w:rsidRDefault="00A57C48" w:rsidP="00A57C48">
      <w:pPr>
        <w:pStyle w:val="Textonotapie"/>
        <w:snapToGrid w:val="0"/>
        <w:ind w:firstLine="708"/>
        <w:jc w:val="both"/>
        <w:rPr>
          <w:rFonts w:ascii="Verdana" w:hAnsi="Verdana"/>
          <w:sz w:val="16"/>
          <w:szCs w:val="16"/>
        </w:rPr>
      </w:pPr>
      <w:r w:rsidRPr="005B67C0">
        <w:rPr>
          <w:rStyle w:val="Refdenotaalpie"/>
          <w:rFonts w:ascii="Verdana" w:hAnsi="Verdana"/>
          <w:sz w:val="16"/>
          <w:szCs w:val="16"/>
        </w:rPr>
        <w:footnoteRef/>
      </w:r>
      <w:r w:rsidRPr="005B67C0">
        <w:rPr>
          <w:rFonts w:ascii="Verdana" w:hAnsi="Verdana"/>
          <w:sz w:val="16"/>
          <w:szCs w:val="16"/>
        </w:rPr>
        <w:t xml:space="preserve"> Agencia Nacional de Contratación Pública – Colombia Compra Eficiente, Subdirección de Gestión Contractual. Concepto C-755 del 23 de julio de 2025. En el mismo sentido, Concepto C-568 del 24 de junio de 2025.</w:t>
      </w:r>
    </w:p>
  </w:footnote>
  <w:footnote w:id="4">
    <w:p w14:paraId="7F8FD5A7"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C045609"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1.    Si es una persona natural:</w:t>
      </w:r>
    </w:p>
    <w:p w14:paraId="5D658689"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1.1. Bienes, obras y servicios que ofrecerá a las Entidades Estatales, identificados con el Clasificador de Bienes y Servicios en el tercer nivel.</w:t>
      </w:r>
    </w:p>
    <w:p w14:paraId="1AE72BDC"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18A5497" w14:textId="77777777" w:rsidR="00A57C48" w:rsidRPr="005B67C0" w:rsidRDefault="00A57C48" w:rsidP="00A57C48">
      <w:pPr>
        <w:pStyle w:val="Textonotapie"/>
        <w:snapToGrid w:val="0"/>
        <w:ind w:firstLine="708"/>
        <w:jc w:val="both"/>
        <w:rPr>
          <w:rFonts w:ascii="Verdana" w:hAnsi="Verdana" w:cs="Arial"/>
          <w:sz w:val="16"/>
          <w:szCs w:val="16"/>
          <w:lang w:val="es-ES"/>
        </w:rPr>
      </w:pPr>
    </w:p>
  </w:footnote>
  <w:footnote w:id="5">
    <w:p w14:paraId="22DBEB24" w14:textId="77777777" w:rsidR="00A57C48" w:rsidRPr="005B67C0" w:rsidRDefault="00A57C48" w:rsidP="00A57C48">
      <w:pPr>
        <w:pStyle w:val="Textonotapie"/>
        <w:snapToGrid w:val="0"/>
        <w:ind w:firstLine="709"/>
        <w:jc w:val="both"/>
        <w:rPr>
          <w:rFonts w:ascii="Verdana" w:hAnsi="Verdana"/>
          <w:sz w:val="16"/>
          <w:szCs w:val="16"/>
        </w:rPr>
      </w:pPr>
      <w:r w:rsidRPr="005B67C0">
        <w:rPr>
          <w:rStyle w:val="Refdenotaalpie"/>
          <w:rFonts w:ascii="Verdana" w:hAnsi="Verdana"/>
          <w:sz w:val="16"/>
          <w:szCs w:val="16"/>
        </w:rPr>
        <w:footnoteRef/>
      </w:r>
      <w:r w:rsidRPr="005B67C0">
        <w:rPr>
          <w:rFonts w:ascii="Verdana" w:hAnsi="Verdana"/>
          <w:sz w:val="16"/>
          <w:szCs w:val="16"/>
        </w:rPr>
        <w:t xml:space="preserve"> En </w:t>
      </w:r>
      <w:hyperlink r:id="rId1" w:history="1">
        <w:r w:rsidRPr="005B67C0">
          <w:rPr>
            <w:rStyle w:val="Hipervnculo"/>
            <w:rFonts w:ascii="Verdana" w:hAnsi="Verdana"/>
            <w:sz w:val="16"/>
            <w:szCs w:val="16"/>
            <w:lang w:val="es-CO"/>
          </w:rPr>
          <w:t>cce-eicp-ma-04._manual_requisitos_habilitantes_v3_29-09-2023.pdf</w:t>
        </w:r>
      </w:hyperlink>
    </w:p>
    <w:p w14:paraId="69D88616" w14:textId="77777777" w:rsidR="00A57C48" w:rsidRPr="005B67C0" w:rsidRDefault="00A57C48" w:rsidP="00A57C48">
      <w:pPr>
        <w:pStyle w:val="Textonotapie"/>
        <w:snapToGrid w:val="0"/>
        <w:ind w:firstLine="709"/>
        <w:jc w:val="both"/>
        <w:rPr>
          <w:rFonts w:ascii="Verdana" w:hAnsi="Verdana"/>
          <w:sz w:val="16"/>
          <w:szCs w:val="16"/>
        </w:rPr>
      </w:pPr>
    </w:p>
  </w:footnote>
  <w:footnote w:id="6">
    <w:p w14:paraId="329CFB2B"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Colombia Compra Eficiente, Manual para determinar y verificar requisitos habilitantes en los procesos de contratación: </w:t>
      </w:r>
    </w:p>
    <w:p w14:paraId="4B5C8028"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w:t>
      </w:r>
    </w:p>
    <w:p w14:paraId="36AD48B6"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30CB4137"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00919F52"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w:t>
      </w:r>
    </w:p>
    <w:p w14:paraId="6D99B313" w14:textId="77777777" w:rsidR="00A57C48" w:rsidRPr="005B67C0" w:rsidRDefault="00A57C48" w:rsidP="00A57C48">
      <w:pPr>
        <w:pStyle w:val="Textonotapie"/>
        <w:snapToGrid w:val="0"/>
        <w:ind w:firstLine="708"/>
        <w:jc w:val="both"/>
        <w:rPr>
          <w:rFonts w:ascii="Verdana" w:hAnsi="Verdana" w:cs="Arial"/>
          <w:sz w:val="16"/>
          <w:szCs w:val="16"/>
        </w:rPr>
      </w:pPr>
    </w:p>
  </w:footnote>
  <w:footnote w:id="7">
    <w:p w14:paraId="3C77D923" w14:textId="77777777" w:rsidR="00A57C48" w:rsidRPr="005B67C0" w:rsidRDefault="00A57C48" w:rsidP="00A57C48">
      <w:pPr>
        <w:pStyle w:val="Textonotapie"/>
        <w:snapToGrid w:val="0"/>
        <w:ind w:firstLine="709"/>
        <w:jc w:val="both"/>
        <w:rPr>
          <w:rFonts w:ascii="Verdana" w:hAnsi="Verdana"/>
          <w:sz w:val="16"/>
          <w:szCs w:val="16"/>
          <w:lang w:val="es-CO"/>
        </w:rPr>
      </w:pPr>
      <w:r w:rsidRPr="005B67C0">
        <w:rPr>
          <w:rStyle w:val="Refdenotaalpie"/>
          <w:rFonts w:ascii="Verdana" w:hAnsi="Verdana"/>
          <w:sz w:val="16"/>
          <w:szCs w:val="16"/>
        </w:rPr>
        <w:footnoteRef/>
      </w:r>
      <w:r w:rsidRPr="005B67C0">
        <w:rPr>
          <w:rFonts w:ascii="Verdana" w:hAnsi="Verdana"/>
          <w:sz w:val="16"/>
          <w:szCs w:val="16"/>
        </w:rPr>
        <w:t xml:space="preserve"> </w:t>
      </w:r>
      <w:r w:rsidRPr="005B67C0">
        <w:rPr>
          <w:rFonts w:ascii="Verdana" w:hAnsi="Verdana" w:cs="Arial"/>
          <w:sz w:val="16"/>
          <w:szCs w:val="16"/>
          <w:lang w:val="es-CO"/>
        </w:rPr>
        <w:t>Consejo de Estado. Sección Tercera. Sentencia del 20 de abril del 2022. Radicación Nro. 54482. C.P.: Jaime Enrique Rodríguez Navas.</w:t>
      </w:r>
    </w:p>
  </w:footnote>
  <w:footnote w:id="8">
    <w:p w14:paraId="5CD1F50C" w14:textId="77777777" w:rsidR="00A57C48" w:rsidRPr="005B67C0" w:rsidRDefault="00A57C48" w:rsidP="00A57C48">
      <w:pPr>
        <w:pStyle w:val="Textonotapie"/>
        <w:snapToGrid w:val="0"/>
        <w:jc w:val="both"/>
        <w:rPr>
          <w:rFonts w:ascii="Verdana" w:hAnsi="Verdana"/>
          <w:sz w:val="16"/>
          <w:szCs w:val="16"/>
          <w:lang w:val="es-ES"/>
        </w:rPr>
      </w:pPr>
      <w:r w:rsidRPr="005B67C0">
        <w:rPr>
          <w:rStyle w:val="Refdenotaalpie"/>
          <w:rFonts w:ascii="Verdana" w:hAnsi="Verdana"/>
          <w:sz w:val="16"/>
          <w:szCs w:val="16"/>
        </w:rPr>
        <w:footnoteRef/>
      </w:r>
      <w:r w:rsidRPr="005B67C0">
        <w:rPr>
          <w:rFonts w:ascii="Verdana" w:hAnsi="Verdana"/>
          <w:sz w:val="16"/>
          <w:szCs w:val="16"/>
        </w:rPr>
        <w:t xml:space="preserve"> </w:t>
      </w:r>
      <w:r w:rsidRPr="005B67C0">
        <w:rPr>
          <w:rFonts w:ascii="Verdana" w:eastAsia="Calibri" w:hAnsi="Verdana" w:cs="Arial"/>
          <w:sz w:val="16"/>
          <w:szCs w:val="16"/>
        </w:rPr>
        <w:t xml:space="preserve">En el concepto C-002 del 20 de febrero de 2020, reiterado en los conceptos C-491 del 27 de julio de 2020, C-350 del 1 de junio de 2020, C-584 del 31 de agosto de 2020, C-002 del 9 de febrero de 2021, C-115 del 29 de marzo de 2021, C-343 del 13 de julio de 2021 y C-342 del 13 de julio de 2021, la Subdirección modificó la tesis que hasta ese momento había sostenido, en virtud de la cual se afirmaba que en las reformas estatutarias que implicaban una escisión o una fusión de las personas jurídicas no era posible la transferencia de la experiencia, ya que esta era personal e intransferible, según una interpretación del artículo 2.2.1.1.1.5.3. del Decreto 1082 de 2015, que establece que </w:t>
      </w:r>
      <w:bookmarkStart w:id="5" w:name="_Hlk113212671"/>
      <w:r w:rsidRPr="005B67C0">
        <w:rPr>
          <w:rFonts w:ascii="Verdana" w:eastAsia="Calibri" w:hAnsi="Verdana" w:cs="Arial"/>
          <w:sz w:val="16"/>
          <w:szCs w:val="16"/>
        </w:rPr>
        <w:t xml:space="preserve">se debe verificar la experiencia de </w:t>
      </w:r>
      <w:bookmarkEnd w:id="5"/>
      <w:r w:rsidRPr="005B67C0">
        <w:rPr>
          <w:rFonts w:ascii="Verdana" w:eastAsia="Calibri" w:hAnsi="Verdana" w:cs="Arial"/>
          <w:sz w:val="16"/>
          <w:szCs w:val="16"/>
        </w:rPr>
        <w:t xml:space="preserve">“los contratos celebrados por el interesado para cada uno de los bienes, obras y servicios que ofrecerá a las Entidades Estatales, identificados con el Clasificador de Bienes y Servicios en el tercer nivel y su valor expresado en SMMLV […]”. </w:t>
      </w:r>
    </w:p>
  </w:footnote>
  <w:footnote w:id="9">
    <w:p w14:paraId="7DB2A552"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497D446F"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El nombre de la sociedad disuelta deberá adicionarse siempre con la expresión ‘en liquidación’. Los encargados de realizarla responderán de los daños y perjuicios que se deriven por dicha omisión”.</w:t>
      </w:r>
    </w:p>
    <w:p w14:paraId="65B723B9" w14:textId="77777777" w:rsidR="00A57C48" w:rsidRPr="005B67C0" w:rsidRDefault="00A57C48" w:rsidP="00A57C48">
      <w:pPr>
        <w:pStyle w:val="Textonotapie"/>
        <w:snapToGrid w:val="0"/>
        <w:jc w:val="both"/>
        <w:rPr>
          <w:rFonts w:ascii="Verdana" w:hAnsi="Verdana" w:cs="Arial"/>
          <w:sz w:val="16"/>
          <w:szCs w:val="16"/>
          <w:lang w:val="es-CO"/>
        </w:rPr>
      </w:pPr>
    </w:p>
  </w:footnote>
  <w:footnote w:id="10">
    <w:p w14:paraId="3DE26266"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Ver artículos 225 y ss. del Código de Comercio.</w:t>
      </w:r>
    </w:p>
    <w:p w14:paraId="30E5B600" w14:textId="77777777" w:rsidR="00A57C48" w:rsidRPr="005B67C0" w:rsidRDefault="00A57C48" w:rsidP="00A57C48">
      <w:pPr>
        <w:pStyle w:val="Textonotapie"/>
        <w:snapToGrid w:val="0"/>
        <w:ind w:firstLine="708"/>
        <w:jc w:val="both"/>
        <w:rPr>
          <w:rFonts w:ascii="Verdana" w:hAnsi="Verdana" w:cs="Arial"/>
          <w:sz w:val="16"/>
          <w:szCs w:val="16"/>
          <w:lang w:val="es-CO"/>
        </w:rPr>
      </w:pPr>
      <w:r w:rsidRPr="005B67C0">
        <w:rPr>
          <w:rFonts w:ascii="Verdana" w:hAnsi="Verdana" w:cs="Arial"/>
          <w:sz w:val="16"/>
          <w:szCs w:val="16"/>
        </w:rPr>
        <w:t xml:space="preserve"> </w:t>
      </w:r>
    </w:p>
  </w:footnote>
  <w:footnote w:id="11">
    <w:p w14:paraId="7783FAC2"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038F017F" w14:textId="18054A18" w:rsidR="00A57C48" w:rsidRPr="005B67C0" w:rsidRDefault="00A57C48" w:rsidP="00900DE8">
      <w:pPr>
        <w:pStyle w:val="Textonotapie"/>
        <w:snapToGrid w:val="0"/>
        <w:ind w:firstLine="708"/>
        <w:jc w:val="both"/>
        <w:rPr>
          <w:rFonts w:ascii="Verdana" w:hAnsi="Verdana" w:cs="Arial"/>
          <w:sz w:val="16"/>
          <w:szCs w:val="16"/>
        </w:rPr>
      </w:pPr>
      <w:r w:rsidRPr="005B67C0">
        <w:rPr>
          <w:rFonts w:ascii="Verdana" w:hAnsi="Verdana" w:cs="Arial"/>
          <w:sz w:val="16"/>
          <w:szCs w:val="16"/>
        </w:rPr>
        <w:t>La transformación no producirá solución de continuidad en la existencia de la sociedad como persona jurídica, ni en sus actividades ni en su patrimonio”.</w:t>
      </w:r>
    </w:p>
  </w:footnote>
  <w:footnote w:id="12">
    <w:p w14:paraId="20392295"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Ley 222 de 1995: “Artículo 3. Modalidades. Habrá escisión cuando:</w:t>
      </w:r>
    </w:p>
    <w:p w14:paraId="4AF05F82"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1. Una sociedad sin disolverse, transfiere en bloque una o varias partes de su patrimonio a una o más sociedades existentes o las destina a la creación de una o varias sociedades.</w:t>
      </w:r>
    </w:p>
    <w:p w14:paraId="028CCC9B"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2. Una sociedad se disuelve sin liquidarse, dividiendo su patrimonio en dos o más partes, que se transfieren a varias sociedades existentes o se destinan a la creación de nuevas sociedades.</w:t>
      </w:r>
    </w:p>
    <w:p w14:paraId="6E9209A2"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La sociedad o sociedades destinatarias de las transferencias resultantes de la escisión, se denominarán sociedades beneficiarias.</w:t>
      </w:r>
    </w:p>
    <w:p w14:paraId="738875F3" w14:textId="77777777" w:rsidR="00A57C48" w:rsidRPr="005B67C0" w:rsidRDefault="00A57C48" w:rsidP="00A57C48">
      <w:pPr>
        <w:pStyle w:val="Textonotapie"/>
        <w:snapToGrid w:val="0"/>
        <w:ind w:firstLine="708"/>
        <w:jc w:val="both"/>
        <w:rPr>
          <w:rFonts w:ascii="Verdana" w:hAnsi="Verdana" w:cs="Arial"/>
          <w:sz w:val="16"/>
          <w:szCs w:val="16"/>
          <w:lang w:val="es-CO"/>
        </w:rPr>
      </w:pPr>
      <w:r w:rsidRPr="005B67C0">
        <w:rPr>
          <w:rFonts w:ascii="Verdana" w:hAnsi="Verdana" w:cs="Arial"/>
          <w:sz w:val="16"/>
          <w:szCs w:val="16"/>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13">
    <w:p w14:paraId="5521E3FC"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Código de Comercio: “Artículo 172. Fusión de la sociedad-concepto. Habrá fusión cuando una o más sociedades se disuelvan, sin liquidarse, para ser absorbidas por otra o para crear una nueva.</w:t>
      </w:r>
    </w:p>
    <w:p w14:paraId="3C96C241" w14:textId="25BE07A0" w:rsidR="00A57C48" w:rsidRPr="00900DE8" w:rsidRDefault="00A57C48" w:rsidP="00900DE8">
      <w:pPr>
        <w:pStyle w:val="Textonotapie"/>
        <w:snapToGrid w:val="0"/>
        <w:ind w:firstLine="708"/>
        <w:jc w:val="both"/>
        <w:rPr>
          <w:rFonts w:ascii="Verdana" w:hAnsi="Verdana" w:cs="Arial"/>
          <w:sz w:val="16"/>
          <w:szCs w:val="16"/>
        </w:rPr>
      </w:pPr>
      <w:r w:rsidRPr="005B67C0">
        <w:rPr>
          <w:rFonts w:ascii="Verdana" w:hAnsi="Verdana" w:cs="Arial"/>
          <w:sz w:val="16"/>
          <w:szCs w:val="16"/>
        </w:rPr>
        <w:t>La absorbente o la nueva compañía adquirirá los derechos y obligaciones de la sociedad o sociedades disueltas al formalizarse el acuerdo de fusión”.</w:t>
      </w:r>
    </w:p>
  </w:footnote>
  <w:footnote w:id="14">
    <w:p w14:paraId="681C3A6B" w14:textId="3E3704A9" w:rsidR="00A57C48" w:rsidRPr="00900DE8" w:rsidRDefault="00A57C48" w:rsidP="00900DE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footnote>
  <w:footnote w:id="15">
    <w:p w14:paraId="1DF9FE9A"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w:t>
      </w:r>
    </w:p>
    <w:p w14:paraId="1AA92AB8"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 xml:space="preserve"> las juntas directivas de las sociedades participantes en el proceso de fusión.</w:t>
      </w:r>
    </w:p>
    <w:p w14:paraId="66D8A756"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17895DFE" w14:textId="6FC1A439" w:rsidR="00A57C48" w:rsidRPr="00900DE8" w:rsidRDefault="00A57C48" w:rsidP="00900DE8">
      <w:pPr>
        <w:pStyle w:val="Textonotapie"/>
        <w:snapToGrid w:val="0"/>
        <w:ind w:firstLine="708"/>
        <w:jc w:val="both"/>
        <w:rPr>
          <w:rFonts w:ascii="Verdana" w:hAnsi="Verdana" w:cs="Arial"/>
          <w:sz w:val="16"/>
          <w:szCs w:val="16"/>
        </w:rPr>
      </w:pPr>
      <w:r w:rsidRPr="005B67C0">
        <w:rPr>
          <w:rFonts w:ascii="Verdana" w:hAnsi="Verdana" w:cs="Arial"/>
          <w:sz w:val="16"/>
          <w:szCs w:val="16"/>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footnote>
  <w:footnote w:id="16">
    <w:p w14:paraId="5150E268" w14:textId="7897C7D5" w:rsidR="00A57C48" w:rsidRPr="00900DE8" w:rsidRDefault="00A57C48" w:rsidP="00900DE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Superintendencia de Sociedades. Oficios 220-072759 del 14 de mayo de 2014, 220-100613 del 14 de julio de 2015, 220-079814 del 31 de agosto de 2015,220-142284 del 15 de julio de 2016, 095721 del 16 de junio de 2020.</w:t>
      </w:r>
    </w:p>
  </w:footnote>
  <w:footnote w:id="17">
    <w:p w14:paraId="270A9430" w14:textId="77777777" w:rsidR="00A57C48" w:rsidRPr="005B67C0" w:rsidRDefault="00A57C48" w:rsidP="00A57C48">
      <w:pPr>
        <w:pStyle w:val="Textonotapie"/>
        <w:snapToGrid w:val="0"/>
        <w:ind w:firstLine="708"/>
        <w:jc w:val="both"/>
        <w:rPr>
          <w:rFonts w:ascii="Verdana" w:hAnsi="Verdana"/>
          <w:sz w:val="16"/>
          <w:szCs w:val="16"/>
          <w:lang w:val="es-CO"/>
        </w:rPr>
      </w:pPr>
      <w:r w:rsidRPr="005B67C0">
        <w:rPr>
          <w:rStyle w:val="Refdenotaalpie"/>
          <w:rFonts w:ascii="Verdana" w:hAnsi="Verdana" w:cs="Arial"/>
          <w:sz w:val="16"/>
          <w:szCs w:val="16"/>
        </w:rPr>
        <w:footnoteRef/>
      </w:r>
      <w:r w:rsidRPr="005B67C0">
        <w:rPr>
          <w:rFonts w:ascii="Verdana" w:hAnsi="Verdana" w:cs="Arial"/>
          <w:sz w:val="16"/>
          <w:szCs w:val="16"/>
        </w:rPr>
        <w:t xml:space="preserve"> Superintendencia de Sociedades. Oficio 220- 063311 del 6 de abril de 2020.</w:t>
      </w:r>
    </w:p>
  </w:footnote>
  <w:footnote w:id="18">
    <w:p w14:paraId="5BE3B832" w14:textId="77777777" w:rsidR="00A57C48" w:rsidRPr="005B67C0" w:rsidRDefault="00A57C48" w:rsidP="00A57C48">
      <w:pPr>
        <w:pStyle w:val="Textonotapie"/>
        <w:snapToGrid w:val="0"/>
        <w:ind w:firstLine="708"/>
        <w:jc w:val="both"/>
        <w:rPr>
          <w:rFonts w:ascii="Verdana" w:hAnsi="Verdana" w:cs="Arial"/>
          <w:sz w:val="16"/>
          <w:szCs w:val="16"/>
          <w:lang w:val="es-CO"/>
        </w:rPr>
      </w:pPr>
      <w:r w:rsidRPr="005B67C0">
        <w:rPr>
          <w:rStyle w:val="Refdenotaalpie"/>
          <w:rFonts w:ascii="Verdana" w:hAnsi="Verdana" w:cs="Arial"/>
          <w:sz w:val="16"/>
          <w:szCs w:val="16"/>
        </w:rPr>
        <w:footnoteRef/>
      </w:r>
      <w:r w:rsidRPr="005B67C0">
        <w:rPr>
          <w:rFonts w:ascii="Verdana" w:hAnsi="Verdana" w:cs="Arial"/>
          <w:sz w:val="16"/>
          <w:szCs w:val="16"/>
        </w:rPr>
        <w:t xml:space="preserve"> </w:t>
      </w:r>
      <w:r w:rsidRPr="005B67C0">
        <w:rPr>
          <w:rFonts w:ascii="Verdana" w:hAnsi="Verdana" w:cs="Arial"/>
          <w:sz w:val="16"/>
          <w:szCs w:val="16"/>
          <w:lang w:val="es-CO"/>
        </w:rPr>
        <w:t xml:space="preserve">Decreto 1082 de 2015: “Artículo 2.2.1.1.1.5.3. Requisitos habilitantes contenidos en el RUP. Las cámaras de comercio, con base en la información a la que hace referencia el artículo anterior, deben verificar y certificar los siguientes requisitos habilitantes: </w:t>
      </w:r>
    </w:p>
    <w:p w14:paraId="4A1E504C" w14:textId="77777777" w:rsidR="00A57C48" w:rsidRPr="005B67C0" w:rsidRDefault="00A57C48" w:rsidP="00A57C48">
      <w:pPr>
        <w:pStyle w:val="Textonotapie"/>
        <w:snapToGrid w:val="0"/>
        <w:ind w:firstLine="708"/>
        <w:jc w:val="both"/>
        <w:rPr>
          <w:rFonts w:ascii="Verdana" w:hAnsi="Verdana" w:cs="Arial"/>
          <w:sz w:val="16"/>
          <w:szCs w:val="16"/>
          <w:lang w:val="es-CO"/>
        </w:rPr>
      </w:pPr>
      <w:r w:rsidRPr="005B67C0">
        <w:rPr>
          <w:rFonts w:ascii="Verdana" w:hAnsi="Verdana" w:cs="Arial"/>
          <w:sz w:val="16"/>
          <w:szCs w:val="16"/>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14:paraId="07FB504D" w14:textId="77777777" w:rsidR="00A57C48" w:rsidRPr="005B67C0" w:rsidRDefault="00A57C48" w:rsidP="00A57C48">
      <w:pPr>
        <w:pStyle w:val="Textonotapie"/>
        <w:snapToGrid w:val="0"/>
        <w:ind w:firstLine="708"/>
        <w:jc w:val="both"/>
        <w:rPr>
          <w:rFonts w:ascii="Verdana" w:hAnsi="Verdana"/>
          <w:sz w:val="16"/>
          <w:szCs w:val="16"/>
          <w:lang w:val="es-CO"/>
        </w:rPr>
      </w:pPr>
      <w:r w:rsidRPr="005B67C0">
        <w:rPr>
          <w:rFonts w:ascii="Verdana" w:hAnsi="Verdana" w:cs="Arial"/>
          <w:sz w:val="16"/>
          <w:szCs w:val="16"/>
          <w:lang w:val="es-CO"/>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footnote>
  <w:footnote w:id="19">
    <w:p w14:paraId="4F444189"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892FB04"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 xml:space="preserve">[…] </w:t>
      </w:r>
    </w:p>
    <w:p w14:paraId="09B47E8E" w14:textId="77777777" w:rsidR="00A57C48" w:rsidRPr="005B67C0" w:rsidRDefault="00A57C48" w:rsidP="00A57C48">
      <w:pPr>
        <w:pStyle w:val="Textonotapie"/>
        <w:snapToGrid w:val="0"/>
        <w:ind w:firstLine="708"/>
        <w:jc w:val="both"/>
        <w:rPr>
          <w:rFonts w:ascii="Verdana" w:hAnsi="Verdana" w:cs="Arial"/>
          <w:sz w:val="16"/>
          <w:szCs w:val="16"/>
        </w:rPr>
      </w:pPr>
      <w:r w:rsidRPr="00036985">
        <w:rPr>
          <w:rFonts w:ascii="Verdana" w:hAnsi="Verdana" w:cs="Arial"/>
          <w:sz w:val="16"/>
          <w:szCs w:val="16"/>
          <w:lang w:val="es-CO"/>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sidRPr="005B67C0">
        <w:rPr>
          <w:rFonts w:ascii="Verdana" w:hAnsi="Verdana" w:cs="Arial"/>
          <w:sz w:val="16"/>
          <w:szCs w:val="16"/>
        </w:rPr>
        <w:t>”.</w:t>
      </w:r>
    </w:p>
  </w:footnote>
  <w:footnote w:id="20">
    <w:p w14:paraId="643B0AEA"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81E8E58" w14:textId="77777777" w:rsidR="00A57C48" w:rsidRPr="005B67C0" w:rsidRDefault="00A57C48" w:rsidP="00A57C48">
      <w:pPr>
        <w:pStyle w:val="Textonotapie"/>
        <w:snapToGrid w:val="0"/>
        <w:ind w:firstLine="708"/>
        <w:jc w:val="both"/>
        <w:rPr>
          <w:rFonts w:ascii="Verdana" w:hAnsi="Verdana" w:cs="Arial"/>
          <w:sz w:val="16"/>
          <w:szCs w:val="16"/>
        </w:rPr>
      </w:pPr>
      <w:r w:rsidRPr="005B67C0">
        <w:rPr>
          <w:rFonts w:ascii="Verdana" w:hAnsi="Verdana" w:cs="Arial"/>
          <w:sz w:val="16"/>
          <w:szCs w:val="16"/>
        </w:rPr>
        <w:t xml:space="preserve">[…] </w:t>
      </w:r>
    </w:p>
    <w:p w14:paraId="5747AFEB" w14:textId="77777777" w:rsidR="00A57C48" w:rsidRPr="005B67C0" w:rsidRDefault="00A57C48" w:rsidP="00A57C48">
      <w:pPr>
        <w:pStyle w:val="Textonotapie"/>
        <w:snapToGrid w:val="0"/>
        <w:ind w:firstLine="708"/>
        <w:jc w:val="both"/>
        <w:rPr>
          <w:rFonts w:ascii="Verdana" w:hAnsi="Verdana" w:cs="Arial"/>
          <w:sz w:val="16"/>
          <w:szCs w:val="16"/>
          <w:lang w:val="es-CO"/>
        </w:rPr>
      </w:pPr>
      <w:r w:rsidRPr="005B67C0">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 w:id="21">
    <w:p w14:paraId="74349E10"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21A0C7E5" w14:textId="77777777" w:rsidR="00A57C48" w:rsidRPr="005B67C0" w:rsidRDefault="00A57C48" w:rsidP="00A57C48">
      <w:pPr>
        <w:pStyle w:val="Textonotapie"/>
        <w:snapToGrid w:val="0"/>
        <w:jc w:val="both"/>
        <w:rPr>
          <w:rFonts w:ascii="Verdana" w:hAnsi="Verdana" w:cs="Arial"/>
          <w:sz w:val="16"/>
          <w:szCs w:val="16"/>
          <w:lang w:val="es-CO"/>
        </w:rPr>
      </w:pPr>
      <w:r w:rsidRPr="005B67C0">
        <w:rPr>
          <w:rFonts w:ascii="Verdana" w:hAnsi="Verdana" w:cs="Arial"/>
          <w:sz w:val="16"/>
          <w:szCs w:val="16"/>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22">
    <w:p w14:paraId="30216E3D" w14:textId="77777777" w:rsidR="00A57C48" w:rsidRPr="005B67C0" w:rsidRDefault="00A57C48" w:rsidP="00A57C48">
      <w:pPr>
        <w:pStyle w:val="Textonotapie"/>
        <w:snapToGrid w:val="0"/>
        <w:ind w:firstLine="708"/>
        <w:jc w:val="both"/>
        <w:rPr>
          <w:rFonts w:ascii="Verdana" w:hAnsi="Verdana" w:cs="Arial"/>
          <w:color w:val="000000"/>
          <w:sz w:val="16"/>
          <w:szCs w:val="16"/>
          <w:shd w:val="clear" w:color="auto" w:fill="FFFFFF"/>
        </w:rPr>
      </w:pPr>
      <w:r w:rsidRPr="005B67C0">
        <w:rPr>
          <w:rStyle w:val="Refdenotaalpie"/>
          <w:rFonts w:ascii="Verdana" w:hAnsi="Verdana" w:cs="Arial"/>
          <w:sz w:val="16"/>
          <w:szCs w:val="16"/>
        </w:rPr>
        <w:footnoteRef/>
      </w:r>
      <w:r w:rsidRPr="005B67C0">
        <w:rPr>
          <w:rFonts w:ascii="Verdana" w:hAnsi="Verdana" w:cs="Arial"/>
          <w:sz w:val="16"/>
          <w:szCs w:val="16"/>
        </w:rPr>
        <w:t xml:space="preserve"> </w:t>
      </w:r>
      <w:r w:rsidRPr="005B67C0">
        <w:rPr>
          <w:rStyle w:val="normaltextrun"/>
          <w:rFonts w:ascii="Verdana" w:hAnsi="Verdana" w:cs="Arial"/>
          <w:color w:val="000000"/>
          <w:sz w:val="16"/>
          <w:szCs w:val="16"/>
          <w:shd w:val="clear" w:color="auto" w:fill="FFFFFF"/>
          <w:lang w:val="pt-BR"/>
        </w:rPr>
        <w:t xml:space="preserve">Corte Constitucional. Sentencia C-287 de 2012. </w:t>
      </w:r>
      <w:r w:rsidRPr="005B67C0">
        <w:rPr>
          <w:rStyle w:val="normaltextrun"/>
          <w:rFonts w:ascii="Verdana" w:hAnsi="Verdana" w:cs="Arial"/>
          <w:color w:val="000000"/>
          <w:sz w:val="16"/>
          <w:szCs w:val="16"/>
          <w:shd w:val="clear" w:color="auto" w:fill="FFFFFF"/>
          <w:lang w:val="es-ES"/>
        </w:rPr>
        <w:t>M.P. María Victoria Calle.</w:t>
      </w:r>
      <w:r w:rsidRPr="005B67C0">
        <w:rPr>
          <w:rStyle w:val="eop"/>
          <w:rFonts w:ascii="Verdana" w:hAnsi="Verdana" w:cs="Arial"/>
          <w:color w:val="000000"/>
          <w:sz w:val="16"/>
          <w:szCs w:val="16"/>
          <w:shd w:val="clear" w:color="auto" w:fill="FFFFFF"/>
        </w:rPr>
        <w:t> </w:t>
      </w:r>
    </w:p>
  </w:footnote>
  <w:footnote w:id="23">
    <w:p w14:paraId="0D8EF008" w14:textId="77777777" w:rsidR="00A57C48" w:rsidRPr="005B67C0" w:rsidRDefault="00A57C48" w:rsidP="00A57C48">
      <w:pPr>
        <w:pStyle w:val="Textonotapie"/>
        <w:snapToGrid w:val="0"/>
        <w:jc w:val="both"/>
        <w:rPr>
          <w:rFonts w:ascii="Verdana" w:hAnsi="Verdana" w:cs="Arial"/>
          <w:sz w:val="16"/>
          <w:szCs w:val="16"/>
          <w:lang w:val="es-CO"/>
        </w:rPr>
      </w:pPr>
      <w:r w:rsidRPr="005B67C0">
        <w:rPr>
          <w:rFonts w:ascii="Verdana" w:hAnsi="Verdana" w:cs="Arial"/>
          <w:sz w:val="16"/>
          <w:szCs w:val="16"/>
          <w:lang w:val="es-CO"/>
        </w:rPr>
        <w:tab/>
      </w:r>
      <w:r w:rsidRPr="005B67C0">
        <w:rPr>
          <w:rFonts w:ascii="Verdana" w:hAnsi="Verdana" w:cs="Arial"/>
          <w:sz w:val="16"/>
          <w:szCs w:val="16"/>
          <w:lang w:val="es-CO"/>
        </w:rPr>
        <w:tab/>
      </w:r>
    </w:p>
  </w:footnote>
  <w:footnote w:id="24">
    <w:p w14:paraId="3F9B1C87" w14:textId="77777777" w:rsidR="00A57C48" w:rsidRPr="005B67C0" w:rsidRDefault="00A57C48" w:rsidP="00A57C48">
      <w:pPr>
        <w:pStyle w:val="Textonotapie"/>
        <w:snapToGrid w:val="0"/>
        <w:ind w:firstLine="708"/>
        <w:jc w:val="both"/>
        <w:rPr>
          <w:rFonts w:ascii="Verdana" w:hAnsi="Verdana" w:cs="Arial"/>
          <w:sz w:val="16"/>
          <w:szCs w:val="16"/>
        </w:rPr>
      </w:pPr>
      <w:r w:rsidRPr="005B67C0">
        <w:rPr>
          <w:rStyle w:val="Refdenotaalpie"/>
          <w:rFonts w:ascii="Verdana" w:hAnsi="Verdana" w:cs="Arial"/>
          <w:sz w:val="16"/>
          <w:szCs w:val="16"/>
        </w:rPr>
        <w:footnoteRef/>
      </w:r>
      <w:r w:rsidRPr="005B67C0">
        <w:rPr>
          <w:rFonts w:ascii="Verdana" w:hAnsi="Verdana" w:cs="Arial"/>
          <w:sz w:val="16"/>
          <w:szCs w:val="16"/>
        </w:rPr>
        <w:t xml:space="preserve"> Cámara de Comercio de Bogotá, “ABC DE ESALES”. Bogotá. 2013. Disponible en este link: </w:t>
      </w:r>
      <w:hyperlink r:id="rId2" w:history="1">
        <w:r w:rsidRPr="005B67C0">
          <w:rPr>
            <w:rStyle w:val="Hipervnculo"/>
            <w:rFonts w:ascii="Verdana" w:hAnsi="Verdana" w:cs="Arial"/>
            <w:sz w:val="16"/>
            <w:szCs w:val="16"/>
          </w:rPr>
          <w:t>https://bibliotecadigital.ccb.org.co/bitstream/handle/11520/8346/el%20abc%20de%20esales%202013%20completo.pdf?sequence=1&amp;isAllowed=y</w:t>
        </w:r>
      </w:hyperlink>
      <w:r w:rsidRPr="005B67C0">
        <w:rPr>
          <w:rFonts w:ascii="Verdana" w:hAnsi="Verdana" w:cs="Arial"/>
          <w:sz w:val="16"/>
          <w:szCs w:val="16"/>
        </w:rPr>
        <w:t xml:space="preserve">. </w:t>
      </w:r>
    </w:p>
  </w:footnote>
  <w:footnote w:id="25">
    <w:p w14:paraId="3CA234AB" w14:textId="77777777" w:rsidR="00A57C48" w:rsidRPr="005B67C0" w:rsidRDefault="00A57C48" w:rsidP="00A57C48">
      <w:pPr>
        <w:pStyle w:val="Textonotapie"/>
        <w:snapToGrid w:val="0"/>
        <w:ind w:firstLine="708"/>
        <w:jc w:val="both"/>
        <w:rPr>
          <w:rFonts w:ascii="Verdana" w:hAnsi="Verdana"/>
          <w:sz w:val="16"/>
          <w:szCs w:val="16"/>
          <w:lang w:val="es-ES"/>
        </w:rPr>
      </w:pPr>
      <w:r w:rsidRPr="005B67C0">
        <w:rPr>
          <w:rStyle w:val="Refdenotaalpie"/>
          <w:rFonts w:ascii="Verdana" w:hAnsi="Verdana"/>
          <w:sz w:val="16"/>
          <w:szCs w:val="16"/>
        </w:rPr>
        <w:footnoteRef/>
      </w:r>
      <w:r w:rsidRPr="005B67C0">
        <w:rPr>
          <w:rFonts w:ascii="Verdana" w:hAnsi="Verdana"/>
          <w:sz w:val="16"/>
          <w:szCs w:val="16"/>
        </w:rPr>
        <w:t xml:space="preserve"> </w:t>
      </w:r>
      <w:r w:rsidRPr="005B67C0">
        <w:rPr>
          <w:rFonts w:ascii="Verdana" w:hAnsi="Verdana"/>
          <w:sz w:val="16"/>
          <w:szCs w:val="16"/>
          <w:lang w:val="es-CO"/>
        </w:rPr>
        <w:t>Superintendencia de Sociedades, Oficio 220-201838 del 3 de diciembre de 2018 (tesis reiterada en el Oficio 220-083969 del 28 de abril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B06"/>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847C4"/>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3F458E"/>
    <w:rsid w:val="00402E27"/>
    <w:rsid w:val="00406575"/>
    <w:rsid w:val="00414C74"/>
    <w:rsid w:val="0042722E"/>
    <w:rsid w:val="0044528D"/>
    <w:rsid w:val="00466E39"/>
    <w:rsid w:val="004A1847"/>
    <w:rsid w:val="004A305D"/>
    <w:rsid w:val="004E2BB5"/>
    <w:rsid w:val="004F21C4"/>
    <w:rsid w:val="004F685F"/>
    <w:rsid w:val="005566E8"/>
    <w:rsid w:val="00574867"/>
    <w:rsid w:val="00580E38"/>
    <w:rsid w:val="00591460"/>
    <w:rsid w:val="005A65E0"/>
    <w:rsid w:val="005C3777"/>
    <w:rsid w:val="005C5CDC"/>
    <w:rsid w:val="005D476C"/>
    <w:rsid w:val="0061217F"/>
    <w:rsid w:val="006200BF"/>
    <w:rsid w:val="006219F8"/>
    <w:rsid w:val="006302F7"/>
    <w:rsid w:val="00646B9F"/>
    <w:rsid w:val="00665D70"/>
    <w:rsid w:val="006900D9"/>
    <w:rsid w:val="006B2778"/>
    <w:rsid w:val="00706C16"/>
    <w:rsid w:val="007340C3"/>
    <w:rsid w:val="0075235A"/>
    <w:rsid w:val="00756841"/>
    <w:rsid w:val="007649AB"/>
    <w:rsid w:val="0077134B"/>
    <w:rsid w:val="00771D0C"/>
    <w:rsid w:val="007833AC"/>
    <w:rsid w:val="007B268C"/>
    <w:rsid w:val="007B7171"/>
    <w:rsid w:val="007C0C0F"/>
    <w:rsid w:val="007C3DC2"/>
    <w:rsid w:val="007C6F8E"/>
    <w:rsid w:val="007E5497"/>
    <w:rsid w:val="00806F5F"/>
    <w:rsid w:val="00820278"/>
    <w:rsid w:val="008258C9"/>
    <w:rsid w:val="00844AE9"/>
    <w:rsid w:val="00867F95"/>
    <w:rsid w:val="0088335C"/>
    <w:rsid w:val="008843B6"/>
    <w:rsid w:val="00891928"/>
    <w:rsid w:val="008A446D"/>
    <w:rsid w:val="008B25F1"/>
    <w:rsid w:val="008D180B"/>
    <w:rsid w:val="008F0EA7"/>
    <w:rsid w:val="00900DE8"/>
    <w:rsid w:val="00923EEF"/>
    <w:rsid w:val="009419F9"/>
    <w:rsid w:val="00946796"/>
    <w:rsid w:val="0095685E"/>
    <w:rsid w:val="00961B09"/>
    <w:rsid w:val="00965334"/>
    <w:rsid w:val="0097093E"/>
    <w:rsid w:val="00985DB5"/>
    <w:rsid w:val="00995750"/>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0AE0"/>
    <w:rsid w:val="00A57C48"/>
    <w:rsid w:val="00AB0ADB"/>
    <w:rsid w:val="00AC0D0A"/>
    <w:rsid w:val="00B00C0E"/>
    <w:rsid w:val="00B01B1A"/>
    <w:rsid w:val="00B0381D"/>
    <w:rsid w:val="00B44A47"/>
    <w:rsid w:val="00B72CD3"/>
    <w:rsid w:val="00B72FFF"/>
    <w:rsid w:val="00BB7754"/>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051E"/>
    <w:rsid w:val="00D3158B"/>
    <w:rsid w:val="00D361FD"/>
    <w:rsid w:val="00D423A2"/>
    <w:rsid w:val="00D44E26"/>
    <w:rsid w:val="00D520D8"/>
    <w:rsid w:val="00D63AC2"/>
    <w:rsid w:val="00D7383B"/>
    <w:rsid w:val="00D7788A"/>
    <w:rsid w:val="00DA231B"/>
    <w:rsid w:val="00DB2F8A"/>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57F4F"/>
    <w:rsid w:val="00F605ED"/>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57C48"/>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57C4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carlosorozcohernandez4@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bibliotecadigital.ccb.org.co/bitstream/handle/11520/8346/el%20abc%20de%20esales%202013%20completo.pdf?sequence=1&amp;isAllowed=y" TargetMode="External"/><Relationship Id="rId1" Type="http://schemas.openxmlformats.org/officeDocument/2006/relationships/hyperlink" Target="https://www.colombiacompra.gov.co/wp-content/uploads/2024/08/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281AA68-3C56-4B12-9B4C-1BDD64B83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24</TotalTime>
  <Pages>27</Pages>
  <Words>9527</Words>
  <Characters>52402</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2026-09-18T02:02:00Z</dcterms:created>
  <dcterms:modified xsi:type="dcterms:W3CDTF">2026-09-18T15:27:00Z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