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39DFF" w14:textId="77777777" w:rsidR="00980755" w:rsidRPr="00980755" w:rsidRDefault="00980755" w:rsidP="00980755">
      <w:pPr>
        <w:spacing w:after="0" w:line="240" w:lineRule="auto"/>
        <w:rPr>
          <w:rFonts w:ascii="Verdana" w:eastAsia="Aptos" w:hAnsi="Verdana" w:cs="Times New Roman"/>
        </w:rPr>
      </w:pPr>
      <w:bookmarkStart w:id="0" w:name="_Hlk143780582"/>
      <w:r w:rsidRPr="00980755">
        <w:rPr>
          <w:rFonts w:ascii="Verdana" w:eastAsia="Aptos" w:hAnsi="Verdana" w:cs="Times New Roman"/>
          <w:b/>
          <w:bCs/>
          <w:color w:val="000000"/>
        </w:rPr>
        <w:t xml:space="preserve">DOCUMENTOS TIPO – Fundamento normativo – Obligatoriedad </w:t>
      </w:r>
    </w:p>
    <w:p w14:paraId="2521392C" w14:textId="77777777" w:rsidR="00980755" w:rsidRPr="00980755" w:rsidRDefault="00980755" w:rsidP="00980755">
      <w:pPr>
        <w:spacing w:after="0" w:line="240" w:lineRule="auto"/>
        <w:jc w:val="both"/>
        <w:rPr>
          <w:rFonts w:ascii="Verdana" w:eastAsia="Calibri" w:hAnsi="Verdana" w:cs="Arial"/>
          <w:b/>
          <w:bCs/>
          <w:sz w:val="20"/>
          <w:szCs w:val="20"/>
          <w:lang w:val="es-ES_tradnl"/>
        </w:rPr>
      </w:pPr>
    </w:p>
    <w:p w14:paraId="069B184B" w14:textId="77777777" w:rsidR="00980755" w:rsidRPr="00980755" w:rsidRDefault="00980755" w:rsidP="00980755">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980755">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980755">
        <w:rPr>
          <w:rFonts w:ascii="Verdana" w:eastAsia="Symbol" w:hAnsi="Verdana" w:cs="Symbol"/>
          <w:sz w:val="20"/>
          <w:szCs w:val="20"/>
          <w:shd w:val="clear" w:color="auto" w:fill="FFFFFF"/>
          <w:lang w:val="es-ES_tradnl" w:eastAsia="es-ES_tradnl"/>
        </w:rPr>
        <w:t>-</w:t>
      </w:r>
      <w:r w:rsidRPr="00980755">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06FF976B" w14:textId="77777777" w:rsidR="00980755" w:rsidRPr="00980755" w:rsidRDefault="00980755" w:rsidP="00980755">
      <w:pPr>
        <w:spacing w:after="0" w:line="240" w:lineRule="auto"/>
        <w:jc w:val="both"/>
        <w:rPr>
          <w:rFonts w:ascii="Verdana" w:eastAsia="Geomanist Light" w:hAnsi="Verdana" w:cs="Arial"/>
          <w:highlight w:val="yellow"/>
          <w:lang w:val="es-ES_tradnl"/>
        </w:rPr>
      </w:pPr>
    </w:p>
    <w:p w14:paraId="166090C2" w14:textId="77777777" w:rsidR="00980755" w:rsidRPr="00980755" w:rsidRDefault="00980755" w:rsidP="00980755">
      <w:pPr>
        <w:spacing w:after="0" w:line="240" w:lineRule="auto"/>
        <w:jc w:val="both"/>
        <w:rPr>
          <w:rFonts w:ascii="Verdana" w:eastAsia="Calibri" w:hAnsi="Verdana" w:cs="Arial"/>
          <w:b/>
          <w:kern w:val="2"/>
          <w:lang w:val="es-MX"/>
          <w14:ligatures w14:val="standardContextual"/>
        </w:rPr>
      </w:pPr>
      <w:r w:rsidRPr="00980755">
        <w:rPr>
          <w:rFonts w:ascii="Verdana" w:eastAsia="Calibri" w:hAnsi="Verdana" w:cs="Arial"/>
          <w:b/>
          <w:kern w:val="2"/>
          <w:lang w:val="es-MX"/>
          <w14:ligatures w14:val="standardContextual"/>
        </w:rPr>
        <w:t>DOCUMENTOS TIPO – Inalterabilidad – Fundamentos</w:t>
      </w:r>
    </w:p>
    <w:p w14:paraId="119E0E63" w14:textId="77777777" w:rsidR="00980755" w:rsidRPr="00980755" w:rsidRDefault="00980755" w:rsidP="00980755">
      <w:pPr>
        <w:spacing w:after="0" w:line="240" w:lineRule="auto"/>
        <w:jc w:val="both"/>
        <w:rPr>
          <w:rFonts w:ascii="Verdana" w:eastAsia="Calibri" w:hAnsi="Verdana" w:cs="Arial"/>
          <w:color w:val="000000"/>
          <w:kern w:val="2"/>
          <w:sz w:val="24"/>
          <w:szCs w:val="24"/>
          <w:lang w:val="es-ES_tradnl"/>
          <w14:ligatures w14:val="standardContextual"/>
        </w:rPr>
      </w:pPr>
    </w:p>
    <w:p w14:paraId="779AB05F" w14:textId="77777777" w:rsidR="00980755" w:rsidRPr="00980755" w:rsidRDefault="00980755" w:rsidP="00980755">
      <w:pPr>
        <w:spacing w:after="0" w:line="240" w:lineRule="auto"/>
        <w:jc w:val="both"/>
        <w:rPr>
          <w:rFonts w:ascii="Verdana" w:eastAsia="Calibri" w:hAnsi="Verdana" w:cs="Arial"/>
          <w:color w:val="000000"/>
          <w:kern w:val="2"/>
          <w:sz w:val="20"/>
          <w:szCs w:val="20"/>
          <w:lang w:val="es-ES"/>
          <w14:ligatures w14:val="standardContextual"/>
        </w:rPr>
      </w:pPr>
      <w:r w:rsidRPr="00980755">
        <w:rPr>
          <w:rFonts w:ascii="Verdana" w:eastAsia="Calibri" w:hAnsi="Verdana" w:cs="Arial"/>
          <w:color w:val="000000"/>
          <w:kern w:val="2"/>
          <w:sz w:val="20"/>
          <w:szCs w:val="20"/>
          <w:lang w:val="es-ES"/>
          <w14:ligatures w14:val="standardContextual"/>
        </w:rPr>
        <w:t xml:space="preserve">(…) 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980755">
        <w:rPr>
          <w:rFonts w:ascii="Verdana" w:eastAsia="Calibri" w:hAnsi="Verdana" w:cs="Arial"/>
          <w:i/>
          <w:iCs/>
          <w:color w:val="000000"/>
          <w:kern w:val="2"/>
          <w:sz w:val="20"/>
          <w:szCs w:val="20"/>
          <w:lang w:val="es-ES"/>
          <w14:ligatures w14:val="standardContextual"/>
        </w:rPr>
        <w:t>Documentos del Proceso</w:t>
      </w:r>
      <w:r w:rsidRPr="00980755">
        <w:rPr>
          <w:rFonts w:ascii="Verdana" w:eastAsia="Calibri" w:hAnsi="Verdana" w:cs="Arial"/>
          <w:color w:val="000000"/>
          <w:kern w:val="2"/>
          <w:sz w:val="20"/>
          <w:szCs w:val="20"/>
          <w:lang w:val="es-ES"/>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46D2680" w14:textId="77777777" w:rsidR="00980755" w:rsidRPr="00980755" w:rsidRDefault="00980755" w:rsidP="00980755">
      <w:pPr>
        <w:spacing w:after="0" w:line="240" w:lineRule="auto"/>
        <w:jc w:val="both"/>
        <w:rPr>
          <w:rFonts w:ascii="Verdana" w:eastAsia="Calibri" w:hAnsi="Verdana" w:cs="Arial"/>
          <w:color w:val="000000"/>
          <w:kern w:val="2"/>
          <w:sz w:val="20"/>
          <w:szCs w:val="20"/>
          <w:lang w:val="es-ES_tradnl"/>
          <w14:ligatures w14:val="standardContextual"/>
        </w:rPr>
      </w:pPr>
    </w:p>
    <w:p w14:paraId="6A6AA4E2" w14:textId="77777777" w:rsidR="00980755" w:rsidRPr="00980755" w:rsidRDefault="00980755" w:rsidP="00980755">
      <w:pPr>
        <w:spacing w:after="0" w:line="240" w:lineRule="auto"/>
        <w:jc w:val="both"/>
        <w:rPr>
          <w:rFonts w:ascii="Verdana" w:eastAsia="Calibri" w:hAnsi="Verdana" w:cs="Arial"/>
          <w:kern w:val="2"/>
          <w:sz w:val="20"/>
          <w:szCs w:val="20"/>
          <w:lang w:val="es-ES_tradnl"/>
          <w14:ligatures w14:val="standardContextual"/>
        </w:rPr>
      </w:pPr>
      <w:r w:rsidRPr="00980755">
        <w:rPr>
          <w:rFonts w:ascii="Verdana" w:eastAsia="Calibri" w:hAnsi="Verdana" w:cs="Arial"/>
          <w:kern w:val="2"/>
          <w:sz w:val="20"/>
          <w:szCs w:val="20"/>
          <w:lang w:val="es-ES_tradnl"/>
          <w14:ligatures w14:val="standardContextua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8446EA3" w14:textId="77777777" w:rsidR="00980755" w:rsidRPr="00980755" w:rsidRDefault="00980755" w:rsidP="00980755">
      <w:pPr>
        <w:spacing w:after="0" w:line="240" w:lineRule="auto"/>
        <w:jc w:val="both"/>
        <w:rPr>
          <w:rFonts w:ascii="Arial" w:eastAsia="Calibri" w:hAnsi="Arial" w:cs="Arial"/>
          <w:b/>
          <w:kern w:val="2"/>
          <w:sz w:val="24"/>
          <w:szCs w:val="24"/>
          <w:lang w:val="es-MX"/>
          <w14:ligatures w14:val="standardContextual"/>
        </w:rPr>
      </w:pPr>
    </w:p>
    <w:p w14:paraId="14551259" w14:textId="77777777" w:rsidR="00980755" w:rsidRPr="00980755" w:rsidRDefault="00980755" w:rsidP="00980755">
      <w:pPr>
        <w:spacing w:after="0" w:line="240" w:lineRule="auto"/>
        <w:jc w:val="both"/>
        <w:rPr>
          <w:rFonts w:ascii="Verdana" w:eastAsia="Aptos" w:hAnsi="Verdana" w:cs="Arial"/>
          <w:b/>
          <w:kern w:val="2"/>
          <w:lang w:val="es-MX"/>
          <w14:ligatures w14:val="standardContextual"/>
        </w:rPr>
      </w:pPr>
      <w:r w:rsidRPr="00980755">
        <w:rPr>
          <w:rFonts w:ascii="Verdana" w:eastAsia="Calibri" w:hAnsi="Verdana" w:cs="Arial"/>
          <w:b/>
          <w:kern w:val="2"/>
          <w:lang w:val="es-MX"/>
          <w14:ligatures w14:val="standardContextual"/>
        </w:rPr>
        <w:t xml:space="preserve">DOCUMENTOS TIPO – Inalterabilidad – Información en corchetes y resaltado gris </w:t>
      </w:r>
    </w:p>
    <w:p w14:paraId="1EAD9D7A" w14:textId="77777777" w:rsidR="00980755" w:rsidRPr="00980755" w:rsidRDefault="00980755" w:rsidP="00980755">
      <w:pPr>
        <w:spacing w:after="0" w:line="240" w:lineRule="auto"/>
        <w:jc w:val="both"/>
        <w:rPr>
          <w:rFonts w:ascii="Arial" w:eastAsia="Aptos" w:hAnsi="Arial" w:cs="Arial"/>
          <w:kern w:val="2"/>
          <w:sz w:val="20"/>
          <w:szCs w:val="20"/>
          <w:lang w:val="es-MX"/>
          <w14:ligatures w14:val="standardContextual"/>
        </w:rPr>
      </w:pPr>
    </w:p>
    <w:p w14:paraId="057F0D31" w14:textId="77777777" w:rsidR="00980755" w:rsidRPr="00980755" w:rsidRDefault="00980755" w:rsidP="00980755">
      <w:pPr>
        <w:spacing w:after="0" w:line="240" w:lineRule="auto"/>
        <w:jc w:val="both"/>
        <w:rPr>
          <w:rFonts w:ascii="Verdana" w:eastAsia="Calibri" w:hAnsi="Verdana" w:cs="Arial"/>
          <w:color w:val="000000"/>
          <w:kern w:val="2"/>
          <w:sz w:val="20"/>
          <w:szCs w:val="20"/>
          <w:lang w:val="es-ES"/>
          <w14:ligatures w14:val="standardContextual"/>
        </w:rPr>
      </w:pPr>
      <w:r w:rsidRPr="00980755">
        <w:rPr>
          <w:rFonts w:ascii="Verdana" w:eastAsia="Calibri" w:hAnsi="Verdana" w:cs="Arial"/>
          <w:kern w:val="2"/>
          <w:sz w:val="20"/>
          <w:szCs w:val="20"/>
          <w:lang w:val="es-MX"/>
          <w14:ligatures w14:val="standardContextual"/>
        </w:rPr>
        <w:t xml:space="preserve">(…) la parte introductoria de los documentos base de los documentos tipo disponen que los aspectos incluidos en corchetes y resaltados en gris </w:t>
      </w:r>
      <w:r w:rsidRPr="00980755">
        <w:rPr>
          <w:rFonts w:ascii="Verdana" w:eastAsia="Aptos" w:hAnsi="Verdana" w:cs="Arial"/>
          <w:kern w:val="2"/>
          <w:sz w:val="20"/>
          <w:szCs w:val="20"/>
          <w14:ligatures w14:val="standardContextual"/>
        </w:rPr>
        <w:t>–[</w:t>
      </w:r>
      <w:r w:rsidRPr="00980755">
        <w:rPr>
          <w:rFonts w:ascii="Verdana" w:eastAsia="Aptos" w:hAnsi="Verdana" w:cs="Arial"/>
          <w:kern w:val="2"/>
          <w:sz w:val="20"/>
          <w:szCs w:val="20"/>
          <w:highlight w:val="lightGray"/>
          <w14:ligatures w14:val="standardContextual"/>
        </w:rPr>
        <w:t>texto de ejemplo</w:t>
      </w:r>
      <w:r w:rsidRPr="00980755">
        <w:rPr>
          <w:rFonts w:ascii="Verdana" w:eastAsia="Aptos" w:hAnsi="Verdana" w:cs="Arial"/>
          <w:kern w:val="2"/>
          <w:sz w:val="20"/>
          <w:szCs w:val="20"/>
          <w14:ligatures w14:val="standardContextual"/>
        </w:rPr>
        <w:t xml:space="preserve">]– </w:t>
      </w:r>
      <w:r w:rsidRPr="00980755">
        <w:rPr>
          <w:rFonts w:ascii="Verdana" w:eastAsia="Calibri" w:hAnsi="Verdana" w:cs="Arial"/>
          <w:kern w:val="2"/>
          <w:sz w:val="20"/>
          <w:szCs w:val="20"/>
          <w:lang w:val="es-MX"/>
          <w14:ligatures w14:val="standardContextual"/>
        </w:rPr>
        <w:t xml:space="preserve">deben ser diligenciados por la entidad. Excepcionalmente le corresponde al proponente consignar la información incluida en corchetes y resaltada en gris, como, por ejemplo, los formatos </w:t>
      </w:r>
      <w:r w:rsidRPr="00980755">
        <w:rPr>
          <w:rFonts w:ascii="Verdana" w:eastAsia="Calibri" w:hAnsi="Verdana" w:cs="Arial"/>
          <w:kern w:val="2"/>
          <w:sz w:val="20"/>
          <w:szCs w:val="20"/>
          <w:lang w:val="es-MX"/>
          <w14:ligatures w14:val="standardContextual"/>
        </w:rPr>
        <w:lastRenderedPageBreak/>
        <w:t xml:space="preserve">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7629C94B" w14:textId="77777777" w:rsidR="00980755" w:rsidRPr="00980755" w:rsidRDefault="00980755" w:rsidP="00980755">
      <w:pPr>
        <w:spacing w:after="0" w:line="240" w:lineRule="auto"/>
        <w:jc w:val="both"/>
        <w:rPr>
          <w:rFonts w:ascii="Verdana" w:eastAsia="Calibri" w:hAnsi="Verdana" w:cs="Arial"/>
          <w:bCs/>
          <w:kern w:val="2"/>
          <w:sz w:val="20"/>
          <w:szCs w:val="20"/>
          <w:lang w:val="es-MX"/>
          <w14:ligatures w14:val="standardContextual"/>
        </w:rPr>
      </w:pPr>
    </w:p>
    <w:p w14:paraId="3C1C40CD" w14:textId="77777777" w:rsidR="00980755" w:rsidRPr="00980755" w:rsidRDefault="00980755" w:rsidP="00980755">
      <w:pPr>
        <w:spacing w:after="0" w:line="240" w:lineRule="auto"/>
        <w:jc w:val="both"/>
        <w:rPr>
          <w:rFonts w:ascii="Verdana" w:eastAsia="Calibri" w:hAnsi="Verdana" w:cs="Arial"/>
          <w:bCs/>
          <w:kern w:val="2"/>
          <w:sz w:val="20"/>
          <w:szCs w:val="20"/>
          <w:lang w:val="es-MX"/>
          <w14:ligatures w14:val="standardContextual"/>
        </w:rPr>
      </w:pPr>
      <w:r w:rsidRPr="00980755">
        <w:rPr>
          <w:rFonts w:ascii="Verdana" w:eastAsia="Calibri" w:hAnsi="Verdana" w:cs="Arial"/>
          <w:bCs/>
          <w:kern w:val="2"/>
          <w:sz w:val="20"/>
          <w:szCs w:val="20"/>
          <w:lang w:val="es-MX"/>
          <w14:ligatures w14:val="standardContextua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22EECA5F" w14:textId="77777777" w:rsidR="00980755" w:rsidRPr="00980755" w:rsidRDefault="00980755" w:rsidP="00980755">
      <w:pPr>
        <w:spacing w:after="0" w:line="240" w:lineRule="auto"/>
        <w:jc w:val="both"/>
        <w:rPr>
          <w:rFonts w:ascii="Verdana" w:eastAsia="Calibri" w:hAnsi="Verdana" w:cs="Arial"/>
          <w:bCs/>
          <w:kern w:val="2"/>
          <w:sz w:val="20"/>
          <w:szCs w:val="20"/>
          <w:lang w:val="es-MX"/>
          <w14:ligatures w14:val="standardContextual"/>
        </w:rPr>
      </w:pPr>
    </w:p>
    <w:p w14:paraId="3DD66671" w14:textId="77777777" w:rsidR="00980755" w:rsidRPr="00980755" w:rsidRDefault="00980755" w:rsidP="00980755">
      <w:pPr>
        <w:spacing w:after="0" w:line="240" w:lineRule="auto"/>
        <w:jc w:val="both"/>
        <w:rPr>
          <w:rFonts w:ascii="Verdana" w:eastAsia="Calibri" w:hAnsi="Verdana" w:cs="Arial"/>
          <w:bCs/>
          <w:kern w:val="2"/>
          <w:sz w:val="20"/>
          <w:szCs w:val="20"/>
          <w:lang w:val="es-MX"/>
          <w14:ligatures w14:val="standardContextual"/>
        </w:rPr>
      </w:pPr>
      <w:r w:rsidRPr="00980755">
        <w:rPr>
          <w:rFonts w:ascii="Verdana" w:eastAsia="Calibri" w:hAnsi="Verdana" w:cs="Arial"/>
          <w:bCs/>
          <w:kern w:val="2"/>
          <w:sz w:val="20"/>
          <w:szCs w:val="20"/>
          <w:lang w:val="es-MX"/>
          <w14:ligatures w14:val="standardContextual"/>
        </w:rPr>
        <w:t xml:space="preserve">Esta regla de inalterabilidad </w:t>
      </w:r>
      <w:r w:rsidRPr="00980755">
        <w:rPr>
          <w:rFonts w:ascii="Verdana" w:eastAsia="Calibri" w:hAnsi="Verdana" w:cs="Arial"/>
          <w:bCs/>
          <w:i/>
          <w:iCs/>
          <w:kern w:val="2"/>
          <w:sz w:val="20"/>
          <w:szCs w:val="20"/>
          <w:lang w:val="es-MX"/>
          <w14:ligatures w14:val="standardContextual"/>
        </w:rPr>
        <w:t>también aplica a los formatos, anexos y matrices</w:t>
      </w:r>
      <w:r w:rsidRPr="00980755">
        <w:rPr>
          <w:rFonts w:ascii="Verdana" w:eastAsia="Calibri" w:hAnsi="Verdana" w:cs="Arial"/>
          <w:bCs/>
          <w:kern w:val="2"/>
          <w:sz w:val="20"/>
          <w:szCs w:val="20"/>
          <w:lang w:val="es-MX"/>
          <w14:ligatures w14:val="standardContextua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6524E546" w14:textId="77777777" w:rsidR="00980755" w:rsidRPr="00980755" w:rsidRDefault="00980755" w:rsidP="00980755">
      <w:pPr>
        <w:tabs>
          <w:tab w:val="left" w:pos="-142"/>
        </w:tabs>
        <w:autoSpaceDE w:val="0"/>
        <w:autoSpaceDN w:val="0"/>
        <w:adjustRightInd w:val="0"/>
        <w:spacing w:after="0" w:line="240" w:lineRule="auto"/>
        <w:jc w:val="both"/>
        <w:rPr>
          <w:rFonts w:ascii="Arial" w:eastAsia="Arial" w:hAnsi="Arial" w:cs="Arial"/>
          <w:kern w:val="2"/>
          <w:sz w:val="20"/>
          <w:szCs w:val="20"/>
          <w:lang w:eastAsia="es-ES"/>
          <w14:ligatures w14:val="standardContextual"/>
        </w:rPr>
      </w:pPr>
    </w:p>
    <w:p w14:paraId="537CA1AB" w14:textId="77777777" w:rsidR="00980755" w:rsidRPr="00980755" w:rsidRDefault="00980755" w:rsidP="00980755">
      <w:pPr>
        <w:tabs>
          <w:tab w:val="left" w:pos="-142"/>
        </w:tabs>
        <w:autoSpaceDE w:val="0"/>
        <w:autoSpaceDN w:val="0"/>
        <w:adjustRightInd w:val="0"/>
        <w:spacing w:after="0" w:line="240" w:lineRule="auto"/>
        <w:jc w:val="both"/>
        <w:rPr>
          <w:rFonts w:ascii="Verdana" w:eastAsia="Calibri" w:hAnsi="Verdana" w:cs="Arial"/>
          <w:b/>
          <w:bCs/>
          <w:kern w:val="2"/>
          <w:lang w:val="es-ES_tradnl" w:eastAsia="es-ES"/>
          <w14:ligatures w14:val="standardContextual"/>
        </w:rPr>
      </w:pPr>
      <w:r w:rsidRPr="00980755">
        <w:rPr>
          <w:rFonts w:ascii="Verdana" w:eastAsia="Calibri" w:hAnsi="Verdana" w:cs="Arial"/>
          <w:b/>
          <w:bCs/>
          <w:kern w:val="2"/>
          <w:lang w:val="es-ES_tradnl" w:eastAsia="es-ES"/>
          <w14:ligatures w14:val="standardContextual"/>
        </w:rPr>
        <w:t xml:space="preserve">DOCUMENTOS TIPO </w:t>
      </w:r>
      <w:bookmarkStart w:id="1" w:name="_Hlk39666823"/>
      <w:r w:rsidRPr="00980755">
        <w:rPr>
          <w:rFonts w:ascii="Verdana" w:eastAsia="Calibri" w:hAnsi="Verdana" w:cs="Arial"/>
          <w:b/>
          <w:kern w:val="2"/>
          <w:lang w:val="x-none" w:eastAsia="es-ES"/>
          <w14:ligatures w14:val="standardContextual"/>
        </w:rPr>
        <w:t>–</w:t>
      </w:r>
      <w:bookmarkEnd w:id="1"/>
      <w:r w:rsidRPr="00980755">
        <w:rPr>
          <w:rFonts w:ascii="Verdana" w:eastAsia="Calibri" w:hAnsi="Verdana" w:cs="Arial"/>
          <w:b/>
          <w:bCs/>
          <w:kern w:val="2"/>
          <w:lang w:val="es-ES_tradnl" w:eastAsia="es-ES"/>
          <w14:ligatures w14:val="standardContextual"/>
        </w:rPr>
        <w:t xml:space="preserve"> Inalterabilidad </w:t>
      </w:r>
      <w:r w:rsidRPr="00980755">
        <w:rPr>
          <w:rFonts w:ascii="Verdana" w:eastAsia="Calibri" w:hAnsi="Verdana" w:cs="Arial"/>
          <w:b/>
          <w:kern w:val="2"/>
          <w:lang w:val="x-none" w:eastAsia="es-ES"/>
          <w14:ligatures w14:val="standardContextual"/>
        </w:rPr>
        <w:t>–</w:t>
      </w:r>
      <w:r w:rsidRPr="00980755">
        <w:rPr>
          <w:rFonts w:ascii="Verdana" w:eastAsia="Calibri" w:hAnsi="Verdana" w:cs="Arial"/>
          <w:b/>
          <w:bCs/>
          <w:kern w:val="2"/>
          <w:lang w:val="es-ES_tradnl" w:eastAsia="es-ES"/>
          <w14:ligatures w14:val="standardContextual"/>
        </w:rPr>
        <w:t xml:space="preserve"> Prevalencia del derecho sustancial</w:t>
      </w:r>
    </w:p>
    <w:p w14:paraId="6F5304E5" w14:textId="77777777" w:rsidR="00980755" w:rsidRPr="00980755" w:rsidRDefault="00980755" w:rsidP="00980755">
      <w:pPr>
        <w:spacing w:after="0" w:line="240" w:lineRule="auto"/>
        <w:jc w:val="both"/>
        <w:rPr>
          <w:rFonts w:ascii="Arial" w:eastAsia="Calibri" w:hAnsi="Arial" w:cs="Arial"/>
          <w:b/>
          <w:bCs/>
          <w:kern w:val="2"/>
          <w:sz w:val="20"/>
          <w:szCs w:val="20"/>
          <w:lang w:val="es-ES_tradnl"/>
          <w14:ligatures w14:val="standardContextual"/>
        </w:rPr>
      </w:pPr>
    </w:p>
    <w:p w14:paraId="5EEFB4FC" w14:textId="77777777" w:rsidR="00980755" w:rsidRPr="00980755" w:rsidRDefault="00980755" w:rsidP="00980755">
      <w:pPr>
        <w:spacing w:after="0" w:line="240" w:lineRule="auto"/>
        <w:jc w:val="both"/>
        <w:rPr>
          <w:rFonts w:ascii="Verdana" w:eastAsia="Calibri" w:hAnsi="Verdana" w:cs="Arial"/>
          <w:kern w:val="2"/>
          <w:sz w:val="20"/>
          <w:szCs w:val="20"/>
          <w:lang w:val="es-MX"/>
          <w14:ligatures w14:val="standardContextual"/>
        </w:rPr>
      </w:pPr>
      <w:r w:rsidRPr="00980755">
        <w:rPr>
          <w:rFonts w:ascii="Verdana" w:eastAsia="Calibri" w:hAnsi="Verdana" w:cs="Arial"/>
          <w:kern w:val="2"/>
          <w:sz w:val="20"/>
          <w:szCs w:val="20"/>
          <w:lang w:val="es-MX"/>
          <w14:ligatures w14:val="standardContextual"/>
        </w:rPr>
        <w:t xml:space="preserve">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2CFF01B0" w14:textId="77777777" w:rsidR="00980755" w:rsidRPr="00980755" w:rsidRDefault="00980755" w:rsidP="00980755">
      <w:pPr>
        <w:spacing w:after="0" w:line="240" w:lineRule="auto"/>
        <w:jc w:val="both"/>
        <w:rPr>
          <w:rFonts w:ascii="Verdana" w:eastAsia="Geomanist Light" w:hAnsi="Verdana" w:cs="Arial"/>
          <w:highlight w:val="yellow"/>
          <w:lang w:val="es-MX"/>
        </w:rPr>
      </w:pPr>
    </w:p>
    <w:p w14:paraId="4DF0841E" w14:textId="77777777" w:rsidR="00980755" w:rsidRPr="00980755" w:rsidRDefault="00980755" w:rsidP="00980755">
      <w:pPr>
        <w:spacing w:after="0" w:line="240" w:lineRule="auto"/>
        <w:jc w:val="both"/>
        <w:rPr>
          <w:rFonts w:ascii="Verdana" w:eastAsia="Times New Roman" w:hAnsi="Verdana" w:cs="Times New Roman"/>
          <w:sz w:val="20"/>
          <w:szCs w:val="20"/>
          <w:lang w:eastAsia="es-MX"/>
        </w:rPr>
      </w:pPr>
      <w:r w:rsidRPr="00980755">
        <w:rPr>
          <w:rFonts w:ascii="Verdana" w:eastAsia="Times New Roman" w:hAnsi="Verdana" w:cs="Times New Roman"/>
          <w:sz w:val="20"/>
          <w:szCs w:val="20"/>
          <w:lang w:eastAsia="es-MX"/>
        </w:rPr>
        <w:t xml:space="preserve">En los documentos tipo de obra pública de infraestructura de transporte, la Entidad deberá identificar los requisitos de capacidad financiera y organizacional aplicables al proceso de selección. Para ello, deberá consultar los requisitos definidos según las particularidades de cada proceso en el documento base –o en la invitación, en el caso de los documentos tipo de mínima cuantía– y en la “Matriz 2 – Indicadores financieros y organizacionales </w:t>
      </w:r>
      <w:r w:rsidRPr="00980755">
        <w:rPr>
          <w:rFonts w:ascii="Verdana" w:eastAsia="Arial" w:hAnsi="Verdana" w:cs="Arial"/>
          <w:sz w:val="20"/>
          <w:szCs w:val="20"/>
          <w:lang w:eastAsia="es-MX"/>
        </w:rPr>
        <w:t>de obras para infraestructura de transporte</w:t>
      </w:r>
      <w:r w:rsidRPr="00980755">
        <w:rPr>
          <w:rFonts w:ascii="Verdana" w:eastAsia="Times New Roman" w:hAnsi="Verdana" w:cs="Times New Roman"/>
          <w:sz w:val="20"/>
          <w:szCs w:val="20"/>
          <w:lang w:eastAsia="es-MX"/>
        </w:rPr>
        <w:t>” –en adelante Matriz 2–, pues las versiones vigentes de los documentos tipo ya definen dichos requisitos.</w:t>
      </w:r>
    </w:p>
    <w:p w14:paraId="1F09622B" w14:textId="77777777" w:rsidR="00980755" w:rsidRPr="00980755" w:rsidRDefault="00980755" w:rsidP="00980755">
      <w:pPr>
        <w:spacing w:after="0" w:line="276" w:lineRule="auto"/>
        <w:jc w:val="both"/>
        <w:rPr>
          <w:rFonts w:ascii="Verdana" w:eastAsia="Times New Roman" w:hAnsi="Verdana" w:cs="Times New Roman"/>
          <w:sz w:val="20"/>
          <w:szCs w:val="20"/>
          <w:lang w:eastAsia="es-MX"/>
        </w:rPr>
      </w:pPr>
    </w:p>
    <w:p w14:paraId="4607DB58" w14:textId="77777777" w:rsidR="00980755" w:rsidRPr="00980755" w:rsidRDefault="00980755" w:rsidP="00980755">
      <w:pPr>
        <w:spacing w:after="0" w:line="276" w:lineRule="auto"/>
        <w:jc w:val="both"/>
        <w:rPr>
          <w:rFonts w:ascii="Verdana" w:eastAsia="Times New Roman" w:hAnsi="Verdana" w:cs="Times New Roman"/>
          <w:b/>
          <w:bCs/>
          <w:lang w:eastAsia="es-MX"/>
        </w:rPr>
      </w:pPr>
      <w:r w:rsidRPr="00980755">
        <w:rPr>
          <w:rFonts w:ascii="Verdana" w:eastAsia="Times New Roman" w:hAnsi="Verdana" w:cs="Times New Roman"/>
          <w:b/>
          <w:bCs/>
          <w:lang w:eastAsia="es-MX"/>
        </w:rPr>
        <w:t>DOCUMENTOS TIPO – Transporte – Licitación Pública – Capacidad financiera – Capacidad organizacional</w:t>
      </w:r>
    </w:p>
    <w:p w14:paraId="3676A300" w14:textId="77777777" w:rsidR="00980755" w:rsidRPr="00980755" w:rsidRDefault="00980755" w:rsidP="00980755">
      <w:pPr>
        <w:spacing w:after="0" w:line="240" w:lineRule="auto"/>
        <w:jc w:val="both"/>
        <w:rPr>
          <w:rFonts w:ascii="Verdana" w:eastAsia="Times New Roman" w:hAnsi="Verdana" w:cs="Times New Roman"/>
          <w:sz w:val="20"/>
          <w:szCs w:val="20"/>
          <w:lang w:eastAsia="es-MX"/>
        </w:rPr>
      </w:pPr>
    </w:p>
    <w:p w14:paraId="0057FD49" w14:textId="77777777" w:rsidR="00980755" w:rsidRPr="00980755" w:rsidRDefault="00980755" w:rsidP="00980755">
      <w:pPr>
        <w:spacing w:after="0" w:line="240" w:lineRule="auto"/>
        <w:jc w:val="both"/>
        <w:rPr>
          <w:rFonts w:ascii="Verdana" w:eastAsia="Times New Roman" w:hAnsi="Verdana" w:cs="Times New Roman"/>
          <w:sz w:val="20"/>
          <w:szCs w:val="20"/>
          <w:lang w:eastAsia="es-MX"/>
        </w:rPr>
      </w:pPr>
      <w:r w:rsidRPr="00980755">
        <w:rPr>
          <w:rFonts w:ascii="Verdana" w:eastAsia="Times New Roman" w:hAnsi="Verdana" w:cs="Times New Roman"/>
          <w:sz w:val="20"/>
          <w:szCs w:val="20"/>
          <w:lang w:eastAsia="es-MX"/>
        </w:rPr>
        <w:t xml:space="preserve">En particular, la definición de los requisitos de capacidad financiera y organizacional hace parte del alcance de los documentos tipo de licitación de obra pública de infraestructura de transporte – versión 4. Así, la forma de evaluar estas capacidades en un proponente </w:t>
      </w:r>
      <w:r w:rsidRPr="00980755">
        <w:rPr>
          <w:rFonts w:ascii="Verdana" w:eastAsia="Times New Roman" w:hAnsi="Verdana" w:cs="Times New Roman"/>
          <w:sz w:val="20"/>
          <w:szCs w:val="20"/>
          <w:lang w:eastAsia="es-MX"/>
        </w:rPr>
        <w:lastRenderedPageBreak/>
        <w:t>está prevista en los numerales “3.6 Capacidad financiera”, “3.7 Capital de trabajo”, “3.8 Patrimonio” y “3.9 Capacidad organizacional” del documento base.</w:t>
      </w:r>
    </w:p>
    <w:p w14:paraId="4A9C9B88" w14:textId="77777777" w:rsidR="00980755" w:rsidRPr="00980755" w:rsidRDefault="00980755" w:rsidP="00980755">
      <w:pPr>
        <w:spacing w:after="0" w:line="276" w:lineRule="auto"/>
        <w:jc w:val="both"/>
        <w:rPr>
          <w:rFonts w:ascii="Verdana" w:eastAsia="Times New Roman" w:hAnsi="Verdana" w:cs="Times New Roman"/>
          <w:sz w:val="20"/>
          <w:szCs w:val="20"/>
          <w:lang w:eastAsia="es-MX"/>
        </w:rPr>
      </w:pPr>
    </w:p>
    <w:p w14:paraId="75078B38" w14:textId="77777777" w:rsidR="00980755" w:rsidRPr="00980755" w:rsidRDefault="00980755" w:rsidP="00980755">
      <w:pPr>
        <w:spacing w:after="0" w:line="276" w:lineRule="auto"/>
        <w:jc w:val="both"/>
        <w:rPr>
          <w:rFonts w:ascii="Verdana" w:eastAsia="Times New Roman" w:hAnsi="Verdana" w:cs="Times New Roman"/>
          <w:b/>
          <w:bCs/>
          <w:lang w:eastAsia="es-MX"/>
        </w:rPr>
      </w:pPr>
      <w:r w:rsidRPr="00980755">
        <w:rPr>
          <w:rFonts w:ascii="Verdana" w:eastAsia="Times New Roman" w:hAnsi="Verdana" w:cs="Times New Roman"/>
          <w:b/>
          <w:bCs/>
          <w:lang w:eastAsia="es-MX"/>
        </w:rPr>
        <w:t xml:space="preserve">RENTABILDIAD DEL ACTIVO – Rentabilidad del patrimonio – Numeral 3.9 – Acreditación – Matriz 2 </w:t>
      </w:r>
    </w:p>
    <w:p w14:paraId="3D74D144" w14:textId="77777777" w:rsidR="00980755" w:rsidRPr="00980755" w:rsidRDefault="00980755" w:rsidP="00980755">
      <w:pPr>
        <w:spacing w:after="0" w:line="240" w:lineRule="auto"/>
        <w:jc w:val="both"/>
        <w:rPr>
          <w:rFonts w:ascii="Verdana" w:eastAsia="Times New Roman" w:hAnsi="Verdana" w:cs="Times New Roman"/>
          <w:sz w:val="20"/>
          <w:szCs w:val="20"/>
          <w:lang w:eastAsia="es-MX"/>
        </w:rPr>
      </w:pPr>
    </w:p>
    <w:p w14:paraId="458CE329" w14:textId="77777777" w:rsidR="00980755" w:rsidRPr="00980755" w:rsidRDefault="00980755" w:rsidP="00980755">
      <w:pPr>
        <w:spacing w:after="0" w:line="240" w:lineRule="auto"/>
        <w:jc w:val="both"/>
        <w:rPr>
          <w:rFonts w:ascii="Verdana" w:eastAsia="Times New Roman" w:hAnsi="Verdana" w:cs="Times New Roman"/>
          <w:sz w:val="20"/>
          <w:szCs w:val="20"/>
          <w:lang w:eastAsia="es-MX"/>
        </w:rPr>
      </w:pPr>
      <w:r w:rsidRPr="00980755">
        <w:rPr>
          <w:rFonts w:ascii="Verdana" w:eastAsia="Times New Roman" w:hAnsi="Verdana" w:cs="Times New Roman"/>
          <w:sz w:val="20"/>
          <w:szCs w:val="20"/>
          <w:lang w:eastAsia="es-MX"/>
        </w:rPr>
        <w:t>En cuanto a su consulta sobre la posibilidad de que una entidad pueda “modificar” los indicadores de “Rentabilidad del Patrimonio y Rentabilidad del Activo”, debe indicarse que el numeral “3.9 Capacidad organizacional” señala lo siguiente:</w:t>
      </w:r>
    </w:p>
    <w:p w14:paraId="48F38458" w14:textId="77777777" w:rsidR="00980755" w:rsidRPr="00980755" w:rsidRDefault="00980755" w:rsidP="00980755">
      <w:pPr>
        <w:spacing w:after="0" w:line="240" w:lineRule="auto"/>
        <w:jc w:val="both"/>
        <w:rPr>
          <w:rFonts w:ascii="Verdana" w:eastAsia="Aptos" w:hAnsi="Verdana" w:cs="Aptos"/>
          <w:kern w:val="2"/>
          <w:sz w:val="20"/>
          <w:szCs w:val="20"/>
          <w14:ligatures w14:val="standardContextual"/>
        </w:rPr>
      </w:pPr>
    </w:p>
    <w:p w14:paraId="412905C0" w14:textId="77777777" w:rsidR="00980755" w:rsidRPr="00980755" w:rsidRDefault="00980755" w:rsidP="00980755">
      <w:pPr>
        <w:spacing w:after="0" w:line="240" w:lineRule="auto"/>
        <w:jc w:val="both"/>
        <w:rPr>
          <w:rFonts w:ascii="Verdana" w:eastAsia="Aptos" w:hAnsi="Verdana" w:cs="Aptos"/>
          <w:kern w:val="2"/>
          <w:sz w:val="20"/>
          <w:szCs w:val="20"/>
          <w14:ligatures w14:val="standardContextual"/>
        </w:rPr>
      </w:pPr>
      <w:r w:rsidRPr="00980755">
        <w:rPr>
          <w:rFonts w:ascii="Verdana" w:eastAsia="Aptos" w:hAnsi="Verdana" w:cs="Aptos"/>
          <w:kern w:val="2"/>
          <w:sz w:val="20"/>
          <w:szCs w:val="20"/>
          <w14:ligatures w14:val="standardContextual"/>
        </w:rPr>
        <w:t>(…)</w:t>
      </w:r>
    </w:p>
    <w:p w14:paraId="5DCE7229" w14:textId="77777777" w:rsidR="00980755" w:rsidRPr="00980755" w:rsidRDefault="00980755" w:rsidP="00980755">
      <w:pPr>
        <w:snapToGrid w:val="0"/>
        <w:spacing w:after="0" w:line="240" w:lineRule="auto"/>
        <w:jc w:val="both"/>
        <w:rPr>
          <w:rFonts w:ascii="Verdana" w:eastAsia="Arial" w:hAnsi="Verdana" w:cs="Arial"/>
          <w:sz w:val="20"/>
          <w:szCs w:val="20"/>
          <w:lang w:eastAsia="es-MX"/>
        </w:rPr>
      </w:pPr>
    </w:p>
    <w:p w14:paraId="53FE7FD0" w14:textId="77777777" w:rsidR="00980755" w:rsidRPr="00980755" w:rsidRDefault="00980755" w:rsidP="00980755">
      <w:pPr>
        <w:snapToGrid w:val="0"/>
        <w:spacing w:after="0" w:line="240" w:lineRule="auto"/>
        <w:jc w:val="both"/>
        <w:rPr>
          <w:rFonts w:ascii="Verdana" w:eastAsia="Times New Roman" w:hAnsi="Verdana" w:cs="Times New Roman"/>
          <w:sz w:val="20"/>
          <w:szCs w:val="20"/>
          <w:lang w:eastAsia="es-MX"/>
        </w:rPr>
      </w:pPr>
      <w:r w:rsidRPr="00980755">
        <w:rPr>
          <w:rFonts w:ascii="Verdana" w:eastAsia="Arial" w:hAnsi="Verdana" w:cs="Arial"/>
          <w:sz w:val="20"/>
          <w:szCs w:val="20"/>
          <w:lang w:eastAsia="es-MX"/>
        </w:rPr>
        <w:t xml:space="preserve">De acuerdo con este numeral, los proponentes deben acreditar los indicadores de rentabilidad sobre el patrimonio (ROE) y rentabilidad del activo (ROA) en los términos señalados en la Matriz 2. </w:t>
      </w:r>
      <w:r w:rsidRPr="00980755">
        <w:rPr>
          <w:rFonts w:ascii="Verdana" w:eastAsia="Times New Roman" w:hAnsi="Verdana" w:cs="Times New Roman"/>
          <w:sz w:val="20"/>
          <w:szCs w:val="20"/>
          <w:lang w:eastAsia="es-MX"/>
        </w:rPr>
        <w:t xml:space="preserve"> Asimismo, el numeral establece que los proponentes que tengan la condición de </w:t>
      </w:r>
      <w:proofErr w:type="spellStart"/>
      <w:r w:rsidRPr="00980755">
        <w:rPr>
          <w:rFonts w:ascii="Verdana" w:eastAsia="Times New Roman" w:hAnsi="Verdana" w:cs="Times New Roman"/>
          <w:sz w:val="20"/>
          <w:szCs w:val="20"/>
          <w:lang w:eastAsia="es-MX"/>
        </w:rPr>
        <w:t>Mipyme</w:t>
      </w:r>
      <w:proofErr w:type="spellEnd"/>
      <w:r w:rsidRPr="00980755">
        <w:rPr>
          <w:rFonts w:ascii="Verdana" w:eastAsia="Times New Roman" w:hAnsi="Verdana" w:cs="Times New Roman"/>
          <w:sz w:val="20"/>
          <w:szCs w:val="20"/>
          <w:lang w:eastAsia="es-MX"/>
        </w:rPr>
        <w:t xml:space="preserve"> domiciliada en Colombia deberán acreditar su capacidad organizacional conforme a los indicadores previstos en la misma Matriz, y demostrar dicha condición mediante el certificado del Registro Único de Proponentes vigente y en firme.</w:t>
      </w:r>
    </w:p>
    <w:p w14:paraId="657A1E22" w14:textId="77777777" w:rsidR="00980755" w:rsidRPr="00980755" w:rsidRDefault="00980755" w:rsidP="00980755">
      <w:pPr>
        <w:spacing w:after="0" w:line="276" w:lineRule="auto"/>
        <w:jc w:val="both"/>
        <w:rPr>
          <w:rFonts w:ascii="Verdana" w:eastAsia="Aptos" w:hAnsi="Verdana" w:cs="Times New Roman"/>
          <w:kern w:val="2"/>
          <w:sz w:val="20"/>
          <w:szCs w:val="20"/>
          <w14:ligatures w14:val="standardContextual"/>
        </w:rPr>
      </w:pPr>
    </w:p>
    <w:p w14:paraId="18E2FACF" w14:textId="77777777" w:rsidR="00980755" w:rsidRPr="00980755" w:rsidRDefault="00980755" w:rsidP="00980755">
      <w:pPr>
        <w:spacing w:after="0" w:line="276" w:lineRule="auto"/>
        <w:jc w:val="both"/>
        <w:rPr>
          <w:rFonts w:ascii="Verdana" w:eastAsia="Times New Roman" w:hAnsi="Verdana" w:cs="Times New Roman"/>
          <w:b/>
          <w:bCs/>
          <w:lang w:eastAsia="es-MX"/>
        </w:rPr>
      </w:pPr>
      <w:r w:rsidRPr="00980755">
        <w:rPr>
          <w:rFonts w:ascii="Verdana" w:eastAsia="Times New Roman" w:hAnsi="Verdana" w:cs="Times New Roman"/>
          <w:b/>
          <w:bCs/>
          <w:lang w:eastAsia="es-MX"/>
        </w:rPr>
        <w:t>RENTABILDIAD DEL ACTIVO – Rentabilidad del patrimonio – Numeral 3.9 – Acreditación – Matriz 2 – Inalterabilidad</w:t>
      </w:r>
    </w:p>
    <w:p w14:paraId="56BCA5B9" w14:textId="77777777" w:rsidR="00980755" w:rsidRPr="00980755" w:rsidRDefault="00980755" w:rsidP="00980755">
      <w:pPr>
        <w:spacing w:after="0" w:line="276" w:lineRule="auto"/>
        <w:jc w:val="both"/>
        <w:rPr>
          <w:rFonts w:ascii="Verdana" w:eastAsia="Aptos" w:hAnsi="Verdana" w:cs="Times New Roman"/>
          <w:kern w:val="2"/>
          <w:sz w:val="20"/>
          <w:szCs w:val="20"/>
          <w14:ligatures w14:val="standardContextual"/>
        </w:rPr>
      </w:pPr>
    </w:p>
    <w:p w14:paraId="1E2E91D6" w14:textId="77777777" w:rsidR="00980755" w:rsidRPr="00980755" w:rsidRDefault="00980755" w:rsidP="00980755">
      <w:pPr>
        <w:spacing w:after="0" w:line="240" w:lineRule="auto"/>
        <w:jc w:val="both"/>
        <w:rPr>
          <w:rFonts w:ascii="Verdana" w:eastAsia="Aptos" w:hAnsi="Verdana" w:cs="Times New Roman"/>
          <w:kern w:val="2"/>
          <w:sz w:val="20"/>
          <w:szCs w:val="20"/>
          <w14:ligatures w14:val="standardContextual"/>
        </w:rPr>
      </w:pPr>
      <w:r w:rsidRPr="00980755">
        <w:rPr>
          <w:rFonts w:ascii="Verdana" w:eastAsia="Aptos" w:hAnsi="Verdana" w:cs="Times New Roman"/>
          <w:kern w:val="2"/>
          <w:sz w:val="20"/>
          <w:szCs w:val="20"/>
          <w14:ligatures w14:val="standardContextual"/>
        </w:rPr>
        <w:t>De conformidad con lo anterior, para cada uno de los rangos se establecieron indicadores de capacidad financiera y organizacional, que las entidades deberán exigir en los procesos de licitación de obra pública de infraestructura de transporte según el rango en el que se encuentre el presupuesto oficial del proceso de contratación.</w:t>
      </w:r>
    </w:p>
    <w:p w14:paraId="7B9D7A3B" w14:textId="77777777" w:rsidR="00980755" w:rsidRPr="00980755" w:rsidRDefault="00980755" w:rsidP="00980755">
      <w:pPr>
        <w:spacing w:after="0" w:line="240" w:lineRule="auto"/>
        <w:jc w:val="both"/>
        <w:rPr>
          <w:rFonts w:ascii="Verdana" w:eastAsia="Aptos" w:hAnsi="Verdana" w:cs="Times New Roman"/>
          <w:kern w:val="2"/>
          <w:sz w:val="20"/>
          <w:szCs w:val="20"/>
          <w14:ligatures w14:val="standardContextual"/>
        </w:rPr>
      </w:pPr>
    </w:p>
    <w:p w14:paraId="6367322D" w14:textId="77777777" w:rsidR="00980755" w:rsidRPr="00980755" w:rsidRDefault="00980755" w:rsidP="00980755">
      <w:pPr>
        <w:spacing w:after="0" w:line="240" w:lineRule="auto"/>
        <w:jc w:val="both"/>
        <w:rPr>
          <w:rFonts w:ascii="Verdana" w:eastAsia="Aptos" w:hAnsi="Verdana" w:cs="Times New Roman"/>
          <w:kern w:val="2"/>
          <w:sz w:val="20"/>
          <w:szCs w:val="20"/>
          <w14:ligatures w14:val="standardContextual"/>
        </w:rPr>
      </w:pPr>
      <w:r w:rsidRPr="00980755">
        <w:rPr>
          <w:rFonts w:ascii="Verdana" w:eastAsia="Aptos" w:hAnsi="Verdana" w:cs="Times New Roman"/>
          <w:kern w:val="2"/>
          <w:sz w:val="20"/>
          <w:szCs w:val="20"/>
          <w14:ligatures w14:val="standardContextual"/>
        </w:rPr>
        <w:t>(…)</w:t>
      </w:r>
    </w:p>
    <w:p w14:paraId="08FCD539" w14:textId="77777777" w:rsidR="00980755" w:rsidRPr="00980755" w:rsidRDefault="00980755" w:rsidP="00980755">
      <w:pPr>
        <w:spacing w:after="0" w:line="240" w:lineRule="auto"/>
        <w:jc w:val="both"/>
        <w:rPr>
          <w:rFonts w:ascii="Verdana" w:eastAsia="Aptos" w:hAnsi="Verdana" w:cs="Times New Roman"/>
          <w:kern w:val="2"/>
          <w:sz w:val="20"/>
          <w:szCs w:val="20"/>
          <w14:ligatures w14:val="standardContextual"/>
        </w:rPr>
      </w:pPr>
    </w:p>
    <w:p w14:paraId="668C9C42" w14:textId="77777777" w:rsidR="00980755" w:rsidRPr="00980755" w:rsidRDefault="00980755" w:rsidP="00980755">
      <w:pPr>
        <w:spacing w:after="0" w:line="240" w:lineRule="auto"/>
        <w:jc w:val="both"/>
        <w:rPr>
          <w:rFonts w:ascii="Verdana" w:eastAsia="Aptos" w:hAnsi="Verdana" w:cs="Times New Roman"/>
          <w:kern w:val="2"/>
          <w:sz w:val="20"/>
          <w:szCs w:val="20"/>
          <w14:ligatures w14:val="standardContextual"/>
        </w:rPr>
      </w:pPr>
      <w:r w:rsidRPr="00980755">
        <w:rPr>
          <w:rFonts w:ascii="Verdana" w:eastAsia="Aptos" w:hAnsi="Verdana" w:cs="Times New Roman"/>
          <w:kern w:val="2"/>
          <w:sz w:val="20"/>
          <w:szCs w:val="20"/>
          <w14:ligatures w14:val="standardContextual"/>
        </w:rPr>
        <w:t>Como se observa, los valores de los indicadores de rentabilidad sobre el patrimonio y rentabilidad del activo no corresponden a apartes que la entidad deba diligenciar –aquellos incluidos entre corchetes y resaltados en gris–, sino que fueron fijados por esta Agencia en la Matriz 2 para cada rango de presupuesto y tipo de proponente.</w:t>
      </w:r>
    </w:p>
    <w:p w14:paraId="3B5384CA" w14:textId="77777777" w:rsidR="00980755" w:rsidRPr="00980755" w:rsidRDefault="00980755" w:rsidP="00980755">
      <w:pPr>
        <w:spacing w:after="0" w:line="240" w:lineRule="auto"/>
        <w:jc w:val="both"/>
        <w:rPr>
          <w:rFonts w:ascii="Verdana" w:eastAsia="Aptos" w:hAnsi="Verdana" w:cs="Times New Roman"/>
          <w:kern w:val="2"/>
          <w:sz w:val="20"/>
          <w:szCs w:val="20"/>
          <w14:ligatures w14:val="standardContextual"/>
        </w:rPr>
      </w:pPr>
    </w:p>
    <w:p w14:paraId="0E1A1A0B" w14:textId="77777777" w:rsidR="00980755" w:rsidRPr="00980755" w:rsidRDefault="00980755" w:rsidP="00980755">
      <w:pPr>
        <w:spacing w:after="0" w:line="240" w:lineRule="auto"/>
        <w:jc w:val="both"/>
        <w:rPr>
          <w:rFonts w:ascii="Verdana" w:eastAsia="Aptos" w:hAnsi="Verdana" w:cs="Times New Roman"/>
          <w:kern w:val="2"/>
          <w:sz w:val="20"/>
          <w:szCs w:val="20"/>
          <w14:ligatures w14:val="standardContextual"/>
        </w:rPr>
      </w:pPr>
      <w:r w:rsidRPr="00980755">
        <w:rPr>
          <w:rFonts w:ascii="Verdana" w:eastAsia="Aptos" w:hAnsi="Verdana" w:cs="Times New Roman"/>
          <w:kern w:val="2"/>
          <w:sz w:val="20"/>
          <w:szCs w:val="20"/>
          <w14:ligatures w14:val="standardContextual"/>
        </w:rPr>
        <w:t xml:space="preserve">En conclusión, y en respuesta al problema jurídico planteado en este concepto, los requisitos de capacidad financiera y organizacional aplicables a las </w:t>
      </w:r>
      <w:proofErr w:type="spellStart"/>
      <w:r w:rsidRPr="00980755">
        <w:rPr>
          <w:rFonts w:ascii="Verdana" w:eastAsia="Aptos" w:hAnsi="Verdana" w:cs="Times New Roman"/>
          <w:kern w:val="2"/>
          <w:sz w:val="20"/>
          <w:szCs w:val="20"/>
          <w14:ligatures w14:val="standardContextual"/>
        </w:rPr>
        <w:t>Mipymes</w:t>
      </w:r>
      <w:proofErr w:type="spellEnd"/>
      <w:r w:rsidRPr="00980755">
        <w:rPr>
          <w:rFonts w:ascii="Verdana" w:eastAsia="Aptos" w:hAnsi="Verdana" w:cs="Times New Roman"/>
          <w:kern w:val="2"/>
          <w:sz w:val="20"/>
          <w:szCs w:val="20"/>
          <w14:ligatures w14:val="standardContextual"/>
        </w:rPr>
        <w:t xml:space="preserve"> y a los demás proponentes en los procesos que se adelanten con el documento tipo de licitación de obra pública de infraestructura de transporte – versión 4 son los señalados en el documento base y en la Matriz 2. En virtud de la regla de inalterabilidad de los documentos tipo –desarrollada en el punto tres (</w:t>
      </w:r>
      <w:proofErr w:type="spellStart"/>
      <w:r w:rsidRPr="00980755">
        <w:rPr>
          <w:rFonts w:ascii="Verdana" w:eastAsia="Aptos" w:hAnsi="Verdana" w:cs="Times New Roman"/>
          <w:kern w:val="2"/>
          <w:sz w:val="20"/>
          <w:szCs w:val="20"/>
          <w14:ligatures w14:val="standardContextual"/>
        </w:rPr>
        <w:t>iii</w:t>
      </w:r>
      <w:proofErr w:type="spellEnd"/>
      <w:r w:rsidRPr="00980755">
        <w:rPr>
          <w:rFonts w:ascii="Verdana" w:eastAsia="Aptos" w:hAnsi="Verdana" w:cs="Times New Roman"/>
          <w:kern w:val="2"/>
          <w:sz w:val="20"/>
          <w:szCs w:val="20"/>
          <w14:ligatures w14:val="standardContextual"/>
        </w:rPr>
        <w:t xml:space="preserve">) de este concepto–, estos requisitos deben aplicarse de manera estricta, conforme a lo dispuesto en el documento tipo y a los parámetros señalados en el presente concepto, por lo que los indicadores de </w:t>
      </w:r>
      <w:r w:rsidRPr="00980755">
        <w:rPr>
          <w:rFonts w:ascii="Verdana" w:eastAsia="Aptos" w:hAnsi="Verdana" w:cs="Times New Roman"/>
          <w:kern w:val="2"/>
          <w:sz w:val="20"/>
          <w:szCs w:val="20"/>
          <w14:ligatures w14:val="standardContextual"/>
        </w:rPr>
        <w:lastRenderedPageBreak/>
        <w:t>rentabilidad sobre el patrimonio y rentabilidad del activo no son modificables por las entidades estatales.</w:t>
      </w:r>
    </w:p>
    <w:p w14:paraId="1A65D79D" w14:textId="77777777" w:rsidR="00980755" w:rsidRPr="00980755" w:rsidRDefault="00980755" w:rsidP="00980755">
      <w:pPr>
        <w:spacing w:after="0" w:line="240" w:lineRule="auto"/>
        <w:jc w:val="both"/>
        <w:rPr>
          <w:rFonts w:ascii="Verdana" w:eastAsia="Aptos" w:hAnsi="Verdana" w:cs="Times New Roman"/>
          <w:kern w:val="2"/>
          <w:sz w:val="20"/>
          <w:szCs w:val="20"/>
          <w14:ligatures w14:val="standardContextual"/>
        </w:rPr>
      </w:pPr>
    </w:p>
    <w:p w14:paraId="500D5DAD" w14:textId="77777777" w:rsidR="00980755" w:rsidRPr="00980755" w:rsidRDefault="00980755" w:rsidP="00980755">
      <w:pPr>
        <w:spacing w:after="0" w:line="240" w:lineRule="auto"/>
        <w:jc w:val="both"/>
        <w:rPr>
          <w:rFonts w:ascii="Verdana" w:eastAsia="Aptos" w:hAnsi="Verdana" w:cs="Times New Roman"/>
          <w:kern w:val="2"/>
          <w:sz w:val="20"/>
          <w:szCs w:val="20"/>
          <w14:ligatures w14:val="standardContextual"/>
        </w:rPr>
      </w:pPr>
      <w:r w:rsidRPr="00980755">
        <w:rPr>
          <w:rFonts w:ascii="Verdana" w:eastAsia="Aptos" w:hAnsi="Verdana" w:cs="Times New Roman"/>
          <w:kern w:val="2"/>
          <w:sz w:val="20"/>
          <w:szCs w:val="20"/>
          <w14:ligatures w14:val="standardContextual"/>
        </w:rPr>
        <w:t>En consecuencia, al no tratarse de un aspecto que el documento tipo deje a criterio de la entidad, no existe un procedimiento ni una oportunidad para ajustar dichos indicadores, sea en el análisis del sector, en la estructuración del proceso o en otra etapa del procedimiento de selección.</w:t>
      </w:r>
    </w:p>
    <w:p w14:paraId="2BCFA62B" w14:textId="77777777" w:rsidR="00980755" w:rsidRPr="00980755" w:rsidRDefault="00980755" w:rsidP="00980755">
      <w:pPr>
        <w:spacing w:after="0" w:line="240" w:lineRule="auto"/>
        <w:jc w:val="both"/>
        <w:rPr>
          <w:rFonts w:ascii="Verdana" w:eastAsia="Times New Roman" w:hAnsi="Verdana" w:cs="Arial"/>
          <w:sz w:val="20"/>
          <w:szCs w:val="20"/>
          <w:shd w:val="clear" w:color="auto" w:fill="FFFFFF"/>
          <w:lang w:val="es-ES_tradnl" w:eastAsia="es-ES_tradnl"/>
        </w:rPr>
      </w:pPr>
    </w:p>
    <w:p w14:paraId="58267DCF" w14:textId="77777777" w:rsidR="00980755" w:rsidRPr="00980755" w:rsidRDefault="00980755" w:rsidP="00980755">
      <w:pPr>
        <w:spacing w:after="0" w:line="240" w:lineRule="auto"/>
        <w:jc w:val="both"/>
        <w:rPr>
          <w:rFonts w:ascii="Verdana" w:eastAsia="Times New Roman" w:hAnsi="Verdana" w:cs="Arial"/>
          <w:sz w:val="20"/>
          <w:szCs w:val="20"/>
          <w:shd w:val="clear" w:color="auto" w:fill="FFFFFF"/>
          <w:lang w:val="es-ES_tradnl" w:eastAsia="es-ES_tradnl"/>
        </w:rPr>
      </w:pPr>
    </w:p>
    <w:p w14:paraId="57B56542" w14:textId="77777777" w:rsidR="00980755" w:rsidRPr="00980755" w:rsidRDefault="00980755" w:rsidP="00980755">
      <w:pPr>
        <w:spacing w:after="0" w:line="240" w:lineRule="auto"/>
        <w:jc w:val="both"/>
        <w:rPr>
          <w:rFonts w:ascii="Verdana" w:eastAsia="Times New Roman" w:hAnsi="Verdana" w:cs="Arial"/>
          <w:sz w:val="20"/>
          <w:szCs w:val="20"/>
          <w:shd w:val="clear" w:color="auto" w:fill="FFFFFF"/>
          <w:lang w:val="es-ES_tradnl" w:eastAsia="es-ES_tradnl"/>
        </w:rPr>
      </w:pPr>
    </w:p>
    <w:p w14:paraId="64FA86DE" w14:textId="77777777" w:rsidR="00980755" w:rsidRPr="00980755" w:rsidRDefault="00980755" w:rsidP="00980755">
      <w:pPr>
        <w:spacing w:after="0" w:line="240" w:lineRule="auto"/>
        <w:jc w:val="both"/>
        <w:rPr>
          <w:rFonts w:ascii="Verdana" w:eastAsia="Times New Roman" w:hAnsi="Verdana" w:cs="Arial"/>
          <w:sz w:val="20"/>
          <w:szCs w:val="20"/>
          <w:shd w:val="clear" w:color="auto" w:fill="FFFFFF"/>
          <w:lang w:val="es-ES_tradnl" w:eastAsia="es-ES_tradnl"/>
        </w:rPr>
      </w:pPr>
    </w:p>
    <w:p w14:paraId="7A14D015" w14:textId="77777777" w:rsidR="00980755" w:rsidRPr="00980755" w:rsidRDefault="00980755" w:rsidP="00980755">
      <w:pPr>
        <w:spacing w:after="0" w:line="240" w:lineRule="auto"/>
        <w:jc w:val="both"/>
        <w:rPr>
          <w:rFonts w:ascii="Verdana" w:eastAsia="Times New Roman" w:hAnsi="Verdana" w:cs="Arial"/>
          <w:sz w:val="20"/>
          <w:szCs w:val="20"/>
          <w:shd w:val="clear" w:color="auto" w:fill="FFFFFF"/>
          <w:lang w:val="es-ES_tradnl" w:eastAsia="es-ES_tradnl"/>
        </w:rPr>
      </w:pPr>
    </w:p>
    <w:p w14:paraId="0B7FA2E1" w14:textId="77777777" w:rsidR="00980755" w:rsidRPr="00980755" w:rsidRDefault="00980755" w:rsidP="00980755">
      <w:pPr>
        <w:spacing w:after="0" w:line="240" w:lineRule="auto"/>
        <w:jc w:val="both"/>
        <w:rPr>
          <w:rFonts w:ascii="Verdana" w:eastAsia="Times New Roman" w:hAnsi="Verdana" w:cs="Arial"/>
          <w:sz w:val="20"/>
          <w:szCs w:val="20"/>
          <w:shd w:val="clear" w:color="auto" w:fill="FFFFFF"/>
          <w:lang w:val="es-ES_tradnl" w:eastAsia="es-ES_tradnl"/>
        </w:rPr>
      </w:pPr>
    </w:p>
    <w:p w14:paraId="3A983EC5" w14:textId="77777777" w:rsidR="00980755" w:rsidRPr="00980755" w:rsidRDefault="00980755" w:rsidP="00980755">
      <w:pPr>
        <w:spacing w:after="0" w:line="240" w:lineRule="auto"/>
        <w:jc w:val="both"/>
        <w:rPr>
          <w:rFonts w:ascii="Verdana" w:eastAsia="Times New Roman" w:hAnsi="Verdana" w:cs="Arial"/>
          <w:sz w:val="20"/>
          <w:szCs w:val="20"/>
          <w:shd w:val="clear" w:color="auto" w:fill="FFFFFF"/>
          <w:lang w:val="es-ES_tradnl" w:eastAsia="es-ES_tradnl"/>
        </w:rPr>
      </w:pPr>
    </w:p>
    <w:p w14:paraId="7DACEBC5" w14:textId="77777777" w:rsidR="00980755" w:rsidRPr="00980755" w:rsidRDefault="00980755" w:rsidP="00980755">
      <w:pPr>
        <w:spacing w:after="0" w:line="240" w:lineRule="auto"/>
        <w:jc w:val="both"/>
        <w:rPr>
          <w:rFonts w:ascii="Verdana" w:eastAsia="Times New Roman" w:hAnsi="Verdana" w:cs="Arial"/>
          <w:sz w:val="20"/>
          <w:szCs w:val="20"/>
          <w:shd w:val="clear" w:color="auto" w:fill="FFFFFF"/>
          <w:lang w:val="es-ES_tradnl" w:eastAsia="es-ES_tradnl"/>
        </w:rPr>
      </w:pPr>
    </w:p>
    <w:p w14:paraId="6DDDED75" w14:textId="77777777" w:rsidR="00980755" w:rsidRPr="00980755" w:rsidRDefault="00980755" w:rsidP="00980755">
      <w:pPr>
        <w:spacing w:after="0" w:line="240" w:lineRule="auto"/>
        <w:jc w:val="both"/>
        <w:rPr>
          <w:rFonts w:ascii="Verdana" w:eastAsia="Aptos" w:hAnsi="Verdana" w:cs="Times New Roman"/>
          <w:kern w:val="2"/>
          <w14:ligatures w14:val="standardContextual"/>
        </w:rPr>
      </w:pPr>
    </w:p>
    <w:p w14:paraId="75EB9C4F" w14:textId="77777777" w:rsidR="00980755" w:rsidRPr="00980755" w:rsidRDefault="00980755" w:rsidP="00980755">
      <w:pPr>
        <w:spacing w:after="0" w:line="240" w:lineRule="auto"/>
        <w:jc w:val="both"/>
        <w:rPr>
          <w:rFonts w:ascii="Verdana" w:eastAsia="Aptos" w:hAnsi="Verdana" w:cs="Times New Roman"/>
          <w:kern w:val="2"/>
          <w14:ligatures w14:val="standardContextual"/>
        </w:rPr>
      </w:pPr>
    </w:p>
    <w:p w14:paraId="6AD877CF" w14:textId="77777777" w:rsidR="00980755" w:rsidRPr="00980755" w:rsidRDefault="00980755" w:rsidP="00980755">
      <w:pPr>
        <w:spacing w:after="0" w:line="240" w:lineRule="auto"/>
        <w:jc w:val="both"/>
        <w:rPr>
          <w:rFonts w:ascii="Verdana" w:eastAsia="Aptos" w:hAnsi="Verdana" w:cs="Times New Roman"/>
          <w:kern w:val="2"/>
          <w14:ligatures w14:val="standardContextual"/>
        </w:rPr>
      </w:pPr>
    </w:p>
    <w:p w14:paraId="0D793CCF" w14:textId="77777777" w:rsidR="00980755" w:rsidRPr="00980755" w:rsidRDefault="00980755" w:rsidP="00980755">
      <w:pPr>
        <w:spacing w:after="0" w:line="240" w:lineRule="auto"/>
        <w:jc w:val="both"/>
        <w:rPr>
          <w:rFonts w:ascii="Verdana" w:eastAsia="Aptos" w:hAnsi="Verdana" w:cs="Times New Roman"/>
          <w:kern w:val="2"/>
          <w14:ligatures w14:val="standardContextual"/>
        </w:rPr>
      </w:pPr>
    </w:p>
    <w:p w14:paraId="7F1E875E"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513C2DDD"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0CB855C6"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16BF4248"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425E8438"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3F033DCC"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7A6692B3"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4C16C3D4"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20637DF3"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23E39644"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6D087103"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77E476C6"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12AD7F58"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24FB1EB9"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50D66B2F"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4CDACAF5"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00A8ED87"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6BAD0352"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6765523B"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351086F6"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561669ED"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34EA8BC7"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2501339A" w14:textId="77777777" w:rsidR="00980755" w:rsidRPr="00980755" w:rsidRDefault="00980755" w:rsidP="00980755">
      <w:pPr>
        <w:tabs>
          <w:tab w:val="left" w:pos="1005"/>
        </w:tabs>
        <w:spacing w:after="0" w:line="240" w:lineRule="auto"/>
        <w:jc w:val="both"/>
        <w:rPr>
          <w:rFonts w:ascii="Verdana" w:eastAsia="Aptos" w:hAnsi="Verdana" w:cs="Arial"/>
          <w:color w:val="000000"/>
          <w:highlight w:val="yellow"/>
          <w:lang w:val="es-ES_tradnl"/>
        </w:rPr>
      </w:pPr>
    </w:p>
    <w:p w14:paraId="3A255A69" w14:textId="77777777" w:rsidR="00980755" w:rsidRPr="00980755" w:rsidRDefault="00980755" w:rsidP="00980755">
      <w:pPr>
        <w:spacing w:after="0" w:line="240" w:lineRule="auto"/>
        <w:jc w:val="both"/>
        <w:rPr>
          <w:rFonts w:ascii="Verdana" w:eastAsia="Aptos" w:hAnsi="Verdana" w:cs="Arial"/>
          <w:color w:val="000000"/>
          <w:highlight w:val="yellow"/>
          <w:lang w:val="es-ES_tradnl"/>
        </w:rPr>
      </w:pPr>
    </w:p>
    <w:p w14:paraId="460A4237" w14:textId="11BEFA1C" w:rsidR="00980755" w:rsidRDefault="004B3893" w:rsidP="004B3893">
      <w:pPr>
        <w:spacing w:after="0" w:line="240" w:lineRule="auto"/>
        <w:rPr>
          <w:rFonts w:ascii="Verdana" w:eastAsia="Calibri" w:hAnsi="Verdana" w:cs="Arial"/>
          <w:lang w:eastAsia="es-ES"/>
        </w:rPr>
      </w:pPr>
      <w:bookmarkStart w:id="2" w:name="_Hlk117695077"/>
      <w:r w:rsidRPr="004B3893">
        <w:rPr>
          <w:rFonts w:ascii="Verdana" w:eastAsia="Calibri" w:hAnsi="Verdana" w:cs="Arial"/>
          <w:lang w:eastAsia="es-ES"/>
        </w:rPr>
        <w:lastRenderedPageBreak/>
        <w:drawing>
          <wp:anchor distT="0" distB="0" distL="114300" distR="114300" simplePos="0" relativeHeight="251658240" behindDoc="0" locked="0" layoutInCell="1" allowOverlap="1" wp14:anchorId="3D36AEFD" wp14:editId="04E423E9">
            <wp:simplePos x="0" y="0"/>
            <wp:positionH relativeFrom="column">
              <wp:posOffset>3214843</wp:posOffset>
            </wp:positionH>
            <wp:positionV relativeFrom="paragraph">
              <wp:posOffset>-74310</wp:posOffset>
            </wp:positionV>
            <wp:extent cx="2999268" cy="1021729"/>
            <wp:effectExtent l="0" t="0" r="0" b="0"/>
            <wp:wrapNone/>
            <wp:docPr id="8936197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619740" name=""/>
                    <pic:cNvPicPr/>
                  </pic:nvPicPr>
                  <pic:blipFill>
                    <a:blip r:embed="rId10">
                      <a:extLst>
                        <a:ext uri="{28A0092B-C50C-407E-A947-70E740481C1C}">
                          <a14:useLocalDpi xmlns:a14="http://schemas.microsoft.com/office/drawing/2010/main" val="0"/>
                        </a:ext>
                      </a:extLst>
                    </a:blip>
                    <a:stretch>
                      <a:fillRect/>
                    </a:stretch>
                  </pic:blipFill>
                  <pic:spPr>
                    <a:xfrm>
                      <a:off x="0" y="0"/>
                      <a:ext cx="2999268" cy="1021729"/>
                    </a:xfrm>
                    <a:prstGeom prst="rect">
                      <a:avLst/>
                    </a:prstGeom>
                  </pic:spPr>
                </pic:pic>
              </a:graphicData>
            </a:graphic>
            <wp14:sizeRelH relativeFrom="page">
              <wp14:pctWidth>0</wp14:pctWidth>
            </wp14:sizeRelH>
            <wp14:sizeRelV relativeFrom="page">
              <wp14:pctHeight>0</wp14:pctHeight>
            </wp14:sizeRelV>
          </wp:anchor>
        </w:drawing>
      </w:r>
      <w:r w:rsidR="00980755" w:rsidRPr="00980755">
        <w:rPr>
          <w:rFonts w:ascii="Verdana" w:eastAsia="Verdana" w:hAnsi="Verdana" w:cs="Verdana"/>
          <w:kern w:val="2"/>
          <w14:ligatures w14:val="standardContextual"/>
        </w:rPr>
        <w:t xml:space="preserve">Bogotá D.C., </w:t>
      </w:r>
      <w:r>
        <w:rPr>
          <w:rFonts w:ascii="Verdana" w:eastAsia="Verdana" w:hAnsi="Verdana" w:cs="Verdana"/>
          <w:kern w:val="2"/>
          <w14:ligatures w14:val="standardContextual"/>
        </w:rPr>
        <w:t>24 de septiembre de 2026</w:t>
      </w:r>
      <w:r w:rsidR="00980755" w:rsidRPr="00980755">
        <w:rPr>
          <w:rFonts w:ascii="Aptos" w:eastAsia="Aptos" w:hAnsi="Aptos" w:cs="Times New Roman"/>
          <w:kern w:val="2"/>
          <w:sz w:val="24"/>
          <w:szCs w:val="24"/>
          <w14:ligatures w14:val="standardContextual"/>
        </w:rPr>
        <w:br/>
      </w:r>
    </w:p>
    <w:p w14:paraId="4F06A84A" w14:textId="0986C1A1" w:rsidR="004B3893" w:rsidRPr="00980755" w:rsidRDefault="004B3893" w:rsidP="004B3893">
      <w:pPr>
        <w:spacing w:after="0" w:line="240" w:lineRule="auto"/>
        <w:rPr>
          <w:rFonts w:ascii="Verdana" w:eastAsia="Calibri" w:hAnsi="Verdana" w:cs="Arial"/>
          <w:lang w:eastAsia="es-ES"/>
        </w:rPr>
      </w:pPr>
    </w:p>
    <w:p w14:paraId="129B0A2E" w14:textId="77777777" w:rsidR="00980755" w:rsidRPr="00980755" w:rsidRDefault="00980755" w:rsidP="00980755">
      <w:pPr>
        <w:spacing w:after="0" w:line="276" w:lineRule="auto"/>
        <w:jc w:val="both"/>
        <w:rPr>
          <w:rFonts w:ascii="Verdana" w:eastAsia="Calibri" w:hAnsi="Verdana" w:cs="Arial"/>
          <w:lang w:val="es-ES_tradnl" w:eastAsia="es-ES"/>
        </w:rPr>
      </w:pPr>
      <w:r w:rsidRPr="00980755">
        <w:rPr>
          <w:rFonts w:ascii="Verdana" w:eastAsia="Calibri" w:hAnsi="Verdana" w:cs="Arial"/>
          <w:lang w:val="es-ES_tradnl" w:eastAsia="es-ES"/>
        </w:rPr>
        <w:t>Señor</w:t>
      </w:r>
    </w:p>
    <w:p w14:paraId="60E24427" w14:textId="77777777" w:rsidR="00980755" w:rsidRPr="00980755" w:rsidRDefault="00980755" w:rsidP="00980755">
      <w:pPr>
        <w:spacing w:after="0" w:line="276" w:lineRule="auto"/>
        <w:jc w:val="both"/>
        <w:rPr>
          <w:rFonts w:ascii="Verdana" w:eastAsia="Aptos" w:hAnsi="Verdana" w:cs="Times New Roman"/>
          <w:b/>
          <w:bCs/>
          <w:kern w:val="2"/>
          <w14:ligatures w14:val="standardContextual"/>
        </w:rPr>
      </w:pPr>
      <w:r w:rsidRPr="00980755">
        <w:rPr>
          <w:rFonts w:ascii="Verdana" w:eastAsia="Calibri" w:hAnsi="Verdana" w:cs="Arial"/>
          <w:b/>
          <w:bCs/>
          <w:lang w:val="es-ES_tradnl" w:eastAsia="es-ES"/>
        </w:rPr>
        <w:t>James Suarez Ortega</w:t>
      </w:r>
    </w:p>
    <w:p w14:paraId="635D63E8" w14:textId="77777777" w:rsidR="00980755" w:rsidRPr="00980755" w:rsidRDefault="00980755" w:rsidP="00980755">
      <w:pPr>
        <w:spacing w:after="0" w:line="240" w:lineRule="auto"/>
        <w:jc w:val="both"/>
        <w:rPr>
          <w:rFonts w:ascii="Verdana" w:eastAsia="Calibri" w:hAnsi="Verdana" w:cs="Arial"/>
        </w:rPr>
      </w:pPr>
      <w:r w:rsidRPr="00980755">
        <w:rPr>
          <w:rFonts w:ascii="Verdana" w:eastAsia="Calibri" w:hAnsi="Verdana" w:cs="Arial"/>
        </w:rPr>
        <w:t>Simijaca, Cundinamarca</w:t>
      </w:r>
    </w:p>
    <w:p w14:paraId="10CEB006" w14:textId="77777777" w:rsidR="00980755" w:rsidRPr="00980755" w:rsidRDefault="00980755" w:rsidP="00980755">
      <w:pPr>
        <w:spacing w:after="0" w:line="240" w:lineRule="auto"/>
        <w:jc w:val="both"/>
        <w:rPr>
          <w:rFonts w:ascii="Verdana" w:eastAsia="Calibri" w:hAnsi="Verdana" w:cs="Arial"/>
          <w:b/>
          <w:bCs/>
          <w:lang w:eastAsia="es-ES"/>
        </w:rPr>
      </w:pPr>
    </w:p>
    <w:tbl>
      <w:tblPr>
        <w:tblStyle w:val="Tablaconcuadrcula"/>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980755" w:rsidRPr="00980755" w14:paraId="5DE98B79" w14:textId="77777777">
        <w:trPr>
          <w:trHeight w:val="910"/>
        </w:trPr>
        <w:tc>
          <w:tcPr>
            <w:tcW w:w="2725" w:type="dxa"/>
          </w:tcPr>
          <w:p w14:paraId="64438981" w14:textId="77777777" w:rsidR="00980755" w:rsidRPr="00980755" w:rsidRDefault="00980755" w:rsidP="00980755">
            <w:pPr>
              <w:jc w:val="both"/>
              <w:rPr>
                <w:rFonts w:ascii="Verdana" w:eastAsia="Calibri" w:hAnsi="Verdana" w:cs="Arial"/>
                <w:b/>
                <w:bCs/>
                <w:color w:val="7030A0"/>
                <w:lang w:eastAsia="es-ES_tradnl"/>
              </w:rPr>
            </w:pPr>
          </w:p>
        </w:tc>
        <w:tc>
          <w:tcPr>
            <w:tcW w:w="6183" w:type="dxa"/>
          </w:tcPr>
          <w:p w14:paraId="0DFF03F7" w14:textId="77777777" w:rsidR="00980755" w:rsidRPr="00980755" w:rsidRDefault="00980755" w:rsidP="00980755">
            <w:pPr>
              <w:snapToGrid w:val="0"/>
              <w:jc w:val="both"/>
              <w:rPr>
                <w:rFonts w:ascii="Verdana" w:eastAsia="Calibri" w:hAnsi="Verdana" w:cs="Arial"/>
                <w:b/>
                <w:bCs/>
                <w:lang w:eastAsia="es-ES"/>
              </w:rPr>
            </w:pPr>
            <w:r w:rsidRPr="00980755">
              <w:rPr>
                <w:rFonts w:ascii="Verdana" w:eastAsia="Calibri" w:hAnsi="Verdana" w:cs="Arial"/>
                <w:b/>
                <w:bCs/>
                <w:lang w:eastAsia="es-ES"/>
              </w:rPr>
              <w:t>Concepto C-1296 de 2026</w:t>
            </w:r>
          </w:p>
          <w:p w14:paraId="0B47D601" w14:textId="77777777" w:rsidR="00980755" w:rsidRPr="00980755" w:rsidRDefault="00980755" w:rsidP="00980755">
            <w:pPr>
              <w:snapToGrid w:val="0"/>
              <w:jc w:val="both"/>
              <w:rPr>
                <w:rFonts w:ascii="Verdana" w:eastAsia="Calibri" w:hAnsi="Verdana" w:cs="Arial"/>
                <w:b/>
                <w:bCs/>
                <w:lang w:eastAsia="es-ES"/>
              </w:rPr>
            </w:pPr>
          </w:p>
        </w:tc>
      </w:tr>
      <w:tr w:rsidR="00980755" w:rsidRPr="00980755" w14:paraId="10D5F66B" w14:textId="77777777">
        <w:trPr>
          <w:trHeight w:val="910"/>
        </w:trPr>
        <w:tc>
          <w:tcPr>
            <w:tcW w:w="2725" w:type="dxa"/>
          </w:tcPr>
          <w:p w14:paraId="63989A1D" w14:textId="77777777" w:rsidR="00980755" w:rsidRPr="00980755" w:rsidRDefault="00980755" w:rsidP="00980755">
            <w:pPr>
              <w:jc w:val="both"/>
              <w:rPr>
                <w:rFonts w:ascii="Verdana" w:eastAsia="Calibri" w:hAnsi="Verdana" w:cs="Arial"/>
                <w:color w:val="000000"/>
                <w:lang w:eastAsia="es-ES_tradnl"/>
              </w:rPr>
            </w:pPr>
            <w:r w:rsidRPr="00980755">
              <w:rPr>
                <w:rFonts w:ascii="Verdana" w:eastAsia="Calibri" w:hAnsi="Verdana" w:cs="Arial"/>
                <w:b/>
                <w:color w:val="000000"/>
                <w:lang w:eastAsia="es-ES_tradnl"/>
              </w:rPr>
              <w:t>Temas:</w:t>
            </w:r>
            <w:r w:rsidRPr="00980755">
              <w:rPr>
                <w:rFonts w:ascii="Verdana" w:eastAsia="Calibri" w:hAnsi="Verdana" w:cs="Arial"/>
                <w:color w:val="000000"/>
                <w:lang w:eastAsia="es-ES_tradnl"/>
              </w:rPr>
              <w:t xml:space="preserve">                   </w:t>
            </w:r>
          </w:p>
        </w:tc>
        <w:tc>
          <w:tcPr>
            <w:tcW w:w="6183" w:type="dxa"/>
          </w:tcPr>
          <w:p w14:paraId="705D3FB8" w14:textId="77777777" w:rsidR="00980755" w:rsidRPr="00980755" w:rsidRDefault="00980755" w:rsidP="00980755">
            <w:pPr>
              <w:spacing w:line="276" w:lineRule="auto"/>
              <w:jc w:val="both"/>
              <w:rPr>
                <w:rFonts w:ascii="Verdana" w:eastAsia="Times New Roman" w:hAnsi="Verdana" w:cs="Times New Roman"/>
                <w:lang w:eastAsia="es-MX"/>
              </w:rPr>
            </w:pPr>
            <w:r w:rsidRPr="00980755">
              <w:rPr>
                <w:rFonts w:ascii="Verdana" w:eastAsia="Aptos" w:hAnsi="Verdana" w:cs="Times New Roman"/>
                <w:color w:val="000000"/>
                <w:lang w:eastAsia="es-MX"/>
              </w:rPr>
              <w:t xml:space="preserve">DOCUMENTOS TIPO – Fundamento normativo – Obligatoriedad </w:t>
            </w:r>
            <w:r w:rsidRPr="00980755">
              <w:rPr>
                <w:rFonts w:ascii="Verdana" w:eastAsia="Aptos" w:hAnsi="Verdana" w:cs="Times New Roman"/>
                <w:lang w:eastAsia="es-MX"/>
              </w:rPr>
              <w:t xml:space="preserve">/ </w:t>
            </w:r>
            <w:r w:rsidRPr="00980755">
              <w:rPr>
                <w:rFonts w:ascii="Verdana" w:eastAsia="Calibri" w:hAnsi="Verdana" w:cs="Arial"/>
                <w:kern w:val="2"/>
                <w:lang w:val="es-MX" w:eastAsia="es-MX"/>
                <w14:ligatures w14:val="standardContextual"/>
              </w:rPr>
              <w:t>DOCUMENTOS TIPO – Inalterabilidad – Fundamentos</w:t>
            </w:r>
            <w:r w:rsidRPr="00980755">
              <w:rPr>
                <w:rFonts w:ascii="Verdana" w:eastAsia="Calibri" w:hAnsi="Verdana" w:cs="Arial"/>
                <w:lang w:val="es-MX" w:eastAsia="es-MX"/>
              </w:rPr>
              <w:t xml:space="preserve"> / </w:t>
            </w:r>
            <w:r w:rsidRPr="00980755">
              <w:rPr>
                <w:rFonts w:ascii="Verdana" w:eastAsia="Calibri" w:hAnsi="Verdana" w:cs="Arial"/>
                <w:kern w:val="2"/>
                <w:lang w:val="es-MX" w:eastAsia="es-MX"/>
                <w14:ligatures w14:val="standardContextual"/>
              </w:rPr>
              <w:t xml:space="preserve">DOCUMENTOS TIPO – Inalterabilidad – Información en corchetes y resaltado gris </w:t>
            </w:r>
            <w:r w:rsidRPr="00980755">
              <w:rPr>
                <w:rFonts w:ascii="Verdana" w:eastAsia="Aptos" w:hAnsi="Verdana" w:cs="Arial"/>
                <w:lang w:val="es-MX" w:eastAsia="es-MX"/>
              </w:rPr>
              <w:t xml:space="preserve"> / </w:t>
            </w:r>
            <w:r w:rsidRPr="00980755">
              <w:rPr>
                <w:rFonts w:ascii="Verdana" w:eastAsia="Calibri" w:hAnsi="Verdana" w:cs="Arial"/>
                <w:kern w:val="2"/>
                <w:lang w:val="es-ES_tradnl" w:eastAsia="es-ES"/>
                <w14:ligatures w14:val="standardContextual"/>
              </w:rPr>
              <w:t xml:space="preserve">DOCUMENTOS TIPO </w:t>
            </w:r>
            <w:r w:rsidRPr="00980755">
              <w:rPr>
                <w:rFonts w:ascii="Verdana" w:eastAsia="Calibri" w:hAnsi="Verdana" w:cs="Arial"/>
                <w:kern w:val="2"/>
                <w:lang w:val="x-none" w:eastAsia="es-ES"/>
                <w14:ligatures w14:val="standardContextual"/>
              </w:rPr>
              <w:t>–</w:t>
            </w:r>
            <w:r w:rsidRPr="00980755">
              <w:rPr>
                <w:rFonts w:ascii="Verdana" w:eastAsia="Calibri" w:hAnsi="Verdana" w:cs="Arial"/>
                <w:kern w:val="2"/>
                <w:lang w:val="es-ES_tradnl" w:eastAsia="es-ES"/>
                <w14:ligatures w14:val="standardContextual"/>
              </w:rPr>
              <w:t xml:space="preserve"> Inalterabilidad </w:t>
            </w:r>
            <w:r w:rsidRPr="00980755">
              <w:rPr>
                <w:rFonts w:ascii="Verdana" w:eastAsia="Calibri" w:hAnsi="Verdana" w:cs="Arial"/>
                <w:kern w:val="2"/>
                <w:lang w:val="x-none" w:eastAsia="es-ES"/>
                <w14:ligatures w14:val="standardContextual"/>
              </w:rPr>
              <w:t>–</w:t>
            </w:r>
            <w:r w:rsidRPr="00980755">
              <w:rPr>
                <w:rFonts w:ascii="Verdana" w:eastAsia="Calibri" w:hAnsi="Verdana" w:cs="Arial"/>
                <w:kern w:val="2"/>
                <w:lang w:val="es-ES_tradnl" w:eastAsia="es-ES"/>
                <w14:ligatures w14:val="standardContextual"/>
              </w:rPr>
              <w:t xml:space="preserve"> Prevalencia del derecho sustancial</w:t>
            </w:r>
            <w:r w:rsidRPr="00980755">
              <w:rPr>
                <w:rFonts w:ascii="Verdana" w:eastAsia="Calibri" w:hAnsi="Verdana" w:cs="Arial"/>
                <w:lang w:val="es-ES_tradnl" w:eastAsia="es-ES"/>
              </w:rPr>
              <w:t xml:space="preserve"> / </w:t>
            </w:r>
            <w:r w:rsidRPr="00980755">
              <w:rPr>
                <w:rFonts w:ascii="Verdana" w:eastAsia="Times New Roman" w:hAnsi="Verdana" w:cs="Times New Roman"/>
                <w:lang w:eastAsia="es-MX"/>
              </w:rPr>
              <w:t>DOCUMENTOS TIPO – Transporte – Licitación Pública – Capacidad financiera – Capacidad organizacional / RENTABILDIAD DEL ACTIVO – Rentabilidad del patrimonio – Numeral 3.9 – Acreditación – Matriz 2 / RENTABILDIAD DEL ACTIVO – Rentabilidad del patrimonio – Numeral 3.9 – Acreditación – Matriz 2 – Inalterabilidad</w:t>
            </w:r>
          </w:p>
          <w:p w14:paraId="44627958" w14:textId="77777777" w:rsidR="00980755" w:rsidRPr="00980755" w:rsidRDefault="00980755" w:rsidP="00980755">
            <w:pPr>
              <w:snapToGrid w:val="0"/>
              <w:jc w:val="both"/>
              <w:rPr>
                <w:rFonts w:ascii="Verdana" w:eastAsia="Calibri" w:hAnsi="Verdana" w:cs="Arial"/>
                <w:lang w:eastAsia="es-ES"/>
              </w:rPr>
            </w:pPr>
          </w:p>
        </w:tc>
      </w:tr>
      <w:tr w:rsidR="00980755" w:rsidRPr="00980755" w14:paraId="20A6D703" w14:textId="77777777">
        <w:trPr>
          <w:trHeight w:val="556"/>
        </w:trPr>
        <w:tc>
          <w:tcPr>
            <w:tcW w:w="2725" w:type="dxa"/>
          </w:tcPr>
          <w:p w14:paraId="7B5B2B5A" w14:textId="77777777" w:rsidR="00980755" w:rsidRPr="00980755" w:rsidRDefault="00980755" w:rsidP="00980755">
            <w:pPr>
              <w:jc w:val="both"/>
              <w:rPr>
                <w:rFonts w:ascii="Verdana" w:eastAsia="Calibri" w:hAnsi="Verdana" w:cs="Arial"/>
                <w:b/>
                <w:bCs/>
                <w:lang w:eastAsia="es-ES_tradnl"/>
              </w:rPr>
            </w:pPr>
            <w:r w:rsidRPr="00980755">
              <w:rPr>
                <w:rFonts w:ascii="Verdana" w:eastAsia="Calibri" w:hAnsi="Verdana" w:cs="Arial"/>
                <w:b/>
                <w:bCs/>
                <w:lang w:eastAsia="es-ES_tradnl"/>
              </w:rPr>
              <w:t xml:space="preserve">Radicación:               </w:t>
            </w:r>
          </w:p>
        </w:tc>
        <w:tc>
          <w:tcPr>
            <w:tcW w:w="6183" w:type="dxa"/>
          </w:tcPr>
          <w:p w14:paraId="739B1CA5" w14:textId="77777777" w:rsidR="00980755" w:rsidRPr="00980755" w:rsidRDefault="00980755" w:rsidP="00980755">
            <w:pPr>
              <w:snapToGrid w:val="0"/>
              <w:jc w:val="both"/>
              <w:rPr>
                <w:rFonts w:ascii="Verdana" w:eastAsia="Calibri" w:hAnsi="Verdana" w:cs="Arial"/>
                <w:lang w:eastAsia="es-ES_tradnl"/>
              </w:rPr>
            </w:pPr>
            <w:r w:rsidRPr="00980755">
              <w:rPr>
                <w:rFonts w:ascii="Verdana" w:eastAsia="Calibri" w:hAnsi="Verdana" w:cs="Arial"/>
                <w:lang w:eastAsia="es-ES_tradnl"/>
              </w:rPr>
              <w:t>Respuesta a consulta con radicado No. 1_2026_08_16_010874</w:t>
            </w:r>
          </w:p>
        </w:tc>
      </w:tr>
    </w:tbl>
    <w:p w14:paraId="3B934550" w14:textId="77777777" w:rsidR="00980755" w:rsidRPr="00980755" w:rsidRDefault="00980755" w:rsidP="00980755">
      <w:pPr>
        <w:spacing w:after="0" w:line="240" w:lineRule="auto"/>
        <w:jc w:val="both"/>
        <w:rPr>
          <w:rFonts w:ascii="Verdana" w:eastAsia="Calibri" w:hAnsi="Verdana" w:cs="Arial"/>
          <w:b/>
          <w:bCs/>
          <w:lang w:eastAsia="es-ES"/>
        </w:rPr>
      </w:pPr>
      <w:r w:rsidRPr="00980755">
        <w:rPr>
          <w:rFonts w:ascii="Verdana" w:eastAsia="Calibri" w:hAnsi="Verdana" w:cs="Arial"/>
          <w:b/>
          <w:bCs/>
          <w:lang w:eastAsia="es-ES"/>
        </w:rPr>
        <w:tab/>
      </w:r>
    </w:p>
    <w:p w14:paraId="1BD6E2E2" w14:textId="77777777" w:rsidR="00980755" w:rsidRPr="00980755" w:rsidRDefault="00980755" w:rsidP="00980755">
      <w:pPr>
        <w:spacing w:after="0" w:line="240" w:lineRule="auto"/>
        <w:jc w:val="both"/>
        <w:rPr>
          <w:rFonts w:ascii="Verdana" w:eastAsia="Aptos" w:hAnsi="Verdana" w:cs="Times New Roman"/>
          <w:b/>
          <w:bCs/>
          <w:kern w:val="2"/>
          <w14:ligatures w14:val="standardContextual"/>
        </w:rPr>
      </w:pPr>
      <w:r w:rsidRPr="00980755">
        <w:rPr>
          <w:rFonts w:ascii="Verdana" w:eastAsia="Calibri" w:hAnsi="Verdana" w:cs="Vrinda"/>
          <w:lang w:val="es-ES" w:eastAsia="es-ES"/>
        </w:rPr>
        <w:t xml:space="preserve">Estimado señor </w:t>
      </w:r>
      <w:r w:rsidRPr="00980755">
        <w:rPr>
          <w:rFonts w:ascii="Verdana" w:eastAsia="Calibri" w:hAnsi="Verdana" w:cs="Arial"/>
          <w:lang w:val="es-ES_tradnl" w:eastAsia="es-ES"/>
        </w:rPr>
        <w:t>Suarez Ortega</w:t>
      </w:r>
      <w:r w:rsidRPr="00980755">
        <w:rPr>
          <w:rFonts w:ascii="Verdana" w:eastAsia="Aptos" w:hAnsi="Verdana" w:cs="Times New Roman"/>
          <w:kern w:val="2"/>
          <w14:ligatures w14:val="standardContextual"/>
        </w:rPr>
        <w:t>:</w:t>
      </w:r>
    </w:p>
    <w:p w14:paraId="1DCAC342" w14:textId="77777777" w:rsidR="00980755" w:rsidRPr="00980755" w:rsidRDefault="00980755" w:rsidP="00980755">
      <w:pPr>
        <w:spacing w:after="0" w:line="240" w:lineRule="auto"/>
        <w:jc w:val="both"/>
        <w:rPr>
          <w:rFonts w:ascii="Verdana" w:eastAsia="Aptos" w:hAnsi="Verdana" w:cs="Times New Roman"/>
          <w:b/>
          <w:bCs/>
          <w:kern w:val="2"/>
          <w14:ligatures w14:val="standardContextual"/>
        </w:rPr>
      </w:pPr>
    </w:p>
    <w:p w14:paraId="06B17593" w14:textId="77777777" w:rsidR="00980755" w:rsidRPr="00980755" w:rsidRDefault="00980755" w:rsidP="00980755">
      <w:pPr>
        <w:spacing w:after="0" w:line="276" w:lineRule="auto"/>
        <w:jc w:val="both"/>
        <w:rPr>
          <w:rFonts w:ascii="Verdana" w:eastAsia="Calibri" w:hAnsi="Verdana" w:cs="Arial"/>
          <w:lang w:val="es-ES" w:eastAsia="es-ES"/>
        </w:rPr>
      </w:pPr>
      <w:r w:rsidRPr="00980755">
        <w:rPr>
          <w:rFonts w:ascii="Verdana" w:eastAsia="Calibri" w:hAnsi="Verdana" w:cs="Arial"/>
          <w:lang w:val="es-ES" w:eastAsia="es-ES"/>
        </w:rPr>
        <w:t>En ejercicio de la competencia otorgada por los artículos 3, numeral 5º, y 11, numeral 8º, del Decreto Ley 4170 de 2011,</w:t>
      </w:r>
      <w:r w:rsidRPr="00980755">
        <w:rPr>
          <w:rFonts w:ascii="Verdana" w:eastAsia="Arial MT" w:hAnsi="Verdana" w:cs="Arial MT"/>
          <w:lang w:val="es-ES" w:eastAsia="es-ES"/>
        </w:rPr>
        <w:t xml:space="preserve"> </w:t>
      </w:r>
      <w:r w:rsidRPr="00980755">
        <w:rPr>
          <w:rFonts w:ascii="Verdana" w:eastAsia="Calibri" w:hAnsi="Verdana" w:cs="Arial"/>
          <w:lang w:eastAsia="es-MX"/>
        </w:rPr>
        <w:t xml:space="preserve">así como lo establecido por la </w:t>
      </w:r>
      <w:r w:rsidRPr="00980755">
        <w:rPr>
          <w:rFonts w:ascii="Verdana" w:eastAsia="Aptos" w:hAnsi="Verdana" w:cs="Arial"/>
          <w:bCs/>
          <w:lang w:eastAsia="es-ES" w:bidi="es-ES"/>
        </w:rPr>
        <w:t>Resolución 469 de 2025 expedida por esta Entidad</w:t>
      </w:r>
      <w:r w:rsidRPr="00980755">
        <w:rPr>
          <w:rFonts w:ascii="Verdana" w:eastAsia="Calibri" w:hAnsi="Verdana" w:cs="Arial"/>
          <w:lang w:eastAsia="es-MX"/>
        </w:rPr>
        <w:t xml:space="preserve">, </w:t>
      </w:r>
      <w:r w:rsidRPr="00980755">
        <w:rPr>
          <w:rFonts w:ascii="Verdana" w:eastAsia="Calibri" w:hAnsi="Verdana" w:cs="Arial"/>
          <w:lang w:val="es-ES" w:eastAsia="es-ES"/>
        </w:rPr>
        <w:t xml:space="preserve">la Agencia Nacional de Contratación Pública – Colombia Compra Eficiente– responde su solicitud de consulta del 16 de agosto de 2026, en la cual manifiesta lo siguiente: </w:t>
      </w:r>
    </w:p>
    <w:p w14:paraId="60F83D86" w14:textId="77777777" w:rsidR="00980755" w:rsidRPr="00980755" w:rsidRDefault="00980755" w:rsidP="00980755">
      <w:pPr>
        <w:spacing w:after="0" w:line="276" w:lineRule="auto"/>
        <w:jc w:val="both"/>
        <w:rPr>
          <w:rFonts w:ascii="Verdana" w:eastAsia="Calibri" w:hAnsi="Verdana" w:cs="Vrinda"/>
          <w:lang w:val="es-ES" w:eastAsia="es-ES"/>
        </w:rPr>
      </w:pPr>
    </w:p>
    <w:p w14:paraId="2E5D3591" w14:textId="77777777" w:rsidR="00980755" w:rsidRPr="00980755" w:rsidRDefault="00980755" w:rsidP="009807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980755">
        <w:rPr>
          <w:rFonts w:ascii="Verdana" w:eastAsia="Aptos" w:hAnsi="Verdana" w:cs="Arial"/>
          <w:color w:val="000000"/>
          <w:sz w:val="20"/>
          <w:szCs w:val="20"/>
          <w:lang w:val="es-MX"/>
          <w14:ligatures w14:val="standardContextual"/>
        </w:rPr>
        <w:t>“</w:t>
      </w:r>
      <w:r w:rsidRPr="00980755">
        <w:rPr>
          <w:rFonts w:ascii="Verdana" w:eastAsia="Aptos" w:hAnsi="Verdana" w:cs="Times New Roman"/>
          <w:kern w:val="2"/>
          <w:sz w:val="20"/>
          <w:szCs w:val="20"/>
          <w14:ligatures w14:val="standardContextual"/>
        </w:rPr>
        <w:t>Se solicita concepto sobre la Matriz 2 - Indicadores Financieros y Organizacionales de los Documentos Tipo (</w:t>
      </w:r>
      <w:proofErr w:type="spellStart"/>
      <w:r w:rsidRPr="00980755">
        <w:rPr>
          <w:rFonts w:ascii="Verdana" w:eastAsia="Aptos" w:hAnsi="Verdana" w:cs="Times New Roman"/>
          <w:kern w:val="2"/>
          <w:sz w:val="20"/>
          <w:szCs w:val="20"/>
          <w14:ligatures w14:val="standardContextual"/>
        </w:rPr>
        <w:t>licitacion</w:t>
      </w:r>
      <w:proofErr w:type="spellEnd"/>
      <w:r w:rsidRPr="00980755">
        <w:rPr>
          <w:rFonts w:ascii="Verdana" w:eastAsia="Aptos" w:hAnsi="Verdana" w:cs="Times New Roman"/>
          <w:kern w:val="2"/>
          <w:sz w:val="20"/>
          <w:szCs w:val="20"/>
          <w14:ligatures w14:val="standardContextual"/>
        </w:rPr>
        <w:t xml:space="preserve">, </w:t>
      </w:r>
      <w:proofErr w:type="spellStart"/>
      <w:r w:rsidRPr="00980755">
        <w:rPr>
          <w:rFonts w:ascii="Verdana" w:eastAsia="Aptos" w:hAnsi="Verdana" w:cs="Times New Roman"/>
          <w:kern w:val="2"/>
          <w:sz w:val="20"/>
          <w:szCs w:val="20"/>
          <w14:ligatures w14:val="standardContextual"/>
        </w:rPr>
        <w:t>seleccion</w:t>
      </w:r>
      <w:proofErr w:type="spellEnd"/>
      <w:r w:rsidRPr="00980755">
        <w:rPr>
          <w:rFonts w:ascii="Verdana" w:eastAsia="Aptos" w:hAnsi="Verdana" w:cs="Times New Roman"/>
          <w:kern w:val="2"/>
          <w:sz w:val="20"/>
          <w:szCs w:val="20"/>
          <w14:ligatures w14:val="standardContextual"/>
        </w:rPr>
        <w:t xml:space="preserve"> abreviada y </w:t>
      </w:r>
      <w:proofErr w:type="spellStart"/>
      <w:r w:rsidRPr="00980755">
        <w:rPr>
          <w:rFonts w:ascii="Verdana" w:eastAsia="Aptos" w:hAnsi="Verdana" w:cs="Times New Roman"/>
          <w:kern w:val="2"/>
          <w:sz w:val="20"/>
          <w:szCs w:val="20"/>
          <w14:ligatures w14:val="standardContextual"/>
        </w:rPr>
        <w:t>minima</w:t>
      </w:r>
      <w:proofErr w:type="spellEnd"/>
      <w:r w:rsidRPr="00980755">
        <w:rPr>
          <w:rFonts w:ascii="Verdana" w:eastAsia="Aptos" w:hAnsi="Verdana" w:cs="Times New Roman"/>
          <w:kern w:val="2"/>
          <w:sz w:val="20"/>
          <w:szCs w:val="20"/>
          <w14:ligatures w14:val="standardContextual"/>
        </w:rPr>
        <w:t xml:space="preserve"> </w:t>
      </w:r>
      <w:proofErr w:type="spellStart"/>
      <w:r w:rsidRPr="00980755">
        <w:rPr>
          <w:rFonts w:ascii="Verdana" w:eastAsia="Aptos" w:hAnsi="Verdana" w:cs="Times New Roman"/>
          <w:kern w:val="2"/>
          <w:sz w:val="20"/>
          <w:szCs w:val="20"/>
          <w14:ligatures w14:val="standardContextual"/>
        </w:rPr>
        <w:t>cuantia</w:t>
      </w:r>
      <w:proofErr w:type="spellEnd"/>
      <w:r w:rsidRPr="00980755">
        <w:rPr>
          <w:rFonts w:ascii="Verdana" w:eastAsia="Aptos" w:hAnsi="Verdana" w:cs="Times New Roman"/>
          <w:kern w:val="2"/>
          <w:sz w:val="20"/>
          <w:szCs w:val="20"/>
          <w14:ligatures w14:val="standardContextual"/>
        </w:rPr>
        <w:t xml:space="preserve"> de infraestructura de transporte). Puntualmente:</w:t>
      </w:r>
    </w:p>
    <w:p w14:paraId="48DCC721" w14:textId="77777777" w:rsidR="00980755" w:rsidRPr="00980755" w:rsidRDefault="00980755" w:rsidP="009807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980755">
        <w:rPr>
          <w:rFonts w:ascii="Verdana" w:eastAsia="Aptos" w:hAnsi="Verdana" w:cs="Times New Roman"/>
          <w:kern w:val="2"/>
          <w:sz w:val="20"/>
          <w:szCs w:val="20"/>
          <w14:ligatures w14:val="standardContextual"/>
        </w:rPr>
        <w:lastRenderedPageBreak/>
        <w:t xml:space="preserve">1) los indicadores de Rentabilidad del Patrimonio y Rentabilidad del Activo, son modificables por la Entidad Estatal o son fijos y de exclusivo resorte de Colombia Compra Eficiente; </w:t>
      </w:r>
    </w:p>
    <w:p w14:paraId="58D01374" w14:textId="77777777" w:rsidR="00980755" w:rsidRPr="00980755" w:rsidRDefault="00980755" w:rsidP="009807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0"/>
          <w:szCs w:val="20"/>
          <w14:ligatures w14:val="standardContextual"/>
        </w:rPr>
      </w:pPr>
      <w:r w:rsidRPr="00980755">
        <w:rPr>
          <w:rFonts w:ascii="Verdana" w:eastAsia="Aptos" w:hAnsi="Verdana" w:cs="Times New Roman"/>
          <w:kern w:val="2"/>
          <w:sz w:val="20"/>
          <w:szCs w:val="20"/>
          <w14:ligatures w14:val="standardContextual"/>
        </w:rPr>
        <w:t xml:space="preserve">2) en caso de ser modificables, cual es el procedimiento y la oportunidad procesal </w:t>
      </w:r>
      <w:proofErr w:type="spellStart"/>
      <w:r w:rsidRPr="00980755">
        <w:rPr>
          <w:rFonts w:ascii="Verdana" w:eastAsia="Aptos" w:hAnsi="Verdana" w:cs="Times New Roman"/>
          <w:kern w:val="2"/>
          <w:sz w:val="20"/>
          <w:szCs w:val="20"/>
          <w14:ligatures w14:val="standardContextual"/>
        </w:rPr>
        <w:t>valida</w:t>
      </w:r>
      <w:proofErr w:type="spellEnd"/>
      <w:r w:rsidRPr="00980755">
        <w:rPr>
          <w:rFonts w:ascii="Verdana" w:eastAsia="Aptos" w:hAnsi="Verdana" w:cs="Times New Roman"/>
          <w:kern w:val="2"/>
          <w:sz w:val="20"/>
          <w:szCs w:val="20"/>
          <w14:ligatures w14:val="standardContextual"/>
        </w:rPr>
        <w:t xml:space="preserve"> para su ajuste (</w:t>
      </w:r>
      <w:proofErr w:type="spellStart"/>
      <w:r w:rsidRPr="00980755">
        <w:rPr>
          <w:rFonts w:ascii="Verdana" w:eastAsia="Aptos" w:hAnsi="Verdana" w:cs="Times New Roman"/>
          <w:kern w:val="2"/>
          <w:sz w:val="20"/>
          <w:szCs w:val="20"/>
          <w14:ligatures w14:val="standardContextual"/>
        </w:rPr>
        <w:t>Analisis</w:t>
      </w:r>
      <w:proofErr w:type="spellEnd"/>
      <w:r w:rsidRPr="00980755">
        <w:rPr>
          <w:rFonts w:ascii="Verdana" w:eastAsia="Aptos" w:hAnsi="Verdana" w:cs="Times New Roman"/>
          <w:kern w:val="2"/>
          <w:sz w:val="20"/>
          <w:szCs w:val="20"/>
          <w14:ligatures w14:val="standardContextual"/>
        </w:rPr>
        <w:t xml:space="preserve"> del Sector, </w:t>
      </w:r>
      <w:proofErr w:type="spellStart"/>
      <w:r w:rsidRPr="00980755">
        <w:rPr>
          <w:rFonts w:ascii="Verdana" w:eastAsia="Aptos" w:hAnsi="Verdana" w:cs="Times New Roman"/>
          <w:kern w:val="2"/>
          <w:sz w:val="20"/>
          <w:szCs w:val="20"/>
          <w14:ligatures w14:val="standardContextual"/>
        </w:rPr>
        <w:t>estructuracion</w:t>
      </w:r>
      <w:proofErr w:type="spellEnd"/>
      <w:r w:rsidRPr="00980755">
        <w:rPr>
          <w:rFonts w:ascii="Verdana" w:eastAsia="Aptos" w:hAnsi="Verdana" w:cs="Times New Roman"/>
          <w:kern w:val="2"/>
          <w:sz w:val="20"/>
          <w:szCs w:val="20"/>
          <w14:ligatures w14:val="standardContextual"/>
        </w:rPr>
        <w:t xml:space="preserve"> del proceso, etc.); </w:t>
      </w:r>
    </w:p>
    <w:p w14:paraId="41873A82" w14:textId="36164CEA" w:rsidR="00980755" w:rsidRPr="00980755" w:rsidRDefault="00980755" w:rsidP="009807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0" w:line="240" w:lineRule="auto"/>
        <w:ind w:left="709" w:right="709"/>
        <w:jc w:val="both"/>
        <w:rPr>
          <w:rFonts w:ascii="Verdana" w:eastAsia="Aptos" w:hAnsi="Verdana" w:cs="Times New Roman"/>
          <w:kern w:val="2"/>
          <w:sz w:val="20"/>
          <w:szCs w:val="20"/>
          <w14:ligatures w14:val="standardContextual"/>
        </w:rPr>
      </w:pPr>
      <w:r w:rsidRPr="00980755">
        <w:rPr>
          <w:rFonts w:ascii="Verdana" w:eastAsia="Aptos" w:hAnsi="Verdana" w:cs="Times New Roman"/>
          <w:kern w:val="2"/>
          <w:sz w:val="20"/>
          <w:szCs w:val="20"/>
          <w14:ligatures w14:val="standardContextual"/>
        </w:rPr>
        <w:t xml:space="preserve">3) es procedente que la Entidad disminuya dichos indicadores por debajo de los umbrales </w:t>
      </w:r>
      <w:proofErr w:type="spellStart"/>
      <w:r w:rsidRPr="00980755">
        <w:rPr>
          <w:rFonts w:ascii="Verdana" w:eastAsia="Aptos" w:hAnsi="Verdana" w:cs="Times New Roman"/>
          <w:kern w:val="2"/>
          <w:sz w:val="20"/>
          <w:szCs w:val="20"/>
          <w14:ligatures w14:val="standardContextual"/>
        </w:rPr>
        <w:t>estandar</w:t>
      </w:r>
      <w:proofErr w:type="spellEnd"/>
      <w:r w:rsidRPr="00980755">
        <w:rPr>
          <w:rFonts w:ascii="Verdana" w:eastAsia="Aptos" w:hAnsi="Verdana" w:cs="Times New Roman"/>
          <w:kern w:val="2"/>
          <w:sz w:val="20"/>
          <w:szCs w:val="20"/>
          <w14:ligatures w14:val="standardContextual"/>
        </w:rPr>
        <w:t xml:space="preserve">, a solicitud de un interesado formulada durante observaciones al proyecto de pliego, invocando el </w:t>
      </w:r>
      <w:r w:rsidR="00F550FE" w:rsidRPr="00980755">
        <w:rPr>
          <w:rFonts w:ascii="Verdana" w:eastAsia="Aptos" w:hAnsi="Verdana" w:cs="Times New Roman"/>
          <w:kern w:val="2"/>
          <w:sz w:val="20"/>
          <w:szCs w:val="20"/>
          <w14:ligatures w14:val="standardContextual"/>
        </w:rPr>
        <w:t>artículo</w:t>
      </w:r>
      <w:r w:rsidRPr="00980755">
        <w:rPr>
          <w:rFonts w:ascii="Verdana" w:eastAsia="Aptos" w:hAnsi="Verdana" w:cs="Times New Roman"/>
          <w:kern w:val="2"/>
          <w:sz w:val="20"/>
          <w:szCs w:val="20"/>
          <w14:ligatures w14:val="standardContextual"/>
        </w:rPr>
        <w:t xml:space="preserve"> 29 de la Ley 80 de 1993 (pluralidad de oferentes)</w:t>
      </w:r>
      <w:r w:rsidRPr="00980755">
        <w:rPr>
          <w:rFonts w:ascii="Verdana" w:eastAsia="Aptos" w:hAnsi="Verdana" w:cs="Arial"/>
          <w:color w:val="000000"/>
          <w:sz w:val="20"/>
          <w:szCs w:val="20"/>
          <w:lang w:val="es-MX"/>
          <w14:ligatures w14:val="standardContextual"/>
        </w:rPr>
        <w:t xml:space="preserve">”. </w:t>
      </w:r>
    </w:p>
    <w:p w14:paraId="7BDC603E" w14:textId="77777777" w:rsidR="00980755" w:rsidRPr="00980755" w:rsidRDefault="00980755" w:rsidP="00980755">
      <w:pPr>
        <w:spacing w:after="0" w:line="240" w:lineRule="auto"/>
        <w:jc w:val="both"/>
        <w:rPr>
          <w:rFonts w:ascii="Verdana" w:eastAsia="Calibri" w:hAnsi="Verdana" w:cs="Arial"/>
          <w:color w:val="000000"/>
          <w:sz w:val="21"/>
          <w:szCs w:val="21"/>
          <w:lang w:eastAsia="es-ES"/>
        </w:rPr>
      </w:pPr>
    </w:p>
    <w:p w14:paraId="5065349E" w14:textId="77777777" w:rsidR="00980755" w:rsidRPr="00980755" w:rsidRDefault="00980755" w:rsidP="00980755">
      <w:pPr>
        <w:spacing w:after="120" w:line="276" w:lineRule="auto"/>
        <w:ind w:firstLine="709"/>
        <w:jc w:val="both"/>
        <w:rPr>
          <w:rFonts w:ascii="Verdana" w:eastAsia="Calibri" w:hAnsi="Verdana" w:cs="Arial"/>
          <w:color w:val="000000"/>
          <w:lang w:eastAsia="es-ES"/>
        </w:rPr>
      </w:pPr>
      <w:r w:rsidRPr="00980755">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80755">
        <w:rPr>
          <w:rFonts w:ascii="Verdana" w:eastAsia="Calibri" w:hAnsi="Verdana" w:cs="Arial"/>
          <w:color w:val="000000"/>
          <w:lang w:eastAsia="es-ES"/>
        </w:rPr>
        <w:tab/>
      </w:r>
    </w:p>
    <w:p w14:paraId="55A0623F" w14:textId="77777777" w:rsidR="00980755" w:rsidRPr="00980755" w:rsidRDefault="00980755" w:rsidP="00980755">
      <w:pPr>
        <w:spacing w:after="0" w:line="276" w:lineRule="auto"/>
        <w:ind w:firstLine="709"/>
        <w:jc w:val="both"/>
        <w:rPr>
          <w:rFonts w:ascii="Verdana" w:eastAsia="Calibri" w:hAnsi="Verdana" w:cs="Arial"/>
          <w:color w:val="000000"/>
          <w:lang w:eastAsia="es-ES"/>
        </w:rPr>
      </w:pPr>
      <w:r w:rsidRPr="00980755">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4E5E45B" w14:textId="77777777" w:rsidR="00980755" w:rsidRPr="00980755" w:rsidRDefault="00980755" w:rsidP="00980755">
      <w:pPr>
        <w:spacing w:after="0" w:line="276" w:lineRule="auto"/>
        <w:jc w:val="both"/>
        <w:rPr>
          <w:rFonts w:ascii="Verdana" w:eastAsia="Calibri" w:hAnsi="Verdana" w:cs="Arial"/>
          <w:color w:val="000000"/>
          <w:lang w:eastAsia="es-ES"/>
        </w:rPr>
      </w:pPr>
    </w:p>
    <w:p w14:paraId="027625E5" w14:textId="77777777" w:rsidR="00980755" w:rsidRPr="00980755" w:rsidRDefault="00980755" w:rsidP="00980755">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980755">
        <w:rPr>
          <w:rFonts w:ascii="Verdana" w:eastAsia="Century Gothic" w:hAnsi="Verdana" w:cs="Century Gothic"/>
          <w:b/>
          <w:bCs/>
        </w:rPr>
        <w:t>Problema planteado:</w:t>
      </w:r>
    </w:p>
    <w:p w14:paraId="09986377" w14:textId="77777777" w:rsidR="00980755" w:rsidRPr="00980755" w:rsidRDefault="00980755" w:rsidP="00980755">
      <w:pPr>
        <w:tabs>
          <w:tab w:val="left" w:pos="142"/>
          <w:tab w:val="left" w:pos="284"/>
        </w:tabs>
        <w:spacing w:after="0" w:line="276" w:lineRule="auto"/>
        <w:jc w:val="both"/>
        <w:rPr>
          <w:rFonts w:ascii="Verdana" w:eastAsia="Century Gothic" w:hAnsi="Verdana" w:cs="Century Gothic"/>
          <w:b/>
          <w:bCs/>
        </w:rPr>
      </w:pPr>
    </w:p>
    <w:p w14:paraId="362C7239" w14:textId="5B5D236C" w:rsidR="00980755" w:rsidRPr="002D5C80" w:rsidRDefault="00980755" w:rsidP="00980755">
      <w:pPr>
        <w:spacing w:after="0" w:line="276" w:lineRule="auto"/>
        <w:jc w:val="both"/>
        <w:rPr>
          <w:rFonts w:ascii="Verdana" w:eastAsia="Century Gothic" w:hAnsi="Verdana" w:cs="Century Gothic"/>
          <w:lang w:val="es-ES_tradnl"/>
        </w:rPr>
      </w:pPr>
      <w:r w:rsidRPr="002D5C80">
        <w:rPr>
          <w:rFonts w:ascii="Verdana" w:eastAsia="Century Gothic" w:hAnsi="Verdana" w:cs="Century Gothic"/>
        </w:rPr>
        <w:t xml:space="preserve">De acuerdo con el contenido de su solicitud, esta Agencia resolverá </w:t>
      </w:r>
      <w:r w:rsidR="002D5C80" w:rsidRPr="002D5C80">
        <w:rPr>
          <w:rFonts w:ascii="Verdana" w:eastAsia="Century Gothic" w:hAnsi="Verdana" w:cs="Century Gothic"/>
        </w:rPr>
        <w:t>el</w:t>
      </w:r>
      <w:r w:rsidRPr="002D5C80">
        <w:rPr>
          <w:rFonts w:ascii="Verdana" w:eastAsia="Century Gothic" w:hAnsi="Verdana" w:cs="Century Gothic"/>
        </w:rPr>
        <w:t xml:space="preserve"> siguiente problema jurídico:</w:t>
      </w:r>
      <w:r w:rsidR="002D5C80" w:rsidRPr="002D5C80">
        <w:rPr>
          <w:rFonts w:ascii="Verdana" w:eastAsia="Century Gothic" w:hAnsi="Verdana" w:cs="Century Gothic"/>
        </w:rPr>
        <w:t xml:space="preserve"> </w:t>
      </w:r>
      <w:r w:rsidR="002D5C80" w:rsidRPr="002D5C80">
        <w:rPr>
          <w:rFonts w:ascii="Verdana" w:hAnsi="Verdana"/>
        </w:rPr>
        <w:t>¿Pueden las entidades estatales modificar o disminuir los indicadores de rentabilidad del patrimonio y rentabilidad del activo establecidos en los documentos tipo de obra pública de infraestructura de transporte, en cualquier etapa del proceso de contratación o a solicitud de los interesados, con fundamento en la pluralidad de oferentes?</w:t>
      </w:r>
      <w:r w:rsidRPr="002D5C80">
        <w:rPr>
          <w:rFonts w:ascii="Verdana" w:eastAsia="Century Gothic" w:hAnsi="Verdana" w:cs="Century Gothic"/>
        </w:rPr>
        <w:t xml:space="preserve"> </w:t>
      </w:r>
    </w:p>
    <w:p w14:paraId="6226C2B2" w14:textId="77777777" w:rsidR="00980755" w:rsidRPr="00980755" w:rsidRDefault="00980755" w:rsidP="00980755">
      <w:pPr>
        <w:tabs>
          <w:tab w:val="left" w:pos="142"/>
          <w:tab w:val="left" w:pos="284"/>
        </w:tabs>
        <w:spacing w:after="0" w:line="276" w:lineRule="auto"/>
        <w:jc w:val="both"/>
        <w:rPr>
          <w:rFonts w:ascii="Verdana" w:eastAsia="Calibri" w:hAnsi="Verdana" w:cs="Arial"/>
          <w:color w:val="7030A0"/>
          <w:lang w:val="es-ES_tradnl"/>
        </w:rPr>
      </w:pPr>
    </w:p>
    <w:p w14:paraId="04081AF5" w14:textId="77777777" w:rsidR="00980755" w:rsidRPr="00980755" w:rsidRDefault="00980755" w:rsidP="00980755">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980755">
        <w:rPr>
          <w:rFonts w:ascii="Verdana" w:eastAsia="Century Gothic" w:hAnsi="Verdana" w:cs="Century Gothic"/>
          <w:b/>
          <w:bCs/>
        </w:rPr>
        <w:t>Respuesta:</w:t>
      </w:r>
    </w:p>
    <w:p w14:paraId="45FED8E2" w14:textId="77777777" w:rsidR="00980755" w:rsidRPr="00980755" w:rsidRDefault="00980755" w:rsidP="00980755">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0755" w:rsidRPr="00980755" w14:paraId="4B0E52D7" w14:textId="77777777">
        <w:tc>
          <w:tcPr>
            <w:tcW w:w="8828" w:type="dxa"/>
          </w:tcPr>
          <w:p w14:paraId="5CD33290" w14:textId="77777777" w:rsidR="00980755" w:rsidRPr="00980755" w:rsidRDefault="00980755" w:rsidP="00980755">
            <w:pPr>
              <w:spacing w:after="120" w:line="276" w:lineRule="auto"/>
              <w:jc w:val="both"/>
              <w:rPr>
                <w:rFonts w:ascii="Verdana" w:eastAsia="Times New Roman" w:hAnsi="Verdana" w:cs="Times New Roman"/>
                <w:lang w:eastAsia="es-MX"/>
              </w:rPr>
            </w:pPr>
            <w:r w:rsidRPr="00980755">
              <w:rPr>
                <w:rFonts w:ascii="Verdana" w:eastAsia="Times New Roman" w:hAnsi="Verdana" w:cs="Times New Roman"/>
                <w:lang w:eastAsia="es-MX"/>
              </w:rPr>
              <w:t xml:space="preserve">En los documentos tipo de obra pública de infraestructura de transporte, la Entidad deberá identificar los requisitos de capacidad financiera y organizacional aplicables al proceso de selección. Para ello, deberá consultar los requisitos definidos según las particularidades de cada proceso en el documento base –o en la invitación, en el caso de los documentos tipo de mínima cuantía– y en la “Matriz 2 – Indicadores financieros y organizacionales </w:t>
            </w:r>
            <w:r w:rsidRPr="00980755">
              <w:rPr>
                <w:rFonts w:ascii="Verdana" w:eastAsia="Arial" w:hAnsi="Verdana" w:cs="Arial"/>
                <w:lang w:eastAsia="es-MX"/>
              </w:rPr>
              <w:t>de obras para infraestructura de transporte</w:t>
            </w:r>
            <w:r w:rsidRPr="00980755">
              <w:rPr>
                <w:rFonts w:ascii="Verdana" w:eastAsia="Times New Roman" w:hAnsi="Verdana" w:cs="Times New Roman"/>
                <w:lang w:eastAsia="es-MX"/>
              </w:rPr>
              <w:t>” –en adelante Matriz 2–, pues las versiones vigentes de los documentos tipo ya definen dichos requisitos.</w:t>
            </w:r>
          </w:p>
          <w:p w14:paraId="2D479DB3" w14:textId="77777777" w:rsidR="00980755" w:rsidRPr="00980755" w:rsidRDefault="00980755" w:rsidP="00980755">
            <w:pPr>
              <w:spacing w:after="120" w:line="276" w:lineRule="auto"/>
              <w:ind w:firstLine="708"/>
              <w:jc w:val="both"/>
              <w:rPr>
                <w:rFonts w:ascii="Verdana" w:eastAsia="Times New Roman" w:hAnsi="Verdana" w:cs="Times New Roman"/>
                <w:lang w:eastAsia="es-MX"/>
              </w:rPr>
            </w:pPr>
            <w:r w:rsidRPr="00980755">
              <w:rPr>
                <w:rFonts w:ascii="Verdana" w:eastAsia="Times New Roman" w:hAnsi="Verdana" w:cs="Times New Roman"/>
                <w:lang w:eastAsia="es-MX"/>
              </w:rPr>
              <w:t>En particular, la definición de los requisitos de capacidad financiera y organizacional hace parte del alcance de los documentos tipo de licitación de obra pública de infraestructura de transporte – versión 4. Así, la forma de evaluar estas capacidades en un proponente está prevista en los numerales “3.6 Capacidad financiera”, “3.7 Capital de trabajo”, “3.8 Patrimonio” y “3.9 Capacidad organizacional” del documento base.</w:t>
            </w:r>
          </w:p>
          <w:p w14:paraId="2F799845" w14:textId="77777777" w:rsidR="00980755" w:rsidRPr="00980755" w:rsidRDefault="00980755" w:rsidP="00980755">
            <w:pPr>
              <w:spacing w:line="276" w:lineRule="auto"/>
              <w:ind w:firstLine="708"/>
              <w:jc w:val="both"/>
              <w:rPr>
                <w:rFonts w:ascii="Verdana" w:eastAsia="Times New Roman" w:hAnsi="Verdana" w:cs="Times New Roman"/>
                <w:lang w:eastAsia="es-MX"/>
              </w:rPr>
            </w:pPr>
            <w:r w:rsidRPr="00980755">
              <w:rPr>
                <w:rFonts w:ascii="Verdana" w:eastAsia="Times New Roman" w:hAnsi="Verdana" w:cs="Times New Roman"/>
                <w:lang w:eastAsia="es-MX"/>
              </w:rPr>
              <w:t>En cuanto a su consulta sobre la posibilidad de que una entidad pueda “modificar” los indicadores de “Rentabilidad del Patrimonio y Rentabilidad del Activo”, debe indicarse que el numeral “3.9 Capacidad organizacional” señala lo siguiente:</w:t>
            </w:r>
          </w:p>
          <w:p w14:paraId="66D36A67" w14:textId="77777777" w:rsidR="00980755" w:rsidRPr="00980755" w:rsidRDefault="00980755" w:rsidP="00980755">
            <w:pPr>
              <w:spacing w:line="276" w:lineRule="auto"/>
              <w:jc w:val="both"/>
              <w:rPr>
                <w:rFonts w:ascii="Verdana" w:eastAsia="Aptos" w:hAnsi="Verdana" w:cs="Aptos"/>
              </w:rPr>
            </w:pPr>
          </w:p>
          <w:p w14:paraId="57A5DB5E" w14:textId="77777777" w:rsidR="00980755" w:rsidRPr="00980755" w:rsidRDefault="00980755" w:rsidP="00980755">
            <w:pPr>
              <w:keepNext/>
              <w:keepLines/>
              <w:spacing w:after="120"/>
              <w:ind w:left="709" w:right="709"/>
              <w:jc w:val="both"/>
              <w:outlineLvl w:val="1"/>
              <w:rPr>
                <w:rFonts w:ascii="Verdana" w:eastAsia="Times New Roman" w:hAnsi="Verdana" w:cs="Times New Roman"/>
                <w:color w:val="000000"/>
                <w:sz w:val="21"/>
                <w:szCs w:val="21"/>
              </w:rPr>
            </w:pPr>
            <w:r w:rsidRPr="00980755">
              <w:rPr>
                <w:rFonts w:ascii="Verdana" w:eastAsia="Times New Roman" w:hAnsi="Verdana" w:cs="Times New Roman"/>
                <w:color w:val="000000"/>
                <w:sz w:val="21"/>
                <w:szCs w:val="21"/>
              </w:rPr>
              <w:t>“</w:t>
            </w:r>
            <w:r w:rsidRPr="00980755">
              <w:rPr>
                <w:rFonts w:ascii="Verdana" w:eastAsia="Times New Roman" w:hAnsi="Verdana" w:cs="Times New Roman"/>
                <w:b/>
                <w:bCs/>
                <w:color w:val="000000"/>
                <w:sz w:val="21"/>
                <w:szCs w:val="21"/>
              </w:rPr>
              <w:t>3.9 CAPACIDAD ORGANIZACIONAL</w:t>
            </w:r>
          </w:p>
          <w:p w14:paraId="10DD78D9" w14:textId="77777777" w:rsidR="00980755" w:rsidRPr="00980755" w:rsidRDefault="00980755" w:rsidP="00980755">
            <w:pPr>
              <w:spacing w:after="120"/>
              <w:ind w:left="709" w:right="709"/>
              <w:jc w:val="both"/>
              <w:rPr>
                <w:rFonts w:ascii="Verdana" w:eastAsia="Aptos" w:hAnsi="Verdana" w:cs="Arial"/>
                <w:color w:val="000000"/>
                <w:sz w:val="21"/>
                <w:szCs w:val="21"/>
                <w:lang w:val="es-MX"/>
              </w:rPr>
            </w:pPr>
            <w:r w:rsidRPr="00980755">
              <w:rPr>
                <w:rFonts w:ascii="Verdana" w:eastAsia="Aptos" w:hAnsi="Verdana" w:cs="Arial"/>
                <w:color w:val="000000"/>
                <w:sz w:val="21"/>
                <w:szCs w:val="21"/>
                <w:lang w:val="es-MX"/>
              </w:rPr>
              <w:t>Los Proponentes deben acreditar los siguientes indicadores en los términos señalados en la Matriz 2- Indicadores financieros y organizacionales:</w:t>
            </w:r>
          </w:p>
          <w:tbl>
            <w:tblPr>
              <w:tblStyle w:val="Tablaconcuadrcula10"/>
              <w:tblW w:w="0" w:type="auto"/>
              <w:jc w:val="center"/>
              <w:tblLayout w:type="fixed"/>
              <w:tblLook w:val="04A0" w:firstRow="1" w:lastRow="0" w:firstColumn="1" w:lastColumn="0" w:noHBand="0" w:noVBand="1"/>
            </w:tblPr>
            <w:tblGrid>
              <w:gridCol w:w="3220"/>
              <w:gridCol w:w="2603"/>
            </w:tblGrid>
            <w:tr w:rsidR="00980755" w:rsidRPr="00980755" w14:paraId="2DCBADEB" w14:textId="77777777" w:rsidTr="00980755">
              <w:trPr>
                <w:trHeight w:val="294"/>
                <w:tblHeader/>
                <w:jc w:val="center"/>
              </w:trPr>
              <w:tc>
                <w:tcPr>
                  <w:tcW w:w="3220" w:type="dxa"/>
                  <w:tcBorders>
                    <w:top w:val="double" w:sz="4" w:space="0" w:color="auto"/>
                    <w:left w:val="double" w:sz="4" w:space="0" w:color="auto"/>
                    <w:bottom w:val="single" w:sz="4" w:space="0" w:color="auto"/>
                    <w:right w:val="single" w:sz="4" w:space="0" w:color="auto"/>
                  </w:tcBorders>
                  <w:shd w:val="clear" w:color="auto" w:fill="404040"/>
                  <w:vAlign w:val="center"/>
                  <w:hideMark/>
                </w:tcPr>
                <w:p w14:paraId="1B71CC30" w14:textId="77777777" w:rsidR="00980755" w:rsidRPr="00980755" w:rsidRDefault="00980755" w:rsidP="00980755">
                  <w:pPr>
                    <w:ind w:left="709" w:right="709"/>
                    <w:jc w:val="center"/>
                    <w:rPr>
                      <w:rFonts w:ascii="Verdana" w:eastAsia="Aptos" w:hAnsi="Verdana" w:cs="Arial"/>
                      <w:b/>
                      <w:bCs/>
                      <w:color w:val="000000"/>
                      <w:sz w:val="21"/>
                      <w:szCs w:val="21"/>
                    </w:rPr>
                  </w:pPr>
                  <w:r w:rsidRPr="00980755">
                    <w:rPr>
                      <w:rFonts w:ascii="Verdana" w:eastAsia="Aptos" w:hAnsi="Verdana" w:cs="Arial"/>
                      <w:b/>
                      <w:bCs/>
                      <w:color w:val="000000"/>
                      <w:sz w:val="21"/>
                      <w:szCs w:val="21"/>
                    </w:rPr>
                    <w:t>Indicador</w:t>
                  </w:r>
                </w:p>
              </w:tc>
              <w:tc>
                <w:tcPr>
                  <w:tcW w:w="2294"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77B31F7B" w14:textId="77777777" w:rsidR="00980755" w:rsidRPr="00980755" w:rsidRDefault="00980755" w:rsidP="00980755">
                  <w:pPr>
                    <w:ind w:left="709" w:right="709"/>
                    <w:jc w:val="center"/>
                    <w:rPr>
                      <w:rFonts w:ascii="Verdana" w:eastAsia="Aptos" w:hAnsi="Verdana" w:cs="Arial"/>
                      <w:b/>
                      <w:bCs/>
                      <w:color w:val="000000"/>
                      <w:sz w:val="21"/>
                      <w:szCs w:val="21"/>
                    </w:rPr>
                  </w:pPr>
                  <w:r w:rsidRPr="00980755">
                    <w:rPr>
                      <w:rFonts w:ascii="Verdana" w:eastAsia="Aptos" w:hAnsi="Verdana" w:cs="Arial"/>
                      <w:b/>
                      <w:bCs/>
                      <w:color w:val="000000"/>
                      <w:sz w:val="21"/>
                      <w:szCs w:val="21"/>
                    </w:rPr>
                    <w:t>Fórmula</w:t>
                  </w:r>
                </w:p>
              </w:tc>
            </w:tr>
            <w:tr w:rsidR="00980755" w:rsidRPr="00980755" w14:paraId="716D7249" w14:textId="77777777">
              <w:trPr>
                <w:trHeight w:val="592"/>
                <w:jc w:val="center"/>
              </w:trPr>
              <w:tc>
                <w:tcPr>
                  <w:tcW w:w="3220" w:type="dxa"/>
                  <w:tcBorders>
                    <w:top w:val="single" w:sz="4" w:space="0" w:color="auto"/>
                    <w:left w:val="double" w:sz="4" w:space="0" w:color="auto"/>
                    <w:bottom w:val="single" w:sz="4" w:space="0" w:color="auto"/>
                    <w:right w:val="single" w:sz="4" w:space="0" w:color="auto"/>
                  </w:tcBorders>
                  <w:vAlign w:val="center"/>
                  <w:hideMark/>
                </w:tcPr>
                <w:p w14:paraId="79DBC9FD" w14:textId="77777777" w:rsidR="00980755" w:rsidRPr="00980755" w:rsidRDefault="00980755" w:rsidP="00980755">
                  <w:pPr>
                    <w:tabs>
                      <w:tab w:val="left" w:pos="1039"/>
                    </w:tabs>
                    <w:ind w:left="709" w:right="709"/>
                    <w:jc w:val="center"/>
                    <w:rPr>
                      <w:rFonts w:ascii="Verdana" w:eastAsia="Aptos" w:hAnsi="Verdana" w:cs="Arial"/>
                      <w:color w:val="000000"/>
                      <w:sz w:val="21"/>
                      <w:szCs w:val="21"/>
                    </w:rPr>
                  </w:pPr>
                  <w:r w:rsidRPr="00980755">
                    <w:rPr>
                      <w:rFonts w:ascii="Verdana" w:eastAsia="Aptos" w:hAnsi="Verdana" w:cs="Arial"/>
                      <w:color w:val="000000"/>
                      <w:sz w:val="21"/>
                      <w:szCs w:val="21"/>
                    </w:rPr>
                    <w:t>Rentabilidad sobre Patrimonio (Roe)</w:t>
                  </w:r>
                </w:p>
              </w:tc>
              <w:tc>
                <w:tcPr>
                  <w:tcW w:w="2294" w:type="dxa"/>
                  <w:tcBorders>
                    <w:top w:val="single" w:sz="4" w:space="0" w:color="auto"/>
                    <w:left w:val="single" w:sz="4" w:space="0" w:color="auto"/>
                    <w:bottom w:val="single" w:sz="4" w:space="0" w:color="auto"/>
                    <w:right w:val="double" w:sz="4" w:space="0" w:color="auto"/>
                  </w:tcBorders>
                  <w:vAlign w:val="center"/>
                  <w:hideMark/>
                </w:tcPr>
                <w:p w14:paraId="7FE0E2E5" w14:textId="77777777" w:rsidR="00980755" w:rsidRPr="00980755" w:rsidRDefault="002D16FF" w:rsidP="00980755">
                  <w:pPr>
                    <w:ind w:left="709" w:right="709"/>
                    <w:jc w:val="center"/>
                    <w:rPr>
                      <w:rFonts w:ascii="Verdana" w:eastAsia="Aptos" w:hAnsi="Verdana" w:cs="Arial"/>
                      <w:color w:val="000000"/>
                      <w:sz w:val="21"/>
                      <w:szCs w:val="21"/>
                    </w:rPr>
                  </w:pPr>
                  <m:oMathPara>
                    <m:oMath>
                      <m:f>
                        <m:fPr>
                          <m:ctrlPr>
                            <w:rPr>
                              <w:rFonts w:ascii="Cambria Math" w:eastAsia="Aptos" w:hAnsi="Cambria Math" w:cs="Arial"/>
                              <w:bCs/>
                              <w:color w:val="000000"/>
                              <w:sz w:val="21"/>
                              <w:szCs w:val="21"/>
                            </w:rPr>
                          </m:ctrlPr>
                        </m:fPr>
                        <m:num>
                          <m:r>
                            <m:rPr>
                              <m:sty m:val="p"/>
                            </m:rPr>
                            <w:rPr>
                              <w:rFonts w:ascii="Cambria Math" w:eastAsia="Aptos" w:hAnsi="Cambria Math" w:cs="Arial"/>
                              <w:color w:val="000000"/>
                              <w:sz w:val="21"/>
                              <w:szCs w:val="21"/>
                            </w:rPr>
                            <m:t>Utilidad Operacional</m:t>
                          </m:r>
                        </m:num>
                        <m:den>
                          <m:r>
                            <m:rPr>
                              <m:sty m:val="p"/>
                            </m:rPr>
                            <w:rPr>
                              <w:rFonts w:ascii="Cambria Math" w:eastAsia="Aptos" w:hAnsi="Cambria Math" w:cs="Arial"/>
                              <w:color w:val="000000"/>
                              <w:sz w:val="21"/>
                              <w:szCs w:val="21"/>
                            </w:rPr>
                            <m:t>Patrimonio</m:t>
                          </m:r>
                        </m:den>
                      </m:f>
                    </m:oMath>
                  </m:oMathPara>
                </w:p>
              </w:tc>
            </w:tr>
            <w:tr w:rsidR="00980755" w:rsidRPr="00980755" w14:paraId="672C58FD" w14:textId="77777777">
              <w:trPr>
                <w:trHeight w:val="648"/>
                <w:jc w:val="center"/>
              </w:trPr>
              <w:tc>
                <w:tcPr>
                  <w:tcW w:w="3220" w:type="dxa"/>
                  <w:tcBorders>
                    <w:top w:val="single" w:sz="4" w:space="0" w:color="auto"/>
                    <w:left w:val="double" w:sz="4" w:space="0" w:color="auto"/>
                    <w:bottom w:val="double" w:sz="4" w:space="0" w:color="auto"/>
                    <w:right w:val="single" w:sz="4" w:space="0" w:color="auto"/>
                  </w:tcBorders>
                  <w:vAlign w:val="center"/>
                  <w:hideMark/>
                </w:tcPr>
                <w:p w14:paraId="0EC6478B" w14:textId="77777777" w:rsidR="00980755" w:rsidRPr="00980755" w:rsidRDefault="00980755" w:rsidP="00980755">
                  <w:pPr>
                    <w:ind w:left="709" w:right="709"/>
                    <w:jc w:val="center"/>
                    <w:rPr>
                      <w:rFonts w:ascii="Verdana" w:eastAsia="Aptos" w:hAnsi="Verdana" w:cs="Arial"/>
                      <w:color w:val="000000"/>
                      <w:sz w:val="21"/>
                      <w:szCs w:val="21"/>
                    </w:rPr>
                  </w:pPr>
                  <w:r w:rsidRPr="00980755">
                    <w:rPr>
                      <w:rFonts w:ascii="Verdana" w:eastAsia="Aptos" w:hAnsi="Verdana" w:cs="Arial"/>
                      <w:color w:val="000000"/>
                      <w:sz w:val="21"/>
                      <w:szCs w:val="21"/>
                    </w:rPr>
                    <w:t>Rentabilidad del Activo (Roa)</w:t>
                  </w:r>
                </w:p>
              </w:tc>
              <w:tc>
                <w:tcPr>
                  <w:tcW w:w="2294" w:type="dxa"/>
                  <w:tcBorders>
                    <w:top w:val="single" w:sz="4" w:space="0" w:color="auto"/>
                    <w:left w:val="single" w:sz="4" w:space="0" w:color="auto"/>
                    <w:bottom w:val="double" w:sz="4" w:space="0" w:color="auto"/>
                    <w:right w:val="double" w:sz="4" w:space="0" w:color="auto"/>
                  </w:tcBorders>
                  <w:vAlign w:val="center"/>
                  <w:hideMark/>
                </w:tcPr>
                <w:p w14:paraId="67B35E0F" w14:textId="77777777" w:rsidR="00980755" w:rsidRPr="00980755" w:rsidRDefault="002D16FF" w:rsidP="00980755">
                  <w:pPr>
                    <w:ind w:left="709" w:right="709"/>
                    <w:jc w:val="center"/>
                    <w:rPr>
                      <w:rFonts w:ascii="Verdana" w:eastAsia="Aptos" w:hAnsi="Verdana" w:cs="Arial"/>
                      <w:color w:val="000000"/>
                      <w:sz w:val="21"/>
                      <w:szCs w:val="21"/>
                    </w:rPr>
                  </w:pPr>
                  <m:oMathPara>
                    <m:oMath>
                      <m:f>
                        <m:fPr>
                          <m:ctrlPr>
                            <w:rPr>
                              <w:rFonts w:ascii="Cambria Math" w:eastAsia="Aptos" w:hAnsi="Cambria Math" w:cs="Arial"/>
                              <w:bCs/>
                              <w:color w:val="000000"/>
                              <w:sz w:val="21"/>
                              <w:szCs w:val="21"/>
                            </w:rPr>
                          </m:ctrlPr>
                        </m:fPr>
                        <m:num>
                          <m:r>
                            <m:rPr>
                              <m:sty m:val="p"/>
                            </m:rPr>
                            <w:rPr>
                              <w:rFonts w:ascii="Cambria Math" w:eastAsia="Aptos" w:hAnsi="Cambria Math" w:cs="Arial"/>
                              <w:color w:val="000000"/>
                              <w:sz w:val="21"/>
                              <w:szCs w:val="21"/>
                            </w:rPr>
                            <m:t>Unidad Operacional</m:t>
                          </m:r>
                        </m:num>
                        <m:den>
                          <m:r>
                            <m:rPr>
                              <m:sty m:val="p"/>
                            </m:rPr>
                            <w:rPr>
                              <w:rFonts w:ascii="Cambria Math" w:eastAsia="Aptos" w:hAnsi="Cambria Math" w:cs="Arial"/>
                              <w:color w:val="000000"/>
                              <w:sz w:val="21"/>
                              <w:szCs w:val="21"/>
                            </w:rPr>
                            <m:t>Activo Total</m:t>
                          </m:r>
                        </m:den>
                      </m:f>
                    </m:oMath>
                  </m:oMathPara>
                </w:p>
              </w:tc>
            </w:tr>
          </w:tbl>
          <w:p w14:paraId="2B5EBF33" w14:textId="77777777" w:rsidR="00980755" w:rsidRPr="00980755" w:rsidRDefault="00980755" w:rsidP="00980755">
            <w:pPr>
              <w:spacing w:after="120"/>
              <w:ind w:left="709" w:right="709" w:firstLine="1"/>
              <w:rPr>
                <w:rFonts w:ascii="Verdana" w:eastAsia="Aptos" w:hAnsi="Verdana" w:cs="Arial"/>
                <w:sz w:val="21"/>
                <w:szCs w:val="21"/>
                <w:lang w:val="es-MX"/>
              </w:rPr>
            </w:pPr>
            <w:r w:rsidRPr="00980755">
              <w:rPr>
                <w:rFonts w:ascii="Verdana" w:eastAsia="Aptos" w:hAnsi="Verdana" w:cs="Arial"/>
                <w:sz w:val="21"/>
                <w:szCs w:val="21"/>
                <w:lang w:val="es-MX"/>
              </w:rPr>
              <w:t>Si el Proponente es plural cada indicador debe calcularse así:</w:t>
            </w:r>
          </w:p>
          <w:p w14:paraId="6CD9C078" w14:textId="77777777" w:rsidR="00980755" w:rsidRPr="00980755" w:rsidRDefault="00980755" w:rsidP="00980755">
            <w:pPr>
              <w:ind w:left="709" w:right="709"/>
              <w:rPr>
                <w:rFonts w:ascii="Verdana" w:eastAsia="Aptos" w:hAnsi="Verdana" w:cs="Arial"/>
                <w:sz w:val="21"/>
                <w:szCs w:val="21"/>
              </w:rPr>
            </w:pPr>
            <m:oMathPara>
              <m:oMath>
                <m:r>
                  <m:rPr>
                    <m:sty m:val="p"/>
                  </m:rPr>
                  <w:rPr>
                    <w:rFonts w:ascii="Cambria Math" w:eastAsia="Aptos" w:hAnsi="Cambria Math" w:cs="Arial"/>
                    <w:sz w:val="21"/>
                    <w:szCs w:val="21"/>
                  </w:rPr>
                  <w:lastRenderedPageBreak/>
                  <m:t>Indicador =</m:t>
                </m:r>
                <m:f>
                  <m:fPr>
                    <m:ctrlPr>
                      <w:rPr>
                        <w:rFonts w:ascii="Cambria Math" w:eastAsia="Aptos" w:hAnsi="Cambria Math" w:cs="Arial"/>
                        <w:sz w:val="21"/>
                        <w:szCs w:val="21"/>
                      </w:rPr>
                    </m:ctrlPr>
                  </m:fPr>
                  <m:num>
                    <m:r>
                      <m:rPr>
                        <m:sty m:val="p"/>
                      </m:rPr>
                      <w:rPr>
                        <w:rFonts w:ascii="Cambria Math" w:eastAsia="Aptos" w:hAnsi="Cambria Math" w:cs="Arial"/>
                        <w:sz w:val="21"/>
                        <w:szCs w:val="21"/>
                      </w:rPr>
                      <m:t>(</m:t>
                    </m:r>
                    <m:nary>
                      <m:naryPr>
                        <m:chr m:val="∑"/>
                        <m:limLoc m:val="undOvr"/>
                        <m:ctrlPr>
                          <w:rPr>
                            <w:rFonts w:ascii="Cambria Math" w:eastAsia="Aptos" w:hAnsi="Cambria Math" w:cs="Arial"/>
                            <w:sz w:val="21"/>
                            <w:szCs w:val="21"/>
                          </w:rPr>
                        </m:ctrlPr>
                      </m:naryPr>
                      <m:sub>
                        <m:r>
                          <m:rPr>
                            <m:sty m:val="p"/>
                          </m:rPr>
                          <w:rPr>
                            <w:rFonts w:ascii="Cambria Math" w:eastAsia="Aptos" w:hAnsi="Cambria Math" w:cs="Arial"/>
                            <w:sz w:val="21"/>
                            <w:szCs w:val="21"/>
                          </w:rPr>
                          <m:t>i=1</m:t>
                        </m:r>
                      </m:sub>
                      <m:sup>
                        <m:r>
                          <m:rPr>
                            <m:sty m:val="p"/>
                          </m:rPr>
                          <w:rPr>
                            <w:rFonts w:ascii="Cambria Math" w:eastAsia="Aptos" w:hAnsi="Cambria Math" w:cs="Arial"/>
                            <w:sz w:val="21"/>
                            <w:szCs w:val="21"/>
                          </w:rPr>
                          <m:t>n</m:t>
                        </m:r>
                      </m:sup>
                      <m:e>
                        <m:sSub>
                          <m:sSubPr>
                            <m:ctrlPr>
                              <w:rPr>
                                <w:rFonts w:ascii="Cambria Math" w:eastAsia="Aptos" w:hAnsi="Cambria Math" w:cs="Arial"/>
                                <w:sz w:val="21"/>
                                <w:szCs w:val="21"/>
                              </w:rPr>
                            </m:ctrlPr>
                          </m:sSubPr>
                          <m:e>
                            <m:r>
                              <m:rPr>
                                <m:sty m:val="p"/>
                              </m:rPr>
                              <w:rPr>
                                <w:rFonts w:ascii="Cambria Math" w:eastAsia="Aptos" w:hAnsi="Cambria Math" w:cs="Arial"/>
                                <w:sz w:val="21"/>
                                <w:szCs w:val="21"/>
                              </w:rPr>
                              <m:t>Componente 1 del indicador</m:t>
                            </m:r>
                          </m:e>
                          <m:sub>
                            <m:r>
                              <m:rPr>
                                <m:sty m:val="p"/>
                              </m:rPr>
                              <w:rPr>
                                <w:rFonts w:ascii="Cambria Math" w:eastAsia="Aptos" w:hAnsi="Cambria Math" w:cs="Arial"/>
                                <w:sz w:val="21"/>
                                <w:szCs w:val="21"/>
                              </w:rPr>
                              <m:t>i</m:t>
                            </m:r>
                          </m:sub>
                        </m:sSub>
                        <m:r>
                          <m:rPr>
                            <m:sty m:val="p"/>
                          </m:rPr>
                          <w:rPr>
                            <w:rFonts w:ascii="Cambria Math" w:eastAsia="Aptos" w:hAnsi="Cambria Math" w:cs="Arial"/>
                            <w:sz w:val="21"/>
                            <w:szCs w:val="21"/>
                          </w:rPr>
                          <m:t xml:space="preserve">) </m:t>
                        </m:r>
                      </m:e>
                    </m:nary>
                  </m:num>
                  <m:den>
                    <m:r>
                      <m:rPr>
                        <m:sty m:val="p"/>
                      </m:rPr>
                      <w:rPr>
                        <w:rFonts w:ascii="Cambria Math" w:eastAsia="Aptos" w:hAnsi="Cambria Math" w:cs="Arial"/>
                        <w:sz w:val="21"/>
                        <w:szCs w:val="21"/>
                      </w:rPr>
                      <m:t>(</m:t>
                    </m:r>
                    <m:nary>
                      <m:naryPr>
                        <m:chr m:val="∑"/>
                        <m:limLoc m:val="undOvr"/>
                        <m:ctrlPr>
                          <w:rPr>
                            <w:rFonts w:ascii="Cambria Math" w:eastAsia="Aptos" w:hAnsi="Cambria Math" w:cs="Arial"/>
                            <w:sz w:val="21"/>
                            <w:szCs w:val="21"/>
                          </w:rPr>
                        </m:ctrlPr>
                      </m:naryPr>
                      <m:sub>
                        <m:r>
                          <m:rPr>
                            <m:sty m:val="p"/>
                          </m:rPr>
                          <w:rPr>
                            <w:rFonts w:ascii="Cambria Math" w:eastAsia="Aptos" w:hAnsi="Cambria Math" w:cs="Arial"/>
                            <w:sz w:val="21"/>
                            <w:szCs w:val="21"/>
                          </w:rPr>
                          <m:t>i=1</m:t>
                        </m:r>
                      </m:sub>
                      <m:sup>
                        <m:r>
                          <m:rPr>
                            <m:sty m:val="p"/>
                          </m:rPr>
                          <w:rPr>
                            <w:rFonts w:ascii="Cambria Math" w:eastAsia="Aptos" w:hAnsi="Cambria Math" w:cs="Arial"/>
                            <w:sz w:val="21"/>
                            <w:szCs w:val="21"/>
                          </w:rPr>
                          <m:t>n</m:t>
                        </m:r>
                      </m:sup>
                      <m:e>
                        <m:sSub>
                          <m:sSubPr>
                            <m:ctrlPr>
                              <w:rPr>
                                <w:rFonts w:ascii="Cambria Math" w:eastAsia="Aptos" w:hAnsi="Cambria Math" w:cs="Arial"/>
                                <w:sz w:val="21"/>
                                <w:szCs w:val="21"/>
                              </w:rPr>
                            </m:ctrlPr>
                          </m:sSubPr>
                          <m:e>
                            <m:r>
                              <m:rPr>
                                <m:sty m:val="p"/>
                              </m:rPr>
                              <w:rPr>
                                <w:rFonts w:ascii="Cambria Math" w:eastAsia="Aptos" w:hAnsi="Cambria Math" w:cs="Arial"/>
                                <w:sz w:val="21"/>
                                <w:szCs w:val="21"/>
                              </w:rPr>
                              <m:t>Componente 2 del indicador</m:t>
                            </m:r>
                          </m:e>
                          <m:sub>
                            <m:r>
                              <m:rPr>
                                <m:sty m:val="p"/>
                              </m:rPr>
                              <w:rPr>
                                <w:rFonts w:ascii="Cambria Math" w:eastAsia="Aptos" w:hAnsi="Cambria Math" w:cs="Arial"/>
                                <w:sz w:val="21"/>
                                <w:szCs w:val="21"/>
                              </w:rPr>
                              <m:t>i</m:t>
                            </m:r>
                          </m:sub>
                        </m:sSub>
                        <m:r>
                          <m:rPr>
                            <m:sty m:val="p"/>
                          </m:rPr>
                          <w:rPr>
                            <w:rFonts w:ascii="Cambria Math" w:eastAsia="Aptos" w:hAnsi="Cambria Math" w:cs="Arial"/>
                            <w:sz w:val="21"/>
                            <w:szCs w:val="21"/>
                          </w:rPr>
                          <m:t xml:space="preserve">) </m:t>
                        </m:r>
                      </m:e>
                    </m:nary>
                  </m:den>
                </m:f>
              </m:oMath>
            </m:oMathPara>
          </w:p>
          <w:p w14:paraId="78B9BD97" w14:textId="77777777" w:rsidR="00980755" w:rsidRPr="00980755" w:rsidRDefault="00980755" w:rsidP="00980755">
            <w:pPr>
              <w:ind w:left="709" w:right="709"/>
              <w:rPr>
                <w:rFonts w:ascii="Verdana" w:eastAsia="Aptos" w:hAnsi="Verdana" w:cs="Arial"/>
                <w:sz w:val="21"/>
                <w:szCs w:val="21"/>
                <w:lang w:val="es-MX"/>
              </w:rPr>
            </w:pPr>
          </w:p>
          <w:p w14:paraId="08AB4FC2" w14:textId="77777777" w:rsidR="00980755" w:rsidRPr="00980755" w:rsidRDefault="00980755" w:rsidP="00980755">
            <w:pPr>
              <w:ind w:left="709" w:right="709"/>
              <w:rPr>
                <w:rFonts w:ascii="Verdana" w:eastAsia="Aptos" w:hAnsi="Verdana" w:cs="Arial"/>
                <w:sz w:val="21"/>
                <w:szCs w:val="21"/>
                <w:lang w:val="es-MX"/>
              </w:rPr>
            </w:pPr>
            <w:r w:rsidRPr="00980755">
              <w:rPr>
                <w:rFonts w:ascii="Verdana" w:eastAsia="Aptos" w:hAnsi="Verdana" w:cs="Arial"/>
                <w:sz w:val="21"/>
                <w:szCs w:val="21"/>
                <w:lang w:val="es-MX"/>
              </w:rPr>
              <w:t>Donde n es el número de integrantes del Proponente Plural (Unión Temporal o Consorcio).</w:t>
            </w:r>
          </w:p>
          <w:p w14:paraId="2F1F695E" w14:textId="77777777" w:rsidR="00980755" w:rsidRPr="00980755" w:rsidRDefault="00980755" w:rsidP="00980755">
            <w:pPr>
              <w:ind w:left="709" w:right="709"/>
              <w:jc w:val="both"/>
              <w:rPr>
                <w:rFonts w:ascii="Verdana" w:eastAsia="Aptos" w:hAnsi="Verdana" w:cs="Aptos"/>
                <w:sz w:val="21"/>
                <w:szCs w:val="21"/>
              </w:rPr>
            </w:pPr>
            <w:r w:rsidRPr="00980755">
              <w:rPr>
                <w:rFonts w:ascii="Verdana" w:eastAsia="Aptos" w:hAnsi="Verdana" w:cs="Arial"/>
                <w:color w:val="000000"/>
                <w:sz w:val="21"/>
                <w:szCs w:val="21"/>
                <w:shd w:val="clear" w:color="auto" w:fill="FFFFFF"/>
                <w:lang w:val="es-419"/>
              </w:rPr>
              <w:t xml:space="preserve">El Proponente que </w:t>
            </w:r>
            <w:r w:rsidRPr="00980755">
              <w:rPr>
                <w:rFonts w:ascii="Verdana" w:eastAsia="Aptos" w:hAnsi="Verdana" w:cs="Arial"/>
                <w:sz w:val="21"/>
                <w:szCs w:val="21"/>
                <w:shd w:val="clear" w:color="auto" w:fill="FFFFFF"/>
                <w:lang w:val="es-419"/>
              </w:rPr>
              <w:t>demuestre</w:t>
            </w:r>
            <w:r w:rsidRPr="00980755">
              <w:rPr>
                <w:rFonts w:ascii="Verdana" w:eastAsia="Aptos" w:hAnsi="Verdana" w:cs="Arial"/>
                <w:color w:val="0078D4"/>
                <w:sz w:val="21"/>
                <w:szCs w:val="21"/>
                <w:shd w:val="clear" w:color="auto" w:fill="FFFFFF"/>
                <w:lang w:val="es-419"/>
              </w:rPr>
              <w:t xml:space="preserve"> </w:t>
            </w:r>
            <w:r w:rsidRPr="00980755">
              <w:rPr>
                <w:rFonts w:ascii="Verdana" w:eastAsia="Aptos" w:hAnsi="Verdana" w:cs="Arial"/>
                <w:color w:val="000000"/>
                <w:sz w:val="21"/>
                <w:szCs w:val="21"/>
                <w:shd w:val="clear" w:color="auto" w:fill="FFFFFF"/>
                <w:lang w:val="es-419"/>
              </w:rPr>
              <w:t xml:space="preserve">la condición de Mipyme domiciliada en Colombia acreditará la capacidad organizacional de acuerdo con los indicadores señalados en la </w:t>
            </w:r>
            <w:r w:rsidRPr="00980755">
              <w:rPr>
                <w:rFonts w:ascii="Verdana" w:eastAsia="Aptos" w:hAnsi="Verdana" w:cs="Arial"/>
                <w:sz w:val="21"/>
                <w:szCs w:val="21"/>
                <w:lang w:val="es-MX"/>
              </w:rPr>
              <w:t>Matriz 2 – Indicadores financieros y organizacionales.</w:t>
            </w:r>
            <w:r w:rsidRPr="00980755">
              <w:rPr>
                <w:rFonts w:ascii="Verdana" w:eastAsia="Times New Roman" w:hAnsi="Verdana" w:cs="Arial"/>
                <w:color w:val="000000"/>
                <w:sz w:val="21"/>
                <w:szCs w:val="21"/>
                <w:shd w:val="clear" w:color="auto" w:fill="FFFFFF"/>
              </w:rPr>
              <w:t xml:space="preserve"> El Proponente probará</w:t>
            </w:r>
            <w:r w:rsidRPr="00980755">
              <w:rPr>
                <w:rFonts w:ascii="Verdana" w:eastAsia="Aptos" w:hAnsi="Verdana" w:cs="Arial"/>
                <w:color w:val="000000"/>
                <w:sz w:val="21"/>
                <w:szCs w:val="21"/>
                <w:shd w:val="clear" w:color="auto" w:fill="FFFFFF"/>
                <w:lang w:val="es-ES"/>
              </w:rPr>
              <w:t xml:space="preserve"> la condición </w:t>
            </w:r>
            <w:r w:rsidRPr="00980755">
              <w:rPr>
                <w:rFonts w:ascii="Verdana" w:eastAsia="Aptos" w:hAnsi="Verdana" w:cs="Arial"/>
                <w:color w:val="000000"/>
                <w:sz w:val="21"/>
                <w:szCs w:val="21"/>
                <w:shd w:val="clear" w:color="auto" w:fill="FFFFFF"/>
              </w:rPr>
              <w:t xml:space="preserve">de </w:t>
            </w:r>
            <w:proofErr w:type="spellStart"/>
            <w:r w:rsidRPr="00980755">
              <w:rPr>
                <w:rFonts w:ascii="Verdana" w:eastAsia="Aptos" w:hAnsi="Verdana" w:cs="Arial"/>
                <w:color w:val="000000"/>
                <w:sz w:val="21"/>
                <w:szCs w:val="21"/>
                <w:shd w:val="clear" w:color="auto" w:fill="FFFFFF"/>
              </w:rPr>
              <w:t>Mipyme</w:t>
            </w:r>
            <w:proofErr w:type="spellEnd"/>
            <w:r w:rsidRPr="00980755">
              <w:rPr>
                <w:rFonts w:ascii="Verdana" w:eastAsia="Aptos" w:hAnsi="Verdana" w:cs="Arial"/>
                <w:color w:val="000000"/>
                <w:sz w:val="21"/>
                <w:szCs w:val="21"/>
                <w:shd w:val="clear" w:color="auto" w:fill="FFFFFF"/>
              </w:rPr>
              <w:t xml:space="preserve"> con la copia del certificado del Registro Único de Proponentes, el cual deberá encontrarse vigente y en firme al momento de su presentación</w:t>
            </w:r>
            <w:r w:rsidRPr="00980755">
              <w:rPr>
                <w:rFonts w:ascii="Verdana" w:eastAsia="Aptos" w:hAnsi="Verdana" w:cs="Aptos"/>
                <w:sz w:val="21"/>
                <w:szCs w:val="21"/>
              </w:rPr>
              <w:t xml:space="preserve">”. </w:t>
            </w:r>
          </w:p>
          <w:p w14:paraId="631A1536" w14:textId="77777777" w:rsidR="00980755" w:rsidRPr="00980755" w:rsidRDefault="00980755" w:rsidP="00980755">
            <w:pPr>
              <w:spacing w:line="276" w:lineRule="auto"/>
              <w:ind w:firstLine="708"/>
              <w:jc w:val="both"/>
              <w:rPr>
                <w:rFonts w:ascii="Verdana" w:eastAsia="Aptos" w:hAnsi="Verdana" w:cs="Aptos"/>
                <w:sz w:val="21"/>
                <w:szCs w:val="21"/>
              </w:rPr>
            </w:pPr>
          </w:p>
          <w:p w14:paraId="7AAC9F31" w14:textId="77777777" w:rsidR="00980755" w:rsidRPr="00980755" w:rsidRDefault="00980755" w:rsidP="00980755">
            <w:pPr>
              <w:snapToGrid w:val="0"/>
              <w:spacing w:after="120" w:line="276" w:lineRule="auto"/>
              <w:ind w:firstLine="709"/>
              <w:jc w:val="both"/>
              <w:rPr>
                <w:rFonts w:ascii="Verdana" w:eastAsia="Times New Roman" w:hAnsi="Verdana" w:cs="Times New Roman"/>
                <w:lang w:eastAsia="es-MX"/>
              </w:rPr>
            </w:pPr>
            <w:r w:rsidRPr="00980755">
              <w:rPr>
                <w:rFonts w:ascii="Verdana" w:eastAsia="Arial" w:hAnsi="Verdana" w:cs="Arial"/>
                <w:lang w:eastAsia="es-MX"/>
              </w:rPr>
              <w:t xml:space="preserve">De acuerdo con este numeral, los proponentes deben acreditar los indicadores de rentabilidad sobre el patrimonio (ROE) y rentabilidad del activo (ROA) en los términos señalados en la Matriz 2. </w:t>
            </w:r>
            <w:r w:rsidRPr="00980755">
              <w:rPr>
                <w:rFonts w:ascii="Verdana" w:eastAsia="Times New Roman" w:hAnsi="Verdana" w:cs="Times New Roman"/>
                <w:lang w:eastAsia="es-MX"/>
              </w:rPr>
              <w:t xml:space="preserve"> Asimismo, el numeral establece que los proponentes que tengan la condición de </w:t>
            </w:r>
            <w:proofErr w:type="spellStart"/>
            <w:r w:rsidRPr="00980755">
              <w:rPr>
                <w:rFonts w:ascii="Verdana" w:eastAsia="Times New Roman" w:hAnsi="Verdana" w:cs="Times New Roman"/>
                <w:lang w:eastAsia="es-MX"/>
              </w:rPr>
              <w:t>Mipyme</w:t>
            </w:r>
            <w:proofErr w:type="spellEnd"/>
            <w:r w:rsidRPr="00980755">
              <w:rPr>
                <w:rFonts w:ascii="Verdana" w:eastAsia="Times New Roman" w:hAnsi="Verdana" w:cs="Times New Roman"/>
                <w:lang w:eastAsia="es-MX"/>
              </w:rPr>
              <w:t xml:space="preserve"> domiciliada en Colombia deberán acreditar su capacidad organizacional conforme a los indicadores previstos en la misma Matriz, y demostrar dicha condición mediante el certificado del Registro Único de Proponentes vigente y en firme.</w:t>
            </w:r>
          </w:p>
          <w:p w14:paraId="4B640E31" w14:textId="77777777" w:rsidR="00980755" w:rsidRPr="00980755" w:rsidRDefault="00980755" w:rsidP="00980755">
            <w:pPr>
              <w:snapToGrid w:val="0"/>
              <w:spacing w:after="120" w:line="276" w:lineRule="auto"/>
              <w:ind w:firstLine="709"/>
              <w:jc w:val="both"/>
              <w:rPr>
                <w:rFonts w:ascii="Verdana" w:eastAsia="Times New Roman" w:hAnsi="Verdana" w:cs="Times New Roman"/>
                <w:lang w:eastAsia="es-MX"/>
              </w:rPr>
            </w:pPr>
            <w:r w:rsidRPr="00980755">
              <w:rPr>
                <w:rFonts w:ascii="Verdana" w:eastAsia="Times New Roman" w:hAnsi="Verdana" w:cs="Times New Roman"/>
                <w:lang w:eastAsia="es-MX"/>
              </w:rPr>
              <w:t xml:space="preserve">Ahora bien, conforme a los lineamientos definidos en la Matriz, </w:t>
            </w:r>
            <w:r w:rsidRPr="00980755">
              <w:rPr>
                <w:rFonts w:ascii="Verdana" w:eastAsia="Times New Roman" w:hAnsi="Verdana" w:cs="Arial"/>
                <w:lang w:eastAsia="es-MX"/>
              </w:rPr>
              <w:t xml:space="preserve">con el objetivo de establecer requisitos mínimos habilitantes de capacidad financiera y organizacional que sean proporcionales a las diferentes condiciones (presupuesto, plazo, </w:t>
            </w:r>
            <w:proofErr w:type="spellStart"/>
            <w:r w:rsidRPr="00980755">
              <w:rPr>
                <w:rFonts w:ascii="Verdana" w:eastAsia="Times New Roman" w:hAnsi="Verdana" w:cs="Arial"/>
                <w:lang w:eastAsia="es-MX"/>
              </w:rPr>
              <w:t>etc</w:t>
            </w:r>
            <w:proofErr w:type="spellEnd"/>
            <w:r w:rsidRPr="00980755">
              <w:rPr>
                <w:rFonts w:ascii="Verdana" w:eastAsia="Times New Roman" w:hAnsi="Verdana" w:cs="Arial"/>
                <w:lang w:eastAsia="es-MX"/>
              </w:rPr>
              <w:t>)  de los procesos de selección de licitación de obra pública de infraestructura de transporte que adelanten las Entidades, se establecieron indicadores de acuerdo con el presupuesto oficial del proceso de contratación, con base en los siguientes rangos de presupuesto definidos de conformidad con la matriz de experiencia de los proyectos de infraestructura de transporte estructurada para la presente versión de los pliegos tipo:</w:t>
            </w:r>
          </w:p>
          <w:tbl>
            <w:tblPr>
              <w:tblW w:w="0" w:type="auto"/>
              <w:jc w:val="center"/>
              <w:tblCellMar>
                <w:left w:w="70" w:type="dxa"/>
                <w:right w:w="70" w:type="dxa"/>
              </w:tblCellMar>
              <w:tblLook w:val="04A0" w:firstRow="1" w:lastRow="0" w:firstColumn="1" w:lastColumn="0" w:noHBand="0" w:noVBand="1"/>
            </w:tblPr>
            <w:tblGrid>
              <w:gridCol w:w="1129"/>
              <w:gridCol w:w="1330"/>
              <w:gridCol w:w="1364"/>
              <w:gridCol w:w="1417"/>
            </w:tblGrid>
            <w:tr w:rsidR="00980755" w:rsidRPr="00980755" w14:paraId="1E13F7F3" w14:textId="77777777">
              <w:trPr>
                <w:trHeight w:val="20"/>
                <w:jc w:val="center"/>
              </w:trPr>
              <w:tc>
                <w:tcPr>
                  <w:tcW w:w="2459"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8813D26"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Rango 1</w:t>
                  </w:r>
                </w:p>
              </w:tc>
              <w:tc>
                <w:tcPr>
                  <w:tcW w:w="2781" w:type="dxa"/>
                  <w:gridSpan w:val="2"/>
                  <w:tcBorders>
                    <w:top w:val="single" w:sz="4" w:space="0" w:color="auto"/>
                    <w:left w:val="nil"/>
                    <w:bottom w:val="single" w:sz="4" w:space="0" w:color="auto"/>
                    <w:right w:val="single" w:sz="4" w:space="0" w:color="000000"/>
                  </w:tcBorders>
                  <w:shd w:val="clear" w:color="000000" w:fill="F2F2F2"/>
                  <w:noWrap/>
                  <w:vAlign w:val="center"/>
                  <w:hideMark/>
                </w:tcPr>
                <w:p w14:paraId="7113C25A"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Rango 2</w:t>
                  </w:r>
                </w:p>
              </w:tc>
            </w:tr>
            <w:tr w:rsidR="00980755" w:rsidRPr="00980755" w14:paraId="11B7CFDE" w14:textId="77777777" w:rsidTr="007570F3">
              <w:trPr>
                <w:trHeight w:val="20"/>
                <w:jc w:val="center"/>
              </w:trPr>
              <w:tc>
                <w:tcPr>
                  <w:tcW w:w="1129" w:type="dxa"/>
                  <w:tcBorders>
                    <w:top w:val="nil"/>
                    <w:left w:val="nil"/>
                    <w:bottom w:val="nil"/>
                    <w:right w:val="nil"/>
                  </w:tcBorders>
                  <w:noWrap/>
                  <w:vAlign w:val="bottom"/>
                  <w:hideMark/>
                </w:tcPr>
                <w:p w14:paraId="7F1BE57D"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p>
              </w:tc>
              <w:tc>
                <w:tcPr>
                  <w:tcW w:w="1330" w:type="dxa"/>
                  <w:tcBorders>
                    <w:top w:val="nil"/>
                    <w:left w:val="nil"/>
                    <w:bottom w:val="nil"/>
                    <w:right w:val="nil"/>
                  </w:tcBorders>
                  <w:noWrap/>
                  <w:vAlign w:val="bottom"/>
                  <w:hideMark/>
                </w:tcPr>
                <w:p w14:paraId="6C3FDFCC" w14:textId="77777777" w:rsidR="00980755" w:rsidRPr="00980755" w:rsidRDefault="00980755" w:rsidP="00980755">
                  <w:pPr>
                    <w:spacing w:line="278" w:lineRule="auto"/>
                    <w:rPr>
                      <w:rFonts w:ascii="Times New Roman" w:eastAsia="Times New Roman" w:hAnsi="Times New Roman" w:cs="Times New Roman"/>
                      <w:kern w:val="2"/>
                      <w:sz w:val="20"/>
                      <w:szCs w:val="20"/>
                      <w:lang w:eastAsia="es-CO"/>
                      <w14:ligatures w14:val="standardContextual"/>
                    </w:rPr>
                  </w:pPr>
                </w:p>
              </w:tc>
              <w:tc>
                <w:tcPr>
                  <w:tcW w:w="1364" w:type="dxa"/>
                  <w:tcBorders>
                    <w:top w:val="nil"/>
                    <w:left w:val="nil"/>
                    <w:bottom w:val="nil"/>
                    <w:right w:val="nil"/>
                  </w:tcBorders>
                  <w:noWrap/>
                  <w:vAlign w:val="bottom"/>
                  <w:hideMark/>
                </w:tcPr>
                <w:p w14:paraId="69798AD2" w14:textId="77777777" w:rsidR="00980755" w:rsidRPr="00980755" w:rsidRDefault="00980755" w:rsidP="00980755">
                  <w:pPr>
                    <w:spacing w:line="278" w:lineRule="auto"/>
                    <w:rPr>
                      <w:rFonts w:ascii="Times New Roman" w:eastAsia="Times New Roman" w:hAnsi="Times New Roman" w:cs="Times New Roman"/>
                      <w:kern w:val="2"/>
                      <w:sz w:val="20"/>
                      <w:szCs w:val="20"/>
                      <w:lang w:eastAsia="es-CO"/>
                      <w14:ligatures w14:val="standardContextual"/>
                    </w:rPr>
                  </w:pPr>
                </w:p>
              </w:tc>
              <w:tc>
                <w:tcPr>
                  <w:tcW w:w="1417" w:type="dxa"/>
                  <w:tcBorders>
                    <w:top w:val="nil"/>
                    <w:left w:val="nil"/>
                    <w:bottom w:val="nil"/>
                    <w:right w:val="nil"/>
                  </w:tcBorders>
                  <w:noWrap/>
                  <w:vAlign w:val="bottom"/>
                  <w:hideMark/>
                </w:tcPr>
                <w:p w14:paraId="76CF81E9" w14:textId="77777777" w:rsidR="00980755" w:rsidRPr="00980755" w:rsidRDefault="00980755" w:rsidP="00980755">
                  <w:pPr>
                    <w:spacing w:line="278" w:lineRule="auto"/>
                    <w:rPr>
                      <w:rFonts w:ascii="Times New Roman" w:eastAsia="Times New Roman" w:hAnsi="Times New Roman" w:cs="Times New Roman"/>
                      <w:kern w:val="2"/>
                      <w:sz w:val="20"/>
                      <w:szCs w:val="20"/>
                      <w:lang w:eastAsia="es-CO"/>
                      <w14:ligatures w14:val="standardContextual"/>
                    </w:rPr>
                  </w:pPr>
                </w:p>
              </w:tc>
            </w:tr>
            <w:tr w:rsidR="00980755" w:rsidRPr="00980755" w14:paraId="6C7F4BE3" w14:textId="77777777" w:rsidTr="007570F3">
              <w:trPr>
                <w:trHeight w:val="2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14:paraId="53AE33AA"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&gt;0</w:t>
                  </w:r>
                </w:p>
              </w:tc>
              <w:tc>
                <w:tcPr>
                  <w:tcW w:w="1330" w:type="dxa"/>
                  <w:tcBorders>
                    <w:top w:val="single" w:sz="4" w:space="0" w:color="auto"/>
                    <w:left w:val="nil"/>
                    <w:bottom w:val="single" w:sz="4" w:space="0" w:color="auto"/>
                    <w:right w:val="single" w:sz="4" w:space="0" w:color="auto"/>
                  </w:tcBorders>
                  <w:noWrap/>
                  <w:vAlign w:val="center"/>
                  <w:hideMark/>
                </w:tcPr>
                <w:p w14:paraId="5D00ED8D"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&lt;40.000</w:t>
                  </w:r>
                </w:p>
              </w:tc>
              <w:tc>
                <w:tcPr>
                  <w:tcW w:w="1364" w:type="dxa"/>
                  <w:tcBorders>
                    <w:top w:val="single" w:sz="4" w:space="0" w:color="auto"/>
                    <w:left w:val="nil"/>
                    <w:bottom w:val="single" w:sz="4" w:space="0" w:color="auto"/>
                    <w:right w:val="single" w:sz="4" w:space="0" w:color="auto"/>
                  </w:tcBorders>
                  <w:noWrap/>
                  <w:vAlign w:val="center"/>
                  <w:hideMark/>
                </w:tcPr>
                <w:p w14:paraId="07A6308A"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&gt;= 40.000</w:t>
                  </w:r>
                </w:p>
              </w:tc>
              <w:tc>
                <w:tcPr>
                  <w:tcW w:w="1417" w:type="dxa"/>
                  <w:tcBorders>
                    <w:top w:val="single" w:sz="4" w:space="0" w:color="auto"/>
                    <w:left w:val="nil"/>
                    <w:bottom w:val="single" w:sz="4" w:space="0" w:color="auto"/>
                    <w:right w:val="single" w:sz="4" w:space="0" w:color="auto"/>
                  </w:tcBorders>
                  <w:noWrap/>
                  <w:vAlign w:val="center"/>
                  <w:hideMark/>
                </w:tcPr>
                <w:p w14:paraId="0DA0CA58"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w:t>
                  </w:r>
                </w:p>
              </w:tc>
            </w:tr>
          </w:tbl>
          <w:p w14:paraId="6A8F2CF6" w14:textId="77777777" w:rsidR="00980755" w:rsidRPr="00980755" w:rsidRDefault="00980755" w:rsidP="00980755">
            <w:pPr>
              <w:rPr>
                <w:rFonts w:ascii="Arial" w:eastAsia="Aptos" w:hAnsi="Arial" w:cs="Arial"/>
                <w:sz w:val="18"/>
                <w:szCs w:val="18"/>
              </w:rPr>
            </w:pPr>
          </w:p>
          <w:p w14:paraId="11BCCFFB" w14:textId="77777777" w:rsidR="00980755" w:rsidRPr="00980755" w:rsidRDefault="00980755" w:rsidP="00980755">
            <w:pPr>
              <w:spacing w:after="120" w:line="276" w:lineRule="auto"/>
              <w:ind w:firstLine="708"/>
              <w:jc w:val="both"/>
              <w:rPr>
                <w:rFonts w:ascii="Verdana" w:eastAsia="Aptos" w:hAnsi="Verdana" w:cs="Times New Roman"/>
              </w:rPr>
            </w:pPr>
            <w:r w:rsidRPr="00980755">
              <w:rPr>
                <w:rFonts w:ascii="Verdana" w:eastAsia="Aptos" w:hAnsi="Verdana" w:cs="Times New Roman"/>
              </w:rPr>
              <w:t xml:space="preserve">De conformidad con lo anterior, para cada uno de los rangos se establecieron indicadores de capacidad financiera y organizacional, que las entidades deberán exigir en los procesos de licitación de obra pública de </w:t>
            </w:r>
            <w:r w:rsidRPr="00980755">
              <w:rPr>
                <w:rFonts w:ascii="Verdana" w:eastAsia="Aptos" w:hAnsi="Verdana" w:cs="Times New Roman"/>
              </w:rPr>
              <w:lastRenderedPageBreak/>
              <w:t>infraestructura de transporte según el rango en el que se encuentre el presupuesto oficial del proceso de contratación.</w:t>
            </w:r>
          </w:p>
          <w:p w14:paraId="13839845" w14:textId="77777777" w:rsidR="00980755" w:rsidRPr="00980755" w:rsidRDefault="00980755" w:rsidP="00980755">
            <w:pPr>
              <w:spacing w:after="120" w:line="276" w:lineRule="auto"/>
              <w:ind w:firstLine="708"/>
              <w:jc w:val="both"/>
              <w:rPr>
                <w:rFonts w:ascii="Verdana" w:eastAsia="Aptos" w:hAnsi="Verdana" w:cs="Times New Roman"/>
              </w:rPr>
            </w:pPr>
            <w:r w:rsidRPr="00980755">
              <w:rPr>
                <w:rFonts w:ascii="Verdana" w:eastAsia="Aptos" w:hAnsi="Verdana" w:cs="Times New Roman"/>
              </w:rPr>
              <w:t xml:space="preserve">Adicionalmente, en la Matriz 2 se establecieron dos (2) reglas para la acreditación de los indicadores de capacidad financiera y organizacional: una aplicable a los proponentes que acrediten la condición de </w:t>
            </w:r>
            <w:proofErr w:type="spellStart"/>
            <w:r w:rsidRPr="00980755">
              <w:rPr>
                <w:rFonts w:ascii="Verdana" w:eastAsia="Aptos" w:hAnsi="Verdana" w:cs="Times New Roman"/>
              </w:rPr>
              <w:t>Mipyme</w:t>
            </w:r>
            <w:proofErr w:type="spellEnd"/>
            <w:r w:rsidRPr="00980755">
              <w:rPr>
                <w:rFonts w:ascii="Verdana" w:eastAsia="Aptos" w:hAnsi="Verdana" w:cs="Times New Roman"/>
              </w:rPr>
              <w:t xml:space="preserve"> (numeral 1) y otra aplicable a los demás proponentes, es decir, a aquellos que no ostenten dicha condición (numeral 2). Finalmente, la Matriz establece la regla para acreditar estos indicadores cuando el proceso de contratación se adelante por lotes o segmentos.</w:t>
            </w:r>
            <w:r w:rsidRPr="00980755">
              <w:rPr>
                <w:rFonts w:ascii="Verdana" w:eastAsia="Aptos" w:hAnsi="Verdana" w:cs="Times New Roman"/>
                <w:kern w:val="2"/>
              </w:rPr>
              <w:t xml:space="preserve"> </w:t>
            </w:r>
          </w:p>
          <w:p w14:paraId="3A753881" w14:textId="77777777" w:rsidR="00980755" w:rsidRPr="00980755" w:rsidRDefault="00980755" w:rsidP="00980755">
            <w:pPr>
              <w:spacing w:after="120" w:line="276" w:lineRule="auto"/>
              <w:ind w:firstLine="708"/>
              <w:jc w:val="both"/>
              <w:rPr>
                <w:rFonts w:ascii="Verdana" w:eastAsia="Aptos" w:hAnsi="Verdana" w:cs="Times New Roman"/>
                <w:kern w:val="2"/>
              </w:rPr>
            </w:pPr>
            <w:r w:rsidRPr="00980755">
              <w:rPr>
                <w:rFonts w:ascii="Verdana" w:eastAsia="Aptos" w:hAnsi="Verdana" w:cs="Times New Roman"/>
              </w:rPr>
              <w:t>Como se observa, los valores de los indicadores de rentabilidad sobre el patrimonio y rentabilidad del activo no corresponden a apartes que la entidad deba diligenciar –aquellos incluidos entre corchetes y resaltados en gris–, sino que fueron fijados por esta Agencia en la Matriz 2 para cada rango de presupuesto y tipo de proponente.</w:t>
            </w:r>
          </w:p>
          <w:p w14:paraId="3E05717F" w14:textId="77777777" w:rsidR="00980755" w:rsidRPr="00980755" w:rsidRDefault="00980755" w:rsidP="00980755">
            <w:pPr>
              <w:spacing w:after="120" w:line="276" w:lineRule="auto"/>
              <w:ind w:firstLine="708"/>
              <w:jc w:val="both"/>
              <w:rPr>
                <w:rFonts w:ascii="Verdana" w:eastAsia="Aptos" w:hAnsi="Verdana" w:cs="Times New Roman"/>
              </w:rPr>
            </w:pPr>
            <w:r w:rsidRPr="00980755">
              <w:rPr>
                <w:rFonts w:ascii="Verdana" w:eastAsia="Aptos" w:hAnsi="Verdana" w:cs="Times New Roman"/>
              </w:rPr>
              <w:t xml:space="preserve">En conclusión, y en respuesta al problema jurídico planteado en este concepto, los requisitos de capacidad financiera y organizacional aplicables a las </w:t>
            </w:r>
            <w:proofErr w:type="spellStart"/>
            <w:r w:rsidRPr="00980755">
              <w:rPr>
                <w:rFonts w:ascii="Verdana" w:eastAsia="Aptos" w:hAnsi="Verdana" w:cs="Times New Roman"/>
              </w:rPr>
              <w:t>Mipymes</w:t>
            </w:r>
            <w:proofErr w:type="spellEnd"/>
            <w:r w:rsidRPr="00980755">
              <w:rPr>
                <w:rFonts w:ascii="Verdana" w:eastAsia="Aptos" w:hAnsi="Verdana" w:cs="Times New Roman"/>
              </w:rPr>
              <w:t xml:space="preserve"> y a los demás proponentes en los procesos que se adelanten con el documento tipo de licitación de obra pública de infraestructura de transporte – versión 4 son los señalados en el documento base y en la Matriz 2. En virtud de la regla de inalterabilidad de los documentos tipo –desarrollada en el punto tres (</w:t>
            </w:r>
            <w:proofErr w:type="spellStart"/>
            <w:r w:rsidRPr="00980755">
              <w:rPr>
                <w:rFonts w:ascii="Verdana" w:eastAsia="Aptos" w:hAnsi="Verdana" w:cs="Times New Roman"/>
              </w:rPr>
              <w:t>iii</w:t>
            </w:r>
            <w:proofErr w:type="spellEnd"/>
            <w:r w:rsidRPr="00980755">
              <w:rPr>
                <w:rFonts w:ascii="Verdana" w:eastAsia="Aptos" w:hAnsi="Verdana" w:cs="Times New Roman"/>
              </w:rPr>
              <w:t>) de este concepto–, estos requisitos deben aplicarse de manera estricta, conforme a lo dispuesto en el documento tipo y a los parámetros señalados en el presente concepto, por lo que los indicadores de rentabilidad sobre el patrimonio y rentabilidad del activo no son modificables por las entidades estatales.</w:t>
            </w:r>
          </w:p>
          <w:p w14:paraId="71DFFDA9" w14:textId="77777777" w:rsidR="00980755" w:rsidRPr="00980755" w:rsidRDefault="00980755" w:rsidP="00980755">
            <w:pPr>
              <w:spacing w:after="120" w:line="276" w:lineRule="auto"/>
              <w:ind w:firstLine="708"/>
              <w:jc w:val="both"/>
              <w:rPr>
                <w:rFonts w:ascii="Verdana" w:eastAsia="Aptos" w:hAnsi="Verdana" w:cs="Times New Roman"/>
              </w:rPr>
            </w:pPr>
            <w:r w:rsidRPr="00980755">
              <w:rPr>
                <w:rFonts w:ascii="Verdana" w:eastAsia="Aptos" w:hAnsi="Verdana" w:cs="Times New Roman"/>
              </w:rPr>
              <w:t>En consecuencia, al no tratarse de un aspecto que el documento tipo deje a criterio de la entidad, no existe un procedimiento ni una oportunidad para ajustar dichos indicadores, sea en el análisis del sector, en la estructuración del proceso o en otra etapa del procedimiento de selección.</w:t>
            </w:r>
          </w:p>
          <w:p w14:paraId="39132525" w14:textId="77777777" w:rsidR="00980755" w:rsidRPr="00980755" w:rsidRDefault="00980755" w:rsidP="00980755">
            <w:pPr>
              <w:spacing w:after="120" w:line="276" w:lineRule="auto"/>
              <w:ind w:firstLine="708"/>
              <w:jc w:val="both"/>
              <w:rPr>
                <w:rFonts w:ascii="Verdana" w:eastAsia="Aptos" w:hAnsi="Verdana" w:cs="Times New Roman"/>
              </w:rPr>
            </w:pPr>
            <w:r w:rsidRPr="00980755">
              <w:rPr>
                <w:rFonts w:ascii="Verdana" w:eastAsia="Aptos" w:hAnsi="Verdana" w:cs="Times New Roman"/>
              </w:rPr>
              <w:t xml:space="preserve">Por la misma razón, no es procedente que la entidad disminuya estos indicadores por debajo de los valores previstos en la Matriz 2 a solicitud de un interesado durante el término de observaciones al proyecto de pliego de condiciones. En todo caso, la búsqueda de pluralidad de oferentes no habilita a la entidad para desconocer la regla de inalterabilidad, más aún cuando los </w:t>
            </w:r>
            <w:r w:rsidRPr="00980755">
              <w:rPr>
                <w:rFonts w:ascii="Verdana" w:eastAsia="Aptos" w:hAnsi="Verdana" w:cs="Times New Roman"/>
              </w:rPr>
              <w:lastRenderedPageBreak/>
              <w:t xml:space="preserve">indicadores fueron definidos de forma proporcional al presupuesto oficial de cada proceso y con reglas diferenciadas para las </w:t>
            </w:r>
            <w:proofErr w:type="spellStart"/>
            <w:r w:rsidRPr="00980755">
              <w:rPr>
                <w:rFonts w:ascii="Verdana" w:eastAsia="Aptos" w:hAnsi="Verdana" w:cs="Times New Roman"/>
              </w:rPr>
              <w:t>Mipymes</w:t>
            </w:r>
            <w:proofErr w:type="spellEnd"/>
            <w:r w:rsidRPr="00980755">
              <w:rPr>
                <w:rFonts w:ascii="Verdana" w:eastAsia="Aptos" w:hAnsi="Verdana" w:cs="Times New Roman"/>
              </w:rPr>
              <w:t>.</w:t>
            </w:r>
          </w:p>
          <w:p w14:paraId="2E84D3BC" w14:textId="77777777" w:rsidR="00980755" w:rsidRPr="00980755" w:rsidRDefault="00980755" w:rsidP="00980755">
            <w:pPr>
              <w:spacing w:after="120" w:line="276" w:lineRule="auto"/>
              <w:ind w:firstLine="708"/>
              <w:jc w:val="both"/>
              <w:rPr>
                <w:rFonts w:ascii="Verdana" w:eastAsia="Aptos" w:hAnsi="Verdana" w:cs="Times New Roman"/>
              </w:rPr>
            </w:pPr>
            <w:r w:rsidRPr="00980755">
              <w:rPr>
                <w:rFonts w:ascii="Verdana" w:eastAsia="Aptos" w:hAnsi="Verdana" w:cs="Times New Roman"/>
              </w:rPr>
              <w:t>Lo anterior no impide que los partícipes del sistema de compra pública presenten a esta Agencia sus comentarios sobre el contenido de los documentos tipo, los cuales serán analizados en el marco del deber de revisión permanente previsto en la Ley 2022 de 2020, según el procedimiento descrito en el punto dos (</w:t>
            </w:r>
            <w:proofErr w:type="spellStart"/>
            <w:r w:rsidRPr="00980755">
              <w:rPr>
                <w:rFonts w:ascii="Verdana" w:eastAsia="Aptos" w:hAnsi="Verdana" w:cs="Times New Roman"/>
              </w:rPr>
              <w:t>ii</w:t>
            </w:r>
            <w:proofErr w:type="spellEnd"/>
            <w:r w:rsidRPr="00980755">
              <w:rPr>
                <w:rFonts w:ascii="Verdana" w:eastAsia="Aptos" w:hAnsi="Verdana" w:cs="Times New Roman"/>
              </w:rPr>
              <w:t>) de este concepto.</w:t>
            </w:r>
          </w:p>
          <w:p w14:paraId="38BB9E3A" w14:textId="77777777" w:rsidR="00980755" w:rsidRPr="00980755" w:rsidRDefault="00980755" w:rsidP="00980755">
            <w:pPr>
              <w:spacing w:line="276" w:lineRule="auto"/>
              <w:ind w:firstLine="708"/>
              <w:jc w:val="both"/>
              <w:rPr>
                <w:rFonts w:ascii="Verdana" w:eastAsia="Aptos" w:hAnsi="Verdana" w:cs="Times New Roman"/>
              </w:rPr>
            </w:pPr>
            <w:r w:rsidRPr="00980755">
              <w:rPr>
                <w:rFonts w:ascii="Verdana" w:eastAsia="Aptos" w:hAnsi="Verdana" w:cs="Times New Roman"/>
              </w:rPr>
              <w:t>Las consideraciones expuestas en este concepto son igualmente aplicables, en lo pertinente, a los demás documentos tipo de obra pública de infraestructura de transporte, esto es, a los de selección abreviada de menor cuantía y de mínima cuantía, pues en ellos los requisitos de capacidad financiera y organizacional también se encuentran definidos en el documento base –o en la invitación, en el caso de la mínima cuantía– y en la respectiva matriz de indicadores, y se encuentran sujetos a la misma regla de inalterabilidad. En consecuencia, en los procesos que se adelanten con estos documentos tipo, las entidades tampoco podrán modificar ni disminuir los indicadores allí establecidos, y deberán exigirlos en los términos previstos en cada documento tipo.</w:t>
            </w:r>
          </w:p>
          <w:p w14:paraId="10B1E320" w14:textId="77777777" w:rsidR="00980755" w:rsidRPr="00980755" w:rsidRDefault="00980755" w:rsidP="00980755">
            <w:pPr>
              <w:spacing w:line="276" w:lineRule="auto"/>
              <w:jc w:val="both"/>
              <w:rPr>
                <w:rFonts w:ascii="Verdana" w:eastAsia="Aptos" w:hAnsi="Verdana" w:cs="Times New Roman"/>
              </w:rPr>
            </w:pPr>
          </w:p>
          <w:p w14:paraId="1363041E" w14:textId="77777777" w:rsidR="00980755" w:rsidRPr="00980755" w:rsidRDefault="00980755" w:rsidP="00980755">
            <w:pPr>
              <w:tabs>
                <w:tab w:val="left" w:pos="709"/>
              </w:tabs>
              <w:snapToGrid w:val="0"/>
              <w:spacing w:after="120" w:line="276" w:lineRule="auto"/>
              <w:jc w:val="both"/>
              <w:rPr>
                <w:rFonts w:ascii="Verdana" w:eastAsia="Calibri" w:hAnsi="Verdana" w:cs="Arial"/>
                <w:color w:val="000000"/>
                <w:lang w:val="es-ES"/>
              </w:rPr>
            </w:pPr>
            <w:r w:rsidRPr="00980755">
              <w:rPr>
                <w:rFonts w:ascii="Verdana" w:eastAsia="Calibri" w:hAnsi="Verdana" w:cs="Arial"/>
                <w:color w:val="000000"/>
                <w:lang w:val="es-ES"/>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8A19CEF" w14:textId="77777777" w:rsidR="00980755" w:rsidRPr="00980755" w:rsidRDefault="00980755" w:rsidP="00980755">
            <w:pPr>
              <w:tabs>
                <w:tab w:val="left" w:pos="709"/>
              </w:tabs>
              <w:snapToGrid w:val="0"/>
              <w:spacing w:line="276" w:lineRule="auto"/>
              <w:ind w:firstLine="709"/>
              <w:jc w:val="both"/>
              <w:rPr>
                <w:rFonts w:ascii="Verdana" w:eastAsia="Calibri" w:hAnsi="Verdana" w:cs="Arial"/>
                <w:color w:val="000000"/>
                <w:lang w:val="es-ES"/>
              </w:rPr>
            </w:pPr>
            <w:r w:rsidRPr="00980755">
              <w:rPr>
                <w:rFonts w:ascii="Verdana" w:eastAsia="Calibri" w:hAnsi="Verdana" w:cs="Arial"/>
                <w:color w:val="000000"/>
                <w:lang w:val="es-ES"/>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sidRPr="00980755">
              <w:rPr>
                <w:rFonts w:ascii="Verdana" w:eastAsia="Calibri" w:hAnsi="Verdana" w:cs="Arial"/>
                <w:color w:val="000000"/>
                <w:lang w:val="es-ES"/>
              </w:rPr>
              <w:lastRenderedPageBreak/>
              <w:t>definirá la forma de adelantar su gestión contractual, sin que sea atribución de Colombia Compra Eficiente validar sus actuaciones.</w:t>
            </w:r>
          </w:p>
        </w:tc>
      </w:tr>
    </w:tbl>
    <w:p w14:paraId="7F8CF006" w14:textId="77777777" w:rsidR="00980755" w:rsidRPr="00980755" w:rsidRDefault="00980755" w:rsidP="00980755">
      <w:pPr>
        <w:tabs>
          <w:tab w:val="left" w:pos="142"/>
          <w:tab w:val="left" w:pos="284"/>
        </w:tabs>
        <w:spacing w:after="0" w:line="276" w:lineRule="auto"/>
        <w:jc w:val="both"/>
        <w:rPr>
          <w:rFonts w:ascii="Verdana" w:eastAsia="Century Gothic" w:hAnsi="Verdana" w:cs="Century Gothic"/>
          <w:b/>
          <w:bCs/>
        </w:rPr>
      </w:pPr>
    </w:p>
    <w:p w14:paraId="5CE101ED" w14:textId="77777777" w:rsidR="00980755" w:rsidRPr="00980755" w:rsidRDefault="00980755" w:rsidP="00980755">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980755">
        <w:rPr>
          <w:rFonts w:ascii="Verdana" w:eastAsia="Century Gothic" w:hAnsi="Verdana" w:cs="Century Gothic"/>
          <w:b/>
          <w:bCs/>
        </w:rPr>
        <w:t>Razones de la respuesta:</w:t>
      </w:r>
    </w:p>
    <w:p w14:paraId="3F13C294" w14:textId="77777777" w:rsidR="00980755" w:rsidRPr="00980755" w:rsidRDefault="00980755" w:rsidP="009807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eastAsia="Calibri" w:hAnsi="Verdana" w:cs="Helvetica"/>
          <w:color w:val="000000"/>
          <w:sz w:val="21"/>
          <w:szCs w:val="21"/>
        </w:rPr>
      </w:pPr>
    </w:p>
    <w:p w14:paraId="741C8DAA" w14:textId="77777777" w:rsidR="00980755" w:rsidRPr="00980755" w:rsidRDefault="00980755" w:rsidP="00980755">
      <w:pPr>
        <w:spacing w:after="0" w:line="276" w:lineRule="auto"/>
        <w:jc w:val="both"/>
        <w:rPr>
          <w:rFonts w:ascii="Verdana" w:eastAsia="Calibri" w:hAnsi="Verdana" w:cs="Arial"/>
        </w:rPr>
      </w:pPr>
      <w:r w:rsidRPr="00980755">
        <w:rPr>
          <w:rFonts w:ascii="Verdana" w:eastAsia="Calibri" w:hAnsi="Verdana" w:cs="Arial"/>
        </w:rPr>
        <w:t xml:space="preserve">Lo anterior se sustenta en las siguientes consideraciones: </w:t>
      </w:r>
    </w:p>
    <w:p w14:paraId="0673B42A" w14:textId="77777777" w:rsidR="00980755" w:rsidRPr="00980755" w:rsidRDefault="00980755" w:rsidP="00980755">
      <w:pPr>
        <w:spacing w:after="0" w:line="276" w:lineRule="auto"/>
        <w:jc w:val="both"/>
        <w:rPr>
          <w:rFonts w:ascii="Verdana" w:eastAsia="Calibri" w:hAnsi="Verdana" w:cs="Arial"/>
        </w:rPr>
      </w:pPr>
    </w:p>
    <w:p w14:paraId="1FD3570C" w14:textId="77777777" w:rsidR="00980755" w:rsidRPr="00980755" w:rsidRDefault="00980755" w:rsidP="00980755">
      <w:pPr>
        <w:spacing w:after="120"/>
        <w:jc w:val="both"/>
        <w:rPr>
          <w:rFonts w:ascii="Verdana" w:eastAsia="Aptos" w:hAnsi="Verdana" w:cs="ArialMT"/>
        </w:rPr>
      </w:pPr>
      <w:r w:rsidRPr="00980755">
        <w:rPr>
          <w:rFonts w:ascii="Verdana" w:eastAsia="Aptos" w:hAnsi="Verdana" w:cs="Arial"/>
        </w:rPr>
        <w:t xml:space="preserve">i. Los documentos tipo expedidos por la Agencia Nacional de Contratación Pública </w:t>
      </w:r>
      <w:r w:rsidRPr="00980755">
        <w:rPr>
          <w:rFonts w:ascii="Verdana" w:eastAsia="Aptos" w:hAnsi="Verdana" w:cs="ArialMT"/>
        </w:rPr>
        <w:t xml:space="preserve">– Colombia Compra Eficiente </w:t>
      </w:r>
      <w:r w:rsidRPr="00980755">
        <w:rPr>
          <w:rFonts w:ascii="Verdana" w:eastAsia="Aptos" w:hAnsi="Verdana" w:cs="Arial"/>
        </w:rPr>
        <w:t>en ejercicio de la potestad otorgada</w:t>
      </w:r>
      <w:r w:rsidRPr="00980755">
        <w:rPr>
          <w:rFonts w:ascii="Verdana" w:eastAsia="Aptos" w:hAnsi="Verdana" w:cs="ArialMT"/>
        </w:rPr>
        <w:t xml:space="preserve">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Así mismo, los sujetos obligados a su aplicación, no podrán variar los requisitos que en ellos sean fijados, ni establecer reglas o requisitos adicionales a los establecidos en estos para la presentación de las ofertas y la acreditación de los requisitos habilitantes.</w:t>
      </w:r>
    </w:p>
    <w:p w14:paraId="09BF2C26" w14:textId="77777777" w:rsidR="00980755" w:rsidRPr="00980755" w:rsidRDefault="00980755" w:rsidP="00980755">
      <w:pPr>
        <w:spacing w:after="120"/>
        <w:ind w:firstLine="708"/>
        <w:jc w:val="both"/>
        <w:rPr>
          <w:rFonts w:ascii="Verdana" w:eastAsia="Aptos" w:hAnsi="Verdana" w:cs="ArialMT"/>
        </w:rPr>
      </w:pPr>
      <w:r w:rsidRPr="00980755">
        <w:rPr>
          <w:rFonts w:ascii="Verdana" w:eastAsia="Aptos" w:hAnsi="Verdana" w:cs="ArialMT"/>
        </w:rPr>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980755">
        <w:rPr>
          <w:rFonts w:ascii="Calibri" w:eastAsia="Calibri" w:hAnsi="Calibri" w:cs="Times New Roman"/>
          <w:vertAlign w:val="superscript"/>
        </w:rPr>
        <w:footnoteReference w:id="2"/>
      </w:r>
      <w:r w:rsidRPr="00980755">
        <w:rPr>
          <w:rFonts w:ascii="Verdana" w:eastAsia="Aptos" w:hAnsi="Verdana" w:cs="ArialMT"/>
        </w:rPr>
        <w:t xml:space="preserve">. </w:t>
      </w:r>
    </w:p>
    <w:p w14:paraId="060D578B" w14:textId="77777777" w:rsidR="00980755" w:rsidRPr="00980755" w:rsidRDefault="00980755" w:rsidP="00980755">
      <w:pPr>
        <w:spacing w:after="120"/>
        <w:ind w:firstLine="708"/>
        <w:jc w:val="both"/>
        <w:rPr>
          <w:rFonts w:ascii="Verdana" w:eastAsia="Aptos" w:hAnsi="Verdana" w:cs="ArialMT"/>
        </w:rPr>
      </w:pPr>
      <w:r w:rsidRPr="00980755">
        <w:rPr>
          <w:rFonts w:ascii="Verdana" w:eastAsia="Aptos" w:hAnsi="Verdana" w:cs="ArialMT"/>
        </w:rPr>
        <w:t>En el sector de infraestructura de transporte, la Agencia Nacional de Contratación Pública – Colombia Compra Eficiente expidió documentos tipo para contratar obras públicas de infraestructura de transporte bajo las modalidades de selección de licitación pública, selección abreviada de menor cuantía y mínima cuantía. Así mismo, esta Agencia expidió documentos tipo de concurso de méritos para contratar la interventoría y la consultoría de estudios de ingeniería de infraestructura de transporte</w:t>
      </w:r>
      <w:r w:rsidRPr="00980755">
        <w:rPr>
          <w:rFonts w:ascii="Calibri" w:eastAsia="Calibri" w:hAnsi="Calibri" w:cs="Times New Roman"/>
          <w:vertAlign w:val="superscript"/>
        </w:rPr>
        <w:footnoteReference w:id="3"/>
      </w:r>
      <w:r w:rsidRPr="00980755">
        <w:rPr>
          <w:rFonts w:ascii="Verdana" w:eastAsia="Aptos" w:hAnsi="Verdana" w:cs="ArialMT"/>
        </w:rPr>
        <w:t xml:space="preserve">. </w:t>
      </w:r>
    </w:p>
    <w:p w14:paraId="48E429A4" w14:textId="77777777" w:rsidR="00980755" w:rsidRPr="00980755" w:rsidRDefault="00980755" w:rsidP="00980755">
      <w:pPr>
        <w:spacing w:after="120"/>
        <w:ind w:firstLine="708"/>
        <w:jc w:val="both"/>
        <w:rPr>
          <w:rFonts w:ascii="Verdana" w:eastAsia="Aptos" w:hAnsi="Verdana" w:cs="ArialMT"/>
        </w:rPr>
      </w:pPr>
      <w:r w:rsidRPr="00980755">
        <w:rPr>
          <w:rFonts w:ascii="Verdana" w:eastAsia="Aptos" w:hAnsi="Verdana" w:cs="ArialMT"/>
        </w:rPr>
        <w:lastRenderedPageBreak/>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741E509E" w14:textId="77777777" w:rsidR="00980755" w:rsidRPr="00980755" w:rsidRDefault="00980755" w:rsidP="00980755">
      <w:pPr>
        <w:spacing w:after="120"/>
        <w:ind w:firstLine="708"/>
        <w:jc w:val="both"/>
        <w:rPr>
          <w:rFonts w:ascii="Verdana" w:eastAsia="Aptos" w:hAnsi="Verdana" w:cs="ArialMT"/>
        </w:rPr>
      </w:pPr>
      <w:r w:rsidRPr="00980755">
        <w:rPr>
          <w:rFonts w:ascii="Verdana" w:eastAsia="Aptos" w:hAnsi="Verdana" w:cs="ArialMT"/>
        </w:rPr>
        <w:t xml:space="preserve">Así, los documentos tipo del sector de infraestructura de transporte fueron modificados después de surtir el procedimiento interno establecido por esta Agencia. En la actualización de estos documentos tipo, participaron entidades técnicas y especializadas del sector transporte, tales como el Instituto Nacional de Vías – INVIAS, el Instituto de Desarrollo Urbano – IDU, el Instituto de Infraestructura y Concesiones de Cundinamarca – ICCU, entre otras. </w:t>
      </w:r>
    </w:p>
    <w:p w14:paraId="4A07A7A5" w14:textId="77777777" w:rsidR="00980755" w:rsidRPr="00980755" w:rsidRDefault="00980755" w:rsidP="00980755">
      <w:pPr>
        <w:spacing w:before="120" w:after="120" w:line="276" w:lineRule="auto"/>
        <w:ind w:firstLine="709"/>
        <w:jc w:val="both"/>
        <w:rPr>
          <w:rFonts w:ascii="Verdana" w:eastAsia="Calibri" w:hAnsi="Verdana" w:cs="Arial"/>
          <w:kern w:val="2"/>
          <w14:ligatures w14:val="standardContextual"/>
        </w:rPr>
      </w:pPr>
      <w:r w:rsidRPr="00980755">
        <w:rPr>
          <w:rFonts w:ascii="Verdana" w:eastAsia="Aptos" w:hAnsi="Verdana" w:cs="Arial"/>
          <w:lang w:val="es-ES"/>
        </w:rPr>
        <w:lastRenderedPageBreak/>
        <w:t xml:space="preserve">En relación con los documentos tipo de licitación de obra pública de infraestructura de transporte, mediante la Resolución 465 del 10 de septiembre de 2024, se adoptó la </w:t>
      </w:r>
      <w:r w:rsidRPr="00980755">
        <w:rPr>
          <w:rFonts w:ascii="Verdana" w:eastAsia="Calibri" w:hAnsi="Verdana" w:cs="Arial"/>
          <w:kern w:val="2"/>
          <w14:ligatures w14:val="standardContextual"/>
        </w:rPr>
        <w:t xml:space="preserve">versión 4 de estos documentos y se derogó la Resolución 240 de 2020. </w:t>
      </w:r>
    </w:p>
    <w:p w14:paraId="22B75483" w14:textId="77777777" w:rsidR="00980755" w:rsidRPr="00980755" w:rsidRDefault="00980755" w:rsidP="00980755">
      <w:pPr>
        <w:spacing w:before="120" w:after="120" w:line="276" w:lineRule="auto"/>
        <w:ind w:firstLine="709"/>
        <w:jc w:val="both"/>
        <w:rPr>
          <w:rFonts w:ascii="Verdana" w:eastAsia="Aptos" w:hAnsi="Verdana" w:cs="Arial"/>
          <w:lang w:val="es-ES"/>
        </w:rPr>
      </w:pPr>
      <w:r w:rsidRPr="00980755">
        <w:rPr>
          <w:rFonts w:ascii="Verdana" w:eastAsia="Aptos" w:hAnsi="Verdana" w:cs="Arial"/>
          <w:lang w:val="es-ES"/>
        </w:rPr>
        <w:t>La parte introductoria del pliego de condiciones de los documentos tipo analizados dispone que estos se aplican a los procedimientos de selección de licitación de obra pública de infraestructura de transporte (versión 4), que correspondan a las actividades definidas en la “Matriz 1 – Experiencia”. En consecuencia, las actividades de infraestructura de transporte no contempladas en la Matriz 1 – Experiencia no tienen que aplicar los documentos tipo; sin perjuicio de lo previsto en el artículo 2.2.1.1.1.2.1 del Decreto 1082 de 2015 o la norma que la modifique, sustituya o complemente, además, de lo contenido en el artículo 4 de la Resolución 465 de 2024, relacionados con la posibilidad de exigir experiencia adicional en determinados supuestos</w:t>
      </w:r>
      <w:r w:rsidRPr="00980755">
        <w:rPr>
          <w:rFonts w:ascii="Verdana" w:eastAsia="Aptos" w:hAnsi="Verdana" w:cs="Times New Roman"/>
          <w:sz w:val="24"/>
          <w:szCs w:val="24"/>
          <w:vertAlign w:val="superscript"/>
          <w:lang w:val="es-ES"/>
        </w:rPr>
        <w:footnoteReference w:id="4"/>
      </w:r>
      <w:r w:rsidRPr="00980755">
        <w:rPr>
          <w:rFonts w:ascii="Verdana" w:eastAsia="Aptos" w:hAnsi="Verdana" w:cs="Arial"/>
          <w:lang w:val="es-ES"/>
        </w:rPr>
        <w:t>.</w:t>
      </w:r>
    </w:p>
    <w:p w14:paraId="6E31EAD2" w14:textId="77777777" w:rsidR="00980755" w:rsidRPr="00980755" w:rsidRDefault="00980755" w:rsidP="00980755">
      <w:pPr>
        <w:widowControl w:val="0"/>
        <w:autoSpaceDE w:val="0"/>
        <w:autoSpaceDN w:val="0"/>
        <w:spacing w:after="120" w:line="276" w:lineRule="auto"/>
        <w:ind w:firstLine="708"/>
        <w:jc w:val="both"/>
        <w:rPr>
          <w:rFonts w:ascii="Verdana" w:eastAsia="Calibri" w:hAnsi="Verdana" w:cs="Times New Roman"/>
          <w:lang w:val="es-ES" w:eastAsia="es-MX"/>
        </w:rPr>
      </w:pPr>
      <w:r w:rsidRPr="00980755">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C0A7433" w14:textId="77777777" w:rsidR="00980755" w:rsidRPr="00980755" w:rsidRDefault="00980755" w:rsidP="00980755">
      <w:pPr>
        <w:widowControl w:val="0"/>
        <w:autoSpaceDE w:val="0"/>
        <w:autoSpaceDN w:val="0"/>
        <w:spacing w:after="120" w:line="276" w:lineRule="auto"/>
        <w:ind w:firstLine="708"/>
        <w:jc w:val="both"/>
        <w:rPr>
          <w:rFonts w:ascii="Verdana" w:eastAsia="Calibri" w:hAnsi="Verdana" w:cs="Times New Roman"/>
          <w:lang w:val="es-ES" w:eastAsia="es-MX"/>
        </w:rPr>
      </w:pPr>
      <w:r w:rsidRPr="00980755">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8189063" w14:textId="77777777" w:rsidR="00980755" w:rsidRPr="00980755" w:rsidRDefault="00980755" w:rsidP="00980755">
      <w:pPr>
        <w:widowControl w:val="0"/>
        <w:autoSpaceDE w:val="0"/>
        <w:autoSpaceDN w:val="0"/>
        <w:spacing w:after="120" w:line="276" w:lineRule="auto"/>
        <w:ind w:firstLine="708"/>
        <w:jc w:val="both"/>
        <w:rPr>
          <w:rFonts w:ascii="Verdana" w:eastAsia="Calibri" w:hAnsi="Verdana" w:cs="Times New Roman"/>
          <w:lang w:val="es-ES" w:eastAsia="es-MX"/>
        </w:rPr>
      </w:pPr>
      <w:r w:rsidRPr="00980755">
        <w:rPr>
          <w:rFonts w:ascii="Verdana" w:eastAsia="Calibri" w:hAnsi="Verdana" w:cs="Times New Roman"/>
          <w:lang w:val="es-ES" w:eastAsia="es-MX"/>
        </w:rPr>
        <w:t xml:space="preserve">La Matriz – Experiencia, cumple una doble función: Por un lado, sirve para estandarizar las condiciones de experiencia, conforme al parágrafo 7 del artículo </w:t>
      </w:r>
      <w:r w:rsidRPr="00980755">
        <w:rPr>
          <w:rFonts w:ascii="Verdana" w:eastAsia="Calibri" w:hAnsi="Verdana" w:cs="Times New Roman"/>
          <w:lang w:val="es-ES" w:eastAsia="es-MX"/>
        </w:rPr>
        <w:lastRenderedPageBreak/>
        <w:t>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167E0DC" w14:textId="77777777" w:rsidR="00980755" w:rsidRPr="00980755" w:rsidRDefault="00980755" w:rsidP="00980755">
      <w:pPr>
        <w:widowControl w:val="0"/>
        <w:autoSpaceDE w:val="0"/>
        <w:autoSpaceDN w:val="0"/>
        <w:spacing w:after="0" w:line="276" w:lineRule="auto"/>
        <w:ind w:firstLine="708"/>
        <w:jc w:val="both"/>
        <w:rPr>
          <w:rFonts w:ascii="Verdana" w:eastAsia="Calibri" w:hAnsi="Verdana" w:cs="Times New Roman"/>
          <w:lang w:val="es-ES" w:eastAsia="es-MX"/>
        </w:rPr>
      </w:pPr>
      <w:r w:rsidRPr="00980755">
        <w:rPr>
          <w:rFonts w:ascii="Verdana" w:eastAsia="Calibri" w:hAnsi="Verdana" w:cs="Times New Roman"/>
          <w:lang w:val="es-ES" w:eastAsia="es-MX"/>
        </w:rPr>
        <w:t>De esta manera, para saber a qué actividades deben aplicarse los documentos tipo de licitación de obra pública de infraestructura de transporte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792A28EB" w14:textId="77777777" w:rsidR="00980755" w:rsidRPr="00980755" w:rsidRDefault="00980755" w:rsidP="00980755">
      <w:pPr>
        <w:widowControl w:val="0"/>
        <w:autoSpaceDE w:val="0"/>
        <w:autoSpaceDN w:val="0"/>
        <w:spacing w:after="0" w:line="276" w:lineRule="auto"/>
        <w:jc w:val="both"/>
        <w:rPr>
          <w:rFonts w:ascii="Verdana" w:eastAsia="Calibri" w:hAnsi="Verdana" w:cs="Times New Roman"/>
          <w:lang w:val="es-ES" w:eastAsia="es-MX"/>
        </w:rPr>
      </w:pPr>
    </w:p>
    <w:p w14:paraId="6170A6C5" w14:textId="77777777" w:rsidR="00980755" w:rsidRPr="00980755" w:rsidRDefault="00980755" w:rsidP="00980755">
      <w:pPr>
        <w:spacing w:after="0" w:line="276" w:lineRule="auto"/>
        <w:jc w:val="both"/>
        <w:rPr>
          <w:rFonts w:ascii="Verdana" w:eastAsia="Calibri" w:hAnsi="Verdana" w:cs="Arial"/>
          <w:color w:val="000000"/>
          <w:kern w:val="2"/>
          <w:lang w:val="es-ES_tradnl"/>
          <w14:ligatures w14:val="standardContextual"/>
        </w:rPr>
      </w:pPr>
      <w:proofErr w:type="spellStart"/>
      <w:r w:rsidRPr="00980755">
        <w:rPr>
          <w:rFonts w:ascii="Verdana" w:eastAsia="Calibri" w:hAnsi="Verdana" w:cs="Times New Roman"/>
          <w:lang w:val="es-ES" w:eastAsia="es-MX"/>
        </w:rPr>
        <w:t>iii</w:t>
      </w:r>
      <w:proofErr w:type="spellEnd"/>
      <w:r w:rsidRPr="00980755">
        <w:rPr>
          <w:rFonts w:ascii="Verdana" w:eastAsia="Calibri" w:hAnsi="Verdana" w:cs="Times New Roman"/>
          <w:lang w:val="es-ES" w:eastAsia="es-MX"/>
        </w:rPr>
        <w:t xml:space="preserve">. </w:t>
      </w:r>
      <w:r w:rsidRPr="00980755">
        <w:rPr>
          <w:rFonts w:ascii="Verdana" w:eastAsia="Calibri" w:hAnsi="Verdana" w:cs="Arial"/>
          <w:color w:val="000000"/>
          <w:kern w:val="2"/>
          <w:lang w:val="es-ES_tradnl"/>
          <w14:ligatures w14:val="standardContextual"/>
        </w:rPr>
        <w:t>Todas las resoluciones</w:t>
      </w:r>
      <w:r w:rsidRPr="00980755">
        <w:rPr>
          <w:rFonts w:ascii="Verdana" w:eastAsia="Calibri" w:hAnsi="Verdana" w:cs="Arial"/>
          <w:color w:val="000000"/>
          <w:kern w:val="2"/>
          <w:vertAlign w:val="superscript"/>
          <w:lang w:val="es-ES_tradnl"/>
          <w14:ligatures w14:val="standardContextual"/>
        </w:rPr>
        <w:footnoteReference w:id="5"/>
      </w:r>
      <w:r w:rsidRPr="00980755">
        <w:rPr>
          <w:rFonts w:ascii="Verdana" w:eastAsia="Calibri" w:hAnsi="Verdana" w:cs="Arial"/>
          <w:color w:val="000000"/>
          <w:kern w:val="2"/>
          <w:lang w:val="es-ES_tradnl"/>
          <w14:ligatures w14:val="standardContextua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980755">
        <w:rPr>
          <w:rFonts w:ascii="Verdana" w:eastAsia="Calibri" w:hAnsi="Verdana" w:cs="Arial"/>
          <w:i/>
          <w:iCs/>
          <w:color w:val="000000"/>
          <w:kern w:val="2"/>
          <w:lang w:val="es-ES_tradnl"/>
          <w14:ligatures w14:val="standardContextual"/>
        </w:rPr>
        <w:t>Documentos del Proceso</w:t>
      </w:r>
      <w:r w:rsidRPr="00980755">
        <w:rPr>
          <w:rFonts w:ascii="Verdana" w:eastAsia="Calibri" w:hAnsi="Verdana" w:cs="Arial"/>
          <w:color w:val="000000"/>
          <w:kern w:val="2"/>
          <w:lang w:val="es-ES_tradnl"/>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39BAC6E2" w14:textId="77777777" w:rsidR="00980755" w:rsidRPr="00980755" w:rsidRDefault="00980755" w:rsidP="00980755">
      <w:pPr>
        <w:spacing w:before="120" w:after="120" w:line="276" w:lineRule="auto"/>
        <w:ind w:firstLine="709"/>
        <w:jc w:val="both"/>
        <w:rPr>
          <w:rFonts w:ascii="Verdana" w:eastAsia="Calibri" w:hAnsi="Verdana" w:cs="Arial"/>
          <w:kern w:val="2"/>
          <w:lang w:val="es-ES_tradnl"/>
          <w14:ligatures w14:val="standardContextual"/>
        </w:rPr>
      </w:pPr>
      <w:r w:rsidRPr="00980755">
        <w:rPr>
          <w:rFonts w:ascii="Verdana" w:eastAsia="Calibri" w:hAnsi="Verdana" w:cs="Arial"/>
          <w:kern w:val="2"/>
          <w:lang w:val="es-ES_tradnl"/>
          <w14:ligatures w14:val="standardContextual"/>
        </w:rPr>
        <w:t xml:space="preserve">El fundamento legal vigente de la regla de la inalterabilidad está en el artículo 1 de la Ley 2022 de 2020, según el cual “(…) serán de obligatorio </w:t>
      </w:r>
      <w:r w:rsidRPr="00980755">
        <w:rPr>
          <w:rFonts w:ascii="Verdana" w:eastAsia="Calibri" w:hAnsi="Verdana" w:cs="Arial"/>
          <w:kern w:val="2"/>
          <w:lang w:val="es-ES_tradnl"/>
          <w14:ligatures w14:val="standardContextual"/>
        </w:rPr>
        <w:lastRenderedPageBreak/>
        <w:t xml:space="preserve">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4D6C947B" w14:textId="77777777" w:rsidR="00980755" w:rsidRPr="00980755" w:rsidRDefault="00980755" w:rsidP="00980755">
      <w:pPr>
        <w:spacing w:before="120" w:after="120" w:line="276" w:lineRule="auto"/>
        <w:ind w:firstLine="709"/>
        <w:jc w:val="both"/>
        <w:rPr>
          <w:rFonts w:ascii="Verdana" w:eastAsia="Calibri" w:hAnsi="Verdana" w:cs="Arial"/>
          <w:kern w:val="2"/>
          <w:lang w:val="es-ES_tradnl"/>
          <w14:ligatures w14:val="standardContextual"/>
        </w:rPr>
      </w:pPr>
      <w:r w:rsidRPr="00980755">
        <w:rPr>
          <w:rFonts w:ascii="Verdana" w:eastAsia="Calibri" w:hAnsi="Verdana" w:cs="Arial"/>
          <w:kern w:val="2"/>
          <w:lang w:val="es-ES_tradnl"/>
          <w14:ligatures w14:val="standardContextual"/>
        </w:rPr>
        <w:t>La inalterabilidad de los documentos tipo es una manifestación en mayor grado de las potestades regladas, lo cual implica una reducción de la discrecionalidad de la Administración en el momento de tomar una decisión en el proceso de contratación</w:t>
      </w:r>
      <w:r w:rsidRPr="00980755">
        <w:rPr>
          <w:rFonts w:ascii="Verdana" w:eastAsia="Calibri" w:hAnsi="Verdana" w:cs="Arial"/>
          <w:kern w:val="2"/>
          <w:vertAlign w:val="superscript"/>
          <w:lang w:val="es-ES_tradnl"/>
          <w14:ligatures w14:val="standardContextual"/>
        </w:rPr>
        <w:footnoteReference w:id="6"/>
      </w:r>
      <w:r w:rsidRPr="00980755">
        <w:rPr>
          <w:rFonts w:ascii="Verdana" w:eastAsia="Calibri" w:hAnsi="Verdana" w:cs="Arial"/>
          <w:kern w:val="2"/>
          <w:lang w:val="es-ES_tradnl"/>
          <w14:ligatures w14:val="standardContextua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59891E5B" w14:textId="77777777" w:rsidR="00980755" w:rsidRPr="00980755" w:rsidRDefault="00980755" w:rsidP="00980755">
      <w:pPr>
        <w:spacing w:before="120" w:after="120" w:line="276" w:lineRule="auto"/>
        <w:ind w:firstLine="709"/>
        <w:jc w:val="both"/>
        <w:rPr>
          <w:rFonts w:ascii="Verdana" w:eastAsia="Calibri" w:hAnsi="Verdana" w:cs="Arial"/>
          <w:kern w:val="2"/>
          <w:lang w:val="es-ES"/>
          <w14:ligatures w14:val="standardContextual"/>
        </w:rPr>
      </w:pPr>
      <w:r w:rsidRPr="062CC7C5">
        <w:rPr>
          <w:rFonts w:ascii="Verdana" w:eastAsia="Calibri" w:hAnsi="Verdana" w:cs="Arial"/>
          <w:kern w:val="2"/>
          <w:lang w:val="es-ES"/>
          <w14:ligatures w14:val="standardContextual"/>
        </w:rPr>
        <w:t xml:space="preserve">Además, las entidades estatales deben garantizar el </w:t>
      </w:r>
      <w:r w:rsidRPr="062CC7C5">
        <w:rPr>
          <w:rFonts w:ascii="Verdana" w:eastAsia="Calibri" w:hAnsi="Verdana" w:cs="Arial"/>
          <w:i/>
          <w:iCs/>
          <w:kern w:val="2"/>
          <w:lang w:val="es-ES"/>
          <w14:ligatures w14:val="standardContextual"/>
        </w:rPr>
        <w:t>principio de economía</w:t>
      </w:r>
      <w:r w:rsidRPr="062CC7C5">
        <w:rPr>
          <w:rFonts w:ascii="Verdana" w:eastAsia="Calibri" w:hAnsi="Verdana" w:cs="Arial"/>
          <w:kern w:val="2"/>
          <w:lang w:val="es-ES"/>
          <w14:ligatures w14:val="standardContextual"/>
        </w:rPr>
        <w:t>, del cual se desprende que no pueden exigir documentos o requisitos más allá de los que permitan la Constitución, la ley y los reglamentos. Este postulado ha sido recogido no solo en la contratación estatal</w:t>
      </w:r>
      <w:r w:rsidRPr="062CC7C5">
        <w:rPr>
          <w:rFonts w:ascii="Verdana" w:eastAsia="Calibri" w:hAnsi="Verdana" w:cs="Arial"/>
          <w:kern w:val="2"/>
          <w:vertAlign w:val="superscript"/>
          <w:lang w:val="es-ES"/>
          <w14:ligatures w14:val="standardContextual"/>
        </w:rPr>
        <w:footnoteReference w:id="7"/>
      </w:r>
      <w:r w:rsidRPr="062CC7C5">
        <w:rPr>
          <w:rFonts w:ascii="Verdana" w:eastAsia="Calibri" w:hAnsi="Verdana" w:cs="Arial"/>
          <w:kern w:val="2"/>
          <w:lang w:val="es-ES"/>
          <w14:ligatures w14:val="standardContextual"/>
        </w:rPr>
        <w:t xml:space="preserve"> sino además en la </w:t>
      </w:r>
      <w:r w:rsidRPr="062CC7C5">
        <w:rPr>
          <w:rFonts w:ascii="Verdana" w:eastAsia="Calibri" w:hAnsi="Verdana" w:cs="Arial"/>
          <w:kern w:val="2"/>
          <w:lang w:val="es-ES"/>
          <w14:ligatures w14:val="standardContextual"/>
        </w:rPr>
        <w:lastRenderedPageBreak/>
        <w:t xml:space="preserve">normativa </w:t>
      </w:r>
      <w:proofErr w:type="spellStart"/>
      <w:r w:rsidRPr="062CC7C5">
        <w:rPr>
          <w:rFonts w:ascii="Verdana" w:eastAsia="Calibri" w:hAnsi="Verdana" w:cs="Arial"/>
          <w:kern w:val="2"/>
          <w:lang w:val="es-ES"/>
          <w14:ligatures w14:val="standardContextual"/>
        </w:rPr>
        <w:t>antitrámites</w:t>
      </w:r>
      <w:proofErr w:type="spellEnd"/>
      <w:r w:rsidRPr="062CC7C5">
        <w:rPr>
          <w:rFonts w:ascii="Verdana" w:eastAsia="Calibri" w:hAnsi="Verdana" w:cs="Arial"/>
          <w:kern w:val="2"/>
          <w:vertAlign w:val="superscript"/>
          <w:lang w:val="es-ES"/>
          <w14:ligatures w14:val="standardContextual"/>
        </w:rPr>
        <w:footnoteReference w:id="8"/>
      </w:r>
      <w:r w:rsidRPr="062CC7C5">
        <w:rPr>
          <w:rFonts w:ascii="Verdana" w:eastAsia="Calibri" w:hAnsi="Verdana" w:cs="Arial"/>
          <w:kern w:val="2"/>
          <w:lang w:val="es-ES"/>
          <w14:ligatures w14:val="standardContextual"/>
        </w:rPr>
        <w:t>; pues se inscribe dentro de la tendencia de simplificación y racionalización de los procedimientos administrativos. De ahí que cuando las autoridades solicitan la entrega de documentación innecesaria, desconocen el principio de economía.</w:t>
      </w:r>
    </w:p>
    <w:p w14:paraId="7C5E6392" w14:textId="77777777" w:rsidR="00980755" w:rsidRPr="00980755" w:rsidRDefault="00980755" w:rsidP="00980755">
      <w:pPr>
        <w:spacing w:after="120" w:line="276" w:lineRule="auto"/>
        <w:ind w:firstLine="708"/>
        <w:jc w:val="both"/>
        <w:rPr>
          <w:rFonts w:ascii="Verdana" w:eastAsia="Calibri" w:hAnsi="Verdana" w:cs="Arial"/>
          <w:color w:val="000000"/>
          <w:kern w:val="2"/>
          <w:lang w:val="es-ES"/>
          <w14:ligatures w14:val="standardContextual"/>
        </w:rPr>
      </w:pPr>
      <w:r w:rsidRPr="00980755">
        <w:rPr>
          <w:rFonts w:ascii="Verdana" w:eastAsia="Calibri" w:hAnsi="Verdana" w:cs="Arial"/>
          <w:color w:val="000000"/>
          <w:kern w:val="2"/>
          <w:lang w:val="es-ES"/>
          <w14:ligatures w14:val="standardContextual"/>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980755">
        <w:rPr>
          <w:rFonts w:ascii="Verdana" w:eastAsia="Calibri" w:hAnsi="Verdana" w:cs="Arial"/>
          <w:color w:val="000000"/>
          <w:kern w:val="2"/>
          <w:vertAlign w:val="superscript"/>
          <w:lang w:val="es-ES"/>
          <w14:ligatures w14:val="standardContextual"/>
        </w:rPr>
        <w:footnoteReference w:id="9"/>
      </w:r>
      <w:r w:rsidRPr="00980755">
        <w:rPr>
          <w:rFonts w:ascii="Verdana" w:eastAsia="Calibri" w:hAnsi="Verdana" w:cs="Arial"/>
          <w:color w:val="000000"/>
          <w:kern w:val="2"/>
          <w:lang w:val="es-ES"/>
          <w14:ligatures w14:val="standardContextual"/>
        </w:rPr>
        <w:t xml:space="preserve">. Si las autoridades pudiesen agregar, eliminar o modificar todos y cada uno de los aspectos contenidos en los pliegos tipo, estos documentos, llanamente, no podrían ser llamados pliegos tipo. </w:t>
      </w:r>
    </w:p>
    <w:p w14:paraId="4C1EC210" w14:textId="77777777" w:rsidR="00980755" w:rsidRPr="00980755" w:rsidRDefault="00980755" w:rsidP="00980755">
      <w:pPr>
        <w:spacing w:after="120" w:line="276" w:lineRule="auto"/>
        <w:jc w:val="both"/>
        <w:rPr>
          <w:rFonts w:ascii="Verdana" w:eastAsia="Calibri" w:hAnsi="Verdana" w:cs="Arial"/>
          <w:color w:val="000000"/>
          <w:kern w:val="2"/>
          <w:lang w:val="es-ES"/>
          <w14:ligatures w14:val="standardContextual"/>
        </w:rPr>
      </w:pPr>
      <w:r w:rsidRPr="00980755">
        <w:rPr>
          <w:rFonts w:ascii="Verdana" w:eastAsia="Calibri" w:hAnsi="Verdana" w:cs="Arial"/>
          <w:color w:val="000000"/>
          <w:kern w:val="2"/>
          <w:lang w:val="es-ES"/>
          <w14:ligatures w14:val="standardContextual"/>
        </w:rPr>
        <w:tab/>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980755">
        <w:rPr>
          <w:rFonts w:ascii="Verdana" w:eastAsia="Calibri" w:hAnsi="Verdana" w:cs="Arial"/>
          <w:color w:val="000000"/>
          <w:kern w:val="2"/>
          <w:lang w:val="es-ES"/>
          <w14:ligatures w14:val="standardContextual"/>
        </w:rPr>
        <w:lastRenderedPageBreak/>
        <w:t xml:space="preserve">interpretativos incorrectos que se buscó erradicar con la introducción de la herramienta analizada. </w:t>
      </w:r>
    </w:p>
    <w:p w14:paraId="5307BA8D" w14:textId="77777777" w:rsidR="00980755" w:rsidRPr="00980755" w:rsidRDefault="00980755" w:rsidP="00980755">
      <w:pPr>
        <w:spacing w:line="276" w:lineRule="auto"/>
        <w:jc w:val="both"/>
        <w:rPr>
          <w:rFonts w:ascii="Verdana" w:eastAsia="Calibri" w:hAnsi="Verdana" w:cs="Arial"/>
          <w:color w:val="000000"/>
          <w:kern w:val="2"/>
          <w:lang w:val="es-ES"/>
          <w14:ligatures w14:val="standardContextual"/>
        </w:rPr>
      </w:pPr>
      <w:r w:rsidRPr="00980755">
        <w:rPr>
          <w:rFonts w:ascii="Verdana" w:eastAsia="Calibri" w:hAnsi="Verdana" w:cs="Arial"/>
          <w:color w:val="000000"/>
          <w:kern w:val="2"/>
          <w:lang w:val="es-ES"/>
          <w14:ligatures w14:val="standardContextual"/>
        </w:rPr>
        <w:tab/>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6A8C8BC9" w14:textId="77777777" w:rsidR="00980755" w:rsidRPr="00980755" w:rsidRDefault="00980755" w:rsidP="00980755">
      <w:pPr>
        <w:spacing w:line="276" w:lineRule="auto"/>
        <w:ind w:firstLine="708"/>
        <w:jc w:val="both"/>
        <w:rPr>
          <w:rFonts w:ascii="Verdana" w:eastAsia="Calibri" w:hAnsi="Verdana" w:cs="Arial"/>
          <w:color w:val="000000"/>
          <w:kern w:val="2"/>
          <w:lang w:val="es-ES"/>
          <w14:ligatures w14:val="standardContextual"/>
        </w:rPr>
      </w:pPr>
      <w:r w:rsidRPr="00980755">
        <w:rPr>
          <w:rFonts w:ascii="Verdana" w:eastAsia="Calibri" w:hAnsi="Verdana" w:cs="Arial"/>
          <w:kern w:val="2"/>
          <w:lang w:val="es-MX"/>
          <w14:ligatures w14:val="standardContextual"/>
        </w:rPr>
        <w:t xml:space="preserve">No obstante, la parte introductoria de los documentos base de los documentos tipo disponen que los aspectos incluidos en corchetes y resaltados en gris </w:t>
      </w:r>
      <w:r w:rsidRPr="00980755">
        <w:rPr>
          <w:rFonts w:ascii="Verdana" w:eastAsia="Aptos" w:hAnsi="Verdana" w:cs="Arial"/>
          <w:kern w:val="2"/>
          <w14:ligatures w14:val="standardContextual"/>
        </w:rPr>
        <w:t>–[</w:t>
      </w:r>
      <w:r w:rsidRPr="00980755">
        <w:rPr>
          <w:rFonts w:ascii="Verdana" w:eastAsia="Aptos" w:hAnsi="Verdana" w:cs="Arial"/>
          <w:kern w:val="2"/>
          <w:highlight w:val="lightGray"/>
          <w14:ligatures w14:val="standardContextual"/>
        </w:rPr>
        <w:t>texto de ejemplo</w:t>
      </w:r>
      <w:r w:rsidRPr="00980755">
        <w:rPr>
          <w:rFonts w:ascii="Verdana" w:eastAsia="Aptos" w:hAnsi="Verdana" w:cs="Arial"/>
          <w:kern w:val="2"/>
          <w14:ligatures w14:val="standardContextual"/>
        </w:rPr>
        <w:t xml:space="preserve">]– </w:t>
      </w:r>
      <w:r w:rsidRPr="00980755">
        <w:rPr>
          <w:rFonts w:ascii="Verdana" w:eastAsia="Calibri" w:hAnsi="Verdana" w:cs="Arial"/>
          <w:kern w:val="2"/>
          <w:lang w:val="es-MX"/>
          <w14:ligatures w14:val="standardContextual"/>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2CDB92AF" w14:textId="77777777" w:rsidR="00980755" w:rsidRPr="00980755" w:rsidRDefault="00980755" w:rsidP="00980755">
      <w:pPr>
        <w:spacing w:before="120" w:after="120" w:line="276" w:lineRule="auto"/>
        <w:ind w:firstLine="709"/>
        <w:jc w:val="both"/>
        <w:rPr>
          <w:rFonts w:ascii="Verdana" w:eastAsia="Calibri" w:hAnsi="Verdana" w:cs="Arial"/>
          <w:bCs/>
          <w:kern w:val="2"/>
          <w:lang w:val="es-MX"/>
          <w14:ligatures w14:val="standardContextual"/>
        </w:rPr>
      </w:pPr>
      <w:r w:rsidRPr="00980755">
        <w:rPr>
          <w:rFonts w:ascii="Verdana" w:eastAsia="Calibri" w:hAnsi="Verdana" w:cs="Arial"/>
          <w:bCs/>
          <w:kern w:val="2"/>
          <w:lang w:val="es-MX"/>
          <w14:ligatures w14:val="standardContextua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7E97164B" w14:textId="77777777" w:rsidR="00980755" w:rsidRPr="00980755" w:rsidRDefault="00980755" w:rsidP="00980755">
      <w:pPr>
        <w:spacing w:before="120" w:after="120" w:line="276" w:lineRule="auto"/>
        <w:ind w:firstLine="709"/>
        <w:jc w:val="both"/>
        <w:rPr>
          <w:rFonts w:ascii="Verdana" w:eastAsia="Calibri" w:hAnsi="Verdana" w:cs="Arial"/>
          <w:bCs/>
          <w:kern w:val="2"/>
          <w:lang w:val="es-MX"/>
          <w14:ligatures w14:val="standardContextual"/>
        </w:rPr>
      </w:pPr>
      <w:r w:rsidRPr="00980755">
        <w:rPr>
          <w:rFonts w:ascii="Verdana" w:eastAsia="Calibri" w:hAnsi="Verdana" w:cs="Arial"/>
          <w:bCs/>
          <w:kern w:val="2"/>
          <w:lang w:val="es-MX"/>
          <w14:ligatures w14:val="standardContextual"/>
        </w:rPr>
        <w:t xml:space="preserve">Esta regla de inalterabilidad </w:t>
      </w:r>
      <w:r w:rsidRPr="00980755">
        <w:rPr>
          <w:rFonts w:ascii="Verdana" w:eastAsia="Calibri" w:hAnsi="Verdana" w:cs="Arial"/>
          <w:bCs/>
          <w:i/>
          <w:iCs/>
          <w:kern w:val="2"/>
          <w:lang w:val="es-MX"/>
          <w14:ligatures w14:val="standardContextual"/>
        </w:rPr>
        <w:t>también aplica a los formatos, anexos y matrices</w:t>
      </w:r>
      <w:r w:rsidRPr="00980755">
        <w:rPr>
          <w:rFonts w:ascii="Verdana" w:eastAsia="Calibri" w:hAnsi="Verdana" w:cs="Arial"/>
          <w:bCs/>
          <w:kern w:val="2"/>
          <w:lang w:val="es-MX"/>
          <w14:ligatures w14:val="standardContextua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053F2978" w14:textId="77777777" w:rsidR="00980755" w:rsidRPr="00980755" w:rsidRDefault="00980755" w:rsidP="00980755">
      <w:pPr>
        <w:spacing w:before="120" w:after="120" w:line="276" w:lineRule="auto"/>
        <w:ind w:firstLine="709"/>
        <w:jc w:val="both"/>
        <w:rPr>
          <w:rFonts w:ascii="Verdana" w:eastAsia="Calibri" w:hAnsi="Verdana" w:cs="Arial"/>
          <w:kern w:val="2"/>
          <w:lang w:val="es-MX"/>
          <w14:ligatures w14:val="standardContextual"/>
        </w:rPr>
      </w:pPr>
      <w:r w:rsidRPr="00980755">
        <w:rPr>
          <w:rFonts w:ascii="Verdana" w:eastAsia="Calibri" w:hAnsi="Verdana" w:cs="Arial"/>
          <w:kern w:val="2"/>
          <w:lang w:val="es-MX"/>
          <w14:ligatures w14:val="standardContextual"/>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w:t>
      </w:r>
      <w:r w:rsidRPr="00980755">
        <w:rPr>
          <w:rFonts w:ascii="Verdana" w:eastAsia="Calibri" w:hAnsi="Verdana" w:cs="Arial"/>
          <w:kern w:val="2"/>
          <w:lang w:val="es-MX"/>
          <w14:ligatures w14:val="standardContextual"/>
        </w:rPr>
        <w:lastRenderedPageBreak/>
        <w:t xml:space="preserve">documentos tipo, sin distingo de la formalidad de la que se sirva para ello los actores de la contratación pública. </w:t>
      </w:r>
    </w:p>
    <w:p w14:paraId="63269B8F" w14:textId="77777777" w:rsidR="00980755" w:rsidRPr="00980755" w:rsidRDefault="00980755" w:rsidP="00980755">
      <w:pPr>
        <w:spacing w:before="120" w:line="276" w:lineRule="auto"/>
        <w:ind w:firstLine="709"/>
        <w:jc w:val="both"/>
        <w:rPr>
          <w:rFonts w:ascii="Verdana" w:eastAsia="Aptos" w:hAnsi="Verdana" w:cs="Arial"/>
          <w:kern w:val="2"/>
          <w14:ligatures w14:val="standardContextual"/>
        </w:rPr>
      </w:pPr>
      <w:r w:rsidRPr="00980755">
        <w:rPr>
          <w:rFonts w:ascii="Verdana" w:eastAsia="Aptos" w:hAnsi="Verdana" w:cs="Arial"/>
          <w:kern w:val="2"/>
          <w14:ligatures w14:val="standardContextual"/>
        </w:rPr>
        <w:t xml:space="preserve">En relación con el principio constitucional </w:t>
      </w:r>
      <w:r w:rsidRPr="00980755">
        <w:rPr>
          <w:rFonts w:ascii="Verdana" w:eastAsia="Aptos" w:hAnsi="Verdana" w:cs="Arial"/>
          <w:i/>
          <w:iCs/>
          <w:kern w:val="2"/>
          <w14:ligatures w14:val="standardContextual"/>
        </w:rPr>
        <w:t>sub examine</w:t>
      </w:r>
      <w:r w:rsidRPr="00980755">
        <w:rPr>
          <w:rFonts w:ascii="Verdana" w:eastAsia="Aptos" w:hAnsi="Verdana" w:cs="Arial"/>
          <w:kern w:val="2"/>
          <w14:ligatures w14:val="standardContextu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980755">
        <w:rPr>
          <w:rFonts w:ascii="Verdana" w:eastAsia="Aptos" w:hAnsi="Verdana" w:cs="Arial"/>
          <w:kern w:val="2"/>
          <w:vertAlign w:val="superscript"/>
          <w14:ligatures w14:val="standardContextual"/>
        </w:rPr>
        <w:footnoteReference w:id="10"/>
      </w:r>
      <w:r w:rsidRPr="00980755">
        <w:rPr>
          <w:rFonts w:ascii="Verdana" w:eastAsia="Aptos" w:hAnsi="Verdana" w:cs="Arial"/>
          <w:kern w:val="2"/>
          <w14:ligatures w14:val="standardContextual"/>
        </w:rPr>
        <w:t xml:space="preserve">. </w:t>
      </w:r>
    </w:p>
    <w:p w14:paraId="5B2ABB47" w14:textId="77777777" w:rsidR="00980755" w:rsidRPr="00980755" w:rsidRDefault="00980755" w:rsidP="00980755">
      <w:pPr>
        <w:spacing w:after="0" w:line="276" w:lineRule="auto"/>
        <w:ind w:firstLine="709"/>
        <w:jc w:val="both"/>
        <w:rPr>
          <w:rFonts w:ascii="Verdana" w:eastAsia="Calibri" w:hAnsi="Verdana" w:cs="Arial"/>
          <w:kern w:val="2"/>
          <w:lang w:val="es-MX"/>
          <w14:ligatures w14:val="standardContextual"/>
        </w:rPr>
      </w:pPr>
      <w:r w:rsidRPr="00980755">
        <w:rPr>
          <w:rFonts w:ascii="Verdana" w:eastAsia="Calibri" w:hAnsi="Verdana" w:cs="Arial"/>
          <w:kern w:val="2"/>
          <w:lang w:val="es-MX"/>
          <w14:ligatures w14:val="standardContextual"/>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115F7613" w14:textId="77777777" w:rsidR="00980755" w:rsidRPr="00980755" w:rsidRDefault="00980755" w:rsidP="00980755">
      <w:pPr>
        <w:widowControl w:val="0"/>
        <w:autoSpaceDE w:val="0"/>
        <w:autoSpaceDN w:val="0"/>
        <w:spacing w:after="0" w:line="276" w:lineRule="auto"/>
        <w:jc w:val="both"/>
        <w:rPr>
          <w:rFonts w:ascii="Verdana" w:eastAsia="Calibri" w:hAnsi="Verdana" w:cs="Times New Roman"/>
          <w:lang w:val="es-ES" w:eastAsia="es-MX"/>
        </w:rPr>
      </w:pPr>
    </w:p>
    <w:p w14:paraId="1641843B" w14:textId="77777777" w:rsidR="00980755" w:rsidRPr="00980755" w:rsidRDefault="00980755" w:rsidP="00980755">
      <w:pPr>
        <w:spacing w:after="120" w:line="276" w:lineRule="auto"/>
        <w:jc w:val="both"/>
        <w:rPr>
          <w:rFonts w:ascii="Verdana" w:eastAsia="Times New Roman" w:hAnsi="Verdana" w:cs="Times New Roman"/>
          <w:lang w:eastAsia="es-MX"/>
        </w:rPr>
      </w:pPr>
      <w:proofErr w:type="spellStart"/>
      <w:r w:rsidRPr="00980755">
        <w:rPr>
          <w:rFonts w:ascii="Verdana" w:eastAsia="Aptos" w:hAnsi="Verdana" w:cs="Times New Roman"/>
          <w:lang w:eastAsia="es-MX"/>
        </w:rPr>
        <w:t>iii</w:t>
      </w:r>
      <w:proofErr w:type="spellEnd"/>
      <w:r w:rsidRPr="00980755">
        <w:rPr>
          <w:rFonts w:ascii="Verdana" w:eastAsia="Aptos" w:hAnsi="Verdana" w:cs="Times New Roman"/>
          <w:lang w:eastAsia="es-MX"/>
        </w:rPr>
        <w:t xml:space="preserve">. </w:t>
      </w:r>
      <w:r w:rsidRPr="00980755">
        <w:rPr>
          <w:rFonts w:ascii="Verdana" w:eastAsia="Times New Roman" w:hAnsi="Verdana" w:cs="Times New Roman"/>
          <w:lang w:eastAsia="es-MX"/>
        </w:rPr>
        <w:t xml:space="preserve">En los documentos tipo de obra pública de infraestructura de transporte, la Entidad deberá identificar los requisitos de capacidad financiera y organizacional aplicables al proceso de selección. Para ello, deberá consultar los requisitos definidos según las particularidades de cada proceso en el documento base –o en la invitación, en el caso de los documentos tipo de mínima cuantía– y en la “Matriz 2 – Indicadores financieros y organizacionales </w:t>
      </w:r>
      <w:r w:rsidRPr="00980755">
        <w:rPr>
          <w:rFonts w:ascii="Verdana" w:eastAsia="Arial" w:hAnsi="Verdana" w:cs="Arial"/>
          <w:lang w:eastAsia="es-MX"/>
        </w:rPr>
        <w:t>de obras para infraestructura de transporte</w:t>
      </w:r>
      <w:r w:rsidRPr="00980755">
        <w:rPr>
          <w:rFonts w:ascii="Verdana" w:eastAsia="Times New Roman" w:hAnsi="Verdana" w:cs="Times New Roman"/>
          <w:lang w:eastAsia="es-MX"/>
        </w:rPr>
        <w:t>” –en adelante Matriz 2–, pues las versiones vigentes de los documentos tipo ya definen dichos requisitos.</w:t>
      </w:r>
    </w:p>
    <w:p w14:paraId="6A7A904A" w14:textId="77777777" w:rsidR="00980755" w:rsidRPr="00980755" w:rsidRDefault="00980755" w:rsidP="00980755">
      <w:pPr>
        <w:spacing w:after="120" w:line="276" w:lineRule="auto"/>
        <w:ind w:firstLine="708"/>
        <w:jc w:val="both"/>
        <w:rPr>
          <w:rFonts w:ascii="Verdana" w:eastAsia="Times New Roman" w:hAnsi="Verdana" w:cs="Times New Roman"/>
          <w:lang w:eastAsia="es-MX"/>
        </w:rPr>
      </w:pPr>
      <w:r w:rsidRPr="00980755">
        <w:rPr>
          <w:rFonts w:ascii="Verdana" w:eastAsia="Times New Roman" w:hAnsi="Verdana" w:cs="Times New Roman"/>
          <w:lang w:eastAsia="es-MX"/>
        </w:rPr>
        <w:t xml:space="preserve">En particular, la definición de los requisitos de capacidad financiera y organizacional hace parte del alcance de los documentos tipo de licitación de obra pública de infraestructura de transporte – versión 4. Así, la forma de evaluar estas capacidades en un proponente está prevista en los numerales “3.6 </w:t>
      </w:r>
      <w:r w:rsidRPr="00980755">
        <w:rPr>
          <w:rFonts w:ascii="Verdana" w:eastAsia="Times New Roman" w:hAnsi="Verdana" w:cs="Times New Roman"/>
          <w:lang w:eastAsia="es-MX"/>
        </w:rPr>
        <w:lastRenderedPageBreak/>
        <w:t>Capacidad financiera”, “3.7 Capital de trabajo”, “3.8 Patrimonio” y “3.9 Capacidad organizacional” del documento base.</w:t>
      </w:r>
    </w:p>
    <w:p w14:paraId="7AFE644F" w14:textId="77777777" w:rsidR="00980755" w:rsidRPr="00980755" w:rsidRDefault="00980755" w:rsidP="00980755">
      <w:pPr>
        <w:spacing w:after="0" w:line="276" w:lineRule="auto"/>
        <w:ind w:firstLine="708"/>
        <w:jc w:val="both"/>
        <w:rPr>
          <w:rFonts w:ascii="Verdana" w:eastAsia="Times New Roman" w:hAnsi="Verdana" w:cs="Times New Roman"/>
          <w:lang w:eastAsia="es-MX"/>
        </w:rPr>
      </w:pPr>
      <w:r w:rsidRPr="00980755">
        <w:rPr>
          <w:rFonts w:ascii="Verdana" w:eastAsia="Times New Roman" w:hAnsi="Verdana" w:cs="Times New Roman"/>
          <w:lang w:eastAsia="es-MX"/>
        </w:rPr>
        <w:t>En cuanto a su consulta sobre la posibilidad de que una entidad pueda “modificar” los indicadores de “Rentabilidad del Patrimonio y Rentabilidad del Activo”, debe indicarse que el numeral “3.9 Capacidad organizacional” señala lo siguiente:</w:t>
      </w:r>
    </w:p>
    <w:p w14:paraId="0C5B2D74" w14:textId="77777777" w:rsidR="00980755" w:rsidRPr="00980755" w:rsidRDefault="00980755" w:rsidP="00980755">
      <w:pPr>
        <w:spacing w:after="0" w:line="276" w:lineRule="auto"/>
        <w:jc w:val="both"/>
        <w:rPr>
          <w:rFonts w:ascii="Verdana" w:eastAsia="Aptos" w:hAnsi="Verdana" w:cs="Aptos"/>
          <w:kern w:val="2"/>
          <w14:ligatures w14:val="standardContextual"/>
        </w:rPr>
      </w:pPr>
    </w:p>
    <w:p w14:paraId="20EB6D45" w14:textId="77777777" w:rsidR="00980755" w:rsidRPr="00980755" w:rsidRDefault="00980755" w:rsidP="00980755">
      <w:pPr>
        <w:keepNext/>
        <w:keepLines/>
        <w:spacing w:after="120" w:line="240" w:lineRule="auto"/>
        <w:ind w:left="709" w:right="709"/>
        <w:jc w:val="both"/>
        <w:outlineLvl w:val="1"/>
        <w:rPr>
          <w:rFonts w:ascii="Verdana" w:eastAsia="Times New Roman" w:hAnsi="Verdana" w:cs="Times New Roman"/>
          <w:color w:val="000000"/>
          <w:kern w:val="2"/>
          <w:sz w:val="21"/>
          <w:szCs w:val="21"/>
          <w14:ligatures w14:val="standardContextual"/>
        </w:rPr>
      </w:pPr>
      <w:bookmarkStart w:id="4" w:name="_Toc176242689"/>
      <w:r w:rsidRPr="00980755">
        <w:rPr>
          <w:rFonts w:ascii="Verdana" w:eastAsia="Times New Roman" w:hAnsi="Verdana" w:cs="Times New Roman"/>
          <w:color w:val="000000"/>
          <w:kern w:val="2"/>
          <w:sz w:val="21"/>
          <w:szCs w:val="21"/>
          <w14:ligatures w14:val="standardContextual"/>
        </w:rPr>
        <w:t>“</w:t>
      </w:r>
      <w:r w:rsidRPr="00980755">
        <w:rPr>
          <w:rFonts w:ascii="Verdana" w:eastAsia="Times New Roman" w:hAnsi="Verdana" w:cs="Times New Roman"/>
          <w:b/>
          <w:bCs/>
          <w:color w:val="000000"/>
          <w:kern w:val="2"/>
          <w:sz w:val="21"/>
          <w:szCs w:val="21"/>
          <w14:ligatures w14:val="standardContextual"/>
        </w:rPr>
        <w:t>3.9 CAPACIDAD ORGANIZACIONAL</w:t>
      </w:r>
      <w:bookmarkEnd w:id="4"/>
    </w:p>
    <w:p w14:paraId="02CBB767" w14:textId="77777777" w:rsidR="00980755" w:rsidRPr="00980755" w:rsidRDefault="00980755" w:rsidP="00980755">
      <w:pPr>
        <w:spacing w:after="120" w:line="240" w:lineRule="auto"/>
        <w:ind w:left="709" w:right="709"/>
        <w:jc w:val="both"/>
        <w:rPr>
          <w:rFonts w:ascii="Verdana" w:eastAsia="Aptos" w:hAnsi="Verdana" w:cs="Arial"/>
          <w:color w:val="000000"/>
          <w:kern w:val="2"/>
          <w:sz w:val="21"/>
          <w:szCs w:val="21"/>
          <w:lang w:val="es-MX"/>
          <w14:ligatures w14:val="standardContextual"/>
        </w:rPr>
      </w:pPr>
      <w:r w:rsidRPr="00980755">
        <w:rPr>
          <w:rFonts w:ascii="Verdana" w:eastAsia="Aptos" w:hAnsi="Verdana" w:cs="Arial"/>
          <w:color w:val="000000"/>
          <w:kern w:val="2"/>
          <w:sz w:val="21"/>
          <w:szCs w:val="21"/>
          <w:lang w:val="es-MX"/>
          <w14:ligatures w14:val="standardContextual"/>
        </w:rPr>
        <w:t>Los Proponentes deben acreditar los siguientes indicadores en los términos señalados en la Matriz 2- Indicadores financieros y organizacionales:</w:t>
      </w:r>
    </w:p>
    <w:tbl>
      <w:tblPr>
        <w:tblStyle w:val="Tablaconcuadrcula10"/>
        <w:tblW w:w="0" w:type="auto"/>
        <w:jc w:val="center"/>
        <w:tblLayout w:type="fixed"/>
        <w:tblLook w:val="04A0" w:firstRow="1" w:lastRow="0" w:firstColumn="1" w:lastColumn="0" w:noHBand="0" w:noVBand="1"/>
      </w:tblPr>
      <w:tblGrid>
        <w:gridCol w:w="3220"/>
        <w:gridCol w:w="2294"/>
      </w:tblGrid>
      <w:tr w:rsidR="00980755" w:rsidRPr="00980755" w14:paraId="357C220D" w14:textId="77777777" w:rsidTr="00980755">
        <w:trPr>
          <w:trHeight w:val="294"/>
          <w:tblHeader/>
          <w:jc w:val="center"/>
        </w:trPr>
        <w:tc>
          <w:tcPr>
            <w:tcW w:w="3220" w:type="dxa"/>
            <w:tcBorders>
              <w:top w:val="double" w:sz="4" w:space="0" w:color="auto"/>
              <w:left w:val="double" w:sz="4" w:space="0" w:color="auto"/>
              <w:bottom w:val="single" w:sz="4" w:space="0" w:color="auto"/>
              <w:right w:val="single" w:sz="4" w:space="0" w:color="auto"/>
            </w:tcBorders>
            <w:shd w:val="clear" w:color="auto" w:fill="404040"/>
            <w:vAlign w:val="center"/>
            <w:hideMark/>
          </w:tcPr>
          <w:p w14:paraId="5C479AE5" w14:textId="77777777" w:rsidR="00980755" w:rsidRPr="00980755" w:rsidRDefault="00980755" w:rsidP="00980755">
            <w:pPr>
              <w:ind w:left="709" w:right="709"/>
              <w:jc w:val="center"/>
              <w:rPr>
                <w:rFonts w:ascii="Verdana" w:eastAsia="Aptos" w:hAnsi="Verdana" w:cs="Arial"/>
                <w:b/>
                <w:bCs/>
                <w:color w:val="000000"/>
                <w:sz w:val="21"/>
                <w:szCs w:val="21"/>
              </w:rPr>
            </w:pPr>
            <w:r w:rsidRPr="00980755">
              <w:rPr>
                <w:rFonts w:ascii="Verdana" w:eastAsia="Aptos" w:hAnsi="Verdana" w:cs="Arial"/>
                <w:b/>
                <w:bCs/>
                <w:color w:val="000000"/>
                <w:sz w:val="21"/>
                <w:szCs w:val="21"/>
              </w:rPr>
              <w:t>Indicador</w:t>
            </w:r>
          </w:p>
        </w:tc>
        <w:tc>
          <w:tcPr>
            <w:tcW w:w="2294"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420E310A" w14:textId="77777777" w:rsidR="00980755" w:rsidRPr="00980755" w:rsidRDefault="00980755" w:rsidP="00980755">
            <w:pPr>
              <w:ind w:left="709" w:right="709"/>
              <w:jc w:val="center"/>
              <w:rPr>
                <w:rFonts w:ascii="Verdana" w:eastAsia="Aptos" w:hAnsi="Verdana" w:cs="Arial"/>
                <w:b/>
                <w:bCs/>
                <w:color w:val="000000"/>
                <w:sz w:val="21"/>
                <w:szCs w:val="21"/>
              </w:rPr>
            </w:pPr>
            <w:r w:rsidRPr="00980755">
              <w:rPr>
                <w:rFonts w:ascii="Verdana" w:eastAsia="Aptos" w:hAnsi="Verdana" w:cs="Arial"/>
                <w:b/>
                <w:bCs/>
                <w:color w:val="000000"/>
                <w:sz w:val="21"/>
                <w:szCs w:val="21"/>
              </w:rPr>
              <w:t>Fórmula</w:t>
            </w:r>
          </w:p>
        </w:tc>
      </w:tr>
      <w:tr w:rsidR="00980755" w:rsidRPr="00980755" w14:paraId="7ECD07FF" w14:textId="77777777">
        <w:trPr>
          <w:trHeight w:val="592"/>
          <w:jc w:val="center"/>
        </w:trPr>
        <w:tc>
          <w:tcPr>
            <w:tcW w:w="3220" w:type="dxa"/>
            <w:tcBorders>
              <w:top w:val="single" w:sz="4" w:space="0" w:color="auto"/>
              <w:left w:val="double" w:sz="4" w:space="0" w:color="auto"/>
              <w:bottom w:val="single" w:sz="4" w:space="0" w:color="auto"/>
              <w:right w:val="single" w:sz="4" w:space="0" w:color="auto"/>
            </w:tcBorders>
            <w:vAlign w:val="center"/>
            <w:hideMark/>
          </w:tcPr>
          <w:p w14:paraId="76332942" w14:textId="77777777" w:rsidR="00980755" w:rsidRPr="00980755" w:rsidRDefault="00980755" w:rsidP="00980755">
            <w:pPr>
              <w:tabs>
                <w:tab w:val="left" w:pos="1039"/>
              </w:tabs>
              <w:ind w:left="709" w:right="709"/>
              <w:jc w:val="center"/>
              <w:rPr>
                <w:rFonts w:ascii="Verdana" w:eastAsia="Aptos" w:hAnsi="Verdana" w:cs="Arial"/>
                <w:color w:val="000000"/>
                <w:sz w:val="21"/>
                <w:szCs w:val="21"/>
              </w:rPr>
            </w:pPr>
            <w:r w:rsidRPr="00980755">
              <w:rPr>
                <w:rFonts w:ascii="Verdana" w:eastAsia="Aptos" w:hAnsi="Verdana" w:cs="Arial"/>
                <w:color w:val="000000"/>
                <w:sz w:val="21"/>
                <w:szCs w:val="21"/>
              </w:rPr>
              <w:t>Rentabilidad sobre Patrimonio (Roe)</w:t>
            </w:r>
          </w:p>
        </w:tc>
        <w:tc>
          <w:tcPr>
            <w:tcW w:w="2294" w:type="dxa"/>
            <w:tcBorders>
              <w:top w:val="single" w:sz="4" w:space="0" w:color="auto"/>
              <w:left w:val="single" w:sz="4" w:space="0" w:color="auto"/>
              <w:bottom w:val="single" w:sz="4" w:space="0" w:color="auto"/>
              <w:right w:val="double" w:sz="4" w:space="0" w:color="auto"/>
            </w:tcBorders>
            <w:vAlign w:val="center"/>
            <w:hideMark/>
          </w:tcPr>
          <w:p w14:paraId="23C2AF55" w14:textId="77777777" w:rsidR="00980755" w:rsidRPr="00980755" w:rsidRDefault="002D16FF" w:rsidP="00980755">
            <w:pPr>
              <w:ind w:left="709" w:right="709"/>
              <w:jc w:val="center"/>
              <w:rPr>
                <w:rFonts w:ascii="Verdana" w:eastAsia="Aptos" w:hAnsi="Verdana" w:cs="Arial"/>
                <w:color w:val="000000"/>
                <w:sz w:val="21"/>
                <w:szCs w:val="21"/>
              </w:rPr>
            </w:pPr>
            <m:oMathPara>
              <m:oMath>
                <m:f>
                  <m:fPr>
                    <m:ctrlPr>
                      <w:rPr>
                        <w:rFonts w:ascii="Cambria Math" w:eastAsia="Aptos" w:hAnsi="Cambria Math" w:cs="Arial"/>
                        <w:bCs/>
                        <w:color w:val="000000"/>
                        <w:sz w:val="21"/>
                        <w:szCs w:val="21"/>
                      </w:rPr>
                    </m:ctrlPr>
                  </m:fPr>
                  <m:num>
                    <m:r>
                      <m:rPr>
                        <m:sty m:val="p"/>
                      </m:rPr>
                      <w:rPr>
                        <w:rFonts w:ascii="Cambria Math" w:eastAsia="Aptos" w:hAnsi="Cambria Math" w:cs="Arial"/>
                        <w:color w:val="000000"/>
                        <w:sz w:val="21"/>
                        <w:szCs w:val="21"/>
                      </w:rPr>
                      <m:t>Utilidad Operacional</m:t>
                    </m:r>
                  </m:num>
                  <m:den>
                    <m:r>
                      <m:rPr>
                        <m:sty m:val="p"/>
                      </m:rPr>
                      <w:rPr>
                        <w:rFonts w:ascii="Cambria Math" w:eastAsia="Aptos" w:hAnsi="Cambria Math" w:cs="Arial"/>
                        <w:color w:val="000000"/>
                        <w:sz w:val="21"/>
                        <w:szCs w:val="21"/>
                      </w:rPr>
                      <m:t>Patrimonio</m:t>
                    </m:r>
                  </m:den>
                </m:f>
              </m:oMath>
            </m:oMathPara>
          </w:p>
        </w:tc>
      </w:tr>
      <w:tr w:rsidR="00980755" w:rsidRPr="00980755" w14:paraId="4F49D0F3" w14:textId="77777777">
        <w:trPr>
          <w:trHeight w:val="648"/>
          <w:jc w:val="center"/>
        </w:trPr>
        <w:tc>
          <w:tcPr>
            <w:tcW w:w="3220" w:type="dxa"/>
            <w:tcBorders>
              <w:top w:val="single" w:sz="4" w:space="0" w:color="auto"/>
              <w:left w:val="double" w:sz="4" w:space="0" w:color="auto"/>
              <w:bottom w:val="double" w:sz="4" w:space="0" w:color="auto"/>
              <w:right w:val="single" w:sz="4" w:space="0" w:color="auto"/>
            </w:tcBorders>
            <w:vAlign w:val="center"/>
            <w:hideMark/>
          </w:tcPr>
          <w:p w14:paraId="1AB8C3B7" w14:textId="77777777" w:rsidR="00980755" w:rsidRPr="00980755" w:rsidRDefault="00980755" w:rsidP="00980755">
            <w:pPr>
              <w:ind w:left="709" w:right="709"/>
              <w:jc w:val="center"/>
              <w:rPr>
                <w:rFonts w:ascii="Verdana" w:eastAsia="Aptos" w:hAnsi="Verdana" w:cs="Arial"/>
                <w:color w:val="000000"/>
                <w:sz w:val="21"/>
                <w:szCs w:val="21"/>
              </w:rPr>
            </w:pPr>
            <w:r w:rsidRPr="00980755">
              <w:rPr>
                <w:rFonts w:ascii="Verdana" w:eastAsia="Aptos" w:hAnsi="Verdana" w:cs="Arial"/>
                <w:color w:val="000000"/>
                <w:sz w:val="21"/>
                <w:szCs w:val="21"/>
              </w:rPr>
              <w:t>Rentabilidad del Activo (Roa)</w:t>
            </w:r>
          </w:p>
        </w:tc>
        <w:tc>
          <w:tcPr>
            <w:tcW w:w="2294" w:type="dxa"/>
            <w:tcBorders>
              <w:top w:val="single" w:sz="4" w:space="0" w:color="auto"/>
              <w:left w:val="single" w:sz="4" w:space="0" w:color="auto"/>
              <w:bottom w:val="double" w:sz="4" w:space="0" w:color="auto"/>
              <w:right w:val="double" w:sz="4" w:space="0" w:color="auto"/>
            </w:tcBorders>
            <w:vAlign w:val="center"/>
            <w:hideMark/>
          </w:tcPr>
          <w:p w14:paraId="3D39038B" w14:textId="77777777" w:rsidR="00980755" w:rsidRPr="00980755" w:rsidRDefault="002D16FF" w:rsidP="00980755">
            <w:pPr>
              <w:ind w:left="709" w:right="709"/>
              <w:jc w:val="center"/>
              <w:rPr>
                <w:rFonts w:ascii="Verdana" w:eastAsia="Aptos" w:hAnsi="Verdana" w:cs="Arial"/>
                <w:color w:val="000000"/>
                <w:sz w:val="21"/>
                <w:szCs w:val="21"/>
              </w:rPr>
            </w:pPr>
            <m:oMathPara>
              <m:oMath>
                <m:f>
                  <m:fPr>
                    <m:ctrlPr>
                      <w:rPr>
                        <w:rFonts w:ascii="Cambria Math" w:eastAsia="Aptos" w:hAnsi="Cambria Math" w:cs="Arial"/>
                        <w:bCs/>
                        <w:color w:val="000000"/>
                        <w:sz w:val="21"/>
                        <w:szCs w:val="21"/>
                      </w:rPr>
                    </m:ctrlPr>
                  </m:fPr>
                  <m:num>
                    <m:r>
                      <m:rPr>
                        <m:sty m:val="p"/>
                      </m:rPr>
                      <w:rPr>
                        <w:rFonts w:ascii="Cambria Math" w:eastAsia="Aptos" w:hAnsi="Cambria Math" w:cs="Arial"/>
                        <w:color w:val="000000"/>
                        <w:sz w:val="21"/>
                        <w:szCs w:val="21"/>
                      </w:rPr>
                      <m:t>Unidad Operacional</m:t>
                    </m:r>
                  </m:num>
                  <m:den>
                    <m:r>
                      <m:rPr>
                        <m:sty m:val="p"/>
                      </m:rPr>
                      <w:rPr>
                        <w:rFonts w:ascii="Cambria Math" w:eastAsia="Aptos" w:hAnsi="Cambria Math" w:cs="Arial"/>
                        <w:color w:val="000000"/>
                        <w:sz w:val="21"/>
                        <w:szCs w:val="21"/>
                      </w:rPr>
                      <m:t>Activo Total</m:t>
                    </m:r>
                  </m:den>
                </m:f>
              </m:oMath>
            </m:oMathPara>
          </w:p>
        </w:tc>
      </w:tr>
    </w:tbl>
    <w:p w14:paraId="5DE1D1DE" w14:textId="77777777" w:rsidR="00980755" w:rsidRPr="00980755" w:rsidRDefault="00980755" w:rsidP="00980755">
      <w:pPr>
        <w:spacing w:after="120" w:line="240" w:lineRule="auto"/>
        <w:ind w:left="709" w:right="709" w:firstLine="1"/>
        <w:rPr>
          <w:rFonts w:ascii="Verdana" w:eastAsia="Aptos" w:hAnsi="Verdana" w:cs="Arial"/>
          <w:kern w:val="2"/>
          <w:sz w:val="21"/>
          <w:szCs w:val="21"/>
          <w:lang w:val="es-MX"/>
          <w14:ligatures w14:val="standardContextual"/>
        </w:rPr>
      </w:pPr>
      <w:r w:rsidRPr="00980755">
        <w:rPr>
          <w:rFonts w:ascii="Verdana" w:eastAsia="Aptos" w:hAnsi="Verdana" w:cs="Arial"/>
          <w:kern w:val="2"/>
          <w:sz w:val="21"/>
          <w:szCs w:val="21"/>
          <w:lang w:val="es-MX"/>
          <w14:ligatures w14:val="standardContextual"/>
        </w:rPr>
        <w:t>Si el Proponente es plural cada indicador debe calcularse así:</w:t>
      </w:r>
    </w:p>
    <w:p w14:paraId="3B3D1873" w14:textId="77777777" w:rsidR="00980755" w:rsidRPr="00980755" w:rsidRDefault="00980755" w:rsidP="00980755">
      <w:pPr>
        <w:spacing w:line="240" w:lineRule="auto"/>
        <w:ind w:left="709" w:right="709"/>
        <w:rPr>
          <w:rFonts w:ascii="Verdana" w:eastAsia="Aptos" w:hAnsi="Verdana" w:cs="Arial"/>
          <w:kern w:val="2"/>
          <w:sz w:val="21"/>
          <w:szCs w:val="21"/>
          <w14:ligatures w14:val="standardContextual"/>
        </w:rPr>
      </w:pPr>
      <m:oMathPara>
        <m:oMath>
          <m:r>
            <m:rPr>
              <m:sty m:val="p"/>
            </m:rPr>
            <w:rPr>
              <w:rFonts w:ascii="Cambria Math" w:eastAsia="Aptos" w:hAnsi="Cambria Math" w:cs="Arial"/>
              <w:kern w:val="2"/>
              <w:sz w:val="21"/>
              <w:szCs w:val="21"/>
              <w14:ligatures w14:val="standardContextual"/>
            </w:rPr>
            <m:t>Indicador =</m:t>
          </m:r>
          <m:f>
            <m:fPr>
              <m:ctrlPr>
                <w:rPr>
                  <w:rFonts w:ascii="Cambria Math" w:eastAsia="Aptos" w:hAnsi="Cambria Math" w:cs="Arial"/>
                  <w:kern w:val="2"/>
                  <w:sz w:val="21"/>
                  <w:szCs w:val="21"/>
                  <w14:ligatures w14:val="standardContextual"/>
                </w:rPr>
              </m:ctrlPr>
            </m:fPr>
            <m:num>
              <m:r>
                <m:rPr>
                  <m:sty m:val="p"/>
                </m:rPr>
                <w:rPr>
                  <w:rFonts w:ascii="Cambria Math" w:eastAsia="Aptos" w:hAnsi="Cambria Math" w:cs="Arial"/>
                  <w:kern w:val="2"/>
                  <w:sz w:val="21"/>
                  <w:szCs w:val="21"/>
                  <w14:ligatures w14:val="standardContextual"/>
                </w:rPr>
                <m:t>(</m:t>
              </m:r>
              <m:nary>
                <m:naryPr>
                  <m:chr m:val="∑"/>
                  <m:limLoc m:val="undOvr"/>
                  <m:ctrlPr>
                    <w:rPr>
                      <w:rFonts w:ascii="Cambria Math" w:eastAsia="Aptos" w:hAnsi="Cambria Math" w:cs="Arial"/>
                      <w:kern w:val="2"/>
                      <w:sz w:val="21"/>
                      <w:szCs w:val="21"/>
                      <w14:ligatures w14:val="standardContextual"/>
                    </w:rPr>
                  </m:ctrlPr>
                </m:naryPr>
                <m:sub>
                  <m:r>
                    <m:rPr>
                      <m:sty m:val="p"/>
                    </m:rPr>
                    <w:rPr>
                      <w:rFonts w:ascii="Cambria Math" w:eastAsia="Aptos" w:hAnsi="Cambria Math" w:cs="Arial"/>
                      <w:kern w:val="2"/>
                      <w:sz w:val="21"/>
                      <w:szCs w:val="21"/>
                      <w14:ligatures w14:val="standardContextual"/>
                    </w:rPr>
                    <m:t>i=1</m:t>
                  </m:r>
                </m:sub>
                <m:sup>
                  <m:r>
                    <m:rPr>
                      <m:sty m:val="p"/>
                    </m:rPr>
                    <w:rPr>
                      <w:rFonts w:ascii="Cambria Math" w:eastAsia="Aptos" w:hAnsi="Cambria Math" w:cs="Arial"/>
                      <w:kern w:val="2"/>
                      <w:sz w:val="21"/>
                      <w:szCs w:val="21"/>
                      <w14:ligatures w14:val="standardContextual"/>
                    </w:rPr>
                    <m:t>n</m:t>
                  </m:r>
                </m:sup>
                <m:e>
                  <m:sSub>
                    <m:sSubPr>
                      <m:ctrlPr>
                        <w:rPr>
                          <w:rFonts w:ascii="Cambria Math" w:eastAsia="Aptos" w:hAnsi="Cambria Math" w:cs="Arial"/>
                          <w:kern w:val="2"/>
                          <w:sz w:val="21"/>
                          <w:szCs w:val="21"/>
                          <w14:ligatures w14:val="standardContextual"/>
                        </w:rPr>
                      </m:ctrlPr>
                    </m:sSubPr>
                    <m:e>
                      <m:r>
                        <m:rPr>
                          <m:sty m:val="p"/>
                        </m:rPr>
                        <w:rPr>
                          <w:rFonts w:ascii="Cambria Math" w:eastAsia="Aptos" w:hAnsi="Cambria Math" w:cs="Arial"/>
                          <w:kern w:val="2"/>
                          <w:sz w:val="21"/>
                          <w:szCs w:val="21"/>
                          <w14:ligatures w14:val="standardContextual"/>
                        </w:rPr>
                        <m:t>Componente 1 del indicador</m:t>
                      </m:r>
                    </m:e>
                    <m:sub>
                      <m:r>
                        <m:rPr>
                          <m:sty m:val="p"/>
                        </m:rPr>
                        <w:rPr>
                          <w:rFonts w:ascii="Cambria Math" w:eastAsia="Aptos" w:hAnsi="Cambria Math" w:cs="Arial"/>
                          <w:kern w:val="2"/>
                          <w:sz w:val="21"/>
                          <w:szCs w:val="21"/>
                          <w14:ligatures w14:val="standardContextual"/>
                        </w:rPr>
                        <m:t>i</m:t>
                      </m:r>
                    </m:sub>
                  </m:sSub>
                  <m:r>
                    <m:rPr>
                      <m:sty m:val="p"/>
                    </m:rPr>
                    <w:rPr>
                      <w:rFonts w:ascii="Cambria Math" w:eastAsia="Aptos" w:hAnsi="Cambria Math" w:cs="Arial"/>
                      <w:kern w:val="2"/>
                      <w:sz w:val="21"/>
                      <w:szCs w:val="21"/>
                      <w14:ligatures w14:val="standardContextual"/>
                    </w:rPr>
                    <m:t xml:space="preserve">) </m:t>
                  </m:r>
                </m:e>
              </m:nary>
            </m:num>
            <m:den>
              <m:r>
                <m:rPr>
                  <m:sty m:val="p"/>
                </m:rPr>
                <w:rPr>
                  <w:rFonts w:ascii="Cambria Math" w:eastAsia="Aptos" w:hAnsi="Cambria Math" w:cs="Arial"/>
                  <w:kern w:val="2"/>
                  <w:sz w:val="21"/>
                  <w:szCs w:val="21"/>
                  <w14:ligatures w14:val="standardContextual"/>
                </w:rPr>
                <m:t>(</m:t>
              </m:r>
              <m:nary>
                <m:naryPr>
                  <m:chr m:val="∑"/>
                  <m:limLoc m:val="undOvr"/>
                  <m:ctrlPr>
                    <w:rPr>
                      <w:rFonts w:ascii="Cambria Math" w:eastAsia="Aptos" w:hAnsi="Cambria Math" w:cs="Arial"/>
                      <w:kern w:val="2"/>
                      <w:sz w:val="21"/>
                      <w:szCs w:val="21"/>
                      <w14:ligatures w14:val="standardContextual"/>
                    </w:rPr>
                  </m:ctrlPr>
                </m:naryPr>
                <m:sub>
                  <m:r>
                    <m:rPr>
                      <m:sty m:val="p"/>
                    </m:rPr>
                    <w:rPr>
                      <w:rFonts w:ascii="Cambria Math" w:eastAsia="Aptos" w:hAnsi="Cambria Math" w:cs="Arial"/>
                      <w:kern w:val="2"/>
                      <w:sz w:val="21"/>
                      <w:szCs w:val="21"/>
                      <w14:ligatures w14:val="standardContextual"/>
                    </w:rPr>
                    <m:t>i=1</m:t>
                  </m:r>
                </m:sub>
                <m:sup>
                  <m:r>
                    <m:rPr>
                      <m:sty m:val="p"/>
                    </m:rPr>
                    <w:rPr>
                      <w:rFonts w:ascii="Cambria Math" w:eastAsia="Aptos" w:hAnsi="Cambria Math" w:cs="Arial"/>
                      <w:kern w:val="2"/>
                      <w:sz w:val="21"/>
                      <w:szCs w:val="21"/>
                      <w14:ligatures w14:val="standardContextual"/>
                    </w:rPr>
                    <m:t>n</m:t>
                  </m:r>
                </m:sup>
                <m:e>
                  <m:sSub>
                    <m:sSubPr>
                      <m:ctrlPr>
                        <w:rPr>
                          <w:rFonts w:ascii="Cambria Math" w:eastAsia="Aptos" w:hAnsi="Cambria Math" w:cs="Arial"/>
                          <w:kern w:val="2"/>
                          <w:sz w:val="21"/>
                          <w:szCs w:val="21"/>
                          <w14:ligatures w14:val="standardContextual"/>
                        </w:rPr>
                      </m:ctrlPr>
                    </m:sSubPr>
                    <m:e>
                      <m:r>
                        <m:rPr>
                          <m:sty m:val="p"/>
                        </m:rPr>
                        <w:rPr>
                          <w:rFonts w:ascii="Cambria Math" w:eastAsia="Aptos" w:hAnsi="Cambria Math" w:cs="Arial"/>
                          <w:kern w:val="2"/>
                          <w:sz w:val="21"/>
                          <w:szCs w:val="21"/>
                          <w14:ligatures w14:val="standardContextual"/>
                        </w:rPr>
                        <m:t>Componente 2 del indicador</m:t>
                      </m:r>
                    </m:e>
                    <m:sub>
                      <m:r>
                        <m:rPr>
                          <m:sty m:val="p"/>
                        </m:rPr>
                        <w:rPr>
                          <w:rFonts w:ascii="Cambria Math" w:eastAsia="Aptos" w:hAnsi="Cambria Math" w:cs="Arial"/>
                          <w:kern w:val="2"/>
                          <w:sz w:val="21"/>
                          <w:szCs w:val="21"/>
                          <w14:ligatures w14:val="standardContextual"/>
                        </w:rPr>
                        <m:t>i</m:t>
                      </m:r>
                    </m:sub>
                  </m:sSub>
                  <m:r>
                    <m:rPr>
                      <m:sty m:val="p"/>
                    </m:rPr>
                    <w:rPr>
                      <w:rFonts w:ascii="Cambria Math" w:eastAsia="Aptos" w:hAnsi="Cambria Math" w:cs="Arial"/>
                      <w:kern w:val="2"/>
                      <w:sz w:val="21"/>
                      <w:szCs w:val="21"/>
                      <w14:ligatures w14:val="standardContextual"/>
                    </w:rPr>
                    <m:t xml:space="preserve">) </m:t>
                  </m:r>
                </m:e>
              </m:nary>
            </m:den>
          </m:f>
        </m:oMath>
      </m:oMathPara>
    </w:p>
    <w:p w14:paraId="31DFD5B6" w14:textId="77777777" w:rsidR="00980755" w:rsidRPr="00980755" w:rsidRDefault="00980755" w:rsidP="00980755">
      <w:pPr>
        <w:spacing w:line="240" w:lineRule="auto"/>
        <w:ind w:left="709" w:right="709"/>
        <w:rPr>
          <w:rFonts w:ascii="Verdana" w:eastAsia="Aptos" w:hAnsi="Verdana" w:cs="Arial"/>
          <w:kern w:val="2"/>
          <w:sz w:val="21"/>
          <w:szCs w:val="21"/>
          <w:lang w:val="es-MX"/>
          <w14:ligatures w14:val="standardContextual"/>
        </w:rPr>
      </w:pPr>
    </w:p>
    <w:p w14:paraId="73166A1A" w14:textId="77777777" w:rsidR="00980755" w:rsidRPr="00980755" w:rsidRDefault="00980755" w:rsidP="00980755">
      <w:pPr>
        <w:spacing w:line="240" w:lineRule="auto"/>
        <w:ind w:left="709" w:right="709"/>
        <w:rPr>
          <w:rFonts w:ascii="Verdana" w:eastAsia="Aptos" w:hAnsi="Verdana" w:cs="Arial"/>
          <w:kern w:val="2"/>
          <w:sz w:val="21"/>
          <w:szCs w:val="21"/>
          <w:lang w:val="es-MX"/>
          <w14:ligatures w14:val="standardContextual"/>
        </w:rPr>
      </w:pPr>
      <w:r w:rsidRPr="00980755">
        <w:rPr>
          <w:rFonts w:ascii="Verdana" w:eastAsia="Aptos" w:hAnsi="Verdana" w:cs="Arial"/>
          <w:kern w:val="2"/>
          <w:sz w:val="21"/>
          <w:szCs w:val="21"/>
          <w:lang w:val="es-MX"/>
          <w14:ligatures w14:val="standardContextual"/>
        </w:rPr>
        <w:t>Donde n es el número de integrantes del Proponente Plural (Unión Temporal o Consorcio).</w:t>
      </w:r>
    </w:p>
    <w:p w14:paraId="3DF1501F" w14:textId="77777777" w:rsidR="00980755" w:rsidRPr="00980755" w:rsidRDefault="00980755" w:rsidP="00980755">
      <w:pPr>
        <w:spacing w:after="0" w:line="240" w:lineRule="auto"/>
        <w:ind w:left="709" w:right="709"/>
        <w:jc w:val="both"/>
        <w:rPr>
          <w:rFonts w:ascii="Verdana" w:eastAsia="Aptos" w:hAnsi="Verdana" w:cs="Aptos"/>
          <w:kern w:val="2"/>
          <w:sz w:val="21"/>
          <w:szCs w:val="21"/>
          <w14:ligatures w14:val="standardContextual"/>
        </w:rPr>
      </w:pPr>
      <w:r w:rsidRPr="00980755">
        <w:rPr>
          <w:rFonts w:ascii="Verdana" w:eastAsia="Aptos" w:hAnsi="Verdana" w:cs="Arial"/>
          <w:color w:val="000000"/>
          <w:kern w:val="2"/>
          <w:sz w:val="21"/>
          <w:szCs w:val="21"/>
          <w:shd w:val="clear" w:color="auto" w:fill="FFFFFF"/>
          <w:lang w:val="es-419"/>
          <w14:ligatures w14:val="standardContextual"/>
        </w:rPr>
        <w:t xml:space="preserve">El Proponente que </w:t>
      </w:r>
      <w:r w:rsidRPr="00980755">
        <w:rPr>
          <w:rFonts w:ascii="Verdana" w:eastAsia="Aptos" w:hAnsi="Verdana" w:cs="Arial"/>
          <w:kern w:val="2"/>
          <w:sz w:val="21"/>
          <w:szCs w:val="21"/>
          <w:shd w:val="clear" w:color="auto" w:fill="FFFFFF"/>
          <w:lang w:val="es-419"/>
          <w14:ligatures w14:val="standardContextual"/>
        </w:rPr>
        <w:t>demuestre</w:t>
      </w:r>
      <w:r w:rsidRPr="00980755">
        <w:rPr>
          <w:rFonts w:ascii="Verdana" w:eastAsia="Aptos" w:hAnsi="Verdana" w:cs="Arial"/>
          <w:color w:val="0078D4"/>
          <w:kern w:val="2"/>
          <w:sz w:val="21"/>
          <w:szCs w:val="21"/>
          <w:shd w:val="clear" w:color="auto" w:fill="FFFFFF"/>
          <w:lang w:val="es-419"/>
          <w14:ligatures w14:val="standardContextual"/>
        </w:rPr>
        <w:t xml:space="preserve"> </w:t>
      </w:r>
      <w:r w:rsidRPr="00980755">
        <w:rPr>
          <w:rFonts w:ascii="Verdana" w:eastAsia="Aptos" w:hAnsi="Verdana" w:cs="Arial"/>
          <w:color w:val="000000"/>
          <w:kern w:val="2"/>
          <w:sz w:val="21"/>
          <w:szCs w:val="21"/>
          <w:shd w:val="clear" w:color="auto" w:fill="FFFFFF"/>
          <w:lang w:val="es-419"/>
          <w14:ligatures w14:val="standardContextual"/>
        </w:rPr>
        <w:t xml:space="preserve">la condición de Mipyme domiciliada en Colombia acreditará la capacidad organizacional de acuerdo con los indicadores señalados en la </w:t>
      </w:r>
      <w:r w:rsidRPr="00980755">
        <w:rPr>
          <w:rFonts w:ascii="Verdana" w:eastAsia="Aptos" w:hAnsi="Verdana" w:cs="Arial"/>
          <w:kern w:val="2"/>
          <w:sz w:val="21"/>
          <w:szCs w:val="21"/>
          <w:lang w:val="es-MX"/>
          <w14:ligatures w14:val="standardContextual"/>
        </w:rPr>
        <w:t>Matriz 2 – Indicadores financieros y organizacionales.</w:t>
      </w:r>
      <w:r w:rsidRPr="00980755">
        <w:rPr>
          <w:rFonts w:ascii="Verdana" w:eastAsia="Times New Roman" w:hAnsi="Verdana" w:cs="Arial"/>
          <w:color w:val="000000"/>
          <w:kern w:val="2"/>
          <w:sz w:val="21"/>
          <w:szCs w:val="21"/>
          <w:shd w:val="clear" w:color="auto" w:fill="FFFFFF"/>
          <w14:ligatures w14:val="standardContextual"/>
        </w:rPr>
        <w:t xml:space="preserve"> El Proponente probará</w:t>
      </w:r>
      <w:r w:rsidRPr="00980755">
        <w:rPr>
          <w:rFonts w:ascii="Verdana" w:eastAsia="Aptos" w:hAnsi="Verdana" w:cs="Arial"/>
          <w:color w:val="000000"/>
          <w:kern w:val="2"/>
          <w:sz w:val="21"/>
          <w:szCs w:val="21"/>
          <w:shd w:val="clear" w:color="auto" w:fill="FFFFFF"/>
          <w:lang w:val="es-ES"/>
          <w14:ligatures w14:val="standardContextual"/>
        </w:rPr>
        <w:t xml:space="preserve"> la condición </w:t>
      </w:r>
      <w:r w:rsidRPr="00980755">
        <w:rPr>
          <w:rFonts w:ascii="Verdana" w:eastAsia="Aptos" w:hAnsi="Verdana" w:cs="Arial"/>
          <w:color w:val="000000"/>
          <w:kern w:val="2"/>
          <w:sz w:val="21"/>
          <w:szCs w:val="21"/>
          <w:shd w:val="clear" w:color="auto" w:fill="FFFFFF"/>
          <w14:ligatures w14:val="standardContextual"/>
        </w:rPr>
        <w:t xml:space="preserve">de </w:t>
      </w:r>
      <w:proofErr w:type="spellStart"/>
      <w:r w:rsidRPr="00980755">
        <w:rPr>
          <w:rFonts w:ascii="Verdana" w:eastAsia="Aptos" w:hAnsi="Verdana" w:cs="Arial"/>
          <w:color w:val="000000"/>
          <w:kern w:val="2"/>
          <w:sz w:val="21"/>
          <w:szCs w:val="21"/>
          <w:shd w:val="clear" w:color="auto" w:fill="FFFFFF"/>
          <w14:ligatures w14:val="standardContextual"/>
        </w:rPr>
        <w:t>Mipyme</w:t>
      </w:r>
      <w:proofErr w:type="spellEnd"/>
      <w:r w:rsidRPr="00980755">
        <w:rPr>
          <w:rFonts w:ascii="Verdana" w:eastAsia="Aptos" w:hAnsi="Verdana" w:cs="Arial"/>
          <w:color w:val="000000"/>
          <w:kern w:val="2"/>
          <w:sz w:val="21"/>
          <w:szCs w:val="21"/>
          <w:shd w:val="clear" w:color="auto" w:fill="FFFFFF"/>
          <w14:ligatures w14:val="standardContextual"/>
        </w:rPr>
        <w:t xml:space="preserve"> con la copia del certificado del Registro Único de Proponentes, el cual deberá encontrarse vigente y en firme al momento de su presentación</w:t>
      </w:r>
      <w:r w:rsidRPr="00980755">
        <w:rPr>
          <w:rFonts w:ascii="Verdana" w:eastAsia="Aptos" w:hAnsi="Verdana" w:cs="Aptos"/>
          <w:kern w:val="2"/>
          <w:sz w:val="21"/>
          <w:szCs w:val="21"/>
          <w14:ligatures w14:val="standardContextual"/>
        </w:rPr>
        <w:t xml:space="preserve">”. </w:t>
      </w:r>
    </w:p>
    <w:p w14:paraId="6D9B85A8" w14:textId="77777777" w:rsidR="00980755" w:rsidRPr="00980755" w:rsidRDefault="00980755" w:rsidP="00980755">
      <w:pPr>
        <w:spacing w:after="0" w:line="276" w:lineRule="auto"/>
        <w:ind w:firstLine="708"/>
        <w:jc w:val="both"/>
        <w:rPr>
          <w:rFonts w:ascii="Verdana" w:eastAsia="Aptos" w:hAnsi="Verdana" w:cs="Aptos"/>
          <w:kern w:val="2"/>
          <w:sz w:val="21"/>
          <w:szCs w:val="21"/>
          <w14:ligatures w14:val="standardContextual"/>
        </w:rPr>
      </w:pPr>
    </w:p>
    <w:p w14:paraId="02637A6B" w14:textId="77777777" w:rsidR="00980755" w:rsidRPr="00980755" w:rsidRDefault="00980755" w:rsidP="00980755">
      <w:pPr>
        <w:snapToGrid w:val="0"/>
        <w:spacing w:after="120" w:line="276" w:lineRule="auto"/>
        <w:ind w:firstLine="709"/>
        <w:jc w:val="both"/>
        <w:rPr>
          <w:rFonts w:ascii="Verdana" w:eastAsia="Times New Roman" w:hAnsi="Verdana" w:cs="Times New Roman"/>
          <w:lang w:eastAsia="es-MX"/>
        </w:rPr>
      </w:pPr>
      <w:r w:rsidRPr="00980755">
        <w:rPr>
          <w:rFonts w:ascii="Verdana" w:eastAsia="Arial" w:hAnsi="Verdana" w:cs="Arial"/>
          <w:lang w:eastAsia="es-MX"/>
        </w:rPr>
        <w:t xml:space="preserve">De acuerdo con este numeral, los proponentes deben acreditar los indicadores de rentabilidad sobre el patrimonio (ROE) y rentabilidad del activo (ROA) en los términos señalados en la Matriz 2. </w:t>
      </w:r>
      <w:r w:rsidRPr="00980755">
        <w:rPr>
          <w:rFonts w:ascii="Verdana" w:eastAsia="Times New Roman" w:hAnsi="Verdana" w:cs="Times New Roman"/>
          <w:lang w:eastAsia="es-MX"/>
        </w:rPr>
        <w:t xml:space="preserve"> Asimismo, el numeral establece que los proponentes que tengan la condición de </w:t>
      </w:r>
      <w:proofErr w:type="spellStart"/>
      <w:r w:rsidRPr="00980755">
        <w:rPr>
          <w:rFonts w:ascii="Verdana" w:eastAsia="Times New Roman" w:hAnsi="Verdana" w:cs="Times New Roman"/>
          <w:lang w:eastAsia="es-MX"/>
        </w:rPr>
        <w:t>Mipyme</w:t>
      </w:r>
      <w:proofErr w:type="spellEnd"/>
      <w:r w:rsidRPr="00980755">
        <w:rPr>
          <w:rFonts w:ascii="Verdana" w:eastAsia="Times New Roman" w:hAnsi="Verdana" w:cs="Times New Roman"/>
          <w:lang w:eastAsia="es-MX"/>
        </w:rPr>
        <w:t xml:space="preserve"> domiciliada en Colombia </w:t>
      </w:r>
      <w:r w:rsidRPr="00980755">
        <w:rPr>
          <w:rFonts w:ascii="Verdana" w:eastAsia="Times New Roman" w:hAnsi="Verdana" w:cs="Times New Roman"/>
          <w:lang w:eastAsia="es-MX"/>
        </w:rPr>
        <w:lastRenderedPageBreak/>
        <w:t>deberán acreditar su capacidad organizacional conforme a los indicadores previstos en la misma Matriz, y demostrar dicha condición mediante el certificado del Registro Único de Proponentes vigente y en firme.</w:t>
      </w:r>
    </w:p>
    <w:p w14:paraId="3D5BFC11" w14:textId="77777777" w:rsidR="00980755" w:rsidRPr="00980755" w:rsidRDefault="00980755" w:rsidP="00980755">
      <w:pPr>
        <w:snapToGrid w:val="0"/>
        <w:spacing w:after="120" w:line="276" w:lineRule="auto"/>
        <w:ind w:firstLine="709"/>
        <w:jc w:val="both"/>
        <w:rPr>
          <w:rFonts w:ascii="Verdana" w:eastAsia="Times New Roman" w:hAnsi="Verdana" w:cs="Times New Roman"/>
          <w:lang w:eastAsia="es-MX"/>
        </w:rPr>
      </w:pPr>
      <w:r w:rsidRPr="00980755">
        <w:rPr>
          <w:rFonts w:ascii="Verdana" w:eastAsia="Times New Roman" w:hAnsi="Verdana" w:cs="Times New Roman"/>
          <w:lang w:eastAsia="es-MX"/>
        </w:rPr>
        <w:t xml:space="preserve">Ahora bien, conforme a los lineamientos definidos en la Matriz, </w:t>
      </w:r>
      <w:r w:rsidRPr="00980755">
        <w:rPr>
          <w:rFonts w:ascii="Verdana" w:eastAsia="Times New Roman" w:hAnsi="Verdana" w:cs="Arial"/>
          <w:lang w:eastAsia="es-MX"/>
        </w:rPr>
        <w:t xml:space="preserve">con el objetivo de establecer requisitos mínimos habilitantes de capacidad financiera y organizacional que sean proporcionales a las diferentes condiciones (presupuesto, plazo, </w:t>
      </w:r>
      <w:proofErr w:type="spellStart"/>
      <w:r w:rsidRPr="00980755">
        <w:rPr>
          <w:rFonts w:ascii="Verdana" w:eastAsia="Times New Roman" w:hAnsi="Verdana" w:cs="Arial"/>
          <w:lang w:eastAsia="es-MX"/>
        </w:rPr>
        <w:t>etc</w:t>
      </w:r>
      <w:proofErr w:type="spellEnd"/>
      <w:r w:rsidRPr="00980755">
        <w:rPr>
          <w:rFonts w:ascii="Verdana" w:eastAsia="Times New Roman" w:hAnsi="Verdana" w:cs="Arial"/>
          <w:lang w:eastAsia="es-MX"/>
        </w:rPr>
        <w:t>)  de los procesos de selección de licitación de obra pública de infraestructura de transporte que adelanten las Entidades, se establecieron indicadores de acuerdo con el presupuesto oficial del proceso de contratación, con base en los siguientes rangos de presupuesto definidos de conformidad con la matriz de experiencia de los proyectos de infraestructura de transporte estructurada para la presente versión de los pliegos tipo:</w:t>
      </w:r>
    </w:p>
    <w:tbl>
      <w:tblPr>
        <w:tblW w:w="0" w:type="auto"/>
        <w:jc w:val="center"/>
        <w:tblCellMar>
          <w:left w:w="70" w:type="dxa"/>
          <w:right w:w="70" w:type="dxa"/>
        </w:tblCellMar>
        <w:tblLook w:val="04A0" w:firstRow="1" w:lastRow="0" w:firstColumn="1" w:lastColumn="0" w:noHBand="0" w:noVBand="1"/>
      </w:tblPr>
      <w:tblGrid>
        <w:gridCol w:w="1129"/>
        <w:gridCol w:w="1330"/>
        <w:gridCol w:w="1364"/>
        <w:gridCol w:w="1417"/>
      </w:tblGrid>
      <w:tr w:rsidR="00980755" w:rsidRPr="00980755" w14:paraId="52401229" w14:textId="77777777">
        <w:trPr>
          <w:trHeight w:val="20"/>
          <w:jc w:val="center"/>
        </w:trPr>
        <w:tc>
          <w:tcPr>
            <w:tcW w:w="2459"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CE1DD91"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Rango 1</w:t>
            </w:r>
          </w:p>
        </w:tc>
        <w:tc>
          <w:tcPr>
            <w:tcW w:w="2781" w:type="dxa"/>
            <w:gridSpan w:val="2"/>
            <w:tcBorders>
              <w:top w:val="single" w:sz="4" w:space="0" w:color="auto"/>
              <w:left w:val="nil"/>
              <w:bottom w:val="single" w:sz="4" w:space="0" w:color="auto"/>
              <w:right w:val="single" w:sz="4" w:space="0" w:color="000000"/>
            </w:tcBorders>
            <w:shd w:val="clear" w:color="000000" w:fill="F2F2F2"/>
            <w:noWrap/>
            <w:vAlign w:val="center"/>
            <w:hideMark/>
          </w:tcPr>
          <w:p w14:paraId="4FFDAF6F"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Rango 2</w:t>
            </w:r>
          </w:p>
        </w:tc>
      </w:tr>
      <w:tr w:rsidR="00980755" w:rsidRPr="00980755" w14:paraId="4499B509" w14:textId="77777777" w:rsidTr="007570F3">
        <w:trPr>
          <w:trHeight w:val="20"/>
          <w:jc w:val="center"/>
        </w:trPr>
        <w:tc>
          <w:tcPr>
            <w:tcW w:w="1129" w:type="dxa"/>
            <w:tcBorders>
              <w:top w:val="nil"/>
              <w:left w:val="nil"/>
              <w:bottom w:val="nil"/>
              <w:right w:val="nil"/>
            </w:tcBorders>
            <w:noWrap/>
            <w:vAlign w:val="bottom"/>
            <w:hideMark/>
          </w:tcPr>
          <w:p w14:paraId="7F058AC1"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p>
        </w:tc>
        <w:tc>
          <w:tcPr>
            <w:tcW w:w="1330" w:type="dxa"/>
            <w:tcBorders>
              <w:top w:val="nil"/>
              <w:left w:val="nil"/>
              <w:bottom w:val="nil"/>
              <w:right w:val="nil"/>
            </w:tcBorders>
            <w:noWrap/>
            <w:vAlign w:val="bottom"/>
            <w:hideMark/>
          </w:tcPr>
          <w:p w14:paraId="12A9027B" w14:textId="77777777" w:rsidR="00980755" w:rsidRPr="00980755" w:rsidRDefault="00980755" w:rsidP="00980755">
            <w:pPr>
              <w:spacing w:line="278" w:lineRule="auto"/>
              <w:rPr>
                <w:rFonts w:ascii="Times New Roman" w:eastAsia="Times New Roman" w:hAnsi="Times New Roman" w:cs="Times New Roman"/>
                <w:kern w:val="2"/>
                <w:sz w:val="20"/>
                <w:szCs w:val="20"/>
                <w:lang w:eastAsia="es-CO"/>
                <w14:ligatures w14:val="standardContextual"/>
              </w:rPr>
            </w:pPr>
          </w:p>
        </w:tc>
        <w:tc>
          <w:tcPr>
            <w:tcW w:w="1364" w:type="dxa"/>
            <w:tcBorders>
              <w:top w:val="nil"/>
              <w:left w:val="nil"/>
              <w:bottom w:val="nil"/>
              <w:right w:val="nil"/>
            </w:tcBorders>
            <w:noWrap/>
            <w:vAlign w:val="bottom"/>
            <w:hideMark/>
          </w:tcPr>
          <w:p w14:paraId="78D0DF9A" w14:textId="77777777" w:rsidR="00980755" w:rsidRPr="00980755" w:rsidRDefault="00980755" w:rsidP="00980755">
            <w:pPr>
              <w:spacing w:line="278" w:lineRule="auto"/>
              <w:rPr>
                <w:rFonts w:ascii="Times New Roman" w:eastAsia="Times New Roman" w:hAnsi="Times New Roman" w:cs="Times New Roman"/>
                <w:kern w:val="2"/>
                <w:sz w:val="20"/>
                <w:szCs w:val="20"/>
                <w:lang w:eastAsia="es-CO"/>
                <w14:ligatures w14:val="standardContextual"/>
              </w:rPr>
            </w:pPr>
          </w:p>
        </w:tc>
        <w:tc>
          <w:tcPr>
            <w:tcW w:w="1417" w:type="dxa"/>
            <w:tcBorders>
              <w:top w:val="nil"/>
              <w:left w:val="nil"/>
              <w:bottom w:val="nil"/>
              <w:right w:val="nil"/>
            </w:tcBorders>
            <w:noWrap/>
            <w:vAlign w:val="bottom"/>
            <w:hideMark/>
          </w:tcPr>
          <w:p w14:paraId="001F1C9F" w14:textId="77777777" w:rsidR="00980755" w:rsidRPr="00980755" w:rsidRDefault="00980755" w:rsidP="00980755">
            <w:pPr>
              <w:spacing w:line="278" w:lineRule="auto"/>
              <w:rPr>
                <w:rFonts w:ascii="Times New Roman" w:eastAsia="Times New Roman" w:hAnsi="Times New Roman" w:cs="Times New Roman"/>
                <w:kern w:val="2"/>
                <w:sz w:val="20"/>
                <w:szCs w:val="20"/>
                <w:lang w:eastAsia="es-CO"/>
                <w14:ligatures w14:val="standardContextual"/>
              </w:rPr>
            </w:pPr>
          </w:p>
        </w:tc>
      </w:tr>
      <w:tr w:rsidR="00980755" w:rsidRPr="00980755" w14:paraId="52901D2A" w14:textId="77777777" w:rsidTr="007570F3">
        <w:trPr>
          <w:trHeight w:val="2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14:paraId="57C2F9BA"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&gt;0</w:t>
            </w:r>
          </w:p>
        </w:tc>
        <w:tc>
          <w:tcPr>
            <w:tcW w:w="1330" w:type="dxa"/>
            <w:tcBorders>
              <w:top w:val="single" w:sz="4" w:space="0" w:color="auto"/>
              <w:left w:val="nil"/>
              <w:bottom w:val="single" w:sz="4" w:space="0" w:color="auto"/>
              <w:right w:val="single" w:sz="4" w:space="0" w:color="auto"/>
            </w:tcBorders>
            <w:noWrap/>
            <w:vAlign w:val="center"/>
            <w:hideMark/>
          </w:tcPr>
          <w:p w14:paraId="6DF34C87"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&lt;40.000</w:t>
            </w:r>
          </w:p>
        </w:tc>
        <w:tc>
          <w:tcPr>
            <w:tcW w:w="1364" w:type="dxa"/>
            <w:tcBorders>
              <w:top w:val="single" w:sz="4" w:space="0" w:color="auto"/>
              <w:left w:val="nil"/>
              <w:bottom w:val="single" w:sz="4" w:space="0" w:color="auto"/>
              <w:right w:val="single" w:sz="4" w:space="0" w:color="auto"/>
            </w:tcBorders>
            <w:noWrap/>
            <w:vAlign w:val="center"/>
            <w:hideMark/>
          </w:tcPr>
          <w:p w14:paraId="29CBCFD4"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&gt;= 40.000</w:t>
            </w:r>
          </w:p>
        </w:tc>
        <w:tc>
          <w:tcPr>
            <w:tcW w:w="1417" w:type="dxa"/>
            <w:tcBorders>
              <w:top w:val="single" w:sz="4" w:space="0" w:color="auto"/>
              <w:left w:val="nil"/>
              <w:bottom w:val="single" w:sz="4" w:space="0" w:color="auto"/>
              <w:right w:val="single" w:sz="4" w:space="0" w:color="auto"/>
            </w:tcBorders>
            <w:noWrap/>
            <w:vAlign w:val="center"/>
            <w:hideMark/>
          </w:tcPr>
          <w:p w14:paraId="0AF0CA5E" w14:textId="77777777" w:rsidR="00980755" w:rsidRPr="00980755" w:rsidRDefault="00980755" w:rsidP="00980755">
            <w:pPr>
              <w:spacing w:line="278" w:lineRule="auto"/>
              <w:jc w:val="center"/>
              <w:rPr>
                <w:rFonts w:ascii="Arial" w:eastAsia="Times New Roman" w:hAnsi="Arial" w:cs="Arial"/>
                <w:b/>
                <w:bCs/>
                <w:color w:val="000000"/>
                <w:kern w:val="2"/>
                <w:sz w:val="20"/>
                <w:szCs w:val="20"/>
                <w:lang w:eastAsia="es-CO"/>
                <w14:ligatures w14:val="standardContextual"/>
              </w:rPr>
            </w:pPr>
            <w:r w:rsidRPr="00980755">
              <w:rPr>
                <w:rFonts w:ascii="Arial" w:eastAsia="Times New Roman" w:hAnsi="Arial" w:cs="Arial"/>
                <w:b/>
                <w:bCs/>
                <w:color w:val="000000"/>
                <w:kern w:val="2"/>
                <w:sz w:val="20"/>
                <w:szCs w:val="20"/>
                <w:lang w:eastAsia="es-CO"/>
                <w14:ligatures w14:val="standardContextual"/>
              </w:rPr>
              <w:t>-</w:t>
            </w:r>
          </w:p>
        </w:tc>
      </w:tr>
    </w:tbl>
    <w:p w14:paraId="7DBBA3C1" w14:textId="77777777" w:rsidR="00980755" w:rsidRPr="00980755" w:rsidRDefault="00980755" w:rsidP="00980755">
      <w:pPr>
        <w:spacing w:after="0"/>
        <w:rPr>
          <w:rFonts w:ascii="Arial" w:eastAsia="Aptos" w:hAnsi="Arial" w:cs="Arial"/>
          <w:kern w:val="2"/>
          <w:sz w:val="18"/>
          <w:szCs w:val="18"/>
          <w14:ligatures w14:val="standardContextual"/>
        </w:rPr>
      </w:pPr>
    </w:p>
    <w:p w14:paraId="2286189A" w14:textId="77777777" w:rsidR="00980755" w:rsidRPr="00980755" w:rsidRDefault="00980755" w:rsidP="00980755">
      <w:pPr>
        <w:spacing w:after="120" w:line="276" w:lineRule="auto"/>
        <w:ind w:firstLine="708"/>
        <w:jc w:val="both"/>
        <w:rPr>
          <w:rFonts w:ascii="Verdana" w:eastAsia="Aptos" w:hAnsi="Verdana" w:cs="Times New Roman"/>
          <w:kern w:val="2"/>
          <w14:ligatures w14:val="standardContextual"/>
        </w:rPr>
      </w:pPr>
      <w:r w:rsidRPr="00980755">
        <w:rPr>
          <w:rFonts w:ascii="Verdana" w:eastAsia="Aptos" w:hAnsi="Verdana" w:cs="Times New Roman"/>
          <w:kern w:val="2"/>
          <w14:ligatures w14:val="standardContextual"/>
        </w:rPr>
        <w:t>De conformidad con lo anterior, para cada uno de los rangos se establecieron indicadores de capacidad financiera y organizacional, que las entidades deberán exigir en los procesos de licitación de obra pública de infraestructura de transporte según el rango en el que se encuentre el presupuesto oficial del proceso de contratación.</w:t>
      </w:r>
    </w:p>
    <w:p w14:paraId="0D6A9E98" w14:textId="77777777" w:rsidR="00980755" w:rsidRPr="00980755" w:rsidRDefault="00980755" w:rsidP="00980755">
      <w:pPr>
        <w:spacing w:after="120" w:line="276" w:lineRule="auto"/>
        <w:ind w:firstLine="708"/>
        <w:jc w:val="both"/>
        <w:rPr>
          <w:rFonts w:ascii="Verdana" w:eastAsia="Aptos" w:hAnsi="Verdana" w:cs="Times New Roman"/>
          <w:kern w:val="2"/>
          <w14:ligatures w14:val="standardContextual"/>
        </w:rPr>
      </w:pPr>
      <w:r w:rsidRPr="00980755">
        <w:rPr>
          <w:rFonts w:ascii="Verdana" w:eastAsia="Aptos" w:hAnsi="Verdana" w:cs="Times New Roman"/>
          <w:kern w:val="2"/>
          <w14:ligatures w14:val="standardContextual"/>
        </w:rPr>
        <w:t xml:space="preserve">Adicionalmente, en la Matriz 2 se establecieron dos (2) reglas para la acreditación de los indicadores de capacidad financiera y organizacional: una aplicable a los proponentes que acrediten la condición de </w:t>
      </w:r>
      <w:proofErr w:type="spellStart"/>
      <w:r w:rsidRPr="00980755">
        <w:rPr>
          <w:rFonts w:ascii="Verdana" w:eastAsia="Aptos" w:hAnsi="Verdana" w:cs="Times New Roman"/>
          <w:kern w:val="2"/>
          <w14:ligatures w14:val="standardContextual"/>
        </w:rPr>
        <w:t>Mipyme</w:t>
      </w:r>
      <w:proofErr w:type="spellEnd"/>
      <w:r w:rsidRPr="00980755">
        <w:rPr>
          <w:rFonts w:ascii="Verdana" w:eastAsia="Aptos" w:hAnsi="Verdana" w:cs="Times New Roman"/>
          <w:kern w:val="2"/>
          <w14:ligatures w14:val="standardContextual"/>
        </w:rPr>
        <w:t xml:space="preserve"> (numeral 1) y otra aplicable a los demás proponentes, es decir, a aquellos que no ostenten dicha condición (numeral 2). Finalmente, la Matriz establece la regla para acreditar estos indicadores cuando el proceso de contratación se adelante por lotes o segmentos. </w:t>
      </w:r>
    </w:p>
    <w:p w14:paraId="4E52EE1B" w14:textId="77777777" w:rsidR="00980755" w:rsidRPr="00980755" w:rsidRDefault="00980755" w:rsidP="00980755">
      <w:pPr>
        <w:spacing w:after="120" w:line="276" w:lineRule="auto"/>
        <w:ind w:firstLine="708"/>
        <w:jc w:val="both"/>
        <w:rPr>
          <w:rFonts w:ascii="Verdana" w:eastAsia="Aptos" w:hAnsi="Verdana" w:cs="Times New Roman"/>
          <w:kern w:val="2"/>
          <w14:ligatures w14:val="standardContextual"/>
        </w:rPr>
      </w:pPr>
      <w:r w:rsidRPr="00980755">
        <w:rPr>
          <w:rFonts w:ascii="Verdana" w:eastAsia="Aptos" w:hAnsi="Verdana" w:cs="Times New Roman"/>
          <w:kern w:val="2"/>
          <w14:ligatures w14:val="standardContextual"/>
        </w:rPr>
        <w:t>Como se observa, los valores de los indicadores de rentabilidad sobre el patrimonio y rentabilidad del activo no corresponden a apartes que la entidad deba diligenciar –aquellos incluidos entre corchetes y resaltados en gris–, sino que fueron fijados por esta Agencia en la Matriz 2 para cada rango de presupuesto y tipo de proponente.</w:t>
      </w:r>
    </w:p>
    <w:p w14:paraId="5E85672F" w14:textId="77777777" w:rsidR="00980755" w:rsidRPr="00980755" w:rsidRDefault="00980755" w:rsidP="00980755">
      <w:pPr>
        <w:spacing w:after="120" w:line="276" w:lineRule="auto"/>
        <w:ind w:firstLine="708"/>
        <w:jc w:val="both"/>
        <w:rPr>
          <w:rFonts w:ascii="Verdana" w:eastAsia="Aptos" w:hAnsi="Verdana" w:cs="Times New Roman"/>
          <w:kern w:val="2"/>
          <w14:ligatures w14:val="standardContextual"/>
        </w:rPr>
      </w:pPr>
      <w:r w:rsidRPr="00980755">
        <w:rPr>
          <w:rFonts w:ascii="Verdana" w:eastAsia="Aptos" w:hAnsi="Verdana" w:cs="Times New Roman"/>
          <w:kern w:val="2"/>
          <w14:ligatures w14:val="standardContextual"/>
        </w:rPr>
        <w:t xml:space="preserve">En conclusión, y en respuesta al problema jurídico planteado en este concepto, los requisitos de capacidad financiera y organizacional aplicables a las </w:t>
      </w:r>
      <w:proofErr w:type="spellStart"/>
      <w:r w:rsidRPr="00980755">
        <w:rPr>
          <w:rFonts w:ascii="Verdana" w:eastAsia="Aptos" w:hAnsi="Verdana" w:cs="Times New Roman"/>
          <w:kern w:val="2"/>
          <w14:ligatures w14:val="standardContextual"/>
        </w:rPr>
        <w:lastRenderedPageBreak/>
        <w:t>Mipymes</w:t>
      </w:r>
      <w:proofErr w:type="spellEnd"/>
      <w:r w:rsidRPr="00980755">
        <w:rPr>
          <w:rFonts w:ascii="Verdana" w:eastAsia="Aptos" w:hAnsi="Verdana" w:cs="Times New Roman"/>
          <w:kern w:val="2"/>
          <w14:ligatures w14:val="standardContextual"/>
        </w:rPr>
        <w:t xml:space="preserve"> y a los demás proponentes en los procesos que se adelanten con el documento tipo de licitación de obra pública de infraestructura de transporte – versión 4 son los señalados en el documento base y en la Matriz 2. En virtud de la regla de inalterabilidad de los documentos tipo –desarrollada en el punto tres (</w:t>
      </w:r>
      <w:proofErr w:type="spellStart"/>
      <w:r w:rsidRPr="00980755">
        <w:rPr>
          <w:rFonts w:ascii="Verdana" w:eastAsia="Aptos" w:hAnsi="Verdana" w:cs="Times New Roman"/>
          <w:kern w:val="2"/>
          <w14:ligatures w14:val="standardContextual"/>
        </w:rPr>
        <w:t>iii</w:t>
      </w:r>
      <w:proofErr w:type="spellEnd"/>
      <w:r w:rsidRPr="00980755">
        <w:rPr>
          <w:rFonts w:ascii="Verdana" w:eastAsia="Aptos" w:hAnsi="Verdana" w:cs="Times New Roman"/>
          <w:kern w:val="2"/>
          <w14:ligatures w14:val="standardContextual"/>
        </w:rPr>
        <w:t>) de este concepto–, estos requisitos deben aplicarse de manera estricta, conforme a lo dispuesto en el documento tipo y a los parámetros señalados en el presente concepto, por lo que los indicadores de rentabilidad sobre el patrimonio y rentabilidad del activo no son modificables por las entidades estatales.</w:t>
      </w:r>
    </w:p>
    <w:p w14:paraId="3ED46D10" w14:textId="77777777" w:rsidR="00980755" w:rsidRPr="00980755" w:rsidRDefault="00980755" w:rsidP="00980755">
      <w:pPr>
        <w:spacing w:after="120" w:line="276" w:lineRule="auto"/>
        <w:ind w:firstLine="708"/>
        <w:jc w:val="both"/>
        <w:rPr>
          <w:rFonts w:ascii="Verdana" w:eastAsia="Aptos" w:hAnsi="Verdana" w:cs="Times New Roman"/>
          <w:kern w:val="2"/>
          <w14:ligatures w14:val="standardContextual"/>
        </w:rPr>
      </w:pPr>
      <w:r w:rsidRPr="00980755">
        <w:rPr>
          <w:rFonts w:ascii="Verdana" w:eastAsia="Aptos" w:hAnsi="Verdana" w:cs="Times New Roman"/>
          <w:kern w:val="2"/>
          <w14:ligatures w14:val="standardContextual"/>
        </w:rPr>
        <w:t>En consecuencia, al no tratarse de un aspecto que el documento tipo deje a criterio de la entidad, no existe un procedimiento ni una oportunidad para ajustar dichos indicadores, sea en el análisis del sector, en la estructuración del proceso o en otra etapa del procedimiento de selección.</w:t>
      </w:r>
    </w:p>
    <w:p w14:paraId="7668C35E" w14:textId="77777777" w:rsidR="00980755" w:rsidRPr="00980755" w:rsidRDefault="00980755" w:rsidP="00980755">
      <w:pPr>
        <w:spacing w:after="120" w:line="276" w:lineRule="auto"/>
        <w:ind w:firstLine="708"/>
        <w:jc w:val="both"/>
        <w:rPr>
          <w:rFonts w:ascii="Verdana" w:eastAsia="Aptos" w:hAnsi="Verdana" w:cs="Times New Roman"/>
          <w:kern w:val="2"/>
          <w14:ligatures w14:val="standardContextual"/>
        </w:rPr>
      </w:pPr>
      <w:r w:rsidRPr="00980755">
        <w:rPr>
          <w:rFonts w:ascii="Verdana" w:eastAsia="Aptos" w:hAnsi="Verdana" w:cs="Times New Roman"/>
          <w:kern w:val="2"/>
          <w14:ligatures w14:val="standardContextual"/>
        </w:rPr>
        <w:t xml:space="preserve">Por la misma razón, no es procedente que la entidad disminuya estos indicadores por debajo de los valores previstos en la Matriz 2 a solicitud de un interesado durante el término de observaciones al proyecto de pliego de condiciones. En todo caso, la búsqueda de pluralidad de oferentes no habilita a la entidad para desconocer la regla de inalterabilidad, más aún cuando los indicadores fueron definidos de forma proporcional al presupuesto oficial de cada proceso y con reglas diferenciadas para las </w:t>
      </w:r>
      <w:proofErr w:type="spellStart"/>
      <w:r w:rsidRPr="00980755">
        <w:rPr>
          <w:rFonts w:ascii="Verdana" w:eastAsia="Aptos" w:hAnsi="Verdana" w:cs="Times New Roman"/>
          <w:kern w:val="2"/>
          <w14:ligatures w14:val="standardContextual"/>
        </w:rPr>
        <w:t>Mipymes</w:t>
      </w:r>
      <w:proofErr w:type="spellEnd"/>
      <w:r w:rsidRPr="00980755">
        <w:rPr>
          <w:rFonts w:ascii="Verdana" w:eastAsia="Aptos" w:hAnsi="Verdana" w:cs="Times New Roman"/>
          <w:kern w:val="2"/>
          <w14:ligatures w14:val="standardContextual"/>
        </w:rPr>
        <w:t>.</w:t>
      </w:r>
    </w:p>
    <w:p w14:paraId="2C1BF512" w14:textId="77777777" w:rsidR="00980755" w:rsidRPr="00980755" w:rsidRDefault="00980755" w:rsidP="00980755">
      <w:pPr>
        <w:spacing w:after="120" w:line="276" w:lineRule="auto"/>
        <w:ind w:firstLine="708"/>
        <w:jc w:val="both"/>
        <w:rPr>
          <w:rFonts w:ascii="Verdana" w:eastAsia="Aptos" w:hAnsi="Verdana" w:cs="Times New Roman"/>
          <w:kern w:val="2"/>
          <w14:ligatures w14:val="standardContextual"/>
        </w:rPr>
      </w:pPr>
      <w:r w:rsidRPr="00980755">
        <w:rPr>
          <w:rFonts w:ascii="Verdana" w:eastAsia="Aptos" w:hAnsi="Verdana" w:cs="Times New Roman"/>
          <w:kern w:val="2"/>
          <w14:ligatures w14:val="standardContextual"/>
        </w:rPr>
        <w:t>Lo anterior no impide que los partícipes del sistema de compra pública presenten a esta Agencia sus comentarios sobre el contenido de los documentos tipo, los cuales serán analizados en el marco del deber de revisión permanente previsto en la Ley 2022 de 2020, según el procedimiento descrito en el punto dos (</w:t>
      </w:r>
      <w:proofErr w:type="spellStart"/>
      <w:r w:rsidRPr="00980755">
        <w:rPr>
          <w:rFonts w:ascii="Verdana" w:eastAsia="Aptos" w:hAnsi="Verdana" w:cs="Times New Roman"/>
          <w:kern w:val="2"/>
          <w14:ligatures w14:val="standardContextual"/>
        </w:rPr>
        <w:t>ii</w:t>
      </w:r>
      <w:proofErr w:type="spellEnd"/>
      <w:r w:rsidRPr="00980755">
        <w:rPr>
          <w:rFonts w:ascii="Verdana" w:eastAsia="Aptos" w:hAnsi="Verdana" w:cs="Times New Roman"/>
          <w:kern w:val="2"/>
          <w14:ligatures w14:val="standardContextual"/>
        </w:rPr>
        <w:t>) de este concepto.</w:t>
      </w:r>
    </w:p>
    <w:p w14:paraId="47957A0C" w14:textId="77777777" w:rsidR="00980755" w:rsidRPr="00980755" w:rsidRDefault="00980755" w:rsidP="00980755">
      <w:pPr>
        <w:spacing w:after="0" w:line="276" w:lineRule="auto"/>
        <w:ind w:firstLine="708"/>
        <w:jc w:val="both"/>
        <w:rPr>
          <w:rFonts w:ascii="Verdana" w:eastAsia="Aptos" w:hAnsi="Verdana" w:cs="Times New Roman"/>
          <w:kern w:val="2"/>
          <w14:ligatures w14:val="standardContextual"/>
        </w:rPr>
      </w:pPr>
      <w:r w:rsidRPr="00980755">
        <w:rPr>
          <w:rFonts w:ascii="Verdana" w:eastAsia="Aptos" w:hAnsi="Verdana" w:cs="Times New Roman"/>
          <w:kern w:val="2"/>
          <w14:ligatures w14:val="standardContextual"/>
        </w:rPr>
        <w:t xml:space="preserve">Finalmente, las consideraciones expuestas en este concepto son igualmente aplicables, en lo pertinente, a los demás documentos tipo de obra pública de infraestructura de transporte, esto es, a los de selección abreviada de menor cuantía y de mínima cuantía, pues en ellos los requisitos de capacidad financiera y organizacional también se encuentran definidos en el documento base –o en la invitación, en el caso de la mínima cuantía– y en la respectiva matriz de indicadores, y se encuentran sujetos a la misma regla de inalterabilidad. En consecuencia, en los procesos que se adelanten con estos documentos tipo, las entidades tampoco podrán modificar ni disminuir los </w:t>
      </w:r>
      <w:r w:rsidRPr="00980755">
        <w:rPr>
          <w:rFonts w:ascii="Verdana" w:eastAsia="Aptos" w:hAnsi="Verdana" w:cs="Times New Roman"/>
          <w:kern w:val="2"/>
          <w14:ligatures w14:val="standardContextual"/>
        </w:rPr>
        <w:lastRenderedPageBreak/>
        <w:t>indicadores allí establecidos, y deberán exigirlos en los términos previstos en cada documento tipo.</w:t>
      </w:r>
    </w:p>
    <w:p w14:paraId="4C77F547" w14:textId="77777777" w:rsidR="00980755" w:rsidRPr="00980755" w:rsidRDefault="00980755" w:rsidP="00980755">
      <w:pPr>
        <w:spacing w:after="0" w:line="276" w:lineRule="auto"/>
        <w:ind w:firstLine="708"/>
        <w:jc w:val="both"/>
        <w:rPr>
          <w:rFonts w:ascii="Verdana" w:eastAsia="Aptos" w:hAnsi="Verdana" w:cs="Times New Roman"/>
          <w:kern w:val="2"/>
          <w14:ligatures w14:val="standardContextual"/>
        </w:rPr>
      </w:pPr>
    </w:p>
    <w:p w14:paraId="3109733E" w14:textId="77777777" w:rsidR="00980755" w:rsidRPr="00980755" w:rsidRDefault="00980755" w:rsidP="00980755">
      <w:pPr>
        <w:tabs>
          <w:tab w:val="left" w:pos="709"/>
        </w:tabs>
        <w:snapToGrid w:val="0"/>
        <w:spacing w:after="120" w:line="276" w:lineRule="auto"/>
        <w:jc w:val="both"/>
        <w:rPr>
          <w:rFonts w:ascii="Verdana" w:eastAsia="Calibri" w:hAnsi="Verdana" w:cs="Arial"/>
          <w:color w:val="000000"/>
          <w:kern w:val="2"/>
          <w:lang w:val="es-ES"/>
          <w14:ligatures w14:val="standardContextual"/>
        </w:rPr>
      </w:pPr>
      <w:proofErr w:type="spellStart"/>
      <w:r w:rsidRPr="00980755">
        <w:rPr>
          <w:rFonts w:ascii="Verdana" w:eastAsia="Calibri" w:hAnsi="Verdana" w:cs="Arial"/>
          <w:color w:val="000000"/>
          <w:kern w:val="2"/>
          <w:lang w:val="es-ES"/>
          <w14:ligatures w14:val="standardContextual"/>
        </w:rPr>
        <w:t>iv</w:t>
      </w:r>
      <w:proofErr w:type="spellEnd"/>
      <w:r w:rsidRPr="00980755">
        <w:rPr>
          <w:rFonts w:ascii="Verdana" w:eastAsia="Calibri" w:hAnsi="Verdana" w:cs="Arial"/>
          <w:color w:val="000000"/>
          <w:kern w:val="2"/>
          <w:lang w:val="es-ES"/>
          <w14:ligatures w14:val="standardContextual"/>
        </w:rPr>
        <w:t>. 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296F22E" w14:textId="77777777" w:rsidR="00980755" w:rsidRPr="00980755" w:rsidRDefault="00980755" w:rsidP="00980755">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00980755">
        <w:rPr>
          <w:rFonts w:ascii="Verdana" w:eastAsia="Calibri" w:hAnsi="Verdana" w:cs="Arial"/>
          <w:color w:val="000000"/>
          <w:kern w:val="2"/>
          <w:lang w:val="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03D5B4B1" w14:textId="77777777" w:rsidR="00980755" w:rsidRPr="00980755" w:rsidRDefault="00980755" w:rsidP="00980755">
      <w:pPr>
        <w:spacing w:after="0"/>
        <w:ind w:firstLine="708"/>
        <w:jc w:val="both"/>
        <w:rPr>
          <w:rFonts w:ascii="Verdana" w:eastAsia="Aptos" w:hAnsi="Verdana" w:cs="Arial"/>
          <w:color w:val="000000"/>
          <w:lang w:val="es-ES"/>
        </w:rPr>
      </w:pPr>
    </w:p>
    <w:p w14:paraId="3881A5F2" w14:textId="77777777" w:rsidR="00980755" w:rsidRPr="00980755" w:rsidRDefault="00980755" w:rsidP="00980755">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980755">
        <w:rPr>
          <w:rFonts w:ascii="Verdana" w:eastAsia="Century Gothic" w:hAnsi="Verdana" w:cs="Century Gothic"/>
          <w:b/>
          <w:bCs/>
        </w:rPr>
        <w:t>Referencias normativas, jurisprudenciales y otras fuentes:</w:t>
      </w:r>
    </w:p>
    <w:p w14:paraId="60C7FEDE" w14:textId="77777777" w:rsidR="00980755" w:rsidRPr="00980755" w:rsidRDefault="00980755" w:rsidP="00980755">
      <w:pPr>
        <w:spacing w:after="0"/>
        <w:ind w:left="-15840"/>
        <w:jc w:val="both"/>
        <w:rPr>
          <w:rFonts w:ascii="Verdana" w:eastAsia="Calibri" w:hAnsi="Verdana" w:cs="Arial"/>
          <w:b/>
          <w:bCs/>
        </w:rPr>
      </w:pPr>
      <w:r w:rsidRPr="00980755">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980755" w:rsidRPr="00980755" w14:paraId="750886FB" w14:textId="77777777">
        <w:trPr>
          <w:trHeight w:val="870"/>
        </w:trPr>
        <w:tc>
          <w:tcPr>
            <w:tcW w:w="8647" w:type="dxa"/>
            <w:tcBorders>
              <w:top w:val="dotted" w:sz="4" w:space="0" w:color="auto"/>
              <w:left w:val="dotted" w:sz="4" w:space="0" w:color="auto"/>
              <w:bottom w:val="dotted" w:sz="4" w:space="0" w:color="auto"/>
              <w:right w:val="dotted" w:sz="4" w:space="0" w:color="auto"/>
            </w:tcBorders>
          </w:tcPr>
          <w:p w14:paraId="73896F33" w14:textId="77777777" w:rsidR="00980755" w:rsidRPr="00980755" w:rsidRDefault="00980755" w:rsidP="00980755">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980755">
              <w:rPr>
                <w:rFonts w:ascii="Verdana" w:eastAsia="Calibri" w:hAnsi="Verdana" w:cs="Arial"/>
                <w:lang w:val="es-ES_tradnl"/>
              </w:rPr>
              <w:t xml:space="preserve">Ley 2022 de 2020, artículo 1. </w:t>
            </w:r>
          </w:p>
          <w:p w14:paraId="7A7BEE96" w14:textId="77777777" w:rsidR="00980755" w:rsidRPr="00980755" w:rsidRDefault="00980755" w:rsidP="00980755">
            <w:pPr>
              <w:widowControl w:val="0"/>
              <w:numPr>
                <w:ilvl w:val="0"/>
                <w:numId w:val="17"/>
              </w:numPr>
              <w:autoSpaceDE w:val="0"/>
              <w:autoSpaceDN w:val="0"/>
              <w:spacing w:line="276" w:lineRule="auto"/>
              <w:jc w:val="both"/>
              <w:rPr>
                <w:rFonts w:ascii="Verdana" w:eastAsia="Calibri" w:hAnsi="Verdana" w:cs="Arial"/>
              </w:rPr>
            </w:pPr>
            <w:r w:rsidRPr="00980755">
              <w:rPr>
                <w:rFonts w:ascii="Verdana" w:eastAsia="Calibri" w:hAnsi="Verdana" w:cs="Arial"/>
              </w:rPr>
              <w:t>Ley 1150 de 2007, artículo 2.</w:t>
            </w:r>
          </w:p>
          <w:p w14:paraId="7F7CE274" w14:textId="77777777" w:rsidR="00980755" w:rsidRPr="00980755" w:rsidRDefault="00980755" w:rsidP="00980755">
            <w:pPr>
              <w:widowControl w:val="0"/>
              <w:numPr>
                <w:ilvl w:val="0"/>
                <w:numId w:val="17"/>
              </w:numPr>
              <w:autoSpaceDE w:val="0"/>
              <w:autoSpaceDN w:val="0"/>
              <w:spacing w:line="276" w:lineRule="auto"/>
              <w:contextualSpacing/>
              <w:jc w:val="both"/>
              <w:rPr>
                <w:rFonts w:ascii="Verdana" w:eastAsia="Calibri" w:hAnsi="Verdana" w:cs="Arial"/>
                <w:lang w:val="es-ES"/>
              </w:rPr>
            </w:pPr>
            <w:r w:rsidRPr="00980755">
              <w:rPr>
                <w:rFonts w:ascii="Verdana" w:eastAsia="Calibri" w:hAnsi="Verdana" w:cs="Arial"/>
                <w:lang w:val="es-ES_tradnl"/>
              </w:rPr>
              <w:t xml:space="preserve">Documentos Tipo. Disponibles en: </w:t>
            </w:r>
            <w:hyperlink r:id="rId11" w:history="1">
              <w:r w:rsidRPr="00980755">
                <w:rPr>
                  <w:rFonts w:ascii="Verdana" w:eastAsia="Calibri" w:hAnsi="Verdana" w:cs="Arial"/>
                  <w:color w:val="0000FF"/>
                  <w:u w:val="single"/>
                  <w:lang w:val="es-ES_tradnl"/>
                </w:rPr>
                <w:t>https://www.colombiacompra.gov.co/documentos-tipo/documentos-tipo</w:t>
              </w:r>
            </w:hyperlink>
            <w:r w:rsidRPr="00980755">
              <w:rPr>
                <w:rFonts w:ascii="Verdana" w:eastAsia="Calibri" w:hAnsi="Verdana" w:cs="Arial"/>
                <w:lang w:val="es-ES_tradnl"/>
              </w:rPr>
              <w:t>.</w:t>
            </w:r>
          </w:p>
        </w:tc>
      </w:tr>
    </w:tbl>
    <w:p w14:paraId="632F3B59" w14:textId="77777777" w:rsidR="00980755" w:rsidRPr="00980755" w:rsidRDefault="00980755" w:rsidP="00980755">
      <w:pPr>
        <w:tabs>
          <w:tab w:val="left" w:pos="142"/>
          <w:tab w:val="left" w:pos="284"/>
        </w:tabs>
        <w:spacing w:after="0" w:line="276" w:lineRule="auto"/>
        <w:jc w:val="both"/>
        <w:rPr>
          <w:rFonts w:ascii="Verdana" w:eastAsia="Calibri" w:hAnsi="Verdana" w:cs="Arial"/>
        </w:rPr>
      </w:pPr>
    </w:p>
    <w:p w14:paraId="2604C264" w14:textId="77777777" w:rsidR="00980755" w:rsidRPr="00980755" w:rsidRDefault="00980755" w:rsidP="00980755">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980755">
        <w:rPr>
          <w:rFonts w:ascii="Verdana" w:eastAsia="Century Gothic" w:hAnsi="Verdana" w:cs="Century Gothic"/>
          <w:b/>
          <w:bCs/>
        </w:rPr>
        <w:t>Doctrina de la Agencia Nacional de Contratación Pública:</w:t>
      </w:r>
    </w:p>
    <w:p w14:paraId="1FA22FE0" w14:textId="77777777" w:rsidR="00980755" w:rsidRPr="00980755" w:rsidRDefault="00980755" w:rsidP="00980755">
      <w:pPr>
        <w:widowControl w:val="0"/>
        <w:autoSpaceDE w:val="0"/>
        <w:autoSpaceDN w:val="0"/>
        <w:spacing w:after="0" w:line="276" w:lineRule="auto"/>
        <w:jc w:val="both"/>
        <w:rPr>
          <w:rFonts w:ascii="Verdana" w:eastAsia="Calibri" w:hAnsi="Verdana" w:cs="Arial"/>
        </w:rPr>
      </w:pPr>
    </w:p>
    <w:p w14:paraId="2C136B09" w14:textId="77777777" w:rsidR="00980755" w:rsidRPr="00980755" w:rsidRDefault="00980755" w:rsidP="00980755">
      <w:pPr>
        <w:widowControl w:val="0"/>
        <w:autoSpaceDE w:val="0"/>
        <w:autoSpaceDN w:val="0"/>
        <w:spacing w:after="0" w:line="276" w:lineRule="auto"/>
        <w:jc w:val="both"/>
        <w:rPr>
          <w:rFonts w:ascii="Verdana" w:eastAsia="Times New Roman" w:hAnsi="Verdana" w:cs="Arial"/>
          <w:shd w:val="clear" w:color="auto" w:fill="FFFFFF"/>
          <w:lang w:val="es-ES"/>
        </w:rPr>
      </w:pPr>
      <w:r w:rsidRPr="00980755">
        <w:rPr>
          <w:rFonts w:ascii="Verdana" w:eastAsia="Calibri" w:hAnsi="Verdana" w:cs="Arial"/>
          <w:shd w:val="clear" w:color="auto" w:fill="FFFFFF"/>
        </w:rPr>
        <w:t>L</w:t>
      </w:r>
      <w:r w:rsidRPr="00980755">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980755">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w:t>
      </w:r>
      <w:r w:rsidRPr="00980755">
        <w:rPr>
          <w:rFonts w:ascii="Verdana" w:eastAsia="Times New Roman" w:hAnsi="Verdana" w:cs="Arial"/>
          <w:shd w:val="clear" w:color="auto" w:fill="FFFFFF"/>
          <w:lang w:val="es-ES"/>
        </w:rPr>
        <w:lastRenderedPageBreak/>
        <w:t>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C-753 del 4 de enero de 2024, C-133 del 10 de marzo de 2025 y C-1485 del 24 de noviembre de 2025, entre otros.</w:t>
      </w:r>
    </w:p>
    <w:p w14:paraId="7FFDF6C2" w14:textId="77777777" w:rsidR="00980755" w:rsidRPr="00980755" w:rsidRDefault="00980755" w:rsidP="00980755">
      <w:pPr>
        <w:widowControl w:val="0"/>
        <w:autoSpaceDE w:val="0"/>
        <w:autoSpaceDN w:val="0"/>
        <w:spacing w:after="0" w:line="276" w:lineRule="auto"/>
        <w:jc w:val="both"/>
        <w:rPr>
          <w:rFonts w:ascii="Verdana" w:eastAsia="Times New Roman" w:hAnsi="Verdana" w:cs="Arial"/>
          <w:shd w:val="clear" w:color="auto" w:fill="FFFFFF"/>
          <w:lang w:val="es-ES"/>
        </w:rPr>
      </w:pPr>
    </w:p>
    <w:p w14:paraId="4CF05D0C" w14:textId="77777777" w:rsidR="00980755" w:rsidRPr="00980755" w:rsidRDefault="00980755" w:rsidP="00980755">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980755">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980755">
          <w:rPr>
            <w:rFonts w:ascii="Verdana" w:eastAsia="Calibri" w:hAnsi="Verdana" w:cs="Arial"/>
            <w:color w:val="0000FF"/>
            <w:kern w:val="2"/>
            <w:u w:val="single"/>
            <w:shd w:val="clear" w:color="auto" w:fill="FFFFFF"/>
            <w:lang w:eastAsia="es-MX"/>
            <w14:ligatures w14:val="standardContextual"/>
          </w:rPr>
          <w:t>https://relatoria.colombiacompra.gov.co/</w:t>
        </w:r>
      </w:hyperlink>
      <w:r w:rsidRPr="00980755">
        <w:rPr>
          <w:rFonts w:ascii="Verdana" w:eastAsia="Calibri" w:hAnsi="Verdana" w:cs="Arial"/>
          <w:color w:val="0000FF"/>
          <w:kern w:val="2"/>
          <w:u w:val="single"/>
          <w:shd w:val="clear" w:color="auto" w:fill="FFFFFF"/>
          <w:lang w:eastAsia="es-MX"/>
          <w14:ligatures w14:val="standardContextual"/>
        </w:rPr>
        <w:t> .</w:t>
      </w:r>
    </w:p>
    <w:p w14:paraId="3C2E76D7" w14:textId="77777777" w:rsidR="00980755" w:rsidRPr="00980755" w:rsidRDefault="00980755" w:rsidP="00980755">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5D91FC02" w14:textId="77777777" w:rsidR="00980755" w:rsidRPr="00980755" w:rsidRDefault="00980755" w:rsidP="00980755">
      <w:pPr>
        <w:spacing w:after="0" w:line="276" w:lineRule="auto"/>
        <w:jc w:val="both"/>
        <w:rPr>
          <w:rFonts w:ascii="Verdana" w:eastAsia="Aptos" w:hAnsi="Verdana" w:cs="Times New Roman"/>
          <w:kern w:val="2"/>
          <w14:ligatures w14:val="standardContextual"/>
        </w:rPr>
      </w:pPr>
      <w:r w:rsidRPr="00980755">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980755">
        <w:rPr>
          <w:rFonts w:ascii="Verdana" w:eastAsia="Aptos" w:hAnsi="Verdana" w:cs="Times New Roman"/>
          <w:b/>
          <w:bCs/>
          <w:color w:val="000000"/>
          <w:kern w:val="2"/>
          <w14:ligatures w14:val="standardContextual"/>
        </w:rPr>
        <w:t>Guía para la Exigencia y Constitución de Garantías en los Procesos de Contratación</w:t>
      </w:r>
      <w:r w:rsidRPr="00980755">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tooltip="https://nam02.safelinks.protection.outlook.com/?url=https%3A%2F%2Fwww.colombiacompra.gov.co%2Farchivos%2Fmanual%2Fguia-de-garantias-en-procesos-de-contratacion&amp;data=05%7C02%7Ccarlos.castrillon%40colombiacompra.gov.co%7C7128555136e04fa6887d08dee99e1b50%7C7b0904" w:history="1">
        <w:r w:rsidRPr="00980755">
          <w:rPr>
            <w:rFonts w:ascii="Verdana" w:eastAsia="Aptos" w:hAnsi="Verdana" w:cs="Times New Roman"/>
            <w:color w:val="0078D7"/>
            <w:kern w:val="2"/>
            <w:u w:val="single"/>
            <w14:ligatures w14:val="standardContextual"/>
          </w:rPr>
          <w:t>https://www.colombiacompra.gov.co/archivos/manual/guia-de-garantias-en-procesos-de-contratacion</w:t>
        </w:r>
      </w:hyperlink>
    </w:p>
    <w:p w14:paraId="447DB3C4" w14:textId="77777777" w:rsidR="00980755" w:rsidRPr="00980755" w:rsidRDefault="00980755" w:rsidP="00980755">
      <w:pPr>
        <w:spacing w:after="0" w:line="276" w:lineRule="auto"/>
        <w:jc w:val="both"/>
        <w:rPr>
          <w:rFonts w:ascii="Verdana" w:eastAsia="Aptos" w:hAnsi="Verdana" w:cs="Times New Roman"/>
          <w:kern w:val="2"/>
          <w14:ligatures w14:val="standardContextual"/>
        </w:rPr>
      </w:pPr>
    </w:p>
    <w:p w14:paraId="25663448" w14:textId="77777777" w:rsidR="00980755" w:rsidRPr="00980755" w:rsidRDefault="00980755" w:rsidP="00980755">
      <w:pPr>
        <w:spacing w:after="0" w:line="276" w:lineRule="auto"/>
        <w:jc w:val="both"/>
        <w:rPr>
          <w:rFonts w:ascii="Verdana" w:eastAsia="Aptos" w:hAnsi="Verdana" w:cs="Times New Roman"/>
          <w:kern w:val="2"/>
          <w14:ligatures w14:val="standardContextual"/>
        </w:rPr>
      </w:pPr>
      <w:r w:rsidRPr="00980755">
        <w:rPr>
          <w:rFonts w:ascii="Verdana" w:eastAsia="Aptos" w:hAnsi="Verdana" w:cs="Times New Roman"/>
          <w:color w:val="000000"/>
          <w:kern w:val="2"/>
          <w14:ligatures w14:val="standardContextual"/>
        </w:rPr>
        <w:lastRenderedPageBreak/>
        <w:t>De otro lado, te contamos que el Decreto 287 del 19 de marzo de 2026 sustituyó los artículos 2.2.1.2.4.2.6., 2.2.1.2.4.2.7. y 2.2.1.2.4.2.8. del Decreto 1082 de 2015 y estructuró el </w:t>
      </w:r>
      <w:r w:rsidRPr="00980755">
        <w:rPr>
          <w:rFonts w:ascii="Verdana" w:eastAsia="Aptos" w:hAnsi="Verdana" w:cs="Times New Roman"/>
          <w:b/>
          <w:bCs/>
          <w:color w:val="000000"/>
          <w:kern w:val="2"/>
          <w14:ligatures w14:val="standardContextual"/>
        </w:rPr>
        <w:t>Sistema Integral de Preferencias en favor de las personas con discapacidad</w:t>
      </w:r>
      <w:r w:rsidRPr="00980755">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980755">
        <w:rPr>
          <w:rFonts w:ascii="Verdana" w:eastAsia="Aptos" w:hAnsi="Verdana" w:cs="Times New Roman"/>
          <w:b/>
          <w:bCs/>
          <w:color w:val="000000"/>
          <w:kern w:val="2"/>
          <w14:ligatures w14:val="standardContextual"/>
        </w:rPr>
        <w:t>Circular Externa 003 del 12 de mayo de 2026, </w:t>
      </w:r>
      <w:r w:rsidRPr="00980755">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4" w:tooltip="https://nam02.safelinks.protection.outlook.com/?url=https%3A%2F%2Fwww.colombiacompra.gov.co%2Farchivos%2Fcircular%2Fcircular-externa-003-de-2026&amp;data=05%7C02%7Ccarlos.castrillon%40colombiacompra.gov.co%7C7128555136e04fa6887d08dee99e1b50%7C7b09041e245149d08cb17" w:history="1">
        <w:r w:rsidRPr="00980755">
          <w:rPr>
            <w:rFonts w:ascii="Verdana" w:eastAsia="Aptos" w:hAnsi="Verdana" w:cs="Times New Roman"/>
            <w:color w:val="0078D7"/>
            <w:kern w:val="2"/>
            <w:u w:val="single"/>
            <w14:ligatures w14:val="standardContextual"/>
          </w:rPr>
          <w:t>https://www.colombiacompra.gov.co/archivos/circular/circular-externa-003-de-2026</w:t>
        </w:r>
      </w:hyperlink>
    </w:p>
    <w:p w14:paraId="5CF06BF8" w14:textId="77777777" w:rsidR="00980755" w:rsidRPr="00980755" w:rsidRDefault="00980755" w:rsidP="00980755">
      <w:pPr>
        <w:spacing w:after="0" w:line="276" w:lineRule="auto"/>
        <w:jc w:val="both"/>
        <w:rPr>
          <w:rFonts w:ascii="Verdana" w:eastAsia="Aptos" w:hAnsi="Verdana" w:cs="Times New Roman"/>
          <w:color w:val="000000"/>
          <w:kern w:val="2"/>
          <w14:ligatures w14:val="standardContextual"/>
        </w:rPr>
      </w:pPr>
    </w:p>
    <w:p w14:paraId="0E6B03AE" w14:textId="77777777" w:rsidR="00980755" w:rsidRPr="00980755" w:rsidRDefault="00980755" w:rsidP="00980755">
      <w:pPr>
        <w:spacing w:after="0" w:line="276" w:lineRule="auto"/>
        <w:jc w:val="both"/>
        <w:rPr>
          <w:rFonts w:ascii="Verdana" w:eastAsia="Aptos" w:hAnsi="Verdana" w:cs="Times New Roman"/>
          <w:kern w:val="2"/>
          <w14:ligatures w14:val="standardContextual"/>
        </w:rPr>
      </w:pPr>
      <w:r w:rsidRPr="00980755">
        <w:rPr>
          <w:rFonts w:ascii="Verdana" w:eastAsia="Aptos" w:hAnsi="Verdana" w:cs="Times New Roman"/>
          <w:color w:val="000000"/>
          <w:kern w:val="2"/>
          <w14:ligatures w14:val="standardContextual"/>
        </w:rPr>
        <w:t>Recuerda también que la</w:t>
      </w:r>
      <w:r w:rsidRPr="00980755">
        <w:rPr>
          <w:rFonts w:ascii="Verdana" w:eastAsia="Aptos" w:hAnsi="Verdana" w:cs="Times New Roman"/>
          <w:b/>
          <w:bCs/>
          <w:color w:val="000000"/>
          <w:kern w:val="2"/>
          <w14:ligatures w14:val="standardContextual"/>
        </w:rPr>
        <w:t> información sobre sanciones e inhabilidades </w:t>
      </w:r>
      <w:r w:rsidRPr="00980755">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980755">
        <w:rPr>
          <w:rFonts w:ascii="Verdana" w:eastAsia="Aptos" w:hAnsi="Verdana" w:cs="Times New Roman"/>
          <w:b/>
          <w:bCs/>
          <w:color w:val="000000"/>
          <w:kern w:val="2"/>
          <w14:ligatures w14:val="standardContextual"/>
        </w:rPr>
        <w:t>Circular Externa 002 del 5 de mayo de 2026,</w:t>
      </w:r>
      <w:r w:rsidRPr="00980755">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tooltip="https://nam02.safelinks.protection.outlook.com/?url=https%3A%2F%2Fwww.colombiacompra.gov.co%2Farchivos%2Fcircular%2Fcircular-externa-002-de-2026&amp;data=05%7C02%7Ccarlos.castrillon%40colombiacompra.gov.co%7C7128555136e04fa6887d08dee99e1b50%7C7b09041e245149d08cb17" w:history="1">
        <w:r w:rsidRPr="00980755">
          <w:rPr>
            <w:rFonts w:ascii="Verdana" w:eastAsia="Aptos" w:hAnsi="Verdana" w:cs="Times New Roman"/>
            <w:color w:val="0078D7"/>
            <w:kern w:val="2"/>
            <w:u w:val="single"/>
            <w14:ligatures w14:val="standardContextual"/>
          </w:rPr>
          <w:t>https://www.colombiacompra.gov.co/archivos/circular/circular-externa-002-de-2026</w:t>
        </w:r>
      </w:hyperlink>
    </w:p>
    <w:p w14:paraId="3A78E3FB" w14:textId="77777777" w:rsidR="00980755" w:rsidRPr="00980755" w:rsidRDefault="00980755" w:rsidP="00980755">
      <w:pPr>
        <w:spacing w:after="0" w:line="276" w:lineRule="auto"/>
        <w:jc w:val="both"/>
        <w:rPr>
          <w:rFonts w:ascii="Verdana" w:eastAsia="Aptos" w:hAnsi="Verdana" w:cs="Times New Roman"/>
          <w:color w:val="000000"/>
          <w:kern w:val="2"/>
          <w14:ligatures w14:val="standardContextual"/>
        </w:rPr>
      </w:pPr>
    </w:p>
    <w:p w14:paraId="4ACEEFBF" w14:textId="77777777" w:rsidR="00980755" w:rsidRPr="00980755" w:rsidRDefault="00980755" w:rsidP="00980755">
      <w:pPr>
        <w:spacing w:after="0" w:line="276" w:lineRule="auto"/>
        <w:jc w:val="both"/>
        <w:rPr>
          <w:rFonts w:ascii="Verdana" w:eastAsia="Aptos" w:hAnsi="Verdana" w:cs="Times New Roman"/>
          <w:color w:val="000000"/>
          <w:kern w:val="2"/>
          <w14:ligatures w14:val="standardContextual"/>
        </w:rPr>
      </w:pPr>
      <w:r w:rsidRPr="00980755">
        <w:rPr>
          <w:rFonts w:ascii="Verdana" w:eastAsia="Aptos" w:hAnsi="Verdana" w:cs="Times New Roman"/>
          <w:color w:val="000000"/>
          <w:kern w:val="2"/>
          <w14:ligatures w14:val="standardContextual"/>
        </w:rPr>
        <w:t>Finalmente, si quieres seguir de cerca la actividad de la Agencia, la tercera edición de 2026 del</w:t>
      </w:r>
      <w:r w:rsidRPr="00980755">
        <w:rPr>
          <w:rFonts w:ascii="Verdana" w:eastAsia="Aptos" w:hAnsi="Verdana" w:cs="Times New Roman"/>
          <w:b/>
          <w:bCs/>
          <w:color w:val="000000"/>
          <w:kern w:val="2"/>
          <w14:ligatures w14:val="standardContextual"/>
        </w:rPr>
        <w:t> Radar de la Compra Pública</w:t>
      </w:r>
      <w:r w:rsidRPr="00980755">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tooltip="https://nam02.safelinks.protection.outlook.com/?url=https%3A%2F%2Fwww.colombiacompra.gov.co%2Farchivos%2Fboletin%2Fboletin-edicion-n-3-de-2026-radar-de-la-compra-publica&amp;data=05%7C02%7Ccarlos.castrillon%40colombiacompra.gov.co%7C7128555136e04fa6887d08dee99e1b5" w:history="1">
        <w:r w:rsidRPr="00980755">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980755">
        <w:rPr>
          <w:rFonts w:ascii="Verdana" w:eastAsia="Aptos" w:hAnsi="Verdana" w:cs="Times New Roman"/>
          <w:color w:val="000000"/>
          <w:kern w:val="2"/>
          <w14:ligatures w14:val="standardContextual"/>
        </w:rPr>
        <w:t>"</w:t>
      </w:r>
    </w:p>
    <w:p w14:paraId="7FD04AE0" w14:textId="77777777" w:rsidR="00980755" w:rsidRPr="00980755" w:rsidRDefault="00980755" w:rsidP="00980755">
      <w:pPr>
        <w:spacing w:after="0" w:line="276" w:lineRule="auto"/>
        <w:jc w:val="both"/>
        <w:rPr>
          <w:rFonts w:ascii="Verdana" w:eastAsia="Aptos" w:hAnsi="Verdana" w:cs="Times New Roman"/>
          <w:color w:val="000000"/>
          <w:kern w:val="2"/>
          <w14:ligatures w14:val="standardContextual"/>
        </w:rPr>
      </w:pPr>
    </w:p>
    <w:p w14:paraId="74D56111" w14:textId="77777777" w:rsidR="00980755" w:rsidRPr="00980755" w:rsidRDefault="00980755" w:rsidP="00980755">
      <w:pPr>
        <w:spacing w:after="0" w:line="276" w:lineRule="auto"/>
        <w:jc w:val="both"/>
        <w:rPr>
          <w:rFonts w:ascii="Verdana" w:eastAsia="Aptos" w:hAnsi="Verdana" w:cs="Times New Roman"/>
          <w:kern w:val="2"/>
          <w:lang w:eastAsia="es-MX"/>
          <w14:ligatures w14:val="standardContextual"/>
        </w:rPr>
      </w:pPr>
      <w:r w:rsidRPr="00980755">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38F9C662" w14:textId="77777777" w:rsidR="00980755" w:rsidRPr="00980755" w:rsidRDefault="00980755" w:rsidP="00980755">
      <w:pPr>
        <w:spacing w:after="0" w:line="276" w:lineRule="auto"/>
        <w:jc w:val="both"/>
        <w:rPr>
          <w:rFonts w:ascii="Verdana" w:eastAsia="Calibri" w:hAnsi="Verdana" w:cs="Times New Roman"/>
          <w:kern w:val="2"/>
          <w:lang w:eastAsia="es-MX"/>
          <w14:ligatures w14:val="standardContextual"/>
        </w:rPr>
      </w:pPr>
    </w:p>
    <w:p w14:paraId="613C6528" w14:textId="77777777" w:rsidR="00980755" w:rsidRPr="00980755" w:rsidRDefault="00980755" w:rsidP="00980755">
      <w:pPr>
        <w:spacing w:after="0" w:line="276" w:lineRule="auto"/>
        <w:jc w:val="both"/>
        <w:rPr>
          <w:rFonts w:ascii="Verdana" w:eastAsia="Aptos" w:hAnsi="Verdana" w:cs="Times New Roman"/>
          <w:kern w:val="2"/>
          <w:lang w:eastAsia="es-MX"/>
          <w14:ligatures w14:val="standardContextual"/>
        </w:rPr>
      </w:pPr>
      <w:r w:rsidRPr="00980755">
        <w:rPr>
          <w:rFonts w:ascii="Verdana" w:eastAsia="Aptos" w:hAnsi="Verdana" w:cs="Times New Roman"/>
          <w:kern w:val="2"/>
          <w:lang w:eastAsia="es-MX"/>
          <w14:ligatures w14:val="standardContextual"/>
        </w:rPr>
        <w:lastRenderedPageBreak/>
        <w:t xml:space="preserve">Twitter: </w:t>
      </w:r>
      <w:r w:rsidRPr="00980755">
        <w:rPr>
          <w:rFonts w:ascii="Verdana" w:eastAsia="Calibri" w:hAnsi="Verdana" w:cs="Times New Roman"/>
          <w:color w:val="156082"/>
          <w:kern w:val="2"/>
          <w:u w:val="single"/>
          <w:lang w:eastAsia="es-MX"/>
          <w14:ligatures w14:val="standardContextual"/>
        </w:rPr>
        <w:t>@colombiacompra</w:t>
      </w:r>
      <w:r w:rsidRPr="00980755">
        <w:rPr>
          <w:rFonts w:ascii="Verdana" w:eastAsia="Calibri" w:hAnsi="Verdana" w:cs="Times New Roman"/>
          <w:color w:val="156082"/>
          <w:kern w:val="2"/>
          <w:lang w:eastAsia="es-MX"/>
          <w14:ligatures w14:val="standardContextual"/>
        </w:rPr>
        <w:t xml:space="preserve"> </w:t>
      </w:r>
    </w:p>
    <w:p w14:paraId="65019B47" w14:textId="77777777" w:rsidR="00980755" w:rsidRPr="00980755" w:rsidRDefault="00980755" w:rsidP="00980755">
      <w:pPr>
        <w:spacing w:after="0" w:line="276" w:lineRule="auto"/>
        <w:jc w:val="both"/>
        <w:rPr>
          <w:rFonts w:ascii="Verdana" w:eastAsia="Aptos" w:hAnsi="Verdana" w:cs="Times New Roman"/>
          <w:kern w:val="2"/>
          <w:lang w:eastAsia="es-MX"/>
          <w14:ligatures w14:val="standardContextual"/>
        </w:rPr>
      </w:pPr>
      <w:r w:rsidRPr="00980755">
        <w:rPr>
          <w:rFonts w:ascii="Verdana" w:eastAsia="Aptos" w:hAnsi="Verdana" w:cs="Times New Roman"/>
          <w:kern w:val="2"/>
          <w:lang w:eastAsia="es-MX"/>
          <w14:ligatures w14:val="standardContextual"/>
        </w:rPr>
        <w:t xml:space="preserve">Facebook: </w:t>
      </w:r>
      <w:proofErr w:type="spellStart"/>
      <w:r w:rsidRPr="00980755">
        <w:rPr>
          <w:rFonts w:ascii="Verdana" w:eastAsia="Calibri" w:hAnsi="Verdana" w:cs="Times New Roman"/>
          <w:color w:val="156082"/>
          <w:kern w:val="2"/>
          <w:u w:val="single"/>
          <w:lang w:eastAsia="es-MX"/>
          <w14:ligatures w14:val="standardContextual"/>
        </w:rPr>
        <w:t>ColombiaCompraEficiente</w:t>
      </w:r>
      <w:proofErr w:type="spellEnd"/>
    </w:p>
    <w:p w14:paraId="09AED447" w14:textId="77777777" w:rsidR="00980755" w:rsidRPr="00980755" w:rsidRDefault="00980755" w:rsidP="00980755">
      <w:pPr>
        <w:spacing w:after="0" w:line="276" w:lineRule="auto"/>
        <w:jc w:val="both"/>
        <w:rPr>
          <w:rFonts w:ascii="Verdana" w:eastAsia="Aptos" w:hAnsi="Verdana" w:cs="Times New Roman"/>
          <w:kern w:val="2"/>
          <w:lang w:eastAsia="es-MX"/>
          <w14:ligatures w14:val="standardContextual"/>
        </w:rPr>
      </w:pPr>
      <w:r w:rsidRPr="00980755">
        <w:rPr>
          <w:rFonts w:ascii="Verdana" w:eastAsia="Aptos" w:hAnsi="Verdana" w:cs="Times New Roman"/>
          <w:kern w:val="2"/>
          <w:lang w:eastAsia="es-MX"/>
          <w14:ligatures w14:val="standardContextual"/>
        </w:rPr>
        <w:t xml:space="preserve">LinkedIn: </w:t>
      </w:r>
      <w:r w:rsidRPr="00980755">
        <w:rPr>
          <w:rFonts w:ascii="Verdana" w:eastAsia="Calibri" w:hAnsi="Verdana" w:cs="Times New Roman"/>
          <w:color w:val="156082"/>
          <w:kern w:val="2"/>
          <w:u w:val="single"/>
          <w:lang w:eastAsia="es-MX"/>
          <w14:ligatures w14:val="standardContextual"/>
        </w:rPr>
        <w:t>Agencia Nacional de Contratación Pública - Colombia Compra Eficiente</w:t>
      </w:r>
      <w:r w:rsidRPr="00980755">
        <w:rPr>
          <w:rFonts w:ascii="Verdana" w:eastAsia="Calibri" w:hAnsi="Verdana" w:cs="Times New Roman"/>
          <w:color w:val="156082"/>
          <w:kern w:val="2"/>
          <w:lang w:eastAsia="es-MX"/>
          <w14:ligatures w14:val="standardContextual"/>
        </w:rPr>
        <w:t xml:space="preserve"> </w:t>
      </w:r>
      <w:r w:rsidRPr="00980755">
        <w:rPr>
          <w:rFonts w:ascii="Verdana" w:eastAsia="Aptos" w:hAnsi="Verdana" w:cs="Times New Roman"/>
          <w:kern w:val="2"/>
          <w:lang w:eastAsia="es-MX"/>
          <w14:ligatures w14:val="standardContextual"/>
        </w:rPr>
        <w:t xml:space="preserve">Instagram: </w:t>
      </w:r>
      <w:r w:rsidRPr="00980755">
        <w:rPr>
          <w:rFonts w:ascii="Verdana" w:eastAsia="Calibri" w:hAnsi="Verdana" w:cs="Times New Roman"/>
          <w:color w:val="156082"/>
          <w:kern w:val="2"/>
          <w:u w:val="single"/>
          <w:lang w:eastAsia="es-MX"/>
          <w14:ligatures w14:val="standardContextual"/>
        </w:rPr>
        <w:t>@colombiacompraeficiente_cce</w:t>
      </w:r>
    </w:p>
    <w:p w14:paraId="13126756" w14:textId="77777777" w:rsidR="00980755" w:rsidRPr="00980755" w:rsidRDefault="00980755" w:rsidP="00980755">
      <w:pPr>
        <w:spacing w:after="0" w:line="276" w:lineRule="auto"/>
        <w:jc w:val="both"/>
        <w:rPr>
          <w:rFonts w:ascii="Verdana" w:eastAsia="Aptos" w:hAnsi="Verdana" w:cs="Times New Roman"/>
          <w:kern w:val="2"/>
          <w:lang w:eastAsia="es-MX"/>
          <w14:ligatures w14:val="standardContextual"/>
        </w:rPr>
      </w:pPr>
    </w:p>
    <w:p w14:paraId="441302EB" w14:textId="77777777" w:rsidR="00980755" w:rsidRPr="00980755" w:rsidRDefault="00980755" w:rsidP="00980755">
      <w:pPr>
        <w:spacing w:after="0" w:line="276" w:lineRule="auto"/>
        <w:jc w:val="both"/>
        <w:rPr>
          <w:rFonts w:ascii="Verdana" w:eastAsia="Calibri" w:hAnsi="Verdana" w:cs="Times New Roman"/>
          <w:bCs/>
          <w:kern w:val="2"/>
          <w:lang w:val="es-ES_tradnl" w:eastAsia="es-MX"/>
          <w14:ligatures w14:val="standardContextual"/>
        </w:rPr>
      </w:pPr>
      <w:r w:rsidRPr="00980755">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2863BF73" w14:textId="77777777" w:rsidR="00980755" w:rsidRPr="00980755" w:rsidRDefault="00980755" w:rsidP="00980755">
      <w:pPr>
        <w:spacing w:after="0" w:line="276" w:lineRule="auto"/>
        <w:jc w:val="both"/>
        <w:rPr>
          <w:rFonts w:ascii="Verdana" w:eastAsia="Calibri" w:hAnsi="Verdana" w:cs="Times New Roman"/>
          <w:kern w:val="2"/>
          <w:lang w:eastAsia="es-MX"/>
          <w14:ligatures w14:val="standardContextual"/>
        </w:rPr>
      </w:pPr>
    </w:p>
    <w:p w14:paraId="15B45C99" w14:textId="77777777" w:rsidR="00980755" w:rsidRPr="00980755" w:rsidRDefault="00980755" w:rsidP="00980755">
      <w:pPr>
        <w:spacing w:after="0" w:line="276" w:lineRule="auto"/>
        <w:jc w:val="both"/>
        <w:rPr>
          <w:rFonts w:ascii="Verdana" w:eastAsia="Calibri" w:hAnsi="Verdana" w:cs="Times New Roman"/>
          <w:kern w:val="2"/>
          <w:lang w:eastAsia="es-MX"/>
          <w14:ligatures w14:val="standardContextual"/>
        </w:rPr>
      </w:pPr>
      <w:r w:rsidRPr="00980755">
        <w:rPr>
          <w:rFonts w:ascii="Verdana" w:eastAsia="Calibri" w:hAnsi="Verdana" w:cs="Times New Roman"/>
          <w:kern w:val="2"/>
          <w:lang w:eastAsia="es-MX"/>
          <w14:ligatures w14:val="standardContextual"/>
        </w:rPr>
        <w:t>Atentamente,</w:t>
      </w:r>
    </w:p>
    <w:p w14:paraId="43510770" w14:textId="75FAB903" w:rsidR="00980755" w:rsidRPr="00980755" w:rsidRDefault="002D16FF" w:rsidP="00980755">
      <w:pPr>
        <w:tabs>
          <w:tab w:val="left" w:pos="1320"/>
        </w:tabs>
        <w:spacing w:after="0" w:line="278" w:lineRule="auto"/>
        <w:jc w:val="center"/>
        <w:rPr>
          <w:rFonts w:ascii="Century Gothic" w:eastAsia="Calibri" w:hAnsi="Century Gothic" w:cs="Times New Roman"/>
          <w:kern w:val="2"/>
          <w:sz w:val="24"/>
          <w:szCs w:val="24"/>
          <w:lang w:eastAsia="es-MX"/>
          <w14:ligatures w14:val="standardContextual"/>
        </w:rPr>
      </w:pPr>
      <w:r w:rsidRPr="004D5C25">
        <w:rPr>
          <w:rFonts w:ascii="Century Gothic" w:hAnsi="Century Gothic"/>
          <w:noProof/>
        </w:rPr>
        <w:drawing>
          <wp:inline distT="0" distB="0" distL="0" distR="0" wp14:anchorId="2E98AC90" wp14:editId="3220EF8C">
            <wp:extent cx="2394455" cy="1027953"/>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468950" cy="1059934"/>
                    </a:xfrm>
                    <a:prstGeom prst="rect">
                      <a:avLst/>
                    </a:prstGeom>
                  </pic:spPr>
                </pic:pic>
              </a:graphicData>
            </a:graphic>
          </wp:inline>
        </w:drawing>
      </w:r>
    </w:p>
    <w:p w14:paraId="169733D3" w14:textId="77777777" w:rsidR="00980755" w:rsidRPr="00980755" w:rsidRDefault="00980755" w:rsidP="00980755">
      <w:pPr>
        <w:tabs>
          <w:tab w:val="left" w:pos="1320"/>
        </w:tabs>
        <w:spacing w:after="0" w:line="278" w:lineRule="auto"/>
        <w:rPr>
          <w:rFonts w:ascii="Century Gothic" w:eastAsia="Calibri" w:hAnsi="Century Gothic" w:cs="Times New Roman"/>
          <w:kern w:val="2"/>
          <w:sz w:val="24"/>
          <w:szCs w:val="24"/>
          <w:lang w:eastAsia="es-MX"/>
          <w14:ligatures w14:val="standardContextual"/>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980755" w:rsidRPr="00980755" w14:paraId="47103320" w14:textId="77777777">
        <w:trPr>
          <w:trHeight w:val="323"/>
        </w:trPr>
        <w:tc>
          <w:tcPr>
            <w:tcW w:w="1041" w:type="dxa"/>
            <w:vAlign w:val="center"/>
            <w:hideMark/>
          </w:tcPr>
          <w:p w14:paraId="41ABDADA" w14:textId="77777777" w:rsidR="00980755" w:rsidRPr="00980755" w:rsidRDefault="00980755" w:rsidP="00980755">
            <w:pPr>
              <w:rPr>
                <w:rFonts w:ascii="Verdana" w:eastAsia="Calibri" w:hAnsi="Verdana" w:cs="Arial"/>
                <w:sz w:val="16"/>
                <w:szCs w:val="16"/>
                <w:lang w:val="es-ES_tradnl" w:eastAsia="es-ES"/>
              </w:rPr>
            </w:pPr>
            <w:r w:rsidRPr="00980755">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78F7B5AF" w14:textId="77777777" w:rsidR="00980755" w:rsidRPr="00980755" w:rsidRDefault="00980755" w:rsidP="00980755">
            <w:pPr>
              <w:rPr>
                <w:rFonts w:ascii="Verdana" w:eastAsia="Arial" w:hAnsi="Verdana" w:cs="Arial"/>
                <w:sz w:val="16"/>
                <w:szCs w:val="16"/>
                <w:lang w:val="es-ES" w:eastAsia="es-MX"/>
              </w:rPr>
            </w:pPr>
            <w:r w:rsidRPr="00980755">
              <w:rPr>
                <w:rFonts w:ascii="Verdana" w:eastAsia="Arial" w:hAnsi="Verdana" w:cs="Arial"/>
                <w:sz w:val="16"/>
                <w:szCs w:val="16"/>
                <w:lang w:val="es-ES" w:eastAsia="es-MX"/>
              </w:rPr>
              <w:t xml:space="preserve">Carlos Mario Castrillón Endo </w:t>
            </w:r>
          </w:p>
          <w:p w14:paraId="5201E845" w14:textId="77777777" w:rsidR="00980755" w:rsidRPr="00980755" w:rsidRDefault="00980755" w:rsidP="00980755">
            <w:pPr>
              <w:rPr>
                <w:rFonts w:ascii="Verdana" w:eastAsia="Arial" w:hAnsi="Verdana" w:cs="Arial"/>
                <w:sz w:val="16"/>
                <w:szCs w:val="16"/>
                <w:lang w:val="es-ES_tradnl" w:eastAsia="es-MX"/>
              </w:rPr>
            </w:pPr>
            <w:r w:rsidRPr="00980755">
              <w:rPr>
                <w:rFonts w:ascii="Verdana" w:eastAsia="Arial" w:hAnsi="Verdana" w:cs="Arial"/>
                <w:sz w:val="16"/>
                <w:szCs w:val="16"/>
                <w:lang w:val="es-ES_tradnl" w:eastAsia="es-MX"/>
              </w:rPr>
              <w:t>Contratista de la Subdirección de Gestión Contractual</w:t>
            </w:r>
          </w:p>
          <w:p w14:paraId="2E3875E9" w14:textId="77777777" w:rsidR="00980755" w:rsidRPr="00980755" w:rsidRDefault="00980755" w:rsidP="00980755">
            <w:pPr>
              <w:rPr>
                <w:rFonts w:ascii="Verdana" w:eastAsia="Arial" w:hAnsi="Verdana" w:cs="Arial"/>
                <w:sz w:val="16"/>
                <w:szCs w:val="16"/>
                <w:lang w:val="es-ES_tradnl" w:eastAsia="es-MX"/>
              </w:rPr>
            </w:pPr>
          </w:p>
        </w:tc>
      </w:tr>
      <w:tr w:rsidR="00980755" w:rsidRPr="00980755" w14:paraId="736EAB83" w14:textId="77777777">
        <w:trPr>
          <w:trHeight w:val="338"/>
        </w:trPr>
        <w:tc>
          <w:tcPr>
            <w:tcW w:w="1041" w:type="dxa"/>
            <w:vAlign w:val="center"/>
            <w:hideMark/>
          </w:tcPr>
          <w:p w14:paraId="53863767" w14:textId="77777777" w:rsidR="00980755" w:rsidRPr="00980755" w:rsidRDefault="00980755" w:rsidP="00980755">
            <w:pPr>
              <w:rPr>
                <w:rFonts w:ascii="Verdana" w:eastAsia="Calibri" w:hAnsi="Verdana" w:cs="Arial"/>
                <w:sz w:val="16"/>
                <w:szCs w:val="16"/>
                <w:lang w:val="es-ES_tradnl" w:eastAsia="es-ES"/>
              </w:rPr>
            </w:pPr>
            <w:r w:rsidRPr="00980755">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5F085005" w14:textId="77777777" w:rsidR="00980755" w:rsidRPr="00980755" w:rsidRDefault="00980755" w:rsidP="00980755">
            <w:pPr>
              <w:rPr>
                <w:rFonts w:ascii="Verdana" w:eastAsia="Arial" w:hAnsi="Verdana" w:cs="Arial"/>
                <w:sz w:val="16"/>
                <w:szCs w:val="16"/>
                <w:lang w:val="es-ES_tradnl" w:eastAsia="es-MX"/>
              </w:rPr>
            </w:pPr>
            <w:r w:rsidRPr="00980755">
              <w:rPr>
                <w:rFonts w:ascii="Verdana" w:eastAsia="Arial" w:hAnsi="Verdana" w:cs="Arial"/>
                <w:sz w:val="16"/>
                <w:szCs w:val="16"/>
                <w:lang w:val="es-ES_tradnl" w:eastAsia="es-MX"/>
              </w:rPr>
              <w:t>Alejandro Gambo Cárdenas</w:t>
            </w:r>
          </w:p>
          <w:p w14:paraId="5CF2B558" w14:textId="77777777" w:rsidR="00980755" w:rsidRPr="00980755" w:rsidRDefault="00980755" w:rsidP="00980755">
            <w:pPr>
              <w:rPr>
                <w:rFonts w:ascii="Verdana" w:eastAsia="Arial" w:hAnsi="Verdana" w:cs="Arial"/>
                <w:sz w:val="16"/>
                <w:szCs w:val="16"/>
                <w:lang w:val="es-ES" w:eastAsia="es-MX"/>
              </w:rPr>
            </w:pPr>
            <w:r w:rsidRPr="00980755">
              <w:rPr>
                <w:rFonts w:ascii="Verdana" w:eastAsia="Arial" w:hAnsi="Verdana" w:cs="Arial"/>
                <w:sz w:val="16"/>
                <w:szCs w:val="16"/>
                <w:lang w:val="es-ES_tradnl" w:eastAsia="es-MX"/>
              </w:rPr>
              <w:t>Contratista de la Subdirección de Gestión Contractual</w:t>
            </w:r>
          </w:p>
          <w:p w14:paraId="6623CF87" w14:textId="77777777" w:rsidR="00980755" w:rsidRPr="00980755" w:rsidRDefault="00980755" w:rsidP="00980755">
            <w:pPr>
              <w:rPr>
                <w:rFonts w:ascii="Verdana" w:eastAsia="Arial" w:hAnsi="Verdana" w:cs="Arial"/>
                <w:sz w:val="16"/>
                <w:szCs w:val="16"/>
                <w:lang w:val="es-ES_tradnl" w:eastAsia="es-MX"/>
              </w:rPr>
            </w:pPr>
            <w:r w:rsidRPr="00980755">
              <w:rPr>
                <w:rFonts w:ascii="Verdana" w:eastAsia="Arial" w:hAnsi="Verdana" w:cs="Arial"/>
                <w:sz w:val="16"/>
                <w:szCs w:val="16"/>
                <w:lang w:val="es-ES_tradnl" w:eastAsia="es-MX"/>
              </w:rPr>
              <w:t xml:space="preserve">Adriana Katherine López </w:t>
            </w:r>
            <w:proofErr w:type="spellStart"/>
            <w:r w:rsidRPr="00980755">
              <w:rPr>
                <w:rFonts w:ascii="Verdana" w:eastAsia="Arial" w:hAnsi="Verdana" w:cs="Arial"/>
                <w:sz w:val="16"/>
                <w:szCs w:val="16"/>
                <w:lang w:val="es-ES_tradnl" w:eastAsia="es-MX"/>
              </w:rPr>
              <w:t>Rodriguéz</w:t>
            </w:r>
            <w:proofErr w:type="spellEnd"/>
          </w:p>
          <w:p w14:paraId="06DD50BA" w14:textId="77777777" w:rsidR="00980755" w:rsidRPr="00980755" w:rsidRDefault="00980755" w:rsidP="00980755">
            <w:pPr>
              <w:rPr>
                <w:rFonts w:ascii="Verdana" w:eastAsia="Arial" w:hAnsi="Verdana" w:cs="Arial"/>
                <w:sz w:val="16"/>
                <w:szCs w:val="16"/>
                <w:lang w:val="es-ES" w:eastAsia="es-MX"/>
              </w:rPr>
            </w:pPr>
            <w:r w:rsidRPr="00980755">
              <w:rPr>
                <w:rFonts w:ascii="Verdana" w:eastAsia="Arial" w:hAnsi="Verdana" w:cs="Arial"/>
                <w:sz w:val="16"/>
                <w:szCs w:val="16"/>
                <w:lang w:val="es-ES_tradnl" w:eastAsia="es-MX"/>
              </w:rPr>
              <w:t>Contratista de la Subdirección de Gestión Contractual</w:t>
            </w:r>
          </w:p>
        </w:tc>
      </w:tr>
      <w:tr w:rsidR="00980755" w:rsidRPr="00980755" w14:paraId="440999F4" w14:textId="77777777">
        <w:trPr>
          <w:trHeight w:val="308"/>
        </w:trPr>
        <w:tc>
          <w:tcPr>
            <w:tcW w:w="1041" w:type="dxa"/>
            <w:vAlign w:val="center"/>
          </w:tcPr>
          <w:p w14:paraId="77B6A66A" w14:textId="77777777" w:rsidR="00980755" w:rsidRPr="00980755" w:rsidRDefault="00980755" w:rsidP="00980755">
            <w:pPr>
              <w:rPr>
                <w:rFonts w:ascii="Verdana" w:eastAsia="Calibri" w:hAnsi="Verdana" w:cs="Arial"/>
                <w:sz w:val="16"/>
                <w:szCs w:val="16"/>
                <w:lang w:val="es-ES_tradnl" w:eastAsia="es-ES"/>
              </w:rPr>
            </w:pPr>
            <w:r w:rsidRPr="00980755">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351B2B04" w14:textId="77777777" w:rsidR="00980755" w:rsidRPr="00980755" w:rsidRDefault="00980755" w:rsidP="00980755">
            <w:pPr>
              <w:rPr>
                <w:rFonts w:ascii="Verdana" w:eastAsia="Calibri" w:hAnsi="Verdana" w:cs="Arial"/>
                <w:sz w:val="16"/>
                <w:szCs w:val="16"/>
                <w:lang w:val="es-ES" w:eastAsia="es-ES"/>
              </w:rPr>
            </w:pPr>
            <w:r w:rsidRPr="00980755">
              <w:rPr>
                <w:rFonts w:ascii="Verdana" w:eastAsia="Calibri" w:hAnsi="Verdana" w:cs="Arial"/>
                <w:sz w:val="16"/>
                <w:szCs w:val="16"/>
                <w:lang w:val="es-ES" w:eastAsia="es-ES"/>
              </w:rPr>
              <w:t xml:space="preserve">Carolina Quintero </w:t>
            </w:r>
            <w:proofErr w:type="spellStart"/>
            <w:r w:rsidRPr="00980755">
              <w:rPr>
                <w:rFonts w:ascii="Verdana" w:eastAsia="Calibri" w:hAnsi="Verdana" w:cs="Arial"/>
                <w:sz w:val="16"/>
                <w:szCs w:val="16"/>
                <w:lang w:val="es-ES" w:eastAsia="es-ES"/>
              </w:rPr>
              <w:t>Gacharná</w:t>
            </w:r>
            <w:proofErr w:type="spellEnd"/>
          </w:p>
          <w:p w14:paraId="6E4E11B1" w14:textId="77777777" w:rsidR="00980755" w:rsidRPr="00980755" w:rsidRDefault="00980755" w:rsidP="00980755">
            <w:pPr>
              <w:rPr>
                <w:rFonts w:ascii="Verdana" w:eastAsia="Calibri" w:hAnsi="Verdana" w:cs="Arial"/>
                <w:sz w:val="16"/>
                <w:szCs w:val="16"/>
                <w:lang w:val="es-ES_tradnl" w:eastAsia="es-ES"/>
              </w:rPr>
            </w:pPr>
            <w:r w:rsidRPr="00980755">
              <w:rPr>
                <w:rFonts w:ascii="Verdana" w:eastAsia="Calibri" w:hAnsi="Verdana" w:cs="Arial"/>
                <w:sz w:val="16"/>
                <w:szCs w:val="16"/>
                <w:lang w:val="es-ES_tradnl" w:eastAsia="es-ES"/>
              </w:rPr>
              <w:t>Subdirectora de Gestión Contractual ANCP – CCE</w:t>
            </w:r>
          </w:p>
        </w:tc>
      </w:tr>
    </w:tbl>
    <w:p w14:paraId="3F63F9A3" w14:textId="77777777" w:rsidR="00980755" w:rsidRPr="00980755" w:rsidRDefault="00980755" w:rsidP="00980755">
      <w:pPr>
        <w:spacing w:after="0" w:line="240" w:lineRule="auto"/>
        <w:textAlignment w:val="baseline"/>
        <w:rPr>
          <w:rFonts w:ascii="Aptos" w:eastAsia="Aptos" w:hAnsi="Aptos" w:cs="Times New Roman"/>
          <w:kern w:val="2"/>
          <w:sz w:val="24"/>
          <w:szCs w:val="24"/>
          <w14:ligatures w14:val="standardContextual"/>
        </w:rPr>
      </w:pPr>
    </w:p>
    <w:p w14:paraId="796CAD71" w14:textId="657D9077" w:rsidR="00980755" w:rsidRPr="00980755" w:rsidRDefault="00980755" w:rsidP="00980755">
      <w:pPr>
        <w:spacing w:after="0" w:line="240" w:lineRule="auto"/>
        <w:textAlignment w:val="baseline"/>
        <w:rPr>
          <w:rFonts w:ascii="Verdana" w:eastAsia="Verdana" w:hAnsi="Verdana" w:cs="Verdana"/>
          <w:kern w:val="2"/>
          <w:sz w:val="24"/>
          <w:szCs w:val="24"/>
          <w:lang w:eastAsia="es-CO"/>
          <w14:ligatures w14:val="standardContextual"/>
        </w:rPr>
      </w:pPr>
      <w:r w:rsidRPr="00980755">
        <w:rPr>
          <w:rFonts w:ascii="Verdana" w:eastAsia="Verdana" w:hAnsi="Verdana" w:cs="Verdana"/>
          <w:kern w:val="2"/>
          <w:sz w:val="24"/>
          <w:szCs w:val="24"/>
          <w:lang w:eastAsia="es-CO"/>
          <w14:ligatures w14:val="standardContextual"/>
        </w:rPr>
        <w:t> </w:t>
      </w:r>
    </w:p>
    <w:p w14:paraId="5946AFFA" w14:textId="77777777" w:rsidR="00980755" w:rsidRPr="00980755" w:rsidRDefault="00980755" w:rsidP="00980755">
      <w:pPr>
        <w:widowControl w:val="0"/>
        <w:autoSpaceDE w:val="0"/>
        <w:autoSpaceDN w:val="0"/>
        <w:spacing w:after="120" w:line="276" w:lineRule="auto"/>
        <w:jc w:val="both"/>
        <w:rPr>
          <w:rFonts w:ascii="Verdana" w:eastAsia="Times New Roman" w:hAnsi="Verdana" w:cs="Arial"/>
          <w:shd w:val="clear" w:color="auto" w:fill="FFFFFF"/>
          <w:lang w:val="es-ES"/>
        </w:rPr>
      </w:pPr>
    </w:p>
    <w:bookmarkEnd w:id="2"/>
    <w:p w14:paraId="69BC4D14" w14:textId="18EF1EF0"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459263B3" w:rsidR="00127233" w:rsidRPr="0015699B" w:rsidRDefault="00127233" w:rsidP="004F6E97">
      <w:pPr>
        <w:spacing w:after="0" w:line="240" w:lineRule="auto"/>
        <w:textAlignment w:val="baseline"/>
        <w:rPr>
          <w:rFonts w:ascii="Verdana" w:eastAsia="Verdana" w:hAnsi="Verdana" w:cs="Verdana"/>
          <w:lang w:eastAsia="es-CO"/>
        </w:rPr>
      </w:pPr>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81982" w14:textId="77777777" w:rsidR="001D628F" w:rsidRDefault="001D628F" w:rsidP="004A1847">
      <w:pPr>
        <w:spacing w:after="0" w:line="240" w:lineRule="auto"/>
      </w:pPr>
      <w:r>
        <w:separator/>
      </w:r>
    </w:p>
  </w:endnote>
  <w:endnote w:type="continuationSeparator" w:id="0">
    <w:p w14:paraId="68A02124" w14:textId="77777777" w:rsidR="001D628F" w:rsidRDefault="001D628F" w:rsidP="004A1847">
      <w:pPr>
        <w:spacing w:after="0" w:line="240" w:lineRule="auto"/>
      </w:pPr>
      <w:r>
        <w:continuationSeparator/>
      </w:r>
    </w:p>
  </w:endnote>
  <w:endnote w:type="continuationNotice" w:id="1">
    <w:p w14:paraId="237773E8" w14:textId="77777777" w:rsidR="001D628F" w:rsidRDefault="001D62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Vrinda">
    <w:panose1 w:val="020B0502040204020203"/>
    <w:charset w:val="00"/>
    <w:family w:val="swiss"/>
    <w:pitch w:val="variable"/>
    <w:sig w:usb0="00010003" w:usb1="00000000" w:usb2="00000000" w:usb3="00000000" w:csb0="00000001"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roman"/>
    <w:notTrueType/>
    <w:pitch w:val="default"/>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980755">
      <w:rPr>
        <w:rFonts w:ascii="Verdana" w:eastAsia="Verdana" w:hAnsi="Verdana" w:cs="Verdana"/>
        <w:b/>
        <w:bCs/>
        <w:color w:val="000000"/>
        <w:sz w:val="18"/>
        <w:szCs w:val="18"/>
        <w:lang w:eastAsia="es-CO"/>
      </w:rPr>
      <w:t xml:space="preserve">Código: </w:t>
    </w:r>
    <w:r w:rsidRPr="00980755">
      <w:rPr>
        <w:rFonts w:ascii="Verdana" w:eastAsia="Verdana" w:hAnsi="Verdana" w:cs="Verdana"/>
        <w:color w:val="000000"/>
        <w:sz w:val="18"/>
        <w:szCs w:val="18"/>
        <w:lang w:eastAsia="es-CO"/>
      </w:rPr>
      <w:t xml:space="preserve">CCE-REC-FM-17 </w:t>
    </w:r>
    <w:r w:rsidRPr="00980755">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9E26D" w14:textId="77777777" w:rsidR="001D628F" w:rsidRDefault="001D628F" w:rsidP="004A1847">
      <w:pPr>
        <w:spacing w:after="0" w:line="240" w:lineRule="auto"/>
      </w:pPr>
      <w:r>
        <w:separator/>
      </w:r>
    </w:p>
  </w:footnote>
  <w:footnote w:type="continuationSeparator" w:id="0">
    <w:p w14:paraId="525AF2DF" w14:textId="77777777" w:rsidR="001D628F" w:rsidRDefault="001D628F" w:rsidP="004A1847">
      <w:pPr>
        <w:spacing w:after="0" w:line="240" w:lineRule="auto"/>
      </w:pPr>
      <w:r>
        <w:continuationSeparator/>
      </w:r>
    </w:p>
  </w:footnote>
  <w:footnote w:type="continuationNotice" w:id="1">
    <w:p w14:paraId="3559F08A" w14:textId="77777777" w:rsidR="001D628F" w:rsidRDefault="001D628F">
      <w:pPr>
        <w:spacing w:after="0" w:line="240" w:lineRule="auto"/>
      </w:pPr>
    </w:p>
  </w:footnote>
  <w:footnote w:id="2">
    <w:p w14:paraId="01553EDE" w14:textId="77777777" w:rsidR="00980755" w:rsidRPr="0048541D" w:rsidRDefault="00980755" w:rsidP="00980755">
      <w:pPr>
        <w:pStyle w:val="Textonotapie"/>
        <w:ind w:firstLine="708"/>
        <w:jc w:val="both"/>
        <w:rPr>
          <w:rFonts w:ascii="Verdana" w:hAnsi="Verdana"/>
          <w:sz w:val="18"/>
          <w:szCs w:val="18"/>
          <w:lang w:val="es-CO"/>
        </w:rPr>
      </w:pPr>
      <w:r w:rsidRPr="0048541D">
        <w:rPr>
          <w:rStyle w:val="Refdenotaalpie"/>
          <w:rFonts w:ascii="Verdana" w:hAnsi="Verdana"/>
          <w:sz w:val="18"/>
          <w:szCs w:val="18"/>
          <w:lang w:val="es-CO"/>
        </w:rPr>
        <w:footnoteRef/>
      </w:r>
      <w:r w:rsidRPr="0048541D">
        <w:rPr>
          <w:rFonts w:ascii="Verdana" w:hAnsi="Verdana"/>
          <w:sz w:val="18"/>
          <w:szCs w:val="18"/>
          <w:lang w:val="es-CO"/>
        </w:rPr>
        <w:t xml:space="preserve"> Estos Documentos Tipo pueden ser consultados en la página web de Colombia Compra Eficiente, a través del siguiente enlace: </w:t>
      </w:r>
      <w:hyperlink r:id="rId1" w:history="1">
        <w:r w:rsidRPr="0048541D">
          <w:rPr>
            <w:rStyle w:val="Hipervnculo"/>
            <w:rFonts w:ascii="Verdana" w:hAnsi="Verdana"/>
            <w:sz w:val="18"/>
            <w:szCs w:val="18"/>
            <w:lang w:val="es-CO"/>
          </w:rPr>
          <w:t>https://www.colombiacompra.gov.co/documentos-tipo/documentos-tipo</w:t>
        </w:r>
      </w:hyperlink>
      <w:r w:rsidRPr="0048541D">
        <w:rPr>
          <w:rFonts w:ascii="Verdana" w:hAnsi="Verdana"/>
          <w:sz w:val="18"/>
          <w:szCs w:val="18"/>
          <w:lang w:val="es-CO"/>
        </w:rPr>
        <w:t xml:space="preserve"> </w:t>
      </w:r>
    </w:p>
  </w:footnote>
  <w:footnote w:id="3">
    <w:p w14:paraId="3E597775" w14:textId="77777777" w:rsidR="00980755" w:rsidRPr="0048541D" w:rsidRDefault="00980755" w:rsidP="00980755">
      <w:pPr>
        <w:spacing w:after="0" w:line="276" w:lineRule="auto"/>
        <w:jc w:val="both"/>
        <w:rPr>
          <w:rFonts w:ascii="Verdana" w:hAnsi="Verdana"/>
          <w:sz w:val="18"/>
          <w:szCs w:val="18"/>
        </w:rPr>
      </w:pPr>
    </w:p>
    <w:p w14:paraId="09488ED0" w14:textId="77777777" w:rsidR="00980755" w:rsidRDefault="00980755" w:rsidP="00980755">
      <w:pPr>
        <w:spacing w:after="0" w:line="276" w:lineRule="auto"/>
        <w:ind w:firstLine="708"/>
        <w:jc w:val="both"/>
        <w:rPr>
          <w:rFonts w:ascii="Verdana" w:eastAsia="Calibri" w:hAnsi="Verdana" w:cs="Arial"/>
          <w:bCs/>
          <w:sz w:val="18"/>
          <w:szCs w:val="18"/>
        </w:rPr>
      </w:pPr>
      <w:r w:rsidRPr="0048541D">
        <w:rPr>
          <w:rStyle w:val="Refdenotaalpie"/>
          <w:rFonts w:ascii="Verdana" w:hAnsi="Verdana"/>
          <w:sz w:val="18"/>
          <w:szCs w:val="18"/>
        </w:rPr>
        <w:footnoteRef/>
      </w:r>
      <w:r w:rsidRPr="0048541D">
        <w:rPr>
          <w:rFonts w:ascii="Verdana" w:hAnsi="Verdana"/>
          <w:sz w:val="18"/>
          <w:szCs w:val="18"/>
        </w:rPr>
        <w:t xml:space="preserve"> </w:t>
      </w:r>
      <w:r w:rsidRPr="0048541D">
        <w:rPr>
          <w:rFonts w:ascii="Verdana" w:eastAsia="Calibri" w:hAnsi="Verdana" w:cs="Arial"/>
          <w:bCs/>
          <w:sz w:val="18"/>
          <w:szCs w:val="18"/>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3F9B6F32" w14:textId="77777777" w:rsidR="00980755" w:rsidRDefault="00980755" w:rsidP="00980755">
      <w:pPr>
        <w:spacing w:after="0" w:line="276" w:lineRule="auto"/>
        <w:ind w:firstLine="708"/>
        <w:jc w:val="both"/>
        <w:rPr>
          <w:rFonts w:ascii="Verdana" w:eastAsia="Calibri" w:hAnsi="Verdana" w:cs="Arial"/>
          <w:bCs/>
          <w:sz w:val="18"/>
          <w:szCs w:val="18"/>
        </w:rPr>
      </w:pPr>
    </w:p>
    <w:p w14:paraId="49059C64" w14:textId="77777777" w:rsidR="00980755" w:rsidRPr="0048541D" w:rsidRDefault="00980755" w:rsidP="00980755">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774D9040" w14:textId="77777777" w:rsidR="00980755" w:rsidRDefault="00980755" w:rsidP="00980755">
      <w:pPr>
        <w:spacing w:after="0" w:line="276" w:lineRule="auto"/>
        <w:jc w:val="both"/>
        <w:rPr>
          <w:rFonts w:ascii="Verdana" w:eastAsia="Calibri" w:hAnsi="Verdana" w:cs="Arial"/>
          <w:bCs/>
          <w:sz w:val="18"/>
          <w:szCs w:val="18"/>
        </w:rPr>
      </w:pPr>
    </w:p>
    <w:p w14:paraId="75A3E4FA" w14:textId="77777777" w:rsidR="00980755" w:rsidRDefault="00980755" w:rsidP="00980755">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 xml:space="preserve">Resolución 464 del 10 de septiembre de 2024: “Por la cual se actualizan los documentos tipo para los procesos de obra pública de infraestructura de transporte adelantados bajo la modalidad de mínima cuantía”. </w:t>
      </w:r>
    </w:p>
    <w:p w14:paraId="2B944315" w14:textId="77777777" w:rsidR="00980755" w:rsidRPr="0048541D" w:rsidRDefault="00980755" w:rsidP="00980755">
      <w:pPr>
        <w:spacing w:after="0" w:line="276" w:lineRule="auto"/>
        <w:jc w:val="both"/>
        <w:rPr>
          <w:rFonts w:ascii="Verdana" w:eastAsia="Calibri" w:hAnsi="Verdana" w:cs="Arial"/>
          <w:bCs/>
          <w:sz w:val="18"/>
          <w:szCs w:val="18"/>
        </w:rPr>
      </w:pPr>
    </w:p>
    <w:p w14:paraId="71DE44A2" w14:textId="77777777" w:rsidR="00980755" w:rsidRDefault="00980755" w:rsidP="00980755">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76FBEA0B" w14:textId="77777777" w:rsidR="00980755" w:rsidRPr="0048541D" w:rsidRDefault="00980755" w:rsidP="00980755">
      <w:pPr>
        <w:spacing w:after="0" w:line="276" w:lineRule="auto"/>
        <w:ind w:firstLine="708"/>
        <w:jc w:val="both"/>
        <w:rPr>
          <w:rFonts w:ascii="Verdana" w:eastAsia="Calibri" w:hAnsi="Verdana" w:cs="Arial"/>
          <w:bCs/>
          <w:sz w:val="18"/>
          <w:szCs w:val="18"/>
        </w:rPr>
      </w:pPr>
    </w:p>
    <w:p w14:paraId="394E971E" w14:textId="77777777" w:rsidR="00980755" w:rsidRPr="0048541D" w:rsidRDefault="00980755" w:rsidP="00980755">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456 del 10 de septiembre de 2024: “Por la cual se adopta la versión 4 de los documentos tipo para los procesos de selección de licitación de obra pública de infraestructura de transporte y se deroga la Resolución 240 de 2020”.</w:t>
      </w:r>
    </w:p>
    <w:p w14:paraId="17081BC3" w14:textId="77777777" w:rsidR="00980755" w:rsidRPr="0048541D" w:rsidRDefault="00980755" w:rsidP="00980755">
      <w:pPr>
        <w:spacing w:after="0" w:line="276" w:lineRule="auto"/>
        <w:ind w:firstLine="708"/>
        <w:jc w:val="both"/>
        <w:rPr>
          <w:rFonts w:ascii="Verdana" w:eastAsia="Calibri" w:hAnsi="Verdana" w:cs="Arial"/>
          <w:bCs/>
          <w:sz w:val="18"/>
          <w:szCs w:val="18"/>
        </w:rPr>
      </w:pPr>
    </w:p>
    <w:p w14:paraId="2D1DD4B8" w14:textId="77777777" w:rsidR="00980755" w:rsidRPr="0048541D" w:rsidRDefault="00980755" w:rsidP="00980755">
      <w:pPr>
        <w:pStyle w:val="Textonotapie"/>
        <w:rPr>
          <w:rFonts w:ascii="Verdana" w:hAnsi="Verdana"/>
          <w:sz w:val="18"/>
          <w:szCs w:val="18"/>
          <w:lang w:val="es-CO"/>
        </w:rPr>
      </w:pPr>
    </w:p>
  </w:footnote>
  <w:footnote w:id="4">
    <w:p w14:paraId="6C765841" w14:textId="77777777" w:rsidR="00980755" w:rsidRPr="002B5CC2" w:rsidRDefault="00980755" w:rsidP="00980755">
      <w:pPr>
        <w:pStyle w:val="Textonotapie"/>
        <w:ind w:firstLine="708"/>
        <w:jc w:val="both"/>
        <w:rPr>
          <w:rFonts w:ascii="Arial" w:hAnsi="Arial" w:cs="Arial"/>
          <w:sz w:val="18"/>
          <w:szCs w:val="18"/>
        </w:rPr>
      </w:pPr>
      <w:r w:rsidRPr="002B5CC2">
        <w:rPr>
          <w:rStyle w:val="Refdenotaalpie"/>
          <w:rFonts w:ascii="Arial" w:hAnsi="Arial" w:cs="Arial"/>
          <w:sz w:val="18"/>
          <w:szCs w:val="18"/>
        </w:rPr>
        <w:footnoteRef/>
      </w:r>
      <w:r w:rsidRPr="002B5CC2">
        <w:rPr>
          <w:rFonts w:ascii="Arial" w:hAnsi="Arial" w:cs="Arial"/>
          <w:sz w:val="18"/>
          <w:szCs w:val="18"/>
        </w:rPr>
        <w:t xml:space="preserve"> En relación con los documentos tipo para los procesos de selección abreviada de menor cuantía de obra pública de infraestructura de transporte, esta posibilidad se encuentra establecida en el artículo 4 de la Resolución 463 de 2024. </w:t>
      </w:r>
    </w:p>
  </w:footnote>
  <w:footnote w:id="5">
    <w:p w14:paraId="1324A569" w14:textId="77777777" w:rsidR="00980755" w:rsidRPr="00980755" w:rsidRDefault="00980755" w:rsidP="00980755">
      <w:pPr>
        <w:pStyle w:val="Textonotapie"/>
        <w:ind w:firstLine="709"/>
        <w:jc w:val="both"/>
        <w:rPr>
          <w:rFonts w:ascii="Verdana" w:hAnsi="Verdana" w:cs="Arial"/>
          <w:color w:val="000000"/>
          <w:sz w:val="18"/>
          <w:szCs w:val="18"/>
        </w:rPr>
      </w:pPr>
    </w:p>
    <w:p w14:paraId="7FEA60EB" w14:textId="77777777" w:rsidR="00980755" w:rsidRPr="00980755" w:rsidRDefault="00980755" w:rsidP="00980755">
      <w:pPr>
        <w:pStyle w:val="Textonotapie"/>
        <w:ind w:firstLine="709"/>
        <w:jc w:val="both"/>
        <w:rPr>
          <w:rFonts w:ascii="Verdana" w:hAnsi="Verdana" w:cs="Arial"/>
          <w:color w:val="000000"/>
          <w:sz w:val="18"/>
          <w:szCs w:val="18"/>
          <w:lang w:val="es-ES"/>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w:t>
      </w:r>
      <w:r w:rsidRPr="00980755">
        <w:rPr>
          <w:rFonts w:ascii="Verdana" w:hAnsi="Verdana" w:cs="Arial"/>
          <w:color w:val="000000"/>
          <w:sz w:val="18"/>
          <w:szCs w:val="18"/>
          <w:lang w:val="es-ES"/>
        </w:rPr>
        <w:t xml:space="preserve">En cuanto a las resoluciones vigentes, dicha regla se observa en el artículo 3 de las Resoluciones </w:t>
      </w:r>
      <w:bookmarkStart w:id="3" w:name="_Hlk82363077"/>
      <w:r w:rsidRPr="00980755">
        <w:rPr>
          <w:rFonts w:ascii="Verdana" w:hAnsi="Verdana" w:cs="Arial"/>
          <w:color w:val="000000"/>
          <w:sz w:val="18"/>
          <w:szCs w:val="18"/>
          <w:lang w:val="es-ES"/>
        </w:rPr>
        <w:t>248 de 2020, 249 de 2020, 269 de 2020, 219 de 2021, 220 de 2021, 392 de 2021, 454 de 2021, 333 de 2022, 358 de 2023, 798 de 2023, 456 de 2024, 463 de 2024, 464 de 2024, 725 de 2024, 726 de 2024, 539 de 2025, entre otras</w:t>
      </w:r>
      <w:bookmarkEnd w:id="3"/>
      <w:r w:rsidRPr="00980755">
        <w:rPr>
          <w:rFonts w:ascii="Verdana" w:hAnsi="Verdana" w:cs="Arial"/>
          <w:color w:val="000000"/>
          <w:sz w:val="18"/>
          <w:szCs w:val="18"/>
          <w:lang w:val="es-ES"/>
        </w:rPr>
        <w:t xml:space="preserve">. </w:t>
      </w:r>
    </w:p>
    <w:p w14:paraId="5D9504EA" w14:textId="77777777" w:rsidR="00980755" w:rsidRPr="00980755" w:rsidRDefault="00980755" w:rsidP="00980755">
      <w:pPr>
        <w:pStyle w:val="Textonotapie"/>
        <w:ind w:firstLine="709"/>
        <w:jc w:val="both"/>
        <w:rPr>
          <w:rFonts w:ascii="Verdana" w:hAnsi="Verdana" w:cs="Arial"/>
          <w:color w:val="000000"/>
          <w:sz w:val="18"/>
          <w:szCs w:val="18"/>
          <w:lang w:val="es-ES"/>
        </w:rPr>
      </w:pPr>
    </w:p>
  </w:footnote>
  <w:footnote w:id="6">
    <w:p w14:paraId="38EA7447" w14:textId="77777777" w:rsidR="00980755" w:rsidRPr="00980755" w:rsidRDefault="00980755" w:rsidP="00980755">
      <w:pPr>
        <w:pStyle w:val="Textonotapie"/>
        <w:ind w:firstLine="708"/>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157B9785" w14:textId="77777777" w:rsidR="00980755" w:rsidRPr="00980755" w:rsidRDefault="00980755" w:rsidP="00980755">
      <w:pPr>
        <w:pStyle w:val="Textonotapie"/>
        <w:ind w:firstLine="708"/>
        <w:jc w:val="both"/>
        <w:rPr>
          <w:rFonts w:ascii="Verdana" w:hAnsi="Verdana" w:cs="Arial"/>
          <w:color w:val="000000"/>
          <w:sz w:val="18"/>
          <w:szCs w:val="18"/>
        </w:rPr>
      </w:pPr>
    </w:p>
  </w:footnote>
  <w:footnote w:id="7">
    <w:p w14:paraId="417086FC" w14:textId="77777777" w:rsidR="00980755" w:rsidRPr="00980755" w:rsidRDefault="00980755" w:rsidP="00980755">
      <w:pPr>
        <w:pStyle w:val="Textonotapie"/>
        <w:ind w:firstLine="709"/>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14F737D5" w14:textId="77777777" w:rsidR="00980755" w:rsidRPr="00980755" w:rsidRDefault="00980755" w:rsidP="00980755">
      <w:pPr>
        <w:pStyle w:val="Textonotapie"/>
        <w:ind w:firstLine="709"/>
        <w:jc w:val="both"/>
        <w:rPr>
          <w:rFonts w:ascii="Verdana" w:hAnsi="Verdana" w:cs="Arial"/>
          <w:color w:val="000000"/>
          <w:sz w:val="18"/>
          <w:szCs w:val="18"/>
        </w:rPr>
      </w:pPr>
    </w:p>
  </w:footnote>
  <w:footnote w:id="8">
    <w:p w14:paraId="6B25A863" w14:textId="77777777" w:rsidR="00980755" w:rsidRPr="00980755" w:rsidRDefault="00980755" w:rsidP="00980755">
      <w:pPr>
        <w:ind w:firstLine="709"/>
        <w:jc w:val="both"/>
        <w:rPr>
          <w:rFonts w:ascii="Verdana" w:hAnsi="Verdana" w:cs="Arial"/>
          <w:color w:val="000000"/>
          <w:sz w:val="18"/>
          <w:szCs w:val="18"/>
          <w:lang w:val="es-ES"/>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w:t>
      </w:r>
      <w:r w:rsidRPr="00980755">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9">
    <w:p w14:paraId="1EB9DF25" w14:textId="77777777" w:rsidR="00980755" w:rsidRPr="00F830D6" w:rsidRDefault="00980755" w:rsidP="00980755">
      <w:pPr>
        <w:pStyle w:val="Textonotapie"/>
        <w:ind w:firstLine="708"/>
        <w:jc w:val="both"/>
        <w:rPr>
          <w:rFonts w:ascii="Verdana" w:hAnsi="Verdana" w:cs="Arial"/>
          <w:sz w:val="18"/>
          <w:szCs w:val="18"/>
          <w:lang w:val="es-ES"/>
        </w:rPr>
      </w:pPr>
      <w:r w:rsidRPr="00F830D6">
        <w:rPr>
          <w:rStyle w:val="Refdenotaalpie"/>
          <w:rFonts w:ascii="Verdana" w:hAnsi="Verdana" w:cs="Arial"/>
          <w:sz w:val="18"/>
          <w:szCs w:val="18"/>
        </w:rPr>
        <w:footnoteRef/>
      </w:r>
      <w:r w:rsidRPr="00F830D6">
        <w:rPr>
          <w:rFonts w:ascii="Verdana" w:hAnsi="Verdana" w:cs="Arial"/>
          <w:sz w:val="18"/>
          <w:szCs w:val="18"/>
        </w:rPr>
        <w:t xml:space="preserve"> Diccionario de la Real Academia Española, versión online disponible en: </w:t>
      </w:r>
      <w:hyperlink r:id="rId2" w:history="1">
        <w:r w:rsidRPr="00F830D6">
          <w:rPr>
            <w:rStyle w:val="Hipervnculo"/>
            <w:rFonts w:ascii="Verdana" w:hAnsi="Verdana" w:cs="Arial"/>
            <w:sz w:val="18"/>
            <w:szCs w:val="18"/>
          </w:rPr>
          <w:t>https://dle.rae.es/est%C3%A1ndar</w:t>
        </w:r>
      </w:hyperlink>
      <w:r w:rsidRPr="00F830D6">
        <w:rPr>
          <w:rFonts w:ascii="Verdana" w:hAnsi="Verdana" w:cs="Arial"/>
          <w:sz w:val="18"/>
          <w:szCs w:val="18"/>
        </w:rPr>
        <w:t xml:space="preserve">, consultado el 2 de junio de 2020. </w:t>
      </w:r>
    </w:p>
  </w:footnote>
  <w:footnote w:id="10">
    <w:p w14:paraId="5BB2479C" w14:textId="77777777" w:rsidR="00980755" w:rsidRPr="00980755" w:rsidRDefault="00980755" w:rsidP="00980755">
      <w:pPr>
        <w:ind w:firstLine="708"/>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61721C36" w14:textId="77777777" w:rsidR="00980755" w:rsidRPr="00980755" w:rsidRDefault="00980755" w:rsidP="00980755">
      <w:pPr>
        <w:ind w:firstLine="708"/>
        <w:jc w:val="both"/>
        <w:rPr>
          <w:rFonts w:ascii="Verdana" w:hAnsi="Verdana" w:cs="Arial"/>
          <w:color w:val="000000"/>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86" type="#_x0000_t75" style="width:7.85pt;height:7.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928" w:hanging="360"/>
      </w:pPr>
      <w:rPr>
        <w:b/>
        <w:color w:val="000000" w:themeColor="text1"/>
      </w:rPr>
    </w:lvl>
    <w:lvl w:ilvl="1">
      <w:start w:val="2"/>
      <w:numFmt w:val="decimal"/>
      <w:isLgl/>
      <w:lvlText w:val="%1.%2"/>
      <w:lvlJc w:val="left"/>
      <w:pPr>
        <w:ind w:left="56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8279856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92687"/>
    <w:rsid w:val="001A33BF"/>
    <w:rsid w:val="001D628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D16FF"/>
    <w:rsid w:val="002D5C80"/>
    <w:rsid w:val="002E2BF8"/>
    <w:rsid w:val="002E4FD9"/>
    <w:rsid w:val="0030657A"/>
    <w:rsid w:val="00322A85"/>
    <w:rsid w:val="00324168"/>
    <w:rsid w:val="00330834"/>
    <w:rsid w:val="003448F4"/>
    <w:rsid w:val="00374F5E"/>
    <w:rsid w:val="00377E3E"/>
    <w:rsid w:val="003A779E"/>
    <w:rsid w:val="003D0F4D"/>
    <w:rsid w:val="003D5B0D"/>
    <w:rsid w:val="003D70C2"/>
    <w:rsid w:val="003E0499"/>
    <w:rsid w:val="003E4F80"/>
    <w:rsid w:val="003E6439"/>
    <w:rsid w:val="003E77E5"/>
    <w:rsid w:val="003F3941"/>
    <w:rsid w:val="00406575"/>
    <w:rsid w:val="00414C74"/>
    <w:rsid w:val="0042722E"/>
    <w:rsid w:val="0043674F"/>
    <w:rsid w:val="0044528D"/>
    <w:rsid w:val="00466E39"/>
    <w:rsid w:val="0049725D"/>
    <w:rsid w:val="004A1847"/>
    <w:rsid w:val="004A305D"/>
    <w:rsid w:val="004B3893"/>
    <w:rsid w:val="004D1C30"/>
    <w:rsid w:val="004F21C4"/>
    <w:rsid w:val="004F685F"/>
    <w:rsid w:val="004F6E97"/>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07436"/>
    <w:rsid w:val="00711202"/>
    <w:rsid w:val="007340C3"/>
    <w:rsid w:val="0075235A"/>
    <w:rsid w:val="00756841"/>
    <w:rsid w:val="007570F3"/>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B71A5"/>
    <w:rsid w:val="008D180B"/>
    <w:rsid w:val="008D1FCB"/>
    <w:rsid w:val="008F0EA7"/>
    <w:rsid w:val="00923EEF"/>
    <w:rsid w:val="009419F9"/>
    <w:rsid w:val="0095685E"/>
    <w:rsid w:val="00961B09"/>
    <w:rsid w:val="00965334"/>
    <w:rsid w:val="0097093E"/>
    <w:rsid w:val="00980755"/>
    <w:rsid w:val="009A0DFA"/>
    <w:rsid w:val="009A1C6F"/>
    <w:rsid w:val="009B2D26"/>
    <w:rsid w:val="009C71FA"/>
    <w:rsid w:val="009C72E7"/>
    <w:rsid w:val="009C7F7E"/>
    <w:rsid w:val="009D3058"/>
    <w:rsid w:val="009E6510"/>
    <w:rsid w:val="009F3A13"/>
    <w:rsid w:val="00A122D3"/>
    <w:rsid w:val="00A14468"/>
    <w:rsid w:val="00A17F13"/>
    <w:rsid w:val="00A20739"/>
    <w:rsid w:val="00A23AF9"/>
    <w:rsid w:val="00A33C78"/>
    <w:rsid w:val="00AB0ADB"/>
    <w:rsid w:val="00AB0CAB"/>
    <w:rsid w:val="00B00C0E"/>
    <w:rsid w:val="00B01B1A"/>
    <w:rsid w:val="00B0381D"/>
    <w:rsid w:val="00B44A47"/>
    <w:rsid w:val="00B72CD3"/>
    <w:rsid w:val="00B72FFF"/>
    <w:rsid w:val="00B94A73"/>
    <w:rsid w:val="00BC3D36"/>
    <w:rsid w:val="00BD54A6"/>
    <w:rsid w:val="00BD7F72"/>
    <w:rsid w:val="00BF7425"/>
    <w:rsid w:val="00C04FB3"/>
    <w:rsid w:val="00C11D8B"/>
    <w:rsid w:val="00C15139"/>
    <w:rsid w:val="00C17793"/>
    <w:rsid w:val="00C330EB"/>
    <w:rsid w:val="00C50D69"/>
    <w:rsid w:val="00C5365C"/>
    <w:rsid w:val="00C754BE"/>
    <w:rsid w:val="00C76B1C"/>
    <w:rsid w:val="00C925AC"/>
    <w:rsid w:val="00CB6357"/>
    <w:rsid w:val="00CC1B26"/>
    <w:rsid w:val="00D3224E"/>
    <w:rsid w:val="00D361FD"/>
    <w:rsid w:val="00D423A2"/>
    <w:rsid w:val="00D44E26"/>
    <w:rsid w:val="00D520D8"/>
    <w:rsid w:val="00D63AC2"/>
    <w:rsid w:val="00D7383B"/>
    <w:rsid w:val="00D7788A"/>
    <w:rsid w:val="00DA231B"/>
    <w:rsid w:val="00DC39FC"/>
    <w:rsid w:val="00DE3BB6"/>
    <w:rsid w:val="00DF5254"/>
    <w:rsid w:val="00E02524"/>
    <w:rsid w:val="00E16408"/>
    <w:rsid w:val="00E20894"/>
    <w:rsid w:val="00E245AB"/>
    <w:rsid w:val="00E2764C"/>
    <w:rsid w:val="00E27F2E"/>
    <w:rsid w:val="00E50AFE"/>
    <w:rsid w:val="00E75C92"/>
    <w:rsid w:val="00E771DC"/>
    <w:rsid w:val="00E86976"/>
    <w:rsid w:val="00E8772A"/>
    <w:rsid w:val="00E90F6B"/>
    <w:rsid w:val="00E92C27"/>
    <w:rsid w:val="00EA0E3D"/>
    <w:rsid w:val="00EC38A7"/>
    <w:rsid w:val="00EE1AA8"/>
    <w:rsid w:val="00F23FEA"/>
    <w:rsid w:val="00F31EDC"/>
    <w:rsid w:val="00F462B3"/>
    <w:rsid w:val="00F550FE"/>
    <w:rsid w:val="00F5664F"/>
    <w:rsid w:val="00F666C4"/>
    <w:rsid w:val="00F76AFC"/>
    <w:rsid w:val="00FA47C0"/>
    <w:rsid w:val="00FB5DD1"/>
    <w:rsid w:val="00FC2B5D"/>
    <w:rsid w:val="00FE0881"/>
    <w:rsid w:val="00FE6447"/>
    <w:rsid w:val="00FF1449"/>
    <w:rsid w:val="00FF7963"/>
    <w:rsid w:val="062CC7C5"/>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CE7C9D45-5CA8-3C49-B75E-AC046DF6E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qFormat/>
    <w:rsid w:val="00980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980755"/>
    <w:pPr>
      <w:spacing w:line="240" w:lineRule="exact"/>
    </w:pPr>
    <w:rPr>
      <w:vertAlign w:val="superscript"/>
    </w:rPr>
  </w:style>
  <w:style w:type="table" w:customStyle="1" w:styleId="Tablaconcuadrcula10">
    <w:name w:val="Tabla con cuadrícula10"/>
    <w:basedOn w:val="Tablanormal"/>
    <w:next w:val="Tablaconcuadrcula"/>
    <w:uiPriority w:val="59"/>
    <w:rsid w:val="00980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le.rae.es/est%C3%A1ndar"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AF0C7B-D252-4814-9123-C05E3EAED427}"/>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25</Pages>
  <Words>8302</Words>
  <Characters>45663</Characters>
  <Application>Microsoft Office Word</Application>
  <DocSecurity>0</DocSecurity>
  <Lines>380</Lines>
  <Paragraphs>107</Paragraphs>
  <ScaleCrop>false</ScaleCrop>
  <Company/>
  <LinksUpToDate>false</LinksUpToDate>
  <CharactersWithSpaces>53858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4</cp:revision>
  <cp:lastPrinted>2023-01-10T21:18:00Z</cp:lastPrinted>
  <dcterms:created xsi:type="dcterms:W3CDTF">2026-09-24T19:20:00Z</dcterms:created>
  <dcterms:modified xsi:type="dcterms:W3CDTF">2026-09-25T02:48:00Z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