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7AF5" w14:textId="77777777" w:rsidR="00E16216" w:rsidRPr="00E16216" w:rsidRDefault="00E16216" w:rsidP="00FD4803">
      <w:pPr>
        <w:jc w:val="both"/>
        <w:rPr>
          <w:rFonts w:ascii="Verdana" w:eastAsia="Verdana" w:hAnsi="Verdana" w:cs="Verdana"/>
          <w:b/>
          <w:bCs/>
          <w:sz w:val="22"/>
          <w:szCs w:val="22"/>
          <w:lang w:val="es-ES" w:eastAsia="en-US"/>
        </w:rPr>
      </w:pPr>
      <w:bookmarkStart w:id="0" w:name="_Hlk143780582"/>
      <w:r w:rsidRPr="00E16216">
        <w:rPr>
          <w:rFonts w:ascii="Verdana" w:eastAsia="Verdana" w:hAnsi="Verdana" w:cs="Verdana"/>
          <w:b/>
          <w:bCs/>
          <w:sz w:val="22"/>
          <w:szCs w:val="22"/>
          <w:lang w:val="es-ES" w:eastAsia="en-US"/>
        </w:rPr>
        <w:t>CAPACIDAD RESIDUAL – Definición</w:t>
      </w:r>
    </w:p>
    <w:p w14:paraId="65A9A10C" w14:textId="77777777" w:rsidR="00E16216" w:rsidRPr="004704C5" w:rsidRDefault="00E16216" w:rsidP="00FD4803">
      <w:pPr>
        <w:jc w:val="both"/>
        <w:rPr>
          <w:rFonts w:ascii="Verdana" w:eastAsia="Verdana" w:hAnsi="Verdana" w:cs="Verdana"/>
          <w:sz w:val="20"/>
          <w:szCs w:val="20"/>
          <w:lang w:val="es-ES" w:eastAsia="en-US"/>
        </w:rPr>
      </w:pPr>
    </w:p>
    <w:p w14:paraId="45975FC4" w14:textId="23A95610" w:rsidR="004704C5" w:rsidRPr="004704C5" w:rsidRDefault="004704C5" w:rsidP="00FD4803">
      <w:pPr>
        <w:jc w:val="both"/>
        <w:rPr>
          <w:rFonts w:ascii="Verdana" w:eastAsia="Verdana" w:hAnsi="Verdana" w:cs="Verdana"/>
          <w:sz w:val="20"/>
          <w:szCs w:val="20"/>
          <w:lang w:eastAsia="en-US"/>
        </w:rPr>
      </w:pPr>
      <w:r w:rsidRPr="004704C5">
        <w:rPr>
          <w:rFonts w:ascii="Verdana" w:eastAsia="Verdana" w:hAnsi="Verdana" w:cs="Verdana"/>
          <w:sz w:val="20"/>
          <w:szCs w:val="20"/>
          <w:lang w:eastAsia="en-US"/>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Al respecto, el artículo 6 de la Ley 1150 de 2007 reguló la capacidad residual del proponente o K de contratación como condición para participar en los Procesos de Contratación de obra pública y demás que señala el reglamento. En torno a esta condición o requisito habilitante, el parágrafo 1 </w:t>
      </w:r>
      <w:r w:rsidRPr="004704C5">
        <w:rPr>
          <w:rFonts w:ascii="Verdana" w:eastAsia="Verdana" w:hAnsi="Verdana" w:cs="Verdana"/>
          <w:i/>
          <w:iCs/>
          <w:sz w:val="20"/>
          <w:szCs w:val="20"/>
          <w:lang w:eastAsia="en-US"/>
        </w:rPr>
        <w:t>ibidem</w:t>
      </w:r>
      <w:r w:rsidRPr="004704C5">
        <w:rPr>
          <w:rFonts w:ascii="Verdana" w:eastAsia="Verdana" w:hAnsi="Verdana" w:cs="Verdana"/>
          <w:sz w:val="20"/>
          <w:szCs w:val="20"/>
          <w:lang w:eastAsia="en-US"/>
        </w:rPr>
        <w:t>, determinó que esta debe ser igual o superior a la establecida en los pliegos de condiciones.</w:t>
      </w:r>
    </w:p>
    <w:p w14:paraId="5D63108B" w14:textId="77777777" w:rsidR="004704C5" w:rsidRPr="004704C5" w:rsidRDefault="004704C5" w:rsidP="00FD4803">
      <w:pPr>
        <w:jc w:val="both"/>
        <w:rPr>
          <w:rFonts w:ascii="Verdana" w:eastAsia="Verdana" w:hAnsi="Verdana" w:cs="Verdana"/>
          <w:sz w:val="20"/>
          <w:szCs w:val="20"/>
          <w:lang w:val="es-ES" w:eastAsia="en-US"/>
        </w:rPr>
      </w:pPr>
    </w:p>
    <w:p w14:paraId="2BF32419" w14:textId="77777777" w:rsidR="00E16216" w:rsidRPr="00E16216" w:rsidRDefault="00E16216" w:rsidP="00FD4803">
      <w:pPr>
        <w:jc w:val="both"/>
        <w:rPr>
          <w:rFonts w:ascii="Verdana" w:eastAsia="Verdana" w:hAnsi="Verdana" w:cs="Verdana"/>
          <w:b/>
          <w:bCs/>
          <w:sz w:val="22"/>
          <w:szCs w:val="22"/>
          <w:lang w:val="es-ES_tradnl" w:eastAsia="en-US"/>
        </w:rPr>
      </w:pPr>
      <w:r w:rsidRPr="00E16216">
        <w:rPr>
          <w:rFonts w:ascii="Verdana" w:eastAsia="Verdana" w:hAnsi="Verdana" w:cs="Verdana"/>
          <w:b/>
          <w:bCs/>
          <w:sz w:val="22"/>
          <w:szCs w:val="22"/>
          <w:lang w:val="es-ES_tradnl" w:eastAsia="en-US"/>
        </w:rPr>
        <w:t xml:space="preserve">CAPACIDAD RESIDUAL – Documentos requeridos – Cálculo </w:t>
      </w:r>
    </w:p>
    <w:p w14:paraId="4199C114" w14:textId="77777777" w:rsidR="00E16216" w:rsidRPr="00783A6E" w:rsidRDefault="00E16216" w:rsidP="00FD4803">
      <w:pPr>
        <w:jc w:val="both"/>
        <w:rPr>
          <w:rFonts w:ascii="Verdana" w:eastAsia="Verdana" w:hAnsi="Verdana" w:cs="Verdana"/>
          <w:sz w:val="20"/>
          <w:szCs w:val="20"/>
          <w:lang w:val="es-ES_tradnl" w:eastAsia="en-US"/>
        </w:rPr>
      </w:pPr>
    </w:p>
    <w:p w14:paraId="2CCB9229" w14:textId="77777777" w:rsidR="00783A6E" w:rsidRPr="00783A6E" w:rsidRDefault="00783A6E" w:rsidP="00FD4803">
      <w:pPr>
        <w:jc w:val="both"/>
        <w:rPr>
          <w:rFonts w:ascii="Verdana" w:eastAsia="Verdana" w:hAnsi="Verdana" w:cs="Verdana"/>
          <w:sz w:val="20"/>
          <w:szCs w:val="20"/>
          <w:lang w:eastAsia="en-US"/>
        </w:rPr>
      </w:pPr>
      <w:r w:rsidRPr="00783A6E">
        <w:rPr>
          <w:rFonts w:ascii="Verdana" w:eastAsia="Verdana" w:hAnsi="Verdana" w:cs="Verdana"/>
          <w:sz w:val="20"/>
          <w:szCs w:val="20"/>
          <w:lang w:eastAsia="en-US"/>
        </w:rPr>
        <w:t xml:space="preserve">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w:t>
      </w:r>
      <w:proofErr w:type="spellStart"/>
      <w:r w:rsidRPr="00783A6E">
        <w:rPr>
          <w:rFonts w:ascii="Verdana" w:eastAsia="Verdana" w:hAnsi="Verdana" w:cs="Verdana"/>
          <w:sz w:val="20"/>
          <w:szCs w:val="20"/>
          <w:lang w:eastAsia="en-US"/>
        </w:rPr>
        <w:t>ii</w:t>
      </w:r>
      <w:proofErr w:type="spellEnd"/>
      <w:r w:rsidRPr="00783A6E">
        <w:rPr>
          <w:rFonts w:ascii="Verdana" w:eastAsia="Verdana" w:hAnsi="Verdana" w:cs="Verdana"/>
          <w:sz w:val="20"/>
          <w:szCs w:val="20"/>
          <w:lang w:eastAsia="en-US"/>
        </w:rPr>
        <w:t xml:space="preserve">) La lista de los Contratos en Ejecución, suscritos por sociedades, consorcios o uniones temporales, en los cuales el proponente tenga participación, así como el valor y plazo de tales contratos. </w:t>
      </w:r>
      <w:proofErr w:type="spellStart"/>
      <w:r w:rsidRPr="00783A6E">
        <w:rPr>
          <w:rFonts w:ascii="Verdana" w:eastAsia="Verdana" w:hAnsi="Verdana" w:cs="Verdana"/>
          <w:sz w:val="20"/>
          <w:szCs w:val="20"/>
          <w:lang w:eastAsia="en-US"/>
        </w:rPr>
        <w:t>iii</w:t>
      </w:r>
      <w:proofErr w:type="spellEnd"/>
      <w:r w:rsidRPr="00783A6E">
        <w:rPr>
          <w:rFonts w:ascii="Verdana" w:eastAsia="Verdana" w:hAnsi="Verdana" w:cs="Verdana"/>
          <w:sz w:val="20"/>
          <w:szCs w:val="20"/>
          <w:lang w:eastAsia="en-US"/>
        </w:rPr>
        <w:t>)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BC2F810" w14:textId="77777777" w:rsidR="00E16216" w:rsidRPr="00783A6E" w:rsidRDefault="00E16216" w:rsidP="00FD4803">
      <w:pPr>
        <w:jc w:val="both"/>
        <w:rPr>
          <w:rFonts w:ascii="Verdana" w:eastAsia="Verdana" w:hAnsi="Verdana" w:cs="Verdana"/>
          <w:b/>
          <w:bCs/>
          <w:sz w:val="20"/>
          <w:szCs w:val="20"/>
          <w:lang w:eastAsia="en-US"/>
        </w:rPr>
      </w:pPr>
    </w:p>
    <w:p w14:paraId="135DDDAE" w14:textId="36DA470E" w:rsidR="00E16216" w:rsidRPr="00E16216" w:rsidRDefault="00E16216" w:rsidP="00FD4803">
      <w:pPr>
        <w:jc w:val="both"/>
        <w:rPr>
          <w:rFonts w:ascii="Verdana" w:eastAsia="Verdana" w:hAnsi="Verdana" w:cs="Verdana"/>
          <w:b/>
          <w:bCs/>
          <w:sz w:val="22"/>
          <w:szCs w:val="22"/>
          <w:lang w:val="es-ES" w:eastAsia="en-US"/>
        </w:rPr>
      </w:pPr>
      <w:r w:rsidRPr="00E16216">
        <w:rPr>
          <w:rFonts w:ascii="Verdana" w:eastAsia="Verdana" w:hAnsi="Verdana" w:cs="Verdana"/>
          <w:b/>
          <w:bCs/>
          <w:sz w:val="22"/>
          <w:szCs w:val="22"/>
          <w:lang w:val="es-ES" w:eastAsia="en-US"/>
        </w:rPr>
        <w:t xml:space="preserve">CAPACIDAD RESIDUAL – Acreditación </w:t>
      </w:r>
      <w:r w:rsidR="00356820" w:rsidRPr="00356820">
        <w:rPr>
          <w:rFonts w:ascii="Verdana" w:eastAsia="Verdana" w:hAnsi="Verdana" w:cs="Verdana"/>
          <w:b/>
          <w:bCs/>
          <w:sz w:val="22"/>
          <w:szCs w:val="22"/>
          <w:lang w:val="es-ES" w:eastAsia="en-US"/>
        </w:rPr>
        <w:t>–</w:t>
      </w:r>
      <w:r w:rsidRPr="00E16216">
        <w:rPr>
          <w:rFonts w:ascii="Verdana" w:eastAsia="Verdana" w:hAnsi="Verdana" w:cs="Verdana"/>
          <w:b/>
          <w:bCs/>
          <w:sz w:val="22"/>
          <w:szCs w:val="22"/>
          <w:lang w:val="es-ES" w:eastAsia="en-US"/>
        </w:rPr>
        <w:t xml:space="preserve"> Pliego de condiciones </w:t>
      </w:r>
    </w:p>
    <w:p w14:paraId="1FC14A7D" w14:textId="77777777" w:rsidR="00E16216" w:rsidRPr="004A4245" w:rsidRDefault="00E16216" w:rsidP="00FD4803">
      <w:pPr>
        <w:jc w:val="both"/>
        <w:rPr>
          <w:rFonts w:ascii="Verdana" w:eastAsia="Verdana" w:hAnsi="Verdana" w:cs="Verdana"/>
          <w:sz w:val="20"/>
          <w:szCs w:val="20"/>
          <w:lang w:val="es-ES" w:eastAsia="en-US"/>
        </w:rPr>
      </w:pPr>
    </w:p>
    <w:p w14:paraId="116CE35D" w14:textId="24400C76" w:rsidR="004A4245" w:rsidRPr="004A4245" w:rsidRDefault="004A4245" w:rsidP="00FD4803">
      <w:pPr>
        <w:jc w:val="both"/>
        <w:rPr>
          <w:rFonts w:ascii="Verdana" w:eastAsia="Verdana" w:hAnsi="Verdana" w:cs="Verdana"/>
          <w:sz w:val="20"/>
          <w:szCs w:val="20"/>
          <w:lang w:eastAsia="en-US"/>
        </w:rPr>
      </w:pPr>
      <w:r w:rsidRPr="004A4245">
        <w:rPr>
          <w:rFonts w:ascii="Verdana" w:eastAsia="Verdana" w:hAnsi="Verdana" w:cs="Verdana"/>
          <w:sz w:val="20"/>
          <w:szCs w:val="20"/>
          <w:lang w:eastAsia="en-US"/>
        </w:rPr>
        <w:t>De esta manera las entidades estatales deberán establecer en los documentos del proceso la forma en la cual los proponentes deben acreditar los indicadores exigidos que no están incluidos en el RUP, así como lo dispone la Guía para determinar y verificar los requisitos habilitantes en los procesos de contratación expedida por la Agencia Nacional de Contratación Pública – Colombia Compra Eficiente.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79FC52FE" w14:textId="77777777" w:rsidR="00E16216" w:rsidRPr="004A4245" w:rsidRDefault="00E16216" w:rsidP="00FD4803">
      <w:pPr>
        <w:jc w:val="both"/>
        <w:rPr>
          <w:rFonts w:ascii="Verdana" w:eastAsia="Verdana" w:hAnsi="Verdana" w:cs="Verdana"/>
          <w:b/>
          <w:bCs/>
          <w:sz w:val="22"/>
          <w:szCs w:val="22"/>
          <w:lang w:eastAsia="en-US"/>
        </w:rPr>
      </w:pPr>
    </w:p>
    <w:p w14:paraId="7193A333" w14:textId="77777777" w:rsidR="00E16216" w:rsidRPr="00E16216" w:rsidRDefault="00E16216" w:rsidP="00FD4803">
      <w:pPr>
        <w:jc w:val="both"/>
        <w:rPr>
          <w:rFonts w:ascii="Verdana" w:eastAsia="Verdana" w:hAnsi="Verdana" w:cs="Verdana"/>
          <w:b/>
          <w:bCs/>
          <w:sz w:val="22"/>
          <w:szCs w:val="22"/>
          <w:lang w:val="es-ES_tradnl" w:eastAsia="en-US"/>
        </w:rPr>
      </w:pPr>
      <w:r w:rsidRPr="00E16216">
        <w:rPr>
          <w:rFonts w:ascii="Verdana" w:eastAsia="Verdana" w:hAnsi="Verdana" w:cs="Verdana"/>
          <w:b/>
          <w:bCs/>
          <w:sz w:val="22"/>
          <w:szCs w:val="22"/>
          <w:lang w:val="es-ES_tradnl" w:eastAsia="en-US"/>
        </w:rPr>
        <w:lastRenderedPageBreak/>
        <w:t xml:space="preserve">CÁLCULO DE LA CAPACIDAD RESIDUAL – Contratos en ejecución – Certificación – Contratos de obra </w:t>
      </w:r>
    </w:p>
    <w:p w14:paraId="47EF8CF6" w14:textId="77777777" w:rsidR="00E16216" w:rsidRPr="00FD4803" w:rsidRDefault="00E16216" w:rsidP="00FD4803">
      <w:pPr>
        <w:jc w:val="both"/>
        <w:rPr>
          <w:rFonts w:ascii="Verdana" w:eastAsia="Verdana" w:hAnsi="Verdana" w:cs="Verdana"/>
          <w:sz w:val="20"/>
          <w:szCs w:val="20"/>
          <w:lang w:val="es-ES_tradnl" w:eastAsia="en-US"/>
        </w:rPr>
      </w:pPr>
    </w:p>
    <w:p w14:paraId="300054EB" w14:textId="6B412335" w:rsidR="00FD4803" w:rsidRDefault="00FD4803" w:rsidP="00FD4803">
      <w:pPr>
        <w:jc w:val="both"/>
        <w:rPr>
          <w:rFonts w:ascii="Verdana" w:eastAsia="Verdana" w:hAnsi="Verdana" w:cs="Verdana"/>
          <w:sz w:val="20"/>
          <w:szCs w:val="20"/>
          <w:lang w:eastAsia="en-US"/>
        </w:rPr>
      </w:pPr>
      <w:r w:rsidRPr="00FD4803">
        <w:rPr>
          <w:rFonts w:ascii="Verdana" w:eastAsia="Verdana" w:hAnsi="Verdana" w:cs="Verdana"/>
          <w:sz w:val="20"/>
          <w:szCs w:val="20"/>
          <w:lang w:eastAsia="en-US"/>
        </w:rPr>
        <w:t xml:space="preserve">Según la Guía en mención, dicho certificado debe contener la lista de los Contratos en Ejecución a nivel nacional como internacional, en la que se indique: a) El valor del contrato en pesos colombianos; b) El plazo de ejecución del contrato en meses; c) La fecha de inicio de las obras objeto del contrato: día, mes, año; d) Si la obra la ejecuta un consorcio o unión temporal, el porcentaje de participación del oferente que presenta el certificado; e) Si el contrato está suspendido, y si es así, la fecha de suspensión. En todo caso, si el contrato está suspendido el proponente debe informar el saldo pendiente de ejecución. </w:t>
      </w:r>
    </w:p>
    <w:p w14:paraId="314A006A" w14:textId="77777777" w:rsidR="00FD4803" w:rsidRPr="00FD4803" w:rsidRDefault="00FD4803" w:rsidP="00FD4803">
      <w:pPr>
        <w:jc w:val="both"/>
        <w:rPr>
          <w:rFonts w:ascii="Verdana" w:eastAsia="Verdana" w:hAnsi="Verdana" w:cs="Verdana"/>
          <w:sz w:val="20"/>
          <w:szCs w:val="20"/>
          <w:lang w:eastAsia="en-US"/>
        </w:rPr>
      </w:pPr>
    </w:p>
    <w:p w14:paraId="17C6980F" w14:textId="165E6FA6" w:rsidR="00FD4803" w:rsidRPr="00FD4803" w:rsidRDefault="00FD4803" w:rsidP="00FD4803">
      <w:pPr>
        <w:jc w:val="both"/>
        <w:rPr>
          <w:rFonts w:ascii="Verdana" w:eastAsia="Verdana" w:hAnsi="Verdana" w:cs="Verdana"/>
          <w:sz w:val="20"/>
          <w:szCs w:val="20"/>
          <w:lang w:eastAsia="en-US"/>
        </w:rPr>
      </w:pPr>
      <w:r w:rsidRPr="00FD4803">
        <w:rPr>
          <w:rFonts w:ascii="Verdana" w:eastAsia="Verdana" w:hAnsi="Verdana" w:cs="Verdana"/>
          <w:sz w:val="20"/>
          <w:szCs w:val="20"/>
          <w:lang w:eastAsia="en-US"/>
        </w:rPr>
        <w:t xml:space="preserve">Se destaca que el Decreto 1082 de 2015 en su artículo 2.2.1.1.1.6.4. a los contratos para ejecutar obras civiles, ya sea que fueron celebrados con entidades estatales o con particulares, incluyendo a los contratos de contratos de concesión y contratos de obra suscritos con concesionarios. Su finalidad reside en que la capacidad del contratista para ejecutar obras impacta los contratos públicos y los privados.  </w:t>
      </w:r>
    </w:p>
    <w:p w14:paraId="268E4C20" w14:textId="77777777" w:rsidR="00E16216" w:rsidRPr="00FD4803" w:rsidRDefault="00E16216" w:rsidP="00FD4803">
      <w:pPr>
        <w:jc w:val="both"/>
        <w:rPr>
          <w:rFonts w:ascii="Verdana" w:eastAsia="Verdana" w:hAnsi="Verdana" w:cs="Verdana"/>
          <w:sz w:val="20"/>
          <w:szCs w:val="20"/>
          <w:lang w:eastAsia="en-US"/>
        </w:rPr>
      </w:pPr>
    </w:p>
    <w:p w14:paraId="4763F045" w14:textId="70CE1D17" w:rsidR="00E16216" w:rsidRPr="00E16216" w:rsidRDefault="00E16216" w:rsidP="00FD4803">
      <w:pPr>
        <w:jc w:val="both"/>
        <w:rPr>
          <w:rFonts w:ascii="Verdana" w:eastAsia="Verdana" w:hAnsi="Verdana" w:cs="Verdana"/>
          <w:b/>
          <w:bCs/>
          <w:sz w:val="22"/>
          <w:szCs w:val="22"/>
          <w:lang w:eastAsia="en-US"/>
        </w:rPr>
      </w:pPr>
      <w:r w:rsidRPr="00E16216">
        <w:rPr>
          <w:rFonts w:ascii="Verdana" w:eastAsia="Verdana" w:hAnsi="Verdana" w:cs="Verdana"/>
          <w:b/>
          <w:bCs/>
          <w:sz w:val="22"/>
          <w:szCs w:val="22"/>
          <w:lang w:val="es-ES_tradnl" w:eastAsia="en-US"/>
        </w:rPr>
        <w:t>CAPACIDAD RESIDUAL – Calculo – Proponente Plural – Contabilización –</w:t>
      </w:r>
      <w:r w:rsidR="00356820">
        <w:rPr>
          <w:rFonts w:ascii="Verdana" w:eastAsia="Verdana" w:hAnsi="Verdana" w:cs="Verdana"/>
          <w:b/>
          <w:bCs/>
          <w:sz w:val="22"/>
          <w:szCs w:val="22"/>
          <w:lang w:val="es-ES_tradnl" w:eastAsia="en-US"/>
        </w:rPr>
        <w:t xml:space="preserve"> </w:t>
      </w:r>
      <w:r w:rsidRPr="00E16216">
        <w:rPr>
          <w:rFonts w:ascii="Verdana" w:eastAsia="Verdana" w:hAnsi="Verdana" w:cs="Verdana"/>
          <w:b/>
          <w:bCs/>
          <w:sz w:val="22"/>
          <w:szCs w:val="22"/>
          <w:lang w:val="es-ES_tradnl" w:eastAsia="en-US"/>
        </w:rPr>
        <w:t>Contratos en Ejecución – Reglas</w:t>
      </w:r>
    </w:p>
    <w:p w14:paraId="2628942C" w14:textId="77777777" w:rsidR="00E16216" w:rsidRPr="00FD4803" w:rsidRDefault="00E16216" w:rsidP="00FD4803">
      <w:pPr>
        <w:jc w:val="both"/>
        <w:rPr>
          <w:rFonts w:ascii="Verdana" w:eastAsia="Verdana" w:hAnsi="Verdana" w:cs="Verdana"/>
          <w:sz w:val="20"/>
          <w:szCs w:val="20"/>
          <w:lang w:eastAsia="en-US"/>
        </w:rPr>
      </w:pPr>
    </w:p>
    <w:p w14:paraId="1576659C" w14:textId="77777777" w:rsidR="00FD4803" w:rsidRDefault="00FD4803" w:rsidP="00FD4803">
      <w:pPr>
        <w:jc w:val="both"/>
        <w:rPr>
          <w:rFonts w:ascii="Verdana" w:eastAsia="Verdana" w:hAnsi="Verdana" w:cs="Verdana"/>
          <w:sz w:val="20"/>
          <w:szCs w:val="20"/>
          <w:lang w:val="es-ES" w:eastAsia="en-US"/>
        </w:rPr>
      </w:pPr>
      <w:r w:rsidRPr="00FD4803">
        <w:rPr>
          <w:rFonts w:ascii="Verdana" w:eastAsia="Verdana" w:hAnsi="Verdana" w:cs="Verdana"/>
          <w:sz w:val="20"/>
          <w:szCs w:val="20"/>
          <w:lang w:eastAsia="en-US"/>
        </w:rPr>
        <w:t xml:space="preserve">Ahora bien, debe tenerse en cuenta la regla del artículo 2.1.1.1.6.4. del Decreto 1082 de 2015, el cual señala la información que debe entregar el proponente interesado en un proceso de contratación para acreditar su Capacidad Residual, de la siguiente forma: </w:t>
      </w:r>
      <w:r w:rsidRPr="00FD4803">
        <w:rPr>
          <w:rFonts w:ascii="Verdana" w:eastAsia="Verdana" w:hAnsi="Verdana" w:cs="Verdana"/>
          <w:sz w:val="20"/>
          <w:szCs w:val="20"/>
          <w:lang w:val="es-ES" w:eastAsia="en-US"/>
        </w:rPr>
        <w:t>“El interesado en celebrar contratos de obra pública con Entidades Estatales debe acreditar su Capacidad Residual o K de Contratación con los siguientes documentos: […] 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59370028" w14:textId="77777777" w:rsidR="00FD4803" w:rsidRPr="00FD4803" w:rsidRDefault="00FD4803" w:rsidP="00FD4803">
      <w:pPr>
        <w:jc w:val="both"/>
        <w:rPr>
          <w:rFonts w:ascii="Verdana" w:eastAsia="Verdana" w:hAnsi="Verdana" w:cs="Verdana"/>
          <w:sz w:val="20"/>
          <w:szCs w:val="20"/>
          <w:lang w:val="es-ES" w:eastAsia="en-US"/>
        </w:rPr>
      </w:pPr>
    </w:p>
    <w:p w14:paraId="7A24D2C8" w14:textId="77777777" w:rsidR="00FD4803" w:rsidRDefault="00FD4803" w:rsidP="00FD4803">
      <w:pPr>
        <w:jc w:val="both"/>
        <w:rPr>
          <w:rFonts w:ascii="Verdana" w:eastAsia="Verdana" w:hAnsi="Verdana" w:cs="Verdana"/>
          <w:sz w:val="20"/>
          <w:szCs w:val="20"/>
          <w:lang w:eastAsia="en-US"/>
        </w:rPr>
      </w:pPr>
      <w:r w:rsidRPr="00FD4803">
        <w:rPr>
          <w:rFonts w:ascii="Verdana" w:eastAsia="Verdana" w:hAnsi="Verdana" w:cs="Verdana"/>
          <w:sz w:val="20"/>
          <w:szCs w:val="20"/>
          <w:lang w:eastAsia="en-US"/>
        </w:rPr>
        <w:t>Para interpretar este numeral, debe señalarse que se tienen en cuenta los contratos de obras civiles en ejecución no únicamente aquellos celebrados directamente por el proponente, sino también los suscritos en el marco de consorcios, uniones temporales o sociedades con propósito especial en los que este participe. La regla busca garantizar que la medición de la capacidad contractual refleje de manera integral y transparente todos los compromisos vigentes del proponente, tanto individuales como asociativos.</w:t>
      </w:r>
    </w:p>
    <w:p w14:paraId="643E05AA" w14:textId="77777777" w:rsidR="00FD4803" w:rsidRPr="00FD4803" w:rsidRDefault="00FD4803" w:rsidP="00FD4803">
      <w:pPr>
        <w:jc w:val="both"/>
        <w:rPr>
          <w:rFonts w:ascii="Verdana" w:eastAsia="Verdana" w:hAnsi="Verdana" w:cs="Verdana"/>
          <w:sz w:val="20"/>
          <w:szCs w:val="20"/>
          <w:lang w:eastAsia="en-US"/>
        </w:rPr>
      </w:pPr>
    </w:p>
    <w:p w14:paraId="71B73CF0" w14:textId="3A6C3A07" w:rsidR="00FD4803" w:rsidRDefault="00FD4803" w:rsidP="00FD4803">
      <w:pPr>
        <w:jc w:val="both"/>
        <w:rPr>
          <w:rFonts w:ascii="Verdana" w:eastAsia="Verdana" w:hAnsi="Verdana" w:cs="Verdana"/>
          <w:sz w:val="20"/>
          <w:szCs w:val="20"/>
          <w:lang w:eastAsia="en-US"/>
        </w:rPr>
      </w:pPr>
      <w:r w:rsidRPr="00FD4803">
        <w:rPr>
          <w:rFonts w:ascii="Verdana" w:eastAsia="Verdana" w:hAnsi="Verdana" w:cs="Verdana"/>
          <w:sz w:val="20"/>
          <w:szCs w:val="20"/>
          <w:lang w:eastAsia="en-US"/>
        </w:rPr>
        <w:t xml:space="preserve">Precisada esta regla, se señala que, en relación con la capacidad residual de los proponentes plurales compuesto por personas naturales y jurídicas, es necesario tener en cuenta el inciso primero del artículo 73 del Código Civil que dispone que las personas son naturales o jurídicas. Conforme al artículo 74 ibidem, las primeras corresponden a “[…] todos los individuos de la especie humana, cualquiera que sea su edad, sexo, estirpe o condición”. En contraste, con fundamento en el inciso primero artículo 633 ibidem, las segundas son “[…] una persona ficticia, capaz de ejercer derechos y contraer </w:t>
      </w:r>
      <w:r w:rsidRPr="00FD4803">
        <w:rPr>
          <w:rFonts w:ascii="Verdana" w:eastAsia="Verdana" w:hAnsi="Verdana" w:cs="Verdana"/>
          <w:sz w:val="20"/>
          <w:szCs w:val="20"/>
          <w:lang w:eastAsia="en-US"/>
        </w:rPr>
        <w:lastRenderedPageBreak/>
        <w:t>obligaciones civiles, y de ser representada judicial y extrajudicialmente”. Así mismo, el inciso segundo del artículo 98 del Código de Comercio consagra: “La sociedad, una vez constituida legalmente, forma una persona jurídica distinta de los socios individualmente considerados”</w:t>
      </w:r>
      <w:r>
        <w:rPr>
          <w:rFonts w:ascii="Verdana" w:eastAsia="Verdana" w:hAnsi="Verdana" w:cs="Verdana"/>
          <w:sz w:val="20"/>
          <w:szCs w:val="20"/>
          <w:lang w:eastAsia="en-US"/>
        </w:rPr>
        <w:t>.</w:t>
      </w:r>
    </w:p>
    <w:p w14:paraId="0A309A8E" w14:textId="77777777" w:rsidR="00FD4803" w:rsidRPr="00FD4803" w:rsidRDefault="00FD4803" w:rsidP="00FD4803">
      <w:pPr>
        <w:jc w:val="both"/>
        <w:rPr>
          <w:rFonts w:ascii="Verdana" w:eastAsia="Verdana" w:hAnsi="Verdana" w:cs="Verdana"/>
          <w:sz w:val="18"/>
          <w:szCs w:val="18"/>
          <w:lang w:eastAsia="en-US"/>
        </w:rPr>
      </w:pPr>
    </w:p>
    <w:p w14:paraId="033636F5" w14:textId="77777777" w:rsidR="00FD4803" w:rsidRPr="00FD4803" w:rsidRDefault="00FD4803" w:rsidP="00FD4803">
      <w:pPr>
        <w:jc w:val="both"/>
        <w:rPr>
          <w:rFonts w:ascii="Verdana" w:eastAsia="Verdana" w:hAnsi="Verdana" w:cs="Verdana"/>
          <w:sz w:val="20"/>
          <w:szCs w:val="20"/>
          <w:lang w:eastAsia="en-US"/>
        </w:rPr>
      </w:pPr>
      <w:r w:rsidRPr="00FD4803">
        <w:rPr>
          <w:rFonts w:ascii="Verdana" w:eastAsia="Verdana" w:hAnsi="Verdana" w:cs="Verdana"/>
          <w:sz w:val="20"/>
          <w:szCs w:val="20"/>
          <w:lang w:eastAsia="en-US"/>
        </w:rPr>
        <w:t xml:space="preserve">De esta manera, la exigencia de reportar los Saldos de Contratos en Ejecución -SCE- debe ser estrictamente independiente para cada sujeto, evitando cualquier traslape o doble contabilización. Cada uno responde por los compromisos contractuales que haya adquirido en virtud de su propia capacidad jurídica, y no es posible que el accionista transfiera sus saldos a la sociedad, ni que la sociedad absorba los saldos de sus accionistas, salvo cuando haya sido participe en consorcios, uniones temporales o sociedades con propósitos especiales. Así pues, este criterio asegura que el cálculo de la capacidad residual refleje de manera clara y precisa las obligaciones en curso de cada participante, preservando los principios de igualdad, proporcionalidad y seguridad jurídica en la contratación estatal. </w:t>
      </w:r>
    </w:p>
    <w:p w14:paraId="2A25BCB5" w14:textId="77777777" w:rsidR="00E16216" w:rsidRDefault="00E16216" w:rsidP="00AB397A">
      <w:pPr>
        <w:spacing w:line="259" w:lineRule="auto"/>
        <w:rPr>
          <w:rFonts w:ascii="Verdana" w:eastAsia="Verdana" w:hAnsi="Verdana" w:cs="Verdana"/>
          <w:sz w:val="22"/>
          <w:szCs w:val="22"/>
          <w:lang w:eastAsia="en-US"/>
        </w:rPr>
      </w:pPr>
    </w:p>
    <w:p w14:paraId="1BDB4E9F" w14:textId="77777777" w:rsidR="00E16216" w:rsidRDefault="00E16216" w:rsidP="00AB397A">
      <w:pPr>
        <w:spacing w:line="259" w:lineRule="auto"/>
        <w:rPr>
          <w:rFonts w:ascii="Verdana" w:eastAsia="Verdana" w:hAnsi="Verdana" w:cs="Verdana"/>
          <w:sz w:val="22"/>
          <w:szCs w:val="22"/>
          <w:lang w:eastAsia="en-US"/>
        </w:rPr>
      </w:pPr>
    </w:p>
    <w:p w14:paraId="6E43812E" w14:textId="77777777" w:rsidR="00FD4803" w:rsidRDefault="00FD4803" w:rsidP="00AB397A">
      <w:pPr>
        <w:spacing w:line="259" w:lineRule="auto"/>
        <w:rPr>
          <w:rFonts w:ascii="Verdana" w:eastAsia="Verdana" w:hAnsi="Verdana" w:cs="Verdana"/>
          <w:sz w:val="22"/>
          <w:szCs w:val="22"/>
          <w:lang w:eastAsia="en-US"/>
        </w:rPr>
      </w:pPr>
    </w:p>
    <w:p w14:paraId="0CA48996" w14:textId="77777777" w:rsidR="00FD4803" w:rsidRDefault="00FD4803" w:rsidP="00AB397A">
      <w:pPr>
        <w:spacing w:line="259" w:lineRule="auto"/>
        <w:rPr>
          <w:rFonts w:ascii="Verdana" w:eastAsia="Verdana" w:hAnsi="Verdana" w:cs="Verdana"/>
          <w:sz w:val="22"/>
          <w:szCs w:val="22"/>
          <w:lang w:eastAsia="en-US"/>
        </w:rPr>
      </w:pPr>
    </w:p>
    <w:p w14:paraId="4EE76FA6" w14:textId="77777777" w:rsidR="00FD4803" w:rsidRDefault="00FD4803" w:rsidP="00AB397A">
      <w:pPr>
        <w:spacing w:line="259" w:lineRule="auto"/>
        <w:rPr>
          <w:rFonts w:ascii="Verdana" w:eastAsia="Verdana" w:hAnsi="Verdana" w:cs="Verdana"/>
          <w:sz w:val="22"/>
          <w:szCs w:val="22"/>
          <w:lang w:eastAsia="en-US"/>
        </w:rPr>
      </w:pPr>
    </w:p>
    <w:p w14:paraId="369B4D1E" w14:textId="77777777" w:rsidR="00FD4803" w:rsidRDefault="00FD4803" w:rsidP="00AB397A">
      <w:pPr>
        <w:spacing w:line="259" w:lineRule="auto"/>
        <w:rPr>
          <w:rFonts w:ascii="Verdana" w:eastAsia="Verdana" w:hAnsi="Verdana" w:cs="Verdana"/>
          <w:sz w:val="22"/>
          <w:szCs w:val="22"/>
          <w:lang w:eastAsia="en-US"/>
        </w:rPr>
      </w:pPr>
    </w:p>
    <w:p w14:paraId="7DEFB599" w14:textId="77777777" w:rsidR="00FD4803" w:rsidRDefault="00FD4803" w:rsidP="00AB397A">
      <w:pPr>
        <w:spacing w:line="259" w:lineRule="auto"/>
        <w:rPr>
          <w:rFonts w:ascii="Verdana" w:eastAsia="Verdana" w:hAnsi="Verdana" w:cs="Verdana"/>
          <w:sz w:val="22"/>
          <w:szCs w:val="22"/>
          <w:lang w:eastAsia="en-US"/>
        </w:rPr>
      </w:pPr>
    </w:p>
    <w:p w14:paraId="2E90058C" w14:textId="77777777" w:rsidR="00FD4803" w:rsidRDefault="00FD4803" w:rsidP="00AB397A">
      <w:pPr>
        <w:spacing w:line="259" w:lineRule="auto"/>
        <w:rPr>
          <w:rFonts w:ascii="Verdana" w:eastAsia="Verdana" w:hAnsi="Verdana" w:cs="Verdana"/>
          <w:sz w:val="22"/>
          <w:szCs w:val="22"/>
          <w:lang w:eastAsia="en-US"/>
        </w:rPr>
      </w:pPr>
    </w:p>
    <w:p w14:paraId="182D6708" w14:textId="77777777" w:rsidR="00FD4803" w:rsidRDefault="00FD4803" w:rsidP="00AB397A">
      <w:pPr>
        <w:spacing w:line="259" w:lineRule="auto"/>
        <w:rPr>
          <w:rFonts w:ascii="Verdana" w:eastAsia="Verdana" w:hAnsi="Verdana" w:cs="Verdana"/>
          <w:sz w:val="22"/>
          <w:szCs w:val="22"/>
          <w:lang w:eastAsia="en-US"/>
        </w:rPr>
      </w:pPr>
    </w:p>
    <w:p w14:paraId="5B3054ED" w14:textId="77777777" w:rsidR="00FD4803" w:rsidRDefault="00FD4803" w:rsidP="00AB397A">
      <w:pPr>
        <w:spacing w:line="259" w:lineRule="auto"/>
        <w:rPr>
          <w:rFonts w:ascii="Verdana" w:eastAsia="Verdana" w:hAnsi="Verdana" w:cs="Verdana"/>
          <w:sz w:val="22"/>
          <w:szCs w:val="22"/>
          <w:lang w:eastAsia="en-US"/>
        </w:rPr>
      </w:pPr>
    </w:p>
    <w:p w14:paraId="1C24CA42" w14:textId="77777777" w:rsidR="00FD4803" w:rsidRDefault="00FD4803" w:rsidP="00AB397A">
      <w:pPr>
        <w:spacing w:line="259" w:lineRule="auto"/>
        <w:rPr>
          <w:rFonts w:ascii="Verdana" w:eastAsia="Verdana" w:hAnsi="Verdana" w:cs="Verdana"/>
          <w:sz w:val="22"/>
          <w:szCs w:val="22"/>
          <w:lang w:eastAsia="en-US"/>
        </w:rPr>
      </w:pPr>
    </w:p>
    <w:p w14:paraId="48707E65" w14:textId="77777777" w:rsidR="00FD4803" w:rsidRDefault="00FD4803" w:rsidP="00AB397A">
      <w:pPr>
        <w:spacing w:line="259" w:lineRule="auto"/>
        <w:rPr>
          <w:rFonts w:ascii="Verdana" w:eastAsia="Verdana" w:hAnsi="Verdana" w:cs="Verdana"/>
          <w:sz w:val="22"/>
          <w:szCs w:val="22"/>
          <w:lang w:eastAsia="en-US"/>
        </w:rPr>
      </w:pPr>
    </w:p>
    <w:p w14:paraId="09A27D60" w14:textId="77777777" w:rsidR="00FD4803" w:rsidRDefault="00FD4803" w:rsidP="00AB397A">
      <w:pPr>
        <w:spacing w:line="259" w:lineRule="auto"/>
        <w:rPr>
          <w:rFonts w:ascii="Verdana" w:eastAsia="Verdana" w:hAnsi="Verdana" w:cs="Verdana"/>
          <w:sz w:val="22"/>
          <w:szCs w:val="22"/>
          <w:lang w:eastAsia="en-US"/>
        </w:rPr>
      </w:pPr>
    </w:p>
    <w:p w14:paraId="4614CEB5" w14:textId="77777777" w:rsidR="00FD4803" w:rsidRDefault="00FD4803" w:rsidP="00AB397A">
      <w:pPr>
        <w:spacing w:line="259" w:lineRule="auto"/>
        <w:rPr>
          <w:rFonts w:ascii="Verdana" w:eastAsia="Verdana" w:hAnsi="Verdana" w:cs="Verdana"/>
          <w:sz w:val="22"/>
          <w:szCs w:val="22"/>
          <w:lang w:eastAsia="en-US"/>
        </w:rPr>
      </w:pPr>
    </w:p>
    <w:p w14:paraId="7D2FFEB2" w14:textId="77777777" w:rsidR="00FD4803" w:rsidRDefault="00FD4803" w:rsidP="00AB397A">
      <w:pPr>
        <w:spacing w:line="259" w:lineRule="auto"/>
        <w:rPr>
          <w:rFonts w:ascii="Verdana" w:eastAsia="Verdana" w:hAnsi="Verdana" w:cs="Verdana"/>
          <w:sz w:val="22"/>
          <w:szCs w:val="22"/>
          <w:lang w:eastAsia="en-US"/>
        </w:rPr>
      </w:pPr>
    </w:p>
    <w:p w14:paraId="1781FE54" w14:textId="77777777" w:rsidR="00FD4803" w:rsidRDefault="00FD4803" w:rsidP="00AB397A">
      <w:pPr>
        <w:spacing w:line="259" w:lineRule="auto"/>
        <w:rPr>
          <w:rFonts w:ascii="Verdana" w:eastAsia="Verdana" w:hAnsi="Verdana" w:cs="Verdana"/>
          <w:sz w:val="22"/>
          <w:szCs w:val="22"/>
          <w:lang w:eastAsia="en-US"/>
        </w:rPr>
      </w:pPr>
    </w:p>
    <w:p w14:paraId="2666D713" w14:textId="77777777" w:rsidR="00FD4803" w:rsidRDefault="00FD4803" w:rsidP="00AB397A">
      <w:pPr>
        <w:spacing w:line="259" w:lineRule="auto"/>
        <w:rPr>
          <w:rFonts w:ascii="Verdana" w:eastAsia="Verdana" w:hAnsi="Verdana" w:cs="Verdana"/>
          <w:sz w:val="22"/>
          <w:szCs w:val="22"/>
          <w:lang w:eastAsia="en-US"/>
        </w:rPr>
      </w:pPr>
    </w:p>
    <w:p w14:paraId="3C05BA45" w14:textId="77777777" w:rsidR="00FD4803" w:rsidRDefault="00FD4803" w:rsidP="00AB397A">
      <w:pPr>
        <w:spacing w:line="259" w:lineRule="auto"/>
        <w:rPr>
          <w:rFonts w:ascii="Verdana" w:eastAsia="Verdana" w:hAnsi="Verdana" w:cs="Verdana"/>
          <w:sz w:val="22"/>
          <w:szCs w:val="22"/>
          <w:lang w:eastAsia="en-US"/>
        </w:rPr>
      </w:pPr>
    </w:p>
    <w:p w14:paraId="06647ABF" w14:textId="77777777" w:rsidR="00FD4803" w:rsidRDefault="00FD4803" w:rsidP="00AB397A">
      <w:pPr>
        <w:spacing w:line="259" w:lineRule="auto"/>
        <w:rPr>
          <w:rFonts w:ascii="Verdana" w:eastAsia="Verdana" w:hAnsi="Verdana" w:cs="Verdana"/>
          <w:sz w:val="22"/>
          <w:szCs w:val="22"/>
          <w:lang w:eastAsia="en-US"/>
        </w:rPr>
      </w:pPr>
    </w:p>
    <w:p w14:paraId="5674AB62" w14:textId="77777777" w:rsidR="00FD4803" w:rsidRDefault="00FD4803" w:rsidP="00AB397A">
      <w:pPr>
        <w:spacing w:line="259" w:lineRule="auto"/>
        <w:rPr>
          <w:rFonts w:ascii="Verdana" w:eastAsia="Verdana" w:hAnsi="Verdana" w:cs="Verdana"/>
          <w:sz w:val="22"/>
          <w:szCs w:val="22"/>
          <w:lang w:eastAsia="en-US"/>
        </w:rPr>
      </w:pPr>
    </w:p>
    <w:p w14:paraId="26A0A272" w14:textId="77777777" w:rsidR="00FD4803" w:rsidRDefault="00FD4803" w:rsidP="00AB397A">
      <w:pPr>
        <w:spacing w:line="259" w:lineRule="auto"/>
        <w:rPr>
          <w:rFonts w:ascii="Verdana" w:eastAsia="Verdana" w:hAnsi="Verdana" w:cs="Verdana"/>
          <w:sz w:val="22"/>
          <w:szCs w:val="22"/>
          <w:lang w:eastAsia="en-US"/>
        </w:rPr>
      </w:pPr>
    </w:p>
    <w:p w14:paraId="2B8389D4" w14:textId="77777777" w:rsidR="00FD4803" w:rsidRDefault="00FD4803" w:rsidP="00AB397A">
      <w:pPr>
        <w:spacing w:line="259" w:lineRule="auto"/>
        <w:rPr>
          <w:rFonts w:ascii="Verdana" w:eastAsia="Verdana" w:hAnsi="Verdana" w:cs="Verdana"/>
          <w:sz w:val="22"/>
          <w:szCs w:val="22"/>
          <w:lang w:eastAsia="en-US"/>
        </w:rPr>
      </w:pPr>
    </w:p>
    <w:p w14:paraId="14293DED" w14:textId="77777777" w:rsidR="00FD4803" w:rsidRDefault="00FD4803" w:rsidP="00AB397A">
      <w:pPr>
        <w:spacing w:line="259" w:lineRule="auto"/>
        <w:rPr>
          <w:rFonts w:ascii="Verdana" w:eastAsia="Verdana" w:hAnsi="Verdana" w:cs="Verdana"/>
          <w:sz w:val="22"/>
          <w:szCs w:val="22"/>
          <w:lang w:eastAsia="en-US"/>
        </w:rPr>
      </w:pPr>
    </w:p>
    <w:p w14:paraId="70E98EA7" w14:textId="77777777" w:rsidR="00FD4803" w:rsidRDefault="00FD4803" w:rsidP="00AB397A">
      <w:pPr>
        <w:spacing w:line="259" w:lineRule="auto"/>
        <w:rPr>
          <w:rFonts w:ascii="Verdana" w:eastAsia="Verdana" w:hAnsi="Verdana" w:cs="Verdana"/>
          <w:sz w:val="22"/>
          <w:szCs w:val="22"/>
          <w:lang w:eastAsia="en-US"/>
        </w:rPr>
      </w:pPr>
    </w:p>
    <w:p w14:paraId="22AEB90E" w14:textId="77777777" w:rsidR="00FD4803" w:rsidRDefault="00FD4803" w:rsidP="00AB397A">
      <w:pPr>
        <w:spacing w:line="259" w:lineRule="auto"/>
        <w:rPr>
          <w:rFonts w:ascii="Verdana" w:eastAsia="Verdana" w:hAnsi="Verdana" w:cs="Verdana"/>
          <w:sz w:val="22"/>
          <w:szCs w:val="22"/>
          <w:lang w:eastAsia="en-US"/>
        </w:rPr>
      </w:pPr>
    </w:p>
    <w:p w14:paraId="70BD808A" w14:textId="77777777" w:rsidR="00FD4803" w:rsidRDefault="00FD4803" w:rsidP="00AB397A">
      <w:pPr>
        <w:spacing w:line="259" w:lineRule="auto"/>
        <w:rPr>
          <w:rFonts w:ascii="Verdana" w:eastAsia="Verdana" w:hAnsi="Verdana" w:cs="Verdana"/>
          <w:sz w:val="22"/>
          <w:szCs w:val="22"/>
          <w:lang w:eastAsia="en-US"/>
        </w:rPr>
      </w:pPr>
    </w:p>
    <w:p w14:paraId="57A75BE0" w14:textId="77777777" w:rsidR="00FD5913" w:rsidRDefault="00AB397A" w:rsidP="00AB397A">
      <w:pPr>
        <w:spacing w:line="259" w:lineRule="auto"/>
        <w:rPr>
          <w:rFonts w:ascii="Verdana" w:eastAsia="Verdana" w:hAnsi="Verdana" w:cs="Verdana"/>
          <w:sz w:val="22"/>
          <w:szCs w:val="22"/>
          <w:lang w:eastAsia="en-US"/>
        </w:rPr>
      </w:pPr>
      <w:r w:rsidRPr="00AB397A">
        <w:rPr>
          <w:rFonts w:ascii="Verdana" w:eastAsia="Verdana" w:hAnsi="Verdana" w:cs="Verdana"/>
          <w:sz w:val="22"/>
          <w:szCs w:val="22"/>
          <w:lang w:eastAsia="en-US"/>
        </w:rPr>
        <w:lastRenderedPageBreak/>
        <w:t xml:space="preserve">Bogotá D.C., </w:t>
      </w:r>
      <w:r w:rsidR="005D778E">
        <w:rPr>
          <w:rFonts w:ascii="Verdana" w:eastAsia="Verdana" w:hAnsi="Verdana" w:cs="Verdana"/>
          <w:sz w:val="22"/>
          <w:szCs w:val="22"/>
          <w:lang w:eastAsia="en-US"/>
        </w:rPr>
        <w:t>28 de septiembre de 2026</w:t>
      </w:r>
    </w:p>
    <w:p w14:paraId="22562878" w14:textId="39E67F3B" w:rsidR="00AB397A" w:rsidRPr="00FD4803" w:rsidRDefault="00FD5913" w:rsidP="00AB397A">
      <w:pPr>
        <w:spacing w:line="259" w:lineRule="auto"/>
        <w:rPr>
          <w:rFonts w:ascii="Verdana" w:eastAsia="Verdana" w:hAnsi="Verdana" w:cs="Verdana"/>
          <w:sz w:val="22"/>
          <w:szCs w:val="22"/>
          <w:lang w:eastAsia="en-US"/>
        </w:rPr>
      </w:pPr>
      <w:r w:rsidRPr="00FD5913">
        <w:rPr>
          <w:rFonts w:asciiTheme="minorHAnsi" w:eastAsiaTheme="minorHAnsi" w:hAnsiTheme="minorHAnsi" w:cstheme="minorBidi"/>
          <w:noProof/>
          <w:sz w:val="22"/>
          <w:szCs w:val="22"/>
          <w:lang w:eastAsia="en-US"/>
        </w:rPr>
        <w:drawing>
          <wp:anchor distT="0" distB="0" distL="114300" distR="114300" simplePos="0" relativeHeight="251658240" behindDoc="0" locked="0" layoutInCell="1" allowOverlap="1" wp14:anchorId="3FF61E2C" wp14:editId="171079B3">
            <wp:simplePos x="0" y="0"/>
            <wp:positionH relativeFrom="margin">
              <wp:posOffset>2749550</wp:posOffset>
            </wp:positionH>
            <wp:positionV relativeFrom="paragraph">
              <wp:posOffset>24765</wp:posOffset>
            </wp:positionV>
            <wp:extent cx="2862580" cy="793115"/>
            <wp:effectExtent l="0" t="0" r="0" b="6985"/>
            <wp:wrapSquare wrapText="bothSides"/>
            <wp:docPr id="979425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2580"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5B3AD0" w14:textId="77777777" w:rsidR="00AB397A" w:rsidRPr="00AB397A" w:rsidRDefault="00AB397A" w:rsidP="00AB397A">
      <w:pPr>
        <w:jc w:val="both"/>
        <w:rPr>
          <w:rFonts w:ascii="Verdana" w:eastAsia="Calibri" w:hAnsi="Verdana" w:cs="Arial"/>
          <w:color w:val="000000"/>
          <w:sz w:val="22"/>
          <w:szCs w:val="22"/>
          <w:lang w:val="es-ES"/>
        </w:rPr>
      </w:pPr>
    </w:p>
    <w:p w14:paraId="6CEC38BE" w14:textId="77777777" w:rsidR="00AB397A" w:rsidRPr="00AB397A" w:rsidRDefault="00AB397A" w:rsidP="00AB397A">
      <w:pPr>
        <w:jc w:val="both"/>
        <w:rPr>
          <w:rFonts w:ascii="Verdana" w:eastAsia="Calibri" w:hAnsi="Verdana" w:cs="Arial"/>
          <w:sz w:val="22"/>
          <w:szCs w:val="22"/>
          <w:lang w:val="es-ES" w:eastAsia="es-ES"/>
        </w:rPr>
      </w:pPr>
      <w:r w:rsidRPr="00AB397A">
        <w:rPr>
          <w:rFonts w:ascii="Verdana" w:eastAsia="Calibri" w:hAnsi="Verdana" w:cs="Arial"/>
          <w:sz w:val="22"/>
          <w:szCs w:val="22"/>
          <w:lang w:val="es-ES" w:eastAsia="es-ES"/>
        </w:rPr>
        <w:t>Señor</w:t>
      </w:r>
    </w:p>
    <w:p w14:paraId="3D49C28A" w14:textId="77777777" w:rsidR="00AB397A" w:rsidRPr="00AB397A" w:rsidRDefault="00AB397A" w:rsidP="00AB397A">
      <w:pPr>
        <w:rPr>
          <w:rFonts w:ascii="Verdana" w:hAnsi="Verdana"/>
          <w:b/>
          <w:bCs/>
          <w:sz w:val="22"/>
          <w:szCs w:val="22"/>
        </w:rPr>
      </w:pPr>
      <w:r w:rsidRPr="00AB397A">
        <w:rPr>
          <w:rFonts w:ascii="Verdana" w:hAnsi="Verdana"/>
          <w:b/>
          <w:bCs/>
          <w:sz w:val="22"/>
          <w:szCs w:val="22"/>
        </w:rPr>
        <w:t>Fernando José Castro Spadaffora</w:t>
      </w:r>
    </w:p>
    <w:p w14:paraId="51B9092A" w14:textId="77777777" w:rsidR="00AB397A" w:rsidRPr="00AB397A" w:rsidRDefault="00AB397A" w:rsidP="00AB397A">
      <w:pPr>
        <w:rPr>
          <w:rFonts w:ascii="Verdana" w:hAnsi="Verdana"/>
          <w:sz w:val="22"/>
          <w:szCs w:val="22"/>
        </w:rPr>
      </w:pPr>
      <w:hyperlink r:id="rId12" w:history="1">
        <w:r w:rsidRPr="00AB397A">
          <w:rPr>
            <w:rFonts w:ascii="Verdana" w:hAnsi="Verdana"/>
            <w:color w:val="0000FF"/>
            <w:sz w:val="22"/>
            <w:szCs w:val="22"/>
            <w:u w:val="single"/>
          </w:rPr>
          <w:t>licitacionescspadaffora@gmail.com</w:t>
        </w:r>
      </w:hyperlink>
      <w:r w:rsidRPr="00AB397A">
        <w:rPr>
          <w:rFonts w:ascii="Verdana" w:hAnsi="Verdana"/>
          <w:sz w:val="22"/>
          <w:szCs w:val="22"/>
        </w:rPr>
        <w:t xml:space="preserve"> </w:t>
      </w:r>
    </w:p>
    <w:p w14:paraId="42A172B7" w14:textId="77777777" w:rsidR="00AB397A" w:rsidRPr="00AB397A" w:rsidRDefault="00AB397A" w:rsidP="00AB397A">
      <w:pPr>
        <w:rPr>
          <w:rFonts w:ascii="Verdana" w:eastAsia="Calibri" w:hAnsi="Verdana" w:cs="Arial"/>
          <w:b/>
          <w:bCs/>
          <w:color w:val="000000"/>
          <w:sz w:val="22"/>
          <w:szCs w:val="22"/>
          <w:lang w:val="it-CH"/>
        </w:rPr>
      </w:pPr>
      <w:r w:rsidRPr="00AB397A">
        <w:rPr>
          <w:rFonts w:ascii="Verdana" w:eastAsia="Calibri" w:hAnsi="Verdana" w:cs="Arial"/>
          <w:sz w:val="22"/>
          <w:szCs w:val="22"/>
          <w:lang w:val="it-CH" w:eastAsia="es-ES"/>
        </w:rPr>
        <w:t>Cali, Valle del Cauca</w:t>
      </w:r>
    </w:p>
    <w:p w14:paraId="46BAA3E2" w14:textId="77777777" w:rsidR="00AB397A" w:rsidRPr="00AB397A" w:rsidRDefault="00AB397A" w:rsidP="00AB397A">
      <w:pPr>
        <w:rPr>
          <w:rFonts w:ascii="Verdana" w:eastAsia="Calibri" w:hAnsi="Verdana" w:cs="Arial"/>
          <w:b/>
          <w:bCs/>
          <w:color w:val="000000"/>
          <w:sz w:val="22"/>
          <w:szCs w:val="22"/>
          <w:lang w:val="it-CH"/>
        </w:rPr>
      </w:pPr>
    </w:p>
    <w:p w14:paraId="012DE0EF" w14:textId="77777777" w:rsidR="00AB397A" w:rsidRPr="00AB397A" w:rsidRDefault="00AB397A" w:rsidP="00AB397A">
      <w:pPr>
        <w:rPr>
          <w:rFonts w:ascii="Verdana" w:eastAsia="Calibri" w:hAnsi="Verdana" w:cs="Arial"/>
          <w:b/>
          <w:bCs/>
          <w:color w:val="000000"/>
          <w:sz w:val="22"/>
          <w:szCs w:val="22"/>
          <w:lang w:val="it-CH"/>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B397A" w:rsidRPr="00AB397A" w14:paraId="12A3A3DB" w14:textId="77777777" w:rsidTr="001D3405">
        <w:trPr>
          <w:trHeight w:val="884"/>
        </w:trPr>
        <w:tc>
          <w:tcPr>
            <w:tcW w:w="2689" w:type="dxa"/>
          </w:tcPr>
          <w:p w14:paraId="581ADD68" w14:textId="77777777" w:rsidR="00AB397A" w:rsidRPr="00AB397A" w:rsidRDefault="00AB397A" w:rsidP="00AB397A">
            <w:pPr>
              <w:jc w:val="both"/>
              <w:rPr>
                <w:rFonts w:ascii="Verdana" w:eastAsia="Calibri" w:hAnsi="Verdana" w:cs="Arial"/>
                <w:b/>
                <w:bCs/>
                <w:color w:val="7030A0"/>
                <w:sz w:val="22"/>
                <w:szCs w:val="22"/>
                <w:lang w:val="it-CH"/>
              </w:rPr>
            </w:pPr>
          </w:p>
        </w:tc>
        <w:tc>
          <w:tcPr>
            <w:tcW w:w="6100" w:type="dxa"/>
          </w:tcPr>
          <w:p w14:paraId="19ACBB8C" w14:textId="77777777" w:rsidR="00AB397A" w:rsidRPr="00AB397A" w:rsidRDefault="00AB397A" w:rsidP="00AB397A">
            <w:pPr>
              <w:jc w:val="both"/>
              <w:rPr>
                <w:rFonts w:ascii="Verdana" w:eastAsia="Calibri" w:hAnsi="Verdana" w:cs="Arial"/>
                <w:b/>
                <w:bCs/>
                <w:color w:val="7030A0"/>
                <w:sz w:val="22"/>
                <w:szCs w:val="22"/>
                <w:lang w:val="es-ES" w:eastAsia="es-ES"/>
              </w:rPr>
            </w:pPr>
            <w:r w:rsidRPr="00AB397A">
              <w:rPr>
                <w:rFonts w:ascii="Verdana" w:eastAsia="Calibri" w:hAnsi="Verdana" w:cs="Arial"/>
                <w:b/>
                <w:bCs/>
                <w:sz w:val="22"/>
                <w:szCs w:val="22"/>
                <w:lang w:val="es-ES" w:eastAsia="es-ES"/>
              </w:rPr>
              <w:t>Concepto C-1299 de 2026</w:t>
            </w:r>
          </w:p>
        </w:tc>
      </w:tr>
      <w:tr w:rsidR="00AB397A" w:rsidRPr="00AB397A" w14:paraId="2794827C" w14:textId="77777777" w:rsidTr="001D3405">
        <w:trPr>
          <w:trHeight w:val="1012"/>
        </w:trPr>
        <w:tc>
          <w:tcPr>
            <w:tcW w:w="2689" w:type="dxa"/>
          </w:tcPr>
          <w:p w14:paraId="2AD1D2AA" w14:textId="77777777" w:rsidR="00AB397A" w:rsidRPr="00AB397A" w:rsidRDefault="00AB397A" w:rsidP="00AB397A">
            <w:pPr>
              <w:spacing w:line="276" w:lineRule="auto"/>
              <w:jc w:val="both"/>
              <w:rPr>
                <w:rFonts w:ascii="Verdana" w:eastAsia="Calibri" w:hAnsi="Verdana" w:cs="Arial"/>
                <w:color w:val="000000"/>
                <w:sz w:val="22"/>
                <w:szCs w:val="22"/>
                <w:lang w:val="es-ES_tradnl"/>
              </w:rPr>
            </w:pPr>
            <w:r w:rsidRPr="00AB397A">
              <w:rPr>
                <w:rFonts w:ascii="Verdana" w:eastAsia="Calibri" w:hAnsi="Verdana" w:cs="Arial"/>
                <w:b/>
                <w:color w:val="000000"/>
                <w:sz w:val="22"/>
                <w:szCs w:val="22"/>
                <w:lang w:val="es-ES_tradnl"/>
              </w:rPr>
              <w:t>Temas:</w:t>
            </w:r>
            <w:r w:rsidRPr="00AB397A">
              <w:rPr>
                <w:rFonts w:ascii="Verdana" w:eastAsia="Calibri" w:hAnsi="Verdana" w:cs="Arial"/>
                <w:color w:val="000000"/>
                <w:sz w:val="22"/>
                <w:szCs w:val="22"/>
                <w:lang w:val="es-ES_tradnl"/>
              </w:rPr>
              <w:t xml:space="preserve">                   </w:t>
            </w:r>
          </w:p>
        </w:tc>
        <w:tc>
          <w:tcPr>
            <w:tcW w:w="6100" w:type="dxa"/>
          </w:tcPr>
          <w:p w14:paraId="4E8B8FE2" w14:textId="58F54F2B" w:rsidR="00AB397A" w:rsidRPr="00AB397A" w:rsidRDefault="00AB397A" w:rsidP="00AB397A">
            <w:pPr>
              <w:spacing w:line="276" w:lineRule="auto"/>
              <w:jc w:val="both"/>
              <w:rPr>
                <w:rFonts w:ascii="Verdana" w:eastAsia="Calibri" w:hAnsi="Verdana" w:cs="Arial"/>
                <w:sz w:val="22"/>
                <w:szCs w:val="22"/>
                <w:lang w:eastAsia="es-ES"/>
              </w:rPr>
            </w:pPr>
            <w:r w:rsidRPr="00AB397A">
              <w:rPr>
                <w:rFonts w:ascii="Verdana" w:eastAsia="Calibri" w:hAnsi="Verdana" w:cs="Calibri"/>
                <w:sz w:val="22"/>
                <w:szCs w:val="22"/>
                <w:lang w:val="es-ES"/>
              </w:rPr>
              <w:t xml:space="preserve">CAPACIDAD RESIDUAL – Definición / </w:t>
            </w:r>
            <w:r w:rsidRPr="00AB397A">
              <w:rPr>
                <w:rFonts w:ascii="Verdana" w:eastAsia="Calibri" w:hAnsi="Verdana" w:cs="Calibri"/>
                <w:bCs/>
                <w:sz w:val="22"/>
                <w:szCs w:val="22"/>
                <w:lang w:val="es-ES_tradnl"/>
              </w:rPr>
              <w:t xml:space="preserve">CAPACIDAD RESIDUAL – Documentos requeridos – Cálculo / </w:t>
            </w:r>
            <w:r w:rsidRPr="00AB397A">
              <w:rPr>
                <w:rFonts w:ascii="Verdana" w:eastAsia="Calibri" w:hAnsi="Verdana" w:cs="Calibri"/>
                <w:sz w:val="22"/>
                <w:szCs w:val="22"/>
                <w:lang w:val="es-ES"/>
              </w:rPr>
              <w:t xml:space="preserve">CAPACIDAD RESIDUAL – Acreditación - Pliego de condiciones / </w:t>
            </w:r>
            <w:r w:rsidRPr="00AB397A">
              <w:rPr>
                <w:rFonts w:ascii="Verdana" w:hAnsi="Verdana" w:cs="Arial"/>
                <w:bCs/>
                <w:sz w:val="22"/>
                <w:szCs w:val="22"/>
                <w:lang w:val="es-ES_tradnl" w:eastAsia="es-ES"/>
              </w:rPr>
              <w:t>CÁLCULO DE LA CAPACIDAD RESIDUAL – Contratos en ejecución – Certificación – Contratos de obra / CAPACIDAD RESIDUAL – Calculo – Proponente Plural – Contabilización –Contratos en Ejecución – Reglas</w:t>
            </w:r>
          </w:p>
          <w:p w14:paraId="5B1BBFEB" w14:textId="77777777" w:rsidR="00AB397A" w:rsidRPr="00AB397A" w:rsidRDefault="00AB397A" w:rsidP="00AB397A">
            <w:pPr>
              <w:spacing w:line="276" w:lineRule="auto"/>
              <w:jc w:val="both"/>
              <w:rPr>
                <w:rFonts w:ascii="Verdana" w:eastAsia="Calibri" w:hAnsi="Verdana" w:cs="Arial"/>
                <w:sz w:val="22"/>
                <w:szCs w:val="22"/>
                <w:lang w:val="es-ES_tradnl" w:eastAsia="es-ES"/>
              </w:rPr>
            </w:pPr>
          </w:p>
          <w:p w14:paraId="529E8D03" w14:textId="77777777" w:rsidR="00AB397A" w:rsidRPr="00AB397A" w:rsidRDefault="00AB397A" w:rsidP="00AB397A">
            <w:pPr>
              <w:spacing w:line="276" w:lineRule="auto"/>
              <w:jc w:val="both"/>
              <w:rPr>
                <w:rFonts w:ascii="Verdana" w:eastAsia="Calibri" w:hAnsi="Verdana" w:cs="Arial"/>
                <w:sz w:val="22"/>
                <w:szCs w:val="22"/>
                <w:lang w:val="es-ES" w:eastAsia="es-ES"/>
              </w:rPr>
            </w:pPr>
          </w:p>
        </w:tc>
      </w:tr>
      <w:tr w:rsidR="00AB397A" w:rsidRPr="00AB397A" w14:paraId="18295FED" w14:textId="77777777" w:rsidTr="001D3405">
        <w:tc>
          <w:tcPr>
            <w:tcW w:w="2689" w:type="dxa"/>
          </w:tcPr>
          <w:p w14:paraId="075E9316" w14:textId="77777777" w:rsidR="00AB397A" w:rsidRPr="00AB397A" w:rsidRDefault="00AB397A" w:rsidP="00AB397A">
            <w:pPr>
              <w:spacing w:line="276" w:lineRule="auto"/>
              <w:jc w:val="both"/>
              <w:rPr>
                <w:rFonts w:ascii="Verdana" w:eastAsia="Calibri" w:hAnsi="Verdana" w:cs="Arial"/>
                <w:b/>
                <w:sz w:val="22"/>
                <w:szCs w:val="22"/>
                <w:lang w:val="es-ES_tradnl"/>
              </w:rPr>
            </w:pPr>
            <w:r w:rsidRPr="00AB397A">
              <w:rPr>
                <w:rFonts w:ascii="Verdana" w:eastAsia="Calibri" w:hAnsi="Verdana" w:cs="Arial"/>
                <w:b/>
                <w:sz w:val="22"/>
                <w:szCs w:val="22"/>
                <w:lang w:val="es-ES_tradnl"/>
              </w:rPr>
              <w:t>Radicación:</w:t>
            </w:r>
            <w:r w:rsidRPr="00AB397A">
              <w:rPr>
                <w:rFonts w:ascii="Verdana" w:eastAsia="Calibri" w:hAnsi="Verdana" w:cs="Arial"/>
                <w:sz w:val="22"/>
                <w:szCs w:val="22"/>
                <w:lang w:val="es-ES_tradnl"/>
              </w:rPr>
              <w:t xml:space="preserve">               </w:t>
            </w:r>
          </w:p>
        </w:tc>
        <w:tc>
          <w:tcPr>
            <w:tcW w:w="6100" w:type="dxa"/>
          </w:tcPr>
          <w:p w14:paraId="523D63C5" w14:textId="77777777" w:rsidR="00AB397A" w:rsidRPr="00AB397A" w:rsidRDefault="00AB397A" w:rsidP="00AB397A">
            <w:pPr>
              <w:spacing w:line="276" w:lineRule="auto"/>
              <w:jc w:val="both"/>
              <w:rPr>
                <w:rFonts w:ascii="Verdana" w:eastAsia="Calibri" w:hAnsi="Verdana" w:cs="Arial"/>
                <w:sz w:val="22"/>
                <w:szCs w:val="22"/>
                <w:highlight w:val="yellow"/>
                <w:lang w:val="es-ES_tradnl"/>
              </w:rPr>
            </w:pPr>
            <w:r w:rsidRPr="00AB397A">
              <w:rPr>
                <w:rFonts w:ascii="Verdana" w:eastAsia="Calibri" w:hAnsi="Verdana" w:cs="Arial"/>
                <w:sz w:val="22"/>
                <w:szCs w:val="22"/>
                <w:lang w:val="es-ES_tradnl"/>
              </w:rPr>
              <w:t xml:space="preserve">Respuesta a la consulta con radicado No. </w:t>
            </w:r>
            <w:r w:rsidRPr="00AB397A">
              <w:rPr>
                <w:rFonts w:ascii="Verdana" w:eastAsia="Calibri" w:hAnsi="Verdana" w:cs="Arial"/>
                <w:sz w:val="22"/>
                <w:szCs w:val="22"/>
              </w:rPr>
              <w:t>1_2026_08_18_010879</w:t>
            </w:r>
          </w:p>
        </w:tc>
      </w:tr>
    </w:tbl>
    <w:p w14:paraId="0651B508" w14:textId="77777777" w:rsidR="00AB397A" w:rsidRPr="00AB397A" w:rsidRDefault="00AB397A" w:rsidP="00AB397A">
      <w:pPr>
        <w:jc w:val="both"/>
        <w:rPr>
          <w:rFonts w:ascii="Verdana" w:eastAsia="Calibri" w:hAnsi="Verdana" w:cs="Arial"/>
          <w:color w:val="000000"/>
          <w:sz w:val="22"/>
          <w:szCs w:val="22"/>
          <w:lang w:val="es-ES_tradnl"/>
        </w:rPr>
      </w:pPr>
    </w:p>
    <w:p w14:paraId="079AB4A6" w14:textId="77777777" w:rsidR="00AB397A" w:rsidRPr="00AB397A" w:rsidRDefault="00AB397A" w:rsidP="00AB397A">
      <w:pPr>
        <w:jc w:val="both"/>
        <w:rPr>
          <w:rFonts w:ascii="Verdana" w:eastAsia="Calibri" w:hAnsi="Verdana" w:cs="Arial"/>
          <w:color w:val="000000"/>
          <w:sz w:val="22"/>
          <w:szCs w:val="22"/>
          <w:lang w:val="es-ES_tradnl"/>
        </w:rPr>
      </w:pPr>
    </w:p>
    <w:p w14:paraId="5510F562" w14:textId="77777777" w:rsidR="00AB397A" w:rsidRPr="00AB397A" w:rsidRDefault="00AB397A" w:rsidP="00AB397A">
      <w:pPr>
        <w:jc w:val="both"/>
        <w:rPr>
          <w:rFonts w:ascii="Verdana" w:eastAsia="Calibri" w:hAnsi="Verdana" w:cs="Arial"/>
          <w:sz w:val="22"/>
          <w:szCs w:val="22"/>
          <w:lang w:val="es-ES" w:eastAsia="es-ES"/>
        </w:rPr>
      </w:pPr>
      <w:r w:rsidRPr="00AB397A">
        <w:rPr>
          <w:rFonts w:ascii="Verdana" w:eastAsia="Calibri" w:hAnsi="Verdana" w:cs="Arial"/>
          <w:sz w:val="22"/>
          <w:szCs w:val="22"/>
          <w:lang w:val="es-ES" w:eastAsia="es-ES"/>
        </w:rPr>
        <w:t xml:space="preserve">Estimado Señor Castro: </w:t>
      </w:r>
    </w:p>
    <w:p w14:paraId="06A28978" w14:textId="77777777" w:rsidR="00AB397A" w:rsidRPr="00AB397A" w:rsidRDefault="00AB397A" w:rsidP="00AB397A">
      <w:pPr>
        <w:tabs>
          <w:tab w:val="left" w:pos="3768"/>
        </w:tabs>
        <w:jc w:val="both"/>
        <w:rPr>
          <w:rFonts w:ascii="Verdana" w:eastAsia="Calibri" w:hAnsi="Verdana" w:cs="Arial"/>
          <w:color w:val="000000" w:themeColor="text1"/>
          <w:sz w:val="22"/>
          <w:szCs w:val="22"/>
          <w:lang w:val="es-ES" w:eastAsia="es-ES"/>
        </w:rPr>
      </w:pPr>
    </w:p>
    <w:p w14:paraId="24808468" w14:textId="77777777" w:rsidR="00AB397A" w:rsidRPr="00AB397A" w:rsidRDefault="00AB397A" w:rsidP="00AB397A">
      <w:pPr>
        <w:tabs>
          <w:tab w:val="left" w:pos="3768"/>
        </w:tabs>
        <w:spacing w:line="276" w:lineRule="auto"/>
        <w:jc w:val="both"/>
        <w:rPr>
          <w:rFonts w:ascii="Verdana" w:eastAsia="Calibri" w:hAnsi="Verdana" w:cs="Arial"/>
          <w:color w:val="000000" w:themeColor="text1"/>
          <w:sz w:val="22"/>
          <w:szCs w:val="22"/>
          <w:lang w:val="es-ES" w:eastAsia="es-ES"/>
        </w:rPr>
      </w:pPr>
      <w:r w:rsidRPr="00AB397A">
        <w:rPr>
          <w:rFonts w:ascii="Verdana" w:eastAsia="Calibri" w:hAnsi="Verdana" w:cs="Arial"/>
          <w:color w:val="000000" w:themeColor="text1"/>
          <w:sz w:val="22"/>
          <w:szCs w:val="22"/>
          <w:lang w:val="es-ES" w:eastAsia="es-ES"/>
        </w:rPr>
        <w:t>En ejercicio de la competencia otorgada por los artículos 3, numeral 5º, y 11, numeral 8º, del Decreto Ley 4170 de 2011,</w:t>
      </w:r>
      <w:r w:rsidRPr="00AB397A">
        <w:rPr>
          <w:rFonts w:ascii="Verdana" w:eastAsia="Arial MT" w:hAnsi="Verdana" w:cs="Arial MT"/>
          <w:sz w:val="22"/>
          <w:szCs w:val="22"/>
          <w:lang w:val="es-ES" w:eastAsia="es-ES"/>
        </w:rPr>
        <w:t xml:space="preserve"> </w:t>
      </w:r>
      <w:r w:rsidRPr="00AB397A">
        <w:rPr>
          <w:rFonts w:ascii="Verdana" w:hAnsi="Verdana" w:cs="Arial"/>
          <w:sz w:val="22"/>
          <w:szCs w:val="22"/>
        </w:rPr>
        <w:t xml:space="preserve">así como lo establecido en el artículo 4 de la Resolución 469 de 2025 expedida por esta Entidad, </w:t>
      </w:r>
      <w:r w:rsidRPr="00AB397A">
        <w:rPr>
          <w:rFonts w:ascii="Verdana" w:eastAsia="Calibri" w:hAnsi="Verdana" w:cs="Arial"/>
          <w:color w:val="000000" w:themeColor="text1"/>
          <w:sz w:val="22"/>
          <w:szCs w:val="22"/>
          <w:lang w:val="es-ES" w:eastAsia="es-ES"/>
        </w:rPr>
        <w:t>la Agencia Nacional de Contratación Pública – Colombia Compra Eficiente responde su solicitud de consulta del 18</w:t>
      </w:r>
      <w:r w:rsidRPr="00AB397A">
        <w:rPr>
          <w:rFonts w:ascii="Verdana" w:eastAsia="Calibri" w:hAnsi="Verdana" w:cs="Arial"/>
          <w:sz w:val="22"/>
          <w:szCs w:val="22"/>
          <w:lang w:val="es-ES" w:eastAsia="es-ES"/>
        </w:rPr>
        <w:t xml:space="preserve"> de agosto de 2026, donde realiza las siguientes preguntas:   </w:t>
      </w:r>
    </w:p>
    <w:p w14:paraId="71644C04" w14:textId="77777777" w:rsidR="00AB397A" w:rsidRPr="00AB397A" w:rsidRDefault="00AB397A" w:rsidP="00AB397A">
      <w:pPr>
        <w:autoSpaceDE w:val="0"/>
        <w:autoSpaceDN w:val="0"/>
        <w:adjustRightInd w:val="0"/>
        <w:rPr>
          <w:rFonts w:ascii="Verdana" w:eastAsiaTheme="minorHAnsi" w:hAnsi="Verdana" w:cs="Arial"/>
          <w:color w:val="000000"/>
          <w:sz w:val="20"/>
          <w:szCs w:val="20"/>
          <w:lang w:eastAsia="en-US"/>
        </w:rPr>
      </w:pPr>
    </w:p>
    <w:p w14:paraId="2FC5252C" w14:textId="77777777" w:rsidR="00AB397A" w:rsidRPr="00AB397A" w:rsidRDefault="00AB397A" w:rsidP="00AB397A">
      <w:pPr>
        <w:ind w:left="709" w:right="709"/>
        <w:jc w:val="both"/>
        <w:rPr>
          <w:rFonts w:ascii="Verdana" w:eastAsia="Calibri" w:hAnsi="Verdana" w:cs="Arial"/>
          <w:color w:val="000000"/>
          <w:sz w:val="20"/>
          <w:szCs w:val="20"/>
          <w:lang w:eastAsia="es-ES"/>
        </w:rPr>
      </w:pPr>
      <w:r w:rsidRPr="00AB397A">
        <w:rPr>
          <w:rFonts w:ascii="Verdana" w:eastAsia="Calibri" w:hAnsi="Verdana" w:cs="Arial"/>
          <w:color w:val="000000"/>
          <w:sz w:val="20"/>
          <w:szCs w:val="20"/>
          <w:lang w:eastAsia="es-ES"/>
        </w:rPr>
        <w:t>1. ¿Debe la Persona A, en su calidad de accionista de la Persona B, reportar la totalidad de los contratos en ejecución de esta última, no obstante que la Persona B ya reporta de manera independiente la totalidad de sus propios saldos en ejecución?</w:t>
      </w:r>
    </w:p>
    <w:p w14:paraId="392FDC3B" w14:textId="77777777" w:rsidR="00AB397A" w:rsidRPr="00AB397A" w:rsidRDefault="00AB397A" w:rsidP="00AB397A">
      <w:pPr>
        <w:ind w:left="709" w:right="709"/>
        <w:jc w:val="both"/>
        <w:rPr>
          <w:rFonts w:ascii="Verdana" w:eastAsia="Calibri" w:hAnsi="Verdana" w:cs="Arial"/>
          <w:color w:val="000000"/>
          <w:sz w:val="20"/>
          <w:szCs w:val="20"/>
          <w:lang w:eastAsia="es-ES"/>
        </w:rPr>
      </w:pPr>
      <w:r w:rsidRPr="00AB397A">
        <w:rPr>
          <w:rFonts w:ascii="Verdana" w:eastAsia="Calibri" w:hAnsi="Verdana" w:cs="Arial"/>
          <w:color w:val="000000"/>
          <w:sz w:val="20"/>
          <w:szCs w:val="20"/>
          <w:lang w:eastAsia="es-ES"/>
        </w:rPr>
        <w:t xml:space="preserve">2. En caso de que la respuesta a la pregunta anterior sea afirmativa, y conforme a lo señalado en el Concepto C-013 de 2022, ¿no se generaría </w:t>
      </w:r>
      <w:r w:rsidRPr="00AB397A">
        <w:rPr>
          <w:rFonts w:ascii="Verdana" w:eastAsia="Calibri" w:hAnsi="Verdana" w:cs="Arial"/>
          <w:color w:val="000000"/>
          <w:sz w:val="20"/>
          <w:szCs w:val="20"/>
          <w:lang w:eastAsia="es-ES"/>
        </w:rPr>
        <w:lastRenderedPageBreak/>
        <w:t>una doble afectación de los mismos Saldos de Contratos en Ejecución (SCE) respecto de las Personas A y B? Lo anterior, considerando que, desde el punto de vista jurídico y contable, se trata de personas distintas, lo que conllevaría a que el saldo de un mismo contrato en ejecución de la Persona B sea contabilizado dos veces dentro del cálculo de la capacidad residual del consorcio: una primera vez bajo el saldo reportado por la Persona B como integrante del consorcio, y una segunda vez bajo el saldo reportado por la Persona A, también como integrante independiente del mismo consorcio.</w:t>
      </w:r>
    </w:p>
    <w:p w14:paraId="7C2095B4" w14:textId="77777777" w:rsidR="00AB397A" w:rsidRPr="00AB397A" w:rsidRDefault="00AB397A" w:rsidP="00AB397A">
      <w:pPr>
        <w:ind w:left="709" w:right="709"/>
        <w:jc w:val="both"/>
        <w:rPr>
          <w:rFonts w:ascii="Verdana" w:eastAsia="Calibri" w:hAnsi="Verdana" w:cs="Arial"/>
          <w:color w:val="000000"/>
          <w:sz w:val="20"/>
          <w:szCs w:val="20"/>
          <w:lang w:eastAsia="es-ES"/>
        </w:rPr>
      </w:pPr>
      <w:r w:rsidRPr="00AB397A">
        <w:rPr>
          <w:rFonts w:ascii="Verdana" w:eastAsia="Calibri" w:hAnsi="Verdana" w:cs="Arial"/>
          <w:color w:val="000000"/>
          <w:sz w:val="20"/>
          <w:szCs w:val="20"/>
          <w:lang w:eastAsia="es-ES"/>
        </w:rPr>
        <w:t>3. En caso de que la respuesta a la primera pregunta sea afirmativa, en los términos ya previstos en el Concepto C-013 de 2022, ¿de qué manera deben incorporarse los Saldos de Contratos en Ejecución (SCE) de la Persona B dentro de los saldos reportados por su accionista, la Persona A? En particular, cuando dichos contratos hayan sido ejecutados bajo figuras plurales (consorcios o uniones temporales), ¿el saldo correspondiente debe afectarse de manera porcentual en dos oportunidades, esto es, una primera vez conforme al porcentaje de participación de la Persona B dentro de la figura plural, y una segunda vez conforme al porcentaje de participación accionaria de la Persona A dentro de la Persona B?</w:t>
      </w:r>
    </w:p>
    <w:p w14:paraId="091C052B" w14:textId="77777777" w:rsidR="00AB397A" w:rsidRPr="00AB397A" w:rsidRDefault="00AB397A" w:rsidP="00AB397A">
      <w:pPr>
        <w:ind w:left="709" w:right="709"/>
        <w:jc w:val="both"/>
        <w:rPr>
          <w:rFonts w:ascii="Verdana" w:eastAsia="Calibri" w:hAnsi="Verdana" w:cs="Arial"/>
          <w:color w:val="000000"/>
          <w:sz w:val="20"/>
          <w:szCs w:val="20"/>
          <w:lang w:eastAsia="es-ES"/>
        </w:rPr>
      </w:pPr>
      <w:r w:rsidRPr="00AB397A">
        <w:rPr>
          <w:rFonts w:ascii="Verdana" w:eastAsia="Calibri" w:hAnsi="Verdana" w:cs="Arial"/>
          <w:color w:val="000000"/>
          <w:sz w:val="20"/>
          <w:szCs w:val="20"/>
          <w:lang w:eastAsia="es-ES"/>
        </w:rPr>
        <w:t>4. En caso de que la respuesta a la primera pregunta sea afirmativa —es decir, que deban contabilizarse los saldos de la Persona B dentro de los saldos de contratos en ejecución de su accionista persona natural—, ¿no resultaría dicha exigencia contraria a lo dispuesto en el artículo 6 del Código de Comercio?</w:t>
      </w:r>
    </w:p>
    <w:p w14:paraId="12FEEFF5" w14:textId="77777777" w:rsidR="00AB397A" w:rsidRPr="00AB397A" w:rsidRDefault="00AB397A" w:rsidP="00AB397A">
      <w:pPr>
        <w:ind w:left="709" w:right="709"/>
        <w:jc w:val="both"/>
        <w:rPr>
          <w:rFonts w:ascii="Verdana" w:eastAsia="Calibri" w:hAnsi="Verdana" w:cs="Arial"/>
          <w:color w:val="000000"/>
          <w:sz w:val="20"/>
          <w:szCs w:val="20"/>
          <w:lang w:eastAsia="es-ES"/>
        </w:rPr>
      </w:pPr>
      <w:r w:rsidRPr="00AB397A">
        <w:rPr>
          <w:rFonts w:ascii="Verdana" w:eastAsia="Calibri" w:hAnsi="Verdana" w:cs="Arial"/>
          <w:color w:val="000000"/>
          <w:sz w:val="20"/>
          <w:szCs w:val="20"/>
          <w:lang w:eastAsia="es-ES"/>
        </w:rPr>
        <w:t>5. En caso de que la respuesta a la primera pregunta sea negativa, esto es, que no deba acreditarse por partida doble el saldo de los contratos en ejecución del oferente y de sus accionistas, solicitamos respetuosamente que se emita un concepto unificado que precise dicho criterio y deje sin efecto, en lo pertinente, lo señalado en el Concepto C-013 de 2022.</w:t>
      </w:r>
    </w:p>
    <w:p w14:paraId="5948395B" w14:textId="77777777" w:rsidR="00AB397A" w:rsidRPr="00AB397A" w:rsidRDefault="00AB397A" w:rsidP="00AB397A">
      <w:pPr>
        <w:spacing w:line="276" w:lineRule="auto"/>
        <w:ind w:firstLine="709"/>
        <w:jc w:val="both"/>
        <w:rPr>
          <w:rFonts w:ascii="Verdana" w:eastAsia="Calibri" w:hAnsi="Verdana" w:cs="Arial"/>
          <w:color w:val="000000"/>
          <w:sz w:val="22"/>
          <w:szCs w:val="22"/>
          <w:lang w:val="es-ES" w:eastAsia="es-ES"/>
        </w:rPr>
      </w:pPr>
    </w:p>
    <w:p w14:paraId="42CD5078" w14:textId="77777777" w:rsidR="00AB397A" w:rsidRPr="00AB397A" w:rsidRDefault="00AB397A" w:rsidP="00AB397A">
      <w:pPr>
        <w:spacing w:after="120" w:line="276" w:lineRule="auto"/>
        <w:ind w:firstLine="709"/>
        <w:jc w:val="both"/>
        <w:rPr>
          <w:rFonts w:ascii="Verdana" w:eastAsia="Calibri" w:hAnsi="Verdana" w:cs="Arial"/>
          <w:color w:val="000000"/>
          <w:sz w:val="22"/>
          <w:szCs w:val="22"/>
          <w:lang w:val="es-ES" w:eastAsia="es-ES"/>
        </w:rPr>
      </w:pPr>
      <w:r w:rsidRPr="00AB397A">
        <w:rPr>
          <w:rFonts w:ascii="Verdana" w:eastAsia="Calibri" w:hAnsi="Verdana" w:cs="Arial"/>
          <w:color w:val="000000"/>
          <w:sz w:val="22"/>
          <w:szCs w:val="22"/>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B397A">
        <w:rPr>
          <w:rFonts w:ascii="Verdana" w:eastAsia="Calibri" w:hAnsi="Verdana" w:cs="Arial"/>
          <w:color w:val="000000"/>
          <w:sz w:val="22"/>
          <w:szCs w:val="22"/>
          <w:lang w:val="es-ES_tradnl"/>
        </w:rPr>
        <w:tab/>
      </w:r>
    </w:p>
    <w:p w14:paraId="5994E176" w14:textId="77777777" w:rsidR="00AB397A" w:rsidRPr="00AB397A" w:rsidRDefault="00AB397A" w:rsidP="00AB397A">
      <w:pPr>
        <w:spacing w:line="276" w:lineRule="auto"/>
        <w:ind w:firstLine="709"/>
        <w:jc w:val="both"/>
        <w:rPr>
          <w:rFonts w:ascii="Verdana" w:eastAsia="Calibri" w:hAnsi="Verdana" w:cs="Arial"/>
          <w:color w:val="000000"/>
          <w:sz w:val="22"/>
          <w:szCs w:val="22"/>
          <w:lang w:val="es-ES" w:eastAsia="es-ES"/>
        </w:rPr>
      </w:pPr>
      <w:r w:rsidRPr="00AB397A">
        <w:rPr>
          <w:rFonts w:ascii="Verdana" w:eastAsia="Calibri" w:hAnsi="Verdana" w:cs="Arial"/>
          <w:color w:val="000000"/>
          <w:sz w:val="22"/>
          <w:szCs w:val="22"/>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los problemas jurídicos de su consulta.  </w:t>
      </w:r>
    </w:p>
    <w:p w14:paraId="3F9A4BDA" w14:textId="77777777" w:rsidR="00AB397A" w:rsidRPr="00AB397A" w:rsidRDefault="00AB397A" w:rsidP="00AB397A">
      <w:pPr>
        <w:ind w:firstLine="709"/>
        <w:jc w:val="both"/>
        <w:rPr>
          <w:rFonts w:ascii="Verdana" w:eastAsia="Calibri" w:hAnsi="Verdana" w:cs="Arial"/>
          <w:color w:val="000000"/>
          <w:sz w:val="22"/>
          <w:szCs w:val="22"/>
          <w:lang w:val="es-ES" w:eastAsia="es-ES"/>
        </w:rPr>
      </w:pPr>
    </w:p>
    <w:p w14:paraId="1D5CB7D3" w14:textId="77777777" w:rsidR="00AB397A" w:rsidRPr="00AB397A" w:rsidRDefault="00AB397A" w:rsidP="00AB397A">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AB397A">
        <w:rPr>
          <w:rFonts w:ascii="Verdana" w:eastAsia="Century Gothic" w:hAnsi="Verdana" w:cs="Century Gothic"/>
          <w:b/>
          <w:bCs/>
          <w:sz w:val="22"/>
          <w:szCs w:val="22"/>
          <w:lang w:val="es-ES"/>
        </w:rPr>
        <w:t>Problemas planteados:</w:t>
      </w:r>
    </w:p>
    <w:p w14:paraId="0904D406" w14:textId="77777777" w:rsidR="00AB397A" w:rsidRPr="00AB397A" w:rsidRDefault="00AB397A" w:rsidP="00AB397A">
      <w:pPr>
        <w:tabs>
          <w:tab w:val="left" w:pos="426"/>
        </w:tabs>
        <w:jc w:val="both"/>
        <w:rPr>
          <w:rFonts w:ascii="Verdana" w:eastAsia="Century Gothic" w:hAnsi="Verdana" w:cs="Century Gothic"/>
          <w:sz w:val="22"/>
          <w:szCs w:val="22"/>
          <w:lang w:val="es-ES"/>
        </w:rPr>
      </w:pPr>
    </w:p>
    <w:p w14:paraId="1946B0C4" w14:textId="77777777" w:rsidR="00AB397A" w:rsidRPr="00AB397A" w:rsidRDefault="00AB397A" w:rsidP="00AB397A">
      <w:pPr>
        <w:tabs>
          <w:tab w:val="left" w:pos="0"/>
        </w:tabs>
        <w:spacing w:line="276" w:lineRule="auto"/>
        <w:jc w:val="both"/>
        <w:rPr>
          <w:rFonts w:ascii="Verdana" w:eastAsia="Calibri" w:hAnsi="Verdana" w:cs="Arial"/>
          <w:bCs/>
          <w:color w:val="000000" w:themeColor="text1"/>
          <w:sz w:val="22"/>
          <w:szCs w:val="22"/>
        </w:rPr>
      </w:pPr>
      <w:r w:rsidRPr="00AB397A">
        <w:rPr>
          <w:rFonts w:ascii="Verdana" w:eastAsia="Century Gothic" w:hAnsi="Verdana" w:cs="Century Gothic"/>
          <w:sz w:val="22"/>
          <w:szCs w:val="22"/>
        </w:rPr>
        <w:t xml:space="preserve">De acuerdo con el contenido de sus solicitudes, esta Agencia resolverá en los siguientes problemas jurídicos: i) ¿En qué medida resulta exigible que un accionista reporte dentro de sus propios Saldos de Contratos en Ejecución (SCE) los contratos que ya han sido reportados de manera independiente por el Consorcio o Unión Temporal en la que participa, y cómo debe armonizarse?; </w:t>
      </w:r>
      <w:proofErr w:type="spellStart"/>
      <w:r w:rsidRPr="00AB397A">
        <w:rPr>
          <w:rFonts w:ascii="Verdana" w:eastAsia="Century Gothic" w:hAnsi="Verdana" w:cs="Century Gothic"/>
          <w:sz w:val="22"/>
          <w:szCs w:val="22"/>
        </w:rPr>
        <w:t>ii</w:t>
      </w:r>
      <w:proofErr w:type="spellEnd"/>
      <w:r w:rsidRPr="00AB397A">
        <w:rPr>
          <w:rFonts w:ascii="Verdana" w:eastAsia="Century Gothic" w:hAnsi="Verdana" w:cs="Century Gothic"/>
          <w:sz w:val="22"/>
          <w:szCs w:val="22"/>
        </w:rPr>
        <w:t>) ¿Cuál es el criterio unificado que debe adoptarse respecto de la incorporación de los SCE de sociedades en las que participan accionistas, especialmente cuando dichos contratos se ejecutan bajo figuras plurales (consorcios o uniones temporales), para garantizar que el cálculo de la capacidad residual refleje de manera proporcional y razonable las obligaciones en curso?</w:t>
      </w:r>
    </w:p>
    <w:p w14:paraId="47F806BA" w14:textId="77777777" w:rsidR="00AB397A" w:rsidRPr="00AB397A" w:rsidRDefault="00AB397A" w:rsidP="00AB397A">
      <w:pPr>
        <w:spacing w:line="276" w:lineRule="auto"/>
        <w:jc w:val="both"/>
        <w:rPr>
          <w:rFonts w:ascii="Verdana" w:eastAsia="Century Gothic" w:hAnsi="Verdana" w:cs="Century Gothic"/>
          <w:sz w:val="22"/>
          <w:szCs w:val="22"/>
        </w:rPr>
      </w:pPr>
    </w:p>
    <w:p w14:paraId="1126D7E7" w14:textId="77777777" w:rsidR="00AB397A" w:rsidRPr="00AB397A" w:rsidRDefault="00AB397A" w:rsidP="00AB397A">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AB397A">
        <w:rPr>
          <w:rFonts w:ascii="Verdana" w:eastAsia="Century Gothic" w:hAnsi="Verdana" w:cs="Century Gothic"/>
          <w:b/>
          <w:bCs/>
          <w:sz w:val="22"/>
          <w:szCs w:val="22"/>
          <w:lang w:val="es-ES"/>
        </w:rPr>
        <w:t>Respuestas:</w:t>
      </w:r>
    </w:p>
    <w:p w14:paraId="1A357397" w14:textId="77777777" w:rsidR="00AB397A" w:rsidRPr="00AB397A" w:rsidRDefault="00AB397A" w:rsidP="00AB397A">
      <w:pPr>
        <w:tabs>
          <w:tab w:val="left" w:pos="142"/>
          <w:tab w:val="left" w:pos="284"/>
        </w:tabs>
        <w:jc w:val="both"/>
        <w:rPr>
          <w:rFonts w:ascii="Verdana" w:eastAsia="Century Gothic" w:hAnsi="Verdana" w:cs="Century Gothic"/>
          <w:b/>
          <w:bCs/>
          <w:sz w:val="22"/>
          <w:szCs w:val="22"/>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397A" w:rsidRPr="00AB397A" w14:paraId="693B984D" w14:textId="77777777" w:rsidTr="001D3405">
        <w:trPr>
          <w:jc w:val="center"/>
        </w:trPr>
        <w:tc>
          <w:tcPr>
            <w:tcW w:w="8828" w:type="dxa"/>
          </w:tcPr>
          <w:p w14:paraId="0FA023F4" w14:textId="77777777" w:rsidR="00AB397A" w:rsidRPr="00AB397A" w:rsidRDefault="00AB397A" w:rsidP="00AB397A">
            <w:pPr>
              <w:tabs>
                <w:tab w:val="left" w:pos="0"/>
              </w:tabs>
              <w:jc w:val="both"/>
              <w:rPr>
                <w:rFonts w:ascii="Verdana" w:eastAsia="Calibri" w:hAnsi="Verdana" w:cs="Arial"/>
                <w:bCs/>
                <w:color w:val="000000" w:themeColor="text1"/>
                <w:sz w:val="22"/>
                <w:szCs w:val="22"/>
              </w:rPr>
            </w:pPr>
            <w:bookmarkStart w:id="1" w:name="_Hlk171694685"/>
            <w:r w:rsidRPr="00AB397A">
              <w:rPr>
                <w:rFonts w:ascii="Verdana" w:eastAsia="Calibri" w:hAnsi="Verdana" w:cs="Arial"/>
                <w:bCs/>
                <w:color w:val="000000" w:themeColor="text1"/>
                <w:sz w:val="22"/>
                <w:szCs w:val="22"/>
              </w:rPr>
              <w:t>En relación con los problemas jurídicos de su consulta, se expresa lo siguiente:</w:t>
            </w:r>
          </w:p>
          <w:p w14:paraId="0D8FEEAF" w14:textId="77777777" w:rsidR="00AB397A" w:rsidRPr="00AB397A" w:rsidRDefault="00AB397A" w:rsidP="00AB397A">
            <w:pPr>
              <w:tabs>
                <w:tab w:val="left" w:pos="0"/>
              </w:tabs>
              <w:jc w:val="both"/>
              <w:rPr>
                <w:rFonts w:ascii="Verdana" w:eastAsia="Calibri" w:hAnsi="Verdana" w:cs="Arial"/>
                <w:bCs/>
                <w:color w:val="000000" w:themeColor="text1"/>
                <w:sz w:val="22"/>
                <w:szCs w:val="22"/>
              </w:rPr>
            </w:pPr>
          </w:p>
          <w:p w14:paraId="65C45509" w14:textId="77777777" w:rsidR="00AB397A" w:rsidRPr="00AB397A" w:rsidRDefault="00AB397A" w:rsidP="00AB397A">
            <w:pPr>
              <w:spacing w:after="120" w:line="276" w:lineRule="auto"/>
              <w:jc w:val="both"/>
              <w:rPr>
                <w:rFonts w:ascii="Verdana" w:eastAsia="Calibri" w:hAnsi="Verdana" w:cs="Arial"/>
                <w:sz w:val="22"/>
                <w:szCs w:val="22"/>
                <w:lang w:val="es-ES" w:eastAsia="en-US"/>
              </w:rPr>
            </w:pPr>
            <w:r w:rsidRPr="00AB397A">
              <w:rPr>
                <w:rFonts w:ascii="Verdana" w:eastAsia="Calibri" w:hAnsi="Verdana" w:cs="Arial"/>
                <w:bCs/>
                <w:color w:val="000000" w:themeColor="text1"/>
                <w:sz w:val="22"/>
                <w:szCs w:val="22"/>
              </w:rPr>
              <w:t xml:space="preserve">i. </w:t>
            </w:r>
            <w:r w:rsidRPr="00AB397A">
              <w:rPr>
                <w:rFonts w:ascii="Verdana" w:eastAsia="Calibri" w:hAnsi="Verdana" w:cs="Arial"/>
                <w:sz w:val="22"/>
                <w:szCs w:val="22"/>
                <w:lang w:eastAsia="en-US"/>
              </w:rPr>
              <w:t xml:space="preserve">En torno al primer problema jurídico, debe tenerse en cuenta la regla del artículo 2.1.1.1.6.4. del Decreto 1082 de 2015, el cual señala la información que debe entregar el proponente interesado en un proceso de contratación para acreditar su Capacidad Residual, de la siguiente forma: </w:t>
            </w:r>
            <w:r w:rsidRPr="00AB397A">
              <w:rPr>
                <w:rFonts w:ascii="Verdana" w:eastAsia="Calibri" w:hAnsi="Verdana" w:cs="Arial"/>
                <w:sz w:val="22"/>
                <w:szCs w:val="22"/>
                <w:lang w:val="es-ES" w:eastAsia="en-US"/>
              </w:rPr>
              <w:t>“El interesado en celebrar contratos de obra pública con Entidades Estatales debe acreditar su Capacidad Residual o K de Contratación con los siguientes documentos: […] 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37FF3394"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Para interpretar este numeral, debe señalarse que se tienen en cuenta los contratos de obras civiles en ejecución no únicamente aquellos celebrados </w:t>
            </w:r>
            <w:r w:rsidRPr="00AB397A">
              <w:rPr>
                <w:rFonts w:ascii="Verdana" w:eastAsia="Calibri" w:hAnsi="Verdana" w:cs="Arial"/>
                <w:sz w:val="22"/>
                <w:szCs w:val="22"/>
                <w:lang w:eastAsia="en-US"/>
              </w:rPr>
              <w:lastRenderedPageBreak/>
              <w:t>directamente por el proponente, sino también los suscritos en el marco de consorcios, uniones temporales o sociedades con propósito especial en los que este participe. La regla busca garantizar que la medición de la capacidad contractual refleje de manera integral y transparente todos los compromisos vigentes del proponente, tanto individuales como asociativos.</w:t>
            </w:r>
          </w:p>
          <w:p w14:paraId="546A9187"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Teniendo en cuenta ello, la capacidad residual de los proponentes plurales compuesto por personas naturales y jurídicas es necesario tener presente el inciso primero del artículo 73 del Código Civil que dispone que las personas son naturales o jurídicas. Conforme al artículo 74 ibidem, las primeras corresponden a “[…] todos los individuos de la especie humana, cualquiera que sea su edad, sexo, estirpe o condición”. En contraste, con fundamento en el inciso primero artículo 633 ibidem, las segundas son “[…] una persona ficticia, capaz de ejercer derechos y contraer obligaciones civiles, y de ser representada judicial y extrajudicialmente”. Así mismo, el inciso segundo del artículo 98 del Código de Comercio consagra: “La sociedad, una vez constituida legalmente, forma una persona jurídica distinta de los socios individualmente considerados”</w:t>
            </w:r>
          </w:p>
          <w:p w14:paraId="175DBCF1"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En este sentido, la sociedad como persona jurídica constituye un sujeto independiente dentro del ordenamiento jurídico, con derechos y obligaciones propios. Por ello, los saldos de contratos en ejecución que deben reportarse corresponden exclusivamente a los contratos celebrados y ejecutados por dicha persona, sin que puedan confundirse ni trasladarse, en principio, con los saldos de sus accionistas. Por su parte, la persona natural debe acreditar únicamente los saldos derivados de los contratos que haya celebrado directamente en su calidad individual, sin que estos se transfieran a la persona jurídica en la que participa como accionista. Lo anterior se entiende sin perjuicio de los contratos que la persona natural o jurídica haya suscrito en el marco de consorcios, uniones temporales o sociedades con propósito especial, en los cuales haya sido partícipe.</w:t>
            </w:r>
          </w:p>
          <w:p w14:paraId="02261550" w14:textId="77777777" w:rsidR="00AB397A" w:rsidRPr="00AB397A" w:rsidRDefault="00AB397A" w:rsidP="00AB397A">
            <w:pPr>
              <w:spacing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De esta manera, la exigencia de reportar los Saldos de Contratos en Ejecución (SCE) debe ser estrictamente independiente para cada sujeto, evitando cualquier traslape o doble contabilización. Cada uno responde por los compromisos contractuales adquiridos en virtud de su propia capacidad jurídica, sin que el accionista transfiera sus saldos a la sociedad ni la sociedad absorba los saldos de sus accionistas, salvo en los casos en que exista </w:t>
            </w:r>
            <w:r w:rsidRPr="00AB397A">
              <w:rPr>
                <w:rFonts w:ascii="Verdana" w:eastAsia="Calibri" w:hAnsi="Verdana" w:cs="Arial"/>
                <w:sz w:val="22"/>
                <w:szCs w:val="22"/>
                <w:lang w:eastAsia="en-US"/>
              </w:rPr>
              <w:lastRenderedPageBreak/>
              <w:t xml:space="preserve">participación en figuras asociativas. Así pues, este criterio asegura que el cálculo de la capacidad residual refleje de manera clara y precisa las obligaciones en curso de cada participante, preservando los principios de igualdad, proporcionalidad y seguridad jurídica en la contratación estatal. </w:t>
            </w:r>
          </w:p>
          <w:p w14:paraId="0A0C548A" w14:textId="77777777" w:rsidR="00AB397A" w:rsidRPr="00AB397A" w:rsidRDefault="00AB397A" w:rsidP="00AB397A">
            <w:pPr>
              <w:spacing w:line="276" w:lineRule="auto"/>
              <w:jc w:val="both"/>
              <w:rPr>
                <w:rFonts w:ascii="Verdana" w:eastAsia="Calibri" w:hAnsi="Verdana" w:cs="Arial"/>
                <w:sz w:val="22"/>
                <w:szCs w:val="22"/>
                <w:lang w:eastAsia="en-US"/>
              </w:rPr>
            </w:pPr>
          </w:p>
          <w:p w14:paraId="1613E7A3" w14:textId="77777777" w:rsidR="00AB397A" w:rsidRPr="00AB397A" w:rsidRDefault="00AB397A" w:rsidP="00AB397A">
            <w:pPr>
              <w:spacing w:after="120" w:line="276" w:lineRule="auto"/>
              <w:jc w:val="both"/>
              <w:rPr>
                <w:rFonts w:ascii="Verdana" w:eastAsia="Calibri" w:hAnsi="Verdana" w:cs="Arial"/>
                <w:sz w:val="22"/>
                <w:szCs w:val="22"/>
                <w:lang w:eastAsia="en-US"/>
              </w:rPr>
            </w:pPr>
            <w:proofErr w:type="spellStart"/>
            <w:r w:rsidRPr="00AB397A">
              <w:rPr>
                <w:rFonts w:ascii="Verdana" w:eastAsia="Calibri" w:hAnsi="Verdana" w:cs="Arial"/>
                <w:sz w:val="22"/>
                <w:szCs w:val="22"/>
                <w:lang w:eastAsia="en-US"/>
              </w:rPr>
              <w:t>ii</w:t>
            </w:r>
            <w:proofErr w:type="spellEnd"/>
            <w:r w:rsidRPr="00AB397A">
              <w:rPr>
                <w:rFonts w:ascii="Verdana" w:eastAsia="Calibri" w:hAnsi="Verdana" w:cs="Arial"/>
                <w:sz w:val="22"/>
                <w:szCs w:val="22"/>
                <w:lang w:eastAsia="en-US"/>
              </w:rPr>
              <w:t xml:space="preserve">. En torno al segundo problema jurídico, debe precisarse que el Concepto 013 de 2022 que se expone en la consulta se refiere a los contratos en ejecución suscritos por el proponente como aquellos celebrados en el marco de consorcios, uniones temporales o sociedades de propósito especial en las cuales participe el oferente. Es decir, no cualquier tipo de sociedad, sino la que tenga un propósito especial. Esto, está en consonancia a la Guía anterior que expidió la Agencia sobre Capacidad Residual. </w:t>
            </w:r>
          </w:p>
          <w:p w14:paraId="14AA16D9"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En este sentido, la capacidad residual se calcula sobre la base de los saldos de contratos en ejecución que cada integrante del proponente plural debe reportar de manera independiente, sin que el porcentaje de participación contractual modifique la obligación de acreditar dichos saldos. En efecto, para dicho cálculo cada persona natural o jurídica que haga parte del proponente plural – Consorcio o Unión Temporal- responde únicamente por los compromisos contractuales que haya adquirido en virtud de su propia capacidad, en las que se podrá tener en cuenta las que celebraron en el marco de consorcios, uniones temporales o sociedades de propósito especial. </w:t>
            </w:r>
          </w:p>
          <w:p w14:paraId="5C3B47BA" w14:textId="77777777" w:rsidR="00AB397A" w:rsidRPr="00AB397A" w:rsidRDefault="00AB397A" w:rsidP="00AB397A">
            <w:pPr>
              <w:spacing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De esta manera, el accionista no transfiere sus saldos a la sociedad, ni la sociedad absorbe los saldos de sus accionistas, pues desconocería la autonomía patrimonial de cada sujeto y generaría una distorsión en el cálculo de la capacidad residual. En este aspecto, debe interpretarse las reglas del Sistema de Compras Públicas, atendiendo a los principios de transparencia y la igualdad en los procesos de selección pública, razón por la cual debe mantenerse la regla de independencia: cada uno responde por lo que le corresponde, de forma separada y estos se tendrán en cuenta para efectos de calcular la Capacidad Residual del Proponente Plural, según lo explicado en este concepto. </w:t>
            </w:r>
          </w:p>
        </w:tc>
      </w:tr>
    </w:tbl>
    <w:p w14:paraId="2E4EAF85" w14:textId="77777777" w:rsidR="00AB397A" w:rsidRPr="00AB397A" w:rsidRDefault="00AB397A" w:rsidP="00AB397A">
      <w:pPr>
        <w:tabs>
          <w:tab w:val="left" w:pos="142"/>
          <w:tab w:val="left" w:pos="284"/>
        </w:tabs>
        <w:spacing w:line="276" w:lineRule="auto"/>
        <w:jc w:val="both"/>
        <w:rPr>
          <w:rFonts w:ascii="Verdana" w:eastAsia="Century Gothic" w:hAnsi="Verdana" w:cs="Century Gothic"/>
          <w:b/>
          <w:bCs/>
          <w:sz w:val="22"/>
          <w:szCs w:val="22"/>
          <w:lang w:val="es-ES"/>
        </w:rPr>
      </w:pPr>
    </w:p>
    <w:bookmarkEnd w:id="1"/>
    <w:p w14:paraId="1BB04A39" w14:textId="77777777" w:rsidR="00AB397A" w:rsidRPr="00AB397A" w:rsidRDefault="00AB397A" w:rsidP="00AB397A">
      <w:pPr>
        <w:numPr>
          <w:ilvl w:val="0"/>
          <w:numId w:val="16"/>
        </w:numPr>
        <w:tabs>
          <w:tab w:val="left" w:pos="142"/>
          <w:tab w:val="left" w:pos="284"/>
        </w:tabs>
        <w:spacing w:after="160" w:line="276" w:lineRule="auto"/>
        <w:ind w:left="1066" w:hanging="357"/>
        <w:jc w:val="both"/>
        <w:rPr>
          <w:rFonts w:ascii="Verdana" w:eastAsia="Century Gothic" w:hAnsi="Verdana" w:cs="Century Gothic"/>
          <w:b/>
          <w:bCs/>
          <w:sz w:val="22"/>
          <w:szCs w:val="22"/>
          <w:lang w:val="es-ES"/>
        </w:rPr>
      </w:pPr>
      <w:r w:rsidRPr="00AB397A">
        <w:rPr>
          <w:rFonts w:ascii="Verdana" w:eastAsia="Century Gothic" w:hAnsi="Verdana" w:cs="Century Gothic"/>
          <w:b/>
          <w:bCs/>
          <w:sz w:val="22"/>
          <w:szCs w:val="22"/>
          <w:lang w:val="es-ES"/>
        </w:rPr>
        <w:t>Razones de la respuesta:</w:t>
      </w:r>
    </w:p>
    <w:p w14:paraId="551C3C6E" w14:textId="77777777" w:rsidR="00AB397A" w:rsidRPr="00AB397A" w:rsidRDefault="00AB397A" w:rsidP="00AB397A">
      <w:pPr>
        <w:tabs>
          <w:tab w:val="left" w:pos="142"/>
          <w:tab w:val="left" w:pos="284"/>
        </w:tabs>
        <w:spacing w:line="276" w:lineRule="auto"/>
        <w:ind w:left="1066"/>
        <w:jc w:val="both"/>
        <w:rPr>
          <w:rFonts w:ascii="Verdana" w:eastAsia="Century Gothic" w:hAnsi="Verdana" w:cs="Century Gothic"/>
          <w:b/>
          <w:bCs/>
          <w:sz w:val="22"/>
          <w:szCs w:val="22"/>
          <w:lang w:val="es-ES"/>
        </w:rPr>
      </w:pPr>
    </w:p>
    <w:p w14:paraId="37472BFE" w14:textId="77777777" w:rsidR="00AB397A" w:rsidRPr="00AB397A" w:rsidRDefault="00AB397A" w:rsidP="00AB397A">
      <w:pPr>
        <w:spacing w:line="276" w:lineRule="auto"/>
        <w:jc w:val="both"/>
        <w:rPr>
          <w:rFonts w:ascii="Verdana" w:eastAsia="Calibri" w:hAnsi="Verdana" w:cs="Arial"/>
          <w:sz w:val="22"/>
          <w:szCs w:val="22"/>
          <w:lang w:eastAsia="en-US"/>
        </w:rPr>
      </w:pPr>
      <w:bookmarkStart w:id="2" w:name="_Hlk78820161"/>
      <w:r w:rsidRPr="00AB397A">
        <w:rPr>
          <w:rFonts w:ascii="Verdana" w:eastAsia="Calibri" w:hAnsi="Verdana" w:cs="Arial"/>
          <w:sz w:val="22"/>
          <w:szCs w:val="22"/>
          <w:lang w:val="es-ES" w:eastAsia="en-US"/>
        </w:rPr>
        <w:lastRenderedPageBreak/>
        <w:t xml:space="preserve">i. </w:t>
      </w:r>
      <w:r w:rsidRPr="00AB397A">
        <w:rPr>
          <w:rFonts w:ascii="Verdana" w:eastAsia="Calibri" w:hAnsi="Verdana"/>
          <w:sz w:val="22"/>
          <w:szCs w:val="22"/>
          <w:lang w:eastAsia="en-US"/>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w:t>
      </w:r>
      <w:r w:rsidRPr="00AB397A">
        <w:rPr>
          <w:rFonts w:ascii="Verdana" w:eastAsia="Calibri" w:hAnsi="Verdana" w:cs="Arial"/>
          <w:sz w:val="22"/>
          <w:szCs w:val="22"/>
          <w:lang w:eastAsia="en-US"/>
        </w:rPr>
        <w:t xml:space="preserve">Al respecto, el artículo 6 de la Ley 1150 de 2007 reguló la capacidad residual del proponente o K de contratación como condición para participar en los Procesos de Contratación de obra pública y demás que señala el reglamento. En torno a esta condición o requisito habilitante, el parágrafo 1 </w:t>
      </w:r>
      <w:r w:rsidRPr="00AB397A">
        <w:rPr>
          <w:rFonts w:ascii="Verdana" w:eastAsia="Calibri" w:hAnsi="Verdana" w:cs="Arial"/>
          <w:i/>
          <w:iCs/>
          <w:sz w:val="22"/>
          <w:szCs w:val="22"/>
          <w:lang w:eastAsia="en-US"/>
        </w:rPr>
        <w:t>ibidem</w:t>
      </w:r>
      <w:r w:rsidRPr="00AB397A">
        <w:rPr>
          <w:rFonts w:ascii="Verdana" w:eastAsia="Calibri" w:hAnsi="Verdana" w:cs="Arial"/>
          <w:sz w:val="22"/>
          <w:szCs w:val="22"/>
          <w:lang w:eastAsia="en-US"/>
        </w:rPr>
        <w:t>, determinó que esta debe ser igual o superior a la establecida en los pliegos de condiciones. Al respecto prescribió:</w:t>
      </w:r>
    </w:p>
    <w:p w14:paraId="406F758E" w14:textId="77777777" w:rsidR="00AB397A" w:rsidRPr="00AB397A" w:rsidRDefault="00AB397A" w:rsidP="00AB397A">
      <w:pPr>
        <w:spacing w:line="276" w:lineRule="auto"/>
        <w:jc w:val="both"/>
        <w:rPr>
          <w:rFonts w:ascii="Verdana" w:eastAsia="Calibri" w:hAnsi="Verdana" w:cs="Arial"/>
          <w:sz w:val="22"/>
          <w:szCs w:val="22"/>
          <w:lang w:eastAsia="en-US"/>
        </w:rPr>
      </w:pPr>
    </w:p>
    <w:p w14:paraId="0EFDB0F7" w14:textId="77777777" w:rsidR="00AB397A" w:rsidRPr="00AB397A" w:rsidRDefault="00AB397A" w:rsidP="00AB397A">
      <w:pPr>
        <w:ind w:left="709" w:right="709"/>
        <w:contextualSpacing/>
        <w:jc w:val="both"/>
        <w:rPr>
          <w:rFonts w:ascii="Verdana" w:eastAsia="Calibri" w:hAnsi="Verdana" w:cs="Arial"/>
          <w:color w:val="000000"/>
          <w:sz w:val="20"/>
          <w:szCs w:val="20"/>
          <w:lang w:val="es-MX" w:eastAsia="en-GB"/>
        </w:rPr>
      </w:pPr>
      <w:r w:rsidRPr="00AB397A">
        <w:rPr>
          <w:rFonts w:ascii="Verdana" w:eastAsia="Calibri" w:hAnsi="Verdana" w:cs="Arial"/>
          <w:color w:val="000000"/>
          <w:sz w:val="20"/>
          <w:szCs w:val="20"/>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57AA82E" w14:textId="77777777" w:rsidR="00AB397A" w:rsidRPr="00AB397A" w:rsidRDefault="00AB397A" w:rsidP="00AB397A">
      <w:pPr>
        <w:ind w:left="709" w:right="709"/>
        <w:contextualSpacing/>
        <w:jc w:val="both"/>
        <w:rPr>
          <w:rFonts w:ascii="Verdana" w:eastAsia="Calibri" w:hAnsi="Verdana" w:cs="Arial"/>
          <w:color w:val="000000"/>
          <w:sz w:val="20"/>
          <w:szCs w:val="20"/>
          <w:lang w:val="es-MX" w:eastAsia="en-GB"/>
        </w:rPr>
      </w:pPr>
    </w:p>
    <w:p w14:paraId="3D92CC3F" w14:textId="77777777" w:rsidR="00AB397A" w:rsidRPr="00AB397A" w:rsidRDefault="00AB397A" w:rsidP="00AB397A">
      <w:pPr>
        <w:ind w:left="709" w:right="709"/>
        <w:contextualSpacing/>
        <w:jc w:val="both"/>
        <w:rPr>
          <w:rFonts w:ascii="Verdana" w:eastAsia="Calibri" w:hAnsi="Verdana" w:cs="Arial"/>
          <w:color w:val="000000"/>
          <w:sz w:val="20"/>
          <w:szCs w:val="20"/>
          <w:lang w:val="es-MX" w:eastAsia="en-GB"/>
        </w:rPr>
      </w:pPr>
      <w:r w:rsidRPr="00AB397A">
        <w:rPr>
          <w:rFonts w:ascii="Verdana" w:eastAsia="Calibri" w:hAnsi="Verdana" w:cs="Arial"/>
          <w:color w:val="000000"/>
          <w:sz w:val="20"/>
          <w:szCs w:val="20"/>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43B25711" w14:textId="77777777" w:rsidR="00AB397A" w:rsidRPr="00AB397A" w:rsidRDefault="00AB397A" w:rsidP="00AB397A">
      <w:pPr>
        <w:spacing w:line="276" w:lineRule="auto"/>
        <w:ind w:right="709"/>
        <w:jc w:val="both"/>
        <w:rPr>
          <w:rFonts w:ascii="Verdana" w:eastAsia="Calibri" w:hAnsi="Verdana" w:cs="Arial"/>
          <w:color w:val="000000"/>
          <w:sz w:val="22"/>
          <w:szCs w:val="22"/>
          <w:lang w:val="es-MX" w:eastAsia="en-GB"/>
        </w:rPr>
      </w:pPr>
    </w:p>
    <w:p w14:paraId="2BC2FA46" w14:textId="77777777" w:rsidR="00AB397A" w:rsidRPr="00AB397A" w:rsidRDefault="00AB397A" w:rsidP="00AB397A">
      <w:pPr>
        <w:spacing w:after="120" w:line="276" w:lineRule="auto"/>
        <w:ind w:firstLine="709"/>
        <w:jc w:val="both"/>
        <w:rPr>
          <w:rFonts w:ascii="Verdana" w:eastAsia="Calibri" w:hAnsi="Verdana" w:cs="Arial"/>
          <w:color w:val="000000"/>
          <w:sz w:val="22"/>
          <w:szCs w:val="22"/>
          <w:lang w:eastAsia="en-GB"/>
        </w:rPr>
      </w:pPr>
      <w:r w:rsidRPr="00AB397A">
        <w:rPr>
          <w:rFonts w:ascii="Verdana" w:eastAsia="Calibri" w:hAnsi="Verdana" w:cs="Arial"/>
          <w:color w:val="000000"/>
          <w:sz w:val="22"/>
          <w:szCs w:val="22"/>
          <w:lang w:val="es-MX" w:eastAsia="en-GB"/>
        </w:rPr>
        <w:t xml:space="preserve">De acuerdo con </w:t>
      </w:r>
      <w:r w:rsidRPr="00AB397A">
        <w:rPr>
          <w:rFonts w:ascii="Verdana" w:eastAsia="Calibri" w:hAnsi="Verdana" w:cs="Arial"/>
          <w:color w:val="000000"/>
          <w:sz w:val="22"/>
          <w:szCs w:val="22"/>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infiere de la misma disposición, “[…] se deberá calcular mediante la evaluación de los siguientes factores: Experiencia (E), Capacidad Financiera (CF), Capacidad Técnica (CT), y Capacidad de Organización (CO)”.</w:t>
      </w:r>
    </w:p>
    <w:p w14:paraId="720813C3" w14:textId="77777777" w:rsidR="00AB397A" w:rsidRPr="00AB397A" w:rsidRDefault="00AB397A" w:rsidP="00AB397A">
      <w:pPr>
        <w:widowControl w:val="0"/>
        <w:autoSpaceDE w:val="0"/>
        <w:autoSpaceDN w:val="0"/>
        <w:spacing w:after="120" w:line="276" w:lineRule="auto"/>
        <w:ind w:firstLine="709"/>
        <w:jc w:val="both"/>
        <w:rPr>
          <w:rFonts w:ascii="Verdana" w:eastAsia="Arial" w:hAnsi="Verdana" w:cs="Arial"/>
          <w:sz w:val="22"/>
          <w:szCs w:val="22"/>
          <w:lang w:eastAsia="en-US"/>
        </w:rPr>
      </w:pPr>
      <w:r w:rsidRPr="00AB397A">
        <w:rPr>
          <w:rFonts w:ascii="Verdana" w:eastAsia="Arial" w:hAnsi="Verdana" w:cs="Arial"/>
          <w:sz w:val="22"/>
          <w:szCs w:val="22"/>
          <w:lang w:eastAsia="en-US"/>
        </w:rPr>
        <w:t xml:space="preserve">El artículo 2.2.1.1.1.3.1 del Decreto 1082 de 2015 define la capacidad residual como: “Aptitud de un oferente para cumplir oportuna y cabalmente con el objeto de un contrato de obra, sin que sus otros compromisos contractuales afecten su habilidad de cumplir con el contrato que está en proceso de selección”. Por su parte, el artículo 2.2.1.1.1.6.4. del Decreto 1082 de 2015 señala la información que debe entregar el proponente interesado en un proceso de contratación para acreditar su Capacidad Residual, de la siguiente forma: </w:t>
      </w:r>
    </w:p>
    <w:p w14:paraId="3AEB12DB" w14:textId="77777777" w:rsidR="00AB397A" w:rsidRPr="00AB397A" w:rsidRDefault="00AB397A" w:rsidP="00AB397A">
      <w:pPr>
        <w:widowControl w:val="0"/>
        <w:autoSpaceDE w:val="0"/>
        <w:autoSpaceDN w:val="0"/>
        <w:spacing w:line="276" w:lineRule="auto"/>
        <w:ind w:firstLine="709"/>
        <w:contextualSpacing/>
        <w:jc w:val="both"/>
        <w:rPr>
          <w:rFonts w:ascii="Verdana" w:eastAsia="Arial" w:hAnsi="Verdana" w:cs="Arial"/>
          <w:sz w:val="22"/>
          <w:szCs w:val="22"/>
          <w:lang w:val="es-ES" w:eastAsia="en-US"/>
        </w:rPr>
      </w:pPr>
    </w:p>
    <w:p w14:paraId="673F2E81" w14:textId="77777777" w:rsidR="00AB397A" w:rsidRPr="00AB397A" w:rsidRDefault="00AB397A" w:rsidP="00AB397A">
      <w:pPr>
        <w:widowControl w:val="0"/>
        <w:autoSpaceDE w:val="0"/>
        <w:autoSpaceDN w:val="0"/>
        <w:spacing w:after="120"/>
        <w:ind w:left="709" w:right="709"/>
        <w:contextualSpacing/>
        <w:jc w:val="both"/>
        <w:rPr>
          <w:rFonts w:ascii="Verdana" w:eastAsia="Calibri" w:hAnsi="Verdana" w:cs="Arial"/>
          <w:color w:val="000000"/>
          <w:sz w:val="20"/>
          <w:szCs w:val="20"/>
          <w:lang w:val="es-ES" w:eastAsia="en-US"/>
        </w:rPr>
      </w:pPr>
      <w:r w:rsidRPr="00AB397A">
        <w:rPr>
          <w:rFonts w:ascii="Verdana" w:eastAsia="Calibri" w:hAnsi="Verdana" w:cs="Arial"/>
          <w:color w:val="000000"/>
          <w:sz w:val="20"/>
          <w:szCs w:val="20"/>
          <w:lang w:val="es-ES" w:eastAsia="en-US"/>
        </w:rPr>
        <w:t xml:space="preserve">“El interesado en celebrar contratos de obra pública con Entidades </w:t>
      </w:r>
      <w:r w:rsidRPr="00AB397A">
        <w:rPr>
          <w:rFonts w:ascii="Verdana" w:eastAsia="Calibri" w:hAnsi="Verdana" w:cs="Arial"/>
          <w:color w:val="000000"/>
          <w:sz w:val="20"/>
          <w:szCs w:val="20"/>
          <w:lang w:val="es-ES" w:eastAsia="en-US"/>
        </w:rPr>
        <w:lastRenderedPageBreak/>
        <w:t>Estatales debe acreditar su Capacidad Residual o K de Contratación con los siguientes documentos:  </w:t>
      </w:r>
    </w:p>
    <w:p w14:paraId="7DE7E79F" w14:textId="77777777" w:rsidR="00AB397A" w:rsidRPr="00AB397A" w:rsidRDefault="00AB397A" w:rsidP="00AB397A">
      <w:pPr>
        <w:widowControl w:val="0"/>
        <w:autoSpaceDE w:val="0"/>
        <w:autoSpaceDN w:val="0"/>
        <w:spacing w:after="120"/>
        <w:ind w:left="709" w:right="709"/>
        <w:contextualSpacing/>
        <w:jc w:val="both"/>
        <w:rPr>
          <w:rFonts w:ascii="Verdana" w:eastAsia="Calibri" w:hAnsi="Verdana" w:cs="Arial"/>
          <w:color w:val="000000"/>
          <w:sz w:val="20"/>
          <w:szCs w:val="20"/>
          <w:lang w:val="es-ES" w:eastAsia="en-US"/>
        </w:rPr>
      </w:pPr>
    </w:p>
    <w:p w14:paraId="44ADBA05" w14:textId="77777777" w:rsidR="00AB397A" w:rsidRPr="00AB397A" w:rsidRDefault="00AB397A" w:rsidP="00AB397A">
      <w:pPr>
        <w:widowControl w:val="0"/>
        <w:autoSpaceDE w:val="0"/>
        <w:autoSpaceDN w:val="0"/>
        <w:spacing w:after="120"/>
        <w:ind w:left="709" w:right="709"/>
        <w:contextualSpacing/>
        <w:jc w:val="both"/>
        <w:rPr>
          <w:rFonts w:ascii="Verdana" w:eastAsia="Calibri" w:hAnsi="Verdana" w:cs="Arial"/>
          <w:color w:val="000000"/>
          <w:sz w:val="20"/>
          <w:szCs w:val="20"/>
          <w:lang w:val="es-ES" w:eastAsia="en-US"/>
        </w:rPr>
      </w:pPr>
      <w:r w:rsidRPr="00AB397A">
        <w:rPr>
          <w:rFonts w:ascii="Verdana" w:eastAsia="Calibri" w:hAnsi="Verdana" w:cs="Arial"/>
          <w:color w:val="000000"/>
          <w:sz w:val="20"/>
          <w:szCs w:val="20"/>
          <w:lang w:val="es-ES" w:eastAsia="en-US"/>
        </w:rPr>
        <w:t>1. La lista de los contratos de obras civiles en ejecución suscritos con Entidades Estatales y con entidades privadas, así como el valor y plazo de tales contratos, incluyendo contratos de concesión y los contratos de obra suscritos con concesionarios.  </w:t>
      </w:r>
    </w:p>
    <w:p w14:paraId="57C62403" w14:textId="77777777" w:rsidR="00AB397A" w:rsidRPr="00AB397A" w:rsidRDefault="00AB397A" w:rsidP="00AB397A">
      <w:pPr>
        <w:widowControl w:val="0"/>
        <w:autoSpaceDE w:val="0"/>
        <w:autoSpaceDN w:val="0"/>
        <w:spacing w:after="120"/>
        <w:ind w:left="709" w:right="709"/>
        <w:contextualSpacing/>
        <w:jc w:val="both"/>
        <w:rPr>
          <w:rFonts w:ascii="Verdana" w:eastAsia="Calibri" w:hAnsi="Verdana" w:cs="Arial"/>
          <w:color w:val="000000"/>
          <w:sz w:val="20"/>
          <w:szCs w:val="20"/>
          <w:lang w:val="es-ES" w:eastAsia="en-US"/>
        </w:rPr>
      </w:pPr>
    </w:p>
    <w:p w14:paraId="67606AE4" w14:textId="77777777" w:rsidR="00AB397A" w:rsidRPr="00AB397A" w:rsidRDefault="00AB397A" w:rsidP="00AB397A">
      <w:pPr>
        <w:widowControl w:val="0"/>
        <w:autoSpaceDE w:val="0"/>
        <w:autoSpaceDN w:val="0"/>
        <w:spacing w:after="120"/>
        <w:ind w:left="709" w:right="709"/>
        <w:contextualSpacing/>
        <w:jc w:val="both"/>
        <w:rPr>
          <w:rFonts w:ascii="Verdana" w:eastAsia="Calibri" w:hAnsi="Verdana" w:cs="Arial"/>
          <w:color w:val="000000"/>
          <w:sz w:val="20"/>
          <w:szCs w:val="20"/>
          <w:lang w:val="es-ES" w:eastAsia="en-US"/>
        </w:rPr>
      </w:pPr>
      <w:r w:rsidRPr="00AB397A">
        <w:rPr>
          <w:rFonts w:ascii="Verdana" w:eastAsia="Calibri" w:hAnsi="Verdana" w:cs="Arial"/>
          <w:color w:val="000000"/>
          <w:sz w:val="20"/>
          <w:szCs w:val="20"/>
          <w:lang w:val="es-ES" w:eastAsia="en-US"/>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78F1AAEE" w14:textId="77777777" w:rsidR="00AB397A" w:rsidRPr="00AB397A" w:rsidRDefault="00AB397A" w:rsidP="00AB397A">
      <w:pPr>
        <w:widowControl w:val="0"/>
        <w:autoSpaceDE w:val="0"/>
        <w:autoSpaceDN w:val="0"/>
        <w:spacing w:after="120"/>
        <w:ind w:left="709" w:right="709"/>
        <w:contextualSpacing/>
        <w:jc w:val="both"/>
        <w:rPr>
          <w:rFonts w:ascii="Verdana" w:eastAsia="Calibri" w:hAnsi="Verdana" w:cs="Arial"/>
          <w:color w:val="000000"/>
          <w:sz w:val="20"/>
          <w:szCs w:val="20"/>
          <w:lang w:val="es-ES" w:eastAsia="en-US"/>
        </w:rPr>
      </w:pPr>
    </w:p>
    <w:p w14:paraId="6A376132" w14:textId="77777777" w:rsidR="00AB397A" w:rsidRPr="00AB397A" w:rsidRDefault="00AB397A" w:rsidP="00AB397A">
      <w:pPr>
        <w:spacing w:line="259" w:lineRule="auto"/>
        <w:ind w:left="708" w:right="758"/>
        <w:jc w:val="both"/>
        <w:rPr>
          <w:rFonts w:ascii="Verdana" w:eastAsia="Calibri" w:hAnsi="Verdana" w:cs="Arial"/>
          <w:color w:val="000000"/>
          <w:sz w:val="20"/>
          <w:szCs w:val="20"/>
          <w:lang w:eastAsia="en-US"/>
        </w:rPr>
      </w:pPr>
      <w:r w:rsidRPr="00AB397A">
        <w:rPr>
          <w:rFonts w:ascii="Verdana" w:eastAsia="Calibri" w:hAnsi="Verdana" w:cs="Arial"/>
          <w:color w:val="000000"/>
          <w:sz w:val="20"/>
          <w:szCs w:val="20"/>
          <w:lang w:eastAsia="en-US"/>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6998BB5D" w14:textId="77777777" w:rsidR="00AB397A" w:rsidRPr="00AB397A" w:rsidRDefault="00AB397A" w:rsidP="00AB397A">
      <w:pPr>
        <w:spacing w:line="259" w:lineRule="auto"/>
        <w:ind w:left="708" w:right="758"/>
        <w:jc w:val="both"/>
        <w:rPr>
          <w:rFonts w:ascii="Verdana" w:eastAsia="Calibri" w:hAnsi="Verdana" w:cs="Arial"/>
          <w:color w:val="000000"/>
          <w:sz w:val="20"/>
          <w:szCs w:val="20"/>
          <w:lang w:eastAsia="en-US"/>
        </w:rPr>
      </w:pPr>
    </w:p>
    <w:p w14:paraId="2358D6D3"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La Entidad Estatal debe calcular la Capacidad Residual del Proceso de Contratación de acuerdo con la siguiente fórmula:</w:t>
      </w:r>
    </w:p>
    <w:p w14:paraId="22360FAE" w14:textId="77777777" w:rsidR="00AB397A" w:rsidRPr="00AB397A" w:rsidRDefault="00AB397A" w:rsidP="00AB397A">
      <w:pPr>
        <w:shd w:val="clear" w:color="auto" w:fill="FFFFFF"/>
        <w:ind w:left="709" w:right="709"/>
        <w:jc w:val="center"/>
        <w:rPr>
          <w:rFonts w:ascii="Verdana" w:hAnsi="Verdana"/>
          <w:color w:val="333333"/>
          <w:sz w:val="20"/>
          <w:szCs w:val="20"/>
          <w:lang w:eastAsia="es-CO"/>
        </w:rPr>
      </w:pPr>
      <w:r w:rsidRPr="00AB397A">
        <w:rPr>
          <w:rFonts w:ascii="Verdana" w:hAnsi="Verdana"/>
          <w:i/>
          <w:iCs/>
          <w:color w:val="333333"/>
          <w:sz w:val="20"/>
          <w:szCs w:val="20"/>
          <w:lang w:eastAsia="es-CO"/>
        </w:rPr>
        <w:t>Capacidad Residual del Proceso de Contratación = Presupuesto oficial estimado - Anticipo</w:t>
      </w:r>
    </w:p>
    <w:p w14:paraId="0F045470"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Si el plazo estimado del contrato es superior a doce (12) meses, la Capacidad Residual del Proceso de Contratación equivale a la proporción lineal de doce (12) meses del presupuesto oficial estimado menos el anticipo cuando haya lugar.</w:t>
      </w:r>
    </w:p>
    <w:p w14:paraId="34281871"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La Entidad Estatal debe calcular la Capacidad Residual del proponente de acuerdo con la siguiente fórmula:</w:t>
      </w:r>
    </w:p>
    <w:p w14:paraId="013E7308"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A cada uno de los factores se le asigna el siguiente puntaje máximo:</w:t>
      </w:r>
    </w:p>
    <w:tbl>
      <w:tblPr>
        <w:tblW w:w="3455" w:type="pct"/>
        <w:tblInd w:w="1126" w:type="dxa"/>
        <w:tblBorders>
          <w:top w:val="single" w:sz="6" w:space="0" w:color="C6C6C6"/>
          <w:left w:val="single" w:sz="6" w:space="0" w:color="C6C6C6"/>
          <w:bottom w:val="single" w:sz="6" w:space="0" w:color="C6C6C6"/>
          <w:right w:val="single" w:sz="6" w:space="0" w:color="C6C6C6"/>
        </w:tblBorders>
        <w:shd w:val="clear" w:color="auto" w:fill="FFFFFF"/>
        <w:tblCellMar>
          <w:left w:w="0" w:type="dxa"/>
          <w:right w:w="0" w:type="dxa"/>
        </w:tblCellMar>
        <w:tblLook w:val="04A0" w:firstRow="1" w:lastRow="0" w:firstColumn="1" w:lastColumn="0" w:noHBand="0" w:noVBand="1"/>
      </w:tblPr>
      <w:tblGrid>
        <w:gridCol w:w="2722"/>
        <w:gridCol w:w="3374"/>
      </w:tblGrid>
      <w:tr w:rsidR="00AB397A" w:rsidRPr="00AB397A" w14:paraId="3ADDF602" w14:textId="77777777" w:rsidTr="001D3405">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53CFB46D"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b/>
                <w:bCs/>
                <w:color w:val="333333"/>
                <w:sz w:val="20"/>
                <w:szCs w:val="20"/>
                <w:lang w:eastAsia="es-CO"/>
              </w:rPr>
              <w:t>FACTOR</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62498E1E"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b/>
                <w:bCs/>
                <w:color w:val="333333"/>
                <w:sz w:val="20"/>
                <w:szCs w:val="20"/>
                <w:lang w:eastAsia="es-CO"/>
              </w:rPr>
              <w:t>PUNTAJE MÁXIMO</w:t>
            </w:r>
          </w:p>
        </w:tc>
      </w:tr>
      <w:tr w:rsidR="00AB397A" w:rsidRPr="00AB397A" w14:paraId="40B7F11C" w14:textId="77777777" w:rsidTr="001D3405">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70336DC9"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Experiencia (E)</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0007A7AB"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120</w:t>
            </w:r>
          </w:p>
        </w:tc>
      </w:tr>
      <w:tr w:rsidR="00AB397A" w:rsidRPr="00AB397A" w14:paraId="0D2A80A2" w14:textId="77777777" w:rsidTr="001D3405">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6BA99C88"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Capacidad financiera (CF)</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64E70152"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40</w:t>
            </w:r>
          </w:p>
        </w:tc>
      </w:tr>
      <w:tr w:rsidR="00AB397A" w:rsidRPr="00AB397A" w14:paraId="5D3286BE" w14:textId="77777777" w:rsidTr="001D3405">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32957229"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lastRenderedPageBreak/>
              <w:t>Capacidad técnica (CT)</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2A496849"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40</w:t>
            </w:r>
          </w:p>
        </w:tc>
      </w:tr>
      <w:tr w:rsidR="00AB397A" w:rsidRPr="00AB397A" w14:paraId="1D21681F" w14:textId="77777777" w:rsidTr="001D3405">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76681923"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Total</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1299460F" w14:textId="77777777" w:rsidR="00AB397A" w:rsidRPr="00AB397A" w:rsidRDefault="00AB397A" w:rsidP="00AB397A">
            <w:pPr>
              <w:ind w:left="709" w:right="709"/>
              <w:jc w:val="center"/>
              <w:rPr>
                <w:rFonts w:ascii="Verdana" w:hAnsi="Verdana" w:cs="Segoe UI"/>
                <w:color w:val="333333"/>
                <w:sz w:val="20"/>
                <w:szCs w:val="20"/>
                <w:lang w:eastAsia="es-CO"/>
              </w:rPr>
            </w:pPr>
            <w:r w:rsidRPr="00AB397A">
              <w:rPr>
                <w:rFonts w:ascii="Verdana" w:hAnsi="Verdana" w:cs="Segoe UI"/>
                <w:color w:val="333333"/>
                <w:sz w:val="20"/>
                <w:szCs w:val="20"/>
                <w:lang w:eastAsia="es-CO"/>
              </w:rPr>
              <w:t>200</w:t>
            </w:r>
          </w:p>
        </w:tc>
      </w:tr>
    </w:tbl>
    <w:p w14:paraId="25A4295B"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p>
    <w:p w14:paraId="25D35576"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La Capacidad de Organización no tiene asignación de puntaje en la fórmula porque su unidad de medida es en pesos colombianos y constituye un factor multiplicador de los demás factores.</w:t>
      </w:r>
    </w:p>
    <w:p w14:paraId="37825BB2"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El proponente debe acreditar una Capacidad Residual superior o igual a la Capacidad Residual establecida en los Documentos del Proceso para el Proceso de Contratación.</w:t>
      </w:r>
    </w:p>
    <w:p w14:paraId="1F048E9D"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Por consiguiente, la Capacidad Residual del proponente es suficiente si:</w:t>
      </w:r>
    </w:p>
    <w:p w14:paraId="0CDFD370" w14:textId="77777777" w:rsidR="00AB397A" w:rsidRPr="00AB397A" w:rsidRDefault="00AB397A" w:rsidP="00AB397A">
      <w:pPr>
        <w:shd w:val="clear" w:color="auto" w:fill="FFFFFF"/>
        <w:ind w:left="709" w:right="709"/>
        <w:jc w:val="center"/>
        <w:rPr>
          <w:rFonts w:ascii="Verdana" w:hAnsi="Verdana"/>
          <w:color w:val="333333"/>
          <w:sz w:val="20"/>
          <w:szCs w:val="20"/>
          <w:lang w:eastAsia="es-CO"/>
        </w:rPr>
      </w:pPr>
      <w:r w:rsidRPr="00AB397A">
        <w:rPr>
          <w:rFonts w:ascii="Verdana" w:hAnsi="Verdana"/>
          <w:i/>
          <w:iCs/>
          <w:color w:val="333333"/>
          <w:sz w:val="20"/>
          <w:szCs w:val="20"/>
          <w:lang w:eastAsia="es-CO"/>
        </w:rPr>
        <w:t>Capacidad Residual del proponente ≥ Capacidad Residual del Proceso de Contratación</w:t>
      </w:r>
    </w:p>
    <w:p w14:paraId="01BF1E39" w14:textId="77777777" w:rsidR="00AB397A" w:rsidRPr="00AB397A" w:rsidRDefault="00AB397A" w:rsidP="00AB397A">
      <w:pPr>
        <w:shd w:val="clear" w:color="auto" w:fill="FFFFFF"/>
        <w:ind w:left="709" w:right="709"/>
        <w:jc w:val="both"/>
        <w:rPr>
          <w:rFonts w:ascii="Verdana" w:hAnsi="Verdana"/>
          <w:color w:val="333333"/>
          <w:sz w:val="20"/>
          <w:szCs w:val="20"/>
          <w:lang w:eastAsia="es-CO"/>
        </w:rPr>
      </w:pPr>
      <w:r w:rsidRPr="00AB397A">
        <w:rPr>
          <w:rFonts w:ascii="Verdana" w:hAnsi="Verdana"/>
          <w:color w:val="333333"/>
          <w:sz w:val="20"/>
          <w:szCs w:val="20"/>
          <w:lang w:eastAsia="es-CO"/>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1BF71C78" w14:textId="77777777" w:rsidR="00AB397A" w:rsidRPr="00AB397A" w:rsidRDefault="00AB397A" w:rsidP="00AB397A">
      <w:pPr>
        <w:spacing w:line="259" w:lineRule="auto"/>
        <w:ind w:right="758"/>
        <w:jc w:val="both"/>
        <w:rPr>
          <w:rFonts w:ascii="Verdana" w:eastAsia="Calibri" w:hAnsi="Verdana" w:cs="Arial"/>
          <w:color w:val="000000"/>
          <w:sz w:val="20"/>
          <w:szCs w:val="20"/>
          <w:lang w:eastAsia="en-US"/>
        </w:rPr>
      </w:pPr>
    </w:p>
    <w:p w14:paraId="720BDE11" w14:textId="77777777" w:rsidR="00AB397A" w:rsidRPr="00AB397A" w:rsidRDefault="00AB397A" w:rsidP="00AB397A">
      <w:pPr>
        <w:spacing w:after="120" w:line="276" w:lineRule="auto"/>
        <w:ind w:firstLine="709"/>
        <w:jc w:val="both"/>
        <w:rPr>
          <w:rFonts w:ascii="Verdana" w:eastAsia="Arial" w:hAnsi="Verdana" w:cs="Arial"/>
          <w:sz w:val="22"/>
          <w:szCs w:val="22"/>
          <w:lang w:eastAsia="en-US"/>
        </w:rPr>
      </w:pPr>
      <w:r w:rsidRPr="00AB397A">
        <w:rPr>
          <w:rFonts w:ascii="Verdana" w:eastAsia="Calibri" w:hAnsi="Verdana"/>
          <w:sz w:val="22"/>
          <w:szCs w:val="22"/>
          <w:lang w:eastAsia="en-US"/>
        </w:rPr>
        <w:t xml:space="preserve">De acuerdo con lo anterior, el proponente que participe en un proceso de selección de una obra pública debe acreditar la capacidad residual de contratación allegando para el efecto los documentos indicados en el </w:t>
      </w:r>
      <w:r w:rsidRPr="00AB397A">
        <w:rPr>
          <w:rFonts w:ascii="Verdana" w:eastAsia="Arial" w:hAnsi="Verdana" w:cs="Arial"/>
          <w:sz w:val="22"/>
          <w:szCs w:val="22"/>
          <w:lang w:eastAsia="en-US"/>
        </w:rPr>
        <w:t xml:space="preserve">2.2.1.1.1.6.4. del Decreto 1082 de 2015 antes descritos. </w:t>
      </w:r>
    </w:p>
    <w:p w14:paraId="4C53250A"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w:t>
      </w:r>
      <w:proofErr w:type="spellStart"/>
      <w:r w:rsidRPr="00AB397A">
        <w:rPr>
          <w:rFonts w:ascii="Verdana" w:eastAsia="Calibri" w:hAnsi="Verdana" w:cs="Arial"/>
          <w:sz w:val="22"/>
          <w:szCs w:val="22"/>
          <w:lang w:eastAsia="en-US"/>
        </w:rPr>
        <w:t>ii</w:t>
      </w:r>
      <w:proofErr w:type="spellEnd"/>
      <w:r w:rsidRPr="00AB397A">
        <w:rPr>
          <w:rFonts w:ascii="Verdana" w:eastAsia="Calibri" w:hAnsi="Verdana" w:cs="Arial"/>
          <w:sz w:val="22"/>
          <w:szCs w:val="22"/>
          <w:lang w:eastAsia="en-US"/>
        </w:rPr>
        <w:t xml:space="preserve">) La lista de los Contratos en Ejecución, suscritos por sociedades, consorcios o uniones temporales, en los cuales el proponente tenga participación, así como el valor y plazo de tales contratos. </w:t>
      </w:r>
      <w:proofErr w:type="spellStart"/>
      <w:r w:rsidRPr="00AB397A">
        <w:rPr>
          <w:rFonts w:ascii="Verdana" w:eastAsia="Calibri" w:hAnsi="Verdana" w:cs="Arial"/>
          <w:sz w:val="22"/>
          <w:szCs w:val="22"/>
          <w:lang w:eastAsia="en-US"/>
        </w:rPr>
        <w:t>iii</w:t>
      </w:r>
      <w:proofErr w:type="spellEnd"/>
      <w:r w:rsidRPr="00AB397A">
        <w:rPr>
          <w:rFonts w:ascii="Verdana" w:eastAsia="Calibri" w:hAnsi="Verdana" w:cs="Arial"/>
          <w:sz w:val="22"/>
          <w:szCs w:val="22"/>
          <w:lang w:eastAsia="en-US"/>
        </w:rPr>
        <w:t xml:space="preserve">)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w:t>
      </w:r>
      <w:r w:rsidRPr="00AB397A">
        <w:rPr>
          <w:rFonts w:ascii="Verdana" w:eastAsia="Calibri" w:hAnsi="Verdana" w:cs="Arial"/>
          <w:sz w:val="22"/>
          <w:szCs w:val="22"/>
          <w:lang w:eastAsia="en-US"/>
        </w:rPr>
        <w:lastRenderedPageBreak/>
        <w:t>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2CC0DC02"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Ahora bien, para lo primero, esto es, para establecer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7DC4F75D"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AB397A">
        <w:rPr>
          <w:rFonts w:ascii="Verdana" w:eastAsia="Calibri" w:hAnsi="Verdana" w:cs="Arial"/>
          <w:sz w:val="22"/>
          <w:szCs w:val="22"/>
          <w:lang w:eastAsia="en-US"/>
        </w:rPr>
        <w:t>ii</w:t>
      </w:r>
      <w:proofErr w:type="spellEnd"/>
      <w:r w:rsidRPr="00AB397A">
        <w:rPr>
          <w:rFonts w:ascii="Verdana" w:eastAsia="Calibri" w:hAnsi="Verdana" w:cs="Arial"/>
          <w:sz w:val="22"/>
          <w:szCs w:val="22"/>
          <w:lang w:eastAsia="en-US"/>
        </w:rPr>
        <w:t xml:space="preserve">) capacidad financiera “CF”; </w:t>
      </w:r>
      <w:proofErr w:type="spellStart"/>
      <w:r w:rsidRPr="00AB397A">
        <w:rPr>
          <w:rFonts w:ascii="Verdana" w:eastAsia="Calibri" w:hAnsi="Verdana" w:cs="Arial"/>
          <w:sz w:val="22"/>
          <w:szCs w:val="22"/>
          <w:lang w:eastAsia="en-US"/>
        </w:rPr>
        <w:t>iii</w:t>
      </w:r>
      <w:proofErr w:type="spellEnd"/>
      <w:r w:rsidRPr="00AB397A">
        <w:rPr>
          <w:rFonts w:ascii="Verdana" w:eastAsia="Calibri" w:hAnsi="Verdana" w:cs="Arial"/>
          <w:sz w:val="22"/>
          <w:szCs w:val="22"/>
          <w:lang w:eastAsia="en-US"/>
        </w:rPr>
        <w:t xml:space="preserve">) capacidad técnica “CT”, </w:t>
      </w:r>
      <w:proofErr w:type="spellStart"/>
      <w:r w:rsidRPr="00AB397A">
        <w:rPr>
          <w:rFonts w:ascii="Verdana" w:eastAsia="Calibri" w:hAnsi="Verdana" w:cs="Arial"/>
          <w:sz w:val="22"/>
          <w:szCs w:val="22"/>
          <w:lang w:eastAsia="en-US"/>
        </w:rPr>
        <w:t>iv</w:t>
      </w:r>
      <w:proofErr w:type="spellEnd"/>
      <w:r w:rsidRPr="00AB397A">
        <w:rPr>
          <w:rFonts w:ascii="Verdana" w:eastAsia="Calibri" w:hAnsi="Verdana" w:cs="Arial"/>
          <w:sz w:val="22"/>
          <w:szCs w:val="22"/>
          <w:lang w:eastAsia="en-US"/>
        </w:rPr>
        <w:t>) capacidad de organización “CO”; y v) los saldos de los contratos en ejecución “SCE”, según la siguiente fórmula:</w:t>
      </w:r>
    </w:p>
    <w:p w14:paraId="0852A54C" w14:textId="77777777" w:rsidR="00AB397A" w:rsidRPr="00AB397A" w:rsidRDefault="00AB397A" w:rsidP="00AB397A">
      <w:pPr>
        <w:spacing w:after="160" w:line="259" w:lineRule="auto"/>
        <w:ind w:left="720"/>
        <w:contextualSpacing/>
        <w:rPr>
          <w:rFonts w:ascii="Verdana" w:eastAsia="Calibri" w:hAnsi="Verdana" w:cs="Arial"/>
          <w:sz w:val="22"/>
          <w:szCs w:val="22"/>
          <w:lang w:val="es-ES" w:eastAsia="en-US"/>
        </w:rPr>
      </w:pPr>
    </w:p>
    <w:p w14:paraId="659C077C" w14:textId="77777777" w:rsidR="00AB397A" w:rsidRPr="00AB397A" w:rsidRDefault="00AB397A" w:rsidP="00AB397A">
      <w:pPr>
        <w:spacing w:after="160" w:line="259" w:lineRule="auto"/>
        <w:ind w:left="720"/>
        <w:contextualSpacing/>
        <w:rPr>
          <w:rFonts w:ascii="Verdana" w:eastAsia="Calibri" w:hAnsi="Verdana" w:cs="Arial"/>
          <w:sz w:val="22"/>
          <w:szCs w:val="22"/>
          <w:lang w:val="es-ES" w:eastAsia="en-US"/>
        </w:rPr>
      </w:pPr>
      <w:r w:rsidRPr="00AB397A">
        <w:rPr>
          <w:rFonts w:ascii="Verdana" w:eastAsiaTheme="minorHAnsi" w:hAnsi="Verdana" w:cstheme="minorBidi"/>
          <w:noProof/>
          <w:sz w:val="20"/>
          <w:szCs w:val="22"/>
          <w:lang w:val="en-US" w:eastAsia="en-US"/>
        </w:rPr>
        <w:drawing>
          <wp:inline distT="0" distB="0" distL="0" distR="0" wp14:anchorId="2A996A51" wp14:editId="5A9072C0">
            <wp:extent cx="4641315" cy="674846"/>
            <wp:effectExtent l="0" t="0" r="0" b="0"/>
            <wp:docPr id="2" name="image3.png"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Icono&#10;&#10;Descripción generada automáticamente con confianza media"/>
                    <pic:cNvPicPr/>
                  </pic:nvPicPr>
                  <pic:blipFill>
                    <a:blip r:embed="rId13" cstate="print"/>
                    <a:stretch>
                      <a:fillRect/>
                    </a:stretch>
                  </pic:blipFill>
                  <pic:spPr>
                    <a:xfrm>
                      <a:off x="0" y="0"/>
                      <a:ext cx="4641315" cy="674846"/>
                    </a:xfrm>
                    <a:prstGeom prst="rect">
                      <a:avLst/>
                    </a:prstGeom>
                  </pic:spPr>
                </pic:pic>
              </a:graphicData>
            </a:graphic>
          </wp:inline>
        </w:drawing>
      </w:r>
    </w:p>
    <w:p w14:paraId="2DD806B3" w14:textId="77777777" w:rsidR="00AB397A" w:rsidRPr="00AB397A" w:rsidRDefault="00AB397A" w:rsidP="00AB397A">
      <w:pPr>
        <w:spacing w:after="160" w:line="259" w:lineRule="auto"/>
        <w:ind w:left="720"/>
        <w:contextualSpacing/>
        <w:rPr>
          <w:rFonts w:ascii="Verdana" w:eastAsia="Calibri" w:hAnsi="Verdana" w:cs="Arial"/>
          <w:sz w:val="22"/>
          <w:szCs w:val="22"/>
          <w:lang w:val="es-ES" w:eastAsia="en-US"/>
        </w:rPr>
      </w:pPr>
    </w:p>
    <w:p w14:paraId="5385D505"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A cada uno de estos factores se les debe asignar el siguiente puntaje máximo: i) “E” 120; </w:t>
      </w:r>
      <w:proofErr w:type="spellStart"/>
      <w:r w:rsidRPr="00AB397A">
        <w:rPr>
          <w:rFonts w:ascii="Verdana" w:eastAsia="Calibri" w:hAnsi="Verdana" w:cs="Arial"/>
          <w:sz w:val="22"/>
          <w:szCs w:val="22"/>
          <w:lang w:eastAsia="en-US"/>
        </w:rPr>
        <w:t>ii</w:t>
      </w:r>
      <w:proofErr w:type="spellEnd"/>
      <w:r w:rsidRPr="00AB397A">
        <w:rPr>
          <w:rFonts w:ascii="Verdana" w:eastAsia="Calibri" w:hAnsi="Verdana" w:cs="Arial"/>
          <w:sz w:val="22"/>
          <w:szCs w:val="22"/>
          <w:lang w:eastAsia="en-US"/>
        </w:rPr>
        <w:t xml:space="preserve">) “CF” 40; y </w:t>
      </w:r>
      <w:proofErr w:type="spellStart"/>
      <w:r w:rsidRPr="00AB397A">
        <w:rPr>
          <w:rFonts w:ascii="Verdana" w:eastAsia="Calibri" w:hAnsi="Verdana" w:cs="Arial"/>
          <w:sz w:val="22"/>
          <w:szCs w:val="22"/>
          <w:lang w:eastAsia="en-US"/>
        </w:rPr>
        <w:t>iii</w:t>
      </w:r>
      <w:proofErr w:type="spellEnd"/>
      <w:r w:rsidRPr="00AB397A">
        <w:rPr>
          <w:rFonts w:ascii="Verdana" w:eastAsia="Calibri" w:hAnsi="Verdana" w:cs="Arial"/>
          <w:sz w:val="22"/>
          <w:szCs w:val="22"/>
          <w:lang w:eastAsia="en-US"/>
        </w:rPr>
        <w:t>)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504A1268"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i) </w:t>
      </w:r>
      <w:r w:rsidRPr="00AB397A">
        <w:rPr>
          <w:rFonts w:ascii="Verdana" w:eastAsia="Calibri" w:hAnsi="Verdana" w:cs="Arial"/>
          <w:i/>
          <w:iCs/>
          <w:sz w:val="22"/>
          <w:szCs w:val="22"/>
          <w:lang w:eastAsia="en-US"/>
        </w:rPr>
        <w:t xml:space="preserve">Capacidad financiera. </w:t>
      </w:r>
      <w:r w:rsidRPr="00AB397A">
        <w:rPr>
          <w:rFonts w:ascii="Verdana" w:eastAsia="Calibri" w:hAnsi="Verdana" w:cs="Arial"/>
          <w:sz w:val="22"/>
          <w:szCs w:val="22"/>
          <w:lang w:eastAsia="en-US"/>
        </w:rPr>
        <w:t>Se mide por el “índice de liquidez” y este, a su vez, corresponde al resultado de dividir el “activo corriente” sobre el “pasivo corriente”. El resultado puede ser calificado entre 20 y cuarenta puntos, según se explica en la Guía.</w:t>
      </w:r>
    </w:p>
    <w:p w14:paraId="44B107B5"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proofErr w:type="spellStart"/>
      <w:r w:rsidRPr="00AB397A">
        <w:rPr>
          <w:rFonts w:ascii="Verdana" w:eastAsia="Calibri" w:hAnsi="Verdana" w:cs="Arial"/>
          <w:sz w:val="22"/>
          <w:szCs w:val="22"/>
          <w:lang w:eastAsia="en-US"/>
        </w:rPr>
        <w:t>ii</w:t>
      </w:r>
      <w:proofErr w:type="spellEnd"/>
      <w:r w:rsidRPr="00AB397A">
        <w:rPr>
          <w:rFonts w:ascii="Verdana" w:eastAsia="Calibri" w:hAnsi="Verdana" w:cs="Arial"/>
          <w:sz w:val="22"/>
          <w:szCs w:val="22"/>
          <w:lang w:eastAsia="en-US"/>
        </w:rPr>
        <w:t>)</w:t>
      </w:r>
      <w:r w:rsidRPr="00AB397A">
        <w:rPr>
          <w:rFonts w:ascii="Verdana" w:eastAsia="Calibri" w:hAnsi="Verdana" w:cs="Arial"/>
          <w:i/>
          <w:iCs/>
          <w:sz w:val="22"/>
          <w:szCs w:val="22"/>
          <w:lang w:eastAsia="en-US"/>
        </w:rPr>
        <w:t xml:space="preserve"> Capacidad técnica.</w:t>
      </w:r>
      <w:r w:rsidRPr="00AB397A">
        <w:rPr>
          <w:rFonts w:ascii="Verdana" w:eastAsia="Calibri" w:hAnsi="Verdana" w:cs="Arial"/>
          <w:sz w:val="22"/>
          <w:szCs w:val="22"/>
          <w:lang w:eastAsia="en-US"/>
        </w:rPr>
        <w:t xml:space="preserve"> Se determina teniendo en cuenta el número de socios y profesionales de la arquitectura, ingeniería y geología vinculados </w:t>
      </w:r>
      <w:r w:rsidRPr="00AB397A">
        <w:rPr>
          <w:rFonts w:ascii="Verdana" w:eastAsia="Calibri" w:hAnsi="Verdana" w:cs="Arial"/>
          <w:sz w:val="22"/>
          <w:szCs w:val="22"/>
          <w:lang w:eastAsia="en-US"/>
        </w:rPr>
        <w:lastRenderedPageBreak/>
        <w:t xml:space="preserve">mediante una relación laboral o contractual. </w:t>
      </w:r>
      <w:proofErr w:type="gramStart"/>
      <w:r w:rsidRPr="00AB397A">
        <w:rPr>
          <w:rFonts w:ascii="Verdana" w:eastAsia="Calibri" w:hAnsi="Verdana" w:cs="Arial"/>
          <w:sz w:val="22"/>
          <w:szCs w:val="22"/>
          <w:lang w:eastAsia="en-US"/>
        </w:rPr>
        <w:t>El puntaje a asignar</w:t>
      </w:r>
      <w:proofErr w:type="gramEnd"/>
      <w:r w:rsidRPr="00AB397A">
        <w:rPr>
          <w:rFonts w:ascii="Verdana" w:eastAsia="Calibri" w:hAnsi="Verdana" w:cs="Arial"/>
          <w:sz w:val="22"/>
          <w:szCs w:val="22"/>
          <w:lang w:eastAsia="en-US"/>
        </w:rPr>
        <w:t>, según la Guía, oscila entre 20 y 40 puntos. Para tales fines, se aclara que el proponente debe diligenciar el Anexo 2 de la “Guía para Determinar y Verificar la Capacidad Residual del Proponente en los Procesos de Contratación de Obra Pública”.</w:t>
      </w:r>
    </w:p>
    <w:p w14:paraId="5681821F"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proofErr w:type="spellStart"/>
      <w:r w:rsidRPr="00AB397A">
        <w:rPr>
          <w:rFonts w:ascii="Verdana" w:eastAsia="Calibri" w:hAnsi="Verdana" w:cs="Arial"/>
          <w:sz w:val="22"/>
          <w:szCs w:val="22"/>
          <w:lang w:eastAsia="en-US"/>
        </w:rPr>
        <w:t>iii</w:t>
      </w:r>
      <w:proofErr w:type="spellEnd"/>
      <w:r w:rsidRPr="00AB397A">
        <w:rPr>
          <w:rFonts w:ascii="Verdana" w:eastAsia="Calibri" w:hAnsi="Verdana" w:cs="Arial"/>
          <w:sz w:val="22"/>
          <w:szCs w:val="22"/>
          <w:lang w:eastAsia="en-US"/>
        </w:rPr>
        <w:t xml:space="preserve">) </w:t>
      </w:r>
      <w:r w:rsidRPr="00AB397A">
        <w:rPr>
          <w:rFonts w:ascii="Verdana" w:eastAsia="Calibri" w:hAnsi="Verdana" w:cs="Arial"/>
          <w:i/>
          <w:iCs/>
          <w:sz w:val="22"/>
          <w:szCs w:val="22"/>
          <w:lang w:eastAsia="en-US"/>
        </w:rPr>
        <w:t>Capacidad de organización.</w:t>
      </w:r>
      <w:r w:rsidRPr="00AB397A">
        <w:rPr>
          <w:rFonts w:ascii="Verdana" w:eastAsia="Calibri" w:hAnsi="Verdana" w:cs="Arial"/>
          <w:sz w:val="22"/>
          <w:szCs w:val="22"/>
          <w:lang w:eastAsia="en-US"/>
        </w:rPr>
        <w:t xml:space="preserve"> Corresponde a los ingresos operacionales, según el siguiente cuadro:</w:t>
      </w:r>
    </w:p>
    <w:p w14:paraId="4169B129" w14:textId="77777777" w:rsidR="00AB397A" w:rsidRPr="00AB397A" w:rsidRDefault="00AB397A" w:rsidP="00AB397A">
      <w:pPr>
        <w:spacing w:after="120" w:line="276" w:lineRule="auto"/>
        <w:ind w:left="1440"/>
        <w:contextualSpacing/>
        <w:jc w:val="both"/>
        <w:rPr>
          <w:rFonts w:ascii="Verdana" w:eastAsia="Calibri" w:hAnsi="Verdana" w:cs="Arial"/>
          <w:color w:val="7030A0"/>
          <w:sz w:val="22"/>
          <w:szCs w:val="22"/>
          <w:lang w:val="es-ES" w:eastAsia="en-US"/>
        </w:rPr>
      </w:pPr>
    </w:p>
    <w:tbl>
      <w:tblPr>
        <w:tblStyle w:val="Tablaconcuadrcula"/>
        <w:tblW w:w="7522" w:type="dxa"/>
        <w:tblInd w:w="1317" w:type="dxa"/>
        <w:tblLook w:val="04A0" w:firstRow="1" w:lastRow="0" w:firstColumn="1" w:lastColumn="0" w:noHBand="0" w:noVBand="1"/>
      </w:tblPr>
      <w:tblGrid>
        <w:gridCol w:w="2481"/>
        <w:gridCol w:w="5041"/>
      </w:tblGrid>
      <w:tr w:rsidR="00AB397A" w:rsidRPr="00AB397A" w14:paraId="20AEF39E" w14:textId="77777777" w:rsidTr="001D3405">
        <w:tc>
          <w:tcPr>
            <w:tcW w:w="2481" w:type="dxa"/>
            <w:shd w:val="clear" w:color="auto" w:fill="4472C4" w:themeFill="accent1"/>
            <w:vAlign w:val="center"/>
          </w:tcPr>
          <w:p w14:paraId="0EBE39D4" w14:textId="77777777" w:rsidR="00AB397A" w:rsidRPr="00AB397A" w:rsidRDefault="00AB397A" w:rsidP="00AB397A">
            <w:pPr>
              <w:spacing w:line="276" w:lineRule="auto"/>
              <w:contextualSpacing/>
              <w:jc w:val="center"/>
              <w:rPr>
                <w:rFonts w:ascii="Verdana" w:eastAsia="Calibri" w:hAnsi="Verdana" w:cs="Arial"/>
                <w:color w:val="FFFFFF" w:themeColor="background1"/>
                <w:sz w:val="20"/>
                <w:szCs w:val="20"/>
                <w:lang w:val="es-ES" w:eastAsia="en-US"/>
              </w:rPr>
            </w:pPr>
            <w:r w:rsidRPr="00AB397A">
              <w:rPr>
                <w:rFonts w:ascii="Verdana" w:eastAsia="Calibri" w:hAnsi="Verdana" w:cs="Arial"/>
                <w:color w:val="FFFFFF" w:themeColor="background1"/>
                <w:sz w:val="20"/>
                <w:szCs w:val="20"/>
                <w:lang w:val="es-ES" w:eastAsia="en-US"/>
              </w:rPr>
              <w:t>Años de información financiera</w:t>
            </w:r>
          </w:p>
        </w:tc>
        <w:tc>
          <w:tcPr>
            <w:tcW w:w="5041" w:type="dxa"/>
            <w:shd w:val="clear" w:color="auto" w:fill="4472C4" w:themeFill="accent1"/>
            <w:vAlign w:val="center"/>
          </w:tcPr>
          <w:p w14:paraId="32BD3BE1" w14:textId="77777777" w:rsidR="00AB397A" w:rsidRPr="00AB397A" w:rsidRDefault="00AB397A" w:rsidP="00AB397A">
            <w:pPr>
              <w:spacing w:line="276" w:lineRule="auto"/>
              <w:contextualSpacing/>
              <w:jc w:val="center"/>
              <w:rPr>
                <w:rFonts w:ascii="Verdana" w:eastAsia="Calibri" w:hAnsi="Verdana" w:cs="Arial"/>
                <w:color w:val="FFFFFF" w:themeColor="background1"/>
                <w:sz w:val="20"/>
                <w:szCs w:val="20"/>
                <w:lang w:val="es-ES" w:eastAsia="en-US"/>
              </w:rPr>
            </w:pPr>
            <w:r w:rsidRPr="00AB397A">
              <w:rPr>
                <w:rFonts w:ascii="Verdana" w:eastAsia="Calibri" w:hAnsi="Verdana" w:cs="Arial"/>
                <w:color w:val="FFFFFF" w:themeColor="background1"/>
                <w:sz w:val="20"/>
                <w:szCs w:val="20"/>
                <w:lang w:val="es-ES" w:eastAsia="en-US"/>
              </w:rPr>
              <w:t>Capacidad de Organización (CO)</w:t>
            </w:r>
          </w:p>
        </w:tc>
      </w:tr>
      <w:tr w:rsidR="00AB397A" w:rsidRPr="00AB397A" w14:paraId="6175AB69" w14:textId="77777777" w:rsidTr="001D3405">
        <w:tc>
          <w:tcPr>
            <w:tcW w:w="2481" w:type="dxa"/>
            <w:vAlign w:val="center"/>
          </w:tcPr>
          <w:p w14:paraId="72C4B5CF" w14:textId="77777777" w:rsidR="00AB397A" w:rsidRPr="00AB397A" w:rsidRDefault="00AB397A" w:rsidP="00AB397A">
            <w:pPr>
              <w:spacing w:line="276" w:lineRule="auto"/>
              <w:contextualSpacing/>
              <w:rPr>
                <w:rFonts w:ascii="Verdana" w:eastAsia="Calibri" w:hAnsi="Verdana" w:cs="Arial"/>
                <w:sz w:val="20"/>
                <w:szCs w:val="20"/>
                <w:lang w:val="es-ES" w:eastAsia="en-US"/>
              </w:rPr>
            </w:pPr>
            <w:r w:rsidRPr="00AB397A">
              <w:rPr>
                <w:rFonts w:ascii="Verdana" w:eastAsia="Calibri" w:hAnsi="Verdana" w:cs="Arial"/>
                <w:sz w:val="20"/>
                <w:szCs w:val="20"/>
                <w:lang w:val="es-ES" w:eastAsia="en-US"/>
              </w:rPr>
              <w:t>Cinco (5) años o más</w:t>
            </w:r>
          </w:p>
        </w:tc>
        <w:tc>
          <w:tcPr>
            <w:tcW w:w="5041" w:type="dxa"/>
            <w:vAlign w:val="center"/>
          </w:tcPr>
          <w:p w14:paraId="7F7FB5FD" w14:textId="77777777" w:rsidR="00AB397A" w:rsidRPr="00AB397A" w:rsidRDefault="00AB397A" w:rsidP="00AB397A">
            <w:pPr>
              <w:spacing w:line="276" w:lineRule="auto"/>
              <w:contextualSpacing/>
              <w:rPr>
                <w:rFonts w:ascii="Verdana" w:eastAsia="Calibri" w:hAnsi="Verdana" w:cs="Arial"/>
                <w:sz w:val="20"/>
                <w:szCs w:val="20"/>
                <w:lang w:val="es-ES" w:eastAsia="en-US"/>
              </w:rPr>
            </w:pPr>
            <w:r w:rsidRPr="00AB397A">
              <w:rPr>
                <w:rFonts w:ascii="Verdana" w:eastAsia="Calibri" w:hAnsi="Verdana" w:cs="Arial"/>
                <w:sz w:val="20"/>
                <w:szCs w:val="20"/>
                <w:lang w:val="es-ES" w:eastAsia="en-US"/>
              </w:rPr>
              <w:t>Mayor ingreso operacional de los últimos cinco (5) años.</w:t>
            </w:r>
          </w:p>
        </w:tc>
      </w:tr>
      <w:tr w:rsidR="00AB397A" w:rsidRPr="00AB397A" w14:paraId="0B86E606" w14:textId="77777777" w:rsidTr="001D3405">
        <w:tc>
          <w:tcPr>
            <w:tcW w:w="2481" w:type="dxa"/>
            <w:vAlign w:val="center"/>
          </w:tcPr>
          <w:p w14:paraId="7A3DC8C3" w14:textId="77777777" w:rsidR="00AB397A" w:rsidRPr="00AB397A" w:rsidRDefault="00AB397A" w:rsidP="00AB397A">
            <w:pPr>
              <w:spacing w:line="276" w:lineRule="auto"/>
              <w:contextualSpacing/>
              <w:rPr>
                <w:rFonts w:ascii="Verdana" w:eastAsia="Calibri" w:hAnsi="Verdana" w:cs="Arial"/>
                <w:sz w:val="20"/>
                <w:szCs w:val="20"/>
                <w:lang w:val="es-ES" w:eastAsia="en-US"/>
              </w:rPr>
            </w:pPr>
            <w:r w:rsidRPr="00AB397A">
              <w:rPr>
                <w:rFonts w:ascii="Verdana" w:eastAsia="Calibri" w:hAnsi="Verdana" w:cs="Arial"/>
                <w:sz w:val="20"/>
                <w:szCs w:val="20"/>
                <w:lang w:eastAsia="en-US"/>
              </w:rPr>
              <w:t>Entre uno (1) y cinco (5) años</w:t>
            </w:r>
          </w:p>
        </w:tc>
        <w:tc>
          <w:tcPr>
            <w:tcW w:w="5041" w:type="dxa"/>
            <w:vAlign w:val="center"/>
          </w:tcPr>
          <w:p w14:paraId="2F4BD714" w14:textId="77777777" w:rsidR="00AB397A" w:rsidRPr="00AB397A" w:rsidRDefault="00AB397A" w:rsidP="00AB397A">
            <w:pPr>
              <w:spacing w:line="276" w:lineRule="auto"/>
              <w:contextualSpacing/>
              <w:rPr>
                <w:rFonts w:ascii="Verdana" w:eastAsia="Calibri" w:hAnsi="Verdana" w:cs="Arial"/>
                <w:sz w:val="20"/>
                <w:szCs w:val="20"/>
                <w:lang w:val="es-ES" w:eastAsia="en-US"/>
              </w:rPr>
            </w:pPr>
            <w:r w:rsidRPr="00AB397A">
              <w:rPr>
                <w:rFonts w:ascii="Verdana" w:eastAsia="Calibri" w:hAnsi="Verdana" w:cs="Arial"/>
                <w:sz w:val="20"/>
                <w:szCs w:val="20"/>
                <w:lang w:eastAsia="en-US"/>
              </w:rPr>
              <w:t>Mayor ingreso operacional de los años de vida del oferente</w:t>
            </w:r>
          </w:p>
        </w:tc>
      </w:tr>
      <w:tr w:rsidR="00AB397A" w:rsidRPr="00AB397A" w14:paraId="08BB3203" w14:textId="77777777" w:rsidTr="001D3405">
        <w:tc>
          <w:tcPr>
            <w:tcW w:w="2481" w:type="dxa"/>
            <w:vAlign w:val="center"/>
          </w:tcPr>
          <w:p w14:paraId="513319CB" w14:textId="77777777" w:rsidR="00AB397A" w:rsidRPr="00AB397A" w:rsidRDefault="00AB397A" w:rsidP="00AB397A">
            <w:pPr>
              <w:spacing w:line="276" w:lineRule="auto"/>
              <w:contextualSpacing/>
              <w:rPr>
                <w:rFonts w:ascii="Verdana" w:eastAsia="Calibri" w:hAnsi="Verdana" w:cs="Arial"/>
                <w:sz w:val="20"/>
                <w:szCs w:val="20"/>
                <w:lang w:val="es-ES" w:eastAsia="en-US"/>
              </w:rPr>
            </w:pPr>
            <w:r w:rsidRPr="00AB397A">
              <w:rPr>
                <w:rFonts w:ascii="Verdana" w:eastAsia="Calibri" w:hAnsi="Verdana" w:cs="Arial"/>
                <w:sz w:val="20"/>
                <w:szCs w:val="20"/>
                <w:lang w:eastAsia="en-US"/>
              </w:rPr>
              <w:t>Menos de un (1) año</w:t>
            </w:r>
          </w:p>
        </w:tc>
        <w:tc>
          <w:tcPr>
            <w:tcW w:w="5041" w:type="dxa"/>
            <w:vAlign w:val="center"/>
          </w:tcPr>
          <w:p w14:paraId="307161A1" w14:textId="77777777" w:rsidR="00AB397A" w:rsidRPr="00AB397A" w:rsidRDefault="00AB397A" w:rsidP="00AB397A">
            <w:pPr>
              <w:spacing w:line="276" w:lineRule="auto"/>
              <w:contextualSpacing/>
              <w:rPr>
                <w:rFonts w:ascii="Verdana" w:eastAsia="Calibri" w:hAnsi="Verdana" w:cs="Arial"/>
                <w:sz w:val="20"/>
                <w:szCs w:val="20"/>
                <w:lang w:val="es-ES" w:eastAsia="en-US"/>
              </w:rPr>
            </w:pPr>
            <w:r w:rsidRPr="00AB397A">
              <w:rPr>
                <w:rFonts w:ascii="Verdana" w:eastAsia="Calibri" w:hAnsi="Verdana" w:cs="Arial"/>
                <w:sz w:val="20"/>
                <w:szCs w:val="20"/>
                <w:lang w:eastAsia="en-US"/>
              </w:rPr>
              <w:t xml:space="preserve">USD 125.000 (Liquidados a la tasa de cambio determinada por el Ministerio de Comercio, Industria y Turismo cada 2 años para efectos del umbral del beneficio de las </w:t>
            </w:r>
            <w:proofErr w:type="spellStart"/>
            <w:r w:rsidRPr="00AB397A">
              <w:rPr>
                <w:rFonts w:ascii="Verdana" w:eastAsia="Calibri" w:hAnsi="Verdana" w:cs="Arial"/>
                <w:sz w:val="20"/>
                <w:szCs w:val="20"/>
                <w:lang w:eastAsia="en-US"/>
              </w:rPr>
              <w:t>Mipyme</w:t>
            </w:r>
            <w:proofErr w:type="spellEnd"/>
            <w:r w:rsidRPr="00AB397A">
              <w:rPr>
                <w:rFonts w:ascii="Verdana" w:eastAsia="Calibri" w:hAnsi="Verdana" w:cs="Arial"/>
                <w:sz w:val="20"/>
                <w:szCs w:val="20"/>
                <w:lang w:eastAsia="en-US"/>
              </w:rPr>
              <w:t>.)</w:t>
            </w:r>
          </w:p>
        </w:tc>
      </w:tr>
    </w:tbl>
    <w:p w14:paraId="107A4C5F" w14:textId="77777777" w:rsidR="00AB397A" w:rsidRPr="00AB397A" w:rsidRDefault="00AB397A" w:rsidP="00AB397A">
      <w:pPr>
        <w:spacing w:line="276" w:lineRule="auto"/>
        <w:jc w:val="both"/>
        <w:rPr>
          <w:rFonts w:ascii="Verdana" w:eastAsia="Calibri" w:hAnsi="Verdana" w:cs="Arial"/>
          <w:i/>
          <w:iCs/>
          <w:sz w:val="22"/>
          <w:szCs w:val="22"/>
          <w:lang w:eastAsia="en-US"/>
        </w:rPr>
      </w:pPr>
    </w:p>
    <w:p w14:paraId="3ED0A397"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proofErr w:type="spellStart"/>
      <w:r w:rsidRPr="00AB397A">
        <w:rPr>
          <w:rFonts w:ascii="Verdana" w:eastAsia="Calibri" w:hAnsi="Verdana" w:cs="Arial"/>
          <w:i/>
          <w:iCs/>
          <w:sz w:val="22"/>
          <w:szCs w:val="22"/>
          <w:lang w:eastAsia="en-US"/>
        </w:rPr>
        <w:t>iv</w:t>
      </w:r>
      <w:proofErr w:type="spellEnd"/>
      <w:r w:rsidRPr="00AB397A">
        <w:rPr>
          <w:rFonts w:ascii="Verdana" w:eastAsia="Calibri" w:hAnsi="Verdana" w:cs="Arial"/>
          <w:i/>
          <w:iCs/>
          <w:sz w:val="22"/>
          <w:szCs w:val="22"/>
          <w:lang w:eastAsia="en-US"/>
        </w:rPr>
        <w:t xml:space="preserve">) Saldos de los contratos en ejecución. </w:t>
      </w:r>
      <w:r w:rsidRPr="00AB397A">
        <w:rPr>
          <w:rFonts w:ascii="Verdana" w:eastAsia="Calibri" w:hAnsi="Verdana" w:cs="Arial"/>
          <w:sz w:val="22"/>
          <w:szCs w:val="22"/>
          <w:lang w:eastAsia="en-US"/>
        </w:rPr>
        <w:t>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6520B1D8" w14:textId="77777777" w:rsidR="00AB397A" w:rsidRPr="00AB397A" w:rsidRDefault="00AB397A" w:rsidP="00AB397A">
      <w:pPr>
        <w:spacing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v) </w:t>
      </w:r>
      <w:r w:rsidRPr="00AB397A">
        <w:rPr>
          <w:rFonts w:ascii="Verdana" w:eastAsia="Calibri" w:hAnsi="Verdana" w:cs="Arial"/>
          <w:i/>
          <w:iCs/>
          <w:sz w:val="22"/>
          <w:szCs w:val="22"/>
          <w:lang w:eastAsia="en-US"/>
        </w:rPr>
        <w:t>Experiencia.</w:t>
      </w:r>
      <w:r w:rsidRPr="00AB397A">
        <w:rPr>
          <w:rFonts w:ascii="Verdana" w:eastAsia="Calibri" w:hAnsi="Verdana" w:cs="Arial"/>
          <w:sz w:val="22"/>
          <w:szCs w:val="22"/>
          <w:lang w:eastAsia="en-US"/>
        </w:rPr>
        <w:t xml:space="preserve"> Para los efectos de la capacidad residual −no para la experiencia general que debe acreditar el contratista según la Matriz 1−, corresponde de un lado, a la relación entre “el valor total en pesos de los contratos </w:t>
      </w:r>
      <w:r w:rsidRPr="00AB397A">
        <w:rPr>
          <w:rFonts w:ascii="Verdana" w:eastAsia="Calibri" w:hAnsi="Verdana" w:cs="Arial"/>
          <w:i/>
          <w:iCs/>
          <w:sz w:val="22"/>
          <w:szCs w:val="22"/>
          <w:lang w:eastAsia="en-US"/>
        </w:rPr>
        <w:t>relacionados con la actividad de la construcción</w:t>
      </w:r>
      <w:r w:rsidRPr="00AB397A">
        <w:rPr>
          <w:rFonts w:ascii="Verdana" w:eastAsia="Calibri" w:hAnsi="Verdana" w:cs="Arial"/>
          <w:sz w:val="22"/>
          <w:szCs w:val="22"/>
          <w:lang w:eastAsia="en-US"/>
        </w:rPr>
        <w:t xml:space="preserve">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p>
    <w:p w14:paraId="32538B14" w14:textId="77777777" w:rsidR="00AB397A" w:rsidRPr="00AB397A" w:rsidRDefault="00AB397A" w:rsidP="00AB397A">
      <w:pPr>
        <w:spacing w:line="276" w:lineRule="auto"/>
        <w:jc w:val="both"/>
        <w:rPr>
          <w:rFonts w:ascii="Verdana" w:eastAsia="Calibri" w:hAnsi="Verdana" w:cs="Arial"/>
          <w:sz w:val="22"/>
          <w:szCs w:val="22"/>
          <w:lang w:eastAsia="en-US"/>
        </w:rPr>
      </w:pPr>
    </w:p>
    <w:p w14:paraId="4A0B4F6A" w14:textId="77777777" w:rsidR="00AB397A" w:rsidRPr="00AB397A" w:rsidRDefault="00AB397A" w:rsidP="00AB397A">
      <w:pPr>
        <w:spacing w:line="276" w:lineRule="auto"/>
        <w:jc w:val="both"/>
        <w:rPr>
          <w:rFonts w:ascii="Verdana" w:eastAsia="Calibri" w:hAnsi="Verdana" w:cs="Arial"/>
          <w:sz w:val="22"/>
          <w:szCs w:val="22"/>
          <w:lang w:eastAsia="en-US"/>
        </w:rPr>
      </w:pPr>
      <w:proofErr w:type="spellStart"/>
      <w:r w:rsidRPr="00AB397A">
        <w:rPr>
          <w:rFonts w:ascii="Verdana" w:eastAsia="Calibri" w:hAnsi="Verdana" w:cs="Arial"/>
          <w:sz w:val="22"/>
          <w:szCs w:val="22"/>
          <w:lang w:eastAsia="en-US"/>
        </w:rPr>
        <w:t>ii</w:t>
      </w:r>
      <w:proofErr w:type="spellEnd"/>
      <w:r w:rsidRPr="00AB397A">
        <w:rPr>
          <w:rFonts w:ascii="Verdana" w:eastAsia="Calibri" w:hAnsi="Verdana" w:cs="Arial"/>
          <w:sz w:val="22"/>
          <w:szCs w:val="22"/>
          <w:lang w:eastAsia="en-US"/>
        </w:rPr>
        <w:t>. Frente al factor de los saldos de contratos en ejecución,</w:t>
      </w:r>
      <w:r w:rsidRPr="00AB397A">
        <w:rPr>
          <w:rFonts w:ascii="Arial" w:eastAsiaTheme="minorHAnsi" w:hAnsi="Arial" w:cs="Arial"/>
          <w:color w:val="000000" w:themeColor="text1"/>
          <w:sz w:val="22"/>
          <w:szCs w:val="22"/>
          <w:lang w:eastAsia="en-US"/>
        </w:rPr>
        <w:t xml:space="preserve"> </w:t>
      </w:r>
      <w:r w:rsidRPr="00AB397A">
        <w:rPr>
          <w:rFonts w:ascii="Verdana" w:eastAsia="Calibri" w:hAnsi="Verdana" w:cs="Arial"/>
          <w:sz w:val="22"/>
          <w:szCs w:val="22"/>
          <w:lang w:eastAsia="en-US"/>
        </w:rPr>
        <w:t xml:space="preserve">en la “Guía para Determinar y Verificar la Capacidad Residual del Proponente en los Procesos de </w:t>
      </w:r>
      <w:r w:rsidRPr="00AB397A">
        <w:rPr>
          <w:rFonts w:ascii="Verdana" w:eastAsia="Calibri" w:hAnsi="Verdana" w:cs="Arial"/>
          <w:sz w:val="22"/>
          <w:szCs w:val="22"/>
          <w:lang w:eastAsia="en-US"/>
        </w:rPr>
        <w:lastRenderedPageBreak/>
        <w:t xml:space="preserve">Contratación de Obra Pública” se </w:t>
      </w:r>
      <w:r w:rsidRPr="00AB397A">
        <w:rPr>
          <w:rFonts w:ascii="Verdana" w:eastAsia="Arial" w:hAnsi="Verdana" w:cs="Arial"/>
          <w:sz w:val="22"/>
          <w:szCs w:val="22"/>
          <w:lang w:eastAsia="en-US"/>
        </w:rPr>
        <w:t xml:space="preserve">define “Contratos en Ejecución” de la siguiente manera: </w:t>
      </w:r>
    </w:p>
    <w:p w14:paraId="2EF2647C" w14:textId="77777777" w:rsidR="00AB397A" w:rsidRPr="00AB397A" w:rsidRDefault="00AB397A" w:rsidP="00AB397A">
      <w:pPr>
        <w:spacing w:line="276" w:lineRule="auto"/>
        <w:ind w:left="850" w:right="850"/>
        <w:contextualSpacing/>
        <w:jc w:val="both"/>
        <w:rPr>
          <w:rFonts w:ascii="Verdana" w:eastAsia="Calibri" w:hAnsi="Verdana" w:cs="Arial"/>
          <w:i/>
          <w:iCs/>
          <w:sz w:val="20"/>
          <w:szCs w:val="20"/>
          <w:lang w:eastAsia="es-CO"/>
        </w:rPr>
      </w:pPr>
    </w:p>
    <w:p w14:paraId="2405ADC2" w14:textId="77777777" w:rsidR="00AB397A" w:rsidRPr="00AB397A" w:rsidRDefault="00AB397A" w:rsidP="00AB397A">
      <w:pPr>
        <w:widowControl w:val="0"/>
        <w:autoSpaceDE w:val="0"/>
        <w:autoSpaceDN w:val="0"/>
        <w:ind w:left="709" w:right="709"/>
        <w:contextualSpacing/>
        <w:jc w:val="both"/>
        <w:rPr>
          <w:rFonts w:ascii="Verdana" w:eastAsia="Calibri" w:hAnsi="Verdana" w:cs="Arial"/>
          <w:color w:val="000000"/>
          <w:sz w:val="20"/>
          <w:szCs w:val="20"/>
          <w:lang w:val="es-ES" w:eastAsia="en-US"/>
        </w:rPr>
      </w:pPr>
      <w:r w:rsidRPr="00AB397A">
        <w:rPr>
          <w:rFonts w:ascii="Verdana" w:eastAsia="Calibri" w:hAnsi="Verdana" w:cs="Arial"/>
          <w:color w:val="000000"/>
          <w:sz w:val="20"/>
          <w:szCs w:val="20"/>
          <w:lang w:val="es-ES" w:eastAsia="en-US"/>
        </w:rPr>
        <w:t>“Es la sumatoria de los saldos de los Contratos en Ejecución que tienen por ejecutar un período inferior a 360 días, es decir, 12 meses. Si el número de días por ejecutar un contrato es superior a 360 días, es decir 12 meses, el saldo del Contrato en Ejecución sólo tendrá en cuenta la proporción lineal de 12 meses.”</w:t>
      </w:r>
      <w:r w:rsidRPr="00AB397A">
        <w:rPr>
          <w:rFonts w:ascii="Verdana" w:eastAsia="Calibri" w:hAnsi="Verdana" w:cs="Arial"/>
          <w:color w:val="000000"/>
          <w:sz w:val="20"/>
          <w:szCs w:val="20"/>
          <w:vertAlign w:val="superscript"/>
          <w:lang w:val="es-ES" w:eastAsia="en-US"/>
        </w:rPr>
        <w:footnoteReference w:id="1"/>
      </w:r>
    </w:p>
    <w:p w14:paraId="08E7B49C" w14:textId="77777777" w:rsidR="00AB397A" w:rsidRPr="00AB397A" w:rsidRDefault="00AB397A" w:rsidP="00AB397A">
      <w:pPr>
        <w:widowControl w:val="0"/>
        <w:autoSpaceDE w:val="0"/>
        <w:autoSpaceDN w:val="0"/>
        <w:spacing w:line="276" w:lineRule="auto"/>
        <w:contextualSpacing/>
        <w:jc w:val="both"/>
        <w:rPr>
          <w:rFonts w:ascii="Verdana" w:eastAsia="Arial" w:hAnsi="Verdana" w:cs="Arial"/>
          <w:sz w:val="22"/>
          <w:szCs w:val="22"/>
          <w:lang w:eastAsia="en-US"/>
        </w:rPr>
      </w:pPr>
    </w:p>
    <w:p w14:paraId="3C0882F0" w14:textId="77777777" w:rsidR="00AB397A" w:rsidRPr="00AB397A" w:rsidRDefault="00AB397A" w:rsidP="00AB397A">
      <w:pPr>
        <w:widowControl w:val="0"/>
        <w:autoSpaceDE w:val="0"/>
        <w:autoSpaceDN w:val="0"/>
        <w:spacing w:after="120" w:line="276" w:lineRule="auto"/>
        <w:ind w:firstLine="709"/>
        <w:jc w:val="both"/>
        <w:rPr>
          <w:rFonts w:ascii="Verdana" w:eastAsia="Arial" w:hAnsi="Verdana" w:cs="Arial"/>
          <w:sz w:val="22"/>
          <w:szCs w:val="22"/>
          <w:lang w:eastAsia="en-US"/>
        </w:rPr>
      </w:pPr>
      <w:bookmarkStart w:id="3" w:name="_Hlk97547857"/>
      <w:r w:rsidRPr="00AB397A">
        <w:rPr>
          <w:rFonts w:ascii="Verdana" w:eastAsia="Arial" w:hAnsi="Verdana" w:cs="Arial"/>
          <w:sz w:val="22"/>
          <w:szCs w:val="22"/>
          <w:lang w:eastAsia="en-US"/>
        </w:rPr>
        <w:t xml:space="preserve">Se observa que la guía expedida por esta Agencia para calcular la capacidad residual señala que el proponente debe allegar, entre otros documentos, los contratos en ejecución y define estos como aquellos contratos que a la fecha de presentación de la oferta obligan al proponente con entidades estatales y con entidades privadas para ejecutar “obras civiles”. </w:t>
      </w:r>
      <w:bookmarkEnd w:id="3"/>
      <w:r w:rsidRPr="00AB397A">
        <w:rPr>
          <w:rFonts w:ascii="Verdana" w:eastAsia="Arial" w:hAnsi="Verdana" w:cs="Arial"/>
          <w:sz w:val="22"/>
          <w:szCs w:val="22"/>
          <w:lang w:eastAsia="en-US"/>
        </w:rPr>
        <w:t>Así las cosas, es claro que la regulación existente en materia de capacidad residual establece que, para el cálculo de esta, el oferente debe allegar, entre otros documentos, el listado de los contratos en ejecución, concretamente, de obras civiles. En este sentido, dicha Guía expone que el proponente debe presentar un certificado suscrito por su representante legal y su revisor fiscal, si el proponente está obligado a tenerlo, o por el Contador Público o auditor independiente, para lo cual se recomienda el formato establecido en el Anexo 3 de la presente Guía</w:t>
      </w:r>
      <w:r w:rsidRPr="00AB397A">
        <w:rPr>
          <w:rFonts w:ascii="Verdana" w:eastAsia="Arial" w:hAnsi="Verdana" w:cs="Arial"/>
          <w:sz w:val="22"/>
          <w:szCs w:val="22"/>
          <w:vertAlign w:val="superscript"/>
          <w:lang w:eastAsia="en-US"/>
        </w:rPr>
        <w:footnoteReference w:id="2"/>
      </w:r>
      <w:r w:rsidRPr="00AB397A">
        <w:rPr>
          <w:rFonts w:ascii="Verdana" w:eastAsia="Arial" w:hAnsi="Verdana" w:cs="Arial"/>
          <w:sz w:val="22"/>
          <w:szCs w:val="22"/>
          <w:lang w:eastAsia="en-US"/>
        </w:rPr>
        <w:t xml:space="preserve">. </w:t>
      </w:r>
    </w:p>
    <w:p w14:paraId="2D9408DB" w14:textId="77777777" w:rsidR="00AB397A" w:rsidRPr="00AB397A" w:rsidRDefault="00AB397A" w:rsidP="00AB397A">
      <w:pPr>
        <w:widowControl w:val="0"/>
        <w:autoSpaceDE w:val="0"/>
        <w:autoSpaceDN w:val="0"/>
        <w:spacing w:after="120" w:line="276" w:lineRule="auto"/>
        <w:ind w:firstLine="709"/>
        <w:jc w:val="both"/>
        <w:rPr>
          <w:rFonts w:ascii="Verdana" w:eastAsia="Arial" w:hAnsi="Verdana" w:cs="Arial"/>
          <w:sz w:val="22"/>
          <w:szCs w:val="22"/>
          <w:lang w:eastAsia="en-US"/>
        </w:rPr>
      </w:pPr>
      <w:r w:rsidRPr="00AB397A">
        <w:rPr>
          <w:rFonts w:ascii="Verdana" w:eastAsia="Arial" w:hAnsi="Verdana" w:cs="Arial"/>
          <w:sz w:val="22"/>
          <w:szCs w:val="22"/>
          <w:lang w:eastAsia="en-US"/>
        </w:rPr>
        <w:t>Según la Guía en mención, dicho certificado debe contener la lista de los Contratos en Ejecución a nivel nacional como internacional, en la que se indique: a) El valor del contrato en pesos colombianos; b) El plazo de ejecución del contrato en meses; c) La fecha de inicio de las obras objeto del contrato: día, mes, año; d) Si la obra la ejecuta un consorcio o unión temporal, el porcentaje de participación del oferente que presenta el certificado; e) Si el contrato está suspendido, y si es así, la fecha de suspensión</w:t>
      </w:r>
      <w:r w:rsidRPr="00AB397A">
        <w:rPr>
          <w:rFonts w:ascii="Verdana" w:eastAsia="Arial" w:hAnsi="Verdana" w:cs="Arial"/>
          <w:sz w:val="22"/>
          <w:szCs w:val="22"/>
          <w:vertAlign w:val="superscript"/>
          <w:lang w:eastAsia="en-US"/>
        </w:rPr>
        <w:footnoteReference w:id="3"/>
      </w:r>
      <w:r w:rsidRPr="00AB397A">
        <w:rPr>
          <w:rFonts w:ascii="Verdana" w:eastAsia="Arial" w:hAnsi="Verdana" w:cs="Arial"/>
          <w:sz w:val="22"/>
          <w:szCs w:val="22"/>
          <w:lang w:eastAsia="en-US"/>
        </w:rPr>
        <w:t xml:space="preserve">. En todo caso, si el contrato está suspendido el proponente debe informar el saldo pendiente de ejecución. </w:t>
      </w:r>
    </w:p>
    <w:p w14:paraId="232480F8" w14:textId="77777777" w:rsidR="00AB397A" w:rsidRPr="00AB397A" w:rsidRDefault="00AB397A" w:rsidP="00AB397A">
      <w:pPr>
        <w:widowControl w:val="0"/>
        <w:autoSpaceDE w:val="0"/>
        <w:autoSpaceDN w:val="0"/>
        <w:spacing w:after="120" w:line="276" w:lineRule="auto"/>
        <w:ind w:firstLine="709"/>
        <w:jc w:val="both"/>
        <w:rPr>
          <w:rFonts w:ascii="Verdana" w:eastAsia="Arial" w:hAnsi="Verdana" w:cs="Arial"/>
          <w:sz w:val="22"/>
          <w:szCs w:val="22"/>
          <w:lang w:eastAsia="en-US"/>
        </w:rPr>
      </w:pPr>
      <w:r w:rsidRPr="00AB397A">
        <w:rPr>
          <w:rFonts w:ascii="Verdana" w:eastAsia="Arial" w:hAnsi="Verdana" w:cs="Arial"/>
          <w:sz w:val="22"/>
          <w:szCs w:val="22"/>
          <w:lang w:eastAsia="en-US"/>
        </w:rPr>
        <w:t>Se destaca que el Decreto 1082 de 2015 en su artículo 2.2.1.1.1.6.4.</w:t>
      </w:r>
      <w:r w:rsidRPr="00AB397A">
        <w:rPr>
          <w:rFonts w:ascii="Verdana" w:eastAsia="Arial" w:hAnsi="Verdana" w:cs="Arial"/>
          <w:sz w:val="22"/>
          <w:szCs w:val="22"/>
          <w:vertAlign w:val="superscript"/>
          <w:lang w:eastAsia="en-US"/>
        </w:rPr>
        <w:footnoteReference w:id="4"/>
      </w:r>
      <w:r w:rsidRPr="00AB397A">
        <w:rPr>
          <w:rFonts w:ascii="Verdana" w:eastAsia="Arial" w:hAnsi="Verdana" w:cs="Arial"/>
          <w:sz w:val="22"/>
          <w:szCs w:val="22"/>
          <w:lang w:eastAsia="en-US"/>
        </w:rPr>
        <w:t xml:space="preserve"> a </w:t>
      </w:r>
      <w:r w:rsidRPr="00AB397A">
        <w:rPr>
          <w:rFonts w:ascii="Verdana" w:eastAsia="Arial" w:hAnsi="Verdana" w:cs="Arial"/>
          <w:sz w:val="22"/>
          <w:szCs w:val="22"/>
          <w:lang w:eastAsia="en-US"/>
        </w:rPr>
        <w:lastRenderedPageBreak/>
        <w:t xml:space="preserve">los contratos para ejecutar obras civiles, ya sea que fueron celebrados con entidades estatales o con particulares, incluyendo a los contratos de contratos de concesión y contratos de obra suscritos con concesionarios. Su finalidad reside en que la capacidad del contratista para ejecutar obras impacta los contratos públicos y los privados.  </w:t>
      </w:r>
    </w:p>
    <w:p w14:paraId="4A74618A" w14:textId="77777777" w:rsidR="00AB397A" w:rsidRPr="00AB397A" w:rsidRDefault="00AB397A" w:rsidP="00AB397A">
      <w:pPr>
        <w:widowControl w:val="0"/>
        <w:autoSpaceDE w:val="0"/>
        <w:autoSpaceDN w:val="0"/>
        <w:spacing w:line="276" w:lineRule="auto"/>
        <w:ind w:firstLine="709"/>
        <w:jc w:val="both"/>
        <w:rPr>
          <w:rFonts w:ascii="Verdana" w:eastAsia="Arial" w:hAnsi="Verdana" w:cs="Arial"/>
          <w:sz w:val="22"/>
          <w:szCs w:val="22"/>
          <w:lang w:eastAsia="en-US"/>
        </w:rPr>
      </w:pPr>
      <w:r w:rsidRPr="00AB397A">
        <w:rPr>
          <w:rFonts w:ascii="Verdana" w:eastAsia="Arial" w:hAnsi="Verdana" w:cs="Arial"/>
          <w:sz w:val="22"/>
          <w:szCs w:val="22"/>
          <w:lang w:eastAsia="en-US"/>
        </w:rPr>
        <w:t xml:space="preserve">Ahora bien, si el proponente no tiene contratos en ejecución, dicha circunstancia debe constar de forma expresa en el certificado. Así mismo, es importante tener presente que no se tendrá como Contratos en Ejecución a aquellos que están en etapa de liquidación o ya fueron liquidados, puesto que estos no se constatan obligaciones vigentes que comprometan la capacidad operativa del proponente. </w:t>
      </w:r>
    </w:p>
    <w:p w14:paraId="6DCED4DB" w14:textId="77777777" w:rsidR="00AB397A" w:rsidRPr="00AB397A" w:rsidRDefault="00AB397A" w:rsidP="00AB397A">
      <w:pPr>
        <w:spacing w:line="276" w:lineRule="auto"/>
        <w:jc w:val="both"/>
        <w:rPr>
          <w:rFonts w:ascii="Verdana" w:eastAsia="Calibri" w:hAnsi="Verdana"/>
          <w:sz w:val="22"/>
          <w:szCs w:val="22"/>
          <w:lang w:eastAsia="en-US"/>
        </w:rPr>
      </w:pPr>
    </w:p>
    <w:p w14:paraId="32C8BAB7" w14:textId="77777777" w:rsidR="00AB397A" w:rsidRPr="00AB397A" w:rsidRDefault="00AB397A" w:rsidP="00AB397A">
      <w:pPr>
        <w:spacing w:after="120" w:line="276" w:lineRule="auto"/>
        <w:jc w:val="both"/>
        <w:rPr>
          <w:rFonts w:ascii="Verdana" w:eastAsia="Calibri" w:hAnsi="Verdana"/>
          <w:sz w:val="22"/>
          <w:szCs w:val="22"/>
          <w:lang w:eastAsia="en-US"/>
        </w:rPr>
      </w:pPr>
      <w:proofErr w:type="spellStart"/>
      <w:r w:rsidRPr="00AB397A">
        <w:rPr>
          <w:rFonts w:ascii="Verdana" w:eastAsia="Calibri" w:hAnsi="Verdana"/>
          <w:sz w:val="22"/>
          <w:szCs w:val="22"/>
          <w:lang w:eastAsia="en-US"/>
        </w:rPr>
        <w:t>iii</w:t>
      </w:r>
      <w:proofErr w:type="spellEnd"/>
      <w:r w:rsidRPr="00AB397A">
        <w:rPr>
          <w:rFonts w:ascii="Verdana" w:eastAsia="Calibri" w:hAnsi="Verdana"/>
          <w:sz w:val="22"/>
          <w:szCs w:val="22"/>
          <w:lang w:eastAsia="en-US"/>
        </w:rPr>
        <w:t xml:space="preserve">. La Capacidad Residual es un requisito habilitante que está sujeto a la posibilidad de solicitarle aclaración, con el fin de esclarecer dudas sobre aspectos de la información presentada por el proponente y, de igual forma, está sujeta a la posibilidad de subsanar la ausencia de requisitos, siempre que se cumpla con los límites temporales y materiales,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59AFBA59" w14:textId="77777777" w:rsidR="00AB397A" w:rsidRPr="00AB397A" w:rsidRDefault="00AB397A" w:rsidP="00AB397A">
      <w:pPr>
        <w:spacing w:after="120" w:line="276" w:lineRule="auto"/>
        <w:ind w:firstLine="709"/>
        <w:jc w:val="both"/>
        <w:rPr>
          <w:rFonts w:ascii="Verdana" w:eastAsia="Calibri" w:hAnsi="Verdana"/>
          <w:sz w:val="22"/>
          <w:szCs w:val="22"/>
          <w:lang w:eastAsia="en-US"/>
        </w:rPr>
      </w:pPr>
      <w:r w:rsidRPr="00AB397A">
        <w:rPr>
          <w:rFonts w:ascii="Verdana" w:eastAsia="Calibri" w:hAnsi="Verdana"/>
          <w:sz w:val="22"/>
          <w:szCs w:val="22"/>
          <w:lang w:eastAsia="en-US"/>
        </w:rPr>
        <w:t xml:space="preserve">Es importante indicar que, la Capacidad Residual de contratación únicamente es exigido para los contratos de obra pública; por lo tanto, en los Documentos del Proceso de obra pública, la Entidad Estatal debe establecer un requisito adicional a los requisitos habilitantes como lo es la Capacidad Residual </w:t>
      </w:r>
      <w:r w:rsidRPr="00AB397A">
        <w:rPr>
          <w:rFonts w:ascii="Verdana" w:eastAsia="Calibri" w:hAnsi="Verdana"/>
          <w:sz w:val="22"/>
          <w:szCs w:val="22"/>
          <w:lang w:eastAsia="en-US"/>
        </w:rPr>
        <w:lastRenderedPageBreak/>
        <w:t xml:space="preserve">o K de Contratación, la cual deben cumplir los interesados en participar en un Proceso de Contratación.   </w:t>
      </w:r>
    </w:p>
    <w:p w14:paraId="458CC731"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sz w:val="22"/>
          <w:szCs w:val="22"/>
          <w:lang w:eastAsia="en-US"/>
        </w:rPr>
        <w:t>De esta manera las entidades estatales deberán establecer en los documentos del proceso la forma en la cual los proponentes deben acreditar los indicadores exigidos que no están incluidos en el RUP, así como lo dispone la Guía para determinar y verificar los requisitos habilitantes en los procesos de contratación expedida por la Agencia Nacional de Contratación Pública – Colombia Compra Eficiente</w:t>
      </w:r>
      <w:r w:rsidRPr="00AB397A">
        <w:rPr>
          <w:rFonts w:ascii="Verdana" w:eastAsia="Calibri" w:hAnsi="Verdana"/>
          <w:sz w:val="22"/>
          <w:szCs w:val="22"/>
          <w:vertAlign w:val="superscript"/>
          <w:lang w:eastAsia="en-US"/>
        </w:rPr>
        <w:footnoteReference w:id="5"/>
      </w:r>
      <w:r w:rsidRPr="00AB397A">
        <w:rPr>
          <w:rFonts w:ascii="Verdana" w:eastAsia="Calibri" w:hAnsi="Verdana"/>
          <w:sz w:val="22"/>
          <w:szCs w:val="22"/>
          <w:lang w:eastAsia="en-US"/>
        </w:rPr>
        <w:t xml:space="preserv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w:t>
      </w:r>
      <w:r w:rsidRPr="00AB397A">
        <w:rPr>
          <w:rFonts w:ascii="Verdana" w:eastAsia="Calibri" w:hAnsi="Verdana" w:cs="Arial"/>
          <w:sz w:val="22"/>
          <w:szCs w:val="22"/>
          <w:lang w:eastAsia="en-US"/>
        </w:rPr>
        <w:t>y allegar toda información ordenada, en los términos y la forma en que hayan sido señalados, con el fin de que la entidad pueda calcular la Capacidad Residual del proponente y verificar si cumple o no con la requerida en el Proceso de Contratación que adelanta.</w:t>
      </w:r>
      <w:bookmarkEnd w:id="2"/>
    </w:p>
    <w:p w14:paraId="44C27AFE" w14:textId="77777777" w:rsidR="00AB397A" w:rsidRPr="00AB397A" w:rsidRDefault="00AB397A" w:rsidP="00AB397A">
      <w:pPr>
        <w:spacing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Ahora bien, de acuerdo con la Guía de la Agencia la Capacidad Residual del Proponente plural es la suma de la Capacidad Residual de cada uno de sus miembros, sin tener en cuenta el porcentaje de participación de los miembros o integrantes de la estructura plural. En caso de ser negativa la Capacidad Residual de uno de los miembros, este valor se restará de la capacidad residual total del proponente plural</w:t>
      </w:r>
      <w:r w:rsidRPr="00AB397A">
        <w:rPr>
          <w:rFonts w:ascii="Verdana" w:eastAsia="Calibri" w:hAnsi="Verdana" w:cs="Arial"/>
          <w:sz w:val="22"/>
          <w:szCs w:val="22"/>
          <w:vertAlign w:val="superscript"/>
          <w:lang w:eastAsia="en-US"/>
        </w:rPr>
        <w:footnoteReference w:id="6"/>
      </w:r>
      <w:r w:rsidRPr="00AB397A">
        <w:rPr>
          <w:rFonts w:ascii="Verdana" w:eastAsia="Calibri" w:hAnsi="Verdana" w:cs="Arial"/>
          <w:sz w:val="22"/>
          <w:szCs w:val="22"/>
          <w:lang w:eastAsia="en-US"/>
        </w:rPr>
        <w:t xml:space="preserve">. La Capacidad Residual de un proponente plural corresponde a la suma de la Capacidad Residual de cada uno de sus integrantes, es decir:  </w:t>
      </w:r>
    </w:p>
    <w:p w14:paraId="73F53418" w14:textId="77777777" w:rsidR="00AB397A" w:rsidRPr="00AB397A" w:rsidRDefault="00AB397A" w:rsidP="00AB397A">
      <w:pPr>
        <w:spacing w:line="276" w:lineRule="auto"/>
        <w:ind w:firstLine="709"/>
        <w:jc w:val="both"/>
        <w:rPr>
          <w:rFonts w:ascii="Verdana" w:eastAsia="Calibri" w:hAnsi="Verdana" w:cs="Arial"/>
          <w:sz w:val="22"/>
          <w:szCs w:val="22"/>
          <w:lang w:eastAsia="en-US"/>
        </w:rPr>
      </w:pPr>
    </w:p>
    <w:p w14:paraId="20DC640C" w14:textId="77777777" w:rsidR="00AB397A" w:rsidRPr="00AB397A" w:rsidRDefault="00AB397A" w:rsidP="00AB397A">
      <w:pPr>
        <w:spacing w:line="276" w:lineRule="auto"/>
        <w:ind w:firstLine="709"/>
        <w:jc w:val="both"/>
        <w:rPr>
          <w:rFonts w:ascii="Cambria Math" w:eastAsia="Calibri" w:hAnsi="Cambria Math" w:cs="Cambria Math"/>
          <w:sz w:val="22"/>
          <w:szCs w:val="22"/>
          <w:lang w:eastAsia="en-US"/>
        </w:rPr>
      </w:pPr>
      <w:r w:rsidRPr="00AB397A">
        <w:rPr>
          <w:rFonts w:ascii="Cambria Math" w:eastAsia="Calibri" w:hAnsi="Cambria Math" w:cs="Cambria Math"/>
          <w:sz w:val="22"/>
          <w:szCs w:val="22"/>
          <w:lang w:eastAsia="en-US"/>
        </w:rPr>
        <w:t>𝑪𝒂𝒑𝒂𝒄𝒊𝒅𝒂𝒅</w:t>
      </w:r>
      <w:r w:rsidRPr="00AB397A">
        <w:rPr>
          <w:rFonts w:ascii="Verdana" w:eastAsia="Calibri" w:hAnsi="Verdana" w:cs="Arial"/>
          <w:sz w:val="22"/>
          <w:szCs w:val="22"/>
          <w:lang w:eastAsia="en-US"/>
        </w:rPr>
        <w:t xml:space="preserve"> </w:t>
      </w:r>
      <w:r w:rsidRPr="00AB397A">
        <w:rPr>
          <w:rFonts w:ascii="Cambria Math" w:eastAsia="Calibri" w:hAnsi="Cambria Math" w:cs="Cambria Math"/>
          <w:sz w:val="22"/>
          <w:szCs w:val="22"/>
          <w:lang w:eastAsia="en-US"/>
        </w:rPr>
        <w:t>𝑹𝒆𝒔𝒊𝒅𝒖𝒂𝒍</w:t>
      </w:r>
      <w:r w:rsidRPr="00AB397A">
        <w:rPr>
          <w:rFonts w:ascii="Verdana" w:eastAsia="Calibri" w:hAnsi="Verdana" w:cs="Arial"/>
          <w:sz w:val="22"/>
          <w:szCs w:val="22"/>
          <w:lang w:eastAsia="en-US"/>
        </w:rPr>
        <w:t xml:space="preserve"> = </w:t>
      </w:r>
      <w:r w:rsidRPr="00AB397A">
        <w:rPr>
          <w:rFonts w:ascii="Cambria Math" w:eastAsia="Calibri" w:hAnsi="Cambria Math" w:cs="Cambria Math"/>
          <w:sz w:val="22"/>
          <w:szCs w:val="22"/>
          <w:lang w:eastAsia="en-US"/>
        </w:rPr>
        <w:t>𝐶𝑎𝑝𝑎𝑐𝑖𝑑𝑎𝑑</w:t>
      </w:r>
      <w:r w:rsidRPr="00AB397A">
        <w:rPr>
          <w:rFonts w:ascii="Verdana" w:eastAsia="Calibri" w:hAnsi="Verdana" w:cs="Arial"/>
          <w:sz w:val="22"/>
          <w:szCs w:val="22"/>
          <w:lang w:eastAsia="en-US"/>
        </w:rPr>
        <w:t xml:space="preserve"> </w:t>
      </w:r>
      <w:r w:rsidRPr="00AB397A">
        <w:rPr>
          <w:rFonts w:ascii="Cambria Math" w:eastAsia="Calibri" w:hAnsi="Cambria Math" w:cs="Cambria Math"/>
          <w:sz w:val="22"/>
          <w:szCs w:val="22"/>
          <w:lang w:eastAsia="en-US"/>
        </w:rPr>
        <w:t>𝑅𝑒𝑠𝑖𝑑𝑢𝑎𝑙𝐼𝑛𝑡𝑒𝑔𝑟𝑎𝑛𝑡𝑒</w:t>
      </w:r>
      <w:r w:rsidRPr="00AB397A">
        <w:rPr>
          <w:rFonts w:ascii="Verdana" w:eastAsia="Calibri" w:hAnsi="Verdana" w:cs="Arial"/>
          <w:sz w:val="22"/>
          <w:szCs w:val="22"/>
          <w:lang w:eastAsia="en-US"/>
        </w:rPr>
        <w:t xml:space="preserve"> 1 +</w:t>
      </w:r>
      <w:r w:rsidRPr="00AB397A">
        <w:rPr>
          <w:rFonts w:ascii="Cambria Math" w:eastAsia="Calibri" w:hAnsi="Cambria Math" w:cs="Cambria Math"/>
          <w:sz w:val="22"/>
          <w:szCs w:val="22"/>
          <w:lang w:eastAsia="en-US"/>
        </w:rPr>
        <w:t>⋯</w:t>
      </w:r>
      <w:r w:rsidRPr="00AB397A">
        <w:rPr>
          <w:rFonts w:ascii="Verdana" w:eastAsia="Calibri" w:hAnsi="Verdana" w:cs="Arial"/>
          <w:sz w:val="22"/>
          <w:szCs w:val="22"/>
          <w:lang w:eastAsia="en-US"/>
        </w:rPr>
        <w:t xml:space="preserve">+ </w:t>
      </w:r>
      <w:r w:rsidRPr="00AB397A">
        <w:rPr>
          <w:rFonts w:ascii="Cambria Math" w:eastAsia="Calibri" w:hAnsi="Cambria Math" w:cs="Cambria Math"/>
          <w:sz w:val="22"/>
          <w:szCs w:val="22"/>
          <w:lang w:eastAsia="en-US"/>
        </w:rPr>
        <w:t>𝐶𝑎𝑝𝑎𝑐𝑖𝑑𝑎𝑑</w:t>
      </w:r>
      <w:r w:rsidRPr="00AB397A">
        <w:rPr>
          <w:rFonts w:ascii="Verdana" w:eastAsia="Calibri" w:hAnsi="Verdana" w:cs="Arial"/>
          <w:sz w:val="22"/>
          <w:szCs w:val="22"/>
          <w:lang w:eastAsia="en-US"/>
        </w:rPr>
        <w:t xml:space="preserve"> </w:t>
      </w:r>
      <w:r w:rsidRPr="00AB397A">
        <w:rPr>
          <w:rFonts w:ascii="Cambria Math" w:eastAsia="Calibri" w:hAnsi="Cambria Math" w:cs="Cambria Math"/>
          <w:sz w:val="22"/>
          <w:szCs w:val="22"/>
          <w:lang w:eastAsia="en-US"/>
        </w:rPr>
        <w:t>𝑅𝑒𝑠𝑖𝑑𝑢𝑎𝑙𝐼𝑛𝑡𝑒𝑔𝑟𝑎𝑛𝑡𝑒</w:t>
      </w:r>
      <w:r w:rsidRPr="00AB397A">
        <w:rPr>
          <w:rFonts w:ascii="Verdana" w:eastAsia="Calibri" w:hAnsi="Verdana" w:cs="Arial"/>
          <w:sz w:val="22"/>
          <w:szCs w:val="22"/>
          <w:lang w:eastAsia="en-US"/>
        </w:rPr>
        <w:t xml:space="preserve"> </w:t>
      </w:r>
      <w:r w:rsidRPr="00AB397A">
        <w:rPr>
          <w:rFonts w:ascii="Cambria Math" w:eastAsia="Calibri" w:hAnsi="Cambria Math" w:cs="Cambria Math"/>
          <w:sz w:val="22"/>
          <w:szCs w:val="22"/>
          <w:lang w:eastAsia="en-US"/>
        </w:rPr>
        <w:t>𝑛</w:t>
      </w:r>
      <w:r w:rsidRPr="00AB397A">
        <w:rPr>
          <w:rFonts w:ascii="Cambria Math" w:eastAsia="Calibri" w:hAnsi="Cambria Math" w:cs="Cambria Math"/>
          <w:sz w:val="22"/>
          <w:szCs w:val="22"/>
          <w:vertAlign w:val="superscript"/>
          <w:lang w:eastAsia="en-US"/>
        </w:rPr>
        <w:footnoteReference w:id="7"/>
      </w:r>
    </w:p>
    <w:p w14:paraId="41F6E66B" w14:textId="77777777" w:rsidR="00AB397A" w:rsidRPr="00AB397A" w:rsidRDefault="00AB397A" w:rsidP="00AB397A">
      <w:pPr>
        <w:spacing w:line="276" w:lineRule="auto"/>
        <w:ind w:firstLine="709"/>
        <w:jc w:val="both"/>
        <w:rPr>
          <w:rFonts w:ascii="Cambria Math" w:eastAsia="Calibri" w:hAnsi="Cambria Math" w:cs="Cambria Math"/>
          <w:sz w:val="22"/>
          <w:szCs w:val="22"/>
          <w:lang w:eastAsia="en-US"/>
        </w:rPr>
      </w:pPr>
    </w:p>
    <w:p w14:paraId="37F26A58"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Es importante aclarar que el porcentaje de participación de cada integrante en un proponente plural —sea consorcio o unión temporal— no incide en la sumatoria de la capacidad residual total del oferente. La capacidad residual </w:t>
      </w:r>
      <w:r w:rsidRPr="00AB397A">
        <w:rPr>
          <w:rFonts w:ascii="Verdana" w:eastAsia="Calibri" w:hAnsi="Verdana" w:cs="Arial"/>
          <w:sz w:val="22"/>
          <w:szCs w:val="22"/>
          <w:lang w:eastAsia="en-US"/>
        </w:rPr>
        <w:lastRenderedPageBreak/>
        <w:t xml:space="preserve">se calcula sobre la base de los saldos de contratos en ejecución que cada integrante del proponente plural debe reportar de manera independiente, sin que el porcentaje de participación contractual modifique la obligación de acreditar dichos saldos. En otras palabras, la participación porcentual dentro del consorcio únicamente determina el grado de responsabilidad y la proporción de ejecución frente al contrato específico, pero no altera el método de cálculo de la capacidad residual exigida en los procesos de selección. </w:t>
      </w:r>
    </w:p>
    <w:p w14:paraId="69E672C8" w14:textId="77777777" w:rsidR="00AB397A" w:rsidRPr="00AB397A" w:rsidRDefault="00AB397A" w:rsidP="00AB397A">
      <w:pPr>
        <w:spacing w:after="120" w:line="276" w:lineRule="auto"/>
        <w:ind w:firstLine="709"/>
        <w:jc w:val="both"/>
        <w:rPr>
          <w:rFonts w:ascii="Verdana" w:eastAsia="Calibri" w:hAnsi="Verdana" w:cs="Arial"/>
          <w:sz w:val="22"/>
          <w:szCs w:val="22"/>
          <w:lang w:val="es-ES" w:eastAsia="en-US"/>
        </w:rPr>
      </w:pPr>
      <w:r w:rsidRPr="00AB397A">
        <w:rPr>
          <w:rFonts w:ascii="Verdana" w:eastAsia="Calibri" w:hAnsi="Verdana" w:cs="Arial"/>
          <w:sz w:val="22"/>
          <w:szCs w:val="22"/>
          <w:lang w:eastAsia="en-US"/>
        </w:rPr>
        <w:t xml:space="preserve">Ahora bien, debe tenerse en cuenta la regla del artículo 2.1.1.1.6.4. del Decreto 1082 de 2015, el cual señala la información que debe entregar el proponente interesado en un proceso de contratación para acreditar su Capacidad Residual, de la siguiente forma: </w:t>
      </w:r>
      <w:r w:rsidRPr="00AB397A">
        <w:rPr>
          <w:rFonts w:ascii="Verdana" w:eastAsia="Calibri" w:hAnsi="Verdana" w:cs="Arial"/>
          <w:sz w:val="22"/>
          <w:szCs w:val="22"/>
          <w:lang w:val="es-ES" w:eastAsia="en-US"/>
        </w:rPr>
        <w:t>“El interesado en celebrar contratos de obra pública con Entidades Estatales debe acreditar su Capacidad Residual o K de Contratación con los siguientes documentos: […] 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48CE4111"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Para interpretar este numeral, debe señalarse que se tienen en cuenta los contratos de obras civiles en ejecución no únicamente aquellos celebrados directamente por el proponente, sino también los suscritos en el marco de consorcios, uniones temporales o sociedades con propósito especial en los que este participe. La regla busca garantizar que la medición de la capacidad contractual refleje de manera integral y transparente todos los compromisos vigentes del proponente, tanto individuales como asociativos.</w:t>
      </w:r>
    </w:p>
    <w:p w14:paraId="2BA2FDEC"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Precisada esta regla, se señala que, en relación con la capacidad residual de los proponentes plurales compuesto por personas naturales y jurídicas, es necesario tener en cuenta el inciso primero del artículo 73 del Código Civil que dispone que las personas son naturales o jurídicas. Conforme al artículo 74 ibidem, las primeras corresponden a “[…] todos los individuos de la especie humana, cualquiera que sea su edad, sexo, estirpe o condición”. En contraste, con fundamento en el inciso primero artículo 633 ibidem, las segundas son “[…] una persona ficticia, capaz de ejercer derechos y contraer obligaciones civiles, y de ser representada judicial y extrajudicialmente”. Así mismo, el inciso segundo del artículo 98 del Código de Comercio consagra: “La sociedad, una vez </w:t>
      </w:r>
      <w:r w:rsidRPr="00AB397A">
        <w:rPr>
          <w:rFonts w:ascii="Verdana" w:eastAsia="Calibri" w:hAnsi="Verdana" w:cs="Arial"/>
          <w:sz w:val="22"/>
          <w:szCs w:val="22"/>
          <w:lang w:eastAsia="en-US"/>
        </w:rPr>
        <w:lastRenderedPageBreak/>
        <w:t>constituida legalmente, forma una persona jurídica distinta de los socios individualmente considerados”</w:t>
      </w:r>
    </w:p>
    <w:p w14:paraId="26F40AEC"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En este sentido, la sociedad como persona jurídica es un sujeto independiente dentro del ordenamiento jurídico, con derechos y obligaciones propios, por lo que los saldos de contratos en ejecución que deben reportarse corresponden exclusivamente a los contratos celebrados y ejecutados por esta, sin que puedan confundirse o trasladarse, en principio, sobre los saldos de sus accionistas. Por otro lado, la persona natural debe acreditar únicamente los saldos derivados de los contratos que haya celebrado directamente en su calidad individual, sin que estos se transfieran a la persona jurídica en la que participa como accionista. Esto, sin perjuicio de los contratos que la persona natural o jurídica haya suscrito en el marco de consorcios, uniones temporales o sociedades con propósito especial, en los cuales haya sido partícipe. </w:t>
      </w:r>
    </w:p>
    <w:p w14:paraId="7B53BE72"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De esta manera, la exigencia de reportar los Saldos de Contratos en Ejecución -SCE- debe ser estrictamente independiente para cada sujeto, evitando cualquier traslape o doble contabilización. Cada uno responde por los compromisos contractuales que haya adquirido en virtud de su propia capacidad jurídica, y no es posible que el accionista transfiera sus saldos a la sociedad, ni que la sociedad absorba los saldos de sus accionistas, salvo cuando haya sido participe en consorcios, uniones temporales o sociedades con propósitos especiales. Así pues, este criterio asegura que el cálculo de la capacidad residual refleje de manera clara y precisa las obligaciones en curso de cada participante, preservando los principios de igualdad, proporcionalidad y seguridad jurídica en la contratación estatal. </w:t>
      </w:r>
    </w:p>
    <w:p w14:paraId="56BE1CE4"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Ahora bien, debe precisarse que el Concepto 013 de 2022 que se expone en la consulta se refiere a los contratos en ejecución suscritos por el proponente como aquellos celebrados en el marco de consorcios, uniones temporales o sociedades de propósito especial en las cuales participe el oferente. Es decir, no cualquier tipo de sociedad, sino la que tenga un propósito especial. Esto, está en consonancia a la Guía anterior que expidió la Agencia sobre Capacidad Residual, la cual señaló: “Igualmente, se refiere a los contratos suscritos por el </w:t>
      </w:r>
      <w:r w:rsidRPr="00AB397A">
        <w:rPr>
          <w:rFonts w:ascii="Verdana" w:eastAsia="Calibri" w:hAnsi="Verdana" w:cs="Arial"/>
          <w:sz w:val="22"/>
          <w:szCs w:val="22"/>
          <w:lang w:eastAsia="en-US"/>
        </w:rPr>
        <w:lastRenderedPageBreak/>
        <w:t>proponente como aquellos suscritos por consorcios, uniones temporales o sociedades de propósito especial en las cuales participe el oferente”</w:t>
      </w:r>
      <w:r w:rsidRPr="00AB397A">
        <w:rPr>
          <w:rFonts w:ascii="Verdana" w:eastAsia="Calibri" w:hAnsi="Verdana" w:cs="Arial"/>
          <w:sz w:val="22"/>
          <w:szCs w:val="22"/>
          <w:vertAlign w:val="superscript"/>
          <w:lang w:eastAsia="en-US"/>
        </w:rPr>
        <w:footnoteReference w:id="8"/>
      </w:r>
      <w:r w:rsidRPr="00AB397A">
        <w:rPr>
          <w:rFonts w:ascii="Verdana" w:eastAsia="Calibri" w:hAnsi="Verdana" w:cs="Arial"/>
          <w:sz w:val="22"/>
          <w:szCs w:val="22"/>
          <w:lang w:eastAsia="en-US"/>
        </w:rPr>
        <w:t>.</w:t>
      </w:r>
    </w:p>
    <w:p w14:paraId="56672BDF" w14:textId="77777777" w:rsidR="00AB397A" w:rsidRPr="00AB397A" w:rsidRDefault="00AB397A" w:rsidP="00AB397A">
      <w:pPr>
        <w:spacing w:after="120"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En este sentido, la capacidad residual se calcula sobre la base de los saldos de contratos en ejecución que cada integrante del proponente plural debe reportar de manera independiente, sin que el porcentaje de participación contractual modifique la obligación de acreditar dichos saldos. En efecto, para dicho cálculo cada persona natural o jurídica que haga parte del proponente plural – Consorcio o Unión Temporal- responde únicamente por los compromisos contractuales que haya adquirido en virtud de su propia capacidad, en las que se podrá tener en cuenta las que celebró en el marco de consorcios, uniones temporales o sociedades de propósito especial. </w:t>
      </w:r>
    </w:p>
    <w:p w14:paraId="4F0AEA12" w14:textId="77777777" w:rsidR="00AB397A" w:rsidRPr="00AB397A" w:rsidRDefault="00AB397A" w:rsidP="00AB397A">
      <w:pPr>
        <w:spacing w:line="276" w:lineRule="auto"/>
        <w:ind w:firstLine="709"/>
        <w:jc w:val="both"/>
        <w:rPr>
          <w:rFonts w:ascii="Verdana" w:eastAsia="Calibri" w:hAnsi="Verdana" w:cs="Arial"/>
          <w:sz w:val="22"/>
          <w:szCs w:val="22"/>
          <w:lang w:eastAsia="en-US"/>
        </w:rPr>
      </w:pPr>
      <w:r w:rsidRPr="00AB397A">
        <w:rPr>
          <w:rFonts w:ascii="Verdana" w:eastAsia="Calibri" w:hAnsi="Verdana" w:cs="Arial"/>
          <w:sz w:val="22"/>
          <w:szCs w:val="22"/>
          <w:lang w:eastAsia="en-US"/>
        </w:rPr>
        <w:t xml:space="preserve">De esta manera, el accionista no transfiere sus saldos a la sociedad, ni la sociedad absorbe los saldos de sus accionistas, pues ello desconocería la autonomía patrimonial de cada sujeto y generaría una distorsión en el cálculo de la capacidad residual. En este aspecto, la interpretación debe atender a los principios de transparencia </w:t>
      </w:r>
      <w:proofErr w:type="spellStart"/>
      <w:r w:rsidRPr="00AB397A">
        <w:rPr>
          <w:rFonts w:ascii="Verdana" w:eastAsia="Calibri" w:hAnsi="Verdana" w:cs="Arial"/>
          <w:sz w:val="22"/>
          <w:szCs w:val="22"/>
          <w:lang w:eastAsia="en-US"/>
        </w:rPr>
        <w:t>y</w:t>
      </w:r>
      <w:proofErr w:type="spellEnd"/>
      <w:r w:rsidRPr="00AB397A">
        <w:rPr>
          <w:rFonts w:ascii="Verdana" w:eastAsia="Calibri" w:hAnsi="Verdana" w:cs="Arial"/>
          <w:sz w:val="22"/>
          <w:szCs w:val="22"/>
          <w:lang w:eastAsia="en-US"/>
        </w:rPr>
        <w:t xml:space="preserve"> igualdad en los procesos de selección pública, razón por la cual debe mantenerse la regla de independencia: cada sujeto responde exclusivamente por los compromisos que le corresponden, de forma separada. Estos saldos se tendrán en cuenta de manera individual para efectos de calcular la Capacidad Residual del Proponente Plural, conforme a lo explicado previamente, garantizando que el resultado refleje con precisión las obligaciones vigentes de cada participante, sin perjuicio de que se tenga en cuenta los contratos en ejecución que haya celebrado en el marco de consorcios, uniones temporales y sociedades con propósitos especiales. </w:t>
      </w:r>
    </w:p>
    <w:p w14:paraId="70C28921" w14:textId="77777777" w:rsidR="00AB397A" w:rsidRPr="00AB397A" w:rsidRDefault="00AB397A" w:rsidP="00AB397A">
      <w:pPr>
        <w:spacing w:line="276" w:lineRule="auto"/>
        <w:ind w:firstLine="709"/>
        <w:jc w:val="both"/>
        <w:rPr>
          <w:rFonts w:ascii="Verdana" w:eastAsia="Calibri" w:hAnsi="Verdana" w:cs="Arial"/>
          <w:sz w:val="22"/>
          <w:szCs w:val="22"/>
          <w:lang w:eastAsia="en-US"/>
        </w:rPr>
      </w:pPr>
    </w:p>
    <w:p w14:paraId="7213B9F6" w14:textId="77777777" w:rsidR="00AB397A" w:rsidRPr="00AB397A" w:rsidRDefault="00AB397A" w:rsidP="00AB397A">
      <w:pPr>
        <w:spacing w:after="120" w:line="276" w:lineRule="auto"/>
        <w:jc w:val="both"/>
        <w:rPr>
          <w:rFonts w:ascii="Verdana" w:eastAsia="Calibri" w:hAnsi="Verdana" w:cs="Arial"/>
          <w:color w:val="000000" w:themeColor="text1"/>
          <w:sz w:val="22"/>
          <w:szCs w:val="22"/>
          <w:lang w:val="es-ES" w:eastAsia="en-US"/>
        </w:rPr>
      </w:pPr>
      <w:proofErr w:type="spellStart"/>
      <w:r w:rsidRPr="00AB397A">
        <w:rPr>
          <w:rFonts w:ascii="Verdana" w:eastAsia="Calibri" w:hAnsi="Verdana" w:cs="Arial"/>
          <w:color w:val="000000" w:themeColor="text1"/>
          <w:sz w:val="22"/>
          <w:szCs w:val="22"/>
          <w:lang w:val="es-ES" w:eastAsia="en-US"/>
        </w:rPr>
        <w:t>iv</w:t>
      </w:r>
      <w:proofErr w:type="spellEnd"/>
      <w:r w:rsidRPr="00AB397A">
        <w:rPr>
          <w:rFonts w:ascii="Verdana" w:eastAsia="Calibri" w:hAnsi="Verdana" w:cs="Arial"/>
          <w:color w:val="000000" w:themeColor="text1"/>
          <w:sz w:val="22"/>
          <w:szCs w:val="22"/>
          <w:lang w:val="es-ES" w:eastAsia="en-US"/>
        </w:rPr>
        <w:t xml:space="preserve">. Al </w:t>
      </w:r>
      <w:r w:rsidRPr="00AB397A">
        <w:rPr>
          <w:rFonts w:ascii="Verdana" w:eastAsiaTheme="minorHAnsi" w:hAnsi="Verdana" w:cs="Arial"/>
          <w:sz w:val="22"/>
          <w:szCs w:val="22"/>
          <w:lang w:val="es-ES_tradnl" w:eastAsia="es-ES"/>
        </w:rPr>
        <w:t xml:space="preserve">margen de la explicación procedente debe advertirse que el análisis requerido para resolver problemas específicos para procesos de contratación de obra pública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AB397A">
        <w:rPr>
          <w:rFonts w:ascii="Verdana" w:eastAsiaTheme="minorHAnsi" w:hAnsi="Verdana" w:cs="Arial"/>
          <w:sz w:val="22"/>
          <w:szCs w:val="22"/>
          <w:lang w:val="es-ES_tradnl" w:eastAsia="es-ES"/>
        </w:rPr>
        <w:lastRenderedPageBreak/>
        <w:t>correspondiente y, en caso de conflicto, a las autoridades judiciales, fiscales y disciplinarias.</w:t>
      </w:r>
    </w:p>
    <w:p w14:paraId="79D1FFAF" w14:textId="77777777" w:rsidR="00AB397A" w:rsidRPr="00AB397A" w:rsidRDefault="00AB397A" w:rsidP="00AB397A">
      <w:pPr>
        <w:spacing w:line="276" w:lineRule="auto"/>
        <w:ind w:firstLine="709"/>
        <w:jc w:val="both"/>
        <w:rPr>
          <w:rFonts w:ascii="Verdana" w:eastAsiaTheme="minorHAnsi" w:hAnsi="Verdana" w:cs="Arial"/>
          <w:sz w:val="22"/>
          <w:szCs w:val="22"/>
          <w:lang w:val="es-ES" w:eastAsia="es-ES"/>
        </w:rPr>
      </w:pPr>
      <w:r w:rsidRPr="00AB397A">
        <w:rPr>
          <w:rFonts w:ascii="Verdana" w:eastAsiaTheme="minorHAnsi" w:hAnsi="Verdana" w:cs="Arial"/>
          <w:sz w:val="22"/>
          <w:szCs w:val="22"/>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84ADD61" w14:textId="77777777" w:rsidR="00AB397A" w:rsidRPr="00AB397A" w:rsidRDefault="00AB397A" w:rsidP="00AB397A">
      <w:pPr>
        <w:tabs>
          <w:tab w:val="left" w:pos="709"/>
        </w:tabs>
        <w:jc w:val="both"/>
        <w:rPr>
          <w:rFonts w:ascii="Verdana" w:eastAsia="Calibri" w:hAnsi="Verdana" w:cs="Arial"/>
          <w:color w:val="000000" w:themeColor="text1"/>
          <w:sz w:val="22"/>
          <w:szCs w:val="22"/>
        </w:rPr>
      </w:pPr>
    </w:p>
    <w:p w14:paraId="3B1B8F01" w14:textId="77777777" w:rsidR="00AB397A" w:rsidRPr="00AB397A" w:rsidRDefault="00AB397A" w:rsidP="00AB397A">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AB397A">
        <w:rPr>
          <w:rFonts w:ascii="Verdana" w:eastAsia="Century Gothic" w:hAnsi="Verdana" w:cs="Century Gothic"/>
          <w:b/>
          <w:bCs/>
          <w:sz w:val="22"/>
          <w:szCs w:val="22"/>
          <w:lang w:val="es-ES"/>
        </w:rPr>
        <w:t>Referencias normativas:</w:t>
      </w:r>
    </w:p>
    <w:p w14:paraId="2B49FF1E" w14:textId="77777777" w:rsidR="00AB397A" w:rsidRPr="00AB397A" w:rsidRDefault="00AB397A" w:rsidP="00AB397A">
      <w:pPr>
        <w:widowControl w:val="0"/>
        <w:autoSpaceDE w:val="0"/>
        <w:autoSpaceDN w:val="0"/>
        <w:jc w:val="both"/>
        <w:rPr>
          <w:rFonts w:ascii="Verdana" w:hAnsi="Verdana" w:cs="Arial"/>
          <w:sz w:val="22"/>
          <w:szCs w:val="22"/>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397A" w:rsidRPr="00AB397A" w14:paraId="078751FC" w14:textId="77777777" w:rsidTr="001D3405">
        <w:trPr>
          <w:trHeight w:val="56"/>
          <w:jc w:val="center"/>
        </w:trPr>
        <w:tc>
          <w:tcPr>
            <w:tcW w:w="8647" w:type="dxa"/>
          </w:tcPr>
          <w:p w14:paraId="50CCEF00" w14:textId="77777777" w:rsidR="00AB397A" w:rsidRPr="00AB397A" w:rsidRDefault="00AB397A" w:rsidP="00AB397A">
            <w:pPr>
              <w:widowControl w:val="0"/>
              <w:numPr>
                <w:ilvl w:val="0"/>
                <w:numId w:val="17"/>
              </w:numPr>
              <w:autoSpaceDE w:val="0"/>
              <w:autoSpaceDN w:val="0"/>
              <w:spacing w:before="120" w:after="120" w:line="276" w:lineRule="auto"/>
              <w:ind w:left="714" w:hanging="357"/>
              <w:jc w:val="both"/>
              <w:rPr>
                <w:rFonts w:ascii="Verdana" w:eastAsia="Arial MT" w:hAnsi="Verdana" w:cs="Arial"/>
                <w:sz w:val="22"/>
                <w:szCs w:val="22"/>
                <w:lang w:val="es-ES" w:eastAsia="es-ES" w:bidi="es-ES"/>
              </w:rPr>
            </w:pPr>
            <w:r w:rsidRPr="00AB397A">
              <w:rPr>
                <w:rFonts w:ascii="Verdana" w:eastAsia="Arial MT" w:hAnsi="Verdana" w:cs="Arial"/>
                <w:sz w:val="22"/>
                <w:szCs w:val="22"/>
                <w:lang w:val="es-ES" w:eastAsia="es-ES" w:bidi="es-ES"/>
              </w:rPr>
              <w:t>Código Civil, artículos 73, 74 y 633.</w:t>
            </w:r>
          </w:p>
          <w:p w14:paraId="60F9A951" w14:textId="77777777" w:rsidR="00AB397A" w:rsidRPr="00AB397A" w:rsidRDefault="00AB397A" w:rsidP="00AB397A">
            <w:pPr>
              <w:widowControl w:val="0"/>
              <w:numPr>
                <w:ilvl w:val="0"/>
                <w:numId w:val="17"/>
              </w:numPr>
              <w:autoSpaceDE w:val="0"/>
              <w:autoSpaceDN w:val="0"/>
              <w:spacing w:before="120" w:after="120" w:line="276" w:lineRule="auto"/>
              <w:ind w:left="714" w:hanging="357"/>
              <w:jc w:val="both"/>
              <w:rPr>
                <w:rFonts w:ascii="Verdana" w:eastAsia="Arial MT" w:hAnsi="Verdana" w:cs="Arial"/>
                <w:sz w:val="22"/>
                <w:szCs w:val="22"/>
                <w:lang w:val="es-ES" w:eastAsia="es-ES" w:bidi="es-ES"/>
              </w:rPr>
            </w:pPr>
            <w:r w:rsidRPr="00AB397A">
              <w:rPr>
                <w:rFonts w:ascii="Verdana" w:eastAsia="Arial MT" w:hAnsi="Verdana" w:cs="Arial"/>
                <w:sz w:val="22"/>
                <w:szCs w:val="22"/>
                <w:lang w:val="es-ES" w:eastAsia="es-ES" w:bidi="es-ES"/>
              </w:rPr>
              <w:t xml:space="preserve">Código del Comercio, artículo 98.  </w:t>
            </w:r>
          </w:p>
          <w:p w14:paraId="64E16BDB" w14:textId="77777777" w:rsidR="00AB397A" w:rsidRPr="00AB397A" w:rsidRDefault="00AB397A" w:rsidP="00AB397A">
            <w:pPr>
              <w:widowControl w:val="0"/>
              <w:numPr>
                <w:ilvl w:val="0"/>
                <w:numId w:val="17"/>
              </w:numPr>
              <w:autoSpaceDE w:val="0"/>
              <w:autoSpaceDN w:val="0"/>
              <w:spacing w:before="120" w:after="120" w:line="276" w:lineRule="auto"/>
              <w:ind w:left="714" w:hanging="357"/>
              <w:jc w:val="both"/>
              <w:rPr>
                <w:rFonts w:ascii="Verdana" w:eastAsia="Arial MT" w:hAnsi="Verdana" w:cs="Arial"/>
                <w:sz w:val="22"/>
                <w:szCs w:val="22"/>
                <w:lang w:val="es-ES" w:eastAsia="es-ES" w:bidi="es-ES"/>
              </w:rPr>
            </w:pPr>
            <w:r w:rsidRPr="00AB397A">
              <w:rPr>
                <w:rFonts w:ascii="Verdana" w:hAnsi="Verdana" w:cs="Arial"/>
                <w:sz w:val="22"/>
                <w:szCs w:val="22"/>
              </w:rPr>
              <w:t xml:space="preserve"> </w:t>
            </w:r>
            <w:r w:rsidRPr="00AB397A">
              <w:rPr>
                <w:rFonts w:ascii="Verdana" w:eastAsia="Arial MT" w:hAnsi="Verdana" w:cs="Arial"/>
                <w:sz w:val="22"/>
                <w:szCs w:val="22"/>
                <w:lang w:val="es-ES" w:eastAsia="es-ES" w:bidi="es-ES"/>
              </w:rPr>
              <w:t xml:space="preserve">Ley 1150 de 2007, artículo 6. </w:t>
            </w:r>
          </w:p>
          <w:p w14:paraId="36F38BD2" w14:textId="77777777" w:rsidR="00AB397A" w:rsidRPr="00AB397A" w:rsidRDefault="00AB397A" w:rsidP="00AB397A">
            <w:pPr>
              <w:widowControl w:val="0"/>
              <w:numPr>
                <w:ilvl w:val="0"/>
                <w:numId w:val="17"/>
              </w:numPr>
              <w:autoSpaceDE w:val="0"/>
              <w:autoSpaceDN w:val="0"/>
              <w:spacing w:before="120" w:after="120" w:line="276" w:lineRule="auto"/>
              <w:ind w:left="714" w:hanging="357"/>
              <w:jc w:val="both"/>
              <w:rPr>
                <w:rFonts w:ascii="Verdana" w:eastAsia="Arial MT" w:hAnsi="Verdana" w:cs="Arial"/>
                <w:sz w:val="22"/>
                <w:szCs w:val="22"/>
                <w:lang w:val="es-ES" w:eastAsia="es-ES" w:bidi="es-ES"/>
              </w:rPr>
            </w:pPr>
            <w:r w:rsidRPr="00AB397A">
              <w:rPr>
                <w:rFonts w:ascii="Verdana" w:eastAsia="Arial MT" w:hAnsi="Verdana" w:cs="Arial"/>
                <w:sz w:val="22"/>
                <w:szCs w:val="22"/>
                <w:lang w:val="es-ES" w:eastAsia="es-ES" w:bidi="es-ES"/>
              </w:rPr>
              <w:t xml:space="preserve">Ley 1682 de 2013, artículo 72. </w:t>
            </w:r>
          </w:p>
          <w:p w14:paraId="3847DA45" w14:textId="77777777" w:rsidR="00AB397A" w:rsidRPr="00AB397A" w:rsidRDefault="00AB397A" w:rsidP="00AB397A">
            <w:pPr>
              <w:widowControl w:val="0"/>
              <w:numPr>
                <w:ilvl w:val="0"/>
                <w:numId w:val="17"/>
              </w:numPr>
              <w:autoSpaceDE w:val="0"/>
              <w:autoSpaceDN w:val="0"/>
              <w:spacing w:before="120" w:after="120" w:line="276" w:lineRule="auto"/>
              <w:jc w:val="both"/>
              <w:rPr>
                <w:rFonts w:ascii="Verdana" w:eastAsia="Arial MT" w:hAnsi="Verdana" w:cs="Arial"/>
                <w:sz w:val="22"/>
                <w:szCs w:val="22"/>
                <w:lang w:val="es-ES" w:eastAsia="es-ES" w:bidi="es-ES"/>
              </w:rPr>
            </w:pPr>
            <w:r w:rsidRPr="00AB397A">
              <w:rPr>
                <w:rFonts w:ascii="Verdana" w:eastAsia="Arial MT" w:hAnsi="Verdana" w:cs="Arial"/>
                <w:sz w:val="22"/>
                <w:szCs w:val="22"/>
                <w:lang w:val="es-ES" w:eastAsia="es-ES" w:bidi="es-ES"/>
              </w:rPr>
              <w:t xml:space="preserve">Decreto 1082 de 2015, articulo 2.2.1.1.1.3.1., 2.2.1.1.1.6.4. </w:t>
            </w:r>
          </w:p>
          <w:p w14:paraId="378D60E2" w14:textId="77777777" w:rsidR="00AB397A" w:rsidRPr="00AB397A" w:rsidRDefault="00AB397A" w:rsidP="00AB397A">
            <w:pPr>
              <w:widowControl w:val="0"/>
              <w:numPr>
                <w:ilvl w:val="0"/>
                <w:numId w:val="17"/>
              </w:numPr>
              <w:autoSpaceDE w:val="0"/>
              <w:autoSpaceDN w:val="0"/>
              <w:spacing w:before="120" w:after="120" w:line="276" w:lineRule="auto"/>
              <w:jc w:val="both"/>
              <w:rPr>
                <w:rFonts w:ascii="Verdana" w:eastAsia="Arial MT" w:hAnsi="Verdana" w:cs="Arial"/>
                <w:sz w:val="22"/>
                <w:szCs w:val="22"/>
                <w:lang w:val="es-ES" w:eastAsia="es-ES" w:bidi="es-ES"/>
              </w:rPr>
            </w:pPr>
            <w:r w:rsidRPr="00AB397A">
              <w:rPr>
                <w:rFonts w:ascii="Verdana" w:eastAsia="Arial MT" w:hAnsi="Verdana" w:cs="Arial"/>
                <w:sz w:val="22"/>
                <w:szCs w:val="22"/>
                <w:lang w:val="es-ES" w:eastAsia="es-ES" w:bidi="es-ES"/>
              </w:rPr>
              <w:t xml:space="preserve">Agencia Nacional de Contratación Pública –Colombia Compra Eficiente. Guía para Determinar y Verificar la Capacidad Residual del Proponente en los Procesos de Contratación de Obra Pública. Disponible en línea: </w:t>
            </w:r>
            <w:hyperlink r:id="rId14" w:history="1">
              <w:r w:rsidRPr="00AB397A">
                <w:rPr>
                  <w:rFonts w:ascii="Verdana" w:eastAsia="Arial MT" w:hAnsi="Verdana" w:cs="Arial"/>
                  <w:color w:val="0000FF"/>
                  <w:sz w:val="22"/>
                  <w:szCs w:val="22"/>
                  <w:u w:val="single"/>
                  <w:lang w:val="es-ES" w:eastAsia="es-ES" w:bidi="es-ES"/>
                </w:rPr>
                <w:t>https://www.colombiacompra.gov.co/archivos/manual/guia-para-determinar-y-verificar-la-capacidad-residual-del-proponente-en-los-procesos-de-contratacion-de-obra-publica</w:t>
              </w:r>
            </w:hyperlink>
            <w:r w:rsidRPr="00AB397A">
              <w:rPr>
                <w:rFonts w:ascii="Verdana" w:eastAsia="Arial MT" w:hAnsi="Verdana" w:cs="Arial"/>
                <w:sz w:val="22"/>
                <w:szCs w:val="22"/>
                <w:lang w:val="es-ES" w:eastAsia="es-ES" w:bidi="es-ES"/>
              </w:rPr>
              <w:t xml:space="preserve">. 2023.  </w:t>
            </w:r>
          </w:p>
          <w:p w14:paraId="45CA9372" w14:textId="77777777" w:rsidR="00AB397A" w:rsidRPr="00AB397A" w:rsidRDefault="00AB397A" w:rsidP="00AB397A">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AB397A">
              <w:rPr>
                <w:rFonts w:ascii="Verdana" w:eastAsia="Arial MT" w:hAnsi="Verdana" w:cs="Arial"/>
                <w:sz w:val="22"/>
                <w:szCs w:val="22"/>
                <w:lang w:val="es-ES" w:eastAsia="es-ES" w:bidi="es-ES"/>
              </w:rPr>
              <w:t xml:space="preserve">Agencia Nacional de Contratación Pública -Colombia Compra Eficiente. Manual para determinar y verificar Los Requisitos Habilitantes en los Procesos de Contratación  </w:t>
            </w:r>
            <w:hyperlink r:id="rId15" w:history="1">
              <w:r w:rsidRPr="00AB397A">
                <w:rPr>
                  <w:rFonts w:ascii="Verdana" w:eastAsia="Arial MT" w:hAnsi="Verdana" w:cs="Arial"/>
                  <w:color w:val="0000FF"/>
                  <w:sz w:val="22"/>
                  <w:szCs w:val="22"/>
                  <w:u w:val="single"/>
                  <w:lang w:val="es-ES" w:eastAsia="es-ES" w:bidi="es-ES"/>
                </w:rPr>
                <w:t>https://www.colombiacompra.gov.co/archivos/manual/manual-para-determinar-y-verificar-los-requisitos-habilitantes-en-los-procesos-de-contratacion</w:t>
              </w:r>
            </w:hyperlink>
            <w:r w:rsidRPr="00AB397A">
              <w:rPr>
                <w:rFonts w:ascii="Verdana" w:eastAsia="Arial MT" w:hAnsi="Verdana" w:cs="Arial"/>
                <w:sz w:val="22"/>
                <w:szCs w:val="22"/>
                <w:lang w:val="es-ES" w:eastAsia="es-ES" w:bidi="es-ES"/>
              </w:rPr>
              <w:t>. 2023.</w:t>
            </w:r>
          </w:p>
        </w:tc>
      </w:tr>
    </w:tbl>
    <w:p w14:paraId="6D60F4A7" w14:textId="77777777" w:rsidR="00AB397A" w:rsidRPr="00AB397A" w:rsidRDefault="00AB397A" w:rsidP="00AB397A">
      <w:pPr>
        <w:widowControl w:val="0"/>
        <w:autoSpaceDE w:val="0"/>
        <w:autoSpaceDN w:val="0"/>
        <w:jc w:val="both"/>
        <w:rPr>
          <w:rFonts w:ascii="Verdana" w:hAnsi="Verdana" w:cs="Arial"/>
          <w:sz w:val="22"/>
          <w:szCs w:val="22"/>
        </w:rPr>
      </w:pPr>
    </w:p>
    <w:p w14:paraId="3B96AF24" w14:textId="77777777" w:rsidR="00AB397A" w:rsidRPr="00AB397A" w:rsidRDefault="00AB397A" w:rsidP="00AB397A">
      <w:pPr>
        <w:numPr>
          <w:ilvl w:val="0"/>
          <w:numId w:val="16"/>
        </w:numPr>
        <w:tabs>
          <w:tab w:val="left" w:pos="142"/>
          <w:tab w:val="left" w:pos="284"/>
        </w:tabs>
        <w:spacing w:after="160" w:line="276" w:lineRule="auto"/>
        <w:jc w:val="both"/>
        <w:rPr>
          <w:rFonts w:ascii="Verdana" w:eastAsia="Century Gothic" w:hAnsi="Verdana" w:cs="Century Gothic"/>
          <w:b/>
          <w:bCs/>
          <w:sz w:val="22"/>
          <w:szCs w:val="22"/>
          <w:lang w:val="es-ES"/>
        </w:rPr>
      </w:pPr>
      <w:r w:rsidRPr="00AB397A">
        <w:rPr>
          <w:rFonts w:ascii="Verdana" w:eastAsia="Century Gothic" w:hAnsi="Verdana" w:cs="Century Gothic"/>
          <w:b/>
          <w:bCs/>
          <w:sz w:val="22"/>
          <w:szCs w:val="22"/>
          <w:lang w:val="es-ES"/>
        </w:rPr>
        <w:t>Doctrina de la Agencia Nacional de Contratación Pública:</w:t>
      </w:r>
    </w:p>
    <w:p w14:paraId="1EC9D750" w14:textId="77777777" w:rsidR="00AB397A" w:rsidRPr="00AB397A" w:rsidRDefault="00AB397A" w:rsidP="00AB397A">
      <w:pPr>
        <w:widowControl w:val="0"/>
        <w:autoSpaceDE w:val="0"/>
        <w:autoSpaceDN w:val="0"/>
        <w:spacing w:line="276" w:lineRule="auto"/>
        <w:jc w:val="both"/>
        <w:rPr>
          <w:rFonts w:ascii="Verdana" w:hAnsi="Verdana" w:cs="Arial"/>
          <w:color w:val="000000" w:themeColor="text1"/>
          <w:sz w:val="22"/>
          <w:szCs w:val="22"/>
          <w:shd w:val="clear" w:color="auto" w:fill="FFFFFF"/>
        </w:rPr>
      </w:pPr>
    </w:p>
    <w:p w14:paraId="4055ECBB" w14:textId="77777777" w:rsidR="00AB397A" w:rsidRPr="00AB397A" w:rsidRDefault="00AB397A" w:rsidP="00AB397A">
      <w:pPr>
        <w:widowControl w:val="0"/>
        <w:autoSpaceDE w:val="0"/>
        <w:autoSpaceDN w:val="0"/>
        <w:spacing w:line="276" w:lineRule="auto"/>
        <w:jc w:val="both"/>
        <w:rPr>
          <w:rFonts w:ascii="Verdana" w:hAnsi="Verdana" w:cs="Arial"/>
          <w:color w:val="000000" w:themeColor="text1"/>
          <w:sz w:val="22"/>
          <w:szCs w:val="22"/>
          <w:shd w:val="clear" w:color="auto" w:fill="FFFFFF"/>
        </w:rPr>
      </w:pPr>
      <w:r w:rsidRPr="00AB397A">
        <w:rPr>
          <w:rFonts w:ascii="Verdana" w:hAnsi="Verdana" w:cs="Arial"/>
          <w:color w:val="000000" w:themeColor="text1"/>
          <w:sz w:val="22"/>
          <w:szCs w:val="22"/>
          <w:shd w:val="clear" w:color="auto" w:fill="FFFFFF"/>
        </w:rPr>
        <w:t>Esta Subdirección se ha pronunciado sobre la capacidad residual en los conceptos C-438 de 2025, C-486 de 2025, C-619 de 2025, C-1228 de 2025, C-1349 del 28 de octubre de 2025, C-1409 del 13 de noviembre de 2025, C-1795 del 30 de diciembre de 2025,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B67A584" w14:textId="77777777" w:rsidR="00AB397A" w:rsidRPr="00AB397A" w:rsidRDefault="00AB397A" w:rsidP="00AB397A">
      <w:pPr>
        <w:widowControl w:val="0"/>
        <w:autoSpaceDE w:val="0"/>
        <w:autoSpaceDN w:val="0"/>
        <w:spacing w:line="276" w:lineRule="auto"/>
        <w:jc w:val="both"/>
        <w:rPr>
          <w:rFonts w:ascii="Verdana" w:hAnsi="Verdana" w:cs="Arial"/>
          <w:color w:val="000000" w:themeColor="text1"/>
          <w:sz w:val="22"/>
          <w:szCs w:val="22"/>
          <w:shd w:val="clear" w:color="auto" w:fill="FFFFFF"/>
        </w:rPr>
      </w:pPr>
      <w:hyperlink r:id="rId16" w:history="1">
        <w:r w:rsidRPr="00AB397A">
          <w:rPr>
            <w:rFonts w:ascii="Verdana" w:hAnsi="Verdana" w:cs="Arial"/>
            <w:color w:val="0000FF"/>
            <w:sz w:val="22"/>
            <w:szCs w:val="22"/>
            <w:u w:val="single"/>
            <w:shd w:val="clear" w:color="auto" w:fill="FFFFFF"/>
          </w:rPr>
          <w:t>https://relatoria.colombiacompra.gov.co/busqueda/conceptos</w:t>
        </w:r>
      </w:hyperlink>
      <w:r w:rsidRPr="00AB397A">
        <w:rPr>
          <w:rFonts w:ascii="Verdana" w:hAnsi="Verdana" w:cs="Arial"/>
          <w:color w:val="000000" w:themeColor="text1"/>
          <w:sz w:val="22"/>
          <w:szCs w:val="22"/>
          <w:shd w:val="clear" w:color="auto" w:fill="FFFFFF"/>
        </w:rPr>
        <w:t>.</w:t>
      </w:r>
    </w:p>
    <w:p w14:paraId="12457BCB" w14:textId="77777777" w:rsidR="00AB397A" w:rsidRPr="00AB397A" w:rsidRDefault="00AB397A" w:rsidP="00AB397A">
      <w:pPr>
        <w:widowControl w:val="0"/>
        <w:autoSpaceDE w:val="0"/>
        <w:autoSpaceDN w:val="0"/>
        <w:spacing w:line="276" w:lineRule="auto"/>
        <w:jc w:val="both"/>
        <w:rPr>
          <w:rFonts w:ascii="Verdana" w:hAnsi="Verdana" w:cs="Arial"/>
          <w:color w:val="000000" w:themeColor="text1"/>
          <w:sz w:val="22"/>
          <w:szCs w:val="22"/>
          <w:shd w:val="clear" w:color="auto" w:fill="FFFFFF"/>
        </w:rPr>
      </w:pPr>
    </w:p>
    <w:p w14:paraId="0EAACF20" w14:textId="77777777" w:rsidR="00AB397A" w:rsidRPr="00AB397A" w:rsidRDefault="00AB397A" w:rsidP="00AB397A">
      <w:pPr>
        <w:spacing w:line="276" w:lineRule="auto"/>
        <w:jc w:val="both"/>
        <w:rPr>
          <w:rFonts w:ascii="Verdana" w:hAnsi="Verdana"/>
          <w:color w:val="000000"/>
          <w:sz w:val="22"/>
          <w:szCs w:val="22"/>
          <w:lang w:eastAsia="es-MX"/>
        </w:rPr>
      </w:pPr>
      <w:r w:rsidRPr="00AB397A">
        <w:rPr>
          <w:rFonts w:ascii="Verdana" w:hAnsi="Verdana"/>
          <w:color w:val="000000"/>
          <w:sz w:val="22"/>
          <w:szCs w:val="22"/>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B397A">
        <w:rPr>
          <w:rFonts w:ascii="Verdana" w:hAnsi="Verdana"/>
          <w:b/>
          <w:bCs/>
          <w:color w:val="000000"/>
          <w:sz w:val="22"/>
          <w:szCs w:val="22"/>
          <w:lang w:eastAsia="es-MX"/>
        </w:rPr>
        <w:t>Guía para la Exigencia y Constitución de Garantías en los Procesos de Contratación</w:t>
      </w:r>
      <w:r w:rsidRPr="00AB397A">
        <w:rPr>
          <w:rFonts w:ascii="Verdana" w:hAnsi="Verdana"/>
          <w:color w:val="000000"/>
          <w:sz w:val="22"/>
          <w:szCs w:val="22"/>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7" w:tooltip="Original URL:&#10;https://www.colombiacompra.gov.co/archivos/manual/guia-de-garantias-en-procesos-de-contratacion&#10;&#10;Click to follow link." w:history="1">
        <w:r w:rsidRPr="00AB397A">
          <w:rPr>
            <w:rFonts w:ascii="Verdana" w:hAnsi="Verdana"/>
            <w:color w:val="0086F0"/>
            <w:sz w:val="22"/>
            <w:szCs w:val="22"/>
            <w:u w:val="single"/>
            <w:lang w:eastAsia="es-MX"/>
          </w:rPr>
          <w:t>https://www.colombiacompra.gov.co/archivos/manual/guia-de-garantias-en-procesos-de-contratacion</w:t>
        </w:r>
      </w:hyperlink>
    </w:p>
    <w:p w14:paraId="49D8B0D4" w14:textId="77777777" w:rsidR="00AB397A" w:rsidRPr="00AB397A" w:rsidRDefault="00AB397A" w:rsidP="00AB397A">
      <w:pPr>
        <w:spacing w:line="276" w:lineRule="auto"/>
        <w:jc w:val="both"/>
        <w:rPr>
          <w:rFonts w:ascii="Verdana" w:hAnsi="Verdana"/>
          <w:color w:val="000000"/>
          <w:sz w:val="22"/>
          <w:szCs w:val="22"/>
          <w:lang w:eastAsia="es-MX"/>
        </w:rPr>
      </w:pPr>
    </w:p>
    <w:p w14:paraId="19048352" w14:textId="77777777" w:rsidR="00AB397A" w:rsidRPr="00AB397A" w:rsidRDefault="00AB397A" w:rsidP="00AB397A">
      <w:pPr>
        <w:spacing w:line="276" w:lineRule="auto"/>
        <w:jc w:val="both"/>
        <w:rPr>
          <w:rFonts w:ascii="Verdana" w:hAnsi="Verdana"/>
          <w:color w:val="000000"/>
          <w:sz w:val="22"/>
          <w:szCs w:val="22"/>
          <w:lang w:eastAsia="es-MX"/>
        </w:rPr>
      </w:pPr>
      <w:r w:rsidRPr="00AB397A">
        <w:rPr>
          <w:rFonts w:ascii="Verdana" w:hAnsi="Verdana"/>
          <w:color w:val="000000"/>
          <w:sz w:val="22"/>
          <w:szCs w:val="22"/>
          <w:lang w:eastAsia="es-MX"/>
        </w:rPr>
        <w:t>De otro lado, te contamos que el Decreto 287 del 19 de marzo de 2026 sustituyó los artículos 2.2.1.2.4.2.6., 2.2.1.2.4.2.7. y 2.2.1.2.4.2.8. del Decreto 1082 de 2015 y estructuró el </w:t>
      </w:r>
      <w:r w:rsidRPr="00AB397A">
        <w:rPr>
          <w:rFonts w:ascii="Verdana" w:hAnsi="Verdana"/>
          <w:b/>
          <w:bCs/>
          <w:color w:val="000000"/>
          <w:sz w:val="22"/>
          <w:szCs w:val="22"/>
          <w:lang w:eastAsia="es-MX"/>
        </w:rPr>
        <w:t>Sistema Integral de Preferencias en favor de las personas con discapacidad</w:t>
      </w:r>
      <w:r w:rsidRPr="00AB397A">
        <w:rPr>
          <w:rFonts w:ascii="Verdana" w:hAnsi="Verdana"/>
          <w:color w:val="000000"/>
          <w:sz w:val="22"/>
          <w:szCs w:val="22"/>
          <w:lang w:eastAsia="es-MX"/>
        </w:rPr>
        <w:t>, en cumplimiento del artículo 13 de la Ley Estatutaria 1618 de 2013. Para orientar su aplicación, esta Agencia expidió la </w:t>
      </w:r>
      <w:r w:rsidRPr="00AB397A">
        <w:rPr>
          <w:rFonts w:ascii="Verdana" w:hAnsi="Verdana"/>
          <w:b/>
          <w:bCs/>
          <w:color w:val="000000"/>
          <w:sz w:val="22"/>
          <w:szCs w:val="22"/>
          <w:lang w:eastAsia="es-MX"/>
        </w:rPr>
        <w:t>Circular Externa 003 del 12 de mayo de 2026, </w:t>
      </w:r>
      <w:r w:rsidRPr="00AB397A">
        <w:rPr>
          <w:rFonts w:ascii="Verdana" w:hAnsi="Verdana"/>
          <w:color w:val="000000"/>
          <w:sz w:val="22"/>
          <w:szCs w:val="22"/>
          <w:lang w:eastAsia="es-MX"/>
        </w:rPr>
        <w:t>en la que precisa quiénes son los beneficiarios, las cinco medidas que integran el sistema y su obligatoriedad según la modalidad de selección, y el régimen de transición aplicable a los procesos en curso. Consúltala aquí: </w:t>
      </w:r>
      <w:hyperlink r:id="rId18" w:tooltip="Original URL:&#10;https://www.colombiacompra.gov.co/archivos/circular/circular-externa-003-de-2026&#10;&#10;Click to follow link." w:history="1">
        <w:r w:rsidRPr="00AB397A">
          <w:rPr>
            <w:rFonts w:ascii="Verdana" w:hAnsi="Verdana"/>
            <w:color w:val="0086F0"/>
            <w:sz w:val="22"/>
            <w:szCs w:val="22"/>
            <w:u w:val="single"/>
            <w:lang w:eastAsia="es-MX"/>
          </w:rPr>
          <w:t>https://www.colombiacompra.gov.co/archivos/circular/circular-externa-003-de-2026</w:t>
        </w:r>
      </w:hyperlink>
    </w:p>
    <w:p w14:paraId="5D2E8D25" w14:textId="77777777" w:rsidR="00AB397A" w:rsidRPr="00AB397A" w:rsidRDefault="00AB397A" w:rsidP="00AB397A">
      <w:pPr>
        <w:spacing w:line="276" w:lineRule="auto"/>
        <w:jc w:val="both"/>
        <w:rPr>
          <w:rFonts w:ascii="Verdana" w:hAnsi="Verdana"/>
          <w:color w:val="000000"/>
          <w:sz w:val="22"/>
          <w:szCs w:val="22"/>
          <w:lang w:eastAsia="es-MX"/>
        </w:rPr>
      </w:pPr>
    </w:p>
    <w:p w14:paraId="5DE9B2A9" w14:textId="77777777" w:rsidR="00AB397A" w:rsidRPr="00AB397A" w:rsidRDefault="00AB397A" w:rsidP="00AB397A">
      <w:pPr>
        <w:spacing w:line="276" w:lineRule="auto"/>
        <w:jc w:val="both"/>
        <w:rPr>
          <w:rFonts w:ascii="Verdana" w:hAnsi="Verdana"/>
          <w:color w:val="000000"/>
          <w:sz w:val="22"/>
          <w:szCs w:val="22"/>
          <w:lang w:eastAsia="es-MX"/>
        </w:rPr>
      </w:pPr>
      <w:r w:rsidRPr="00AB397A">
        <w:rPr>
          <w:rFonts w:ascii="Verdana" w:hAnsi="Verdana"/>
          <w:color w:val="000000"/>
          <w:sz w:val="22"/>
          <w:szCs w:val="22"/>
          <w:lang w:eastAsia="es-MX"/>
        </w:rPr>
        <w:t>Recuerda también que la</w:t>
      </w:r>
      <w:r w:rsidRPr="00AB397A">
        <w:rPr>
          <w:rFonts w:ascii="Verdana" w:hAnsi="Verdana"/>
          <w:b/>
          <w:bCs/>
          <w:color w:val="000000"/>
          <w:sz w:val="22"/>
          <w:szCs w:val="22"/>
          <w:lang w:eastAsia="es-MX"/>
        </w:rPr>
        <w:t> información sobre sanciones e inhabilidades </w:t>
      </w:r>
      <w:r w:rsidRPr="00AB397A">
        <w:rPr>
          <w:rFonts w:ascii="Verdana" w:hAnsi="Verdana"/>
          <w:color w:val="000000"/>
          <w:sz w:val="22"/>
          <w:szCs w:val="22"/>
          <w:lang w:eastAsia="es-MX"/>
        </w:rPr>
        <w:t xml:space="preserve">solo cumple su función preventiva si llega oportunamente a los registros públicos. </w:t>
      </w:r>
      <w:r w:rsidRPr="00AB397A">
        <w:rPr>
          <w:rFonts w:ascii="Verdana" w:hAnsi="Verdana"/>
          <w:color w:val="000000"/>
          <w:sz w:val="22"/>
          <w:szCs w:val="22"/>
          <w:lang w:eastAsia="es-MX"/>
        </w:rPr>
        <w:lastRenderedPageBreak/>
        <w:t>Sobre este deber, esta Agencia expidió la </w:t>
      </w:r>
      <w:r w:rsidRPr="00AB397A">
        <w:rPr>
          <w:rFonts w:ascii="Verdana" w:hAnsi="Verdana"/>
          <w:b/>
          <w:bCs/>
          <w:color w:val="000000"/>
          <w:sz w:val="22"/>
          <w:szCs w:val="22"/>
          <w:lang w:eastAsia="es-MX"/>
        </w:rPr>
        <w:t xml:space="preserve">Circular Externa 002 del 5 de mayo de </w:t>
      </w:r>
      <w:proofErr w:type="gramStart"/>
      <w:r w:rsidRPr="00AB397A">
        <w:rPr>
          <w:rFonts w:ascii="Verdana" w:hAnsi="Verdana"/>
          <w:b/>
          <w:bCs/>
          <w:color w:val="000000"/>
          <w:sz w:val="22"/>
          <w:szCs w:val="22"/>
          <w:lang w:eastAsia="es-MX"/>
        </w:rPr>
        <w:t>2026,</w:t>
      </w:r>
      <w:r w:rsidRPr="00AB397A">
        <w:rPr>
          <w:rFonts w:ascii="Verdana" w:hAnsi="Verdana"/>
          <w:color w:val="000000"/>
          <w:sz w:val="22"/>
          <w:szCs w:val="22"/>
          <w:lang w:eastAsia="es-MX"/>
        </w:rPr>
        <w:t>dirigida</w:t>
      </w:r>
      <w:proofErr w:type="gramEnd"/>
      <w:r w:rsidRPr="00AB397A">
        <w:rPr>
          <w:rFonts w:ascii="Verdana" w:hAnsi="Verdana"/>
          <w:color w:val="000000"/>
          <w:sz w:val="22"/>
          <w:szCs w:val="22"/>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9" w:tooltip="Original URL:&#10;https://www.colombiacompra.gov.co/archivos/circular/circular-externa-002-de-2026&#10;&#10;Click to follow link." w:history="1">
        <w:r w:rsidRPr="00AB397A">
          <w:rPr>
            <w:rFonts w:ascii="Verdana" w:hAnsi="Verdana"/>
            <w:color w:val="0086F0"/>
            <w:sz w:val="22"/>
            <w:szCs w:val="22"/>
            <w:u w:val="single"/>
            <w:lang w:eastAsia="es-MX"/>
          </w:rPr>
          <w:t>https://www.colombiacompra.gov.co/archivos/circular/circular-externa-002-de-2026</w:t>
        </w:r>
      </w:hyperlink>
    </w:p>
    <w:p w14:paraId="6977DEA6" w14:textId="77777777" w:rsidR="00AB397A" w:rsidRPr="00AB397A" w:rsidRDefault="00AB397A" w:rsidP="00AB397A">
      <w:pPr>
        <w:spacing w:line="276" w:lineRule="auto"/>
        <w:jc w:val="both"/>
        <w:rPr>
          <w:rFonts w:ascii="Verdana" w:hAnsi="Verdana"/>
          <w:color w:val="000000"/>
          <w:sz w:val="22"/>
          <w:szCs w:val="22"/>
          <w:lang w:eastAsia="es-MX"/>
        </w:rPr>
      </w:pPr>
    </w:p>
    <w:p w14:paraId="36A57DAB" w14:textId="77777777" w:rsidR="00AB397A" w:rsidRPr="00AB397A" w:rsidRDefault="00AB397A" w:rsidP="00AB397A">
      <w:pPr>
        <w:spacing w:line="276" w:lineRule="auto"/>
        <w:jc w:val="both"/>
        <w:rPr>
          <w:rFonts w:ascii="Aptos" w:hAnsi="Aptos"/>
          <w:color w:val="000000"/>
          <w:sz w:val="22"/>
          <w:szCs w:val="22"/>
          <w:lang w:eastAsia="es-MX"/>
        </w:rPr>
      </w:pPr>
      <w:r w:rsidRPr="00AB397A">
        <w:rPr>
          <w:rFonts w:ascii="Verdana" w:hAnsi="Verdana"/>
          <w:color w:val="000000"/>
          <w:sz w:val="22"/>
          <w:szCs w:val="22"/>
          <w:lang w:eastAsia="es-MX"/>
        </w:rPr>
        <w:t>Finalmente, si quieres seguir de cerca la actividad de la Agencia, la tercera edición de 2026 del</w:t>
      </w:r>
      <w:r w:rsidRPr="00AB397A">
        <w:rPr>
          <w:rFonts w:ascii="Verdana" w:hAnsi="Verdana"/>
          <w:b/>
          <w:bCs/>
          <w:color w:val="000000"/>
          <w:sz w:val="22"/>
          <w:szCs w:val="22"/>
          <w:lang w:eastAsia="es-MX"/>
        </w:rPr>
        <w:t> Radar de la Compra Pública</w:t>
      </w:r>
      <w:r w:rsidRPr="00AB397A">
        <w:rPr>
          <w:rFonts w:ascii="Verdana" w:hAnsi="Verdana"/>
          <w:color w:val="000000"/>
          <w:sz w:val="22"/>
          <w:szCs w:val="22"/>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0" w:tooltip="Original URL:&#10;https://www.colombiacompra.gov.co/archivos/boletin/boletin-edicion-n-3-de-2026-radar-de-la-compra-publica&#10;&#10;Click to follow link." w:history="1">
        <w:r w:rsidRPr="00AB397A">
          <w:rPr>
            <w:rFonts w:ascii="Verdana" w:hAnsi="Verdana"/>
            <w:color w:val="0086F0"/>
            <w:sz w:val="22"/>
            <w:szCs w:val="22"/>
            <w:u w:val="single"/>
            <w:lang w:eastAsia="es-MX"/>
          </w:rPr>
          <w:t>https://www.colombiacompra.gov.co/archivos/boletin/boletin-edicion-n-3-de-2026-radar-de-la-compra-publica</w:t>
        </w:r>
      </w:hyperlink>
    </w:p>
    <w:p w14:paraId="05D2CA2A" w14:textId="77777777" w:rsidR="00AB397A" w:rsidRPr="00AB397A" w:rsidRDefault="00AB397A" w:rsidP="00AB397A">
      <w:pPr>
        <w:shd w:val="clear" w:color="auto" w:fill="FFFFFF"/>
        <w:spacing w:line="276" w:lineRule="auto"/>
        <w:jc w:val="both"/>
        <w:rPr>
          <w:rFonts w:ascii="Verdana" w:hAnsi="Verdana"/>
          <w:color w:val="000000"/>
          <w:sz w:val="22"/>
          <w:szCs w:val="22"/>
          <w:u w:val="single"/>
        </w:rPr>
      </w:pPr>
    </w:p>
    <w:p w14:paraId="02A253DA" w14:textId="77777777" w:rsidR="00AB397A" w:rsidRPr="00AB397A" w:rsidRDefault="00AB397A" w:rsidP="00AB397A">
      <w:pPr>
        <w:spacing w:line="276" w:lineRule="auto"/>
        <w:jc w:val="both"/>
        <w:rPr>
          <w:rFonts w:ascii="Verdana" w:hAnsi="Verdana"/>
          <w:sz w:val="22"/>
          <w:szCs w:val="22"/>
        </w:rPr>
      </w:pPr>
      <w:r w:rsidRPr="00AB397A">
        <w:rPr>
          <w:rFonts w:ascii="Verdana" w:hAnsi="Verdana"/>
          <w:sz w:val="22"/>
          <w:szCs w:val="22"/>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8777437" w14:textId="77777777" w:rsidR="00AB397A" w:rsidRPr="00AB397A" w:rsidRDefault="00AB397A" w:rsidP="00AB397A">
      <w:pPr>
        <w:spacing w:line="276" w:lineRule="auto"/>
        <w:jc w:val="both"/>
        <w:rPr>
          <w:rFonts w:ascii="Verdana" w:hAnsi="Verdana"/>
          <w:sz w:val="22"/>
          <w:szCs w:val="22"/>
        </w:rPr>
      </w:pPr>
    </w:p>
    <w:p w14:paraId="09B2274C" w14:textId="77777777" w:rsidR="00AB397A" w:rsidRPr="00AB397A" w:rsidRDefault="00AB397A" w:rsidP="00AB397A">
      <w:pPr>
        <w:numPr>
          <w:ilvl w:val="0"/>
          <w:numId w:val="15"/>
        </w:numPr>
        <w:spacing w:after="160" w:line="276" w:lineRule="auto"/>
        <w:jc w:val="both"/>
        <w:rPr>
          <w:rFonts w:ascii="Verdana" w:eastAsia="Verdana" w:hAnsi="Verdana" w:cs="Verdana"/>
          <w:color w:val="4472C4" w:themeColor="accent1"/>
          <w:sz w:val="22"/>
          <w:szCs w:val="22"/>
          <w:u w:val="single"/>
          <w:lang w:val="es-MX"/>
        </w:rPr>
      </w:pPr>
      <w:r w:rsidRPr="00AB397A">
        <w:rPr>
          <w:rFonts w:ascii="Verdana" w:eastAsia="Verdana" w:hAnsi="Verdana" w:cs="Verdana"/>
          <w:sz w:val="22"/>
          <w:szCs w:val="22"/>
          <w:lang w:val="es-MX"/>
        </w:rPr>
        <w:t xml:space="preserve">Línea nacional gratuita o servicio a la ciudadanía (Mesa de servicio): </w:t>
      </w:r>
      <w:r w:rsidRPr="00AB397A">
        <w:rPr>
          <w:rFonts w:ascii="Verdana" w:hAnsi="Verdana"/>
          <w:color w:val="0000FF"/>
          <w:sz w:val="22"/>
          <w:szCs w:val="22"/>
          <w:u w:val="single"/>
          <w:lang w:val="es-ES"/>
        </w:rPr>
        <w:t>01800 0520808</w:t>
      </w:r>
    </w:p>
    <w:p w14:paraId="129A3367" w14:textId="77777777" w:rsidR="00AB397A" w:rsidRPr="00AB397A" w:rsidRDefault="00AB397A" w:rsidP="00AB397A">
      <w:pPr>
        <w:numPr>
          <w:ilvl w:val="0"/>
          <w:numId w:val="15"/>
        </w:numPr>
        <w:spacing w:after="160" w:line="276" w:lineRule="auto"/>
        <w:rPr>
          <w:rFonts w:ascii="Verdana" w:eastAsia="Verdana" w:hAnsi="Verdana" w:cs="Verdana"/>
          <w:color w:val="4472C4" w:themeColor="accent1"/>
          <w:sz w:val="22"/>
          <w:szCs w:val="22"/>
          <w:u w:val="single"/>
          <w:lang w:val="es-MX"/>
        </w:rPr>
      </w:pPr>
      <w:r w:rsidRPr="00AB397A">
        <w:rPr>
          <w:rFonts w:ascii="Verdana" w:eastAsia="Verdana" w:hAnsi="Verdana" w:cs="Verdana"/>
          <w:sz w:val="22"/>
          <w:szCs w:val="22"/>
          <w:lang w:val="es-MX"/>
        </w:rPr>
        <w:t>Línea en Bogotá (Mesa de servicio</w:t>
      </w:r>
      <w:proofErr w:type="gramStart"/>
      <w:r w:rsidRPr="00AB397A">
        <w:rPr>
          <w:rFonts w:ascii="Verdana" w:eastAsia="Verdana" w:hAnsi="Verdana" w:cs="Verdana"/>
          <w:sz w:val="22"/>
          <w:szCs w:val="22"/>
          <w:lang w:val="es-MX"/>
        </w:rPr>
        <w:t>):</w:t>
      </w:r>
      <w:r w:rsidRPr="00AB397A">
        <w:rPr>
          <w:rFonts w:ascii="Verdana" w:hAnsi="Verdana"/>
          <w:color w:val="0000FF"/>
          <w:sz w:val="22"/>
          <w:szCs w:val="22"/>
          <w:u w:val="single"/>
          <w:lang w:val="es-ES"/>
        </w:rPr>
        <w:t>+</w:t>
      </w:r>
      <w:proofErr w:type="gramEnd"/>
      <w:r w:rsidRPr="00AB397A">
        <w:rPr>
          <w:rFonts w:ascii="Verdana" w:hAnsi="Verdana"/>
          <w:color w:val="0000FF"/>
          <w:sz w:val="22"/>
          <w:szCs w:val="22"/>
          <w:u w:val="single"/>
          <w:lang w:val="es-ES"/>
        </w:rPr>
        <w:t>57 601 7456788</w:t>
      </w:r>
    </w:p>
    <w:p w14:paraId="40B2B103" w14:textId="77777777" w:rsidR="00AB397A" w:rsidRPr="00AB397A" w:rsidRDefault="00AB397A" w:rsidP="00AB397A">
      <w:pPr>
        <w:numPr>
          <w:ilvl w:val="0"/>
          <w:numId w:val="15"/>
        </w:numPr>
        <w:spacing w:after="160" w:line="276" w:lineRule="auto"/>
        <w:rPr>
          <w:rFonts w:ascii="Verdana" w:eastAsia="Verdana" w:hAnsi="Verdana" w:cs="Verdana"/>
          <w:color w:val="0000FF"/>
          <w:sz w:val="22"/>
          <w:szCs w:val="22"/>
          <w:u w:val="single"/>
          <w:lang w:val="es-MX"/>
        </w:rPr>
      </w:pPr>
      <w:r w:rsidRPr="00AB397A">
        <w:rPr>
          <w:rFonts w:ascii="Verdana" w:eastAsia="Verdana" w:hAnsi="Verdana" w:cs="Verdana"/>
          <w:sz w:val="22"/>
          <w:szCs w:val="22"/>
          <w:lang w:val="es-MX"/>
        </w:rPr>
        <w:t xml:space="preserve">Correo de radicación de correspondencia: </w:t>
      </w:r>
      <w:hyperlink r:id="rId21">
        <w:r w:rsidRPr="00AB397A">
          <w:rPr>
            <w:rFonts w:ascii="Verdana" w:eastAsia="Verdana" w:hAnsi="Verdana" w:cs="Verdana"/>
            <w:color w:val="0000FF"/>
            <w:sz w:val="22"/>
            <w:szCs w:val="22"/>
            <w:u w:val="single"/>
            <w:lang w:val="es-MX"/>
          </w:rPr>
          <w:t>ventanilladeradicacion@colombiacompra.gov.co</w:t>
        </w:r>
      </w:hyperlink>
    </w:p>
    <w:p w14:paraId="223D9B94" w14:textId="77777777" w:rsidR="00AB397A" w:rsidRPr="00AB397A" w:rsidRDefault="00AB397A" w:rsidP="00AB397A">
      <w:pPr>
        <w:numPr>
          <w:ilvl w:val="0"/>
          <w:numId w:val="15"/>
        </w:numPr>
        <w:spacing w:after="160" w:line="276" w:lineRule="auto"/>
        <w:rPr>
          <w:rFonts w:ascii="Verdana" w:eastAsia="Verdana" w:hAnsi="Verdana" w:cs="Verdana"/>
          <w:color w:val="0000FF"/>
          <w:sz w:val="22"/>
          <w:szCs w:val="22"/>
          <w:u w:val="single"/>
          <w:lang w:val="es-MX"/>
        </w:rPr>
      </w:pPr>
      <w:r w:rsidRPr="00AB397A">
        <w:rPr>
          <w:rFonts w:ascii="Verdana" w:eastAsia="Verdana" w:hAnsi="Verdana" w:cs="Verdana"/>
          <w:sz w:val="22"/>
          <w:szCs w:val="22"/>
          <w:lang w:val="es-ES"/>
        </w:rPr>
        <w:t>Formulario web para</w:t>
      </w:r>
      <w:r w:rsidRPr="00AB397A">
        <w:rPr>
          <w:rFonts w:ascii="Verdana" w:eastAsia="Verdana" w:hAnsi="Verdana" w:cs="Verdana"/>
          <w:sz w:val="22"/>
          <w:szCs w:val="22"/>
          <w:lang w:val="es"/>
        </w:rPr>
        <w:t xml:space="preserve"> PQRSD: </w:t>
      </w:r>
      <w:hyperlink r:id="rId22">
        <w:r w:rsidRPr="00AB397A">
          <w:rPr>
            <w:rFonts w:ascii="Verdana" w:eastAsia="Verdana" w:hAnsi="Verdana" w:cs="Verdana"/>
            <w:color w:val="0000FF"/>
            <w:sz w:val="22"/>
            <w:szCs w:val="22"/>
            <w:u w:val="single"/>
            <w:lang w:val="es-MX"/>
          </w:rPr>
          <w:t>https://www.colombiacompra.gov.co/pqrsd/informacion-importante-antes-de-formular-una-pqrsd</w:t>
        </w:r>
      </w:hyperlink>
    </w:p>
    <w:p w14:paraId="30864E4A" w14:textId="77777777" w:rsidR="00AB397A" w:rsidRPr="00AB397A" w:rsidRDefault="00AB397A" w:rsidP="00AB397A">
      <w:pPr>
        <w:spacing w:line="276" w:lineRule="auto"/>
        <w:ind w:left="720"/>
        <w:jc w:val="both"/>
        <w:rPr>
          <w:rFonts w:ascii="Verdana" w:hAnsi="Verdana"/>
          <w:sz w:val="22"/>
          <w:szCs w:val="22"/>
        </w:rPr>
      </w:pPr>
    </w:p>
    <w:p w14:paraId="2B763856" w14:textId="77777777" w:rsidR="00AB397A" w:rsidRPr="00AB397A" w:rsidRDefault="00AB397A" w:rsidP="00AB397A">
      <w:pPr>
        <w:spacing w:line="276" w:lineRule="auto"/>
        <w:rPr>
          <w:rFonts w:ascii="Verdana" w:hAnsi="Verdana"/>
          <w:sz w:val="22"/>
          <w:szCs w:val="22"/>
        </w:rPr>
      </w:pPr>
      <w:r w:rsidRPr="00AB397A">
        <w:rPr>
          <w:rFonts w:ascii="Verdana" w:hAnsi="Verdana"/>
          <w:sz w:val="22"/>
          <w:szCs w:val="22"/>
        </w:rPr>
        <w:lastRenderedPageBreak/>
        <w:t xml:space="preserve">Evalúa el servicio que ofrece la Agencia por el canal de atención de PQRSD en el siguiente </w:t>
      </w:r>
      <w:proofErr w:type="gramStart"/>
      <w:r w:rsidRPr="00AB397A">
        <w:rPr>
          <w:rFonts w:ascii="Verdana" w:hAnsi="Verdana"/>
          <w:sz w:val="22"/>
          <w:szCs w:val="22"/>
        </w:rPr>
        <w:t>enlace :</w:t>
      </w:r>
      <w:proofErr w:type="gramEnd"/>
      <w:hyperlink r:id="rId23" w:tgtFrame="_blank" w:tooltip="https://forms.office.com/r/pphywvs2sz" w:history="1">
        <w:r w:rsidRPr="00AB397A">
          <w:rPr>
            <w:rFonts w:ascii="Verdana" w:hAnsi="Verdana"/>
            <w:color w:val="0000FF"/>
            <w:sz w:val="22"/>
            <w:szCs w:val="22"/>
            <w:u w:val="single"/>
          </w:rPr>
          <w:t>https://forms.office.com/r/pPHyWVs2SZ</w:t>
        </w:r>
      </w:hyperlink>
      <w:r w:rsidRPr="00AB397A">
        <w:rPr>
          <w:rFonts w:ascii="Verdana" w:hAnsi="Verdana"/>
          <w:sz w:val="22"/>
          <w:szCs w:val="22"/>
        </w:rPr>
        <w:t xml:space="preserve"> .¡Ayúdanos a mejorar porque el compromiso es de todos!</w:t>
      </w:r>
    </w:p>
    <w:p w14:paraId="715C11B5" w14:textId="77777777" w:rsidR="00AB397A" w:rsidRPr="00AB397A" w:rsidRDefault="00AB397A" w:rsidP="00AB397A">
      <w:pPr>
        <w:spacing w:line="276" w:lineRule="auto"/>
        <w:rPr>
          <w:rFonts w:ascii="Verdana" w:hAnsi="Verdana"/>
          <w:sz w:val="22"/>
          <w:szCs w:val="22"/>
        </w:rPr>
      </w:pPr>
    </w:p>
    <w:p w14:paraId="74203E1E" w14:textId="77777777" w:rsidR="00AB397A" w:rsidRPr="00AB397A" w:rsidRDefault="00AB397A" w:rsidP="00AB397A">
      <w:pPr>
        <w:spacing w:line="276" w:lineRule="auto"/>
        <w:jc w:val="both"/>
        <w:rPr>
          <w:rFonts w:ascii="Verdana" w:hAnsi="Verdana"/>
          <w:sz w:val="22"/>
          <w:szCs w:val="22"/>
        </w:rPr>
      </w:pPr>
      <w:r w:rsidRPr="00AB397A">
        <w:rPr>
          <w:rFonts w:ascii="Verdana" w:hAnsi="Verdana"/>
          <w:sz w:val="22"/>
          <w:szCs w:val="22"/>
        </w:rPr>
        <w:t xml:space="preserve">Por último, lo invitamos a seguirnos en las redes sociales en las cuales se difunde información institucional: </w:t>
      </w:r>
    </w:p>
    <w:p w14:paraId="13FBFE5C" w14:textId="77777777" w:rsidR="00AB397A" w:rsidRPr="00AB397A" w:rsidRDefault="00AB397A" w:rsidP="00AB397A">
      <w:pPr>
        <w:spacing w:line="276" w:lineRule="auto"/>
        <w:jc w:val="both"/>
        <w:rPr>
          <w:rFonts w:ascii="Verdana" w:hAnsi="Verdana"/>
          <w:sz w:val="22"/>
          <w:szCs w:val="22"/>
        </w:rPr>
      </w:pPr>
    </w:p>
    <w:p w14:paraId="4559D3D5" w14:textId="77777777" w:rsidR="00AB397A" w:rsidRPr="00AB397A" w:rsidRDefault="00AB397A" w:rsidP="00AB397A">
      <w:pPr>
        <w:spacing w:line="276" w:lineRule="auto"/>
        <w:jc w:val="both"/>
        <w:rPr>
          <w:rFonts w:ascii="Verdana" w:hAnsi="Verdana"/>
          <w:sz w:val="22"/>
          <w:szCs w:val="22"/>
        </w:rPr>
      </w:pPr>
      <w:r w:rsidRPr="00AB397A">
        <w:rPr>
          <w:rFonts w:ascii="Verdana" w:hAnsi="Verdana"/>
          <w:sz w:val="22"/>
          <w:szCs w:val="22"/>
        </w:rPr>
        <w:t xml:space="preserve">Twitter: </w:t>
      </w:r>
      <w:r w:rsidRPr="00AB397A">
        <w:rPr>
          <w:rFonts w:ascii="Verdana" w:hAnsi="Verdana"/>
          <w:color w:val="0000FF"/>
          <w:sz w:val="22"/>
          <w:szCs w:val="22"/>
          <w:u w:val="single"/>
        </w:rPr>
        <w:t>@colombiacompra</w:t>
      </w:r>
      <w:r w:rsidRPr="00AB397A">
        <w:rPr>
          <w:rFonts w:ascii="Verdana" w:hAnsi="Verdana"/>
          <w:sz w:val="22"/>
          <w:szCs w:val="22"/>
        </w:rPr>
        <w:t xml:space="preserve"> </w:t>
      </w:r>
    </w:p>
    <w:p w14:paraId="22206600" w14:textId="77777777" w:rsidR="00AB397A" w:rsidRPr="00AB397A" w:rsidRDefault="00AB397A" w:rsidP="00AB397A">
      <w:pPr>
        <w:spacing w:line="276" w:lineRule="auto"/>
        <w:jc w:val="both"/>
        <w:rPr>
          <w:rFonts w:ascii="Verdana" w:hAnsi="Verdana"/>
          <w:sz w:val="22"/>
          <w:szCs w:val="22"/>
        </w:rPr>
      </w:pPr>
      <w:r w:rsidRPr="00AB397A">
        <w:rPr>
          <w:rFonts w:ascii="Verdana" w:hAnsi="Verdana"/>
          <w:sz w:val="22"/>
          <w:szCs w:val="22"/>
        </w:rPr>
        <w:t xml:space="preserve">Facebook: </w:t>
      </w:r>
      <w:proofErr w:type="spellStart"/>
      <w:r w:rsidRPr="00AB397A">
        <w:rPr>
          <w:rFonts w:ascii="Verdana" w:hAnsi="Verdana"/>
          <w:color w:val="0000FF"/>
          <w:sz w:val="22"/>
          <w:szCs w:val="22"/>
          <w:u w:val="single"/>
        </w:rPr>
        <w:t>ColombiaCompraEficiente</w:t>
      </w:r>
      <w:proofErr w:type="spellEnd"/>
    </w:p>
    <w:p w14:paraId="4FF5DCC0" w14:textId="77777777" w:rsidR="00AB397A" w:rsidRPr="00AB397A" w:rsidRDefault="00AB397A" w:rsidP="00AB397A">
      <w:pPr>
        <w:spacing w:line="276" w:lineRule="auto"/>
        <w:jc w:val="both"/>
        <w:rPr>
          <w:rFonts w:ascii="Verdana" w:hAnsi="Verdana"/>
          <w:sz w:val="22"/>
          <w:szCs w:val="22"/>
        </w:rPr>
      </w:pPr>
      <w:r w:rsidRPr="00AB397A">
        <w:rPr>
          <w:rFonts w:ascii="Verdana" w:hAnsi="Verdana"/>
          <w:sz w:val="22"/>
          <w:szCs w:val="22"/>
        </w:rPr>
        <w:t xml:space="preserve">LinkedIn: </w:t>
      </w:r>
      <w:r w:rsidRPr="00AB397A">
        <w:rPr>
          <w:rFonts w:ascii="Verdana" w:hAnsi="Verdana"/>
          <w:color w:val="0000FF"/>
          <w:sz w:val="22"/>
          <w:szCs w:val="22"/>
          <w:u w:val="single"/>
        </w:rPr>
        <w:t>Agencia Nacional de Contratación Pública - Colombia Compra Eficiente</w:t>
      </w:r>
      <w:r w:rsidRPr="00AB397A">
        <w:rPr>
          <w:rFonts w:ascii="Verdana" w:hAnsi="Verdana"/>
          <w:sz w:val="22"/>
          <w:szCs w:val="22"/>
        </w:rPr>
        <w:t xml:space="preserve"> Instagram: </w:t>
      </w:r>
      <w:r w:rsidRPr="00AB397A">
        <w:rPr>
          <w:rFonts w:ascii="Verdana" w:hAnsi="Verdana"/>
          <w:color w:val="0000FF"/>
          <w:sz w:val="22"/>
          <w:szCs w:val="22"/>
          <w:u w:val="single"/>
        </w:rPr>
        <w:t>@colombiacompraeficiente_cce</w:t>
      </w:r>
    </w:p>
    <w:p w14:paraId="262287EB" w14:textId="77777777" w:rsidR="00AB397A" w:rsidRPr="00AB397A" w:rsidRDefault="00AB397A" w:rsidP="00AB397A">
      <w:pPr>
        <w:widowControl w:val="0"/>
        <w:autoSpaceDE w:val="0"/>
        <w:autoSpaceDN w:val="0"/>
        <w:spacing w:line="276" w:lineRule="auto"/>
        <w:jc w:val="both"/>
        <w:rPr>
          <w:rFonts w:ascii="Verdana" w:hAnsi="Verdana" w:cs="Arial"/>
          <w:color w:val="FF0000"/>
          <w:sz w:val="22"/>
          <w:szCs w:val="22"/>
          <w:shd w:val="clear" w:color="auto" w:fill="FFFFFF"/>
          <w:lang w:val="es-ES_tradnl"/>
        </w:rPr>
      </w:pPr>
      <w:r w:rsidRPr="00AB397A">
        <w:rPr>
          <w:rFonts w:ascii="Verdana" w:hAnsi="Verdana" w:cs="Arial"/>
          <w:color w:val="FF0000"/>
          <w:sz w:val="22"/>
          <w:szCs w:val="22"/>
          <w:shd w:val="clear" w:color="auto" w:fill="FFFFFF"/>
          <w:lang w:val="es-ES_tradnl"/>
        </w:rPr>
        <w:t xml:space="preserve">        </w:t>
      </w:r>
    </w:p>
    <w:p w14:paraId="15C517DE" w14:textId="77777777" w:rsidR="00AB397A" w:rsidRPr="00AB397A" w:rsidRDefault="00AB397A" w:rsidP="00AB397A">
      <w:pPr>
        <w:widowControl w:val="0"/>
        <w:autoSpaceDE w:val="0"/>
        <w:autoSpaceDN w:val="0"/>
        <w:spacing w:line="276" w:lineRule="auto"/>
        <w:jc w:val="both"/>
        <w:rPr>
          <w:rFonts w:ascii="Verdana" w:hAnsi="Verdana" w:cs="Arial"/>
          <w:sz w:val="22"/>
          <w:szCs w:val="22"/>
          <w:lang w:val="es-ES_tradnl"/>
        </w:rPr>
      </w:pPr>
      <w:r w:rsidRPr="00AB397A">
        <w:rPr>
          <w:rFonts w:ascii="Verdana" w:hAnsi="Verdana" w:cs="Arial"/>
          <w:sz w:val="22"/>
          <w:szCs w:val="22"/>
        </w:rPr>
        <w:t xml:space="preserve">Este concepto tiene el alcance previsto en el artículo 28 del Código de Procedimiento Administrativo y de lo Contencioso Administrativo </w:t>
      </w:r>
      <w:r w:rsidRPr="00AB397A">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45315CCA" w14:textId="77777777" w:rsidR="00AB397A" w:rsidRPr="00AB397A" w:rsidRDefault="00AB397A" w:rsidP="00AB397A">
      <w:pPr>
        <w:widowControl w:val="0"/>
        <w:autoSpaceDE w:val="0"/>
        <w:autoSpaceDN w:val="0"/>
        <w:spacing w:line="276" w:lineRule="auto"/>
        <w:jc w:val="both"/>
        <w:rPr>
          <w:rFonts w:ascii="Verdana" w:hAnsi="Verdana" w:cs="Arial"/>
          <w:sz w:val="22"/>
          <w:szCs w:val="22"/>
        </w:rPr>
      </w:pPr>
    </w:p>
    <w:p w14:paraId="11C1939E" w14:textId="77777777" w:rsidR="00AB397A" w:rsidRPr="00AB397A" w:rsidRDefault="00AB397A" w:rsidP="00FD4803">
      <w:pPr>
        <w:spacing w:line="276" w:lineRule="auto"/>
        <w:rPr>
          <w:rFonts w:ascii="Verdana" w:hAnsi="Verdana" w:cs="Arial"/>
          <w:sz w:val="22"/>
          <w:szCs w:val="22"/>
          <w:lang w:eastAsia="es-CO"/>
        </w:rPr>
      </w:pPr>
      <w:r w:rsidRPr="00AB397A">
        <w:rPr>
          <w:rFonts w:ascii="Verdana" w:hAnsi="Verdana" w:cs="Arial"/>
          <w:sz w:val="22"/>
          <w:szCs w:val="22"/>
          <w:lang w:eastAsia="es-CO"/>
        </w:rPr>
        <w:t xml:space="preserve">Atentamente, </w:t>
      </w:r>
    </w:p>
    <w:p w14:paraId="4A48CCE5" w14:textId="77777777" w:rsidR="00AB397A" w:rsidRPr="00AB397A" w:rsidRDefault="00AB397A" w:rsidP="00AB397A"/>
    <w:p w14:paraId="65E94561" w14:textId="2229C8E4" w:rsidR="00AB397A" w:rsidRPr="00AB397A" w:rsidRDefault="00A81559" w:rsidP="00AB397A">
      <w:pPr>
        <w:spacing w:line="256" w:lineRule="auto"/>
        <w:jc w:val="center"/>
        <w:rPr>
          <w:rFonts w:ascii="Century Gothic" w:eastAsiaTheme="minorHAnsi" w:hAnsi="Century Gothic" w:cstheme="minorBidi"/>
          <w:noProof/>
          <w:sz w:val="16"/>
          <w:szCs w:val="16"/>
          <w:lang w:val="en-US" w:eastAsia="en-US"/>
        </w:rPr>
      </w:pPr>
      <w:r w:rsidRPr="002C3AD6">
        <w:rPr>
          <w:rFonts w:ascii="Century Gothic" w:hAnsi="Century Gothic"/>
          <w:noProof/>
          <w:lang w:val="en-US"/>
        </w:rPr>
        <w:drawing>
          <wp:inline distT="0" distB="0" distL="0" distR="0" wp14:anchorId="380CA9AC" wp14:editId="58D5F2F7">
            <wp:extent cx="3412503" cy="1323565"/>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10771" cy="1439251"/>
                    </a:xfrm>
                    <a:prstGeom prst="rect">
                      <a:avLst/>
                    </a:prstGeom>
                  </pic:spPr>
                </pic:pic>
              </a:graphicData>
            </a:graphic>
          </wp:inline>
        </w:drawing>
      </w:r>
    </w:p>
    <w:p w14:paraId="4117926C" w14:textId="77777777" w:rsidR="00AB397A" w:rsidRPr="00AB397A" w:rsidRDefault="00AB397A" w:rsidP="00AB397A">
      <w:pPr>
        <w:spacing w:line="256" w:lineRule="auto"/>
        <w:jc w:val="center"/>
        <w:rPr>
          <w:rFonts w:ascii="Century Gothic" w:eastAsiaTheme="minorHAnsi" w:hAnsi="Century Gothic" w:cstheme="minorBidi"/>
          <w:noProof/>
          <w:sz w:val="16"/>
          <w:szCs w:val="16"/>
          <w:lang w:val="en-US" w:eastAsia="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B397A" w:rsidRPr="00AB397A" w14:paraId="1D22D779" w14:textId="77777777" w:rsidTr="001D3405">
        <w:trPr>
          <w:trHeight w:val="409"/>
        </w:trPr>
        <w:tc>
          <w:tcPr>
            <w:tcW w:w="817" w:type="dxa"/>
            <w:tcBorders>
              <w:top w:val="nil"/>
              <w:left w:val="nil"/>
              <w:bottom w:val="nil"/>
              <w:right w:val="nil"/>
            </w:tcBorders>
            <w:vAlign w:val="center"/>
            <w:hideMark/>
          </w:tcPr>
          <w:p w14:paraId="40592090"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Elaboró: </w:t>
            </w:r>
          </w:p>
        </w:tc>
        <w:tc>
          <w:tcPr>
            <w:tcW w:w="4937" w:type="dxa"/>
            <w:tcBorders>
              <w:top w:val="nil"/>
              <w:left w:val="nil"/>
              <w:bottom w:val="dotted" w:sz="6" w:space="0" w:color="7F7F7F" w:themeColor="text1" w:themeTint="80"/>
              <w:right w:val="nil"/>
            </w:tcBorders>
            <w:vAlign w:val="center"/>
            <w:hideMark/>
          </w:tcPr>
          <w:p w14:paraId="3642FA4C"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José Luis Sánchez Cardona</w:t>
            </w:r>
          </w:p>
          <w:p w14:paraId="4289021D"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Contratista de la Subdirección de Gestión Contractual</w:t>
            </w:r>
          </w:p>
        </w:tc>
      </w:tr>
      <w:tr w:rsidR="00AB397A" w:rsidRPr="00AB397A" w14:paraId="79A7311F" w14:textId="77777777" w:rsidTr="001D3405">
        <w:trPr>
          <w:trHeight w:val="409"/>
        </w:trPr>
        <w:tc>
          <w:tcPr>
            <w:tcW w:w="817" w:type="dxa"/>
            <w:tcBorders>
              <w:top w:val="nil"/>
              <w:left w:val="nil"/>
              <w:bottom w:val="nil"/>
              <w:right w:val="nil"/>
            </w:tcBorders>
            <w:vAlign w:val="center"/>
            <w:hideMark/>
          </w:tcPr>
          <w:p w14:paraId="5CB0F4A1"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BA59CC2"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Alejandro R. Sarmiento Cantillo</w:t>
            </w:r>
          </w:p>
          <w:p w14:paraId="6B7B70E7"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Gestor T1-15 de la Subdirección de Gestión Contractual </w:t>
            </w:r>
          </w:p>
        </w:tc>
      </w:tr>
      <w:tr w:rsidR="00AB397A" w:rsidRPr="00AB397A" w14:paraId="66DA6518" w14:textId="77777777" w:rsidTr="001D3405">
        <w:trPr>
          <w:trHeight w:val="389"/>
        </w:trPr>
        <w:tc>
          <w:tcPr>
            <w:tcW w:w="817" w:type="dxa"/>
            <w:tcBorders>
              <w:top w:val="nil"/>
              <w:left w:val="nil"/>
              <w:bottom w:val="nil"/>
              <w:right w:val="nil"/>
            </w:tcBorders>
            <w:vAlign w:val="center"/>
            <w:hideMark/>
          </w:tcPr>
          <w:p w14:paraId="1E145EFC"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E8CB29B"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Carolina Quintero Gacharná</w:t>
            </w:r>
          </w:p>
          <w:p w14:paraId="46AC9B9B" w14:textId="77777777" w:rsidR="00AB397A" w:rsidRPr="00AB397A" w:rsidRDefault="00AB397A" w:rsidP="00AB397A">
            <w:pPr>
              <w:spacing w:line="256" w:lineRule="auto"/>
              <w:rPr>
                <w:rFonts w:ascii="Verdana" w:eastAsia="Calibri" w:hAnsi="Verdana"/>
                <w:sz w:val="16"/>
                <w:szCs w:val="16"/>
                <w:lang w:eastAsia="en-US"/>
              </w:rPr>
            </w:pPr>
            <w:r w:rsidRPr="00AB397A">
              <w:rPr>
                <w:rFonts w:ascii="Verdana" w:eastAsia="Calibri" w:hAnsi="Verdana"/>
                <w:sz w:val="16"/>
                <w:szCs w:val="16"/>
                <w:lang w:eastAsia="en-US"/>
              </w:rPr>
              <w:t>Subdirectora de Gestión Contractual ANCP – CCE</w:t>
            </w:r>
          </w:p>
        </w:tc>
      </w:tr>
      <w:bookmarkEnd w:id="0"/>
    </w:tbl>
    <w:p w14:paraId="04A4241F" w14:textId="03025111" w:rsidR="004A4033" w:rsidRPr="00FD4803" w:rsidRDefault="004A4033" w:rsidP="00FD4803">
      <w:pPr>
        <w:textAlignment w:val="baseline"/>
        <w:rPr>
          <w:rFonts w:ascii="Verdana" w:eastAsia="Verdana" w:hAnsi="Verdana" w:cs="Verdana"/>
          <w:sz w:val="22"/>
          <w:szCs w:val="22"/>
          <w:lang w:eastAsia="es-CO"/>
        </w:rPr>
      </w:pPr>
    </w:p>
    <w:sectPr w:rsidR="004A4033" w:rsidRPr="00FD4803"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7B7E" w14:textId="77777777" w:rsidR="004D550B" w:rsidRDefault="004D550B" w:rsidP="004A1847">
      <w:r>
        <w:separator/>
      </w:r>
    </w:p>
  </w:endnote>
  <w:endnote w:type="continuationSeparator" w:id="0">
    <w:p w14:paraId="6F192429" w14:textId="77777777" w:rsidR="004D550B" w:rsidRDefault="004D550B"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8A1F41"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val="pt-BR" w:eastAsia="es-CO"/>
      </w:rPr>
    </w:pPr>
    <w:r w:rsidRPr="008A1F41">
      <w:rPr>
        <w:rFonts w:ascii="Verdana" w:eastAsia="Verdana" w:hAnsi="Verdana" w:cs="Verdana"/>
        <w:b/>
        <w:color w:val="000000" w:themeColor="text1"/>
        <w:sz w:val="18"/>
        <w:szCs w:val="18"/>
        <w:lang w:val="pt-BR" w:eastAsia="es-CO"/>
      </w:rPr>
      <w:t xml:space="preserve">Código: </w:t>
    </w:r>
    <w:r w:rsidRPr="008A1F41">
      <w:rPr>
        <w:rFonts w:ascii="Verdana" w:eastAsia="Verdana" w:hAnsi="Verdana" w:cs="Verdana"/>
        <w:color w:val="000000" w:themeColor="text1"/>
        <w:sz w:val="18"/>
        <w:szCs w:val="18"/>
        <w:lang w:val="pt-BR" w:eastAsia="es-CO"/>
      </w:rPr>
      <w:t xml:space="preserve">CCE-REC-FM-17 </w:t>
    </w:r>
    <w:r w:rsidRPr="008A1F41">
      <w:rPr>
        <w:rFonts w:ascii="Verdana" w:eastAsia="Verdana" w:hAnsi="Verdana" w:cs="Verdana"/>
        <w:b/>
        <w:color w:val="000000" w:themeColor="text1"/>
        <w:sz w:val="18"/>
        <w:szCs w:val="18"/>
        <w:lang w:val="pt-BR" w:eastAsia="es-CO"/>
      </w:rPr>
      <w:t xml:space="preserve">V: </w:t>
    </w:r>
    <w:r w:rsidRPr="008A1F41">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4D29E" w14:textId="77777777" w:rsidR="004D550B" w:rsidRDefault="004D550B" w:rsidP="004A1847">
      <w:r>
        <w:separator/>
      </w:r>
    </w:p>
  </w:footnote>
  <w:footnote w:type="continuationSeparator" w:id="0">
    <w:p w14:paraId="147B38EF" w14:textId="77777777" w:rsidR="004D550B" w:rsidRDefault="004D550B" w:rsidP="004A1847">
      <w:r>
        <w:continuationSeparator/>
      </w:r>
    </w:p>
  </w:footnote>
  <w:footnote w:id="1">
    <w:p w14:paraId="38A9C54F" w14:textId="77777777" w:rsidR="00AB397A" w:rsidRPr="005F20A4" w:rsidRDefault="00AB397A" w:rsidP="00AB397A">
      <w:pPr>
        <w:pStyle w:val="Textonotapie"/>
        <w:ind w:firstLine="708"/>
        <w:jc w:val="both"/>
        <w:rPr>
          <w:rFonts w:ascii="Verdana" w:hAnsi="Verdana"/>
          <w:sz w:val="16"/>
          <w:szCs w:val="16"/>
          <w:lang w:val="es-CO"/>
        </w:rPr>
      </w:pPr>
      <w:r w:rsidRPr="005F20A4">
        <w:rPr>
          <w:rStyle w:val="Refdenotaalpie"/>
          <w:rFonts w:ascii="Verdana" w:hAnsi="Verdana"/>
          <w:sz w:val="16"/>
          <w:szCs w:val="16"/>
        </w:rPr>
        <w:footnoteRef/>
      </w:r>
      <w:r w:rsidRPr="005F20A4">
        <w:rPr>
          <w:rFonts w:ascii="Verdana" w:hAnsi="Verdana"/>
          <w:sz w:val="16"/>
          <w:szCs w:val="16"/>
        </w:rPr>
        <w:t xml:space="preserve"> Agencia Nacional de Contratación Pública –Colombia Compra Eficiente. </w:t>
      </w:r>
      <w:r w:rsidRPr="005F20A4">
        <w:rPr>
          <w:rFonts w:ascii="Verdana" w:hAnsi="Verdana"/>
          <w:sz w:val="16"/>
          <w:szCs w:val="16"/>
          <w:lang w:val="es-CO"/>
        </w:rPr>
        <w:t xml:space="preserve">Guía para Determinar y Verificar la Capacidad Residual del Proponente en los Procesos de Contratación de Obra Pública. </w:t>
      </w:r>
      <w:r w:rsidRPr="005F20A4">
        <w:rPr>
          <w:rFonts w:ascii="Verdana" w:hAnsi="Verdana"/>
          <w:sz w:val="16"/>
          <w:szCs w:val="16"/>
        </w:rPr>
        <w:t xml:space="preserve">Disponible en línea: </w:t>
      </w:r>
      <w:hyperlink r:id="rId1" w:history="1">
        <w:r w:rsidRPr="005F20A4">
          <w:rPr>
            <w:rStyle w:val="Hipervnculo"/>
            <w:rFonts w:ascii="Verdana" w:hAnsi="Verdana"/>
            <w:sz w:val="16"/>
            <w:szCs w:val="16"/>
          </w:rPr>
          <w:t>https://www.colombiacompra.gov.co/archivos/manual/guia-para-determinar-y-verificar-la-capacidad-residual-del-proponente-en-los-procesos-de-contratacion-de-obra-publica</w:t>
        </w:r>
      </w:hyperlink>
      <w:r w:rsidRPr="005F20A4">
        <w:rPr>
          <w:rFonts w:ascii="Verdana" w:hAnsi="Verdana"/>
          <w:sz w:val="16"/>
          <w:szCs w:val="16"/>
        </w:rPr>
        <w:t xml:space="preserve">. 2023. p. 7. </w:t>
      </w:r>
    </w:p>
  </w:footnote>
  <w:footnote w:id="2">
    <w:p w14:paraId="64034642" w14:textId="77777777" w:rsidR="00AB397A" w:rsidRPr="005F20A4" w:rsidRDefault="00AB397A" w:rsidP="00AB397A">
      <w:pPr>
        <w:pStyle w:val="Textonotapie"/>
        <w:ind w:firstLine="708"/>
        <w:rPr>
          <w:rFonts w:ascii="Verdana" w:hAnsi="Verdana"/>
          <w:sz w:val="16"/>
          <w:szCs w:val="16"/>
          <w:lang w:val="es-CO"/>
        </w:rPr>
      </w:pPr>
      <w:r w:rsidRPr="005F20A4">
        <w:rPr>
          <w:rStyle w:val="Refdenotaalpie"/>
          <w:rFonts w:ascii="Verdana" w:hAnsi="Verdana"/>
          <w:sz w:val="16"/>
          <w:szCs w:val="16"/>
        </w:rPr>
        <w:footnoteRef/>
      </w:r>
      <w:r w:rsidRPr="005F20A4">
        <w:rPr>
          <w:rFonts w:ascii="Verdana" w:hAnsi="Verdana"/>
          <w:sz w:val="16"/>
          <w:szCs w:val="16"/>
        </w:rPr>
        <w:t xml:space="preserve"> </w:t>
      </w:r>
      <w:r w:rsidRPr="005F20A4">
        <w:rPr>
          <w:rFonts w:ascii="Verdana" w:hAnsi="Verdana"/>
          <w:sz w:val="16"/>
          <w:szCs w:val="16"/>
        </w:rPr>
        <w:t xml:space="preserve">Ibídem, p. 14. </w:t>
      </w:r>
    </w:p>
  </w:footnote>
  <w:footnote w:id="3">
    <w:p w14:paraId="6CAB34A8" w14:textId="77777777" w:rsidR="00AB397A" w:rsidRPr="005F20A4" w:rsidRDefault="00AB397A" w:rsidP="00AB397A">
      <w:pPr>
        <w:pStyle w:val="Textonotapie"/>
        <w:ind w:firstLine="708"/>
        <w:rPr>
          <w:rFonts w:ascii="Verdana" w:hAnsi="Verdana"/>
          <w:sz w:val="16"/>
          <w:szCs w:val="16"/>
          <w:lang w:val="es-CO"/>
        </w:rPr>
      </w:pPr>
      <w:r w:rsidRPr="005F20A4">
        <w:rPr>
          <w:rStyle w:val="Refdenotaalpie"/>
          <w:rFonts w:ascii="Verdana" w:hAnsi="Verdana"/>
          <w:sz w:val="16"/>
          <w:szCs w:val="16"/>
        </w:rPr>
        <w:footnoteRef/>
      </w:r>
      <w:r w:rsidRPr="005F20A4">
        <w:rPr>
          <w:rFonts w:ascii="Verdana" w:hAnsi="Verdana"/>
          <w:sz w:val="16"/>
          <w:szCs w:val="16"/>
        </w:rPr>
        <w:t xml:space="preserve"> Ibídem, p. 14. </w:t>
      </w:r>
    </w:p>
  </w:footnote>
  <w:footnote w:id="4">
    <w:p w14:paraId="7F0FF355" w14:textId="77777777" w:rsidR="00AB397A" w:rsidRPr="005F20A4" w:rsidRDefault="00AB397A" w:rsidP="00AB397A">
      <w:pPr>
        <w:pStyle w:val="Textonotapie"/>
        <w:ind w:firstLine="708"/>
        <w:jc w:val="both"/>
        <w:rPr>
          <w:rFonts w:ascii="Verdana" w:hAnsi="Verdana"/>
          <w:sz w:val="16"/>
          <w:szCs w:val="16"/>
          <w:lang w:val="es-CO"/>
        </w:rPr>
      </w:pPr>
      <w:r w:rsidRPr="005F20A4">
        <w:rPr>
          <w:rStyle w:val="Refdenotaalpie"/>
          <w:rFonts w:ascii="Verdana" w:hAnsi="Verdana"/>
          <w:sz w:val="16"/>
          <w:szCs w:val="16"/>
        </w:rPr>
        <w:footnoteRef/>
      </w:r>
      <w:r w:rsidRPr="005F20A4">
        <w:rPr>
          <w:rFonts w:ascii="Verdana" w:hAnsi="Verdana"/>
          <w:sz w:val="16"/>
          <w:szCs w:val="16"/>
        </w:rPr>
        <w:t xml:space="preserve"> </w:t>
      </w:r>
      <w:r w:rsidRPr="005F20A4">
        <w:rPr>
          <w:rFonts w:ascii="Verdana" w:hAnsi="Verdana"/>
          <w:bCs/>
          <w:sz w:val="16"/>
          <w:szCs w:val="16"/>
          <w:lang w:val="es-CO"/>
        </w:rPr>
        <w:t>Artículo 2.2.1.1.1.6.4. </w:t>
      </w:r>
      <w:r w:rsidRPr="005F20A4">
        <w:rPr>
          <w:rFonts w:ascii="Verdana" w:hAnsi="Verdana"/>
          <w:bCs/>
          <w:i/>
          <w:iCs/>
          <w:sz w:val="16"/>
          <w:szCs w:val="16"/>
          <w:lang w:val="es-CO"/>
        </w:rPr>
        <w:t>Capacidad Residual</w:t>
      </w:r>
      <w:r w:rsidRPr="005F20A4">
        <w:rPr>
          <w:rFonts w:ascii="Verdana" w:hAnsi="Verdana"/>
          <w:bCs/>
          <w:sz w:val="16"/>
          <w:szCs w:val="16"/>
          <w:lang w:val="es-CO"/>
        </w:rPr>
        <w:t>.</w:t>
      </w:r>
      <w:r w:rsidRPr="005F20A4">
        <w:rPr>
          <w:rFonts w:ascii="Verdana" w:hAnsi="Verdana"/>
          <w:sz w:val="16"/>
          <w:szCs w:val="16"/>
          <w:lang w:val="es-CO"/>
        </w:rPr>
        <w:t> El interesado en celebrar contratos de obra pública con Entidades Estatales debe acreditar su Capacidad Residual o K de Contratación con los siguientes documentos:</w:t>
      </w:r>
    </w:p>
    <w:p w14:paraId="21F71012" w14:textId="77777777" w:rsidR="00AB397A" w:rsidRPr="005F20A4" w:rsidRDefault="00AB397A" w:rsidP="00AB397A">
      <w:pPr>
        <w:pStyle w:val="Textonotapie"/>
        <w:ind w:firstLine="708"/>
        <w:jc w:val="both"/>
        <w:rPr>
          <w:rFonts w:ascii="Verdana" w:hAnsi="Verdana"/>
          <w:sz w:val="16"/>
          <w:szCs w:val="16"/>
          <w:lang w:val="es-CO"/>
        </w:rPr>
      </w:pPr>
      <w:r w:rsidRPr="005F20A4">
        <w:rPr>
          <w:rFonts w:ascii="Verdana" w:hAnsi="Verdana"/>
          <w:sz w:val="16"/>
          <w:szCs w:val="16"/>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E3056B0" w14:textId="77777777" w:rsidR="00AB397A" w:rsidRPr="005F20A4" w:rsidRDefault="00AB397A" w:rsidP="00AB397A">
      <w:pPr>
        <w:pStyle w:val="Textonotapie"/>
        <w:ind w:firstLine="708"/>
        <w:jc w:val="both"/>
        <w:rPr>
          <w:rFonts w:ascii="Verdana" w:hAnsi="Verdana"/>
          <w:i/>
          <w:sz w:val="16"/>
          <w:szCs w:val="16"/>
          <w:lang w:val="es-CO"/>
        </w:rPr>
      </w:pPr>
      <w:r w:rsidRPr="005F20A4">
        <w:rPr>
          <w:rFonts w:ascii="Verdana" w:hAnsi="Verdana"/>
          <w:i/>
          <w:sz w:val="16"/>
          <w:szCs w:val="16"/>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F7A50BD" w14:textId="77777777" w:rsidR="00AB397A" w:rsidRPr="005F20A4" w:rsidRDefault="00AB397A" w:rsidP="00AB397A">
      <w:pPr>
        <w:pStyle w:val="Textonotapie"/>
        <w:ind w:firstLine="708"/>
        <w:jc w:val="both"/>
        <w:rPr>
          <w:rFonts w:ascii="Verdana" w:hAnsi="Verdana"/>
          <w:sz w:val="16"/>
          <w:szCs w:val="16"/>
          <w:lang w:val="es-CO"/>
        </w:rPr>
      </w:pPr>
      <w:r w:rsidRPr="005F20A4">
        <w:rPr>
          <w:rFonts w:ascii="Verdana" w:hAnsi="Verdana"/>
          <w:sz w:val="16"/>
          <w:szCs w:val="16"/>
          <w:lang w:val="es-CO"/>
        </w:rPr>
        <w:t xml:space="preserve">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(énfasis fuera de texto). </w:t>
      </w:r>
    </w:p>
    <w:p w14:paraId="52784258" w14:textId="77777777" w:rsidR="00AB397A" w:rsidRPr="00D06146" w:rsidRDefault="00AB397A" w:rsidP="00AB397A">
      <w:pPr>
        <w:pStyle w:val="Textonotapie"/>
        <w:jc w:val="both"/>
        <w:rPr>
          <w:rFonts w:ascii="Verdana" w:hAnsi="Verdana"/>
          <w:sz w:val="16"/>
          <w:szCs w:val="16"/>
          <w:lang w:val="es-CO"/>
        </w:rPr>
      </w:pPr>
    </w:p>
  </w:footnote>
  <w:footnote w:id="5">
    <w:p w14:paraId="6A960215" w14:textId="77777777" w:rsidR="00AB397A" w:rsidRDefault="00AB397A" w:rsidP="00AB397A">
      <w:pPr>
        <w:pStyle w:val="Textonotapie"/>
        <w:ind w:firstLine="709"/>
        <w:rPr>
          <w:rFonts w:ascii="Verdana" w:hAnsi="Verdana"/>
          <w:sz w:val="14"/>
          <w:szCs w:val="14"/>
        </w:rPr>
      </w:pPr>
      <w:r w:rsidRPr="001C5517">
        <w:rPr>
          <w:rStyle w:val="Refdenotaalpie"/>
          <w:rFonts w:ascii="Verdana" w:hAnsi="Verdana"/>
          <w:sz w:val="14"/>
          <w:szCs w:val="14"/>
        </w:rPr>
        <w:footnoteRef/>
      </w:r>
      <w:r>
        <w:rPr>
          <w:rFonts w:ascii="Verdana" w:hAnsi="Verdana"/>
          <w:sz w:val="14"/>
          <w:szCs w:val="14"/>
        </w:rPr>
        <w:t xml:space="preserve"> Agencia Nacional de Contratación Pública -Colombia Compra Eficiente. </w:t>
      </w:r>
      <w:r w:rsidRPr="00D36941">
        <w:rPr>
          <w:rFonts w:ascii="Verdana" w:hAnsi="Verdana"/>
          <w:sz w:val="14"/>
          <w:szCs w:val="14"/>
        </w:rPr>
        <w:t xml:space="preserve">Manual </w:t>
      </w:r>
      <w:r>
        <w:rPr>
          <w:rFonts w:ascii="Verdana" w:hAnsi="Verdana"/>
          <w:sz w:val="14"/>
          <w:szCs w:val="14"/>
        </w:rPr>
        <w:t>p</w:t>
      </w:r>
      <w:r w:rsidRPr="00D36941">
        <w:rPr>
          <w:rFonts w:ascii="Verdana" w:hAnsi="Verdana"/>
          <w:sz w:val="14"/>
          <w:szCs w:val="14"/>
        </w:rPr>
        <w:t xml:space="preserve">ara </w:t>
      </w:r>
      <w:r>
        <w:rPr>
          <w:rFonts w:ascii="Verdana" w:hAnsi="Verdana"/>
          <w:sz w:val="14"/>
          <w:szCs w:val="14"/>
        </w:rPr>
        <w:t>d</w:t>
      </w:r>
      <w:r w:rsidRPr="00D36941">
        <w:rPr>
          <w:rFonts w:ascii="Verdana" w:hAnsi="Verdana"/>
          <w:sz w:val="14"/>
          <w:szCs w:val="14"/>
        </w:rPr>
        <w:t xml:space="preserve">eterminar </w:t>
      </w:r>
      <w:r>
        <w:rPr>
          <w:rFonts w:ascii="Verdana" w:hAnsi="Verdana"/>
          <w:sz w:val="14"/>
          <w:szCs w:val="14"/>
        </w:rPr>
        <w:t>y v</w:t>
      </w:r>
      <w:r w:rsidRPr="00D36941">
        <w:rPr>
          <w:rFonts w:ascii="Verdana" w:hAnsi="Verdana"/>
          <w:sz w:val="14"/>
          <w:szCs w:val="14"/>
        </w:rPr>
        <w:t xml:space="preserve">erificar Los Requisitos Habilitantes </w:t>
      </w:r>
      <w:r>
        <w:rPr>
          <w:rFonts w:ascii="Verdana" w:hAnsi="Verdana"/>
          <w:sz w:val="14"/>
          <w:szCs w:val="14"/>
        </w:rPr>
        <w:t>e</w:t>
      </w:r>
      <w:r w:rsidRPr="00D36941">
        <w:rPr>
          <w:rFonts w:ascii="Verdana" w:hAnsi="Verdana"/>
          <w:sz w:val="14"/>
          <w:szCs w:val="14"/>
        </w:rPr>
        <w:t xml:space="preserve">n </w:t>
      </w:r>
      <w:r>
        <w:rPr>
          <w:rFonts w:ascii="Verdana" w:hAnsi="Verdana"/>
          <w:sz w:val="14"/>
          <w:szCs w:val="14"/>
        </w:rPr>
        <w:t>l</w:t>
      </w:r>
      <w:r w:rsidRPr="00D36941">
        <w:rPr>
          <w:rFonts w:ascii="Verdana" w:hAnsi="Verdana"/>
          <w:sz w:val="14"/>
          <w:szCs w:val="14"/>
        </w:rPr>
        <w:t xml:space="preserve">os Procesos </w:t>
      </w:r>
      <w:r>
        <w:rPr>
          <w:rFonts w:ascii="Verdana" w:hAnsi="Verdana"/>
          <w:sz w:val="14"/>
          <w:szCs w:val="14"/>
        </w:rPr>
        <w:t>d</w:t>
      </w:r>
      <w:r w:rsidRPr="00D36941">
        <w:rPr>
          <w:rFonts w:ascii="Verdana" w:hAnsi="Verdana"/>
          <w:sz w:val="14"/>
          <w:szCs w:val="14"/>
        </w:rPr>
        <w:t xml:space="preserve">e Contratación  </w:t>
      </w:r>
      <w:hyperlink r:id="rId2" w:history="1">
        <w:r w:rsidRPr="00AE16E3">
          <w:rPr>
            <w:rStyle w:val="Hipervnculo"/>
            <w:rFonts w:ascii="Verdana" w:hAnsi="Verdana"/>
            <w:sz w:val="14"/>
            <w:szCs w:val="14"/>
          </w:rPr>
          <w:t>https://www.colombiacompra.gov.co/archivos/manual/manual-para-determinar-y-verificar-los-requisitos-habilitantes-en-los-procesos-de-contratacion</w:t>
        </w:r>
      </w:hyperlink>
      <w:r>
        <w:rPr>
          <w:rFonts w:ascii="Verdana" w:hAnsi="Verdana"/>
          <w:sz w:val="14"/>
          <w:szCs w:val="14"/>
        </w:rPr>
        <w:t xml:space="preserve">. 2023. p. 36. </w:t>
      </w:r>
    </w:p>
    <w:p w14:paraId="17DAD0D9" w14:textId="77777777" w:rsidR="00AB397A" w:rsidRPr="001C5517" w:rsidRDefault="00AB397A" w:rsidP="00AB397A">
      <w:pPr>
        <w:pStyle w:val="Textonotapie"/>
        <w:ind w:firstLine="709"/>
        <w:rPr>
          <w:rFonts w:ascii="Verdana" w:hAnsi="Verdana"/>
          <w:sz w:val="14"/>
          <w:szCs w:val="14"/>
          <w:lang w:val="es-ES"/>
        </w:rPr>
      </w:pPr>
    </w:p>
  </w:footnote>
  <w:footnote w:id="6">
    <w:p w14:paraId="408AD9EB" w14:textId="77777777" w:rsidR="00AB397A" w:rsidRPr="00642C87" w:rsidRDefault="00AB397A" w:rsidP="00AB397A">
      <w:pPr>
        <w:pStyle w:val="Textonotapie"/>
        <w:ind w:firstLine="708"/>
        <w:jc w:val="both"/>
        <w:rPr>
          <w:rFonts w:ascii="Verdana" w:hAnsi="Verdana"/>
          <w:sz w:val="16"/>
          <w:szCs w:val="16"/>
          <w:lang w:val="es-CO"/>
        </w:rPr>
      </w:pPr>
      <w:r w:rsidRPr="00642C87">
        <w:rPr>
          <w:rStyle w:val="Refdenotaalpie"/>
          <w:rFonts w:ascii="Verdana" w:hAnsi="Verdana"/>
          <w:sz w:val="16"/>
          <w:szCs w:val="16"/>
        </w:rPr>
        <w:footnoteRef/>
      </w:r>
      <w:r w:rsidRPr="00642C87">
        <w:rPr>
          <w:rFonts w:ascii="Verdana" w:hAnsi="Verdana"/>
          <w:sz w:val="16"/>
          <w:szCs w:val="16"/>
        </w:rPr>
        <w:t xml:space="preserve"> Agencia Nacional de Contratación Pública –Colombia Compra Eficiente. </w:t>
      </w:r>
      <w:r w:rsidRPr="00642C87">
        <w:rPr>
          <w:rFonts w:ascii="Verdana" w:hAnsi="Verdana"/>
          <w:sz w:val="16"/>
          <w:szCs w:val="16"/>
          <w:lang w:val="es-CO"/>
        </w:rPr>
        <w:t xml:space="preserve">Guía para Determinar y Verificar la Capacidad Residual del Proponente en los Procesos de Contratación de Obra Pública. </w:t>
      </w:r>
      <w:r w:rsidRPr="00642C87">
        <w:rPr>
          <w:rFonts w:ascii="Verdana" w:hAnsi="Verdana"/>
          <w:sz w:val="16"/>
          <w:szCs w:val="16"/>
        </w:rPr>
        <w:t xml:space="preserve">Disponible en línea: </w:t>
      </w:r>
      <w:hyperlink r:id="rId3" w:history="1">
        <w:r w:rsidRPr="00642C87">
          <w:rPr>
            <w:rStyle w:val="Hipervnculo"/>
            <w:rFonts w:ascii="Verdana" w:hAnsi="Verdana"/>
            <w:sz w:val="16"/>
            <w:szCs w:val="16"/>
          </w:rPr>
          <w:t>https://www.colombiacompra.gov.co/archivos/manual/guia-para-determinar-y-verificar-la-capacidad-residual-del-proponente-en-los-procesos-de-contratacion-de-obra-publica</w:t>
        </w:r>
      </w:hyperlink>
      <w:r w:rsidRPr="00642C87">
        <w:rPr>
          <w:rFonts w:ascii="Verdana" w:hAnsi="Verdana"/>
          <w:sz w:val="16"/>
          <w:szCs w:val="16"/>
        </w:rPr>
        <w:t xml:space="preserve">. 2023. p. 20. </w:t>
      </w:r>
    </w:p>
  </w:footnote>
  <w:footnote w:id="7">
    <w:p w14:paraId="29D6D1FB" w14:textId="77777777" w:rsidR="00AB397A" w:rsidRDefault="00AB397A" w:rsidP="00AB397A">
      <w:pPr>
        <w:pStyle w:val="Textonotapie"/>
        <w:ind w:firstLine="708"/>
      </w:pPr>
      <w:r w:rsidRPr="00642C87">
        <w:rPr>
          <w:rStyle w:val="Refdenotaalpie"/>
          <w:rFonts w:ascii="Verdana" w:hAnsi="Verdana"/>
          <w:sz w:val="16"/>
          <w:szCs w:val="16"/>
        </w:rPr>
        <w:footnoteRef/>
      </w:r>
      <w:r w:rsidRPr="00642C87">
        <w:rPr>
          <w:rFonts w:ascii="Verdana" w:hAnsi="Verdana"/>
          <w:sz w:val="16"/>
          <w:szCs w:val="16"/>
        </w:rPr>
        <w:t xml:space="preserve"> </w:t>
      </w:r>
      <w:r w:rsidRPr="00642C87">
        <w:rPr>
          <w:rFonts w:ascii="Verdana" w:hAnsi="Verdana"/>
          <w:sz w:val="16"/>
          <w:szCs w:val="16"/>
        </w:rPr>
        <w:t>Ibídem., p. 20.</w:t>
      </w:r>
      <w:r>
        <w:t xml:space="preserve"> </w:t>
      </w:r>
    </w:p>
  </w:footnote>
  <w:footnote w:id="8">
    <w:p w14:paraId="31425A35" w14:textId="77777777" w:rsidR="00AB397A" w:rsidRPr="001B69E9" w:rsidRDefault="00AB397A" w:rsidP="00AB397A">
      <w:pPr>
        <w:pStyle w:val="Textonotapie"/>
        <w:ind w:firstLine="708"/>
        <w:rPr>
          <w:rFonts w:ascii="Verdana" w:hAnsi="Verdana"/>
          <w:sz w:val="16"/>
          <w:szCs w:val="16"/>
          <w:lang w:val="es-CO"/>
        </w:rPr>
      </w:pPr>
      <w:r w:rsidRPr="001B69E9">
        <w:rPr>
          <w:rStyle w:val="Refdenotaalpie"/>
          <w:rFonts w:ascii="Verdana" w:hAnsi="Verdana"/>
          <w:sz w:val="16"/>
          <w:szCs w:val="16"/>
        </w:rPr>
        <w:footnoteRef/>
      </w:r>
      <w:r w:rsidRPr="001B69E9">
        <w:rPr>
          <w:rFonts w:ascii="Verdana" w:hAnsi="Verdana"/>
          <w:sz w:val="16"/>
          <w:szCs w:val="16"/>
        </w:rPr>
        <w:t xml:space="preserve"> Agencia Nacional de Contratación Pública – Colombia Compra Eficiente. </w:t>
      </w:r>
      <w:r w:rsidRPr="001B69E9">
        <w:rPr>
          <w:rFonts w:ascii="Verdana" w:hAnsi="Verdana"/>
          <w:sz w:val="16"/>
          <w:szCs w:val="16"/>
          <w:lang w:val="es-CO"/>
        </w:rPr>
        <w:t xml:space="preserve">Guía para Determinar y Verificar la Capacidad Residual del Proponente en los Procesos de Contratación de Obra Pública. Versión G-VCRP-02. p. 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so1B13"/>
      </v:shape>
    </w:pict>
  </w:numPicBullet>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8C76E41"/>
    <w:multiLevelType w:val="multilevel"/>
    <w:tmpl w:val="02D6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5D1376CE"/>
    <w:multiLevelType w:val="hybridMultilevel"/>
    <w:tmpl w:val="0DE68D62"/>
    <w:lvl w:ilvl="0" w:tplc="040A0001">
      <w:start w:val="1"/>
      <w:numFmt w:val="bullet"/>
      <w:lvlText w:val=""/>
      <w:lvlJc w:val="left"/>
      <w:pPr>
        <w:ind w:left="1434" w:hanging="360"/>
      </w:pPr>
      <w:rPr>
        <w:rFonts w:ascii="Symbol" w:hAnsi="Symbol" w:hint="default"/>
      </w:rPr>
    </w:lvl>
    <w:lvl w:ilvl="1" w:tplc="040A0003" w:tentative="1">
      <w:start w:val="1"/>
      <w:numFmt w:val="bullet"/>
      <w:lvlText w:val="o"/>
      <w:lvlJc w:val="left"/>
      <w:pPr>
        <w:ind w:left="2154" w:hanging="360"/>
      </w:pPr>
      <w:rPr>
        <w:rFonts w:ascii="Courier New" w:hAnsi="Courier New" w:cs="Courier New" w:hint="default"/>
      </w:rPr>
    </w:lvl>
    <w:lvl w:ilvl="2" w:tplc="040A0005" w:tentative="1">
      <w:start w:val="1"/>
      <w:numFmt w:val="bullet"/>
      <w:lvlText w:val=""/>
      <w:lvlJc w:val="left"/>
      <w:pPr>
        <w:ind w:left="2874" w:hanging="360"/>
      </w:pPr>
      <w:rPr>
        <w:rFonts w:ascii="Wingdings" w:hAnsi="Wingdings" w:hint="default"/>
      </w:rPr>
    </w:lvl>
    <w:lvl w:ilvl="3" w:tplc="040A0001" w:tentative="1">
      <w:start w:val="1"/>
      <w:numFmt w:val="bullet"/>
      <w:lvlText w:val=""/>
      <w:lvlJc w:val="left"/>
      <w:pPr>
        <w:ind w:left="3594" w:hanging="360"/>
      </w:pPr>
      <w:rPr>
        <w:rFonts w:ascii="Symbol" w:hAnsi="Symbol" w:hint="default"/>
      </w:rPr>
    </w:lvl>
    <w:lvl w:ilvl="4" w:tplc="040A0003" w:tentative="1">
      <w:start w:val="1"/>
      <w:numFmt w:val="bullet"/>
      <w:lvlText w:val="o"/>
      <w:lvlJc w:val="left"/>
      <w:pPr>
        <w:ind w:left="4314" w:hanging="360"/>
      </w:pPr>
      <w:rPr>
        <w:rFonts w:ascii="Courier New" w:hAnsi="Courier New" w:cs="Courier New" w:hint="default"/>
      </w:rPr>
    </w:lvl>
    <w:lvl w:ilvl="5" w:tplc="040A0005" w:tentative="1">
      <w:start w:val="1"/>
      <w:numFmt w:val="bullet"/>
      <w:lvlText w:val=""/>
      <w:lvlJc w:val="left"/>
      <w:pPr>
        <w:ind w:left="5034" w:hanging="360"/>
      </w:pPr>
      <w:rPr>
        <w:rFonts w:ascii="Wingdings" w:hAnsi="Wingdings" w:hint="default"/>
      </w:rPr>
    </w:lvl>
    <w:lvl w:ilvl="6" w:tplc="040A0001" w:tentative="1">
      <w:start w:val="1"/>
      <w:numFmt w:val="bullet"/>
      <w:lvlText w:val=""/>
      <w:lvlJc w:val="left"/>
      <w:pPr>
        <w:ind w:left="5754" w:hanging="360"/>
      </w:pPr>
      <w:rPr>
        <w:rFonts w:ascii="Symbol" w:hAnsi="Symbol" w:hint="default"/>
      </w:rPr>
    </w:lvl>
    <w:lvl w:ilvl="7" w:tplc="040A0003" w:tentative="1">
      <w:start w:val="1"/>
      <w:numFmt w:val="bullet"/>
      <w:lvlText w:val="o"/>
      <w:lvlJc w:val="left"/>
      <w:pPr>
        <w:ind w:left="6474" w:hanging="360"/>
      </w:pPr>
      <w:rPr>
        <w:rFonts w:ascii="Courier New" w:hAnsi="Courier New" w:cs="Courier New" w:hint="default"/>
      </w:rPr>
    </w:lvl>
    <w:lvl w:ilvl="8" w:tplc="040A0005" w:tentative="1">
      <w:start w:val="1"/>
      <w:numFmt w:val="bullet"/>
      <w:lvlText w:val=""/>
      <w:lvlJc w:val="left"/>
      <w:pPr>
        <w:ind w:left="7194" w:hanging="360"/>
      </w:pPr>
      <w:rPr>
        <w:rFonts w:ascii="Wingdings" w:hAnsi="Wingdings" w:hint="default"/>
      </w:r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7554691B"/>
    <w:multiLevelType w:val="multilevel"/>
    <w:tmpl w:val="1A68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9"/>
  </w:num>
  <w:num w:numId="7" w16cid:durableId="1946422806">
    <w:abstractNumId w:val="9"/>
  </w:num>
  <w:num w:numId="8" w16cid:durableId="152644682">
    <w:abstractNumId w:val="18"/>
  </w:num>
  <w:num w:numId="9" w16cid:durableId="1317221377">
    <w:abstractNumId w:val="11"/>
  </w:num>
  <w:num w:numId="10" w16cid:durableId="1471245386">
    <w:abstractNumId w:val="17"/>
  </w:num>
  <w:num w:numId="11" w16cid:durableId="289172385">
    <w:abstractNumId w:val="12"/>
  </w:num>
  <w:num w:numId="12" w16cid:durableId="1470781324">
    <w:abstractNumId w:val="2"/>
  </w:num>
  <w:num w:numId="13" w16cid:durableId="1512908409">
    <w:abstractNumId w:val="6"/>
  </w:num>
  <w:num w:numId="14" w16cid:durableId="895897244">
    <w:abstractNumId w:val="20"/>
  </w:num>
  <w:num w:numId="15" w16cid:durableId="390349800">
    <w:abstractNumId w:val="16"/>
  </w:num>
  <w:num w:numId="16" w16cid:durableId="1330140246">
    <w:abstractNumId w:val="1"/>
  </w:num>
  <w:num w:numId="17" w16cid:durableId="679089576">
    <w:abstractNumId w:val="13"/>
  </w:num>
  <w:num w:numId="18" w16cid:durableId="1956014718">
    <w:abstractNumId w:val="0"/>
  </w:num>
  <w:num w:numId="19" w16cid:durableId="1341468668">
    <w:abstractNumId w:val="4"/>
  </w:num>
  <w:num w:numId="20" w16cid:durableId="84695097">
    <w:abstractNumId w:val="15"/>
  </w:num>
  <w:num w:numId="21" w16cid:durableId="792796158">
    <w:abstractNumId w:val="5"/>
  </w:num>
  <w:num w:numId="22" w16cid:durableId="1032531947">
    <w:abstractNumId w:val="22"/>
  </w:num>
  <w:num w:numId="23" w16cid:durableId="1548419692">
    <w:abstractNumId w:val="21"/>
  </w:num>
  <w:num w:numId="24" w16cid:durableId="1443304022">
    <w:abstractNumId w:val="7"/>
  </w:num>
  <w:num w:numId="25" w16cid:durableId="5010510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69"/>
    <w:rsid w:val="000103C9"/>
    <w:rsid w:val="00010DDA"/>
    <w:rsid w:val="000157E5"/>
    <w:rsid w:val="00015E3F"/>
    <w:rsid w:val="00016F78"/>
    <w:rsid w:val="00017CDE"/>
    <w:rsid w:val="00021CEB"/>
    <w:rsid w:val="00023310"/>
    <w:rsid w:val="00037403"/>
    <w:rsid w:val="00045316"/>
    <w:rsid w:val="0004660C"/>
    <w:rsid w:val="00046945"/>
    <w:rsid w:val="00047F12"/>
    <w:rsid w:val="00061B2A"/>
    <w:rsid w:val="000625FF"/>
    <w:rsid w:val="00064A50"/>
    <w:rsid w:val="000666C3"/>
    <w:rsid w:val="00067612"/>
    <w:rsid w:val="00082236"/>
    <w:rsid w:val="00082362"/>
    <w:rsid w:val="00082A14"/>
    <w:rsid w:val="00086435"/>
    <w:rsid w:val="00086569"/>
    <w:rsid w:val="0009238A"/>
    <w:rsid w:val="00095FD8"/>
    <w:rsid w:val="00097569"/>
    <w:rsid w:val="000A0F7B"/>
    <w:rsid w:val="000A26A4"/>
    <w:rsid w:val="000A3E96"/>
    <w:rsid w:val="000A4867"/>
    <w:rsid w:val="000A4C81"/>
    <w:rsid w:val="000A5329"/>
    <w:rsid w:val="000A683E"/>
    <w:rsid w:val="000B17F8"/>
    <w:rsid w:val="000B19B9"/>
    <w:rsid w:val="000B4860"/>
    <w:rsid w:val="000D0334"/>
    <w:rsid w:val="000D0B7F"/>
    <w:rsid w:val="000D35BF"/>
    <w:rsid w:val="000D3DDE"/>
    <w:rsid w:val="000D5DA7"/>
    <w:rsid w:val="000D6C39"/>
    <w:rsid w:val="000D717A"/>
    <w:rsid w:val="000E11C3"/>
    <w:rsid w:val="000E3032"/>
    <w:rsid w:val="000E4C13"/>
    <w:rsid w:val="000E64DA"/>
    <w:rsid w:val="000F24F8"/>
    <w:rsid w:val="000F3FA4"/>
    <w:rsid w:val="000F471A"/>
    <w:rsid w:val="000F6486"/>
    <w:rsid w:val="000F7317"/>
    <w:rsid w:val="0010554D"/>
    <w:rsid w:val="00110A40"/>
    <w:rsid w:val="00110CD2"/>
    <w:rsid w:val="0011302F"/>
    <w:rsid w:val="0011561E"/>
    <w:rsid w:val="00116940"/>
    <w:rsid w:val="00122024"/>
    <w:rsid w:val="001239B4"/>
    <w:rsid w:val="001247D7"/>
    <w:rsid w:val="00125105"/>
    <w:rsid w:val="0012624C"/>
    <w:rsid w:val="00127233"/>
    <w:rsid w:val="00130B68"/>
    <w:rsid w:val="00133097"/>
    <w:rsid w:val="00143849"/>
    <w:rsid w:val="00144187"/>
    <w:rsid w:val="001517BB"/>
    <w:rsid w:val="0015699B"/>
    <w:rsid w:val="00160096"/>
    <w:rsid w:val="00160B79"/>
    <w:rsid w:val="0016281D"/>
    <w:rsid w:val="00163853"/>
    <w:rsid w:val="00164ADD"/>
    <w:rsid w:val="001678BE"/>
    <w:rsid w:val="001714FB"/>
    <w:rsid w:val="0017283C"/>
    <w:rsid w:val="00173386"/>
    <w:rsid w:val="0017701C"/>
    <w:rsid w:val="00184E30"/>
    <w:rsid w:val="0018564C"/>
    <w:rsid w:val="00195E1E"/>
    <w:rsid w:val="001A2E17"/>
    <w:rsid w:val="001A2FD6"/>
    <w:rsid w:val="001A33BF"/>
    <w:rsid w:val="001B177F"/>
    <w:rsid w:val="001B49C2"/>
    <w:rsid w:val="001B69E9"/>
    <w:rsid w:val="001C29FB"/>
    <w:rsid w:val="001C3440"/>
    <w:rsid w:val="001C6AF9"/>
    <w:rsid w:val="001C70AC"/>
    <w:rsid w:val="001C75FC"/>
    <w:rsid w:val="001D0A38"/>
    <w:rsid w:val="001E32DE"/>
    <w:rsid w:val="001E3995"/>
    <w:rsid w:val="001E3DD9"/>
    <w:rsid w:val="001E4177"/>
    <w:rsid w:val="001E4B33"/>
    <w:rsid w:val="001F0B24"/>
    <w:rsid w:val="001F0C7C"/>
    <w:rsid w:val="001F2D3D"/>
    <w:rsid w:val="001F2E0B"/>
    <w:rsid w:val="001F4D85"/>
    <w:rsid w:val="001F6F7B"/>
    <w:rsid w:val="001F7DC6"/>
    <w:rsid w:val="00205C7C"/>
    <w:rsid w:val="00207EC0"/>
    <w:rsid w:val="0021064C"/>
    <w:rsid w:val="0021257A"/>
    <w:rsid w:val="00216B9F"/>
    <w:rsid w:val="0022104F"/>
    <w:rsid w:val="0022400B"/>
    <w:rsid w:val="00226791"/>
    <w:rsid w:val="00237093"/>
    <w:rsid w:val="00241113"/>
    <w:rsid w:val="002421BB"/>
    <w:rsid w:val="002426E8"/>
    <w:rsid w:val="002455EC"/>
    <w:rsid w:val="00253499"/>
    <w:rsid w:val="00253B30"/>
    <w:rsid w:val="00253DB6"/>
    <w:rsid w:val="00255036"/>
    <w:rsid w:val="0025796E"/>
    <w:rsid w:val="00263336"/>
    <w:rsid w:val="00264BBF"/>
    <w:rsid w:val="002707A2"/>
    <w:rsid w:val="00271791"/>
    <w:rsid w:val="002754C0"/>
    <w:rsid w:val="00275C87"/>
    <w:rsid w:val="00275F38"/>
    <w:rsid w:val="00280D29"/>
    <w:rsid w:val="0029330A"/>
    <w:rsid w:val="00294480"/>
    <w:rsid w:val="00294B5B"/>
    <w:rsid w:val="002951A0"/>
    <w:rsid w:val="002962BC"/>
    <w:rsid w:val="002A093D"/>
    <w:rsid w:val="002A0DD0"/>
    <w:rsid w:val="002A4499"/>
    <w:rsid w:val="002A49AC"/>
    <w:rsid w:val="002A64FD"/>
    <w:rsid w:val="002B1875"/>
    <w:rsid w:val="002B31F8"/>
    <w:rsid w:val="002C2646"/>
    <w:rsid w:val="002C2D05"/>
    <w:rsid w:val="002C2E58"/>
    <w:rsid w:val="002C3DCA"/>
    <w:rsid w:val="002C4CAD"/>
    <w:rsid w:val="002C54CA"/>
    <w:rsid w:val="002C6C96"/>
    <w:rsid w:val="002C7A84"/>
    <w:rsid w:val="002D1E0E"/>
    <w:rsid w:val="002D4173"/>
    <w:rsid w:val="002E0771"/>
    <w:rsid w:val="002E1D17"/>
    <w:rsid w:val="002E2A62"/>
    <w:rsid w:val="002E2BF8"/>
    <w:rsid w:val="002E4FD9"/>
    <w:rsid w:val="002E7652"/>
    <w:rsid w:val="002E7855"/>
    <w:rsid w:val="002F3212"/>
    <w:rsid w:val="00300DB3"/>
    <w:rsid w:val="003014D9"/>
    <w:rsid w:val="00301559"/>
    <w:rsid w:val="00302D5E"/>
    <w:rsid w:val="0030657A"/>
    <w:rsid w:val="003072FA"/>
    <w:rsid w:val="00314EAC"/>
    <w:rsid w:val="003213C7"/>
    <w:rsid w:val="00322A85"/>
    <w:rsid w:val="00324168"/>
    <w:rsid w:val="003246D3"/>
    <w:rsid w:val="00327E56"/>
    <w:rsid w:val="00330488"/>
    <w:rsid w:val="00330834"/>
    <w:rsid w:val="00337EB7"/>
    <w:rsid w:val="003416F2"/>
    <w:rsid w:val="003448F4"/>
    <w:rsid w:val="00344D03"/>
    <w:rsid w:val="003472C0"/>
    <w:rsid w:val="00347BD0"/>
    <w:rsid w:val="003529A7"/>
    <w:rsid w:val="00353D9E"/>
    <w:rsid w:val="003548DD"/>
    <w:rsid w:val="00355CE3"/>
    <w:rsid w:val="00356820"/>
    <w:rsid w:val="003570F9"/>
    <w:rsid w:val="003579FC"/>
    <w:rsid w:val="00361949"/>
    <w:rsid w:val="00361EC8"/>
    <w:rsid w:val="003627FA"/>
    <w:rsid w:val="00374647"/>
    <w:rsid w:val="00374F5E"/>
    <w:rsid w:val="00375567"/>
    <w:rsid w:val="00375890"/>
    <w:rsid w:val="00375B9A"/>
    <w:rsid w:val="00377E3E"/>
    <w:rsid w:val="0038119B"/>
    <w:rsid w:val="00383D3A"/>
    <w:rsid w:val="00386C9B"/>
    <w:rsid w:val="00390A81"/>
    <w:rsid w:val="00391EFD"/>
    <w:rsid w:val="00394830"/>
    <w:rsid w:val="00397D0A"/>
    <w:rsid w:val="00397FF6"/>
    <w:rsid w:val="003A07E3"/>
    <w:rsid w:val="003A1B16"/>
    <w:rsid w:val="003A1BF4"/>
    <w:rsid w:val="003A3EC0"/>
    <w:rsid w:val="003A779E"/>
    <w:rsid w:val="003C30AD"/>
    <w:rsid w:val="003C37BD"/>
    <w:rsid w:val="003D0F4D"/>
    <w:rsid w:val="003D1A44"/>
    <w:rsid w:val="003D44A3"/>
    <w:rsid w:val="003D5B0D"/>
    <w:rsid w:val="003D6C1E"/>
    <w:rsid w:val="003E0499"/>
    <w:rsid w:val="003E4F80"/>
    <w:rsid w:val="003E6439"/>
    <w:rsid w:val="003F3941"/>
    <w:rsid w:val="003F3C57"/>
    <w:rsid w:val="00402B88"/>
    <w:rsid w:val="004050A8"/>
    <w:rsid w:val="00406575"/>
    <w:rsid w:val="00406605"/>
    <w:rsid w:val="004068F3"/>
    <w:rsid w:val="00407836"/>
    <w:rsid w:val="00412F49"/>
    <w:rsid w:val="00414C74"/>
    <w:rsid w:val="00416DA0"/>
    <w:rsid w:val="00421F41"/>
    <w:rsid w:val="00421F74"/>
    <w:rsid w:val="004220B0"/>
    <w:rsid w:val="00422E63"/>
    <w:rsid w:val="00423184"/>
    <w:rsid w:val="00426A6E"/>
    <w:rsid w:val="0042722E"/>
    <w:rsid w:val="004433DD"/>
    <w:rsid w:val="0044528D"/>
    <w:rsid w:val="004458D0"/>
    <w:rsid w:val="004469FB"/>
    <w:rsid w:val="00447B74"/>
    <w:rsid w:val="00451F23"/>
    <w:rsid w:val="00452212"/>
    <w:rsid w:val="004527B8"/>
    <w:rsid w:val="00454FE4"/>
    <w:rsid w:val="00455D27"/>
    <w:rsid w:val="00455E83"/>
    <w:rsid w:val="0045788B"/>
    <w:rsid w:val="00466E39"/>
    <w:rsid w:val="004704C5"/>
    <w:rsid w:val="00471A95"/>
    <w:rsid w:val="00475918"/>
    <w:rsid w:val="00476BFE"/>
    <w:rsid w:val="0047728E"/>
    <w:rsid w:val="00490F09"/>
    <w:rsid w:val="0049193E"/>
    <w:rsid w:val="0049554D"/>
    <w:rsid w:val="00495AF2"/>
    <w:rsid w:val="0049603E"/>
    <w:rsid w:val="004971F7"/>
    <w:rsid w:val="00497A01"/>
    <w:rsid w:val="004A1847"/>
    <w:rsid w:val="004A305D"/>
    <w:rsid w:val="004A3410"/>
    <w:rsid w:val="004A4033"/>
    <w:rsid w:val="004A4245"/>
    <w:rsid w:val="004A52C8"/>
    <w:rsid w:val="004A645B"/>
    <w:rsid w:val="004B05F4"/>
    <w:rsid w:val="004B4EA2"/>
    <w:rsid w:val="004C54BB"/>
    <w:rsid w:val="004C6F0D"/>
    <w:rsid w:val="004C73FA"/>
    <w:rsid w:val="004D190F"/>
    <w:rsid w:val="004D292B"/>
    <w:rsid w:val="004D3569"/>
    <w:rsid w:val="004D36B9"/>
    <w:rsid w:val="004D37B8"/>
    <w:rsid w:val="004D550B"/>
    <w:rsid w:val="004E14D0"/>
    <w:rsid w:val="004E3717"/>
    <w:rsid w:val="004E37EA"/>
    <w:rsid w:val="004E693F"/>
    <w:rsid w:val="004E7655"/>
    <w:rsid w:val="004F21C4"/>
    <w:rsid w:val="004F4609"/>
    <w:rsid w:val="004F685F"/>
    <w:rsid w:val="005014F0"/>
    <w:rsid w:val="005063BD"/>
    <w:rsid w:val="005073F9"/>
    <w:rsid w:val="00524522"/>
    <w:rsid w:val="00526AF5"/>
    <w:rsid w:val="0053193C"/>
    <w:rsid w:val="005365AB"/>
    <w:rsid w:val="00536E5F"/>
    <w:rsid w:val="00540012"/>
    <w:rsid w:val="005414CA"/>
    <w:rsid w:val="005435C8"/>
    <w:rsid w:val="00543E93"/>
    <w:rsid w:val="00544BB7"/>
    <w:rsid w:val="00544BB8"/>
    <w:rsid w:val="00546DC2"/>
    <w:rsid w:val="0055133D"/>
    <w:rsid w:val="005521B4"/>
    <w:rsid w:val="0055413F"/>
    <w:rsid w:val="005566E8"/>
    <w:rsid w:val="005675B8"/>
    <w:rsid w:val="00570358"/>
    <w:rsid w:val="005726CE"/>
    <w:rsid w:val="00573630"/>
    <w:rsid w:val="00574867"/>
    <w:rsid w:val="00574A81"/>
    <w:rsid w:val="00576460"/>
    <w:rsid w:val="00583676"/>
    <w:rsid w:val="00587FBF"/>
    <w:rsid w:val="00591460"/>
    <w:rsid w:val="00592414"/>
    <w:rsid w:val="005A157B"/>
    <w:rsid w:val="005A1BA3"/>
    <w:rsid w:val="005A5F5E"/>
    <w:rsid w:val="005A65E0"/>
    <w:rsid w:val="005B2120"/>
    <w:rsid w:val="005B4665"/>
    <w:rsid w:val="005B6192"/>
    <w:rsid w:val="005C037C"/>
    <w:rsid w:val="005C142E"/>
    <w:rsid w:val="005C1C75"/>
    <w:rsid w:val="005C3777"/>
    <w:rsid w:val="005C5CDC"/>
    <w:rsid w:val="005D007F"/>
    <w:rsid w:val="005D2561"/>
    <w:rsid w:val="005D3C03"/>
    <w:rsid w:val="005D476C"/>
    <w:rsid w:val="005D4B75"/>
    <w:rsid w:val="005D5A9E"/>
    <w:rsid w:val="005D778E"/>
    <w:rsid w:val="005E1091"/>
    <w:rsid w:val="005E17E0"/>
    <w:rsid w:val="005E27C7"/>
    <w:rsid w:val="005E39C8"/>
    <w:rsid w:val="005F1F15"/>
    <w:rsid w:val="005F3C52"/>
    <w:rsid w:val="005F7950"/>
    <w:rsid w:val="005F7FE3"/>
    <w:rsid w:val="00611025"/>
    <w:rsid w:val="006137F9"/>
    <w:rsid w:val="006144AA"/>
    <w:rsid w:val="006147B6"/>
    <w:rsid w:val="0061761C"/>
    <w:rsid w:val="006200BF"/>
    <w:rsid w:val="006219F8"/>
    <w:rsid w:val="006300C0"/>
    <w:rsid w:val="006302F7"/>
    <w:rsid w:val="00635890"/>
    <w:rsid w:val="00636FFB"/>
    <w:rsid w:val="00642C87"/>
    <w:rsid w:val="00643AD3"/>
    <w:rsid w:val="0064644B"/>
    <w:rsid w:val="00646AD6"/>
    <w:rsid w:val="00646B9F"/>
    <w:rsid w:val="00647B26"/>
    <w:rsid w:val="00654D2E"/>
    <w:rsid w:val="00655361"/>
    <w:rsid w:val="00660A18"/>
    <w:rsid w:val="00662988"/>
    <w:rsid w:val="00665D70"/>
    <w:rsid w:val="00667AB1"/>
    <w:rsid w:val="00670668"/>
    <w:rsid w:val="00680B37"/>
    <w:rsid w:val="006837FE"/>
    <w:rsid w:val="00684E12"/>
    <w:rsid w:val="00685069"/>
    <w:rsid w:val="0068691A"/>
    <w:rsid w:val="006900D9"/>
    <w:rsid w:val="00690A64"/>
    <w:rsid w:val="006921BB"/>
    <w:rsid w:val="006A1832"/>
    <w:rsid w:val="006B1189"/>
    <w:rsid w:val="006B35DE"/>
    <w:rsid w:val="006B7A9D"/>
    <w:rsid w:val="006C24AC"/>
    <w:rsid w:val="006C497C"/>
    <w:rsid w:val="006D78EB"/>
    <w:rsid w:val="006E7B69"/>
    <w:rsid w:val="006F0082"/>
    <w:rsid w:val="006F789E"/>
    <w:rsid w:val="007023F6"/>
    <w:rsid w:val="00702840"/>
    <w:rsid w:val="00702E9D"/>
    <w:rsid w:val="0070410B"/>
    <w:rsid w:val="00706C16"/>
    <w:rsid w:val="00713908"/>
    <w:rsid w:val="00716E73"/>
    <w:rsid w:val="00720A44"/>
    <w:rsid w:val="007220E6"/>
    <w:rsid w:val="0072406B"/>
    <w:rsid w:val="00725483"/>
    <w:rsid w:val="00726A8F"/>
    <w:rsid w:val="007340C3"/>
    <w:rsid w:val="0073609B"/>
    <w:rsid w:val="00736440"/>
    <w:rsid w:val="00737FB0"/>
    <w:rsid w:val="007408BF"/>
    <w:rsid w:val="007413E0"/>
    <w:rsid w:val="00742FDE"/>
    <w:rsid w:val="0074497A"/>
    <w:rsid w:val="00751F59"/>
    <w:rsid w:val="0075235A"/>
    <w:rsid w:val="00752E56"/>
    <w:rsid w:val="00753C14"/>
    <w:rsid w:val="00756841"/>
    <w:rsid w:val="007649AB"/>
    <w:rsid w:val="00771D0C"/>
    <w:rsid w:val="0078152C"/>
    <w:rsid w:val="00782402"/>
    <w:rsid w:val="00782638"/>
    <w:rsid w:val="007833AC"/>
    <w:rsid w:val="00783A6E"/>
    <w:rsid w:val="00791D36"/>
    <w:rsid w:val="007A4289"/>
    <w:rsid w:val="007A4FE6"/>
    <w:rsid w:val="007A69A3"/>
    <w:rsid w:val="007B05CF"/>
    <w:rsid w:val="007B121C"/>
    <w:rsid w:val="007B268C"/>
    <w:rsid w:val="007B5B6F"/>
    <w:rsid w:val="007B7171"/>
    <w:rsid w:val="007C0C0F"/>
    <w:rsid w:val="007C27BA"/>
    <w:rsid w:val="007C3DC2"/>
    <w:rsid w:val="007C6BDE"/>
    <w:rsid w:val="007D1D01"/>
    <w:rsid w:val="007D46C5"/>
    <w:rsid w:val="007D7BFB"/>
    <w:rsid w:val="007E5497"/>
    <w:rsid w:val="007E724B"/>
    <w:rsid w:val="007E7D24"/>
    <w:rsid w:val="007F2808"/>
    <w:rsid w:val="007F343A"/>
    <w:rsid w:val="007F7546"/>
    <w:rsid w:val="00803BB8"/>
    <w:rsid w:val="0080447A"/>
    <w:rsid w:val="00806F5F"/>
    <w:rsid w:val="00820278"/>
    <w:rsid w:val="00820585"/>
    <w:rsid w:val="00823619"/>
    <w:rsid w:val="0082524C"/>
    <w:rsid w:val="008258C9"/>
    <w:rsid w:val="00827305"/>
    <w:rsid w:val="00834AB7"/>
    <w:rsid w:val="00836116"/>
    <w:rsid w:val="00836AA4"/>
    <w:rsid w:val="00844AE9"/>
    <w:rsid w:val="0084791A"/>
    <w:rsid w:val="00853C4D"/>
    <w:rsid w:val="00855D50"/>
    <w:rsid w:val="00857E66"/>
    <w:rsid w:val="00864932"/>
    <w:rsid w:val="00866444"/>
    <w:rsid w:val="00867F95"/>
    <w:rsid w:val="00872132"/>
    <w:rsid w:val="00873CF6"/>
    <w:rsid w:val="0087683E"/>
    <w:rsid w:val="008771B4"/>
    <w:rsid w:val="00880D43"/>
    <w:rsid w:val="00881669"/>
    <w:rsid w:val="008843B6"/>
    <w:rsid w:val="00891928"/>
    <w:rsid w:val="00892CFB"/>
    <w:rsid w:val="00897C9E"/>
    <w:rsid w:val="008A1F41"/>
    <w:rsid w:val="008A2C32"/>
    <w:rsid w:val="008A41DB"/>
    <w:rsid w:val="008A446D"/>
    <w:rsid w:val="008A51F2"/>
    <w:rsid w:val="008A6D26"/>
    <w:rsid w:val="008B084B"/>
    <w:rsid w:val="008B25F1"/>
    <w:rsid w:val="008C63E5"/>
    <w:rsid w:val="008D180B"/>
    <w:rsid w:val="008E2278"/>
    <w:rsid w:val="008E45F6"/>
    <w:rsid w:val="008E62C2"/>
    <w:rsid w:val="008E6E90"/>
    <w:rsid w:val="008F0EA7"/>
    <w:rsid w:val="0090458E"/>
    <w:rsid w:val="00906603"/>
    <w:rsid w:val="0091068A"/>
    <w:rsid w:val="009112E1"/>
    <w:rsid w:val="00920C0F"/>
    <w:rsid w:val="00923EEF"/>
    <w:rsid w:val="00927251"/>
    <w:rsid w:val="00931D69"/>
    <w:rsid w:val="00934446"/>
    <w:rsid w:val="0093681B"/>
    <w:rsid w:val="0094199A"/>
    <w:rsid w:val="009419F9"/>
    <w:rsid w:val="009426E8"/>
    <w:rsid w:val="00954D51"/>
    <w:rsid w:val="009552ED"/>
    <w:rsid w:val="00955CC4"/>
    <w:rsid w:val="00955D89"/>
    <w:rsid w:val="009564A1"/>
    <w:rsid w:val="0095685E"/>
    <w:rsid w:val="00957C19"/>
    <w:rsid w:val="00960645"/>
    <w:rsid w:val="00961B09"/>
    <w:rsid w:val="00965334"/>
    <w:rsid w:val="00966A49"/>
    <w:rsid w:val="0097093E"/>
    <w:rsid w:val="00971E9D"/>
    <w:rsid w:val="00976387"/>
    <w:rsid w:val="00976503"/>
    <w:rsid w:val="00983007"/>
    <w:rsid w:val="009834ED"/>
    <w:rsid w:val="009853DE"/>
    <w:rsid w:val="0098642B"/>
    <w:rsid w:val="009915A5"/>
    <w:rsid w:val="009962F1"/>
    <w:rsid w:val="009964C9"/>
    <w:rsid w:val="00997D39"/>
    <w:rsid w:val="009A0C53"/>
    <w:rsid w:val="009A0DFA"/>
    <w:rsid w:val="009A11A3"/>
    <w:rsid w:val="009A1C6F"/>
    <w:rsid w:val="009A380F"/>
    <w:rsid w:val="009A49DC"/>
    <w:rsid w:val="009B2D26"/>
    <w:rsid w:val="009B3CC8"/>
    <w:rsid w:val="009C0850"/>
    <w:rsid w:val="009C3027"/>
    <w:rsid w:val="009C49E0"/>
    <w:rsid w:val="009C631E"/>
    <w:rsid w:val="009C6379"/>
    <w:rsid w:val="009C71FA"/>
    <w:rsid w:val="009C72E7"/>
    <w:rsid w:val="009C7F7E"/>
    <w:rsid w:val="009D2298"/>
    <w:rsid w:val="009D2C33"/>
    <w:rsid w:val="009D3058"/>
    <w:rsid w:val="009D4616"/>
    <w:rsid w:val="009D713D"/>
    <w:rsid w:val="009E1881"/>
    <w:rsid w:val="009E31DC"/>
    <w:rsid w:val="009E67A4"/>
    <w:rsid w:val="009E7522"/>
    <w:rsid w:val="009F3A13"/>
    <w:rsid w:val="00A0015F"/>
    <w:rsid w:val="00A055BC"/>
    <w:rsid w:val="00A059DF"/>
    <w:rsid w:val="00A05A03"/>
    <w:rsid w:val="00A05B75"/>
    <w:rsid w:val="00A072A7"/>
    <w:rsid w:val="00A1117D"/>
    <w:rsid w:val="00A11245"/>
    <w:rsid w:val="00A122D3"/>
    <w:rsid w:val="00A14468"/>
    <w:rsid w:val="00A17F13"/>
    <w:rsid w:val="00A20739"/>
    <w:rsid w:val="00A217F2"/>
    <w:rsid w:val="00A236C8"/>
    <w:rsid w:val="00A2374E"/>
    <w:rsid w:val="00A23AF9"/>
    <w:rsid w:val="00A25555"/>
    <w:rsid w:val="00A25F08"/>
    <w:rsid w:val="00A260CF"/>
    <w:rsid w:val="00A3207B"/>
    <w:rsid w:val="00A3310C"/>
    <w:rsid w:val="00A33C78"/>
    <w:rsid w:val="00A44301"/>
    <w:rsid w:val="00A44E8F"/>
    <w:rsid w:val="00A5140C"/>
    <w:rsid w:val="00A51AC5"/>
    <w:rsid w:val="00A53F50"/>
    <w:rsid w:val="00A57DB0"/>
    <w:rsid w:val="00A61C55"/>
    <w:rsid w:val="00A626AB"/>
    <w:rsid w:val="00A62AD4"/>
    <w:rsid w:val="00A80118"/>
    <w:rsid w:val="00A80E42"/>
    <w:rsid w:val="00A81559"/>
    <w:rsid w:val="00A83A72"/>
    <w:rsid w:val="00A915B2"/>
    <w:rsid w:val="00A9171C"/>
    <w:rsid w:val="00A921CE"/>
    <w:rsid w:val="00A94F6E"/>
    <w:rsid w:val="00AA63FA"/>
    <w:rsid w:val="00AB0ADB"/>
    <w:rsid w:val="00AB176B"/>
    <w:rsid w:val="00AB2E68"/>
    <w:rsid w:val="00AB397A"/>
    <w:rsid w:val="00AB3E75"/>
    <w:rsid w:val="00AC17F6"/>
    <w:rsid w:val="00AC7B2F"/>
    <w:rsid w:val="00AD0883"/>
    <w:rsid w:val="00AE176B"/>
    <w:rsid w:val="00AE30C0"/>
    <w:rsid w:val="00AF292A"/>
    <w:rsid w:val="00AF2F86"/>
    <w:rsid w:val="00AF44BA"/>
    <w:rsid w:val="00AF46F1"/>
    <w:rsid w:val="00B00C0E"/>
    <w:rsid w:val="00B01023"/>
    <w:rsid w:val="00B01B1A"/>
    <w:rsid w:val="00B0381D"/>
    <w:rsid w:val="00B073C0"/>
    <w:rsid w:val="00B0792B"/>
    <w:rsid w:val="00B17524"/>
    <w:rsid w:val="00B20670"/>
    <w:rsid w:val="00B2159A"/>
    <w:rsid w:val="00B223EF"/>
    <w:rsid w:val="00B22447"/>
    <w:rsid w:val="00B22684"/>
    <w:rsid w:val="00B2286C"/>
    <w:rsid w:val="00B27B35"/>
    <w:rsid w:val="00B302C2"/>
    <w:rsid w:val="00B30E48"/>
    <w:rsid w:val="00B36F96"/>
    <w:rsid w:val="00B41AC6"/>
    <w:rsid w:val="00B42882"/>
    <w:rsid w:val="00B444BA"/>
    <w:rsid w:val="00B44A47"/>
    <w:rsid w:val="00B45F75"/>
    <w:rsid w:val="00B5311F"/>
    <w:rsid w:val="00B604FF"/>
    <w:rsid w:val="00B636DD"/>
    <w:rsid w:val="00B664A0"/>
    <w:rsid w:val="00B67317"/>
    <w:rsid w:val="00B70AE8"/>
    <w:rsid w:val="00B72CD3"/>
    <w:rsid w:val="00B72FFF"/>
    <w:rsid w:val="00B7790C"/>
    <w:rsid w:val="00B80326"/>
    <w:rsid w:val="00B81BB5"/>
    <w:rsid w:val="00B828BE"/>
    <w:rsid w:val="00B83E46"/>
    <w:rsid w:val="00B92A98"/>
    <w:rsid w:val="00B96EB2"/>
    <w:rsid w:val="00B97D5A"/>
    <w:rsid w:val="00BA0AA0"/>
    <w:rsid w:val="00BA1336"/>
    <w:rsid w:val="00BA73A4"/>
    <w:rsid w:val="00BA7B12"/>
    <w:rsid w:val="00BB0FF5"/>
    <w:rsid w:val="00BB1556"/>
    <w:rsid w:val="00BB2A59"/>
    <w:rsid w:val="00BB7E7A"/>
    <w:rsid w:val="00BC3D36"/>
    <w:rsid w:val="00BC4837"/>
    <w:rsid w:val="00BC5328"/>
    <w:rsid w:val="00BD0A63"/>
    <w:rsid w:val="00BD18CA"/>
    <w:rsid w:val="00BD469C"/>
    <w:rsid w:val="00BD54A6"/>
    <w:rsid w:val="00BD7F72"/>
    <w:rsid w:val="00BE223C"/>
    <w:rsid w:val="00BE263F"/>
    <w:rsid w:val="00BE2AF5"/>
    <w:rsid w:val="00BF0188"/>
    <w:rsid w:val="00BF1C93"/>
    <w:rsid w:val="00BF22DA"/>
    <w:rsid w:val="00BF7425"/>
    <w:rsid w:val="00C0028A"/>
    <w:rsid w:val="00C00AD6"/>
    <w:rsid w:val="00C04FB3"/>
    <w:rsid w:val="00C05700"/>
    <w:rsid w:val="00C05CAD"/>
    <w:rsid w:val="00C05F59"/>
    <w:rsid w:val="00C1059D"/>
    <w:rsid w:val="00C10A58"/>
    <w:rsid w:val="00C11D8B"/>
    <w:rsid w:val="00C13378"/>
    <w:rsid w:val="00C149D8"/>
    <w:rsid w:val="00C15139"/>
    <w:rsid w:val="00C153F8"/>
    <w:rsid w:val="00C16320"/>
    <w:rsid w:val="00C17E94"/>
    <w:rsid w:val="00C21376"/>
    <w:rsid w:val="00C22FE6"/>
    <w:rsid w:val="00C24B79"/>
    <w:rsid w:val="00C27882"/>
    <w:rsid w:val="00C27A18"/>
    <w:rsid w:val="00C31EE1"/>
    <w:rsid w:val="00C330EB"/>
    <w:rsid w:val="00C36831"/>
    <w:rsid w:val="00C36D62"/>
    <w:rsid w:val="00C3775D"/>
    <w:rsid w:val="00C418CD"/>
    <w:rsid w:val="00C44060"/>
    <w:rsid w:val="00C45670"/>
    <w:rsid w:val="00C45EA6"/>
    <w:rsid w:val="00C4731C"/>
    <w:rsid w:val="00C50D69"/>
    <w:rsid w:val="00C50FAE"/>
    <w:rsid w:val="00C51929"/>
    <w:rsid w:val="00C51AAD"/>
    <w:rsid w:val="00C522D2"/>
    <w:rsid w:val="00C5365C"/>
    <w:rsid w:val="00C7094F"/>
    <w:rsid w:val="00C70D15"/>
    <w:rsid w:val="00C754BE"/>
    <w:rsid w:val="00C76B1C"/>
    <w:rsid w:val="00C80D0D"/>
    <w:rsid w:val="00C8466D"/>
    <w:rsid w:val="00C925AC"/>
    <w:rsid w:val="00CA23CD"/>
    <w:rsid w:val="00CA26F7"/>
    <w:rsid w:val="00CB5B49"/>
    <w:rsid w:val="00CB6357"/>
    <w:rsid w:val="00CB7864"/>
    <w:rsid w:val="00CC1B26"/>
    <w:rsid w:val="00CC3ADD"/>
    <w:rsid w:val="00CC4F57"/>
    <w:rsid w:val="00CC6A2A"/>
    <w:rsid w:val="00CD1B09"/>
    <w:rsid w:val="00CE0984"/>
    <w:rsid w:val="00CE2475"/>
    <w:rsid w:val="00CE2E3E"/>
    <w:rsid w:val="00CF1248"/>
    <w:rsid w:val="00CF2AEF"/>
    <w:rsid w:val="00CF4A27"/>
    <w:rsid w:val="00CF4CC1"/>
    <w:rsid w:val="00CF7808"/>
    <w:rsid w:val="00CF7824"/>
    <w:rsid w:val="00D06DF6"/>
    <w:rsid w:val="00D1028A"/>
    <w:rsid w:val="00D12958"/>
    <w:rsid w:val="00D12B62"/>
    <w:rsid w:val="00D13816"/>
    <w:rsid w:val="00D144CA"/>
    <w:rsid w:val="00D14946"/>
    <w:rsid w:val="00D2194D"/>
    <w:rsid w:val="00D22CA8"/>
    <w:rsid w:val="00D23271"/>
    <w:rsid w:val="00D2530C"/>
    <w:rsid w:val="00D2673F"/>
    <w:rsid w:val="00D31C2C"/>
    <w:rsid w:val="00D32367"/>
    <w:rsid w:val="00D361FD"/>
    <w:rsid w:val="00D3620A"/>
    <w:rsid w:val="00D423A2"/>
    <w:rsid w:val="00D42FB1"/>
    <w:rsid w:val="00D4401A"/>
    <w:rsid w:val="00D44E26"/>
    <w:rsid w:val="00D51572"/>
    <w:rsid w:val="00D520D8"/>
    <w:rsid w:val="00D551BD"/>
    <w:rsid w:val="00D6107D"/>
    <w:rsid w:val="00D61E56"/>
    <w:rsid w:val="00D6219A"/>
    <w:rsid w:val="00D63AC2"/>
    <w:rsid w:val="00D666D6"/>
    <w:rsid w:val="00D67880"/>
    <w:rsid w:val="00D7320A"/>
    <w:rsid w:val="00D7383B"/>
    <w:rsid w:val="00D74D1B"/>
    <w:rsid w:val="00D7788A"/>
    <w:rsid w:val="00D84696"/>
    <w:rsid w:val="00D864D5"/>
    <w:rsid w:val="00D907F2"/>
    <w:rsid w:val="00D94372"/>
    <w:rsid w:val="00D94A10"/>
    <w:rsid w:val="00DA01A2"/>
    <w:rsid w:val="00DA231B"/>
    <w:rsid w:val="00DA477E"/>
    <w:rsid w:val="00DB2B32"/>
    <w:rsid w:val="00DB4AE4"/>
    <w:rsid w:val="00DB73D7"/>
    <w:rsid w:val="00DC1051"/>
    <w:rsid w:val="00DC1EB1"/>
    <w:rsid w:val="00DC2E20"/>
    <w:rsid w:val="00DC39FC"/>
    <w:rsid w:val="00DD11AE"/>
    <w:rsid w:val="00DD2E40"/>
    <w:rsid w:val="00DD6B3A"/>
    <w:rsid w:val="00DE0C2B"/>
    <w:rsid w:val="00DE68BD"/>
    <w:rsid w:val="00DE6DAA"/>
    <w:rsid w:val="00DE7B26"/>
    <w:rsid w:val="00DF5254"/>
    <w:rsid w:val="00DF6026"/>
    <w:rsid w:val="00DF7E23"/>
    <w:rsid w:val="00E02524"/>
    <w:rsid w:val="00E03931"/>
    <w:rsid w:val="00E0521F"/>
    <w:rsid w:val="00E1017F"/>
    <w:rsid w:val="00E10721"/>
    <w:rsid w:val="00E11FE2"/>
    <w:rsid w:val="00E16216"/>
    <w:rsid w:val="00E16408"/>
    <w:rsid w:val="00E1784B"/>
    <w:rsid w:val="00E20894"/>
    <w:rsid w:val="00E208EE"/>
    <w:rsid w:val="00E22B72"/>
    <w:rsid w:val="00E245AB"/>
    <w:rsid w:val="00E2764C"/>
    <w:rsid w:val="00E27F2E"/>
    <w:rsid w:val="00E31EE7"/>
    <w:rsid w:val="00E4167E"/>
    <w:rsid w:val="00E4212B"/>
    <w:rsid w:val="00E47A27"/>
    <w:rsid w:val="00E50844"/>
    <w:rsid w:val="00E50AFE"/>
    <w:rsid w:val="00E54C58"/>
    <w:rsid w:val="00E61996"/>
    <w:rsid w:val="00E668A3"/>
    <w:rsid w:val="00E66AE4"/>
    <w:rsid w:val="00E673EB"/>
    <w:rsid w:val="00E70104"/>
    <w:rsid w:val="00E72204"/>
    <w:rsid w:val="00E75C92"/>
    <w:rsid w:val="00E771DC"/>
    <w:rsid w:val="00E77641"/>
    <w:rsid w:val="00E779AA"/>
    <w:rsid w:val="00E81ED8"/>
    <w:rsid w:val="00E82BE9"/>
    <w:rsid w:val="00E871F0"/>
    <w:rsid w:val="00E8772A"/>
    <w:rsid w:val="00E90F6B"/>
    <w:rsid w:val="00E92C27"/>
    <w:rsid w:val="00E95519"/>
    <w:rsid w:val="00E9594D"/>
    <w:rsid w:val="00E95E59"/>
    <w:rsid w:val="00E95EE4"/>
    <w:rsid w:val="00EA0E3D"/>
    <w:rsid w:val="00EA18A6"/>
    <w:rsid w:val="00EA4D54"/>
    <w:rsid w:val="00EA6802"/>
    <w:rsid w:val="00EB198F"/>
    <w:rsid w:val="00EB2437"/>
    <w:rsid w:val="00EB3EDF"/>
    <w:rsid w:val="00EB43C0"/>
    <w:rsid w:val="00EC1B44"/>
    <w:rsid w:val="00EC38A7"/>
    <w:rsid w:val="00EC3F33"/>
    <w:rsid w:val="00EC69EC"/>
    <w:rsid w:val="00EE1AA8"/>
    <w:rsid w:val="00EE1D7C"/>
    <w:rsid w:val="00EE2451"/>
    <w:rsid w:val="00EE2923"/>
    <w:rsid w:val="00EF5051"/>
    <w:rsid w:val="00EF6D98"/>
    <w:rsid w:val="00EF6DE0"/>
    <w:rsid w:val="00F11DAF"/>
    <w:rsid w:val="00F17F2C"/>
    <w:rsid w:val="00F23FEA"/>
    <w:rsid w:val="00F24CED"/>
    <w:rsid w:val="00F31EDC"/>
    <w:rsid w:val="00F35981"/>
    <w:rsid w:val="00F43332"/>
    <w:rsid w:val="00F444A0"/>
    <w:rsid w:val="00F46241"/>
    <w:rsid w:val="00F462B3"/>
    <w:rsid w:val="00F503BF"/>
    <w:rsid w:val="00F5664F"/>
    <w:rsid w:val="00F61F22"/>
    <w:rsid w:val="00F65D7D"/>
    <w:rsid w:val="00F666C4"/>
    <w:rsid w:val="00F67870"/>
    <w:rsid w:val="00F67C70"/>
    <w:rsid w:val="00F76667"/>
    <w:rsid w:val="00F76AFC"/>
    <w:rsid w:val="00F76BAE"/>
    <w:rsid w:val="00F77000"/>
    <w:rsid w:val="00F7758B"/>
    <w:rsid w:val="00F77C56"/>
    <w:rsid w:val="00F96CA8"/>
    <w:rsid w:val="00FA1489"/>
    <w:rsid w:val="00FA1A23"/>
    <w:rsid w:val="00FA278B"/>
    <w:rsid w:val="00FA34E2"/>
    <w:rsid w:val="00FA47C0"/>
    <w:rsid w:val="00FA5CF5"/>
    <w:rsid w:val="00FB1CA2"/>
    <w:rsid w:val="00FB35F0"/>
    <w:rsid w:val="00FB3B0F"/>
    <w:rsid w:val="00FB4633"/>
    <w:rsid w:val="00FB5D24"/>
    <w:rsid w:val="00FB5DD1"/>
    <w:rsid w:val="00FB7FB3"/>
    <w:rsid w:val="00FC1120"/>
    <w:rsid w:val="00FC2B5D"/>
    <w:rsid w:val="00FD0CFB"/>
    <w:rsid w:val="00FD21F5"/>
    <w:rsid w:val="00FD4198"/>
    <w:rsid w:val="00FD4803"/>
    <w:rsid w:val="00FD5913"/>
    <w:rsid w:val="00FD724F"/>
    <w:rsid w:val="00FE0407"/>
    <w:rsid w:val="00FE1263"/>
    <w:rsid w:val="00FE4B76"/>
    <w:rsid w:val="00FF1449"/>
    <w:rsid w:val="00FF24F5"/>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DD5EE4A"/>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40C"/>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semiHidden/>
    <w:unhideWhenUsed/>
    <w:qFormat/>
    <w:rsid w:val="003C37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0E11C3"/>
    <w:pPr>
      <w:spacing w:before="100" w:beforeAutospacing="1" w:after="100" w:afterAutospacing="1"/>
      <w:outlineLvl w:val="2"/>
    </w:pPr>
    <w:rPr>
      <w:b/>
      <w:bCs/>
      <w:sz w:val="27"/>
      <w:szCs w:val="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426E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26E8"/>
    <w:rPr>
      <w:rFonts w:ascii="Geomanist Light" w:hAnsi="Geomanist Light"/>
      <w:lang w:val="es-ES"/>
    </w:rPr>
  </w:style>
  <w:style w:type="character" w:customStyle="1" w:styleId="s15">
    <w:name w:val="s15"/>
    <w:basedOn w:val="Fuentedeprrafopredeter"/>
    <w:rsid w:val="002426E8"/>
  </w:style>
  <w:style w:type="character" w:customStyle="1" w:styleId="NormalWebCar">
    <w:name w:val="Normal (Web) Car"/>
    <w:link w:val="NormalWeb"/>
    <w:uiPriority w:val="99"/>
    <w:rsid w:val="002426E8"/>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2426E8"/>
    <w:rPr>
      <w:b/>
      <w:bCs/>
    </w:rPr>
  </w:style>
  <w:style w:type="paragraph" w:styleId="Sinespaciado">
    <w:name w:val="No Spacing"/>
    <w:aliases w:val="No Indent"/>
    <w:uiPriority w:val="3"/>
    <w:qFormat/>
    <w:rsid w:val="002426E8"/>
    <w:pPr>
      <w:spacing w:after="0" w:line="240" w:lineRule="auto"/>
    </w:pPr>
    <w:rPr>
      <w:sz w:val="24"/>
      <w:lang w:val="es-MX"/>
    </w:rPr>
  </w:style>
  <w:style w:type="character" w:styleId="nfasis">
    <w:name w:val="Emphasis"/>
    <w:basedOn w:val="Fuentedeprrafopredeter"/>
    <w:uiPriority w:val="20"/>
    <w:qFormat/>
    <w:rsid w:val="002426E8"/>
    <w:rPr>
      <w:i/>
      <w:iCs/>
    </w:rPr>
  </w:style>
  <w:style w:type="character" w:customStyle="1" w:styleId="Ttulo3Car">
    <w:name w:val="Título 3 Car"/>
    <w:basedOn w:val="Fuentedeprrafopredeter"/>
    <w:link w:val="Ttulo3"/>
    <w:uiPriority w:val="9"/>
    <w:rsid w:val="000E11C3"/>
    <w:rPr>
      <w:rFonts w:ascii="Times New Roman" w:eastAsia="Times New Roman" w:hAnsi="Times New Roman" w:cs="Times New Roman"/>
      <w:b/>
      <w:bCs/>
      <w:sz w:val="27"/>
      <w:szCs w:val="27"/>
      <w:lang w:eastAsia="es-ES_tradnl"/>
    </w:rPr>
  </w:style>
  <w:style w:type="paragraph" w:customStyle="1" w:styleId="pdq2pgselectionanchorcontainer">
    <w:name w:val="pdq2pg_selectionanchorcontainer"/>
    <w:basedOn w:val="Normal"/>
    <w:rsid w:val="00122024"/>
    <w:pPr>
      <w:spacing w:before="100" w:beforeAutospacing="1" w:after="100" w:afterAutospacing="1"/>
    </w:pPr>
  </w:style>
  <w:style w:type="character" w:customStyle="1" w:styleId="Ttulo2Car">
    <w:name w:val="Título 2 Car"/>
    <w:basedOn w:val="Fuentedeprrafopredeter"/>
    <w:link w:val="Ttulo2"/>
    <w:uiPriority w:val="9"/>
    <w:semiHidden/>
    <w:rsid w:val="003C37BD"/>
    <w:rPr>
      <w:rFonts w:asciiTheme="majorHAnsi" w:eastAsiaTheme="majorEastAsia" w:hAnsiTheme="majorHAnsi" w:cstheme="majorBidi"/>
      <w:color w:val="2F5496"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licitacionescspadaffora@gmail.com" TargetMode="External"/><Relationship Id="rId17"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www.colombiacompra.gov.co/archivos/manual/manual-para-determinar-y-verificar-los-requisitos-habilitantes-en-los-procesos-de-contratacion"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para-determinar-y-verificar-la-capacidad-residual-del-proponente-en-los-procesos-de-contratacion-de-obra-publica"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archivos/manual/guia-para-determinar-y-verificar-la-capacidad-residual-del-proponente-en-los-procesos-de-contratacion-de-obra-publica" TargetMode="External"/><Relationship Id="rId2" Type="http://schemas.openxmlformats.org/officeDocument/2006/relationships/hyperlink" Target="https://www.colombiacompra.gov.co/archivos/manual/manual-para-determinar-y-verificar-los-requisitos-habilitantes-en-los-procesos-de-contratacion" TargetMode="External"/><Relationship Id="rId1" Type="http://schemas.openxmlformats.org/officeDocument/2006/relationships/hyperlink" Target="https://www.colombiacompra.gov.co/archivos/manual/guia-para-determinar-y-verificar-la-capacidad-residual-del-proponente-en-los-procesos-de-contratacion-de-obra-publi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34B50-B224-CE49-882F-7F4641A8D675}">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7634496-2EEB-467E-A805-B17484999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46</TotalTime>
  <Pages>23</Pages>
  <Words>8159</Words>
  <Characters>44876</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52930</CharactersWithSpaces>
  <SharedDoc>false</SharedDoc>
  <HLinks>
    <vt:vector size="60"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2752625</vt:i4>
      </vt:variant>
      <vt:variant>
        <vt:i4>15</vt:i4>
      </vt:variant>
      <vt:variant>
        <vt:i4>0</vt:i4>
      </vt:variant>
      <vt:variant>
        <vt:i4>5</vt:i4>
      </vt:variant>
      <vt:variant>
        <vt:lpwstr>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vt:lpwstr>
      </vt:variant>
      <vt:variant>
        <vt:lpwstr/>
      </vt:variant>
      <vt:variant>
        <vt:i4>8192122</vt:i4>
      </vt:variant>
      <vt:variant>
        <vt:i4>12</vt:i4>
      </vt:variant>
      <vt:variant>
        <vt:i4>0</vt:i4>
      </vt:variant>
      <vt:variant>
        <vt:i4>5</vt:i4>
      </vt:variant>
      <vt:variant>
        <vt:lpwstr>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vt:lpwstr>
      </vt:variant>
      <vt:variant>
        <vt:lpwstr/>
      </vt:variant>
      <vt:variant>
        <vt:i4>8126586</vt:i4>
      </vt:variant>
      <vt:variant>
        <vt:i4>9</vt:i4>
      </vt:variant>
      <vt:variant>
        <vt:i4>0</vt:i4>
      </vt:variant>
      <vt:variant>
        <vt:i4>5</vt:i4>
      </vt:variant>
      <vt:variant>
        <vt:lpwstr>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vt:lpwstr>
      </vt:variant>
      <vt:variant>
        <vt:lpwstr/>
      </vt:variant>
      <vt:variant>
        <vt:i4>2490422</vt:i4>
      </vt:variant>
      <vt:variant>
        <vt:i4>6</vt:i4>
      </vt:variant>
      <vt:variant>
        <vt:i4>0</vt:i4>
      </vt:variant>
      <vt:variant>
        <vt:i4>5</vt:i4>
      </vt:variant>
      <vt:variant>
        <vt:lpwstr>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7077967</vt:i4>
      </vt:variant>
      <vt:variant>
        <vt:i4>0</vt:i4>
      </vt:variant>
      <vt:variant>
        <vt:i4>0</vt:i4>
      </vt:variant>
      <vt:variant>
        <vt:i4>5</vt:i4>
      </vt:variant>
      <vt:variant>
        <vt:lpwstr>mailto:info@alvaroperezcastro.com</vt:lpwstr>
      </vt:variant>
      <vt:variant>
        <vt:lpwstr/>
      </vt:variant>
      <vt:variant>
        <vt:i4>2752556</vt:i4>
      </vt:variant>
      <vt:variant>
        <vt:i4>0</vt:i4>
      </vt:variant>
      <vt:variant>
        <vt:i4>0</vt:i4>
      </vt:variant>
      <vt:variant>
        <vt:i4>5</vt:i4>
      </vt:variant>
      <vt:variant>
        <vt:lpwstr>https://www.funcionpublica.gov.co/eva/gestornormativo/norma.php?i=98077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12</cp:revision>
  <cp:lastPrinted>2023-01-10T21:18:00Z</cp:lastPrinted>
  <dcterms:created xsi:type="dcterms:W3CDTF">2026-09-25T17:18:00Z</dcterms:created>
  <dcterms:modified xsi:type="dcterms:W3CDTF">2026-09-29T15:03:00Z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