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6C6B4" w14:textId="58F0161C" w:rsidR="00174766" w:rsidRPr="00E220ED" w:rsidRDefault="00174766" w:rsidP="00174766">
      <w:pPr>
        <w:spacing w:after="0" w:line="240" w:lineRule="auto"/>
        <w:jc w:val="both"/>
        <w:rPr>
          <w:rFonts w:ascii="Verdana" w:eastAsia="Calibri" w:hAnsi="Verdana" w:cs="Arial"/>
          <w:b/>
          <w:bCs/>
          <w:lang w:val="es-ES" w:eastAsia="es-ES"/>
        </w:rPr>
      </w:pPr>
      <w:bookmarkStart w:id="0" w:name="_Hlk143780582"/>
      <w:r w:rsidRPr="76CE301A">
        <w:rPr>
          <w:rFonts w:ascii="Verdana" w:eastAsia="Calibri" w:hAnsi="Verdana" w:cs="Arial"/>
          <w:b/>
          <w:bCs/>
          <w:lang w:val="es-ES" w:eastAsia="es-ES"/>
        </w:rPr>
        <w:t>SUBSANABILIDAD – Aplicación – R</w:t>
      </w:r>
      <w:r w:rsidRPr="76CE301A">
        <w:rPr>
          <w:rFonts w:ascii="Verdana" w:eastAsia="Calibri" w:hAnsi="Verdana"/>
          <w:b/>
          <w:bCs/>
          <w:lang w:val="es-ES" w:eastAsia="es-ES"/>
        </w:rPr>
        <w:t>egla general</w:t>
      </w:r>
      <w:r w:rsidRPr="76CE301A">
        <w:rPr>
          <w:rFonts w:ascii="Verdana" w:eastAsia="Calibri" w:hAnsi="Verdana" w:cs="Arial"/>
          <w:b/>
          <w:bCs/>
          <w:lang w:val="es-ES" w:eastAsia="es-ES"/>
        </w:rPr>
        <w:t xml:space="preserve"> – Excepciones </w:t>
      </w:r>
    </w:p>
    <w:p w14:paraId="5051BC5C" w14:textId="77777777" w:rsidR="00174766" w:rsidRPr="00E220ED" w:rsidRDefault="00174766" w:rsidP="00174766">
      <w:pPr>
        <w:spacing w:after="0" w:line="240" w:lineRule="auto"/>
        <w:jc w:val="both"/>
        <w:rPr>
          <w:rFonts w:ascii="Verdana" w:hAnsi="Verdana" w:cs="Arial"/>
          <w:noProof/>
          <w:sz w:val="20"/>
          <w:szCs w:val="20"/>
          <w:lang w:val="es-ES_tradnl"/>
        </w:rPr>
      </w:pPr>
    </w:p>
    <w:p w14:paraId="6AB3EE82" w14:textId="77777777" w:rsidR="00174766" w:rsidRPr="00E220ED" w:rsidRDefault="00174766" w:rsidP="00174766">
      <w:pPr>
        <w:spacing w:after="0" w:line="240" w:lineRule="auto"/>
        <w:jc w:val="both"/>
        <w:rPr>
          <w:rFonts w:ascii="Verdana" w:eastAsia="Times New Roman" w:hAnsi="Verdana" w:cs="Arial"/>
          <w:sz w:val="20"/>
          <w:szCs w:val="20"/>
          <w:lang w:val="es-ES_tradnl" w:eastAsia="es-ES_tradnl"/>
        </w:rPr>
      </w:pPr>
      <w:r w:rsidRPr="00E220ED">
        <w:rPr>
          <w:rFonts w:ascii="Verdana" w:hAnsi="Verdana" w:cs="Arial"/>
          <w:noProof/>
          <w:sz w:val="20"/>
          <w:szCs w:val="20"/>
          <w:lang w:val="es-ES_tradnl"/>
        </w:rPr>
        <w:t>L</w:t>
      </w:r>
      <w:r w:rsidRPr="00E220ED">
        <w:rPr>
          <w:rFonts w:ascii="Verdana" w:eastAsia="Times New Roman" w:hAnsi="Verdana" w:cs="Arial"/>
          <w:sz w:val="20"/>
          <w:szCs w:val="20"/>
        </w:rPr>
        <w:t>a regla de la subsanabilidad de las ofertas en los procedimientos de selección</w:t>
      </w:r>
      <w:r w:rsidRPr="00E220ED">
        <w:rPr>
          <w:rFonts w:ascii="Verdana" w:eastAsia="Times New Roman" w:hAnsi="Verdana" w:cs="Arial"/>
          <w:b/>
          <w:bCs/>
          <w:sz w:val="20"/>
          <w:szCs w:val="20"/>
        </w:rPr>
        <w:t xml:space="preserve"> </w:t>
      </w:r>
      <w:r w:rsidRPr="00E220ED">
        <w:rPr>
          <w:rFonts w:ascii="Verdana" w:eastAsia="Times New Roman" w:hAnsi="Verdana" w:cs="Arial"/>
          <w:sz w:val="20"/>
          <w:szCs w:val="20"/>
          <w:lang w:val="es-ES_tradnl" w:eastAsia="es-ES_tradnl"/>
        </w:rPr>
        <w:t>indica que, por regla general, la falta de entrega y los defectos en la acreditación de los requisitos habilitantes son aspectos subsanables. La excepción a esta regla se encuentra en la prohibición de permitir la entrega de la garantía de seriedad de la oferta que no fue aportada con la propuesta y de valer la acreditación de circunstancias ocurridas con posterioridad al cierre del proceso.</w:t>
      </w:r>
    </w:p>
    <w:p w14:paraId="13D1F04F" w14:textId="77777777" w:rsidR="00174766" w:rsidRPr="00E220ED" w:rsidRDefault="00174766" w:rsidP="00174766">
      <w:pPr>
        <w:spacing w:after="0" w:line="240" w:lineRule="auto"/>
        <w:jc w:val="both"/>
        <w:rPr>
          <w:rFonts w:ascii="Verdana" w:eastAsia="Calibri" w:hAnsi="Verdana" w:cs="Arial"/>
          <w:sz w:val="20"/>
          <w:szCs w:val="20"/>
          <w:lang w:val="es-ES" w:eastAsia="es-ES"/>
        </w:rPr>
      </w:pPr>
    </w:p>
    <w:p w14:paraId="77FCBC92" w14:textId="77777777" w:rsidR="00174766" w:rsidRPr="00E220ED" w:rsidRDefault="00174766" w:rsidP="00174766">
      <w:pPr>
        <w:spacing w:after="0" w:line="240" w:lineRule="auto"/>
        <w:jc w:val="both"/>
        <w:rPr>
          <w:rFonts w:ascii="Verdana" w:eastAsia="Calibri" w:hAnsi="Verdana" w:cs="Arial"/>
          <w:b/>
          <w:bCs/>
          <w:lang w:val="es-ES" w:eastAsia="es-ES"/>
        </w:rPr>
      </w:pPr>
      <w:r w:rsidRPr="00E220ED">
        <w:rPr>
          <w:rFonts w:ascii="Verdana" w:eastAsia="Calibri" w:hAnsi="Verdana" w:cs="Arial"/>
          <w:b/>
          <w:bCs/>
          <w:lang w:val="es-ES" w:eastAsia="es-ES"/>
        </w:rPr>
        <w:t xml:space="preserve">SUBSANABILIDAD – Circunstancias posteriores – Cierre del proceso- Ley 1882 de 2018 </w:t>
      </w:r>
    </w:p>
    <w:p w14:paraId="35DB1DE2" w14:textId="77777777" w:rsidR="00174766" w:rsidRPr="00E220ED" w:rsidRDefault="00174766" w:rsidP="00174766">
      <w:pPr>
        <w:spacing w:after="0" w:line="240" w:lineRule="auto"/>
        <w:jc w:val="both"/>
        <w:rPr>
          <w:rFonts w:ascii="Verdana" w:eastAsia="Calibri" w:hAnsi="Verdana" w:cs="Arial"/>
          <w:sz w:val="20"/>
          <w:szCs w:val="20"/>
          <w:lang w:val="es-ES" w:eastAsia="es-ES"/>
        </w:rPr>
      </w:pPr>
    </w:p>
    <w:p w14:paraId="32162FDC" w14:textId="77777777" w:rsidR="00174766" w:rsidRPr="00E220ED" w:rsidRDefault="00174766" w:rsidP="00174766">
      <w:pPr>
        <w:spacing w:after="0" w:line="240" w:lineRule="auto"/>
        <w:jc w:val="both"/>
        <w:rPr>
          <w:rFonts w:ascii="Verdana" w:eastAsia="Times New Roman" w:hAnsi="Verdana" w:cs="Arial"/>
          <w:sz w:val="20"/>
          <w:szCs w:val="20"/>
          <w:lang w:val="es-ES_tradnl" w:eastAsia="es-ES_tradnl"/>
        </w:rPr>
      </w:pPr>
      <w:r w:rsidRPr="00E220ED">
        <w:rPr>
          <w:rFonts w:ascii="Verdana" w:eastAsia="Times New Roman" w:hAnsi="Verdana" w:cs="Arial"/>
          <w:sz w:val="20"/>
          <w:szCs w:val="20"/>
          <w:lang w:val="es-ES_tradnl" w:eastAsia="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1836CCB6" w14:textId="77777777" w:rsidR="00174766" w:rsidRPr="00E220ED" w:rsidRDefault="00174766" w:rsidP="00174766">
      <w:pPr>
        <w:spacing w:after="0" w:line="240" w:lineRule="auto"/>
        <w:jc w:val="both"/>
        <w:rPr>
          <w:rFonts w:ascii="Verdana" w:eastAsia="Times New Roman" w:hAnsi="Verdana" w:cs="Arial"/>
          <w:sz w:val="20"/>
          <w:szCs w:val="20"/>
          <w:lang w:val="es-ES_tradnl" w:eastAsia="es-ES_tradnl"/>
        </w:rPr>
      </w:pPr>
    </w:p>
    <w:p w14:paraId="16045A14" w14:textId="51FD4AAB" w:rsidR="00174766" w:rsidRPr="00E220ED" w:rsidRDefault="00174766" w:rsidP="00174766">
      <w:pPr>
        <w:spacing w:after="0" w:line="240" w:lineRule="auto"/>
        <w:jc w:val="both"/>
        <w:rPr>
          <w:rFonts w:ascii="Verdana" w:eastAsia="Times New Roman" w:hAnsi="Verdana" w:cs="Arial"/>
          <w:sz w:val="20"/>
          <w:szCs w:val="20"/>
          <w:lang w:val="es-ES" w:eastAsia="es-ES"/>
        </w:rPr>
      </w:pPr>
      <w:r w:rsidRPr="00E220ED">
        <w:rPr>
          <w:rFonts w:ascii="Verdana" w:eastAsia="Times New Roman" w:hAnsi="Verdana" w:cs="Arial"/>
          <w:sz w:val="20"/>
          <w:szCs w:val="20"/>
          <w:lang w:val="es-ES" w:eastAsia="es-ES"/>
        </w:rPr>
        <w:t xml:space="preserve">Un mejor entendimiento del significado de la expresión </w:t>
      </w:r>
      <w:r w:rsidRPr="00E220ED">
        <w:rPr>
          <w:rFonts w:ascii="Verdana" w:eastAsia="Times New Roman" w:hAnsi="Verdana" w:cs="Arial"/>
          <w:i/>
          <w:sz w:val="20"/>
          <w:szCs w:val="20"/>
          <w:lang w:val="es-ES" w:eastAsia="es-ES"/>
        </w:rPr>
        <w:t>“circunstancias ocurridas con posterioridad al cierre del proceso”</w:t>
      </w:r>
      <w:r w:rsidRPr="00E220ED">
        <w:rPr>
          <w:rFonts w:ascii="Verdana" w:eastAsia="Times New Roman" w:hAnsi="Verdana" w:cs="Arial"/>
          <w:sz w:val="20"/>
          <w:szCs w:val="20"/>
          <w:lang w:val="es-ES" w:eastAsia="es-ES"/>
        </w:rPr>
        <w:t xml:space="preserve"> implica distinguir entre la prueba de un hecho y el hecho mismo. En el caso de la subsanabilidad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 </w:t>
      </w:r>
    </w:p>
    <w:p w14:paraId="42EDA630" w14:textId="77777777" w:rsidR="00174766" w:rsidRPr="00E220ED" w:rsidRDefault="00174766" w:rsidP="00174766">
      <w:pPr>
        <w:spacing w:after="0" w:line="240" w:lineRule="auto"/>
        <w:jc w:val="both"/>
        <w:rPr>
          <w:rFonts w:ascii="Verdana" w:eastAsia="Times New Roman" w:hAnsi="Verdana" w:cs="Arial"/>
          <w:sz w:val="20"/>
          <w:szCs w:val="20"/>
          <w:lang w:val="es-ES" w:eastAsia="es-ES"/>
        </w:rPr>
      </w:pPr>
    </w:p>
    <w:p w14:paraId="40007A52" w14:textId="77777777" w:rsidR="00174766" w:rsidRPr="00E220ED" w:rsidRDefault="00174766" w:rsidP="00174766">
      <w:pPr>
        <w:pStyle w:val="Textoindependiente"/>
        <w:ind w:right="307"/>
        <w:jc w:val="both"/>
        <w:rPr>
          <w:rFonts w:ascii="Verdana" w:hAnsi="Verdana"/>
          <w:b/>
        </w:rPr>
      </w:pPr>
      <w:r w:rsidRPr="00E220ED">
        <w:rPr>
          <w:rFonts w:ascii="Verdana" w:hAnsi="Verdana"/>
          <w:b/>
        </w:rPr>
        <w:t xml:space="preserve">SUBSANABILIDAD – Ficha o anexo técnicos – Posición anterior – Colombia Compra Eficiente </w:t>
      </w:r>
    </w:p>
    <w:p w14:paraId="4F7D0C90" w14:textId="62FDEA5D" w:rsidR="00174766" w:rsidRPr="00E220ED" w:rsidRDefault="00174766" w:rsidP="00174766">
      <w:pPr>
        <w:spacing w:after="0" w:line="240" w:lineRule="auto"/>
        <w:jc w:val="both"/>
        <w:rPr>
          <w:rFonts w:ascii="Verdana" w:hAnsi="Verdana" w:cs="Arial"/>
          <w:sz w:val="20"/>
        </w:rPr>
      </w:pPr>
      <w:r w:rsidRPr="00E220ED">
        <w:rPr>
          <w:rFonts w:ascii="Verdana" w:hAnsi="Verdana"/>
          <w:sz w:val="20"/>
        </w:rPr>
        <w:t>La ficha técnica no tiene una definición formal en dentro del Estatuto General de Contratación de la Administración Pública-EGCAP-, por lo que se limita a una serie de menciones dentro del Decreto 1082 de 2015, que en el artículo 2.2.1.2.1.2.1, señala que en el pliego de condiciones se deben indicar las condiciones que deben estar incluidas en la “ficha técnica” para los procesos de selección abreviada para adquirir bienes y servicios de características técnicas uniformes, las cuales son: i) la clasificación del bien o servicio de acuerdo con el Clasificador de Bienes y Servicios; ii) la identificación adicional requerida; iii) la unidad de medida; iv) la calidad mínima, y v) los patrones de desempeño</w:t>
      </w:r>
      <w:r w:rsidRPr="00E220ED">
        <w:rPr>
          <w:rFonts w:ascii="Verdana" w:hAnsi="Verdana"/>
          <w:spacing w:val="-2"/>
          <w:sz w:val="20"/>
        </w:rPr>
        <w:t xml:space="preserve"> </w:t>
      </w:r>
      <w:r w:rsidRPr="00E220ED">
        <w:rPr>
          <w:rFonts w:ascii="Verdana" w:hAnsi="Verdana"/>
          <w:sz w:val="20"/>
        </w:rPr>
        <w:t>mínimos</w:t>
      </w:r>
      <w:r w:rsidRPr="00E220ED">
        <w:rPr>
          <w:rFonts w:ascii="Verdana" w:hAnsi="Verdana" w:cs="Arial"/>
          <w:sz w:val="20"/>
        </w:rPr>
        <w:t>.</w:t>
      </w:r>
    </w:p>
    <w:p w14:paraId="329B0D62" w14:textId="77777777" w:rsidR="00174766" w:rsidRPr="00E220ED" w:rsidRDefault="00174766" w:rsidP="00174766">
      <w:pPr>
        <w:spacing w:after="0" w:line="240" w:lineRule="auto"/>
        <w:jc w:val="both"/>
        <w:rPr>
          <w:rFonts w:ascii="Verdana" w:hAnsi="Verdana" w:cs="Arial"/>
          <w:sz w:val="20"/>
        </w:rPr>
      </w:pPr>
    </w:p>
    <w:p w14:paraId="0B57DDC9" w14:textId="77777777" w:rsidR="00174766" w:rsidRPr="00E220ED" w:rsidRDefault="00174766" w:rsidP="00174766">
      <w:pPr>
        <w:pStyle w:val="Textoindependiente"/>
        <w:ind w:right="307"/>
        <w:jc w:val="both"/>
        <w:rPr>
          <w:rFonts w:ascii="Verdana" w:hAnsi="Verdana"/>
          <w:b/>
        </w:rPr>
      </w:pPr>
      <w:r w:rsidRPr="00E220ED">
        <w:rPr>
          <w:rFonts w:ascii="Verdana" w:hAnsi="Verdana"/>
          <w:b/>
        </w:rPr>
        <w:t xml:space="preserve">SUBSANABILIDAD – Ficha o anexo técnicos – Posición vigente – Colombia Compra Eficiente </w:t>
      </w:r>
    </w:p>
    <w:p w14:paraId="121866C8" w14:textId="014D6244" w:rsidR="004025AE" w:rsidRPr="00E220ED" w:rsidRDefault="00174766" w:rsidP="004025AE">
      <w:pPr>
        <w:spacing w:after="120" w:line="240" w:lineRule="auto"/>
        <w:contextualSpacing/>
        <w:jc w:val="both"/>
        <w:rPr>
          <w:rFonts w:ascii="Verdana" w:hAnsi="Verdana"/>
          <w:sz w:val="20"/>
        </w:rPr>
      </w:pPr>
      <w:r w:rsidRPr="00E220ED">
        <w:rPr>
          <w:rFonts w:ascii="Verdana" w:hAnsi="Verdana"/>
          <w:sz w:val="20"/>
        </w:rPr>
        <w:t xml:space="preserve">El cambio de posición se origina en la medida en que la ausencia de requisitos o los errores en los documentos del proponente que no son necesarios para comparar las </w:t>
      </w:r>
      <w:r w:rsidRPr="00E220ED">
        <w:rPr>
          <w:rFonts w:ascii="Verdana" w:hAnsi="Verdana"/>
          <w:sz w:val="20"/>
        </w:rPr>
        <w:lastRenderedPageBreak/>
        <w:t>propuestas, no pueden ser una razón suficiente para el rechazo de la oferta y por lo tanto deben ser subsanados. Como se ha explicado, en los procesos donde el precio es el único criterio para la comparación de las ofertas, como por ejemplo la selección abreviada para adquirir bienes y servicios de características técnicas uniforme mediante subasta inversa, no es viable impedir que subsanen requisitos diferentes a los que afecten el precio, pues estos en la medida en que no son necesarios para comparar las propuestas, no modifican los criterios que otorgan puntaje, sino que permiten habilitar o demostrar que el proponente tiene la capacidad para cumplir con el objeto del contrato. por consiguiente, siempre que la ficha técnica no sea un requisito puntuable o que cambie uno de ellos que pueda mejorar la oferta, deberá subsanarse.</w:t>
      </w:r>
    </w:p>
    <w:p w14:paraId="24A41897" w14:textId="77777777" w:rsidR="004025AE" w:rsidRPr="00E220ED" w:rsidRDefault="004025AE" w:rsidP="004025AE">
      <w:pPr>
        <w:spacing w:after="120" w:line="240" w:lineRule="auto"/>
        <w:contextualSpacing/>
        <w:jc w:val="both"/>
        <w:rPr>
          <w:rFonts w:ascii="Verdana" w:hAnsi="Verdana"/>
          <w:sz w:val="20"/>
        </w:rPr>
      </w:pPr>
    </w:p>
    <w:p w14:paraId="77E0B0DC" w14:textId="4D2BCEA9" w:rsidR="004025AE" w:rsidRPr="00E220ED" w:rsidRDefault="004025AE" w:rsidP="004025AE">
      <w:pPr>
        <w:spacing w:after="120" w:line="240" w:lineRule="auto"/>
        <w:contextualSpacing/>
        <w:jc w:val="both"/>
        <w:rPr>
          <w:rFonts w:ascii="Verdana" w:hAnsi="Verdana"/>
          <w:sz w:val="20"/>
        </w:rPr>
      </w:pPr>
      <w:r w:rsidRPr="00E220ED">
        <w:rPr>
          <w:rFonts w:ascii="Verdana" w:eastAsia="Calibri" w:hAnsi="Verdana" w:cs="Arial"/>
          <w:b/>
          <w:bCs/>
        </w:rPr>
        <w:t xml:space="preserve">SUBASTA INVERSA – Regla de subsanabilidad – Tiempo límite – Alcance normativo </w:t>
      </w:r>
    </w:p>
    <w:p w14:paraId="66A2F3DA" w14:textId="77777777" w:rsidR="00174766" w:rsidRPr="00E220ED" w:rsidRDefault="00174766" w:rsidP="30821638">
      <w:pPr>
        <w:spacing w:after="0"/>
        <w:rPr>
          <w:rFonts w:ascii="Verdana" w:eastAsia="Verdana" w:hAnsi="Verdana" w:cs="Verdana"/>
        </w:rPr>
      </w:pPr>
    </w:p>
    <w:p w14:paraId="3BBF046A" w14:textId="77777777" w:rsidR="0073357A" w:rsidRPr="00E220ED" w:rsidRDefault="0073357A" w:rsidP="0073357A">
      <w:pPr>
        <w:spacing w:after="0" w:line="240" w:lineRule="auto"/>
        <w:ind w:right="49"/>
        <w:contextualSpacing/>
        <w:jc w:val="both"/>
        <w:rPr>
          <w:rFonts w:ascii="Verdana" w:eastAsia="Times New Roman" w:hAnsi="Verdana" w:cs="Arial"/>
          <w:sz w:val="20"/>
          <w:szCs w:val="20"/>
          <w:lang w:eastAsia="es-ES_tradnl"/>
          <w14:ligatures w14:val="standardContextual"/>
        </w:rPr>
      </w:pPr>
      <w:r w:rsidRPr="00E220ED">
        <w:rPr>
          <w:rFonts w:ascii="Verdana" w:eastAsia="Calibri" w:hAnsi="Verdana" w:cs="Arial"/>
          <w:sz w:val="20"/>
          <w:szCs w:val="20"/>
          <w:lang w:val="es-ES_tradnl"/>
        </w:rPr>
        <w:t xml:space="preserve">“[…] </w:t>
      </w:r>
      <w:r w:rsidRPr="00E220ED">
        <w:rPr>
          <w:rFonts w:ascii="Verdana" w:eastAsia="Times New Roman" w:hAnsi="Verdana" w:cs="Arial"/>
          <w:sz w:val="20"/>
          <w:szCs w:val="20"/>
          <w:lang w:eastAsia="es-ES_tradnl"/>
          <w14:ligatures w14:val="standardContextual"/>
        </w:rPr>
        <w:t xml:space="preserve">En ese orden de ideas, extendiendo las anteriores consideraciones a la regla de subsanabilidad consagrada en el parágrafo 4 del artículo 5 de la Ley 1150 de 2007 –adicionado por la Ley 1882 de 2018–, dada su identidad con la regulación del parágrafo 1 del artículo 5 de la ley 1150 de 2007 original –antes de ser modificada por la Ley 1882 de 2018– el inicio de la subasta es el momento hasta el cual la entidad cuenta con la facultad para requerir la subsanación de los documentos referentes a la futura contratación o a los proponentes, no necesarios para la comparación de las propuestas. Para el ejercicio de tal facultad, las entidades de manera </w:t>
      </w:r>
      <w:r w:rsidRPr="00E220ED">
        <w:rPr>
          <w:rFonts w:ascii="Verdana" w:eastAsia="Times New Roman" w:hAnsi="Verdana" w:cs="Arial"/>
          <w:i/>
          <w:iCs/>
          <w:sz w:val="20"/>
          <w:szCs w:val="20"/>
          <w:lang w:eastAsia="es-ES_tradnl"/>
          <w14:ligatures w14:val="standardContextual"/>
        </w:rPr>
        <w:t xml:space="preserve">ex ante </w:t>
      </w:r>
      <w:r w:rsidRPr="00E220ED">
        <w:rPr>
          <w:rFonts w:ascii="Verdana" w:eastAsia="Times New Roman" w:hAnsi="Verdana" w:cs="Arial"/>
          <w:sz w:val="20"/>
          <w:szCs w:val="20"/>
          <w:lang w:eastAsia="es-ES_tradnl"/>
          <w14:ligatures w14:val="standardContextual"/>
        </w:rPr>
        <w:t xml:space="preserve">podrán establecer dentro del pliego de condiciones el periodo dentro del cual los participantes del proceso de selección podrán subsanar los documentos que requiera la entidad, o en su defecto, requerir por separado a cada proponente para que subsanen los respectivos documentos, fijándoles un término razonable, el cual en todo caso no podrá exceder el momento previo al inicio de la audiencia de subasta. Así mismo, dentro del pliego de condiciones podrán definir las veces en las cuales le será posible a los proponentes subsanar los documentos.  En sentido, atendiendo a la consulta planteada, la posibilidad de subsanar varias veces un determinado aspecto de la propuesta dependerá de lo establecido en el pliego de condiciones, pues la normativa no restringe el número de veces que un proponente podrá subsanar un determinado aspecto. </w:t>
      </w:r>
    </w:p>
    <w:p w14:paraId="2A192D0D" w14:textId="77777777" w:rsidR="0073357A" w:rsidRPr="00E220ED" w:rsidRDefault="0073357A" w:rsidP="0073357A">
      <w:pPr>
        <w:spacing w:line="240" w:lineRule="auto"/>
        <w:contextualSpacing/>
        <w:jc w:val="both"/>
        <w:rPr>
          <w:rFonts w:ascii="Verdana" w:eastAsia="Calibri" w:hAnsi="Verdana" w:cs="Arial"/>
          <w:sz w:val="20"/>
          <w:szCs w:val="20"/>
          <w:lang w:val="es-ES_tradnl"/>
        </w:rPr>
      </w:pPr>
    </w:p>
    <w:p w14:paraId="22E21DB2" w14:textId="77777777" w:rsidR="0073357A" w:rsidRPr="00E220ED" w:rsidRDefault="0073357A" w:rsidP="0073357A">
      <w:pPr>
        <w:spacing w:line="240" w:lineRule="auto"/>
        <w:contextualSpacing/>
        <w:jc w:val="both"/>
        <w:rPr>
          <w:rFonts w:ascii="Verdana" w:eastAsia="Calibri" w:hAnsi="Verdana" w:cs="Arial"/>
          <w:sz w:val="20"/>
          <w:szCs w:val="20"/>
          <w:lang w:val="es-ES_tradnl"/>
        </w:rPr>
      </w:pPr>
      <w:r w:rsidRPr="00E220ED">
        <w:rPr>
          <w:rFonts w:ascii="Verdana" w:eastAsia="Calibri" w:hAnsi="Verdana" w:cs="Arial"/>
          <w:sz w:val="20"/>
          <w:szCs w:val="20"/>
          <w:lang w:val="es-ES_tradnl" w:eastAsia="es-ES_tradnl"/>
          <w14:ligatures w14:val="standardContextual"/>
        </w:rPr>
        <w:t>De esta manera, el parágrafo analizado</w:t>
      </w:r>
      <w:r w:rsidRPr="00E220ED">
        <w:rPr>
          <w:rFonts w:ascii="Verdana" w:eastAsia="Calibri" w:hAnsi="Verdana" w:cs="Arial"/>
          <w:sz w:val="20"/>
          <w:szCs w:val="20"/>
          <w:lang w:eastAsia="es-ES_tradnl"/>
          <w14:ligatures w14:val="standardContextual"/>
        </w:rPr>
        <w:t xml:space="preserve"> permite a las entidades </w:t>
      </w:r>
      <w:r w:rsidRPr="00E220ED">
        <w:rPr>
          <w:rFonts w:ascii="Verdana" w:eastAsia="Calibri" w:hAnsi="Verdana" w:cs="Arial"/>
          <w:i/>
          <w:iCs/>
          <w:sz w:val="20"/>
          <w:szCs w:val="20"/>
          <w:lang w:eastAsia="es-ES_tradnl"/>
          <w14:ligatures w14:val="standardContextual"/>
        </w:rPr>
        <w:t>solicitar</w:t>
      </w:r>
      <w:r w:rsidRPr="00E220ED">
        <w:rPr>
          <w:rFonts w:ascii="Verdana" w:eastAsia="Calibri" w:hAnsi="Verdana" w:cs="Arial"/>
          <w:sz w:val="20"/>
          <w:szCs w:val="20"/>
          <w:lang w:eastAsia="es-ES_tradnl"/>
          <w14:ligatures w14:val="standardContextual"/>
        </w:rPr>
        <w:t xml:space="preserve"> a los oferentes que subsanen los documentos referentes a la futura contratación no necesarios para la comparación de las propuestas, hasta el momento previo a la realización a la subasta a la que hace referencia el artículo </w:t>
      </w:r>
      <w:r w:rsidRPr="00E220ED">
        <w:rPr>
          <w:rFonts w:ascii="Verdana" w:eastAsia="Calibri" w:hAnsi="Verdana" w:cs="Arial"/>
          <w:sz w:val="20"/>
          <w:szCs w:val="20"/>
          <w:lang w:val="es-ES_tradnl" w:eastAsia="es-ES_tradnl"/>
          <w14:ligatures w14:val="standardContextual"/>
        </w:rPr>
        <w:t xml:space="preserve">2.2.1.2.1.2.2 del Decreto 1082 de 2015, momento que, además, deberá estar señalado en el pliego de condiciones, independientemente de que la entidad opte para desarrollar la audiencia de manera presencial o través del algún mecanismo electrónico. En defecto de lo anterior, las entidades también podrán </w:t>
      </w:r>
      <w:r w:rsidRPr="00E220ED">
        <w:rPr>
          <w:rFonts w:ascii="Verdana" w:eastAsia="Calibri" w:hAnsi="Verdana" w:cs="Arial"/>
          <w:sz w:val="20"/>
          <w:szCs w:val="20"/>
          <w:lang w:eastAsia="es-ES_tradnl"/>
          <w14:ligatures w14:val="standardContextual"/>
        </w:rPr>
        <w:t xml:space="preserve">requerir por separado o conjuntamente a cada proponente para que subsanen los respectivos documentos, fijándoles un término razonable, el cual en todo caso no podrá exceder el momento previo al inicio de la audiencia de subasta, por lo que será anterior a ella. </w:t>
      </w:r>
      <w:r w:rsidRPr="00E220ED">
        <w:rPr>
          <w:rFonts w:ascii="Verdana" w:eastAsia="Calibri" w:hAnsi="Verdana" w:cs="Arial"/>
          <w:sz w:val="20"/>
          <w:szCs w:val="20"/>
          <w:lang w:val="es-ES_tradnl"/>
        </w:rPr>
        <w:t>[…]”</w:t>
      </w:r>
    </w:p>
    <w:p w14:paraId="7F594417" w14:textId="77777777" w:rsidR="0073357A" w:rsidRPr="00E220ED" w:rsidRDefault="0073357A" w:rsidP="30821638">
      <w:pPr>
        <w:spacing w:after="0"/>
        <w:rPr>
          <w:rFonts w:ascii="Verdana" w:eastAsia="Verdana" w:hAnsi="Verdana" w:cs="Verdana"/>
        </w:rPr>
      </w:pPr>
    </w:p>
    <w:p w14:paraId="1468C46D" w14:textId="44787A74" w:rsidR="00C15139" w:rsidRDefault="00C15139" w:rsidP="006E404A">
      <w:pPr>
        <w:spacing w:after="0" w:line="240" w:lineRule="auto"/>
        <w:rPr>
          <w:rFonts w:ascii="Verdana" w:hAnsi="Verdana"/>
        </w:rPr>
      </w:pPr>
      <w:r w:rsidRPr="008C248C">
        <w:rPr>
          <w:rFonts w:ascii="Verdana" w:eastAsia="Verdana" w:hAnsi="Verdana" w:cs="Verdana"/>
        </w:rPr>
        <w:lastRenderedPageBreak/>
        <w:t xml:space="preserve">Bogotá D.C., </w:t>
      </w:r>
      <w:r w:rsidR="00C25EA4">
        <w:rPr>
          <w:rFonts w:ascii="Verdana" w:eastAsia="Verdana" w:hAnsi="Verdana" w:cs="Verdana"/>
        </w:rPr>
        <w:t>2</w:t>
      </w:r>
      <w:r w:rsidR="000819B1">
        <w:rPr>
          <w:rFonts w:ascii="Verdana" w:eastAsia="Verdana" w:hAnsi="Verdana" w:cs="Verdana"/>
        </w:rPr>
        <w:t>4</w:t>
      </w:r>
      <w:r w:rsidR="00C25EA4">
        <w:rPr>
          <w:rFonts w:ascii="Verdana" w:eastAsia="Verdana" w:hAnsi="Verdana" w:cs="Verdana"/>
        </w:rPr>
        <w:t xml:space="preserve"> de septiembre del 2026</w:t>
      </w:r>
      <w:r w:rsidRPr="008C248C">
        <w:rPr>
          <w:rFonts w:ascii="Verdana" w:hAnsi="Verdana"/>
        </w:rPr>
        <w:tab/>
      </w:r>
      <w:r w:rsidRPr="008C248C">
        <w:rPr>
          <w:rFonts w:ascii="Verdana" w:hAnsi="Verdana"/>
        </w:rPr>
        <w:br/>
      </w:r>
    </w:p>
    <w:p w14:paraId="4DFFB521" w14:textId="510E5C94" w:rsidR="00895FD8" w:rsidRPr="008C248C" w:rsidRDefault="00895FD8" w:rsidP="00895FD8">
      <w:pPr>
        <w:spacing w:after="0" w:line="240" w:lineRule="auto"/>
        <w:jc w:val="right"/>
        <w:rPr>
          <w:rFonts w:ascii="Verdana" w:eastAsia="Verdana" w:hAnsi="Verdana" w:cs="Verdana"/>
        </w:rPr>
      </w:pPr>
      <w:r w:rsidRPr="00895FD8">
        <w:rPr>
          <w:rFonts w:ascii="Verdana" w:eastAsia="Verdana" w:hAnsi="Verdana" w:cs="Verdana"/>
        </w:rPr>
        <w:drawing>
          <wp:inline distT="0" distB="0" distL="0" distR="0" wp14:anchorId="2F0286CA" wp14:editId="0056D752">
            <wp:extent cx="2455351" cy="789940"/>
            <wp:effectExtent l="0" t="0" r="2540" b="0"/>
            <wp:docPr id="5462608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260867" name=""/>
                    <pic:cNvPicPr/>
                  </pic:nvPicPr>
                  <pic:blipFill>
                    <a:blip r:embed="rId10"/>
                    <a:stretch>
                      <a:fillRect/>
                    </a:stretch>
                  </pic:blipFill>
                  <pic:spPr>
                    <a:xfrm>
                      <a:off x="0" y="0"/>
                      <a:ext cx="2471162" cy="795027"/>
                    </a:xfrm>
                    <a:prstGeom prst="rect">
                      <a:avLst/>
                    </a:prstGeom>
                  </pic:spPr>
                </pic:pic>
              </a:graphicData>
            </a:graphic>
          </wp:inline>
        </w:drawing>
      </w:r>
    </w:p>
    <w:p w14:paraId="30EAAD3F" w14:textId="647EEF98" w:rsidR="00DF3672" w:rsidRPr="009879CC" w:rsidRDefault="00DF3672" w:rsidP="008C248C">
      <w:pPr>
        <w:spacing w:after="0" w:line="240" w:lineRule="auto"/>
        <w:rPr>
          <w:rFonts w:ascii="Verdana" w:hAnsi="Verdana"/>
        </w:rPr>
      </w:pPr>
      <w:r w:rsidRPr="009C4277">
        <w:rPr>
          <w:rFonts w:ascii="Verdana" w:eastAsia="Calibri" w:hAnsi="Verdana" w:cs="Arial"/>
          <w:lang w:val="es-ES" w:eastAsia="es-ES"/>
        </w:rPr>
        <w:t>Señor:</w:t>
      </w:r>
    </w:p>
    <w:p w14:paraId="360525C0" w14:textId="4C481344" w:rsidR="00DF3672" w:rsidRPr="008C248C" w:rsidRDefault="008D1F74" w:rsidP="009C4277">
      <w:pPr>
        <w:spacing w:after="0" w:line="240" w:lineRule="auto"/>
        <w:rPr>
          <w:rFonts w:ascii="Verdana" w:eastAsia="Calibri" w:hAnsi="Verdana" w:cs="Arial"/>
          <w:b/>
          <w:bCs/>
          <w:lang w:eastAsia="es-ES"/>
        </w:rPr>
      </w:pPr>
      <w:r w:rsidRPr="008C248C">
        <w:rPr>
          <w:rFonts w:ascii="Verdana" w:eastAsia="Calibri" w:hAnsi="Verdana" w:cs="Arial"/>
          <w:b/>
          <w:bCs/>
          <w:lang w:eastAsia="es-ES"/>
        </w:rPr>
        <w:t>Luis Otto Sandoval Solano</w:t>
      </w:r>
    </w:p>
    <w:p w14:paraId="40DC6747" w14:textId="0C0A4105" w:rsidR="0085010E" w:rsidRPr="008C248C" w:rsidRDefault="0085010E" w:rsidP="009C4277">
      <w:pPr>
        <w:spacing w:after="0" w:line="240" w:lineRule="auto"/>
        <w:rPr>
          <w:rFonts w:ascii="Verdana" w:hAnsi="Verdana"/>
        </w:rPr>
      </w:pPr>
      <w:hyperlink r:id="rId11" w:history="1">
        <w:r w:rsidRPr="008C248C">
          <w:rPr>
            <w:rStyle w:val="Hipervnculo"/>
            <w:rFonts w:ascii="Verdana" w:hAnsi="Verdana"/>
          </w:rPr>
          <w:t>dipro.gutic@policia.gov.co</w:t>
        </w:r>
      </w:hyperlink>
    </w:p>
    <w:p w14:paraId="767116F5" w14:textId="5D41D02E" w:rsidR="00DF3672" w:rsidRPr="008C248C" w:rsidRDefault="00DF3672">
      <w:pPr>
        <w:spacing w:after="0" w:line="240" w:lineRule="auto"/>
        <w:rPr>
          <w:rFonts w:ascii="Verdana" w:eastAsia="Calibri" w:hAnsi="Verdana" w:cs="Arial"/>
          <w:lang w:val="es-ES_tradnl" w:eastAsia="es-ES"/>
        </w:rPr>
      </w:pPr>
      <w:r w:rsidRPr="008C248C">
        <w:rPr>
          <w:rFonts w:ascii="Verdana" w:eastAsia="Calibri" w:hAnsi="Verdana" w:cs="Arial"/>
          <w:lang w:val="es-ES_tradnl" w:eastAsia="es-ES"/>
        </w:rPr>
        <w:t>Bogotá D.C.</w:t>
      </w:r>
    </w:p>
    <w:p w14:paraId="6B8AB3B5" w14:textId="77777777" w:rsidR="00DF3672" w:rsidRPr="009C4277" w:rsidRDefault="00DF3672">
      <w:pPr>
        <w:spacing w:after="0" w:line="240" w:lineRule="auto"/>
        <w:rPr>
          <w:rFonts w:ascii="Verdana" w:eastAsia="Calibri" w:hAnsi="Verdana" w:cs="Arial"/>
          <w:b/>
          <w:bCs/>
          <w:highlight w:val="cyan"/>
          <w:lang w:val="es-ES_tradnl" w:eastAsia="es-ES_tradnl"/>
        </w:rPr>
      </w:pPr>
    </w:p>
    <w:p w14:paraId="431D0696" w14:textId="74D539E9" w:rsidR="00DF3672" w:rsidRPr="008C248C" w:rsidRDefault="00DF3672">
      <w:pPr>
        <w:spacing w:after="0" w:line="240" w:lineRule="auto"/>
        <w:rPr>
          <w:rFonts w:ascii="Verdana" w:eastAsia="Calibri" w:hAnsi="Verdana" w:cs="Arial"/>
          <w:b/>
          <w:bCs/>
          <w:lang w:val="es-ES_tradnl" w:eastAsia="es-ES_tradnl"/>
        </w:rPr>
      </w:pPr>
      <w:r w:rsidRPr="009C4277">
        <w:rPr>
          <w:rFonts w:ascii="Verdana" w:eastAsia="Calibri" w:hAnsi="Verdana" w:cs="Arial"/>
          <w:b/>
          <w:bCs/>
          <w:lang w:val="es-ES_tradnl" w:eastAsia="es-ES_tradnl"/>
        </w:rPr>
        <w:t xml:space="preserve">                                   Concepto C-</w:t>
      </w:r>
      <w:r w:rsidR="001845B1" w:rsidRPr="009879CC">
        <w:rPr>
          <w:rFonts w:ascii="Verdana" w:eastAsia="Calibri" w:hAnsi="Verdana" w:cs="Arial"/>
          <w:b/>
          <w:bCs/>
          <w:lang w:val="es-ES_tradnl" w:eastAsia="es-ES_tradnl"/>
        </w:rPr>
        <w:t>1301</w:t>
      </w:r>
      <w:r w:rsidRPr="009879CC">
        <w:rPr>
          <w:rFonts w:ascii="Verdana" w:eastAsia="Calibri" w:hAnsi="Verdana" w:cs="Arial"/>
          <w:b/>
          <w:bCs/>
          <w:lang w:val="es-ES_tradnl" w:eastAsia="es-ES_tradnl"/>
        </w:rPr>
        <w:t xml:space="preserve"> del 2026</w:t>
      </w:r>
    </w:p>
    <w:p w14:paraId="4B928E9E" w14:textId="77777777" w:rsidR="00DF3672" w:rsidRPr="008C248C" w:rsidRDefault="00DF3672">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F3672" w:rsidRPr="008C248C" w14:paraId="718AE19B" w14:textId="77777777" w:rsidTr="00A04A49">
        <w:trPr>
          <w:trHeight w:val="884"/>
        </w:trPr>
        <w:tc>
          <w:tcPr>
            <w:tcW w:w="2689" w:type="dxa"/>
          </w:tcPr>
          <w:p w14:paraId="50763357" w14:textId="77777777" w:rsidR="00DF3672" w:rsidRPr="008C248C" w:rsidRDefault="00DF3672">
            <w:pPr>
              <w:jc w:val="both"/>
              <w:rPr>
                <w:rFonts w:ascii="Verdana" w:eastAsia="Calibri" w:hAnsi="Verdana" w:cs="Arial"/>
                <w:lang w:val="es-ES_tradnl" w:eastAsia="es-ES_tradnl"/>
              </w:rPr>
            </w:pPr>
            <w:r w:rsidRPr="008C248C">
              <w:rPr>
                <w:rFonts w:ascii="Verdana" w:eastAsia="Calibri" w:hAnsi="Verdana" w:cs="Arial"/>
                <w:b/>
                <w:lang w:val="es-ES_tradnl" w:eastAsia="es-ES_tradnl"/>
              </w:rPr>
              <w:t>Temas:</w:t>
            </w:r>
            <w:r w:rsidRPr="008C248C">
              <w:rPr>
                <w:rFonts w:ascii="Verdana" w:eastAsia="Calibri" w:hAnsi="Verdana" w:cs="Arial"/>
                <w:lang w:val="es-ES_tradnl" w:eastAsia="es-ES_tradnl"/>
              </w:rPr>
              <w:t xml:space="preserve">                   </w:t>
            </w:r>
          </w:p>
        </w:tc>
        <w:tc>
          <w:tcPr>
            <w:tcW w:w="6100" w:type="dxa"/>
          </w:tcPr>
          <w:p w14:paraId="20B1D2BB" w14:textId="26629235" w:rsidR="00DF3672" w:rsidRPr="008C248C" w:rsidRDefault="00174766">
            <w:pPr>
              <w:jc w:val="both"/>
              <w:rPr>
                <w:rFonts w:ascii="Verdana" w:eastAsia="Geomanist Light" w:hAnsi="Verdana" w:cs="Arial"/>
                <w:bCs/>
                <w:color w:val="000000" w:themeColor="text1"/>
              </w:rPr>
            </w:pPr>
            <w:r w:rsidRPr="008C248C">
              <w:rPr>
                <w:rFonts w:ascii="Verdana" w:eastAsia="Geomanist Light" w:hAnsi="Verdana" w:cs="Arial"/>
                <w:bCs/>
                <w:color w:val="000000" w:themeColor="text1"/>
                <w:lang w:val="es-MX"/>
              </w:rPr>
              <w:t>SUBSANABILIDAD – Aplicación – Regla general – Excepciones / SUBSANABILIDAD – Circunstancias posteriores – Cierre del proceso- Ley 1882 de 2018 / SUBSANABILIDAD – Ficha o anexo técnicos – Posición anterior – Colombia Compra Eficiente / SUBSANABILIDAD – Ficha o anexo técnicos – Posición vigente – Colombia Compra Eficiente</w:t>
            </w:r>
            <w:r w:rsidR="004025AE" w:rsidRPr="008C248C">
              <w:rPr>
                <w:rFonts w:ascii="Verdana" w:eastAsia="Geomanist Light" w:hAnsi="Verdana" w:cs="Arial"/>
                <w:bCs/>
                <w:color w:val="000000" w:themeColor="text1"/>
                <w:lang w:val="es-MX"/>
              </w:rPr>
              <w:t xml:space="preserve"> / SUBASTA INVERSA – Regla de subsanabilidad – Tiempo límite – Alcance normativo</w:t>
            </w:r>
          </w:p>
          <w:p w14:paraId="4ACE9083" w14:textId="43E58E19" w:rsidR="00174766" w:rsidRPr="008C248C" w:rsidRDefault="00174766">
            <w:pPr>
              <w:jc w:val="both"/>
              <w:rPr>
                <w:rFonts w:ascii="Verdana" w:eastAsia="Aptos" w:hAnsi="Verdana" w:cs="Times New Roman"/>
              </w:rPr>
            </w:pPr>
          </w:p>
        </w:tc>
      </w:tr>
      <w:tr w:rsidR="00DF3672" w:rsidRPr="008C248C" w14:paraId="20BDA096" w14:textId="77777777" w:rsidTr="00A04A49">
        <w:trPr>
          <w:trHeight w:val="342"/>
        </w:trPr>
        <w:tc>
          <w:tcPr>
            <w:tcW w:w="2689" w:type="dxa"/>
          </w:tcPr>
          <w:p w14:paraId="77FDE659" w14:textId="77777777" w:rsidR="00DF3672" w:rsidRPr="008C248C" w:rsidRDefault="00DF3672" w:rsidP="008C248C">
            <w:pPr>
              <w:jc w:val="both"/>
              <w:rPr>
                <w:rFonts w:ascii="Verdana" w:eastAsia="Calibri" w:hAnsi="Verdana" w:cs="Arial"/>
                <w:b/>
                <w:lang w:val="es-ES_tradnl" w:eastAsia="es-ES_tradnl"/>
              </w:rPr>
            </w:pPr>
            <w:r w:rsidRPr="008C248C">
              <w:rPr>
                <w:rFonts w:ascii="Verdana" w:eastAsia="Calibri" w:hAnsi="Verdana" w:cs="Arial"/>
                <w:b/>
                <w:lang w:val="es-ES_tradnl" w:eastAsia="es-ES_tradnl"/>
              </w:rPr>
              <w:t>Radicación:</w:t>
            </w:r>
            <w:r w:rsidRPr="008C248C">
              <w:rPr>
                <w:rFonts w:ascii="Verdana" w:eastAsia="Calibri" w:hAnsi="Verdana" w:cs="Arial"/>
                <w:lang w:val="es-ES_tradnl" w:eastAsia="es-ES_tradnl"/>
              </w:rPr>
              <w:t xml:space="preserve">               </w:t>
            </w:r>
          </w:p>
        </w:tc>
        <w:tc>
          <w:tcPr>
            <w:tcW w:w="6100" w:type="dxa"/>
          </w:tcPr>
          <w:p w14:paraId="627AEC07" w14:textId="68DF2605" w:rsidR="00DF3672" w:rsidRPr="008C248C" w:rsidRDefault="00DF3672" w:rsidP="009C4277">
            <w:pPr>
              <w:jc w:val="both"/>
              <w:rPr>
                <w:rFonts w:ascii="Verdana" w:eastAsia="Calibri" w:hAnsi="Verdana" w:cs="Arial"/>
                <w:lang w:eastAsia="es-ES_tradnl"/>
              </w:rPr>
            </w:pPr>
            <w:r w:rsidRPr="009C4277">
              <w:rPr>
                <w:rFonts w:ascii="Verdana" w:eastAsia="Calibri" w:hAnsi="Verdana" w:cs="Arial"/>
                <w:lang w:val="es-ES_tradnl" w:eastAsia="es-ES_tradnl"/>
              </w:rPr>
              <w:t>Respuesta a la consulta con radicado No.</w:t>
            </w:r>
            <w:r w:rsidRPr="009C4277">
              <w:rPr>
                <w:rFonts w:ascii="Verdana" w:hAnsi="Verdana"/>
              </w:rPr>
              <w:t xml:space="preserve"> </w:t>
            </w:r>
            <w:r w:rsidR="001845B1" w:rsidRPr="008C248C">
              <w:rPr>
                <w:rFonts w:ascii="Verdana" w:hAnsi="Verdana"/>
              </w:rPr>
              <w:t>1_2026_08_18_010886</w:t>
            </w:r>
          </w:p>
        </w:tc>
      </w:tr>
    </w:tbl>
    <w:p w14:paraId="25C65E61" w14:textId="77777777" w:rsidR="00DF3672" w:rsidRPr="008C248C" w:rsidRDefault="00DF3672" w:rsidP="008C248C">
      <w:pPr>
        <w:spacing w:after="0" w:line="240" w:lineRule="auto"/>
        <w:jc w:val="both"/>
        <w:rPr>
          <w:rFonts w:ascii="Verdana" w:eastAsia="Calibri" w:hAnsi="Verdana" w:cs="Arial"/>
          <w:highlight w:val="cyan"/>
          <w:lang w:val="es-ES" w:eastAsia="es-ES"/>
        </w:rPr>
      </w:pPr>
    </w:p>
    <w:p w14:paraId="461F7871" w14:textId="6CD8BA63" w:rsidR="00DF3672" w:rsidRPr="00E220ED" w:rsidRDefault="00DF3672" w:rsidP="00DF3672">
      <w:pPr>
        <w:spacing w:after="0" w:line="276" w:lineRule="auto"/>
        <w:jc w:val="both"/>
        <w:rPr>
          <w:rFonts w:ascii="Verdana" w:eastAsia="Calibri" w:hAnsi="Verdana" w:cs="Arial"/>
          <w:lang w:val="es-ES" w:eastAsia="es-ES"/>
        </w:rPr>
      </w:pPr>
      <w:r w:rsidRPr="00E220ED">
        <w:rPr>
          <w:rFonts w:ascii="Verdana" w:eastAsia="Calibri" w:hAnsi="Verdana" w:cs="Arial"/>
          <w:lang w:val="es-ES" w:eastAsia="es-ES"/>
        </w:rPr>
        <w:t>Estimad</w:t>
      </w:r>
      <w:r w:rsidR="008D1F74" w:rsidRPr="00E220ED">
        <w:rPr>
          <w:rFonts w:ascii="Verdana" w:eastAsia="Calibri" w:hAnsi="Verdana" w:cs="Arial"/>
          <w:lang w:val="es-ES" w:eastAsia="es-ES"/>
        </w:rPr>
        <w:t>o</w:t>
      </w:r>
      <w:r w:rsidRPr="00E220ED">
        <w:rPr>
          <w:rFonts w:ascii="Verdana" w:eastAsia="Calibri" w:hAnsi="Verdana" w:cs="Arial"/>
          <w:lang w:val="es-ES" w:eastAsia="es-ES"/>
        </w:rPr>
        <w:t xml:space="preserve"> señor </w:t>
      </w:r>
      <w:r w:rsidR="008D1F74" w:rsidRPr="00E220ED">
        <w:rPr>
          <w:rFonts w:ascii="Verdana" w:eastAsia="Calibri" w:hAnsi="Verdana" w:cs="Arial"/>
          <w:lang w:eastAsia="es-ES"/>
        </w:rPr>
        <w:t>Sandoval Solano</w:t>
      </w:r>
      <w:r w:rsidRPr="00E220ED">
        <w:rPr>
          <w:rFonts w:ascii="Verdana" w:eastAsia="Calibri" w:hAnsi="Verdana" w:cs="Arial"/>
          <w:lang w:val="es-ES" w:eastAsia="es-ES"/>
        </w:rPr>
        <w:t xml:space="preserve">: </w:t>
      </w:r>
    </w:p>
    <w:p w14:paraId="405C72A6" w14:textId="77777777" w:rsidR="00DF3672" w:rsidRPr="00E220ED" w:rsidRDefault="00DF3672" w:rsidP="00DF3672">
      <w:pPr>
        <w:spacing w:after="0" w:line="276" w:lineRule="auto"/>
        <w:rPr>
          <w:rFonts w:ascii="Verdana" w:eastAsia="Times New Roman" w:hAnsi="Verdana" w:cs="Segoe UI"/>
          <w:highlight w:val="cyan"/>
          <w:lang w:eastAsia="es-CO"/>
        </w:rPr>
      </w:pPr>
    </w:p>
    <w:p w14:paraId="35A71DDA" w14:textId="28A3F100" w:rsidR="00DF3672" w:rsidRPr="00E220ED" w:rsidRDefault="00DF3672" w:rsidP="00DF3672">
      <w:pPr>
        <w:spacing w:after="0" w:line="276" w:lineRule="auto"/>
        <w:jc w:val="both"/>
        <w:rPr>
          <w:rFonts w:ascii="Verdana" w:eastAsia="Calibri" w:hAnsi="Verdana" w:cs="Arial"/>
          <w:lang w:val="es-ES" w:eastAsia="es-ES"/>
        </w:rPr>
      </w:pPr>
      <w:r w:rsidRPr="00E220ED">
        <w:rPr>
          <w:rFonts w:ascii="Verdana" w:eastAsia="Calibri" w:hAnsi="Verdana" w:cs="Arial"/>
          <w:lang w:val="es-ES" w:eastAsia="es-ES"/>
        </w:rPr>
        <w:t>En ejercicio de la competencia otorgada por los artículos 3, numeral 5º, y 11, numeral 8º, del Decreto Ley 4170 de 2011,</w:t>
      </w:r>
      <w:r w:rsidRPr="00E220ED">
        <w:rPr>
          <w:rFonts w:ascii="Verdana" w:eastAsia="Arial MT" w:hAnsi="Verdana" w:cs="Arial"/>
          <w:lang w:val="es-ES" w:eastAsia="es-ES"/>
        </w:rPr>
        <w:t xml:space="preserve"> </w:t>
      </w:r>
      <w:r w:rsidRPr="00E220ED">
        <w:rPr>
          <w:rFonts w:ascii="Verdana" w:hAnsi="Verdana" w:cs="Arial"/>
        </w:rPr>
        <w:t xml:space="preserve">así como lo establecido en el artículo 4 de la Resolución 1707 de 2018 expedida por esta Entidad, </w:t>
      </w:r>
      <w:r w:rsidRPr="00E220ED">
        <w:rPr>
          <w:rFonts w:ascii="Verdana" w:eastAsia="Calibri" w:hAnsi="Verdana" w:cs="Arial"/>
          <w:lang w:val="es-ES" w:eastAsia="es-ES"/>
        </w:rPr>
        <w:t xml:space="preserve">la Agencia Nacional de Contratación Pública – Colombia Compra Eficiente– responde su solicitud radicada el </w:t>
      </w:r>
      <w:r w:rsidR="00613D49" w:rsidRPr="00E220ED">
        <w:rPr>
          <w:rFonts w:ascii="Verdana" w:eastAsia="Calibri" w:hAnsi="Verdana" w:cs="Arial"/>
          <w:lang w:val="es-ES" w:eastAsia="es-ES"/>
        </w:rPr>
        <w:t>15 de agosto del 2026</w:t>
      </w:r>
      <w:r w:rsidRPr="00E220ED">
        <w:rPr>
          <w:rFonts w:ascii="Verdana" w:eastAsia="Calibri" w:hAnsi="Verdana" w:cs="Arial"/>
          <w:lang w:val="es-ES" w:eastAsia="es-ES"/>
        </w:rPr>
        <w:t xml:space="preserve">, en la cual manifiesta lo siguiente: </w:t>
      </w:r>
    </w:p>
    <w:p w14:paraId="6730FBF9" w14:textId="77777777" w:rsidR="00DF3672" w:rsidRPr="00E220ED" w:rsidRDefault="00DF3672" w:rsidP="00DF3672">
      <w:pPr>
        <w:spacing w:after="0" w:line="276" w:lineRule="auto"/>
        <w:jc w:val="both"/>
        <w:rPr>
          <w:rFonts w:ascii="Verdana" w:eastAsia="Calibri" w:hAnsi="Verdana" w:cs="Arial"/>
          <w:highlight w:val="cyan"/>
          <w:lang w:val="es-ES" w:eastAsia="es-ES"/>
        </w:rPr>
      </w:pPr>
    </w:p>
    <w:p w14:paraId="469E873F" w14:textId="77777777" w:rsidR="00744A21" w:rsidRPr="00E220ED" w:rsidRDefault="00DF3672" w:rsidP="008C248C">
      <w:pPr>
        <w:spacing w:after="0" w:line="240" w:lineRule="auto"/>
        <w:ind w:left="709" w:right="709"/>
        <w:jc w:val="both"/>
        <w:rPr>
          <w:rFonts w:ascii="Verdana" w:eastAsia="Century Gothic" w:hAnsi="Verdana" w:cs="Arial"/>
          <w:sz w:val="20"/>
          <w:szCs w:val="20"/>
        </w:rPr>
      </w:pPr>
      <w:r w:rsidRPr="00E220ED">
        <w:rPr>
          <w:rFonts w:ascii="Verdana" w:eastAsia="Century Gothic" w:hAnsi="Verdana" w:cs="Arial"/>
          <w:sz w:val="20"/>
          <w:szCs w:val="20"/>
          <w:lang w:val="es-ES"/>
        </w:rPr>
        <w:t xml:space="preserve">“[…] </w:t>
      </w:r>
      <w:r w:rsidR="00744A21" w:rsidRPr="00E220ED">
        <w:rPr>
          <w:rFonts w:ascii="Verdana" w:eastAsia="Century Gothic" w:hAnsi="Verdana" w:cs="Arial"/>
          <w:sz w:val="20"/>
          <w:szCs w:val="20"/>
        </w:rPr>
        <w:t>Teniendo en cuenta que el Concepto C-549 de 2026 de la Agencia reconoce la posibilidad de subsanar fichas o anexos técnicos que no sean puntuables, pero simultáneamente señala que lo subsanable es la prueba de circunstancias ocurridas antes del cierre y que la subsanación no puede utilizarse para variar las condiciones de la oferta una vez presentada, respetuosamente se solicita absolver los siguientes interrogantes:</w:t>
      </w:r>
    </w:p>
    <w:p w14:paraId="370235D8" w14:textId="77777777" w:rsidR="00744A21" w:rsidRPr="00E220ED" w:rsidRDefault="00744A21" w:rsidP="009C4277">
      <w:pPr>
        <w:spacing w:after="0" w:line="240" w:lineRule="auto"/>
        <w:ind w:left="709" w:right="709"/>
        <w:jc w:val="both"/>
        <w:rPr>
          <w:rFonts w:ascii="Verdana" w:eastAsia="Century Gothic" w:hAnsi="Verdana" w:cs="Arial"/>
          <w:sz w:val="20"/>
          <w:szCs w:val="20"/>
        </w:rPr>
      </w:pPr>
    </w:p>
    <w:p w14:paraId="0121D49D" w14:textId="77777777" w:rsidR="00744A21" w:rsidRPr="00E220ED" w:rsidRDefault="00744A21" w:rsidP="009C4277">
      <w:pPr>
        <w:spacing w:after="0" w:line="240" w:lineRule="auto"/>
        <w:ind w:left="709" w:right="709"/>
        <w:jc w:val="both"/>
        <w:rPr>
          <w:rFonts w:ascii="Verdana" w:eastAsia="Century Gothic" w:hAnsi="Verdana" w:cs="Arial"/>
          <w:sz w:val="20"/>
          <w:szCs w:val="20"/>
          <w:lang w:val="es-ES"/>
        </w:rPr>
      </w:pPr>
      <w:r w:rsidRPr="00E220ED">
        <w:rPr>
          <w:rFonts w:ascii="Verdana" w:eastAsia="Century Gothic" w:hAnsi="Verdana" w:cs="Arial"/>
          <w:sz w:val="20"/>
          <w:szCs w:val="20"/>
        </w:rPr>
        <w:t>1. ¿La posibilidad de subsanar una ficha o anexo técnico no puntuable comprende también la facultad del proponente de identificar por primera vez durante la subsanación la marca, modelo o referencia específica del producto ofertado, cuando ninguno de estos elementos fue identificado en la propuesta presentada al cierre?</w:t>
      </w:r>
      <w:r w:rsidRPr="00E220ED">
        <w:rPr>
          <w:rFonts w:ascii="Verdana" w:eastAsia="Century Gothic" w:hAnsi="Verdana" w:cs="Arial"/>
          <w:sz w:val="20"/>
          <w:szCs w:val="20"/>
          <w:lang w:val="es-ES"/>
        </w:rPr>
        <w:t xml:space="preserve"> </w:t>
      </w:r>
    </w:p>
    <w:p w14:paraId="7CF4C561" w14:textId="77777777" w:rsidR="00744A21" w:rsidRPr="00E220ED" w:rsidRDefault="00744A21">
      <w:pPr>
        <w:spacing w:after="0" w:line="240" w:lineRule="auto"/>
        <w:ind w:left="709" w:right="709"/>
        <w:jc w:val="both"/>
        <w:rPr>
          <w:rFonts w:ascii="Verdana" w:eastAsia="Century Gothic" w:hAnsi="Verdana" w:cs="Arial"/>
          <w:sz w:val="20"/>
          <w:szCs w:val="20"/>
          <w:lang w:val="es-ES"/>
        </w:rPr>
      </w:pPr>
    </w:p>
    <w:p w14:paraId="308FD157" w14:textId="77777777" w:rsidR="00744A21" w:rsidRPr="00E220ED" w:rsidRDefault="00744A21">
      <w:pPr>
        <w:spacing w:after="0" w:line="240" w:lineRule="auto"/>
        <w:ind w:left="709" w:right="709"/>
        <w:jc w:val="both"/>
        <w:rPr>
          <w:rFonts w:ascii="Verdana" w:eastAsia="Century Gothic" w:hAnsi="Verdana" w:cs="Arial"/>
          <w:sz w:val="20"/>
          <w:szCs w:val="20"/>
          <w:lang w:val="es-ES"/>
        </w:rPr>
      </w:pPr>
      <w:r w:rsidRPr="00E220ED">
        <w:rPr>
          <w:rFonts w:ascii="Verdana" w:eastAsia="Century Gothic" w:hAnsi="Verdana" w:cs="Arial"/>
          <w:sz w:val="20"/>
          <w:szCs w:val="20"/>
        </w:rPr>
        <w:t>2. En el supuesto anterior, ¿la identificación posterior de marca, modelo y referencia debe entenderse como la subsanación de la prueba de una circunstancia preexistente, o puede constituir la determinación, complementación o modificación del contenido del ofrecimiento con posterioridad al cierre?</w:t>
      </w:r>
      <w:r w:rsidRPr="00E220ED">
        <w:rPr>
          <w:rFonts w:ascii="Verdana" w:eastAsia="Century Gothic" w:hAnsi="Verdana" w:cs="Arial"/>
          <w:sz w:val="20"/>
          <w:szCs w:val="20"/>
          <w:lang w:val="es-ES"/>
        </w:rPr>
        <w:t xml:space="preserve"> </w:t>
      </w:r>
    </w:p>
    <w:p w14:paraId="06CBC9F9" w14:textId="77777777" w:rsidR="00744A21" w:rsidRPr="00E220ED" w:rsidRDefault="00744A21">
      <w:pPr>
        <w:spacing w:after="0" w:line="240" w:lineRule="auto"/>
        <w:ind w:left="709" w:right="709"/>
        <w:jc w:val="both"/>
        <w:rPr>
          <w:rFonts w:ascii="Verdana" w:eastAsia="Century Gothic" w:hAnsi="Verdana" w:cs="Arial"/>
          <w:sz w:val="20"/>
          <w:szCs w:val="20"/>
          <w:lang w:val="es-ES"/>
        </w:rPr>
      </w:pPr>
    </w:p>
    <w:p w14:paraId="057814E4" w14:textId="77777777" w:rsidR="0085745E" w:rsidRPr="00E220ED" w:rsidRDefault="00744A21">
      <w:pPr>
        <w:spacing w:after="0" w:line="240" w:lineRule="auto"/>
        <w:ind w:left="709" w:right="709"/>
        <w:jc w:val="both"/>
        <w:rPr>
          <w:rFonts w:ascii="Verdana" w:eastAsia="Century Gothic" w:hAnsi="Verdana" w:cs="Arial"/>
          <w:sz w:val="20"/>
          <w:szCs w:val="20"/>
          <w:lang w:val="es-ES"/>
        </w:rPr>
      </w:pPr>
      <w:r w:rsidRPr="00E220ED">
        <w:rPr>
          <w:rFonts w:ascii="Verdana" w:eastAsia="Century Gothic" w:hAnsi="Verdana" w:cs="Arial"/>
          <w:sz w:val="20"/>
          <w:szCs w:val="20"/>
        </w:rPr>
        <w:t>3. ¿La manifestación general del proponente de conocer, aceptar y comprometerse a cumplir las especificaciones técnicas resulta suficiente para considerar materialmente preexistente al cierre cualquier marca, modelo o referencia que posteriormente sea individualizada durante la subsanación, particularmente cuando los documentos del proceso permiten ofertar una referencia específica “o su equivalente”?</w:t>
      </w:r>
      <w:r w:rsidRPr="00E220ED">
        <w:rPr>
          <w:rFonts w:ascii="Verdana" w:eastAsia="Century Gothic" w:hAnsi="Verdana" w:cs="Arial"/>
          <w:sz w:val="20"/>
          <w:szCs w:val="20"/>
          <w:lang w:val="es-ES"/>
        </w:rPr>
        <w:t xml:space="preserve"> </w:t>
      </w:r>
    </w:p>
    <w:p w14:paraId="4F0D7146" w14:textId="77777777" w:rsidR="0085745E" w:rsidRPr="00E220ED" w:rsidRDefault="0085745E">
      <w:pPr>
        <w:spacing w:after="0" w:line="240" w:lineRule="auto"/>
        <w:ind w:left="709" w:right="709"/>
        <w:jc w:val="both"/>
        <w:rPr>
          <w:rFonts w:ascii="Verdana" w:eastAsia="Century Gothic" w:hAnsi="Verdana" w:cs="Arial"/>
          <w:sz w:val="20"/>
          <w:szCs w:val="20"/>
          <w:lang w:val="es-ES"/>
        </w:rPr>
      </w:pPr>
    </w:p>
    <w:p w14:paraId="0115A974" w14:textId="77777777" w:rsidR="0085745E" w:rsidRPr="00E220ED" w:rsidRDefault="0085745E">
      <w:pPr>
        <w:spacing w:after="0" w:line="240" w:lineRule="auto"/>
        <w:ind w:left="709" w:right="709"/>
        <w:jc w:val="both"/>
        <w:rPr>
          <w:rFonts w:ascii="Verdana" w:eastAsia="Century Gothic" w:hAnsi="Verdana" w:cs="Arial"/>
          <w:sz w:val="20"/>
          <w:szCs w:val="20"/>
          <w:lang w:val="es-ES"/>
        </w:rPr>
      </w:pPr>
      <w:r w:rsidRPr="00E220ED">
        <w:rPr>
          <w:rFonts w:ascii="Verdana" w:eastAsia="Century Gothic" w:hAnsi="Verdana" w:cs="Arial"/>
          <w:sz w:val="20"/>
          <w:szCs w:val="20"/>
        </w:rPr>
        <w:t>4. Para efectos de aplicar la prohibición contenida en el parágrafo 1 del artículo 5 de la Ley 1150 de 2007, conforme a la cual durante la subsanación no pueden acreditarse circunstancias ocurridas con posterioridad al cierre, ¿qué elementos permiten determinar que la marca, modelo o referencia identificada posteriormente correspondía efectivamente al producto ofrecido al momento del cierre, cuando la propuesta inicial no contiene documento alguno que permita individualizarlo?</w:t>
      </w:r>
      <w:r w:rsidRPr="00E220ED">
        <w:rPr>
          <w:rFonts w:ascii="Verdana" w:eastAsia="Century Gothic" w:hAnsi="Verdana" w:cs="Arial"/>
          <w:sz w:val="20"/>
          <w:szCs w:val="20"/>
          <w:lang w:val="es-ES"/>
        </w:rPr>
        <w:t xml:space="preserve"> </w:t>
      </w:r>
    </w:p>
    <w:p w14:paraId="582271A9" w14:textId="77777777" w:rsidR="0085745E" w:rsidRPr="00E220ED" w:rsidRDefault="0085745E">
      <w:pPr>
        <w:spacing w:after="0" w:line="240" w:lineRule="auto"/>
        <w:ind w:left="709" w:right="709"/>
        <w:jc w:val="both"/>
        <w:rPr>
          <w:rFonts w:ascii="Verdana" w:eastAsia="Century Gothic" w:hAnsi="Verdana" w:cs="Arial"/>
          <w:sz w:val="20"/>
          <w:szCs w:val="20"/>
          <w:lang w:val="es-ES"/>
        </w:rPr>
      </w:pPr>
    </w:p>
    <w:p w14:paraId="5E6F8809" w14:textId="77777777" w:rsidR="0085745E" w:rsidRPr="00E220ED" w:rsidRDefault="0085745E">
      <w:pPr>
        <w:spacing w:after="0" w:line="240" w:lineRule="auto"/>
        <w:ind w:left="709" w:right="709"/>
        <w:jc w:val="both"/>
        <w:rPr>
          <w:rFonts w:ascii="Verdana" w:eastAsia="Century Gothic" w:hAnsi="Verdana" w:cs="Arial"/>
          <w:sz w:val="20"/>
          <w:szCs w:val="20"/>
          <w:lang w:val="es-ES"/>
        </w:rPr>
      </w:pPr>
      <w:r w:rsidRPr="00E220ED">
        <w:rPr>
          <w:rFonts w:ascii="Verdana" w:eastAsia="Century Gothic" w:hAnsi="Verdana" w:cs="Arial"/>
          <w:sz w:val="20"/>
          <w:szCs w:val="20"/>
        </w:rPr>
        <w:t>5. ¿Resultaría compatible con los principios de igualdad, selección objetiva y transparencia permitir que un oferente que no individualizó producto alguno al cierre identifique posteriormente una marca y modelo durante la subsanación, mientras que un oferente que sí identificó desde su propuesta una marca y modelo determinados se encuentra vinculado a estos y no podría sustituirlos posteriormente sin incurrir en modificación de su oferta?</w:t>
      </w:r>
      <w:r w:rsidRPr="00E220ED">
        <w:rPr>
          <w:rFonts w:ascii="Verdana" w:eastAsia="Century Gothic" w:hAnsi="Verdana" w:cs="Arial"/>
          <w:sz w:val="20"/>
          <w:szCs w:val="20"/>
          <w:lang w:val="es-ES"/>
        </w:rPr>
        <w:t xml:space="preserve"> </w:t>
      </w:r>
    </w:p>
    <w:p w14:paraId="0293F284" w14:textId="77777777" w:rsidR="0085745E" w:rsidRPr="00E220ED" w:rsidRDefault="0085745E">
      <w:pPr>
        <w:spacing w:after="0" w:line="240" w:lineRule="auto"/>
        <w:ind w:left="709" w:right="709"/>
        <w:jc w:val="both"/>
        <w:rPr>
          <w:rFonts w:ascii="Verdana" w:eastAsia="Century Gothic" w:hAnsi="Verdana" w:cs="Arial"/>
          <w:sz w:val="20"/>
          <w:szCs w:val="20"/>
          <w:lang w:val="es-ES"/>
        </w:rPr>
      </w:pPr>
    </w:p>
    <w:p w14:paraId="16ED92E3" w14:textId="7CBBE519" w:rsidR="00DF3672" w:rsidRPr="00E220ED" w:rsidRDefault="0085745E">
      <w:pPr>
        <w:spacing w:after="0" w:line="240" w:lineRule="auto"/>
        <w:ind w:left="709" w:right="709"/>
        <w:jc w:val="both"/>
        <w:rPr>
          <w:rFonts w:ascii="Verdana" w:eastAsia="Century Gothic" w:hAnsi="Verdana" w:cs="Arial"/>
          <w:sz w:val="20"/>
          <w:szCs w:val="20"/>
        </w:rPr>
      </w:pPr>
      <w:r w:rsidRPr="00E220ED">
        <w:rPr>
          <w:rFonts w:ascii="Verdana" w:eastAsia="Century Gothic" w:hAnsi="Verdana" w:cs="Arial"/>
          <w:sz w:val="20"/>
          <w:szCs w:val="20"/>
        </w:rPr>
        <w:t>6. Finalmente, en los procesos adelantados mediante el sistema de subasta inversa, ¿la oportunidad temporal especial para presentar documentos subsanables hasta antes de la realización de la subasta modifica de alguna manera el criterio material conforme al cual la circunstancia que se pretende acreditar debe haber existido al momento del cierre, o dicho límite material permanece plenamente aplicable?</w:t>
      </w:r>
      <w:r w:rsidRPr="00E220ED">
        <w:rPr>
          <w:rFonts w:ascii="Verdana" w:eastAsia="Century Gothic" w:hAnsi="Verdana" w:cs="Arial"/>
          <w:sz w:val="20"/>
          <w:szCs w:val="20"/>
          <w:lang w:val="es-ES"/>
        </w:rPr>
        <w:t xml:space="preserve"> […]</w:t>
      </w:r>
      <w:r w:rsidR="00DF3672" w:rsidRPr="00E220ED">
        <w:rPr>
          <w:rFonts w:ascii="Verdana" w:eastAsia="Century Gothic" w:hAnsi="Verdana" w:cs="Arial"/>
          <w:sz w:val="20"/>
          <w:szCs w:val="20"/>
          <w:lang w:val="es-ES"/>
        </w:rPr>
        <w:t>”</w:t>
      </w:r>
    </w:p>
    <w:p w14:paraId="3328D1FA" w14:textId="77777777" w:rsidR="00DF3672" w:rsidRPr="00E220ED" w:rsidRDefault="00DF3672" w:rsidP="00DF3672">
      <w:pPr>
        <w:spacing w:after="0" w:line="240" w:lineRule="auto"/>
        <w:ind w:left="709" w:right="709"/>
        <w:jc w:val="both"/>
        <w:rPr>
          <w:rFonts w:ascii="Verdana" w:eastAsia="Century Gothic" w:hAnsi="Verdana" w:cs="Arial"/>
          <w:sz w:val="20"/>
          <w:szCs w:val="20"/>
          <w:highlight w:val="cyan"/>
        </w:rPr>
      </w:pPr>
    </w:p>
    <w:p w14:paraId="400C308C" w14:textId="77777777" w:rsidR="00DF3672" w:rsidRPr="00E220ED" w:rsidRDefault="00DF3672" w:rsidP="00DF3672">
      <w:pPr>
        <w:spacing w:after="120" w:line="276" w:lineRule="auto"/>
        <w:ind w:firstLine="709"/>
        <w:jc w:val="both"/>
        <w:rPr>
          <w:rFonts w:ascii="Verdana" w:eastAsia="Calibri" w:hAnsi="Verdana" w:cs="Arial"/>
          <w:lang w:val="es-ES_tradnl" w:eastAsia="es-ES_tradnl"/>
        </w:rPr>
      </w:pPr>
      <w:r w:rsidRPr="00E220ED">
        <w:rPr>
          <w:rFonts w:ascii="Verdana" w:eastAsia="Calibri" w:hAnsi="Verdana" w:cs="Arial"/>
          <w:lang w:val="es-ES" w:eastAsia="es-ES"/>
        </w:rPr>
        <w:t xml:space="preserve">De manera preliminar, resulta necesario acotar que esta entidad solo tiene competencia para responder consultas sobre la aplicación de normas de carácter </w:t>
      </w:r>
      <w:r w:rsidRPr="00E220ED">
        <w:rPr>
          <w:rFonts w:ascii="Verdana" w:eastAsia="Calibri" w:hAnsi="Verdana" w:cs="Arial"/>
          <w:lang w:val="es-ES" w:eastAsia="es-ES"/>
        </w:rPr>
        <w:lastRenderedPageBreak/>
        <w:t>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73F60FFF" w14:textId="64A5D4DF" w:rsidR="00EB6783" w:rsidRPr="00E220ED" w:rsidRDefault="00DF3672" w:rsidP="00EB6783">
      <w:pPr>
        <w:spacing w:after="0" w:line="276" w:lineRule="auto"/>
        <w:ind w:firstLine="709"/>
        <w:jc w:val="both"/>
        <w:rPr>
          <w:rStyle w:val="Hipervnculo"/>
          <w:rFonts w:ascii="Verdana" w:eastAsia="Calibri" w:hAnsi="Verdana" w:cs="Arial"/>
          <w:color w:val="auto"/>
          <w:u w:val="none"/>
          <w:lang w:val="es-ES" w:eastAsia="es-ES"/>
        </w:rPr>
      </w:pPr>
      <w:r w:rsidRPr="00E220ED">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7E554029" w14:textId="77777777" w:rsidR="00EB6783" w:rsidRPr="00E220ED" w:rsidRDefault="00EB6783" w:rsidP="00DF3672">
      <w:pPr>
        <w:spacing w:after="0" w:line="276" w:lineRule="auto"/>
        <w:jc w:val="both"/>
        <w:rPr>
          <w:rStyle w:val="Hipervnculo"/>
          <w:rFonts w:ascii="Verdana" w:hAnsi="Verdana"/>
          <w:color w:val="auto"/>
          <w:highlight w:val="cyan"/>
          <w:u w:val="none"/>
          <w:lang w:val="es-ES"/>
        </w:rPr>
      </w:pPr>
    </w:p>
    <w:p w14:paraId="23B6A46B" w14:textId="77777777" w:rsidR="00DF3672" w:rsidRPr="00E220ED" w:rsidRDefault="00DF3672" w:rsidP="00DF367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E220ED">
        <w:rPr>
          <w:rFonts w:ascii="Verdana" w:eastAsia="Century Gothic" w:hAnsi="Verdana" w:cs="Arial"/>
          <w:b/>
          <w:bCs/>
        </w:rPr>
        <w:t>Problemas planteados:</w:t>
      </w:r>
    </w:p>
    <w:p w14:paraId="30CE6B19" w14:textId="77777777" w:rsidR="00DF3672" w:rsidRPr="00E220ED" w:rsidRDefault="00DF3672" w:rsidP="00DF3672">
      <w:pPr>
        <w:spacing w:after="0" w:line="276" w:lineRule="auto"/>
        <w:jc w:val="both"/>
        <w:rPr>
          <w:rStyle w:val="Hipervnculo"/>
          <w:rFonts w:ascii="Verdana" w:hAnsi="Verdana" w:cs="Arial"/>
          <w:color w:val="auto"/>
          <w:highlight w:val="cyan"/>
        </w:rPr>
      </w:pPr>
    </w:p>
    <w:p w14:paraId="79EF69D5" w14:textId="23BE3A98" w:rsidR="00DF3672" w:rsidRPr="00E220ED" w:rsidRDefault="00DF3672" w:rsidP="004D30FA">
      <w:pPr>
        <w:spacing w:line="276" w:lineRule="auto"/>
        <w:jc w:val="both"/>
        <w:rPr>
          <w:rStyle w:val="Hipervnculo"/>
          <w:rFonts w:ascii="Verdana" w:eastAsia="Century Gothic" w:hAnsi="Verdana" w:cs="Century Gothic"/>
          <w:color w:val="auto"/>
          <w:u w:val="none"/>
        </w:rPr>
      </w:pPr>
      <w:r w:rsidRPr="00E220ED">
        <w:rPr>
          <w:rFonts w:ascii="Verdana" w:eastAsia="Calibri" w:hAnsi="Verdana" w:cs="Times New Roman"/>
        </w:rPr>
        <w:t xml:space="preserve">De acuerdo con el contenido de su solicitud, la Agencia procede a resolver los siguientes problemas jurídicos: </w:t>
      </w:r>
      <w:r w:rsidRPr="00E220ED">
        <w:rPr>
          <w:rFonts w:ascii="Verdana" w:eastAsia="Century Gothic" w:hAnsi="Verdana" w:cs="Century Gothic"/>
        </w:rPr>
        <w:t xml:space="preserve">i) </w:t>
      </w:r>
      <w:r w:rsidR="004D30FA" w:rsidRPr="00E220ED">
        <w:rPr>
          <w:rFonts w:ascii="Verdana" w:eastAsia="Century Gothic" w:hAnsi="Verdana" w:cs="Century Gothic"/>
        </w:rPr>
        <w:t xml:space="preserve">¿La posibilidad de subsanar un anexo técnico no puntuable incluye la facultad del proponente de identificar por primera vez la marca, modelo o referencia del producto ofertado, cuando estos no fueron señalados al cierre?; ii) </w:t>
      </w:r>
      <w:r w:rsidR="00EA3280" w:rsidRPr="00E220ED">
        <w:rPr>
          <w:rFonts w:ascii="Verdana" w:eastAsia="Century Gothic" w:hAnsi="Verdana" w:cs="Century Gothic"/>
        </w:rPr>
        <w:t xml:space="preserve">¿La posterior individualización de marca, modelo y referencia constituye prueba de una circunstancia preexistente o implica modificar el contenido de la oferta después del cierre?; iii) ¿La declaración genérica </w:t>
      </w:r>
      <w:r w:rsidR="008C248C">
        <w:rPr>
          <w:rFonts w:ascii="Verdana" w:eastAsia="Century Gothic" w:hAnsi="Verdana" w:cs="Century Gothic"/>
        </w:rPr>
        <w:t>por parte del proponente de que</w:t>
      </w:r>
      <w:r w:rsidR="008C248C" w:rsidRPr="00E220ED">
        <w:rPr>
          <w:rFonts w:ascii="Verdana" w:eastAsia="Century Gothic" w:hAnsi="Verdana" w:cs="Century Gothic"/>
        </w:rPr>
        <w:t xml:space="preserve"> </w:t>
      </w:r>
      <w:r w:rsidR="00EA3280" w:rsidRPr="00E220ED">
        <w:rPr>
          <w:rFonts w:ascii="Verdana" w:eastAsia="Century Gothic" w:hAnsi="Verdana" w:cs="Century Gothic"/>
        </w:rPr>
        <w:t>cumpl</w:t>
      </w:r>
      <w:r w:rsidR="008C248C">
        <w:rPr>
          <w:rFonts w:ascii="Verdana" w:eastAsia="Century Gothic" w:hAnsi="Verdana" w:cs="Century Gothic"/>
        </w:rPr>
        <w:t>e</w:t>
      </w:r>
      <w:r w:rsidR="00EA3280" w:rsidRPr="00E220ED">
        <w:rPr>
          <w:rFonts w:ascii="Verdana" w:eastAsia="Century Gothic" w:hAnsi="Verdana" w:cs="Century Gothic"/>
        </w:rPr>
        <w:t xml:space="preserve"> las especificaciones técnicas basta para considerar preexistente cualquier marca o modelo que luego se precise en la subsanación, especialmente cuando se permite ofertar una referencia “o su equivalente”?; iv) Para aplicar la prohibición del artículo 5 de la Ley 1150 de 2007, ¿qué elementos permiten acreditar que la marca o modelo identificado posteriormente correspondía efectivamente al producto ofrecido al cierre, si la propuesta inicial no lo individualizó?</w:t>
      </w:r>
      <w:r w:rsidR="00484FC3" w:rsidRPr="00E220ED">
        <w:rPr>
          <w:rFonts w:ascii="Verdana" w:eastAsia="Century Gothic" w:hAnsi="Verdana" w:cs="Century Gothic"/>
        </w:rPr>
        <w:t xml:space="preserve">; v) ¿Es compatible con la igualdad y la selección objetiva permitir que un oferente identifique marca y modelo en la subsanación, mientras otro que sí los precisó desde el cierre queda </w:t>
      </w:r>
      <w:r w:rsidR="00484FC3" w:rsidRPr="00E220ED">
        <w:rPr>
          <w:rFonts w:ascii="Verdana" w:eastAsia="Century Gothic" w:hAnsi="Verdana" w:cs="Century Gothic"/>
        </w:rPr>
        <w:lastRenderedPageBreak/>
        <w:t xml:space="preserve">vinculado a ellos sin posibilidad de sustituirlos?; vi) </w:t>
      </w:r>
      <w:r w:rsidR="008450D7" w:rsidRPr="00E220ED">
        <w:rPr>
          <w:rFonts w:ascii="Verdana" w:eastAsia="Century Gothic" w:hAnsi="Verdana" w:cs="Century Gothic"/>
        </w:rPr>
        <w:t>En la subasta inversa, ¿la oportunidad especial para subsanar hasta antes de la audiencia altera el criterio material de que la circunstancia debe existir al cierre, o dicho límite permanece aplicable?</w:t>
      </w:r>
    </w:p>
    <w:p w14:paraId="3B27AFCD" w14:textId="6B735A0F" w:rsidR="002A0DD0" w:rsidRPr="00E220ED" w:rsidRDefault="00DF3672" w:rsidP="00EF5799">
      <w:pPr>
        <w:pStyle w:val="Prrafodelista"/>
        <w:widowControl w:val="0"/>
        <w:numPr>
          <w:ilvl w:val="0"/>
          <w:numId w:val="16"/>
        </w:numPr>
        <w:autoSpaceDE w:val="0"/>
        <w:autoSpaceDN w:val="0"/>
        <w:spacing w:after="0" w:line="276" w:lineRule="auto"/>
        <w:ind w:left="360"/>
        <w:contextualSpacing w:val="0"/>
        <w:jc w:val="both"/>
        <w:outlineLvl w:val="0"/>
        <w:rPr>
          <w:rFonts w:ascii="Verdana" w:eastAsia="Arial" w:hAnsi="Verdana" w:cs="Arial"/>
          <w:b/>
          <w:bCs/>
        </w:rPr>
      </w:pPr>
      <w:r w:rsidRPr="00E220ED">
        <w:rPr>
          <w:rFonts w:ascii="Verdana" w:eastAsia="Arial" w:hAnsi="Verdana" w:cs="Arial"/>
          <w:b/>
          <w:bCs/>
        </w:rPr>
        <w:t>Respuesta</w:t>
      </w:r>
      <w:r w:rsidR="00EB6783" w:rsidRPr="00E220ED">
        <w:rPr>
          <w:rFonts w:ascii="Verdana" w:eastAsia="Arial" w:hAnsi="Verdana" w:cs="Arial"/>
          <w:b/>
          <w:bCs/>
        </w:rPr>
        <w:t>s</w:t>
      </w:r>
      <w:r w:rsidRPr="00E220ED">
        <w:rPr>
          <w:rFonts w:ascii="Verdana" w:eastAsia="Arial" w:hAnsi="Verdana" w:cs="Arial"/>
          <w:b/>
          <w:bCs/>
        </w:rPr>
        <w:t>:</w:t>
      </w:r>
    </w:p>
    <w:p w14:paraId="0458D8FD" w14:textId="77777777" w:rsidR="00EF5799" w:rsidRPr="00E220ED" w:rsidRDefault="00EF5799" w:rsidP="00EF5799">
      <w:pPr>
        <w:widowControl w:val="0"/>
        <w:autoSpaceDE w:val="0"/>
        <w:autoSpaceDN w:val="0"/>
        <w:spacing w:after="0" w:line="276" w:lineRule="auto"/>
        <w:outlineLvl w:val="0"/>
        <w:rPr>
          <w:rFonts w:ascii="Verdana" w:eastAsia="Arial" w:hAnsi="Verdana" w:cs="Arial"/>
          <w:b/>
          <w:bCs/>
          <w:highlight w:val="cy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505FD" w:rsidRPr="00E220ED" w14:paraId="4E860AB9" w14:textId="77777777" w:rsidTr="00A04A49">
        <w:tc>
          <w:tcPr>
            <w:tcW w:w="8828" w:type="dxa"/>
          </w:tcPr>
          <w:p w14:paraId="3C7143A4" w14:textId="77777777" w:rsidR="00B505FD" w:rsidRPr="00E220ED" w:rsidRDefault="00B505FD" w:rsidP="00A04A49">
            <w:pPr>
              <w:spacing w:after="120" w:line="276" w:lineRule="auto"/>
              <w:jc w:val="both"/>
              <w:rPr>
                <w:rFonts w:ascii="Verdana" w:hAnsi="Verdana" w:cs="Arial"/>
              </w:rPr>
            </w:pPr>
            <w:bookmarkStart w:id="1" w:name="_Hlk171067516"/>
            <w:r w:rsidRPr="00E220ED">
              <w:rPr>
                <w:rFonts w:ascii="Verdana" w:hAnsi="Verdana" w:cs="Arial"/>
              </w:rPr>
              <w:t>En respuesta a los problemas antes planteados esta Subdirección manifiesta lo siguiente:</w:t>
            </w:r>
          </w:p>
          <w:p w14:paraId="603CAE63" w14:textId="53DAA87E" w:rsidR="00B505FD" w:rsidRDefault="00B505FD" w:rsidP="009C4277">
            <w:pPr>
              <w:spacing w:line="276" w:lineRule="auto"/>
              <w:jc w:val="both"/>
              <w:rPr>
                <w:rFonts w:ascii="Verdana" w:hAnsi="Verdana"/>
              </w:rPr>
            </w:pPr>
            <w:r w:rsidRPr="00E220ED">
              <w:rPr>
                <w:rFonts w:ascii="Verdana" w:hAnsi="Verdana"/>
              </w:rPr>
              <w:t xml:space="preserve">i. </w:t>
            </w:r>
            <w:r w:rsidR="006A0348" w:rsidRPr="00E220ED">
              <w:rPr>
                <w:rFonts w:ascii="Verdana" w:hAnsi="Verdana"/>
              </w:rPr>
              <w:t xml:space="preserve">Frente al </w:t>
            </w:r>
            <w:r w:rsidR="006A0348" w:rsidRPr="00E220ED">
              <w:rPr>
                <w:rFonts w:ascii="Verdana" w:hAnsi="Verdana"/>
                <w:i/>
                <w:iCs/>
              </w:rPr>
              <w:t>primer interrogante</w:t>
            </w:r>
            <w:r w:rsidR="006A0348" w:rsidRPr="00E220ED">
              <w:rPr>
                <w:rFonts w:ascii="Verdana" w:hAnsi="Verdana"/>
              </w:rPr>
              <w:t xml:space="preserve">, debe señalarse que la regla de subsanabilidad permite corregir, aclarar o complementar la prueba de lo ya ofrecido, pero no faculta al proponente para determinar por primera vez un elemento de la oferta. La ficha o el anexo técnico no puntuable son subsanables como documentos; sin embargo, la identificación inicial de marca, modelo o referencia </w:t>
            </w:r>
            <w:r w:rsidR="00031AAE" w:rsidRPr="00E220ED">
              <w:rPr>
                <w:rFonts w:ascii="Verdana" w:hAnsi="Verdana"/>
              </w:rPr>
              <w:t>podría no</w:t>
            </w:r>
            <w:r w:rsidR="006A0348" w:rsidRPr="00E220ED">
              <w:rPr>
                <w:rFonts w:ascii="Verdana" w:hAnsi="Verdana"/>
              </w:rPr>
              <w:t xml:space="preserve"> solo </w:t>
            </w:r>
            <w:r w:rsidR="00031AAE" w:rsidRPr="00E220ED">
              <w:rPr>
                <w:rFonts w:ascii="Verdana" w:hAnsi="Verdana"/>
              </w:rPr>
              <w:t>complementar</w:t>
            </w:r>
            <w:r w:rsidR="006A0348" w:rsidRPr="00E220ED">
              <w:rPr>
                <w:rFonts w:ascii="Verdana" w:hAnsi="Verdana"/>
              </w:rPr>
              <w:t xml:space="preserve"> el soporte documental, sino que, según el caso, definir el producto ofertado. </w:t>
            </w:r>
            <w:r w:rsidR="009C4277">
              <w:rPr>
                <w:rFonts w:ascii="Verdana" w:hAnsi="Verdana"/>
              </w:rPr>
              <w:t>En todo caso, c</w:t>
            </w:r>
            <w:r w:rsidR="006A0348" w:rsidRPr="00E220ED">
              <w:rPr>
                <w:rFonts w:ascii="Verdana" w:hAnsi="Verdana"/>
              </w:rPr>
              <w:t xml:space="preserve">orresponde a la Entidad Estatal </w:t>
            </w:r>
            <w:r w:rsidR="003C1153" w:rsidRPr="00E220ED">
              <w:rPr>
                <w:rFonts w:ascii="Verdana" w:hAnsi="Verdana"/>
              </w:rPr>
              <w:t xml:space="preserve">en todo caso </w:t>
            </w:r>
            <w:r w:rsidR="006A0348" w:rsidRPr="00E220ED">
              <w:rPr>
                <w:rFonts w:ascii="Verdana" w:hAnsi="Verdana"/>
              </w:rPr>
              <w:t>verificar en cada proceso si dicho elemento existía materialmente al momento del cierre.</w:t>
            </w:r>
          </w:p>
          <w:p w14:paraId="11C33119" w14:textId="77777777" w:rsidR="009C4277" w:rsidRPr="00E220ED" w:rsidRDefault="009C4277" w:rsidP="006E404A">
            <w:pPr>
              <w:spacing w:line="276" w:lineRule="auto"/>
              <w:jc w:val="both"/>
              <w:rPr>
                <w:rFonts w:ascii="Verdana" w:hAnsi="Verdana"/>
              </w:rPr>
            </w:pPr>
          </w:p>
          <w:p w14:paraId="40852808" w14:textId="067ECA5C" w:rsidR="00B505FD" w:rsidRDefault="00B505FD" w:rsidP="009C4277">
            <w:pPr>
              <w:spacing w:line="276" w:lineRule="auto"/>
              <w:jc w:val="both"/>
              <w:rPr>
                <w:rFonts w:ascii="Verdana" w:hAnsi="Verdana"/>
              </w:rPr>
            </w:pPr>
            <w:r w:rsidRPr="00E220ED">
              <w:rPr>
                <w:rFonts w:ascii="Verdana" w:hAnsi="Verdana"/>
              </w:rPr>
              <w:t xml:space="preserve">ii. </w:t>
            </w:r>
            <w:r w:rsidR="009B156D" w:rsidRPr="00E220ED">
              <w:rPr>
                <w:rFonts w:ascii="Verdana" w:hAnsi="Verdana"/>
              </w:rPr>
              <w:t>En cuanto</w:t>
            </w:r>
            <w:r w:rsidRPr="00E220ED">
              <w:rPr>
                <w:rFonts w:ascii="Verdana" w:hAnsi="Verdana"/>
              </w:rPr>
              <w:t xml:space="preserve"> al </w:t>
            </w:r>
            <w:r w:rsidRPr="00E220ED">
              <w:rPr>
                <w:rFonts w:ascii="Verdana" w:hAnsi="Verdana"/>
                <w:i/>
                <w:iCs/>
              </w:rPr>
              <w:t>segundo problema planteado</w:t>
            </w:r>
            <w:r w:rsidRPr="00E220ED">
              <w:rPr>
                <w:rFonts w:ascii="Verdana" w:hAnsi="Verdana"/>
              </w:rPr>
              <w:t>, resulta pertinente indicar que</w:t>
            </w:r>
            <w:r w:rsidR="009B156D" w:rsidRPr="00E220ED">
              <w:rPr>
                <w:rFonts w:ascii="Verdana" w:hAnsi="Verdana"/>
              </w:rPr>
              <w:t xml:space="preserve"> la identificación posterior </w:t>
            </w:r>
            <w:r w:rsidR="009C4277">
              <w:rPr>
                <w:rFonts w:ascii="Verdana" w:hAnsi="Verdana"/>
              </w:rPr>
              <w:t xml:space="preserve">de la marca, modelo o referencia se permite dentro de los límites de la </w:t>
            </w:r>
            <w:r w:rsidR="009B156D" w:rsidRPr="00E220ED">
              <w:rPr>
                <w:rFonts w:ascii="Verdana" w:hAnsi="Verdana"/>
              </w:rPr>
              <w:t>subsanación únicamente cuando la propuesta permitía individualizar el producto desde el cierre y el documento posterior se limita a probar esa situación</w:t>
            </w:r>
            <w:r w:rsidR="009C4277">
              <w:rPr>
                <w:rFonts w:ascii="Verdana" w:hAnsi="Verdana"/>
              </w:rPr>
              <w:t xml:space="preserve"> existente antes de dicha actuación</w:t>
            </w:r>
            <w:r w:rsidR="009B156D" w:rsidRPr="00E220ED">
              <w:rPr>
                <w:rFonts w:ascii="Verdana" w:hAnsi="Verdana"/>
              </w:rPr>
              <w:t>. Cuando la individualización se realiza por primera vez durante la subsanación,</w:t>
            </w:r>
            <w:r w:rsidR="00E731DF" w:rsidRPr="00E220ED">
              <w:rPr>
                <w:rFonts w:ascii="Verdana" w:hAnsi="Verdana"/>
              </w:rPr>
              <w:t xml:space="preserve"> y</w:t>
            </w:r>
            <w:r w:rsidR="009B156D" w:rsidRPr="00E220ED">
              <w:rPr>
                <w:rFonts w:ascii="Verdana" w:hAnsi="Verdana"/>
              </w:rPr>
              <w:t xml:space="preserve"> se trata de una determinación o complementación del ofrecimiento</w:t>
            </w:r>
            <w:r w:rsidR="0057570D" w:rsidRPr="00E220ED">
              <w:rPr>
                <w:rFonts w:ascii="Verdana" w:hAnsi="Verdana"/>
              </w:rPr>
              <w:t xml:space="preserve">, </w:t>
            </w:r>
            <w:r w:rsidR="009C4277">
              <w:rPr>
                <w:rFonts w:ascii="Verdana" w:hAnsi="Verdana"/>
              </w:rPr>
              <w:t xml:space="preserve">que además puede suponer una mejora, </w:t>
            </w:r>
            <w:r w:rsidR="009B156D" w:rsidRPr="00E220ED">
              <w:rPr>
                <w:rFonts w:ascii="Verdana" w:hAnsi="Verdana"/>
              </w:rPr>
              <w:t xml:space="preserve">no de la prueba de una circunstancia preexistente, </w:t>
            </w:r>
            <w:r w:rsidR="003C629F" w:rsidRPr="00E220ED">
              <w:rPr>
                <w:rFonts w:ascii="Verdana" w:hAnsi="Verdana"/>
              </w:rPr>
              <w:t>podría</w:t>
            </w:r>
            <w:r w:rsidR="009B156D" w:rsidRPr="00E220ED">
              <w:rPr>
                <w:rFonts w:ascii="Verdana" w:hAnsi="Verdana"/>
              </w:rPr>
              <w:t xml:space="preserve"> excede</w:t>
            </w:r>
            <w:r w:rsidR="003C629F" w:rsidRPr="00E220ED">
              <w:rPr>
                <w:rFonts w:ascii="Verdana" w:hAnsi="Verdana"/>
              </w:rPr>
              <w:t>r</w:t>
            </w:r>
            <w:r w:rsidR="009B156D" w:rsidRPr="00E220ED">
              <w:rPr>
                <w:rFonts w:ascii="Verdana" w:hAnsi="Verdana"/>
              </w:rPr>
              <w:t xml:space="preserve"> el ámbito del parágrafo 1 del artículo 5 de la Ley 1150 de 2007.</w:t>
            </w:r>
          </w:p>
          <w:p w14:paraId="28AA4285" w14:textId="77777777" w:rsidR="009C4277" w:rsidRPr="00E220ED" w:rsidRDefault="009C4277" w:rsidP="006E404A">
            <w:pPr>
              <w:spacing w:line="276" w:lineRule="auto"/>
              <w:jc w:val="both"/>
              <w:rPr>
                <w:rFonts w:ascii="Verdana" w:eastAsia="Calibri" w:hAnsi="Verdana" w:cs="Arial"/>
                <w:color w:val="000000" w:themeColor="text1"/>
              </w:rPr>
            </w:pPr>
          </w:p>
          <w:p w14:paraId="39E20BF2" w14:textId="26C6B2B9" w:rsidR="00B505FD" w:rsidRDefault="00B505FD" w:rsidP="009C4277">
            <w:pPr>
              <w:spacing w:line="276" w:lineRule="auto"/>
              <w:jc w:val="both"/>
              <w:rPr>
                <w:rFonts w:ascii="Verdana" w:hAnsi="Verdana"/>
              </w:rPr>
            </w:pPr>
            <w:r w:rsidRPr="00E220ED">
              <w:rPr>
                <w:rFonts w:ascii="Verdana" w:hAnsi="Verdana"/>
              </w:rPr>
              <w:t>iii</w:t>
            </w:r>
            <w:r w:rsidR="008F302C" w:rsidRPr="00E220ED">
              <w:rPr>
                <w:rFonts w:ascii="Verdana" w:hAnsi="Verdana"/>
              </w:rPr>
              <w:t>.</w:t>
            </w:r>
            <w:r w:rsidRPr="00E220ED">
              <w:rPr>
                <w:rFonts w:ascii="Verdana" w:hAnsi="Verdana"/>
              </w:rPr>
              <w:t xml:space="preserve"> </w:t>
            </w:r>
            <w:r w:rsidR="006B1817" w:rsidRPr="00E220ED">
              <w:rPr>
                <w:rFonts w:ascii="Verdana" w:hAnsi="Verdana"/>
              </w:rPr>
              <w:t xml:space="preserve">En cuanto a la declaración genérica de cumplir las especificaciones, debe precisarse que la manifestación de conocer, aceptar y acatar las condiciones técnicas constituye un compromiso de conformidad compatible con múltiples productos, incluidos los equivalentes previstos en los documentos del proceso. Sin embargo, dicha manifestación no acredita cuál fue el producto efectivamente ofrecido al cierre. Admitir que cualquier referencia posterior se considere preexistente implicaría trasladar al proponente, con posterioridad al </w:t>
            </w:r>
            <w:r w:rsidR="006B1817" w:rsidRPr="00E220ED">
              <w:rPr>
                <w:rFonts w:ascii="Verdana" w:hAnsi="Verdana"/>
              </w:rPr>
              <w:lastRenderedPageBreak/>
              <w:t>cierre, la elección del producto, lo que podría configurar una variación de las condiciones de la oferta.</w:t>
            </w:r>
          </w:p>
          <w:p w14:paraId="2FC33BD9" w14:textId="77777777" w:rsidR="009C4277" w:rsidRPr="00E220ED" w:rsidRDefault="009C4277" w:rsidP="006E404A">
            <w:pPr>
              <w:spacing w:line="276" w:lineRule="auto"/>
              <w:jc w:val="both"/>
              <w:rPr>
                <w:rFonts w:ascii="Verdana" w:hAnsi="Verdana"/>
              </w:rPr>
            </w:pPr>
          </w:p>
          <w:p w14:paraId="255AFFF3" w14:textId="6FDBC919" w:rsidR="00D54A9B" w:rsidRDefault="008F302C" w:rsidP="009C4277">
            <w:pPr>
              <w:spacing w:line="276" w:lineRule="auto"/>
              <w:jc w:val="both"/>
              <w:rPr>
                <w:rFonts w:ascii="Verdana" w:eastAsia="Century Gothic" w:hAnsi="Verdana" w:cs="Century Gothic"/>
              </w:rPr>
            </w:pPr>
            <w:r w:rsidRPr="00E220ED">
              <w:rPr>
                <w:rFonts w:ascii="Verdana" w:eastAsia="Century Gothic" w:hAnsi="Verdana" w:cs="Century Gothic"/>
              </w:rPr>
              <w:t xml:space="preserve">iv. </w:t>
            </w:r>
            <w:r w:rsidR="00D54A9B" w:rsidRPr="00E220ED">
              <w:rPr>
                <w:rFonts w:ascii="Verdana" w:eastAsia="Century Gothic" w:hAnsi="Verdana" w:cs="Century Gothic"/>
              </w:rPr>
              <w:t xml:space="preserve">En relación con el </w:t>
            </w:r>
            <w:r w:rsidR="00D54A9B" w:rsidRPr="00E220ED">
              <w:rPr>
                <w:rFonts w:ascii="Verdana" w:eastAsia="Century Gothic" w:hAnsi="Verdana" w:cs="Century Gothic"/>
                <w:i/>
                <w:iCs/>
              </w:rPr>
              <w:t>cuarto interrogante</w:t>
            </w:r>
            <w:r w:rsidR="00D54A9B" w:rsidRPr="00E220ED">
              <w:rPr>
                <w:rFonts w:ascii="Verdana" w:eastAsia="Century Gothic" w:hAnsi="Verdana" w:cs="Century Gothic"/>
              </w:rPr>
              <w:t xml:space="preserve">, es preciso advertir que la exigencia de un vínculo verificable entre la propuesta y el producto identificado </w:t>
            </w:r>
            <w:r w:rsidR="00F94404" w:rsidRPr="00E220ED">
              <w:rPr>
                <w:rFonts w:ascii="Verdana" w:eastAsia="Century Gothic" w:hAnsi="Verdana" w:cs="Century Gothic"/>
              </w:rPr>
              <w:t>podría</w:t>
            </w:r>
            <w:r w:rsidR="00D54A9B" w:rsidRPr="00E220ED">
              <w:rPr>
                <w:rFonts w:ascii="Verdana" w:eastAsia="Century Gothic" w:hAnsi="Verdana" w:cs="Century Gothic"/>
              </w:rPr>
              <w:t xml:space="preserve"> considerar, entre otros, los siguientes elementos: (i) documentos aportados al cierre que permitan individualizar el producto; (ii) ausencia de contradicción entre el documento posterior y la oferta inicial; (iii) carácter </w:t>
            </w:r>
            <w:r w:rsidR="001B1C76" w:rsidRPr="00E220ED">
              <w:rPr>
                <w:rFonts w:ascii="Verdana" w:eastAsia="Century Gothic" w:hAnsi="Verdana" w:cs="Century Gothic"/>
              </w:rPr>
              <w:t>solo</w:t>
            </w:r>
            <w:r w:rsidR="00D54A9B" w:rsidRPr="00E220ED">
              <w:rPr>
                <w:rFonts w:ascii="Verdana" w:eastAsia="Century Gothic" w:hAnsi="Verdana" w:cs="Century Gothic"/>
              </w:rPr>
              <w:t xml:space="preserve"> probatorio del documento posterior; y (iv) verificación de la Entidad sobre la existencia material de la condición antes del cierre. Si la propuesta inicial carece de documentos que permitan individualizar el producto, no existe </w:t>
            </w:r>
            <w:r w:rsidR="00994C35" w:rsidRPr="00E220ED">
              <w:rPr>
                <w:rFonts w:ascii="Verdana" w:eastAsia="Century Gothic" w:hAnsi="Verdana" w:cs="Century Gothic"/>
              </w:rPr>
              <w:t xml:space="preserve">en principio </w:t>
            </w:r>
            <w:r w:rsidR="00D54A9B" w:rsidRPr="00E220ED">
              <w:rPr>
                <w:rFonts w:ascii="Verdana" w:eastAsia="Century Gothic" w:hAnsi="Verdana" w:cs="Century Gothic"/>
              </w:rPr>
              <w:t xml:space="preserve">soporte objetivo de preexistencia y la identificación posterior </w:t>
            </w:r>
            <w:r w:rsidR="00FB3866" w:rsidRPr="00E220ED">
              <w:rPr>
                <w:rFonts w:ascii="Verdana" w:eastAsia="Century Gothic" w:hAnsi="Verdana" w:cs="Century Gothic"/>
              </w:rPr>
              <w:t>podría constituir</w:t>
            </w:r>
            <w:r w:rsidR="00D54A9B" w:rsidRPr="00E220ED">
              <w:rPr>
                <w:rFonts w:ascii="Verdana" w:eastAsia="Century Gothic" w:hAnsi="Verdana" w:cs="Century Gothic"/>
              </w:rPr>
              <w:t xml:space="preserve"> una circunstancia sobreviniente al cierre</w:t>
            </w:r>
            <w:r w:rsidR="005A03B2" w:rsidRPr="00E220ED">
              <w:rPr>
                <w:rFonts w:ascii="Verdana" w:eastAsia="Century Gothic" w:hAnsi="Verdana" w:cs="Century Gothic"/>
              </w:rPr>
              <w:t>.</w:t>
            </w:r>
          </w:p>
          <w:p w14:paraId="5DBEB90B" w14:textId="77777777" w:rsidR="009C4277" w:rsidRPr="00E220ED" w:rsidRDefault="009C4277" w:rsidP="006E404A">
            <w:pPr>
              <w:spacing w:line="276" w:lineRule="auto"/>
              <w:jc w:val="both"/>
              <w:rPr>
                <w:rFonts w:ascii="Verdana" w:eastAsia="Century Gothic" w:hAnsi="Verdana" w:cs="Century Gothic"/>
              </w:rPr>
            </w:pPr>
          </w:p>
          <w:p w14:paraId="79DA7D67" w14:textId="30ACD330" w:rsidR="006E57A1" w:rsidRPr="00E220ED" w:rsidRDefault="005A03B2" w:rsidP="00904B11">
            <w:pPr>
              <w:spacing w:after="120" w:line="276" w:lineRule="auto"/>
              <w:jc w:val="both"/>
              <w:rPr>
                <w:rFonts w:ascii="Verdana" w:eastAsia="Arial" w:hAnsi="Verdana" w:cs="Arial"/>
              </w:rPr>
            </w:pPr>
            <w:r w:rsidRPr="00E220ED">
              <w:rPr>
                <w:rFonts w:ascii="Verdana" w:eastAsia="Century Gothic" w:hAnsi="Verdana" w:cs="Century Gothic"/>
              </w:rPr>
              <w:t xml:space="preserve">v) </w:t>
            </w:r>
            <w:r w:rsidR="00E305A2" w:rsidRPr="00E220ED">
              <w:rPr>
                <w:rFonts w:ascii="Verdana" w:eastAsia="Century Gothic" w:hAnsi="Verdana" w:cs="Century Gothic"/>
              </w:rPr>
              <w:t>La compatibilidad de la subsanación con los principios de igualdad, selección objetiva y transparencia no depende de la identificación posterior como tal, sino de su naturaleza: si constituye la prueba de una circunstancia existente al cierre o la configuración de una circunstancia sobreviniente.</w:t>
            </w:r>
            <w:r w:rsidR="009C4277">
              <w:rPr>
                <w:rFonts w:ascii="Verdana" w:eastAsia="Arial" w:hAnsi="Verdana" w:cs="Arial"/>
              </w:rPr>
              <w:t xml:space="preserve"> </w:t>
            </w:r>
            <w:r w:rsidR="003B72C0" w:rsidRPr="00E220ED">
              <w:rPr>
                <w:rFonts w:ascii="Verdana" w:eastAsia="Arial" w:hAnsi="Verdana" w:cs="Arial"/>
              </w:rPr>
              <w:t>De conformidad con el parágrafo 1 del artículo 5 de la Ley 1150 de 2007, modificado por el artículo 5 de la Ley 1882 de 2018, lo subsanable es la prueba de circunstancias ocurridas antes del vencimiento del término para presentar ofertas. En consecuencia, la subsanación resulta compatible con tales principios cuando se limita a acreditar una situación preexistente. No lo es cuando permite al oferente determinar, complementar o modificar su ofrecimiento con posterioridad al cierre. La igualdad no se afecta por el solo hecho de que un oferente subsane y otro no, sino cuando alguno de ellos puede mejorar o definir su oferta después del cierre.</w:t>
            </w:r>
          </w:p>
          <w:p w14:paraId="1DB36FF7" w14:textId="25973532" w:rsidR="003B72C0" w:rsidRDefault="003B72C0" w:rsidP="009C4277">
            <w:pPr>
              <w:spacing w:line="276" w:lineRule="auto"/>
              <w:jc w:val="both"/>
              <w:rPr>
                <w:rFonts w:ascii="Verdana" w:eastAsia="Arial" w:hAnsi="Verdana" w:cs="Arial"/>
              </w:rPr>
            </w:pPr>
            <w:r w:rsidRPr="00E220ED">
              <w:rPr>
                <w:rFonts w:ascii="Verdana" w:eastAsia="Arial" w:hAnsi="Verdana" w:cs="Arial"/>
              </w:rPr>
              <w:t xml:space="preserve">       Corresponde a la </w:t>
            </w:r>
            <w:r w:rsidR="009C4277">
              <w:rPr>
                <w:rFonts w:ascii="Verdana" w:eastAsia="Arial" w:hAnsi="Verdana" w:cs="Arial"/>
              </w:rPr>
              <w:t>e</w:t>
            </w:r>
            <w:r w:rsidRPr="00E220ED">
              <w:rPr>
                <w:rFonts w:ascii="Verdana" w:eastAsia="Arial" w:hAnsi="Verdana" w:cs="Arial"/>
              </w:rPr>
              <w:t xml:space="preserve">ntidad </w:t>
            </w:r>
            <w:r w:rsidR="009C4277">
              <w:rPr>
                <w:rFonts w:ascii="Verdana" w:eastAsia="Arial" w:hAnsi="Verdana" w:cs="Arial"/>
              </w:rPr>
              <w:t>e</w:t>
            </w:r>
            <w:r w:rsidRPr="00E220ED">
              <w:rPr>
                <w:rFonts w:ascii="Verdana" w:eastAsia="Arial" w:hAnsi="Verdana" w:cs="Arial"/>
              </w:rPr>
              <w:t xml:space="preserve">statal verificar, en cada proceso de selección, que la marca, el modelo o la referencia identificados no constituyan una circunstancia sobreviniente. Para ello debe constatar que la condición existía materialmente antes del cierre, que fue acreditada de alguna forma en la propuesta, que el documento posterior no contradice la oferta y que este se limita a probar una situación ya existente. Si la verificación no permite demostrar tal preexistencia, la identificación constituye una circunstancia posterior al cierre, cuya acreditación prohíbe la norma, y su admisión no solo </w:t>
            </w:r>
            <w:r w:rsidRPr="00E220ED">
              <w:rPr>
                <w:rFonts w:ascii="Verdana" w:eastAsia="Arial" w:hAnsi="Verdana" w:cs="Arial"/>
              </w:rPr>
              <w:lastRenderedPageBreak/>
              <w:t>afectaría la igualdad entre oferentes, sino que comprometería la selección objetiva y la transparencia del proceso.</w:t>
            </w:r>
          </w:p>
          <w:p w14:paraId="3E8E3C15" w14:textId="77777777" w:rsidR="009C4277" w:rsidRPr="00E220ED" w:rsidRDefault="009C4277" w:rsidP="006E404A">
            <w:pPr>
              <w:spacing w:line="276" w:lineRule="auto"/>
              <w:jc w:val="both"/>
              <w:rPr>
                <w:rFonts w:ascii="Verdana" w:eastAsia="Arial" w:hAnsi="Verdana" w:cs="Arial"/>
              </w:rPr>
            </w:pPr>
          </w:p>
          <w:p w14:paraId="08B217B0" w14:textId="10BA0C27" w:rsidR="00C77E90" w:rsidRDefault="00C77E90" w:rsidP="00C77E90">
            <w:pPr>
              <w:spacing w:after="120" w:line="276" w:lineRule="auto"/>
              <w:jc w:val="both"/>
              <w:rPr>
                <w:rFonts w:ascii="Verdana" w:eastAsia="Century Gothic" w:hAnsi="Verdana" w:cs="Century Gothic"/>
              </w:rPr>
            </w:pPr>
            <w:r w:rsidRPr="00E220ED">
              <w:rPr>
                <w:rFonts w:ascii="Verdana" w:eastAsia="Century Gothic" w:hAnsi="Verdana" w:cs="Century Gothic"/>
              </w:rPr>
              <w:t>v) Finalmente, respecto de la subasta inversa, el límite material permanece plenamente aplicable. Conforme al parágrafo 4 del artículo 5 de la Ley 1150 de 2007, en estos procesos los documentos no necesarios para la comparación de las propuestas pueden solicitarse hasta el momento previo a la realización de la subasta. Esta regla modifica únicamente el límite temporal de la subsanación</w:t>
            </w:r>
            <w:r w:rsidR="00C41120" w:rsidRPr="00E220ED">
              <w:rPr>
                <w:rFonts w:ascii="Verdana" w:eastAsia="Century Gothic" w:hAnsi="Verdana" w:cs="Century Gothic"/>
              </w:rPr>
              <w:t xml:space="preserve">, </w:t>
            </w:r>
            <w:r w:rsidRPr="00E220ED">
              <w:rPr>
                <w:rFonts w:ascii="Verdana" w:eastAsia="Century Gothic" w:hAnsi="Verdana" w:cs="Century Gothic"/>
              </w:rPr>
              <w:t>pues constituye la excepción a la regla general del traslado del informe de evaluación, mas no su alcance sustancial. En consecuencia, incluso en este escenario, no pueden acreditarse circunstancias ocurridas con posterioridad al cierre ni alterarse elementos sustanciales de la oferta.</w:t>
            </w:r>
          </w:p>
          <w:p w14:paraId="4C70EBFD" w14:textId="77777777" w:rsidR="009C4277" w:rsidRPr="00E220ED" w:rsidRDefault="009C4277" w:rsidP="006E404A">
            <w:pPr>
              <w:spacing w:line="276" w:lineRule="auto"/>
              <w:jc w:val="both"/>
              <w:rPr>
                <w:rFonts w:ascii="Verdana" w:eastAsia="Century Gothic" w:hAnsi="Verdana" w:cs="Century Gothic"/>
              </w:rPr>
            </w:pPr>
          </w:p>
          <w:p w14:paraId="77C4A8A0" w14:textId="09D459C7" w:rsidR="008F302C" w:rsidRPr="00E220ED" w:rsidRDefault="009C4277" w:rsidP="008F302C">
            <w:pPr>
              <w:spacing w:after="120" w:line="276" w:lineRule="auto"/>
              <w:jc w:val="both"/>
              <w:rPr>
                <w:rFonts w:ascii="Verdana" w:eastAsia="Century Gothic" w:hAnsi="Verdana" w:cs="Century Gothic"/>
              </w:rPr>
            </w:pPr>
            <w:r>
              <w:rPr>
                <w:rFonts w:ascii="Verdana" w:eastAsia="Century Gothic" w:hAnsi="Verdana" w:cs="Century Gothic"/>
              </w:rPr>
              <w:t xml:space="preserve">vi) </w:t>
            </w:r>
            <w:r w:rsidR="009122ED" w:rsidRPr="00E220ED">
              <w:rPr>
                <w:rFonts w:ascii="Verdana" w:eastAsia="Century Gothic" w:hAnsi="Verdana" w:cs="Century Gothic"/>
              </w:rPr>
              <w:t>Sin perjuicio de las precisiones efectuadas en el presente concepto, debe advertirse que, conforme al propio Concepto C</w:t>
            </w:r>
            <w:r w:rsidR="009122ED" w:rsidRPr="00E220ED">
              <w:rPr>
                <w:rFonts w:ascii="Verdana" w:eastAsia="Century Gothic" w:hAnsi="Verdana" w:cs="Century Gothic"/>
              </w:rPr>
              <w:noBreakHyphen/>
              <w:t>549 de 2026, la ANCP</w:t>
            </w:r>
            <w:r w:rsidR="009122ED" w:rsidRPr="00E220ED">
              <w:rPr>
                <w:rFonts w:ascii="Verdana" w:eastAsia="Century Gothic" w:hAnsi="Verdana" w:cs="Century Gothic"/>
              </w:rPr>
              <w:noBreakHyphen/>
              <w:t>CCE no define un criterio universal ni absoluto por vía consultiva. Su función es brindar elementos de carácter general, correspondiendo a cada Entidad Estatal decidir en el caso concreto, sin que sea atribución de la Agencia validar sus actuaciones.</w:t>
            </w:r>
          </w:p>
        </w:tc>
      </w:tr>
      <w:bookmarkEnd w:id="1"/>
    </w:tbl>
    <w:p w14:paraId="7F9FD296" w14:textId="77777777" w:rsidR="00B505FD" w:rsidRPr="00E220ED" w:rsidRDefault="00B505FD" w:rsidP="007912CE">
      <w:pPr>
        <w:widowControl w:val="0"/>
        <w:autoSpaceDE w:val="0"/>
        <w:autoSpaceDN w:val="0"/>
        <w:spacing w:after="0" w:line="276" w:lineRule="auto"/>
        <w:outlineLvl w:val="0"/>
        <w:rPr>
          <w:rFonts w:ascii="Verdana" w:eastAsia="Arial" w:hAnsi="Verdana" w:cs="Arial"/>
          <w:b/>
          <w:bCs/>
          <w:highlight w:val="cyan"/>
        </w:rPr>
      </w:pPr>
    </w:p>
    <w:p w14:paraId="5F8919CE" w14:textId="77777777" w:rsidR="00EF5799" w:rsidRPr="00E220ED" w:rsidRDefault="00EF5799" w:rsidP="007912CE">
      <w:pPr>
        <w:widowControl w:val="0"/>
        <w:autoSpaceDE w:val="0"/>
        <w:autoSpaceDN w:val="0"/>
        <w:spacing w:after="0" w:line="276" w:lineRule="auto"/>
        <w:ind w:left="360" w:hanging="360"/>
        <w:outlineLvl w:val="0"/>
        <w:rPr>
          <w:rFonts w:ascii="Verdana" w:eastAsia="Arial" w:hAnsi="Verdana" w:cs="Arial"/>
          <w:b/>
          <w:bCs/>
          <w:lang w:val="es-ES"/>
        </w:rPr>
      </w:pPr>
      <w:r w:rsidRPr="00E220ED">
        <w:rPr>
          <w:rFonts w:ascii="Verdana" w:eastAsia="Arial" w:hAnsi="Verdana" w:cs="Arial"/>
          <w:b/>
          <w:bCs/>
          <w:lang w:val="es-ES"/>
        </w:rPr>
        <w:t>3. Razones de la respuesta:</w:t>
      </w:r>
    </w:p>
    <w:p w14:paraId="29AFE102" w14:textId="77777777" w:rsidR="00EF5799" w:rsidRPr="00E220ED" w:rsidRDefault="00EF5799" w:rsidP="00324AA8">
      <w:pPr>
        <w:spacing w:after="0" w:line="276" w:lineRule="auto"/>
        <w:jc w:val="both"/>
        <w:rPr>
          <w:rFonts w:ascii="Verdana" w:eastAsia="Calibri" w:hAnsi="Verdana" w:cs="Arial"/>
          <w:lang w:val="es-ES"/>
        </w:rPr>
      </w:pPr>
    </w:p>
    <w:p w14:paraId="5B57D627" w14:textId="77777777" w:rsidR="00EF5799" w:rsidRPr="00E220ED" w:rsidRDefault="00EF5799" w:rsidP="006E404A">
      <w:pPr>
        <w:spacing w:after="0" w:line="276" w:lineRule="auto"/>
        <w:jc w:val="both"/>
        <w:rPr>
          <w:rFonts w:ascii="Verdana" w:eastAsia="Calibri" w:hAnsi="Verdana" w:cs="Arial"/>
          <w:lang w:val="es-ES"/>
        </w:rPr>
      </w:pPr>
      <w:r w:rsidRPr="00E220ED">
        <w:rPr>
          <w:rFonts w:ascii="Verdana" w:eastAsia="Calibri" w:hAnsi="Verdana" w:cs="Arial"/>
          <w:lang w:val="es-ES"/>
        </w:rPr>
        <w:t>La respuesta anterior se sustenta en las siguientes consideraciones:</w:t>
      </w:r>
    </w:p>
    <w:p w14:paraId="53AB1FF7" w14:textId="77777777" w:rsidR="00EF5799" w:rsidRPr="00E220ED" w:rsidRDefault="00EF5799" w:rsidP="006E404A">
      <w:pPr>
        <w:spacing w:after="0" w:line="276" w:lineRule="auto"/>
        <w:jc w:val="both"/>
        <w:rPr>
          <w:rFonts w:ascii="Verdana" w:eastAsia="Verdana" w:hAnsi="Verdana" w:cs="Verdana"/>
          <w:b/>
          <w:bCs/>
          <w:lang w:val="es-ES"/>
        </w:rPr>
      </w:pPr>
    </w:p>
    <w:p w14:paraId="79A3BACB" w14:textId="77777777" w:rsidR="009A6C29" w:rsidRPr="00E220ED" w:rsidRDefault="0098713F" w:rsidP="006E404A">
      <w:pPr>
        <w:spacing w:after="0" w:line="276" w:lineRule="auto"/>
        <w:jc w:val="both"/>
        <w:rPr>
          <w:rFonts w:ascii="Verdana" w:eastAsia="Verdana" w:hAnsi="Verdana" w:cs="Verdana"/>
        </w:rPr>
      </w:pPr>
      <w:r w:rsidRPr="00E220ED">
        <w:rPr>
          <w:rFonts w:ascii="Verdana" w:eastAsia="Verdana" w:hAnsi="Verdana" w:cs="Verdana"/>
          <w:lang w:val="es-ES"/>
        </w:rPr>
        <w:t xml:space="preserve">i) </w:t>
      </w:r>
      <w:r w:rsidR="009A6C29" w:rsidRPr="00E220ED">
        <w:rPr>
          <w:rFonts w:ascii="Verdana" w:eastAsia="Verdana" w:hAnsi="Verdana" w:cs="Verdana"/>
        </w:rPr>
        <w:t>Para dar respuesta a los interrogantes planteados, resulta necesario precisar que el concepto C</w:t>
      </w:r>
      <w:r w:rsidR="009A6C29" w:rsidRPr="00E220ED">
        <w:rPr>
          <w:rFonts w:ascii="Verdana" w:eastAsia="Verdana" w:hAnsi="Verdana" w:cs="Verdana"/>
        </w:rPr>
        <w:noBreakHyphen/>
        <w:t>549 de 2026 se fundamentó en lo siguiente:</w:t>
      </w:r>
    </w:p>
    <w:p w14:paraId="1A8EF83F" w14:textId="77777777" w:rsidR="007912CE" w:rsidRDefault="007912CE" w:rsidP="006E404A">
      <w:pPr>
        <w:spacing w:after="0" w:line="276" w:lineRule="auto"/>
        <w:ind w:firstLine="360"/>
        <w:jc w:val="both"/>
        <w:rPr>
          <w:rFonts w:ascii="Verdana" w:eastAsia="Calibri" w:hAnsi="Verdana" w:cs="Arial"/>
          <w:lang w:eastAsia="es-MX"/>
        </w:rPr>
      </w:pPr>
    </w:p>
    <w:p w14:paraId="196591DE" w14:textId="27950289" w:rsidR="00FD56EB" w:rsidRPr="00E220ED" w:rsidRDefault="00FD56EB" w:rsidP="006E404A">
      <w:pPr>
        <w:spacing w:after="120" w:line="276" w:lineRule="auto"/>
        <w:jc w:val="both"/>
        <w:rPr>
          <w:rFonts w:ascii="Verdana" w:eastAsia="Calibri" w:hAnsi="Verdana" w:cs="Arial"/>
          <w:lang w:eastAsia="es-MX"/>
        </w:rPr>
      </w:pPr>
      <w:r w:rsidRPr="00E220ED">
        <w:rPr>
          <w:rFonts w:ascii="Verdana" w:eastAsia="Calibri" w:hAnsi="Verdana" w:cs="Arial"/>
          <w:lang w:eastAsia="es-MX"/>
        </w:rPr>
        <w:t xml:space="preserve">Los </w:t>
      </w:r>
      <w:r w:rsidRPr="00E220ED">
        <w:rPr>
          <w:rFonts w:ascii="Verdana" w:eastAsia="Calibri" w:hAnsi="Verdana" w:cs="Arial"/>
          <w:i/>
          <w:lang w:eastAsia="es-MX"/>
        </w:rPr>
        <w:t>requisitos habilitantes</w:t>
      </w:r>
      <w:r w:rsidRPr="00E220ED">
        <w:rPr>
          <w:rFonts w:ascii="Verdana" w:eastAsia="Calibri" w:hAnsi="Verdana" w:cs="Arial"/>
          <w:lang w:eastAsia="es-MX"/>
        </w:rPr>
        <w:t xml:space="preserve"> se definen como aquellas exigencias de participación en los procedimientos de selección, establecidas en disposiciones normativas, de carácter legal o reglamentario, o contenidas en el acto administrativo que regula las reglas de la convocatoria–es decir, en el pliego de condiciones o el documento equivalente a este–. Se diferencian de los </w:t>
      </w:r>
      <w:r w:rsidRPr="00E220ED">
        <w:rPr>
          <w:rFonts w:ascii="Verdana" w:eastAsia="Calibri" w:hAnsi="Verdana" w:cs="Arial"/>
          <w:i/>
          <w:lang w:eastAsia="es-MX"/>
        </w:rPr>
        <w:t>criterios de evaluación</w:t>
      </w:r>
      <w:r w:rsidRPr="00E220ED">
        <w:rPr>
          <w:rFonts w:ascii="Verdana" w:eastAsia="Calibri" w:hAnsi="Verdana" w:cs="Arial"/>
          <w:lang w:eastAsia="es-MX"/>
        </w:rPr>
        <w:t xml:space="preserve"> –también conocidos como criterios de calificación– en que estos son los factores definidos por la entidad estatal para la asignación de puntaje en el momento de </w:t>
      </w:r>
      <w:r w:rsidRPr="00E220ED">
        <w:rPr>
          <w:rFonts w:ascii="Verdana" w:eastAsia="Calibri" w:hAnsi="Verdana" w:cs="Arial"/>
          <w:lang w:eastAsia="es-MX"/>
        </w:rPr>
        <w:lastRenderedPageBreak/>
        <w:t xml:space="preserve">la comparación de las ofertas, y que, a partir de su ponderación, permiten establecer el orden de elegibilidad y, por ende, la propuesta ganadora. </w:t>
      </w:r>
    </w:p>
    <w:p w14:paraId="6899B994" w14:textId="77777777" w:rsidR="00FD56EB" w:rsidRPr="00E220ED" w:rsidRDefault="00FD56EB" w:rsidP="00324AA8">
      <w:pPr>
        <w:spacing w:after="120" w:line="276" w:lineRule="auto"/>
        <w:ind w:firstLine="360"/>
        <w:jc w:val="both"/>
        <w:rPr>
          <w:rFonts w:ascii="Verdana" w:eastAsia="Calibri" w:hAnsi="Verdana" w:cs="Arial"/>
          <w:lang w:eastAsia="es-MX"/>
        </w:rPr>
      </w:pPr>
      <w:r w:rsidRPr="00E220ED">
        <w:rPr>
          <w:rFonts w:ascii="Verdana" w:eastAsia="Calibri" w:hAnsi="Verdana" w:cs="Arial"/>
          <w:lang w:eastAsia="es-MX"/>
        </w:rPr>
        <w:t xml:space="preserve">    De esta manera los requisitos habilitantes constituyen los requerimientos mínimos con los que deben cumplir los proponentes para poder participar en el procedimiento de selección, razón por la que los mismos no se valoran con un puntaje tendiente a determinar el orden de escogencia, sino que se analizan como criterios previos a la evaluación en sentido estricto, de manera que quienes no los reúnan no pueden continuar en el procedimiento de selección, es decir, incurren en causal de rechazo. Esto sin perjuicio del derecho que tienen los oferentes de subsanar los defectos que se presenten en la prueba de tales requisitos, de conformidad con el artículo 5, parágrafos 1º al 4º, de la Ley 1150 de 2007.</w:t>
      </w:r>
    </w:p>
    <w:p w14:paraId="6C714AFD" w14:textId="4531463F" w:rsidR="00FD56EB" w:rsidRPr="00E220ED" w:rsidRDefault="00FD56EB" w:rsidP="00324AA8">
      <w:pPr>
        <w:spacing w:after="120" w:line="276" w:lineRule="auto"/>
        <w:ind w:firstLine="360"/>
        <w:jc w:val="both"/>
        <w:rPr>
          <w:rFonts w:ascii="Verdana" w:eastAsia="Calibri" w:hAnsi="Verdana" w:cs="Arial"/>
          <w:lang w:val="es-ES_tradnl" w:eastAsia="es-MX"/>
        </w:rPr>
      </w:pPr>
      <w:r w:rsidRPr="00E220ED">
        <w:rPr>
          <w:rFonts w:ascii="Verdana" w:eastAsia="Calibri" w:hAnsi="Verdana" w:cs="Arial"/>
          <w:lang w:val="es-ES_tradnl" w:eastAsia="es-MX"/>
        </w:rPr>
        <w:t xml:space="preserve">   </w:t>
      </w:r>
      <w:r w:rsidR="00324AA8">
        <w:rPr>
          <w:rFonts w:ascii="Verdana" w:eastAsia="Calibri" w:hAnsi="Verdana" w:cs="Arial"/>
          <w:lang w:val="es-ES_tradnl" w:eastAsia="es-MX"/>
        </w:rPr>
        <w:tab/>
      </w:r>
      <w:r w:rsidRPr="00E220ED">
        <w:rPr>
          <w:rFonts w:ascii="Verdana" w:eastAsia="Calibri" w:hAnsi="Verdana" w:cs="Arial"/>
          <w:lang w:val="es-ES_tradnl" w:eastAsia="es-MX"/>
        </w:rPr>
        <w:t xml:space="preserve">El mencionado artículo dispone que se considera “[…]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sus documentos equivalentes deberán tener en cuenta, entre otras cuestiones, los criterios establecidos en dicha disposición. </w:t>
      </w:r>
    </w:p>
    <w:p w14:paraId="5156BF26" w14:textId="0E60B4FC" w:rsidR="00FD56EB" w:rsidRPr="00E220ED" w:rsidRDefault="00FD56EB" w:rsidP="00A30999">
      <w:pPr>
        <w:spacing w:after="0" w:line="276" w:lineRule="auto"/>
        <w:ind w:firstLine="360"/>
        <w:jc w:val="both"/>
        <w:rPr>
          <w:rFonts w:ascii="Verdana" w:eastAsia="Calibri" w:hAnsi="Verdana" w:cs="Arial"/>
          <w:lang w:eastAsia="es-MX"/>
        </w:rPr>
      </w:pPr>
      <w:r w:rsidRPr="00E220ED">
        <w:rPr>
          <w:rFonts w:ascii="Verdana" w:eastAsia="Calibri" w:hAnsi="Verdana" w:cs="Arial"/>
          <w:lang w:eastAsia="es-MX"/>
        </w:rPr>
        <w:t xml:space="preserve">  </w:t>
      </w:r>
      <w:r w:rsidR="00324AA8">
        <w:rPr>
          <w:rFonts w:ascii="Verdana" w:eastAsia="Calibri" w:hAnsi="Verdana" w:cs="Arial"/>
          <w:lang w:eastAsia="es-MX"/>
        </w:rPr>
        <w:tab/>
      </w:r>
      <w:r w:rsidRPr="00E220ED">
        <w:rPr>
          <w:rFonts w:ascii="Verdana" w:eastAsia="Calibri" w:hAnsi="Verdana" w:cs="Arial"/>
          <w:lang w:eastAsia="es-MX"/>
        </w:rPr>
        <w:t xml:space="preserve">Específicamente, el numeral 1º del artículo referido establece que en los procesos de selección de contratistas serán objeto de verificación, como requisitos habilitantes, entre otros, los siguientes: i) la capacidad jurídica; ii) la experiencia; iii) la capacidad financiera y iv) la capacidad de organización. En efecto, la normativa citada dispone: </w:t>
      </w:r>
    </w:p>
    <w:p w14:paraId="07EFFCBC" w14:textId="77777777" w:rsidR="00FD56EB" w:rsidRPr="00E220ED" w:rsidRDefault="00FD56EB" w:rsidP="00FD56EB">
      <w:pPr>
        <w:pStyle w:val="Prrafodelista"/>
        <w:spacing w:after="0" w:line="276" w:lineRule="auto"/>
        <w:jc w:val="both"/>
        <w:rPr>
          <w:rFonts w:ascii="Verdana" w:eastAsia="Calibri" w:hAnsi="Verdana" w:cs="Arial"/>
          <w:lang w:val="es-ES_tradnl" w:eastAsia="es-MX"/>
        </w:rPr>
      </w:pPr>
    </w:p>
    <w:p w14:paraId="1CBF694D" w14:textId="77777777" w:rsidR="00FD56EB" w:rsidRPr="00E220ED" w:rsidRDefault="00FD56EB" w:rsidP="006E404A">
      <w:pPr>
        <w:spacing w:after="0"/>
        <w:ind w:left="709" w:right="709"/>
        <w:jc w:val="both"/>
        <w:rPr>
          <w:rFonts w:ascii="Verdana" w:eastAsia="Calibri" w:hAnsi="Verdana" w:cs="Arial"/>
          <w:sz w:val="20"/>
          <w:szCs w:val="20"/>
          <w:lang w:val="es-ES_tradnl" w:eastAsia="es-MX"/>
        </w:rPr>
      </w:pPr>
      <w:r w:rsidRPr="00E220ED">
        <w:rPr>
          <w:rFonts w:ascii="Verdana" w:eastAsia="Calibri" w:hAnsi="Verdana" w:cs="Arial"/>
          <w:sz w:val="20"/>
          <w:szCs w:val="20"/>
          <w:lang w:val="es-ES_tradnl" w:eastAsia="es-MX"/>
        </w:rPr>
        <w:t xml:space="preserve">“Artículo 5. De la Selección Objetiva. </w:t>
      </w:r>
    </w:p>
    <w:p w14:paraId="763780DE" w14:textId="77777777" w:rsidR="00FD56EB" w:rsidRPr="00E220ED" w:rsidRDefault="00FD56EB" w:rsidP="006E404A">
      <w:pPr>
        <w:spacing w:after="0"/>
        <w:ind w:left="709" w:right="709"/>
        <w:jc w:val="both"/>
        <w:rPr>
          <w:rFonts w:ascii="Verdana" w:eastAsia="Calibri" w:hAnsi="Verdana" w:cs="Arial"/>
          <w:sz w:val="20"/>
          <w:szCs w:val="20"/>
          <w:lang w:val="es-ES_tradnl" w:eastAsia="es-MX"/>
        </w:rPr>
      </w:pPr>
      <w:r w:rsidRPr="00E220ED">
        <w:rPr>
          <w:rFonts w:ascii="Verdana" w:eastAsia="Calibri" w:hAnsi="Verdana" w:cs="Arial"/>
          <w:sz w:val="20"/>
          <w:szCs w:val="20"/>
          <w:lang w:val="es-ES_tradnl" w:eastAsia="es-MX"/>
        </w:rPr>
        <w:t>[…]</w:t>
      </w:r>
    </w:p>
    <w:p w14:paraId="4A57B2F1" w14:textId="77777777" w:rsidR="00FD56EB" w:rsidRPr="00E220ED" w:rsidRDefault="00FD56EB" w:rsidP="006E404A">
      <w:pPr>
        <w:spacing w:after="0"/>
        <w:ind w:left="709" w:right="709"/>
        <w:jc w:val="both"/>
        <w:rPr>
          <w:rFonts w:ascii="Verdana" w:eastAsia="Calibri" w:hAnsi="Verdana" w:cs="Arial"/>
          <w:sz w:val="20"/>
          <w:szCs w:val="20"/>
        </w:rPr>
      </w:pPr>
      <w:r w:rsidRPr="00E220ED">
        <w:rPr>
          <w:rFonts w:ascii="Verdana" w:eastAsia="Calibri" w:hAnsi="Verdana" w:cs="Arial"/>
          <w:sz w:val="20"/>
          <w:szCs w:val="20"/>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2178AFC7" w14:textId="77777777" w:rsidR="00FD56EB" w:rsidRPr="00E220ED" w:rsidRDefault="00FD56EB" w:rsidP="00FD56EB">
      <w:pPr>
        <w:pStyle w:val="Prrafodelista"/>
        <w:spacing w:after="0"/>
        <w:ind w:right="709"/>
        <w:jc w:val="both"/>
        <w:rPr>
          <w:rFonts w:ascii="Verdana" w:eastAsia="Calibri" w:hAnsi="Verdana" w:cs="Arial"/>
          <w:sz w:val="21"/>
          <w:szCs w:val="21"/>
          <w:lang w:val="es-ES_tradnl"/>
        </w:rPr>
      </w:pPr>
    </w:p>
    <w:p w14:paraId="2DFC322C" w14:textId="2F0BCFB6" w:rsidR="00FD56EB" w:rsidRPr="00E220ED" w:rsidRDefault="00FD56EB" w:rsidP="006E404A">
      <w:pPr>
        <w:spacing w:after="120" w:line="276" w:lineRule="auto"/>
        <w:ind w:firstLine="360"/>
        <w:jc w:val="both"/>
        <w:rPr>
          <w:rFonts w:ascii="Verdana" w:eastAsia="Calibri" w:hAnsi="Verdana" w:cs="Arial"/>
          <w:sz w:val="21"/>
          <w:szCs w:val="21"/>
          <w:lang w:val="es-ES_tradnl"/>
        </w:rPr>
      </w:pPr>
      <w:bookmarkStart w:id="2" w:name="_Hlk99547809"/>
      <w:bookmarkStart w:id="3" w:name="_Hlk99546625"/>
      <w:r w:rsidRPr="00E220ED">
        <w:rPr>
          <w:rFonts w:ascii="Verdana" w:eastAsia="Times New Roman" w:hAnsi="Verdana" w:cs="Arial"/>
          <w:lang w:val="es-ES_tradnl" w:eastAsia="es-MX"/>
        </w:rPr>
        <w:t xml:space="preserve">   </w:t>
      </w:r>
      <w:r w:rsidR="00324AA8">
        <w:rPr>
          <w:rFonts w:ascii="Verdana" w:eastAsia="Times New Roman" w:hAnsi="Verdana" w:cs="Arial"/>
          <w:lang w:val="es-ES_tradnl" w:eastAsia="es-MX"/>
        </w:rPr>
        <w:tab/>
      </w:r>
      <w:r w:rsidRPr="00E220ED">
        <w:rPr>
          <w:rFonts w:ascii="Verdana" w:eastAsia="Times New Roman" w:hAnsi="Verdana" w:cs="Arial"/>
          <w:lang w:val="es-ES_tradnl" w:eastAsia="es-MX"/>
        </w:rPr>
        <w:t>La Agencia Nacional de Contratación Pública</w:t>
      </w:r>
      <w:r w:rsidR="007912CE">
        <w:rPr>
          <w:rFonts w:ascii="Verdana" w:eastAsia="Times New Roman" w:hAnsi="Verdana" w:cs="Arial"/>
          <w:lang w:val="es-ES_tradnl" w:eastAsia="es-MX"/>
        </w:rPr>
        <w:t xml:space="preserve"> – Colombia Compra Eficiente</w:t>
      </w:r>
      <w:r w:rsidRPr="00E220ED">
        <w:rPr>
          <w:rFonts w:ascii="Verdana" w:eastAsia="Times New Roman" w:hAnsi="Verdana" w:cs="Arial"/>
          <w:lang w:val="es-ES_tradnl" w:eastAsia="es-MX"/>
        </w:rPr>
        <w:t xml:space="preserve"> ha defendido el carácter </w:t>
      </w:r>
      <w:bookmarkStart w:id="4" w:name="_Hlk99547799"/>
      <w:r w:rsidRPr="00E220ED">
        <w:rPr>
          <w:rFonts w:ascii="Verdana" w:eastAsia="Times New Roman" w:hAnsi="Verdana" w:cs="Arial"/>
          <w:lang w:val="es-ES_tradnl" w:eastAsia="es-MX"/>
        </w:rPr>
        <w:t>enunciativo del listado de los requisitos habilitantes contenidos en el numeral 1</w:t>
      </w:r>
      <w:r w:rsidR="003A1958">
        <w:rPr>
          <w:rFonts w:ascii="Verdana" w:eastAsia="Times New Roman" w:hAnsi="Verdana" w:cs="Arial"/>
          <w:lang w:val="es-ES_tradnl" w:eastAsia="es-MX"/>
        </w:rPr>
        <w:t>º</w:t>
      </w:r>
      <w:r w:rsidRPr="00E220ED">
        <w:rPr>
          <w:rFonts w:ascii="Verdana" w:eastAsia="Times New Roman" w:hAnsi="Verdana" w:cs="Arial"/>
          <w:lang w:val="es-ES_tradnl" w:eastAsia="es-MX"/>
        </w:rPr>
        <w:t xml:space="preserve"> del artículo 5 de la Ley 1150 de 2007, en la medida en que la referida disposición, al referirse a los requisitos habilitantes, no contiene una expresión como “únicamente” o “solo”, de la que pueda colegirse la taxatividad de los requisitos mencionados. </w:t>
      </w:r>
      <w:bookmarkEnd w:id="2"/>
      <w:bookmarkEnd w:id="4"/>
      <w:r w:rsidRPr="00E220ED">
        <w:rPr>
          <w:rFonts w:ascii="Verdana" w:eastAsia="Times New Roman" w:hAnsi="Verdana" w:cs="Arial"/>
          <w:lang w:val="es-ES_tradnl" w:eastAsia="es-MX"/>
        </w:rPr>
        <w:t>Esta conclusión además se apoya en una la lectura integral de las normas que regulan la contratación estatal, en virtud de la cual es posible evidenciar que existen otras condiciones que deben cumplirse para la contratación con entidades públicas, de las que derivan requisitos habilitantes, como sucede, por ejemplo, con la capacidad residual a la que se refiere el artículo 6º, parágrafo 1, de la Ley 1150 de 2007</w:t>
      </w:r>
      <w:bookmarkEnd w:id="3"/>
      <w:r w:rsidRPr="00E220ED">
        <w:rPr>
          <w:rFonts w:ascii="Verdana" w:hAnsi="Verdana"/>
          <w:vertAlign w:val="superscript"/>
          <w:lang w:val="es-ES_tradnl" w:eastAsia="es-MX"/>
        </w:rPr>
        <w:footnoteReference w:id="1"/>
      </w:r>
      <w:r w:rsidRPr="00E220ED">
        <w:rPr>
          <w:rFonts w:ascii="Verdana" w:eastAsia="Times New Roman" w:hAnsi="Verdana" w:cs="Arial"/>
          <w:lang w:val="es-ES_tradnl" w:eastAsia="es-MX"/>
        </w:rPr>
        <w:t xml:space="preserve">. </w:t>
      </w:r>
    </w:p>
    <w:p w14:paraId="3F1D8366" w14:textId="34E073FD" w:rsidR="00FD56EB" w:rsidRPr="00E220ED" w:rsidRDefault="00FD56EB" w:rsidP="006E404A">
      <w:pPr>
        <w:spacing w:after="120" w:line="276" w:lineRule="auto"/>
        <w:ind w:firstLine="360"/>
        <w:jc w:val="both"/>
        <w:rPr>
          <w:rFonts w:ascii="Verdana" w:eastAsia="Times New Roman" w:hAnsi="Verdana" w:cs="Arial"/>
          <w:lang w:val="es-ES_tradnl" w:eastAsia="es-MX"/>
        </w:rPr>
      </w:pPr>
      <w:r w:rsidRPr="00E220ED">
        <w:rPr>
          <w:rFonts w:ascii="Verdana" w:eastAsia="Times New Roman" w:hAnsi="Verdana" w:cs="Arial"/>
          <w:lang w:val="es-ES_tradnl" w:eastAsia="es-MX"/>
        </w:rPr>
        <w:t xml:space="preserve"> </w:t>
      </w:r>
      <w:r w:rsidR="00324AA8">
        <w:rPr>
          <w:rFonts w:ascii="Verdana" w:eastAsia="Times New Roman" w:hAnsi="Verdana" w:cs="Arial"/>
          <w:lang w:val="es-ES_tradnl" w:eastAsia="es-MX"/>
        </w:rPr>
        <w:tab/>
      </w:r>
      <w:r w:rsidRPr="00E220ED">
        <w:rPr>
          <w:rFonts w:ascii="Verdana" w:eastAsia="Times New Roman" w:hAnsi="Verdana" w:cs="Arial"/>
          <w:lang w:val="es-ES_tradnl" w:eastAsia="es-MX"/>
        </w:rPr>
        <w:t>Por otro lado, en el “Manual para determinar y verificar los requisitos habilitantes en los Procesos de Contratación”</w:t>
      </w:r>
      <w:r w:rsidRPr="00E220ED">
        <w:rPr>
          <w:rStyle w:val="Refdenotaalpie"/>
          <w:rFonts w:ascii="Verdana" w:eastAsia="Times New Roman" w:hAnsi="Verdana" w:cs="Arial"/>
          <w:lang w:val="es-ES_tradnl" w:eastAsia="es-MX"/>
        </w:rPr>
        <w:footnoteReference w:id="2"/>
      </w:r>
      <w:r w:rsidRPr="00E220ED">
        <w:rPr>
          <w:rFonts w:ascii="Verdana" w:eastAsia="Calibri" w:hAnsi="Verdana" w:cs="Arial"/>
          <w:lang w:val="es-ES_tradnl" w:eastAsia="es-MX"/>
        </w:rPr>
        <w:t>,</w:t>
      </w:r>
      <w:r w:rsidRPr="00E220ED">
        <w:rPr>
          <w:rFonts w:ascii="Verdana" w:eastAsia="Times New Roman" w:hAnsi="Verdana" w:cs="Arial"/>
          <w:lang w:val="es-ES_tradnl" w:eastAsia="es-MX"/>
        </w:rPr>
        <w:t xml:space="preserve"> expedido por la </w:t>
      </w:r>
      <w:r w:rsidRPr="00E220ED">
        <w:rPr>
          <w:rFonts w:ascii="Verdana" w:eastAsia="Calibri" w:hAnsi="Verdana" w:cs="Arial"/>
          <w:lang w:val="es-ES_tradnl" w:eastAsia="es-MX"/>
        </w:rPr>
        <w:t>Agencia Nacional de Contratación Pública – Colombia Compra Eficiente</w:t>
      </w:r>
      <w:r w:rsidRPr="00E220ED">
        <w:rPr>
          <w:rFonts w:ascii="Verdana" w:eastAsia="Times New Roman" w:hAnsi="Verdana" w:cs="Arial"/>
          <w:lang w:val="es-ES_tradnl" w:eastAsia="es-MX"/>
        </w:rPr>
        <w:t xml:space="preserve"> se determinaron los parámetros para establecer, acreditar y subsanar los requisitos habilitantes. Allí también se precisó que estos tienen como fin primordial medir “la aptitud del proponente para participar en un Proceso de Contratación como oferente y están referidos a su capacidad jurídica, financiera, organizacional y su experiencia”. De acuerdo con el Manual, su propósito consiste en “establecer unas condiciones mínimas para los proponentes de tal manera que la Entidad Estatal sólo evalúe las ofertas de aquellos que están en condiciones de cumplir con el objeto del Proceso de Contratación”. </w:t>
      </w:r>
    </w:p>
    <w:p w14:paraId="6A46A97B" w14:textId="77777777" w:rsidR="00FD56EB" w:rsidRPr="00E220ED" w:rsidRDefault="00FD56EB" w:rsidP="006E404A">
      <w:pPr>
        <w:spacing w:after="120" w:line="276" w:lineRule="auto"/>
        <w:ind w:firstLine="360"/>
        <w:jc w:val="both"/>
        <w:rPr>
          <w:rFonts w:ascii="Verdana" w:eastAsia="Times New Roman" w:hAnsi="Verdana" w:cs="Arial"/>
          <w:lang w:val="es-ES_tradnl" w:eastAsia="es-MX"/>
        </w:rPr>
      </w:pPr>
      <w:r w:rsidRPr="00E220ED">
        <w:rPr>
          <w:rFonts w:ascii="Verdana" w:eastAsia="Times New Roman" w:hAnsi="Verdana" w:cs="Arial"/>
          <w:lang w:val="es-ES_tradnl" w:eastAsia="es-MX"/>
        </w:rPr>
        <w:t xml:space="preserve">    Así las cosas, al tratarse de condiciones mínimas, significa que las entidades podrían establecer otras, según su autonomía de la voluntad, y teniendo en cuenta el objeto del contrato, los riesgos detectados en los estudios previos, el presupuesto oficial, entre otros factores.</w:t>
      </w:r>
    </w:p>
    <w:p w14:paraId="33E0D430" w14:textId="77777777" w:rsidR="00FD56EB" w:rsidRPr="00E220ED" w:rsidRDefault="00FD56EB" w:rsidP="006E404A">
      <w:pPr>
        <w:spacing w:after="120" w:line="276" w:lineRule="auto"/>
        <w:ind w:firstLine="360"/>
        <w:jc w:val="both"/>
        <w:rPr>
          <w:rFonts w:ascii="Verdana" w:eastAsia="Times New Roman" w:hAnsi="Verdana" w:cs="Arial"/>
          <w:lang w:val="es-ES_tradnl" w:eastAsia="es-MX"/>
        </w:rPr>
      </w:pPr>
      <w:r w:rsidRPr="00E220ED">
        <w:rPr>
          <w:rFonts w:ascii="Verdana" w:eastAsia="Times New Roman" w:hAnsi="Verdana" w:cs="Arial"/>
          <w:lang w:val="es-ES_tradnl" w:eastAsia="es-MX"/>
        </w:rPr>
        <w:lastRenderedPageBreak/>
        <w:t xml:space="preserve">    Al respecto, en la Sentencia C-004 de 2017, la Corte Constitucional señaló que “[l]a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p>
    <w:p w14:paraId="5338FC9E" w14:textId="77777777" w:rsidR="00FD56EB" w:rsidRPr="00E220ED" w:rsidRDefault="00FD56EB" w:rsidP="006E404A">
      <w:pPr>
        <w:tabs>
          <w:tab w:val="left" w:pos="426"/>
        </w:tabs>
        <w:spacing w:after="120" w:line="276" w:lineRule="auto"/>
        <w:jc w:val="both"/>
        <w:rPr>
          <w:rFonts w:ascii="Verdana" w:eastAsia="Times New Roman" w:hAnsi="Verdana" w:cs="Arial"/>
          <w:lang w:val="es-ES_tradnl" w:eastAsia="es-MX"/>
        </w:rPr>
      </w:pPr>
      <w:bookmarkStart w:id="5" w:name="_Hlk99548027"/>
      <w:r w:rsidRPr="00E220ED">
        <w:rPr>
          <w:rFonts w:ascii="Verdana" w:eastAsia="Times New Roman" w:hAnsi="Verdana" w:cs="Arial"/>
          <w:lang w:val="es-ES_tradnl" w:eastAsia="es-MX"/>
        </w:rPr>
        <w:tab/>
        <w:t xml:space="preserve"> En ese sentido, si bien </w:t>
      </w:r>
      <w:r w:rsidRPr="00E220ED">
        <w:rPr>
          <w:rFonts w:ascii="Verdana" w:eastAsia="Calibri" w:hAnsi="Verdana" w:cs="Arial"/>
          <w:lang w:val="es-ES_tradnl" w:eastAsia="es-MX"/>
        </w:rPr>
        <w:t xml:space="preserve">la Ley 1150 de 2007 estableció unos requisitos habilitantes para los proponentes –la capacidad jurídica, las condiciones de experiencia, la capacidad financiera y la capacidad de organización–, estos no son taxativos. </w:t>
      </w:r>
      <w:bookmarkStart w:id="6" w:name="_Hlk34917473"/>
      <w:r w:rsidRPr="00E220ED">
        <w:rPr>
          <w:rFonts w:ascii="Verdana" w:eastAsia="Times New Roman" w:hAnsi="Verdana" w:cs="Arial"/>
          <w:lang w:val="es-ES_tradnl" w:eastAsia="es-MX"/>
        </w:rPr>
        <w:t xml:space="preserve">En consecuencia, corresponde a las entidades estatales, durante la etapa de planeación del contrato estatal, estudiar y </w:t>
      </w:r>
      <w:r w:rsidRPr="00E220ED">
        <w:rPr>
          <w:rFonts w:ascii="Verdana" w:eastAsia="Times New Roman" w:hAnsi="Verdana" w:cs="Arial"/>
          <w:bCs/>
          <w:iCs/>
          <w:lang w:val="es-ES_tradnl" w:eastAsia="es-MX"/>
        </w:rPr>
        <w:t>determinar</w:t>
      </w:r>
      <w:r w:rsidRPr="00E220ED">
        <w:rPr>
          <w:rFonts w:ascii="Verdana" w:eastAsia="Times New Roman" w:hAnsi="Verdana" w:cs="Arial"/>
          <w:lang w:val="es-ES_tradnl" w:eastAsia="es-MX"/>
        </w:rPr>
        <w:t xml:space="preserve"> los requisitos habilitantes que establecerán en los pliegos de condiciones, los cuales deben fijarse de forma adecuada y proporcional. </w:t>
      </w:r>
      <w:bookmarkEnd w:id="5"/>
    </w:p>
    <w:p w14:paraId="4C4028AB" w14:textId="77777777" w:rsidR="00FD56EB" w:rsidRPr="00E220ED" w:rsidRDefault="00FD56EB" w:rsidP="006E404A">
      <w:pPr>
        <w:tabs>
          <w:tab w:val="left" w:pos="426"/>
        </w:tabs>
        <w:spacing w:after="120" w:line="276" w:lineRule="auto"/>
        <w:jc w:val="both"/>
        <w:rPr>
          <w:rFonts w:ascii="Verdana" w:eastAsia="Times New Roman" w:hAnsi="Verdana" w:cs="Arial"/>
          <w:lang w:val="es-ES_tradnl" w:eastAsia="es-MX"/>
        </w:rPr>
      </w:pPr>
      <w:r w:rsidRPr="00E220ED">
        <w:rPr>
          <w:rFonts w:ascii="Verdana" w:eastAsia="Times New Roman" w:hAnsi="Verdana" w:cs="Arial"/>
          <w:lang w:val="es-ES_tradnl" w:eastAsia="es-MX"/>
        </w:rPr>
        <w:tab/>
        <w:t xml:space="preserve">  El Decreto 1082 de 2015 en su artículo 2.2.1.1.1.6.2 reglamenta los requisitos habilitantes, estableciendo que estos deben ser señalados en los pliegos de condiciones o en la invitación</w:t>
      </w:r>
      <w:r w:rsidRPr="00E220ED">
        <w:rPr>
          <w:rStyle w:val="Refdenotaalpie"/>
          <w:rFonts w:ascii="Verdana" w:eastAsia="Times New Roman" w:hAnsi="Verdana" w:cs="Arial"/>
          <w:lang w:val="es-ES_tradnl" w:eastAsia="es-MX"/>
        </w:rPr>
        <w:footnoteReference w:id="3"/>
      </w:r>
      <w:r w:rsidRPr="00E220ED">
        <w:rPr>
          <w:rFonts w:ascii="Verdana" w:eastAsia="Times New Roman" w:hAnsi="Verdana" w:cs="Arial"/>
          <w:lang w:val="es-ES_tradnl" w:eastAsia="es-MX"/>
        </w:rPr>
        <w:t>, lo cual es concordante con el numeral 5 del artículo 2.2.1.1.2.1.3, en el que se establece como uno de los componentes mínimos de los pliegos de condiciones</w:t>
      </w:r>
      <w:r w:rsidRPr="00E220ED">
        <w:rPr>
          <w:rFonts w:ascii="Verdana" w:hAnsi="Verdana" w:cs="Arial"/>
          <w:color w:val="000000"/>
        </w:rPr>
        <w:t xml:space="preserve"> a las reglas aplicables a la presentación y evaluación de las ofertas, entre las que se inscriben las relativas a la acreditación de las condiciones habilitantes. </w:t>
      </w:r>
      <w:r w:rsidRPr="00E220ED">
        <w:rPr>
          <w:rFonts w:ascii="Verdana" w:eastAsia="Times New Roman" w:hAnsi="Verdana" w:cs="Arial"/>
          <w:lang w:val="es-ES_tradnl" w:eastAsia="es-MX"/>
        </w:rPr>
        <w:t xml:space="preserve"> Establece además el artículo 2.2.1.1.1.6.2 que </w:t>
      </w:r>
      <w:r w:rsidRPr="00E220ED">
        <w:rPr>
          <w:rFonts w:ascii="Verdana" w:eastAsia="Times New Roman" w:hAnsi="Verdana" w:cs="Arial"/>
          <w:lang w:val="es-ES_tradnl" w:eastAsia="es-MX"/>
        </w:rPr>
        <w:lastRenderedPageBreak/>
        <w:t xml:space="preserve">la determinación de los requisitos habilitantes debe ser realizada en función de criterios como el riesgo del proceso de contratación, el valor del contrato, el análisis del sector económico respectivo y el conocimiento de fondo de los posibles oferentes desde la perspectiva comercial. </w:t>
      </w:r>
    </w:p>
    <w:p w14:paraId="5464F7D8" w14:textId="21CE8CED" w:rsidR="00FD56EB" w:rsidRPr="00E220ED" w:rsidRDefault="00FD56EB" w:rsidP="006E404A">
      <w:pPr>
        <w:tabs>
          <w:tab w:val="left" w:pos="426"/>
        </w:tabs>
        <w:spacing w:after="120" w:line="276" w:lineRule="auto"/>
        <w:jc w:val="both"/>
        <w:rPr>
          <w:rFonts w:ascii="Verdana" w:eastAsia="Times New Roman" w:hAnsi="Verdana" w:cs="Arial"/>
          <w:lang w:eastAsia="es-MX"/>
        </w:rPr>
      </w:pPr>
      <w:r w:rsidRPr="00E220ED">
        <w:rPr>
          <w:rFonts w:ascii="Verdana" w:eastAsia="Times New Roman" w:hAnsi="Verdana" w:cs="Arial"/>
          <w:lang w:eastAsia="es-MX"/>
        </w:rPr>
        <w:tab/>
      </w:r>
      <w:r w:rsidR="00324AA8">
        <w:rPr>
          <w:rFonts w:ascii="Verdana" w:eastAsia="Times New Roman" w:hAnsi="Verdana" w:cs="Arial"/>
          <w:lang w:eastAsia="es-MX"/>
        </w:rPr>
        <w:tab/>
      </w:r>
      <w:r w:rsidRPr="00E220ED">
        <w:rPr>
          <w:rFonts w:ascii="Verdana" w:eastAsia="Times New Roman" w:hAnsi="Verdana" w:cs="Arial"/>
          <w:lang w:eastAsia="es-MX"/>
        </w:rPr>
        <w:t xml:space="preserve">Los mencionados criterios deben ser aplicados de manera tal que de la ponderación de los mismos resulten requisitos que permitan medir la aptitud de los oferentes para cumplir con el contrato, y que, además de ser proporcionales y adecuados al objeto del contrato, no limiten la participación en el proceso de selección. </w:t>
      </w:r>
    </w:p>
    <w:p w14:paraId="4084FD80" w14:textId="2C7D9579" w:rsidR="00FD56EB" w:rsidRPr="00E220ED" w:rsidRDefault="00FD56EB" w:rsidP="006E404A">
      <w:pPr>
        <w:tabs>
          <w:tab w:val="left" w:pos="426"/>
        </w:tabs>
        <w:spacing w:after="120" w:line="276" w:lineRule="auto"/>
        <w:jc w:val="both"/>
        <w:rPr>
          <w:rFonts w:ascii="Verdana" w:eastAsia="Times New Roman" w:hAnsi="Verdana" w:cs="Arial"/>
          <w:lang w:eastAsia="es-MX"/>
        </w:rPr>
      </w:pPr>
      <w:r w:rsidRPr="00E220ED">
        <w:rPr>
          <w:rFonts w:ascii="Verdana" w:eastAsia="Times New Roman" w:hAnsi="Verdana" w:cs="Arial"/>
          <w:lang w:eastAsia="es-MX"/>
        </w:rPr>
        <w:tab/>
        <w:t xml:space="preserve">  </w:t>
      </w:r>
      <w:r w:rsidR="00324AA8">
        <w:rPr>
          <w:rFonts w:ascii="Verdana" w:eastAsia="Times New Roman" w:hAnsi="Verdana" w:cs="Arial"/>
          <w:lang w:eastAsia="es-MX"/>
        </w:rPr>
        <w:tab/>
      </w:r>
      <w:r w:rsidRPr="00E220ED">
        <w:rPr>
          <w:rFonts w:ascii="Verdana" w:eastAsia="Times New Roman" w:hAnsi="Verdana" w:cs="Arial"/>
          <w:lang w:eastAsia="es-MX"/>
        </w:rPr>
        <w:t xml:space="preserve">En ese sentido, las entidades tienen autonomía para estructurar los requisitos habilitantes en los procesos que adelantan, pero tal facultad no puede ejercerse de forma arbitraria, caprichosa y, mucho menos, con el ánimo de direccionar el proceso de contratación o favorecer a alguno de los proponentes. Tampoco puede suceder que el ejercicio de dicha atribución se haga con desconocimiento de los límites impuestos por la normativa vigente, como, por ejemplo, el parágrafo 2 del artículo 5 de la Ley 1150 de 2007, que prohíbe exigir certificaciones de sistemas de gestión de calidad como requisito habilitante. </w:t>
      </w:r>
    </w:p>
    <w:p w14:paraId="684D9774" w14:textId="0C0115AD" w:rsidR="00986536" w:rsidRDefault="00FD56EB" w:rsidP="006E404A">
      <w:pPr>
        <w:tabs>
          <w:tab w:val="left" w:pos="426"/>
        </w:tabs>
        <w:spacing w:after="0" w:line="276" w:lineRule="auto"/>
        <w:jc w:val="both"/>
        <w:rPr>
          <w:rFonts w:ascii="Verdana" w:eastAsia="Times New Roman" w:hAnsi="Verdana" w:cs="Arial"/>
          <w:lang w:eastAsia="es-MX"/>
        </w:rPr>
      </w:pPr>
      <w:bookmarkStart w:id="7" w:name="_Hlk99547936"/>
      <w:r w:rsidRPr="00E220ED">
        <w:rPr>
          <w:rFonts w:ascii="Verdana" w:eastAsia="Times New Roman" w:hAnsi="Verdana" w:cs="Arial"/>
          <w:lang w:eastAsia="es-MX"/>
        </w:rPr>
        <w:tab/>
        <w:t xml:space="preserve">  </w:t>
      </w:r>
      <w:r w:rsidR="00324AA8">
        <w:rPr>
          <w:rFonts w:ascii="Verdana" w:eastAsia="Times New Roman" w:hAnsi="Verdana" w:cs="Arial"/>
          <w:lang w:eastAsia="es-MX"/>
        </w:rPr>
        <w:tab/>
      </w:r>
      <w:r w:rsidRPr="00E220ED">
        <w:rPr>
          <w:rFonts w:ascii="Verdana" w:eastAsia="Times New Roman" w:hAnsi="Verdana" w:cs="Arial"/>
          <w:lang w:eastAsia="es-MX"/>
        </w:rPr>
        <w:t xml:space="preserve">De tal manera que, las entidades estatales son autónomas para definir los requisitos habilitantes, pero tal facultad debe ser ejercida procurando diseñar condiciones habilitantes de manera objetiva, de suerte que estas sirvan para determinar si los participantes del proceso de contratación cuentan con las capacidades que los hacen aptos para ejecutar el objeto contractual. Para esto resulta indispensable que los requisitos establecidos por la entidad, además se fijen de manera adecuada y proporcional a las características del objeto ofertado, procurando además ceñirse a la normativa que resulte aplicable. </w:t>
      </w:r>
      <w:bookmarkEnd w:id="6"/>
      <w:bookmarkEnd w:id="7"/>
    </w:p>
    <w:p w14:paraId="48B268B8" w14:textId="77777777" w:rsidR="00986536" w:rsidRDefault="00986536" w:rsidP="006E404A">
      <w:pPr>
        <w:tabs>
          <w:tab w:val="left" w:pos="426"/>
        </w:tabs>
        <w:spacing w:after="0" w:line="276" w:lineRule="auto"/>
        <w:jc w:val="both"/>
        <w:rPr>
          <w:rFonts w:ascii="Verdana" w:eastAsia="Times New Roman" w:hAnsi="Verdana" w:cs="Arial"/>
          <w:lang w:eastAsia="es-MX"/>
        </w:rPr>
      </w:pPr>
    </w:p>
    <w:p w14:paraId="75834FB7" w14:textId="50D45979" w:rsidR="00FD56EB" w:rsidRDefault="00986536" w:rsidP="006E404A">
      <w:pPr>
        <w:tabs>
          <w:tab w:val="left" w:pos="426"/>
        </w:tabs>
        <w:spacing w:after="0" w:line="276" w:lineRule="auto"/>
        <w:jc w:val="both"/>
        <w:rPr>
          <w:rFonts w:ascii="Verdana" w:hAnsi="Verdana"/>
        </w:rPr>
      </w:pPr>
      <w:r w:rsidRPr="00E220ED">
        <w:rPr>
          <w:rFonts w:ascii="Verdana" w:eastAsia="Times New Roman" w:hAnsi="Verdana" w:cs="Arial"/>
          <w:lang w:eastAsia="es-ES"/>
        </w:rPr>
        <w:t>ii)</w:t>
      </w:r>
      <w:r w:rsidR="008B4C2B">
        <w:rPr>
          <w:rFonts w:ascii="Verdana" w:eastAsia="Times New Roman" w:hAnsi="Verdana" w:cs="Arial"/>
          <w:lang w:eastAsia="es-MX"/>
        </w:rPr>
        <w:t xml:space="preserve">Ahora bien, </w:t>
      </w:r>
      <w:r w:rsidR="004B52E9">
        <w:rPr>
          <w:rFonts w:ascii="Verdana" w:eastAsia="Times New Roman" w:hAnsi="Verdana" w:cs="Arial"/>
          <w:lang w:eastAsia="es-MX"/>
        </w:rPr>
        <w:t xml:space="preserve">en atención al objeto principal de su consulta, es importante adentrarse en el análisis de </w:t>
      </w:r>
      <w:r w:rsidR="008B4C2B">
        <w:rPr>
          <w:rFonts w:ascii="Verdana" w:hAnsi="Verdana"/>
        </w:rPr>
        <w:t>l</w:t>
      </w:r>
      <w:r w:rsidR="008B4C2B" w:rsidRPr="00E220ED">
        <w:rPr>
          <w:rFonts w:ascii="Verdana" w:hAnsi="Verdana"/>
        </w:rPr>
        <w:t>a</w:t>
      </w:r>
      <w:r w:rsidR="004B52E9">
        <w:rPr>
          <w:rFonts w:ascii="Verdana" w:hAnsi="Verdana"/>
        </w:rPr>
        <w:t>s</w:t>
      </w:r>
      <w:r w:rsidR="008B4C2B" w:rsidRPr="00E220ED">
        <w:rPr>
          <w:rFonts w:ascii="Verdana" w:hAnsi="Verdana"/>
        </w:rPr>
        <w:t xml:space="preserve"> </w:t>
      </w:r>
      <w:r w:rsidR="00FD56EB" w:rsidRPr="00E220ED">
        <w:rPr>
          <w:rFonts w:ascii="Verdana" w:hAnsi="Verdana"/>
        </w:rPr>
        <w:t>regla</w:t>
      </w:r>
      <w:r w:rsidR="004B52E9">
        <w:rPr>
          <w:rFonts w:ascii="Verdana" w:hAnsi="Verdana"/>
        </w:rPr>
        <w:t>s</w:t>
      </w:r>
      <w:r w:rsidR="00FD56EB" w:rsidRPr="00E220ED">
        <w:rPr>
          <w:rFonts w:ascii="Verdana" w:hAnsi="Verdana"/>
        </w:rPr>
        <w:t xml:space="preserve"> de subsanabilidad</w:t>
      </w:r>
      <w:r w:rsidR="004B52E9">
        <w:rPr>
          <w:rFonts w:ascii="Verdana" w:hAnsi="Verdana"/>
        </w:rPr>
        <w:t>. Este</w:t>
      </w:r>
      <w:r w:rsidR="00FD56EB" w:rsidRPr="00E220ED">
        <w:rPr>
          <w:rFonts w:ascii="Verdana" w:hAnsi="Verdana"/>
        </w:rPr>
        <w:t xml:space="preserve"> es un mecanismo previsto en los procesos de contratación estatal que se regulan por el Estatuto General de Contratación de la Administración Pública – en adelante EGCAP. Esta regla, prevista en el artículo 5 de la Ley 1150 de 2007, consiste en permitir que los proponentes puedan enmendar, corregir o modificar los errores en los que se incurre en los documentos contentivos de la oferta. Así lo ha establecido el Consejo de Estado, en los siguientes términos:</w:t>
      </w:r>
    </w:p>
    <w:p w14:paraId="48F1F0C3" w14:textId="77777777" w:rsidR="00F64A3B" w:rsidRPr="00E220ED" w:rsidRDefault="00F64A3B" w:rsidP="006E404A">
      <w:pPr>
        <w:tabs>
          <w:tab w:val="left" w:pos="426"/>
        </w:tabs>
        <w:spacing w:after="0" w:line="276" w:lineRule="auto"/>
        <w:jc w:val="both"/>
        <w:rPr>
          <w:rFonts w:ascii="Verdana" w:hAnsi="Verdana"/>
        </w:rPr>
      </w:pPr>
    </w:p>
    <w:p w14:paraId="49962561" w14:textId="7C3DFA08" w:rsidR="00FD56EB" w:rsidRDefault="00FD56EB" w:rsidP="00F64A3B">
      <w:pPr>
        <w:spacing w:after="0" w:line="240" w:lineRule="auto"/>
        <w:ind w:left="709" w:right="709"/>
        <w:jc w:val="both"/>
        <w:rPr>
          <w:rFonts w:ascii="Verdana" w:hAnsi="Verdana"/>
          <w:sz w:val="20"/>
          <w:szCs w:val="20"/>
        </w:rPr>
      </w:pPr>
      <w:r w:rsidRPr="00E220ED">
        <w:rPr>
          <w:rFonts w:ascii="Verdana" w:hAnsi="Verdana"/>
          <w:sz w:val="20"/>
          <w:szCs w:val="20"/>
        </w:rPr>
        <w:lastRenderedPageBreak/>
        <w:t>“[…] materializar un principio general de primacía de lo sustancial sobre lo formal, adoptando medidas de saneamiento del proceso de selección tendientes a que los meros defectos formales, que no afecten sustancialmente la oferta, referidos a la documentación o instrumentalización de la misma, priven a la administración de considerar una oferta por causa de tales falencias”</w:t>
      </w:r>
      <w:r w:rsidRPr="00E220ED">
        <w:rPr>
          <w:rStyle w:val="Refdenotaalpie"/>
          <w:rFonts w:ascii="Verdana" w:hAnsi="Verdana"/>
          <w:sz w:val="20"/>
          <w:szCs w:val="20"/>
        </w:rPr>
        <w:footnoteReference w:id="4"/>
      </w:r>
      <w:r w:rsidRPr="00E220ED">
        <w:rPr>
          <w:rFonts w:ascii="Verdana" w:hAnsi="Verdana"/>
          <w:sz w:val="20"/>
          <w:szCs w:val="20"/>
        </w:rPr>
        <w:t>.</w:t>
      </w:r>
    </w:p>
    <w:p w14:paraId="70ADF90B" w14:textId="77777777" w:rsidR="00F64A3B" w:rsidRPr="006E404A" w:rsidRDefault="00F64A3B" w:rsidP="006E404A">
      <w:pPr>
        <w:spacing w:after="0" w:line="276" w:lineRule="auto"/>
        <w:ind w:left="709" w:right="709"/>
        <w:jc w:val="both"/>
        <w:rPr>
          <w:rFonts w:ascii="Verdana" w:hAnsi="Verdana"/>
        </w:rPr>
      </w:pPr>
    </w:p>
    <w:p w14:paraId="2024C47F" w14:textId="77777777" w:rsidR="00FD56EB" w:rsidRPr="00E220ED" w:rsidRDefault="00FD56EB" w:rsidP="006E404A">
      <w:pPr>
        <w:widowControl w:val="0"/>
        <w:autoSpaceDE w:val="0"/>
        <w:autoSpaceDN w:val="0"/>
        <w:spacing w:after="120" w:line="276" w:lineRule="auto"/>
        <w:ind w:firstLine="708"/>
        <w:jc w:val="both"/>
        <w:rPr>
          <w:rFonts w:ascii="Verdana" w:eastAsia="Calibri" w:hAnsi="Verdana" w:cs="Arial"/>
          <w:lang w:eastAsia="es-ES_tradnl"/>
        </w:rPr>
      </w:pPr>
      <w:r w:rsidRPr="00E220ED">
        <w:rPr>
          <w:rFonts w:ascii="Verdana" w:eastAsia="Calibri" w:hAnsi="Verdana" w:cs="Arial"/>
          <w:lang w:eastAsia="es-ES_tradnl"/>
        </w:rPr>
        <w:t>Esta Subdirección se ha pronunciado en diversas oportunidades acerca del alcance de la regla de la subsanabilidad</w:t>
      </w:r>
      <w:r w:rsidRPr="00E220ED">
        <w:rPr>
          <w:rStyle w:val="Refdenotaalpie"/>
          <w:rFonts w:ascii="Verdana" w:eastAsia="Calibri" w:hAnsi="Verdana" w:cs="Arial"/>
          <w:lang w:eastAsia="es-ES_tradnl"/>
        </w:rPr>
        <w:footnoteReference w:id="5"/>
      </w:r>
      <w:r w:rsidRPr="00E220ED">
        <w:rPr>
          <w:rFonts w:ascii="Verdana" w:eastAsia="Calibri" w:hAnsi="Verdana" w:cs="Arial"/>
          <w:lang w:eastAsia="es-ES_tradnl"/>
        </w:rPr>
        <w:t>, contenida actualmente en el parágrafo 1 del artículo 5 de la Ley 1150 de 2007, modificado por el artículo 5 de la Ley 1882 de 2018</w:t>
      </w:r>
      <w:r w:rsidRPr="00E220ED">
        <w:rPr>
          <w:rFonts w:ascii="Verdana" w:hAnsi="Verdana"/>
          <w:vertAlign w:val="superscript"/>
          <w:lang w:eastAsia="es-ES_tradnl"/>
        </w:rPr>
        <w:footnoteReference w:id="6"/>
      </w:r>
      <w:r w:rsidRPr="00E220ED">
        <w:rPr>
          <w:rFonts w:ascii="Verdana" w:eastAsia="Calibri" w:hAnsi="Verdana" w:cs="Arial"/>
          <w:lang w:eastAsia="es-ES_tradnl"/>
        </w:rPr>
        <w:t>. Al respecto, la postura que se reitera en el presente concepto es la siguiente: por regla general, la falta de entrega o los defectos frente a los requisitos que no asignan puntaje, son subsanables. La excepción se encuentra en los casos, previstos en la ley, que limitan la subsanabilidad, como, por ejemplo, la prohibición de permitir la entrega de la garantía de seriedad de la oferta que no fue aportada con la propuesta y de permitir la acreditación de circunstancias ocurridas con posterioridad al cierre del proceso.</w:t>
      </w:r>
    </w:p>
    <w:p w14:paraId="4907CB52" w14:textId="2D1B550E" w:rsidR="00FD56EB" w:rsidRDefault="00FD56EB" w:rsidP="00F64A3B">
      <w:pPr>
        <w:widowControl w:val="0"/>
        <w:tabs>
          <w:tab w:val="left" w:pos="284"/>
        </w:tabs>
        <w:autoSpaceDE w:val="0"/>
        <w:autoSpaceDN w:val="0"/>
        <w:spacing w:before="120" w:after="0" w:line="276" w:lineRule="auto"/>
        <w:jc w:val="both"/>
        <w:rPr>
          <w:rFonts w:ascii="Verdana" w:eastAsia="Arial" w:hAnsi="Verdana" w:cs="Arial"/>
          <w:color w:val="000000"/>
          <w:lang w:val="es-ES_tradnl" w:eastAsia="es-ES_tradnl"/>
        </w:rPr>
      </w:pPr>
      <w:r w:rsidRPr="00E220ED">
        <w:rPr>
          <w:rFonts w:ascii="Verdana" w:eastAsia="Calibri" w:hAnsi="Verdana" w:cs="Arial"/>
          <w:lang w:eastAsia="es-ES_tradnl"/>
        </w:rPr>
        <w:tab/>
      </w:r>
      <w:r w:rsidR="00F64A3B">
        <w:rPr>
          <w:rFonts w:ascii="Verdana" w:eastAsia="Calibri" w:hAnsi="Verdana" w:cs="Arial"/>
          <w:lang w:eastAsia="es-ES_tradnl"/>
        </w:rPr>
        <w:tab/>
      </w:r>
      <w:r w:rsidRPr="00E220ED">
        <w:rPr>
          <w:rFonts w:ascii="Verdana" w:eastAsia="Calibri" w:hAnsi="Verdana" w:cs="Arial"/>
          <w:lang w:eastAsia="es-ES_tradnl"/>
        </w:rPr>
        <w:t xml:space="preserve">En este sentido, bajo la normativa actual que regula la subsanabilidad de las ofertas debe tenerse en cuenta que </w:t>
      </w:r>
      <w:r w:rsidRPr="00E220ED">
        <w:rPr>
          <w:rFonts w:ascii="Verdana" w:eastAsia="Arial" w:hAnsi="Verdana" w:cs="Arial"/>
          <w:lang w:eastAsia="es-ES_tradnl"/>
        </w:rPr>
        <w:t>el</w:t>
      </w:r>
      <w:r w:rsidRPr="00E220ED">
        <w:rPr>
          <w:rFonts w:ascii="Verdana" w:eastAsia="Arial" w:hAnsi="Verdana" w:cs="Arial"/>
          <w:spacing w:val="-12"/>
          <w:lang w:eastAsia="es-ES_tradnl"/>
        </w:rPr>
        <w:t xml:space="preserve"> </w:t>
      </w:r>
      <w:r w:rsidRPr="00E220ED">
        <w:rPr>
          <w:rFonts w:ascii="Verdana" w:eastAsia="Arial" w:hAnsi="Verdana" w:cs="Arial"/>
          <w:lang w:eastAsia="es-ES_tradnl"/>
        </w:rPr>
        <w:t>legislador</w:t>
      </w:r>
      <w:r w:rsidRPr="00E220ED">
        <w:rPr>
          <w:rFonts w:ascii="Verdana" w:eastAsia="Arial" w:hAnsi="Verdana" w:cs="Arial"/>
          <w:spacing w:val="-12"/>
          <w:lang w:eastAsia="es-ES_tradnl"/>
        </w:rPr>
        <w:t xml:space="preserve"> </w:t>
      </w:r>
      <w:r w:rsidRPr="00E220ED">
        <w:rPr>
          <w:rFonts w:ascii="Verdana" w:eastAsia="Arial" w:hAnsi="Verdana" w:cs="Arial"/>
          <w:lang w:eastAsia="es-ES_tradnl"/>
        </w:rPr>
        <w:t>expidió</w:t>
      </w:r>
      <w:r w:rsidRPr="00E220ED">
        <w:rPr>
          <w:rFonts w:ascii="Verdana" w:eastAsia="Arial" w:hAnsi="Verdana" w:cs="Arial"/>
          <w:spacing w:val="-13"/>
          <w:lang w:eastAsia="es-ES_tradnl"/>
        </w:rPr>
        <w:t xml:space="preserve"> </w:t>
      </w:r>
      <w:r w:rsidRPr="00E220ED">
        <w:rPr>
          <w:rFonts w:ascii="Verdana" w:eastAsia="Arial" w:hAnsi="Verdana" w:cs="Arial"/>
          <w:lang w:eastAsia="es-ES_tradnl"/>
        </w:rPr>
        <w:t>la</w:t>
      </w:r>
      <w:r w:rsidRPr="00E220ED">
        <w:rPr>
          <w:rFonts w:ascii="Verdana" w:eastAsia="Arial" w:hAnsi="Verdana" w:cs="Arial"/>
          <w:spacing w:val="-12"/>
          <w:lang w:eastAsia="es-ES_tradnl"/>
        </w:rPr>
        <w:t xml:space="preserve"> </w:t>
      </w:r>
      <w:r w:rsidRPr="00E220ED">
        <w:rPr>
          <w:rFonts w:ascii="Verdana" w:eastAsia="Arial" w:hAnsi="Verdana" w:cs="Arial"/>
          <w:lang w:eastAsia="es-ES_tradnl"/>
        </w:rPr>
        <w:t>Ley</w:t>
      </w:r>
      <w:r w:rsidRPr="00E220ED">
        <w:rPr>
          <w:rFonts w:ascii="Verdana" w:eastAsia="Arial" w:hAnsi="Verdana" w:cs="Arial"/>
          <w:spacing w:val="-13"/>
          <w:lang w:eastAsia="es-ES_tradnl"/>
        </w:rPr>
        <w:t xml:space="preserve"> </w:t>
      </w:r>
      <w:r w:rsidRPr="00E220ED">
        <w:rPr>
          <w:rFonts w:ascii="Verdana" w:eastAsia="Arial" w:hAnsi="Verdana" w:cs="Arial"/>
          <w:lang w:eastAsia="es-ES_tradnl"/>
        </w:rPr>
        <w:t>1882</w:t>
      </w:r>
      <w:r w:rsidRPr="00E220ED">
        <w:rPr>
          <w:rFonts w:ascii="Verdana" w:eastAsia="Arial" w:hAnsi="Verdana" w:cs="Arial"/>
          <w:spacing w:val="-13"/>
          <w:lang w:eastAsia="es-ES_tradnl"/>
        </w:rPr>
        <w:t xml:space="preserve"> </w:t>
      </w:r>
      <w:r w:rsidRPr="00E220ED">
        <w:rPr>
          <w:rFonts w:ascii="Verdana" w:eastAsia="Arial" w:hAnsi="Verdana" w:cs="Arial"/>
          <w:lang w:eastAsia="es-ES_tradnl"/>
        </w:rPr>
        <w:t>de</w:t>
      </w:r>
      <w:r w:rsidRPr="00E220ED">
        <w:rPr>
          <w:rFonts w:ascii="Verdana" w:eastAsia="Arial" w:hAnsi="Verdana" w:cs="Arial"/>
          <w:spacing w:val="-12"/>
          <w:lang w:eastAsia="es-ES_tradnl"/>
        </w:rPr>
        <w:t xml:space="preserve"> </w:t>
      </w:r>
      <w:r w:rsidRPr="00E220ED">
        <w:rPr>
          <w:rFonts w:ascii="Verdana" w:eastAsia="Arial" w:hAnsi="Verdana" w:cs="Arial"/>
          <w:lang w:eastAsia="es-ES_tradnl"/>
        </w:rPr>
        <w:t>2018,</w:t>
      </w:r>
      <w:r w:rsidRPr="00E220ED">
        <w:rPr>
          <w:rFonts w:ascii="Verdana" w:eastAsia="Arial" w:hAnsi="Verdana" w:cs="Arial"/>
          <w:spacing w:val="-13"/>
          <w:lang w:eastAsia="es-ES_tradnl"/>
        </w:rPr>
        <w:t xml:space="preserve"> </w:t>
      </w:r>
      <w:r w:rsidRPr="00E220ED">
        <w:rPr>
          <w:rFonts w:ascii="Verdana" w:eastAsia="Arial" w:hAnsi="Verdana" w:cs="Arial"/>
          <w:lang w:eastAsia="es-ES_tradnl"/>
        </w:rPr>
        <w:t>con</w:t>
      </w:r>
      <w:r w:rsidRPr="00E220ED">
        <w:rPr>
          <w:rFonts w:ascii="Verdana" w:eastAsia="Arial" w:hAnsi="Verdana" w:cs="Arial"/>
          <w:spacing w:val="-12"/>
          <w:lang w:eastAsia="es-ES_tradnl"/>
        </w:rPr>
        <w:t xml:space="preserve"> </w:t>
      </w:r>
      <w:r w:rsidRPr="00E220ED">
        <w:rPr>
          <w:rFonts w:ascii="Verdana" w:eastAsia="Arial" w:hAnsi="Verdana" w:cs="Arial"/>
          <w:lang w:eastAsia="es-ES_tradnl"/>
        </w:rPr>
        <w:t>la</w:t>
      </w:r>
      <w:r w:rsidRPr="00E220ED">
        <w:rPr>
          <w:rFonts w:ascii="Verdana" w:eastAsia="Arial" w:hAnsi="Verdana" w:cs="Arial"/>
          <w:spacing w:val="-13"/>
          <w:lang w:eastAsia="es-ES_tradnl"/>
        </w:rPr>
        <w:t xml:space="preserve"> </w:t>
      </w:r>
      <w:r w:rsidRPr="00E220ED">
        <w:rPr>
          <w:rFonts w:ascii="Verdana" w:eastAsia="Arial" w:hAnsi="Verdana" w:cs="Arial"/>
          <w:lang w:eastAsia="es-ES_tradnl"/>
        </w:rPr>
        <w:t xml:space="preserve">finalidad de introducir cambios y ajustes para fortalecer la contratación pública. </w:t>
      </w:r>
      <w:r w:rsidRPr="00E220ED">
        <w:rPr>
          <w:rFonts w:ascii="Verdana" w:eastAsia="Calibri" w:hAnsi="Verdana" w:cs="Arial"/>
          <w:lang w:eastAsia="es-ES_tradnl"/>
        </w:rPr>
        <w:t>Particularmente, el artículo 5 modificó el parágrafo 1º del artículo 5 de la Ley 1150 de 2007</w:t>
      </w:r>
      <w:r w:rsidRPr="00E220ED">
        <w:rPr>
          <w:rFonts w:ascii="Verdana" w:eastAsia="Arial" w:hAnsi="Verdana" w:cs="Arial"/>
          <w:color w:val="000000"/>
          <w:lang w:val="es-ES_tradnl" w:eastAsia="es-ES_tradnl"/>
        </w:rPr>
        <w:t xml:space="preserve">: </w:t>
      </w:r>
    </w:p>
    <w:p w14:paraId="0C9ACD2F" w14:textId="77777777" w:rsidR="00F64A3B" w:rsidRPr="00E220ED" w:rsidRDefault="00F64A3B" w:rsidP="006E404A">
      <w:pPr>
        <w:widowControl w:val="0"/>
        <w:tabs>
          <w:tab w:val="left" w:pos="284"/>
        </w:tabs>
        <w:autoSpaceDE w:val="0"/>
        <w:autoSpaceDN w:val="0"/>
        <w:spacing w:after="0" w:line="276" w:lineRule="auto"/>
        <w:jc w:val="both"/>
        <w:rPr>
          <w:rFonts w:ascii="Verdana" w:eastAsia="Calibri" w:hAnsi="Verdana" w:cs="Arial"/>
          <w:color w:val="000000"/>
          <w:lang w:val="es-ES_tradnl" w:eastAsia="es-ES_tradnl"/>
        </w:rPr>
      </w:pPr>
    </w:p>
    <w:p w14:paraId="4B0FD5D1" w14:textId="77777777" w:rsidR="00FD56EB" w:rsidRPr="00E220ED" w:rsidRDefault="00FD56EB" w:rsidP="006E404A">
      <w:pPr>
        <w:pStyle w:val="Prrafodelista"/>
        <w:spacing w:after="0" w:line="240" w:lineRule="auto"/>
        <w:ind w:left="709" w:right="709"/>
        <w:contextualSpacing w:val="0"/>
        <w:jc w:val="both"/>
        <w:rPr>
          <w:rFonts w:ascii="Verdana" w:eastAsia="Calibri" w:hAnsi="Verdana" w:cs="Arial"/>
          <w:color w:val="000000"/>
          <w:sz w:val="20"/>
          <w:szCs w:val="20"/>
          <w:lang w:val="es-ES_tradnl" w:eastAsia="es-ES_tradnl"/>
        </w:rPr>
      </w:pPr>
      <w:r w:rsidRPr="00E220ED">
        <w:rPr>
          <w:rFonts w:ascii="Verdana" w:eastAsia="Calibri" w:hAnsi="Verdana" w:cs="Arial"/>
          <w:color w:val="000000"/>
          <w:sz w:val="20"/>
          <w:szCs w:val="20"/>
          <w:lang w:val="es-ES_tradnl" w:eastAsia="es-ES_tradnl"/>
        </w:rPr>
        <w:t xml:space="preserve">“Artículo 5°. De la selección objetiva. </w:t>
      </w:r>
    </w:p>
    <w:p w14:paraId="398A8247" w14:textId="77777777" w:rsidR="00FD56EB" w:rsidRPr="00E220ED" w:rsidRDefault="00FD56EB" w:rsidP="006E404A">
      <w:pPr>
        <w:pStyle w:val="Prrafodelista"/>
        <w:spacing w:after="0" w:line="240" w:lineRule="auto"/>
        <w:ind w:left="709" w:right="709"/>
        <w:contextualSpacing w:val="0"/>
        <w:jc w:val="both"/>
        <w:rPr>
          <w:rFonts w:ascii="Verdana" w:eastAsia="Calibri" w:hAnsi="Verdana" w:cs="Arial"/>
          <w:color w:val="000000"/>
          <w:sz w:val="20"/>
          <w:szCs w:val="20"/>
          <w:lang w:val="es-ES_tradnl" w:eastAsia="es-ES_tradnl"/>
        </w:rPr>
      </w:pPr>
      <w:r w:rsidRPr="00E220ED">
        <w:rPr>
          <w:rFonts w:ascii="Verdana" w:eastAsia="Calibri" w:hAnsi="Verdana" w:cs="Arial"/>
          <w:color w:val="000000"/>
          <w:sz w:val="20"/>
          <w:szCs w:val="20"/>
          <w:lang w:val="es-ES_tradnl" w:eastAsia="es-ES_tradnl"/>
        </w:rPr>
        <w:t xml:space="preserve">[...] </w:t>
      </w:r>
    </w:p>
    <w:p w14:paraId="5943DE12" w14:textId="7BED70D2" w:rsidR="00FD56EB" w:rsidRDefault="00FD56EB" w:rsidP="00F64A3B">
      <w:pPr>
        <w:pStyle w:val="Prrafodelista"/>
        <w:spacing w:after="0" w:line="240" w:lineRule="auto"/>
        <w:ind w:left="709" w:right="709"/>
        <w:contextualSpacing w:val="0"/>
        <w:jc w:val="both"/>
        <w:rPr>
          <w:rFonts w:ascii="Verdana" w:eastAsia="Calibri" w:hAnsi="Verdana" w:cs="Arial"/>
          <w:color w:val="000000" w:themeColor="text1"/>
          <w:sz w:val="20"/>
          <w:szCs w:val="20"/>
          <w:lang w:eastAsia="es-ES"/>
        </w:rPr>
      </w:pPr>
      <w:r w:rsidRPr="00E220ED">
        <w:rPr>
          <w:rFonts w:ascii="Verdana" w:eastAsia="Calibri" w:hAnsi="Verdana" w:cs="Arial"/>
          <w:color w:val="000000" w:themeColor="text1"/>
          <w:sz w:val="20"/>
          <w:szCs w:val="20"/>
          <w:lang w:eastAsia="es-ES"/>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w:t>
      </w:r>
      <w:r w:rsidRPr="00E220ED">
        <w:rPr>
          <w:rFonts w:ascii="Verdana" w:eastAsia="Calibri" w:hAnsi="Verdana" w:cs="Arial"/>
          <w:color w:val="000000" w:themeColor="text1"/>
          <w:sz w:val="20"/>
          <w:szCs w:val="20"/>
          <w:lang w:eastAsia="es-ES"/>
        </w:rPr>
        <w:lastRenderedPageBreak/>
        <w:t>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w:t>
      </w:r>
    </w:p>
    <w:p w14:paraId="5F0E2CC3" w14:textId="77777777" w:rsidR="00F64A3B" w:rsidRPr="00E220ED" w:rsidRDefault="00F64A3B" w:rsidP="006E404A">
      <w:pPr>
        <w:pStyle w:val="Prrafodelista"/>
        <w:spacing w:after="0" w:line="240" w:lineRule="auto"/>
        <w:ind w:left="709" w:right="709"/>
        <w:contextualSpacing w:val="0"/>
        <w:jc w:val="both"/>
        <w:rPr>
          <w:rFonts w:ascii="Verdana" w:eastAsia="Calibri" w:hAnsi="Verdana" w:cs="Arial"/>
          <w:color w:val="000000"/>
          <w:sz w:val="20"/>
          <w:szCs w:val="20"/>
          <w:lang w:eastAsia="es-ES"/>
        </w:rPr>
      </w:pPr>
    </w:p>
    <w:p w14:paraId="1BAB3F0B" w14:textId="77777777" w:rsidR="00FD56EB" w:rsidRPr="00E220ED" w:rsidRDefault="00FD56EB" w:rsidP="006E404A">
      <w:pPr>
        <w:spacing w:after="120" w:line="276" w:lineRule="auto"/>
        <w:ind w:firstLine="708"/>
        <w:jc w:val="both"/>
        <w:rPr>
          <w:rFonts w:ascii="Verdana" w:eastAsia="Arial" w:hAnsi="Verdana" w:cs="Arial"/>
          <w:color w:val="000000"/>
          <w:lang w:eastAsia="es-MX"/>
        </w:rPr>
      </w:pPr>
      <w:r w:rsidRPr="00E220ED">
        <w:rPr>
          <w:rFonts w:ascii="Verdana" w:eastAsia="Calibri" w:hAnsi="Verdana" w:cs="Arial"/>
          <w:color w:val="000000"/>
          <w:lang w:val="es-ES_tradnl" w:eastAsia="es-ES_tradnl"/>
        </w:rPr>
        <w:t>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tres aspectos que se analizarán a continuación</w:t>
      </w:r>
      <w:r w:rsidRPr="00E220ED">
        <w:rPr>
          <w:rFonts w:ascii="Verdana" w:eastAsia="Arial" w:hAnsi="Verdana"/>
          <w:vertAlign w:val="superscript"/>
          <w:lang w:eastAsia="es-MX"/>
        </w:rPr>
        <w:footnoteReference w:id="7"/>
      </w:r>
      <w:r w:rsidRPr="00E220ED">
        <w:rPr>
          <w:rFonts w:ascii="Verdana" w:eastAsia="Arial" w:hAnsi="Verdana" w:cs="Arial"/>
          <w:color w:val="000000"/>
          <w:lang w:eastAsia="es-MX"/>
        </w:rPr>
        <w:t xml:space="preserve">. </w:t>
      </w:r>
    </w:p>
    <w:p w14:paraId="139E4F0F" w14:textId="587BE667" w:rsidR="00FD56EB" w:rsidRPr="00E220ED" w:rsidRDefault="00FD56EB" w:rsidP="006E404A">
      <w:pPr>
        <w:spacing w:after="120" w:line="276" w:lineRule="auto"/>
        <w:ind w:firstLine="708"/>
        <w:jc w:val="both"/>
        <w:rPr>
          <w:rFonts w:ascii="Verdana" w:eastAsia="Arial" w:hAnsi="Verdana" w:cs="Arial"/>
          <w:color w:val="000000"/>
          <w:lang w:eastAsia="es-MX"/>
        </w:rPr>
      </w:pPr>
      <w:r w:rsidRPr="00E220ED">
        <w:rPr>
          <w:rFonts w:ascii="Verdana" w:eastAsia="Arial" w:hAnsi="Verdana" w:cs="Arial"/>
          <w:color w:val="000000"/>
          <w:lang w:eastAsia="es-MX"/>
        </w:rPr>
        <w:t xml:space="preserve">Por un lado, el </w:t>
      </w:r>
      <w:r w:rsidRPr="00E220ED">
        <w:rPr>
          <w:rFonts w:ascii="Verdana" w:eastAsia="Arial" w:hAnsi="Verdana" w:cs="Arial"/>
          <w:i/>
          <w:iCs/>
          <w:color w:val="000000"/>
          <w:lang w:eastAsia="es-MX"/>
        </w:rPr>
        <w:t>primero</w:t>
      </w:r>
      <w:r w:rsidRPr="00E220ED">
        <w:rPr>
          <w:rFonts w:ascii="Verdana" w:eastAsia="Arial" w:hAnsi="Verdana" w:cs="Arial"/>
          <w:color w:val="000000"/>
          <w:lang w:eastAsia="es-MX"/>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w:t>
      </w:r>
      <w:r w:rsidR="00ED05BD">
        <w:rPr>
          <w:rFonts w:ascii="Verdana" w:eastAsia="Arial" w:hAnsi="Verdana" w:cs="Arial"/>
          <w:color w:val="000000"/>
          <w:lang w:eastAsia="es-MX"/>
        </w:rPr>
        <w:t xml:space="preserve"> al que se refiere en su consulta;</w:t>
      </w:r>
      <w:r w:rsidRPr="00E220ED">
        <w:rPr>
          <w:rFonts w:ascii="Verdana" w:eastAsia="Arial" w:hAnsi="Verdana" w:cs="Arial"/>
          <w:color w:val="000000"/>
          <w:lang w:eastAsia="es-MX"/>
        </w:rPr>
        <w:t xml:space="preserve"> en este último los documentos o requisitos subsanables deben solicitarse, como límite final, hasta el momento previo a su realización</w:t>
      </w:r>
      <w:r w:rsidRPr="00E220ED">
        <w:rPr>
          <w:rFonts w:ascii="Verdana" w:hAnsi="Verdana"/>
          <w:vertAlign w:val="superscript"/>
          <w:lang w:eastAsia="es-MX"/>
        </w:rPr>
        <w:footnoteReference w:id="8"/>
      </w:r>
      <w:r w:rsidRPr="00E220ED">
        <w:rPr>
          <w:rFonts w:ascii="Verdana" w:eastAsia="Arial" w:hAnsi="Verdana" w:cs="Arial"/>
          <w:color w:val="000000"/>
          <w:lang w:eastAsia="es-MX"/>
        </w:rPr>
        <w:t>.</w:t>
      </w:r>
    </w:p>
    <w:p w14:paraId="3B4B9F8F" w14:textId="77777777" w:rsidR="00FD56EB" w:rsidRPr="00E220ED" w:rsidRDefault="00FD56EB" w:rsidP="006E404A">
      <w:pPr>
        <w:spacing w:after="120" w:line="276" w:lineRule="auto"/>
        <w:ind w:firstLine="708"/>
        <w:jc w:val="both"/>
        <w:rPr>
          <w:rFonts w:ascii="Verdana" w:eastAsia="Calibri" w:hAnsi="Verdana" w:cs="Arial"/>
          <w:bCs/>
          <w:lang w:val="es-MX" w:eastAsia="es-ES_tradnl"/>
        </w:rPr>
      </w:pPr>
      <w:r w:rsidRPr="00E220ED">
        <w:rPr>
          <w:rFonts w:ascii="Verdana" w:eastAsia="Times New Roman" w:hAnsi="Verdana" w:cs="Arial"/>
          <w:color w:val="000000"/>
          <w:shd w:val="clear" w:color="auto" w:fill="FFFFFF"/>
          <w:lang w:eastAsia="es-MX"/>
        </w:rPr>
        <w:t xml:space="preserve">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w:t>
      </w:r>
      <w:r w:rsidRPr="00E220ED">
        <w:rPr>
          <w:rFonts w:ascii="Verdana" w:eastAsia="Times New Roman" w:hAnsi="Verdana" w:cs="Arial"/>
          <w:color w:val="000000"/>
          <w:shd w:val="clear" w:color="auto" w:fill="FFFFFF"/>
          <w:lang w:eastAsia="es-MX"/>
        </w:rPr>
        <w:lastRenderedPageBreak/>
        <w:t>evaluación. </w:t>
      </w:r>
      <w:r w:rsidRPr="00E220ED">
        <w:rPr>
          <w:rFonts w:ascii="Verdana" w:eastAsia="Calibri" w:hAnsi="Verdana" w:cs="Arial"/>
          <w:bCs/>
          <w:lang w:val="es-MX" w:eastAsia="es-ES_tradnl"/>
        </w:rPr>
        <w:t>En efecto, la redacción de la norma permite que la Administración solicite a los oferentes subsanar y que estos lo hagan hasta antes del término del traslado del informe de evaluación: “deberán ser solicitados por las entidades estatales y deberán ser entregados por los proponentes hasta el término de traslado del informe de evaluación que corresponda a cada modalidad de selección”.</w:t>
      </w:r>
    </w:p>
    <w:p w14:paraId="5F34F1C3" w14:textId="77777777" w:rsidR="00FD56EB" w:rsidRPr="00E220ED" w:rsidRDefault="00FD56EB" w:rsidP="006E404A">
      <w:pPr>
        <w:spacing w:after="120" w:line="276" w:lineRule="auto"/>
        <w:ind w:firstLine="708"/>
        <w:jc w:val="both"/>
        <w:rPr>
          <w:rFonts w:ascii="Verdana" w:eastAsia="Times New Roman" w:hAnsi="Verdana" w:cs="Arial"/>
          <w:lang w:val="es-ES" w:eastAsia="es-ES"/>
        </w:rPr>
      </w:pPr>
      <w:r w:rsidRPr="00E220ED">
        <w:rPr>
          <w:rFonts w:ascii="Verdana" w:eastAsia="Times New Roman" w:hAnsi="Verdana" w:cs="Arial"/>
          <w:lang w:val="es-ES" w:eastAsia="es-ES"/>
        </w:rPr>
        <w:t xml:space="preserve">No obstante, de la lectura de este aparte podrían, en la práctica, darse dos interpretaciones que dan lugar a dos formas de proceder en los procesos de selección, en lo que a la subsanabilidad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 segunda, que el término del traslado del informe de evaluación es el </w:t>
      </w:r>
      <w:r w:rsidRPr="00E220ED">
        <w:rPr>
          <w:rFonts w:ascii="Verdana" w:eastAsia="Times New Roman" w:hAnsi="Verdana" w:cs="Arial"/>
          <w:i/>
          <w:lang w:val="es-ES" w:eastAsia="es-ES"/>
        </w:rPr>
        <w:t>límite</w:t>
      </w:r>
      <w:r w:rsidRPr="00E220ED">
        <w:rPr>
          <w:rFonts w:ascii="Verdana" w:eastAsia="Times New Roman" w:hAnsi="Verdana" w:cs="Arial"/>
          <w:lang w:val="es-ES" w:eastAsia="es-ES"/>
        </w:rPr>
        <w:t xml:space="preserve"> para la subsanación de ofertas, pero no el único momento para hacerlo. </w:t>
      </w:r>
    </w:p>
    <w:p w14:paraId="0D2BA441" w14:textId="77777777" w:rsidR="00FD56EB" w:rsidRPr="00E220ED" w:rsidRDefault="00FD56EB" w:rsidP="006E404A">
      <w:pPr>
        <w:spacing w:after="120" w:line="276" w:lineRule="auto"/>
        <w:ind w:firstLine="708"/>
        <w:jc w:val="both"/>
        <w:rPr>
          <w:rFonts w:ascii="Verdana" w:eastAsia="Times New Roman" w:hAnsi="Verdana" w:cs="Arial"/>
          <w:lang w:val="es-ES_tradnl" w:eastAsia="es-ES_tradnl"/>
        </w:rPr>
      </w:pPr>
      <w:r w:rsidRPr="00E220ED">
        <w:rPr>
          <w:rFonts w:ascii="Verdana" w:eastAsia="Times New Roman" w:hAnsi="Verdana" w:cs="Arial"/>
          <w:lang w:val="es-ES_tradnl" w:eastAsia="es-ES_tradnl"/>
        </w:rPr>
        <w:t xml:space="preserve">De acuerdo con la primera interpretación, el informe de evaluación se convierte en la oportunidad que adopta la Administración para decirles a los oferentes qué documentos o requisitos omitieron y deben subsanar y, consecuentemente, el término del traslado es la oportunidad del proponente para cumplir con lo solicitado.  </w:t>
      </w:r>
    </w:p>
    <w:p w14:paraId="5E48FFFE" w14:textId="77777777" w:rsidR="00FD56EB" w:rsidRPr="00E220ED" w:rsidRDefault="00FD56EB" w:rsidP="006E404A">
      <w:pPr>
        <w:spacing w:after="120" w:line="276" w:lineRule="auto"/>
        <w:ind w:firstLine="708"/>
        <w:jc w:val="both"/>
        <w:rPr>
          <w:rFonts w:ascii="Verdana" w:eastAsia="Times New Roman" w:hAnsi="Verdana" w:cs="Arial"/>
          <w:lang w:val="es-ES_tradnl" w:eastAsia="es-ES_tradnl"/>
        </w:rPr>
      </w:pPr>
      <w:r w:rsidRPr="00E220ED">
        <w:rPr>
          <w:rFonts w:ascii="Verdana" w:eastAsia="Times New Roman" w:hAnsi="Verdana" w:cs="Arial"/>
          <w:lang w:val="es-ES_tradnl" w:eastAsia="es-ES_tradnl"/>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31919DD3" w14:textId="77777777" w:rsidR="00FD56EB" w:rsidRPr="00E220ED" w:rsidRDefault="00FD56EB" w:rsidP="006E404A">
      <w:pPr>
        <w:spacing w:after="120" w:line="276" w:lineRule="auto"/>
        <w:ind w:firstLine="709"/>
        <w:jc w:val="both"/>
        <w:rPr>
          <w:rFonts w:ascii="Verdana" w:eastAsia="Times New Roman" w:hAnsi="Verdana" w:cs="Arial"/>
          <w:lang w:val="es-ES_tradnl" w:eastAsia="es-ES_tradnl"/>
        </w:rPr>
      </w:pPr>
      <w:r w:rsidRPr="00E220ED">
        <w:rPr>
          <w:rFonts w:ascii="Verdana" w:eastAsia="Times New Roman" w:hAnsi="Verdana" w:cs="Arial"/>
          <w:lang w:val="es-ES_tradnl" w:eastAsia="es-ES_tradnl"/>
        </w:rPr>
        <w:t xml:space="preserve">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w:t>
      </w:r>
      <w:r w:rsidRPr="00E220ED">
        <w:rPr>
          <w:rFonts w:ascii="Verdana" w:eastAsia="Times New Roman" w:hAnsi="Verdana" w:cs="Arial"/>
          <w:lang w:val="es-ES_tradnl" w:eastAsia="es-ES_tradnl"/>
        </w:rPr>
        <w:lastRenderedPageBreak/>
        <w:t xml:space="preserve">subsane. Esta interpretación es más consistente con los principios de economía, transparencia y selección objetiva. </w:t>
      </w:r>
    </w:p>
    <w:p w14:paraId="3A60665E" w14:textId="77777777" w:rsidR="00FD56EB" w:rsidRPr="00E220ED" w:rsidRDefault="00FD56EB" w:rsidP="006E404A">
      <w:pPr>
        <w:spacing w:after="120" w:line="276" w:lineRule="auto"/>
        <w:ind w:firstLine="709"/>
        <w:jc w:val="both"/>
        <w:rPr>
          <w:rFonts w:ascii="Verdana" w:eastAsia="Times New Roman" w:hAnsi="Verdana" w:cs="Arial"/>
          <w:lang w:eastAsia="es-ES"/>
        </w:rPr>
      </w:pPr>
      <w:r w:rsidRPr="00E220ED">
        <w:rPr>
          <w:rFonts w:ascii="Verdana" w:eastAsia="Times New Roman" w:hAnsi="Verdana" w:cs="Arial"/>
          <w:lang w:eastAsia="es-ES"/>
        </w:rPr>
        <w:t>Lo anterior, se aclara, sin desconocer el límite que establece la norma para que los oferentes, sin perjuicio de que lo hagan antes, cuenten hasta el término de traslado del informe de evaluación con la posibilidad de presentar la información solicitada.</w:t>
      </w:r>
    </w:p>
    <w:p w14:paraId="1CEB397D" w14:textId="28803E37" w:rsidR="0051291A" w:rsidRPr="00E220ED" w:rsidRDefault="00860BAA" w:rsidP="006E404A">
      <w:pPr>
        <w:spacing w:after="120" w:line="276" w:lineRule="auto"/>
        <w:ind w:firstLine="708"/>
        <w:jc w:val="both"/>
        <w:rPr>
          <w:rFonts w:ascii="Verdana" w:hAnsi="Verdana" w:cs="Arial"/>
          <w:lang w:eastAsia="es-ES"/>
        </w:rPr>
      </w:pPr>
      <w:r>
        <w:rPr>
          <w:rFonts w:ascii="Verdana" w:hAnsi="Verdana" w:cs="Arial"/>
          <w:lang w:eastAsia="es-ES"/>
        </w:rPr>
        <w:t>D</w:t>
      </w:r>
      <w:r w:rsidR="00F92DB3" w:rsidRPr="00E220ED">
        <w:rPr>
          <w:rFonts w:ascii="Verdana" w:hAnsi="Verdana" w:cs="Arial"/>
          <w:lang w:eastAsia="es-ES"/>
        </w:rPr>
        <w:t>ado que en la consulta sobre el alcance de la respuesta contenida en el Concepto C</w:t>
      </w:r>
      <w:r w:rsidR="00F92DB3" w:rsidRPr="00E220ED">
        <w:rPr>
          <w:rFonts w:ascii="Verdana" w:hAnsi="Verdana" w:cs="Arial"/>
          <w:lang w:eastAsia="es-ES"/>
        </w:rPr>
        <w:noBreakHyphen/>
        <w:t>549 de 2026 se hace referencia expresa a la modalidad de selección mediante subasta inversa, resulta pertinente efectuar algunas precisiones acerca de cómo opera la subsanabilidad en este tipo de procesos. En ese orden, se inicia por señalar que</w:t>
      </w:r>
      <w:r w:rsidR="00F92DB3" w:rsidRPr="00E220ED">
        <w:rPr>
          <w:rFonts w:ascii="Verdana" w:eastAsia="Times New Roman" w:hAnsi="Verdana" w:cs="Arial"/>
          <w:lang w:val="es-ES" w:eastAsia="es-ES"/>
        </w:rPr>
        <w:t xml:space="preserve"> la</w:t>
      </w:r>
      <w:r w:rsidR="0051291A" w:rsidRPr="00E220ED">
        <w:rPr>
          <w:rFonts w:ascii="Verdana" w:eastAsia="Times New Roman" w:hAnsi="Verdana" w:cs="Arial"/>
          <w:lang w:val="es-ES" w:eastAsia="es-ES"/>
        </w:rPr>
        <w:t xml:space="preserve"> subasta inversa, este es un mecanismo que se concibió con la finalidad de introducir una metodología alternativa para el proceso de negociación y perfeccionamiento del contrato estatal. Su regulación se encuentra en el artículo 2 de la Ley 1150 de 2007, en donde se indica que la figura tiene como finalidad confrontar, de manera dinámica, las distintas ofertas que pueden presentarse para los procesos de licitación pública, para los procesos de selección abreviada que tienen por finalidad la adquisición de bienes y servicios de características técnicas uniformes y de común utilización, y en los procesos de enajenación de bienes del Estado.  </w:t>
      </w:r>
    </w:p>
    <w:p w14:paraId="745BEFCB" w14:textId="77777777" w:rsidR="00CD3853" w:rsidRPr="00E220ED" w:rsidRDefault="00CD3853" w:rsidP="001B086E">
      <w:pPr>
        <w:spacing w:after="120" w:line="276" w:lineRule="auto"/>
        <w:ind w:firstLine="709"/>
        <w:jc w:val="both"/>
        <w:rPr>
          <w:rFonts w:ascii="Verdana" w:eastAsia="Times New Roman" w:hAnsi="Verdana" w:cs="Arial"/>
          <w:lang w:eastAsia="es-ES"/>
        </w:rPr>
      </w:pPr>
      <w:r w:rsidRPr="00E220ED">
        <w:rPr>
          <w:rFonts w:ascii="Verdana" w:eastAsia="Times New Roman" w:hAnsi="Verdana" w:cs="Arial"/>
          <w:lang w:eastAsia="es-ES"/>
        </w:rPr>
        <w:t xml:space="preserve">Así las cosas, la regla general sobre la oportunidad para subsanar tiene como excepción el término especial previsto en los procesos de selección que emplean el mecanismo de subasta inversa. En este sentido, el artículo 5 de la Ley 1882 de 2018 adicionó el parágrafo 4 al artículo 5 de la Ley 1150 de 2007, en el cual se establece: </w:t>
      </w:r>
      <w:r w:rsidRPr="00E220ED">
        <w:rPr>
          <w:rFonts w:ascii="Verdana" w:eastAsia="Times New Roman" w:hAnsi="Verdana" w:cs="Arial"/>
          <w:i/>
          <w:iCs/>
          <w:lang w:eastAsia="es-ES"/>
        </w:rPr>
        <w:t>“Parágrafo 4°. En aquellos procesos de selección en los que se utilice el mecanismo de subasta, los documentos referentes a la futura contratación o al proponente, no necesarios para la comparación de las propuestas, deberán ser solicitados hasta el momento previo a su realización”</w:t>
      </w:r>
      <w:r w:rsidRPr="00E220ED">
        <w:rPr>
          <w:rFonts w:ascii="Verdana" w:eastAsia="Times New Roman" w:hAnsi="Verdana" w:cs="Arial"/>
          <w:lang w:eastAsia="es-ES"/>
        </w:rPr>
        <w:t xml:space="preserve"> (cursiva fuera de texto).</w:t>
      </w:r>
    </w:p>
    <w:p w14:paraId="058FE32F" w14:textId="77777777" w:rsidR="0051291A" w:rsidRPr="00E220ED" w:rsidRDefault="0051291A" w:rsidP="009C4277">
      <w:pPr>
        <w:spacing w:after="120" w:line="276" w:lineRule="auto"/>
        <w:ind w:firstLine="709"/>
        <w:jc w:val="both"/>
        <w:rPr>
          <w:rFonts w:ascii="Verdana" w:eastAsia="Times New Roman" w:hAnsi="Verdana" w:cs="Arial"/>
          <w:lang w:val="es-ES" w:eastAsia="es-ES"/>
        </w:rPr>
      </w:pPr>
      <w:r w:rsidRPr="00E220ED">
        <w:rPr>
          <w:rFonts w:ascii="Verdana" w:eastAsia="Times New Roman" w:hAnsi="Verdana" w:cs="Arial"/>
          <w:lang w:val="es-ES" w:eastAsia="es-ES"/>
        </w:rPr>
        <w:t xml:space="preserve">De esta manera, a juicio de esta Subdirección, lo que supone dicha regulación no es que los proponentes tengan la facultad de presentar los documentos referentes a la futura contratación no necesarios para la comparación de las propuestas en cualquier momento anterior al inicio de la subasta, o que estén habilitados para retener tal documentación hasta dicho momento, ya lo que hace el parágrafo 4° Ibídem es fijar el momento hasta el </w:t>
      </w:r>
      <w:r w:rsidRPr="00E220ED">
        <w:rPr>
          <w:rFonts w:ascii="Verdana" w:eastAsia="Times New Roman" w:hAnsi="Verdana" w:cs="Arial"/>
          <w:lang w:val="es-ES" w:eastAsia="es-ES"/>
        </w:rPr>
        <w:lastRenderedPageBreak/>
        <w:t xml:space="preserve">cual las respectivas entidades pueden requerir a los proponentes la subsanación de los documentos faltantes. </w:t>
      </w:r>
    </w:p>
    <w:p w14:paraId="7C0B2AAF" w14:textId="77777777" w:rsidR="0051291A" w:rsidRPr="00E220ED" w:rsidRDefault="0051291A">
      <w:pPr>
        <w:spacing w:after="120" w:line="276" w:lineRule="auto"/>
        <w:ind w:firstLine="709"/>
        <w:jc w:val="both"/>
        <w:rPr>
          <w:rFonts w:ascii="Verdana" w:eastAsia="Times New Roman" w:hAnsi="Verdana" w:cs="Arial"/>
          <w:lang w:val="es-ES" w:eastAsia="es-ES"/>
        </w:rPr>
      </w:pPr>
      <w:r w:rsidRPr="00E220ED">
        <w:rPr>
          <w:rFonts w:ascii="Verdana" w:eastAsia="Times New Roman" w:hAnsi="Verdana" w:cs="Arial"/>
          <w:lang w:val="es-ES" w:eastAsia="es-ES"/>
        </w:rPr>
        <w:t xml:space="preserve">En ese orden de ideas, extendiendo las anteriores consideraciones a la regla de subsanabilidad consagrada en el parágrafo 4 del artículo 5 de la Ley 1150 de 2007 –adicionado por la Ley 1882 de 2018–, dada su identidad con la regulación del parágrafo 1 del artículo 5 de la ley 1150 de 2007 original –antes de ser modificada por la Ley 1882 de 2018– el inicio de la subasta es el momento hasta el cual la entidad cuenta con la facultad para requerir la subsanación de los documentos referentes a la futura contratación o a los proponentes, no necesarios para la comparación de las propuestas. Para el ejercicio de tal facultad, las entidades de manera ex ante podrán establecer dentro del pliego de condiciones el periodo dentro del cual los participantes del proceso de selección podrán subsanar los documentos que requiera la entidad, o en su defecto, requerir por separado a cada proponente para que subsanen los respectivos documentos, fijándoles un término razonable, el cual en todo caso no podrá exceder el momento previo al inicio de la audiencia de subasta. Así mismo, dentro del pliego de condiciones podrán definir las veces en las cuales le será posible a los proponentes subsanar los documentos. </w:t>
      </w:r>
    </w:p>
    <w:p w14:paraId="537166A5" w14:textId="6BB5421D" w:rsidR="0051291A" w:rsidRPr="00E220ED" w:rsidRDefault="0051291A">
      <w:pPr>
        <w:spacing w:after="120" w:line="276" w:lineRule="auto"/>
        <w:ind w:firstLine="709"/>
        <w:jc w:val="both"/>
        <w:rPr>
          <w:rFonts w:ascii="Verdana" w:eastAsia="Times New Roman" w:hAnsi="Verdana" w:cs="Arial"/>
          <w:lang w:val="es-ES" w:eastAsia="es-ES"/>
        </w:rPr>
      </w:pPr>
      <w:r w:rsidRPr="00E220ED">
        <w:rPr>
          <w:rFonts w:ascii="Verdana" w:eastAsia="Times New Roman" w:hAnsi="Verdana" w:cs="Arial"/>
          <w:lang w:val="es-ES" w:eastAsia="es-ES"/>
        </w:rPr>
        <w:t>De esta manera, las entidades</w:t>
      </w:r>
      <w:r w:rsidR="00871C93" w:rsidRPr="00E220ED">
        <w:rPr>
          <w:rFonts w:ascii="Verdana" w:eastAsia="Times New Roman" w:hAnsi="Verdana" w:cs="Arial"/>
          <w:lang w:val="es-ES" w:eastAsia="es-ES"/>
        </w:rPr>
        <w:t xml:space="preserve"> podrán</w:t>
      </w:r>
      <w:r w:rsidRPr="00E220ED">
        <w:rPr>
          <w:rFonts w:ascii="Verdana" w:eastAsia="Times New Roman" w:hAnsi="Verdana" w:cs="Arial"/>
          <w:lang w:val="es-ES" w:eastAsia="es-ES"/>
        </w:rPr>
        <w:t xml:space="preserve"> solicitar a los oferentes que subsanen los documentos referentes a la futura contratación no necesarios para la comparación de las propuestas, hasta el momento previo a la realización a la subasta a la que hace referencia el artículo 2.2.1.2.1.2.2 del Decreto 1082 de 2015, momento que, además, deberá estar señalado en el pliego de condiciones, independientemente de que la entidad opte para desarrollar la audiencia de manera presencial o través del algún mecanismo electrónico. En defecto de lo anterior, las entidades también podrán requerir por separado o conjuntamente a cada proponente para que subsanen los respectivos documentos, fijándoles un término razonable, el cual en todo caso no podrá exceder el momento previo al inicio de la audiencia de subasta, por lo que será anterior a ella.    </w:t>
      </w:r>
    </w:p>
    <w:p w14:paraId="407BB783" w14:textId="388038C5" w:rsidR="0051291A" w:rsidRDefault="0051291A" w:rsidP="006A0782">
      <w:pPr>
        <w:spacing w:after="0" w:line="276" w:lineRule="auto"/>
        <w:ind w:firstLine="709"/>
        <w:jc w:val="both"/>
        <w:rPr>
          <w:rFonts w:ascii="Verdana" w:eastAsia="Times New Roman" w:hAnsi="Verdana" w:cs="Arial"/>
          <w:lang w:val="es-ES" w:eastAsia="es-ES"/>
        </w:rPr>
      </w:pPr>
      <w:r w:rsidRPr="00E220ED">
        <w:rPr>
          <w:rFonts w:ascii="Verdana" w:eastAsia="Times New Roman" w:hAnsi="Verdana" w:cs="Arial"/>
          <w:lang w:val="es-ES" w:eastAsia="es-ES"/>
        </w:rPr>
        <w:t xml:space="preserve">Conforme a lo anterior, en criterio de esta Subdirección, a pesar de que no existe un término legal preciso para que los proponentes subsanen los documentos mediante los cuales deben acreditar el cumplimiento de los requisitos exigidos para participar en procedimientos en que se haga uso del mecanismo de subasta, el parágrafo 4° del artículo 5 de la Ley 1150 de 2007 establece una regla que permite a las entidades solicitar las correspondientes </w:t>
      </w:r>
      <w:r w:rsidRPr="00E220ED">
        <w:rPr>
          <w:rFonts w:ascii="Verdana" w:eastAsia="Times New Roman" w:hAnsi="Verdana" w:cs="Arial"/>
          <w:lang w:val="es-ES" w:eastAsia="es-ES"/>
        </w:rPr>
        <w:lastRenderedPageBreak/>
        <w:t>subsanaciones, dotándolas de cierto margen de discrecionalidad para determinar el término o momento específico dentro del que deberá tener lugar la subsanación, oportunidad que deberá establecer la entidad sin que exceda al momento previo al inicio de la audiencia de subasta.  En tal sentido, de acuerdo con la regulación establecida en cada pliego de condiciones y las circunstancias de cada caso en particular, deberán aplicarse los criterios establecidos en la ley, explicados en este concepto, para definir la procedencia de subsanar algún requisito de las propuestas y las veces en que puede ejercerse esta posibilidad.</w:t>
      </w:r>
    </w:p>
    <w:p w14:paraId="2A0EB024" w14:textId="77777777" w:rsidR="006A0782" w:rsidRPr="00E220ED" w:rsidRDefault="006A0782" w:rsidP="006E404A">
      <w:pPr>
        <w:spacing w:after="0" w:line="276" w:lineRule="auto"/>
        <w:ind w:firstLine="709"/>
        <w:jc w:val="both"/>
        <w:rPr>
          <w:rFonts w:ascii="Verdana" w:eastAsia="Times New Roman" w:hAnsi="Verdana" w:cs="Arial"/>
          <w:lang w:val="es-ES" w:eastAsia="es-ES"/>
        </w:rPr>
      </w:pPr>
    </w:p>
    <w:p w14:paraId="31EECE81" w14:textId="4C8E974D" w:rsidR="004545CA" w:rsidRPr="00E220ED" w:rsidRDefault="007256DC" w:rsidP="006A0782">
      <w:pPr>
        <w:spacing w:after="120" w:line="276" w:lineRule="auto"/>
        <w:jc w:val="both"/>
        <w:rPr>
          <w:rFonts w:ascii="Verdana" w:hAnsi="Verdana" w:cs="Arial"/>
          <w:lang w:eastAsia="es-ES"/>
        </w:rPr>
      </w:pPr>
      <w:r w:rsidRPr="00E220ED">
        <w:rPr>
          <w:rFonts w:ascii="Verdana" w:eastAsia="Times New Roman" w:hAnsi="Verdana" w:cs="Arial"/>
          <w:lang w:val="es-ES" w:eastAsia="es-ES"/>
        </w:rPr>
        <w:t xml:space="preserve">iii) </w:t>
      </w:r>
      <w:r w:rsidR="00C87450" w:rsidRPr="00E220ED">
        <w:rPr>
          <w:rFonts w:ascii="Verdana" w:hAnsi="Verdana" w:cs="Arial"/>
          <w:lang w:eastAsia="es-ES"/>
        </w:rPr>
        <w:t xml:space="preserve">De acuerdo con lo expuesto y frente a los interrogantes planteados, se precisa lo siguiente: respecto del primero, la regla de subsanabilidad permite corregir, aclarar o complementar la prueba de lo ya ofrecido, pero no faculta al proponente para determinar por primera vez un elemento de la oferta. La ficha o el anexo técnico no puntuable son subsanables como documentos; sin embargo, la identificación inicial de marca, modelo o referencia no solo complementaría el soporte documental, sino que, según el caso, podría definir el producto ofertado. En todo caso, corresponde a la </w:t>
      </w:r>
      <w:r w:rsidR="006A0782">
        <w:rPr>
          <w:rFonts w:ascii="Verdana" w:hAnsi="Verdana" w:cs="Arial"/>
          <w:lang w:eastAsia="es-ES"/>
        </w:rPr>
        <w:t>e</w:t>
      </w:r>
      <w:r w:rsidR="00C87450" w:rsidRPr="00E220ED">
        <w:rPr>
          <w:rFonts w:ascii="Verdana" w:hAnsi="Verdana" w:cs="Arial"/>
          <w:lang w:eastAsia="es-ES"/>
        </w:rPr>
        <w:t xml:space="preserve">ntidad </w:t>
      </w:r>
      <w:r w:rsidR="006A0782">
        <w:rPr>
          <w:rFonts w:ascii="Verdana" w:hAnsi="Verdana" w:cs="Arial"/>
          <w:lang w:eastAsia="es-ES"/>
        </w:rPr>
        <w:t>e</w:t>
      </w:r>
      <w:r w:rsidR="00C87450" w:rsidRPr="00E220ED">
        <w:rPr>
          <w:rFonts w:ascii="Verdana" w:hAnsi="Verdana" w:cs="Arial"/>
          <w:lang w:eastAsia="es-ES"/>
        </w:rPr>
        <w:t>statal verificar en cada proceso si dicho elemento existía materialmente al momento del cierre.</w:t>
      </w:r>
    </w:p>
    <w:p w14:paraId="194A1B62" w14:textId="77777777" w:rsidR="004545CA" w:rsidRPr="00E220ED" w:rsidRDefault="004545CA" w:rsidP="009C4277">
      <w:pPr>
        <w:spacing w:after="120" w:line="276" w:lineRule="auto"/>
        <w:ind w:firstLine="708"/>
        <w:jc w:val="both"/>
        <w:rPr>
          <w:rFonts w:ascii="Verdana" w:hAnsi="Verdana"/>
        </w:rPr>
      </w:pPr>
      <w:r w:rsidRPr="00E220ED">
        <w:rPr>
          <w:rFonts w:ascii="Verdana" w:hAnsi="Verdana"/>
        </w:rPr>
        <w:t xml:space="preserve">En cuanto al </w:t>
      </w:r>
      <w:r w:rsidRPr="00E220ED">
        <w:rPr>
          <w:rFonts w:ascii="Verdana" w:hAnsi="Verdana"/>
          <w:i/>
          <w:iCs/>
        </w:rPr>
        <w:t>segundo problema planteado</w:t>
      </w:r>
      <w:r w:rsidRPr="00E220ED">
        <w:rPr>
          <w:rFonts w:ascii="Verdana" w:hAnsi="Verdana"/>
        </w:rPr>
        <w:t>, resulta pertinente indicar que la identificación posterior constituye subsanación únicamente cuando la propuesta permitía individualizar el producto desde el cierre (por ejemplo, mediante catálogo, cotización o ficha del fabricante ya aportados) y el documento posterior se limita a probar esa situación. Cuando la individualización se realiza por primera vez durante la subsanación, se trata de una determinación o complementación del ofrecimiento, no de la prueba de una circunstancia preexistente, lo cual podría exceder el ámbito del parágrafo 1 del artículo 5 de la Ley 1150 de 2007.</w:t>
      </w:r>
    </w:p>
    <w:p w14:paraId="29C63C10" w14:textId="77777777" w:rsidR="004545CA" w:rsidRPr="00E220ED" w:rsidRDefault="004545CA">
      <w:pPr>
        <w:spacing w:after="120" w:line="276" w:lineRule="auto"/>
        <w:ind w:firstLine="708"/>
        <w:jc w:val="both"/>
        <w:rPr>
          <w:rFonts w:ascii="Verdana" w:hAnsi="Verdana"/>
        </w:rPr>
      </w:pPr>
      <w:r w:rsidRPr="00E220ED">
        <w:rPr>
          <w:rFonts w:ascii="Verdana" w:hAnsi="Verdana"/>
        </w:rPr>
        <w:t>En cuanto a la declaración genérica de cumplir las especificaciones, debe precisarse que la manifestación de conocer, aceptar y acatar las condiciones técnicas constituye un compromiso de conformidad compatible con múltiples productos, incluidos los equivalentes previstos en los documentos del proceso. Sin embargo, dicha manifestación no acredita cuál fue el producto efectivamente ofrecido al cierre. Admitir que cualquier referencia posterior se considere preexistente implicaría trasladar al proponente, con posterioridad al cierre, la elección del producto, lo que podría configurar una variación de las condiciones de la oferta.</w:t>
      </w:r>
    </w:p>
    <w:p w14:paraId="4D76BC55" w14:textId="77777777" w:rsidR="004545CA" w:rsidRPr="00E220ED" w:rsidRDefault="004545CA">
      <w:pPr>
        <w:spacing w:after="120" w:line="276" w:lineRule="auto"/>
        <w:ind w:firstLine="708"/>
        <w:jc w:val="both"/>
        <w:rPr>
          <w:rFonts w:ascii="Verdana" w:hAnsi="Verdana"/>
        </w:rPr>
      </w:pPr>
      <w:r w:rsidRPr="00E220ED">
        <w:rPr>
          <w:rFonts w:ascii="Verdana" w:eastAsia="Century Gothic" w:hAnsi="Verdana" w:cs="Century Gothic"/>
        </w:rPr>
        <w:lastRenderedPageBreak/>
        <w:t xml:space="preserve">En relación con el </w:t>
      </w:r>
      <w:r w:rsidRPr="00E220ED">
        <w:rPr>
          <w:rFonts w:ascii="Verdana" w:eastAsia="Century Gothic" w:hAnsi="Verdana" w:cs="Century Gothic"/>
          <w:i/>
          <w:iCs/>
        </w:rPr>
        <w:t>cuarto interrogante</w:t>
      </w:r>
      <w:r w:rsidRPr="00E220ED">
        <w:rPr>
          <w:rFonts w:ascii="Verdana" w:eastAsia="Century Gothic" w:hAnsi="Verdana" w:cs="Century Gothic"/>
        </w:rPr>
        <w:t>, es preciso advertir que la exigencia de un vínculo verificable entre la propuesta y el producto identificado podría considerar, entre otros, los siguientes elementos: (i) documentos aportados al cierre que permitan individualizar el producto; (ii) ausencia de contradicción entre el documento posterior y la oferta inicial; (iii) carácter solo probatorio del documento posterior; y (iv) verificación de la Entidad sobre la existencia material de la condición antes del cierre. Si la propuesta inicial carece de documentos que permitan individualizar el producto, no existe soporte objetivo de preexistencia y la identificación posterior podría constituir una circunstancia sobreviniente al cierre.</w:t>
      </w:r>
    </w:p>
    <w:p w14:paraId="594B1A78" w14:textId="3E3E43B0" w:rsidR="004545CA" w:rsidRPr="00E220ED" w:rsidRDefault="004545CA">
      <w:pPr>
        <w:spacing w:after="120" w:line="276" w:lineRule="auto"/>
        <w:ind w:firstLine="708"/>
        <w:jc w:val="both"/>
        <w:rPr>
          <w:rFonts w:ascii="Verdana" w:hAnsi="Verdana"/>
        </w:rPr>
      </w:pPr>
      <w:r w:rsidRPr="00E220ED">
        <w:rPr>
          <w:rFonts w:ascii="Verdana" w:hAnsi="Verdana"/>
        </w:rPr>
        <w:t xml:space="preserve">Por otro lado, </w:t>
      </w:r>
      <w:r w:rsidRPr="00E220ED">
        <w:rPr>
          <w:rFonts w:ascii="Verdana" w:eastAsia="Century Gothic" w:hAnsi="Verdana" w:cs="Century Gothic"/>
        </w:rPr>
        <w:t>la compatibilidad de la subsanación con los principios de igualdad, selección objetiva y transparencia no depende de la identificación posterior como tal, sino de su naturaleza: si constituye la prueba de una circunstancia existente al cierre o la configuración de una circunstancia sobreviniente.</w:t>
      </w:r>
    </w:p>
    <w:p w14:paraId="314344A9" w14:textId="1F5A9F2E" w:rsidR="004545CA" w:rsidRPr="00E220ED" w:rsidRDefault="004545CA">
      <w:pPr>
        <w:spacing w:after="120" w:line="276" w:lineRule="auto"/>
        <w:jc w:val="both"/>
        <w:rPr>
          <w:rFonts w:ascii="Verdana" w:eastAsia="Arial" w:hAnsi="Verdana" w:cs="Arial"/>
        </w:rPr>
      </w:pPr>
      <w:r w:rsidRPr="00E220ED">
        <w:rPr>
          <w:rFonts w:ascii="Verdana" w:eastAsia="Arial" w:hAnsi="Verdana" w:cs="Arial"/>
        </w:rPr>
        <w:t xml:space="preserve">       </w:t>
      </w:r>
      <w:r w:rsidR="009C4277">
        <w:rPr>
          <w:rFonts w:ascii="Verdana" w:eastAsia="Arial" w:hAnsi="Verdana" w:cs="Arial"/>
        </w:rPr>
        <w:tab/>
      </w:r>
      <w:r w:rsidRPr="00E220ED">
        <w:rPr>
          <w:rFonts w:ascii="Verdana" w:eastAsia="Arial" w:hAnsi="Verdana" w:cs="Arial"/>
        </w:rPr>
        <w:t>De conformidad con el parágrafo 1 del artículo 5 de la Ley 1150 de 2007, modificado por el artículo 5 de la Ley 1882 de 2018, lo subsanable es la prueba de circunstancias ocurridas antes del vencimiento del término para presentar ofertas. En consecuencia, la subsanación resulta compatible con tales principios cuando se limita a acreditar una situación preexistente. No lo es cuando permite al oferente determinar, complementar o modificar su ofrecimiento con posterioridad al cierre. La igualdad no se afecta por el solo hecho de que un oferente subsane y otro no, sino cuando alguno de ellos puede mejorar o definir su oferta después del cierre.</w:t>
      </w:r>
    </w:p>
    <w:p w14:paraId="45A37A53" w14:textId="6127AC86" w:rsidR="00DD32F9" w:rsidRPr="00E220ED" w:rsidRDefault="004545CA">
      <w:pPr>
        <w:spacing w:after="120" w:line="276" w:lineRule="auto"/>
        <w:jc w:val="both"/>
        <w:rPr>
          <w:rFonts w:ascii="Verdana" w:eastAsia="Arial" w:hAnsi="Verdana" w:cs="Arial"/>
        </w:rPr>
      </w:pPr>
      <w:r w:rsidRPr="00E220ED">
        <w:rPr>
          <w:rFonts w:ascii="Verdana" w:eastAsia="Arial" w:hAnsi="Verdana" w:cs="Arial"/>
        </w:rPr>
        <w:t xml:space="preserve">       </w:t>
      </w:r>
      <w:r w:rsidR="009C4277">
        <w:rPr>
          <w:rFonts w:ascii="Verdana" w:eastAsia="Arial" w:hAnsi="Verdana" w:cs="Arial"/>
        </w:rPr>
        <w:tab/>
      </w:r>
      <w:r w:rsidRPr="00E220ED">
        <w:rPr>
          <w:rFonts w:ascii="Verdana" w:eastAsia="Arial" w:hAnsi="Verdana" w:cs="Arial"/>
        </w:rPr>
        <w:t>Corresponde a la Entidad Estatal verificar, en cada proceso de selección, que la marca, el modelo o la referencia identificados no constituyan una circunstancia sobreviniente. Para ello debe constatar que la condición existía materialmente antes del cierre, que fue acreditada de alguna forma en la propuesta, que el documento posterior no contradice la oferta y que este se limita a probar una situación ya existente. Si la verificación no permite demostrar tal preexistencia, la identificación constituye una circunstancia posterior al cierre, cuya acreditación prohíbe la norma, y su admisión no solo afectaría la igualdad entre oferentes, sino que comprometería la selección objetiva y la transparencia del proceso.</w:t>
      </w:r>
    </w:p>
    <w:p w14:paraId="63BA6B61" w14:textId="4A128292" w:rsidR="007210C9" w:rsidRDefault="004545CA" w:rsidP="009C4277">
      <w:pPr>
        <w:spacing w:after="0" w:line="276" w:lineRule="auto"/>
        <w:ind w:firstLine="708"/>
        <w:jc w:val="both"/>
        <w:rPr>
          <w:rFonts w:ascii="Verdana" w:eastAsia="Century Gothic" w:hAnsi="Verdana" w:cs="Century Gothic"/>
        </w:rPr>
      </w:pPr>
      <w:r w:rsidRPr="00E220ED">
        <w:rPr>
          <w:rFonts w:ascii="Verdana" w:eastAsia="Century Gothic" w:hAnsi="Verdana" w:cs="Century Gothic"/>
        </w:rPr>
        <w:lastRenderedPageBreak/>
        <w:t>Finalmente, respecto de la subasta inversa, el límite material permanece plenamente aplicable. Conforme al parágrafo 4 del artículo 5 de la Ley 1150 de 2007, en estos procesos los documentos no necesarios para la comparación de las propuestas pueden solicitarse hasta el momento previo a la realización de la subasta. Esta regla modifica únicamente el límite temporal de la subsanación —pues constituye la excepción a la regla general del traslado del informe de evaluación—, mas no su alcance sustancial. En consecuencia, incluso en este escenario, no pueden acreditarse circunstancias ocurridas con posterioridad al cierre ni alterarse elementos sustanciales de la oferta.</w:t>
      </w:r>
    </w:p>
    <w:p w14:paraId="4327F87A" w14:textId="77777777" w:rsidR="009C4277" w:rsidRPr="00E220ED" w:rsidRDefault="009C4277" w:rsidP="006E404A">
      <w:pPr>
        <w:spacing w:after="0" w:line="276" w:lineRule="auto"/>
        <w:ind w:firstLine="708"/>
        <w:jc w:val="both"/>
        <w:rPr>
          <w:rFonts w:ascii="Verdana" w:eastAsia="Century Gothic" w:hAnsi="Verdana" w:cs="Century Gothic"/>
        </w:rPr>
      </w:pPr>
    </w:p>
    <w:p w14:paraId="6BBD169E" w14:textId="40B34307" w:rsidR="006862ED" w:rsidRPr="00E220ED" w:rsidRDefault="006862ED" w:rsidP="006E404A">
      <w:pPr>
        <w:spacing w:after="120" w:line="276" w:lineRule="auto"/>
        <w:jc w:val="both"/>
        <w:rPr>
          <w:rFonts w:ascii="Verdana" w:eastAsia="Calibri" w:hAnsi="Verdana" w:cs="Arial"/>
          <w:bCs/>
          <w:color w:val="000000" w:themeColor="text1"/>
          <w:lang w:val="es-ES_tradnl"/>
        </w:rPr>
      </w:pPr>
      <w:r w:rsidRPr="00E220ED">
        <w:rPr>
          <w:rFonts w:ascii="Verdana" w:eastAsia="Calibri" w:hAnsi="Verdana" w:cs="Arial"/>
          <w:bCs/>
          <w:color w:val="000000" w:themeColor="text1"/>
        </w:rPr>
        <w:t>iv) 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6ABE24D" w14:textId="7FC4831A" w:rsidR="006862ED" w:rsidRDefault="006862ED" w:rsidP="00E220ED">
      <w:pPr>
        <w:spacing w:after="0" w:line="276" w:lineRule="auto"/>
        <w:ind w:firstLine="708"/>
        <w:jc w:val="both"/>
        <w:rPr>
          <w:rFonts w:ascii="Verdana" w:eastAsia="Calibri" w:hAnsi="Verdana" w:cs="Arial"/>
          <w:bCs/>
          <w:color w:val="000000" w:themeColor="text1"/>
        </w:rPr>
      </w:pPr>
      <w:r w:rsidRPr="00E220ED">
        <w:rPr>
          <w:rFonts w:ascii="Verdana" w:eastAsia="Calibri" w:hAnsi="Verdana" w:cs="Arial"/>
          <w:bCs/>
          <w:color w:val="000000" w:themeColor="text1"/>
        </w:rPr>
        <w:t xml:space="preserve">Dentro de este marco, la entidad contratante definirá en cada caso concreto lo relacionado con los aspectos puntuales del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16AA4E39" w14:textId="77777777" w:rsidR="00E220ED" w:rsidRPr="009C4277" w:rsidRDefault="00E220ED" w:rsidP="009C4277">
      <w:pPr>
        <w:spacing w:after="0" w:line="276" w:lineRule="auto"/>
        <w:ind w:firstLine="708"/>
        <w:jc w:val="both"/>
        <w:rPr>
          <w:rFonts w:ascii="Verdana" w:eastAsia="Calibri" w:hAnsi="Verdana" w:cs="Arial"/>
          <w:bCs/>
          <w:color w:val="000000" w:themeColor="text1"/>
        </w:rPr>
      </w:pPr>
    </w:p>
    <w:p w14:paraId="01B66466" w14:textId="77777777" w:rsidR="007210C9" w:rsidRPr="009C4277" w:rsidRDefault="007210C9" w:rsidP="006E404A">
      <w:pPr>
        <w:pStyle w:val="Prrafodelista"/>
        <w:numPr>
          <w:ilvl w:val="0"/>
          <w:numId w:val="19"/>
        </w:numPr>
        <w:tabs>
          <w:tab w:val="left" w:pos="142"/>
          <w:tab w:val="left" w:pos="284"/>
        </w:tabs>
        <w:spacing w:after="0" w:line="276" w:lineRule="auto"/>
        <w:ind w:left="360"/>
        <w:contextualSpacing w:val="0"/>
        <w:jc w:val="both"/>
        <w:rPr>
          <w:rFonts w:ascii="Verdana" w:eastAsia="Century Gothic" w:hAnsi="Verdana" w:cs="Century Gothic"/>
          <w:b/>
          <w:bCs/>
        </w:rPr>
      </w:pPr>
      <w:r w:rsidRPr="009C4277">
        <w:rPr>
          <w:rFonts w:ascii="Verdana" w:eastAsia="Century Gothic" w:hAnsi="Verdana" w:cs="Century Gothic"/>
          <w:b/>
          <w:bCs/>
        </w:rPr>
        <w:t>Referencias normativas, jurisprudenciales y otras fuentes:</w:t>
      </w:r>
    </w:p>
    <w:p w14:paraId="4D364FB5" w14:textId="77777777" w:rsidR="007210C9" w:rsidRPr="009C4277" w:rsidRDefault="007210C9" w:rsidP="009C427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210C9" w:rsidRPr="009C4277" w14:paraId="1922B4D5" w14:textId="77777777" w:rsidTr="769E88A1">
        <w:trPr>
          <w:trHeight w:val="870"/>
        </w:trPr>
        <w:tc>
          <w:tcPr>
            <w:tcW w:w="8647" w:type="dxa"/>
          </w:tcPr>
          <w:p w14:paraId="488B3C3D" w14:textId="77777777" w:rsidR="001D4EEC" w:rsidRPr="009879CC" w:rsidRDefault="001D4EEC" w:rsidP="006E404A">
            <w:pPr>
              <w:pStyle w:val="Prrafodelista"/>
              <w:widowControl w:val="0"/>
              <w:numPr>
                <w:ilvl w:val="0"/>
                <w:numId w:val="18"/>
              </w:numPr>
              <w:autoSpaceDE w:val="0"/>
              <w:autoSpaceDN w:val="0"/>
              <w:spacing w:line="276" w:lineRule="auto"/>
              <w:contextualSpacing w:val="0"/>
              <w:jc w:val="both"/>
              <w:rPr>
                <w:rFonts w:ascii="Verdana" w:hAnsi="Verdana" w:cs="Arial"/>
                <w:color w:val="000000" w:themeColor="text1"/>
                <w:lang w:val="es-ES_tradnl"/>
              </w:rPr>
            </w:pPr>
            <w:r w:rsidRPr="009C4277">
              <w:rPr>
                <w:rFonts w:ascii="Verdana" w:hAnsi="Verdana" w:cs="Arial"/>
                <w:color w:val="000000" w:themeColor="text1"/>
                <w:lang w:val="es-ES_tradnl"/>
              </w:rPr>
              <w:t>Artículo 5 de la Ley 1882 de 2018.</w:t>
            </w:r>
          </w:p>
          <w:p w14:paraId="2092C0B6" w14:textId="77777777" w:rsidR="001D4EEC" w:rsidRPr="009C4277" w:rsidRDefault="001D4EEC" w:rsidP="006E404A">
            <w:pPr>
              <w:pStyle w:val="Prrafodelista"/>
              <w:widowControl w:val="0"/>
              <w:numPr>
                <w:ilvl w:val="0"/>
                <w:numId w:val="18"/>
              </w:numPr>
              <w:autoSpaceDE w:val="0"/>
              <w:autoSpaceDN w:val="0"/>
              <w:spacing w:line="276" w:lineRule="auto"/>
              <w:contextualSpacing w:val="0"/>
              <w:jc w:val="both"/>
              <w:rPr>
                <w:rFonts w:ascii="Verdana" w:hAnsi="Verdana" w:cs="Arial"/>
                <w:color w:val="000000" w:themeColor="text1"/>
                <w:lang w:val="es-ES_tradnl"/>
              </w:rPr>
            </w:pPr>
            <w:r w:rsidRPr="009C4277">
              <w:rPr>
                <w:rFonts w:ascii="Verdana" w:hAnsi="Verdana" w:cs="Arial"/>
                <w:color w:val="000000" w:themeColor="text1"/>
                <w:lang w:val="es-ES_tradnl"/>
              </w:rPr>
              <w:t>Artículo 30 de la Ley 80 de 1993.</w:t>
            </w:r>
          </w:p>
          <w:p w14:paraId="38F7C3B6" w14:textId="77777777" w:rsidR="001D4EEC" w:rsidRPr="009C4277" w:rsidRDefault="001D4EEC" w:rsidP="006E404A">
            <w:pPr>
              <w:pStyle w:val="Prrafodelista"/>
              <w:widowControl w:val="0"/>
              <w:numPr>
                <w:ilvl w:val="0"/>
                <w:numId w:val="18"/>
              </w:numPr>
              <w:autoSpaceDE w:val="0"/>
              <w:autoSpaceDN w:val="0"/>
              <w:spacing w:line="276" w:lineRule="auto"/>
              <w:contextualSpacing w:val="0"/>
              <w:jc w:val="both"/>
              <w:rPr>
                <w:rFonts w:ascii="Verdana" w:hAnsi="Verdana" w:cs="Arial"/>
                <w:color w:val="000000" w:themeColor="text1"/>
                <w:lang w:val="es-ES_tradnl"/>
              </w:rPr>
            </w:pPr>
            <w:r w:rsidRPr="009C4277">
              <w:rPr>
                <w:rFonts w:ascii="Verdana" w:hAnsi="Verdana" w:cs="Arial"/>
                <w:color w:val="000000" w:themeColor="text1"/>
                <w:lang w:val="es-ES_tradnl"/>
              </w:rPr>
              <w:t>Artículo 5, parágrafos 1° y 4°, de la Ley 1150 de 2007.</w:t>
            </w:r>
          </w:p>
          <w:p w14:paraId="141BDC6F" w14:textId="77777777" w:rsidR="001D4EEC" w:rsidRPr="009C4277" w:rsidRDefault="001D4EEC" w:rsidP="006E404A">
            <w:pPr>
              <w:pStyle w:val="Prrafodelista"/>
              <w:widowControl w:val="0"/>
              <w:numPr>
                <w:ilvl w:val="0"/>
                <w:numId w:val="18"/>
              </w:numPr>
              <w:autoSpaceDE w:val="0"/>
              <w:autoSpaceDN w:val="0"/>
              <w:spacing w:line="276" w:lineRule="auto"/>
              <w:contextualSpacing w:val="0"/>
              <w:jc w:val="both"/>
              <w:rPr>
                <w:rFonts w:ascii="Verdana" w:hAnsi="Verdana" w:cs="Arial"/>
                <w:color w:val="000000" w:themeColor="text1"/>
                <w:lang w:val="es-ES_tradnl"/>
              </w:rPr>
            </w:pPr>
            <w:r w:rsidRPr="009C4277">
              <w:rPr>
                <w:rFonts w:ascii="Verdana" w:hAnsi="Verdana" w:cs="Arial"/>
                <w:color w:val="000000" w:themeColor="text1"/>
                <w:lang w:val="es-ES_tradnl"/>
              </w:rPr>
              <w:t>Artículos 2.2.1.2.1.2.1 y 2.2.1.2.1.2.2 del Decreto 1082 de 2015.</w:t>
            </w:r>
          </w:p>
          <w:p w14:paraId="0BE45476" w14:textId="77777777" w:rsidR="001D4EEC" w:rsidRPr="009C4277" w:rsidRDefault="001D4EEC" w:rsidP="006E404A">
            <w:pPr>
              <w:pStyle w:val="Prrafodelista"/>
              <w:widowControl w:val="0"/>
              <w:numPr>
                <w:ilvl w:val="0"/>
                <w:numId w:val="18"/>
              </w:numPr>
              <w:autoSpaceDE w:val="0"/>
              <w:autoSpaceDN w:val="0"/>
              <w:spacing w:line="276" w:lineRule="auto"/>
              <w:contextualSpacing w:val="0"/>
              <w:jc w:val="both"/>
              <w:rPr>
                <w:rFonts w:ascii="Verdana" w:hAnsi="Verdana" w:cs="Arial"/>
                <w:color w:val="000000" w:themeColor="text1"/>
              </w:rPr>
            </w:pPr>
            <w:r w:rsidRPr="769E88A1">
              <w:rPr>
                <w:rFonts w:ascii="Verdana" w:hAnsi="Verdana" w:cs="Arial"/>
                <w:color w:val="000000" w:themeColor="text1"/>
              </w:rPr>
              <w:lastRenderedPageBreak/>
              <w:t>Consejo de Estado. Sala de Consulta y Servicio Civil. Concepto del 20 de mayo de 2010. Exp. 1.992. C.P. Enrique José Arboleda Perdomo</w:t>
            </w:r>
          </w:p>
          <w:p w14:paraId="22A11801" w14:textId="33B8CA19" w:rsidR="001D4EEC" w:rsidRPr="009C4277" w:rsidRDefault="001D4EEC" w:rsidP="006E404A">
            <w:pPr>
              <w:pStyle w:val="Prrafodelista"/>
              <w:widowControl w:val="0"/>
              <w:numPr>
                <w:ilvl w:val="0"/>
                <w:numId w:val="18"/>
              </w:numPr>
              <w:autoSpaceDE w:val="0"/>
              <w:autoSpaceDN w:val="0"/>
              <w:spacing w:line="276" w:lineRule="auto"/>
              <w:contextualSpacing w:val="0"/>
              <w:jc w:val="both"/>
              <w:rPr>
                <w:rFonts w:ascii="Verdana" w:hAnsi="Verdana" w:cs="Arial"/>
                <w:color w:val="000000" w:themeColor="text1"/>
                <w:lang w:val="es-ES_tradnl"/>
              </w:rPr>
            </w:pPr>
            <w:r w:rsidRPr="009C4277">
              <w:rPr>
                <w:rFonts w:ascii="Verdana" w:hAnsi="Verdana" w:cs="Arial"/>
                <w:color w:val="000000" w:themeColor="text1"/>
                <w:lang w:val="es-ES_tradnl"/>
              </w:rPr>
              <w:t xml:space="preserve">Manual para determinar y verificar los requisitos habilitantes en los Procesos de Contratación. Documento disponible en: </w:t>
            </w:r>
            <w:hyperlink r:id="rId12" w:history="1">
              <w:r w:rsidRPr="009C4277">
                <w:rPr>
                  <w:rStyle w:val="Hipervnculo"/>
                  <w:rFonts w:ascii="Verdana" w:hAnsi="Verdana" w:cs="Arial"/>
                  <w:lang w:val="es-ES_tradnl"/>
                </w:rPr>
                <w:t>https://www.colombiacompra.gov.co/archivos/manual/manual-para-determinar-y-verificar-los-requisitos-habilitantes-en-los-procesos-de-contratacion</w:t>
              </w:r>
            </w:hyperlink>
            <w:r w:rsidRPr="009C4277">
              <w:rPr>
                <w:rFonts w:ascii="Verdana" w:hAnsi="Verdana" w:cs="Arial"/>
                <w:color w:val="000000" w:themeColor="text1"/>
                <w:lang w:val="es-ES_tradnl"/>
              </w:rPr>
              <w:t xml:space="preserve">  </w:t>
            </w:r>
          </w:p>
        </w:tc>
      </w:tr>
    </w:tbl>
    <w:p w14:paraId="63801A61" w14:textId="77777777" w:rsidR="007210C9" w:rsidRPr="009C4277" w:rsidRDefault="007210C9" w:rsidP="009C4277">
      <w:pPr>
        <w:widowControl w:val="0"/>
        <w:autoSpaceDE w:val="0"/>
        <w:autoSpaceDN w:val="0"/>
        <w:spacing w:after="0" w:line="276" w:lineRule="auto"/>
        <w:jc w:val="both"/>
        <w:rPr>
          <w:rFonts w:ascii="Verdana" w:hAnsi="Verdana" w:cs="Arial"/>
        </w:rPr>
      </w:pPr>
    </w:p>
    <w:p w14:paraId="4480F49F" w14:textId="77777777" w:rsidR="007210C9" w:rsidRPr="009C4277" w:rsidRDefault="007210C9" w:rsidP="009C4277">
      <w:pPr>
        <w:pStyle w:val="Prrafodelista"/>
        <w:numPr>
          <w:ilvl w:val="0"/>
          <w:numId w:val="19"/>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C4277">
        <w:rPr>
          <w:rFonts w:ascii="Verdana" w:eastAsia="Century Gothic" w:hAnsi="Verdana" w:cs="Century Gothic"/>
          <w:b/>
          <w:bCs/>
        </w:rPr>
        <w:t>Doctrina de la Agencia Nacional de Contratación Pública:</w:t>
      </w:r>
    </w:p>
    <w:p w14:paraId="22355B7E" w14:textId="77777777" w:rsidR="007210C9" w:rsidRPr="009C4277" w:rsidRDefault="007210C9" w:rsidP="009C4277">
      <w:pPr>
        <w:widowControl w:val="0"/>
        <w:autoSpaceDE w:val="0"/>
        <w:autoSpaceDN w:val="0"/>
        <w:spacing w:after="0" w:line="276" w:lineRule="auto"/>
        <w:jc w:val="both"/>
        <w:rPr>
          <w:rFonts w:ascii="Verdana" w:hAnsi="Verdana" w:cs="Arial"/>
        </w:rPr>
      </w:pPr>
    </w:p>
    <w:p w14:paraId="42A80BEF" w14:textId="0A49694C" w:rsidR="00077F69" w:rsidRDefault="00077F69" w:rsidP="009C4277">
      <w:pPr>
        <w:widowControl w:val="0"/>
        <w:autoSpaceDE w:val="0"/>
        <w:autoSpaceDN w:val="0"/>
        <w:spacing w:after="0" w:line="276" w:lineRule="auto"/>
        <w:jc w:val="both"/>
        <w:rPr>
          <w:rFonts w:ascii="Verdana" w:hAnsi="Verdana" w:cs="Arial"/>
          <w:color w:val="000000" w:themeColor="text1"/>
          <w:shd w:val="clear" w:color="auto" w:fill="FFFFFF"/>
        </w:rPr>
      </w:pPr>
      <w:r w:rsidRPr="009C4277">
        <w:rPr>
          <w:rFonts w:ascii="Verdana" w:eastAsia="Calibri" w:hAnsi="Verdana" w:cs="Arial"/>
          <w:lang w:val="es-ES" w:eastAsia="es-ES"/>
        </w:rPr>
        <w:t xml:space="preserve">Sobre la </w:t>
      </w:r>
      <w:r w:rsidRPr="009C4277">
        <w:rPr>
          <w:rFonts w:ascii="Verdana" w:eastAsia="Calibri" w:hAnsi="Verdana" w:cs="Arial"/>
          <w:lang w:val="es-ES"/>
        </w:rPr>
        <w:t>regla de subsanabilidad en los procesos de selección,</w:t>
      </w:r>
      <w:r w:rsidRPr="009C4277">
        <w:rPr>
          <w:rStyle w:val="superscript"/>
          <w:rFonts w:ascii="Verdana" w:hAnsi="Verdana" w:cs="Arial"/>
          <w:shd w:val="clear" w:color="auto" w:fill="FFFFFF"/>
          <w:lang w:val="es-ES"/>
        </w:rPr>
        <w:t xml:space="preserve"> </w:t>
      </w:r>
      <w:r w:rsidRPr="009C4277">
        <w:rPr>
          <w:rStyle w:val="normaltextrun"/>
          <w:rFonts w:ascii="Verdana" w:hAnsi="Verdana" w:cs="Arial"/>
          <w:shd w:val="clear" w:color="auto" w:fill="FFFFFF"/>
          <w:lang w:val="es-ES"/>
        </w:rPr>
        <w:t xml:space="preserve">se pronunció esta Subdirección </w:t>
      </w:r>
      <w:r w:rsidRPr="009C4277">
        <w:rPr>
          <w:rFonts w:ascii="Verdana" w:eastAsia="Calibri" w:hAnsi="Verdana" w:cs="Arial"/>
          <w:lang w:val="es-ES"/>
        </w:rPr>
        <w:t>en los conceptos 4201913000007643 del 26 de diciembre de 2019, C-343 del 17 de junio de 2020, C-518 del 9 de septiembre de 2020, C-614 del 5 de octubre de 2022, C-882 del 21 de diciembre de 2022, C-172 del 6 de junio de 2023</w:t>
      </w:r>
      <w:r w:rsidRPr="009C4277">
        <w:rPr>
          <w:rFonts w:ascii="Verdana" w:hAnsi="Verdana" w:cs="Arial"/>
          <w:shd w:val="clear" w:color="auto" w:fill="FFFFFF"/>
          <w:lang w:val="es-ES"/>
        </w:rPr>
        <w:t xml:space="preserve">, C-720 del 25 de noviembre 2024 y </w:t>
      </w:r>
      <w:r w:rsidR="008A35C8" w:rsidRPr="009C4277">
        <w:rPr>
          <w:rFonts w:ascii="Verdana" w:hAnsi="Verdana" w:cs="Arial"/>
          <w:shd w:val="clear" w:color="auto" w:fill="FFFFFF"/>
          <w:lang w:val="es-ES"/>
        </w:rPr>
        <w:t>C- 549 del 20 de mayo del 2026</w:t>
      </w:r>
      <w:r w:rsidRPr="009C4277">
        <w:rPr>
          <w:rFonts w:ascii="Verdana" w:hAnsi="Verdana" w:cs="Arial"/>
          <w:shd w:val="clear" w:color="auto" w:fill="FFFFFF"/>
          <w:lang w:val="es-ES"/>
        </w:rPr>
        <w:t>.</w:t>
      </w:r>
      <w:r w:rsidRPr="009C4277">
        <w:rPr>
          <w:rStyle w:val="normaltextrun"/>
          <w:rFonts w:ascii="Verdana" w:hAnsi="Verdana" w:cs="Arial"/>
          <w:shd w:val="clear" w:color="auto" w:fill="FFFFFF"/>
          <w:lang w:val="es-ES"/>
        </w:rPr>
        <w:t xml:space="preserve"> </w:t>
      </w:r>
      <w:r w:rsidRPr="009C4277">
        <w:rPr>
          <w:rFonts w:ascii="Verdana" w:hAnsi="Verdana" w:cs="Arial"/>
        </w:rPr>
        <w:t xml:space="preserve">Estos y otros </w:t>
      </w:r>
      <w:r w:rsidRPr="009C4277">
        <w:rPr>
          <w:rFonts w:ascii="Verdana" w:hAnsi="Verdana"/>
        </w:rPr>
        <w:t>conceptos se encuentran disponibles para consulta en el Sistema de relatoría de la Agencia, al cual se puede acceder a través del siguiente enlace:</w:t>
      </w:r>
      <w:r w:rsidRPr="009C4277">
        <w:rPr>
          <w:rFonts w:ascii="Verdana" w:hAnsi="Verdana" w:cs="Arial"/>
          <w:shd w:val="clear" w:color="auto" w:fill="FFFFFF"/>
        </w:rPr>
        <w:t xml:space="preserve"> </w:t>
      </w:r>
      <w:hyperlink r:id="rId13" w:history="1">
        <w:r w:rsidRPr="009C4277">
          <w:rPr>
            <w:rStyle w:val="Hipervnculo"/>
            <w:rFonts w:ascii="Verdana" w:hAnsi="Verdana" w:cs="Arial"/>
            <w:shd w:val="clear" w:color="auto" w:fill="FFFFFF"/>
          </w:rPr>
          <w:t>https://relatoria.colombiacompra.gov.co/busqueda/conceptos</w:t>
        </w:r>
      </w:hyperlink>
      <w:r w:rsidRPr="009C4277">
        <w:rPr>
          <w:rFonts w:ascii="Verdana" w:hAnsi="Verdana" w:cs="Arial"/>
          <w:shd w:val="clear" w:color="auto" w:fill="FFFFFF"/>
        </w:rPr>
        <w:t>.</w:t>
      </w:r>
      <w:r w:rsidRPr="009C4277">
        <w:rPr>
          <w:rFonts w:ascii="Verdana" w:hAnsi="Verdana" w:cs="Arial"/>
          <w:color w:val="FF0000"/>
          <w:shd w:val="clear" w:color="auto" w:fill="FFFFFF"/>
        </w:rPr>
        <w:t xml:space="preserve"> </w:t>
      </w:r>
      <w:r w:rsidRPr="009C4277">
        <w:rPr>
          <w:rFonts w:ascii="Verdana" w:hAnsi="Verdana" w:cs="Arial"/>
          <w:color w:val="000000" w:themeColor="text1"/>
          <w:shd w:val="clear" w:color="auto" w:fill="FFFFFF"/>
        </w:rPr>
        <w:t>  </w:t>
      </w:r>
    </w:p>
    <w:p w14:paraId="3D594BBF" w14:textId="77777777" w:rsidR="009C4277" w:rsidRPr="009C4277" w:rsidRDefault="009C4277" w:rsidP="006E404A">
      <w:pPr>
        <w:widowControl w:val="0"/>
        <w:autoSpaceDE w:val="0"/>
        <w:autoSpaceDN w:val="0"/>
        <w:spacing w:after="0" w:line="276" w:lineRule="auto"/>
        <w:jc w:val="both"/>
        <w:rPr>
          <w:rFonts w:ascii="Verdana" w:hAnsi="Verdana" w:cs="Arial"/>
          <w:color w:val="000000" w:themeColor="text1"/>
          <w:shd w:val="clear" w:color="auto" w:fill="FFFFFF"/>
        </w:rPr>
      </w:pPr>
    </w:p>
    <w:p w14:paraId="4F24EA5B" w14:textId="25BBAEA3" w:rsidR="007210C9" w:rsidRDefault="007210C9" w:rsidP="009C4277">
      <w:pPr>
        <w:spacing w:after="0" w:line="276" w:lineRule="auto"/>
        <w:jc w:val="both"/>
        <w:rPr>
          <w:rStyle w:val="Hipervnculo"/>
          <w:rFonts w:ascii="Verdana" w:hAnsi="Verdana" w:cs="Arial"/>
          <w:shd w:val="clear" w:color="auto" w:fill="FFFFFF"/>
        </w:rPr>
      </w:pPr>
      <w:r w:rsidRPr="009C4277">
        <w:rPr>
          <w:rFonts w:ascii="Verdana" w:hAnsi="Verdana" w:cs="Arial"/>
          <w:shd w:val="clear" w:color="auto" w:fill="FFFFFF"/>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9C4277">
        <w:rPr>
          <w:rFonts w:ascii="Verdana" w:hAnsi="Verdana" w:cs="Arial"/>
          <w:b/>
          <w:bCs/>
          <w:shd w:val="clear" w:color="auto" w:fill="FFFFFF"/>
        </w:rPr>
        <w:t>Guía para la Exigencia y Constitución de Garantías en los Procesos de Contratación</w:t>
      </w:r>
      <w:r w:rsidRPr="009C4277">
        <w:rPr>
          <w:rFonts w:ascii="Verdana" w:hAnsi="Verdana" w:cs="Arial"/>
          <w:shd w:val="clear" w:color="auto" w:fill="FFFFFF"/>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gtFrame="_blank" w:tooltip="Dirección URL original: https://www.colombiacompra.gov.co/archivos/manual/guia-de-garantias-en-procesos-de-contratacion. Haga clic o pulse si confía en este vínculo." w:history="1">
        <w:r w:rsidRPr="009C4277">
          <w:rPr>
            <w:rStyle w:val="Hipervnculo"/>
            <w:rFonts w:ascii="Verdana" w:hAnsi="Verdana" w:cs="Arial"/>
            <w:shd w:val="clear" w:color="auto" w:fill="FFFFFF"/>
          </w:rPr>
          <w:t>https://www.colombiacompra.gov.co/archivos/manual/guia-de-garantias-en-procesos-de-contratacion</w:t>
        </w:r>
      </w:hyperlink>
    </w:p>
    <w:p w14:paraId="2C276B4C" w14:textId="77777777" w:rsidR="009C4277" w:rsidRPr="009C4277" w:rsidRDefault="009C4277" w:rsidP="006E404A">
      <w:pPr>
        <w:spacing w:after="0" w:line="276" w:lineRule="auto"/>
        <w:jc w:val="both"/>
        <w:rPr>
          <w:rFonts w:ascii="Verdana" w:hAnsi="Verdana" w:cs="Arial"/>
          <w:color w:val="FF0000"/>
          <w:shd w:val="clear" w:color="auto" w:fill="FFFFFF"/>
        </w:rPr>
      </w:pPr>
    </w:p>
    <w:p w14:paraId="563F7E72" w14:textId="7F4C1268" w:rsidR="007210C9" w:rsidRDefault="007210C9" w:rsidP="009C4277">
      <w:pPr>
        <w:spacing w:after="0" w:line="276" w:lineRule="auto"/>
        <w:jc w:val="both"/>
        <w:rPr>
          <w:rStyle w:val="Hipervnculo"/>
          <w:rFonts w:ascii="Verdana" w:hAnsi="Verdana" w:cs="Arial"/>
          <w:shd w:val="clear" w:color="auto" w:fill="FFFFFF"/>
        </w:rPr>
      </w:pPr>
      <w:r w:rsidRPr="009C4277">
        <w:rPr>
          <w:rFonts w:ascii="Verdana" w:hAnsi="Verdana" w:cs="Arial"/>
          <w:shd w:val="clear" w:color="auto" w:fill="FFFFFF"/>
        </w:rPr>
        <w:t>De otro lado, te contamos que el Decreto 287 del 19 de marzo de 2026 sustituyó los artículos 2.2.1.2.4.2.6., 2.2.1.2.4.2.7. y 2.2.1.2.4.2.8. del Decreto 1082 de 2015 y estructuró el </w:t>
      </w:r>
      <w:r w:rsidRPr="009C4277">
        <w:rPr>
          <w:rFonts w:ascii="Verdana" w:hAnsi="Verdana" w:cs="Arial"/>
          <w:b/>
          <w:bCs/>
          <w:shd w:val="clear" w:color="auto" w:fill="FFFFFF"/>
        </w:rPr>
        <w:t>Sistema Integral de Preferencias en favor de las personas con discapacidad</w:t>
      </w:r>
      <w:r w:rsidRPr="009C4277">
        <w:rPr>
          <w:rFonts w:ascii="Verdana" w:hAnsi="Verdana" w:cs="Arial"/>
          <w:shd w:val="clear" w:color="auto" w:fill="FFFFFF"/>
        </w:rPr>
        <w:t xml:space="preserve">, en cumplimiento del artículo 13 de la Ley Estatutaria 1618 de 2013. Para orientar su aplicación, esta Agencia expidió </w:t>
      </w:r>
      <w:r w:rsidRPr="009C4277">
        <w:rPr>
          <w:rFonts w:ascii="Verdana" w:hAnsi="Verdana" w:cs="Arial"/>
          <w:shd w:val="clear" w:color="auto" w:fill="FFFFFF"/>
        </w:rPr>
        <w:lastRenderedPageBreak/>
        <w:t>la </w:t>
      </w:r>
      <w:r w:rsidRPr="009C4277">
        <w:rPr>
          <w:rFonts w:ascii="Verdana" w:hAnsi="Verdana" w:cs="Arial"/>
          <w:b/>
          <w:bCs/>
          <w:shd w:val="clear" w:color="auto" w:fill="FFFFFF"/>
        </w:rPr>
        <w:t>Circular Externa 003 del 12 de mayo de 2026, </w:t>
      </w:r>
      <w:r w:rsidRPr="009C4277">
        <w:rPr>
          <w:rFonts w:ascii="Verdana" w:hAnsi="Verdana" w:cs="Arial"/>
          <w:shd w:val="clear" w:color="auto" w:fill="FFFFFF"/>
        </w:rPr>
        <w:t>en la que precisa quiénes son los beneficiarios, las cinco medidas que integran el sistema y su obligatoriedad según la modalidad de selección, y el régimen de transición aplicable a los procesos en curso. Consúltala aquí: </w:t>
      </w:r>
      <w:hyperlink r:id="rId15" w:tgtFrame="_blank" w:tooltip="Dirección URL original: https://www.colombiacompra.gov.co/archivos/circular/circular-externa-003-de-2026. Haga clic o pulse si confía en este vínculo." w:history="1">
        <w:r w:rsidRPr="009C4277">
          <w:rPr>
            <w:rStyle w:val="Hipervnculo"/>
            <w:rFonts w:ascii="Verdana" w:hAnsi="Verdana" w:cs="Arial"/>
            <w:shd w:val="clear" w:color="auto" w:fill="FFFFFF"/>
          </w:rPr>
          <w:t>https://www.colombiacompra.gov.co/archivos/circular/circular-externa-003-de-2026</w:t>
        </w:r>
      </w:hyperlink>
    </w:p>
    <w:p w14:paraId="246B0AC8" w14:textId="77777777" w:rsidR="009C4277" w:rsidRPr="009C4277" w:rsidRDefault="009C4277" w:rsidP="006E404A">
      <w:pPr>
        <w:spacing w:after="0" w:line="276" w:lineRule="auto"/>
        <w:jc w:val="both"/>
        <w:rPr>
          <w:rFonts w:ascii="Verdana" w:hAnsi="Verdana" w:cs="Arial"/>
          <w:color w:val="FF0000"/>
          <w:shd w:val="clear" w:color="auto" w:fill="FFFFFF"/>
        </w:rPr>
      </w:pPr>
    </w:p>
    <w:p w14:paraId="5CE2D000" w14:textId="39895CD2" w:rsidR="007210C9" w:rsidRDefault="007210C9" w:rsidP="009C4277">
      <w:pPr>
        <w:spacing w:after="0" w:line="276" w:lineRule="auto"/>
        <w:jc w:val="both"/>
        <w:rPr>
          <w:rStyle w:val="Hipervnculo"/>
          <w:rFonts w:ascii="Verdana" w:hAnsi="Verdana" w:cs="Arial"/>
          <w:shd w:val="clear" w:color="auto" w:fill="FFFFFF"/>
        </w:rPr>
      </w:pPr>
      <w:r w:rsidRPr="009C4277">
        <w:rPr>
          <w:rFonts w:ascii="Verdana" w:hAnsi="Verdana" w:cs="Arial"/>
          <w:shd w:val="clear" w:color="auto" w:fill="FFFFFF"/>
        </w:rPr>
        <w:t>Recuerda también que la</w:t>
      </w:r>
      <w:r w:rsidRPr="009C4277">
        <w:rPr>
          <w:rFonts w:ascii="Verdana" w:hAnsi="Verdana" w:cs="Arial"/>
          <w:b/>
          <w:bCs/>
          <w:shd w:val="clear" w:color="auto" w:fill="FFFFFF"/>
        </w:rPr>
        <w:t> información sobre sanciones e inhabilidades </w:t>
      </w:r>
      <w:r w:rsidRPr="009C4277">
        <w:rPr>
          <w:rFonts w:ascii="Verdana" w:hAnsi="Verdana" w:cs="Arial"/>
          <w:shd w:val="clear" w:color="auto" w:fill="FFFFFF"/>
        </w:rPr>
        <w:t>solo cumple su función preventiva si llega oportunamente a los registros públicos. Sobre este deber, esta Agencia expidió la </w:t>
      </w:r>
      <w:r w:rsidRPr="009C4277">
        <w:rPr>
          <w:rFonts w:ascii="Verdana" w:hAnsi="Verdana" w:cs="Arial"/>
          <w:b/>
          <w:bCs/>
          <w:shd w:val="clear" w:color="auto" w:fill="FFFFFF"/>
        </w:rPr>
        <w:t>Circular Externa 002 del 5 de mayo de 2026,</w:t>
      </w:r>
      <w:r w:rsidRPr="009C4277">
        <w:rPr>
          <w:rFonts w:ascii="Verdana" w:hAnsi="Verdana" w:cs="Arial"/>
          <w:shd w:val="clear" w:color="auto" w:fill="FFFFFF"/>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tooltip="Dirección URL original: https://www.colombiacompra.gov.co/archivos/circular/circular-externa-002-de-2026. Haga clic o pulse si confía en este vínculo." w:history="1">
        <w:r w:rsidRPr="009C4277">
          <w:rPr>
            <w:rStyle w:val="Hipervnculo"/>
            <w:rFonts w:ascii="Verdana" w:hAnsi="Verdana" w:cs="Arial"/>
            <w:shd w:val="clear" w:color="auto" w:fill="FFFFFF"/>
          </w:rPr>
          <w:t>https://www.colombiacompra.gov.co/archivos/circular/circular-externa-002-de-2026</w:t>
        </w:r>
      </w:hyperlink>
    </w:p>
    <w:p w14:paraId="65BAA6AC" w14:textId="77777777" w:rsidR="009C4277" w:rsidRPr="009C4277" w:rsidRDefault="009C4277" w:rsidP="006E404A">
      <w:pPr>
        <w:spacing w:after="0" w:line="276" w:lineRule="auto"/>
        <w:jc w:val="both"/>
        <w:rPr>
          <w:rFonts w:ascii="Verdana" w:hAnsi="Verdana" w:cs="Arial"/>
          <w:color w:val="FF0000"/>
          <w:shd w:val="clear" w:color="auto" w:fill="FFFFFF"/>
        </w:rPr>
      </w:pPr>
    </w:p>
    <w:p w14:paraId="0452821F" w14:textId="77777777" w:rsidR="007210C9" w:rsidRPr="009C4277" w:rsidRDefault="007210C9" w:rsidP="009C4277">
      <w:pPr>
        <w:spacing w:after="0" w:line="276" w:lineRule="auto"/>
        <w:jc w:val="both"/>
        <w:rPr>
          <w:rFonts w:ascii="Verdana" w:hAnsi="Verdana" w:cs="Arial"/>
          <w:shd w:val="clear" w:color="auto" w:fill="FFFFFF"/>
        </w:rPr>
      </w:pPr>
      <w:r w:rsidRPr="009C4277">
        <w:rPr>
          <w:rFonts w:ascii="Verdana" w:hAnsi="Verdana" w:cs="Arial"/>
          <w:shd w:val="clear" w:color="auto" w:fill="FFFFFF"/>
        </w:rPr>
        <w:t>Finalmente, si quieres seguir de cerca la actividad de la Agencia, la tercera edición de 2026 del</w:t>
      </w:r>
      <w:r w:rsidRPr="009C4277">
        <w:rPr>
          <w:rFonts w:ascii="Verdana" w:hAnsi="Verdana" w:cs="Arial"/>
          <w:b/>
          <w:bCs/>
          <w:shd w:val="clear" w:color="auto" w:fill="FFFFFF"/>
        </w:rPr>
        <w:t> Radar de la Compra Pública</w:t>
      </w:r>
      <w:r w:rsidRPr="009879CC">
        <w:rPr>
          <w:rFonts w:ascii="Verdana" w:hAnsi="Verdana" w:cs="Arial"/>
          <w:shd w:val="clear" w:color="auto" w:fill="FFFFFF"/>
        </w:rPr>
        <w:t xml:space="preserve"> reúne, entre otros contenidos, la Circular Externa 003 de 2026, el Decreto 552 de 2026, un estudio sobre inteligencia artificial en la compra pública, los avances de la Relatoría, análisis jurisprudencial, conceptos jurídicos destacados y la oferta </w:t>
      </w:r>
      <w:r w:rsidRPr="009C4277">
        <w:rPr>
          <w:rFonts w:ascii="Verdana" w:hAnsi="Verdana" w:cs="Arial"/>
          <w:shd w:val="clear" w:color="auto" w:fill="FFFFFF"/>
        </w:rPr>
        <w:t>de la Escuela Virtual ANCP-CCE. Descárgalo aquí: </w:t>
      </w:r>
      <w:hyperlink r:id="rId17" w:tgtFrame="_blank" w:tooltip="Dirección URL original: https://www.colombiacompra.gov.co/archivos/boletin/boletin-edicion-n-3-de-2026-radar-de-la-compra-publica. Haga clic o pulse si confía en este vínculo." w:history="1">
        <w:r w:rsidRPr="009C4277">
          <w:rPr>
            <w:rStyle w:val="Hipervnculo"/>
            <w:rFonts w:ascii="Verdana" w:hAnsi="Verdana" w:cs="Arial"/>
            <w:shd w:val="clear" w:color="auto" w:fill="FFFFFF"/>
          </w:rPr>
          <w:t>https://www.colombiacompra.gov.co/archivos/boletin/boletin-edicion-n-3-de-2026-radar-de-la-compra-publica</w:t>
        </w:r>
      </w:hyperlink>
      <w:r w:rsidRPr="009C4277">
        <w:rPr>
          <w:rFonts w:ascii="Verdana" w:hAnsi="Verdana" w:cs="Arial"/>
          <w:shd w:val="clear" w:color="auto" w:fill="FFFFFF"/>
        </w:rPr>
        <w:t>"</w:t>
      </w:r>
    </w:p>
    <w:p w14:paraId="6C5684E0" w14:textId="77777777" w:rsidR="007210C9" w:rsidRPr="009C4277" w:rsidRDefault="007210C9" w:rsidP="009C4277">
      <w:pPr>
        <w:spacing w:after="0" w:line="276" w:lineRule="auto"/>
        <w:jc w:val="both"/>
        <w:rPr>
          <w:rFonts w:ascii="Verdana" w:hAnsi="Verdana" w:cs="Arial"/>
          <w:shd w:val="clear" w:color="auto" w:fill="FFFFFF"/>
        </w:rPr>
      </w:pPr>
    </w:p>
    <w:p w14:paraId="4E346642" w14:textId="77777777" w:rsidR="007210C9" w:rsidRPr="009C4277" w:rsidRDefault="007210C9" w:rsidP="009C4277">
      <w:pPr>
        <w:spacing w:after="0" w:line="276" w:lineRule="auto"/>
        <w:jc w:val="both"/>
        <w:rPr>
          <w:rFonts w:ascii="Verdana" w:hAnsi="Verdana"/>
        </w:rPr>
      </w:pPr>
      <w:r w:rsidRPr="009C4277">
        <w:rPr>
          <w:rFonts w:ascii="Verdana" w:hAnsi="Verdana"/>
        </w:rPr>
        <w:t xml:space="preserve">Por último, lo invitamos a seguirnos en las redes sociales en las cuales se difunde información institucional: </w:t>
      </w:r>
    </w:p>
    <w:p w14:paraId="4B43C692" w14:textId="77777777" w:rsidR="007210C9" w:rsidRPr="009C4277" w:rsidRDefault="007210C9">
      <w:pPr>
        <w:spacing w:after="0" w:line="276" w:lineRule="auto"/>
        <w:jc w:val="both"/>
        <w:rPr>
          <w:rFonts w:ascii="Verdana" w:hAnsi="Verdana"/>
        </w:rPr>
      </w:pPr>
    </w:p>
    <w:p w14:paraId="0225ABA8" w14:textId="77777777" w:rsidR="007210C9" w:rsidRPr="009C4277" w:rsidRDefault="007210C9">
      <w:pPr>
        <w:spacing w:after="0" w:line="276" w:lineRule="auto"/>
        <w:jc w:val="both"/>
        <w:rPr>
          <w:rFonts w:ascii="Verdana" w:hAnsi="Verdana"/>
        </w:rPr>
      </w:pPr>
      <w:r w:rsidRPr="009C4277">
        <w:rPr>
          <w:rFonts w:ascii="Verdana" w:hAnsi="Verdana"/>
        </w:rPr>
        <w:t xml:space="preserve">Twitter: </w:t>
      </w:r>
      <w:r w:rsidRPr="009C4277">
        <w:rPr>
          <w:rStyle w:val="Hipervnculo"/>
          <w:rFonts w:ascii="Verdana" w:hAnsi="Verdana"/>
          <w:color w:val="4472C4" w:themeColor="accent1"/>
        </w:rPr>
        <w:t>@colombiacompra</w:t>
      </w:r>
      <w:r w:rsidRPr="009C4277">
        <w:rPr>
          <w:rFonts w:ascii="Verdana" w:hAnsi="Verdana"/>
          <w:color w:val="4472C4" w:themeColor="accent1"/>
        </w:rPr>
        <w:t xml:space="preserve"> </w:t>
      </w:r>
    </w:p>
    <w:p w14:paraId="7A36EC9F" w14:textId="77777777" w:rsidR="007210C9" w:rsidRPr="009C4277" w:rsidRDefault="007210C9">
      <w:pPr>
        <w:spacing w:after="0" w:line="276" w:lineRule="auto"/>
        <w:jc w:val="both"/>
        <w:rPr>
          <w:rFonts w:ascii="Verdana" w:hAnsi="Verdana"/>
        </w:rPr>
      </w:pPr>
      <w:r w:rsidRPr="009C4277">
        <w:rPr>
          <w:rFonts w:ascii="Verdana" w:hAnsi="Verdana"/>
        </w:rPr>
        <w:t xml:space="preserve">Facebook: </w:t>
      </w:r>
      <w:r w:rsidRPr="009C4277">
        <w:rPr>
          <w:rStyle w:val="Hipervnculo"/>
          <w:rFonts w:ascii="Verdana" w:hAnsi="Verdana"/>
          <w:color w:val="4472C4" w:themeColor="accent1"/>
        </w:rPr>
        <w:t>ColombiaCompraEficiente</w:t>
      </w:r>
    </w:p>
    <w:p w14:paraId="2820907E" w14:textId="77777777" w:rsidR="007210C9" w:rsidRPr="009C4277" w:rsidRDefault="007210C9">
      <w:pPr>
        <w:spacing w:after="0" w:line="276" w:lineRule="auto"/>
        <w:jc w:val="both"/>
        <w:rPr>
          <w:rFonts w:ascii="Verdana" w:hAnsi="Verdana"/>
        </w:rPr>
      </w:pPr>
      <w:r w:rsidRPr="009C4277">
        <w:rPr>
          <w:rFonts w:ascii="Verdana" w:hAnsi="Verdana"/>
        </w:rPr>
        <w:t xml:space="preserve">LinkedIn: </w:t>
      </w:r>
      <w:r w:rsidRPr="009C4277">
        <w:rPr>
          <w:rStyle w:val="Hipervnculo"/>
          <w:rFonts w:ascii="Verdana" w:hAnsi="Verdana"/>
          <w:color w:val="4472C4" w:themeColor="accent1"/>
        </w:rPr>
        <w:t>Agencia Nacional de Contratación Pública - Colombia Compra Eficiente</w:t>
      </w:r>
      <w:r w:rsidRPr="009C4277">
        <w:rPr>
          <w:rFonts w:ascii="Verdana" w:hAnsi="Verdana"/>
          <w:color w:val="4472C4" w:themeColor="accent1"/>
        </w:rPr>
        <w:t xml:space="preserve"> </w:t>
      </w:r>
      <w:r w:rsidRPr="009C4277">
        <w:rPr>
          <w:rFonts w:ascii="Verdana" w:hAnsi="Verdana"/>
        </w:rPr>
        <w:t xml:space="preserve">Instagram: </w:t>
      </w:r>
      <w:r w:rsidRPr="009C4277">
        <w:rPr>
          <w:rStyle w:val="Hipervnculo"/>
          <w:rFonts w:ascii="Verdana" w:hAnsi="Verdana"/>
          <w:color w:val="4472C4" w:themeColor="accent1"/>
        </w:rPr>
        <w:t>@colombiacompraeficiente_cce</w:t>
      </w:r>
    </w:p>
    <w:p w14:paraId="0453FE94" w14:textId="77777777" w:rsidR="007210C9" w:rsidRPr="009C4277" w:rsidRDefault="007210C9">
      <w:pPr>
        <w:widowControl w:val="0"/>
        <w:autoSpaceDE w:val="0"/>
        <w:autoSpaceDN w:val="0"/>
        <w:spacing w:after="0" w:line="276" w:lineRule="auto"/>
        <w:jc w:val="both"/>
        <w:rPr>
          <w:rFonts w:ascii="Verdana" w:hAnsi="Verdana" w:cs="Arial"/>
        </w:rPr>
      </w:pPr>
    </w:p>
    <w:p w14:paraId="255A2E36" w14:textId="77777777" w:rsidR="007210C9" w:rsidRPr="009C4277" w:rsidRDefault="007210C9">
      <w:pPr>
        <w:widowControl w:val="0"/>
        <w:autoSpaceDE w:val="0"/>
        <w:autoSpaceDN w:val="0"/>
        <w:spacing w:after="0" w:line="276" w:lineRule="auto"/>
        <w:jc w:val="both"/>
        <w:rPr>
          <w:rFonts w:ascii="Verdana" w:hAnsi="Verdana" w:cs="Arial"/>
          <w:lang w:val="es-ES_tradnl"/>
        </w:rPr>
      </w:pPr>
      <w:r w:rsidRPr="009C4277">
        <w:rPr>
          <w:rFonts w:ascii="Verdana" w:hAnsi="Verdana" w:cs="Arial"/>
        </w:rPr>
        <w:lastRenderedPageBreak/>
        <w:t xml:space="preserve">Este concepto tiene el alcance previsto en el artículo 28 del Código de Procedimiento Administrativo y de lo Contencioso Administrativo </w:t>
      </w:r>
      <w:r w:rsidRPr="009C4277">
        <w:rPr>
          <w:rFonts w:ascii="Verdana" w:hAnsi="Verdana" w:cs="Arial"/>
          <w:lang w:val="es-ES_tradnl"/>
        </w:rPr>
        <w:t>y las expresiones aquí utilizadas con mayúscula inicial deben ser entendidas con el significado que les otorga el artículo 2.2.1.1.1.3.1. del Decreto 1082 de 2015.</w:t>
      </w:r>
    </w:p>
    <w:p w14:paraId="0FAB9B2C" w14:textId="77777777" w:rsidR="007210C9" w:rsidRPr="009C4277" w:rsidRDefault="007210C9">
      <w:pPr>
        <w:widowControl w:val="0"/>
        <w:autoSpaceDE w:val="0"/>
        <w:autoSpaceDN w:val="0"/>
        <w:spacing w:after="0" w:line="276" w:lineRule="auto"/>
        <w:jc w:val="both"/>
        <w:rPr>
          <w:rFonts w:ascii="Verdana" w:hAnsi="Verdana" w:cs="Arial"/>
        </w:rPr>
      </w:pPr>
    </w:p>
    <w:p w14:paraId="456C9A63" w14:textId="77777777" w:rsidR="007210C9" w:rsidRPr="009C4277" w:rsidRDefault="007210C9">
      <w:pPr>
        <w:spacing w:after="0" w:line="276" w:lineRule="auto"/>
        <w:jc w:val="both"/>
        <w:rPr>
          <w:rFonts w:ascii="Verdana" w:hAnsi="Verdana" w:cs="Arial"/>
          <w:lang w:eastAsia="es-CO"/>
        </w:rPr>
      </w:pPr>
      <w:r w:rsidRPr="009C4277">
        <w:rPr>
          <w:rFonts w:ascii="Verdana" w:eastAsia="Times New Roman" w:hAnsi="Verdana" w:cs="Arial"/>
          <w:lang w:eastAsia="es-CO"/>
        </w:rPr>
        <w:t>Atentamente,</w:t>
      </w:r>
      <w:r w:rsidRPr="009C4277">
        <w:rPr>
          <w:rFonts w:ascii="Verdana" w:hAnsi="Verdana" w:cs="Arial"/>
          <w:lang w:eastAsia="es-CO"/>
        </w:rPr>
        <w:t xml:space="preserve"> </w:t>
      </w:r>
    </w:p>
    <w:p w14:paraId="726B92AA" w14:textId="543E1D6F" w:rsidR="007210C9" w:rsidRPr="00E220ED" w:rsidRDefault="00A52E4A" w:rsidP="007210C9">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6DFC11C0" wp14:editId="7A41E3AA">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8"/>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210C9" w:rsidRPr="00E220ED" w14:paraId="0E235958" w14:textId="77777777" w:rsidTr="00A04A49">
        <w:trPr>
          <w:trHeight w:val="315"/>
        </w:trPr>
        <w:tc>
          <w:tcPr>
            <w:tcW w:w="893" w:type="dxa"/>
            <w:vAlign w:val="center"/>
            <w:hideMark/>
          </w:tcPr>
          <w:p w14:paraId="23E687A2" w14:textId="77777777" w:rsidR="007210C9" w:rsidRPr="00E220ED" w:rsidRDefault="007210C9" w:rsidP="00A04A49">
            <w:pPr>
              <w:contextualSpacing/>
              <w:rPr>
                <w:rFonts w:ascii="Verdana" w:hAnsi="Verdana" w:cs="Arial"/>
                <w:sz w:val="16"/>
                <w:szCs w:val="16"/>
                <w:lang w:val="es-ES" w:eastAsia="es-ES"/>
              </w:rPr>
            </w:pPr>
            <w:r w:rsidRPr="00E220ED">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DEE1FB3" w14:textId="77777777" w:rsidR="007210C9" w:rsidRPr="00E220ED" w:rsidRDefault="007210C9" w:rsidP="00A04A49">
            <w:pPr>
              <w:contextualSpacing/>
              <w:rPr>
                <w:rFonts w:ascii="Verdana" w:eastAsia="Arial" w:hAnsi="Verdana" w:cs="Arial"/>
                <w:sz w:val="16"/>
                <w:szCs w:val="16"/>
              </w:rPr>
            </w:pPr>
            <w:r w:rsidRPr="00E220ED">
              <w:rPr>
                <w:rStyle w:val="normaltextrun"/>
                <w:rFonts w:ascii="Verdana" w:hAnsi="Verdana"/>
                <w:sz w:val="16"/>
                <w:szCs w:val="16"/>
              </w:rPr>
              <w:t>Ana María Ortiz Ballesteros</w:t>
            </w:r>
          </w:p>
          <w:p w14:paraId="13430BAB" w14:textId="77777777" w:rsidR="007210C9" w:rsidRPr="00E220ED" w:rsidRDefault="007210C9" w:rsidP="00A04A49">
            <w:pPr>
              <w:contextualSpacing/>
              <w:rPr>
                <w:rFonts w:ascii="Verdana" w:eastAsia="Arial" w:hAnsi="Verdana" w:cs="Arial"/>
                <w:sz w:val="16"/>
                <w:szCs w:val="16"/>
              </w:rPr>
            </w:pPr>
            <w:r w:rsidRPr="00E220ED">
              <w:rPr>
                <w:rStyle w:val="normaltextrun"/>
                <w:rFonts w:ascii="Verdana" w:eastAsia="Arial" w:hAnsi="Verdana" w:cs="Arial"/>
                <w:sz w:val="16"/>
                <w:szCs w:val="16"/>
              </w:rPr>
              <w:t>C</w:t>
            </w:r>
            <w:r w:rsidRPr="00E220ED">
              <w:rPr>
                <w:rStyle w:val="normaltextrun"/>
                <w:rFonts w:ascii="Verdana" w:eastAsia="Arial" w:hAnsi="Verdana"/>
                <w:sz w:val="16"/>
                <w:szCs w:val="16"/>
              </w:rPr>
              <w:t>ontratista</w:t>
            </w:r>
            <w:r w:rsidRPr="00E220ED">
              <w:rPr>
                <w:rStyle w:val="normaltextrun"/>
                <w:rFonts w:ascii="Verdana" w:eastAsia="Arial" w:hAnsi="Verdana" w:cs="Arial"/>
                <w:sz w:val="16"/>
                <w:szCs w:val="16"/>
              </w:rPr>
              <w:t xml:space="preserve"> de la Subdirección de Gestión Contractual</w:t>
            </w:r>
          </w:p>
        </w:tc>
      </w:tr>
      <w:tr w:rsidR="007210C9" w:rsidRPr="00E220ED" w14:paraId="2D94E3B1" w14:textId="77777777" w:rsidTr="00A04A49">
        <w:trPr>
          <w:trHeight w:val="330"/>
        </w:trPr>
        <w:tc>
          <w:tcPr>
            <w:tcW w:w="893" w:type="dxa"/>
            <w:vAlign w:val="center"/>
            <w:hideMark/>
          </w:tcPr>
          <w:p w14:paraId="7D273D9C" w14:textId="77777777" w:rsidR="007210C9" w:rsidRPr="00E220ED" w:rsidRDefault="007210C9" w:rsidP="00A04A49">
            <w:pPr>
              <w:contextualSpacing/>
              <w:rPr>
                <w:rFonts w:ascii="Verdana" w:hAnsi="Verdana" w:cs="Arial"/>
                <w:sz w:val="16"/>
                <w:szCs w:val="16"/>
                <w:lang w:val="es-ES" w:eastAsia="es-ES"/>
              </w:rPr>
            </w:pPr>
            <w:r w:rsidRPr="00E220ED">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34E86E0" w14:textId="3D935C85" w:rsidR="009F1432" w:rsidRPr="00E220ED" w:rsidRDefault="009F1432" w:rsidP="009F1432">
            <w:pPr>
              <w:pStyle w:val="paragraph"/>
              <w:contextualSpacing/>
              <w:rPr>
                <w:rFonts w:ascii="Verdana" w:hAnsi="Verdana" w:cs="Arial"/>
                <w:sz w:val="16"/>
                <w:szCs w:val="16"/>
              </w:rPr>
            </w:pPr>
            <w:r w:rsidRPr="00E220ED">
              <w:rPr>
                <w:rFonts w:ascii="Verdana" w:hAnsi="Verdana" w:cs="Arial"/>
                <w:sz w:val="16"/>
                <w:szCs w:val="16"/>
              </w:rPr>
              <w:t>Diana Lucia Saavedra</w:t>
            </w:r>
            <w:r w:rsidR="00190B60" w:rsidRPr="00E220ED">
              <w:rPr>
                <w:rFonts w:ascii="Verdana" w:hAnsi="Verdana" w:cs="Arial"/>
                <w:sz w:val="16"/>
                <w:szCs w:val="16"/>
              </w:rPr>
              <w:t xml:space="preserve"> Castañeda</w:t>
            </w:r>
          </w:p>
          <w:p w14:paraId="1E5492EA" w14:textId="41517DBF" w:rsidR="007210C9" w:rsidRPr="00E220ED" w:rsidRDefault="009F1432" w:rsidP="00A04A49">
            <w:pPr>
              <w:pStyle w:val="paragraph"/>
              <w:contextualSpacing/>
              <w:rPr>
                <w:rFonts w:ascii="Verdana" w:hAnsi="Verdana" w:cs="Arial"/>
                <w:sz w:val="16"/>
                <w:szCs w:val="16"/>
              </w:rPr>
            </w:pPr>
            <w:r w:rsidRPr="00E220ED">
              <w:rPr>
                <w:rStyle w:val="normaltextrun"/>
                <w:rFonts w:ascii="Verdana" w:eastAsia="Arial" w:hAnsi="Verdana" w:cs="Arial"/>
                <w:sz w:val="16"/>
                <w:szCs w:val="16"/>
              </w:rPr>
              <w:t>C</w:t>
            </w:r>
            <w:r w:rsidRPr="00E220ED">
              <w:rPr>
                <w:rStyle w:val="normaltextrun"/>
                <w:rFonts w:ascii="Verdana" w:eastAsia="Arial" w:hAnsi="Verdana"/>
                <w:sz w:val="16"/>
                <w:szCs w:val="16"/>
              </w:rPr>
              <w:t>ontratista</w:t>
            </w:r>
            <w:r w:rsidRPr="00E220ED">
              <w:rPr>
                <w:rStyle w:val="normaltextrun"/>
                <w:rFonts w:ascii="Verdana" w:eastAsia="Arial" w:hAnsi="Verdana" w:cs="Arial"/>
                <w:sz w:val="16"/>
                <w:szCs w:val="16"/>
              </w:rPr>
              <w:t xml:space="preserve"> de la Subdirección de Gestión Contractual</w:t>
            </w:r>
          </w:p>
        </w:tc>
      </w:tr>
      <w:tr w:rsidR="007210C9" w:rsidRPr="00E220ED" w14:paraId="3732DB5C" w14:textId="77777777" w:rsidTr="00A04A49">
        <w:trPr>
          <w:trHeight w:val="300"/>
        </w:trPr>
        <w:tc>
          <w:tcPr>
            <w:tcW w:w="893" w:type="dxa"/>
            <w:vAlign w:val="center"/>
          </w:tcPr>
          <w:p w14:paraId="43EFB81F" w14:textId="77777777" w:rsidR="007210C9" w:rsidRPr="00E220ED" w:rsidRDefault="007210C9" w:rsidP="00A04A49">
            <w:pPr>
              <w:contextualSpacing/>
              <w:rPr>
                <w:rFonts w:ascii="Verdana" w:hAnsi="Verdana" w:cs="Arial"/>
                <w:sz w:val="16"/>
                <w:szCs w:val="16"/>
                <w:lang w:val="es-ES" w:eastAsia="es-ES"/>
              </w:rPr>
            </w:pPr>
            <w:r w:rsidRPr="00E220ED">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E77474A" w14:textId="77777777" w:rsidR="007210C9" w:rsidRPr="00E220ED" w:rsidRDefault="007210C9" w:rsidP="00A04A49">
            <w:pPr>
              <w:contextualSpacing/>
              <w:rPr>
                <w:rFonts w:ascii="Verdana" w:eastAsia="Calibri" w:hAnsi="Verdana" w:cs="Arial"/>
                <w:sz w:val="16"/>
                <w:szCs w:val="16"/>
                <w:lang w:val="pt-BR" w:eastAsia="es-ES"/>
              </w:rPr>
            </w:pPr>
            <w:r w:rsidRPr="00E220ED">
              <w:rPr>
                <w:rFonts w:ascii="Verdana" w:eastAsia="Calibri" w:hAnsi="Verdana" w:cs="Arial"/>
                <w:sz w:val="16"/>
                <w:szCs w:val="16"/>
                <w:lang w:val="pt-BR" w:eastAsia="es-ES"/>
              </w:rPr>
              <w:t>Carolina Quintero Gacharná</w:t>
            </w:r>
          </w:p>
          <w:p w14:paraId="20F6CD68" w14:textId="77777777" w:rsidR="007210C9" w:rsidRPr="00E220ED" w:rsidRDefault="007210C9" w:rsidP="00A04A49">
            <w:pPr>
              <w:contextualSpacing/>
              <w:rPr>
                <w:rFonts w:ascii="Verdana" w:eastAsia="Calibri" w:hAnsi="Verdana" w:cs="Arial"/>
                <w:sz w:val="16"/>
                <w:szCs w:val="16"/>
                <w:lang w:val="pt-BR" w:eastAsia="es-ES"/>
              </w:rPr>
            </w:pPr>
            <w:r w:rsidRPr="00E220ED">
              <w:rPr>
                <w:rFonts w:ascii="Verdana" w:eastAsia="Calibri" w:hAnsi="Verdana" w:cs="Arial"/>
                <w:sz w:val="16"/>
                <w:szCs w:val="16"/>
                <w:lang w:eastAsia="es-ES"/>
              </w:rPr>
              <w:t>Subdirectora</w:t>
            </w:r>
            <w:r w:rsidRPr="00E220ED">
              <w:rPr>
                <w:rFonts w:ascii="Verdana" w:eastAsia="Calibri" w:hAnsi="Verdana" w:cs="Arial"/>
                <w:sz w:val="16"/>
                <w:szCs w:val="16"/>
                <w:lang w:val="pt-BR" w:eastAsia="es-ES"/>
              </w:rPr>
              <w:t xml:space="preserve"> de Gestión Contractual ANCP – CCE</w:t>
            </w:r>
          </w:p>
        </w:tc>
      </w:tr>
    </w:tbl>
    <w:p w14:paraId="35162453" w14:textId="77777777" w:rsidR="007210C9" w:rsidRPr="00E220ED" w:rsidRDefault="007210C9" w:rsidP="007210C9">
      <w:pPr>
        <w:spacing w:after="0" w:line="240" w:lineRule="auto"/>
        <w:textAlignment w:val="baseline"/>
        <w:rPr>
          <w:rFonts w:ascii="Verdana" w:eastAsia="Verdana" w:hAnsi="Verdana" w:cs="Verdana"/>
          <w:b/>
          <w:bCs/>
          <w:lang w:val="es-MX"/>
        </w:rPr>
      </w:pPr>
      <w:r w:rsidRPr="00E220ED">
        <w:rPr>
          <w:rFonts w:ascii="Verdana" w:eastAsia="Verdana" w:hAnsi="Verdana" w:cs="Verdana"/>
          <w:lang w:eastAsia="es-CO"/>
        </w:rPr>
        <w:t> </w:t>
      </w:r>
    </w:p>
    <w:p w14:paraId="2D7C5E11" w14:textId="1C9ACA1B" w:rsidR="007210C9" w:rsidRPr="00E220ED" w:rsidRDefault="007210C9" w:rsidP="007210C9">
      <w:pPr>
        <w:spacing w:after="0" w:line="240" w:lineRule="auto"/>
        <w:textAlignment w:val="baseline"/>
        <w:rPr>
          <w:rFonts w:ascii="Verdana" w:eastAsia="Verdana" w:hAnsi="Verdana" w:cs="Verdana"/>
          <w:lang w:eastAsia="es-CO"/>
        </w:rPr>
      </w:pPr>
      <w:r w:rsidRPr="00E220ED">
        <w:rPr>
          <w:rFonts w:ascii="Verdana" w:eastAsia="Verdana" w:hAnsi="Verdana" w:cs="Verdana"/>
          <w:lang w:eastAsia="es-CO"/>
        </w:rPr>
        <w:t> </w:t>
      </w:r>
    </w:p>
    <w:p w14:paraId="5561179C" w14:textId="77777777" w:rsidR="00DF3672" w:rsidRPr="00E220ED" w:rsidRDefault="00DF3672" w:rsidP="30821638">
      <w:pPr>
        <w:spacing w:after="0" w:line="240" w:lineRule="auto"/>
        <w:jc w:val="both"/>
        <w:rPr>
          <w:rFonts w:ascii="Verdana" w:eastAsia="Verdana" w:hAnsi="Verdana" w:cs="Verdana"/>
          <w:b/>
          <w:bCs/>
          <w:lang w:val="es-MX"/>
        </w:rPr>
      </w:pPr>
    </w:p>
    <w:p w14:paraId="3BAACB44" w14:textId="77777777" w:rsidR="00DF3672" w:rsidRPr="00E220ED" w:rsidRDefault="00DF3672" w:rsidP="30821638">
      <w:pPr>
        <w:spacing w:after="0" w:line="240" w:lineRule="auto"/>
        <w:jc w:val="both"/>
        <w:rPr>
          <w:rFonts w:ascii="Verdana" w:eastAsia="Verdana" w:hAnsi="Verdana" w:cs="Verdana"/>
          <w:b/>
          <w:bCs/>
          <w:lang w:val="es-MX"/>
        </w:rPr>
      </w:pPr>
    </w:p>
    <w:p w14:paraId="4395CF70" w14:textId="77777777" w:rsidR="00DF3672" w:rsidRPr="00E220ED" w:rsidRDefault="00DF3672" w:rsidP="30821638">
      <w:pPr>
        <w:spacing w:after="0" w:line="240" w:lineRule="auto"/>
        <w:jc w:val="both"/>
        <w:rPr>
          <w:rFonts w:ascii="Verdana" w:eastAsia="Verdana" w:hAnsi="Verdana" w:cs="Verdana"/>
          <w:b/>
          <w:bCs/>
          <w:lang w:val="es-MX"/>
        </w:rPr>
      </w:pPr>
    </w:p>
    <w:p w14:paraId="7C9026E2" w14:textId="77777777" w:rsidR="002A0DD0" w:rsidRPr="00E220ED" w:rsidRDefault="002A0DD0" w:rsidP="30821638">
      <w:pPr>
        <w:spacing w:after="0" w:line="240" w:lineRule="auto"/>
        <w:jc w:val="both"/>
        <w:rPr>
          <w:rFonts w:ascii="Verdana" w:eastAsia="Verdana" w:hAnsi="Verdana" w:cs="Verdana"/>
          <w:b/>
          <w:bCs/>
          <w:lang w:val="es-MX"/>
        </w:rPr>
      </w:pPr>
    </w:p>
    <w:p w14:paraId="1006A388" w14:textId="77777777" w:rsidR="00C15139" w:rsidRPr="00E220ED" w:rsidRDefault="00C15139" w:rsidP="30821638">
      <w:pPr>
        <w:spacing w:after="0" w:line="240" w:lineRule="auto"/>
        <w:jc w:val="both"/>
        <w:textAlignment w:val="baseline"/>
        <w:rPr>
          <w:rFonts w:ascii="Verdana" w:eastAsia="Verdana" w:hAnsi="Verdana" w:cs="Verdana"/>
          <w:lang w:eastAsia="es-CO"/>
        </w:rPr>
      </w:pPr>
    </w:p>
    <w:p w14:paraId="69BC4D14" w14:textId="43A31DC8" w:rsidR="00C15139" w:rsidRPr="00E220ED" w:rsidRDefault="00C15139" w:rsidP="30821638">
      <w:pPr>
        <w:spacing w:after="0" w:line="240" w:lineRule="auto"/>
        <w:textAlignment w:val="baseline"/>
        <w:rPr>
          <w:rFonts w:ascii="Verdana" w:eastAsia="Verdana" w:hAnsi="Verdana" w:cs="Verdana"/>
          <w:lang w:eastAsia="es-CO"/>
        </w:rPr>
      </w:pPr>
      <w:r w:rsidRPr="00E220ED">
        <w:rPr>
          <w:rFonts w:ascii="Verdana" w:eastAsia="Verdana" w:hAnsi="Verdana" w:cs="Verdana"/>
          <w:lang w:eastAsia="es-CO"/>
        </w:rPr>
        <w:t> </w:t>
      </w:r>
      <w:bookmarkEnd w:id="0"/>
    </w:p>
    <w:sectPr w:rsidR="00C15139" w:rsidRPr="00E220ED" w:rsidSect="007C0C0F">
      <w:headerReference w:type="default" r:id="rId19"/>
      <w:footerReference w:type="even" r:id="rId20"/>
      <w:footerReference w:type="default" r:id="rId21"/>
      <w:footerReference w:type="firs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A47D1" w14:textId="77777777" w:rsidR="006C6744" w:rsidRDefault="006C6744" w:rsidP="004A1847">
      <w:pPr>
        <w:spacing w:after="0" w:line="240" w:lineRule="auto"/>
      </w:pPr>
      <w:r>
        <w:separator/>
      </w:r>
    </w:p>
  </w:endnote>
  <w:endnote w:type="continuationSeparator" w:id="0">
    <w:p w14:paraId="5F2976F7" w14:textId="77777777" w:rsidR="006C6744" w:rsidRDefault="006C674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0D6B6" w14:textId="7DEBD7A9" w:rsidR="006B4E4C" w:rsidRDefault="006B4E4C">
    <w:pPr>
      <w:pStyle w:val="Piedepgina"/>
    </w:pPr>
    <w:r>
      <w:rPr>
        <w:noProof/>
      </w:rPr>
      <mc:AlternateContent>
        <mc:Choice Requires="wps">
          <w:drawing>
            <wp:anchor distT="0" distB="0" distL="0" distR="0" simplePos="0" relativeHeight="251660289" behindDoc="0" locked="0" layoutInCell="1" allowOverlap="1" wp14:anchorId="5BBD7796" wp14:editId="5B1667CD">
              <wp:simplePos x="635" y="635"/>
              <wp:positionH relativeFrom="page">
                <wp:align>left</wp:align>
              </wp:positionH>
              <wp:positionV relativeFrom="page">
                <wp:align>bottom</wp:align>
              </wp:positionV>
              <wp:extent cx="1360170" cy="357505"/>
              <wp:effectExtent l="0" t="0" r="11430" b="0"/>
              <wp:wrapNone/>
              <wp:docPr id="1852793406" name="Text Box 2" descr="Información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60170" cy="357505"/>
                      </a:xfrm>
                      <a:prstGeom prst="rect">
                        <a:avLst/>
                      </a:prstGeom>
                      <a:noFill/>
                      <a:ln>
                        <a:noFill/>
                      </a:ln>
                    </wps:spPr>
                    <wps:txbx>
                      <w:txbxContent>
                        <w:p w14:paraId="6D6EEECF" w14:textId="53CC6D17" w:rsidR="006B4E4C" w:rsidRPr="006B4E4C" w:rsidRDefault="006B4E4C" w:rsidP="006B4E4C">
                          <w:pPr>
                            <w:spacing w:after="0"/>
                            <w:rPr>
                              <w:rFonts w:ascii="Aptos" w:eastAsia="Aptos" w:hAnsi="Aptos" w:cs="Aptos"/>
                              <w:noProof/>
                              <w:color w:val="000000"/>
                              <w:sz w:val="20"/>
                              <w:szCs w:val="20"/>
                            </w:rPr>
                          </w:pPr>
                          <w:r w:rsidRPr="006B4E4C">
                            <w:rPr>
                              <w:rFonts w:ascii="Aptos" w:eastAsia="Aptos" w:hAnsi="Aptos" w:cs="Aptos"/>
                              <w:noProof/>
                              <w:color w:val="000000"/>
                              <w:sz w:val="20"/>
                              <w:szCs w:val="20"/>
                            </w:rPr>
                            <w:t>Información 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BBD7796" id="_x0000_t202" coordsize="21600,21600" o:spt="202" path="m,l,21600r21600,l21600,xe">
              <v:stroke joinstyle="miter"/>
              <v:path gradientshapeok="t" o:connecttype="rect"/>
            </v:shapetype>
            <v:shape id="Text Box 2" o:spid="_x0000_s1026" type="#_x0000_t202" alt="Información Pública" style="position:absolute;margin-left:0;margin-top:0;width:107.1pt;height:28.15pt;z-index:251660289;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" filled="f" stroked="f">
              <v:textbox style="mso-fit-shape-to-text:t" inset="20pt,0,0,15pt">
                <w:txbxContent>
                  <w:p w14:paraId="6D6EEECF" w14:textId="53CC6D17" w:rsidR="006B4E4C" w:rsidRPr="006B4E4C" w:rsidRDefault="006B4E4C" w:rsidP="006B4E4C">
                    <w:pPr>
                      <w:spacing w:after="0"/>
                      <w:rPr>
                        <w:rFonts w:ascii="Aptos" w:eastAsia="Aptos" w:hAnsi="Aptos" w:cs="Aptos"/>
                        <w:noProof/>
                        <w:color w:val="000000"/>
                        <w:sz w:val="20"/>
                        <w:szCs w:val="20"/>
                      </w:rPr>
                    </w:pPr>
                    <w:r w:rsidRPr="006B4E4C">
                      <w:rPr>
                        <w:rFonts w:ascii="Aptos" w:eastAsia="Aptos" w:hAnsi="Aptos" w:cs="Aptos"/>
                        <w:noProof/>
                        <w:color w:val="000000"/>
                        <w:sz w:val="20"/>
                        <w:szCs w:val="20"/>
                      </w:rPr>
                      <w:t>Información Pública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5C42D4D1" w:rsidR="004A1847" w:rsidRDefault="006B4E4C">
    <w:pPr>
      <w:pStyle w:val="Piedepgina"/>
    </w:pPr>
    <w:r>
      <w:rPr>
        <w:noProof/>
      </w:rPr>
      <mc:AlternateContent>
        <mc:Choice Requires="wps">
          <w:drawing>
            <wp:anchor distT="0" distB="0" distL="0" distR="0" simplePos="0" relativeHeight="251661313" behindDoc="0" locked="0" layoutInCell="1" allowOverlap="1" wp14:anchorId="0AEB2F2B" wp14:editId="0D8C3CFF">
              <wp:simplePos x="0" y="0"/>
              <wp:positionH relativeFrom="page">
                <wp:align>left</wp:align>
              </wp:positionH>
              <wp:positionV relativeFrom="page">
                <wp:align>bottom</wp:align>
              </wp:positionV>
              <wp:extent cx="1360170" cy="357505"/>
              <wp:effectExtent l="0" t="0" r="11430" b="0"/>
              <wp:wrapNone/>
              <wp:docPr id="78361334" name="Text Box 3" descr="Información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60170" cy="357505"/>
                      </a:xfrm>
                      <a:prstGeom prst="rect">
                        <a:avLst/>
                      </a:prstGeom>
                      <a:noFill/>
                      <a:ln>
                        <a:noFill/>
                      </a:ln>
                    </wps:spPr>
                    <wps:txbx>
                      <w:txbxContent>
                        <w:p w14:paraId="3E3FC8E2" w14:textId="300A4EA2" w:rsidR="006B4E4C" w:rsidRPr="006B4E4C" w:rsidRDefault="006B4E4C" w:rsidP="006B4E4C">
                          <w:pPr>
                            <w:spacing w:after="0"/>
                            <w:rPr>
                              <w:rFonts w:ascii="Aptos" w:eastAsia="Aptos" w:hAnsi="Aptos" w:cs="Aptos"/>
                              <w:noProof/>
                              <w:color w:val="000000"/>
                              <w:sz w:val="20"/>
                              <w:szCs w:val="20"/>
                            </w:rPr>
                          </w:pPr>
                          <w:r w:rsidRPr="006B4E4C">
                            <w:rPr>
                              <w:rFonts w:ascii="Aptos" w:eastAsia="Aptos" w:hAnsi="Aptos" w:cs="Aptos"/>
                              <w:noProof/>
                              <w:color w:val="000000"/>
                              <w:sz w:val="20"/>
                              <w:szCs w:val="20"/>
                            </w:rPr>
                            <w:t>Información 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AEB2F2B" id="_x0000_t202" coordsize="21600,21600" o:spt="202" path="m,l,21600r21600,l21600,xe">
              <v:stroke joinstyle="miter"/>
              <v:path gradientshapeok="t" o:connecttype="rect"/>
            </v:shapetype>
            <v:shape id="Text Box 3" o:spid="_x0000_s1027" type="#_x0000_t202" alt="Información Pública" style="position:absolute;margin-left:0;margin-top:0;width:107.1pt;height:28.15pt;z-index:25166131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" filled="f" stroked="f">
              <v:textbox style="mso-fit-shape-to-text:t" inset="20pt,0,0,15pt">
                <w:txbxContent>
                  <w:p w14:paraId="3E3FC8E2" w14:textId="300A4EA2" w:rsidR="006B4E4C" w:rsidRPr="006B4E4C" w:rsidRDefault="006B4E4C" w:rsidP="006B4E4C">
                    <w:pPr>
                      <w:spacing w:after="0"/>
                      <w:rPr>
                        <w:rFonts w:ascii="Aptos" w:eastAsia="Aptos" w:hAnsi="Aptos" w:cs="Aptos"/>
                        <w:noProof/>
                        <w:color w:val="000000"/>
                        <w:sz w:val="20"/>
                        <w:szCs w:val="20"/>
                      </w:rPr>
                    </w:pPr>
                    <w:r w:rsidRPr="006B4E4C">
                      <w:rPr>
                        <w:rFonts w:ascii="Aptos" w:eastAsia="Aptos" w:hAnsi="Aptos" w:cs="Aptos"/>
                        <w:noProof/>
                        <w:color w:val="000000"/>
                        <w:sz w:val="20"/>
                        <w:szCs w:val="20"/>
                      </w:rPr>
                      <w:t>Información Pública</w:t>
                    </w:r>
                  </w:p>
                </w:txbxContent>
              </v:textbox>
              <w10:wrap anchorx="page" anchory="page"/>
            </v:shape>
          </w:pict>
        </mc:Fallback>
      </mc:AlternateContent>
    </w: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A71AE" w14:textId="0C80CBB8" w:rsidR="006B4E4C" w:rsidRDefault="006B4E4C">
    <w:pPr>
      <w:pStyle w:val="Piedepgina"/>
    </w:pPr>
    <w:r>
      <w:rPr>
        <w:noProof/>
      </w:rPr>
      <mc:AlternateContent>
        <mc:Choice Requires="wps">
          <w:drawing>
            <wp:anchor distT="0" distB="0" distL="0" distR="0" simplePos="0" relativeHeight="251659265" behindDoc="0" locked="0" layoutInCell="1" allowOverlap="1" wp14:anchorId="4414071E" wp14:editId="3D69877D">
              <wp:simplePos x="635" y="635"/>
              <wp:positionH relativeFrom="page">
                <wp:align>left</wp:align>
              </wp:positionH>
              <wp:positionV relativeFrom="page">
                <wp:align>bottom</wp:align>
              </wp:positionV>
              <wp:extent cx="1360170" cy="357505"/>
              <wp:effectExtent l="0" t="0" r="11430" b="0"/>
              <wp:wrapNone/>
              <wp:docPr id="223912981" name="Text Box 1" descr="Información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60170" cy="357505"/>
                      </a:xfrm>
                      <a:prstGeom prst="rect">
                        <a:avLst/>
                      </a:prstGeom>
                      <a:noFill/>
                      <a:ln>
                        <a:noFill/>
                      </a:ln>
                    </wps:spPr>
                    <wps:txbx>
                      <w:txbxContent>
                        <w:p w14:paraId="5876EB11" w14:textId="6524D57F" w:rsidR="006B4E4C" w:rsidRPr="006B4E4C" w:rsidRDefault="006B4E4C" w:rsidP="006B4E4C">
                          <w:pPr>
                            <w:spacing w:after="0"/>
                            <w:rPr>
                              <w:rFonts w:ascii="Aptos" w:eastAsia="Aptos" w:hAnsi="Aptos" w:cs="Aptos"/>
                              <w:noProof/>
                              <w:color w:val="000000"/>
                              <w:sz w:val="20"/>
                              <w:szCs w:val="20"/>
                            </w:rPr>
                          </w:pPr>
                          <w:r w:rsidRPr="006B4E4C">
                            <w:rPr>
                              <w:rFonts w:ascii="Aptos" w:eastAsia="Aptos" w:hAnsi="Aptos" w:cs="Aptos"/>
                              <w:noProof/>
                              <w:color w:val="000000"/>
                              <w:sz w:val="20"/>
                              <w:szCs w:val="20"/>
                            </w:rPr>
                            <w:t>Información 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414071E" id="_x0000_t202" coordsize="21600,21600" o:spt="202" path="m,l,21600r21600,l21600,xe">
              <v:stroke joinstyle="miter"/>
              <v:path gradientshapeok="t" o:connecttype="rect"/>
            </v:shapetype>
            <v:shape id="Text Box 1" o:spid="_x0000_s1028" type="#_x0000_t202" alt="Información Pública" style="position:absolute;margin-left:0;margin-top:0;width:107.1pt;height:28.15pt;z-index:25165926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" filled="f" stroked="f">
              <v:textbox style="mso-fit-shape-to-text:t" inset="20pt,0,0,15pt">
                <w:txbxContent>
                  <w:p w14:paraId="5876EB11" w14:textId="6524D57F" w:rsidR="006B4E4C" w:rsidRPr="006B4E4C" w:rsidRDefault="006B4E4C" w:rsidP="006B4E4C">
                    <w:pPr>
                      <w:spacing w:after="0"/>
                      <w:rPr>
                        <w:rFonts w:ascii="Aptos" w:eastAsia="Aptos" w:hAnsi="Aptos" w:cs="Aptos"/>
                        <w:noProof/>
                        <w:color w:val="000000"/>
                        <w:sz w:val="20"/>
                        <w:szCs w:val="20"/>
                      </w:rPr>
                    </w:pPr>
                    <w:r w:rsidRPr="006B4E4C">
                      <w:rPr>
                        <w:rFonts w:ascii="Aptos" w:eastAsia="Aptos" w:hAnsi="Aptos" w:cs="Aptos"/>
                        <w:noProof/>
                        <w:color w:val="000000"/>
                        <w:sz w:val="20"/>
                        <w:szCs w:val="20"/>
                      </w:rPr>
                      <w:t>Información Pública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1DD6B" w14:textId="77777777" w:rsidR="006C6744" w:rsidRDefault="006C6744" w:rsidP="004A1847">
      <w:pPr>
        <w:spacing w:after="0" w:line="240" w:lineRule="auto"/>
      </w:pPr>
      <w:r>
        <w:separator/>
      </w:r>
    </w:p>
  </w:footnote>
  <w:footnote w:type="continuationSeparator" w:id="0">
    <w:p w14:paraId="587EE152" w14:textId="77777777" w:rsidR="006C6744" w:rsidRDefault="006C6744" w:rsidP="004A1847">
      <w:pPr>
        <w:spacing w:after="0" w:line="240" w:lineRule="auto"/>
      </w:pPr>
      <w:r>
        <w:continuationSeparator/>
      </w:r>
    </w:p>
  </w:footnote>
  <w:footnote w:id="1">
    <w:p w14:paraId="0EA48263" w14:textId="5E2D7996" w:rsidR="00FD56EB" w:rsidRPr="009879CC" w:rsidRDefault="00FD56EB" w:rsidP="006E404A">
      <w:pPr>
        <w:pStyle w:val="NormalWeb"/>
        <w:spacing w:before="0" w:beforeAutospacing="0" w:after="0" w:afterAutospacing="0"/>
        <w:ind w:firstLine="709"/>
        <w:jc w:val="both"/>
        <w:rPr>
          <w:rFonts w:ascii="Verdana" w:hAnsi="Verdana" w:cs="Arial"/>
          <w:sz w:val="18"/>
          <w:szCs w:val="18"/>
        </w:rPr>
      </w:pPr>
      <w:r w:rsidRPr="009879CC">
        <w:rPr>
          <w:rStyle w:val="Refdenotaalpie"/>
          <w:rFonts w:ascii="Verdana" w:hAnsi="Verdana" w:cs="Arial"/>
          <w:sz w:val="18"/>
          <w:szCs w:val="18"/>
        </w:rPr>
        <w:footnoteRef/>
      </w:r>
      <w:r w:rsidRPr="009879CC">
        <w:rPr>
          <w:rFonts w:ascii="Verdana" w:hAnsi="Verdana" w:cs="Arial"/>
          <w:sz w:val="18"/>
          <w:szCs w:val="18"/>
        </w:rPr>
        <w:t xml:space="preserve"> </w:t>
      </w:r>
      <w:r w:rsidRPr="009879CC">
        <w:rPr>
          <w:rFonts w:ascii="Verdana" w:hAnsi="Verdana" w:cs="Arial"/>
          <w:sz w:val="18"/>
          <w:szCs w:val="18"/>
          <w:lang w:val="es-ES"/>
        </w:rPr>
        <w:t>“</w:t>
      </w:r>
      <w:r w:rsidRPr="009879CC">
        <w:rPr>
          <w:rFonts w:ascii="Verdana" w:hAnsi="Verdana" w:cs="Arial"/>
          <w:sz w:val="18"/>
          <w:szCs w:val="18"/>
        </w:rPr>
        <w:t>Para poder participar en los procesos de selección de los contratos de obra, la capacidad residual del proponente o K de contratación deberá ser igual o superior al que la entidad haya establecido para el efecto en los pliegos de condiciones. 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r w:rsidR="009D6297" w:rsidRPr="009879CC">
        <w:rPr>
          <w:rFonts w:ascii="Verdana" w:hAnsi="Verdana" w:cs="Arial"/>
          <w:sz w:val="18"/>
          <w:szCs w:val="18"/>
        </w:rPr>
        <w:t xml:space="preserve"> </w:t>
      </w:r>
    </w:p>
    <w:p w14:paraId="037550C4" w14:textId="77777777" w:rsidR="009D6297" w:rsidRPr="009879CC" w:rsidRDefault="009D6297" w:rsidP="006E404A">
      <w:pPr>
        <w:pStyle w:val="NormalWeb"/>
        <w:spacing w:before="0" w:beforeAutospacing="0" w:after="0" w:afterAutospacing="0"/>
        <w:ind w:firstLine="709"/>
        <w:jc w:val="both"/>
        <w:rPr>
          <w:rFonts w:ascii="Verdana" w:hAnsi="Verdana" w:cs="Arial"/>
          <w:sz w:val="18"/>
          <w:szCs w:val="18"/>
        </w:rPr>
      </w:pPr>
    </w:p>
  </w:footnote>
  <w:footnote w:id="2">
    <w:p w14:paraId="582AC9A9" w14:textId="1A47757E" w:rsidR="00FD56EB" w:rsidRPr="009879CC" w:rsidRDefault="00FD56EB" w:rsidP="008B4C2B">
      <w:pPr>
        <w:pStyle w:val="Textonotapie"/>
        <w:rPr>
          <w:rFonts w:ascii="Verdana" w:hAnsi="Verdana"/>
          <w:sz w:val="18"/>
          <w:szCs w:val="18"/>
          <w:lang w:val="es-ES"/>
        </w:rPr>
      </w:pPr>
      <w:r w:rsidRPr="009879CC">
        <w:rPr>
          <w:rFonts w:ascii="Verdana" w:hAnsi="Verdana"/>
          <w:sz w:val="18"/>
          <w:szCs w:val="18"/>
        </w:rPr>
        <w:t xml:space="preserve">                </w:t>
      </w:r>
      <w:r w:rsidRPr="009879CC">
        <w:rPr>
          <w:rStyle w:val="Refdenotaalpie"/>
          <w:rFonts w:ascii="Verdana" w:hAnsi="Verdana"/>
          <w:sz w:val="18"/>
          <w:szCs w:val="18"/>
        </w:rPr>
        <w:footnoteRef/>
      </w:r>
      <w:r w:rsidRPr="009879CC">
        <w:rPr>
          <w:rFonts w:ascii="Verdana" w:hAnsi="Verdana"/>
          <w:sz w:val="18"/>
          <w:szCs w:val="18"/>
        </w:rPr>
        <w:t xml:space="preserve">Disponible en: </w:t>
      </w:r>
      <w:hyperlink r:id="rId1" w:history="1">
        <w:r w:rsidR="00EF43E4" w:rsidRPr="009879CC">
          <w:rPr>
            <w:rStyle w:val="Hipervnculo"/>
            <w:rFonts w:ascii="Verdana" w:hAnsi="Verdana"/>
            <w:sz w:val="18"/>
            <w:szCs w:val="18"/>
          </w:rPr>
          <w:t>https://www.colombiacompra.gov.co/archivos/manual/manual-para-determinar-y-verificar-los-requisitos-habilitantes-en-los-procesos-de-contratacion</w:t>
        </w:r>
      </w:hyperlink>
      <w:r w:rsidR="00EF43E4" w:rsidRPr="009879CC">
        <w:rPr>
          <w:rFonts w:ascii="Verdana" w:hAnsi="Verdana"/>
          <w:sz w:val="18"/>
          <w:szCs w:val="18"/>
        </w:rPr>
        <w:t xml:space="preserve"> </w:t>
      </w:r>
    </w:p>
  </w:footnote>
  <w:footnote w:id="3">
    <w:p w14:paraId="7C872CFC" w14:textId="77777777" w:rsidR="00FD56EB" w:rsidRPr="009879CC" w:rsidRDefault="00FD56EB" w:rsidP="006E404A">
      <w:pPr>
        <w:pStyle w:val="NormalWeb"/>
        <w:spacing w:before="0" w:beforeAutospacing="0" w:after="0" w:afterAutospacing="0"/>
        <w:ind w:firstLine="708"/>
        <w:jc w:val="both"/>
        <w:rPr>
          <w:rFonts w:ascii="Verdana" w:hAnsi="Verdana" w:cs="Arial"/>
          <w:sz w:val="18"/>
          <w:szCs w:val="18"/>
          <w:lang w:val="es-ES"/>
        </w:rPr>
      </w:pPr>
      <w:r w:rsidRPr="009879CC">
        <w:rPr>
          <w:rStyle w:val="Refdenotaalpie"/>
          <w:rFonts w:ascii="Verdana" w:hAnsi="Verdana" w:cs="Arial"/>
          <w:sz w:val="18"/>
          <w:szCs w:val="18"/>
        </w:rPr>
        <w:footnoteRef/>
      </w:r>
      <w:r w:rsidRPr="009879CC">
        <w:rPr>
          <w:rStyle w:val="Refdenotaalpie"/>
          <w:rFonts w:ascii="Verdana" w:hAnsi="Verdana" w:cs="Arial"/>
          <w:sz w:val="18"/>
          <w:szCs w:val="18"/>
        </w:rPr>
        <w:t xml:space="preserve"> “</w:t>
      </w:r>
      <w:r w:rsidRPr="009879CC">
        <w:rPr>
          <w:rFonts w:ascii="Verdana" w:hAnsi="Verdana" w:cs="Arial"/>
          <w:sz w:val="18"/>
          <w:szCs w:val="18"/>
          <w:lang w:val="es-ES"/>
        </w:rPr>
        <w:t>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5CB1F971" w14:textId="77777777" w:rsidR="009D6297" w:rsidRPr="009879CC" w:rsidRDefault="009D6297" w:rsidP="006E404A">
      <w:pPr>
        <w:pStyle w:val="NormalWeb"/>
        <w:spacing w:before="0" w:beforeAutospacing="0" w:after="0" w:afterAutospacing="0"/>
        <w:ind w:firstLine="709"/>
        <w:jc w:val="both"/>
        <w:rPr>
          <w:rFonts w:ascii="Verdana" w:hAnsi="Verdana" w:cs="Arial"/>
          <w:sz w:val="18"/>
          <w:szCs w:val="18"/>
          <w:lang w:val="es-ES"/>
        </w:rPr>
      </w:pPr>
    </w:p>
    <w:p w14:paraId="68D5C285" w14:textId="77777777" w:rsidR="00FD56EB" w:rsidRPr="009879CC" w:rsidRDefault="00FD56EB" w:rsidP="006E404A">
      <w:pPr>
        <w:pStyle w:val="NormalWeb"/>
        <w:spacing w:before="0" w:beforeAutospacing="0" w:after="0" w:afterAutospacing="0"/>
        <w:ind w:firstLine="709"/>
        <w:jc w:val="both"/>
        <w:rPr>
          <w:rFonts w:ascii="Verdana" w:hAnsi="Verdana" w:cs="Arial"/>
          <w:sz w:val="18"/>
          <w:szCs w:val="18"/>
          <w:lang w:val="es-ES"/>
        </w:rPr>
      </w:pPr>
      <w:r w:rsidRPr="009879CC">
        <w:rPr>
          <w:rFonts w:ascii="Verdana" w:hAnsi="Verdana" w:cs="Arial"/>
          <w:sz w:val="18"/>
          <w:szCs w:val="18"/>
          <w:lang w:val="es-ES"/>
        </w:rPr>
        <w:t>“Parágrafo Transitorio. </w:t>
      </w:r>
      <w:hyperlink r:id="rId2" w:tgtFrame="_blank" w:history="1">
        <w:r w:rsidRPr="009879CC">
          <w:rPr>
            <w:rFonts w:ascii="Verdana" w:hAnsi="Verdana"/>
            <w:sz w:val="18"/>
            <w:szCs w:val="18"/>
          </w:rPr>
          <w:t>https://colaboracion.dnp.gov.co/CDT/Normatividad/DECRETO 579 DEL 31 DE MAYO DE 2021.pdf</w:t>
        </w:r>
      </w:hyperlink>
      <w:r w:rsidRPr="009879CC">
        <w:rPr>
          <w:rFonts w:ascii="Verdana" w:hAnsi="Verdana" w:cs="Arial"/>
          <w:sz w:val="18"/>
          <w:szCs w:val="18"/>
          <w:lang w:val="es-ES"/>
        </w:rPr>
        <w:t>De conformidad con los parágrafos transitorios de los artículos 2.2.1.1.1.5.2. y 2.2.1.1.1.5.6., yen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conste en el Registro Único de Proponentes. En todo caso, se establecerán indicadores proporcionales al procedimiento de contratación.  </w:t>
      </w:r>
    </w:p>
    <w:p w14:paraId="4A2F293B" w14:textId="77777777" w:rsidR="00EF43E4" w:rsidRPr="009879CC" w:rsidRDefault="00EF43E4" w:rsidP="006E404A">
      <w:pPr>
        <w:pStyle w:val="NormalWeb"/>
        <w:spacing w:before="0" w:beforeAutospacing="0" w:after="0" w:afterAutospacing="0"/>
        <w:ind w:firstLine="709"/>
        <w:jc w:val="both"/>
        <w:rPr>
          <w:rFonts w:ascii="Verdana" w:hAnsi="Verdana" w:cs="Arial"/>
          <w:sz w:val="18"/>
          <w:szCs w:val="18"/>
          <w:lang w:val="es-ES"/>
        </w:rPr>
      </w:pPr>
    </w:p>
    <w:p w14:paraId="34A62894" w14:textId="299E4126" w:rsidR="00FD56EB" w:rsidRPr="009879CC" w:rsidRDefault="00FD56EB" w:rsidP="006E404A">
      <w:pPr>
        <w:pStyle w:val="NormalWeb"/>
        <w:spacing w:before="0" w:beforeAutospacing="0" w:after="0" w:afterAutospacing="0"/>
        <w:ind w:firstLine="709"/>
        <w:jc w:val="both"/>
        <w:rPr>
          <w:rStyle w:val="Refdenotaalpie"/>
          <w:rFonts w:ascii="Verdana" w:hAnsi="Verdana" w:cs="Arial"/>
          <w:sz w:val="18"/>
          <w:szCs w:val="18"/>
          <w:vertAlign w:val="baseline"/>
          <w:lang w:val="es-ES"/>
        </w:rPr>
      </w:pPr>
      <w:r w:rsidRPr="006E404A">
        <w:rPr>
          <w:rFonts w:ascii="Verdana" w:hAnsi="Verdana" w:cs="Arial"/>
          <w:sz w:val="18"/>
          <w:szCs w:val="18"/>
          <w:lang w:val="es-ES"/>
        </w:rPr>
        <w:t>“Para ello, atendiendo a las condiciones aludidas, 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 indicadores, teniendo en cuenta el mejor año fiscal que se refleje en el registro de cada proponente</w:t>
      </w:r>
      <w:r w:rsidRPr="009879CC">
        <w:rPr>
          <w:rFonts w:ascii="Arial" w:hAnsi="Arial" w:cs="Arial"/>
          <w:sz w:val="18"/>
          <w:szCs w:val="18"/>
          <w:lang w:val="es-ES"/>
        </w:rPr>
        <w:t>​</w:t>
      </w:r>
      <w:r w:rsidRPr="009879CC">
        <w:rPr>
          <w:rFonts w:ascii="Verdana" w:hAnsi="Verdana" w:cs="Arial"/>
          <w:sz w:val="18"/>
          <w:szCs w:val="18"/>
          <w:lang w:val="es-ES"/>
        </w:rPr>
        <w:t>”.</w:t>
      </w:r>
    </w:p>
  </w:footnote>
  <w:footnote w:id="4">
    <w:p w14:paraId="67CC8001" w14:textId="04C3D341" w:rsidR="009D6297" w:rsidRPr="009879CC" w:rsidRDefault="00FD56EB" w:rsidP="008B4C2B">
      <w:pPr>
        <w:pStyle w:val="Textonotapie"/>
        <w:ind w:firstLine="708"/>
        <w:jc w:val="both"/>
        <w:rPr>
          <w:rFonts w:ascii="Verdana" w:eastAsia="Times New Roman" w:hAnsi="Verdana" w:cs="Arial"/>
          <w:sz w:val="18"/>
          <w:szCs w:val="18"/>
          <w:lang w:eastAsia="es-CO"/>
        </w:rPr>
      </w:pPr>
      <w:r w:rsidRPr="009879CC">
        <w:rPr>
          <w:rStyle w:val="Refdenotaalpie"/>
          <w:rFonts w:ascii="Verdana" w:hAnsi="Verdana"/>
          <w:sz w:val="18"/>
          <w:szCs w:val="18"/>
        </w:rPr>
        <w:footnoteRef/>
      </w:r>
      <w:r w:rsidRPr="009879CC">
        <w:rPr>
          <w:rFonts w:ascii="Verdana" w:hAnsi="Verdana"/>
          <w:sz w:val="18"/>
          <w:szCs w:val="18"/>
        </w:rPr>
        <w:t xml:space="preserve"> </w:t>
      </w:r>
      <w:r w:rsidRPr="009879CC">
        <w:rPr>
          <w:rFonts w:ascii="Verdana" w:eastAsia="Times New Roman" w:hAnsi="Verdana" w:cs="Arial"/>
          <w:sz w:val="18"/>
          <w:szCs w:val="18"/>
          <w:lang w:eastAsia="es-CO"/>
        </w:rPr>
        <w:t>Consejo de Estado. Sala de Consulta y Servicio Civil. Concepto del 20 de mayo de 2010. Exp. 1.992. C.P. Enrique José Arboleda Perdomo.</w:t>
      </w:r>
    </w:p>
  </w:footnote>
  <w:footnote w:id="5">
    <w:p w14:paraId="0440FAD9" w14:textId="77777777" w:rsidR="00FD56EB" w:rsidRPr="009879CC" w:rsidRDefault="00FD56EB" w:rsidP="008B4C2B">
      <w:pPr>
        <w:pStyle w:val="Textonotapie"/>
        <w:ind w:firstLine="708"/>
        <w:jc w:val="both"/>
        <w:rPr>
          <w:rFonts w:ascii="Verdana" w:hAnsi="Verdana"/>
          <w:sz w:val="18"/>
          <w:szCs w:val="18"/>
        </w:rPr>
      </w:pPr>
      <w:r w:rsidRPr="009879CC">
        <w:rPr>
          <w:rStyle w:val="Refdenotaalpie"/>
          <w:rFonts w:ascii="Verdana" w:hAnsi="Verdana"/>
          <w:sz w:val="18"/>
          <w:szCs w:val="18"/>
        </w:rPr>
        <w:footnoteRef/>
      </w:r>
      <w:r w:rsidRPr="009879CC">
        <w:rPr>
          <w:rFonts w:ascii="Verdana" w:hAnsi="Verdana"/>
          <w:sz w:val="18"/>
          <w:szCs w:val="18"/>
        </w:rPr>
        <w:t xml:space="preserve"> Conceptos: </w:t>
      </w:r>
      <w:r w:rsidRPr="009879CC">
        <w:rPr>
          <w:rFonts w:ascii="Verdana" w:hAnsi="Verdana"/>
          <w:sz w:val="18"/>
          <w:szCs w:val="18"/>
          <w:lang w:val="es-ES"/>
        </w:rPr>
        <w:t xml:space="preserve">C-218 del 2 de abril de 2020, C-307 del 21 de mayo de 2020, C-391 del 10 de agosto de 2020, C-675 del 25 de noviembre de 2020 y C-683 del 21 de noviembre de 2020, C-779 del 20 de septiembre de 2020, C-882 del 21 de diciembre de 2022 y C-426 del 17 de octubre de 2023. </w:t>
      </w:r>
      <w:hyperlink r:id="rId3" w:history="1">
        <w:r w:rsidRPr="009879CC">
          <w:rPr>
            <w:rStyle w:val="Hipervnculo"/>
            <w:rFonts w:ascii="Verdana" w:hAnsi="Verdana"/>
            <w:color w:val="4472C4" w:themeColor="accent1"/>
            <w:sz w:val="18"/>
            <w:szCs w:val="18"/>
            <w:lang w:val="es-ES"/>
          </w:rPr>
          <w:t>https://relatoria.colombiacompra.gov.co/busqueda/conceptos</w:t>
        </w:r>
      </w:hyperlink>
    </w:p>
    <w:p w14:paraId="7D9ED6F4" w14:textId="77777777" w:rsidR="009D6297" w:rsidRPr="009879CC" w:rsidRDefault="009D6297" w:rsidP="00ED05BD">
      <w:pPr>
        <w:pStyle w:val="Textonotapie"/>
        <w:jc w:val="both"/>
        <w:rPr>
          <w:rFonts w:ascii="Verdana" w:hAnsi="Verdana"/>
          <w:sz w:val="18"/>
          <w:szCs w:val="18"/>
        </w:rPr>
      </w:pPr>
    </w:p>
  </w:footnote>
  <w:footnote w:id="6">
    <w:p w14:paraId="03D7281F" w14:textId="1A5458EF" w:rsidR="00FD56EB" w:rsidRPr="009879CC" w:rsidRDefault="00FD56EB" w:rsidP="006E404A">
      <w:pPr>
        <w:pStyle w:val="Textonotapie"/>
        <w:ind w:firstLine="708"/>
        <w:jc w:val="both"/>
        <w:rPr>
          <w:rFonts w:ascii="Verdana" w:eastAsia="Times New Roman" w:hAnsi="Verdana" w:cs="Arial"/>
          <w:sz w:val="18"/>
          <w:szCs w:val="18"/>
          <w:lang w:eastAsia="es-CO"/>
        </w:rPr>
      </w:pPr>
      <w:r w:rsidRPr="009879CC">
        <w:rPr>
          <w:rStyle w:val="Refdenotaalpie"/>
          <w:rFonts w:ascii="Verdana" w:hAnsi="Verdana" w:cs="Arial"/>
          <w:sz w:val="18"/>
          <w:szCs w:val="18"/>
        </w:rPr>
        <w:footnoteRef/>
      </w:r>
      <w:r w:rsidRPr="009879CC">
        <w:rPr>
          <w:rFonts w:ascii="Verdana" w:hAnsi="Verdana" w:cs="Arial"/>
          <w:sz w:val="18"/>
          <w:szCs w:val="18"/>
        </w:rPr>
        <w:t xml:space="preserve"> </w:t>
      </w:r>
      <w:r w:rsidRPr="009879CC">
        <w:rPr>
          <w:rFonts w:ascii="Verdana" w:eastAsia="Times New Roman" w:hAnsi="Verdana" w:cs="Arial"/>
          <w:sz w:val="18"/>
          <w:szCs w:val="18"/>
          <w:lang w:eastAsia="es-CO"/>
        </w:rPr>
        <w:t>Ver conceptos: C-008 del 4 de mayo de 2020, C-267 del 4 de mayo de 2020, C-283 del 4 de mayo de 2020, C-365 del 30 de junio de 2020 y C-730 del 14 de diciembre del 2020 y C-779 de 18 de enero de 2021.</w:t>
      </w:r>
    </w:p>
  </w:footnote>
  <w:footnote w:id="7">
    <w:p w14:paraId="702AD50C" w14:textId="77777777" w:rsidR="00FD56EB" w:rsidRPr="009879CC" w:rsidRDefault="00FD56EB" w:rsidP="006E404A">
      <w:pPr>
        <w:pStyle w:val="Textonotapie"/>
        <w:ind w:firstLine="708"/>
        <w:jc w:val="both"/>
        <w:rPr>
          <w:rFonts w:ascii="Verdana" w:hAnsi="Verdana" w:cs="Arial"/>
          <w:sz w:val="18"/>
          <w:szCs w:val="18"/>
        </w:rPr>
      </w:pPr>
      <w:r w:rsidRPr="009879CC">
        <w:rPr>
          <w:rStyle w:val="Refdenotaalpie"/>
          <w:rFonts w:ascii="Verdana" w:hAnsi="Verdana" w:cs="Arial"/>
          <w:sz w:val="18"/>
          <w:szCs w:val="18"/>
        </w:rPr>
        <w:footnoteRef/>
      </w:r>
      <w:r w:rsidRPr="009879CC">
        <w:rPr>
          <w:rFonts w:ascii="Verdana" w:hAnsi="Verdana" w:cs="Arial"/>
          <w:sz w:val="18"/>
          <w:szCs w:val="18"/>
        </w:rPr>
        <w:t xml:space="preserve"> Solo se profundizará en dos de ellos, por tener relación con el esquema general de subsanabilidad, en este sentido, el tercer aspecto, en que no se profundizará en este texto, se deriva de lo establecido en el parágrafo 3 del artículo 5 de la Ley 1150 de 2007, incluido por el artículo 5 de la Ley 1882 de 2018: “Parágrafo 3. La no entrega de la garantía de seriedad junto con la propuesta no será subsanable y será causal de rechazo de la misma”. </w:t>
      </w:r>
    </w:p>
    <w:p w14:paraId="363C1882" w14:textId="77777777" w:rsidR="00FD56EB" w:rsidRPr="009879CC" w:rsidRDefault="00FD56EB" w:rsidP="006E404A">
      <w:pPr>
        <w:pStyle w:val="Textonotapie"/>
        <w:ind w:firstLine="708"/>
        <w:jc w:val="both"/>
        <w:rPr>
          <w:rFonts w:ascii="Verdana" w:hAnsi="Verdana" w:cs="Arial"/>
          <w:sz w:val="18"/>
          <w:szCs w:val="18"/>
          <w:lang w:val="es-CO"/>
        </w:rPr>
      </w:pPr>
    </w:p>
  </w:footnote>
  <w:footnote w:id="8">
    <w:p w14:paraId="1BE32767" w14:textId="27ED85A9" w:rsidR="00FD56EB" w:rsidRPr="006E404A" w:rsidRDefault="00FD56EB" w:rsidP="006E404A">
      <w:pPr>
        <w:pBdr>
          <w:top w:val="nil"/>
          <w:left w:val="nil"/>
          <w:bottom w:val="nil"/>
          <w:right w:val="nil"/>
          <w:between w:val="nil"/>
        </w:pBdr>
        <w:spacing w:after="0" w:line="240" w:lineRule="auto"/>
        <w:ind w:firstLine="709"/>
        <w:jc w:val="both"/>
        <w:rPr>
          <w:rFonts w:ascii="Verdana" w:eastAsia="Arial" w:hAnsi="Verdana" w:cs="Arial"/>
          <w:sz w:val="18"/>
          <w:szCs w:val="18"/>
        </w:rPr>
      </w:pPr>
      <w:r w:rsidRPr="009879CC">
        <w:rPr>
          <w:rFonts w:ascii="Verdana" w:hAnsi="Verdana" w:cs="Arial"/>
          <w:sz w:val="18"/>
          <w:szCs w:val="18"/>
          <w:vertAlign w:val="superscript"/>
        </w:rPr>
        <w:footnoteRef/>
      </w:r>
      <w:r w:rsidRPr="009879CC">
        <w:rPr>
          <w:rFonts w:ascii="Verdana" w:eastAsia="Arial" w:hAnsi="Verdana" w:cs="Arial"/>
          <w:sz w:val="18"/>
          <w:szCs w:val="18"/>
          <w:vertAlign w:val="superscript"/>
        </w:rPr>
        <w:t xml:space="preserve"> </w:t>
      </w:r>
      <w:r w:rsidRPr="009879CC">
        <w:rPr>
          <w:rFonts w:ascii="Verdana" w:eastAsia="Arial" w:hAnsi="Verdana" w:cs="Arial"/>
          <w:sz w:val="18"/>
          <w:szCs w:val="18"/>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pt;height:11.7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114F1F"/>
    <w:multiLevelType w:val="multilevel"/>
    <w:tmpl w:val="1968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141912"/>
    <w:multiLevelType w:val="hybridMultilevel"/>
    <w:tmpl w:val="08F855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8E67E27"/>
    <w:multiLevelType w:val="hybridMultilevel"/>
    <w:tmpl w:val="6E0EAE62"/>
    <w:lvl w:ilvl="0" w:tplc="734CC976">
      <w:start w:val="4"/>
      <w:numFmt w:val="decimal"/>
      <w:lvlText w:val="%1."/>
      <w:lvlJc w:val="left"/>
      <w:pPr>
        <w:ind w:left="2061" w:hanging="360"/>
      </w:pPr>
      <w:rPr>
        <w:rFonts w:hint="default"/>
      </w:rPr>
    </w:lvl>
    <w:lvl w:ilvl="1" w:tplc="240A0019" w:tentative="1">
      <w:start w:val="1"/>
      <w:numFmt w:val="lowerLetter"/>
      <w:lvlText w:val="%2."/>
      <w:lvlJc w:val="left"/>
      <w:pPr>
        <w:ind w:left="2781" w:hanging="360"/>
      </w:pPr>
    </w:lvl>
    <w:lvl w:ilvl="2" w:tplc="240A001B" w:tentative="1">
      <w:start w:val="1"/>
      <w:numFmt w:val="lowerRoman"/>
      <w:lvlText w:val="%3."/>
      <w:lvlJc w:val="right"/>
      <w:pPr>
        <w:ind w:left="3501" w:hanging="180"/>
      </w:pPr>
    </w:lvl>
    <w:lvl w:ilvl="3" w:tplc="240A000F" w:tentative="1">
      <w:start w:val="1"/>
      <w:numFmt w:val="decimal"/>
      <w:lvlText w:val="%4."/>
      <w:lvlJc w:val="left"/>
      <w:pPr>
        <w:ind w:left="4221" w:hanging="360"/>
      </w:pPr>
    </w:lvl>
    <w:lvl w:ilvl="4" w:tplc="240A0019" w:tentative="1">
      <w:start w:val="1"/>
      <w:numFmt w:val="lowerLetter"/>
      <w:lvlText w:val="%5."/>
      <w:lvlJc w:val="left"/>
      <w:pPr>
        <w:ind w:left="4941" w:hanging="360"/>
      </w:pPr>
    </w:lvl>
    <w:lvl w:ilvl="5" w:tplc="240A001B" w:tentative="1">
      <w:start w:val="1"/>
      <w:numFmt w:val="lowerRoman"/>
      <w:lvlText w:val="%6."/>
      <w:lvlJc w:val="right"/>
      <w:pPr>
        <w:ind w:left="5661" w:hanging="180"/>
      </w:pPr>
    </w:lvl>
    <w:lvl w:ilvl="6" w:tplc="240A000F" w:tentative="1">
      <w:start w:val="1"/>
      <w:numFmt w:val="decimal"/>
      <w:lvlText w:val="%7."/>
      <w:lvlJc w:val="left"/>
      <w:pPr>
        <w:ind w:left="6381" w:hanging="360"/>
      </w:pPr>
    </w:lvl>
    <w:lvl w:ilvl="7" w:tplc="240A0019" w:tentative="1">
      <w:start w:val="1"/>
      <w:numFmt w:val="lowerLetter"/>
      <w:lvlText w:val="%8."/>
      <w:lvlJc w:val="left"/>
      <w:pPr>
        <w:ind w:left="7101" w:hanging="360"/>
      </w:pPr>
    </w:lvl>
    <w:lvl w:ilvl="8" w:tplc="240A001B" w:tentative="1">
      <w:start w:val="1"/>
      <w:numFmt w:val="lowerRoman"/>
      <w:lvlText w:val="%9."/>
      <w:lvlJc w:val="right"/>
      <w:pPr>
        <w:ind w:left="7821" w:hanging="180"/>
      </w:p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67E234B"/>
    <w:multiLevelType w:val="hybridMultilevel"/>
    <w:tmpl w:val="D6B6957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16cid:durableId="1455564540">
    <w:abstractNumId w:val="8"/>
  </w:num>
  <w:num w:numId="2" w16cid:durableId="1450123662">
    <w:abstractNumId w:val="2"/>
  </w:num>
  <w:num w:numId="3" w16cid:durableId="374238305">
    <w:abstractNumId w:val="6"/>
  </w:num>
  <w:num w:numId="4" w16cid:durableId="14231864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9393368">
    <w:abstractNumId w:val="2"/>
  </w:num>
  <w:num w:numId="6" w16cid:durableId="844435787">
    <w:abstractNumId w:val="15"/>
  </w:num>
  <w:num w:numId="7" w16cid:durableId="592514192">
    <w:abstractNumId w:val="7"/>
  </w:num>
  <w:num w:numId="8" w16cid:durableId="397243970">
    <w:abstractNumId w:val="14"/>
  </w:num>
  <w:num w:numId="9" w16cid:durableId="1703285941">
    <w:abstractNumId w:val="9"/>
  </w:num>
  <w:num w:numId="10" w16cid:durableId="1896575273">
    <w:abstractNumId w:val="13"/>
  </w:num>
  <w:num w:numId="11" w16cid:durableId="2105033724">
    <w:abstractNumId w:val="10"/>
  </w:num>
  <w:num w:numId="12" w16cid:durableId="1961260380">
    <w:abstractNumId w:val="1"/>
  </w:num>
  <w:num w:numId="13" w16cid:durableId="511913595">
    <w:abstractNumId w:val="5"/>
  </w:num>
  <w:num w:numId="14" w16cid:durableId="712080606">
    <w:abstractNumId w:val="16"/>
  </w:num>
  <w:num w:numId="15" w16cid:durableId="693531105">
    <w:abstractNumId w:val="11"/>
  </w:num>
  <w:num w:numId="16" w16cid:durableId="2053571304">
    <w:abstractNumId w:val="0"/>
  </w:num>
  <w:num w:numId="17" w16cid:durableId="1704481541">
    <w:abstractNumId w:val="17"/>
  </w:num>
  <w:num w:numId="18" w16cid:durableId="788740655">
    <w:abstractNumId w:val="4"/>
  </w:num>
  <w:num w:numId="19" w16cid:durableId="1399867084">
    <w:abstractNumId w:val="12"/>
  </w:num>
  <w:num w:numId="20" w16cid:durableId="8791723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1AAE"/>
    <w:rsid w:val="00046945"/>
    <w:rsid w:val="00054B97"/>
    <w:rsid w:val="00061B2A"/>
    <w:rsid w:val="00065173"/>
    <w:rsid w:val="00077F69"/>
    <w:rsid w:val="000819B1"/>
    <w:rsid w:val="00082362"/>
    <w:rsid w:val="000A683E"/>
    <w:rsid w:val="000B19B9"/>
    <w:rsid w:val="000D0334"/>
    <w:rsid w:val="000D5DA7"/>
    <w:rsid w:val="000F4B5B"/>
    <w:rsid w:val="000F6486"/>
    <w:rsid w:val="00116940"/>
    <w:rsid w:val="00125105"/>
    <w:rsid w:val="00127233"/>
    <w:rsid w:val="0015699B"/>
    <w:rsid w:val="00165B02"/>
    <w:rsid w:val="00174766"/>
    <w:rsid w:val="0018361B"/>
    <w:rsid w:val="001845B1"/>
    <w:rsid w:val="00190B60"/>
    <w:rsid w:val="001A33BF"/>
    <w:rsid w:val="001A68A1"/>
    <w:rsid w:val="001B086E"/>
    <w:rsid w:val="001B1C76"/>
    <w:rsid w:val="001D45CF"/>
    <w:rsid w:val="001D4EEC"/>
    <w:rsid w:val="001D5562"/>
    <w:rsid w:val="001E4177"/>
    <w:rsid w:val="001F0B24"/>
    <w:rsid w:val="001F75D6"/>
    <w:rsid w:val="001F7DC6"/>
    <w:rsid w:val="0022400B"/>
    <w:rsid w:val="0024061E"/>
    <w:rsid w:val="002421BB"/>
    <w:rsid w:val="0025796E"/>
    <w:rsid w:val="00260E56"/>
    <w:rsid w:val="002707A2"/>
    <w:rsid w:val="0028623E"/>
    <w:rsid w:val="002951A0"/>
    <w:rsid w:val="002962BC"/>
    <w:rsid w:val="002A093D"/>
    <w:rsid w:val="002A0DD0"/>
    <w:rsid w:val="002A49AC"/>
    <w:rsid w:val="002A64FD"/>
    <w:rsid w:val="002C7A84"/>
    <w:rsid w:val="002D5458"/>
    <w:rsid w:val="002E1428"/>
    <w:rsid w:val="002E2BF8"/>
    <w:rsid w:val="002E4FD9"/>
    <w:rsid w:val="0030657A"/>
    <w:rsid w:val="00322A85"/>
    <w:rsid w:val="00324168"/>
    <w:rsid w:val="00324AA8"/>
    <w:rsid w:val="00330834"/>
    <w:rsid w:val="003448F4"/>
    <w:rsid w:val="003667B1"/>
    <w:rsid w:val="00374F5E"/>
    <w:rsid w:val="00377E3E"/>
    <w:rsid w:val="003A1958"/>
    <w:rsid w:val="003A779E"/>
    <w:rsid w:val="003B72C0"/>
    <w:rsid w:val="003C1153"/>
    <w:rsid w:val="003C629F"/>
    <w:rsid w:val="003D0F4D"/>
    <w:rsid w:val="003D5B0D"/>
    <w:rsid w:val="003E0499"/>
    <w:rsid w:val="003E4F80"/>
    <w:rsid w:val="003E6439"/>
    <w:rsid w:val="003F3941"/>
    <w:rsid w:val="004025AE"/>
    <w:rsid w:val="00406575"/>
    <w:rsid w:val="00414C74"/>
    <w:rsid w:val="0042722E"/>
    <w:rsid w:val="0044528D"/>
    <w:rsid w:val="004545CA"/>
    <w:rsid w:val="00466E39"/>
    <w:rsid w:val="00484FC3"/>
    <w:rsid w:val="0049340F"/>
    <w:rsid w:val="00495316"/>
    <w:rsid w:val="004A1847"/>
    <w:rsid w:val="004A305D"/>
    <w:rsid w:val="004B52E9"/>
    <w:rsid w:val="004C014A"/>
    <w:rsid w:val="004D0883"/>
    <w:rsid w:val="004D30FA"/>
    <w:rsid w:val="004D37D9"/>
    <w:rsid w:val="004E6777"/>
    <w:rsid w:val="004F21C4"/>
    <w:rsid w:val="004F685F"/>
    <w:rsid w:val="0051291A"/>
    <w:rsid w:val="00545C98"/>
    <w:rsid w:val="005566E8"/>
    <w:rsid w:val="00574867"/>
    <w:rsid w:val="0057570D"/>
    <w:rsid w:val="00576423"/>
    <w:rsid w:val="00591460"/>
    <w:rsid w:val="005A03B2"/>
    <w:rsid w:val="005A65E0"/>
    <w:rsid w:val="005A6D58"/>
    <w:rsid w:val="005C3777"/>
    <w:rsid w:val="005C5CDC"/>
    <w:rsid w:val="005D476C"/>
    <w:rsid w:val="0061270C"/>
    <w:rsid w:val="00613D49"/>
    <w:rsid w:val="006200BF"/>
    <w:rsid w:val="006219F8"/>
    <w:rsid w:val="006302F7"/>
    <w:rsid w:val="00646B9F"/>
    <w:rsid w:val="00665D70"/>
    <w:rsid w:val="006664F5"/>
    <w:rsid w:val="006862ED"/>
    <w:rsid w:val="006900D9"/>
    <w:rsid w:val="006A0348"/>
    <w:rsid w:val="006A0782"/>
    <w:rsid w:val="006B1817"/>
    <w:rsid w:val="006B4E4C"/>
    <w:rsid w:val="006C6744"/>
    <w:rsid w:val="006D7877"/>
    <w:rsid w:val="006E404A"/>
    <w:rsid w:val="006E57A1"/>
    <w:rsid w:val="00706C16"/>
    <w:rsid w:val="007210C9"/>
    <w:rsid w:val="007256DC"/>
    <w:rsid w:val="0073357A"/>
    <w:rsid w:val="007340C3"/>
    <w:rsid w:val="00744A21"/>
    <w:rsid w:val="0075235A"/>
    <w:rsid w:val="00756841"/>
    <w:rsid w:val="007649AB"/>
    <w:rsid w:val="00771D0C"/>
    <w:rsid w:val="00781BF0"/>
    <w:rsid w:val="007833AC"/>
    <w:rsid w:val="007912CE"/>
    <w:rsid w:val="00791312"/>
    <w:rsid w:val="007B268C"/>
    <w:rsid w:val="007B7171"/>
    <w:rsid w:val="007C0C0F"/>
    <w:rsid w:val="007C3DC2"/>
    <w:rsid w:val="007E5497"/>
    <w:rsid w:val="00806F5F"/>
    <w:rsid w:val="00820278"/>
    <w:rsid w:val="008258C9"/>
    <w:rsid w:val="00834B3A"/>
    <w:rsid w:val="00844AE9"/>
    <w:rsid w:val="008450D7"/>
    <w:rsid w:val="0085010E"/>
    <w:rsid w:val="0085745E"/>
    <w:rsid w:val="00860BAA"/>
    <w:rsid w:val="00867F95"/>
    <w:rsid w:val="00871C93"/>
    <w:rsid w:val="008843B6"/>
    <w:rsid w:val="00891928"/>
    <w:rsid w:val="00895FD8"/>
    <w:rsid w:val="008A35C8"/>
    <w:rsid w:val="008A446D"/>
    <w:rsid w:val="008B25F1"/>
    <w:rsid w:val="008B3339"/>
    <w:rsid w:val="008B4C2B"/>
    <w:rsid w:val="008C248C"/>
    <w:rsid w:val="008C6BF5"/>
    <w:rsid w:val="008D180B"/>
    <w:rsid w:val="008D1F74"/>
    <w:rsid w:val="008F0EA7"/>
    <w:rsid w:val="008F302C"/>
    <w:rsid w:val="008F5A45"/>
    <w:rsid w:val="00904B11"/>
    <w:rsid w:val="009122ED"/>
    <w:rsid w:val="00923EEF"/>
    <w:rsid w:val="009419F9"/>
    <w:rsid w:val="0095685E"/>
    <w:rsid w:val="00961B09"/>
    <w:rsid w:val="00965334"/>
    <w:rsid w:val="0097076F"/>
    <w:rsid w:val="0097093E"/>
    <w:rsid w:val="00986536"/>
    <w:rsid w:val="0098713F"/>
    <w:rsid w:val="009879CC"/>
    <w:rsid w:val="009903C3"/>
    <w:rsid w:val="00994C35"/>
    <w:rsid w:val="009A0DFA"/>
    <w:rsid w:val="009A1C6F"/>
    <w:rsid w:val="009A6C29"/>
    <w:rsid w:val="009B156D"/>
    <w:rsid w:val="009B2D26"/>
    <w:rsid w:val="009C4277"/>
    <w:rsid w:val="009C71FA"/>
    <w:rsid w:val="009C72E7"/>
    <w:rsid w:val="009C7F7E"/>
    <w:rsid w:val="009D2CD9"/>
    <w:rsid w:val="009D3058"/>
    <w:rsid w:val="009D6297"/>
    <w:rsid w:val="009F1432"/>
    <w:rsid w:val="009F3A13"/>
    <w:rsid w:val="00A122D3"/>
    <w:rsid w:val="00A14468"/>
    <w:rsid w:val="00A17F13"/>
    <w:rsid w:val="00A20739"/>
    <w:rsid w:val="00A23AF9"/>
    <w:rsid w:val="00A30999"/>
    <w:rsid w:val="00A33C78"/>
    <w:rsid w:val="00A43DAC"/>
    <w:rsid w:val="00A52E4A"/>
    <w:rsid w:val="00A55288"/>
    <w:rsid w:val="00A84D87"/>
    <w:rsid w:val="00A85DBD"/>
    <w:rsid w:val="00AB0ADB"/>
    <w:rsid w:val="00AD3488"/>
    <w:rsid w:val="00B00C0E"/>
    <w:rsid w:val="00B01B1A"/>
    <w:rsid w:val="00B0381D"/>
    <w:rsid w:val="00B44A47"/>
    <w:rsid w:val="00B505FD"/>
    <w:rsid w:val="00B52A62"/>
    <w:rsid w:val="00B72CD3"/>
    <w:rsid w:val="00B72FFF"/>
    <w:rsid w:val="00BB10D9"/>
    <w:rsid w:val="00BC3D36"/>
    <w:rsid w:val="00BD54A6"/>
    <w:rsid w:val="00BD7F72"/>
    <w:rsid w:val="00BF709F"/>
    <w:rsid w:val="00BF7425"/>
    <w:rsid w:val="00C04FB3"/>
    <w:rsid w:val="00C07C4C"/>
    <w:rsid w:val="00C11D8B"/>
    <w:rsid w:val="00C15139"/>
    <w:rsid w:val="00C25EA4"/>
    <w:rsid w:val="00C330EB"/>
    <w:rsid w:val="00C40931"/>
    <w:rsid w:val="00C41120"/>
    <w:rsid w:val="00C50D69"/>
    <w:rsid w:val="00C5365C"/>
    <w:rsid w:val="00C754BE"/>
    <w:rsid w:val="00C76B1C"/>
    <w:rsid w:val="00C77E90"/>
    <w:rsid w:val="00C87450"/>
    <w:rsid w:val="00C925AC"/>
    <w:rsid w:val="00CA480B"/>
    <w:rsid w:val="00CB6357"/>
    <w:rsid w:val="00CC0878"/>
    <w:rsid w:val="00CC1B26"/>
    <w:rsid w:val="00CD3853"/>
    <w:rsid w:val="00D16EFD"/>
    <w:rsid w:val="00D361FD"/>
    <w:rsid w:val="00D423A2"/>
    <w:rsid w:val="00D44E26"/>
    <w:rsid w:val="00D520D8"/>
    <w:rsid w:val="00D52D2C"/>
    <w:rsid w:val="00D54A9B"/>
    <w:rsid w:val="00D63AC2"/>
    <w:rsid w:val="00D7173A"/>
    <w:rsid w:val="00D7383B"/>
    <w:rsid w:val="00D7788A"/>
    <w:rsid w:val="00D80EAA"/>
    <w:rsid w:val="00D842A8"/>
    <w:rsid w:val="00D84CBA"/>
    <w:rsid w:val="00DA231B"/>
    <w:rsid w:val="00DC39FC"/>
    <w:rsid w:val="00DD32F9"/>
    <w:rsid w:val="00DF3672"/>
    <w:rsid w:val="00DF5254"/>
    <w:rsid w:val="00E02524"/>
    <w:rsid w:val="00E16408"/>
    <w:rsid w:val="00E20894"/>
    <w:rsid w:val="00E220ED"/>
    <w:rsid w:val="00E245AB"/>
    <w:rsid w:val="00E2764C"/>
    <w:rsid w:val="00E27F2E"/>
    <w:rsid w:val="00E305A2"/>
    <w:rsid w:val="00E50AFE"/>
    <w:rsid w:val="00E70346"/>
    <w:rsid w:val="00E731DF"/>
    <w:rsid w:val="00E75C92"/>
    <w:rsid w:val="00E771DC"/>
    <w:rsid w:val="00E8772A"/>
    <w:rsid w:val="00E90F6B"/>
    <w:rsid w:val="00E92C27"/>
    <w:rsid w:val="00EA0E3D"/>
    <w:rsid w:val="00EA3280"/>
    <w:rsid w:val="00EA3C04"/>
    <w:rsid w:val="00EA695C"/>
    <w:rsid w:val="00EB6783"/>
    <w:rsid w:val="00EC38A7"/>
    <w:rsid w:val="00ED05BD"/>
    <w:rsid w:val="00EE1AA8"/>
    <w:rsid w:val="00EF251B"/>
    <w:rsid w:val="00EF43E4"/>
    <w:rsid w:val="00EF5799"/>
    <w:rsid w:val="00F07F2F"/>
    <w:rsid w:val="00F23FEA"/>
    <w:rsid w:val="00F24445"/>
    <w:rsid w:val="00F31EDC"/>
    <w:rsid w:val="00F33F0B"/>
    <w:rsid w:val="00F462B3"/>
    <w:rsid w:val="00F5664F"/>
    <w:rsid w:val="00F64A3B"/>
    <w:rsid w:val="00F6605B"/>
    <w:rsid w:val="00F666C4"/>
    <w:rsid w:val="00F76AFC"/>
    <w:rsid w:val="00F92DB3"/>
    <w:rsid w:val="00F94404"/>
    <w:rsid w:val="00FA47C0"/>
    <w:rsid w:val="00FB3866"/>
    <w:rsid w:val="00FB5DD1"/>
    <w:rsid w:val="00FC2B5D"/>
    <w:rsid w:val="00FD56EB"/>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69E88A1"/>
    <w:rsid w:val="76CE301A"/>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F3672"/>
    <w:rPr>
      <w:rFonts w:ascii="Geomanist Light" w:hAnsi="Geomanist Light"/>
      <w:lang w:val="es-ES"/>
    </w:rPr>
  </w:style>
  <w:style w:type="character" w:styleId="nfasis">
    <w:name w:val="Emphasis"/>
    <w:basedOn w:val="Fuentedeprrafopredeter"/>
    <w:uiPriority w:val="20"/>
    <w:qFormat/>
    <w:rsid w:val="00B505FD"/>
    <w:rPr>
      <w:i/>
      <w:iCs/>
    </w:rPr>
  </w:style>
  <w:style w:type="paragraph" w:styleId="Textoindependiente">
    <w:name w:val="Body Text"/>
    <w:basedOn w:val="Normal"/>
    <w:link w:val="TextoindependienteCar"/>
    <w:uiPriority w:val="99"/>
    <w:unhideWhenUsed/>
    <w:rsid w:val="00174766"/>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174766"/>
    <w:rPr>
      <w:rFonts w:eastAsiaTheme="minorEastAsia"/>
      <w:lang w:eastAsia="es-CO"/>
    </w:rPr>
  </w:style>
  <w:style w:type="paragraph" w:customStyle="1" w:styleId="Appelnotedebasde">
    <w:name w:val="Appel note de bas de..."/>
    <w:basedOn w:val="Normal"/>
    <w:link w:val="Refdenotaalpie"/>
    <w:uiPriority w:val="99"/>
    <w:rsid w:val="00FD56EB"/>
    <w:pPr>
      <w:spacing w:line="240" w:lineRule="exact"/>
    </w:pPr>
    <w:rPr>
      <w:vertAlign w:val="superscript"/>
    </w:rPr>
  </w:style>
  <w:style w:type="character" w:customStyle="1" w:styleId="NormalWebCar">
    <w:name w:val="Normal (Web) Car"/>
    <w:link w:val="NormalWeb"/>
    <w:uiPriority w:val="99"/>
    <w:locked/>
    <w:rsid w:val="00FD56EB"/>
    <w:rPr>
      <w:rFonts w:ascii="Times New Roman" w:eastAsia="Times New Roman" w:hAnsi="Times New Roman" w:cs="Times New Roman"/>
      <w:sz w:val="24"/>
      <w:szCs w:val="24"/>
      <w:lang w:eastAsia="es-CO"/>
    </w:rPr>
  </w:style>
  <w:style w:type="character" w:customStyle="1" w:styleId="superscript">
    <w:name w:val="superscript"/>
    <w:basedOn w:val="Fuentedeprrafopredeter"/>
    <w:rsid w:val="00077F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www.colombiacompra.gov.co/archivos/manual/manual-para-determinar-y-verificar-los-requisitos-habilitantes-en-los-procesos-de-contratacion" TargetMode="External"/><Relationship Id="rId17" Type="http://schemas.openxmlformats.org/officeDocument/2006/relationships/hyperlink" Target="https://nam02.safelinks.protection.outlook.com/?url=https%3A%2F%2Fwww.colombiacompra.gov.co%2Farchivos%2Fboletin%2Fboletin-edicion-n-3-de-2026-radar-de-la-compra-publica&amp;data=05%7C02%7Cana.ortizb%40colombiacompra.gov.co%7C7128555136e04fa6887d08dee99e1b50%7C7b09041e245149d08cb179d5e3d8c1be%7C0%7C0%7C639205062447842602%7CUnknown%7CTWFpbGZsb3d8eyJFbXB0eU1hcGkiOnRydWUsIlYiOiIwLjAuMDAwMCIsIlAiOiJXaW4zMiIsIkFOIjoiTWFpbCIsIldUIjoyfQ%3D%3D%7C0%7C%7C%7C&amp;sdata=kD1M1HbLmaYne%2FjmafRdlI2lWjfy6Ao%2BJcGmraP%2F8NM%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ana.ortizb%40colombiacompra.gov.co%7C7128555136e04fa6887d08dee99e1b50%7C7b09041e245149d08cb179d5e3d8c1be%7C0%7C0%7C639205062447795971%7CUnknown%7CTWFpbGZsb3d8eyJFbXB0eU1hcGkiOnRydWUsIlYiOiIwLjAuMDAwMCIsIlAiOiJXaW4zMiIsIkFOIjoiTWFpbCIsIldUIjoyfQ%3D%3D%7C0%7C%7C%7C&amp;sdata=9LIurxl2Vaut8bRBIT695McE332T4L3gq3qjukjVKIA%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ipro.gutic@policia.gov.co"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ana.ortizb%40colombiacompra.gov.co%7C7128555136e04fa6887d08dee99e1b50%7C7b09041e245149d08cb179d5e3d8c1be%7C0%7C0%7C639205062447746326%7CUnknown%7CTWFpbGZsb3d8eyJFbXB0eU1hcGkiOnRydWUsIlYiOiIwLjAuMDAwMCIsIlAiOiJXaW4zMiIsIkFOIjoiTWFpbCIsIldUIjoyfQ%3D%3D%7C0%7C%7C%7C&amp;sdata=yBZOiwifibQ%2BzamlsmG3bxCSMq%2BxW90FHMBFh%2BwCJvw%3D&amp;reserved=0"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ana.ortizb%40colombiacompra.gov.co%7C7128555136e04fa6887d08dee99e1b50%7C7b09041e245149d08cb179d5e3d8c1be%7C0%7C0%7C639205062447699700%7CUnknown%7CTWFpbGZsb3d8eyJFbXB0eU1hcGkiOnRydWUsIlYiOiIwLjAuMDAwMCIsIlAiOiJXaW4zMiIsIkFOIjoiTWFpbCIsIldUIjoyfQ%3D%3D%7C0%7C%7C%7C&amp;sdata=WvSehHsLM6sWuccCKpODAneUPluUj1%2F4CrYuhBPpv20%3D&amp;reserved=0"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relatoria.colombiacompra.gov.co/busqueda/conceptos" TargetMode="External"/><Relationship Id="rId2" Type="http://schemas.openxmlformats.org/officeDocument/2006/relationships/hyperlink" Target="https://colaboracion.dnp.gov.co/CDT/Normatividad/DECRETO%20579%20DEL%2031%20DE%20MAYO%20DE%202021.pdf" TargetMode="External"/><Relationship Id="rId1" Type="http://schemas.openxmlformats.org/officeDocument/2006/relationships/hyperlink" Target="https://www.colombiacompra.gov.co/archivos/manual/manual-para-determinar-y-verificar-los-requisitos-habilitantes-en-los-procesos-de-contratac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78D13D7-9926-4A9A-848A-516BB1122FC7}"/>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23</Pages>
  <Words>8360</Words>
  <Characters>45986</Characters>
  <Application>Microsoft Office Word</Application>
  <DocSecurity>0</DocSecurity>
  <Lines>383</Lines>
  <Paragraphs>108</Paragraphs>
  <ScaleCrop>false</ScaleCrop>
  <Company/>
  <LinksUpToDate>false</LinksUpToDate>
  <CharactersWithSpaces>54238</CharactersWithSpaces>
  <SharedDoc>false</SharedDoc>
  <HLinks>
    <vt:vector size="60" baseType="variant">
      <vt:variant>
        <vt:i4>3932267</vt:i4>
      </vt:variant>
      <vt:variant>
        <vt:i4>18</vt:i4>
      </vt:variant>
      <vt:variant>
        <vt:i4>0</vt:i4>
      </vt:variant>
      <vt:variant>
        <vt:i4>5</vt:i4>
      </vt:variant>
      <vt:variant>
        <vt:lpwstr>https://nam02.safelinks.protection.outlook.com/?url=https%3A%2F%2Fwww.colombiacompra.gov.co%2Farchivos%2Fboletin%2Fboletin-edicion-n-3-de-2026-radar-de-la-compra-publica&amp;data=05%7C02%7Cana.ortizb%40colombiacompra.gov.co%7C7128555136e04fa6887d08dee99e1b50%7C7b09041e245149d08cb179d5e3d8c1be%7C0%7C0%7C639205062447842602%7CUnknown%7CTWFpbGZsb3d8eyJFbXB0eU1hcGkiOnRydWUsIlYiOiIwLjAuMDAwMCIsIlAiOiJXaW4zMiIsIkFOIjoiTWFpbCIsIldUIjoyfQ%3D%3D%7C0%7C%7C%7C&amp;sdata=kD1M1HbLmaYne%2FjmafRdlI2lWjfy6Ao%2BJcGmraP%2F8NM%3D&amp;reserved=0</vt:lpwstr>
      </vt:variant>
      <vt:variant>
        <vt:lpwstr/>
      </vt:variant>
      <vt:variant>
        <vt:i4>7012459</vt:i4>
      </vt:variant>
      <vt:variant>
        <vt:i4>15</vt:i4>
      </vt:variant>
      <vt:variant>
        <vt:i4>0</vt:i4>
      </vt:variant>
      <vt:variant>
        <vt:i4>5</vt:i4>
      </vt:variant>
      <vt:variant>
        <vt:lpwstr>https://nam02.safelinks.protection.outlook.com/?url=https%3A%2F%2Fwww.colombiacompra.gov.co%2Farchivos%2Fcircular%2Fcircular-externa-002-de-2026&amp;data=05%7C02%7Cana.ortizb%40colombiacompra.gov.co%7C7128555136e04fa6887d08dee99e1b50%7C7b09041e245149d08cb179d5e3d8c1be%7C0%7C0%7C639205062447795971%7CUnknown%7CTWFpbGZsb3d8eyJFbXB0eU1hcGkiOnRydWUsIlYiOiIwLjAuMDAwMCIsIlAiOiJXaW4zMiIsIkFOIjoiTWFpbCIsIldUIjoyfQ%3D%3D%7C0%7C%7C%7C&amp;sdata=9LIurxl2Vaut8bRBIT695McE332T4L3gq3qjukjVKIA%3D&amp;reserved=0</vt:lpwstr>
      </vt:variant>
      <vt:variant>
        <vt:lpwstr/>
      </vt:variant>
      <vt:variant>
        <vt:i4>6946923</vt:i4>
      </vt:variant>
      <vt:variant>
        <vt:i4>12</vt:i4>
      </vt:variant>
      <vt:variant>
        <vt:i4>0</vt:i4>
      </vt:variant>
      <vt:variant>
        <vt:i4>5</vt:i4>
      </vt:variant>
      <vt:variant>
        <vt:lpwstr>https://nam02.safelinks.protection.outlook.com/?url=https%3A%2F%2Fwww.colombiacompra.gov.co%2Farchivos%2Fcircular%2Fcircular-externa-003-de-2026&amp;data=05%7C02%7Cana.ortizb%40colombiacompra.gov.co%7C7128555136e04fa6887d08dee99e1b50%7C7b09041e245149d08cb179d5e3d8c1be%7C0%7C0%7C639205062447746326%7CUnknown%7CTWFpbGZsb3d8eyJFbXB0eU1hcGkiOnRydWUsIlYiOiIwLjAuMDAwMCIsIlAiOiJXaW4zMiIsIkFOIjoiTWFpbCIsIldUIjoyfQ%3D%3D%7C0%7C%7C%7C&amp;sdata=yBZOiwifibQ%2BzamlsmG3bxCSMq%2BxW90FHMBFh%2BwCJvw%3D&amp;reserved=0</vt:lpwstr>
      </vt:variant>
      <vt:variant>
        <vt:lpwstr/>
      </vt:variant>
      <vt:variant>
        <vt:i4>3211309</vt:i4>
      </vt:variant>
      <vt:variant>
        <vt:i4>9</vt:i4>
      </vt:variant>
      <vt:variant>
        <vt:i4>0</vt:i4>
      </vt:variant>
      <vt:variant>
        <vt:i4>5</vt:i4>
      </vt:variant>
      <vt:variant>
        <vt:lpwstr>https://nam02.safelinks.protection.outlook.com/?url=https%3A%2F%2Fwww.colombiacompra.gov.co%2Farchivos%2Fmanual%2Fguia-de-garantias-en-procesos-de-contratacion&amp;data=05%7C02%7Cana.ortizb%40colombiacompra.gov.co%7C7128555136e04fa6887d08dee99e1b50%7C7b09041e245149d08cb179d5e3d8c1be%7C0%7C0%7C639205062447699700%7CUnknown%7CTWFpbGZsb3d8eyJFbXB0eU1hcGkiOnRydWUsIlYiOiIwLjAuMDAwMCIsIlAiOiJXaW4zMiIsIkFOIjoiTWFpbCIsIldUIjoyfQ%3D%3D%7C0%7C%7C%7C&amp;sdata=WvSehHsLM6sWuccCKpODAneUPluUj1%2F4CrYuhBPpv20%3D&amp;reserved=0</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65617</vt:i4>
      </vt:variant>
      <vt:variant>
        <vt:i4>3</vt:i4>
      </vt:variant>
      <vt:variant>
        <vt:i4>0</vt:i4>
      </vt:variant>
      <vt:variant>
        <vt:i4>5</vt:i4>
      </vt:variant>
      <vt:variant>
        <vt:lpwstr>https://www.colombiacompra.gov.co/archivos/manual/manual-para-determinar-y-verificar-los-requisitos-habilitantes-en-los-procesos-de-contratacion</vt:lpwstr>
      </vt:variant>
      <vt:variant>
        <vt:lpwstr/>
      </vt:variant>
      <vt:variant>
        <vt:i4>327715</vt:i4>
      </vt:variant>
      <vt:variant>
        <vt:i4>0</vt:i4>
      </vt:variant>
      <vt:variant>
        <vt:i4>0</vt:i4>
      </vt:variant>
      <vt:variant>
        <vt:i4>5</vt:i4>
      </vt:variant>
      <vt:variant>
        <vt:lpwstr>mailto:dipro.gutic@policia.gov.co</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7340136</vt:i4>
      </vt:variant>
      <vt:variant>
        <vt:i4>3</vt:i4>
      </vt:variant>
      <vt:variant>
        <vt:i4>0</vt:i4>
      </vt:variant>
      <vt:variant>
        <vt:i4>5</vt:i4>
      </vt:variant>
      <vt:variant>
        <vt:lpwstr>https://colaboracion.dnp.gov.co/CDT/Normatividad/DECRETO 579 DEL 31 DE MAYO DE 2021.pdf</vt:lpwstr>
      </vt:variant>
      <vt:variant>
        <vt:lpwstr/>
      </vt:variant>
      <vt:variant>
        <vt:i4>65617</vt:i4>
      </vt:variant>
      <vt:variant>
        <vt:i4>0</vt:i4>
      </vt:variant>
      <vt:variant>
        <vt:i4>0</vt:i4>
      </vt:variant>
      <vt:variant>
        <vt:i4>5</vt:i4>
      </vt:variant>
      <vt:variant>
        <vt:lpwstr>https://www.colombiacompra.gov.co/archivos/manual/manual-para-determinar-y-verificar-los-requisitos-habilitantes-en-los-procesos-de-contratacion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32</cp:revision>
  <cp:lastPrinted>2023-01-10T21:18:00Z</cp:lastPrinted>
  <dcterms:created xsi:type="dcterms:W3CDTF">2026-09-24T18:58:00Z</dcterms:created>
  <dcterms:modified xsi:type="dcterms:W3CDTF">2026-09-25T13:08:00Z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y fmtid="{D5CDD505-2E9C-101B-9397-08002B2CF9AE}" pid="4" name="ClassificationContentMarkingFooterShapeIds">
    <vt:lpwstr>d58a415,6e6f623e,4abb2f6</vt:lpwstr>
  </property>
  <property fmtid="{D5CDD505-2E9C-101B-9397-08002B2CF9AE}" pid="5" name="ClassificationContentMarkingFooterFontProps">
    <vt:lpwstr>#000000,10,Aptos</vt:lpwstr>
  </property>
  <property fmtid="{D5CDD505-2E9C-101B-9397-08002B2CF9AE}" pid="6" name="ClassificationContentMarkingFooterText">
    <vt:lpwstr>Información Pública</vt:lpwstr>
  </property>
  <property fmtid="{D5CDD505-2E9C-101B-9397-08002B2CF9AE}" pid="7" name="MSIP_Label_a4b7c6c0-63aa-4c48-857c-972cf4a47d5d_Enabled">
    <vt:lpwstr>true</vt:lpwstr>
  </property>
  <property fmtid="{D5CDD505-2E9C-101B-9397-08002B2CF9AE}" pid="8" name="MSIP_Label_a4b7c6c0-63aa-4c48-857c-972cf4a47d5d_SetDate">
    <vt:lpwstr>2026-09-24T19:47:36Z</vt:lpwstr>
  </property>
  <property fmtid="{D5CDD505-2E9C-101B-9397-08002B2CF9AE}" pid="9" name="MSIP_Label_a4b7c6c0-63aa-4c48-857c-972cf4a47d5d_Method">
    <vt:lpwstr>Standard</vt:lpwstr>
  </property>
  <property fmtid="{D5CDD505-2E9C-101B-9397-08002B2CF9AE}" pid="10" name="MSIP_Label_a4b7c6c0-63aa-4c48-857c-972cf4a47d5d_Name">
    <vt:lpwstr>defa4170-0d19-0005-0001-bc88714345d2</vt:lpwstr>
  </property>
  <property fmtid="{D5CDD505-2E9C-101B-9397-08002B2CF9AE}" pid="11" name="MSIP_Label_a4b7c6c0-63aa-4c48-857c-972cf4a47d5d_SiteId">
    <vt:lpwstr>33fa6907-21c6-4126-aa66-bcbed95361bb</vt:lpwstr>
  </property>
  <property fmtid="{D5CDD505-2E9C-101B-9397-08002B2CF9AE}" pid="12" name="MSIP_Label_a4b7c6c0-63aa-4c48-857c-972cf4a47d5d_ActionId">
    <vt:lpwstr>8c877119-5662-4a5a-b42a-b187cdc62d6e</vt:lpwstr>
  </property>
  <property fmtid="{D5CDD505-2E9C-101B-9397-08002B2CF9AE}" pid="13" name="MSIP_Label_a4b7c6c0-63aa-4c48-857c-972cf4a47d5d_ContentBits">
    <vt:lpwstr>2</vt:lpwstr>
  </property>
  <property fmtid="{D5CDD505-2E9C-101B-9397-08002B2CF9AE}" pid="14" name="MSIP_Label_a4b7c6c0-63aa-4c48-857c-972cf4a47d5d_Tag">
    <vt:lpwstr>50, 3, 0, 1</vt:lpwstr>
  </property>
</Properties>
</file>