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5FB58" w14:textId="77777777" w:rsidR="00433374" w:rsidRPr="00433374" w:rsidRDefault="00433374" w:rsidP="00D64821">
      <w:pPr>
        <w:spacing w:after="0" w:line="240" w:lineRule="auto"/>
        <w:jc w:val="both"/>
        <w:rPr>
          <w:rFonts w:ascii="Verdana" w:eastAsia="Verdana" w:hAnsi="Verdana" w:cs="Verdana"/>
          <w:b/>
          <w:lang w:val="es-ES_tradnl"/>
        </w:rPr>
      </w:pPr>
      <w:bookmarkStart w:id="0" w:name="_Hlk143780582"/>
      <w:r w:rsidRPr="00433374">
        <w:rPr>
          <w:rFonts w:ascii="Verdana" w:eastAsia="Verdana" w:hAnsi="Verdana" w:cs="Verdana"/>
          <w:b/>
          <w:lang w:val="es-ES_tradnl"/>
        </w:rPr>
        <w:t xml:space="preserve">PROPONENTE PLURAL ‒ Consorcio ‒ Unión temporal ‒ Concepto – Diferencias </w:t>
      </w:r>
    </w:p>
    <w:p w14:paraId="72051220" w14:textId="77777777" w:rsidR="0087457D" w:rsidRPr="0087457D" w:rsidRDefault="0087457D" w:rsidP="00D64821">
      <w:pPr>
        <w:spacing w:after="0" w:line="240" w:lineRule="auto"/>
        <w:jc w:val="both"/>
        <w:rPr>
          <w:rFonts w:ascii="Verdana" w:eastAsia="Verdana" w:hAnsi="Verdana" w:cs="Verdana"/>
          <w:sz w:val="20"/>
          <w:szCs w:val="20"/>
          <w:lang w:val="es-ES"/>
        </w:rPr>
      </w:pPr>
    </w:p>
    <w:p w14:paraId="479554A1" w14:textId="158187F2" w:rsidR="0087457D" w:rsidRPr="0087457D" w:rsidRDefault="0087457D" w:rsidP="00D64821">
      <w:pPr>
        <w:spacing w:after="0" w:line="240" w:lineRule="auto"/>
        <w:jc w:val="both"/>
        <w:rPr>
          <w:rFonts w:ascii="Verdana" w:eastAsia="Verdana" w:hAnsi="Verdana" w:cs="Verdana"/>
          <w:sz w:val="20"/>
          <w:szCs w:val="20"/>
        </w:rPr>
      </w:pPr>
      <w:r w:rsidRPr="0087457D">
        <w:rPr>
          <w:rFonts w:ascii="Verdana" w:eastAsia="Verdana" w:hAnsi="Verdana" w:cs="Verdana"/>
          <w:sz w:val="20"/>
          <w:szCs w:val="20"/>
          <w:lang w:val="es-ES"/>
        </w:rPr>
        <w:t>Como se observa, el artículo citado señala que el consorcio o la unión temporal se da “Cuando dos o más personas en forma conjunta presentan una misma propuesta para la adjudicación, celebración y ejecución de un contrato, respondiendo solidariamente de todas y cada una de las obligaciones derivadas de la propuesta y del contrato […]”.</w:t>
      </w:r>
      <w:r w:rsidRPr="0087457D">
        <w:rPr>
          <w:rFonts w:ascii="Verdana" w:eastAsia="Verdana" w:hAnsi="Verdana" w:cs="Verdana"/>
          <w:sz w:val="20"/>
          <w:szCs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7418722E" w14:textId="77777777" w:rsidR="0087457D" w:rsidRPr="0087457D" w:rsidRDefault="0087457D" w:rsidP="00D64821">
      <w:pPr>
        <w:spacing w:after="0" w:line="240" w:lineRule="auto"/>
        <w:jc w:val="both"/>
        <w:rPr>
          <w:rFonts w:ascii="Verdana" w:eastAsia="Verdana" w:hAnsi="Verdana" w:cs="Verdana"/>
          <w:sz w:val="20"/>
          <w:szCs w:val="20"/>
        </w:rPr>
      </w:pPr>
    </w:p>
    <w:p w14:paraId="46DC79D5" w14:textId="008B1E5C" w:rsidR="0087457D" w:rsidRPr="0087457D" w:rsidRDefault="0087457D" w:rsidP="00D64821">
      <w:pPr>
        <w:spacing w:after="0" w:line="240" w:lineRule="auto"/>
        <w:jc w:val="both"/>
        <w:rPr>
          <w:rFonts w:ascii="Verdana" w:eastAsia="Verdana" w:hAnsi="Verdana" w:cs="Verdana"/>
          <w:sz w:val="20"/>
          <w:szCs w:val="20"/>
        </w:rPr>
      </w:pPr>
      <w:r w:rsidRPr="0087457D">
        <w:rPr>
          <w:rFonts w:ascii="Verdana" w:eastAsia="Verdana" w:hAnsi="Verdana" w:cs="Verdana"/>
          <w:sz w:val="20"/>
          <w:szCs w:val="20"/>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2298EA1A" w14:textId="7E239DFB" w:rsidR="00433374" w:rsidRPr="0087457D" w:rsidRDefault="00433374" w:rsidP="00D64821">
      <w:pPr>
        <w:spacing w:after="0" w:line="240" w:lineRule="auto"/>
        <w:jc w:val="both"/>
        <w:rPr>
          <w:rFonts w:ascii="Verdana" w:eastAsia="Verdana" w:hAnsi="Verdana" w:cs="Verdana"/>
          <w:b/>
          <w:sz w:val="20"/>
          <w:szCs w:val="20"/>
          <w:lang w:val="es-ES_tradnl"/>
        </w:rPr>
      </w:pPr>
    </w:p>
    <w:p w14:paraId="3FB49EF7" w14:textId="77777777" w:rsidR="00433374" w:rsidRPr="00433374" w:rsidRDefault="00433374" w:rsidP="00D64821">
      <w:pPr>
        <w:spacing w:after="0" w:line="240" w:lineRule="auto"/>
        <w:jc w:val="both"/>
        <w:rPr>
          <w:rFonts w:ascii="Verdana" w:eastAsia="Verdana" w:hAnsi="Verdana" w:cs="Verdana"/>
          <w:b/>
          <w:lang w:val="es-ES_tradnl"/>
        </w:rPr>
      </w:pPr>
      <w:r w:rsidRPr="00433374">
        <w:rPr>
          <w:rFonts w:ascii="Verdana" w:eastAsia="Verdana" w:hAnsi="Verdana" w:cs="Verdana"/>
          <w:b/>
          <w:lang w:val="es-ES_tradnl"/>
        </w:rPr>
        <w:t xml:space="preserve"> CONSORCIOS Y UNIONES TEMPORALES – Ausencia de personería jurídica </w:t>
      </w:r>
    </w:p>
    <w:p w14:paraId="231982FD" w14:textId="77777777" w:rsidR="00433374" w:rsidRPr="006737B1" w:rsidRDefault="00433374" w:rsidP="00D64821">
      <w:pPr>
        <w:spacing w:after="0" w:line="240" w:lineRule="auto"/>
        <w:jc w:val="both"/>
        <w:rPr>
          <w:rFonts w:ascii="Verdana" w:eastAsia="Verdana" w:hAnsi="Verdana" w:cs="Verdana"/>
          <w:bCs/>
          <w:sz w:val="20"/>
          <w:szCs w:val="20"/>
          <w:lang w:val="es-ES_tradnl"/>
        </w:rPr>
      </w:pPr>
    </w:p>
    <w:p w14:paraId="65D56AB6" w14:textId="77777777" w:rsidR="006737B1" w:rsidRPr="006737B1" w:rsidRDefault="006737B1" w:rsidP="00D64821">
      <w:pPr>
        <w:spacing w:after="0" w:line="240" w:lineRule="auto"/>
        <w:jc w:val="both"/>
        <w:rPr>
          <w:rFonts w:ascii="Verdana" w:eastAsia="Verdana" w:hAnsi="Verdana" w:cs="Verdana"/>
          <w:bCs/>
          <w:sz w:val="20"/>
          <w:szCs w:val="20"/>
        </w:rPr>
      </w:pPr>
      <w:r w:rsidRPr="006737B1">
        <w:rPr>
          <w:rFonts w:ascii="Verdana" w:eastAsia="Verdana" w:hAnsi="Verdana" w:cs="Verdana"/>
          <w:bCs/>
          <w:sz w:val="20"/>
          <w:szCs w:val="20"/>
        </w:rPr>
        <w:t>La capacidad jurídica de los proponentes plurales —consorcios y uniones temporales— se encuentra limitada al ámbito de la contratación estatal regulada por la Ley 80 de 1993 y las normas complementarias. En efecto, el artículo 7 de dicha ley reconoce a estas instituciones la posibilidad de presentar propuestas y celebrar contratos con las entidades estatales, pero no les otorga personalidad jurídica independiente ni capacidad para actuar en relaciones entre particulares. Así lo han reiterado conceptos como el C</w:t>
      </w:r>
      <w:r w:rsidRPr="006737B1">
        <w:rPr>
          <w:rFonts w:ascii="Verdana" w:eastAsia="Verdana" w:hAnsi="Verdana" w:cs="Verdana"/>
          <w:bCs/>
          <w:sz w:val="20"/>
          <w:szCs w:val="20"/>
        </w:rPr>
        <w:noBreakHyphen/>
        <w:t>100 del 12 de junio de 2024 y el C</w:t>
      </w:r>
      <w:r w:rsidRPr="006737B1">
        <w:rPr>
          <w:rFonts w:ascii="Verdana" w:eastAsia="Verdana" w:hAnsi="Verdana" w:cs="Verdana"/>
          <w:bCs/>
          <w:sz w:val="20"/>
          <w:szCs w:val="20"/>
        </w:rPr>
        <w:noBreakHyphen/>
        <w:t>1206 del 10 de septiembre de 2026, en los que se precisa que la cesión de contratos estatales exige que el cesionario sea un tercero con personalidad jurídica propia, condición que no cumplen los consorcios ni las uniones temporales.</w:t>
      </w:r>
    </w:p>
    <w:p w14:paraId="641DE7FE" w14:textId="77777777" w:rsidR="00433374" w:rsidRPr="006737B1" w:rsidRDefault="00433374" w:rsidP="00D64821">
      <w:pPr>
        <w:spacing w:after="0" w:line="240" w:lineRule="auto"/>
        <w:jc w:val="both"/>
        <w:rPr>
          <w:rFonts w:ascii="Verdana" w:eastAsia="Verdana" w:hAnsi="Verdana" w:cs="Verdana"/>
          <w:bCs/>
        </w:rPr>
      </w:pPr>
    </w:p>
    <w:p w14:paraId="10548CF2" w14:textId="74C463D4" w:rsidR="00433374" w:rsidRPr="00433374" w:rsidRDefault="00433374" w:rsidP="00D64821">
      <w:pPr>
        <w:spacing w:after="0" w:line="240" w:lineRule="auto"/>
        <w:jc w:val="both"/>
        <w:rPr>
          <w:rFonts w:ascii="Verdana" w:eastAsia="Verdana" w:hAnsi="Verdana" w:cs="Verdana"/>
          <w:b/>
          <w:lang w:val="es-ES_tradnl"/>
        </w:rPr>
      </w:pPr>
      <w:r w:rsidRPr="00433374">
        <w:rPr>
          <w:rFonts w:ascii="Verdana" w:eastAsia="Verdana" w:hAnsi="Verdana" w:cs="Verdana"/>
          <w:b/>
          <w:lang w:val="es-ES_tradnl"/>
        </w:rPr>
        <w:t>CONSORCIOS Y UNIONES TEMPORALES – Obligaciones independientes – Miembro del Consorcio – No extensible al Consorcio</w:t>
      </w:r>
    </w:p>
    <w:p w14:paraId="01690CFE" w14:textId="77777777" w:rsidR="00433374" w:rsidRPr="00B233D2" w:rsidRDefault="00433374" w:rsidP="00D64821">
      <w:pPr>
        <w:spacing w:after="0" w:line="240" w:lineRule="auto"/>
        <w:rPr>
          <w:rFonts w:ascii="Verdana" w:eastAsia="Verdana" w:hAnsi="Verdana" w:cs="Verdana"/>
          <w:sz w:val="20"/>
          <w:szCs w:val="20"/>
          <w:lang w:val="es-ES_tradnl"/>
        </w:rPr>
      </w:pPr>
    </w:p>
    <w:p w14:paraId="3C163419" w14:textId="77777777" w:rsidR="00B233D2" w:rsidRDefault="00B233D2" w:rsidP="00D64821">
      <w:pPr>
        <w:spacing w:after="0" w:line="240" w:lineRule="auto"/>
        <w:jc w:val="both"/>
        <w:rPr>
          <w:rFonts w:ascii="Verdana" w:eastAsia="Verdana" w:hAnsi="Verdana" w:cs="Verdana"/>
          <w:sz w:val="20"/>
          <w:szCs w:val="20"/>
        </w:rPr>
      </w:pPr>
      <w:r w:rsidRPr="00B233D2">
        <w:rPr>
          <w:rFonts w:ascii="Verdana" w:eastAsia="Verdana" w:hAnsi="Verdana" w:cs="Verdana"/>
          <w:sz w:val="20"/>
          <w:szCs w:val="20"/>
        </w:rPr>
        <w:t xml:space="preserve">En este marco, resulta fundamental diferenciar las obligaciones derivadas del contrato estatal de aquellas que corresponden de manera individual a los miembros del consorcio por obligaciones que no nacen del proceso de contratación. Cuando se ordena un embargo contra uno de sus integrantes, la medida cautelar no puede recaer sobre el </w:t>
      </w:r>
      <w:r w:rsidRPr="00B233D2">
        <w:rPr>
          <w:rFonts w:ascii="Verdana" w:eastAsia="Verdana" w:hAnsi="Verdana" w:cs="Verdana"/>
          <w:sz w:val="20"/>
          <w:szCs w:val="20"/>
        </w:rPr>
        <w:lastRenderedPageBreak/>
        <w:t>consorcio en su conjunto ni sobre los recursos destinados a la ejecución del contrato, pues estos tienen una destinación específica y están vinculados directamente al cumplimiento del objeto contractual. El consorcio no puede considerarse sujeto pasivo de la medida. Lo embargable es únicamente la participación económica del miembro deudor, conforme lo disponga el juez competente, y no sobre los recursos que se giran al consorcio para el cumplimiento del contrato. En virtud de la prenda general de los acreedores (artículo 2488 del Código Civil), lo embargable se contrae a esa participación, y el embargo del crédito se perfecciona con la notificación a la entidad estatal —deudora del pago— para que retenga y consigne a órdenes del juzgado la suma correspondiente al deudor (artículo 593 del Código General del Proceso).</w:t>
      </w:r>
    </w:p>
    <w:p w14:paraId="782D084E" w14:textId="77777777" w:rsidR="00B233D2" w:rsidRPr="00B233D2" w:rsidRDefault="00B233D2" w:rsidP="00D64821">
      <w:pPr>
        <w:spacing w:after="0" w:line="240" w:lineRule="auto"/>
        <w:jc w:val="both"/>
        <w:rPr>
          <w:rFonts w:ascii="Verdana" w:eastAsia="Verdana" w:hAnsi="Verdana" w:cs="Verdana"/>
          <w:sz w:val="20"/>
          <w:szCs w:val="20"/>
        </w:rPr>
      </w:pPr>
    </w:p>
    <w:p w14:paraId="3AD9835E" w14:textId="77777777" w:rsidR="00B233D2" w:rsidRDefault="00B233D2" w:rsidP="00D64821">
      <w:pPr>
        <w:spacing w:after="0" w:line="240" w:lineRule="auto"/>
        <w:jc w:val="both"/>
        <w:rPr>
          <w:rFonts w:ascii="Verdana" w:eastAsia="Verdana" w:hAnsi="Verdana" w:cs="Verdana"/>
          <w:sz w:val="20"/>
          <w:szCs w:val="20"/>
        </w:rPr>
      </w:pPr>
      <w:r w:rsidRPr="00B233D2">
        <w:rPr>
          <w:rFonts w:ascii="Verdana" w:eastAsia="Verdana" w:hAnsi="Verdana" w:cs="Verdana"/>
          <w:sz w:val="20"/>
          <w:szCs w:val="20"/>
        </w:rPr>
        <w:t>Los recursos destinados a la ejecución del contrato solo están protegidos frente al embargo en los casos que la ley establece. En los contratos de obra pública, las sumas anticipadas al contratista son inembargables mientras no concluya la construcción, salvo por obligaciones a favor de los trabajadores de la obra por salarios, prestaciones e indemnizaciones, según el artículo 594, numeral 5, del Código General del Proceso. Por fuera de esa hipótesis, las sumas que integran el precio son crédito del contratista y su embargabilidad se rige por las reglas generales, con el límite de la participación del miembro deudor. La forma en que se estructuró el contrato —por ejemplo, la discriminación entre Administración, Imprevistos y Utilidad (AIU) en los contratos de obra— es un elemento relevante para identificar, bajo la orden judicial, la suma efectivamente atribuible al deudor, sin que ello autorice a declarar inembargables, por vía de analogía tributaria, los costos directos del contrato.</w:t>
      </w:r>
    </w:p>
    <w:p w14:paraId="2BF3408B" w14:textId="77777777" w:rsidR="00B233D2" w:rsidRPr="00B233D2" w:rsidRDefault="00B233D2" w:rsidP="00D64821">
      <w:pPr>
        <w:spacing w:after="0" w:line="240" w:lineRule="auto"/>
        <w:jc w:val="both"/>
        <w:rPr>
          <w:rFonts w:ascii="Verdana" w:eastAsia="Verdana" w:hAnsi="Verdana" w:cs="Verdana"/>
          <w:sz w:val="20"/>
          <w:szCs w:val="20"/>
        </w:rPr>
      </w:pPr>
    </w:p>
    <w:p w14:paraId="45917049" w14:textId="77777777" w:rsidR="00B233D2" w:rsidRPr="00B233D2" w:rsidRDefault="00B233D2" w:rsidP="00D64821">
      <w:pPr>
        <w:spacing w:after="0" w:line="240" w:lineRule="auto"/>
        <w:jc w:val="both"/>
        <w:rPr>
          <w:rFonts w:ascii="Verdana" w:eastAsia="Verdana" w:hAnsi="Verdana" w:cs="Verdana"/>
          <w:sz w:val="20"/>
          <w:szCs w:val="20"/>
        </w:rPr>
      </w:pPr>
      <w:r w:rsidRPr="00B233D2">
        <w:rPr>
          <w:rFonts w:ascii="Verdana" w:eastAsia="Verdana" w:hAnsi="Verdana" w:cs="Verdana"/>
          <w:sz w:val="20"/>
          <w:szCs w:val="20"/>
        </w:rPr>
        <w:t>Este criterio responde a la necesidad de preservar el equilibrio económico del contrato y la continuidad en la prestación del servicio público. En todo caso, corresponde al juez competente, como autoridad que ordena la medida cautelar, revisar y precisar el alcance del embargo. Ante cualquier ambigüedad, vaguedad o aplicación indebida, resulta recomendable que el representante legal del consorcio acuda al juez para solicitar la aclaración respectiva, con el fin de garantizar que la medida no afecte los recursos destinados a la operación contractual. De esta manera, se asegura la protección de los derechos de los consorciados no deudores y la correcta ejecución del contrato estatal, en armonía con los principios de buena fe y seguridad jurídica.</w:t>
      </w:r>
    </w:p>
    <w:p w14:paraId="20E05193" w14:textId="77777777" w:rsidR="00433374" w:rsidRDefault="00433374" w:rsidP="00520DE9">
      <w:pPr>
        <w:spacing w:after="0"/>
        <w:rPr>
          <w:rFonts w:ascii="Verdana" w:eastAsia="Verdana" w:hAnsi="Verdana" w:cs="Verdana"/>
        </w:rPr>
      </w:pPr>
    </w:p>
    <w:p w14:paraId="4D6A364B" w14:textId="77777777" w:rsidR="00B233D2" w:rsidRDefault="00B233D2" w:rsidP="00520DE9">
      <w:pPr>
        <w:spacing w:after="0"/>
        <w:rPr>
          <w:rFonts w:ascii="Verdana" w:eastAsia="Verdana" w:hAnsi="Verdana" w:cs="Verdana"/>
        </w:rPr>
      </w:pPr>
    </w:p>
    <w:p w14:paraId="05068171" w14:textId="77777777" w:rsidR="00B233D2" w:rsidRDefault="00B233D2" w:rsidP="00520DE9">
      <w:pPr>
        <w:spacing w:after="0"/>
        <w:rPr>
          <w:rFonts w:ascii="Verdana" w:eastAsia="Verdana" w:hAnsi="Verdana" w:cs="Verdana"/>
        </w:rPr>
      </w:pPr>
    </w:p>
    <w:p w14:paraId="579FC2DB" w14:textId="77777777" w:rsidR="00B233D2" w:rsidRDefault="00B233D2" w:rsidP="00520DE9">
      <w:pPr>
        <w:spacing w:after="0"/>
        <w:rPr>
          <w:rFonts w:ascii="Verdana" w:eastAsia="Verdana" w:hAnsi="Verdana" w:cs="Verdana"/>
        </w:rPr>
      </w:pPr>
    </w:p>
    <w:p w14:paraId="3E17D33A" w14:textId="77777777" w:rsidR="00B233D2" w:rsidRDefault="00B233D2" w:rsidP="00520DE9">
      <w:pPr>
        <w:spacing w:after="0"/>
        <w:rPr>
          <w:rFonts w:ascii="Verdana" w:eastAsia="Verdana" w:hAnsi="Verdana" w:cs="Verdana"/>
        </w:rPr>
      </w:pPr>
    </w:p>
    <w:p w14:paraId="6A3C7AD4" w14:textId="77777777" w:rsidR="00B233D2" w:rsidRDefault="00B233D2" w:rsidP="00520DE9">
      <w:pPr>
        <w:spacing w:after="0"/>
        <w:rPr>
          <w:rFonts w:ascii="Verdana" w:eastAsia="Verdana" w:hAnsi="Verdana" w:cs="Verdana"/>
        </w:rPr>
      </w:pPr>
    </w:p>
    <w:p w14:paraId="34E553DD" w14:textId="77777777" w:rsidR="00B233D2" w:rsidRDefault="00B233D2" w:rsidP="00520DE9">
      <w:pPr>
        <w:spacing w:after="0"/>
        <w:rPr>
          <w:rFonts w:ascii="Verdana" w:eastAsia="Verdana" w:hAnsi="Verdana" w:cs="Verdana"/>
        </w:rPr>
      </w:pPr>
    </w:p>
    <w:p w14:paraId="0D2F8B3D" w14:textId="77777777" w:rsidR="00B233D2" w:rsidRDefault="00B233D2" w:rsidP="00520DE9">
      <w:pPr>
        <w:spacing w:after="0"/>
        <w:rPr>
          <w:rFonts w:ascii="Verdana" w:eastAsia="Verdana" w:hAnsi="Verdana" w:cs="Verdana"/>
        </w:rPr>
      </w:pPr>
    </w:p>
    <w:p w14:paraId="56F1D3E8" w14:textId="77777777" w:rsidR="00B233D2" w:rsidRDefault="00B233D2" w:rsidP="00520DE9">
      <w:pPr>
        <w:spacing w:after="0"/>
        <w:rPr>
          <w:rFonts w:ascii="Verdana" w:eastAsia="Verdana" w:hAnsi="Verdana" w:cs="Verdana"/>
        </w:rPr>
      </w:pPr>
    </w:p>
    <w:p w14:paraId="471880B1" w14:textId="77777777" w:rsidR="00B233D2" w:rsidRDefault="00B233D2" w:rsidP="00520DE9">
      <w:pPr>
        <w:spacing w:after="0"/>
        <w:rPr>
          <w:rFonts w:ascii="Verdana" w:eastAsia="Verdana" w:hAnsi="Verdana" w:cs="Verdana"/>
        </w:rPr>
      </w:pPr>
    </w:p>
    <w:p w14:paraId="06802678" w14:textId="40258132" w:rsidR="00520DE9" w:rsidRDefault="00520DE9" w:rsidP="00520DE9">
      <w:pPr>
        <w:spacing w:after="0"/>
        <w:rPr>
          <w:rFonts w:ascii="Verdana" w:hAnsi="Verdana" w:cs="Arial"/>
          <w:bCs/>
          <w:lang w:eastAsia="es-ES" w:bidi="es-ES"/>
        </w:rPr>
      </w:pPr>
      <w:r>
        <w:rPr>
          <w:rFonts w:ascii="Verdana" w:eastAsia="Verdana" w:hAnsi="Verdana" w:cs="Verdana"/>
        </w:rPr>
        <w:lastRenderedPageBreak/>
        <w:t xml:space="preserve">Bogotá D.C., </w:t>
      </w:r>
      <w:r w:rsidR="00270C4D">
        <w:rPr>
          <w:rFonts w:ascii="Verdana" w:eastAsia="Verdana" w:hAnsi="Verdana" w:cs="Verdana"/>
        </w:rPr>
        <w:t>25 de septiembre de 2026</w:t>
      </w:r>
      <w:r>
        <w:tab/>
      </w:r>
      <w:r>
        <w:br/>
      </w:r>
    </w:p>
    <w:p w14:paraId="7D50817D" w14:textId="2AA47F5B" w:rsidR="00520DE9" w:rsidRPr="00915645" w:rsidRDefault="00520DE9" w:rsidP="00520DE9">
      <w:pPr>
        <w:spacing w:after="0"/>
        <w:rPr>
          <w:rFonts w:ascii="Verdana" w:hAnsi="Verdana" w:cs="Arial"/>
          <w:bCs/>
          <w:lang w:eastAsia="es-ES" w:bidi="es-ES"/>
        </w:rPr>
      </w:pPr>
    </w:p>
    <w:p w14:paraId="14848595" w14:textId="79DA23D7" w:rsidR="00520DE9" w:rsidRPr="00915645" w:rsidRDefault="004B2EC2" w:rsidP="00520DE9">
      <w:pPr>
        <w:spacing w:after="0" w:line="240" w:lineRule="auto"/>
        <w:jc w:val="both"/>
        <w:rPr>
          <w:rFonts w:ascii="Verdana" w:hAnsi="Verdana" w:cs="Arial"/>
          <w:bCs/>
          <w:lang w:eastAsia="es-ES" w:bidi="es-ES"/>
        </w:rPr>
      </w:pPr>
      <w:r w:rsidRPr="00883FB6">
        <w:rPr>
          <w:noProof/>
        </w:rPr>
        <w:drawing>
          <wp:anchor distT="0" distB="0" distL="114300" distR="114300" simplePos="0" relativeHeight="251658240" behindDoc="0" locked="0" layoutInCell="1" allowOverlap="1" wp14:anchorId="4FDA062C" wp14:editId="042BB643">
            <wp:simplePos x="0" y="0"/>
            <wp:positionH relativeFrom="margin">
              <wp:posOffset>2943225</wp:posOffset>
            </wp:positionH>
            <wp:positionV relativeFrom="paragraph">
              <wp:posOffset>8255</wp:posOffset>
            </wp:positionV>
            <wp:extent cx="2664460" cy="779145"/>
            <wp:effectExtent l="0" t="0" r="2540" b="1905"/>
            <wp:wrapSquare wrapText="bothSides"/>
            <wp:docPr id="1321106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4460"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0DE9">
        <w:rPr>
          <w:rFonts w:ascii="Verdana" w:hAnsi="Verdana" w:cs="Arial"/>
          <w:bCs/>
          <w:lang w:eastAsia="es-ES" w:bidi="es-ES"/>
        </w:rPr>
        <w:t>Señor</w:t>
      </w:r>
    </w:p>
    <w:p w14:paraId="3B0571A2" w14:textId="77777777" w:rsidR="00520DE9" w:rsidRPr="00915645" w:rsidRDefault="00520DE9" w:rsidP="00520DE9">
      <w:pPr>
        <w:spacing w:after="0" w:line="240" w:lineRule="auto"/>
        <w:jc w:val="both"/>
        <w:rPr>
          <w:rFonts w:ascii="Verdana" w:hAnsi="Verdana" w:cs="Arial"/>
          <w:b/>
          <w:bCs/>
          <w:lang w:eastAsia="es-ES" w:bidi="es-ES"/>
        </w:rPr>
      </w:pPr>
      <w:r>
        <w:rPr>
          <w:rFonts w:ascii="Verdana" w:hAnsi="Verdana" w:cs="Arial"/>
          <w:b/>
          <w:bCs/>
          <w:lang w:eastAsia="es-ES" w:bidi="es-ES"/>
        </w:rPr>
        <w:t>Juan Francisco Suárez López</w:t>
      </w:r>
    </w:p>
    <w:p w14:paraId="5AE518C9" w14:textId="77777777" w:rsidR="00520DE9" w:rsidRPr="00915645" w:rsidRDefault="00520DE9" w:rsidP="00520DE9">
      <w:pPr>
        <w:spacing w:after="0" w:line="240" w:lineRule="auto"/>
        <w:jc w:val="both"/>
        <w:rPr>
          <w:rFonts w:ascii="Verdana" w:hAnsi="Verdana"/>
        </w:rPr>
      </w:pPr>
      <w:hyperlink r:id="rId12" w:history="1">
        <w:r>
          <w:rPr>
            <w:rStyle w:val="Hipervnculo"/>
            <w:rFonts w:ascii="Verdana" w:hAnsi="Verdana"/>
          </w:rPr>
          <w:t>juanchosuarez16@yahoo.com</w:t>
        </w:r>
      </w:hyperlink>
      <w:r>
        <w:rPr>
          <w:rFonts w:ascii="Verdana" w:hAnsi="Verdana"/>
        </w:rPr>
        <w:t xml:space="preserve"> </w:t>
      </w:r>
    </w:p>
    <w:p w14:paraId="21F4B50F" w14:textId="77777777" w:rsidR="00520DE9" w:rsidRPr="00B10792" w:rsidRDefault="00520DE9" w:rsidP="00520DE9">
      <w:pPr>
        <w:spacing w:after="0" w:line="240" w:lineRule="auto"/>
        <w:jc w:val="both"/>
        <w:rPr>
          <w:rFonts w:ascii="Verdana" w:hAnsi="Verdana" w:cs="Arial"/>
          <w:bCs/>
          <w:lang w:eastAsia="es-ES" w:bidi="es-ES"/>
        </w:rPr>
      </w:pPr>
      <w:r>
        <w:rPr>
          <w:rFonts w:ascii="Verdana" w:hAnsi="Verdana" w:cs="Arial"/>
          <w:bCs/>
          <w:lang w:eastAsia="es-ES" w:bidi="es-ES"/>
        </w:rPr>
        <w:t>Bogotá D.C.</w:t>
      </w:r>
    </w:p>
    <w:p w14:paraId="43D2B25A" w14:textId="77777777" w:rsidR="00520DE9" w:rsidRPr="00B10792" w:rsidRDefault="00520DE9" w:rsidP="00520DE9">
      <w:pPr>
        <w:spacing w:after="0" w:line="240" w:lineRule="auto"/>
        <w:jc w:val="both"/>
        <w:rPr>
          <w:rFonts w:ascii="Verdana" w:hAnsi="Verdana" w:cs="Arial"/>
          <w:b/>
          <w:bCs/>
          <w:lang w:eastAsia="es-ES" w:bidi="es-ES"/>
        </w:rPr>
      </w:pPr>
    </w:p>
    <w:p w14:paraId="0510FF7D" w14:textId="77777777" w:rsidR="00520DE9" w:rsidRPr="00B10792" w:rsidRDefault="00520DE9" w:rsidP="00520DE9">
      <w:pPr>
        <w:tabs>
          <w:tab w:val="left" w:pos="7184"/>
        </w:tabs>
        <w:spacing w:after="0" w:line="240" w:lineRule="auto"/>
        <w:jc w:val="both"/>
        <w:rPr>
          <w:rFonts w:ascii="Verdana" w:hAnsi="Verdana" w:cs="Arial"/>
          <w:b/>
          <w:bCs/>
          <w:lang w:eastAsia="es-ES" w:bidi="es-ES"/>
        </w:rPr>
      </w:pPr>
      <w:r>
        <w:rPr>
          <w:rFonts w:ascii="Verdana" w:hAnsi="Verdana" w:cs="Arial"/>
          <w:b/>
          <w:bCs/>
          <w:lang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520DE9" w:rsidRPr="003E4CC9" w14:paraId="6B43F63F" w14:textId="77777777" w:rsidTr="007540C9">
        <w:trPr>
          <w:trHeight w:val="312"/>
        </w:trPr>
        <w:tc>
          <w:tcPr>
            <w:tcW w:w="2689" w:type="dxa"/>
          </w:tcPr>
          <w:p w14:paraId="78261B40" w14:textId="77777777" w:rsidR="00520DE9" w:rsidRPr="00B10792" w:rsidRDefault="00520DE9" w:rsidP="007540C9">
            <w:pPr>
              <w:jc w:val="both"/>
              <w:rPr>
                <w:rFonts w:ascii="Verdana" w:hAnsi="Verdana" w:cs="Arial"/>
                <w:b/>
                <w:bCs/>
                <w:lang w:eastAsia="es-ES" w:bidi="es-ES"/>
              </w:rPr>
            </w:pPr>
          </w:p>
        </w:tc>
        <w:tc>
          <w:tcPr>
            <w:tcW w:w="6242" w:type="dxa"/>
          </w:tcPr>
          <w:p w14:paraId="68F052F8" w14:textId="77777777" w:rsidR="00520DE9" w:rsidRPr="003E4CC9" w:rsidRDefault="00520DE9" w:rsidP="007540C9">
            <w:pPr>
              <w:tabs>
                <w:tab w:val="right" w:pos="6242"/>
              </w:tabs>
              <w:jc w:val="both"/>
              <w:rPr>
                <w:rFonts w:ascii="Verdana" w:hAnsi="Verdana" w:cs="Arial"/>
                <w:b/>
                <w:bCs/>
                <w:lang w:val="es-MX" w:eastAsia="es-ES" w:bidi="es-ES"/>
              </w:rPr>
            </w:pPr>
            <w:r>
              <w:rPr>
                <w:rFonts w:ascii="Verdana" w:hAnsi="Verdana" w:cs="Arial"/>
                <w:b/>
                <w:bCs/>
                <w:lang w:val="es-MX" w:eastAsia="es-ES" w:bidi="es-ES"/>
              </w:rPr>
              <w:t>Concepto C-1303 de 2026</w:t>
            </w:r>
            <w:r>
              <w:rPr>
                <w:rFonts w:ascii="Verdana" w:hAnsi="Verdana" w:cs="Arial"/>
                <w:b/>
                <w:bCs/>
                <w:lang w:val="es-MX" w:eastAsia="es-ES" w:bidi="es-ES"/>
              </w:rPr>
              <w:tab/>
            </w:r>
          </w:p>
          <w:p w14:paraId="66ABE383" w14:textId="77777777" w:rsidR="00520DE9" w:rsidRPr="003E4CC9" w:rsidRDefault="00520DE9" w:rsidP="007540C9">
            <w:pPr>
              <w:jc w:val="both"/>
              <w:rPr>
                <w:rFonts w:ascii="Verdana" w:hAnsi="Verdana" w:cs="Arial"/>
                <w:b/>
                <w:bCs/>
                <w:lang w:val="es-MX" w:eastAsia="es-ES" w:bidi="es-ES"/>
              </w:rPr>
            </w:pPr>
          </w:p>
        </w:tc>
      </w:tr>
      <w:tr w:rsidR="00520DE9" w:rsidRPr="00A654FC" w14:paraId="35BBD146" w14:textId="77777777" w:rsidTr="007540C9">
        <w:trPr>
          <w:trHeight w:val="884"/>
        </w:trPr>
        <w:tc>
          <w:tcPr>
            <w:tcW w:w="2689" w:type="dxa"/>
          </w:tcPr>
          <w:p w14:paraId="294AD10A" w14:textId="77777777" w:rsidR="00520DE9" w:rsidRPr="00BF58C7" w:rsidRDefault="00520DE9" w:rsidP="007540C9">
            <w:pPr>
              <w:jc w:val="both"/>
              <w:rPr>
                <w:rFonts w:ascii="Verdana" w:hAnsi="Verdana" w:cs="Arial"/>
                <w:b/>
                <w:lang w:val="es-MX" w:eastAsia="es-ES" w:bidi="es-ES"/>
              </w:rPr>
            </w:pPr>
            <w:r>
              <w:rPr>
                <w:rFonts w:ascii="Verdana" w:hAnsi="Verdana" w:cs="Arial"/>
                <w:b/>
                <w:lang w:val="es-MX" w:eastAsia="es-ES" w:bidi="es-ES"/>
              </w:rPr>
              <w:t xml:space="preserve">Temas:                   </w:t>
            </w:r>
          </w:p>
        </w:tc>
        <w:tc>
          <w:tcPr>
            <w:tcW w:w="6242" w:type="dxa"/>
          </w:tcPr>
          <w:p w14:paraId="364233BE" w14:textId="5C1CAEB2" w:rsidR="00520DE9" w:rsidRDefault="00520DE9" w:rsidP="007540C9">
            <w:pPr>
              <w:spacing w:line="276" w:lineRule="auto"/>
              <w:jc w:val="both"/>
              <w:rPr>
                <w:rFonts w:ascii="Verdana" w:eastAsia="Calibri" w:hAnsi="Verdana" w:cs="Arial"/>
                <w:bCs/>
                <w:lang w:val="es-ES_tradnl" w:eastAsia="es-ES"/>
              </w:rPr>
            </w:pPr>
            <w:r>
              <w:rPr>
                <w:rFonts w:ascii="Verdana" w:eastAsia="Calibri" w:hAnsi="Verdana" w:cs="Arial"/>
                <w:bCs/>
                <w:lang w:val="es-ES_tradnl" w:eastAsia="es-ES"/>
              </w:rPr>
              <w:t xml:space="preserve">PROPONENTE PLURAL ‒ Consorcio ‒ Unión temporal ‒ Concepto – Diferencias / CONSORCIOS Y UNIONES TEMPORALES – Ausencia de personería jurídica / CONSORCIOS Y UNIONES TEMPORALES – Obligaciones independientes – Miembro del Consorcio – No extensible al Consorcio </w:t>
            </w:r>
          </w:p>
          <w:p w14:paraId="24C7C1F6" w14:textId="77777777" w:rsidR="00520DE9" w:rsidRPr="00A654FC" w:rsidRDefault="00520DE9" w:rsidP="007540C9">
            <w:pPr>
              <w:spacing w:line="276" w:lineRule="auto"/>
              <w:jc w:val="both"/>
              <w:rPr>
                <w:rFonts w:ascii="Verdana" w:hAnsi="Verdana" w:cs="Arial"/>
                <w:highlight w:val="yellow"/>
                <w:lang w:val="es-ES" w:eastAsia="es-ES" w:bidi="es-ES"/>
              </w:rPr>
            </w:pPr>
          </w:p>
          <w:p w14:paraId="1E68CE37" w14:textId="77777777" w:rsidR="00520DE9" w:rsidRPr="003E4CC9" w:rsidRDefault="00520DE9" w:rsidP="007540C9">
            <w:pPr>
              <w:spacing w:line="276" w:lineRule="auto"/>
              <w:jc w:val="both"/>
              <w:rPr>
                <w:rFonts w:ascii="Verdana" w:hAnsi="Verdana" w:cs="Arial"/>
                <w:bCs/>
                <w:highlight w:val="yellow"/>
                <w:lang w:val="es-MX" w:eastAsia="es-ES" w:bidi="es-ES"/>
              </w:rPr>
            </w:pPr>
          </w:p>
        </w:tc>
      </w:tr>
      <w:tr w:rsidR="00520DE9" w:rsidRPr="003E4CC9" w14:paraId="1150790F" w14:textId="77777777" w:rsidTr="007540C9">
        <w:tc>
          <w:tcPr>
            <w:tcW w:w="2689" w:type="dxa"/>
          </w:tcPr>
          <w:p w14:paraId="0158343D" w14:textId="77777777" w:rsidR="00520DE9" w:rsidRPr="00BF58C7" w:rsidRDefault="00520DE9" w:rsidP="007540C9">
            <w:pPr>
              <w:jc w:val="both"/>
              <w:rPr>
                <w:rFonts w:ascii="Verdana" w:hAnsi="Verdana" w:cs="Arial"/>
                <w:b/>
                <w:lang w:val="es-MX" w:eastAsia="es-ES" w:bidi="es-ES"/>
              </w:rPr>
            </w:pPr>
            <w:r>
              <w:rPr>
                <w:rFonts w:ascii="Verdana" w:hAnsi="Verdana" w:cs="Arial"/>
                <w:b/>
                <w:lang w:val="es-MX" w:eastAsia="es-ES" w:bidi="es-ES"/>
              </w:rPr>
              <w:t xml:space="preserve">Radicación:               </w:t>
            </w:r>
          </w:p>
        </w:tc>
        <w:tc>
          <w:tcPr>
            <w:tcW w:w="6242" w:type="dxa"/>
          </w:tcPr>
          <w:p w14:paraId="2FD8B86A" w14:textId="25BCEEAA" w:rsidR="00520DE9" w:rsidRPr="00523B33" w:rsidRDefault="00520DE9" w:rsidP="007540C9">
            <w:pPr>
              <w:jc w:val="both"/>
              <w:rPr>
                <w:rFonts w:ascii="Verdana" w:hAnsi="Verdana" w:cs="Arial"/>
                <w:lang w:eastAsia="es-ES" w:bidi="es-ES"/>
              </w:rPr>
            </w:pPr>
            <w:r>
              <w:rPr>
                <w:rFonts w:ascii="Verdana" w:hAnsi="Verdana" w:cs="Arial"/>
                <w:bCs/>
                <w:lang w:val="es-MX" w:eastAsia="es-ES" w:bidi="es-ES"/>
              </w:rPr>
              <w:t xml:space="preserve">Respuesta a consulta con radicado No. </w:t>
            </w:r>
            <w:r>
              <w:rPr>
                <w:rFonts w:ascii="Verdana" w:hAnsi="Verdana" w:cs="Arial"/>
                <w:lang w:eastAsia="es-ES" w:bidi="es-ES"/>
              </w:rPr>
              <w:t>1_2026_08_18_010907, 1_2026_08_18_010916 y 1_2026_08_19_010987 (acumulados)</w:t>
            </w:r>
          </w:p>
          <w:p w14:paraId="28279373" w14:textId="77777777" w:rsidR="00520DE9" w:rsidRPr="00BF58C7" w:rsidRDefault="00520DE9" w:rsidP="007540C9">
            <w:pPr>
              <w:jc w:val="both"/>
              <w:rPr>
                <w:rFonts w:ascii="Verdana" w:hAnsi="Verdana" w:cs="Arial"/>
                <w:bCs/>
                <w:lang w:eastAsia="es-ES" w:bidi="es-ES"/>
              </w:rPr>
            </w:pPr>
          </w:p>
        </w:tc>
      </w:tr>
    </w:tbl>
    <w:p w14:paraId="57410136" w14:textId="77777777" w:rsidR="00520DE9" w:rsidRPr="003E4CC9" w:rsidRDefault="00520DE9" w:rsidP="00520DE9">
      <w:pPr>
        <w:spacing w:after="0" w:line="240" w:lineRule="auto"/>
        <w:jc w:val="both"/>
        <w:rPr>
          <w:rFonts w:ascii="Verdana" w:hAnsi="Verdana" w:cs="Arial"/>
          <w:bCs/>
          <w:lang w:val="es-ES_tradnl" w:eastAsia="es-ES" w:bidi="es-ES"/>
        </w:rPr>
      </w:pPr>
    </w:p>
    <w:p w14:paraId="73D8651F" w14:textId="77777777" w:rsidR="00520DE9" w:rsidRPr="003E4CC9" w:rsidRDefault="00520DE9" w:rsidP="00520DE9">
      <w:pPr>
        <w:spacing w:after="0" w:line="276" w:lineRule="auto"/>
        <w:jc w:val="both"/>
        <w:rPr>
          <w:rFonts w:ascii="Verdana" w:hAnsi="Verdana" w:cs="Arial"/>
          <w:bCs/>
          <w:lang w:val="es-MX" w:eastAsia="es-ES" w:bidi="es-ES"/>
        </w:rPr>
      </w:pPr>
      <w:r>
        <w:rPr>
          <w:rFonts w:ascii="Verdana" w:hAnsi="Verdana" w:cs="Arial"/>
          <w:bCs/>
          <w:lang w:val="es-MX" w:eastAsia="es-ES" w:bidi="es-ES"/>
        </w:rPr>
        <w:t>Estimado Señor Suárez:</w:t>
      </w:r>
    </w:p>
    <w:p w14:paraId="4FAC3904" w14:textId="77777777" w:rsidR="00520DE9" w:rsidRPr="003E4CC9" w:rsidRDefault="00520DE9" w:rsidP="00520DE9">
      <w:pPr>
        <w:spacing w:after="0" w:line="276" w:lineRule="auto"/>
        <w:jc w:val="both"/>
        <w:rPr>
          <w:rFonts w:ascii="Verdana" w:hAnsi="Verdana" w:cs="Arial"/>
          <w:bCs/>
          <w:lang w:val="es-ES" w:eastAsia="es-ES" w:bidi="es-ES"/>
        </w:rPr>
      </w:pPr>
      <w:r>
        <w:rPr>
          <w:rFonts w:ascii="Verdana" w:hAnsi="Verdana" w:cs="Arial"/>
          <w:bCs/>
          <w:lang w:val="es-ES" w:eastAsia="es-ES" w:bidi="es-ES"/>
        </w:rPr>
        <w:tab/>
      </w:r>
    </w:p>
    <w:p w14:paraId="1D1437E1" w14:textId="77777777" w:rsidR="00520DE9" w:rsidRPr="003E4CC9" w:rsidRDefault="00520DE9" w:rsidP="00520DE9">
      <w:pPr>
        <w:spacing w:after="0" w:line="276" w:lineRule="auto"/>
        <w:jc w:val="both"/>
        <w:rPr>
          <w:rFonts w:ascii="Verdana" w:hAnsi="Verdana" w:cs="Arial"/>
          <w:bCs/>
          <w:lang w:val="es-ES" w:eastAsia="es-ES" w:bidi="es-ES"/>
        </w:rPr>
      </w:pPr>
      <w:r>
        <w:rPr>
          <w:rFonts w:ascii="Verdana" w:hAnsi="Verdana" w:cs="Arial"/>
          <w:bCs/>
          <w:lang w:val="es-ES" w:eastAsia="es-ES" w:bidi="es-ES"/>
        </w:rPr>
        <w:t xml:space="preserve">En ejercicio de la competencia otorgada por los artículos 3, numeral 5º, y 11, numeral 8º, del Decreto Ley 4170 de 2011, </w:t>
      </w:r>
      <w:r>
        <w:rPr>
          <w:rFonts w:ascii="Verdana" w:hAnsi="Verdana" w:cs="Arial"/>
          <w:lang w:val="es-ES_tradnl"/>
        </w:rPr>
        <w:t>así como lo establecido en</w:t>
      </w:r>
      <w:r>
        <w:rPr>
          <w:rFonts w:ascii="Verdana" w:hAnsi="Verdana" w:cs="Arial"/>
        </w:rPr>
        <w:t xml:space="preserve"> la Resolución 469 de 2025 expedida por esta Entidad</w:t>
      </w:r>
      <w:r>
        <w:rPr>
          <w:rFonts w:ascii="Verdana" w:hAnsi="Verdana" w:cs="Arial"/>
          <w:bCs/>
          <w:lang w:eastAsia="es-ES" w:bidi="es-ES"/>
        </w:rPr>
        <w:t xml:space="preserve">, </w:t>
      </w:r>
      <w:r>
        <w:rPr>
          <w:rFonts w:ascii="Verdana" w:hAnsi="Verdana" w:cs="Arial"/>
          <w:bCs/>
          <w:lang w:val="es-ES" w:eastAsia="es-ES" w:bidi="es-ES"/>
        </w:rPr>
        <w:t xml:space="preserve">la Agencia Nacional de Contratación Pública – Colombia Compra Eficiente– responde su solicitud de consulta del 18 de agosto de 2026, en la cual manifiesta: </w:t>
      </w:r>
    </w:p>
    <w:p w14:paraId="2BB07C05" w14:textId="77777777" w:rsidR="00520DE9" w:rsidRPr="00A72890" w:rsidRDefault="00520DE9" w:rsidP="00520DE9">
      <w:pPr>
        <w:spacing w:after="0"/>
        <w:ind w:right="709"/>
        <w:jc w:val="both"/>
        <w:rPr>
          <w:rFonts w:ascii="Verdana" w:eastAsia="Calibri" w:hAnsi="Verdana" w:cs="Times New Roman"/>
          <w:sz w:val="20"/>
          <w:szCs w:val="20"/>
        </w:rPr>
      </w:pPr>
    </w:p>
    <w:p w14:paraId="2C929805" w14:textId="77777777" w:rsidR="00520DE9" w:rsidRPr="00BD1EA3" w:rsidRDefault="00520DE9" w:rsidP="00520DE9">
      <w:pPr>
        <w:pStyle w:val="Prrafodelista"/>
        <w:spacing w:after="0"/>
        <w:ind w:left="709" w:right="709"/>
        <w:jc w:val="both"/>
        <w:rPr>
          <w:rFonts w:ascii="Verdana" w:eastAsia="Calibri" w:hAnsi="Verdana" w:cs="Times New Roman"/>
          <w:sz w:val="20"/>
          <w:szCs w:val="20"/>
          <w:lang w:val="es-CO"/>
        </w:rPr>
      </w:pPr>
      <w:r>
        <w:rPr>
          <w:rFonts w:ascii="Verdana" w:eastAsia="Calibri" w:hAnsi="Verdana" w:cs="Times New Roman"/>
          <w:b/>
          <w:bCs/>
          <w:sz w:val="20"/>
          <w:szCs w:val="20"/>
          <w:lang w:val="es-CO"/>
        </w:rPr>
        <w:t xml:space="preserve">1. ¿Cuál es el límite legal de una orden de embargo emitida contra un miembro de un consorcio en el marco de la contratación pública? </w:t>
      </w:r>
      <w:r>
        <w:rPr>
          <w:rFonts w:ascii="Verdana" w:eastAsia="Calibri" w:hAnsi="Verdana" w:cs="Times New Roman"/>
          <w:sz w:val="20"/>
          <w:szCs w:val="20"/>
          <w:lang w:val="es-CO"/>
        </w:rPr>
        <w:t xml:space="preserve">¿Debe recaer exclusivamente sobre las utilidades netas o saldos líquidos a favor del deudor, o puede afectar los recursos brutos y operativos de las facturas que el consorcio radica ante la entidad estatal contratante? </w:t>
      </w:r>
    </w:p>
    <w:p w14:paraId="0EDEC73E" w14:textId="77777777" w:rsidR="00520DE9" w:rsidRPr="00BD1EA3" w:rsidRDefault="00520DE9" w:rsidP="00520DE9">
      <w:pPr>
        <w:pStyle w:val="Prrafodelista"/>
        <w:spacing w:after="0"/>
        <w:ind w:left="709" w:right="709"/>
        <w:jc w:val="both"/>
        <w:rPr>
          <w:rFonts w:ascii="Verdana" w:eastAsia="Calibri" w:hAnsi="Verdana" w:cs="Times New Roman"/>
          <w:sz w:val="20"/>
          <w:szCs w:val="20"/>
          <w:lang w:val="es-CO"/>
        </w:rPr>
      </w:pPr>
      <w:r>
        <w:rPr>
          <w:rFonts w:ascii="Verdana" w:eastAsia="Calibri" w:hAnsi="Verdana" w:cs="Times New Roman"/>
          <w:sz w:val="20"/>
          <w:szCs w:val="20"/>
          <w:lang w:val="es-CO"/>
        </w:rPr>
        <w:lastRenderedPageBreak/>
        <w:t xml:space="preserve">2. </w:t>
      </w:r>
      <w:r>
        <w:rPr>
          <w:rFonts w:ascii="Verdana" w:eastAsia="Calibri" w:hAnsi="Verdana" w:cs="Times New Roman"/>
          <w:b/>
          <w:bCs/>
          <w:sz w:val="20"/>
          <w:szCs w:val="20"/>
          <w:lang w:val="es-CO"/>
        </w:rPr>
        <w:t xml:space="preserve">¿Incurre en una irregularidad jurídica una Gobernación (u otra entidad territorial) al retener el porcentaje operativo de constitución (3%) sobre el valor bruto de una factura, </w:t>
      </w:r>
      <w:r>
        <w:rPr>
          <w:rFonts w:ascii="Verdana" w:eastAsia="Calibri" w:hAnsi="Verdana" w:cs="Times New Roman"/>
          <w:sz w:val="20"/>
          <w:szCs w:val="20"/>
          <w:lang w:val="es-CO"/>
        </w:rPr>
        <w:t xml:space="preserve">sabiendo que dichos recursos están destinados a cubrir los costos y gastos indispensables para la ejecución del objeto contractual del Estado? </w:t>
      </w:r>
    </w:p>
    <w:p w14:paraId="138E5DAF" w14:textId="77777777" w:rsidR="00520DE9" w:rsidRPr="00BD1EA3" w:rsidRDefault="00520DE9" w:rsidP="00520DE9">
      <w:pPr>
        <w:pStyle w:val="Prrafodelista"/>
        <w:spacing w:after="0"/>
        <w:ind w:left="709" w:right="709"/>
        <w:jc w:val="both"/>
        <w:rPr>
          <w:rFonts w:ascii="Verdana" w:eastAsia="Calibri" w:hAnsi="Verdana" w:cs="Times New Roman"/>
          <w:sz w:val="20"/>
          <w:szCs w:val="20"/>
          <w:lang w:val="es-CO"/>
        </w:rPr>
      </w:pPr>
      <w:r>
        <w:rPr>
          <w:rFonts w:ascii="Verdana" w:eastAsia="Calibri" w:hAnsi="Verdana" w:cs="Times New Roman"/>
          <w:sz w:val="20"/>
          <w:szCs w:val="20"/>
          <w:lang w:val="es-CO"/>
        </w:rPr>
        <w:t xml:space="preserve">3. </w:t>
      </w:r>
      <w:r>
        <w:rPr>
          <w:rFonts w:ascii="Verdana" w:eastAsia="Calibri" w:hAnsi="Verdana" w:cs="Times New Roman"/>
          <w:b/>
          <w:bCs/>
          <w:sz w:val="20"/>
          <w:szCs w:val="20"/>
          <w:lang w:val="es-CO"/>
        </w:rPr>
        <w:t xml:space="preserve">¿La figura jurídica del Consorcio (Art. 7 de la Ley 80 de 1993) faculta a las entidades contratantes para fraccionar de manera anticipada el flujo de caja operativo de una factura </w:t>
      </w:r>
      <w:r>
        <w:rPr>
          <w:rFonts w:ascii="Verdana" w:eastAsia="Calibri" w:hAnsi="Verdana" w:cs="Times New Roman"/>
          <w:sz w:val="20"/>
          <w:szCs w:val="20"/>
          <w:lang w:val="es-CO"/>
        </w:rPr>
        <w:t xml:space="preserve">para cumplir órdenes de cobro coactivo de carácter personal de uno de sus miembros, afectando con ello los recursos brutos destinados a los proveedores y la operación común del proyecto? </w:t>
      </w:r>
    </w:p>
    <w:p w14:paraId="57ACB2FA" w14:textId="77777777" w:rsidR="00520DE9" w:rsidRPr="00BD1EA3" w:rsidRDefault="00520DE9" w:rsidP="00520DE9">
      <w:pPr>
        <w:pStyle w:val="Prrafodelista"/>
        <w:ind w:left="709" w:right="709"/>
        <w:jc w:val="both"/>
        <w:rPr>
          <w:rFonts w:ascii="Verdana" w:eastAsia="Calibri" w:hAnsi="Verdana" w:cs="Times New Roman"/>
          <w:sz w:val="20"/>
          <w:szCs w:val="20"/>
          <w:lang w:val="es-CO"/>
        </w:rPr>
      </w:pPr>
      <w:r>
        <w:rPr>
          <w:rFonts w:ascii="Verdana" w:eastAsia="Calibri" w:hAnsi="Verdana" w:cs="Times New Roman"/>
          <w:sz w:val="20"/>
          <w:szCs w:val="20"/>
          <w:lang w:val="es-CO"/>
        </w:rPr>
        <w:t xml:space="preserve">4. </w:t>
      </w:r>
      <w:r>
        <w:rPr>
          <w:rFonts w:ascii="Verdana" w:eastAsia="Calibri" w:hAnsi="Verdana" w:cs="Times New Roman"/>
          <w:b/>
          <w:bCs/>
          <w:sz w:val="20"/>
          <w:szCs w:val="20"/>
          <w:lang w:val="es-CO"/>
        </w:rPr>
        <w:t xml:space="preserve">¿Cuáles son los mecanismos idóneos con los que cuenta el Representante Legal de un Consorcio para oponerse y exigir la limitación de la medida cautelar, </w:t>
      </w:r>
      <w:r>
        <w:rPr>
          <w:rFonts w:ascii="Verdana" w:eastAsia="Calibri" w:hAnsi="Verdana" w:cs="Times New Roman"/>
          <w:sz w:val="20"/>
          <w:szCs w:val="20"/>
          <w:lang w:val="es-CO"/>
        </w:rPr>
        <w:t xml:space="preserve">con el fin de proteger los recursos inembargables destinados a la operación del contrato y salvaguardar los derechos del otro consorciado que no es deudor de la administración? (énfasis dentro del texto). </w:t>
      </w:r>
    </w:p>
    <w:p w14:paraId="175B07B3" w14:textId="77777777" w:rsidR="00520DE9" w:rsidRPr="00BD1EA3" w:rsidRDefault="00520DE9" w:rsidP="00520DE9">
      <w:pPr>
        <w:pStyle w:val="Prrafodelista"/>
        <w:spacing w:after="0" w:line="240" w:lineRule="auto"/>
        <w:ind w:left="1066" w:right="709"/>
        <w:contextualSpacing w:val="0"/>
        <w:jc w:val="both"/>
        <w:rPr>
          <w:rFonts w:ascii="Verdana" w:eastAsia="Calibri" w:hAnsi="Verdana" w:cs="Times New Roman"/>
          <w:sz w:val="20"/>
          <w:szCs w:val="20"/>
          <w:lang w:val="es-CO"/>
        </w:rPr>
      </w:pPr>
    </w:p>
    <w:p w14:paraId="1A432091" w14:textId="77777777" w:rsidR="00520DE9" w:rsidRPr="003E4CC9" w:rsidRDefault="00520DE9" w:rsidP="00520DE9">
      <w:pPr>
        <w:spacing w:after="120" w:line="276" w:lineRule="auto"/>
        <w:ind w:firstLine="709"/>
        <w:jc w:val="both"/>
        <w:rPr>
          <w:rFonts w:ascii="Verdana" w:eastAsia="Calibri" w:hAnsi="Verdana" w:cs="Times New Roman"/>
          <w:lang w:val="es-ES"/>
        </w:rPr>
      </w:pPr>
      <w:r>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C45198B" w14:textId="77777777" w:rsidR="00520DE9" w:rsidRPr="003E4CC9" w:rsidRDefault="00520DE9" w:rsidP="00520DE9">
      <w:pPr>
        <w:spacing w:after="0" w:line="276" w:lineRule="auto"/>
        <w:ind w:firstLine="708"/>
        <w:jc w:val="both"/>
        <w:rPr>
          <w:rFonts w:ascii="Verdana" w:eastAsia="Calibri" w:hAnsi="Verdana" w:cs="Times New Roman"/>
          <w:lang w:val="es-ES"/>
        </w:rPr>
      </w:pPr>
      <w:r>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w:t>
      </w:r>
    </w:p>
    <w:p w14:paraId="21F1AC2F" w14:textId="77777777" w:rsidR="00520DE9" w:rsidRPr="003E4CC9" w:rsidRDefault="00520DE9" w:rsidP="00520DE9">
      <w:pPr>
        <w:spacing w:after="0" w:line="256" w:lineRule="auto"/>
        <w:rPr>
          <w:rFonts w:ascii="Verdana" w:eastAsia="Calibri" w:hAnsi="Verdana" w:cs="Times New Roman"/>
          <w:lang w:val="es-ES"/>
        </w:rPr>
      </w:pPr>
    </w:p>
    <w:p w14:paraId="4F6753E0" w14:textId="77777777" w:rsidR="00520DE9" w:rsidRDefault="00520DE9" w:rsidP="00520DE9">
      <w:pPr>
        <w:numPr>
          <w:ilvl w:val="0"/>
          <w:numId w:val="16"/>
        </w:num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Problema planteado:</w:t>
      </w:r>
    </w:p>
    <w:p w14:paraId="4A09992F" w14:textId="77777777" w:rsidR="00520DE9" w:rsidRPr="00C370BD" w:rsidRDefault="00520DE9" w:rsidP="00520DE9">
      <w:pPr>
        <w:spacing w:after="0" w:line="256" w:lineRule="auto"/>
        <w:contextualSpacing/>
        <w:rPr>
          <w:rFonts w:ascii="Verdana" w:eastAsia="Calibri" w:hAnsi="Verdana" w:cs="Times New Roman"/>
          <w:b/>
          <w:bCs/>
        </w:rPr>
      </w:pPr>
    </w:p>
    <w:p w14:paraId="6D466D9F" w14:textId="77777777" w:rsidR="00520DE9" w:rsidRDefault="00520DE9" w:rsidP="00520DE9">
      <w:pPr>
        <w:spacing w:after="0" w:line="276" w:lineRule="auto"/>
        <w:contextualSpacing/>
        <w:jc w:val="both"/>
        <w:rPr>
          <w:rFonts w:ascii="Verdana" w:eastAsia="Calibri" w:hAnsi="Verdana" w:cs="Times New Roman"/>
        </w:rPr>
      </w:pPr>
      <w:r w:rsidRPr="00B61E78">
        <w:rPr>
          <w:rFonts w:ascii="Verdana" w:eastAsia="Calibri" w:hAnsi="Verdana" w:cs="Times New Roman"/>
        </w:rPr>
        <w:t xml:space="preserve">De acuerdo con el contenido de su solicitud, se resolverán los siguientes problemas jurídicos: i) ¿Sobre qué bienes o derechos puede recaer la medida de embargo ordenada contra uno de los miembros de un consorcio o unión temporal, y puede extenderse al consorcio como tal o a la cuota de los demás integrantes?; </w:t>
      </w:r>
      <w:proofErr w:type="spellStart"/>
      <w:r w:rsidRPr="00B61E78">
        <w:rPr>
          <w:rFonts w:ascii="Verdana" w:eastAsia="Calibri" w:hAnsi="Verdana" w:cs="Times New Roman"/>
        </w:rPr>
        <w:t>ii</w:t>
      </w:r>
      <w:proofErr w:type="spellEnd"/>
      <w:r w:rsidRPr="00B61E78">
        <w:rPr>
          <w:rFonts w:ascii="Verdana" w:eastAsia="Calibri" w:hAnsi="Verdana" w:cs="Times New Roman"/>
        </w:rPr>
        <w:t>) ¿Los recursos que la entidad estatal reconoce al proponente plural para la ejecución del contrato —en especial los anticipos en los contratos de obra pública— pueden ser embargados por obligaciones personales de uno de sus miembros?;</w:t>
      </w:r>
      <w:proofErr w:type="spellStart"/>
      <w:r w:rsidRPr="00B61E78">
        <w:rPr>
          <w:rFonts w:ascii="Verdana" w:eastAsia="Calibri" w:hAnsi="Verdana" w:cs="Times New Roman"/>
        </w:rPr>
        <w:t>iii</w:t>
      </w:r>
      <w:proofErr w:type="spellEnd"/>
      <w:r w:rsidRPr="00B61E78">
        <w:rPr>
          <w:rFonts w:ascii="Verdana" w:eastAsia="Calibri" w:hAnsi="Verdana" w:cs="Times New Roman"/>
        </w:rPr>
        <w:t xml:space="preserve">) ¿Está facultada la entidad estatal contratante para retener o fraccionar de manera anticipada los recursos derivados de la facturación del proponente plural con el fin de atender órdenes de cobro de carácter personal de uno de sus miembros?; y </w:t>
      </w:r>
      <w:proofErr w:type="spellStart"/>
      <w:r w:rsidRPr="00B61E78">
        <w:rPr>
          <w:rFonts w:ascii="Verdana" w:eastAsia="Calibri" w:hAnsi="Verdana" w:cs="Times New Roman"/>
        </w:rPr>
        <w:t>iv</w:t>
      </w:r>
      <w:proofErr w:type="spellEnd"/>
      <w:r w:rsidRPr="00B61E78">
        <w:rPr>
          <w:rFonts w:ascii="Verdana" w:eastAsia="Calibri" w:hAnsi="Verdana" w:cs="Times New Roman"/>
        </w:rPr>
        <w:t>)¿Con qué mecanismos cuentan el representante legal del proponente plural y el consorciado no deudor para oponerse a la medida cautelar o solicitar su limitación, a fin de proteger los recursos inembargables y los derechos del miembro que no es deudor?</w:t>
      </w:r>
    </w:p>
    <w:p w14:paraId="41E86CE4" w14:textId="77777777" w:rsidR="00520DE9" w:rsidRPr="00C370BD" w:rsidRDefault="00520DE9" w:rsidP="00520DE9">
      <w:pPr>
        <w:spacing w:after="0" w:line="256" w:lineRule="auto"/>
        <w:contextualSpacing/>
        <w:rPr>
          <w:rFonts w:ascii="Verdana" w:eastAsia="Calibri" w:hAnsi="Verdana" w:cs="Times New Roman"/>
          <w:b/>
          <w:bCs/>
        </w:rPr>
      </w:pPr>
    </w:p>
    <w:p w14:paraId="0CA631AF" w14:textId="77777777" w:rsidR="00520DE9" w:rsidRPr="003E4CC9" w:rsidRDefault="00520DE9" w:rsidP="00520DE9">
      <w:pPr>
        <w:numPr>
          <w:ilvl w:val="0"/>
          <w:numId w:val="16"/>
        </w:num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Respuesta:</w:t>
      </w:r>
    </w:p>
    <w:p w14:paraId="5ECCCBA8" w14:textId="77777777" w:rsidR="00520DE9" w:rsidRPr="003E4CC9" w:rsidRDefault="00520DE9" w:rsidP="00520DE9">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0DE9" w:rsidRPr="003E4CC9" w14:paraId="510C1045" w14:textId="77777777" w:rsidTr="007540C9">
        <w:trPr>
          <w:trHeight w:val="870"/>
          <w:jc w:val="center"/>
        </w:trPr>
        <w:tc>
          <w:tcPr>
            <w:tcW w:w="8647" w:type="dxa"/>
          </w:tcPr>
          <w:p w14:paraId="71ADD800" w14:textId="77777777" w:rsidR="00520DE9" w:rsidRPr="00B61E78" w:rsidRDefault="00520DE9" w:rsidP="007540C9">
            <w:pPr>
              <w:spacing w:after="120" w:line="276" w:lineRule="auto"/>
              <w:jc w:val="both"/>
              <w:rPr>
                <w:rFonts w:ascii="Verdana" w:hAnsi="Verdana" w:cs="Arial"/>
                <w:color w:val="000000" w:themeColor="text1"/>
              </w:rPr>
            </w:pPr>
            <w:r w:rsidRPr="00B61E78">
              <w:rPr>
                <w:rFonts w:ascii="Verdana" w:hAnsi="Verdana" w:cs="Arial"/>
                <w:color w:val="000000" w:themeColor="text1"/>
              </w:rPr>
              <w:t xml:space="preserve">En relación con los problemas jurídicos de su consulta, se expresa que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Al carecer de personería jurídica, la estructura plural no tiene patrimonio propio, de modo que los derechos económicos derivados del contrato pertenecen a sus integrantes en proporción a su participación. Ahora bien, la capacidad jurídica de los proponentes plurales —consorcios y uniones temporales— se encuentra limitada al ámbito de la contratación estatal regulada por la Ley 80 de 1993 y las normas complementarias. </w:t>
            </w:r>
          </w:p>
          <w:p w14:paraId="35446E63" w14:textId="77777777" w:rsidR="00520DE9" w:rsidRPr="00B61E78" w:rsidRDefault="00520DE9" w:rsidP="007540C9">
            <w:pPr>
              <w:spacing w:after="120" w:line="276" w:lineRule="auto"/>
              <w:jc w:val="both"/>
              <w:rPr>
                <w:rFonts w:ascii="Verdana" w:hAnsi="Verdana" w:cs="Arial"/>
                <w:color w:val="000000" w:themeColor="text1"/>
              </w:rPr>
            </w:pPr>
            <w:r w:rsidRPr="00B61E78">
              <w:rPr>
                <w:rFonts w:ascii="Verdana" w:hAnsi="Verdana" w:cs="Arial"/>
                <w:color w:val="000000" w:themeColor="text1"/>
              </w:rPr>
              <w:t xml:space="preserve">i. En este marco, resulta indispensable diferenciar las obligaciones derivadas del contrato estatal de aquellas que corresponden de manera individual a los miembros del consorcio por obligaciones que no nacen del proceso de </w:t>
            </w:r>
            <w:r w:rsidRPr="00B61E78">
              <w:rPr>
                <w:rFonts w:ascii="Verdana" w:hAnsi="Verdana" w:cs="Arial"/>
                <w:color w:val="000000" w:themeColor="text1"/>
              </w:rPr>
              <w:lastRenderedPageBreak/>
              <w:t>contratación. Cuando se ordena un embargo contra uno de sus integrantes, la medida cautelar no puede recaer sobre el consorcio en su conjunto ni sobre los recursos destinados a la ejecución del contrato, pues estos tienen una destinación específica y están vinculados directamente al cumplimiento del objeto contractual. El consorcio no puede considerarse sujeto pasivo de la medida. Lo embargable es únicamente la participación económica del miembro deudor, conforme lo disponga el juez competente, y no sobre los recursos que se giran al consorcio para el cumplimiento del contrato. En virtud de la prenda general de los acreedores (artículo 2488 del Código Civil), el embargo de ese derecho de crédito se perfecciona con la notificación a la entidad estatal —deudora del pago— para que retenga y ponga a disposición del despacho judicial la suma que corresponda al miembro deudor (artículo 593 del Código General del Proceso).</w:t>
            </w:r>
          </w:p>
          <w:p w14:paraId="1D4BA582" w14:textId="77777777" w:rsidR="00520DE9" w:rsidRPr="00B61E78" w:rsidRDefault="00520DE9" w:rsidP="007540C9">
            <w:pPr>
              <w:spacing w:after="120" w:line="276" w:lineRule="auto"/>
              <w:jc w:val="both"/>
              <w:rPr>
                <w:rFonts w:ascii="Verdana" w:hAnsi="Verdana" w:cs="Arial"/>
                <w:color w:val="000000" w:themeColor="text1"/>
              </w:rPr>
            </w:pPr>
            <w:proofErr w:type="spellStart"/>
            <w:r w:rsidRPr="00B61E78">
              <w:rPr>
                <w:rFonts w:ascii="Verdana" w:hAnsi="Verdana" w:cs="Arial"/>
                <w:color w:val="000000" w:themeColor="text1"/>
              </w:rPr>
              <w:t>ii</w:t>
            </w:r>
            <w:proofErr w:type="spellEnd"/>
            <w:r w:rsidRPr="00B61E78">
              <w:rPr>
                <w:rFonts w:ascii="Verdana" w:hAnsi="Verdana" w:cs="Arial"/>
                <w:color w:val="000000" w:themeColor="text1"/>
              </w:rPr>
              <w:t xml:space="preserve">. Los recursos destinados a la ejecución del contrato solo gozan de protección frente al embargo en los casos que la ley señala. Tratándose de contratos de obra pública, las sumas que se hayan anticipado o deban anticiparse al contratista son inembargables mientras no concluya la construcción, salvo cuando se trate de obligaciones a favor de los trabajadores de la obra por salarios, prestaciones e indemnizaciones (artículo 594, numeral 5, del Código General del Proceso). Fuera de esa hipótesis, las sumas que integran el precio constituyen crédito del contratista y su embargabilidad se rige por las reglas generales, con el límite de la participación del miembro deudor. Para establecer la suma sobre la cual recae la medida resulta relevante la forma en que se estructuró el contrato —por ejemplo, la discriminación entre Administración, Imprevistos y Utilidad (AIU) en los contratos de obra—, análisis que corresponde efectuar bajo la orden del juez que decreta el embargo. </w:t>
            </w:r>
          </w:p>
          <w:p w14:paraId="7A192206" w14:textId="77777777" w:rsidR="00520DE9" w:rsidRPr="00B61E78" w:rsidRDefault="00520DE9" w:rsidP="007540C9">
            <w:pPr>
              <w:spacing w:after="120" w:line="276" w:lineRule="auto"/>
              <w:jc w:val="both"/>
              <w:rPr>
                <w:rFonts w:ascii="Verdana" w:hAnsi="Verdana" w:cs="Arial"/>
                <w:color w:val="000000" w:themeColor="text1"/>
              </w:rPr>
            </w:pPr>
            <w:proofErr w:type="spellStart"/>
            <w:r w:rsidRPr="00B61E78">
              <w:rPr>
                <w:rFonts w:ascii="Verdana" w:hAnsi="Verdana" w:cs="Arial"/>
                <w:color w:val="000000" w:themeColor="text1"/>
              </w:rPr>
              <w:t>iii</w:t>
            </w:r>
            <w:proofErr w:type="spellEnd"/>
            <w:r w:rsidRPr="00B61E78">
              <w:rPr>
                <w:rFonts w:ascii="Verdana" w:hAnsi="Verdana" w:cs="Arial"/>
                <w:color w:val="000000" w:themeColor="text1"/>
              </w:rPr>
              <w:t xml:space="preserve">. La entidad estatal contratante no está facultada para retener, fraccionar ni afectar por su propia iniciativa los recursos del proponente plural con el fin de satisfacer obligaciones personales de uno de sus miembros. Solo puede hacerlo en cumplimiento de una orden judicial o, cuando sea ella misma la acreedora, del respectivo mandamiento de cobro coactivo, y siempre dentro de los límites de la participación del deudor y de las reglas de inembargabilidad. Una retención unilateral, o que exceda esos límites, carece de fundamento, compromete el equilibrio económico del contrato y los </w:t>
            </w:r>
            <w:r w:rsidRPr="00B61E78">
              <w:rPr>
                <w:rFonts w:ascii="Verdana" w:hAnsi="Verdana" w:cs="Arial"/>
                <w:color w:val="000000" w:themeColor="text1"/>
              </w:rPr>
              <w:lastRenderedPageBreak/>
              <w:t>derechos de los consorciados no deudores, y puede derivar en responsabilidad de la propia entidad.</w:t>
            </w:r>
          </w:p>
          <w:p w14:paraId="313B2A0E" w14:textId="77777777" w:rsidR="00520DE9" w:rsidRPr="00B61E78" w:rsidRDefault="00520DE9" w:rsidP="007540C9">
            <w:pPr>
              <w:spacing w:after="120" w:line="276" w:lineRule="auto"/>
              <w:jc w:val="both"/>
              <w:rPr>
                <w:rFonts w:ascii="Verdana" w:eastAsia="Calibri" w:hAnsi="Verdana" w:cs="Arial"/>
              </w:rPr>
            </w:pPr>
            <w:proofErr w:type="spellStart"/>
            <w:r w:rsidRPr="00B61E78">
              <w:rPr>
                <w:rFonts w:ascii="Verdana" w:hAnsi="Verdana" w:cs="Arial"/>
                <w:color w:val="000000" w:themeColor="text1"/>
              </w:rPr>
              <w:t>iv</w:t>
            </w:r>
            <w:proofErr w:type="spellEnd"/>
            <w:r w:rsidRPr="00B61E78">
              <w:rPr>
                <w:rFonts w:ascii="Verdana" w:hAnsi="Verdana" w:cs="Arial"/>
                <w:color w:val="000000" w:themeColor="text1"/>
              </w:rPr>
              <w:t>. El representante legal del proponente plural y el consorciado que no es deudor cuentan, entre otros, con los siguientes mecanismos: (i) interponer los recursos que procedan contra el auto que decreta la medida, (</w:t>
            </w:r>
            <w:proofErr w:type="spellStart"/>
            <w:r w:rsidRPr="00B61E78">
              <w:rPr>
                <w:rFonts w:ascii="Verdana" w:hAnsi="Verdana" w:cs="Arial"/>
                <w:color w:val="000000" w:themeColor="text1"/>
              </w:rPr>
              <w:t>ii</w:t>
            </w:r>
            <w:proofErr w:type="spellEnd"/>
            <w:r w:rsidRPr="00B61E78">
              <w:rPr>
                <w:rFonts w:ascii="Verdana" w:hAnsi="Verdana" w:cs="Arial"/>
                <w:color w:val="000000" w:themeColor="text1"/>
              </w:rPr>
              <w:t>) solicitar al juez su reducción o levantamiento cuando recaiga sobre bienes o derechos inembargables o sobre la cuota de quien no es deudor, y (</w:t>
            </w:r>
            <w:proofErr w:type="spellStart"/>
            <w:r w:rsidRPr="00B61E78">
              <w:rPr>
                <w:rFonts w:ascii="Verdana" w:hAnsi="Verdana" w:cs="Arial"/>
                <w:color w:val="000000" w:themeColor="text1"/>
              </w:rPr>
              <w:t>iii</w:t>
            </w:r>
            <w:proofErr w:type="spellEnd"/>
            <w:r w:rsidRPr="00B61E78">
              <w:rPr>
                <w:rFonts w:ascii="Verdana" w:hAnsi="Verdana" w:cs="Arial"/>
                <w:color w:val="000000" w:themeColor="text1"/>
              </w:rPr>
              <w:t>) poner de presente a la entidad —que, notificada, debe informarlo al despacho— que el crédito corresponde a una estructura plural y que solo una cuota parte pertenece al miembro deudor. El consorciado no deudor puede, además, intervenir en el proceso en defensa de sus derechos. La precisión del alcance de la medida corresponde, en todo caso, al juez que la ordena.</w:t>
            </w:r>
          </w:p>
          <w:p w14:paraId="45C927E3" w14:textId="77777777" w:rsidR="00520DE9" w:rsidRPr="0036375B" w:rsidRDefault="00520DE9" w:rsidP="007540C9">
            <w:pPr>
              <w:widowControl w:val="0"/>
              <w:autoSpaceDE w:val="0"/>
              <w:autoSpaceDN w:val="0"/>
              <w:spacing w:line="276" w:lineRule="auto"/>
              <w:ind w:firstLine="709"/>
              <w:jc w:val="both"/>
              <w:rPr>
                <w:rFonts w:ascii="Verdana" w:eastAsia="Calibri" w:hAnsi="Verdana" w:cs="Arial"/>
                <w:bCs/>
                <w:lang w:val="es-MX" w:eastAsia="es-ES_tradnl"/>
              </w:rPr>
            </w:pPr>
            <w:r w:rsidRPr="00B61E78">
              <w:rPr>
                <w:rFonts w:ascii="Verdana" w:hAnsi="Verdana" w:cs="Arial"/>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sidRPr="00214922">
              <w:rPr>
                <w:rFonts w:ascii="Verdana" w:hAnsi="Verdana" w:cs="Arial"/>
                <w:color w:val="000000" w:themeColor="text1"/>
              </w:rPr>
              <w:t xml:space="preserve">Por tanto, corresponde a </w:t>
            </w:r>
            <w:r w:rsidRPr="00534273">
              <w:rPr>
                <w:rFonts w:ascii="Verdana" w:hAnsi="Verdana" w:cs="Arial"/>
                <w:color w:val="000000" w:themeColor="text1"/>
              </w:rPr>
              <w:t>cada entidad definir autónomamente la forma de adelantar su gestión contractual</w:t>
            </w:r>
            <w:r w:rsidRPr="00214922">
              <w:rPr>
                <w:rFonts w:ascii="Verdana" w:hAnsi="Verdana" w:cs="Arial"/>
                <w:color w:val="000000" w:themeColor="text1"/>
              </w:rPr>
              <w:t xml:space="preserve">, en el marco de sus competencias y responsabilidades legales. En este sentido, no es atribución de la </w:t>
            </w:r>
            <w:r w:rsidRPr="00534273">
              <w:rPr>
                <w:rFonts w:ascii="Verdana" w:hAnsi="Verdana" w:cs="Arial"/>
                <w:color w:val="000000" w:themeColor="text1"/>
              </w:rPr>
              <w:t>Agencia Nacional de Contratación Pública – Colombia Compra Eficiente</w:t>
            </w:r>
            <w:r w:rsidRPr="00214922">
              <w:rPr>
                <w:rFonts w:ascii="Verdana" w:hAnsi="Verdana" w:cs="Arial"/>
                <w:color w:val="000000" w:themeColor="text1"/>
              </w:rPr>
              <w:t xml:space="preserve"> validar, calificar o avalar las actuaciones contractuales particulares de las entidades</w:t>
            </w:r>
            <w:r>
              <w:rPr>
                <w:rFonts w:ascii="Verdana" w:hAnsi="Verdana" w:cs="Arial"/>
                <w:color w:val="000000" w:themeColor="text1"/>
              </w:rPr>
              <w:t>, ni mucho menos de los demás participes del Sistema de Compras Públicas cuando gira en torno a situaciones relativas a embargos y pagos</w:t>
            </w:r>
            <w:r w:rsidRPr="00214922">
              <w:rPr>
                <w:rFonts w:ascii="Verdana" w:hAnsi="Verdana" w:cs="Arial"/>
                <w:color w:val="000000" w:themeColor="text1"/>
              </w:rPr>
              <w:t>.</w:t>
            </w:r>
          </w:p>
        </w:tc>
      </w:tr>
    </w:tbl>
    <w:p w14:paraId="56D91AFB" w14:textId="77777777" w:rsidR="00520DE9" w:rsidRPr="003E4CC9" w:rsidRDefault="00520DE9" w:rsidP="00520DE9">
      <w:pPr>
        <w:spacing w:after="0" w:line="240" w:lineRule="auto"/>
        <w:jc w:val="both"/>
        <w:rPr>
          <w:rFonts w:ascii="Verdana" w:eastAsia="Calibri" w:hAnsi="Verdana" w:cs="Arial"/>
          <w:bCs/>
          <w:color w:val="000000" w:themeColor="text1"/>
        </w:rPr>
      </w:pPr>
    </w:p>
    <w:p w14:paraId="61ECE8F2" w14:textId="77777777" w:rsidR="00520DE9" w:rsidRPr="003E4CC9" w:rsidRDefault="00520DE9" w:rsidP="00520DE9">
      <w:pPr>
        <w:numPr>
          <w:ilvl w:val="0"/>
          <w:numId w:val="16"/>
        </w:numPr>
        <w:spacing w:after="0" w:line="240" w:lineRule="auto"/>
        <w:rPr>
          <w:rFonts w:ascii="Verdana" w:eastAsia="Calibri" w:hAnsi="Verdana" w:cs="Times New Roman"/>
          <w:b/>
          <w:bCs/>
          <w:lang w:val="es-ES"/>
        </w:rPr>
      </w:pPr>
      <w:r>
        <w:rPr>
          <w:rFonts w:ascii="Verdana" w:eastAsia="Calibri" w:hAnsi="Verdana" w:cs="Times New Roman"/>
          <w:b/>
          <w:bCs/>
          <w:lang w:val="es-ES"/>
        </w:rPr>
        <w:t>Razones de la respuesta:</w:t>
      </w:r>
    </w:p>
    <w:p w14:paraId="58B17CFB" w14:textId="77777777" w:rsidR="00520DE9" w:rsidRPr="003E4CC9" w:rsidRDefault="00520DE9" w:rsidP="00520DE9">
      <w:pPr>
        <w:spacing w:after="0" w:line="240" w:lineRule="auto"/>
        <w:rPr>
          <w:rFonts w:ascii="Verdana" w:eastAsia="Calibri" w:hAnsi="Verdana" w:cs="Times New Roman"/>
          <w:b/>
          <w:bCs/>
          <w:lang w:val="es-ES"/>
        </w:rPr>
      </w:pPr>
    </w:p>
    <w:p w14:paraId="2C1486B2" w14:textId="77777777" w:rsidR="00520DE9" w:rsidRPr="003E4CC9" w:rsidRDefault="00520DE9" w:rsidP="00520DE9">
      <w:pPr>
        <w:spacing w:after="0" w:line="240"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2A802884" w14:textId="77777777" w:rsidR="00520DE9" w:rsidRDefault="00520DE9" w:rsidP="00520DE9">
      <w:pPr>
        <w:spacing w:after="0" w:line="240" w:lineRule="auto"/>
        <w:jc w:val="both"/>
        <w:rPr>
          <w:rFonts w:ascii="Verdana" w:hAnsi="Verdana" w:cs="Arial"/>
          <w:bCs/>
          <w:lang w:val="es-ES" w:eastAsia="es-ES" w:bidi="es-ES"/>
        </w:rPr>
      </w:pPr>
    </w:p>
    <w:p w14:paraId="119F1F3B" w14:textId="77777777" w:rsidR="00520DE9" w:rsidRPr="008A4AEC" w:rsidRDefault="00520DE9" w:rsidP="00520DE9">
      <w:pPr>
        <w:spacing w:after="120" w:line="276" w:lineRule="auto"/>
        <w:jc w:val="both"/>
        <w:rPr>
          <w:rFonts w:ascii="Verdana" w:eastAsia="Calibri" w:hAnsi="Verdana" w:cs="Arial"/>
          <w:lang w:val="es-MX"/>
        </w:rPr>
      </w:pPr>
      <w:r>
        <w:rPr>
          <w:rFonts w:ascii="Verdana" w:hAnsi="Verdana" w:cs="Arial"/>
          <w:lang w:val="es-ES_tradnl"/>
        </w:rPr>
        <w:t xml:space="preserve">i. Si bien las personas pueden presentarse individualmente a los procesos de selección, también pueden hacerlo en forma plural a través de consorcios o uniones temporales. En efecto, </w:t>
      </w:r>
      <w:r>
        <w:rPr>
          <w:rFonts w:ascii="Verdana" w:eastAsia="Calibri" w:hAnsi="Verdana" w:cs="Arial"/>
          <w:lang w:val="es-MX"/>
        </w:rPr>
        <w:t xml:space="preserve">de acuerdo con el Código Civil, la capacidad se refiere a la facultad que la ley le confiere a la persona para ejercer derechos y contraer obligaciones. Esta norma parte del supuesto de que todas las personas </w:t>
      </w:r>
      <w:r>
        <w:rPr>
          <w:rFonts w:ascii="Verdana" w:eastAsia="Calibri" w:hAnsi="Verdana" w:cs="Arial"/>
          <w:lang w:val="es-MX"/>
        </w:rPr>
        <w:lastRenderedPageBreak/>
        <w:t>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207DD4A8" w14:textId="77777777" w:rsidR="00520DE9" w:rsidRPr="008A4AEC" w:rsidRDefault="00520DE9" w:rsidP="00520DE9">
      <w:pPr>
        <w:spacing w:after="0" w:line="276" w:lineRule="auto"/>
        <w:ind w:firstLine="720"/>
        <w:jc w:val="both"/>
        <w:rPr>
          <w:rFonts w:ascii="Verdana" w:eastAsia="Calibri" w:hAnsi="Verdana" w:cs="Arial"/>
          <w:bCs/>
          <w:color w:val="000000" w:themeColor="text1"/>
          <w:lang w:val="es-ES"/>
        </w:rPr>
      </w:pPr>
      <w:r>
        <w:rPr>
          <w:rFonts w:ascii="Verdana" w:eastAsia="Calibri" w:hAnsi="Verdana" w:cs="Arial"/>
          <w:bCs/>
          <w:color w:val="000000" w:themeColor="text1"/>
          <w:lang w:val="es-ES"/>
        </w:rPr>
        <w:t>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1653E9AE" w14:textId="77777777" w:rsidR="00520DE9" w:rsidRPr="008A4AEC" w:rsidRDefault="00520DE9" w:rsidP="00520DE9">
      <w:pPr>
        <w:spacing w:after="0" w:line="276" w:lineRule="auto"/>
        <w:jc w:val="both"/>
        <w:rPr>
          <w:rFonts w:ascii="Verdana" w:eastAsia="Calibri" w:hAnsi="Verdana" w:cs="Arial"/>
          <w:bCs/>
          <w:color w:val="000000" w:themeColor="text1"/>
          <w:lang w:val="es-ES"/>
        </w:rPr>
      </w:pPr>
    </w:p>
    <w:p w14:paraId="2C3877FA" w14:textId="77777777" w:rsidR="00520DE9" w:rsidRPr="006635B1" w:rsidRDefault="00520DE9" w:rsidP="00520DE9">
      <w:pPr>
        <w:spacing w:after="0" w:line="240" w:lineRule="auto"/>
        <w:ind w:left="709" w:right="709"/>
        <w:jc w:val="both"/>
        <w:rPr>
          <w:rFonts w:ascii="Verdana" w:eastAsia="Calibri" w:hAnsi="Verdana" w:cs="Arial"/>
          <w:bCs/>
          <w:color w:val="000000" w:themeColor="text1"/>
          <w:sz w:val="20"/>
          <w:szCs w:val="20"/>
        </w:rPr>
      </w:pPr>
      <w:r>
        <w:rPr>
          <w:rFonts w:ascii="Verdana" w:eastAsia="Calibri" w:hAnsi="Verdana" w:cs="Arial"/>
          <w:bCs/>
          <w:color w:val="000000" w:themeColor="text1"/>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0D5F7B67" w14:textId="77777777" w:rsidR="00520DE9" w:rsidRPr="006635B1" w:rsidRDefault="00520DE9" w:rsidP="00520DE9">
      <w:pPr>
        <w:spacing w:after="0" w:line="240" w:lineRule="auto"/>
        <w:ind w:left="709" w:right="709"/>
        <w:jc w:val="both"/>
        <w:rPr>
          <w:rFonts w:ascii="Verdana" w:eastAsia="Calibri" w:hAnsi="Verdana" w:cs="Arial"/>
          <w:bCs/>
          <w:color w:val="000000" w:themeColor="text1"/>
          <w:sz w:val="20"/>
          <w:szCs w:val="20"/>
        </w:rPr>
      </w:pPr>
      <w:r>
        <w:rPr>
          <w:rFonts w:ascii="Verdana" w:eastAsia="Calibri" w:hAnsi="Verdana" w:cs="Arial"/>
          <w:bCs/>
          <w:color w:val="000000" w:themeColor="text1"/>
          <w:sz w:val="20"/>
          <w:szCs w:val="20"/>
        </w:rPr>
        <w:t>[…]</w:t>
      </w:r>
    </w:p>
    <w:p w14:paraId="230DE022" w14:textId="77777777" w:rsidR="00520DE9" w:rsidRPr="008A4AEC" w:rsidRDefault="00520DE9" w:rsidP="00520DE9">
      <w:pPr>
        <w:spacing w:after="0" w:line="240" w:lineRule="auto"/>
        <w:ind w:left="709" w:right="709"/>
        <w:jc w:val="both"/>
        <w:rPr>
          <w:rFonts w:ascii="Verdana" w:eastAsia="Calibri" w:hAnsi="Verdana" w:cs="Arial"/>
          <w:bCs/>
          <w:color w:val="000000" w:themeColor="text1"/>
          <w:sz w:val="21"/>
          <w:szCs w:val="21"/>
        </w:rPr>
      </w:pPr>
      <w:r>
        <w:rPr>
          <w:rFonts w:ascii="Verdana" w:eastAsia="Calibri" w:hAnsi="Verdana" w:cs="Arial"/>
          <w:bCs/>
          <w:color w:val="000000" w:themeColor="text1"/>
          <w:sz w:val="20"/>
          <w:szCs w:val="20"/>
        </w:rPr>
        <w:t xml:space="preserve">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w:t>
      </w:r>
      <w:r>
        <w:rPr>
          <w:rFonts w:ascii="Verdana" w:eastAsia="Calibri" w:hAnsi="Verdana" w:cs="Arial"/>
          <w:bCs/>
          <w:color w:val="000000" w:themeColor="text1"/>
          <w:sz w:val="20"/>
          <w:szCs w:val="20"/>
        </w:rPr>
        <w:lastRenderedPageBreak/>
        <w:t>responsabilidad solidaria en el cumplimiento de las obligaciones contractuales”</w:t>
      </w:r>
      <w:r>
        <w:rPr>
          <w:rStyle w:val="Refdenotaalpie"/>
          <w:rFonts w:ascii="Verdana" w:eastAsia="Calibri" w:hAnsi="Verdana" w:cs="Arial"/>
          <w:bCs/>
          <w:color w:val="000000" w:themeColor="text1"/>
          <w:sz w:val="20"/>
          <w:szCs w:val="20"/>
        </w:rPr>
        <w:footnoteReference w:id="1"/>
      </w:r>
      <w:r>
        <w:rPr>
          <w:rFonts w:ascii="Verdana" w:eastAsia="Calibri" w:hAnsi="Verdana" w:cs="Arial"/>
          <w:bCs/>
          <w:color w:val="000000" w:themeColor="text1"/>
          <w:sz w:val="20"/>
          <w:szCs w:val="20"/>
        </w:rPr>
        <w:t>.</w:t>
      </w:r>
    </w:p>
    <w:p w14:paraId="665C374A" w14:textId="77777777" w:rsidR="00520DE9" w:rsidRPr="008A4AEC" w:rsidRDefault="00520DE9" w:rsidP="00520DE9">
      <w:pPr>
        <w:spacing w:after="0"/>
        <w:ind w:left="720" w:right="730"/>
        <w:jc w:val="both"/>
        <w:rPr>
          <w:rFonts w:ascii="Verdana" w:eastAsia="Calibri" w:hAnsi="Verdana" w:cs="Arial"/>
          <w:bCs/>
          <w:color w:val="000000" w:themeColor="text1"/>
          <w:sz w:val="21"/>
          <w:szCs w:val="21"/>
        </w:rPr>
      </w:pPr>
    </w:p>
    <w:p w14:paraId="7AC201E6" w14:textId="77777777" w:rsidR="00520DE9" w:rsidRPr="008A4AEC" w:rsidRDefault="00520DE9" w:rsidP="00520DE9">
      <w:pPr>
        <w:spacing w:after="120" w:line="276" w:lineRule="auto"/>
        <w:ind w:firstLine="720"/>
        <w:jc w:val="both"/>
        <w:rPr>
          <w:rFonts w:ascii="Verdana" w:eastAsia="Calibri" w:hAnsi="Verdana" w:cs="Arial"/>
          <w:bCs/>
          <w:color w:val="000000" w:themeColor="text1"/>
          <w:lang w:val="es-ES"/>
        </w:rPr>
      </w:pPr>
      <w:r>
        <w:rPr>
          <w:rFonts w:ascii="Verdana" w:eastAsia="Calibri" w:hAnsi="Verdana" w:cs="Arial"/>
          <w:bCs/>
          <w:color w:val="000000" w:themeColor="text1"/>
          <w:lang w:val="es-ES"/>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p w14:paraId="7FCFC398" w14:textId="77777777" w:rsidR="00520DE9" w:rsidRPr="008A4AEC" w:rsidRDefault="00520DE9" w:rsidP="00520DE9">
      <w:pPr>
        <w:spacing w:after="0" w:line="276" w:lineRule="auto"/>
        <w:ind w:firstLine="709"/>
        <w:jc w:val="both"/>
        <w:rPr>
          <w:rFonts w:ascii="Verdana" w:hAnsi="Verdana" w:cs="Arial"/>
        </w:rPr>
      </w:pPr>
      <w:r>
        <w:rPr>
          <w:rFonts w:ascii="Verdana" w:hAnsi="Verdana" w:cs="Arial"/>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608FA5EA" w14:textId="77777777" w:rsidR="00520DE9" w:rsidRPr="008A4AEC" w:rsidRDefault="00520DE9" w:rsidP="00520DE9">
      <w:pPr>
        <w:spacing w:after="0" w:line="276" w:lineRule="auto"/>
        <w:ind w:firstLine="709"/>
        <w:jc w:val="both"/>
        <w:rPr>
          <w:rFonts w:ascii="Verdana" w:eastAsia="Calibri" w:hAnsi="Verdana" w:cs="Arial"/>
          <w:bCs/>
          <w:color w:val="000000" w:themeColor="text1"/>
          <w:lang w:val="es-ES"/>
        </w:rPr>
      </w:pPr>
    </w:p>
    <w:p w14:paraId="01DCDA0D"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“Artículo 7º.- ENTIDADES A CONTRATAR. Artículo modificado por el artículo 3 de la Ley 2160 de 2021. Para los efectos de esta Ley se entiende por:</w:t>
      </w:r>
    </w:p>
    <w:p w14:paraId="10A5E89C"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w:t>
      </w:r>
    </w:p>
    <w:p w14:paraId="47D971E1"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BF2A0F9"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2616614D"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w:t>
      </w:r>
    </w:p>
    <w:p w14:paraId="439F8FBA"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lastRenderedPageBreak/>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5B59BAB8" w14:textId="77777777" w:rsidR="00520DE9" w:rsidRPr="00E22306" w:rsidRDefault="00520DE9" w:rsidP="00520DE9">
      <w:pPr>
        <w:spacing w:after="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1C5D111E" w14:textId="77777777" w:rsidR="00520DE9" w:rsidRPr="008A4AEC" w:rsidRDefault="00520DE9" w:rsidP="00520DE9">
      <w:pPr>
        <w:spacing w:after="0" w:line="240" w:lineRule="auto"/>
        <w:ind w:left="709" w:right="709"/>
        <w:jc w:val="both"/>
        <w:rPr>
          <w:rFonts w:ascii="Verdana" w:eastAsia="Calibri" w:hAnsi="Verdana" w:cs="Arial"/>
          <w:bCs/>
          <w:color w:val="000000" w:themeColor="text1"/>
          <w:sz w:val="21"/>
          <w:lang w:val="es-ES"/>
        </w:rPr>
      </w:pPr>
      <w:r>
        <w:rPr>
          <w:rFonts w:ascii="Verdana" w:eastAsia="Calibri" w:hAnsi="Verdana" w:cs="Arial"/>
          <w:bCs/>
          <w:color w:val="000000" w:themeColor="text1"/>
          <w:sz w:val="20"/>
          <w:szCs w:val="20"/>
          <w:lang w:val="es-ES"/>
        </w:rPr>
        <w:t>[…]”.</w:t>
      </w:r>
    </w:p>
    <w:p w14:paraId="3966716F" w14:textId="77777777" w:rsidR="00520DE9" w:rsidRPr="008A4AEC" w:rsidRDefault="00520DE9" w:rsidP="00520DE9">
      <w:pPr>
        <w:spacing w:after="0" w:line="276" w:lineRule="auto"/>
        <w:ind w:left="720" w:right="731"/>
        <w:jc w:val="both"/>
        <w:rPr>
          <w:rFonts w:ascii="Verdana" w:eastAsia="Calibri" w:hAnsi="Verdana" w:cs="Arial"/>
          <w:bCs/>
          <w:color w:val="000000" w:themeColor="text1"/>
          <w:lang w:val="es-ES"/>
        </w:rPr>
      </w:pPr>
    </w:p>
    <w:p w14:paraId="2A1A7862" w14:textId="77777777" w:rsidR="00520DE9" w:rsidRPr="00B10792" w:rsidRDefault="00520DE9" w:rsidP="00520DE9">
      <w:pPr>
        <w:spacing w:after="120" w:line="276" w:lineRule="auto"/>
        <w:jc w:val="both"/>
        <w:rPr>
          <w:rFonts w:ascii="Verdana" w:hAnsi="Verdana" w:cs="Arial"/>
          <w:color w:val="000000" w:themeColor="text1"/>
        </w:rPr>
      </w:pPr>
      <w:r>
        <w:rPr>
          <w:rFonts w:ascii="Verdana" w:eastAsia="Calibri" w:hAnsi="Verdana" w:cs="Arial"/>
          <w:bCs/>
          <w:color w:val="000000" w:themeColor="text1"/>
          <w:lang w:val="es-ES"/>
        </w:rPr>
        <w:tab/>
        <w:t>Como se observa, el artículo citado señala que el consorcio o la unión temporal se da “Cuando dos o más personas en forma conjunta presentan una misma propuesta para la adjudicación, celebración y ejecución de un contrato, respondiendo solidariamente de todas y cada una de las obligaciones derivadas de la propuesta y del contrato […]”.</w:t>
      </w:r>
      <w:r>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5488FEE6" w14:textId="77777777" w:rsidR="00520DE9" w:rsidRPr="00B10792" w:rsidRDefault="00520DE9" w:rsidP="00520DE9">
      <w:pPr>
        <w:spacing w:after="120" w:line="276" w:lineRule="auto"/>
        <w:jc w:val="both"/>
        <w:rPr>
          <w:rFonts w:ascii="Verdana" w:hAnsi="Verdana" w:cs="Arial"/>
          <w:color w:val="000000" w:themeColor="text1"/>
        </w:rPr>
      </w:pPr>
      <w:r>
        <w:rPr>
          <w:rFonts w:ascii="Verdana" w:hAnsi="Verdana" w:cs="Arial"/>
          <w:color w:val="000000" w:themeColor="text1"/>
        </w:rPr>
        <w:tab/>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26A79958" w14:textId="77777777" w:rsidR="00520DE9" w:rsidRPr="00C41FF6" w:rsidRDefault="00520DE9" w:rsidP="00520DE9">
      <w:pPr>
        <w:spacing w:after="120" w:line="276" w:lineRule="auto"/>
        <w:jc w:val="both"/>
        <w:rPr>
          <w:rFonts w:ascii="Verdana" w:hAnsi="Verdana" w:cs="Arial"/>
          <w:color w:val="000000" w:themeColor="text1"/>
        </w:rPr>
      </w:pPr>
      <w:r>
        <w:rPr>
          <w:rFonts w:ascii="Verdana" w:hAnsi="Verdana" w:cs="Arial"/>
          <w:color w:val="000000" w:themeColor="text1"/>
        </w:rPr>
        <w:tab/>
        <w:t xml:space="preserve">La capacidad jurídica de los proponentes plurales —consorcios y uniones temporales— se encuentra limitada al ámbito de la contratación estatal regulada por la Ley 80 de 1993 y las normas complementarias. En efecto, el artículo 7 de dicha ley reconoce a estas instituciones la posibilidad de presentar propuestas y celebrar contratos con las entidades estatales, pero no les otorga personalidad </w:t>
      </w:r>
      <w:r>
        <w:rPr>
          <w:rFonts w:ascii="Verdana" w:hAnsi="Verdana" w:cs="Arial"/>
          <w:color w:val="000000" w:themeColor="text1"/>
        </w:rPr>
        <w:lastRenderedPageBreak/>
        <w:t xml:space="preserve">jurídica independiente ni capacidad para actuar </w:t>
      </w:r>
      <w:r w:rsidRPr="0001007E">
        <w:rPr>
          <w:rFonts w:ascii="Verdana" w:hAnsi="Verdana" w:cs="Arial"/>
          <w:color w:val="000000" w:themeColor="text1"/>
        </w:rPr>
        <w:t>en relaciones entre particulares. Así lo han reiterado conceptos como el C</w:t>
      </w:r>
      <w:r w:rsidRPr="0001007E">
        <w:rPr>
          <w:rFonts w:ascii="Verdana" w:hAnsi="Verdana" w:cs="Arial"/>
          <w:color w:val="000000" w:themeColor="text1"/>
        </w:rPr>
        <w:noBreakHyphen/>
        <w:t xml:space="preserve">100 del </w:t>
      </w:r>
      <w:r w:rsidRPr="00A17EFF">
        <w:rPr>
          <w:rFonts w:ascii="Verdana" w:hAnsi="Verdana" w:cs="Arial"/>
          <w:color w:val="000000" w:themeColor="text1"/>
        </w:rPr>
        <w:t>12</w:t>
      </w:r>
      <w:r w:rsidRPr="0001007E">
        <w:rPr>
          <w:rFonts w:ascii="Verdana" w:hAnsi="Verdana" w:cs="Arial"/>
          <w:color w:val="000000" w:themeColor="text1"/>
        </w:rPr>
        <w:t xml:space="preserve"> de</w:t>
      </w:r>
      <w:r>
        <w:rPr>
          <w:rFonts w:ascii="Verdana" w:hAnsi="Verdana" w:cs="Arial"/>
          <w:color w:val="000000" w:themeColor="text1"/>
        </w:rPr>
        <w:t xml:space="preserve"> junio de 2024 y el C</w:t>
      </w:r>
      <w:r>
        <w:rPr>
          <w:rFonts w:ascii="Verdana" w:hAnsi="Verdana" w:cs="Arial"/>
          <w:color w:val="000000" w:themeColor="text1"/>
        </w:rPr>
        <w:noBreakHyphen/>
        <w:t>1206 del 10 de septiembre de 2026, en los que se precisa que la cesión de contratos estatales exige que el cesionario sea un tercero con personalidad jurídica propia, condición que no cumplen los consorcios ni las uniones temporales.</w:t>
      </w:r>
    </w:p>
    <w:p w14:paraId="06B28C01" w14:textId="77777777" w:rsidR="00520DE9" w:rsidRPr="0001007E" w:rsidRDefault="00520DE9" w:rsidP="00520DE9">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este marco, resulta fundamental diferenciar las obligaciones derivadas del contrato estatal de aquellas que corresponden de manera individual a los miembros del consorcio por obligaciones que no nacen del proceso de </w:t>
      </w:r>
      <w:r w:rsidRPr="0001007E">
        <w:rPr>
          <w:rFonts w:ascii="Verdana" w:hAnsi="Verdana" w:cs="Arial"/>
          <w:color w:val="000000" w:themeColor="text1"/>
        </w:rPr>
        <w:t>contratación. Cuando se ordena un embargo contra uno de sus integrantes, la medida cautelar no puede recaer sobre el consorcio en su conjunto ni sobre los recursos destinados a la ejecución del contrato, pues estos tienen una destinación específica y están vinculados directamente al cumplimiento del objeto contractual. El consorcio no puede considerarse sujeto pasivo de la medida</w:t>
      </w:r>
      <w:r w:rsidRPr="00A17EFF">
        <w:rPr>
          <w:rFonts w:ascii="Verdana" w:hAnsi="Verdana" w:cs="Arial"/>
          <w:color w:val="000000" w:themeColor="text1"/>
        </w:rPr>
        <w:t>. Lo</w:t>
      </w:r>
      <w:r w:rsidRPr="0001007E">
        <w:rPr>
          <w:rFonts w:ascii="Verdana" w:hAnsi="Verdana" w:cs="Arial"/>
          <w:color w:val="000000" w:themeColor="text1"/>
        </w:rPr>
        <w:t xml:space="preserve"> embargable es únicamente la participación económica del miembro deudor, conforme lo disponga el juez competente, y no sobre los recursos que se giran al consorcio para el cumplimiento del contrato.</w:t>
      </w:r>
      <w:r w:rsidRPr="00A17EFF">
        <w:rPr>
          <w:rFonts w:ascii="Verdana" w:hAnsi="Verdana" w:cs="Arial"/>
          <w:color w:val="000000" w:themeColor="text1"/>
        </w:rPr>
        <w:t xml:space="preserve"> En virtud de la prenda general de los acreedores (artículo 2488 del Código Civil), lo embargable se contrae a esa participación, y el embargo del crédito se perfecciona con la notificación a la entidad estatal —deudora del pago— para que retenga y consigne a órdenes del juzgado la suma correspondiente al deudor (artículo 593 del Código General del Proceso).</w:t>
      </w:r>
    </w:p>
    <w:p w14:paraId="0AB1BD56" w14:textId="77777777" w:rsidR="00520DE9" w:rsidRPr="0001007E" w:rsidRDefault="00520DE9" w:rsidP="00520DE9">
      <w:pPr>
        <w:spacing w:after="120" w:line="276" w:lineRule="auto"/>
        <w:ind w:firstLine="708"/>
        <w:jc w:val="both"/>
        <w:rPr>
          <w:rFonts w:ascii="Verdana" w:hAnsi="Verdana" w:cs="Arial"/>
          <w:color w:val="000000" w:themeColor="text1"/>
        </w:rPr>
      </w:pPr>
      <w:r w:rsidRPr="00A17EFF">
        <w:rPr>
          <w:rFonts w:ascii="Verdana" w:hAnsi="Verdana" w:cs="Arial"/>
          <w:color w:val="000000" w:themeColor="text1"/>
        </w:rPr>
        <w:t>Los recursos destinados a la ejecución del contrato solo están protegidos frente al embargo en los casos que la ley establece. En los contratos de obra pública, las sumas anticipadas al contratista son inembargables mientras no concluya la construcción, salvo por obligaciones a favor de los trabajadores de la obra por salarios, prestaciones e indemnizaciones, según el artículo 594, numeral 5, del Código General del Proceso. Por fuera de esa hipótesis, las sumas que integran el precio son crédito del contratista y su embargabilidad se rige por las reglas generales, con el límite de la participación del miembro deudor. La forma en que se estructuró el contrato —por ejemplo, la discriminación entre Administración, Imprevistos y Utilidad (AIU) en los contratos de obra— es un elemento relevante para identificar, bajo la orden judicial, la suma efectivamente atribuible al deudor, sin que ello autorice a declarar inembargables, por vía de analogía tributaria, los costos directos del contrato.</w:t>
      </w:r>
    </w:p>
    <w:p w14:paraId="5FB93DD8" w14:textId="77777777" w:rsidR="00520DE9" w:rsidRPr="0001007E" w:rsidRDefault="00520DE9" w:rsidP="000B6CF0">
      <w:pPr>
        <w:spacing w:after="120" w:line="276" w:lineRule="auto"/>
        <w:ind w:firstLine="709"/>
        <w:jc w:val="both"/>
        <w:rPr>
          <w:rFonts w:ascii="Verdana" w:hAnsi="Verdana" w:cs="Arial"/>
          <w:color w:val="000000" w:themeColor="text1"/>
        </w:rPr>
      </w:pPr>
      <w:r w:rsidRPr="0001007E">
        <w:rPr>
          <w:rFonts w:ascii="Verdana" w:hAnsi="Verdana" w:cs="Arial"/>
          <w:color w:val="000000" w:themeColor="text1"/>
        </w:rPr>
        <w:lastRenderedPageBreak/>
        <w:t xml:space="preserve">Este criterio responde a la necesidad de preservar el equilibrio económico del contrato y la continuidad en la prestación del servicio público. En todo caso, corresponde al juez competente, como autoridad que ordena la medida cautelar, revisar y precisar el alcance del embargo. Ante cualquier </w:t>
      </w:r>
      <w:r w:rsidRPr="00A17EFF">
        <w:rPr>
          <w:rFonts w:ascii="Verdana" w:hAnsi="Verdana" w:cs="Arial"/>
          <w:color w:val="000000" w:themeColor="text1"/>
        </w:rPr>
        <w:t>ambigüedad, vaguedad o aplicación</w:t>
      </w:r>
      <w:r w:rsidRPr="0001007E">
        <w:rPr>
          <w:rFonts w:ascii="Verdana" w:hAnsi="Verdana" w:cs="Arial"/>
          <w:color w:val="000000" w:themeColor="text1"/>
        </w:rPr>
        <w:t xml:space="preserve"> indebida, resulta recomendable que el representante legal del consorcio acuda al juez para solicitar la aclaración respectiva, con el fin de garantizar que la medida no afecte los recursos destinados a la operación contractual. De esta manera, se asegura la protección de los derechos de los consorciados no deudores y la correcta ejecución del contrato estatal, en armonía con los principios de buena fe y seguridad jurídica.</w:t>
      </w:r>
    </w:p>
    <w:p w14:paraId="60866ABF" w14:textId="77777777" w:rsidR="00520DE9" w:rsidRPr="0001007E" w:rsidRDefault="00520DE9" w:rsidP="00520DE9">
      <w:pPr>
        <w:spacing w:after="120" w:line="276" w:lineRule="auto"/>
        <w:ind w:firstLine="709"/>
        <w:jc w:val="both"/>
        <w:rPr>
          <w:rFonts w:ascii="Verdana" w:eastAsia="Calibri" w:hAnsi="Verdana" w:cs="Arial"/>
        </w:rPr>
      </w:pPr>
      <w:r w:rsidRPr="00A17EFF">
        <w:rPr>
          <w:rFonts w:ascii="Verdana" w:hAnsi="Verdana" w:cs="Arial"/>
          <w:color w:val="000000" w:themeColor="text1"/>
        </w:rPr>
        <w:t>La entidad contratante no puede retener, fraccionar ni afectar por iniciativa propia los recursos del proponente plural para atender obligaciones personales de uno de sus miembros. Su actuación se limita a cumplir la orden judicial de embargo o, si es ella la acreedora, el respectivo mandamiento de cobro coactivo, sin exceder la participación del deudor ni las reglas de inembargabilidad. Una retención unilateral desprovista de título compromete el equilibrio económico del contrato, afecta a los consorciados no deudores y puede generar responsabilidad de la entidad.</w:t>
      </w:r>
    </w:p>
    <w:p w14:paraId="1FBA1514" w14:textId="77777777" w:rsidR="00520DE9" w:rsidRDefault="00520DE9" w:rsidP="00520DE9">
      <w:pPr>
        <w:spacing w:after="0" w:line="276" w:lineRule="auto"/>
        <w:ind w:firstLine="709"/>
        <w:jc w:val="both"/>
        <w:rPr>
          <w:rFonts w:ascii="Verdana" w:eastAsia="Calibri" w:hAnsi="Verdana" w:cs="Arial"/>
        </w:rPr>
      </w:pPr>
      <w:r w:rsidRPr="00A17EFF">
        <w:rPr>
          <w:rFonts w:ascii="Verdana" w:hAnsi="Verdana" w:cs="Arial"/>
          <w:color w:val="000000" w:themeColor="text1"/>
        </w:rPr>
        <w:t>En cuanto a los mecanismos de defensa, el representante legal del proponente plural y el consorciado no deudor pueden interponer los recursos que procedan contra el auto que decreta la medida, solicitar al juez su reducción o levantamiento cuando recaiga sobre derechos inembargables o sobre la cuota de quien no es deudor, e intervenir en el proceso en defensa de los derechos del miembro que no es deudor. La entidad estatal, al ser notificada del embargo del crédito, debe informar al despacho que este corresponde a una estructura plural y que solo una parte pertenece al miembro deudor, de modo que la retención se contraiga a esa cuota.</w:t>
      </w:r>
    </w:p>
    <w:p w14:paraId="40C76520" w14:textId="77777777" w:rsidR="00520DE9" w:rsidRPr="002D5853" w:rsidRDefault="00520DE9" w:rsidP="00520DE9">
      <w:pPr>
        <w:spacing w:after="0" w:line="276" w:lineRule="auto"/>
        <w:ind w:right="51"/>
        <w:jc w:val="both"/>
        <w:rPr>
          <w:rFonts w:ascii="Verdana" w:eastAsia="Calibri" w:hAnsi="Verdana" w:cs="Arial"/>
          <w:color w:val="000000" w:themeColor="text1"/>
        </w:rPr>
      </w:pPr>
    </w:p>
    <w:p w14:paraId="3C7F53B1" w14:textId="77777777" w:rsidR="00520DE9" w:rsidRPr="00967919" w:rsidRDefault="00520DE9" w:rsidP="00520DE9">
      <w:pPr>
        <w:widowControl w:val="0"/>
        <w:autoSpaceDE w:val="0"/>
        <w:autoSpaceDN w:val="0"/>
        <w:spacing w:after="120" w:line="276" w:lineRule="auto"/>
        <w:jc w:val="both"/>
        <w:rPr>
          <w:rFonts w:ascii="Verdana" w:eastAsia="Calibri" w:hAnsi="Verdana"/>
          <w:lang w:val="es-ES"/>
        </w:rPr>
      </w:pPr>
      <w:proofErr w:type="spellStart"/>
      <w:r>
        <w:rPr>
          <w:rFonts w:ascii="Verdana" w:hAnsi="Verdana"/>
        </w:rPr>
        <w:t>ii</w:t>
      </w:r>
      <w:proofErr w:type="spellEnd"/>
      <w:r>
        <w:rPr>
          <w:rFonts w:ascii="Verdana" w:hAnsi="Verdana"/>
        </w:rPr>
        <w:t xml:space="preserve">. </w:t>
      </w:r>
      <w:r>
        <w:rPr>
          <w:rFonts w:ascii="Verdana" w:eastAsia="Calibri" w:hAnsi="Verdana"/>
          <w:lang w:val="es-ES"/>
        </w:rPr>
        <w:t>Finalmente debe advertirse, que el análisis para resolver problemas específicos en torno a los consorcios o uniones temporales debe ser realizado por quienes tengan interés en ello</w:t>
      </w:r>
      <w:r>
        <w:rPr>
          <w:rFonts w:ascii="Verdana" w:hAnsi="Verdana" w:cs="Arial"/>
          <w:color w:val="000000" w:themeColor="text1"/>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w:t>
      </w:r>
      <w:r>
        <w:rPr>
          <w:rFonts w:ascii="Verdana" w:hAnsi="Verdana" w:cs="Arial"/>
          <w:color w:val="000000" w:themeColor="text1"/>
        </w:rPr>
        <w:lastRenderedPageBreak/>
        <w:t>de conflicto, a las autoridades judiciales, fiscales y disciplinarias.</w:t>
      </w:r>
    </w:p>
    <w:p w14:paraId="7BBA89AF" w14:textId="77777777" w:rsidR="00520DE9" w:rsidRPr="003E4CC9" w:rsidRDefault="00520DE9" w:rsidP="00520DE9">
      <w:pPr>
        <w:widowControl w:val="0"/>
        <w:autoSpaceDE w:val="0"/>
        <w:autoSpaceDN w:val="0"/>
        <w:spacing w:after="0" w:line="276" w:lineRule="auto"/>
        <w:ind w:firstLine="709"/>
        <w:jc w:val="both"/>
        <w:rPr>
          <w:rFonts w:ascii="Verdana" w:eastAsia="Calibri" w:hAnsi="Verdana" w:cs="Arial"/>
          <w:bCs/>
          <w:lang w:val="es-MX" w:eastAsia="es-ES_tradnl"/>
        </w:rPr>
      </w:pPr>
      <w:r>
        <w:rPr>
          <w:rFonts w:ascii="Verdana"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3E40FD5A" w14:textId="77777777" w:rsidR="00520DE9" w:rsidRPr="003E4CC9" w:rsidRDefault="00520DE9" w:rsidP="00520DE9">
      <w:pPr>
        <w:spacing w:after="0" w:line="276" w:lineRule="auto"/>
        <w:jc w:val="both"/>
        <w:rPr>
          <w:rFonts w:ascii="Verdana" w:eastAsia="Calibri" w:hAnsi="Verdana" w:cs="Arial"/>
          <w:lang w:val="es-ES_tradnl" w:eastAsia="es-ES_tradnl"/>
        </w:rPr>
      </w:pPr>
    </w:p>
    <w:p w14:paraId="5E444C6C" w14:textId="77777777" w:rsidR="00520DE9" w:rsidRPr="003E4CC9" w:rsidRDefault="00520DE9" w:rsidP="00520DE9">
      <w:pPr>
        <w:numPr>
          <w:ilvl w:val="0"/>
          <w:numId w:val="16"/>
        </w:numPr>
        <w:spacing w:after="0" w:line="276" w:lineRule="auto"/>
        <w:rPr>
          <w:rFonts w:ascii="Verdana" w:eastAsia="Calibri" w:hAnsi="Verdana" w:cs="Times New Roman"/>
          <w:b/>
          <w:bCs/>
          <w:lang w:val="es-ES"/>
        </w:rPr>
      </w:pPr>
      <w:r>
        <w:rPr>
          <w:rFonts w:ascii="Verdana" w:eastAsia="Calibri" w:hAnsi="Verdana" w:cs="Times New Roman"/>
          <w:b/>
          <w:bCs/>
          <w:lang w:val="es-ES"/>
        </w:rPr>
        <w:t>Referencias normativas:</w:t>
      </w:r>
    </w:p>
    <w:p w14:paraId="7D34A632" w14:textId="77777777" w:rsidR="00520DE9" w:rsidRPr="003E4CC9" w:rsidRDefault="00520DE9" w:rsidP="00520DE9">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0DE9" w:rsidRPr="0001007E" w14:paraId="51F53BF2" w14:textId="77777777" w:rsidTr="007540C9">
        <w:trPr>
          <w:trHeight w:val="501"/>
          <w:jc w:val="center"/>
        </w:trPr>
        <w:tc>
          <w:tcPr>
            <w:tcW w:w="8647" w:type="dxa"/>
          </w:tcPr>
          <w:p w14:paraId="67D8B9A2" w14:textId="77777777" w:rsidR="00520DE9" w:rsidRPr="0001007E" w:rsidRDefault="00520DE9" w:rsidP="007540C9">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A17EFF">
              <w:rPr>
                <w:rFonts w:ascii="Verdana" w:hAnsi="Verdana" w:cs="Arial"/>
                <w:color w:val="000000" w:themeColor="text1"/>
                <w:lang w:val="es-ES"/>
              </w:rPr>
              <w:t>Constitución Política, artículos 1 y 2.</w:t>
            </w:r>
          </w:p>
          <w:p w14:paraId="0056643B" w14:textId="77777777" w:rsidR="00520DE9" w:rsidRPr="0001007E" w:rsidRDefault="00520DE9" w:rsidP="007540C9">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A17EFF">
              <w:rPr>
                <w:rFonts w:ascii="Verdana" w:hAnsi="Verdana" w:cs="Arial"/>
                <w:color w:val="000000" w:themeColor="text1"/>
                <w:lang w:val="es-ES"/>
              </w:rPr>
              <w:t xml:space="preserve">Ley 80 de 1993, artículos 6 y 7, modificados por la Ley 2160 de 2021 (artículos 1 y 3). </w:t>
            </w:r>
          </w:p>
          <w:p w14:paraId="0D4FDFE3" w14:textId="77777777" w:rsidR="00520DE9" w:rsidRPr="0001007E" w:rsidRDefault="00520DE9" w:rsidP="007540C9">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A17EFF">
              <w:rPr>
                <w:rFonts w:ascii="Verdana" w:hAnsi="Verdana" w:cs="Arial"/>
                <w:color w:val="000000" w:themeColor="text1"/>
                <w:lang w:val="es-ES"/>
              </w:rPr>
              <w:t>Ley 1564 de 2012 (Código General del Proceso), artículos 593 y 594.</w:t>
            </w:r>
          </w:p>
          <w:p w14:paraId="4C4CC0A3" w14:textId="77777777" w:rsidR="00520DE9" w:rsidRPr="0001007E" w:rsidRDefault="00520DE9" w:rsidP="007540C9">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01007E">
              <w:rPr>
                <w:rFonts w:ascii="Verdana" w:hAnsi="Verdana" w:cs="Arial"/>
                <w:color w:val="000000" w:themeColor="text1"/>
                <w:lang w:val="es-MX"/>
              </w:rPr>
              <w:t xml:space="preserve">Código Civil, artículos 1502, </w:t>
            </w:r>
            <w:r w:rsidRPr="00A17EFF">
              <w:rPr>
                <w:rFonts w:ascii="Verdana" w:hAnsi="Verdana" w:cs="Arial"/>
                <w:color w:val="000000" w:themeColor="text1"/>
                <w:lang w:val="es-MX"/>
              </w:rPr>
              <w:t>1503, 1504 y 2488</w:t>
            </w:r>
            <w:r w:rsidRPr="0001007E">
              <w:rPr>
                <w:rFonts w:ascii="Verdana" w:hAnsi="Verdana" w:cs="Arial"/>
                <w:color w:val="000000" w:themeColor="text1"/>
                <w:lang w:val="es-MX"/>
              </w:rPr>
              <w:t>.</w:t>
            </w:r>
          </w:p>
          <w:p w14:paraId="378705C6" w14:textId="77777777" w:rsidR="00520DE9" w:rsidRPr="0001007E" w:rsidRDefault="00520DE9" w:rsidP="007540C9">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01007E">
              <w:rPr>
                <w:rFonts w:ascii="Verdana" w:hAnsi="Verdana" w:cs="Arial"/>
                <w:color w:val="000000" w:themeColor="text1"/>
                <w:lang w:val="es-MX"/>
              </w:rPr>
              <w:t xml:space="preserve">Código del Comercio, artículo 99. </w:t>
            </w:r>
          </w:p>
        </w:tc>
      </w:tr>
    </w:tbl>
    <w:p w14:paraId="48098389" w14:textId="77777777" w:rsidR="00520DE9" w:rsidRPr="0001007E" w:rsidRDefault="00520DE9" w:rsidP="00520DE9">
      <w:pPr>
        <w:spacing w:after="0" w:line="276" w:lineRule="auto"/>
        <w:ind w:right="709"/>
        <w:jc w:val="both"/>
        <w:rPr>
          <w:rFonts w:ascii="Verdana" w:hAnsi="Verdana" w:cs="Arial"/>
          <w:color w:val="000000" w:themeColor="text1"/>
          <w:lang w:val="es-ES_tradnl"/>
        </w:rPr>
      </w:pPr>
    </w:p>
    <w:p w14:paraId="300809B2" w14:textId="77777777" w:rsidR="00520DE9" w:rsidRPr="0001007E" w:rsidRDefault="00520DE9" w:rsidP="00520DE9">
      <w:pPr>
        <w:numPr>
          <w:ilvl w:val="0"/>
          <w:numId w:val="16"/>
        </w:numPr>
        <w:spacing w:after="0" w:line="276" w:lineRule="auto"/>
        <w:rPr>
          <w:rFonts w:ascii="Verdana" w:eastAsia="Calibri" w:hAnsi="Verdana" w:cs="Times New Roman"/>
          <w:b/>
          <w:bCs/>
          <w:lang w:val="es-ES"/>
        </w:rPr>
      </w:pPr>
      <w:r w:rsidRPr="0001007E">
        <w:rPr>
          <w:rFonts w:ascii="Verdana" w:eastAsia="Calibri" w:hAnsi="Verdana" w:cs="Times New Roman"/>
          <w:b/>
          <w:bCs/>
          <w:lang w:val="es-ES"/>
        </w:rPr>
        <w:t>Doctrina de la Agencia Nacional de Contratación Pública:</w:t>
      </w:r>
    </w:p>
    <w:p w14:paraId="3F68ACDC" w14:textId="77777777" w:rsidR="00520DE9" w:rsidRPr="0001007E" w:rsidRDefault="00520DE9" w:rsidP="00520DE9">
      <w:pPr>
        <w:widowControl w:val="0"/>
        <w:autoSpaceDE w:val="0"/>
        <w:autoSpaceDN w:val="0"/>
        <w:spacing w:after="0" w:line="276" w:lineRule="auto"/>
        <w:jc w:val="both"/>
        <w:rPr>
          <w:rFonts w:ascii="Verdana" w:hAnsi="Verdana" w:cs="Arial"/>
          <w:bCs/>
          <w:shd w:val="clear" w:color="auto" w:fill="FFFFFF"/>
        </w:rPr>
      </w:pPr>
    </w:p>
    <w:p w14:paraId="2DBC3A6E" w14:textId="77777777" w:rsidR="00520DE9" w:rsidRPr="00CB524C" w:rsidRDefault="00520DE9" w:rsidP="00520DE9">
      <w:pPr>
        <w:widowControl w:val="0"/>
        <w:autoSpaceDE w:val="0"/>
        <w:autoSpaceDN w:val="0"/>
        <w:spacing w:after="0" w:line="276" w:lineRule="auto"/>
        <w:jc w:val="both"/>
        <w:rPr>
          <w:rFonts w:ascii="Verdana" w:hAnsi="Verdana" w:cs="Arial"/>
          <w:bCs/>
          <w:shd w:val="clear" w:color="auto" w:fill="FFFFFF"/>
        </w:rPr>
      </w:pPr>
      <w:r w:rsidRPr="0001007E">
        <w:rPr>
          <w:rFonts w:ascii="Verdana" w:eastAsia="Calibri" w:hAnsi="Verdana" w:cs="Arial"/>
          <w:color w:val="000000" w:themeColor="text1"/>
          <w:lang w:val="es-ES" w:eastAsia="es-ES_tradnl"/>
        </w:rPr>
        <w:t xml:space="preserve">La Agencia Nacional de Contratación Pública – Colombia Compra Eficiente </w:t>
      </w:r>
      <w:r w:rsidRPr="0001007E">
        <w:rPr>
          <w:rFonts w:ascii="Verdana" w:eastAsia="Calibri" w:hAnsi="Verdana" w:cs="Arial"/>
          <w:color w:val="000000" w:themeColor="text1"/>
          <w:lang w:eastAsia="es-ES_tradnl"/>
        </w:rPr>
        <w:t xml:space="preserve">se ha pronunciado sobre los consorcios y las uniones temporales en los Conceptos 4201912000006909 del 28 de octubre de </w:t>
      </w:r>
      <w:r w:rsidRPr="00A17EFF">
        <w:rPr>
          <w:rFonts w:ascii="Verdana" w:eastAsia="Calibri" w:hAnsi="Verdana" w:cs="Arial"/>
          <w:color w:val="000000" w:themeColor="text1"/>
          <w:lang w:eastAsia="es-ES_tradnl"/>
        </w:rPr>
        <w:t>2019</w:t>
      </w:r>
      <w:r w:rsidRPr="0001007E">
        <w:rPr>
          <w:rFonts w:ascii="Verdana" w:eastAsia="Calibri" w:hAnsi="Verdana" w:cs="Arial"/>
          <w:color w:val="000000" w:themeColor="text1"/>
          <w:lang w:eastAsia="es-ES_tradnl"/>
        </w:rPr>
        <w:t xml:space="preserve">, 4201913000007643 del 26 de diciembre de 2019, C-343 del 17 de junio de 2020, C-518 del 9 de septiembre de 2020, C-614 del 5 de octubre de 2022, C-882 del 21 de diciembre de 2022, C-172 del 6 de junio de 2023, C-032 del 16 de abril de 2024, C-050 del 18 de julio de 2024, C-100 del 12 de junio de 2024, </w:t>
      </w:r>
      <w:r w:rsidRPr="00A17EFF">
        <w:rPr>
          <w:rFonts w:ascii="Verdana" w:eastAsia="Calibri" w:hAnsi="Verdana" w:cs="Arial"/>
          <w:color w:val="000000" w:themeColor="text1"/>
          <w:lang w:eastAsia="es-ES_tradnl"/>
        </w:rPr>
        <w:t>C-</w:t>
      </w:r>
      <w:r w:rsidRPr="0001007E">
        <w:rPr>
          <w:rFonts w:ascii="Verdana" w:eastAsia="Calibri" w:hAnsi="Verdana" w:cs="Arial"/>
          <w:color w:val="000000" w:themeColor="text1"/>
          <w:lang w:eastAsia="es-ES_tradnl"/>
        </w:rPr>
        <w:t>727 del 28 de octubre de 2024, C-894 del 11 de diciembre de 2024, C-936 del 18 de diciembre de 2024, C-016 del 11 de febrero de 2025 y C-226 del 26 de marzo de 2025, C-</w:t>
      </w:r>
      <w:r>
        <w:rPr>
          <w:rFonts w:ascii="Verdana" w:eastAsia="Calibri" w:hAnsi="Verdana" w:cs="Arial"/>
          <w:color w:val="000000" w:themeColor="text1"/>
          <w:lang w:eastAsia="es-ES_tradnl"/>
        </w:rPr>
        <w:t>934 del 21 de julio de 2026, C-995 del 14 de agosto de 2026, C-1206 del 10 de septiembre de 2026, entre otros.</w:t>
      </w:r>
      <w:r>
        <w:rPr>
          <w:rStyle w:val="normaltextrun"/>
          <w:rFonts w:ascii="Verdana" w:hAnsi="Verdana" w:cs="Arial"/>
          <w:color w:val="000000" w:themeColor="text1"/>
          <w:shd w:val="clear" w:color="auto" w:fill="FFFFFF"/>
          <w:lang w:val="es-ES"/>
        </w:rPr>
        <w:t xml:space="preserve"> </w:t>
      </w:r>
      <w:r>
        <w:rPr>
          <w:rFonts w:ascii="Verdana" w:eastAsia="Calibri" w:hAnsi="Verdana" w:cs="Times New Roman"/>
        </w:rPr>
        <w:t xml:space="preserve">Estos y otros conceptos se encuentran disponibles para </w:t>
      </w:r>
      <w:r>
        <w:rPr>
          <w:rFonts w:ascii="Verdana" w:eastAsia="Calibri" w:hAnsi="Verdana" w:cs="Times New Roman"/>
        </w:rPr>
        <w:lastRenderedPageBreak/>
        <w:t>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hAnsi="Verdana" w:cs="Arial"/>
          <w:bCs/>
          <w:shd w:val="clear" w:color="auto" w:fill="FFFFFF"/>
        </w:rPr>
        <w:t xml:space="preserve"> </w:t>
      </w:r>
      <w:hyperlink r:id="rId13" w:history="1">
        <w:r>
          <w:rPr>
            <w:rFonts w:ascii="Verdana" w:eastAsia="Calibri" w:hAnsi="Verdana" w:cs="Times New Roman"/>
            <w:color w:val="0000FF"/>
            <w:u w:val="single"/>
            <w:lang w:val="es-ES"/>
          </w:rPr>
          <w:t>https://relatoria.colombiacompra.gov.co/busqueda/conceptos</w:t>
        </w:r>
      </w:hyperlink>
      <w:r>
        <w:rPr>
          <w:rFonts w:ascii="Verdana" w:eastAsia="Calibri" w:hAnsi="Verdana" w:cs="Times New Roman"/>
        </w:rPr>
        <w:t xml:space="preserve">. </w:t>
      </w:r>
    </w:p>
    <w:p w14:paraId="291A64E1" w14:textId="77777777" w:rsidR="00520DE9" w:rsidRDefault="00520DE9" w:rsidP="00520DE9">
      <w:pPr>
        <w:widowControl w:val="0"/>
        <w:autoSpaceDE w:val="0"/>
        <w:autoSpaceDN w:val="0"/>
        <w:spacing w:after="0" w:line="276" w:lineRule="auto"/>
        <w:jc w:val="both"/>
        <w:rPr>
          <w:rFonts w:ascii="Verdana" w:eastAsia="Calibri" w:hAnsi="Verdana" w:cs="Times New Roman"/>
        </w:rPr>
      </w:pPr>
    </w:p>
    <w:p w14:paraId="749CDA2F" w14:textId="77777777" w:rsidR="00520DE9" w:rsidRPr="003D5C91" w:rsidRDefault="00520DE9" w:rsidP="00520DE9">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Pr>
          <w:rFonts w:ascii="Verdana" w:eastAsia="Calibri" w:hAnsi="Verdana" w:cs="Arial"/>
          <w:b/>
          <w:bCs/>
          <w:color w:val="000000"/>
          <w:lang w:eastAsia="es-ES_tradnl"/>
        </w:rPr>
        <w:t>Guía para la Exigencia y Constitución de Garantías en los Procesos de Contratación</w:t>
      </w:r>
      <w:r>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https://www.colombiacompra.gov.co/archivos/manual/guia-de-garantias-en-procesos-de-contratacion" w:history="1">
        <w:r>
          <w:rPr>
            <w:rStyle w:val="Hipervnculo"/>
            <w:rFonts w:ascii="Verdana" w:eastAsia="Calibri" w:hAnsi="Verdana" w:cs="Arial"/>
            <w:lang w:eastAsia="es-ES_tradnl"/>
          </w:rPr>
          <w:t>https://www.colombiacompra.gov.co/archivos/manual/guia-de-garantias-en-procesos-de-contratacion</w:t>
        </w:r>
      </w:hyperlink>
    </w:p>
    <w:p w14:paraId="406B4418" w14:textId="77777777" w:rsidR="00520DE9" w:rsidRDefault="00520DE9" w:rsidP="00520DE9">
      <w:pPr>
        <w:spacing w:after="0" w:line="276" w:lineRule="auto"/>
        <w:jc w:val="both"/>
        <w:rPr>
          <w:rFonts w:ascii="Verdana" w:eastAsia="Calibri" w:hAnsi="Verdana" w:cs="Arial"/>
          <w:color w:val="000000"/>
          <w:lang w:eastAsia="es-ES_tradnl"/>
        </w:rPr>
      </w:pPr>
    </w:p>
    <w:p w14:paraId="6E2032D8" w14:textId="77777777" w:rsidR="00520DE9" w:rsidRPr="003D5C91" w:rsidRDefault="00520DE9" w:rsidP="00520DE9">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Pr>
          <w:rFonts w:ascii="Verdana" w:eastAsia="Calibri" w:hAnsi="Verdana" w:cs="Arial"/>
          <w:b/>
          <w:bCs/>
          <w:color w:val="000000"/>
          <w:lang w:eastAsia="es-ES_tradnl"/>
        </w:rPr>
        <w:t>Sistema Integral de Preferencias en favor de las personas con discapacidad</w:t>
      </w:r>
      <w:r>
        <w:rPr>
          <w:rFonts w:ascii="Verdana" w:eastAsia="Calibri" w:hAnsi="Verdana" w:cs="Arial"/>
          <w:color w:val="000000"/>
          <w:lang w:eastAsia="es-ES_tradnl"/>
        </w:rPr>
        <w:t>, en cumplimiento del artículo 13 de la Ley Estatutaria 1618 de 2013. Para orientar su aplicación, esta Agencia expidió la </w:t>
      </w:r>
      <w:r>
        <w:rPr>
          <w:rFonts w:ascii="Verdana" w:eastAsia="Calibri" w:hAnsi="Verdana" w:cs="Arial"/>
          <w:b/>
          <w:bCs/>
          <w:color w:val="000000"/>
          <w:lang w:eastAsia="es-ES_tradnl"/>
        </w:rPr>
        <w:t>Circular Externa 003 del 12 de mayo de 2026, </w:t>
      </w:r>
      <w:r>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Pr>
            <w:rStyle w:val="Hipervnculo"/>
            <w:rFonts w:ascii="Verdana" w:eastAsia="Calibri" w:hAnsi="Verdana" w:cs="Arial"/>
            <w:lang w:eastAsia="es-ES_tradnl"/>
          </w:rPr>
          <w:t>https://www.colombiacompra.gov.co/archivos/circular/circular-externa-003-de-2026</w:t>
        </w:r>
      </w:hyperlink>
    </w:p>
    <w:p w14:paraId="644B7869" w14:textId="77777777" w:rsidR="00520DE9" w:rsidRDefault="00520DE9" w:rsidP="00520DE9">
      <w:pPr>
        <w:spacing w:after="0" w:line="276" w:lineRule="auto"/>
        <w:jc w:val="both"/>
        <w:rPr>
          <w:rFonts w:ascii="Verdana" w:eastAsia="Calibri" w:hAnsi="Verdana" w:cs="Arial"/>
          <w:color w:val="000000"/>
          <w:lang w:eastAsia="es-ES_tradnl"/>
        </w:rPr>
      </w:pPr>
    </w:p>
    <w:p w14:paraId="3E573C5F" w14:textId="77777777" w:rsidR="00520DE9" w:rsidRDefault="00520DE9" w:rsidP="00520DE9">
      <w:pPr>
        <w:spacing w:after="0" w:line="276" w:lineRule="auto"/>
        <w:jc w:val="both"/>
      </w:pPr>
      <w:r>
        <w:rPr>
          <w:rFonts w:ascii="Verdana" w:eastAsia="Calibri" w:hAnsi="Verdana" w:cs="Arial"/>
          <w:color w:val="000000"/>
          <w:lang w:eastAsia="es-ES_tradnl"/>
        </w:rPr>
        <w:t>Recuerda también que la</w:t>
      </w:r>
      <w:r>
        <w:rPr>
          <w:rFonts w:ascii="Verdana" w:eastAsia="Calibri" w:hAnsi="Verdana" w:cs="Arial"/>
          <w:b/>
          <w:bCs/>
          <w:color w:val="000000"/>
          <w:lang w:eastAsia="es-ES_tradnl"/>
        </w:rPr>
        <w:t> información sobre sanciones e inhabilidades </w:t>
      </w:r>
      <w:r>
        <w:rPr>
          <w:rFonts w:ascii="Verdana" w:eastAsia="Calibri" w:hAnsi="Verdana" w:cs="Arial"/>
          <w:color w:val="000000"/>
          <w:lang w:eastAsia="es-ES_tradnl"/>
        </w:rPr>
        <w:t>solo cumple su función preventiva si llega oportunamente a los registros públicos. Sobre este deber, esta Agencia expidió la </w:t>
      </w:r>
      <w:r>
        <w:rPr>
          <w:rFonts w:ascii="Verdana" w:eastAsia="Calibri" w:hAnsi="Verdana" w:cs="Arial"/>
          <w:b/>
          <w:bCs/>
          <w:color w:val="000000"/>
          <w:lang w:eastAsia="es-ES_tradnl"/>
        </w:rPr>
        <w:t>Circular Externa 002 del 5 de mayo de 2026,</w:t>
      </w:r>
      <w:r>
        <w:rPr>
          <w:rFonts w:ascii="Verdana" w:eastAsia="Calibri" w:hAnsi="Verdana" w:cs="Arial"/>
          <w:color w:val="000000"/>
          <w:lang w:eastAsia="es-ES_tradnl"/>
        </w:rPr>
        <w:t xml:space="preserve"> dirigida a todas las entidades del Estado sin distinción de su régimen contractual, en la que reitera la obligatoriedad de reportar caducidades, multas, sanciones, declaratorias de incumplimiento e inhabilidades ante las Cámaras de </w:t>
      </w:r>
      <w:r>
        <w:rPr>
          <w:rFonts w:ascii="Verdana" w:eastAsia="Calibri" w:hAnsi="Verdana" w:cs="Arial"/>
          <w:color w:val="000000"/>
          <w:lang w:eastAsia="es-ES_tradnl"/>
        </w:rPr>
        <w:lastRenderedPageBreak/>
        <w:t>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Pr>
            <w:rStyle w:val="Hipervnculo"/>
            <w:rFonts w:ascii="Verdana" w:eastAsia="Calibri" w:hAnsi="Verdana" w:cs="Arial"/>
            <w:lang w:eastAsia="es-ES_tradnl"/>
          </w:rPr>
          <w:t>https://www.colombiacompra.gov.co/archivos/circular/circular-externa-002-de-2026</w:t>
        </w:r>
      </w:hyperlink>
    </w:p>
    <w:p w14:paraId="33B3D564" w14:textId="77777777" w:rsidR="00520DE9" w:rsidRPr="003D5C91" w:rsidRDefault="00520DE9" w:rsidP="00520DE9">
      <w:pPr>
        <w:spacing w:after="0" w:line="276" w:lineRule="auto"/>
        <w:jc w:val="both"/>
        <w:rPr>
          <w:rFonts w:ascii="Verdana" w:eastAsia="Calibri" w:hAnsi="Verdana" w:cs="Arial"/>
          <w:color w:val="000000"/>
          <w:lang w:eastAsia="es-ES_tradnl"/>
        </w:rPr>
      </w:pPr>
    </w:p>
    <w:p w14:paraId="150E1EBE" w14:textId="77777777" w:rsidR="00520DE9" w:rsidRPr="003D5C91" w:rsidRDefault="00520DE9" w:rsidP="00520DE9">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Finalmente, si quieres seguir de cerca la actividad de la Agencia, la tercera edición de 2026 del</w:t>
      </w:r>
      <w:r>
        <w:rPr>
          <w:rFonts w:ascii="Verdana" w:eastAsia="Calibri" w:hAnsi="Verdana" w:cs="Arial"/>
          <w:b/>
          <w:bCs/>
          <w:color w:val="000000"/>
          <w:lang w:eastAsia="es-ES_tradnl"/>
        </w:rPr>
        <w:t> Radar de la Compra Pública</w:t>
      </w:r>
      <w:r>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https://www.colombiacompra.gov.co/archivos/boletin/boletin-edicion-n-3-de-2026-radar-de-la-compra-publica" w:history="1">
        <w:r>
          <w:rPr>
            <w:rStyle w:val="Hipervnculo"/>
            <w:rFonts w:ascii="Verdana" w:eastAsia="Calibri" w:hAnsi="Verdana" w:cs="Arial"/>
            <w:lang w:eastAsia="es-ES_tradnl"/>
          </w:rPr>
          <w:t>https://www.colombiacompra.gov.co/archivos/boletin/boletin-edicion-n-3-de-2026-radar-de-la-compra-publica</w:t>
        </w:r>
      </w:hyperlink>
    </w:p>
    <w:p w14:paraId="59BE2874" w14:textId="77777777" w:rsidR="00520DE9" w:rsidRDefault="00520DE9" w:rsidP="00520DE9">
      <w:pPr>
        <w:spacing w:after="0"/>
        <w:jc w:val="both"/>
        <w:rPr>
          <w:rFonts w:ascii="Verdana" w:hAnsi="Verdana"/>
        </w:rPr>
      </w:pPr>
    </w:p>
    <w:p w14:paraId="6F22C447" w14:textId="77777777" w:rsidR="00520DE9" w:rsidRPr="00116940" w:rsidRDefault="00520DE9" w:rsidP="00520DE9">
      <w:pPr>
        <w:spacing w:after="0"/>
        <w:jc w:val="both"/>
        <w:rPr>
          <w:rFonts w:ascii="Verdana" w:hAnsi="Verdana"/>
        </w:rPr>
      </w:pPr>
      <w:r>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3D0C557" w14:textId="77777777" w:rsidR="00520DE9" w:rsidRPr="00116940" w:rsidRDefault="00520DE9" w:rsidP="00520DE9">
      <w:pPr>
        <w:spacing w:after="0"/>
        <w:jc w:val="both"/>
        <w:rPr>
          <w:rFonts w:ascii="Verdana" w:hAnsi="Verdana"/>
        </w:rPr>
      </w:pPr>
    </w:p>
    <w:p w14:paraId="1B2F63AA" w14:textId="77777777" w:rsidR="00520DE9" w:rsidRPr="00116940" w:rsidRDefault="00520DE9" w:rsidP="00520DE9">
      <w:pPr>
        <w:pStyle w:val="Prrafodelista"/>
        <w:numPr>
          <w:ilvl w:val="0"/>
          <w:numId w:val="15"/>
        </w:numPr>
        <w:spacing w:after="0" w:line="240" w:lineRule="auto"/>
        <w:jc w:val="both"/>
        <w:rPr>
          <w:rFonts w:ascii="Verdana" w:eastAsia="Verdana" w:hAnsi="Verdana" w:cs="Verdana"/>
          <w:color w:val="4472C4" w:themeColor="accent1"/>
          <w:u w:val="single"/>
          <w:lang w:val="es-MX"/>
        </w:rPr>
      </w:pPr>
      <w:r>
        <w:rPr>
          <w:rFonts w:ascii="Verdana" w:eastAsia="Verdana" w:hAnsi="Verdana" w:cs="Verdana"/>
          <w:lang w:val="es-MX"/>
        </w:rPr>
        <w:t xml:space="preserve">Línea nacional gratuita o servicio a la ciudadanía (Mesa de servicio): </w:t>
      </w:r>
      <w:r>
        <w:rPr>
          <w:rStyle w:val="Hipervnculo"/>
          <w:rFonts w:ascii="Verdana" w:hAnsi="Verdana"/>
        </w:rPr>
        <w:t>01800 0520808</w:t>
      </w:r>
    </w:p>
    <w:p w14:paraId="040F280F" w14:textId="77777777" w:rsidR="00520DE9" w:rsidRPr="00116940" w:rsidRDefault="00520DE9" w:rsidP="00520DE9">
      <w:pPr>
        <w:pStyle w:val="Prrafodelista"/>
        <w:numPr>
          <w:ilvl w:val="0"/>
          <w:numId w:val="15"/>
        </w:numPr>
        <w:spacing w:after="0"/>
        <w:rPr>
          <w:rFonts w:ascii="Verdana" w:eastAsia="Verdana" w:hAnsi="Verdana" w:cs="Verdana"/>
          <w:color w:val="4472C4" w:themeColor="accent1"/>
          <w:u w:val="single"/>
          <w:lang w:val="es-MX"/>
        </w:rPr>
      </w:pPr>
      <w:r>
        <w:rPr>
          <w:rFonts w:ascii="Verdana" w:eastAsia="Verdana" w:hAnsi="Verdana" w:cs="Verdana"/>
          <w:lang w:val="es-MX"/>
        </w:rPr>
        <w:t>Línea en Bogotá (Mesa de servicio</w:t>
      </w:r>
      <w:proofErr w:type="gramStart"/>
      <w:r>
        <w:rPr>
          <w:rFonts w:ascii="Verdana" w:eastAsia="Verdana" w:hAnsi="Verdana" w:cs="Verdana"/>
          <w:lang w:val="es-MX"/>
        </w:rPr>
        <w:t>):</w:t>
      </w:r>
      <w:r>
        <w:rPr>
          <w:rStyle w:val="Hipervnculo"/>
          <w:rFonts w:ascii="Verdana" w:hAnsi="Verdana"/>
        </w:rPr>
        <w:t>+</w:t>
      </w:r>
      <w:proofErr w:type="gramEnd"/>
      <w:r>
        <w:rPr>
          <w:rStyle w:val="Hipervnculo"/>
          <w:rFonts w:ascii="Verdana" w:hAnsi="Verdana"/>
        </w:rPr>
        <w:t>57 601 7456788</w:t>
      </w:r>
    </w:p>
    <w:p w14:paraId="54807CDF" w14:textId="77777777" w:rsidR="00520DE9" w:rsidRPr="00116940" w:rsidRDefault="00520DE9" w:rsidP="00520DE9">
      <w:pPr>
        <w:pStyle w:val="Prrafodelista"/>
        <w:numPr>
          <w:ilvl w:val="0"/>
          <w:numId w:val="15"/>
        </w:numPr>
        <w:spacing w:after="0"/>
        <w:rPr>
          <w:rFonts w:ascii="Verdana" w:eastAsia="Verdana" w:hAnsi="Verdana" w:cs="Verdana"/>
          <w:color w:val="0000FF"/>
          <w:u w:val="single"/>
          <w:lang w:val="es-MX"/>
        </w:rPr>
      </w:pPr>
      <w:r>
        <w:rPr>
          <w:rFonts w:ascii="Verdana" w:eastAsia="Verdana" w:hAnsi="Verdana" w:cs="Verdana"/>
          <w:lang w:val="es-MX"/>
        </w:rPr>
        <w:t xml:space="preserve">Correo de radicación de correspondencia: </w:t>
      </w:r>
      <w:hyperlink r:id="rId18">
        <w:r>
          <w:rPr>
            <w:rStyle w:val="Hipervnculo"/>
            <w:rFonts w:ascii="Verdana" w:eastAsia="Verdana" w:hAnsi="Verdana" w:cs="Verdana"/>
            <w:lang w:val="es-MX"/>
          </w:rPr>
          <w:t>ventanilladeradicacion@colombiacompra.gov.co</w:t>
        </w:r>
      </w:hyperlink>
    </w:p>
    <w:p w14:paraId="60436468" w14:textId="77777777" w:rsidR="00520DE9" w:rsidRPr="00116940" w:rsidRDefault="00520DE9" w:rsidP="00520DE9">
      <w:pPr>
        <w:pStyle w:val="Prrafodelista"/>
        <w:numPr>
          <w:ilvl w:val="0"/>
          <w:numId w:val="15"/>
        </w:numPr>
        <w:spacing w:after="0"/>
        <w:rPr>
          <w:rFonts w:ascii="Verdana" w:eastAsia="Verdana" w:hAnsi="Verdana" w:cs="Verdana"/>
          <w:color w:val="0000FF"/>
          <w:u w:val="single"/>
          <w:lang w:val="es-MX"/>
        </w:rPr>
      </w:pPr>
      <w:r>
        <w:rPr>
          <w:rFonts w:ascii="Verdana" w:eastAsia="Verdana" w:hAnsi="Verdana" w:cs="Verdana"/>
        </w:rPr>
        <w:t>Formulario web para</w:t>
      </w:r>
      <w:r>
        <w:rPr>
          <w:rFonts w:ascii="Verdana" w:eastAsia="Verdana" w:hAnsi="Verdana" w:cs="Verdana"/>
          <w:lang w:val="es"/>
        </w:rPr>
        <w:t xml:space="preserve"> PQRSD: </w:t>
      </w:r>
      <w:hyperlink r:id="rId19">
        <w:r>
          <w:rPr>
            <w:rStyle w:val="Hipervnculo"/>
            <w:rFonts w:ascii="Verdana" w:eastAsia="Verdana" w:hAnsi="Verdana" w:cs="Verdana"/>
            <w:lang w:val="es-MX"/>
          </w:rPr>
          <w:t>https://www.colombiacompra.gov.co/pqrsd/informacion-importante-antes-de-formular-una-pqrsd</w:t>
        </w:r>
      </w:hyperlink>
    </w:p>
    <w:p w14:paraId="146FCB1E" w14:textId="77777777" w:rsidR="00520DE9" w:rsidRPr="00116940" w:rsidRDefault="00520DE9" w:rsidP="00520DE9">
      <w:pPr>
        <w:spacing w:after="0" w:line="240" w:lineRule="auto"/>
        <w:ind w:left="720"/>
        <w:jc w:val="both"/>
        <w:rPr>
          <w:rFonts w:ascii="Verdana" w:hAnsi="Verdana"/>
        </w:rPr>
      </w:pPr>
    </w:p>
    <w:p w14:paraId="1FCFEF81" w14:textId="77777777" w:rsidR="00520DE9" w:rsidRPr="00116940" w:rsidRDefault="00520DE9" w:rsidP="00520DE9">
      <w:pPr>
        <w:spacing w:after="0" w:line="240" w:lineRule="auto"/>
        <w:rPr>
          <w:rFonts w:ascii="Verdana" w:hAnsi="Verdana"/>
        </w:rPr>
      </w:pPr>
      <w:r>
        <w:rPr>
          <w:rFonts w:ascii="Verdana" w:hAnsi="Verdana"/>
        </w:rPr>
        <w:t xml:space="preserve">Evalúa el servicio que ofrece la Agencia por el canal de atención de PQRSD en el siguiente </w:t>
      </w:r>
      <w:proofErr w:type="gramStart"/>
      <w:r>
        <w:rPr>
          <w:rFonts w:ascii="Verdana" w:hAnsi="Verdana"/>
        </w:rPr>
        <w:t>enlace :</w:t>
      </w:r>
      <w:proofErr w:type="gramEnd"/>
      <w:hyperlink r:id="rId20" w:tgtFrame="_blank" w:tooltip="https://forms.office.com/r/pphywvs2sz" w:history="1">
        <w:r>
          <w:rPr>
            <w:rStyle w:val="Hipervnculo"/>
            <w:rFonts w:ascii="Verdana" w:hAnsi="Verdana"/>
          </w:rPr>
          <w:t>https://forms.office.com/r/pPHyWVs2SZ</w:t>
        </w:r>
      </w:hyperlink>
      <w:r>
        <w:rPr>
          <w:rFonts w:ascii="Verdana" w:hAnsi="Verdana"/>
        </w:rPr>
        <w:t xml:space="preserve"> .¡Ayúdanos a mejorar porque el compromiso es de todos!</w:t>
      </w:r>
    </w:p>
    <w:p w14:paraId="0723E4C9" w14:textId="77777777" w:rsidR="00520DE9" w:rsidRPr="00116940" w:rsidRDefault="00520DE9" w:rsidP="00520DE9">
      <w:pPr>
        <w:spacing w:after="0" w:line="240" w:lineRule="auto"/>
        <w:rPr>
          <w:rFonts w:ascii="Verdana" w:hAnsi="Verdana"/>
        </w:rPr>
      </w:pPr>
    </w:p>
    <w:p w14:paraId="070C99FC" w14:textId="77777777" w:rsidR="00520DE9" w:rsidRPr="00116940" w:rsidRDefault="00520DE9" w:rsidP="00520DE9">
      <w:pPr>
        <w:spacing w:after="0" w:line="240" w:lineRule="auto"/>
        <w:jc w:val="both"/>
        <w:rPr>
          <w:rFonts w:ascii="Verdana" w:hAnsi="Verdana"/>
        </w:rPr>
      </w:pPr>
      <w:r>
        <w:rPr>
          <w:rFonts w:ascii="Verdana" w:hAnsi="Verdana"/>
        </w:rPr>
        <w:t xml:space="preserve">Por último, lo invitamos a seguirnos en las redes sociales en las cuales se difunde información institucional: </w:t>
      </w:r>
    </w:p>
    <w:p w14:paraId="097C1D69" w14:textId="77777777" w:rsidR="00520DE9" w:rsidRPr="00116940" w:rsidRDefault="00520DE9" w:rsidP="00520DE9">
      <w:pPr>
        <w:spacing w:after="0" w:line="240" w:lineRule="auto"/>
        <w:jc w:val="both"/>
        <w:rPr>
          <w:rFonts w:ascii="Verdana" w:hAnsi="Verdana"/>
        </w:rPr>
      </w:pPr>
    </w:p>
    <w:p w14:paraId="7980F5D8" w14:textId="77777777" w:rsidR="00520DE9" w:rsidRPr="00116940" w:rsidRDefault="00520DE9" w:rsidP="00520DE9">
      <w:pPr>
        <w:spacing w:after="0" w:line="240" w:lineRule="auto"/>
        <w:jc w:val="both"/>
        <w:rPr>
          <w:rFonts w:ascii="Verdana" w:hAnsi="Verdana"/>
        </w:rPr>
      </w:pPr>
      <w:r>
        <w:rPr>
          <w:rFonts w:ascii="Verdana" w:hAnsi="Verdana"/>
        </w:rPr>
        <w:t xml:space="preserve">Twitter: </w:t>
      </w:r>
      <w:r>
        <w:rPr>
          <w:rStyle w:val="Hipervnculo"/>
          <w:rFonts w:ascii="Verdana" w:hAnsi="Verdana"/>
        </w:rPr>
        <w:t>@colombiacompra</w:t>
      </w:r>
      <w:r>
        <w:rPr>
          <w:rFonts w:ascii="Verdana" w:hAnsi="Verdana"/>
        </w:rPr>
        <w:t xml:space="preserve"> </w:t>
      </w:r>
    </w:p>
    <w:p w14:paraId="63646237" w14:textId="77777777" w:rsidR="00520DE9" w:rsidRPr="00116940" w:rsidRDefault="00520DE9" w:rsidP="00520DE9">
      <w:pPr>
        <w:spacing w:after="0" w:line="240" w:lineRule="auto"/>
        <w:jc w:val="both"/>
        <w:rPr>
          <w:rFonts w:ascii="Verdana" w:hAnsi="Verdana"/>
        </w:rPr>
      </w:pPr>
      <w:r>
        <w:rPr>
          <w:rFonts w:ascii="Verdana" w:hAnsi="Verdana"/>
        </w:rPr>
        <w:lastRenderedPageBreak/>
        <w:t xml:space="preserve">Facebook: </w:t>
      </w:r>
      <w:proofErr w:type="spellStart"/>
      <w:r>
        <w:rPr>
          <w:rStyle w:val="Hipervnculo"/>
          <w:rFonts w:ascii="Verdana" w:hAnsi="Verdana"/>
        </w:rPr>
        <w:t>ColombiaCompraEficiente</w:t>
      </w:r>
      <w:proofErr w:type="spellEnd"/>
    </w:p>
    <w:p w14:paraId="1D18D6D6" w14:textId="77777777" w:rsidR="00520DE9" w:rsidRPr="00116940" w:rsidRDefault="00520DE9" w:rsidP="00520DE9">
      <w:pPr>
        <w:spacing w:after="0" w:line="240" w:lineRule="auto"/>
        <w:jc w:val="both"/>
        <w:rPr>
          <w:rFonts w:ascii="Verdana" w:hAnsi="Verdana"/>
        </w:rPr>
      </w:pPr>
      <w:r>
        <w:rPr>
          <w:rFonts w:ascii="Verdana" w:hAnsi="Verdana"/>
        </w:rPr>
        <w:t xml:space="preserve">LinkedIn: </w:t>
      </w:r>
      <w:r>
        <w:rPr>
          <w:rStyle w:val="Hipervnculo"/>
          <w:rFonts w:ascii="Verdana" w:hAnsi="Verdana"/>
        </w:rPr>
        <w:t>Agencia Nacional de Contratación Pública - Colombia Compra Eficiente</w:t>
      </w:r>
      <w:r>
        <w:rPr>
          <w:rFonts w:ascii="Verdana" w:hAnsi="Verdana"/>
        </w:rPr>
        <w:t xml:space="preserve"> Instagram: </w:t>
      </w:r>
      <w:r>
        <w:rPr>
          <w:rStyle w:val="Hipervnculo"/>
          <w:rFonts w:ascii="Verdana" w:hAnsi="Verdana"/>
        </w:rPr>
        <w:t>@colombiacompraeficiente_cce</w:t>
      </w:r>
    </w:p>
    <w:p w14:paraId="5CF69713" w14:textId="77777777" w:rsidR="00520DE9" w:rsidRPr="00116940" w:rsidRDefault="00520DE9" w:rsidP="00520DE9">
      <w:pPr>
        <w:spacing w:after="0" w:line="240" w:lineRule="auto"/>
        <w:jc w:val="both"/>
        <w:rPr>
          <w:rFonts w:ascii="Verdana" w:hAnsi="Verdana"/>
        </w:rPr>
      </w:pPr>
    </w:p>
    <w:p w14:paraId="7B0E8ABE" w14:textId="77777777" w:rsidR="00520DE9" w:rsidRPr="009037F6" w:rsidRDefault="00520DE9" w:rsidP="00520DE9">
      <w:pPr>
        <w:spacing w:after="0" w:line="256" w:lineRule="auto"/>
        <w:jc w:val="both"/>
        <w:rPr>
          <w:rFonts w:ascii="Verdana" w:eastAsia="Calibri" w:hAnsi="Verdana" w:cs="Times New Roman"/>
          <w:bCs/>
          <w:lang w:val="es-ES_tradnl"/>
        </w:rPr>
      </w:pPr>
      <w:r>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ED88DE" w14:textId="77777777" w:rsidR="00520DE9" w:rsidRPr="00492C4A" w:rsidRDefault="00520DE9" w:rsidP="00520DE9">
      <w:pPr>
        <w:spacing w:after="0" w:line="256" w:lineRule="auto"/>
        <w:jc w:val="both"/>
        <w:rPr>
          <w:rFonts w:ascii="Verdana" w:eastAsia="Calibri" w:hAnsi="Verdana" w:cs="Times New Roman"/>
          <w:lang w:val="es-ES_tradnl"/>
        </w:rPr>
      </w:pPr>
    </w:p>
    <w:p w14:paraId="6EA89193" w14:textId="77777777" w:rsidR="00520DE9" w:rsidRPr="00B513EA" w:rsidRDefault="00520DE9" w:rsidP="00520DE9">
      <w:pPr>
        <w:spacing w:after="0" w:line="256" w:lineRule="auto"/>
        <w:jc w:val="both"/>
        <w:rPr>
          <w:rFonts w:ascii="Verdana" w:eastAsia="Calibri" w:hAnsi="Verdana" w:cs="Times New Roman"/>
        </w:rPr>
      </w:pPr>
      <w:r>
        <w:rPr>
          <w:rFonts w:ascii="Verdana" w:eastAsia="Calibri" w:hAnsi="Verdana" w:cs="Times New Roman"/>
        </w:rPr>
        <w:t>Atentamente,</w:t>
      </w:r>
    </w:p>
    <w:p w14:paraId="53E5A804" w14:textId="77777777" w:rsidR="00520DE9" w:rsidRDefault="00520DE9" w:rsidP="00520DE9">
      <w:pPr>
        <w:spacing w:after="0" w:line="256" w:lineRule="auto"/>
        <w:jc w:val="center"/>
        <w:rPr>
          <w:rFonts w:ascii="Century Gothic" w:hAnsi="Century Gothic"/>
          <w:noProof/>
          <w:sz w:val="16"/>
          <w:szCs w:val="16"/>
          <w:lang w:val="en-US"/>
        </w:rPr>
      </w:pPr>
    </w:p>
    <w:p w14:paraId="2C6B85C9" w14:textId="13039CDD" w:rsidR="00520DE9" w:rsidRDefault="00D64821" w:rsidP="00520DE9">
      <w:pPr>
        <w:spacing w:after="0" w:line="256" w:lineRule="auto"/>
        <w:jc w:val="center"/>
        <w:rPr>
          <w:rFonts w:ascii="Century Gothic" w:hAnsi="Century Gothic"/>
          <w:noProof/>
          <w:sz w:val="16"/>
          <w:szCs w:val="16"/>
          <w:lang w:val="en-US"/>
        </w:rPr>
      </w:pPr>
      <w:r w:rsidRPr="002C3AD6">
        <w:rPr>
          <w:rFonts w:ascii="Century Gothic" w:hAnsi="Century Gothic"/>
          <w:noProof/>
          <w:lang w:val="en-US"/>
        </w:rPr>
        <w:drawing>
          <wp:inline distT="0" distB="0" distL="0" distR="0" wp14:anchorId="0CA58E19" wp14:editId="46491752">
            <wp:extent cx="3412503" cy="1323565"/>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10771" cy="1439251"/>
                    </a:xfrm>
                    <a:prstGeom prst="rect">
                      <a:avLst/>
                    </a:prstGeom>
                  </pic:spPr>
                </pic:pic>
              </a:graphicData>
            </a:graphic>
          </wp:inline>
        </w:drawing>
      </w:r>
    </w:p>
    <w:p w14:paraId="33F82BD0" w14:textId="77777777" w:rsidR="00520DE9" w:rsidRPr="002961A6" w:rsidRDefault="00520DE9" w:rsidP="00520DE9">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20DE9" w:rsidRPr="00D56F8A" w14:paraId="5B4EC457" w14:textId="77777777" w:rsidTr="007540C9">
        <w:trPr>
          <w:trHeight w:val="409"/>
        </w:trPr>
        <w:tc>
          <w:tcPr>
            <w:tcW w:w="817" w:type="dxa"/>
            <w:tcBorders>
              <w:top w:val="nil"/>
              <w:left w:val="nil"/>
              <w:bottom w:val="nil"/>
              <w:right w:val="nil"/>
            </w:tcBorders>
            <w:vAlign w:val="center"/>
            <w:hideMark/>
          </w:tcPr>
          <w:p w14:paraId="52B5A274"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D261874"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José Luis Sánchez Cardona</w:t>
            </w:r>
          </w:p>
          <w:p w14:paraId="5984EB96"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Contratista de la Subdirección de Gestión Contractual</w:t>
            </w:r>
          </w:p>
        </w:tc>
      </w:tr>
      <w:tr w:rsidR="00520DE9" w:rsidRPr="00D56F8A" w14:paraId="437AE2DB" w14:textId="77777777" w:rsidTr="007540C9">
        <w:trPr>
          <w:trHeight w:val="409"/>
        </w:trPr>
        <w:tc>
          <w:tcPr>
            <w:tcW w:w="817" w:type="dxa"/>
            <w:tcBorders>
              <w:top w:val="nil"/>
              <w:left w:val="nil"/>
              <w:bottom w:val="nil"/>
              <w:right w:val="nil"/>
            </w:tcBorders>
            <w:vAlign w:val="center"/>
            <w:hideMark/>
          </w:tcPr>
          <w:p w14:paraId="77CF1831"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EE000CB"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Alejandro R. Sarmiento Cantillo</w:t>
            </w:r>
          </w:p>
          <w:p w14:paraId="528B424A"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Gestor T1-15 de la Subdirección de Gestión Contractual </w:t>
            </w:r>
          </w:p>
        </w:tc>
      </w:tr>
      <w:tr w:rsidR="00520DE9" w:rsidRPr="00D56F8A" w14:paraId="7FC608FC" w14:textId="77777777" w:rsidTr="007540C9">
        <w:trPr>
          <w:trHeight w:val="389"/>
        </w:trPr>
        <w:tc>
          <w:tcPr>
            <w:tcW w:w="817" w:type="dxa"/>
            <w:tcBorders>
              <w:top w:val="nil"/>
              <w:left w:val="nil"/>
              <w:bottom w:val="nil"/>
              <w:right w:val="nil"/>
            </w:tcBorders>
            <w:vAlign w:val="center"/>
            <w:hideMark/>
          </w:tcPr>
          <w:p w14:paraId="5C5DBA75"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2C6FE9C"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Carolina Quintero Gacharná</w:t>
            </w:r>
          </w:p>
          <w:p w14:paraId="772273EB" w14:textId="77777777" w:rsidR="00520DE9" w:rsidRPr="00D56F8A" w:rsidRDefault="00520DE9" w:rsidP="007540C9">
            <w:pPr>
              <w:spacing w:after="0" w:line="256" w:lineRule="auto"/>
              <w:rPr>
                <w:rFonts w:ascii="Verdana" w:eastAsia="Calibri" w:hAnsi="Verdana" w:cs="Times New Roman"/>
                <w:sz w:val="16"/>
                <w:szCs w:val="16"/>
              </w:rPr>
            </w:pPr>
            <w:r>
              <w:rPr>
                <w:rFonts w:ascii="Verdana" w:eastAsia="Calibri" w:hAnsi="Verdana" w:cs="Times New Roman"/>
                <w:sz w:val="16"/>
                <w:szCs w:val="16"/>
              </w:rPr>
              <w:t>Subdirectora de Gestión Contractual ANCP – CCE</w:t>
            </w:r>
          </w:p>
        </w:tc>
      </w:tr>
    </w:tbl>
    <w:p w14:paraId="6B53AD3F" w14:textId="77777777" w:rsidR="00520DE9" w:rsidRPr="000E2B93" w:rsidRDefault="00520DE9" w:rsidP="00520DE9">
      <w:pPr>
        <w:spacing w:after="0" w:line="240" w:lineRule="auto"/>
        <w:textAlignment w:val="baseline"/>
        <w:rPr>
          <w:rFonts w:ascii="Verdana" w:eastAsia="Verdana" w:hAnsi="Verdana" w:cs="Verdana"/>
          <w:lang w:eastAsia="es-CO"/>
        </w:rPr>
      </w:pPr>
    </w:p>
    <w:p w14:paraId="042A33EA" w14:textId="04DD50F6" w:rsidR="00520DE9" w:rsidRPr="000E2B93" w:rsidRDefault="00520DE9" w:rsidP="00520DE9">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bookmarkEnd w:id="0"/>
    <w:p w14:paraId="62164C62" w14:textId="77777777" w:rsidR="00520DE9" w:rsidRPr="000E2B93" w:rsidRDefault="00520DE9" w:rsidP="00520DE9">
      <w:pPr>
        <w:spacing w:after="0" w:line="240" w:lineRule="auto"/>
        <w:textAlignment w:val="baseline"/>
        <w:rPr>
          <w:rFonts w:ascii="Verdana" w:eastAsia="Verdana" w:hAnsi="Verdana" w:cs="Verdana"/>
          <w:lang w:eastAsia="es-CO"/>
        </w:rPr>
      </w:pPr>
    </w:p>
    <w:p w14:paraId="0EE85FDE" w14:textId="77777777" w:rsidR="00C60D32" w:rsidRPr="00520DE9" w:rsidRDefault="00C60D32" w:rsidP="00520DE9"/>
    <w:sectPr w:rsidR="00C60D32" w:rsidRPr="00520DE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126E" w14:textId="77777777" w:rsidR="003A6FC1" w:rsidRDefault="003A6FC1" w:rsidP="004A1847">
      <w:pPr>
        <w:spacing w:after="0" w:line="240" w:lineRule="auto"/>
      </w:pPr>
      <w:r>
        <w:separator/>
      </w:r>
    </w:p>
  </w:endnote>
  <w:endnote w:type="continuationSeparator" w:id="0">
    <w:p w14:paraId="626D5D7F" w14:textId="77777777" w:rsidR="003A6FC1" w:rsidRDefault="003A6F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4827F3E8"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8371D" w:rsidRPr="00D8371D">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0F603" w14:textId="77777777" w:rsidR="003A6FC1" w:rsidRDefault="003A6FC1" w:rsidP="004A1847">
      <w:pPr>
        <w:spacing w:after="0" w:line="240" w:lineRule="auto"/>
      </w:pPr>
      <w:r>
        <w:separator/>
      </w:r>
    </w:p>
  </w:footnote>
  <w:footnote w:type="continuationSeparator" w:id="0">
    <w:p w14:paraId="53288CC3" w14:textId="77777777" w:rsidR="003A6FC1" w:rsidRDefault="003A6FC1" w:rsidP="004A1847">
      <w:pPr>
        <w:spacing w:after="0" w:line="240" w:lineRule="auto"/>
      </w:pPr>
      <w:r>
        <w:continuationSeparator/>
      </w:r>
    </w:p>
  </w:footnote>
  <w:footnote w:id="1">
    <w:p w14:paraId="3A8209AE" w14:textId="77777777" w:rsidR="00520DE9" w:rsidRPr="00E663C5" w:rsidRDefault="00520DE9" w:rsidP="00520DE9">
      <w:pPr>
        <w:pStyle w:val="Textonotapie"/>
        <w:ind w:firstLine="720"/>
        <w:jc w:val="both"/>
        <w:rPr>
          <w:rFonts w:ascii="Verdana" w:hAnsi="Verdana" w:cs="Arial"/>
          <w:sz w:val="15"/>
          <w:szCs w:val="15"/>
        </w:rPr>
      </w:pPr>
      <w:r w:rsidRPr="00E663C5">
        <w:rPr>
          <w:rStyle w:val="Refdenotaalpie"/>
          <w:rFonts w:ascii="Verdana" w:hAnsi="Verdana" w:cs="Arial"/>
          <w:sz w:val="15"/>
          <w:szCs w:val="15"/>
        </w:rPr>
        <w:footnoteRef/>
      </w:r>
      <w:r w:rsidRPr="00E663C5">
        <w:rPr>
          <w:rFonts w:ascii="Verdana" w:hAnsi="Verdana" w:cs="Arial"/>
          <w:sz w:val="15"/>
          <w:szCs w:val="15"/>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169703D"/>
    <w:multiLevelType w:val="hybridMultilevel"/>
    <w:tmpl w:val="21A6239E"/>
    <w:lvl w:ilvl="0" w:tplc="374A5AA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8161">
    <w:abstractNumId w:val="6"/>
  </w:num>
  <w:num w:numId="2" w16cid:durableId="374351543">
    <w:abstractNumId w:val="1"/>
  </w:num>
  <w:num w:numId="3" w16cid:durableId="1152529079">
    <w:abstractNumId w:val="4"/>
  </w:num>
  <w:num w:numId="4" w16cid:durableId="16604289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556058">
    <w:abstractNumId w:val="1"/>
  </w:num>
  <w:num w:numId="6" w16cid:durableId="1124035714">
    <w:abstractNumId w:val="14"/>
  </w:num>
  <w:num w:numId="7" w16cid:durableId="382825845">
    <w:abstractNumId w:val="5"/>
  </w:num>
  <w:num w:numId="8" w16cid:durableId="1947342167">
    <w:abstractNumId w:val="13"/>
  </w:num>
  <w:num w:numId="9" w16cid:durableId="2096123706">
    <w:abstractNumId w:val="7"/>
  </w:num>
  <w:num w:numId="10" w16cid:durableId="24258392">
    <w:abstractNumId w:val="12"/>
  </w:num>
  <w:num w:numId="11" w16cid:durableId="1664354151">
    <w:abstractNumId w:val="8"/>
  </w:num>
  <w:num w:numId="12" w16cid:durableId="1521818467">
    <w:abstractNumId w:val="0"/>
  </w:num>
  <w:num w:numId="13" w16cid:durableId="742069231">
    <w:abstractNumId w:val="2"/>
  </w:num>
  <w:num w:numId="14" w16cid:durableId="1786463676">
    <w:abstractNumId w:val="15"/>
  </w:num>
  <w:num w:numId="15" w16cid:durableId="515383840">
    <w:abstractNumId w:val="11"/>
  </w:num>
  <w:num w:numId="16" w16cid:durableId="74788305">
    <w:abstractNumId w:val="3"/>
  </w:num>
  <w:num w:numId="17" w16cid:durableId="1309940973">
    <w:abstractNumId w:val="9"/>
  </w:num>
  <w:num w:numId="18" w16cid:durableId="49884031">
    <w:abstractNumId w:val="16"/>
  </w:num>
  <w:num w:numId="19" w16cid:durableId="8464018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C60"/>
    <w:rsid w:val="00003F14"/>
    <w:rsid w:val="000113C3"/>
    <w:rsid w:val="000130CF"/>
    <w:rsid w:val="000161AD"/>
    <w:rsid w:val="00016F78"/>
    <w:rsid w:val="0002023E"/>
    <w:rsid w:val="00026780"/>
    <w:rsid w:val="000273A9"/>
    <w:rsid w:val="00033998"/>
    <w:rsid w:val="00034914"/>
    <w:rsid w:val="000368DC"/>
    <w:rsid w:val="000442AD"/>
    <w:rsid w:val="000447FC"/>
    <w:rsid w:val="000460C4"/>
    <w:rsid w:val="00046945"/>
    <w:rsid w:val="0005430F"/>
    <w:rsid w:val="00055945"/>
    <w:rsid w:val="00057408"/>
    <w:rsid w:val="000578E0"/>
    <w:rsid w:val="00061B2A"/>
    <w:rsid w:val="00062FEF"/>
    <w:rsid w:val="00063314"/>
    <w:rsid w:val="00067327"/>
    <w:rsid w:val="000753D6"/>
    <w:rsid w:val="00081989"/>
    <w:rsid w:val="00082362"/>
    <w:rsid w:val="000A04B5"/>
    <w:rsid w:val="000A683E"/>
    <w:rsid w:val="000B19B9"/>
    <w:rsid w:val="000B1A69"/>
    <w:rsid w:val="000B5B0B"/>
    <w:rsid w:val="000B6CF0"/>
    <w:rsid w:val="000C3965"/>
    <w:rsid w:val="000C7D33"/>
    <w:rsid w:val="000D0334"/>
    <w:rsid w:val="000D3658"/>
    <w:rsid w:val="000D5DA7"/>
    <w:rsid w:val="000E1EED"/>
    <w:rsid w:val="000F1875"/>
    <w:rsid w:val="000F1F13"/>
    <w:rsid w:val="000F39AC"/>
    <w:rsid w:val="000F5D82"/>
    <w:rsid w:val="000F6486"/>
    <w:rsid w:val="000F7341"/>
    <w:rsid w:val="00103A9A"/>
    <w:rsid w:val="00106A94"/>
    <w:rsid w:val="00107BC7"/>
    <w:rsid w:val="00116940"/>
    <w:rsid w:val="001219AD"/>
    <w:rsid w:val="00125105"/>
    <w:rsid w:val="00127233"/>
    <w:rsid w:val="00130B38"/>
    <w:rsid w:val="00133E3A"/>
    <w:rsid w:val="00141925"/>
    <w:rsid w:val="00147344"/>
    <w:rsid w:val="00150432"/>
    <w:rsid w:val="0015699B"/>
    <w:rsid w:val="00157BD5"/>
    <w:rsid w:val="00162EFF"/>
    <w:rsid w:val="00165831"/>
    <w:rsid w:val="001743CA"/>
    <w:rsid w:val="00175D6F"/>
    <w:rsid w:val="00176ECC"/>
    <w:rsid w:val="00192720"/>
    <w:rsid w:val="001A33BF"/>
    <w:rsid w:val="001A37CC"/>
    <w:rsid w:val="001B28A3"/>
    <w:rsid w:val="001B2DC7"/>
    <w:rsid w:val="001C343D"/>
    <w:rsid w:val="001C4BDC"/>
    <w:rsid w:val="001C663A"/>
    <w:rsid w:val="001C7340"/>
    <w:rsid w:val="001E4177"/>
    <w:rsid w:val="001E6731"/>
    <w:rsid w:val="001E6FA3"/>
    <w:rsid w:val="001E7185"/>
    <w:rsid w:val="001F0B24"/>
    <w:rsid w:val="001F62EA"/>
    <w:rsid w:val="001F7A3C"/>
    <w:rsid w:val="001F7DC6"/>
    <w:rsid w:val="002055CF"/>
    <w:rsid w:val="002057CF"/>
    <w:rsid w:val="00207C7C"/>
    <w:rsid w:val="00211230"/>
    <w:rsid w:val="00214AFE"/>
    <w:rsid w:val="002153D5"/>
    <w:rsid w:val="002155C2"/>
    <w:rsid w:val="0022400B"/>
    <w:rsid w:val="00226271"/>
    <w:rsid w:val="00233081"/>
    <w:rsid w:val="00234866"/>
    <w:rsid w:val="002405A2"/>
    <w:rsid w:val="002421BB"/>
    <w:rsid w:val="00246CBB"/>
    <w:rsid w:val="00252059"/>
    <w:rsid w:val="0025796E"/>
    <w:rsid w:val="002601B2"/>
    <w:rsid w:val="002608FC"/>
    <w:rsid w:val="00261693"/>
    <w:rsid w:val="002707A2"/>
    <w:rsid w:val="00270C4D"/>
    <w:rsid w:val="002747D2"/>
    <w:rsid w:val="00275BF6"/>
    <w:rsid w:val="00277B06"/>
    <w:rsid w:val="00280012"/>
    <w:rsid w:val="00281E79"/>
    <w:rsid w:val="00287D7A"/>
    <w:rsid w:val="00290AF1"/>
    <w:rsid w:val="00290CE5"/>
    <w:rsid w:val="002951A0"/>
    <w:rsid w:val="002962BC"/>
    <w:rsid w:val="0029708B"/>
    <w:rsid w:val="002A093D"/>
    <w:rsid w:val="002A0DD0"/>
    <w:rsid w:val="002A0E38"/>
    <w:rsid w:val="002A49AC"/>
    <w:rsid w:val="002A58CD"/>
    <w:rsid w:val="002A64FD"/>
    <w:rsid w:val="002B135F"/>
    <w:rsid w:val="002B1EC4"/>
    <w:rsid w:val="002B730F"/>
    <w:rsid w:val="002C157D"/>
    <w:rsid w:val="002C1E3E"/>
    <w:rsid w:val="002C7A84"/>
    <w:rsid w:val="002D0C72"/>
    <w:rsid w:val="002D5853"/>
    <w:rsid w:val="002D7914"/>
    <w:rsid w:val="002E1A60"/>
    <w:rsid w:val="002E2BF8"/>
    <w:rsid w:val="002E418D"/>
    <w:rsid w:val="002E4FD9"/>
    <w:rsid w:val="002E5BB5"/>
    <w:rsid w:val="002E63DF"/>
    <w:rsid w:val="003004D2"/>
    <w:rsid w:val="00305B4B"/>
    <w:rsid w:val="0030657A"/>
    <w:rsid w:val="00312162"/>
    <w:rsid w:val="00322A85"/>
    <w:rsid w:val="00324168"/>
    <w:rsid w:val="00325055"/>
    <w:rsid w:val="00330834"/>
    <w:rsid w:val="003320D2"/>
    <w:rsid w:val="00337EF1"/>
    <w:rsid w:val="003448F4"/>
    <w:rsid w:val="003470E2"/>
    <w:rsid w:val="0036053B"/>
    <w:rsid w:val="0036375B"/>
    <w:rsid w:val="0036575B"/>
    <w:rsid w:val="0037015E"/>
    <w:rsid w:val="003722BA"/>
    <w:rsid w:val="00374F5E"/>
    <w:rsid w:val="0037718F"/>
    <w:rsid w:val="00377E3E"/>
    <w:rsid w:val="00390DBB"/>
    <w:rsid w:val="003A6FC1"/>
    <w:rsid w:val="003A779E"/>
    <w:rsid w:val="003B0869"/>
    <w:rsid w:val="003B7C11"/>
    <w:rsid w:val="003C3551"/>
    <w:rsid w:val="003C4535"/>
    <w:rsid w:val="003C4F7D"/>
    <w:rsid w:val="003C5FD9"/>
    <w:rsid w:val="003D05DE"/>
    <w:rsid w:val="003D0F4D"/>
    <w:rsid w:val="003D11EF"/>
    <w:rsid w:val="003D5B0D"/>
    <w:rsid w:val="003D74F8"/>
    <w:rsid w:val="003E0499"/>
    <w:rsid w:val="003E4F80"/>
    <w:rsid w:val="003E6439"/>
    <w:rsid w:val="003F17DF"/>
    <w:rsid w:val="003F3941"/>
    <w:rsid w:val="00401B7A"/>
    <w:rsid w:val="00406575"/>
    <w:rsid w:val="00414C74"/>
    <w:rsid w:val="00416B6E"/>
    <w:rsid w:val="00420744"/>
    <w:rsid w:val="00421A4D"/>
    <w:rsid w:val="00426385"/>
    <w:rsid w:val="0042722E"/>
    <w:rsid w:val="00433374"/>
    <w:rsid w:val="00442203"/>
    <w:rsid w:val="0044310C"/>
    <w:rsid w:val="004441F6"/>
    <w:rsid w:val="0044528D"/>
    <w:rsid w:val="00456405"/>
    <w:rsid w:val="00460AB5"/>
    <w:rsid w:val="00464B6D"/>
    <w:rsid w:val="00466E39"/>
    <w:rsid w:val="00470178"/>
    <w:rsid w:val="00474655"/>
    <w:rsid w:val="00474927"/>
    <w:rsid w:val="00483DDE"/>
    <w:rsid w:val="0048586E"/>
    <w:rsid w:val="00491B59"/>
    <w:rsid w:val="00494521"/>
    <w:rsid w:val="004A0E19"/>
    <w:rsid w:val="004A1847"/>
    <w:rsid w:val="004A305D"/>
    <w:rsid w:val="004A4147"/>
    <w:rsid w:val="004B2EC2"/>
    <w:rsid w:val="004C05C2"/>
    <w:rsid w:val="004C6F45"/>
    <w:rsid w:val="004D060F"/>
    <w:rsid w:val="004D5C33"/>
    <w:rsid w:val="004D7CE4"/>
    <w:rsid w:val="004E2B29"/>
    <w:rsid w:val="004F21C4"/>
    <w:rsid w:val="004F66DB"/>
    <w:rsid w:val="004F685F"/>
    <w:rsid w:val="005038FC"/>
    <w:rsid w:val="0051191E"/>
    <w:rsid w:val="00516B1D"/>
    <w:rsid w:val="00520DE9"/>
    <w:rsid w:val="0052311F"/>
    <w:rsid w:val="00523B33"/>
    <w:rsid w:val="00525C65"/>
    <w:rsid w:val="00530299"/>
    <w:rsid w:val="0053387A"/>
    <w:rsid w:val="005378B3"/>
    <w:rsid w:val="005409B8"/>
    <w:rsid w:val="00555B5B"/>
    <w:rsid w:val="005566E8"/>
    <w:rsid w:val="00560ECB"/>
    <w:rsid w:val="0056334A"/>
    <w:rsid w:val="00566A12"/>
    <w:rsid w:val="0057054E"/>
    <w:rsid w:val="00574867"/>
    <w:rsid w:val="00574977"/>
    <w:rsid w:val="00576781"/>
    <w:rsid w:val="00583B06"/>
    <w:rsid w:val="00586DA9"/>
    <w:rsid w:val="00591460"/>
    <w:rsid w:val="00592EF7"/>
    <w:rsid w:val="00597FE6"/>
    <w:rsid w:val="005A307B"/>
    <w:rsid w:val="005A65E0"/>
    <w:rsid w:val="005B1523"/>
    <w:rsid w:val="005B2DB5"/>
    <w:rsid w:val="005B47BD"/>
    <w:rsid w:val="005B623A"/>
    <w:rsid w:val="005C3777"/>
    <w:rsid w:val="005C47DD"/>
    <w:rsid w:val="005C5CDC"/>
    <w:rsid w:val="005C6632"/>
    <w:rsid w:val="005D476C"/>
    <w:rsid w:val="005D4EE3"/>
    <w:rsid w:val="005E2250"/>
    <w:rsid w:val="005E6317"/>
    <w:rsid w:val="005E7C99"/>
    <w:rsid w:val="005F1A8F"/>
    <w:rsid w:val="005F21A9"/>
    <w:rsid w:val="005F5261"/>
    <w:rsid w:val="005F5524"/>
    <w:rsid w:val="005F590F"/>
    <w:rsid w:val="00600B4F"/>
    <w:rsid w:val="00602CB7"/>
    <w:rsid w:val="00603964"/>
    <w:rsid w:val="0060671F"/>
    <w:rsid w:val="00615B5D"/>
    <w:rsid w:val="00616784"/>
    <w:rsid w:val="006200BF"/>
    <w:rsid w:val="0062122C"/>
    <w:rsid w:val="006219F8"/>
    <w:rsid w:val="006242DF"/>
    <w:rsid w:val="006302F7"/>
    <w:rsid w:val="0063316D"/>
    <w:rsid w:val="006364C0"/>
    <w:rsid w:val="0064394E"/>
    <w:rsid w:val="00646B9F"/>
    <w:rsid w:val="00647CF0"/>
    <w:rsid w:val="006506D8"/>
    <w:rsid w:val="006571B8"/>
    <w:rsid w:val="0066562A"/>
    <w:rsid w:val="006658E0"/>
    <w:rsid w:val="00665D70"/>
    <w:rsid w:val="006670DD"/>
    <w:rsid w:val="0067199F"/>
    <w:rsid w:val="00672D08"/>
    <w:rsid w:val="006737B1"/>
    <w:rsid w:val="00674441"/>
    <w:rsid w:val="0067473C"/>
    <w:rsid w:val="00676858"/>
    <w:rsid w:val="006826BE"/>
    <w:rsid w:val="00683BDA"/>
    <w:rsid w:val="006900D9"/>
    <w:rsid w:val="006936D1"/>
    <w:rsid w:val="006947BA"/>
    <w:rsid w:val="006A3775"/>
    <w:rsid w:val="006A41A9"/>
    <w:rsid w:val="006C2072"/>
    <w:rsid w:val="006C2AE3"/>
    <w:rsid w:val="006D09EE"/>
    <w:rsid w:val="006D5AB8"/>
    <w:rsid w:val="006E2981"/>
    <w:rsid w:val="006E3934"/>
    <w:rsid w:val="006F43FA"/>
    <w:rsid w:val="006F58E3"/>
    <w:rsid w:val="007047C1"/>
    <w:rsid w:val="00706C16"/>
    <w:rsid w:val="0071196D"/>
    <w:rsid w:val="00713D02"/>
    <w:rsid w:val="0071632A"/>
    <w:rsid w:val="00716424"/>
    <w:rsid w:val="00717414"/>
    <w:rsid w:val="00720735"/>
    <w:rsid w:val="00723650"/>
    <w:rsid w:val="007340C3"/>
    <w:rsid w:val="0073523A"/>
    <w:rsid w:val="00735746"/>
    <w:rsid w:val="00744089"/>
    <w:rsid w:val="00747A86"/>
    <w:rsid w:val="007502F9"/>
    <w:rsid w:val="0075235A"/>
    <w:rsid w:val="00756841"/>
    <w:rsid w:val="007649AB"/>
    <w:rsid w:val="00765627"/>
    <w:rsid w:val="00767D3C"/>
    <w:rsid w:val="00767D5B"/>
    <w:rsid w:val="00771D0C"/>
    <w:rsid w:val="00776559"/>
    <w:rsid w:val="00780528"/>
    <w:rsid w:val="007829C6"/>
    <w:rsid w:val="007833AC"/>
    <w:rsid w:val="00784E8D"/>
    <w:rsid w:val="0078698D"/>
    <w:rsid w:val="00786F55"/>
    <w:rsid w:val="007977D5"/>
    <w:rsid w:val="007A1830"/>
    <w:rsid w:val="007A26BE"/>
    <w:rsid w:val="007A594E"/>
    <w:rsid w:val="007A7588"/>
    <w:rsid w:val="007B268C"/>
    <w:rsid w:val="007B7171"/>
    <w:rsid w:val="007B7343"/>
    <w:rsid w:val="007C012B"/>
    <w:rsid w:val="007C0C0F"/>
    <w:rsid w:val="007C3DC2"/>
    <w:rsid w:val="007C63D6"/>
    <w:rsid w:val="007D021B"/>
    <w:rsid w:val="007D1AA3"/>
    <w:rsid w:val="007D3F41"/>
    <w:rsid w:val="007E4424"/>
    <w:rsid w:val="007E5497"/>
    <w:rsid w:val="007E55B7"/>
    <w:rsid w:val="007F5D78"/>
    <w:rsid w:val="00800E0E"/>
    <w:rsid w:val="00802077"/>
    <w:rsid w:val="00802BE2"/>
    <w:rsid w:val="0080336B"/>
    <w:rsid w:val="00803856"/>
    <w:rsid w:val="00805C55"/>
    <w:rsid w:val="00806F5F"/>
    <w:rsid w:val="00807533"/>
    <w:rsid w:val="00820278"/>
    <w:rsid w:val="00821D00"/>
    <w:rsid w:val="008220C0"/>
    <w:rsid w:val="008258C9"/>
    <w:rsid w:val="00827879"/>
    <w:rsid w:val="008316FF"/>
    <w:rsid w:val="00841485"/>
    <w:rsid w:val="00841828"/>
    <w:rsid w:val="008420AB"/>
    <w:rsid w:val="00844AE9"/>
    <w:rsid w:val="00850330"/>
    <w:rsid w:val="00852BAA"/>
    <w:rsid w:val="00855A81"/>
    <w:rsid w:val="008608A1"/>
    <w:rsid w:val="0086317A"/>
    <w:rsid w:val="00867F95"/>
    <w:rsid w:val="00872231"/>
    <w:rsid w:val="0087457D"/>
    <w:rsid w:val="008749D3"/>
    <w:rsid w:val="00874B89"/>
    <w:rsid w:val="00882271"/>
    <w:rsid w:val="00883FB6"/>
    <w:rsid w:val="008843B6"/>
    <w:rsid w:val="008849FF"/>
    <w:rsid w:val="008853C8"/>
    <w:rsid w:val="00887584"/>
    <w:rsid w:val="00891928"/>
    <w:rsid w:val="0089255E"/>
    <w:rsid w:val="00894EDE"/>
    <w:rsid w:val="00897EEB"/>
    <w:rsid w:val="008A10EE"/>
    <w:rsid w:val="008A3E33"/>
    <w:rsid w:val="008A446D"/>
    <w:rsid w:val="008B1E57"/>
    <w:rsid w:val="008B2311"/>
    <w:rsid w:val="008B25F1"/>
    <w:rsid w:val="008C1C73"/>
    <w:rsid w:val="008C3EB2"/>
    <w:rsid w:val="008C5CDE"/>
    <w:rsid w:val="008D1369"/>
    <w:rsid w:val="008D180B"/>
    <w:rsid w:val="008D1E85"/>
    <w:rsid w:val="008E4632"/>
    <w:rsid w:val="008F0EA7"/>
    <w:rsid w:val="00900C01"/>
    <w:rsid w:val="00912625"/>
    <w:rsid w:val="00912AAC"/>
    <w:rsid w:val="00915645"/>
    <w:rsid w:val="00923EEF"/>
    <w:rsid w:val="00927BE4"/>
    <w:rsid w:val="009419F9"/>
    <w:rsid w:val="00942264"/>
    <w:rsid w:val="00945E3D"/>
    <w:rsid w:val="00953643"/>
    <w:rsid w:val="0095685E"/>
    <w:rsid w:val="00961B09"/>
    <w:rsid w:val="0096285F"/>
    <w:rsid w:val="0096506A"/>
    <w:rsid w:val="00965334"/>
    <w:rsid w:val="0096581E"/>
    <w:rsid w:val="00967919"/>
    <w:rsid w:val="0097093E"/>
    <w:rsid w:val="009709E8"/>
    <w:rsid w:val="0097282B"/>
    <w:rsid w:val="00977F91"/>
    <w:rsid w:val="00982C6E"/>
    <w:rsid w:val="00984AFF"/>
    <w:rsid w:val="009A0DFA"/>
    <w:rsid w:val="009A3880"/>
    <w:rsid w:val="009A53EE"/>
    <w:rsid w:val="009B27CB"/>
    <w:rsid w:val="009B2D26"/>
    <w:rsid w:val="009B6A49"/>
    <w:rsid w:val="009C6AFC"/>
    <w:rsid w:val="009C71FA"/>
    <w:rsid w:val="009C72E7"/>
    <w:rsid w:val="009C7F7E"/>
    <w:rsid w:val="009D2DCA"/>
    <w:rsid w:val="009D3058"/>
    <w:rsid w:val="009D53A2"/>
    <w:rsid w:val="009D75D4"/>
    <w:rsid w:val="009F0514"/>
    <w:rsid w:val="009F3A13"/>
    <w:rsid w:val="009F4D9D"/>
    <w:rsid w:val="00A02AB0"/>
    <w:rsid w:val="00A03ACE"/>
    <w:rsid w:val="00A122D3"/>
    <w:rsid w:val="00A14468"/>
    <w:rsid w:val="00A17F13"/>
    <w:rsid w:val="00A17FDE"/>
    <w:rsid w:val="00A20739"/>
    <w:rsid w:val="00A21219"/>
    <w:rsid w:val="00A23AF9"/>
    <w:rsid w:val="00A26AB0"/>
    <w:rsid w:val="00A3078F"/>
    <w:rsid w:val="00A328EC"/>
    <w:rsid w:val="00A3295B"/>
    <w:rsid w:val="00A33C78"/>
    <w:rsid w:val="00A37C7D"/>
    <w:rsid w:val="00A50F0E"/>
    <w:rsid w:val="00A634CD"/>
    <w:rsid w:val="00A7153D"/>
    <w:rsid w:val="00A72890"/>
    <w:rsid w:val="00A93531"/>
    <w:rsid w:val="00A96668"/>
    <w:rsid w:val="00AA1AD4"/>
    <w:rsid w:val="00AA64AB"/>
    <w:rsid w:val="00AB0ADB"/>
    <w:rsid w:val="00AB1C11"/>
    <w:rsid w:val="00AB7178"/>
    <w:rsid w:val="00AE41AA"/>
    <w:rsid w:val="00AE50E6"/>
    <w:rsid w:val="00AE65D9"/>
    <w:rsid w:val="00AF4786"/>
    <w:rsid w:val="00AF7A0F"/>
    <w:rsid w:val="00B00412"/>
    <w:rsid w:val="00B00C0E"/>
    <w:rsid w:val="00B01B1A"/>
    <w:rsid w:val="00B0798D"/>
    <w:rsid w:val="00B07A2B"/>
    <w:rsid w:val="00B100EB"/>
    <w:rsid w:val="00B10792"/>
    <w:rsid w:val="00B11467"/>
    <w:rsid w:val="00B13E27"/>
    <w:rsid w:val="00B170E4"/>
    <w:rsid w:val="00B174A5"/>
    <w:rsid w:val="00B2048D"/>
    <w:rsid w:val="00B233D2"/>
    <w:rsid w:val="00B37449"/>
    <w:rsid w:val="00B43DF1"/>
    <w:rsid w:val="00B442B3"/>
    <w:rsid w:val="00B44A47"/>
    <w:rsid w:val="00B519C6"/>
    <w:rsid w:val="00B62BB5"/>
    <w:rsid w:val="00B64455"/>
    <w:rsid w:val="00B70AE8"/>
    <w:rsid w:val="00B71040"/>
    <w:rsid w:val="00B72CD3"/>
    <w:rsid w:val="00B72FFF"/>
    <w:rsid w:val="00B77287"/>
    <w:rsid w:val="00B82627"/>
    <w:rsid w:val="00B87FFD"/>
    <w:rsid w:val="00B9098F"/>
    <w:rsid w:val="00B93CEC"/>
    <w:rsid w:val="00BB0DD5"/>
    <w:rsid w:val="00BB57C7"/>
    <w:rsid w:val="00BC3D36"/>
    <w:rsid w:val="00BD1EA3"/>
    <w:rsid w:val="00BD32A7"/>
    <w:rsid w:val="00BD423F"/>
    <w:rsid w:val="00BD54A6"/>
    <w:rsid w:val="00BD7F72"/>
    <w:rsid w:val="00BE1501"/>
    <w:rsid w:val="00BE429B"/>
    <w:rsid w:val="00BE6091"/>
    <w:rsid w:val="00BF54F9"/>
    <w:rsid w:val="00BF58C7"/>
    <w:rsid w:val="00BF7425"/>
    <w:rsid w:val="00C04FB3"/>
    <w:rsid w:val="00C11D8B"/>
    <w:rsid w:val="00C1619C"/>
    <w:rsid w:val="00C16B06"/>
    <w:rsid w:val="00C330EB"/>
    <w:rsid w:val="00C370BD"/>
    <w:rsid w:val="00C41FF6"/>
    <w:rsid w:val="00C438A8"/>
    <w:rsid w:val="00C50914"/>
    <w:rsid w:val="00C50D69"/>
    <w:rsid w:val="00C51837"/>
    <w:rsid w:val="00C5365C"/>
    <w:rsid w:val="00C545CC"/>
    <w:rsid w:val="00C60D32"/>
    <w:rsid w:val="00C64173"/>
    <w:rsid w:val="00C66228"/>
    <w:rsid w:val="00C754BE"/>
    <w:rsid w:val="00C76B1C"/>
    <w:rsid w:val="00C925AC"/>
    <w:rsid w:val="00C93BD2"/>
    <w:rsid w:val="00CA2AFE"/>
    <w:rsid w:val="00CA4635"/>
    <w:rsid w:val="00CB1B2F"/>
    <w:rsid w:val="00CB2543"/>
    <w:rsid w:val="00CB402F"/>
    <w:rsid w:val="00CB524C"/>
    <w:rsid w:val="00CB6357"/>
    <w:rsid w:val="00CB6ED9"/>
    <w:rsid w:val="00CC1B26"/>
    <w:rsid w:val="00CC2A4D"/>
    <w:rsid w:val="00CD053C"/>
    <w:rsid w:val="00CD7287"/>
    <w:rsid w:val="00CE1779"/>
    <w:rsid w:val="00CE2098"/>
    <w:rsid w:val="00CE6D68"/>
    <w:rsid w:val="00CF67CB"/>
    <w:rsid w:val="00D01973"/>
    <w:rsid w:val="00D0290F"/>
    <w:rsid w:val="00D04144"/>
    <w:rsid w:val="00D0716E"/>
    <w:rsid w:val="00D17040"/>
    <w:rsid w:val="00D21ABC"/>
    <w:rsid w:val="00D22F1F"/>
    <w:rsid w:val="00D24E1B"/>
    <w:rsid w:val="00D25016"/>
    <w:rsid w:val="00D27A91"/>
    <w:rsid w:val="00D314C4"/>
    <w:rsid w:val="00D32F78"/>
    <w:rsid w:val="00D35394"/>
    <w:rsid w:val="00D361FD"/>
    <w:rsid w:val="00D362E3"/>
    <w:rsid w:val="00D41FF6"/>
    <w:rsid w:val="00D423A2"/>
    <w:rsid w:val="00D44E26"/>
    <w:rsid w:val="00D46E83"/>
    <w:rsid w:val="00D520D8"/>
    <w:rsid w:val="00D532F2"/>
    <w:rsid w:val="00D555B0"/>
    <w:rsid w:val="00D57AF0"/>
    <w:rsid w:val="00D63AC2"/>
    <w:rsid w:val="00D64821"/>
    <w:rsid w:val="00D73595"/>
    <w:rsid w:val="00D7383B"/>
    <w:rsid w:val="00D75D9B"/>
    <w:rsid w:val="00D7788A"/>
    <w:rsid w:val="00D77E37"/>
    <w:rsid w:val="00D821CD"/>
    <w:rsid w:val="00D8371D"/>
    <w:rsid w:val="00D84EBD"/>
    <w:rsid w:val="00D86877"/>
    <w:rsid w:val="00D908AF"/>
    <w:rsid w:val="00D9672D"/>
    <w:rsid w:val="00D975F9"/>
    <w:rsid w:val="00D97F1A"/>
    <w:rsid w:val="00DA01E5"/>
    <w:rsid w:val="00DA231B"/>
    <w:rsid w:val="00DA350C"/>
    <w:rsid w:val="00DA574C"/>
    <w:rsid w:val="00DA656F"/>
    <w:rsid w:val="00DB1225"/>
    <w:rsid w:val="00DB5F83"/>
    <w:rsid w:val="00DB5F84"/>
    <w:rsid w:val="00DB7832"/>
    <w:rsid w:val="00DC39FC"/>
    <w:rsid w:val="00DC5F62"/>
    <w:rsid w:val="00DC77B5"/>
    <w:rsid w:val="00DE179D"/>
    <w:rsid w:val="00DE6B6B"/>
    <w:rsid w:val="00DF312D"/>
    <w:rsid w:val="00DF3306"/>
    <w:rsid w:val="00DF5123"/>
    <w:rsid w:val="00DF5254"/>
    <w:rsid w:val="00E02524"/>
    <w:rsid w:val="00E04B99"/>
    <w:rsid w:val="00E07CEC"/>
    <w:rsid w:val="00E1439B"/>
    <w:rsid w:val="00E1523A"/>
    <w:rsid w:val="00E15495"/>
    <w:rsid w:val="00E16408"/>
    <w:rsid w:val="00E20894"/>
    <w:rsid w:val="00E245AB"/>
    <w:rsid w:val="00E2764C"/>
    <w:rsid w:val="00E27F2E"/>
    <w:rsid w:val="00E40E6A"/>
    <w:rsid w:val="00E42BFB"/>
    <w:rsid w:val="00E50AFE"/>
    <w:rsid w:val="00E529BC"/>
    <w:rsid w:val="00E53D89"/>
    <w:rsid w:val="00E55087"/>
    <w:rsid w:val="00E57478"/>
    <w:rsid w:val="00E634C6"/>
    <w:rsid w:val="00E63923"/>
    <w:rsid w:val="00E711F5"/>
    <w:rsid w:val="00E74BCF"/>
    <w:rsid w:val="00E75775"/>
    <w:rsid w:val="00E75C92"/>
    <w:rsid w:val="00E76C8B"/>
    <w:rsid w:val="00E76D22"/>
    <w:rsid w:val="00E771DC"/>
    <w:rsid w:val="00E80A44"/>
    <w:rsid w:val="00E872C8"/>
    <w:rsid w:val="00E8772A"/>
    <w:rsid w:val="00E90F6B"/>
    <w:rsid w:val="00E92C27"/>
    <w:rsid w:val="00E937AA"/>
    <w:rsid w:val="00E94822"/>
    <w:rsid w:val="00E94B76"/>
    <w:rsid w:val="00E95A46"/>
    <w:rsid w:val="00EA0E3D"/>
    <w:rsid w:val="00EA2EAC"/>
    <w:rsid w:val="00EA33A5"/>
    <w:rsid w:val="00EA3621"/>
    <w:rsid w:val="00EB198F"/>
    <w:rsid w:val="00EB33BF"/>
    <w:rsid w:val="00EC38A7"/>
    <w:rsid w:val="00EC69FA"/>
    <w:rsid w:val="00ED0AD9"/>
    <w:rsid w:val="00ED2DA4"/>
    <w:rsid w:val="00ED3727"/>
    <w:rsid w:val="00ED5375"/>
    <w:rsid w:val="00ED5551"/>
    <w:rsid w:val="00ED77B8"/>
    <w:rsid w:val="00EE0750"/>
    <w:rsid w:val="00EE1089"/>
    <w:rsid w:val="00EE1AA8"/>
    <w:rsid w:val="00EE2FD0"/>
    <w:rsid w:val="00EE64C5"/>
    <w:rsid w:val="00EF1F44"/>
    <w:rsid w:val="00EF3A43"/>
    <w:rsid w:val="00EF454F"/>
    <w:rsid w:val="00F00B5C"/>
    <w:rsid w:val="00F04861"/>
    <w:rsid w:val="00F06700"/>
    <w:rsid w:val="00F1736E"/>
    <w:rsid w:val="00F223B8"/>
    <w:rsid w:val="00F23FEA"/>
    <w:rsid w:val="00F27B7B"/>
    <w:rsid w:val="00F31EDC"/>
    <w:rsid w:val="00F36B8C"/>
    <w:rsid w:val="00F444A0"/>
    <w:rsid w:val="00F462B3"/>
    <w:rsid w:val="00F50670"/>
    <w:rsid w:val="00F5664F"/>
    <w:rsid w:val="00F601AF"/>
    <w:rsid w:val="00F654C6"/>
    <w:rsid w:val="00F666C4"/>
    <w:rsid w:val="00F7089A"/>
    <w:rsid w:val="00F74495"/>
    <w:rsid w:val="00F7501A"/>
    <w:rsid w:val="00F76AFC"/>
    <w:rsid w:val="00F7742E"/>
    <w:rsid w:val="00F82B72"/>
    <w:rsid w:val="00F91B6A"/>
    <w:rsid w:val="00F9416F"/>
    <w:rsid w:val="00FA2DA7"/>
    <w:rsid w:val="00FA4768"/>
    <w:rsid w:val="00FA47C0"/>
    <w:rsid w:val="00FB22A5"/>
    <w:rsid w:val="00FB448C"/>
    <w:rsid w:val="00FB5DD1"/>
    <w:rsid w:val="00FC08B8"/>
    <w:rsid w:val="00FC2B5D"/>
    <w:rsid w:val="00FD2581"/>
    <w:rsid w:val="00FD2DCE"/>
    <w:rsid w:val="00FD635A"/>
    <w:rsid w:val="00FD7439"/>
    <w:rsid w:val="00FE087B"/>
    <w:rsid w:val="00FE3B38"/>
    <w:rsid w:val="00FE6048"/>
    <w:rsid w:val="00FF000B"/>
    <w:rsid w:val="00FF118A"/>
    <w:rsid w:val="00FF1449"/>
    <w:rsid w:val="00FF3D97"/>
    <w:rsid w:val="00FF3FDA"/>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1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styleId="Refdecomentario">
    <w:name w:val="annotation reference"/>
    <w:basedOn w:val="Fuentedeprrafopredeter"/>
    <w:uiPriority w:val="99"/>
    <w:semiHidden/>
    <w:unhideWhenUsed/>
    <w:rsid w:val="009B27CB"/>
    <w:rPr>
      <w:sz w:val="16"/>
      <w:szCs w:val="16"/>
    </w:rPr>
  </w:style>
  <w:style w:type="paragraph" w:styleId="Textocomentario">
    <w:name w:val="annotation text"/>
    <w:basedOn w:val="Normal"/>
    <w:link w:val="TextocomentarioCar"/>
    <w:uiPriority w:val="99"/>
    <w:unhideWhenUsed/>
    <w:rsid w:val="009B27CB"/>
    <w:pPr>
      <w:spacing w:line="240" w:lineRule="auto"/>
    </w:pPr>
    <w:rPr>
      <w:sz w:val="20"/>
      <w:szCs w:val="20"/>
    </w:rPr>
  </w:style>
  <w:style w:type="character" w:customStyle="1" w:styleId="TextocomentarioCar">
    <w:name w:val="Texto comentario Car"/>
    <w:basedOn w:val="Fuentedeprrafopredeter"/>
    <w:link w:val="Textocomentario"/>
    <w:uiPriority w:val="99"/>
    <w:rsid w:val="009B27CB"/>
    <w:rPr>
      <w:sz w:val="20"/>
      <w:szCs w:val="20"/>
    </w:rPr>
  </w:style>
  <w:style w:type="table" w:customStyle="1" w:styleId="Tablaconcuadrcula11">
    <w:name w:val="Tabla con cuadrícula11"/>
    <w:basedOn w:val="Tablanormal"/>
    <w:next w:val="Tablaconcuadrcula"/>
    <w:uiPriority w:val="39"/>
    <w:qFormat/>
    <w:rsid w:val="009B2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371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371D"/>
    <w:rPr>
      <w:rFonts w:ascii="Segoe UI" w:hAnsi="Segoe UI" w:cs="Segoe UI"/>
      <w:sz w:val="18"/>
      <w:szCs w:val="18"/>
    </w:rPr>
  </w:style>
  <w:style w:type="character" w:styleId="Mencinsinresolver">
    <w:name w:val="Unresolved Mention"/>
    <w:basedOn w:val="Fuentedeprrafopredeter"/>
    <w:uiPriority w:val="99"/>
    <w:semiHidden/>
    <w:unhideWhenUsed/>
    <w:rsid w:val="00B8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juanchosuarez16@yahoo.com"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DC843E3-D620-4881-8440-74CA2CD00A2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8374EF6-F592-4AE9-9A90-C4A7FD933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16</Pages>
  <Words>5656</Words>
  <Characters>31113</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117</cp:revision>
  <cp:lastPrinted>2023-01-10T21:18:00Z</cp:lastPrinted>
  <dcterms:created xsi:type="dcterms:W3CDTF">2026-09-11T07:15:00Z</dcterms:created>
  <dcterms:modified xsi:type="dcterms:W3CDTF">2026-09-29T15:33:00Z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