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6640A" w14:textId="77777777" w:rsidR="00510B4C" w:rsidRPr="00032010" w:rsidRDefault="00510B4C" w:rsidP="00510B4C">
      <w:pPr>
        <w:spacing w:after="0"/>
        <w:jc w:val="both"/>
        <w:rPr>
          <w:rFonts w:ascii="Verdana" w:eastAsia="Times New Roman" w:hAnsi="Verdana" w:cs="Arial"/>
          <w:b/>
          <w:bCs/>
          <w:szCs w:val="24"/>
          <w:lang w:val="es-ES_tradnl" w:eastAsia="es-ES_tradnl"/>
        </w:rPr>
      </w:pPr>
      <w:bookmarkStart w:id="0" w:name="_Hlk143780582"/>
      <w:r w:rsidRPr="00032010">
        <w:rPr>
          <w:rFonts w:ascii="Verdana" w:eastAsia="Times New Roman" w:hAnsi="Verdana" w:cs="Arial"/>
          <w:b/>
          <w:bCs/>
          <w:szCs w:val="24"/>
          <w:lang w:val="es-ES_tradnl" w:eastAsia="es-ES_tradnl"/>
        </w:rPr>
        <w:t xml:space="preserve">SUBSANABILIDAD DE LAS OFERTAS – Regla aplicable – Aspectos subsanables – Términos </w:t>
      </w:r>
    </w:p>
    <w:p w14:paraId="3A78B005" w14:textId="77777777" w:rsidR="00510B4C" w:rsidRPr="00032010" w:rsidRDefault="00510B4C" w:rsidP="00510B4C">
      <w:pPr>
        <w:spacing w:after="0"/>
        <w:jc w:val="both"/>
        <w:rPr>
          <w:rFonts w:ascii="Verdana" w:eastAsia="Times New Roman" w:hAnsi="Verdana" w:cs="Arial"/>
          <w:b/>
          <w:bCs/>
          <w:sz w:val="20"/>
          <w:szCs w:val="20"/>
          <w:lang w:val="es-ES_tradnl" w:eastAsia="es-ES_tradnl"/>
        </w:rPr>
      </w:pPr>
    </w:p>
    <w:p w14:paraId="4305883B" w14:textId="77777777" w:rsidR="00510B4C" w:rsidRPr="00032010" w:rsidRDefault="00510B4C" w:rsidP="00510B4C">
      <w:pPr>
        <w:spacing w:after="0" w:line="240" w:lineRule="auto"/>
        <w:jc w:val="both"/>
        <w:rPr>
          <w:rFonts w:ascii="Verdana" w:eastAsia="Times New Roman" w:hAnsi="Verdana" w:cs="Arial"/>
          <w:sz w:val="20"/>
          <w:szCs w:val="20"/>
          <w:lang w:val="es-ES" w:eastAsia="es-ES"/>
        </w:rPr>
      </w:pPr>
      <w:r w:rsidRPr="6E0AA14B">
        <w:rPr>
          <w:rFonts w:ascii="Verdana" w:eastAsia="Times New Roman" w:hAnsi="Verdana" w:cs="Arial"/>
          <w:sz w:val="20"/>
          <w:szCs w:val="20"/>
          <w:lang w:val="es-ES" w:eastAsia="es-ES"/>
        </w:rPr>
        <w:t xml:space="preserve">[…] por regla general, son subsanables i) la falta de entrega o </w:t>
      </w:r>
      <w:proofErr w:type="spellStart"/>
      <w:r w:rsidRPr="6E0AA14B">
        <w:rPr>
          <w:rFonts w:ascii="Verdana" w:eastAsia="Times New Roman" w:hAnsi="Verdana" w:cs="Arial"/>
          <w:sz w:val="20"/>
          <w:szCs w:val="20"/>
          <w:lang w:val="es-ES" w:eastAsia="es-ES"/>
        </w:rPr>
        <w:t>ii</w:t>
      </w:r>
      <w:proofErr w:type="spellEnd"/>
      <w:r w:rsidRPr="6E0AA14B">
        <w:rPr>
          <w:rFonts w:ascii="Verdana" w:eastAsia="Times New Roman" w:hAnsi="Verdana" w:cs="Arial"/>
          <w:sz w:val="20"/>
          <w:szCs w:val="20"/>
          <w:lang w:val="es-ES" w:eastAsia="es-ES"/>
        </w:rPr>
        <w:t xml:space="preserve">) los defectos de los requisitos habilitantes. La excepción se encuentra en los casos, previstos en la ley, que limitan la </w:t>
      </w:r>
      <w:proofErr w:type="spellStart"/>
      <w:r w:rsidRPr="6E0AA14B">
        <w:rPr>
          <w:rFonts w:ascii="Verdana" w:eastAsia="Times New Roman" w:hAnsi="Verdana" w:cs="Arial"/>
          <w:sz w:val="20"/>
          <w:szCs w:val="20"/>
          <w:lang w:val="es-ES" w:eastAsia="es-ES"/>
        </w:rPr>
        <w:t>subsanabilidad</w:t>
      </w:r>
      <w:proofErr w:type="spellEnd"/>
      <w:r w:rsidRPr="6E0AA14B">
        <w:rPr>
          <w:rFonts w:ascii="Verdana" w:eastAsia="Times New Roman" w:hAnsi="Verdana" w:cs="Arial"/>
          <w:sz w:val="20"/>
          <w:szCs w:val="20"/>
          <w:lang w:val="es-ES" w:eastAsia="es-ES"/>
        </w:rPr>
        <w:t>, es decir, en la prohibición de permitir la entrega de la garantía de seriedad de la oferta que no fue aportada con la propuesta y de valer la acreditación de circunstancias ocurridas con posterioridad al cierre del proceso.</w:t>
      </w:r>
    </w:p>
    <w:p w14:paraId="46482629" w14:textId="77777777" w:rsidR="00510B4C" w:rsidRPr="00032010" w:rsidRDefault="00510B4C" w:rsidP="00510B4C">
      <w:pPr>
        <w:spacing w:after="0" w:line="240" w:lineRule="auto"/>
        <w:jc w:val="both"/>
        <w:rPr>
          <w:rFonts w:ascii="Verdana" w:eastAsia="Times New Roman" w:hAnsi="Verdana" w:cs="Arial"/>
          <w:sz w:val="20"/>
          <w:szCs w:val="20"/>
          <w:lang w:val="es-ES" w:eastAsia="es-ES"/>
        </w:rPr>
      </w:pPr>
      <w:r w:rsidRPr="00032010">
        <w:rPr>
          <w:rFonts w:ascii="Verdana" w:eastAsia="Times New Roman" w:hAnsi="Verdana" w:cs="Arial"/>
          <w:sz w:val="20"/>
          <w:szCs w:val="20"/>
          <w:lang w:val="es-ES" w:eastAsia="es-ES"/>
        </w:rPr>
        <w:t>[…]</w:t>
      </w:r>
    </w:p>
    <w:p w14:paraId="58ECCDDB" w14:textId="77777777" w:rsidR="00510B4C" w:rsidRPr="00032010" w:rsidRDefault="00510B4C" w:rsidP="00510B4C">
      <w:pPr>
        <w:spacing w:after="0" w:line="240" w:lineRule="auto"/>
        <w:jc w:val="both"/>
        <w:rPr>
          <w:rFonts w:ascii="Verdana" w:eastAsia="Times New Roman" w:hAnsi="Verdana" w:cs="Arial"/>
          <w:sz w:val="20"/>
          <w:szCs w:val="20"/>
          <w:lang w:val="es-ES" w:eastAsia="es-ES"/>
        </w:rPr>
      </w:pPr>
      <w:r w:rsidRPr="00032010">
        <w:rPr>
          <w:rFonts w:ascii="Verdana" w:eastAsia="Times New Roman" w:hAnsi="Verdana" w:cs="Arial"/>
          <w:sz w:val="20"/>
          <w:szCs w:val="20"/>
          <w:lang w:val="es-ES" w:eastAsia="es-ES"/>
        </w:rPr>
        <w:t>[…] el artículo 5 de la Ley 1882 de 2018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0FA23808" w14:textId="77777777" w:rsidR="00510B4C" w:rsidRPr="00032010" w:rsidRDefault="00510B4C" w:rsidP="00510B4C">
      <w:pPr>
        <w:spacing w:after="0" w:line="240" w:lineRule="auto"/>
        <w:rPr>
          <w:rFonts w:ascii="Verdana" w:eastAsia="Aptos" w:hAnsi="Verdana" w:cs="Times New Roman"/>
          <w:sz w:val="20"/>
          <w:szCs w:val="20"/>
        </w:rPr>
      </w:pPr>
    </w:p>
    <w:p w14:paraId="5D4C4CD7" w14:textId="77777777" w:rsidR="00510B4C" w:rsidRPr="00032010" w:rsidRDefault="00510B4C" w:rsidP="00510B4C">
      <w:pPr>
        <w:spacing w:after="0" w:line="240" w:lineRule="auto"/>
        <w:jc w:val="both"/>
        <w:rPr>
          <w:rFonts w:ascii="Verdana" w:eastAsia="Calibri" w:hAnsi="Verdana" w:cs="Arial"/>
          <w:b/>
          <w:lang w:val="es-ES"/>
        </w:rPr>
      </w:pPr>
      <w:r w:rsidRPr="00032010">
        <w:rPr>
          <w:rFonts w:ascii="Verdana" w:eastAsia="Calibri" w:hAnsi="Verdana" w:cs="Arial"/>
          <w:b/>
          <w:lang w:val="es-ES"/>
        </w:rPr>
        <w:t xml:space="preserve">PROCESOS DE MÍNIMA CUANTÍA – </w:t>
      </w:r>
      <w:proofErr w:type="spellStart"/>
      <w:r w:rsidRPr="00032010">
        <w:rPr>
          <w:rFonts w:ascii="Verdana" w:eastAsia="Calibri" w:hAnsi="Verdana" w:cs="Arial"/>
          <w:b/>
          <w:lang w:val="es-ES"/>
        </w:rPr>
        <w:t>Subsanabilidad</w:t>
      </w:r>
      <w:proofErr w:type="spellEnd"/>
      <w:r w:rsidRPr="00032010">
        <w:rPr>
          <w:rFonts w:ascii="Verdana" w:eastAsia="Calibri" w:hAnsi="Verdana" w:cs="Arial"/>
          <w:b/>
          <w:lang w:val="es-ES"/>
        </w:rPr>
        <w:t xml:space="preserve"> de las ofertas – Regla aplicable – Términos para subsanar</w:t>
      </w:r>
    </w:p>
    <w:p w14:paraId="532CCE50" w14:textId="77777777" w:rsidR="00510B4C" w:rsidRPr="00032010" w:rsidRDefault="00510B4C" w:rsidP="00510B4C">
      <w:pPr>
        <w:spacing w:after="0" w:line="240" w:lineRule="auto"/>
        <w:jc w:val="both"/>
        <w:rPr>
          <w:rFonts w:ascii="Verdana" w:eastAsia="Calibri" w:hAnsi="Verdana" w:cs="Arial"/>
          <w:b/>
          <w:sz w:val="20"/>
          <w:szCs w:val="20"/>
          <w:lang w:val="es-ES"/>
        </w:rPr>
      </w:pPr>
    </w:p>
    <w:p w14:paraId="78F3B6B7" w14:textId="77777777" w:rsidR="00510B4C" w:rsidRDefault="00510B4C" w:rsidP="00510B4C">
      <w:pPr>
        <w:spacing w:after="0" w:line="240" w:lineRule="auto"/>
        <w:jc w:val="both"/>
      </w:pPr>
      <w:r w:rsidRPr="00032010">
        <w:rPr>
          <w:rFonts w:ascii="Verdana" w:eastAsia="Calibri" w:hAnsi="Verdana" w:cs="Arial"/>
          <w:bCs/>
          <w:sz w:val="20"/>
          <w:szCs w:val="20"/>
        </w:rPr>
        <w:t>[…] resulta a bien aclarar, que la norma en cita realiza tal precisión respecto de los procesos de selección adelantados bajo la modalidad de Mínima Cuantía, por cuanto a la luz del numeral 5 del artículo 2.2.1.2.1.5.2 del Decreto 1082 de 2015, los términos para subsanar las ofertas en este tipo de procesos se aplican de manera diferente, pues de acuerdo con dicha disposición “[l]a Entidad Estatal debe revisar las ofertas económicas y verificar que la de menor precio cumple con las condiciones de la invitación. Si esta no cumple, la Entidad</w:t>
      </w:r>
      <w:r w:rsidRPr="00CB73B9">
        <w:rPr>
          <w:rFonts w:ascii="Verdana" w:eastAsia="Calibri" w:hAnsi="Verdana" w:cs="Arial"/>
          <w:bCs/>
          <w:sz w:val="20"/>
          <w:szCs w:val="20"/>
        </w:rPr>
        <w:t xml:space="preserve"> Estatal debe verificar el cumplimiento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38B57AA6" w14:textId="77777777" w:rsidR="00510B4C" w:rsidRDefault="00510B4C" w:rsidP="00510B4C">
      <w:pPr>
        <w:spacing w:after="0" w:line="240" w:lineRule="auto"/>
        <w:rPr>
          <w:rFonts w:ascii="Verdana" w:eastAsia="Aptos" w:hAnsi="Verdana" w:cs="Times New Roman"/>
          <w:sz w:val="20"/>
          <w:szCs w:val="20"/>
        </w:rPr>
      </w:pPr>
    </w:p>
    <w:p w14:paraId="252F0900" w14:textId="77777777" w:rsidR="00510B4C" w:rsidRDefault="00510B4C" w:rsidP="00510B4C">
      <w:pPr>
        <w:spacing w:after="0" w:line="240" w:lineRule="auto"/>
        <w:rPr>
          <w:rFonts w:ascii="Verdana" w:eastAsia="Aptos" w:hAnsi="Verdana" w:cs="Times New Roman"/>
          <w:sz w:val="20"/>
          <w:szCs w:val="20"/>
        </w:rPr>
      </w:pPr>
    </w:p>
    <w:p w14:paraId="1878FE8C" w14:textId="77777777" w:rsidR="00510B4C" w:rsidRDefault="00510B4C" w:rsidP="00510B4C">
      <w:pPr>
        <w:spacing w:after="0" w:line="240" w:lineRule="auto"/>
        <w:rPr>
          <w:rFonts w:ascii="Verdana" w:eastAsia="Aptos" w:hAnsi="Verdana" w:cs="Times New Roman"/>
          <w:sz w:val="20"/>
          <w:szCs w:val="20"/>
        </w:rPr>
      </w:pPr>
    </w:p>
    <w:p w14:paraId="74CA0784" w14:textId="77777777" w:rsidR="00510B4C" w:rsidRDefault="00510B4C" w:rsidP="00510B4C">
      <w:pPr>
        <w:spacing w:after="0" w:line="240" w:lineRule="auto"/>
        <w:rPr>
          <w:rFonts w:ascii="Verdana" w:eastAsia="Aptos" w:hAnsi="Verdana" w:cs="Times New Roman"/>
          <w:sz w:val="20"/>
          <w:szCs w:val="20"/>
        </w:rPr>
      </w:pPr>
    </w:p>
    <w:p w14:paraId="058F37CF" w14:textId="469C60EB" w:rsidR="00510B4C" w:rsidRPr="00B33094" w:rsidRDefault="00510B4C" w:rsidP="00510B4C">
      <w:pPr>
        <w:spacing w:after="0" w:line="240" w:lineRule="auto"/>
        <w:contextualSpacing/>
        <w:rPr>
          <w:rFonts w:ascii="Verdana" w:eastAsia="Calibri" w:hAnsi="Verdana" w:cs="Arial"/>
        </w:rPr>
      </w:pPr>
      <w:r w:rsidRPr="00B33094">
        <w:rPr>
          <w:rFonts w:ascii="Verdana" w:eastAsia="Times New Roman" w:hAnsi="Verdana" w:cs="Arial"/>
          <w:lang w:val="es-ES" w:eastAsia="es-ES"/>
        </w:rPr>
        <w:lastRenderedPageBreak/>
        <w:t xml:space="preserve">Bogotá, </w:t>
      </w:r>
      <w:r w:rsidR="00DA7F3C">
        <w:rPr>
          <w:rFonts w:ascii="Verdana" w:eastAsia="Times New Roman" w:hAnsi="Verdana" w:cs="Arial"/>
          <w:lang w:val="es-ES" w:eastAsia="es-ES"/>
        </w:rPr>
        <w:t>16 de septiembre de 2026</w:t>
      </w:r>
    </w:p>
    <w:p w14:paraId="625CC68E" w14:textId="77777777" w:rsidR="00510B4C" w:rsidRPr="00B33094" w:rsidRDefault="00510B4C" w:rsidP="00510B4C">
      <w:pPr>
        <w:spacing w:after="0" w:line="240" w:lineRule="auto"/>
        <w:jc w:val="both"/>
        <w:rPr>
          <w:rFonts w:ascii="Verdana" w:eastAsia="Calibri" w:hAnsi="Verdana" w:cs="Arial"/>
          <w:lang w:val="es-ES"/>
        </w:rPr>
      </w:pPr>
    </w:p>
    <w:p w14:paraId="1C3A24EF" w14:textId="482038C1" w:rsidR="00510B4C" w:rsidRPr="00B33094" w:rsidRDefault="00661889" w:rsidP="00510B4C">
      <w:pPr>
        <w:spacing w:after="0" w:line="240" w:lineRule="auto"/>
        <w:jc w:val="right"/>
        <w:rPr>
          <w:rFonts w:ascii="Verdana" w:eastAsia="Calibri" w:hAnsi="Verdana" w:cs="Arial"/>
          <w:lang w:val="es-ES"/>
        </w:rPr>
      </w:pPr>
      <w:r w:rsidRPr="00661889">
        <w:rPr>
          <w:rFonts w:ascii="Verdana" w:eastAsia="Calibri" w:hAnsi="Verdana" w:cs="Arial"/>
          <w:noProof/>
          <w:lang w:val="es-ES"/>
        </w:rPr>
        <w:drawing>
          <wp:inline distT="0" distB="0" distL="0" distR="0" wp14:anchorId="172E17F6" wp14:editId="5E59F5A8">
            <wp:extent cx="1657581" cy="476316"/>
            <wp:effectExtent l="0" t="0" r="0" b="0"/>
            <wp:docPr id="12167449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44935" name=""/>
                    <pic:cNvPicPr/>
                  </pic:nvPicPr>
                  <pic:blipFill>
                    <a:blip r:embed="rId10"/>
                    <a:stretch>
                      <a:fillRect/>
                    </a:stretch>
                  </pic:blipFill>
                  <pic:spPr>
                    <a:xfrm>
                      <a:off x="0" y="0"/>
                      <a:ext cx="1657581" cy="476316"/>
                    </a:xfrm>
                    <a:prstGeom prst="rect">
                      <a:avLst/>
                    </a:prstGeom>
                  </pic:spPr>
                </pic:pic>
              </a:graphicData>
            </a:graphic>
          </wp:inline>
        </w:drawing>
      </w:r>
    </w:p>
    <w:p w14:paraId="7DA79526" w14:textId="77777777" w:rsidR="00510B4C" w:rsidRPr="00B33094" w:rsidRDefault="00510B4C" w:rsidP="00510B4C">
      <w:pPr>
        <w:spacing w:after="0" w:line="240" w:lineRule="auto"/>
        <w:jc w:val="both"/>
        <w:rPr>
          <w:rFonts w:ascii="Verdana" w:eastAsia="Calibri" w:hAnsi="Verdana" w:cs="Arial"/>
          <w:lang w:val="es-ES" w:eastAsia="es-ES"/>
        </w:rPr>
      </w:pPr>
      <w:r w:rsidRPr="00B33094">
        <w:rPr>
          <w:rFonts w:ascii="Verdana" w:eastAsia="Calibri" w:hAnsi="Verdana" w:cs="Arial"/>
          <w:lang w:val="es-ES" w:eastAsia="es-ES"/>
        </w:rPr>
        <w:t>Señor</w:t>
      </w:r>
    </w:p>
    <w:p w14:paraId="2111D914" w14:textId="77777777" w:rsidR="00510B4C" w:rsidRDefault="00510B4C" w:rsidP="00510B4C">
      <w:pPr>
        <w:spacing w:after="0" w:line="240" w:lineRule="auto"/>
        <w:rPr>
          <w:rFonts w:ascii="Verdana" w:eastAsia="Calibri" w:hAnsi="Verdana" w:cs="Arial"/>
          <w:b/>
          <w:lang w:val="es-ES" w:eastAsia="es-ES"/>
        </w:rPr>
      </w:pPr>
      <w:r>
        <w:rPr>
          <w:rFonts w:ascii="Verdana" w:eastAsia="Calibri" w:hAnsi="Verdana" w:cs="Arial"/>
          <w:b/>
          <w:lang w:val="es-ES" w:eastAsia="es-ES"/>
        </w:rPr>
        <w:t>Carlos Mario Villar Rodríguez</w:t>
      </w:r>
    </w:p>
    <w:p w14:paraId="44C19AEC" w14:textId="77777777" w:rsidR="00510B4C" w:rsidRPr="00260FE2" w:rsidRDefault="002E3607" w:rsidP="00510B4C">
      <w:pPr>
        <w:spacing w:after="0" w:line="240" w:lineRule="auto"/>
        <w:rPr>
          <w:rFonts w:ascii="Verdana" w:eastAsia="Calibri" w:hAnsi="Verdana" w:cs="Arial"/>
          <w:bCs/>
          <w:lang w:val="es-ES" w:eastAsia="es-ES"/>
        </w:rPr>
      </w:pPr>
      <w:hyperlink r:id="rId11" w:history="1">
        <w:r w:rsidR="00510B4C" w:rsidRPr="00A12490">
          <w:rPr>
            <w:rStyle w:val="Hipervnculo"/>
            <w:rFonts w:ascii="Verdana" w:eastAsia="Calibri" w:hAnsi="Verdana" w:cs="Arial"/>
            <w:bCs/>
            <w:lang w:val="es-ES" w:eastAsia="es-ES"/>
          </w:rPr>
          <w:t>cvilla@sena.edu.co</w:t>
        </w:r>
      </w:hyperlink>
      <w:r w:rsidR="00510B4C">
        <w:rPr>
          <w:rFonts w:ascii="Verdana" w:eastAsia="Calibri" w:hAnsi="Verdana" w:cs="Arial"/>
          <w:bCs/>
          <w:lang w:val="es-ES" w:eastAsia="es-ES"/>
        </w:rPr>
        <w:t xml:space="preserve"> </w:t>
      </w:r>
    </w:p>
    <w:p w14:paraId="52613496" w14:textId="77777777" w:rsidR="00510B4C" w:rsidRPr="00B33094" w:rsidRDefault="00510B4C" w:rsidP="00510B4C">
      <w:pPr>
        <w:spacing w:after="0" w:line="240" w:lineRule="auto"/>
        <w:rPr>
          <w:rFonts w:ascii="Verdana" w:eastAsia="Calibri" w:hAnsi="Verdana" w:cs="Arial"/>
          <w:b/>
          <w:bCs/>
          <w:lang w:val="es-ES" w:eastAsia="es-ES"/>
        </w:rPr>
      </w:pPr>
      <w:r>
        <w:rPr>
          <w:rFonts w:ascii="Verdana" w:hAnsi="Verdana"/>
        </w:rPr>
        <w:t>Riohacha, La Guajira</w:t>
      </w:r>
    </w:p>
    <w:p w14:paraId="762B4B0F" w14:textId="77777777" w:rsidR="00510B4C" w:rsidRPr="00B33094" w:rsidRDefault="00510B4C" w:rsidP="00510B4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10B4C" w:rsidRPr="00B33094" w14:paraId="237CB137" w14:textId="77777777" w:rsidTr="00740A85">
        <w:trPr>
          <w:trHeight w:val="308"/>
        </w:trPr>
        <w:tc>
          <w:tcPr>
            <w:tcW w:w="2689" w:type="dxa"/>
          </w:tcPr>
          <w:p w14:paraId="75EB8637" w14:textId="77777777" w:rsidR="00510B4C" w:rsidRPr="00B33094" w:rsidRDefault="00510B4C" w:rsidP="00740A85">
            <w:pPr>
              <w:jc w:val="both"/>
              <w:rPr>
                <w:rFonts w:ascii="Verdana" w:eastAsia="Calibri" w:hAnsi="Verdana" w:cs="Arial"/>
                <w:b/>
                <w:bCs/>
                <w:lang w:val="es-ES_tradnl" w:eastAsia="es-ES_tradnl"/>
              </w:rPr>
            </w:pPr>
          </w:p>
        </w:tc>
        <w:tc>
          <w:tcPr>
            <w:tcW w:w="6100" w:type="dxa"/>
          </w:tcPr>
          <w:p w14:paraId="6788F147" w14:textId="77777777" w:rsidR="00510B4C" w:rsidRPr="00032010" w:rsidRDefault="00510B4C" w:rsidP="00740A85">
            <w:pPr>
              <w:jc w:val="both"/>
              <w:rPr>
                <w:rFonts w:ascii="Verdana" w:eastAsia="Calibri" w:hAnsi="Verdana" w:cs="Arial"/>
                <w:b/>
                <w:bCs/>
                <w:lang w:val="es-ES" w:eastAsia="es-ES"/>
              </w:rPr>
            </w:pPr>
            <w:r w:rsidRPr="00032010">
              <w:rPr>
                <w:rFonts w:ascii="Verdana" w:eastAsia="Calibri" w:hAnsi="Verdana" w:cs="Arial"/>
                <w:b/>
                <w:bCs/>
                <w:lang w:val="es-ES" w:eastAsia="es-ES"/>
              </w:rPr>
              <w:t>Concepto C-1304 de 2026</w:t>
            </w:r>
          </w:p>
          <w:p w14:paraId="0B9D1008" w14:textId="77777777" w:rsidR="00510B4C" w:rsidRPr="00B9077A" w:rsidRDefault="00510B4C" w:rsidP="00740A85">
            <w:pPr>
              <w:jc w:val="both"/>
              <w:rPr>
                <w:rFonts w:ascii="Verdana" w:eastAsia="Calibri" w:hAnsi="Verdana" w:cs="Arial"/>
                <w:b/>
                <w:bCs/>
                <w:highlight w:val="yellow"/>
                <w:lang w:val="es-ES" w:eastAsia="es-ES"/>
              </w:rPr>
            </w:pPr>
          </w:p>
        </w:tc>
      </w:tr>
      <w:tr w:rsidR="00510B4C" w:rsidRPr="00B33094" w14:paraId="7D4DBD85" w14:textId="77777777" w:rsidTr="00740A85">
        <w:trPr>
          <w:trHeight w:val="884"/>
        </w:trPr>
        <w:tc>
          <w:tcPr>
            <w:tcW w:w="2689" w:type="dxa"/>
          </w:tcPr>
          <w:p w14:paraId="01A74833" w14:textId="77777777" w:rsidR="00510B4C" w:rsidRPr="00B33094" w:rsidRDefault="00510B4C" w:rsidP="00740A85">
            <w:pPr>
              <w:jc w:val="both"/>
              <w:rPr>
                <w:rFonts w:ascii="Verdana" w:eastAsia="Calibri" w:hAnsi="Verdana" w:cs="Arial"/>
                <w:lang w:val="es-ES_tradnl" w:eastAsia="es-ES_tradnl"/>
              </w:rPr>
            </w:pPr>
            <w:r w:rsidRPr="00B33094">
              <w:rPr>
                <w:rFonts w:ascii="Verdana" w:eastAsia="Calibri" w:hAnsi="Verdana" w:cs="Arial"/>
                <w:b/>
                <w:lang w:val="es-ES_tradnl" w:eastAsia="es-ES_tradnl"/>
              </w:rPr>
              <w:t>Temas:</w:t>
            </w:r>
            <w:r w:rsidRPr="00B33094">
              <w:rPr>
                <w:rFonts w:ascii="Verdana" w:eastAsia="Calibri" w:hAnsi="Verdana" w:cs="Arial"/>
                <w:lang w:val="es-ES_tradnl" w:eastAsia="es-ES_tradnl"/>
              </w:rPr>
              <w:t xml:space="preserve">                   </w:t>
            </w:r>
          </w:p>
        </w:tc>
        <w:tc>
          <w:tcPr>
            <w:tcW w:w="6100" w:type="dxa"/>
          </w:tcPr>
          <w:p w14:paraId="09898F5E" w14:textId="77777777" w:rsidR="00510B4C" w:rsidRPr="00B9077A" w:rsidRDefault="00510B4C" w:rsidP="00740A85">
            <w:pPr>
              <w:spacing w:line="276" w:lineRule="auto"/>
              <w:jc w:val="both"/>
              <w:rPr>
                <w:rFonts w:ascii="Verdana" w:eastAsia="Calibri" w:hAnsi="Verdana" w:cs="Arial"/>
                <w:highlight w:val="yellow"/>
                <w:lang w:val="es-ES" w:eastAsia="es-ES"/>
              </w:rPr>
            </w:pPr>
            <w:r w:rsidRPr="00032010">
              <w:rPr>
                <w:rFonts w:ascii="Verdana" w:eastAsia="Calibri" w:hAnsi="Verdana" w:cs="Arial"/>
                <w:lang w:val="es-ES" w:eastAsia="es-ES"/>
              </w:rPr>
              <w:t xml:space="preserve">SUBSANABILIDAD DE LAS OFERTAS – Regla aplicable – Aspectos subsanables – Términos / PROCESOS DE MÍNIMA CUANTÍA – </w:t>
            </w:r>
            <w:proofErr w:type="spellStart"/>
            <w:r w:rsidRPr="00032010">
              <w:rPr>
                <w:rFonts w:ascii="Verdana" w:eastAsia="Calibri" w:hAnsi="Verdana" w:cs="Arial"/>
                <w:lang w:val="es-ES" w:eastAsia="es-ES"/>
              </w:rPr>
              <w:t>Subsanabilidad</w:t>
            </w:r>
            <w:proofErr w:type="spellEnd"/>
            <w:r w:rsidRPr="00032010">
              <w:rPr>
                <w:rFonts w:ascii="Verdana" w:eastAsia="Calibri" w:hAnsi="Verdana" w:cs="Arial"/>
                <w:lang w:val="es-ES" w:eastAsia="es-ES"/>
              </w:rPr>
              <w:t xml:space="preserve"> de las ofertas – Regla aplicable – Términos para subsanar</w:t>
            </w:r>
          </w:p>
        </w:tc>
      </w:tr>
    </w:tbl>
    <w:p w14:paraId="2A6CA1C0" w14:textId="77777777" w:rsidR="00510B4C" w:rsidRPr="00B33094" w:rsidRDefault="00510B4C" w:rsidP="00510B4C">
      <w:pPr>
        <w:spacing w:after="0" w:line="240" w:lineRule="auto"/>
        <w:rPr>
          <w:rFonts w:ascii="Verdana" w:eastAsia="Calibri" w:hAnsi="Verdana" w:cs="Arial"/>
          <w:b/>
          <w:bCs/>
          <w:lang w:val="es-ES_tradnl" w:eastAsia="es-ES_tradnl"/>
        </w:rPr>
      </w:pPr>
    </w:p>
    <w:tbl>
      <w:tblPr>
        <w:tblStyle w:val="Tablaconcuadrcula"/>
        <w:tblW w:w="88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02"/>
        <w:gridCol w:w="6131"/>
      </w:tblGrid>
      <w:tr w:rsidR="00510B4C" w:rsidRPr="00B33094" w14:paraId="589F11D2" w14:textId="77777777" w:rsidTr="00DA7F3C">
        <w:tc>
          <w:tcPr>
            <w:tcW w:w="2702" w:type="dxa"/>
          </w:tcPr>
          <w:p w14:paraId="2485F960" w14:textId="77777777" w:rsidR="00510B4C" w:rsidRPr="00B33094" w:rsidRDefault="00510B4C" w:rsidP="00740A85">
            <w:pPr>
              <w:jc w:val="both"/>
              <w:rPr>
                <w:rFonts w:ascii="Verdana" w:eastAsia="Calibri" w:hAnsi="Verdana" w:cs="Arial"/>
                <w:b/>
                <w:lang w:val="es-ES_tradnl" w:eastAsia="es-ES_tradnl"/>
              </w:rPr>
            </w:pPr>
            <w:r w:rsidRPr="00B33094">
              <w:rPr>
                <w:rFonts w:ascii="Verdana" w:eastAsia="Calibri" w:hAnsi="Verdana" w:cs="Arial"/>
                <w:b/>
                <w:lang w:val="es-ES_tradnl" w:eastAsia="es-ES_tradnl"/>
              </w:rPr>
              <w:t>Radicación:</w:t>
            </w:r>
            <w:r w:rsidRPr="00B33094">
              <w:rPr>
                <w:rFonts w:ascii="Verdana" w:eastAsia="Calibri" w:hAnsi="Verdana" w:cs="Arial"/>
                <w:lang w:val="es-ES_tradnl" w:eastAsia="es-ES_tradnl"/>
              </w:rPr>
              <w:t xml:space="preserve">               </w:t>
            </w:r>
          </w:p>
        </w:tc>
        <w:tc>
          <w:tcPr>
            <w:tcW w:w="6131" w:type="dxa"/>
          </w:tcPr>
          <w:p w14:paraId="42BC9B50" w14:textId="77777777" w:rsidR="00510B4C" w:rsidRPr="00B33094" w:rsidRDefault="00510B4C" w:rsidP="00740A85">
            <w:pPr>
              <w:jc w:val="both"/>
              <w:rPr>
                <w:rFonts w:ascii="Verdana" w:eastAsia="Calibri" w:hAnsi="Verdana" w:cs="Arial"/>
                <w:lang w:val="es-ES_tradnl" w:eastAsia="es-ES_tradnl"/>
              </w:rPr>
            </w:pPr>
            <w:r w:rsidRPr="00B33094">
              <w:rPr>
                <w:rFonts w:ascii="Verdana" w:eastAsia="Calibri" w:hAnsi="Verdana" w:cs="Arial"/>
                <w:lang w:val="es-ES_tradnl" w:eastAsia="es-ES_tradnl"/>
              </w:rPr>
              <w:t xml:space="preserve">Respuesta a consulta con radicado No. </w:t>
            </w:r>
            <w:r w:rsidRPr="00853A29">
              <w:rPr>
                <w:rFonts w:ascii="Verdana" w:eastAsia="Calibri" w:hAnsi="Verdana" w:cs="Arial"/>
                <w:lang w:val="es-ES_tradnl" w:eastAsia="es-ES_tradnl"/>
              </w:rPr>
              <w:t>1_2026_08_18_010915</w:t>
            </w:r>
          </w:p>
        </w:tc>
      </w:tr>
    </w:tbl>
    <w:p w14:paraId="697B833F" w14:textId="77777777" w:rsidR="00510B4C" w:rsidRDefault="00510B4C" w:rsidP="00510B4C">
      <w:pPr>
        <w:spacing w:after="0" w:line="240" w:lineRule="auto"/>
        <w:jc w:val="both"/>
        <w:rPr>
          <w:rFonts w:ascii="Verdana" w:eastAsia="Calibri" w:hAnsi="Verdana" w:cs="Arial"/>
          <w:lang w:val="es-ES_tradnl" w:eastAsia="es-ES_tradnl"/>
        </w:rPr>
      </w:pPr>
    </w:p>
    <w:p w14:paraId="4266FF8C" w14:textId="77777777" w:rsidR="00510B4C" w:rsidRPr="00B33094" w:rsidRDefault="00510B4C" w:rsidP="00510B4C">
      <w:pPr>
        <w:spacing w:after="0" w:line="240" w:lineRule="auto"/>
        <w:jc w:val="both"/>
        <w:rPr>
          <w:rFonts w:ascii="Verdana" w:eastAsia="Calibri" w:hAnsi="Verdana" w:cs="Arial"/>
          <w:lang w:val="es-ES_tradnl" w:eastAsia="es-ES_tradnl"/>
        </w:rPr>
      </w:pPr>
    </w:p>
    <w:p w14:paraId="04667AC6" w14:textId="77777777" w:rsidR="00510B4C" w:rsidRPr="00B33094" w:rsidRDefault="00510B4C" w:rsidP="00510B4C">
      <w:pPr>
        <w:spacing w:after="0" w:line="276" w:lineRule="auto"/>
        <w:jc w:val="both"/>
        <w:rPr>
          <w:rFonts w:ascii="Verdana" w:eastAsia="Calibri" w:hAnsi="Verdana" w:cs="Arial"/>
          <w:lang w:val="es-ES" w:eastAsia="es-ES"/>
        </w:rPr>
      </w:pPr>
      <w:r w:rsidRPr="00B33094">
        <w:rPr>
          <w:rFonts w:ascii="Verdana" w:eastAsia="Calibri" w:hAnsi="Verdana" w:cs="Arial"/>
          <w:lang w:val="es-ES" w:eastAsia="es-ES"/>
        </w:rPr>
        <w:t>Estimado</w:t>
      </w:r>
      <w:r>
        <w:rPr>
          <w:rFonts w:ascii="Verdana" w:eastAsia="Calibri" w:hAnsi="Verdana" w:cs="Arial"/>
          <w:lang w:val="es-ES" w:eastAsia="es-ES"/>
        </w:rPr>
        <w:t xml:space="preserve"> Señor Villar</w:t>
      </w:r>
      <w:r w:rsidRPr="00B33094">
        <w:rPr>
          <w:rFonts w:ascii="Verdana" w:eastAsia="Calibri" w:hAnsi="Verdana" w:cs="Arial"/>
          <w:lang w:val="es-ES" w:eastAsia="es-ES"/>
        </w:rPr>
        <w:t xml:space="preserve">: </w:t>
      </w:r>
    </w:p>
    <w:p w14:paraId="6A80BA65" w14:textId="77777777" w:rsidR="00510B4C" w:rsidRPr="00B33094" w:rsidRDefault="00510B4C" w:rsidP="00510B4C">
      <w:pPr>
        <w:tabs>
          <w:tab w:val="left" w:pos="3768"/>
        </w:tabs>
        <w:spacing w:after="0" w:line="276" w:lineRule="auto"/>
        <w:jc w:val="both"/>
        <w:rPr>
          <w:rFonts w:ascii="Verdana" w:eastAsia="Calibri" w:hAnsi="Verdana" w:cs="Arial"/>
          <w:lang w:val="es-ES" w:eastAsia="es-ES"/>
        </w:rPr>
      </w:pPr>
    </w:p>
    <w:p w14:paraId="677BA4EF" w14:textId="77777777" w:rsidR="00510B4C" w:rsidRPr="00B33094" w:rsidRDefault="00510B4C" w:rsidP="00510B4C">
      <w:pPr>
        <w:spacing w:after="0" w:line="276" w:lineRule="auto"/>
        <w:jc w:val="both"/>
        <w:rPr>
          <w:rFonts w:ascii="Verdana" w:eastAsia="Calibri" w:hAnsi="Verdana" w:cs="Arial"/>
          <w:lang w:val="es-ES" w:eastAsia="es-ES"/>
        </w:rPr>
      </w:pPr>
      <w:r w:rsidRPr="00B33094">
        <w:rPr>
          <w:rFonts w:ascii="Verdana" w:eastAsia="Calibri" w:hAnsi="Verdana" w:cs="Arial"/>
          <w:lang w:val="es-ES" w:eastAsia="es-ES"/>
        </w:rPr>
        <w:t>En ejercicio de la competencia otorgada por los artículos 3, numeral 5º, y 11, numeral 8º, del Decreto Ley 4170 de 2011,</w:t>
      </w:r>
      <w:r w:rsidRPr="00B33094">
        <w:rPr>
          <w:rFonts w:ascii="Verdana" w:eastAsia="Arial MT" w:hAnsi="Verdana" w:cs="Arial MT"/>
          <w:lang w:val="es-ES" w:eastAsia="es-ES"/>
        </w:rPr>
        <w:t xml:space="preserve"> </w:t>
      </w:r>
      <w:r w:rsidRPr="00B33094">
        <w:rPr>
          <w:rFonts w:ascii="Verdana" w:eastAsia="Aptos" w:hAnsi="Verdana" w:cs="Arial"/>
        </w:rPr>
        <w:t xml:space="preserve">así como lo establecido en el artículo 4 de la Resolución 1707 de 2018 expedida por esta Entidad, </w:t>
      </w:r>
      <w:r w:rsidRPr="00B33094">
        <w:rPr>
          <w:rFonts w:ascii="Verdana" w:eastAsia="Calibri" w:hAnsi="Verdana" w:cs="Arial"/>
          <w:lang w:val="es-ES" w:eastAsia="es-ES"/>
        </w:rPr>
        <w:t xml:space="preserve">la Agencia Nacional de Contratación Pública – Colombia Compra Eficiente– responde su petición del </w:t>
      </w:r>
      <w:r>
        <w:rPr>
          <w:rFonts w:ascii="Verdana" w:eastAsia="Calibri" w:hAnsi="Verdana" w:cs="Arial"/>
          <w:lang w:val="es-ES" w:eastAsia="es-ES"/>
        </w:rPr>
        <w:t>18</w:t>
      </w:r>
      <w:r w:rsidRPr="00B33094">
        <w:rPr>
          <w:rFonts w:ascii="Verdana" w:eastAsia="Calibri" w:hAnsi="Verdana" w:cs="Arial"/>
          <w:lang w:val="es-ES" w:eastAsia="es-ES"/>
        </w:rPr>
        <w:t xml:space="preserve"> de agosto de 2026, en las que realiza la siguiente consulta: </w:t>
      </w:r>
    </w:p>
    <w:p w14:paraId="0D73426A" w14:textId="77777777" w:rsidR="00510B4C" w:rsidRPr="00B33094" w:rsidRDefault="00510B4C" w:rsidP="00510B4C">
      <w:pPr>
        <w:spacing w:after="0" w:line="276" w:lineRule="auto"/>
        <w:jc w:val="both"/>
        <w:rPr>
          <w:rFonts w:ascii="Verdana" w:eastAsia="Calibri" w:hAnsi="Verdana" w:cs="Arial"/>
          <w:lang w:val="es-ES" w:eastAsia="es-ES"/>
        </w:rPr>
      </w:pPr>
    </w:p>
    <w:p w14:paraId="19C78AF7" w14:textId="77777777" w:rsidR="00510B4C" w:rsidRPr="00B33094" w:rsidRDefault="00510B4C" w:rsidP="00510B4C">
      <w:pPr>
        <w:spacing w:after="0" w:line="240" w:lineRule="auto"/>
        <w:ind w:left="709" w:right="709"/>
        <w:jc w:val="both"/>
        <w:rPr>
          <w:rFonts w:ascii="Verdana" w:eastAsia="Calibri" w:hAnsi="Verdana" w:cs="Arial"/>
          <w:sz w:val="20"/>
          <w:szCs w:val="20"/>
          <w:lang w:val="es-MX"/>
        </w:rPr>
      </w:pPr>
      <w:r w:rsidRPr="00B33094">
        <w:rPr>
          <w:rFonts w:ascii="Verdana" w:eastAsia="Calibri" w:hAnsi="Verdana" w:cs="Arial"/>
          <w:sz w:val="20"/>
          <w:szCs w:val="20"/>
          <w:lang w:val="es-MX"/>
        </w:rPr>
        <w:t>“[…]</w:t>
      </w:r>
    </w:p>
    <w:p w14:paraId="172AF0E3" w14:textId="77777777" w:rsidR="00510B4C" w:rsidRDefault="00510B4C" w:rsidP="00510B4C">
      <w:pPr>
        <w:pStyle w:val="Prrafodelista"/>
        <w:numPr>
          <w:ilvl w:val="0"/>
          <w:numId w:val="2"/>
        </w:numPr>
        <w:spacing w:before="120" w:after="0" w:line="240" w:lineRule="auto"/>
        <w:ind w:right="709"/>
        <w:jc w:val="both"/>
        <w:rPr>
          <w:rFonts w:ascii="Verdana" w:hAnsi="Verdana"/>
          <w:sz w:val="20"/>
          <w:szCs w:val="20"/>
        </w:rPr>
      </w:pPr>
      <w:r>
        <w:rPr>
          <w:rFonts w:ascii="Verdana" w:hAnsi="Verdana"/>
          <w:sz w:val="20"/>
          <w:szCs w:val="20"/>
        </w:rPr>
        <w:t>¿Es jurídicamente posible, vía subsanación, a la luz del artículo 5 de la Ley 1150 de 2007, modificado por el artículo 5 de la Ley 1882 de 2018, que un proponente sustituya o reemplace las certificaciones de contratos totalmente diferentes bajo el argumento de que fueron ejecutados antes del cierre del proceso?</w:t>
      </w:r>
    </w:p>
    <w:p w14:paraId="6567EF0F" w14:textId="77777777" w:rsidR="00510B4C" w:rsidRDefault="00510B4C" w:rsidP="00510B4C">
      <w:pPr>
        <w:pStyle w:val="Prrafodelista"/>
        <w:spacing w:before="120" w:after="0" w:line="240" w:lineRule="auto"/>
        <w:ind w:left="1069" w:right="709"/>
        <w:jc w:val="both"/>
        <w:rPr>
          <w:rFonts w:ascii="Verdana" w:hAnsi="Verdana"/>
          <w:sz w:val="20"/>
          <w:szCs w:val="20"/>
        </w:rPr>
      </w:pPr>
    </w:p>
    <w:p w14:paraId="5F4AEDEF" w14:textId="77777777" w:rsidR="00510B4C" w:rsidRDefault="00510B4C" w:rsidP="00510B4C">
      <w:pPr>
        <w:pStyle w:val="Prrafodelista"/>
        <w:numPr>
          <w:ilvl w:val="0"/>
          <w:numId w:val="2"/>
        </w:numPr>
        <w:spacing w:before="120" w:after="0" w:line="240" w:lineRule="auto"/>
        <w:ind w:right="709"/>
        <w:jc w:val="both"/>
        <w:rPr>
          <w:rFonts w:ascii="Verdana" w:hAnsi="Verdana"/>
          <w:sz w:val="20"/>
          <w:szCs w:val="20"/>
        </w:rPr>
      </w:pPr>
      <w:r>
        <w:rPr>
          <w:rFonts w:ascii="Verdana" w:hAnsi="Verdana"/>
          <w:sz w:val="20"/>
          <w:szCs w:val="20"/>
        </w:rPr>
        <w:t xml:space="preserve">¿Solicitar o permitir el cambio de certificaciones de experiencia de contratos ejecutados por los socios (ineficaces para el proponente) por certificaciones de nuevos contratos ejecutados por la persona jurídica </w:t>
      </w:r>
      <w:r>
        <w:rPr>
          <w:rFonts w:ascii="Verdana" w:hAnsi="Verdana"/>
          <w:sz w:val="20"/>
          <w:szCs w:val="20"/>
        </w:rPr>
        <w:lastRenderedPageBreak/>
        <w:t xml:space="preserve">oferente, se enmarca en la figura de la </w:t>
      </w:r>
      <w:proofErr w:type="spellStart"/>
      <w:r>
        <w:rPr>
          <w:rFonts w:ascii="Verdana" w:hAnsi="Verdana"/>
          <w:sz w:val="20"/>
          <w:szCs w:val="20"/>
        </w:rPr>
        <w:t>Subsanabilidad</w:t>
      </w:r>
      <w:proofErr w:type="spellEnd"/>
      <w:r>
        <w:rPr>
          <w:rFonts w:ascii="Verdana" w:hAnsi="Verdana"/>
          <w:sz w:val="20"/>
          <w:szCs w:val="20"/>
        </w:rPr>
        <w:t xml:space="preserve"> o configura una vulneración a la prohibición de mejorar la oferta?</w:t>
      </w:r>
    </w:p>
    <w:p w14:paraId="5896E1B5" w14:textId="77777777" w:rsidR="00510B4C" w:rsidRPr="00166B7D" w:rsidRDefault="00510B4C" w:rsidP="00510B4C">
      <w:pPr>
        <w:pStyle w:val="Prrafodelista"/>
        <w:rPr>
          <w:rFonts w:ascii="Verdana" w:hAnsi="Verdana"/>
          <w:sz w:val="20"/>
          <w:szCs w:val="20"/>
        </w:rPr>
      </w:pPr>
    </w:p>
    <w:p w14:paraId="2F5DCE92" w14:textId="77777777" w:rsidR="00510B4C" w:rsidRPr="00166B7D" w:rsidRDefault="00510B4C" w:rsidP="00510B4C">
      <w:pPr>
        <w:pStyle w:val="Prrafodelista"/>
        <w:numPr>
          <w:ilvl w:val="0"/>
          <w:numId w:val="2"/>
        </w:numPr>
        <w:spacing w:before="120" w:after="0" w:line="240" w:lineRule="auto"/>
        <w:ind w:left="709" w:right="709"/>
        <w:jc w:val="both"/>
        <w:rPr>
          <w:rFonts w:ascii="Verdana" w:eastAsia="Calibri" w:hAnsi="Verdana" w:cs="Arial"/>
          <w:sz w:val="20"/>
          <w:szCs w:val="20"/>
          <w:lang w:val="es-MX"/>
        </w:rPr>
      </w:pPr>
      <w:r w:rsidRPr="00166B7D">
        <w:rPr>
          <w:rFonts w:ascii="Verdana" w:hAnsi="Verdana"/>
          <w:sz w:val="20"/>
          <w:szCs w:val="20"/>
        </w:rPr>
        <w:t>En los procesos de Mínima Cuantía, donde la verificación de requisitos habilitantes es directa, ¿la presentación de contratos que legalmente no pertenecen al oferente faculta a la Entidad a otorgar plazo para aportar nuevos negocios jurídicos, o impone la obligación de rechazar la propuesta por el incumplimiento del requisito habilitante al momento del cierre?”</w:t>
      </w:r>
      <w:r>
        <w:rPr>
          <w:rFonts w:ascii="Verdana" w:hAnsi="Verdana"/>
          <w:sz w:val="20"/>
          <w:szCs w:val="20"/>
        </w:rPr>
        <w:t xml:space="preserve"> </w:t>
      </w:r>
      <w:r w:rsidRPr="00166B7D">
        <w:rPr>
          <w:rFonts w:ascii="Verdana" w:hAnsi="Verdana"/>
          <w:sz w:val="20"/>
          <w:szCs w:val="20"/>
        </w:rPr>
        <w:t>[</w:t>
      </w:r>
      <w:r w:rsidRPr="00166B7D">
        <w:rPr>
          <w:rFonts w:ascii="Verdana" w:eastAsia="Calibri" w:hAnsi="Verdana" w:cs="Arial"/>
          <w:sz w:val="20"/>
          <w:szCs w:val="20"/>
          <w:lang w:val="es-MX"/>
        </w:rPr>
        <w:t>sic]</w:t>
      </w:r>
    </w:p>
    <w:p w14:paraId="3CCA8D82" w14:textId="77777777" w:rsidR="00510B4C" w:rsidRPr="00B33094" w:rsidRDefault="00510B4C" w:rsidP="00510B4C">
      <w:pPr>
        <w:spacing w:after="0" w:line="276" w:lineRule="auto"/>
        <w:jc w:val="both"/>
        <w:rPr>
          <w:rFonts w:ascii="Verdana" w:eastAsia="Calibri" w:hAnsi="Verdana" w:cs="Arial"/>
          <w:lang w:val="es-ES" w:eastAsia="es-ES"/>
        </w:rPr>
      </w:pPr>
    </w:p>
    <w:p w14:paraId="41A37F3B" w14:textId="77777777" w:rsidR="00510B4C" w:rsidRPr="00B33094" w:rsidRDefault="00510B4C" w:rsidP="00510B4C">
      <w:pPr>
        <w:spacing w:after="120" w:line="276" w:lineRule="auto"/>
        <w:jc w:val="both"/>
        <w:rPr>
          <w:rFonts w:ascii="Verdana" w:eastAsia="Calibri" w:hAnsi="Verdana" w:cs="Arial"/>
          <w:lang w:val="es-ES" w:eastAsia="es-ES"/>
        </w:rPr>
      </w:pPr>
      <w:r w:rsidRPr="00B3309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854CD74" w14:textId="77777777" w:rsidR="00510B4C" w:rsidRPr="00B33094" w:rsidRDefault="00510B4C" w:rsidP="00510B4C">
      <w:pPr>
        <w:spacing w:after="0" w:line="276" w:lineRule="auto"/>
        <w:ind w:firstLine="709"/>
        <w:jc w:val="both"/>
        <w:rPr>
          <w:rFonts w:ascii="Verdana" w:eastAsia="Calibri" w:hAnsi="Verdana" w:cs="Arial"/>
          <w:lang w:val="es-ES" w:eastAsia="es-ES"/>
        </w:rPr>
      </w:pPr>
      <w:r w:rsidRPr="00B330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85ABEDF" w14:textId="77777777" w:rsidR="00510B4C" w:rsidRPr="00B33094" w:rsidRDefault="00510B4C" w:rsidP="00510B4C">
      <w:pPr>
        <w:spacing w:after="0" w:line="276" w:lineRule="auto"/>
        <w:ind w:firstLine="709"/>
        <w:jc w:val="both"/>
        <w:rPr>
          <w:rFonts w:ascii="Verdana" w:eastAsia="Calibri" w:hAnsi="Verdana" w:cs="Arial"/>
          <w:lang w:val="es-ES" w:eastAsia="es-ES"/>
        </w:rPr>
      </w:pPr>
    </w:p>
    <w:p w14:paraId="3C5941C9" w14:textId="77777777" w:rsidR="00510B4C" w:rsidRPr="00B33094" w:rsidRDefault="00510B4C" w:rsidP="00510B4C">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33094">
        <w:rPr>
          <w:rFonts w:ascii="Verdana" w:eastAsia="Arial" w:hAnsi="Verdana" w:cs="Arial"/>
          <w:b/>
          <w:bCs/>
          <w:lang w:val="es-ES"/>
        </w:rPr>
        <w:t>1. Problema planteado:</w:t>
      </w:r>
    </w:p>
    <w:p w14:paraId="473D8E84" w14:textId="77777777" w:rsidR="00510B4C" w:rsidRPr="00B33094" w:rsidRDefault="00510B4C" w:rsidP="00510B4C">
      <w:pPr>
        <w:tabs>
          <w:tab w:val="left" w:pos="426"/>
        </w:tabs>
        <w:spacing w:after="0" w:line="276" w:lineRule="auto"/>
        <w:jc w:val="both"/>
        <w:rPr>
          <w:rFonts w:ascii="Verdana" w:eastAsia="Century Gothic" w:hAnsi="Verdana" w:cs="Century Gothic"/>
          <w:lang w:val="es-ES"/>
        </w:rPr>
      </w:pPr>
    </w:p>
    <w:p w14:paraId="1F913745" w14:textId="77777777" w:rsidR="00510B4C" w:rsidRPr="00B33094" w:rsidRDefault="00510B4C" w:rsidP="00510B4C">
      <w:pPr>
        <w:spacing w:after="0"/>
        <w:jc w:val="both"/>
        <w:rPr>
          <w:rFonts w:ascii="Verdana" w:eastAsia="Aptos" w:hAnsi="Verdana" w:cs="Arial"/>
        </w:rPr>
      </w:pPr>
      <w:r w:rsidRPr="00B33094">
        <w:rPr>
          <w:rFonts w:ascii="Verdana" w:eastAsia="Century Gothic" w:hAnsi="Verdana" w:cs="Century Gothic"/>
        </w:rPr>
        <w:t xml:space="preserve">De acuerdo con el contenido de su solicitud, le informamos que la misma se resolverá </w:t>
      </w:r>
      <w:r w:rsidRPr="0019575D">
        <w:rPr>
          <w:rFonts w:ascii="Verdana" w:eastAsia="Century Gothic" w:hAnsi="Verdana" w:cs="Century Gothic"/>
        </w:rPr>
        <w:t xml:space="preserve">desde el siguiente </w:t>
      </w:r>
      <w:bookmarkStart w:id="1" w:name="_Hlk171070029"/>
      <w:r w:rsidRPr="0019575D">
        <w:rPr>
          <w:rFonts w:ascii="Verdana" w:eastAsia="Century Gothic" w:hAnsi="Verdana" w:cs="Century Gothic"/>
        </w:rPr>
        <w:t xml:space="preserve">interrogante: </w:t>
      </w:r>
      <w:r w:rsidRPr="0019575D">
        <w:rPr>
          <w:rFonts w:ascii="Verdana" w:eastAsia="Aptos" w:hAnsi="Verdana" w:cs="Arial"/>
        </w:rPr>
        <w:t>¿Qué aspectos</w:t>
      </w:r>
      <w:r w:rsidRPr="00B33094">
        <w:rPr>
          <w:rFonts w:ascii="Verdana" w:eastAsia="Aptos" w:hAnsi="Verdana" w:cs="Arial"/>
        </w:rPr>
        <w:t xml:space="preserve"> pueden subsanarse en un proceso de contratación pública</w:t>
      </w:r>
      <w:r>
        <w:rPr>
          <w:rFonts w:ascii="Verdana" w:eastAsia="Aptos" w:hAnsi="Verdana" w:cs="Arial"/>
        </w:rPr>
        <w:t xml:space="preserve"> y en qué término</w:t>
      </w:r>
      <w:r w:rsidRPr="00B33094">
        <w:rPr>
          <w:rFonts w:ascii="Verdana" w:eastAsia="Aptos" w:hAnsi="Verdana" w:cs="Arial"/>
        </w:rPr>
        <w:t>?</w:t>
      </w:r>
    </w:p>
    <w:p w14:paraId="21021953" w14:textId="77777777" w:rsidR="00510B4C" w:rsidRPr="00B33094" w:rsidRDefault="00510B4C" w:rsidP="00510B4C">
      <w:pPr>
        <w:spacing w:after="0"/>
        <w:jc w:val="both"/>
        <w:rPr>
          <w:rFonts w:ascii="Verdana" w:eastAsia="Aptos" w:hAnsi="Verdana" w:cs="Arial"/>
        </w:rPr>
      </w:pPr>
    </w:p>
    <w:bookmarkEnd w:id="1"/>
    <w:p w14:paraId="68925506" w14:textId="77777777" w:rsidR="00510B4C" w:rsidRPr="00B33094" w:rsidRDefault="00510B4C" w:rsidP="00510B4C">
      <w:pPr>
        <w:widowControl w:val="0"/>
        <w:autoSpaceDE w:val="0"/>
        <w:autoSpaceDN w:val="0"/>
        <w:spacing w:before="1" w:after="0" w:line="240" w:lineRule="auto"/>
        <w:jc w:val="both"/>
        <w:outlineLvl w:val="0"/>
        <w:rPr>
          <w:rFonts w:ascii="Verdana" w:eastAsia="Arial" w:hAnsi="Verdana" w:cs="Arial"/>
          <w:b/>
          <w:bCs/>
          <w:lang w:val="es-ES"/>
        </w:rPr>
      </w:pPr>
      <w:r w:rsidRPr="00B33094">
        <w:rPr>
          <w:rFonts w:ascii="Verdana" w:eastAsia="Arial" w:hAnsi="Verdana" w:cs="Arial"/>
          <w:b/>
          <w:bCs/>
          <w:lang w:val="es-ES"/>
        </w:rPr>
        <w:t>2. Respuesta:</w:t>
      </w:r>
    </w:p>
    <w:p w14:paraId="50D4B925" w14:textId="77777777" w:rsidR="00510B4C" w:rsidRPr="00B33094" w:rsidRDefault="00510B4C" w:rsidP="00510B4C">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0B4C" w:rsidRPr="00B33094" w14:paraId="1F7ADA83" w14:textId="77777777" w:rsidTr="00740A85">
        <w:tc>
          <w:tcPr>
            <w:tcW w:w="8828" w:type="dxa"/>
          </w:tcPr>
          <w:p w14:paraId="0BCFA4D9" w14:textId="77777777" w:rsidR="00510B4C" w:rsidRPr="0019575D" w:rsidRDefault="00510B4C" w:rsidP="00740A85">
            <w:pPr>
              <w:jc w:val="both"/>
              <w:rPr>
                <w:rFonts w:ascii="Verdana" w:eastAsia="Aptos" w:hAnsi="Verdana" w:cs="Arial"/>
                <w:kern w:val="2"/>
                <w14:ligatures w14:val="standardContextual"/>
              </w:rPr>
            </w:pPr>
            <w:bookmarkStart w:id="2" w:name="_Hlk171067516"/>
            <w:r w:rsidRPr="0019575D">
              <w:rPr>
                <w:rFonts w:ascii="Verdana" w:eastAsia="Aptos" w:hAnsi="Verdana" w:cs="Arial"/>
                <w:kern w:val="2"/>
                <w14:ligatures w14:val="standardContextual"/>
              </w:rPr>
              <w:lastRenderedPageBreak/>
              <w:t>De acuerdo con lo establecido en el parágrafo 1° del artículo 5 de la Ley 1150 de 2007, se tiene que “[…],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37F3DB98" w14:textId="77777777" w:rsidR="00510B4C" w:rsidRPr="00B33094" w:rsidRDefault="00510B4C" w:rsidP="00740A85">
            <w:pPr>
              <w:pBdr>
                <w:top w:val="nil"/>
                <w:left w:val="nil"/>
                <w:bottom w:val="nil"/>
                <w:right w:val="nil"/>
                <w:between w:val="nil"/>
              </w:pBdr>
              <w:tabs>
                <w:tab w:val="left" w:pos="284"/>
              </w:tabs>
              <w:spacing w:before="120" w:after="120" w:line="276" w:lineRule="auto"/>
              <w:ind w:firstLine="709"/>
              <w:jc w:val="both"/>
              <w:rPr>
                <w:rFonts w:ascii="Verdana" w:eastAsia="Arial" w:hAnsi="Verdana" w:cs="Arial"/>
              </w:rPr>
            </w:pPr>
            <w:r>
              <w:rPr>
                <w:rFonts w:ascii="Verdana" w:eastAsia="Arial" w:hAnsi="Verdana" w:cs="Arial"/>
              </w:rPr>
              <w:t xml:space="preserve">Sin embargo, resulta a bien aclarar, que la norma en cita realiza tal precisión respecto de los procesos de selección adelantados bajo la modalidad de Mínima Cuantía, por cuanto a la luz del numeral 5 del artículo 2.2.1.2.1.5.2 del Decreto 1082 de 2015, los términos para subsanar las ofertas en este tipo de procesos se aplican de manera diferente, pues de acuerdo con dicha disposición “[l]a Entidad Estatal debe revisar las ofertas económicas y verificar que la de menor precio cumple con las condiciones de la invitación. Si esta no cumple, la Entidad Estatal debe verificar el cumplimiento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w:t>
            </w:r>
            <w:r w:rsidRPr="008B40B3">
              <w:rPr>
                <w:rFonts w:ascii="Verdana" w:eastAsia="Arial" w:hAnsi="Verdana" w:cs="Arial"/>
              </w:rPr>
              <w:t>En caso de que no se establezca este término, los proponentes podrán subsanar sus ofertas hasta antes de que finalice el traslado del informe de evaluación”</w:t>
            </w:r>
            <w:r>
              <w:rPr>
                <w:rFonts w:ascii="Verdana" w:eastAsia="Arial" w:hAnsi="Verdana" w:cs="Arial"/>
              </w:rPr>
              <w:t xml:space="preserve">. </w:t>
            </w:r>
          </w:p>
          <w:p w14:paraId="213C29FE" w14:textId="77777777" w:rsidR="00510B4C" w:rsidRPr="0019575D" w:rsidRDefault="00510B4C" w:rsidP="00740A85">
            <w:pPr>
              <w:spacing w:before="120" w:line="278" w:lineRule="auto"/>
              <w:ind w:firstLine="709"/>
              <w:jc w:val="both"/>
              <w:rPr>
                <w:rFonts w:ascii="Verdana" w:eastAsia="Aptos" w:hAnsi="Verdana" w:cs="Arial"/>
                <w:kern w:val="2"/>
                <w14:ligatures w14:val="standardContextual"/>
              </w:rPr>
            </w:pPr>
            <w:r w:rsidRPr="0019575D">
              <w:rPr>
                <w:rFonts w:ascii="Verdana" w:eastAsia="Aptos" w:hAnsi="Verdana" w:cs="Arial"/>
                <w:kern w:val="2"/>
                <w14:ligatures w14:val="standardContextua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C23AB99" w14:textId="77777777" w:rsidR="00510B4C" w:rsidRPr="000B1361" w:rsidRDefault="00510B4C" w:rsidP="00740A85">
            <w:pPr>
              <w:spacing w:before="120" w:line="278" w:lineRule="auto"/>
              <w:ind w:firstLine="708"/>
              <w:jc w:val="both"/>
              <w:rPr>
                <w:rFonts w:ascii="Verdana" w:eastAsia="Aptos" w:hAnsi="Verdana" w:cs="Arial"/>
                <w:kern w:val="2"/>
                <w:sz w:val="24"/>
                <w:szCs w:val="24"/>
                <w14:ligatures w14:val="standardContextual"/>
              </w:rPr>
            </w:pPr>
            <w:r w:rsidRPr="0019575D">
              <w:rPr>
                <w:rFonts w:ascii="Verdana" w:eastAsia="Aptos" w:hAnsi="Verdana" w:cs="Arial"/>
                <w:kern w:val="2"/>
                <w14:ligatures w14:val="standardContextual"/>
              </w:rPr>
              <w:lastRenderedPageBreak/>
              <w:t xml:space="preserve">En síntesis y para un mejor entendimiento del significado de la expresión “circunstancias ocurridas con posterioridad al cierre del proceso” lleva necesariamente a distinguir entre la prueba de un hecho y el hecho mismo. En el caso de la </w:t>
            </w:r>
            <w:proofErr w:type="spellStart"/>
            <w:r w:rsidRPr="0019575D">
              <w:rPr>
                <w:rFonts w:ascii="Verdana" w:eastAsia="Aptos" w:hAnsi="Verdana" w:cs="Arial"/>
                <w:kern w:val="2"/>
                <w14:ligatures w14:val="standardContextual"/>
              </w:rPr>
              <w:t>subsanabilidad</w:t>
            </w:r>
            <w:proofErr w:type="spellEnd"/>
            <w:r w:rsidRPr="0019575D">
              <w:rPr>
                <w:rFonts w:ascii="Verdana" w:eastAsia="Aptos" w:hAnsi="Verdana" w:cs="Arial"/>
                <w:kern w:val="2"/>
                <w14:ligatures w14:val="standardContextua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w:t>
            </w:r>
          </w:p>
        </w:tc>
      </w:tr>
      <w:bookmarkEnd w:id="2"/>
    </w:tbl>
    <w:p w14:paraId="471D8378" w14:textId="77777777" w:rsidR="00510B4C" w:rsidRPr="00B33094" w:rsidRDefault="00510B4C" w:rsidP="00510B4C">
      <w:pPr>
        <w:widowControl w:val="0"/>
        <w:autoSpaceDE w:val="0"/>
        <w:autoSpaceDN w:val="0"/>
        <w:spacing w:before="1" w:after="0" w:line="240" w:lineRule="auto"/>
        <w:ind w:left="360" w:hanging="360"/>
        <w:outlineLvl w:val="0"/>
        <w:rPr>
          <w:rFonts w:ascii="Verdana" w:eastAsia="Arial" w:hAnsi="Verdana" w:cs="Arial"/>
          <w:b/>
        </w:rPr>
      </w:pPr>
    </w:p>
    <w:p w14:paraId="52496F0E" w14:textId="77777777" w:rsidR="00510B4C" w:rsidRPr="00B33094" w:rsidRDefault="00510B4C" w:rsidP="00510B4C">
      <w:pPr>
        <w:widowControl w:val="0"/>
        <w:autoSpaceDE w:val="0"/>
        <w:autoSpaceDN w:val="0"/>
        <w:spacing w:before="1" w:after="0" w:line="240" w:lineRule="auto"/>
        <w:ind w:left="360" w:hanging="360"/>
        <w:outlineLvl w:val="0"/>
        <w:rPr>
          <w:rFonts w:ascii="Verdana" w:eastAsia="Arial" w:hAnsi="Verdana" w:cs="Arial"/>
          <w:b/>
          <w:bCs/>
          <w:lang w:val="es-ES"/>
        </w:rPr>
      </w:pPr>
      <w:r w:rsidRPr="00B33094">
        <w:rPr>
          <w:rFonts w:ascii="Verdana" w:eastAsia="Arial" w:hAnsi="Verdana" w:cs="Arial"/>
          <w:b/>
          <w:bCs/>
          <w:lang w:val="es-ES"/>
        </w:rPr>
        <w:t>3. Razones de la respuesta</w:t>
      </w:r>
    </w:p>
    <w:p w14:paraId="66364B78" w14:textId="77777777" w:rsidR="00510B4C" w:rsidRPr="00B33094" w:rsidRDefault="00510B4C" w:rsidP="00510B4C">
      <w:pPr>
        <w:spacing w:after="0" w:line="276" w:lineRule="auto"/>
        <w:jc w:val="both"/>
        <w:rPr>
          <w:rFonts w:ascii="Verdana" w:eastAsia="Calibri" w:hAnsi="Verdana" w:cs="Arial"/>
          <w:lang w:val="es-ES"/>
        </w:rPr>
      </w:pPr>
    </w:p>
    <w:p w14:paraId="4BFA1D33" w14:textId="77777777" w:rsidR="00510B4C" w:rsidRPr="00B33094" w:rsidRDefault="00510B4C" w:rsidP="00510B4C">
      <w:pPr>
        <w:spacing w:after="0" w:line="276" w:lineRule="auto"/>
        <w:jc w:val="both"/>
        <w:rPr>
          <w:rFonts w:ascii="Verdana" w:eastAsia="Calibri" w:hAnsi="Verdana" w:cs="Arial"/>
          <w:lang w:val="es-ES"/>
        </w:rPr>
      </w:pPr>
      <w:r w:rsidRPr="00B33094">
        <w:rPr>
          <w:rFonts w:ascii="Verdana" w:eastAsia="Calibri" w:hAnsi="Verdana" w:cs="Arial"/>
          <w:lang w:val="es-ES"/>
        </w:rPr>
        <w:t xml:space="preserve">Las respuestas anteriores se sustentan en las siguientes consideraciones: </w:t>
      </w:r>
    </w:p>
    <w:p w14:paraId="553F08DD" w14:textId="77777777" w:rsidR="00510B4C" w:rsidRPr="00B33094" w:rsidRDefault="00510B4C" w:rsidP="00510B4C">
      <w:pPr>
        <w:spacing w:after="0" w:line="276" w:lineRule="auto"/>
        <w:jc w:val="both"/>
        <w:rPr>
          <w:rFonts w:ascii="Verdana" w:eastAsia="Calibri" w:hAnsi="Verdana" w:cs="Arial"/>
          <w:lang w:val="es-ES"/>
        </w:rPr>
      </w:pPr>
    </w:p>
    <w:p w14:paraId="6E43F03B" w14:textId="77777777" w:rsidR="00510B4C" w:rsidRPr="00B33094" w:rsidRDefault="00510B4C" w:rsidP="00510B4C">
      <w:pPr>
        <w:pBdr>
          <w:top w:val="nil"/>
          <w:left w:val="nil"/>
          <w:bottom w:val="nil"/>
          <w:right w:val="nil"/>
          <w:between w:val="nil"/>
        </w:pBdr>
        <w:spacing w:after="0" w:line="276" w:lineRule="auto"/>
        <w:jc w:val="both"/>
        <w:rPr>
          <w:rFonts w:ascii="Verdana" w:eastAsia="Quattrocento Sans" w:hAnsi="Verdana" w:cs="Quattrocento Sans"/>
        </w:rPr>
      </w:pPr>
      <w:r>
        <w:rPr>
          <w:rFonts w:ascii="Verdana" w:eastAsia="Calibri" w:hAnsi="Verdana" w:cs="Arial"/>
          <w:bCs/>
        </w:rPr>
        <w:t>L</w:t>
      </w:r>
      <w:r w:rsidRPr="00B33094">
        <w:rPr>
          <w:rFonts w:ascii="Verdana" w:eastAsia="Calibri" w:hAnsi="Verdana" w:cs="Arial"/>
          <w:bCs/>
        </w:rPr>
        <w:t xml:space="preserve">a </w:t>
      </w:r>
      <w:r w:rsidRPr="00B33094">
        <w:rPr>
          <w:rFonts w:ascii="Verdana" w:eastAsia="Arial" w:hAnsi="Verdana" w:cs="Arial"/>
        </w:rPr>
        <w:t xml:space="preserve">Subdirección de Gestión Contractual de esta Agencia se ha pronunciado en diversas oportunidades acerca del alcance de la regla de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contenida actualmente en el artículo 5 de la Ley 1150 de 2007. Al respecto, la postura que se reitera en el presente concepto es la siguiente: por regla general, son subsanables i) la falta de entrega o </w:t>
      </w:r>
      <w:proofErr w:type="spellStart"/>
      <w:r w:rsidRPr="00B33094">
        <w:rPr>
          <w:rFonts w:ascii="Verdana" w:eastAsia="Arial" w:hAnsi="Verdana" w:cs="Arial"/>
        </w:rPr>
        <w:t>ii</w:t>
      </w:r>
      <w:proofErr w:type="spellEnd"/>
      <w:r w:rsidRPr="00B33094">
        <w:rPr>
          <w:rFonts w:ascii="Verdana" w:eastAsia="Arial" w:hAnsi="Verdana" w:cs="Arial"/>
        </w:rPr>
        <w:t xml:space="preserve">) los defectos de los requisitos habilitantes. La excepción se encuentra en los casos, previstos en la ley, que limitan la </w:t>
      </w:r>
      <w:proofErr w:type="spellStart"/>
      <w:r w:rsidRPr="00B33094">
        <w:rPr>
          <w:rFonts w:ascii="Verdana" w:eastAsia="Arial" w:hAnsi="Verdana" w:cs="Arial"/>
        </w:rPr>
        <w:t>subsanabilidad</w:t>
      </w:r>
      <w:proofErr w:type="spellEnd"/>
      <w:r w:rsidRPr="00B33094">
        <w:rPr>
          <w:rFonts w:ascii="Verdana" w:eastAsia="Arial" w:hAnsi="Verdana" w:cs="Arial"/>
        </w:rPr>
        <w:t>, es decir, en la prohibición de permitir la entrega de la garantía de seriedad de la oferta que no fue aportada con la propuesta y de valer la acreditación de circunstancias ocurridas con posterioridad al cierre del proceso.</w:t>
      </w:r>
    </w:p>
    <w:p w14:paraId="3F64017E" w14:textId="77777777" w:rsidR="00510B4C" w:rsidRPr="00B33094" w:rsidRDefault="00510B4C" w:rsidP="00510B4C">
      <w:pPr>
        <w:spacing w:before="120" w:after="120" w:line="276" w:lineRule="auto"/>
        <w:ind w:firstLine="709"/>
        <w:jc w:val="both"/>
        <w:rPr>
          <w:rFonts w:ascii="Verdana" w:eastAsia="Arial" w:hAnsi="Verdana" w:cs="Arial"/>
        </w:rPr>
      </w:pPr>
      <w:r w:rsidRPr="00B33094">
        <w:rPr>
          <w:rFonts w:ascii="Verdana" w:eastAsia="Arial" w:hAnsi="Verdana" w:cs="Arial"/>
        </w:rPr>
        <w:t xml:space="preserve">En ese sentido, el parágrafo 1º del artículo 5 ibidem, determinó lo siguiente: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7A9A1490" w14:textId="77777777" w:rsidR="00510B4C" w:rsidRPr="00B33094" w:rsidRDefault="00510B4C" w:rsidP="00510B4C">
      <w:pPr>
        <w:spacing w:after="120" w:line="276" w:lineRule="auto"/>
        <w:ind w:firstLine="709"/>
        <w:jc w:val="both"/>
        <w:rPr>
          <w:rFonts w:ascii="Verdana" w:eastAsia="Calibri" w:hAnsi="Verdana" w:cs="Times New Roman"/>
        </w:rPr>
      </w:pPr>
      <w:r w:rsidRPr="00B33094">
        <w:rPr>
          <w:rFonts w:ascii="Verdana" w:eastAsia="Arial" w:hAnsi="Verdana" w:cs="Arial"/>
        </w:rPr>
        <w:t xml:space="preserve">A partir de la Ley 1150 de 2007, la Administración contó con un criterio más claro y determinado para saber si la ausencia de documentos o requisitos de la oferta conlleva a su rechazo o al requerimiento del proponente para que lo </w:t>
      </w:r>
      <w:r w:rsidRPr="00B33094">
        <w:rPr>
          <w:rFonts w:ascii="Verdana" w:eastAsia="Arial" w:hAnsi="Verdana" w:cs="Arial"/>
        </w:rPr>
        <w:lastRenderedPageBreak/>
        <w:t xml:space="preserve">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0413D7B2" w14:textId="77777777" w:rsidR="00510B4C" w:rsidRPr="00B33094" w:rsidRDefault="00510B4C" w:rsidP="00510B4C">
      <w:pPr>
        <w:spacing w:after="0" w:line="276" w:lineRule="auto"/>
        <w:ind w:firstLine="709"/>
        <w:jc w:val="both"/>
        <w:rPr>
          <w:rFonts w:ascii="Verdana" w:eastAsia="Arial" w:hAnsi="Verdana" w:cs="Arial"/>
        </w:rPr>
      </w:pPr>
      <w:r w:rsidRPr="00B33094">
        <w:rPr>
          <w:rFonts w:ascii="Verdana" w:eastAsia="Arial" w:hAnsi="Verdana" w:cs="Arial"/>
        </w:rPr>
        <w:t>El artículo 5 de la Ley 1150 de 2007, además de consagrar un criterio más claro, y, de paso, reducir la discrecionalidad de la Administración, fijó un ámbito temporal para la subsanación de las ofertas: “</w:t>
      </w:r>
      <w:r w:rsidRPr="00B33094">
        <w:rPr>
          <w:rFonts w:ascii="Verdana" w:eastAsia="Arial" w:hAnsi="Verdana" w:cs="Arial"/>
          <w:i/>
        </w:rPr>
        <w:t>en cualquier momento, hasta la adjudicación</w:t>
      </w:r>
      <w:r w:rsidRPr="00B33094">
        <w:rPr>
          <w:rFonts w:ascii="Verdana" w:eastAsia="Arial" w:hAnsi="Verdana" w:cs="Aria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846730D" w14:textId="77777777" w:rsidR="00510B4C" w:rsidRPr="00B33094" w:rsidRDefault="00510B4C" w:rsidP="00510B4C">
      <w:pPr>
        <w:spacing w:after="0" w:line="276" w:lineRule="auto"/>
        <w:jc w:val="both"/>
        <w:rPr>
          <w:rFonts w:ascii="Verdana" w:eastAsia="Arial" w:hAnsi="Verdana" w:cs="Arial"/>
        </w:rPr>
      </w:pPr>
    </w:p>
    <w:p w14:paraId="11B873B8" w14:textId="77777777" w:rsidR="00510B4C" w:rsidRPr="00B33094" w:rsidRDefault="00510B4C" w:rsidP="00510B4C">
      <w:pPr>
        <w:spacing w:after="0" w:line="240" w:lineRule="auto"/>
        <w:ind w:left="709" w:right="709"/>
        <w:jc w:val="both"/>
        <w:rPr>
          <w:rFonts w:ascii="Verdana" w:eastAsia="Arial" w:hAnsi="Verdana" w:cs="Arial"/>
          <w:sz w:val="20"/>
          <w:szCs w:val="20"/>
        </w:rPr>
      </w:pPr>
      <w:r w:rsidRPr="00B33094">
        <w:rPr>
          <w:rFonts w:ascii="Verdana" w:eastAsia="Arial" w:hAnsi="Verdana" w:cs="Arial"/>
          <w:sz w:val="20"/>
          <w:szCs w:val="20"/>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B33094">
        <w:rPr>
          <w:rFonts w:ascii="Verdana" w:eastAsia="Arial" w:hAnsi="Verdana" w:cs="Arial"/>
          <w:sz w:val="20"/>
          <w:szCs w:val="20"/>
          <w:vertAlign w:val="superscript"/>
        </w:rPr>
        <w:footnoteReference w:id="1"/>
      </w:r>
      <w:r w:rsidRPr="00B33094">
        <w:rPr>
          <w:rFonts w:ascii="Verdana" w:eastAsia="Arial" w:hAnsi="Verdana" w:cs="Arial"/>
          <w:sz w:val="20"/>
          <w:szCs w:val="20"/>
        </w:rPr>
        <w:t>.</w:t>
      </w:r>
    </w:p>
    <w:p w14:paraId="6C3C23F2" w14:textId="77777777" w:rsidR="00510B4C" w:rsidRPr="00B33094" w:rsidRDefault="00510B4C" w:rsidP="00510B4C">
      <w:pPr>
        <w:spacing w:after="0" w:line="276" w:lineRule="auto"/>
        <w:jc w:val="both"/>
        <w:rPr>
          <w:rFonts w:ascii="Verdana" w:eastAsia="Arial" w:hAnsi="Verdana" w:cs="Arial"/>
          <w:b/>
        </w:rPr>
      </w:pPr>
    </w:p>
    <w:p w14:paraId="5A3BED67" w14:textId="77777777" w:rsidR="00510B4C" w:rsidRPr="00B33094" w:rsidRDefault="00510B4C" w:rsidP="00510B4C">
      <w:pPr>
        <w:pBdr>
          <w:top w:val="nil"/>
          <w:left w:val="nil"/>
          <w:bottom w:val="nil"/>
          <w:right w:val="nil"/>
          <w:between w:val="nil"/>
        </w:pBdr>
        <w:tabs>
          <w:tab w:val="left" w:pos="284"/>
        </w:tabs>
        <w:spacing w:after="120" w:line="276" w:lineRule="auto"/>
        <w:ind w:firstLine="709"/>
        <w:jc w:val="both"/>
        <w:rPr>
          <w:rFonts w:ascii="Verdana" w:eastAsia="Arial" w:hAnsi="Verdana" w:cs="Arial"/>
        </w:rPr>
      </w:pPr>
      <w:r w:rsidRPr="00B33094">
        <w:rPr>
          <w:rFonts w:ascii="Verdana" w:eastAsia="Arial" w:hAnsi="Verdana" w:cs="Arial"/>
        </w:rPr>
        <w:t>Esa interpretación fue compartida por la Agencia Nacional de Contratación Pública – Colombia Compra Eficiente, pues en la Circular Externa Única</w:t>
      </w:r>
      <w:r w:rsidRPr="00B33094">
        <w:rPr>
          <w:rFonts w:ascii="Verdana" w:eastAsia="Arial" w:hAnsi="Verdana" w:cs="Arial"/>
          <w:vertAlign w:val="superscript"/>
        </w:rPr>
        <w:footnoteReference w:id="2"/>
      </w:r>
      <w:r w:rsidRPr="00B33094">
        <w:rPr>
          <w:rFonts w:ascii="Verdana" w:eastAsia="Arial" w:hAnsi="Verdana" w:cs="Arial"/>
        </w:rPr>
        <w:t xml:space="preserve"> se había precisado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480F773D" w14:textId="77777777" w:rsidR="00510B4C" w:rsidRDefault="00510B4C" w:rsidP="00510B4C">
      <w:pPr>
        <w:pBdr>
          <w:top w:val="nil"/>
          <w:left w:val="nil"/>
          <w:bottom w:val="nil"/>
          <w:right w:val="nil"/>
          <w:between w:val="nil"/>
        </w:pBdr>
        <w:tabs>
          <w:tab w:val="left" w:pos="284"/>
        </w:tabs>
        <w:spacing w:after="120" w:line="276" w:lineRule="auto"/>
        <w:ind w:firstLine="709"/>
        <w:jc w:val="both"/>
        <w:rPr>
          <w:rFonts w:ascii="Verdana" w:eastAsia="Arial" w:hAnsi="Verdana" w:cs="Arial"/>
        </w:rPr>
      </w:pPr>
      <w:r w:rsidRPr="00B33094">
        <w:rPr>
          <w:rFonts w:ascii="Verdana" w:eastAsia="Arial" w:hAnsi="Verdana" w:cs="Arial"/>
        </w:rPr>
        <w:t xml:space="preserve">Sin embargo, el artículo 5 de la Ley 1882 de 2018 modificó el parágrafo 1º del artículo 5 de la Ley 1150 de 2007 en los siguientes términos: “La ausencia </w:t>
      </w:r>
      <w:r w:rsidRPr="00B33094">
        <w:rPr>
          <w:rFonts w:ascii="Verdana" w:eastAsia="Arial" w:hAnsi="Verdana" w:cs="Arial"/>
        </w:rPr>
        <w:lastRenderedPageBreak/>
        <w:t xml:space="preserve">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45E2B71" w14:textId="77777777" w:rsidR="00510B4C" w:rsidRPr="00B33094" w:rsidRDefault="00510B4C" w:rsidP="00510B4C">
      <w:pPr>
        <w:pBdr>
          <w:top w:val="nil"/>
          <w:left w:val="nil"/>
          <w:bottom w:val="nil"/>
          <w:right w:val="nil"/>
          <w:between w:val="nil"/>
        </w:pBdr>
        <w:tabs>
          <w:tab w:val="left" w:pos="284"/>
        </w:tabs>
        <w:spacing w:after="120" w:line="276" w:lineRule="auto"/>
        <w:ind w:firstLine="709"/>
        <w:jc w:val="both"/>
        <w:rPr>
          <w:rFonts w:ascii="Verdana" w:eastAsia="Arial" w:hAnsi="Verdana" w:cs="Arial"/>
        </w:rPr>
      </w:pPr>
      <w:r>
        <w:rPr>
          <w:rFonts w:ascii="Verdana" w:eastAsia="Arial" w:hAnsi="Verdana" w:cs="Arial"/>
        </w:rPr>
        <w:t xml:space="preserve">Hasta este punto, resulta a bien aclarar, que la norma en cita realiza tal precisión respecto de los procesos de selección adelantados bajo la modalidad de Mínima Cuantía, por cuanto a la luz del numeral 5 del artículo 2.2.1.2.1.5.2 del Decreto 1082 de 2015, los términos para subsanar las ofertas en este tipo de procesos se aplican de manera diferente, pues de acuerdo con dicha disposición “[l]a Entidad Estatal debe revisar las ofertas económicas y verificar que la de menor precio cumple con las condiciones de la invitación. Si esta no cumple, la Entidad Estatal debe verificar el cumplimiento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w:t>
      </w:r>
      <w:r w:rsidRPr="008B40B3">
        <w:rPr>
          <w:rFonts w:ascii="Verdana" w:eastAsia="Arial" w:hAnsi="Verdana" w:cs="Arial"/>
        </w:rPr>
        <w:t>En caso de que no se establezca este término, los proponentes podrán subsanar sus ofertas hasta antes de que finalice el traslado del informe de evaluación”</w:t>
      </w:r>
      <w:r>
        <w:rPr>
          <w:rFonts w:ascii="Verdana" w:eastAsia="Arial" w:hAnsi="Verdana" w:cs="Arial"/>
        </w:rPr>
        <w:t xml:space="preserve">. </w:t>
      </w:r>
    </w:p>
    <w:p w14:paraId="7BB53E14"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De esta forma, la Ley 1882 de 2018 fijó el ámbito temporal para ejercer la facultad de subsanar la oferta, pues dispuso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w:t>
      </w:r>
      <w:r w:rsidRPr="00B33094">
        <w:rPr>
          <w:rFonts w:ascii="Verdana" w:eastAsia="Arial" w:hAnsi="Verdana" w:cs="Arial"/>
        </w:rPr>
        <w:lastRenderedPageBreak/>
        <w:t>y para el proceso de selección a través del sistema de subasta</w:t>
      </w:r>
      <w:r w:rsidRPr="00B33094">
        <w:rPr>
          <w:rFonts w:ascii="Verdana" w:eastAsia="Arial" w:hAnsi="Verdana" w:cs="Arial"/>
          <w:vertAlign w:val="superscript"/>
        </w:rPr>
        <w:footnoteReference w:id="3"/>
      </w:r>
      <w:r w:rsidRPr="00B33094">
        <w:rPr>
          <w:rFonts w:ascii="Verdana" w:eastAsia="Arial" w:hAnsi="Verdana" w:cs="Arial"/>
        </w:rPr>
        <w:t>; en el último los documentos o requisitos subsanables pueden y deben solicitarse hasta el momento previo a su realización.</w:t>
      </w:r>
    </w:p>
    <w:p w14:paraId="731B6FA9"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las Entidades Estatales contratantes soliciten a los oferentes subsanar y que estos lo hagan hasta antes del término del traslado del informe de evaluación.</w:t>
      </w:r>
    </w:p>
    <w:p w14:paraId="7E97A3E5"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No obstante, de la lectura de este aparte podrían, en la práctica, darse dos (2) interpretaciones que dan lugar a dos (2) formas de proceder en los procesos de selección, en lo que se refiere a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de las ofertas. </w:t>
      </w:r>
      <w:r w:rsidRPr="00B33094">
        <w:rPr>
          <w:rFonts w:ascii="Verdana" w:eastAsia="Arial" w:hAnsi="Verdana" w:cs="Arial"/>
          <w:i/>
        </w:rPr>
        <w:t>Primera</w:t>
      </w:r>
      <w:r w:rsidRPr="00B33094">
        <w:rPr>
          <w:rFonts w:ascii="Verdana" w:eastAsia="Arial" w:hAnsi="Verdana" w:cs="Aria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B33094">
        <w:rPr>
          <w:rFonts w:ascii="Verdana" w:eastAsia="Arial" w:hAnsi="Verdana" w:cs="Arial"/>
          <w:i/>
        </w:rPr>
        <w:t>segunda</w:t>
      </w:r>
      <w:r w:rsidRPr="00B33094">
        <w:rPr>
          <w:rFonts w:ascii="Verdana" w:eastAsia="Arial" w:hAnsi="Verdana" w:cs="Arial"/>
        </w:rPr>
        <w:t xml:space="preserve">, que el término del traslado del informe de evaluación es el límite para la subsanación de ofertas, pero no el único momento para hacerlo. </w:t>
      </w:r>
    </w:p>
    <w:p w14:paraId="1A7791FD"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De acuerdo con la primera interpretación, el informe de evaluación se convierte en la oportunidad que adopta la Entidad Estatal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78284BE2"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lastRenderedPageBreak/>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CF4070D"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Así pues, la modificación introducida por el artículo 5 de la Ley 1882 de 2018, si bien pudo significar, en la práctica de los procesos de selección, que el informe de evaluación fuera la oportunidad de la Entidad Estatal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entidad advierta el defecto le solicite directamente al oferente que subsane. Esta interpretación es más consistente con los principios de economía, transparencia y selección objetiva. </w:t>
      </w:r>
    </w:p>
    <w:p w14:paraId="78BF5190"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De otro lado, el </w:t>
      </w:r>
      <w:r w:rsidRPr="00B33094">
        <w:rPr>
          <w:rFonts w:ascii="Verdana" w:eastAsia="Arial" w:hAnsi="Verdana" w:cs="Arial"/>
          <w:i/>
          <w:iCs/>
        </w:rPr>
        <w:t>segundo</w:t>
      </w:r>
      <w:r w:rsidRPr="00B33094">
        <w:rPr>
          <w:rFonts w:ascii="Verdana" w:eastAsia="Arial" w:hAnsi="Verdana" w:cs="Arial"/>
        </w:rPr>
        <w:t xml:space="preserve"> cambio importante de la Ley 1882 de 2018 fue la introducción de un criterio material, directamente relacionado con los aspectos subsanables: “los proponentes no podrán acreditar circunstancias ocurridas con posterioridad al cierre del proceso”</w:t>
      </w:r>
      <w:r w:rsidRPr="00B33094">
        <w:rPr>
          <w:rFonts w:ascii="Verdana" w:eastAsia="Arial" w:hAnsi="Verdana" w:cs="Arial"/>
          <w:i/>
        </w:rPr>
        <w:t>.</w:t>
      </w:r>
      <w:r w:rsidRPr="00B33094">
        <w:rPr>
          <w:rFonts w:ascii="Verdana" w:eastAsia="Arial" w:hAnsi="Verdana" w:cs="Arial"/>
        </w:rPr>
        <w:t xml:space="preserve"> Lo anterior ofrece dos (2) aspectos que merecen clarificación: </w:t>
      </w:r>
      <w:r w:rsidRPr="00B33094">
        <w:rPr>
          <w:rFonts w:ascii="Verdana" w:eastAsia="Arial" w:hAnsi="Verdana" w:cs="Arial"/>
          <w:i/>
        </w:rPr>
        <w:t>primero</w:t>
      </w:r>
      <w:r w:rsidRPr="00B33094">
        <w:rPr>
          <w:rFonts w:ascii="Verdana" w:eastAsia="Arial" w:hAnsi="Verdana" w:cs="Arial"/>
        </w:rPr>
        <w:t xml:space="preserve">, qué debe entenderse por circunstancias ocurridas con posterioridad; y </w:t>
      </w:r>
      <w:r w:rsidRPr="00B33094">
        <w:rPr>
          <w:rFonts w:ascii="Verdana" w:eastAsia="Arial" w:hAnsi="Verdana" w:cs="Arial"/>
          <w:i/>
        </w:rPr>
        <w:t>segundo</w:t>
      </w:r>
      <w:r w:rsidRPr="00B33094">
        <w:rPr>
          <w:rFonts w:ascii="Verdana" w:eastAsia="Arial" w:hAnsi="Verdana" w:cs="Arial"/>
        </w:rPr>
        <w:t>, qué es el cierre del proceso.</w:t>
      </w:r>
    </w:p>
    <w:p w14:paraId="5EA90B54" w14:textId="77777777" w:rsidR="00510B4C" w:rsidRPr="00B33094" w:rsidRDefault="00510B4C" w:rsidP="00510B4C">
      <w:pPr>
        <w:spacing w:after="0" w:line="276" w:lineRule="auto"/>
        <w:ind w:firstLine="709"/>
        <w:jc w:val="both"/>
        <w:rPr>
          <w:rFonts w:ascii="Verdana" w:eastAsia="Arial" w:hAnsi="Verdana" w:cs="Arial"/>
        </w:rPr>
      </w:pPr>
      <w:r w:rsidRPr="00B33094">
        <w:rPr>
          <w:rFonts w:ascii="Verdana" w:eastAsia="Arial" w:hAnsi="Verdana" w:cs="Arial"/>
        </w:rPr>
        <w:t>La Sala de Consulta y Servicio Civil del Consejo de Estado ya había tenido la oportunidad de precisar estas expresiones, a propósito de un concepto en el que se refirió al artículo 10 del derogado Decreto 2474 de 2008</w:t>
      </w:r>
      <w:r w:rsidRPr="00B33094">
        <w:rPr>
          <w:rFonts w:ascii="Verdana" w:eastAsia="Arial" w:hAnsi="Verdana" w:cs="Arial"/>
          <w:vertAlign w:val="superscript"/>
        </w:rPr>
        <w:footnoteReference w:id="4"/>
      </w:r>
      <w:r w:rsidRPr="00B33094">
        <w:rPr>
          <w:rFonts w:ascii="Verdana" w:eastAsia="Arial" w:hAnsi="Verdana" w:cs="Arial"/>
        </w:rPr>
        <w:t xml:space="preserve">, que había </w:t>
      </w:r>
      <w:r w:rsidRPr="00B33094">
        <w:rPr>
          <w:rFonts w:ascii="Verdana" w:eastAsia="Arial" w:hAnsi="Verdana" w:cs="Arial"/>
        </w:rPr>
        <w:lastRenderedPageBreak/>
        <w:t xml:space="preserve">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así: </w:t>
      </w:r>
    </w:p>
    <w:p w14:paraId="162485D6" w14:textId="77777777" w:rsidR="00510B4C" w:rsidRPr="00B33094" w:rsidRDefault="00510B4C" w:rsidP="00510B4C">
      <w:pPr>
        <w:spacing w:after="0"/>
        <w:ind w:left="709" w:right="709"/>
        <w:jc w:val="both"/>
        <w:rPr>
          <w:rFonts w:ascii="Verdana" w:eastAsia="Arial" w:hAnsi="Verdana" w:cs="Arial"/>
        </w:rPr>
      </w:pPr>
    </w:p>
    <w:p w14:paraId="122F20F0" w14:textId="77777777" w:rsidR="00510B4C" w:rsidRPr="00B33094" w:rsidRDefault="00510B4C" w:rsidP="00510B4C">
      <w:pPr>
        <w:spacing w:after="120" w:line="240" w:lineRule="auto"/>
        <w:ind w:left="709" w:right="709"/>
        <w:jc w:val="both"/>
        <w:rPr>
          <w:rFonts w:ascii="Verdana" w:eastAsia="Arial" w:hAnsi="Verdana" w:cs="Arial"/>
          <w:sz w:val="20"/>
          <w:szCs w:val="20"/>
        </w:rPr>
      </w:pPr>
      <w:r w:rsidRPr="00B33094">
        <w:rPr>
          <w:rFonts w:ascii="Verdana" w:eastAsia="Arial" w:hAnsi="Verdana" w:cs="Arial"/>
          <w:sz w:val="20"/>
          <w:szCs w:val="20"/>
        </w:rPr>
        <w:t xml:space="preserve">“Sin embargo, debe tenerse en cuenta que la última norma en cita -Decreto 2474 de 2008, aparte subrayado-, establece un límite a la </w:t>
      </w:r>
      <w:proofErr w:type="spellStart"/>
      <w:r w:rsidRPr="00B33094">
        <w:rPr>
          <w:rFonts w:ascii="Verdana" w:eastAsia="Arial" w:hAnsi="Verdana" w:cs="Arial"/>
          <w:sz w:val="20"/>
          <w:szCs w:val="20"/>
        </w:rPr>
        <w:t>subsanabilidad</w:t>
      </w:r>
      <w:proofErr w:type="spellEnd"/>
      <w:r w:rsidRPr="00B33094">
        <w:rPr>
          <w:rFonts w:ascii="Verdana" w:eastAsia="Arial" w:hAnsi="Verdana" w:cs="Arial"/>
          <w:sz w:val="20"/>
          <w:szCs w:val="20"/>
        </w:rPr>
        <w:t>, puesto que en cualquier caso debe referirse o recaer sobre circunstancias ocurridas antes del cierre del respectivo proceso, esto es, del vencimiento del plazo para presentar ofertas.</w:t>
      </w:r>
    </w:p>
    <w:p w14:paraId="350F4186" w14:textId="77777777" w:rsidR="00510B4C" w:rsidRPr="00B33094" w:rsidRDefault="00510B4C" w:rsidP="00510B4C">
      <w:pPr>
        <w:spacing w:after="0" w:line="240" w:lineRule="auto"/>
        <w:ind w:left="709" w:right="709"/>
        <w:jc w:val="both"/>
        <w:rPr>
          <w:rFonts w:ascii="Verdana" w:eastAsia="Arial" w:hAnsi="Verdana" w:cs="Arial"/>
          <w:sz w:val="20"/>
          <w:szCs w:val="20"/>
        </w:rPr>
      </w:pPr>
      <w:r w:rsidRPr="00B33094">
        <w:rPr>
          <w:rFonts w:ascii="Verdana" w:eastAsia="Arial" w:hAnsi="Verdana" w:cs="Arial"/>
          <w:sz w:val="20"/>
          <w:szCs w:val="20"/>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B33094">
        <w:rPr>
          <w:rFonts w:ascii="Verdana" w:eastAsia="Arial" w:hAnsi="Verdana" w:cs="Arial"/>
          <w:sz w:val="20"/>
          <w:szCs w:val="20"/>
          <w:vertAlign w:val="superscript"/>
        </w:rPr>
        <w:footnoteReference w:id="5"/>
      </w:r>
      <w:r w:rsidRPr="00B33094">
        <w:rPr>
          <w:rFonts w:ascii="Verdana" w:eastAsia="Arial" w:hAnsi="Verdana" w:cs="Arial"/>
          <w:sz w:val="20"/>
          <w:szCs w:val="20"/>
        </w:rPr>
        <w:t>.</w:t>
      </w:r>
    </w:p>
    <w:p w14:paraId="25517D36" w14:textId="77777777" w:rsidR="00510B4C" w:rsidRPr="00B33094" w:rsidRDefault="00510B4C" w:rsidP="00510B4C">
      <w:pPr>
        <w:spacing w:after="0" w:line="240" w:lineRule="auto"/>
        <w:jc w:val="both"/>
        <w:rPr>
          <w:rFonts w:ascii="Verdana" w:eastAsia="Arial" w:hAnsi="Verdana" w:cs="Arial"/>
          <w:sz w:val="20"/>
          <w:szCs w:val="20"/>
        </w:rPr>
      </w:pPr>
    </w:p>
    <w:p w14:paraId="423D37B1"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18E482F"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0A740679"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Por ejemplo: i) si un oferente olvidó adjuntar con su propuesta el certificado que da cuenta de su inscripción en el Registro Único de Proponentes, el requisito será subsanable siempre que la prueba allegada demuestre que el hecho, esto es, la inscripción en el registro, ocurrió con anterioridad al cierre del proceso; </w:t>
      </w:r>
      <w:proofErr w:type="spellStart"/>
      <w:r w:rsidRPr="00B33094">
        <w:rPr>
          <w:rFonts w:ascii="Verdana" w:eastAsia="Arial" w:hAnsi="Verdana" w:cs="Arial"/>
        </w:rPr>
        <w:t>ii</w:t>
      </w:r>
      <w:proofErr w:type="spellEnd"/>
      <w:r w:rsidRPr="00B33094">
        <w:rPr>
          <w:rFonts w:ascii="Verdana" w:eastAsia="Arial" w:hAnsi="Verdana" w:cs="Aria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33094">
        <w:rPr>
          <w:rFonts w:ascii="Verdana" w:eastAsia="Arial" w:hAnsi="Verdana" w:cs="Arial"/>
          <w:vertAlign w:val="superscript"/>
        </w:rPr>
        <w:footnoteReference w:id="6"/>
      </w:r>
      <w:r w:rsidRPr="00B33094">
        <w:rPr>
          <w:rFonts w:ascii="Verdana" w:eastAsia="Arial" w:hAnsi="Verdana" w:cs="Arial"/>
        </w:rPr>
        <w:t xml:space="preserve">; </w:t>
      </w:r>
      <w:proofErr w:type="spellStart"/>
      <w:r w:rsidRPr="00B33094">
        <w:rPr>
          <w:rFonts w:ascii="Verdana" w:eastAsia="Arial" w:hAnsi="Verdana" w:cs="Arial"/>
        </w:rPr>
        <w:t>iii</w:t>
      </w:r>
      <w:proofErr w:type="spellEnd"/>
      <w:r w:rsidRPr="00B33094">
        <w:rPr>
          <w:rFonts w:ascii="Verdana" w:eastAsia="Arial" w:hAnsi="Verdana" w:cs="Arial"/>
        </w:rPr>
        <w:t>) si un oferente no anexó el certificado de existencia y representación legal, el documento aportado con posterioridad debe dar cuenta de que la sociedad existe desde antes del cierre del proceso</w:t>
      </w:r>
      <w:r w:rsidRPr="00B33094">
        <w:rPr>
          <w:rFonts w:ascii="Verdana" w:eastAsia="Arial" w:hAnsi="Verdana" w:cs="Arial"/>
          <w:vertAlign w:val="superscript"/>
        </w:rPr>
        <w:footnoteReference w:id="7"/>
      </w:r>
      <w:r w:rsidRPr="00B33094">
        <w:rPr>
          <w:rFonts w:ascii="Verdana" w:eastAsia="Arial" w:hAnsi="Verdana" w:cs="Arial"/>
        </w:rPr>
        <w:t xml:space="preserve">; </w:t>
      </w:r>
      <w:proofErr w:type="spellStart"/>
      <w:r w:rsidRPr="00B33094">
        <w:rPr>
          <w:rFonts w:ascii="Verdana" w:eastAsia="Arial" w:hAnsi="Verdana" w:cs="Arial"/>
        </w:rPr>
        <w:t>iv</w:t>
      </w:r>
      <w:proofErr w:type="spellEnd"/>
      <w:r w:rsidRPr="00B33094">
        <w:rPr>
          <w:rFonts w:ascii="Verdana" w:eastAsia="Arial" w:hAnsi="Verdana" w:cs="Arial"/>
        </w:rPr>
        <w:t xml:space="preserve">) si un oferente olvidó adjuntar un certificado que demuestra un título universitario, el documento, </w:t>
      </w:r>
      <w:r w:rsidRPr="00B33094">
        <w:rPr>
          <w:rFonts w:ascii="Verdana" w:eastAsia="Arial" w:hAnsi="Verdana" w:cs="Arial"/>
        </w:rPr>
        <w:lastRenderedPageBreak/>
        <w:t xml:space="preserve">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202909CE"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Lo anterior quiere decir que no es la prueba –usualmente un documento– lo que debe ser anterior al cierre del proceso, sino el hecho que ella acredita, es decir, ante la solicitud de la Entidad Estatal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B33094">
        <w:rPr>
          <w:rFonts w:ascii="Verdana" w:eastAsia="Arial" w:hAnsi="Verdana" w:cs="Arial"/>
          <w:vertAlign w:val="superscript"/>
        </w:rPr>
        <w:footnoteReference w:id="8"/>
      </w:r>
      <w:r w:rsidRPr="00B33094">
        <w:rPr>
          <w:rFonts w:ascii="Verdana" w:eastAsia="Arial" w:hAnsi="Verdana" w:cs="Arial"/>
        </w:rPr>
        <w:t xml:space="preserve">. </w:t>
      </w:r>
    </w:p>
    <w:p w14:paraId="6169E000"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En tal sentido, esta Subdirección, en concepto emitido en respuesta a la Consulta 4201912000007418 del 30 de octubre de 2019, analizó si era o no posible subsanar el Registro Único de Proponentes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35C35ABC"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w:t>
      </w:r>
      <w:r w:rsidRPr="00B33094">
        <w:rPr>
          <w:rFonts w:ascii="Verdana" w:eastAsia="Arial" w:hAnsi="Verdana" w:cs="Arial"/>
        </w:rPr>
        <w:lastRenderedPageBreak/>
        <w:t xml:space="preserve">de </w:t>
      </w:r>
      <w:proofErr w:type="spellStart"/>
      <w:r w:rsidRPr="00B33094">
        <w:rPr>
          <w:rFonts w:ascii="Verdana" w:eastAsia="Arial" w:hAnsi="Verdana" w:cs="Arial"/>
        </w:rPr>
        <w:t>subsanabilidad</w:t>
      </w:r>
      <w:proofErr w:type="spellEnd"/>
      <w:r w:rsidRPr="00B33094">
        <w:rPr>
          <w:rFonts w:ascii="Verdana" w:eastAsia="Arial" w:hAnsi="Verdana" w:cs="Arial"/>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227CA601"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Una reiteración de la postura de esta Subdirección, según la cual la </w:t>
      </w:r>
      <w:proofErr w:type="spellStart"/>
      <w:r w:rsidRPr="00B33094">
        <w:rPr>
          <w:rFonts w:ascii="Verdana" w:eastAsia="Arial" w:hAnsi="Verdana" w:cs="Arial"/>
        </w:rPr>
        <w:t>subsanabilidad</w:t>
      </w:r>
      <w:proofErr w:type="spellEnd"/>
      <w:r w:rsidRPr="00B33094">
        <w:rPr>
          <w:rFonts w:ascii="Verdana" w:eastAsia="Arial" w:hAnsi="Verdana" w:cs="Arial"/>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22F947B0" w14:textId="77777777" w:rsidR="00510B4C" w:rsidRPr="00B33094" w:rsidRDefault="00510B4C" w:rsidP="00510B4C">
      <w:pPr>
        <w:spacing w:after="120" w:line="276" w:lineRule="auto"/>
        <w:ind w:firstLine="709"/>
        <w:jc w:val="both"/>
        <w:rPr>
          <w:rFonts w:ascii="Verdana" w:eastAsia="Arial" w:hAnsi="Verdana" w:cs="Arial"/>
        </w:rPr>
      </w:pPr>
      <w:r w:rsidRPr="00B33094">
        <w:rPr>
          <w:rFonts w:ascii="Verdana" w:eastAsia="Arial" w:hAnsi="Verdana" w:cs="Arial"/>
        </w:rPr>
        <w:t xml:space="preserve">Visto lo anterior, una vez verificada la ausencia de requisitos y/o documentos de la oferta, para saber si se puede subsanar, la entidad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w:t>
      </w:r>
      <w:r w:rsidRPr="00B33094">
        <w:rPr>
          <w:rFonts w:ascii="Verdana" w:eastAsia="Arial" w:hAnsi="Verdana" w:cs="Arial"/>
        </w:rPr>
        <w:lastRenderedPageBreak/>
        <w:t xml:space="preserve">interrogante debe dar cuenta de que lo omitido sea la prueba de una circunstancia o hecho que ocurrió con anterioridad al cierre del proceso. </w:t>
      </w:r>
    </w:p>
    <w:p w14:paraId="503FDDD0" w14:textId="77777777" w:rsidR="00510B4C" w:rsidRPr="00B33094" w:rsidRDefault="00510B4C" w:rsidP="00510B4C">
      <w:pPr>
        <w:spacing w:after="0" w:line="276" w:lineRule="auto"/>
        <w:ind w:firstLine="709"/>
        <w:jc w:val="both"/>
        <w:rPr>
          <w:rFonts w:ascii="Verdana" w:eastAsia="Calibri" w:hAnsi="Verdana" w:cs="Times New Roman"/>
        </w:rPr>
      </w:pPr>
      <w:r w:rsidRPr="00B33094">
        <w:rPr>
          <w:rFonts w:ascii="Verdana" w:eastAsia="Arial" w:hAnsi="Verdana" w:cs="Aria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3D2D5B37" w14:textId="77777777" w:rsidR="00510B4C" w:rsidRPr="00B33094" w:rsidRDefault="00510B4C" w:rsidP="00510B4C">
      <w:pPr>
        <w:spacing w:after="0" w:line="276" w:lineRule="auto"/>
        <w:ind w:firstLine="709"/>
        <w:jc w:val="both"/>
        <w:rPr>
          <w:rFonts w:ascii="Verdana" w:eastAsia="Calibri" w:hAnsi="Verdana" w:cs="Times New Roman"/>
        </w:rPr>
      </w:pPr>
    </w:p>
    <w:p w14:paraId="101120FA" w14:textId="77777777" w:rsidR="00510B4C" w:rsidRPr="00B33094" w:rsidRDefault="00510B4C" w:rsidP="00510B4C">
      <w:pPr>
        <w:widowControl w:val="0"/>
        <w:autoSpaceDE w:val="0"/>
        <w:autoSpaceDN w:val="0"/>
        <w:spacing w:after="120" w:line="276" w:lineRule="auto"/>
        <w:ind w:firstLine="708"/>
        <w:jc w:val="both"/>
        <w:rPr>
          <w:rFonts w:ascii="Verdana" w:eastAsia="Calibri" w:hAnsi="Verdana" w:cs="Arial"/>
        </w:rPr>
      </w:pPr>
      <w:r w:rsidRPr="00B33094">
        <w:rPr>
          <w:rFonts w:ascii="Verdana" w:eastAsia="Calibri" w:hAnsi="Verdana" w:cs="Arial"/>
          <w:iCs/>
        </w:rPr>
        <w:t xml:space="preserve">Al margen de lo anterior, </w:t>
      </w:r>
      <w:r w:rsidRPr="00B33094">
        <w:rPr>
          <w:rFonts w:ascii="Verdana" w:eastAsia="Calibri" w:hAnsi="Verdana" w:cs="Arial"/>
        </w:rPr>
        <w:t xml:space="preserve">debe advertirse que el análisis sobre la subsanación o el rechazo de las ofertas al interior de los procedimientos de selección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7C2AE20C" w14:textId="77777777" w:rsidR="00510B4C" w:rsidRPr="00B33094" w:rsidRDefault="00510B4C" w:rsidP="00510B4C">
      <w:pPr>
        <w:widowControl w:val="0"/>
        <w:autoSpaceDE w:val="0"/>
        <w:autoSpaceDN w:val="0"/>
        <w:spacing w:after="0" w:line="276" w:lineRule="auto"/>
        <w:ind w:firstLine="708"/>
        <w:jc w:val="both"/>
        <w:rPr>
          <w:rFonts w:ascii="Verdana" w:eastAsia="Calibri" w:hAnsi="Verdana" w:cs="Arial"/>
        </w:rPr>
      </w:pPr>
      <w:r w:rsidRPr="00B33094">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42ECE4A" w14:textId="77777777" w:rsidR="00510B4C" w:rsidRPr="00B33094" w:rsidRDefault="00510B4C" w:rsidP="00510B4C">
      <w:pPr>
        <w:spacing w:after="0" w:line="276" w:lineRule="auto"/>
        <w:jc w:val="both"/>
        <w:rPr>
          <w:rFonts w:ascii="Verdana" w:eastAsia="Calibri" w:hAnsi="Verdana" w:cs="Arial"/>
          <w:lang w:val="es-ES" w:eastAsia="es-CO"/>
        </w:rPr>
      </w:pPr>
    </w:p>
    <w:p w14:paraId="62AC9DF6" w14:textId="77777777" w:rsidR="00510B4C" w:rsidRPr="00B33094" w:rsidRDefault="00510B4C" w:rsidP="00510B4C">
      <w:pPr>
        <w:widowControl w:val="0"/>
        <w:autoSpaceDE w:val="0"/>
        <w:autoSpaceDN w:val="0"/>
        <w:spacing w:before="1" w:after="0" w:line="240" w:lineRule="auto"/>
        <w:outlineLvl w:val="0"/>
        <w:rPr>
          <w:rFonts w:ascii="Verdana" w:eastAsia="Arial" w:hAnsi="Verdana" w:cs="Arial"/>
          <w:b/>
          <w:bCs/>
          <w:lang w:val="es-ES"/>
        </w:rPr>
      </w:pPr>
      <w:r w:rsidRPr="00B33094">
        <w:rPr>
          <w:rFonts w:ascii="Verdana" w:eastAsia="Arial" w:hAnsi="Verdana" w:cs="Arial"/>
          <w:b/>
          <w:bCs/>
          <w:lang w:val="es-ES"/>
        </w:rPr>
        <w:t>4.Referencias normativas, jurisprudenciales y otras fuentes:</w:t>
      </w:r>
    </w:p>
    <w:p w14:paraId="1334BF3C" w14:textId="77777777" w:rsidR="00510B4C" w:rsidRPr="00B33094" w:rsidRDefault="00510B4C" w:rsidP="00510B4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0B4C" w:rsidRPr="00B33094" w14:paraId="25C9F30A" w14:textId="77777777" w:rsidTr="00740A85">
        <w:trPr>
          <w:trHeight w:val="870"/>
        </w:trPr>
        <w:tc>
          <w:tcPr>
            <w:tcW w:w="8647" w:type="dxa"/>
          </w:tcPr>
          <w:p w14:paraId="6999249B"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Ley 1150 de 2007. Artículos 2 y 5</w:t>
            </w:r>
          </w:p>
          <w:p w14:paraId="331E36E9"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Ley 1882 de 2018. Artículo 5</w:t>
            </w:r>
          </w:p>
          <w:p w14:paraId="292D5200"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 xml:space="preserve">Decreto 1082 de 2015. Artículos </w:t>
            </w:r>
            <w:r w:rsidRPr="00CA7F52">
              <w:rPr>
                <w:rFonts w:ascii="Verdana" w:hAnsi="Verdana" w:cs="Arial"/>
                <w:color w:val="000000" w:themeColor="text1"/>
              </w:rPr>
              <w:t xml:space="preserve">2.2.1.1.1.5.3, 2.2.1.1.1.6.2, </w:t>
            </w:r>
            <w:r w:rsidRPr="00CA7F52">
              <w:rPr>
                <w:rFonts w:ascii="Verdana" w:eastAsia="Arial" w:hAnsi="Verdana" w:cs="Arial"/>
                <w:lang w:val="es-ES"/>
              </w:rPr>
              <w:t>2.2.1.2.1.5.2</w:t>
            </w:r>
            <w:r w:rsidRPr="00CA7F52">
              <w:rPr>
                <w:rFonts w:ascii="Verdana" w:hAnsi="Verdana" w:cs="Arial"/>
                <w:color w:val="000000" w:themeColor="text1"/>
              </w:rPr>
              <w:t xml:space="preserve"> y</w:t>
            </w:r>
            <w:r w:rsidRPr="00CA7F52">
              <w:rPr>
                <w:rFonts w:ascii="Verdana" w:eastAsia="Aptos" w:hAnsi="Verdana" w:cs="Arial"/>
              </w:rPr>
              <w:t xml:space="preserve"> </w:t>
            </w:r>
            <w:r w:rsidRPr="00CA7F52">
              <w:rPr>
                <w:rFonts w:ascii="Verdana" w:eastAsia="Arial" w:hAnsi="Verdana" w:cs="Arial"/>
              </w:rPr>
              <w:t>2.2.1.1.2.2.2</w:t>
            </w:r>
          </w:p>
          <w:p w14:paraId="4AAF9D2C"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rial" w:hAnsi="Verdana" w:cs="Arial"/>
              </w:rPr>
              <w:t>Ley 80 de 1993. Artículos 13, 23, 24, 25, 32, 40 y 77</w:t>
            </w:r>
          </w:p>
          <w:p w14:paraId="4E2D6C49"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lastRenderedPageBreak/>
              <w:t>Agencia Nacional de Contratación Pública. Manual para determinar y verificar los requisitos habilitantes en los Procesos de Contratación</w:t>
            </w:r>
          </w:p>
          <w:p w14:paraId="3FA01B6A"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Corte Constitucional. Sentencia C-004 de 2017</w:t>
            </w:r>
          </w:p>
          <w:p w14:paraId="7C4884C0"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Consejo de Estado. Sección Tercera, Subsección C. Sentencia del 26 de febrero de 2014. C.P. Enrique Gil Botero, Rad. 1999-00113-01 (25.804).</w:t>
            </w:r>
          </w:p>
          <w:p w14:paraId="0519B263"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Consejo de Estado, Sala de Consulta y Servicio Civil, concepto del 6 de noviembre de 2008. C.P. William Zambrano Cetina. Rad. 2008-00079-00(1927).</w:t>
            </w:r>
          </w:p>
          <w:p w14:paraId="45DD4486"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 xml:space="preserve">Consejo de Estado, Sección Tercera, Subsección C. Sentencia del 26 de febrero de 2011. C.P. Jaime Orlando Santofimio. Rad. 36.408.  </w:t>
            </w:r>
          </w:p>
          <w:p w14:paraId="549AAA3C"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CA7F52">
              <w:rPr>
                <w:rFonts w:ascii="Verdana" w:eastAsia="Aptos" w:hAnsi="Verdana" w:cs="Arial"/>
              </w:rPr>
              <w:t xml:space="preserve">Consejo de Estado, Sección Tercera, Subsección C. Sentencia del 26 de febrero de 2014. C.P. Enrique Gil Botero. Rad. 25.804.  </w:t>
            </w:r>
          </w:p>
          <w:p w14:paraId="4C81ACAB" w14:textId="77777777" w:rsidR="00510B4C" w:rsidRPr="00CA7F52" w:rsidRDefault="00510B4C" w:rsidP="00510B4C">
            <w:pPr>
              <w:numPr>
                <w:ilvl w:val="0"/>
                <w:numId w:val="1"/>
              </w:numPr>
              <w:spacing w:line="278" w:lineRule="auto"/>
              <w:contextualSpacing/>
              <w:jc w:val="both"/>
              <w:rPr>
                <w:rFonts w:ascii="Verdana" w:eastAsia="Aptos" w:hAnsi="Verdana" w:cs="Arial"/>
              </w:rPr>
            </w:pPr>
            <w:r w:rsidRPr="00B33094">
              <w:rPr>
                <w:rFonts w:ascii="Verdana" w:eastAsia="Aptos" w:hAnsi="Verdana" w:cs="Arial"/>
              </w:rPr>
              <w:t>Consejo de Estado, Sala de Consulta y Servicio Civil, concepto del 20 de mayo de 2010. C.P. Enrique José Arboleda Perdomo. Rad. 2010-00034-00(1992).</w:t>
            </w:r>
          </w:p>
        </w:tc>
      </w:tr>
    </w:tbl>
    <w:p w14:paraId="4F7D9515" w14:textId="77777777" w:rsidR="00510B4C" w:rsidRPr="00B33094" w:rsidRDefault="00510B4C" w:rsidP="00510B4C">
      <w:pPr>
        <w:widowControl w:val="0"/>
        <w:autoSpaceDE w:val="0"/>
        <w:autoSpaceDN w:val="0"/>
        <w:spacing w:after="0" w:line="276" w:lineRule="auto"/>
        <w:jc w:val="both"/>
        <w:rPr>
          <w:rFonts w:ascii="Verdana" w:eastAsia="Aptos" w:hAnsi="Verdana" w:cs="Arial"/>
        </w:rPr>
      </w:pPr>
    </w:p>
    <w:p w14:paraId="1FCD274A" w14:textId="77777777" w:rsidR="00510B4C" w:rsidRPr="00B33094" w:rsidRDefault="00510B4C" w:rsidP="00510B4C">
      <w:pPr>
        <w:widowControl w:val="0"/>
        <w:autoSpaceDE w:val="0"/>
        <w:autoSpaceDN w:val="0"/>
        <w:spacing w:before="1" w:after="0" w:line="276" w:lineRule="auto"/>
        <w:outlineLvl w:val="0"/>
        <w:rPr>
          <w:rFonts w:ascii="Verdana" w:eastAsia="Arial" w:hAnsi="Verdana" w:cs="Arial"/>
          <w:b/>
          <w:bCs/>
          <w:lang w:val="es-ES"/>
        </w:rPr>
      </w:pPr>
      <w:r w:rsidRPr="00B33094">
        <w:rPr>
          <w:rFonts w:ascii="Verdana" w:eastAsia="Arial" w:hAnsi="Verdana" w:cs="Arial"/>
          <w:b/>
          <w:bCs/>
          <w:lang w:val="es-ES"/>
        </w:rPr>
        <w:t>5. Doctrina de la Agencia Nacional de Contratación Pública:</w:t>
      </w:r>
    </w:p>
    <w:p w14:paraId="1C690180" w14:textId="77777777" w:rsidR="00510B4C" w:rsidRPr="00B33094" w:rsidRDefault="00510B4C" w:rsidP="00510B4C">
      <w:pPr>
        <w:widowControl w:val="0"/>
        <w:autoSpaceDE w:val="0"/>
        <w:autoSpaceDN w:val="0"/>
        <w:spacing w:after="0" w:line="276" w:lineRule="auto"/>
        <w:jc w:val="both"/>
        <w:rPr>
          <w:rFonts w:ascii="Verdana" w:eastAsia="Aptos" w:hAnsi="Verdana" w:cs="Arial"/>
        </w:rPr>
      </w:pPr>
    </w:p>
    <w:p w14:paraId="036B4726" w14:textId="77777777" w:rsidR="00510B4C" w:rsidRPr="00B33094" w:rsidRDefault="00510B4C" w:rsidP="00510B4C">
      <w:pPr>
        <w:widowControl w:val="0"/>
        <w:autoSpaceDE w:val="0"/>
        <w:autoSpaceDN w:val="0"/>
        <w:spacing w:after="0" w:line="276" w:lineRule="auto"/>
        <w:jc w:val="both"/>
        <w:rPr>
          <w:rFonts w:ascii="Verdana" w:eastAsia="Aptos" w:hAnsi="Verdana" w:cs="Arial"/>
          <w:shd w:val="clear" w:color="auto" w:fill="FFFFFF"/>
          <w:lang w:val="es-ES"/>
        </w:rPr>
      </w:pPr>
      <w:r w:rsidRPr="00B33094">
        <w:rPr>
          <w:rFonts w:ascii="Verdana" w:eastAsia="Aptos" w:hAnsi="Verdana" w:cs="Arial"/>
          <w:shd w:val="clear" w:color="auto" w:fill="FFFFFF"/>
          <w:lang w:val="es-ES"/>
        </w:rPr>
        <w:t xml:space="preserve">Esta Subdirección se ha pronunciado sobre la regla de </w:t>
      </w:r>
      <w:proofErr w:type="spellStart"/>
      <w:r w:rsidRPr="00B33094">
        <w:rPr>
          <w:rFonts w:ascii="Verdana" w:eastAsia="Aptos" w:hAnsi="Verdana" w:cs="Arial"/>
          <w:shd w:val="clear" w:color="auto" w:fill="FFFFFF"/>
          <w:lang w:val="es-ES"/>
        </w:rPr>
        <w:t>subsanabilidad</w:t>
      </w:r>
      <w:proofErr w:type="spellEnd"/>
      <w:r w:rsidRPr="00B33094">
        <w:rPr>
          <w:rFonts w:ascii="Verdana" w:eastAsia="Aptos" w:hAnsi="Verdana" w:cs="Arial"/>
          <w:shd w:val="clear" w:color="auto" w:fill="FFFFFF"/>
          <w:lang w:val="es-ES"/>
        </w:rPr>
        <w:t xml:space="preserve"> en los conceptos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C-304 del 4 de julio de 2023, C-051 del 21 de febrero de 2026, entre otros. </w:t>
      </w:r>
      <w:r>
        <w:rPr>
          <w:rFonts w:ascii="Verdana" w:eastAsia="Aptos" w:hAnsi="Verdana" w:cs="Arial"/>
          <w:shd w:val="clear" w:color="auto" w:fill="FFFFFF"/>
          <w:lang w:val="es-ES"/>
        </w:rPr>
        <w:t xml:space="preserve">De igual forma, en los conceptos </w:t>
      </w:r>
      <w:r>
        <w:rPr>
          <w:rStyle w:val="normaltextrun"/>
          <w:rFonts w:ascii="Verdana" w:hAnsi="Verdana" w:cs="Arial"/>
          <w:shd w:val="clear" w:color="auto" w:fill="FFFFFF"/>
          <w:lang w:val="es-ES"/>
        </w:rPr>
        <w:t>Concepto C-001 del 17 de febrero de 2022 y C-377 del 08 de agosto de 2024, se ha manifestado sobre</w:t>
      </w:r>
      <w:r>
        <w:rPr>
          <w:rFonts w:ascii="Verdana" w:eastAsia="Aptos" w:hAnsi="Verdana" w:cs="Arial"/>
          <w:shd w:val="clear" w:color="auto" w:fill="FFFFFF"/>
          <w:lang w:val="es-ES"/>
        </w:rPr>
        <w:t xml:space="preserve"> la declaratoria de desierta de los procesos de contratación pública. </w:t>
      </w:r>
      <w:r w:rsidRPr="00B33094">
        <w:rPr>
          <w:rFonts w:ascii="Verdana" w:eastAsia="Calibri" w:hAnsi="Verdana" w:cs="Arial"/>
          <w:bCs/>
          <w:shd w:val="clear" w:color="auto" w:fill="FFFFFF"/>
          <w:lang w:val="es-ES"/>
        </w:rPr>
        <w:t xml:space="preserve">En tal sentido, recoge los conceptos expuestos, sin perjuicio de otras consideraciones. </w:t>
      </w:r>
      <w:r w:rsidRPr="00B33094">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w:t>
      </w:r>
      <w:r w:rsidRPr="00B33094">
        <w:rPr>
          <w:rFonts w:ascii="Verdana" w:eastAsia="Aptos" w:hAnsi="Verdana" w:cs="Arial"/>
          <w:shd w:val="clear" w:color="auto" w:fill="FFFFFF"/>
          <w:lang w:val="es-ES"/>
        </w:rPr>
        <w:lastRenderedPageBreak/>
        <w:t xml:space="preserve">laudos arbitrales y la normativa de la contratación concordada con la doctrina de la Subdirección de Gestión Contractual. Accede a través del siguiente enlace: </w:t>
      </w:r>
      <w:hyperlink r:id="rId12" w:history="1">
        <w:r w:rsidRPr="00B33094">
          <w:rPr>
            <w:rFonts w:ascii="Verdana" w:eastAsia="Aptos" w:hAnsi="Verdana" w:cs="Arial"/>
            <w:u w:val="single"/>
            <w:shd w:val="clear" w:color="auto" w:fill="FFFFFF"/>
            <w:lang w:val="es-ES"/>
          </w:rPr>
          <w:t>https://relatoria.colombiacompra.gov.co/</w:t>
        </w:r>
      </w:hyperlink>
      <w:r w:rsidRPr="00B33094">
        <w:rPr>
          <w:rFonts w:ascii="Verdana" w:eastAsia="Aptos" w:hAnsi="Verdana" w:cs="Arial"/>
          <w:shd w:val="clear" w:color="auto" w:fill="FFFFFF"/>
          <w:lang w:val="es-ES"/>
        </w:rPr>
        <w:t xml:space="preserve">. </w:t>
      </w:r>
    </w:p>
    <w:p w14:paraId="45952065" w14:textId="77777777" w:rsidR="00510B4C" w:rsidRPr="00756E1C" w:rsidRDefault="00510B4C" w:rsidP="00510B4C">
      <w:pPr>
        <w:spacing w:before="120" w:after="0" w:line="276" w:lineRule="auto"/>
        <w:ind w:firstLine="708"/>
        <w:jc w:val="both"/>
        <w:rPr>
          <w:rFonts w:ascii="Verdana" w:eastAsia="Aptos" w:hAnsi="Verdana" w:cs="Times New Roman"/>
        </w:rPr>
      </w:pPr>
      <w:r w:rsidRPr="00756E1C">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56E1C">
        <w:rPr>
          <w:rFonts w:ascii="Verdana" w:eastAsia="Aptos" w:hAnsi="Verdana" w:cs="Times New Roman"/>
          <w:b/>
          <w:bCs/>
        </w:rPr>
        <w:t>Guía para la Exigencia y Constitución de Garantías en los Procesos de Contratación</w:t>
      </w:r>
      <w:r w:rsidRPr="00756E1C">
        <w:rPr>
          <w:rFonts w:ascii="Verdana" w:eastAsia="Aptos"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history="1">
        <w:r w:rsidRPr="00756E1C">
          <w:rPr>
            <w:rStyle w:val="Hipervnculo"/>
            <w:rFonts w:ascii="Verdana" w:eastAsia="Aptos" w:hAnsi="Verdana" w:cs="Times New Roman"/>
          </w:rPr>
          <w:t>https://www.colombiacompra.gov.co/archivos/manual/guia-de-garantias-en-procesos-de-contratacion</w:t>
        </w:r>
      </w:hyperlink>
      <w:r w:rsidRPr="00756E1C">
        <w:rPr>
          <w:rFonts w:ascii="Verdana" w:eastAsia="Aptos" w:hAnsi="Verdana" w:cs="Times New Roman"/>
        </w:rPr>
        <w:t> </w:t>
      </w:r>
    </w:p>
    <w:p w14:paraId="0508A740" w14:textId="77777777" w:rsidR="00510B4C" w:rsidRPr="00756E1C" w:rsidRDefault="00510B4C" w:rsidP="00510B4C">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otro lado, te contamos que el Decreto 287 del 19 de marzo de 2026 sustituyó los artículos 2.2.1.2.4.2.6., 2.2.1.2.4.2.7. y 2.2.1.2.4.2.8. del Decreto 1082 de 2015 y estructuró el </w:t>
      </w:r>
      <w:r w:rsidRPr="00756E1C">
        <w:rPr>
          <w:rFonts w:ascii="Verdana" w:eastAsia="Aptos" w:hAnsi="Verdana" w:cs="Times New Roman"/>
          <w:b/>
          <w:bCs/>
        </w:rPr>
        <w:t>Sistema Integral de Preferencias en favor de las personas con discapacidad</w:t>
      </w:r>
      <w:r w:rsidRPr="00756E1C">
        <w:rPr>
          <w:rFonts w:ascii="Verdana" w:eastAsia="Aptos" w:hAnsi="Verdana" w:cs="Times New Roman"/>
        </w:rPr>
        <w:t>, en cumplimiento del artículo 13 de la Ley Estatutaria 1618 de 2013. Para orientar su aplicación, esta Agencia expidió la </w:t>
      </w:r>
      <w:r w:rsidRPr="00756E1C">
        <w:rPr>
          <w:rFonts w:ascii="Verdana" w:eastAsia="Aptos" w:hAnsi="Verdana" w:cs="Times New Roman"/>
          <w:b/>
          <w:bCs/>
        </w:rPr>
        <w:t>Circular Externa 003 del 12 de mayo de 2026, </w:t>
      </w:r>
      <w:r w:rsidRPr="00756E1C">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4" w:tgtFrame="_blank" w:history="1">
        <w:r w:rsidRPr="00756E1C">
          <w:rPr>
            <w:rStyle w:val="Hipervnculo"/>
            <w:rFonts w:ascii="Verdana" w:eastAsia="Aptos" w:hAnsi="Verdana" w:cs="Times New Roman"/>
          </w:rPr>
          <w:t>https://www.colombiacompra.gov.co/archivos/circular/circular-externa-003-de-2026</w:t>
        </w:r>
      </w:hyperlink>
      <w:r w:rsidRPr="00756E1C">
        <w:rPr>
          <w:rFonts w:ascii="Verdana" w:eastAsia="Aptos" w:hAnsi="Verdana" w:cs="Times New Roman"/>
        </w:rPr>
        <w:t> </w:t>
      </w:r>
    </w:p>
    <w:p w14:paraId="3804EC96" w14:textId="77777777" w:rsidR="00510B4C" w:rsidRPr="00756E1C" w:rsidRDefault="00510B4C" w:rsidP="00510B4C">
      <w:pPr>
        <w:spacing w:before="120" w:after="0" w:line="276" w:lineRule="auto"/>
        <w:ind w:firstLine="708"/>
        <w:jc w:val="both"/>
        <w:rPr>
          <w:rFonts w:ascii="Verdana" w:eastAsia="Aptos" w:hAnsi="Verdana" w:cs="Times New Roman"/>
        </w:rPr>
      </w:pPr>
      <w:r w:rsidRPr="00756E1C">
        <w:rPr>
          <w:rFonts w:ascii="Verdana" w:eastAsia="Aptos" w:hAnsi="Verdana" w:cs="Times New Roman"/>
        </w:rPr>
        <w:t>Recuerda también que la</w:t>
      </w:r>
      <w:r w:rsidRPr="00756E1C">
        <w:rPr>
          <w:rFonts w:ascii="Verdana" w:eastAsia="Aptos" w:hAnsi="Verdana" w:cs="Times New Roman"/>
          <w:b/>
          <w:bCs/>
        </w:rPr>
        <w:t> información sobre sanciones e inhabilidades </w:t>
      </w:r>
      <w:r w:rsidRPr="00756E1C">
        <w:rPr>
          <w:rFonts w:ascii="Verdana" w:eastAsia="Aptos" w:hAnsi="Verdana" w:cs="Times New Roman"/>
        </w:rPr>
        <w:t>solo cumple su función preventiva si llega oportunamente a los registros públicos. Sobre este deber, esta Agencia expidió la </w:t>
      </w:r>
      <w:r w:rsidRPr="00756E1C">
        <w:rPr>
          <w:rFonts w:ascii="Verdana" w:eastAsia="Aptos" w:hAnsi="Verdana" w:cs="Times New Roman"/>
          <w:b/>
          <w:bCs/>
        </w:rPr>
        <w:t>Circular Externa 002 del 5 de mayo de 2026,</w:t>
      </w:r>
      <w:r w:rsidRPr="00756E1C">
        <w:rPr>
          <w:rFonts w:ascii="Verdana" w:eastAsia="Aptos" w:hAnsi="Verdana" w:cs="Times New Roman"/>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756E1C">
        <w:rPr>
          <w:rFonts w:ascii="Verdana" w:eastAsia="Aptos" w:hAnsi="Verdana" w:cs="Times New Roman"/>
        </w:rPr>
        <w:lastRenderedPageBreak/>
        <w:t>aquí: </w:t>
      </w:r>
      <w:hyperlink r:id="rId15" w:tgtFrame="_blank" w:history="1">
        <w:r w:rsidRPr="00756E1C">
          <w:rPr>
            <w:rStyle w:val="Hipervnculo"/>
            <w:rFonts w:ascii="Verdana" w:eastAsia="Aptos" w:hAnsi="Verdana" w:cs="Times New Roman"/>
          </w:rPr>
          <w:t>https://www.colombiacompra.gov.co/archivos/circular/circular-externa-002-de-2026</w:t>
        </w:r>
      </w:hyperlink>
      <w:r w:rsidRPr="00756E1C">
        <w:rPr>
          <w:rFonts w:ascii="Verdana" w:eastAsia="Aptos" w:hAnsi="Verdana" w:cs="Times New Roman"/>
        </w:rPr>
        <w:t> </w:t>
      </w:r>
    </w:p>
    <w:p w14:paraId="2FF50205" w14:textId="77777777" w:rsidR="00510B4C" w:rsidRPr="00756E1C" w:rsidRDefault="00510B4C" w:rsidP="00510B4C">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otra parte, si quieres seguir de cerca la actividad de la Agencia, la tercera edición de 2026 del</w:t>
      </w:r>
      <w:r w:rsidRPr="00756E1C">
        <w:rPr>
          <w:rFonts w:ascii="Verdana" w:eastAsia="Aptos" w:hAnsi="Verdana" w:cs="Times New Roman"/>
          <w:b/>
          <w:bCs/>
        </w:rPr>
        <w:t> Radar de la Compra Pública</w:t>
      </w:r>
      <w:r w:rsidRPr="00756E1C">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history="1">
        <w:r w:rsidRPr="00756E1C">
          <w:rPr>
            <w:rStyle w:val="Hipervnculo"/>
            <w:rFonts w:ascii="Verdana" w:eastAsia="Aptos" w:hAnsi="Verdana" w:cs="Times New Roman"/>
          </w:rPr>
          <w:t>https://www.colombiacompra.gov.co/archivos/boletin/boletin-edicion-n-3-de-2026-radar-de-la-compra-publica</w:t>
        </w:r>
      </w:hyperlink>
      <w:r w:rsidRPr="00756E1C">
        <w:rPr>
          <w:rFonts w:ascii="Verdana" w:eastAsia="Aptos" w:hAnsi="Verdana" w:cs="Times New Roman"/>
        </w:rPr>
        <w:t>" </w:t>
      </w:r>
    </w:p>
    <w:p w14:paraId="655B5740" w14:textId="77777777" w:rsidR="00510B4C" w:rsidRPr="00B33094" w:rsidRDefault="00510B4C" w:rsidP="00510B4C">
      <w:pPr>
        <w:spacing w:before="120" w:after="0" w:line="276" w:lineRule="auto"/>
        <w:ind w:firstLine="708"/>
        <w:jc w:val="both"/>
        <w:rPr>
          <w:rFonts w:ascii="Verdana" w:eastAsia="Aptos" w:hAnsi="Verdana" w:cs="Times New Roman"/>
        </w:rPr>
      </w:pPr>
      <w:r w:rsidRPr="00B33094">
        <w:rPr>
          <w:rFonts w:ascii="Verdana" w:eastAsia="Aptos" w:hAnsi="Verdana" w:cs="Times New Roman"/>
        </w:rPr>
        <w:t xml:space="preserve">Por último, lo invitamos a seguirnos en las redes sociales en las cuales se difunde información institucional: </w:t>
      </w:r>
    </w:p>
    <w:p w14:paraId="7C2F1F7E" w14:textId="77777777" w:rsidR="00510B4C" w:rsidRPr="00B33094" w:rsidRDefault="00510B4C" w:rsidP="00510B4C">
      <w:pPr>
        <w:spacing w:after="0" w:line="276" w:lineRule="auto"/>
        <w:jc w:val="both"/>
        <w:rPr>
          <w:rFonts w:ascii="Verdana" w:eastAsia="Aptos" w:hAnsi="Verdana" w:cs="Times New Roman"/>
        </w:rPr>
      </w:pPr>
    </w:p>
    <w:p w14:paraId="36D81E88" w14:textId="77777777" w:rsidR="00510B4C" w:rsidRPr="00B33094" w:rsidRDefault="00510B4C" w:rsidP="00510B4C">
      <w:pPr>
        <w:spacing w:after="0" w:line="276" w:lineRule="auto"/>
        <w:jc w:val="both"/>
        <w:rPr>
          <w:rFonts w:ascii="Verdana" w:eastAsia="Aptos" w:hAnsi="Verdana" w:cs="Times New Roman"/>
        </w:rPr>
      </w:pPr>
      <w:r w:rsidRPr="00B33094">
        <w:rPr>
          <w:rFonts w:ascii="Verdana" w:eastAsia="Aptos" w:hAnsi="Verdana" w:cs="Times New Roman"/>
        </w:rPr>
        <w:t xml:space="preserve">Twitter: </w:t>
      </w:r>
      <w:r w:rsidRPr="00B33094">
        <w:rPr>
          <w:rFonts w:ascii="Verdana" w:eastAsia="Aptos" w:hAnsi="Verdana" w:cs="Arial"/>
          <w:u w:val="single"/>
          <w:shd w:val="clear" w:color="auto" w:fill="FFFFFF"/>
          <w:lang w:val="es-ES"/>
        </w:rPr>
        <w:t>@colombiacompra</w:t>
      </w:r>
      <w:r w:rsidRPr="00B33094">
        <w:rPr>
          <w:rFonts w:ascii="Verdana" w:eastAsia="Aptos" w:hAnsi="Verdana" w:cs="Times New Roman"/>
        </w:rPr>
        <w:t xml:space="preserve"> </w:t>
      </w:r>
    </w:p>
    <w:p w14:paraId="1C1827B1" w14:textId="77777777" w:rsidR="00510B4C" w:rsidRPr="00B33094" w:rsidRDefault="00510B4C" w:rsidP="00510B4C">
      <w:pPr>
        <w:spacing w:after="0" w:line="276" w:lineRule="auto"/>
        <w:jc w:val="both"/>
        <w:rPr>
          <w:rFonts w:ascii="Verdana" w:eastAsia="Aptos" w:hAnsi="Verdana" w:cs="Times New Roman"/>
        </w:rPr>
      </w:pPr>
      <w:r w:rsidRPr="00B33094">
        <w:rPr>
          <w:rFonts w:ascii="Verdana" w:eastAsia="Aptos" w:hAnsi="Verdana" w:cs="Times New Roman"/>
        </w:rPr>
        <w:t xml:space="preserve">Facebook: </w:t>
      </w:r>
      <w:proofErr w:type="spellStart"/>
      <w:r w:rsidRPr="00B33094">
        <w:rPr>
          <w:rFonts w:ascii="Verdana" w:eastAsia="Aptos" w:hAnsi="Verdana" w:cs="Arial"/>
          <w:u w:val="single"/>
          <w:shd w:val="clear" w:color="auto" w:fill="FFFFFF"/>
          <w:lang w:val="es-ES"/>
        </w:rPr>
        <w:t>ColombiaCompraEficiente</w:t>
      </w:r>
      <w:proofErr w:type="spellEnd"/>
    </w:p>
    <w:p w14:paraId="65B7746F" w14:textId="77777777" w:rsidR="00510B4C" w:rsidRPr="00B33094" w:rsidRDefault="00510B4C" w:rsidP="00510B4C">
      <w:pPr>
        <w:spacing w:after="0" w:line="276" w:lineRule="auto"/>
        <w:jc w:val="both"/>
        <w:rPr>
          <w:rFonts w:ascii="Verdana" w:eastAsia="Aptos" w:hAnsi="Verdana" w:cs="Times New Roman"/>
        </w:rPr>
      </w:pPr>
      <w:r w:rsidRPr="00B33094">
        <w:rPr>
          <w:rFonts w:ascii="Verdana" w:eastAsia="Aptos" w:hAnsi="Verdana" w:cs="Times New Roman"/>
        </w:rPr>
        <w:t xml:space="preserve">LinkedIn: </w:t>
      </w:r>
      <w:r w:rsidRPr="00B33094">
        <w:rPr>
          <w:rFonts w:ascii="Verdana" w:eastAsia="Aptos" w:hAnsi="Verdana" w:cs="Arial"/>
          <w:u w:val="single"/>
          <w:shd w:val="clear" w:color="auto" w:fill="FFFFFF"/>
          <w:lang w:val="es-ES"/>
        </w:rPr>
        <w:t>Agencia Nacional de Contratación Pública - Colombia Compra Eficiente</w:t>
      </w:r>
      <w:r w:rsidRPr="00B33094">
        <w:rPr>
          <w:rFonts w:ascii="Verdana" w:eastAsia="Aptos" w:hAnsi="Verdana" w:cs="Times New Roman"/>
        </w:rPr>
        <w:t xml:space="preserve"> Instagram: </w:t>
      </w:r>
      <w:r w:rsidRPr="00B33094">
        <w:rPr>
          <w:rFonts w:ascii="Verdana" w:eastAsia="Aptos" w:hAnsi="Verdana" w:cs="Arial"/>
          <w:u w:val="single"/>
          <w:shd w:val="clear" w:color="auto" w:fill="FFFFFF"/>
          <w:lang w:val="es-ES"/>
        </w:rPr>
        <w:t>@colombiacompraeficiente_cce</w:t>
      </w:r>
    </w:p>
    <w:p w14:paraId="49FABCEF" w14:textId="77777777" w:rsidR="00510B4C" w:rsidRPr="00B33094" w:rsidRDefault="00510B4C" w:rsidP="00510B4C">
      <w:pPr>
        <w:widowControl w:val="0"/>
        <w:autoSpaceDE w:val="0"/>
        <w:autoSpaceDN w:val="0"/>
        <w:spacing w:after="0" w:line="276" w:lineRule="auto"/>
        <w:jc w:val="both"/>
        <w:rPr>
          <w:rFonts w:ascii="Verdana" w:eastAsia="Aptos" w:hAnsi="Verdana" w:cs="Arial"/>
        </w:rPr>
      </w:pPr>
    </w:p>
    <w:p w14:paraId="332F0B45" w14:textId="77777777" w:rsidR="00510B4C" w:rsidRPr="00B33094" w:rsidRDefault="00510B4C" w:rsidP="00510B4C">
      <w:pPr>
        <w:widowControl w:val="0"/>
        <w:autoSpaceDE w:val="0"/>
        <w:autoSpaceDN w:val="0"/>
        <w:spacing w:after="0" w:line="276" w:lineRule="auto"/>
        <w:jc w:val="both"/>
        <w:rPr>
          <w:rFonts w:ascii="Verdana" w:eastAsia="Aptos" w:hAnsi="Verdana" w:cs="Arial"/>
          <w:lang w:val="es-ES_tradnl"/>
        </w:rPr>
      </w:pPr>
      <w:r w:rsidRPr="00B33094">
        <w:rPr>
          <w:rFonts w:ascii="Verdana" w:eastAsia="Aptos" w:hAnsi="Verdana" w:cs="Arial"/>
        </w:rPr>
        <w:t xml:space="preserve">Este concepto tiene el alcance previsto en el artículo 28 del Código de Procedimiento Administrativo y de lo Contencioso Administrativo </w:t>
      </w:r>
      <w:r w:rsidRPr="00B33094">
        <w:rPr>
          <w:rFonts w:ascii="Verdana" w:eastAsia="Aptos" w:hAnsi="Verdana" w:cs="Arial"/>
          <w:lang w:val="es-ES_tradnl"/>
        </w:rPr>
        <w:t>y las expresiones aquí utilizadas con mayúscula inicial deben ser entendidas con el significado que les otorga el artículo 2.2.1.1.1.3.1. del Decreto 1082 de 2015.</w:t>
      </w:r>
    </w:p>
    <w:p w14:paraId="2ED025DE" w14:textId="77777777" w:rsidR="00510B4C" w:rsidRPr="00B33094" w:rsidRDefault="00510B4C" w:rsidP="00510B4C">
      <w:pPr>
        <w:widowControl w:val="0"/>
        <w:autoSpaceDE w:val="0"/>
        <w:autoSpaceDN w:val="0"/>
        <w:spacing w:after="0" w:line="276" w:lineRule="auto"/>
        <w:jc w:val="both"/>
        <w:rPr>
          <w:rFonts w:ascii="Verdana" w:eastAsia="Aptos" w:hAnsi="Verdana" w:cs="Arial"/>
        </w:rPr>
      </w:pPr>
    </w:p>
    <w:p w14:paraId="02497A49" w14:textId="77777777" w:rsidR="00510B4C" w:rsidRPr="00B33094" w:rsidRDefault="00510B4C" w:rsidP="00510B4C">
      <w:pPr>
        <w:spacing w:after="0" w:line="276" w:lineRule="auto"/>
        <w:rPr>
          <w:rFonts w:ascii="Verdana" w:eastAsia="Aptos" w:hAnsi="Verdana" w:cs="Arial"/>
          <w:lang w:eastAsia="es-CO"/>
        </w:rPr>
      </w:pPr>
      <w:r w:rsidRPr="00B33094">
        <w:rPr>
          <w:rFonts w:ascii="Verdana" w:eastAsia="Times New Roman" w:hAnsi="Verdana" w:cs="Arial"/>
          <w:lang w:eastAsia="es-CO"/>
        </w:rPr>
        <w:t>Atentamente,</w:t>
      </w:r>
      <w:r w:rsidRPr="00B33094">
        <w:rPr>
          <w:rFonts w:ascii="Verdana" w:eastAsia="Aptos" w:hAnsi="Verdana" w:cs="Arial"/>
          <w:lang w:eastAsia="es-CO"/>
        </w:rPr>
        <w:t xml:space="preserve"> </w:t>
      </w:r>
    </w:p>
    <w:p w14:paraId="07F16FF7" w14:textId="02B7055C" w:rsidR="00510B4C" w:rsidRPr="00B33094" w:rsidRDefault="00403320" w:rsidP="00510B4C">
      <w:pPr>
        <w:spacing w:after="0" w:line="276" w:lineRule="auto"/>
        <w:jc w:val="center"/>
        <w:rPr>
          <w:rFonts w:ascii="Verdana" w:eastAsia="Aptos" w:hAnsi="Verdana" w:cs="Arial"/>
          <w:lang w:val="es-ES_tradnl" w:eastAsia="es-CO"/>
        </w:rPr>
      </w:pPr>
      <w:r>
        <w:rPr>
          <w:noProof/>
        </w:rPr>
        <w:drawing>
          <wp:inline distT="0" distB="0" distL="0" distR="0" wp14:anchorId="3E320C45" wp14:editId="4A56E5B4">
            <wp:extent cx="3257550" cy="1390650"/>
            <wp:effectExtent l="0" t="0" r="0" b="0"/>
            <wp:docPr id="20274828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57550" cy="139065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510B4C" w:rsidRPr="00B33094" w14:paraId="361C5DFE" w14:textId="77777777" w:rsidTr="00740A85">
        <w:trPr>
          <w:trHeight w:val="286"/>
        </w:trPr>
        <w:tc>
          <w:tcPr>
            <w:tcW w:w="901" w:type="dxa"/>
            <w:vAlign w:val="center"/>
            <w:hideMark/>
          </w:tcPr>
          <w:p w14:paraId="54611EA9"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CE2219F" w14:textId="77777777" w:rsidR="00510B4C" w:rsidRPr="00B33094" w:rsidRDefault="00510B4C" w:rsidP="00740A85">
            <w:pPr>
              <w:rPr>
                <w:rFonts w:ascii="Verdana" w:eastAsia="Aptos" w:hAnsi="Verdana" w:cs="Arial"/>
                <w:sz w:val="14"/>
                <w:szCs w:val="14"/>
                <w:lang w:eastAsia="es-ES"/>
              </w:rPr>
            </w:pPr>
            <w:proofErr w:type="spellStart"/>
            <w:r w:rsidRPr="00B33094">
              <w:rPr>
                <w:rFonts w:ascii="Verdana" w:eastAsia="Aptos" w:hAnsi="Verdana" w:cs="Arial"/>
                <w:sz w:val="14"/>
                <w:szCs w:val="14"/>
                <w:lang w:eastAsia="es-ES"/>
              </w:rPr>
              <w:t>Nasly</w:t>
            </w:r>
            <w:proofErr w:type="spellEnd"/>
            <w:r w:rsidRPr="00B33094">
              <w:rPr>
                <w:rFonts w:ascii="Verdana" w:eastAsia="Aptos" w:hAnsi="Verdana" w:cs="Arial"/>
                <w:sz w:val="14"/>
                <w:szCs w:val="14"/>
                <w:lang w:eastAsia="es-ES"/>
              </w:rPr>
              <w:t xml:space="preserve"> </w:t>
            </w:r>
            <w:proofErr w:type="spellStart"/>
            <w:r w:rsidRPr="00B33094">
              <w:rPr>
                <w:rFonts w:ascii="Verdana" w:eastAsia="Aptos" w:hAnsi="Verdana" w:cs="Arial"/>
                <w:sz w:val="14"/>
                <w:szCs w:val="14"/>
                <w:lang w:eastAsia="es-ES"/>
              </w:rPr>
              <w:t>Yeana</w:t>
            </w:r>
            <w:proofErr w:type="spellEnd"/>
            <w:r w:rsidRPr="00B33094">
              <w:rPr>
                <w:rFonts w:ascii="Verdana" w:eastAsia="Aptos" w:hAnsi="Verdana" w:cs="Arial"/>
                <w:sz w:val="14"/>
                <w:szCs w:val="14"/>
                <w:lang w:eastAsia="es-ES"/>
              </w:rPr>
              <w:t xml:space="preserve"> Mosquera Rivas</w:t>
            </w:r>
          </w:p>
          <w:p w14:paraId="7A309DA3"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Analista T2–06 de la Subdirección de Gestión Contractual</w:t>
            </w:r>
          </w:p>
        </w:tc>
      </w:tr>
      <w:tr w:rsidR="00510B4C" w:rsidRPr="00B33094" w14:paraId="5E9016F6" w14:textId="77777777" w:rsidTr="00740A85">
        <w:trPr>
          <w:trHeight w:val="299"/>
        </w:trPr>
        <w:tc>
          <w:tcPr>
            <w:tcW w:w="901" w:type="dxa"/>
            <w:vAlign w:val="center"/>
          </w:tcPr>
          <w:p w14:paraId="794EA2C6"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8C78D66"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 xml:space="preserve">Adriana </w:t>
            </w:r>
            <w:proofErr w:type="spellStart"/>
            <w:r w:rsidRPr="00B33094">
              <w:rPr>
                <w:rFonts w:ascii="Verdana" w:eastAsia="Aptos" w:hAnsi="Verdana" w:cs="Arial"/>
                <w:sz w:val="14"/>
                <w:szCs w:val="14"/>
                <w:lang w:eastAsia="es-ES"/>
              </w:rPr>
              <w:t>Katerine</w:t>
            </w:r>
            <w:proofErr w:type="spellEnd"/>
            <w:r w:rsidRPr="00B33094">
              <w:rPr>
                <w:rFonts w:ascii="Verdana" w:eastAsia="Aptos" w:hAnsi="Verdana" w:cs="Arial"/>
                <w:sz w:val="14"/>
                <w:szCs w:val="14"/>
                <w:lang w:eastAsia="es-ES"/>
              </w:rPr>
              <w:t xml:space="preserve"> López Rodríguez</w:t>
            </w:r>
          </w:p>
          <w:p w14:paraId="7A886B7A"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Contratista de la Subdirección de Gestión Contractual</w:t>
            </w:r>
          </w:p>
        </w:tc>
      </w:tr>
      <w:tr w:rsidR="00510B4C" w:rsidRPr="0086202B" w14:paraId="656A30F4" w14:textId="77777777" w:rsidTr="00740A85">
        <w:trPr>
          <w:trHeight w:val="272"/>
        </w:trPr>
        <w:tc>
          <w:tcPr>
            <w:tcW w:w="901" w:type="dxa"/>
            <w:vAlign w:val="center"/>
            <w:hideMark/>
          </w:tcPr>
          <w:p w14:paraId="58CDCE15"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A67D8FD" w14:textId="77777777" w:rsidR="00510B4C" w:rsidRPr="00B33094"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 xml:space="preserve">Carolina Quintero </w:t>
            </w:r>
            <w:proofErr w:type="spellStart"/>
            <w:r w:rsidRPr="00B33094">
              <w:rPr>
                <w:rFonts w:ascii="Verdana" w:eastAsia="Aptos" w:hAnsi="Verdana" w:cs="Arial"/>
                <w:sz w:val="14"/>
                <w:szCs w:val="14"/>
                <w:lang w:eastAsia="es-ES"/>
              </w:rPr>
              <w:t>Gacharná</w:t>
            </w:r>
            <w:proofErr w:type="spellEnd"/>
          </w:p>
          <w:p w14:paraId="2CFC4830" w14:textId="77777777" w:rsidR="00510B4C" w:rsidRPr="0086202B" w:rsidRDefault="00510B4C" w:rsidP="00740A85">
            <w:pPr>
              <w:rPr>
                <w:rFonts w:ascii="Verdana" w:eastAsia="Aptos" w:hAnsi="Verdana" w:cs="Arial"/>
                <w:sz w:val="14"/>
                <w:szCs w:val="14"/>
                <w:lang w:eastAsia="es-ES"/>
              </w:rPr>
            </w:pPr>
            <w:r w:rsidRPr="00B33094">
              <w:rPr>
                <w:rFonts w:ascii="Verdana" w:eastAsia="Aptos" w:hAnsi="Verdana" w:cs="Arial"/>
                <w:sz w:val="14"/>
                <w:szCs w:val="14"/>
                <w:lang w:eastAsia="es-ES"/>
              </w:rPr>
              <w:t>Subdirectora de Gestión Contractual ANCP – CCE</w:t>
            </w:r>
          </w:p>
        </w:tc>
      </w:tr>
    </w:tbl>
    <w:p w14:paraId="35E4E07A" w14:textId="77777777" w:rsidR="00510B4C" w:rsidRPr="0086202B" w:rsidRDefault="00510B4C" w:rsidP="00510B4C">
      <w:pPr>
        <w:spacing w:after="0" w:line="240" w:lineRule="auto"/>
        <w:rPr>
          <w:rFonts w:ascii="Verdana" w:eastAsia="Times New Roman" w:hAnsi="Verdana" w:cs="Arial"/>
          <w:sz w:val="24"/>
          <w:szCs w:val="24"/>
          <w:lang w:eastAsia="es-ES"/>
        </w:rPr>
      </w:pPr>
    </w:p>
    <w:p w14:paraId="28846803" w14:textId="77777777" w:rsidR="00510B4C" w:rsidRPr="0086202B" w:rsidRDefault="00510B4C" w:rsidP="00510B4C">
      <w:pPr>
        <w:rPr>
          <w:rFonts w:ascii="Verdana" w:eastAsia="Aptos" w:hAnsi="Verdana" w:cs="Times New Roman"/>
        </w:rPr>
      </w:pPr>
    </w:p>
    <w:p w14:paraId="0D8FA83A" w14:textId="56A1DEF8" w:rsidR="00510B4C" w:rsidRPr="000E2B93" w:rsidRDefault="00510B4C" w:rsidP="00510B4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1D98D406" w14:textId="77777777" w:rsidR="00510B4C" w:rsidRDefault="00510B4C"/>
    <w:sectPr w:rsidR="00510B4C" w:rsidSect="00510B4C">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E373A" w14:textId="77777777" w:rsidR="002E3607" w:rsidRDefault="002E3607" w:rsidP="00510B4C">
      <w:pPr>
        <w:spacing w:after="0" w:line="240" w:lineRule="auto"/>
      </w:pPr>
      <w:r>
        <w:separator/>
      </w:r>
    </w:p>
  </w:endnote>
  <w:endnote w:type="continuationSeparator" w:id="0">
    <w:p w14:paraId="636A8CFC" w14:textId="77777777" w:rsidR="002E3607" w:rsidRDefault="002E3607" w:rsidP="00510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897E5" w14:textId="77777777" w:rsidR="00510B4C" w:rsidRDefault="00510B4C">
    <w:pPr>
      <w:pStyle w:val="Piedepgina"/>
    </w:pPr>
  </w:p>
  <w:p w14:paraId="5CE8347C" w14:textId="77777777" w:rsidR="00510B4C" w:rsidRPr="00174B77" w:rsidRDefault="00510B4C"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3326278" w14:textId="77777777" w:rsidR="00510B4C" w:rsidRDefault="00510B4C"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4EF8853C" w14:textId="77777777" w:rsidR="00510B4C" w:rsidRPr="00E41027" w:rsidRDefault="00510B4C"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F1C415D" w14:textId="77777777" w:rsidR="00510B4C" w:rsidRDefault="00510B4C"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FB651" w14:textId="77777777" w:rsidR="002E3607" w:rsidRDefault="002E3607" w:rsidP="00510B4C">
      <w:pPr>
        <w:spacing w:after="0" w:line="240" w:lineRule="auto"/>
      </w:pPr>
      <w:r>
        <w:separator/>
      </w:r>
    </w:p>
  </w:footnote>
  <w:footnote w:type="continuationSeparator" w:id="0">
    <w:p w14:paraId="08F05323" w14:textId="77777777" w:rsidR="002E3607" w:rsidRDefault="002E3607" w:rsidP="00510B4C">
      <w:pPr>
        <w:spacing w:after="0" w:line="240" w:lineRule="auto"/>
      </w:pPr>
      <w:r>
        <w:continuationSeparator/>
      </w:r>
    </w:p>
  </w:footnote>
  <w:footnote w:id="1">
    <w:p w14:paraId="621AC39B"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Sección Tercera, Subsección C. Sentencia del 26 de febrero de 2014. C.P. Enrique Gil Botero, Rad. 1999-00113-01 (25.804). </w:t>
      </w:r>
    </w:p>
    <w:p w14:paraId="37CEF0C5"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p>
  </w:footnote>
  <w:footnote w:id="2">
    <w:p w14:paraId="18F778C8" w14:textId="77777777" w:rsidR="00510B4C" w:rsidRPr="00B1039B" w:rsidRDefault="00510B4C" w:rsidP="00510B4C">
      <w:pPr>
        <w:pStyle w:val="Textonotapie"/>
        <w:ind w:firstLine="708"/>
        <w:jc w:val="both"/>
        <w:rPr>
          <w:rFonts w:ascii="Verdana" w:hAnsi="Verdana"/>
          <w:sz w:val="18"/>
          <w:szCs w:val="18"/>
          <w:lang w:val="es-CO"/>
        </w:rPr>
      </w:pPr>
      <w:r w:rsidRPr="00B1039B">
        <w:rPr>
          <w:rStyle w:val="Refdenotaalpie"/>
          <w:rFonts w:ascii="Verdana" w:hAnsi="Verdana"/>
          <w:sz w:val="18"/>
          <w:szCs w:val="18"/>
        </w:rPr>
        <w:footnoteRef/>
      </w:r>
      <w:r w:rsidRPr="00B1039B">
        <w:rPr>
          <w:rFonts w:ascii="Verdana" w:hAnsi="Verdana"/>
          <w:sz w:val="18"/>
          <w:szCs w:val="18"/>
        </w:rPr>
        <w:t xml:space="preserve"> Este documento se encuentra disponible para su consulta </w:t>
      </w:r>
      <w:hyperlink r:id="rId1" w:history="1">
        <w:r w:rsidRPr="00B1039B">
          <w:rPr>
            <w:rStyle w:val="Hipervnculo"/>
            <w:rFonts w:ascii="Verdana" w:hAnsi="Verdana"/>
            <w:sz w:val="18"/>
            <w:szCs w:val="18"/>
          </w:rPr>
          <w:t>aquí</w:t>
        </w:r>
      </w:hyperlink>
    </w:p>
  </w:footnote>
  <w:footnote w:id="3">
    <w:p w14:paraId="68E14182"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vertAlign w:val="superscript"/>
        </w:rPr>
        <w:t xml:space="preserve"> </w:t>
      </w:r>
      <w:r w:rsidRPr="00B1039B">
        <w:rPr>
          <w:rFonts w:ascii="Verdana" w:eastAsia="Arial"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4">
    <w:p w14:paraId="249B028D" w14:textId="77777777" w:rsidR="00510B4C" w:rsidRPr="00B1039B" w:rsidRDefault="00510B4C" w:rsidP="00510B4C">
      <w:pP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B1039B">
          <w:rPr>
            <w:rFonts w:ascii="Verdana" w:eastAsia="Arial" w:hAnsi="Verdana" w:cs="Arial"/>
            <w:color w:val="000000"/>
            <w:sz w:val="18"/>
            <w:szCs w:val="18"/>
          </w:rPr>
          <w:t>Ley 1150 de 2007</w:t>
        </w:r>
      </w:hyperlink>
      <w:r w:rsidRPr="00B1039B">
        <w:rPr>
          <w:rFonts w:ascii="Verdana" w:eastAsia="Arial" w:hAnsi="Verdana" w:cs="Arial"/>
          <w:color w:val="000000"/>
          <w:sz w:val="18"/>
          <w:szCs w:val="18"/>
        </w:rPr>
        <w:t> y en el presente decreto.</w:t>
      </w:r>
    </w:p>
    <w:p w14:paraId="69BDAB65" w14:textId="77777777" w:rsidR="00510B4C" w:rsidRPr="00B1039B" w:rsidRDefault="00510B4C" w:rsidP="00510B4C">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C65292B" w14:textId="77777777" w:rsidR="00510B4C" w:rsidRPr="00B1039B" w:rsidRDefault="00510B4C" w:rsidP="00510B4C">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Será rechazada la oferta del proponente que dentro del término previsto en el pliego o en la solicitud, no responda al requerimiento que le haga la entidad para subsanarla.</w:t>
      </w:r>
    </w:p>
    <w:p w14:paraId="3FE92A8B" w14:textId="77777777" w:rsidR="00510B4C" w:rsidRPr="00B1039B" w:rsidRDefault="00510B4C" w:rsidP="00510B4C">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Cuando se utilice el mecanismo de subasta esta posibilidad deberá ejercerse hasta el momento previo a su realización, de conformidad con el artículo 22 del presente decreto.</w:t>
      </w:r>
    </w:p>
    <w:p w14:paraId="6F11DAC1" w14:textId="77777777" w:rsidR="00510B4C" w:rsidRPr="00B1039B" w:rsidRDefault="00510B4C" w:rsidP="00510B4C">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 xml:space="preserve">En ningún caso la entidad podrá señalar taxativamente los requisitos o documentos subsanables o no subsanables en el pliego de condiciones, </w:t>
      </w:r>
      <w:r w:rsidRPr="00B1039B">
        <w:rPr>
          <w:rFonts w:ascii="Verdana" w:eastAsia="Arial" w:hAnsi="Verdana" w:cs="Arial"/>
          <w:i/>
          <w:color w:val="000000"/>
          <w:sz w:val="18"/>
          <w:szCs w:val="18"/>
        </w:rPr>
        <w:t>ni permitir que se subsane la falta de capacidad para presentar la oferta, ni que se acrediten circunstancias ocurridas con posterioridad al cierre del proceso</w:t>
      </w:r>
      <w:r w:rsidRPr="00B1039B">
        <w:rPr>
          <w:rFonts w:ascii="Verdana" w:eastAsia="Arial" w:hAnsi="Verdana" w:cs="Arial"/>
          <w:color w:val="000000"/>
          <w:sz w:val="18"/>
          <w:szCs w:val="18"/>
        </w:rPr>
        <w:t xml:space="preserve">”. (Cursivas fuera de texto). </w:t>
      </w:r>
    </w:p>
  </w:footnote>
  <w:footnote w:id="5">
    <w:p w14:paraId="1B020A2A" w14:textId="77777777" w:rsidR="00510B4C"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p>
    <w:p w14:paraId="384C9E09"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Sala de Consulta y Servicio Civil, concepto del 6 de noviembre de 2008. C.P. William Zambrano Cetina. Rad. 2008-00079-00(1927).</w:t>
      </w:r>
    </w:p>
  </w:footnote>
  <w:footnote w:id="6">
    <w:p w14:paraId="6E57A29F" w14:textId="77777777" w:rsidR="00510B4C"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p>
    <w:p w14:paraId="3306A86C"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Sección Tercera, Subsección C. Sentencia del 26 de febrero de 2011. C.P. Jaime Orlando Santofimio. Rad. 36.408.  </w:t>
      </w:r>
    </w:p>
  </w:footnote>
  <w:footnote w:id="7">
    <w:p w14:paraId="2177F80D"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p>
    <w:p w14:paraId="1273C2C6"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Sección Tercera, Subsección C. Sentencia del 26 de febrero de 2014. C.P. Enrique Gil Botero. Rad. 25.804.  </w:t>
      </w:r>
    </w:p>
  </w:footnote>
  <w:footnote w:id="8">
    <w:p w14:paraId="7E03D44F"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Sala de Consulta y Servicio Civil, concepto del 20 de mayo de 2010. C.P. Enrique José Arboleda Perdomo. Rad. 2010-00034-00(1992).</w:t>
      </w:r>
    </w:p>
    <w:p w14:paraId="73F4C53F" w14:textId="77777777" w:rsidR="00510B4C" w:rsidRPr="00B1039B" w:rsidRDefault="00510B4C" w:rsidP="00510B4C">
      <w:pPr>
        <w:pBdr>
          <w:top w:val="nil"/>
          <w:left w:val="nil"/>
          <w:bottom w:val="nil"/>
          <w:right w:val="nil"/>
          <w:between w:val="nil"/>
        </w:pBdr>
        <w:spacing w:after="0"/>
        <w:ind w:firstLine="709"/>
        <w:jc w:val="both"/>
        <w:rPr>
          <w:rFonts w:ascii="Verdana" w:eastAsia="Arial"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22CA8" w14:textId="77777777" w:rsidR="00510B4C" w:rsidRDefault="00510B4C"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4478868" wp14:editId="0748DCD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14DF762" wp14:editId="7718300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8C8232A" w14:textId="77777777" w:rsidR="00510B4C" w:rsidRDefault="00510B4C">
    <w:pPr>
      <w:pStyle w:val="Encabezado"/>
    </w:pPr>
  </w:p>
  <w:p w14:paraId="40F9DF18" w14:textId="77777777" w:rsidR="00510B4C" w:rsidRPr="004A305D" w:rsidRDefault="00510B4C" w:rsidP="00B01B1A">
    <w:pPr>
      <w:spacing w:after="0" w:line="120" w:lineRule="auto"/>
      <w:rPr>
        <w:rFonts w:ascii="Century Gothic" w:eastAsia="Geo" w:hAnsi="Century Gothic" w:cs="Geo"/>
        <w:sz w:val="16"/>
        <w:szCs w:val="16"/>
        <w:lang w:eastAsia="es-CO"/>
      </w:rPr>
    </w:pPr>
  </w:p>
  <w:p w14:paraId="4CF07795" w14:textId="77777777" w:rsidR="00510B4C" w:rsidRDefault="00510B4C" w:rsidP="00844AE9">
    <w:pPr>
      <w:spacing w:after="0" w:line="240" w:lineRule="auto"/>
      <w:rPr>
        <w:rFonts w:ascii="Verdana" w:hAnsi="Verdana"/>
        <w:sz w:val="24"/>
        <w:szCs w:val="24"/>
      </w:rPr>
    </w:pPr>
  </w:p>
  <w:p w14:paraId="40285D21" w14:textId="77777777" w:rsidR="00510B4C" w:rsidRPr="00C925AC" w:rsidRDefault="00510B4C" w:rsidP="00844AE9">
    <w:pPr>
      <w:spacing w:after="0" w:line="240" w:lineRule="auto"/>
      <w:rPr>
        <w:rFonts w:ascii="Verdana" w:hAnsi="Verdana"/>
        <w:sz w:val="24"/>
        <w:szCs w:val="24"/>
      </w:rPr>
    </w:pPr>
  </w:p>
  <w:p w14:paraId="67899832" w14:textId="77777777" w:rsidR="00510B4C" w:rsidRPr="00C925AC" w:rsidRDefault="00510B4C"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7D33387"/>
    <w:multiLevelType w:val="hybridMultilevel"/>
    <w:tmpl w:val="75C2357A"/>
    <w:lvl w:ilvl="0" w:tplc="A9D01016">
      <w:start w:val="1"/>
      <w:numFmt w:val="decimal"/>
      <w:lvlText w:val="%1."/>
      <w:lvlJc w:val="left"/>
      <w:pPr>
        <w:ind w:left="1069" w:hanging="360"/>
      </w:pPr>
      <w:rPr>
        <w:rFonts w:eastAsia="Calibri" w:cs="Arial"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4C"/>
    <w:rsid w:val="00167928"/>
    <w:rsid w:val="002E3607"/>
    <w:rsid w:val="00403320"/>
    <w:rsid w:val="004043D0"/>
    <w:rsid w:val="00510B4C"/>
    <w:rsid w:val="00661889"/>
    <w:rsid w:val="007F3CDA"/>
    <w:rsid w:val="00A8531D"/>
    <w:rsid w:val="00AD0D96"/>
    <w:rsid w:val="00DA7F3C"/>
    <w:rsid w:val="00E22999"/>
    <w:rsid w:val="00FA4F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9260"/>
  <w15:chartTrackingRefBased/>
  <w15:docId w15:val="{1AFE1D77-2070-4B6A-B3DD-46811975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B4C"/>
    <w:pPr>
      <w:spacing w:line="259" w:lineRule="auto"/>
    </w:pPr>
    <w:rPr>
      <w:kern w:val="0"/>
      <w:sz w:val="22"/>
      <w:szCs w:val="22"/>
      <w14:ligatures w14:val="none"/>
    </w:rPr>
  </w:style>
  <w:style w:type="paragraph" w:styleId="Ttulo1">
    <w:name w:val="heading 1"/>
    <w:basedOn w:val="Normal"/>
    <w:next w:val="Normal"/>
    <w:link w:val="Ttulo1Car"/>
    <w:uiPriority w:val="9"/>
    <w:qFormat/>
    <w:rsid w:val="00510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0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0B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0B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0B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0B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0B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0B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0B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0B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0B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0B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0B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0B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0B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0B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0B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0B4C"/>
    <w:rPr>
      <w:rFonts w:eastAsiaTheme="majorEastAsia" w:cstheme="majorBidi"/>
      <w:color w:val="272727" w:themeColor="text1" w:themeTint="D8"/>
    </w:rPr>
  </w:style>
  <w:style w:type="paragraph" w:styleId="Ttulo">
    <w:name w:val="Title"/>
    <w:basedOn w:val="Normal"/>
    <w:next w:val="Normal"/>
    <w:link w:val="TtuloCar"/>
    <w:uiPriority w:val="10"/>
    <w:qFormat/>
    <w:rsid w:val="00510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0B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0B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0B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0B4C"/>
    <w:pPr>
      <w:spacing w:before="160"/>
      <w:jc w:val="center"/>
    </w:pPr>
    <w:rPr>
      <w:i/>
      <w:iCs/>
      <w:color w:val="404040" w:themeColor="text1" w:themeTint="BF"/>
    </w:rPr>
  </w:style>
  <w:style w:type="character" w:customStyle="1" w:styleId="CitaCar">
    <w:name w:val="Cita Car"/>
    <w:basedOn w:val="Fuentedeprrafopredeter"/>
    <w:link w:val="Cita"/>
    <w:uiPriority w:val="29"/>
    <w:rsid w:val="00510B4C"/>
    <w:rPr>
      <w:i/>
      <w:iCs/>
      <w:color w:val="404040" w:themeColor="text1" w:themeTint="BF"/>
    </w:rPr>
  </w:style>
  <w:style w:type="paragraph" w:styleId="Prrafodelista">
    <w:name w:val="List Paragraph"/>
    <w:basedOn w:val="Normal"/>
    <w:uiPriority w:val="34"/>
    <w:qFormat/>
    <w:rsid w:val="00510B4C"/>
    <w:pPr>
      <w:ind w:left="720"/>
      <w:contextualSpacing/>
    </w:pPr>
  </w:style>
  <w:style w:type="character" w:styleId="nfasisintenso">
    <w:name w:val="Intense Emphasis"/>
    <w:basedOn w:val="Fuentedeprrafopredeter"/>
    <w:uiPriority w:val="21"/>
    <w:qFormat/>
    <w:rsid w:val="00510B4C"/>
    <w:rPr>
      <w:i/>
      <w:iCs/>
      <w:color w:val="0F4761" w:themeColor="accent1" w:themeShade="BF"/>
    </w:rPr>
  </w:style>
  <w:style w:type="paragraph" w:styleId="Citadestacada">
    <w:name w:val="Intense Quote"/>
    <w:basedOn w:val="Normal"/>
    <w:next w:val="Normal"/>
    <w:link w:val="CitadestacadaCar"/>
    <w:uiPriority w:val="30"/>
    <w:qFormat/>
    <w:rsid w:val="00510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0B4C"/>
    <w:rPr>
      <w:i/>
      <w:iCs/>
      <w:color w:val="0F4761" w:themeColor="accent1" w:themeShade="BF"/>
    </w:rPr>
  </w:style>
  <w:style w:type="character" w:styleId="Referenciaintensa">
    <w:name w:val="Intense Reference"/>
    <w:basedOn w:val="Fuentedeprrafopredeter"/>
    <w:uiPriority w:val="32"/>
    <w:qFormat/>
    <w:rsid w:val="00510B4C"/>
    <w:rPr>
      <w:b/>
      <w:bCs/>
      <w:smallCaps/>
      <w:color w:val="0F4761" w:themeColor="accent1" w:themeShade="BF"/>
      <w:spacing w:val="5"/>
    </w:rPr>
  </w:style>
  <w:style w:type="paragraph" w:styleId="Encabezado">
    <w:name w:val="header"/>
    <w:basedOn w:val="Normal"/>
    <w:link w:val="EncabezadoCar"/>
    <w:uiPriority w:val="99"/>
    <w:unhideWhenUsed/>
    <w:rsid w:val="00510B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10B4C"/>
    <w:rPr>
      <w:kern w:val="0"/>
      <w:sz w:val="22"/>
      <w:szCs w:val="22"/>
      <w14:ligatures w14:val="none"/>
    </w:rPr>
  </w:style>
  <w:style w:type="paragraph" w:styleId="Piedepgina">
    <w:name w:val="footer"/>
    <w:basedOn w:val="Normal"/>
    <w:link w:val="PiedepginaCar"/>
    <w:uiPriority w:val="99"/>
    <w:unhideWhenUsed/>
    <w:rsid w:val="00510B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0B4C"/>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10B4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510B4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10B4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10B4C"/>
    <w:rPr>
      <w:vertAlign w:val="superscript"/>
    </w:rPr>
  </w:style>
  <w:style w:type="character" w:customStyle="1" w:styleId="normaltextrun">
    <w:name w:val="normaltextrun"/>
    <w:basedOn w:val="Fuentedeprrafopredeter"/>
    <w:rsid w:val="00510B4C"/>
  </w:style>
  <w:style w:type="table" w:styleId="Tablaconcuadrcula">
    <w:name w:val="Table Grid"/>
    <w:basedOn w:val="Tablanormal"/>
    <w:uiPriority w:val="39"/>
    <w:qFormat/>
    <w:rsid w:val="00510B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0B4C"/>
    <w:rPr>
      <w:color w:val="0000FF"/>
      <w:u w:val="single"/>
    </w:rPr>
  </w:style>
  <w:style w:type="paragraph" w:customStyle="1" w:styleId="Appelnotedebasde">
    <w:name w:val="Appel note de bas de..."/>
    <w:basedOn w:val="Normal"/>
    <w:link w:val="Refdenotaalpie"/>
    <w:uiPriority w:val="99"/>
    <w:rsid w:val="00510B4C"/>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510B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villa@sena.edu.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91C9BC-C05B-4E94-989B-7554237FD769}">
  <ds:schemaRefs>
    <ds:schemaRef ds:uri="http://schemas.microsoft.com/sharepoint/v3/contenttype/forms"/>
  </ds:schemaRefs>
</ds:datastoreItem>
</file>

<file path=customXml/itemProps2.xml><?xml version="1.0" encoding="utf-8"?>
<ds:datastoreItem xmlns:ds="http://schemas.openxmlformats.org/officeDocument/2006/customXml" ds:itemID="{6047A934-6F9F-43FF-B390-DFD2F910B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CED163-4023-4525-973E-9EDA6FB350C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17</Pages>
  <Words>6088</Words>
  <Characters>33487</Characters>
  <Application>Microsoft Office Word</Application>
  <DocSecurity>0</DocSecurity>
  <Lines>279</Lines>
  <Paragraphs>78</Paragraphs>
  <ScaleCrop>false</ScaleCrop>
  <Company/>
  <LinksUpToDate>false</LinksUpToDate>
  <CharactersWithSpaces>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Betty Elena Díaz Fernandez</cp:lastModifiedBy>
  <cp:revision>5</cp:revision>
  <dcterms:created xsi:type="dcterms:W3CDTF">2026-09-17T14:12:00Z</dcterms:created>
  <dcterms:modified xsi:type="dcterms:W3CDTF">2026-09-17T23:15:00Z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