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1A39F" w14:textId="77777777" w:rsidR="00B76D39" w:rsidRPr="00B76D39" w:rsidRDefault="00B76D39" w:rsidP="00B76D39">
      <w:pPr>
        <w:spacing w:after="0" w:line="276" w:lineRule="auto"/>
        <w:jc w:val="both"/>
        <w:rPr>
          <w:rFonts w:ascii="Verdana" w:eastAsia="Calibri" w:hAnsi="Verdana" w:cs="Arial"/>
          <w:b/>
          <w:bCs/>
          <w:lang w:val="es-ES_tradnl"/>
        </w:rPr>
      </w:pPr>
      <w:bookmarkStart w:id="0" w:name="_Hlk143780582"/>
      <w:r w:rsidRPr="00B76D39">
        <w:rPr>
          <w:rFonts w:ascii="Verdana" w:eastAsia="Calibri" w:hAnsi="Verdana" w:cs="Arial"/>
          <w:b/>
          <w:bCs/>
          <w:lang w:val="es-ES_tradnl"/>
        </w:rPr>
        <w:t xml:space="preserve">DOCUMENTOS TIPO – Fundamento normativo – Obligatoriedad </w:t>
      </w:r>
    </w:p>
    <w:p w14:paraId="50EEEB1E" w14:textId="77777777" w:rsidR="00B76D39" w:rsidRPr="00B76D39" w:rsidRDefault="00B76D39" w:rsidP="00B76D39">
      <w:pPr>
        <w:spacing w:after="0" w:line="276" w:lineRule="auto"/>
        <w:jc w:val="both"/>
        <w:rPr>
          <w:rFonts w:ascii="Verdana" w:eastAsia="Calibri" w:hAnsi="Verdana" w:cs="Arial"/>
          <w:b/>
          <w:bCs/>
          <w:sz w:val="20"/>
          <w:szCs w:val="20"/>
          <w:lang w:val="es-ES_tradnl"/>
        </w:rPr>
      </w:pPr>
    </w:p>
    <w:p w14:paraId="78BECE5D" w14:textId="77777777" w:rsidR="00B76D39" w:rsidRPr="00B76D39" w:rsidRDefault="00B76D39" w:rsidP="00B76D39">
      <w:pPr>
        <w:tabs>
          <w:tab w:val="left" w:pos="709"/>
        </w:tabs>
        <w:spacing w:after="0" w:line="240" w:lineRule="auto"/>
        <w:jc w:val="both"/>
        <w:rPr>
          <w:rFonts w:ascii="Verdana" w:eastAsia="Calibri" w:hAnsi="Verdana" w:cs="Arial"/>
          <w:sz w:val="20"/>
          <w:szCs w:val="20"/>
          <w:lang w:val="es-ES"/>
        </w:rPr>
      </w:pPr>
      <w:r w:rsidRPr="00B76D39">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AFFB846" w14:textId="77777777" w:rsidR="00B76D39" w:rsidRPr="00B76D39" w:rsidRDefault="00B76D39" w:rsidP="00B76D39">
      <w:pPr>
        <w:spacing w:after="0" w:line="276" w:lineRule="auto"/>
        <w:jc w:val="both"/>
        <w:rPr>
          <w:rFonts w:ascii="Verdana" w:eastAsia="Calibri" w:hAnsi="Verdana" w:cs="Arial"/>
          <w:b/>
          <w:bCs/>
          <w:lang w:val="es-ES_tradnl"/>
        </w:rPr>
      </w:pPr>
    </w:p>
    <w:p w14:paraId="4F4D443F" w14:textId="77777777" w:rsidR="00B76D39" w:rsidRPr="00B76D39" w:rsidRDefault="00B76D39" w:rsidP="00B76D39">
      <w:pPr>
        <w:widowControl w:val="0"/>
        <w:autoSpaceDE w:val="0"/>
        <w:autoSpaceDN w:val="0"/>
        <w:spacing w:after="0" w:line="276" w:lineRule="auto"/>
        <w:jc w:val="both"/>
        <w:rPr>
          <w:rFonts w:ascii="Verdana" w:eastAsia="Calibri" w:hAnsi="Verdana" w:cs="Times New Roman"/>
          <w:b/>
          <w:bCs/>
          <w:lang w:val="es-ES"/>
        </w:rPr>
      </w:pPr>
      <w:r w:rsidRPr="00B76D39">
        <w:rPr>
          <w:rFonts w:ascii="Verdana" w:eastAsia="Calibri" w:hAnsi="Verdana" w:cs="Arial"/>
          <w:b/>
          <w:bCs/>
          <w:lang w:val="es-ES_tradnl"/>
        </w:rPr>
        <w:t>SECTOR SOCIAL</w:t>
      </w:r>
      <w:r w:rsidRPr="00B76D39">
        <w:rPr>
          <w:rFonts w:ascii="Verdana" w:eastAsia="Calibri" w:hAnsi="Verdana" w:cs="Times New Roman"/>
          <w:lang w:val="es-ES"/>
        </w:rPr>
        <w:t xml:space="preserve"> </w:t>
      </w:r>
      <w:r w:rsidRPr="00B76D39">
        <w:rPr>
          <w:rFonts w:ascii="Verdana" w:eastAsia="Calibri" w:hAnsi="Verdana" w:cs="Times New Roman"/>
          <w:b/>
          <w:bCs/>
          <w:lang w:val="es-ES"/>
        </w:rPr>
        <w:t>– Documentos tipo – Vigentes</w:t>
      </w:r>
    </w:p>
    <w:p w14:paraId="62401786" w14:textId="77777777" w:rsidR="00B76D39" w:rsidRPr="00B76D39" w:rsidRDefault="00B76D39" w:rsidP="00B76D39">
      <w:pPr>
        <w:widowControl w:val="0"/>
        <w:autoSpaceDE w:val="0"/>
        <w:autoSpaceDN w:val="0"/>
        <w:spacing w:after="0" w:line="276" w:lineRule="auto"/>
        <w:jc w:val="both"/>
        <w:rPr>
          <w:rFonts w:ascii="Verdana" w:eastAsia="Calibri" w:hAnsi="Verdana" w:cs="Times New Roman"/>
          <w:b/>
          <w:bCs/>
          <w:lang w:val="es-ES"/>
        </w:rPr>
      </w:pPr>
    </w:p>
    <w:p w14:paraId="4FD36C6F" w14:textId="77777777" w:rsidR="00B76D39" w:rsidRPr="00B76D39" w:rsidRDefault="00B76D39" w:rsidP="00B76D39">
      <w:pPr>
        <w:widowControl w:val="0"/>
        <w:autoSpaceDE w:val="0"/>
        <w:autoSpaceDN w:val="0"/>
        <w:spacing w:after="0" w:line="240" w:lineRule="auto"/>
        <w:jc w:val="both"/>
        <w:rPr>
          <w:rFonts w:ascii="Verdana" w:eastAsia="Calibri" w:hAnsi="Verdana" w:cs="Times New Roman"/>
          <w:b/>
          <w:bCs/>
          <w:sz w:val="20"/>
          <w:szCs w:val="20"/>
          <w:lang w:val="es-ES"/>
        </w:rPr>
      </w:pPr>
      <w:r w:rsidRPr="00B76D39">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7CF3C8B8" w14:textId="77777777" w:rsidR="00B76D39" w:rsidRPr="00B76D39" w:rsidRDefault="00B76D39" w:rsidP="00B76D39">
      <w:pPr>
        <w:widowControl w:val="0"/>
        <w:autoSpaceDE w:val="0"/>
        <w:autoSpaceDN w:val="0"/>
        <w:spacing w:after="0" w:line="276" w:lineRule="auto"/>
        <w:jc w:val="both"/>
        <w:rPr>
          <w:rFonts w:ascii="Verdana" w:eastAsia="Calibri" w:hAnsi="Verdana" w:cs="Times New Roman"/>
          <w:lang w:val="es-ES"/>
        </w:rPr>
      </w:pPr>
    </w:p>
    <w:p w14:paraId="2F68385A" w14:textId="77777777" w:rsidR="00B76D39" w:rsidRPr="00B76D39" w:rsidRDefault="00B76D39" w:rsidP="00B76D39">
      <w:pPr>
        <w:spacing w:after="0" w:line="276" w:lineRule="auto"/>
        <w:jc w:val="both"/>
        <w:rPr>
          <w:rFonts w:ascii="Verdana" w:eastAsia="Calibri" w:hAnsi="Verdana" w:cs="Times New Roman"/>
          <w:sz w:val="20"/>
          <w:szCs w:val="20"/>
          <w:lang w:val="es-ES"/>
        </w:rPr>
      </w:pPr>
      <w:r w:rsidRPr="00B76D39">
        <w:rPr>
          <w:rFonts w:ascii="Verdana" w:eastAsia="Calibri" w:hAnsi="Verdana" w:cs="Times New Roman"/>
          <w:b/>
          <w:bCs/>
          <w:lang w:val="es-ES"/>
        </w:rPr>
        <w:t xml:space="preserve">DOCUMENTOS TIPO – Aplicación – Matriz de Experiencia </w:t>
      </w:r>
    </w:p>
    <w:p w14:paraId="4C4691C3" w14:textId="77777777" w:rsidR="00B76D39" w:rsidRPr="00B76D39" w:rsidRDefault="00B76D39" w:rsidP="00B76D39">
      <w:pPr>
        <w:spacing w:after="0" w:line="240" w:lineRule="auto"/>
        <w:rPr>
          <w:rFonts w:ascii="Verdana" w:eastAsia="Geomanist Light" w:hAnsi="Verdana" w:cs="Arial"/>
          <w:lang w:val="es-MX"/>
        </w:rPr>
      </w:pPr>
    </w:p>
    <w:p w14:paraId="4A52C11A" w14:textId="77777777" w:rsidR="00B76D39" w:rsidRPr="00B76D39" w:rsidRDefault="00B76D39" w:rsidP="00B76D39">
      <w:pPr>
        <w:widowControl w:val="0"/>
        <w:autoSpaceDE w:val="0"/>
        <w:autoSpaceDN w:val="0"/>
        <w:spacing w:after="0" w:line="240" w:lineRule="auto"/>
        <w:jc w:val="both"/>
        <w:rPr>
          <w:rFonts w:ascii="Verdana" w:eastAsia="Calibri" w:hAnsi="Verdana" w:cs="Times New Roman"/>
          <w:sz w:val="20"/>
          <w:szCs w:val="20"/>
          <w:lang w:val="es-ES"/>
        </w:rPr>
      </w:pPr>
      <w:r w:rsidRPr="00B76D39">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3C6E56C" w14:textId="77777777" w:rsidR="00B76D39" w:rsidRPr="00B76D39" w:rsidRDefault="00B76D39" w:rsidP="00B76D39">
      <w:pPr>
        <w:widowControl w:val="0"/>
        <w:autoSpaceDE w:val="0"/>
        <w:autoSpaceDN w:val="0"/>
        <w:spacing w:after="0" w:line="240" w:lineRule="auto"/>
        <w:jc w:val="both"/>
        <w:rPr>
          <w:rFonts w:ascii="Verdana" w:eastAsia="Calibri" w:hAnsi="Verdana" w:cs="Times New Roman"/>
          <w:sz w:val="20"/>
          <w:szCs w:val="20"/>
          <w:lang w:val="es-ES"/>
        </w:rPr>
      </w:pPr>
    </w:p>
    <w:p w14:paraId="605C5E69" w14:textId="77777777" w:rsidR="00B76D39" w:rsidRPr="00B76D39" w:rsidRDefault="00B76D39" w:rsidP="00B76D39">
      <w:pPr>
        <w:widowControl w:val="0"/>
        <w:autoSpaceDE w:val="0"/>
        <w:autoSpaceDN w:val="0"/>
        <w:spacing w:after="0" w:line="240" w:lineRule="auto"/>
        <w:jc w:val="both"/>
        <w:rPr>
          <w:rFonts w:ascii="Verdana" w:eastAsia="Calibri" w:hAnsi="Verdana" w:cs="Times New Roman"/>
          <w:sz w:val="20"/>
          <w:szCs w:val="20"/>
          <w:lang w:val="es-ES"/>
        </w:rPr>
      </w:pPr>
      <w:r w:rsidRPr="00B76D39">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529EDDDA" w14:textId="77777777" w:rsidR="00B76D39" w:rsidRPr="00B76D39" w:rsidRDefault="00B76D39" w:rsidP="00B76D39">
      <w:pPr>
        <w:widowControl w:val="0"/>
        <w:autoSpaceDE w:val="0"/>
        <w:autoSpaceDN w:val="0"/>
        <w:spacing w:after="0" w:line="240" w:lineRule="auto"/>
        <w:jc w:val="both"/>
        <w:rPr>
          <w:rFonts w:ascii="Verdana" w:eastAsia="Calibri" w:hAnsi="Verdana" w:cs="Times New Roman"/>
          <w:sz w:val="20"/>
          <w:szCs w:val="20"/>
          <w:lang w:val="es-ES"/>
        </w:rPr>
      </w:pPr>
    </w:p>
    <w:p w14:paraId="33B1C9C4" w14:textId="77777777" w:rsidR="00B76D39" w:rsidRPr="00B76D39" w:rsidRDefault="00B76D39" w:rsidP="00B76D39">
      <w:pPr>
        <w:spacing w:after="0" w:line="240" w:lineRule="auto"/>
        <w:jc w:val="both"/>
        <w:rPr>
          <w:rFonts w:ascii="Verdana" w:eastAsia="Calibri" w:hAnsi="Verdana" w:cs="Arial"/>
          <w:b/>
          <w:bCs/>
          <w:color w:val="000000"/>
          <w:kern w:val="2"/>
          <w:lang w:val="es-ES_tradnl"/>
          <w14:ligatures w14:val="standardContextual"/>
        </w:rPr>
      </w:pPr>
      <w:bookmarkStart w:id="1" w:name="_Hlk81428782"/>
      <w:r w:rsidRPr="00B76D39">
        <w:rPr>
          <w:rFonts w:ascii="Verdana" w:eastAsia="Calibri" w:hAnsi="Verdana" w:cs="Arial"/>
          <w:b/>
          <w:bCs/>
          <w:color w:val="000000"/>
          <w:kern w:val="2"/>
          <w:lang w:val="es-ES_tradnl"/>
          <w14:ligatures w14:val="standardContextual"/>
        </w:rPr>
        <w:t xml:space="preserve">CONTRATO DE OBRA PÚBLICA </w:t>
      </w:r>
      <w:bookmarkEnd w:id="1"/>
      <w:r w:rsidRPr="00B76D39">
        <w:rPr>
          <w:rFonts w:ascii="Verdana" w:eastAsia="Calibri" w:hAnsi="Verdana" w:cs="Arial"/>
          <w:b/>
          <w:bCs/>
          <w:color w:val="000000"/>
          <w:kern w:val="2"/>
          <w:lang w:val="es-ES_tradnl"/>
          <w14:ligatures w14:val="standardContextual"/>
        </w:rPr>
        <w:t>– Documentos tipo – Infraestructura social – Aplicación</w:t>
      </w:r>
    </w:p>
    <w:p w14:paraId="46962850" w14:textId="77777777" w:rsidR="00B76D39" w:rsidRPr="00B76D39" w:rsidRDefault="00B76D39" w:rsidP="00B76D39">
      <w:pPr>
        <w:spacing w:after="0" w:line="240" w:lineRule="auto"/>
        <w:jc w:val="both"/>
        <w:rPr>
          <w:rFonts w:ascii="Verdana" w:eastAsia="Calibri" w:hAnsi="Verdana" w:cs="Arial"/>
          <w:b/>
          <w:bCs/>
          <w:color w:val="000000"/>
          <w:kern w:val="2"/>
          <w:lang w:val="es-ES_tradnl"/>
          <w14:ligatures w14:val="standardContextual"/>
        </w:rPr>
      </w:pPr>
    </w:p>
    <w:p w14:paraId="0995632D" w14:textId="77777777" w:rsidR="00B76D39" w:rsidRPr="00B76D39" w:rsidRDefault="00B76D39" w:rsidP="00B76D39">
      <w:pPr>
        <w:spacing w:after="0" w:line="240" w:lineRule="auto"/>
        <w:jc w:val="both"/>
        <w:rPr>
          <w:rFonts w:ascii="Verdana" w:eastAsia="Calibri" w:hAnsi="Verdana" w:cs="Arial"/>
          <w:b/>
          <w:bCs/>
          <w:color w:val="000000"/>
          <w:kern w:val="2"/>
          <w:sz w:val="20"/>
          <w:szCs w:val="20"/>
          <w:lang w:val="es-ES_tradnl"/>
          <w14:ligatures w14:val="standardContextual"/>
        </w:rPr>
      </w:pPr>
      <w:r w:rsidRPr="00B76D39">
        <w:rPr>
          <w:rFonts w:ascii="Verdana" w:eastAsia="Times New Roman" w:hAnsi="Verdana" w:cs="Arial"/>
          <w:sz w:val="20"/>
          <w:szCs w:val="20"/>
          <w:shd w:val="clear" w:color="auto" w:fill="FFFFFF"/>
          <w:lang w:val="es-ES_tradnl" w:eastAsia="es-ES_tradnl"/>
        </w:rPr>
        <w:t xml:space="preserve">Los documentos tipo adoptados por la Agencia Nacional de Contratación Pública </w:t>
      </w:r>
      <w:r w:rsidRPr="00B76D39">
        <w:rPr>
          <w:rFonts w:ascii="Verdana" w:eastAsia="Symbol" w:hAnsi="Verdana" w:cs="Symbol"/>
          <w:sz w:val="20"/>
          <w:szCs w:val="20"/>
          <w:shd w:val="clear" w:color="auto" w:fill="FFFFFF"/>
          <w:lang w:val="es-ES_tradnl" w:eastAsia="es-ES_tradnl"/>
        </w:rPr>
        <w:t>–</w:t>
      </w:r>
      <w:r w:rsidRPr="00B76D39">
        <w:rPr>
          <w:rFonts w:ascii="Verdana" w:eastAsia="Times New Roman" w:hAnsi="Verdana" w:cs="Arial"/>
          <w:sz w:val="20"/>
          <w:szCs w:val="20"/>
          <w:shd w:val="clear" w:color="auto" w:fill="FFFFFF"/>
          <w:lang w:val="es-ES_tradnl" w:eastAsia="es-ES_tradnl"/>
        </w:rPr>
        <w:t xml:space="preserve"> Colombia Compra eficiente</w:t>
      </w:r>
      <w:r w:rsidRPr="00B76D39">
        <w:rPr>
          <w:rFonts w:ascii="Verdana" w:eastAsia="Aptos" w:hAnsi="Verdana" w:cs="Times New Roman"/>
          <w:sz w:val="20"/>
          <w:szCs w:val="20"/>
          <w:lang w:val="es-ES_tradnl"/>
        </w:rPr>
        <w:t xml:space="preserve"> en el sector de infraestructura social</w:t>
      </w:r>
      <w:r w:rsidRPr="00B76D39">
        <w:rPr>
          <w:rFonts w:ascii="Verdana" w:eastAsia="Times New Roman" w:hAnsi="Verdana" w:cs="Arial"/>
          <w:sz w:val="20"/>
          <w:szCs w:val="20"/>
          <w:shd w:val="clear" w:color="auto" w:fill="FFFFFF"/>
          <w:lang w:val="es-ES_tradnl" w:eastAsia="es-ES_tradnl"/>
        </w:rPr>
        <w:t xml:space="preserve">, aplican para los </w:t>
      </w:r>
      <w:r w:rsidRPr="00B76D39">
        <w:rPr>
          <w:rFonts w:ascii="Verdana" w:eastAsia="Times New Roman" w:hAnsi="Verdana" w:cs="Arial"/>
          <w:sz w:val="20"/>
          <w:szCs w:val="20"/>
          <w:shd w:val="clear" w:color="auto" w:fill="FFFFFF"/>
          <w:lang w:val="es-ES_tradnl" w:eastAsia="es-ES_tradnl"/>
        </w:rPr>
        <w:lastRenderedPageBreak/>
        <w:t>procesos de “</w:t>
      </w:r>
      <w:r w:rsidRPr="00B76D39">
        <w:rPr>
          <w:rFonts w:ascii="Verdana" w:eastAsia="Times New Roman" w:hAnsi="Verdana" w:cs="Arial"/>
          <w:i/>
          <w:iCs/>
          <w:sz w:val="20"/>
          <w:szCs w:val="20"/>
          <w:shd w:val="clear" w:color="auto" w:fill="FFFFFF"/>
          <w:lang w:val="es-ES_tradnl" w:eastAsia="es-ES_tradnl"/>
        </w:rPr>
        <w:t>obra pública”</w:t>
      </w:r>
      <w:r w:rsidRPr="00B76D39">
        <w:rPr>
          <w:rFonts w:ascii="Verdana" w:eastAsia="Times New Roman" w:hAnsi="Verdana" w:cs="Arial"/>
          <w:sz w:val="20"/>
          <w:szCs w:val="20"/>
          <w:shd w:val="clear" w:color="auto" w:fill="FFFFFF"/>
          <w:lang w:val="es-ES_tradnl" w:eastAsia="es-ES_tradnl"/>
        </w:rPr>
        <w:t xml:space="preserve"> en las modalidades de selección acogidas: licitación pública, selección abreviada de menor cuantía y mínima cuantía.</w:t>
      </w:r>
    </w:p>
    <w:p w14:paraId="430A6E38" w14:textId="77777777" w:rsidR="00B76D39" w:rsidRPr="00B76D39" w:rsidRDefault="00B76D39" w:rsidP="00B76D39">
      <w:pPr>
        <w:spacing w:after="0" w:line="240" w:lineRule="auto"/>
        <w:jc w:val="both"/>
        <w:rPr>
          <w:rFonts w:ascii="Verdana" w:eastAsia="Calibri" w:hAnsi="Verdana" w:cs="Arial"/>
          <w:b/>
          <w:bCs/>
          <w:color w:val="000000"/>
          <w:kern w:val="2"/>
          <w:lang w:val="es-ES_tradnl"/>
          <w14:ligatures w14:val="standardContextual"/>
        </w:rPr>
      </w:pPr>
    </w:p>
    <w:p w14:paraId="02332F04" w14:textId="77777777" w:rsidR="00B76D39" w:rsidRPr="00B76D39" w:rsidRDefault="00B76D39" w:rsidP="00B76D39">
      <w:pPr>
        <w:spacing w:after="0" w:line="240" w:lineRule="auto"/>
        <w:jc w:val="both"/>
        <w:rPr>
          <w:rFonts w:ascii="Verdana" w:eastAsia="Calibri" w:hAnsi="Verdana" w:cs="Arial"/>
          <w:b/>
          <w:bCs/>
          <w:color w:val="000000"/>
          <w:kern w:val="2"/>
          <w:lang w:val="es-ES_tradnl"/>
          <w14:ligatures w14:val="standardContextual"/>
        </w:rPr>
      </w:pPr>
      <w:r w:rsidRPr="00B76D39">
        <w:rPr>
          <w:rFonts w:ascii="Verdana" w:eastAsia="Calibri" w:hAnsi="Verdana" w:cs="Arial"/>
          <w:b/>
          <w:bCs/>
          <w:color w:val="000000"/>
          <w:kern w:val="2"/>
          <w:lang w:val="es-ES_tradnl"/>
          <w14:ligatures w14:val="standardContextual"/>
        </w:rPr>
        <w:t>CONTRATO DE OBRA PÚBLICA – Aplicación – Bienes inmuebles</w:t>
      </w:r>
    </w:p>
    <w:p w14:paraId="009F69AC" w14:textId="77777777" w:rsidR="00B76D39" w:rsidRPr="00B76D39" w:rsidRDefault="00B76D39" w:rsidP="00B76D39">
      <w:pPr>
        <w:spacing w:after="0" w:line="240" w:lineRule="auto"/>
        <w:jc w:val="both"/>
        <w:rPr>
          <w:rFonts w:ascii="Verdana" w:eastAsia="Calibri" w:hAnsi="Verdana" w:cs="Arial"/>
          <w:color w:val="000000"/>
          <w:kern w:val="2"/>
          <w:sz w:val="20"/>
          <w:szCs w:val="20"/>
          <w:lang w:val="es-ES_tradnl"/>
          <w14:ligatures w14:val="standardContextual"/>
        </w:rPr>
      </w:pPr>
    </w:p>
    <w:p w14:paraId="7EA5AE52" w14:textId="77777777" w:rsidR="00B76D39" w:rsidRPr="00B76D39" w:rsidRDefault="00B76D39" w:rsidP="00B76D39">
      <w:pPr>
        <w:spacing w:after="0" w:line="240" w:lineRule="auto"/>
        <w:jc w:val="both"/>
        <w:rPr>
          <w:rFonts w:ascii="Verdana" w:eastAsia="Calibri" w:hAnsi="Verdana" w:cs="Arial"/>
          <w:color w:val="000000"/>
          <w:kern w:val="2"/>
          <w:sz w:val="20"/>
          <w:szCs w:val="20"/>
          <w:lang w:val="es-ES_tradnl"/>
          <w14:ligatures w14:val="standardContextual"/>
        </w:rPr>
      </w:pPr>
      <w:r w:rsidRPr="00B76D39">
        <w:rPr>
          <w:rFonts w:ascii="Verdana" w:eastAsia="Calibri" w:hAnsi="Verdana" w:cs="Arial"/>
          <w:color w:val="000000"/>
          <w:kern w:val="2"/>
          <w:sz w:val="20"/>
          <w:szCs w:val="20"/>
          <w:lang w:val="es-ES_tradnl"/>
          <w14:ligatures w14:val="standardContextual"/>
        </w:rPr>
        <w:t xml:space="preserve">(…) el numeral 1 del artículo 32 de la Ley 80 de 1993 opta por un </w:t>
      </w:r>
      <w:r w:rsidRPr="00B76D39">
        <w:rPr>
          <w:rFonts w:ascii="Verdana" w:eastAsia="Calibri" w:hAnsi="Verdana" w:cs="Arial"/>
          <w:i/>
          <w:iCs/>
          <w:color w:val="000000"/>
          <w:kern w:val="2"/>
          <w:sz w:val="20"/>
          <w:szCs w:val="20"/>
          <w:lang w:val="es-ES_tradnl"/>
          <w14:ligatures w14:val="standardContextual"/>
        </w:rPr>
        <w:t>sentido restringido</w:t>
      </w:r>
      <w:r w:rsidRPr="00B76D39">
        <w:rPr>
          <w:rFonts w:ascii="Verdana" w:eastAsia="Calibri" w:hAnsi="Verdana" w:cs="Arial"/>
          <w:color w:val="000000"/>
          <w:kern w:val="2"/>
          <w:sz w:val="20"/>
          <w:szCs w:val="20"/>
          <w:lang w:val="es-ES_tradnl"/>
          <w14:ligatures w14:val="standardContextual"/>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351D7186" w14:textId="77777777" w:rsidR="00B76D39" w:rsidRPr="00B76D39" w:rsidRDefault="00B76D39" w:rsidP="00B76D39">
      <w:pPr>
        <w:spacing w:after="0" w:line="240" w:lineRule="auto"/>
        <w:jc w:val="both"/>
        <w:rPr>
          <w:rFonts w:ascii="Verdana" w:eastAsia="Calibri" w:hAnsi="Verdana" w:cs="Arial"/>
          <w:color w:val="000000"/>
          <w:kern w:val="2"/>
          <w:sz w:val="20"/>
          <w:szCs w:val="20"/>
          <w:lang w:val="es-ES_tradnl"/>
          <w14:ligatures w14:val="standardContextual"/>
        </w:rPr>
      </w:pPr>
    </w:p>
    <w:p w14:paraId="4599045C" w14:textId="77777777" w:rsidR="00B76D39" w:rsidRPr="00B76D39" w:rsidRDefault="00B76D39" w:rsidP="00B76D39">
      <w:pPr>
        <w:spacing w:after="0" w:line="240" w:lineRule="auto"/>
        <w:rPr>
          <w:rFonts w:ascii="Verdana" w:eastAsia="Calibri" w:hAnsi="Verdana" w:cs="Arial"/>
          <w:b/>
          <w:bCs/>
          <w:color w:val="000000"/>
          <w:kern w:val="2"/>
          <w:lang w:val="es-ES_tradnl"/>
          <w14:ligatures w14:val="standardContextual"/>
        </w:rPr>
      </w:pPr>
      <w:r w:rsidRPr="00B76D39">
        <w:rPr>
          <w:rFonts w:ascii="Verdana" w:eastAsia="Calibri" w:hAnsi="Verdana" w:cs="Arial"/>
          <w:b/>
          <w:bCs/>
          <w:color w:val="000000"/>
          <w:kern w:val="2"/>
          <w:lang w:val="es-ES_tradnl"/>
          <w14:ligatures w14:val="standardContextual"/>
        </w:rPr>
        <w:t>CONTRATO DE OBRA PÚBLICA – Actividades – Construir – Mantener – Instalar</w:t>
      </w:r>
    </w:p>
    <w:p w14:paraId="1A491FBB" w14:textId="77777777" w:rsidR="00B76D39" w:rsidRPr="00B76D39" w:rsidRDefault="00B76D39" w:rsidP="00B76D39">
      <w:pPr>
        <w:spacing w:after="0" w:line="240" w:lineRule="auto"/>
        <w:rPr>
          <w:rFonts w:ascii="Verdana" w:eastAsia="Calibri" w:hAnsi="Verdana" w:cs="Arial"/>
          <w:color w:val="000000"/>
          <w:kern w:val="2"/>
          <w:sz w:val="20"/>
          <w:szCs w:val="20"/>
          <w:lang w:val="es-ES_tradnl"/>
          <w14:ligatures w14:val="standardContextual"/>
        </w:rPr>
      </w:pPr>
    </w:p>
    <w:p w14:paraId="02530867" w14:textId="77777777" w:rsidR="00B76D39" w:rsidRPr="00B76D39" w:rsidRDefault="00B76D39" w:rsidP="00B76D39">
      <w:pPr>
        <w:snapToGrid w:val="0"/>
        <w:spacing w:after="0" w:line="240" w:lineRule="auto"/>
        <w:jc w:val="both"/>
        <w:textAlignment w:val="baseline"/>
        <w:rPr>
          <w:rFonts w:ascii="Verdana" w:eastAsia="Times New Roman" w:hAnsi="Verdana" w:cs="Times New Roman"/>
          <w:color w:val="000000"/>
          <w:sz w:val="20"/>
          <w:szCs w:val="20"/>
          <w:lang w:val="es-ES" w:eastAsia="es-MX"/>
        </w:rPr>
      </w:pPr>
      <w:r w:rsidRPr="00B76D39">
        <w:rPr>
          <w:rFonts w:ascii="Verdana" w:eastAsia="Times New Roman" w:hAnsi="Verdana" w:cs="Times New Roman"/>
          <w:color w:val="000000"/>
          <w:sz w:val="20"/>
          <w:szCs w:val="20"/>
          <w:lang w:val="es-ES" w:eastAsia="es-MX"/>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 entre otros.</w:t>
      </w:r>
    </w:p>
    <w:p w14:paraId="46760520" w14:textId="77777777" w:rsidR="00B76D39" w:rsidRPr="00B76D39" w:rsidRDefault="00B76D39" w:rsidP="00B76D39">
      <w:pPr>
        <w:spacing w:after="0" w:line="240" w:lineRule="auto"/>
        <w:jc w:val="both"/>
        <w:rPr>
          <w:rFonts w:ascii="Verdana" w:eastAsia="Calibri" w:hAnsi="Verdana" w:cs="Arial"/>
          <w:color w:val="000000"/>
          <w:kern w:val="2"/>
          <w:sz w:val="20"/>
          <w:szCs w:val="20"/>
          <w:lang w:val="es-ES_tradnl"/>
          <w14:ligatures w14:val="standardContextual"/>
        </w:rPr>
      </w:pPr>
    </w:p>
    <w:p w14:paraId="38AF6ED3" w14:textId="77777777" w:rsidR="00B76D39" w:rsidRPr="00B76D39" w:rsidRDefault="00B76D39" w:rsidP="00B76D39">
      <w:pPr>
        <w:spacing w:after="0" w:line="240" w:lineRule="auto"/>
        <w:rPr>
          <w:rFonts w:ascii="Verdana" w:eastAsia="Calibri" w:hAnsi="Verdana" w:cs="Arial"/>
          <w:b/>
          <w:bCs/>
          <w:color w:val="000000"/>
          <w:kern w:val="2"/>
          <w:lang w:val="es-ES_tradnl"/>
          <w14:ligatures w14:val="standardContextual"/>
        </w:rPr>
      </w:pPr>
      <w:r w:rsidRPr="00B76D39">
        <w:rPr>
          <w:rFonts w:ascii="Verdana" w:eastAsia="Calibri" w:hAnsi="Verdana" w:cs="Arial"/>
          <w:b/>
          <w:bCs/>
          <w:color w:val="000000"/>
          <w:kern w:val="2"/>
          <w:lang w:val="es-ES_tradnl"/>
          <w14:ligatures w14:val="standardContextual"/>
        </w:rPr>
        <w:t xml:space="preserve">CONTRATO DE OBRA PÚBLICA – Aplicación – Inmuebles – Adhesión – Destinación </w:t>
      </w:r>
    </w:p>
    <w:p w14:paraId="3D3B6919" w14:textId="77777777" w:rsidR="00B76D39" w:rsidRPr="00B76D39" w:rsidRDefault="00B76D39" w:rsidP="00B76D39">
      <w:pPr>
        <w:snapToGrid w:val="0"/>
        <w:spacing w:after="0" w:line="240" w:lineRule="auto"/>
        <w:jc w:val="both"/>
        <w:textAlignment w:val="baseline"/>
        <w:rPr>
          <w:rFonts w:ascii="Verdana" w:eastAsia="Times New Roman" w:hAnsi="Verdana" w:cs="Times New Roman"/>
          <w:color w:val="000000"/>
          <w:sz w:val="20"/>
          <w:szCs w:val="20"/>
          <w:lang w:val="es-ES" w:eastAsia="es-MX"/>
        </w:rPr>
      </w:pPr>
    </w:p>
    <w:p w14:paraId="2B3BB2C2" w14:textId="77777777" w:rsidR="00B76D39" w:rsidRPr="00B76D39" w:rsidRDefault="00B76D39" w:rsidP="00B76D39">
      <w:pPr>
        <w:snapToGrid w:val="0"/>
        <w:spacing w:after="0" w:line="240" w:lineRule="auto"/>
        <w:jc w:val="both"/>
        <w:textAlignment w:val="baseline"/>
        <w:rPr>
          <w:rFonts w:ascii="Verdana" w:eastAsia="Times New Roman" w:hAnsi="Verdana" w:cs="Times New Roman"/>
          <w:color w:val="000000"/>
          <w:sz w:val="20"/>
          <w:szCs w:val="20"/>
          <w:lang w:val="es-ES" w:eastAsia="es-MX"/>
        </w:rPr>
      </w:pPr>
      <w:r w:rsidRPr="00B76D39">
        <w:rPr>
          <w:rFonts w:ascii="Verdana" w:eastAsia="Times New Roman" w:hAnsi="Verdana" w:cs="Times New Roman"/>
          <w:color w:val="000000"/>
          <w:sz w:val="20"/>
          <w:szCs w:val="20"/>
          <w:lang w:val="es-ES" w:eastAsia="es-MX"/>
        </w:rPr>
        <w:t>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p w14:paraId="2C458BAD" w14:textId="77777777" w:rsidR="00B76D39" w:rsidRPr="00B76D39" w:rsidRDefault="00B76D39" w:rsidP="00B76D39">
      <w:pPr>
        <w:spacing w:after="0" w:line="240" w:lineRule="auto"/>
        <w:jc w:val="both"/>
        <w:rPr>
          <w:rFonts w:ascii="Verdana" w:eastAsia="Calibri" w:hAnsi="Verdana" w:cs="Arial"/>
          <w:color w:val="000000"/>
          <w:kern w:val="2"/>
          <w:sz w:val="20"/>
          <w:szCs w:val="20"/>
          <w:lang w:val="es-ES_tradnl"/>
          <w14:ligatures w14:val="standardContextual"/>
        </w:rPr>
      </w:pPr>
    </w:p>
    <w:p w14:paraId="030C4577" w14:textId="77777777" w:rsidR="00B76D39" w:rsidRPr="00B76D39" w:rsidRDefault="00B76D39" w:rsidP="00B76D39">
      <w:pPr>
        <w:spacing w:after="0" w:line="240" w:lineRule="auto"/>
        <w:jc w:val="both"/>
        <w:rPr>
          <w:rFonts w:ascii="Verdana" w:eastAsia="Calibri" w:hAnsi="Verdana" w:cs="Arial"/>
          <w:b/>
          <w:bCs/>
          <w:color w:val="000000"/>
          <w:kern w:val="2"/>
          <w:lang w:val="es-ES_tradnl"/>
          <w14:ligatures w14:val="standardContextual"/>
        </w:rPr>
      </w:pPr>
      <w:r w:rsidRPr="00B76D39">
        <w:rPr>
          <w:rFonts w:ascii="Verdana" w:eastAsia="Calibri" w:hAnsi="Verdana" w:cs="Arial"/>
          <w:b/>
          <w:bCs/>
          <w:color w:val="000000"/>
          <w:kern w:val="2"/>
          <w:lang w:val="es-ES_tradnl"/>
          <w14:ligatures w14:val="standardContextual"/>
        </w:rPr>
        <w:t>CONTRATO DE OBRA PÚBLICA – Bienes muebles – Excluidos</w:t>
      </w:r>
    </w:p>
    <w:p w14:paraId="08D1A300" w14:textId="77777777" w:rsidR="00B76D39" w:rsidRPr="00B76D39" w:rsidRDefault="00B76D39" w:rsidP="00B76D39">
      <w:pPr>
        <w:snapToGrid w:val="0"/>
        <w:spacing w:after="0" w:line="240" w:lineRule="auto"/>
        <w:jc w:val="both"/>
        <w:textAlignment w:val="baseline"/>
        <w:rPr>
          <w:rFonts w:ascii="Verdana" w:eastAsia="Times New Roman" w:hAnsi="Verdana" w:cs="Arial"/>
          <w:color w:val="000000"/>
          <w:sz w:val="20"/>
          <w:szCs w:val="20"/>
          <w:lang w:val="es-ES" w:eastAsia="es-MX"/>
        </w:rPr>
      </w:pPr>
    </w:p>
    <w:p w14:paraId="6D66F664" w14:textId="77777777" w:rsidR="00B76D39" w:rsidRPr="00B76D39" w:rsidRDefault="00B76D39" w:rsidP="00B76D39">
      <w:pPr>
        <w:snapToGrid w:val="0"/>
        <w:spacing w:after="0" w:line="240" w:lineRule="auto"/>
        <w:jc w:val="both"/>
        <w:textAlignment w:val="baseline"/>
        <w:rPr>
          <w:rFonts w:ascii="Verdana" w:eastAsia="Times New Roman" w:hAnsi="Verdana" w:cs="Arial"/>
          <w:color w:val="000000"/>
          <w:kern w:val="2"/>
          <w:sz w:val="20"/>
          <w:szCs w:val="20"/>
          <w:lang w:val="es-ES" w:eastAsia="es-MX"/>
          <w14:ligatures w14:val="standardContextual"/>
        </w:rPr>
      </w:pPr>
      <w:r w:rsidRPr="00B76D39">
        <w:rPr>
          <w:rFonts w:ascii="Verdana" w:eastAsia="Times New Roman" w:hAnsi="Verdana" w:cs="Arial"/>
          <w:color w:val="000000"/>
          <w:sz w:val="20"/>
          <w:szCs w:val="20"/>
          <w:lang w:val="es-ES" w:eastAsia="es-MX"/>
        </w:rPr>
        <w:t xml:space="preserve">En ese sentido, la naturaleza inmueble del bien –ya sea natural, por adhesión o destinación– sobre el que se realizan las actividades es determinante para saber si está ante un contrato de obra pública, ya que de este tipo contractual se encuentran excluidos </w:t>
      </w:r>
      <w:r w:rsidRPr="00B76D39">
        <w:rPr>
          <w:rFonts w:ascii="Verdana" w:eastAsia="Times New Roman" w:hAnsi="Verdana" w:cs="Arial"/>
          <w:color w:val="000000"/>
          <w:sz w:val="20"/>
          <w:szCs w:val="20"/>
          <w:lang w:val="es-ES" w:eastAsia="es-MX"/>
        </w:rPr>
        <w:lastRenderedPageBreak/>
        <w:t>trabajos materiales realizados sobre bienes muebles, por lo que estos corresponderían a un tipo contractual diferente. Esto supone que, en caso de que las prestaciones a realizarse impliquen el desarrollo de actividades materiales sobre bienes muebles, no resulta jurídicamente valido acudir al contrato de obra pública, debiendo la entidad acudir al régimen contractual de algún otro tipo contractual en el que se subsuma la actividad a contratar, como, por ejemplo, el contrato de prestación de servicios, o a cualquier otra modalidad típica o atípica, nominada o innominada que pueda celebrarse entre la entidad estatal y un contratista, en los términos de la autonomía de la voluntad de las partes, de acuerdo con lo previsto en los artículos 32 y 40 de la Ley 80 de 1993. </w:t>
      </w:r>
    </w:p>
    <w:p w14:paraId="22073E6D" w14:textId="77777777" w:rsidR="00B76D39" w:rsidRPr="00B76D39" w:rsidRDefault="00B76D39" w:rsidP="00B76D39">
      <w:pPr>
        <w:spacing w:after="0" w:line="276" w:lineRule="auto"/>
        <w:jc w:val="both"/>
        <w:rPr>
          <w:rFonts w:ascii="Verdana" w:eastAsia="Calibri" w:hAnsi="Verdana" w:cs="Times New Roman"/>
          <w:sz w:val="20"/>
          <w:szCs w:val="20"/>
          <w:lang w:val="es-ES"/>
        </w:rPr>
      </w:pPr>
    </w:p>
    <w:p w14:paraId="0AF29991" w14:textId="77777777" w:rsidR="00B76D39" w:rsidRPr="00B76D39" w:rsidRDefault="00B76D39" w:rsidP="00B76D39">
      <w:pPr>
        <w:spacing w:after="0" w:line="276" w:lineRule="auto"/>
        <w:jc w:val="both"/>
        <w:rPr>
          <w:rFonts w:ascii="Verdana" w:eastAsia="Calibri" w:hAnsi="Verdana" w:cs="Times New Roman"/>
          <w:b/>
          <w:bCs/>
          <w:lang w:val="es-ES"/>
        </w:rPr>
      </w:pPr>
      <w:r w:rsidRPr="00B76D39">
        <w:rPr>
          <w:rFonts w:ascii="Verdana" w:eastAsia="Calibri" w:hAnsi="Verdana" w:cs="Times New Roman"/>
          <w:b/>
          <w:bCs/>
          <w:lang w:val="es-ES"/>
        </w:rPr>
        <w:t xml:space="preserve">SECTOR INSTITUCIONAL – Documentos tipo – Infraestructura social </w:t>
      </w:r>
    </w:p>
    <w:p w14:paraId="17FA0B79" w14:textId="77777777" w:rsidR="00B76D39" w:rsidRPr="00B76D39" w:rsidRDefault="00B76D39" w:rsidP="00B76D39">
      <w:pPr>
        <w:spacing w:after="0" w:line="276" w:lineRule="auto"/>
        <w:jc w:val="both"/>
        <w:rPr>
          <w:rFonts w:ascii="Verdana" w:eastAsia="Calibri" w:hAnsi="Verdana" w:cs="Times New Roman"/>
          <w:sz w:val="20"/>
          <w:szCs w:val="20"/>
          <w:lang w:val="es-ES"/>
        </w:rPr>
      </w:pPr>
    </w:p>
    <w:p w14:paraId="6E96D27B" w14:textId="77777777" w:rsidR="00B76D39" w:rsidRPr="00B76D39" w:rsidRDefault="00B76D39" w:rsidP="00B76D39">
      <w:pPr>
        <w:spacing w:after="0" w:line="240" w:lineRule="auto"/>
        <w:jc w:val="both"/>
        <w:rPr>
          <w:rFonts w:ascii="Verdana" w:eastAsia="Calibri" w:hAnsi="Verdana" w:cs="Times New Roman"/>
          <w:kern w:val="2"/>
          <w:sz w:val="20"/>
          <w:szCs w:val="20"/>
          <w:lang w:val="es-ES" w:eastAsia="es-MX"/>
          <w14:ligatures w14:val="standardContextual"/>
        </w:rPr>
      </w:pPr>
      <w:r w:rsidRPr="00B76D39">
        <w:rPr>
          <w:rFonts w:ascii="Verdana" w:eastAsia="Calibri" w:hAnsi="Verdana" w:cs="Times New Roman"/>
          <w:kern w:val="2"/>
          <w:sz w:val="20"/>
          <w:szCs w:val="20"/>
          <w:lang w:val="es-ES" w:eastAsia="es-MX"/>
          <w14:ligatures w14:val="standardContextual"/>
        </w:rPr>
        <w:t xml:space="preserve">El artículo 17 de la Resolución 539 del 21 de agosto de 2025, y el artículo 16 de las Resoluciones 540 y 541 del 21 de agosto de 2025, adoptan los Documentos Tipo complementarios para los procesos de infraestructura social relacionados con el Sector Institucional –según la modalidad que aplique–. De acuerdo con el parágrafo segundo de los artículos 17 y 16 de las citadas resoluciones, estos documentos aplican a los procesos contractuales que correspondan a las actividades definidas en la Matriz 1 – Experiencia del Sector Institucional. </w:t>
      </w:r>
    </w:p>
    <w:p w14:paraId="2B15BB5C" w14:textId="77777777" w:rsidR="00B76D39" w:rsidRPr="00B76D39" w:rsidRDefault="00B76D39" w:rsidP="00B76D39">
      <w:pPr>
        <w:spacing w:after="0" w:line="240" w:lineRule="auto"/>
        <w:jc w:val="both"/>
        <w:rPr>
          <w:rFonts w:ascii="Verdana" w:eastAsia="Calibri" w:hAnsi="Verdana" w:cs="Times New Roman"/>
          <w:kern w:val="2"/>
          <w:sz w:val="20"/>
          <w:szCs w:val="20"/>
          <w:lang w:val="es-ES" w:eastAsia="es-MX"/>
          <w14:ligatures w14:val="standardContextual"/>
        </w:rPr>
      </w:pPr>
    </w:p>
    <w:p w14:paraId="7BC189DE" w14:textId="77777777" w:rsidR="00B76D39" w:rsidRPr="00B76D39" w:rsidRDefault="00B76D39" w:rsidP="00B76D39">
      <w:pPr>
        <w:spacing w:after="0" w:line="240" w:lineRule="auto"/>
        <w:jc w:val="both"/>
        <w:rPr>
          <w:rFonts w:ascii="Verdana" w:eastAsia="Arial" w:hAnsi="Verdana" w:cs="Aptos"/>
          <w:kern w:val="2"/>
          <w:sz w:val="20"/>
          <w:szCs w:val="20"/>
          <w:lang w:eastAsia="es-ES"/>
          <w14:ligatures w14:val="standardContextual"/>
        </w:rPr>
      </w:pPr>
      <w:r w:rsidRPr="00B76D39">
        <w:rPr>
          <w:rFonts w:ascii="Verdana" w:eastAsia="Calibri" w:hAnsi="Verdana" w:cs="Times New Roman"/>
          <w:kern w:val="2"/>
          <w:sz w:val="20"/>
          <w:szCs w:val="20"/>
          <w:lang w:val="es-ES" w:eastAsia="es-MX"/>
          <w14:ligatures w14:val="standardContextual"/>
        </w:rPr>
        <w:t xml:space="preserve">La Matriz 1 – Experiencia del Sector Institucional, </w:t>
      </w:r>
      <w:r w:rsidRPr="00B76D39">
        <w:rPr>
          <w:rFonts w:ascii="Verdana" w:eastAsia="Times New Roman" w:hAnsi="Verdana" w:cs="Times New Roman"/>
          <w:color w:val="000000"/>
          <w:kern w:val="2"/>
          <w:sz w:val="20"/>
          <w:szCs w:val="20"/>
          <w:lang w:eastAsia="es-CO"/>
          <w14:ligatures w14:val="standardContextual"/>
        </w:rPr>
        <w:t xml:space="preserve">en la modalidad de licitación pública, selección abreviada de menor cuantía y mínima cuantía dispone de los siguientes cinco (5) tipos de infraestructura: </w:t>
      </w:r>
      <w:r w:rsidRPr="00B76D39">
        <w:rPr>
          <w:rFonts w:ascii="Verdana" w:eastAsia="Arial" w:hAnsi="Verdana" w:cs="Aptos"/>
          <w:kern w:val="2"/>
          <w:sz w:val="20"/>
          <w:szCs w:val="20"/>
          <w:lang w:eastAsia="es-ES"/>
          <w14:ligatures w14:val="standardContextual"/>
        </w:rPr>
        <w:t>“1)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B76D39">
        <w:rPr>
          <w:rFonts w:ascii="Verdana" w:eastAsia="Aptos" w:hAnsi="Verdana" w:cs="Arial"/>
          <w:kern w:val="2"/>
          <w:sz w:val="20"/>
          <w:szCs w:val="20"/>
          <w14:ligatures w14:val="standardContextual"/>
        </w:rPr>
        <w:t xml:space="preserve">. </w:t>
      </w:r>
    </w:p>
    <w:p w14:paraId="4AD2F47F" w14:textId="77777777" w:rsidR="00B76D39" w:rsidRPr="00B76D39" w:rsidRDefault="00B76D39" w:rsidP="00B76D39">
      <w:pPr>
        <w:spacing w:after="0" w:line="276" w:lineRule="auto"/>
        <w:jc w:val="both"/>
        <w:rPr>
          <w:rFonts w:ascii="Verdana" w:eastAsia="Arial" w:hAnsi="Verdana" w:cs="Aptos"/>
          <w:kern w:val="2"/>
          <w:lang w:eastAsia="es-ES"/>
          <w14:ligatures w14:val="standardContextual"/>
        </w:rPr>
      </w:pPr>
      <w:r w:rsidRPr="00B76D39">
        <w:rPr>
          <w:rFonts w:ascii="Verdana" w:eastAsia="Arial" w:hAnsi="Verdana" w:cs="Aptos"/>
          <w:kern w:val="2"/>
          <w:lang w:eastAsia="es-ES"/>
          <w14:ligatures w14:val="standardContextual"/>
        </w:rPr>
        <w:tab/>
      </w:r>
    </w:p>
    <w:p w14:paraId="19FA86BA" w14:textId="77777777" w:rsidR="00B76D39" w:rsidRPr="00B76D39" w:rsidRDefault="00B76D39" w:rsidP="00B76D39">
      <w:pPr>
        <w:spacing w:after="0" w:line="276" w:lineRule="auto"/>
        <w:jc w:val="both"/>
        <w:rPr>
          <w:rFonts w:ascii="Verdana" w:eastAsia="Aptos" w:hAnsi="Verdana" w:cs="Times New Roman"/>
          <w:b/>
          <w:bCs/>
          <w:kern w:val="2"/>
          <w14:ligatures w14:val="standardContextual"/>
        </w:rPr>
      </w:pPr>
      <w:r w:rsidRPr="00B76D39">
        <w:rPr>
          <w:rFonts w:ascii="Verdana" w:eastAsia="Aptos" w:hAnsi="Verdana" w:cs="Times New Roman"/>
          <w:b/>
          <w:bCs/>
          <w:kern w:val="2"/>
          <w14:ligatures w14:val="standardContextual"/>
        </w:rPr>
        <w:t>CABINAS DE EXTRACCIÓN – Seguridad biológica – Documentos tipo – Aplicación</w:t>
      </w:r>
    </w:p>
    <w:p w14:paraId="3B0F5833" w14:textId="77777777" w:rsidR="00B76D39" w:rsidRPr="00B76D39" w:rsidRDefault="00B76D39" w:rsidP="00B76D39">
      <w:pPr>
        <w:spacing w:after="0" w:line="276" w:lineRule="auto"/>
        <w:jc w:val="both"/>
        <w:rPr>
          <w:rFonts w:ascii="Verdana" w:eastAsia="Aptos" w:hAnsi="Verdana" w:cs="Times New Roman"/>
          <w:kern w:val="2"/>
          <w14:ligatures w14:val="standardContextual"/>
        </w:rPr>
      </w:pPr>
    </w:p>
    <w:p w14:paraId="56B77312" w14:textId="77777777" w:rsidR="00B76D39" w:rsidRPr="00B76D39" w:rsidRDefault="00B76D39" w:rsidP="00B76D39">
      <w:pPr>
        <w:spacing w:after="0" w:line="240" w:lineRule="auto"/>
        <w:jc w:val="both"/>
        <w:rPr>
          <w:rFonts w:ascii="Verdana" w:eastAsia="Aptos" w:hAnsi="Verdana" w:cs="Times New Roman"/>
          <w:kern w:val="2"/>
          <w:sz w:val="20"/>
          <w:szCs w:val="20"/>
          <w14:ligatures w14:val="standardContextual"/>
        </w:rPr>
      </w:pPr>
      <w:proofErr w:type="gramStart"/>
      <w:r w:rsidRPr="00B76D39">
        <w:rPr>
          <w:rFonts w:ascii="Verdana" w:eastAsia="Aptos" w:hAnsi="Verdana" w:cs="Times New Roman"/>
          <w:kern w:val="2"/>
          <w:sz w:val="20"/>
          <w:szCs w:val="20"/>
          <w14:ligatures w14:val="standardContextual"/>
        </w:rPr>
        <w:t>Revisados los tipos de obra y las actividades a contratar</w:t>
      </w:r>
      <w:proofErr w:type="gramEnd"/>
      <w:r w:rsidRPr="00B76D39">
        <w:rPr>
          <w:rFonts w:ascii="Verdana" w:eastAsia="Aptos" w:hAnsi="Verdana" w:cs="Times New Roman"/>
          <w:kern w:val="2"/>
          <w:sz w:val="20"/>
          <w:szCs w:val="20"/>
          <w14:ligatures w14:val="standardContextual"/>
        </w:rPr>
        <w:t xml:space="preserve"> dispuestos en la Matriz 1 – Experiencia de los documentos tipo del sector institucional, así como los contenidos en la Matriz 1 – Experiencia de los documentos tipo de infraestructura de agua potable y saneamiento básico, no se encuentra ninguna actividad dirigida al mantenimiento y la verificación de cabinas de extracción de seguridad biológica. </w:t>
      </w:r>
    </w:p>
    <w:p w14:paraId="56C64B82" w14:textId="77777777" w:rsidR="00B76D39" w:rsidRPr="00B76D39" w:rsidRDefault="00B76D39" w:rsidP="00B76D39">
      <w:pPr>
        <w:spacing w:after="120" w:line="240" w:lineRule="auto"/>
        <w:jc w:val="both"/>
        <w:rPr>
          <w:rFonts w:ascii="Verdana" w:eastAsia="Aptos" w:hAnsi="Verdana" w:cs="Times New Roman"/>
          <w:kern w:val="2"/>
          <w:sz w:val="20"/>
          <w:szCs w:val="20"/>
          <w14:ligatures w14:val="standardContextual"/>
        </w:rPr>
      </w:pPr>
    </w:p>
    <w:p w14:paraId="104BAF7E" w14:textId="77777777" w:rsidR="00B76D39" w:rsidRPr="00B76D39" w:rsidRDefault="00B76D39" w:rsidP="00B76D39">
      <w:pPr>
        <w:spacing w:after="0" w:line="240" w:lineRule="auto"/>
        <w:jc w:val="both"/>
        <w:rPr>
          <w:rFonts w:ascii="Verdana" w:eastAsia="Aptos" w:hAnsi="Verdana" w:cs="Times New Roman"/>
          <w:kern w:val="2"/>
          <w:sz w:val="20"/>
          <w:szCs w:val="20"/>
          <w14:ligatures w14:val="standardContextual"/>
        </w:rPr>
      </w:pPr>
      <w:r w:rsidRPr="00B76D39">
        <w:rPr>
          <w:rFonts w:ascii="Verdana" w:eastAsia="Aptos" w:hAnsi="Verdana" w:cs="Times New Roman"/>
          <w:kern w:val="2"/>
          <w:sz w:val="20"/>
          <w:szCs w:val="20"/>
          <w14:ligatures w14:val="standardContextual"/>
        </w:rPr>
        <w:t xml:space="preserve">Si bien la matriz del sector institucional contempla el suministro y/o la instalación de equipos especiales, electromecánicos o electrónicos –numerales 1.12, 2.13 y 3.12–, así como de sistemas de aire acondicionado o ventilación –numerales 1.15, 2.14 y 3.15–, estas actividades no comprenden el mantenimiento ni la verificación de estos equipos. </w:t>
      </w:r>
      <w:r w:rsidRPr="00B76D39">
        <w:rPr>
          <w:rFonts w:ascii="Verdana" w:eastAsia="Aptos" w:hAnsi="Verdana" w:cs="Times New Roman"/>
          <w:kern w:val="2"/>
          <w:sz w:val="20"/>
          <w:szCs w:val="20"/>
          <w14:ligatures w14:val="standardContextual"/>
        </w:rPr>
        <w:lastRenderedPageBreak/>
        <w:t>Por lo tanto, al no existir documentos tipo aplicables al proceso en mención, su uso no es obligatorio.</w:t>
      </w:r>
    </w:p>
    <w:p w14:paraId="42983284" w14:textId="77777777" w:rsidR="00B76D39" w:rsidRPr="00B76D39" w:rsidRDefault="00B76D39" w:rsidP="00B76D39">
      <w:pPr>
        <w:spacing w:after="0" w:line="240" w:lineRule="auto"/>
        <w:jc w:val="both"/>
        <w:rPr>
          <w:rFonts w:ascii="Verdana" w:eastAsia="Aptos" w:hAnsi="Verdana" w:cs="Times New Roman"/>
          <w:kern w:val="2"/>
          <w:sz w:val="20"/>
          <w:szCs w:val="20"/>
          <w14:ligatures w14:val="standardContextual"/>
        </w:rPr>
      </w:pPr>
    </w:p>
    <w:p w14:paraId="63D6BF34" w14:textId="77777777" w:rsidR="00B76D39" w:rsidRPr="00B76D39" w:rsidRDefault="00B76D39" w:rsidP="00B76D39">
      <w:pPr>
        <w:spacing w:after="0" w:line="276" w:lineRule="auto"/>
        <w:jc w:val="both"/>
        <w:rPr>
          <w:rFonts w:ascii="Verdana" w:eastAsia="Times New Roman" w:hAnsi="Verdana" w:cs="Times New Roman"/>
          <w:b/>
          <w:bCs/>
          <w:lang w:eastAsia="es-MX"/>
        </w:rPr>
      </w:pPr>
      <w:r w:rsidRPr="00B76D39">
        <w:rPr>
          <w:rFonts w:ascii="Verdana" w:eastAsia="Times New Roman" w:hAnsi="Verdana" w:cs="Times New Roman"/>
          <w:b/>
          <w:bCs/>
          <w:lang w:eastAsia="es-MX"/>
        </w:rPr>
        <w:t>CENTRALES Y REDES DE GASES – Mantenimiento – Aplicación – Documentos tipo</w:t>
      </w:r>
    </w:p>
    <w:p w14:paraId="40721225" w14:textId="77777777" w:rsidR="00B76D39" w:rsidRPr="00B76D39" w:rsidRDefault="00B76D39" w:rsidP="00B76D39">
      <w:pPr>
        <w:spacing w:after="0" w:line="276" w:lineRule="auto"/>
        <w:jc w:val="both"/>
        <w:rPr>
          <w:rFonts w:ascii="Verdana" w:eastAsia="Calibri" w:hAnsi="Verdana" w:cs="Times New Roman"/>
          <w:b/>
          <w:bCs/>
          <w:lang w:val="es-ES" w:eastAsia="es-MX"/>
        </w:rPr>
      </w:pPr>
    </w:p>
    <w:p w14:paraId="732EF0A0" w14:textId="77777777" w:rsidR="00B76D39" w:rsidRPr="00B76D39" w:rsidRDefault="00B76D39" w:rsidP="00B76D39">
      <w:pPr>
        <w:spacing w:after="0" w:line="240" w:lineRule="auto"/>
        <w:jc w:val="both"/>
        <w:rPr>
          <w:rFonts w:ascii="Verdana" w:eastAsia="Times New Roman" w:hAnsi="Verdana" w:cs="Times New Roman"/>
          <w:sz w:val="20"/>
          <w:szCs w:val="20"/>
          <w:lang w:eastAsia="es-MX"/>
        </w:rPr>
      </w:pPr>
      <w:r w:rsidRPr="00B76D39">
        <w:rPr>
          <w:rFonts w:ascii="Verdana" w:eastAsia="Times New Roman" w:hAnsi="Verdana" w:cs="Times New Roman"/>
          <w:sz w:val="20"/>
          <w:szCs w:val="20"/>
          <w:lang w:eastAsia="es-MX"/>
        </w:rPr>
        <w:t>Respecto al proceso cuyo objeto es el “mantenimiento preventivo de centrales y redes de gases”, se advierte lo siguiente. En la Matriz 1 – Experiencia de los documentos tipo del sector institucional en las modalidades adoptadas –licitación pública, selección abreviada de menor cuantía y mínima cuantía–, en el capítulo 2, “Obras en proyectos de infraestructura institucional de servicio público”, contempla la actividad “2.12.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COCCIÓN DE INFRAESTRUCTURA INSTITUCIONAL - SERVICIO PÚBLICO”. El capítulo 3, “Obras en proyectos de infraestructura institucional – sitios de reclusión”, contempla una actividad con el mismo alcance para ese tipo de infraestructura: “3.13.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COCCION DE INFRAESTRUCTURA INSTITUCIONAL - SITIOS DE RECLUSIÓN”.</w:t>
      </w:r>
    </w:p>
    <w:p w14:paraId="6AD22C7F" w14:textId="77777777" w:rsidR="00B76D39" w:rsidRPr="00B76D39" w:rsidRDefault="00B76D39" w:rsidP="00B76D39">
      <w:pPr>
        <w:spacing w:after="0" w:line="240" w:lineRule="auto"/>
        <w:jc w:val="both"/>
        <w:rPr>
          <w:rFonts w:ascii="Verdana" w:eastAsia="Times New Roman" w:hAnsi="Verdana" w:cs="Times New Roman"/>
          <w:sz w:val="20"/>
          <w:szCs w:val="20"/>
          <w:lang w:eastAsia="es-MX"/>
        </w:rPr>
      </w:pPr>
    </w:p>
    <w:p w14:paraId="1C020671" w14:textId="77777777" w:rsidR="00B76D39" w:rsidRPr="00B76D39" w:rsidRDefault="00B76D39" w:rsidP="00B76D39">
      <w:pPr>
        <w:spacing w:after="0" w:line="240" w:lineRule="auto"/>
        <w:jc w:val="both"/>
        <w:rPr>
          <w:rFonts w:ascii="Verdana" w:eastAsia="Times New Roman" w:hAnsi="Verdana" w:cs="Times New Roman"/>
          <w:sz w:val="20"/>
          <w:szCs w:val="20"/>
          <w:lang w:eastAsia="es-MX"/>
        </w:rPr>
      </w:pPr>
      <w:r w:rsidRPr="00B76D39">
        <w:rPr>
          <w:rFonts w:ascii="Verdana" w:eastAsia="Times New Roman" w:hAnsi="Verdana" w:cs="Times New Roman"/>
          <w:sz w:val="20"/>
          <w:szCs w:val="20"/>
          <w:lang w:eastAsia="es-MX"/>
        </w:rPr>
        <w:t>Como se observa, estas actividades –2.12 y 3.13– incluyen expresamente el mantenimiento de redes de gases y similares en edificaciones de servicio público y sitios de reclusión. En este sentido, considerando que, de acuerdo con el numeral 1 del artículo 32 de la Ley 80 de 1993, son contratos de obra los que se celebran para la construcción, el mantenimiento, la instalación y, en general, cualquier otro trabajo material sobre bienes inmuebles. Esta categoría comprende los inmuebles por adhesión y por destinación, en los términos de los artículos 656 y 658 del Código Civil. Por ello, las centrales y redes de gases que se encuentran incorporadas de forma permanente a la edificación constituyen inmuebles por adhesión, y su mantenimiento corresponde a un trabajo material sobre bienes inmuebles.</w:t>
      </w:r>
    </w:p>
    <w:p w14:paraId="14BDCBBC" w14:textId="77777777" w:rsidR="00B76D39" w:rsidRPr="00B76D39" w:rsidRDefault="00B76D39" w:rsidP="00B76D39">
      <w:pPr>
        <w:spacing w:after="0" w:line="276" w:lineRule="auto"/>
        <w:jc w:val="both"/>
        <w:rPr>
          <w:rFonts w:ascii="Verdana" w:eastAsia="Times New Roman" w:hAnsi="Verdana" w:cs="Times New Roman"/>
          <w:sz w:val="20"/>
          <w:szCs w:val="20"/>
          <w:lang w:eastAsia="es-MX"/>
        </w:rPr>
      </w:pPr>
    </w:p>
    <w:p w14:paraId="503DA4FE" w14:textId="77777777" w:rsidR="00B76D39" w:rsidRPr="00B76D39" w:rsidRDefault="00B76D39" w:rsidP="00B76D39">
      <w:pPr>
        <w:spacing w:after="0" w:line="276" w:lineRule="auto"/>
        <w:jc w:val="both"/>
        <w:rPr>
          <w:rFonts w:ascii="Verdana" w:eastAsia="Times New Roman" w:hAnsi="Verdana" w:cs="Times New Roman"/>
          <w:b/>
          <w:bCs/>
          <w:lang w:eastAsia="es-MX"/>
        </w:rPr>
      </w:pPr>
      <w:r w:rsidRPr="00B76D39">
        <w:rPr>
          <w:rFonts w:ascii="Verdana" w:eastAsia="Times New Roman" w:hAnsi="Verdana" w:cs="Times New Roman"/>
          <w:b/>
          <w:bCs/>
          <w:lang w:eastAsia="es-MX"/>
        </w:rPr>
        <w:t>PLANTAS DE TRATAMIENTO DE AGUAS RESIDUALES – PTAR – Mantenimiento – Aplicación – Documentos tipo</w:t>
      </w:r>
    </w:p>
    <w:p w14:paraId="67EF78DE" w14:textId="77777777" w:rsidR="00B76D39" w:rsidRPr="00B76D39" w:rsidRDefault="00B76D39" w:rsidP="00B76D39">
      <w:pPr>
        <w:spacing w:after="0" w:line="240" w:lineRule="auto"/>
        <w:jc w:val="both"/>
        <w:rPr>
          <w:rFonts w:ascii="Verdana" w:eastAsia="Calibri" w:hAnsi="Verdana" w:cs="Times New Roman"/>
          <w:b/>
          <w:bCs/>
          <w:lang w:val="es-ES" w:eastAsia="es-MX"/>
        </w:rPr>
      </w:pPr>
    </w:p>
    <w:p w14:paraId="68FCB942" w14:textId="77777777" w:rsidR="00B76D39" w:rsidRPr="00B76D39" w:rsidRDefault="00B76D39" w:rsidP="00B76D39">
      <w:pPr>
        <w:spacing w:after="0" w:line="240" w:lineRule="auto"/>
        <w:jc w:val="both"/>
        <w:rPr>
          <w:rFonts w:ascii="Verdana" w:eastAsia="Times New Roman" w:hAnsi="Verdana" w:cs="Times New Roman"/>
          <w:sz w:val="20"/>
          <w:szCs w:val="20"/>
          <w:lang w:eastAsia="es-MX"/>
        </w:rPr>
      </w:pPr>
      <w:r w:rsidRPr="00B76D39">
        <w:rPr>
          <w:rFonts w:ascii="Verdana" w:eastAsia="Times New Roman" w:hAnsi="Verdana" w:cs="Times New Roman"/>
          <w:sz w:val="20"/>
          <w:szCs w:val="20"/>
          <w:lang w:eastAsia="es-MX"/>
        </w:rPr>
        <w:t xml:space="preserve">En relación con el proceso que tiene por objeto “la contratación del servicio de mantenimiento de las plantas de tratamiento de aguas residuales (PTAR)”, debe </w:t>
      </w:r>
      <w:r w:rsidRPr="00B76D39">
        <w:rPr>
          <w:rFonts w:ascii="Verdana" w:eastAsia="Times New Roman" w:hAnsi="Verdana" w:cs="Times New Roman"/>
          <w:sz w:val="20"/>
          <w:szCs w:val="20"/>
          <w:lang w:eastAsia="es-MX"/>
        </w:rPr>
        <w:lastRenderedPageBreak/>
        <w:t>indicarse, en primer lugar, que una Planta de Tratamiento de Agua Residual –PTAR– es una infraestructura construida y adherida al suelo, esto es, un bien inmueble. Por ello, las actividades de mantenimiento que recaen sobre ella constituyen un trabajo material sobre bienes inmuebles y se enmarcan en el contrato de obra pública definido en el numeral 1 del artículo 32 de la Ley 80 de 1993. Esto es así con independencia de que el objeto contractual se denomine “servicio de mantenimiento”.</w:t>
      </w:r>
    </w:p>
    <w:p w14:paraId="425C064C" w14:textId="77777777" w:rsidR="00B76D39" w:rsidRPr="00B76D39" w:rsidRDefault="00B76D39" w:rsidP="00B76D39">
      <w:pPr>
        <w:spacing w:after="0" w:line="240" w:lineRule="auto"/>
        <w:jc w:val="both"/>
        <w:rPr>
          <w:rFonts w:ascii="Verdana" w:eastAsia="Times New Roman" w:hAnsi="Verdana" w:cs="Times New Roman"/>
          <w:sz w:val="20"/>
          <w:szCs w:val="20"/>
          <w:lang w:eastAsia="es-MX"/>
        </w:rPr>
      </w:pPr>
    </w:p>
    <w:p w14:paraId="5F6A6BF9" w14:textId="77777777" w:rsidR="00B76D39" w:rsidRPr="00B76D39" w:rsidRDefault="00B76D39" w:rsidP="00B76D39">
      <w:pPr>
        <w:spacing w:after="0" w:line="240" w:lineRule="auto"/>
        <w:jc w:val="both"/>
        <w:rPr>
          <w:rFonts w:ascii="Verdana" w:eastAsia="Times New Roman" w:hAnsi="Verdana" w:cs="Times New Roman"/>
          <w:sz w:val="20"/>
          <w:szCs w:val="20"/>
          <w:lang w:eastAsia="es-MX"/>
        </w:rPr>
      </w:pPr>
      <w:r w:rsidRPr="00B76D39">
        <w:rPr>
          <w:rFonts w:ascii="Verdana" w:eastAsia="Times New Roman" w:hAnsi="Verdana" w:cs="Times New Roman"/>
          <w:sz w:val="20"/>
          <w:szCs w:val="20"/>
          <w:lang w:eastAsia="es-MX"/>
        </w:rPr>
        <w:t>En segundo lugar, la Matriz 1 – Experiencia de los documentos tipo de infraestructura de agua potable y saneamiento básico contempla, dentro del capítulo tres (3) “Obras para PTAP (Planta de Tratamiento de Agua Potable) y/o PTAR (Planta de Tratamiento de Aguas Residuales)”, la actividad “3.3 Proyectos de optimización y/o mejoramiento y/o adecuación y/o reforzamiento y/o rehabilitación y/o mantenimiento de PTAR y/u obras complementarias”. Sin embargo, en este sector, –como se señaló en el punto uno (i) de este concepto–(…).</w:t>
      </w:r>
    </w:p>
    <w:p w14:paraId="10BD0B8C" w14:textId="77777777" w:rsidR="00B76D39" w:rsidRPr="00B76D39" w:rsidRDefault="00B76D39" w:rsidP="00B76D39">
      <w:pPr>
        <w:spacing w:after="0" w:line="240" w:lineRule="auto"/>
        <w:jc w:val="both"/>
        <w:rPr>
          <w:rFonts w:ascii="Verdana" w:eastAsia="Times New Roman" w:hAnsi="Verdana" w:cs="Times New Roman"/>
          <w:sz w:val="20"/>
          <w:szCs w:val="20"/>
          <w:lang w:eastAsia="es-MX"/>
        </w:rPr>
      </w:pPr>
    </w:p>
    <w:p w14:paraId="3F70B667" w14:textId="77777777" w:rsidR="00B76D39" w:rsidRPr="00B76D39" w:rsidRDefault="00B76D39" w:rsidP="00B76D39">
      <w:pPr>
        <w:spacing w:after="0" w:line="240" w:lineRule="auto"/>
        <w:jc w:val="both"/>
        <w:rPr>
          <w:rFonts w:ascii="Verdana" w:eastAsia="Times New Roman" w:hAnsi="Verdana" w:cs="Times New Roman"/>
          <w:sz w:val="20"/>
          <w:szCs w:val="20"/>
          <w:lang w:eastAsia="es-MX"/>
        </w:rPr>
      </w:pPr>
      <w:r w:rsidRPr="00B76D39">
        <w:rPr>
          <w:rFonts w:ascii="Verdana" w:eastAsia="Times New Roman" w:hAnsi="Verdana" w:cs="Times New Roman"/>
          <w:sz w:val="20"/>
          <w:szCs w:val="20"/>
          <w:lang w:eastAsia="es-MX"/>
        </w:rPr>
        <w:t>En tercer lugar, la Matriz 1 – Experiencia de los documentos tipo del sector institucional no contiene ninguna actividad dirigida a plantas de tratamiento de aguas residuales. Las actividades 2.6 y 3.6 se refieren a baterías sanitarias, redes hidrosanitarias, tanques de almacenamiento y sistemas de bombeo, es decir, a las instalaciones internas de la edificación, y no a sistemas de tratamiento. Por lo tanto, un proceso cuyo objeto sea únicamente el mantenimiento de una PTAR no se encuadra en ninguna de las actividades de esta matriz.</w:t>
      </w:r>
    </w:p>
    <w:p w14:paraId="62125E44"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75B7302A"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0FBFB6D1"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48D537A2"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36C4152C"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1B6D123A"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4260FB5C"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1D97CC6B"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6389F019"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3DCCD702"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76613F17"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0BBE4D9E"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1EB46E68"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0AFC549D"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0D46D3CB"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7137D488"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05E151AE" w14:textId="77777777" w:rsid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1F31160D" w14:textId="77777777" w:rsidR="00C57205" w:rsidRPr="00B76D39" w:rsidRDefault="00C57205" w:rsidP="00B76D39">
      <w:pPr>
        <w:spacing w:after="0" w:line="240" w:lineRule="auto"/>
        <w:rPr>
          <w:rFonts w:ascii="Arial" w:eastAsia="Calibri" w:hAnsi="Arial" w:cs="Arial"/>
          <w:b/>
          <w:bCs/>
          <w:color w:val="000000"/>
          <w:kern w:val="2"/>
          <w:sz w:val="24"/>
          <w:szCs w:val="24"/>
          <w14:ligatures w14:val="standardContextual"/>
        </w:rPr>
      </w:pPr>
    </w:p>
    <w:p w14:paraId="300745D2"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220E5951" w14:textId="77777777" w:rsidR="00B76D39" w:rsidRPr="00B76D39" w:rsidRDefault="00B76D39" w:rsidP="00B76D39">
      <w:pPr>
        <w:spacing w:after="0" w:line="240" w:lineRule="auto"/>
        <w:rPr>
          <w:rFonts w:ascii="Arial" w:eastAsia="Calibri" w:hAnsi="Arial" w:cs="Arial"/>
          <w:b/>
          <w:bCs/>
          <w:color w:val="000000"/>
          <w:kern w:val="2"/>
          <w:sz w:val="24"/>
          <w:szCs w:val="24"/>
          <w14:ligatures w14:val="standardContextual"/>
        </w:rPr>
      </w:pPr>
    </w:p>
    <w:p w14:paraId="1B852B9B" w14:textId="77777777" w:rsidR="00B76D39" w:rsidRPr="00B76D39" w:rsidRDefault="00B76D39" w:rsidP="00B76D39">
      <w:pPr>
        <w:spacing w:after="0" w:line="240" w:lineRule="auto"/>
        <w:rPr>
          <w:rFonts w:ascii="Verdana" w:eastAsia="Geomanist Light" w:hAnsi="Verdana" w:cs="Arial"/>
          <w:lang w:val="es-ES_tradnl"/>
        </w:rPr>
      </w:pPr>
    </w:p>
    <w:p w14:paraId="5EE68F1B" w14:textId="11EEC817" w:rsidR="00B76D39" w:rsidRDefault="00B76D39" w:rsidP="00B76D39">
      <w:pPr>
        <w:spacing w:after="0" w:line="240" w:lineRule="auto"/>
        <w:rPr>
          <w:rFonts w:ascii="Verdana" w:eastAsia="Verdana" w:hAnsi="Verdana" w:cs="Verdana"/>
          <w:kern w:val="2"/>
          <w14:ligatures w14:val="standardContextual"/>
        </w:rPr>
      </w:pPr>
      <w:r w:rsidRPr="00B76D39">
        <w:rPr>
          <w:rFonts w:ascii="Verdana" w:eastAsia="Verdana" w:hAnsi="Verdana" w:cs="Verdana"/>
          <w:kern w:val="2"/>
          <w14:ligatures w14:val="standardContextual"/>
        </w:rPr>
        <w:lastRenderedPageBreak/>
        <w:t xml:space="preserve">Bogotá D.C., </w:t>
      </w:r>
      <w:r w:rsidR="00C57205">
        <w:rPr>
          <w:rFonts w:ascii="Verdana" w:eastAsia="Verdana" w:hAnsi="Verdana" w:cs="Verdana"/>
          <w:kern w:val="2"/>
          <w14:ligatures w14:val="standardContextual"/>
        </w:rPr>
        <w:t>29 de septiembre de 2026</w:t>
      </w:r>
    </w:p>
    <w:p w14:paraId="6ACB0023" w14:textId="26FCC22E" w:rsidR="00C57205" w:rsidRDefault="006224F0" w:rsidP="00B76D39">
      <w:pPr>
        <w:spacing w:after="0" w:line="240" w:lineRule="auto"/>
        <w:rPr>
          <w:rFonts w:ascii="Verdana" w:eastAsia="Verdana" w:hAnsi="Verdana" w:cs="Verdana"/>
          <w:kern w:val="2"/>
          <w14:ligatures w14:val="standardContextual"/>
        </w:rPr>
      </w:pPr>
      <w:r w:rsidRPr="00C57205">
        <w:rPr>
          <w:rFonts w:ascii="Verdana" w:eastAsia="Aptos" w:hAnsi="Verdana" w:cs="Times New Roman"/>
          <w:noProof/>
          <w:kern w:val="2"/>
          <w:sz w:val="24"/>
          <w:szCs w:val="24"/>
          <w14:ligatures w14:val="standardContextual"/>
        </w:rPr>
        <w:drawing>
          <wp:anchor distT="0" distB="0" distL="114300" distR="114300" simplePos="0" relativeHeight="251658240" behindDoc="0" locked="0" layoutInCell="1" allowOverlap="1" wp14:anchorId="2A790CDB" wp14:editId="0D6C4697">
            <wp:simplePos x="0" y="0"/>
            <wp:positionH relativeFrom="margin">
              <wp:posOffset>2656840</wp:posOffset>
            </wp:positionH>
            <wp:positionV relativeFrom="paragraph">
              <wp:posOffset>173355</wp:posOffset>
            </wp:positionV>
            <wp:extent cx="2953385" cy="802640"/>
            <wp:effectExtent l="0" t="0" r="0" b="0"/>
            <wp:wrapSquare wrapText="bothSides"/>
            <wp:docPr id="14665442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44206" name=""/>
                    <pic:cNvPicPr/>
                  </pic:nvPicPr>
                  <pic:blipFill>
                    <a:blip r:embed="rId10">
                      <a:extLst>
                        <a:ext uri="{28A0092B-C50C-407E-A947-70E740481C1C}">
                          <a14:useLocalDpi xmlns:a14="http://schemas.microsoft.com/office/drawing/2010/main" val="0"/>
                        </a:ext>
                      </a:extLst>
                    </a:blip>
                    <a:stretch>
                      <a:fillRect/>
                    </a:stretch>
                  </pic:blipFill>
                  <pic:spPr>
                    <a:xfrm>
                      <a:off x="0" y="0"/>
                      <a:ext cx="2953385" cy="802640"/>
                    </a:xfrm>
                    <a:prstGeom prst="rect">
                      <a:avLst/>
                    </a:prstGeom>
                  </pic:spPr>
                </pic:pic>
              </a:graphicData>
            </a:graphic>
            <wp14:sizeRelH relativeFrom="margin">
              <wp14:pctWidth>0</wp14:pctWidth>
            </wp14:sizeRelH>
            <wp14:sizeRelV relativeFrom="margin">
              <wp14:pctHeight>0</wp14:pctHeight>
            </wp14:sizeRelV>
          </wp:anchor>
        </w:drawing>
      </w:r>
    </w:p>
    <w:p w14:paraId="5AC43905" w14:textId="33B7A334" w:rsidR="00C57205" w:rsidRPr="00B76D39" w:rsidRDefault="00C57205" w:rsidP="00C57205">
      <w:pPr>
        <w:spacing w:after="0" w:line="240" w:lineRule="auto"/>
        <w:jc w:val="right"/>
        <w:rPr>
          <w:rFonts w:ascii="Verdana" w:eastAsia="Aptos" w:hAnsi="Verdana" w:cs="Times New Roman"/>
          <w:kern w:val="2"/>
          <w:sz w:val="24"/>
          <w:szCs w:val="24"/>
          <w14:ligatures w14:val="standardContextual"/>
        </w:rPr>
      </w:pPr>
    </w:p>
    <w:p w14:paraId="60474E4D" w14:textId="77777777" w:rsidR="00B76D39" w:rsidRPr="00B76D39" w:rsidRDefault="00B76D39" w:rsidP="00B76D39">
      <w:pPr>
        <w:spacing w:after="0" w:line="240" w:lineRule="auto"/>
        <w:rPr>
          <w:rFonts w:ascii="Verdana" w:eastAsia="Calibri" w:hAnsi="Verdana" w:cs="Arial"/>
          <w:lang w:val="es-ES" w:eastAsia="es-ES"/>
        </w:rPr>
      </w:pPr>
      <w:r w:rsidRPr="00B76D39">
        <w:rPr>
          <w:rFonts w:ascii="Verdana" w:eastAsia="Calibri" w:hAnsi="Verdana" w:cs="Arial"/>
          <w:lang w:val="es-ES" w:eastAsia="es-ES"/>
        </w:rPr>
        <w:t>Señora</w:t>
      </w:r>
    </w:p>
    <w:p w14:paraId="2A93B9D0" w14:textId="77777777" w:rsidR="00B76D39" w:rsidRPr="00B76D39" w:rsidRDefault="00B76D39" w:rsidP="00B76D39">
      <w:pPr>
        <w:spacing w:after="0" w:line="240" w:lineRule="auto"/>
        <w:rPr>
          <w:rFonts w:ascii="Verdana" w:eastAsia="Aptos" w:hAnsi="Verdana" w:cs="Times New Roman"/>
          <w:b/>
          <w:bCs/>
          <w:kern w:val="2"/>
          <w14:ligatures w14:val="standardContextual"/>
        </w:rPr>
      </w:pPr>
      <w:r w:rsidRPr="00B76D39">
        <w:rPr>
          <w:rFonts w:ascii="Verdana" w:eastAsia="Aptos" w:hAnsi="Verdana" w:cs="Times New Roman"/>
          <w:b/>
          <w:bCs/>
          <w:kern w:val="2"/>
          <w14:ligatures w14:val="standardContextual"/>
        </w:rPr>
        <w:t>Paola Páramo</w:t>
      </w:r>
    </w:p>
    <w:p w14:paraId="004C323D" w14:textId="77777777" w:rsidR="00B76D39" w:rsidRPr="00B76D39" w:rsidRDefault="00B76D39" w:rsidP="00B76D39">
      <w:pPr>
        <w:spacing w:after="0" w:line="240" w:lineRule="auto"/>
        <w:rPr>
          <w:rFonts w:ascii="Verdana" w:eastAsia="Aptos" w:hAnsi="Verdana" w:cs="Times New Roman"/>
          <w:kern w:val="2"/>
          <w14:ligatures w14:val="standardContextual"/>
        </w:rPr>
      </w:pPr>
      <w:r w:rsidRPr="00B76D39">
        <w:rPr>
          <w:rFonts w:ascii="Verdana" w:eastAsia="Aptos" w:hAnsi="Verdana" w:cs="Times New Roman"/>
          <w:kern w:val="2"/>
          <w14:ligatures w14:val="standardContextual"/>
        </w:rPr>
        <w:t>Ciudad</w:t>
      </w:r>
    </w:p>
    <w:p w14:paraId="06300131" w14:textId="77777777" w:rsidR="00B76D39" w:rsidRPr="00B76D39" w:rsidRDefault="00B76D39" w:rsidP="00B76D39">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B76D39" w:rsidRPr="00B76D39" w14:paraId="446CA6BB" w14:textId="77777777" w:rsidTr="009E3879">
        <w:trPr>
          <w:trHeight w:val="229"/>
        </w:trPr>
        <w:tc>
          <w:tcPr>
            <w:tcW w:w="2268" w:type="dxa"/>
          </w:tcPr>
          <w:p w14:paraId="7AAA5CA9" w14:textId="77777777" w:rsidR="00B76D39" w:rsidRPr="00B76D39" w:rsidRDefault="00B76D39" w:rsidP="00B76D39">
            <w:pPr>
              <w:jc w:val="both"/>
              <w:rPr>
                <w:rFonts w:ascii="Verdana" w:eastAsia="Calibri" w:hAnsi="Verdana" w:cs="Arial"/>
                <w:b/>
                <w:bCs/>
                <w:lang w:val="es-ES_tradnl" w:eastAsia="es-ES_tradnl"/>
              </w:rPr>
            </w:pPr>
          </w:p>
        </w:tc>
        <w:tc>
          <w:tcPr>
            <w:tcW w:w="6100" w:type="dxa"/>
          </w:tcPr>
          <w:p w14:paraId="74B1BFE1" w14:textId="77777777" w:rsidR="00B76D39" w:rsidRPr="00B76D39" w:rsidRDefault="00B76D39" w:rsidP="00B76D39">
            <w:pPr>
              <w:jc w:val="both"/>
              <w:rPr>
                <w:rFonts w:ascii="Verdana" w:eastAsia="Calibri" w:hAnsi="Verdana" w:cs="Arial"/>
                <w:b/>
                <w:bCs/>
                <w:lang w:val="es-ES" w:eastAsia="es-ES"/>
              </w:rPr>
            </w:pPr>
            <w:r w:rsidRPr="00B76D39">
              <w:rPr>
                <w:rFonts w:ascii="Verdana" w:eastAsia="Calibri" w:hAnsi="Verdana" w:cs="Arial"/>
                <w:b/>
                <w:bCs/>
                <w:lang w:val="es-ES" w:eastAsia="es-ES"/>
              </w:rPr>
              <w:t xml:space="preserve">Concepto </w:t>
            </w:r>
            <w:bookmarkStart w:id="2" w:name="OLE_LINK1"/>
            <w:r w:rsidRPr="00B76D39">
              <w:rPr>
                <w:rFonts w:ascii="Verdana" w:eastAsia="Calibri" w:hAnsi="Verdana" w:cs="Arial"/>
                <w:b/>
                <w:bCs/>
                <w:lang w:val="es-ES" w:eastAsia="es-ES"/>
              </w:rPr>
              <w:t>C-1310 de 2026</w:t>
            </w:r>
            <w:bookmarkEnd w:id="2"/>
          </w:p>
          <w:p w14:paraId="621B17CB" w14:textId="77777777" w:rsidR="00B76D39" w:rsidRPr="00B76D39" w:rsidRDefault="00B76D39" w:rsidP="00B76D39">
            <w:pPr>
              <w:jc w:val="both"/>
              <w:rPr>
                <w:rFonts w:ascii="Verdana" w:eastAsia="Calibri" w:hAnsi="Verdana" w:cs="Arial"/>
                <w:b/>
                <w:bCs/>
                <w:lang w:val="es-ES" w:eastAsia="es-ES"/>
              </w:rPr>
            </w:pPr>
          </w:p>
        </w:tc>
      </w:tr>
      <w:tr w:rsidR="00B76D39" w:rsidRPr="00B76D39" w14:paraId="3EE4BF6B" w14:textId="77777777" w:rsidTr="009E3879">
        <w:trPr>
          <w:trHeight w:val="884"/>
        </w:trPr>
        <w:tc>
          <w:tcPr>
            <w:tcW w:w="2268" w:type="dxa"/>
          </w:tcPr>
          <w:p w14:paraId="17452190" w14:textId="77777777" w:rsidR="00B76D39" w:rsidRPr="00B76D39" w:rsidRDefault="00B76D39" w:rsidP="00B76D39">
            <w:pPr>
              <w:jc w:val="both"/>
              <w:rPr>
                <w:rFonts w:ascii="Verdana" w:eastAsia="Calibri" w:hAnsi="Verdana" w:cs="Arial"/>
                <w:lang w:val="es-ES_tradnl" w:eastAsia="es-ES_tradnl"/>
              </w:rPr>
            </w:pPr>
            <w:r w:rsidRPr="00B76D39">
              <w:rPr>
                <w:rFonts w:ascii="Verdana" w:eastAsia="Calibri" w:hAnsi="Verdana" w:cs="Arial"/>
                <w:b/>
                <w:lang w:val="es-ES_tradnl" w:eastAsia="es-ES_tradnl"/>
              </w:rPr>
              <w:t>Temas:</w:t>
            </w:r>
            <w:r w:rsidRPr="00B76D39">
              <w:rPr>
                <w:rFonts w:ascii="Verdana" w:eastAsia="Calibri" w:hAnsi="Verdana" w:cs="Arial"/>
                <w:lang w:val="es-ES_tradnl" w:eastAsia="es-ES_tradnl"/>
              </w:rPr>
              <w:t xml:space="preserve">                   </w:t>
            </w:r>
          </w:p>
        </w:tc>
        <w:tc>
          <w:tcPr>
            <w:tcW w:w="6100" w:type="dxa"/>
          </w:tcPr>
          <w:p w14:paraId="52254BAE" w14:textId="77777777" w:rsidR="00B76D39" w:rsidRPr="00B76D39" w:rsidRDefault="00B76D39" w:rsidP="00B76D39">
            <w:pPr>
              <w:spacing w:line="276" w:lineRule="auto"/>
              <w:jc w:val="both"/>
              <w:rPr>
                <w:rFonts w:ascii="Verdana" w:eastAsia="Times New Roman" w:hAnsi="Verdana" w:cs="Times New Roman"/>
                <w:lang w:eastAsia="es-MX"/>
              </w:rPr>
            </w:pPr>
            <w:r w:rsidRPr="00B76D39">
              <w:rPr>
                <w:rFonts w:ascii="Verdana" w:eastAsia="Calibri" w:hAnsi="Verdana" w:cs="Arial"/>
                <w:lang w:val="es-ES_tradnl" w:eastAsia="es-MX"/>
              </w:rPr>
              <w:t>DOCUMENTOS TIPO – Fundamento normativo – Obligatoriedad  / SECTOR SOCIAL</w:t>
            </w:r>
            <w:r w:rsidRPr="00B76D39">
              <w:rPr>
                <w:rFonts w:ascii="Verdana" w:eastAsia="Calibri" w:hAnsi="Verdana" w:cs="Times New Roman"/>
                <w:lang w:val="es-ES" w:eastAsia="es-MX"/>
              </w:rPr>
              <w:t xml:space="preserve"> – Documentos tipo – Vigentes / DOCUMENTOS TIPO – Aplicación – Matriz de Experiencia  / </w:t>
            </w:r>
            <w:r w:rsidRPr="00B76D39">
              <w:rPr>
                <w:rFonts w:ascii="Verdana" w:eastAsia="Calibri" w:hAnsi="Verdana" w:cs="Arial"/>
                <w:color w:val="000000"/>
                <w:lang w:val="es-ES_tradnl" w:eastAsia="es-MX"/>
              </w:rPr>
              <w:t xml:space="preserve">CONTRATO DE OBRA PÚBLICA – Documentos tipo – Infraestructura social – Aplicación / CONTRATO DE OBRA PÚBLICA – Aplicación – Bienes inmuebles / CONTRATO DE OBRA PÚBLICA – Actividades – Construir – Mantener – Instalar / CONTRATO DE OBRA PÚBLICA – Aplicación – Inmuebles – Adhesión – Destinación / CONTRATO DE OBRA PÚBLICA – Bienes muebles – Excluidos / </w:t>
            </w:r>
            <w:r w:rsidRPr="00B76D39">
              <w:rPr>
                <w:rFonts w:ascii="Verdana" w:eastAsia="Calibri" w:hAnsi="Verdana" w:cs="Times New Roman"/>
                <w:lang w:val="es-ES" w:eastAsia="es-MX"/>
              </w:rPr>
              <w:t xml:space="preserve">SECTOR INSTITUCIONAL – Documentos tipo – Infraestructura social / </w:t>
            </w:r>
            <w:r w:rsidRPr="00B76D39">
              <w:rPr>
                <w:rFonts w:ascii="Verdana" w:eastAsia="Times New Roman" w:hAnsi="Verdana" w:cs="Times New Roman"/>
                <w:lang w:eastAsia="es-MX"/>
              </w:rPr>
              <w:t>CABINAS DE EXTRACCIÓN – Seguridad biológica – Documentos tipo – Aplicación / CENTRALES Y REDES DE GASES – Mantenimiento – Aplicación – Documentos tipo / PLANTAS DE TRATAMIENTO DE AGUAS RESIDUALES – PTAR – Mantenimiento – Aplicación – Documentos tipo</w:t>
            </w:r>
          </w:p>
          <w:p w14:paraId="7BD53F27" w14:textId="77777777" w:rsidR="00B76D39" w:rsidRPr="00B76D39" w:rsidRDefault="00B76D39" w:rsidP="00B76D39">
            <w:pPr>
              <w:jc w:val="both"/>
              <w:rPr>
                <w:rFonts w:ascii="Verdana" w:eastAsia="Calibri" w:hAnsi="Verdana" w:cs="Arial"/>
                <w:bCs/>
                <w:lang w:eastAsia="es-ES"/>
              </w:rPr>
            </w:pPr>
          </w:p>
        </w:tc>
      </w:tr>
      <w:tr w:rsidR="00B76D39" w:rsidRPr="00B76D39" w14:paraId="46B3714C" w14:textId="77777777" w:rsidTr="009E3879">
        <w:tc>
          <w:tcPr>
            <w:tcW w:w="2268" w:type="dxa"/>
          </w:tcPr>
          <w:p w14:paraId="68903646" w14:textId="77777777" w:rsidR="00B76D39" w:rsidRPr="00B76D39" w:rsidRDefault="00B76D39" w:rsidP="00B76D39">
            <w:pPr>
              <w:jc w:val="both"/>
              <w:rPr>
                <w:rFonts w:ascii="Verdana" w:eastAsia="Calibri" w:hAnsi="Verdana" w:cs="Arial"/>
                <w:b/>
                <w:lang w:val="es-ES_tradnl" w:eastAsia="es-ES_tradnl"/>
              </w:rPr>
            </w:pPr>
            <w:r w:rsidRPr="00B76D39">
              <w:rPr>
                <w:rFonts w:ascii="Verdana" w:eastAsia="Calibri" w:hAnsi="Verdana" w:cs="Arial"/>
                <w:b/>
                <w:lang w:val="es-ES_tradnl" w:eastAsia="es-ES_tradnl"/>
              </w:rPr>
              <w:t>Radicación:</w:t>
            </w:r>
            <w:r w:rsidRPr="00B76D39">
              <w:rPr>
                <w:rFonts w:ascii="Verdana" w:eastAsia="Calibri" w:hAnsi="Verdana" w:cs="Arial"/>
                <w:lang w:val="es-ES_tradnl" w:eastAsia="es-ES_tradnl"/>
              </w:rPr>
              <w:t xml:space="preserve">               </w:t>
            </w:r>
          </w:p>
        </w:tc>
        <w:tc>
          <w:tcPr>
            <w:tcW w:w="6100" w:type="dxa"/>
          </w:tcPr>
          <w:p w14:paraId="7F7F036D" w14:textId="77777777" w:rsidR="00B76D39" w:rsidRPr="00B76D39" w:rsidRDefault="00B76D39" w:rsidP="00B76D39">
            <w:pPr>
              <w:ind w:left="3" w:hanging="3"/>
              <w:jc w:val="both"/>
              <w:rPr>
                <w:rFonts w:ascii="Verdana" w:eastAsia="Calibri" w:hAnsi="Verdana" w:cs="Arial"/>
                <w:lang w:val="es-ES_tradnl" w:eastAsia="es-ES_tradnl"/>
              </w:rPr>
            </w:pPr>
            <w:r w:rsidRPr="00B76D39">
              <w:rPr>
                <w:rFonts w:ascii="Verdana" w:eastAsia="Calibri" w:hAnsi="Verdana" w:cs="Arial"/>
                <w:lang w:val="es-ES_tradnl" w:eastAsia="es-ES_tradnl"/>
              </w:rPr>
              <w:t>Respuesta a consulta con radicado No. 1_2026_08_19_010983</w:t>
            </w:r>
          </w:p>
        </w:tc>
      </w:tr>
    </w:tbl>
    <w:p w14:paraId="6D0E3E75" w14:textId="77777777" w:rsidR="00B76D39" w:rsidRPr="00B76D39" w:rsidRDefault="00B76D39" w:rsidP="00B76D39">
      <w:pPr>
        <w:spacing w:after="0" w:line="240" w:lineRule="auto"/>
        <w:jc w:val="both"/>
        <w:rPr>
          <w:rFonts w:ascii="Verdana" w:eastAsia="Calibri" w:hAnsi="Verdana" w:cs="Arial"/>
          <w:lang w:val="es-ES_tradnl" w:eastAsia="es-ES_tradnl"/>
        </w:rPr>
      </w:pPr>
    </w:p>
    <w:p w14:paraId="567F0424" w14:textId="77777777" w:rsidR="00B76D39" w:rsidRPr="00B76D39" w:rsidRDefault="00B76D39" w:rsidP="00B76D39">
      <w:pPr>
        <w:spacing w:after="0" w:line="276" w:lineRule="auto"/>
        <w:jc w:val="both"/>
        <w:rPr>
          <w:rFonts w:ascii="Verdana" w:eastAsia="Calibri" w:hAnsi="Verdana" w:cs="Arial"/>
          <w:lang w:val="es-ES" w:eastAsia="es-ES"/>
        </w:rPr>
      </w:pPr>
      <w:r w:rsidRPr="00B76D39">
        <w:rPr>
          <w:rFonts w:ascii="Verdana" w:eastAsia="Calibri" w:hAnsi="Verdana" w:cs="Arial"/>
          <w:lang w:val="es-ES" w:eastAsia="es-ES"/>
        </w:rPr>
        <w:t xml:space="preserve">Estimada señora </w:t>
      </w:r>
      <w:r w:rsidRPr="00B76D39">
        <w:rPr>
          <w:rFonts w:ascii="Verdana" w:eastAsia="Aptos" w:hAnsi="Verdana" w:cs="Times New Roman"/>
          <w:kern w:val="2"/>
          <w14:ligatures w14:val="standardContextual"/>
        </w:rPr>
        <w:t>Paola Páramo</w:t>
      </w:r>
      <w:r w:rsidRPr="00B76D39">
        <w:rPr>
          <w:rFonts w:ascii="Verdana" w:eastAsia="Calibri" w:hAnsi="Verdana" w:cs="Arial"/>
          <w:lang w:val="es-ES" w:eastAsia="es-ES"/>
        </w:rPr>
        <w:t xml:space="preserve">: </w:t>
      </w:r>
    </w:p>
    <w:p w14:paraId="61CEB9A9" w14:textId="77777777" w:rsidR="00B76D39" w:rsidRPr="00B76D39" w:rsidRDefault="00B76D39" w:rsidP="00B76D39">
      <w:pPr>
        <w:tabs>
          <w:tab w:val="left" w:pos="3768"/>
        </w:tabs>
        <w:spacing w:after="0" w:line="276" w:lineRule="auto"/>
        <w:jc w:val="both"/>
        <w:rPr>
          <w:rFonts w:ascii="Verdana" w:eastAsia="Calibri" w:hAnsi="Verdana" w:cs="Arial"/>
          <w:lang w:val="es-ES" w:eastAsia="es-ES"/>
        </w:rPr>
      </w:pPr>
      <w:r w:rsidRPr="00B76D39">
        <w:rPr>
          <w:rFonts w:ascii="Verdana" w:eastAsia="Calibri" w:hAnsi="Verdana" w:cs="Arial"/>
          <w:lang w:val="es-ES" w:eastAsia="es-ES"/>
        </w:rPr>
        <w:tab/>
      </w:r>
    </w:p>
    <w:p w14:paraId="52B56767" w14:textId="77777777" w:rsidR="00B76D39" w:rsidRPr="00B76D39" w:rsidRDefault="00B76D39" w:rsidP="00B76D39">
      <w:pPr>
        <w:spacing w:after="0" w:line="276" w:lineRule="auto"/>
        <w:jc w:val="both"/>
        <w:rPr>
          <w:rFonts w:ascii="Verdana" w:eastAsia="Calibri" w:hAnsi="Verdana" w:cs="Arial"/>
          <w:lang w:val="es-ES" w:eastAsia="es-ES"/>
        </w:rPr>
      </w:pPr>
      <w:r w:rsidRPr="00B76D39">
        <w:rPr>
          <w:rFonts w:ascii="Verdana" w:eastAsia="Calibri" w:hAnsi="Verdana" w:cs="Arial"/>
          <w:lang w:val="es-ES" w:eastAsia="es-ES"/>
        </w:rPr>
        <w:t>En ejercicio de la competencia otorgada por los artículos 3, numeral 5º, y 11, numeral 8º, del Decreto Ley 4170 de 2011,</w:t>
      </w:r>
      <w:r w:rsidRPr="00B76D39">
        <w:rPr>
          <w:rFonts w:ascii="Verdana" w:eastAsia="Arial MT" w:hAnsi="Verdana" w:cs="Arial MT"/>
          <w:lang w:val="es-ES" w:eastAsia="es-ES"/>
        </w:rPr>
        <w:t xml:space="preserve"> </w:t>
      </w:r>
      <w:r w:rsidRPr="00B76D39">
        <w:rPr>
          <w:rFonts w:ascii="Verdana" w:eastAsia="Calibri" w:hAnsi="Verdana" w:cs="Arial"/>
        </w:rPr>
        <w:t xml:space="preserve">así como lo establecido por la </w:t>
      </w:r>
      <w:r w:rsidRPr="00B76D39">
        <w:rPr>
          <w:rFonts w:ascii="Verdana" w:eastAsia="Aptos" w:hAnsi="Verdana" w:cs="Arial"/>
          <w:bCs/>
          <w:kern w:val="2"/>
          <w:lang w:eastAsia="es-ES" w:bidi="es-ES"/>
          <w14:ligatures w14:val="standardContextual"/>
        </w:rPr>
        <w:t>Resolución 469 de 2025 expedida por esta Entidad</w:t>
      </w:r>
      <w:r w:rsidRPr="00B76D39">
        <w:rPr>
          <w:rFonts w:ascii="Verdana" w:eastAsia="Calibri" w:hAnsi="Verdana" w:cs="Arial"/>
        </w:rPr>
        <w:t xml:space="preserve">, </w:t>
      </w:r>
      <w:r w:rsidRPr="00B76D39">
        <w:rPr>
          <w:rFonts w:ascii="Verdana" w:eastAsia="Calibri" w:hAnsi="Verdana" w:cs="Arial"/>
          <w:lang w:val="es-ES" w:eastAsia="es-ES"/>
        </w:rPr>
        <w:t xml:space="preserve">la Agencia Nacional de Contratación Pública – Colombia Compra Eficiente– responde su solicitud de consulta del 18 de agosto de 2026, en la cual manifiesta lo siguiente: </w:t>
      </w:r>
    </w:p>
    <w:p w14:paraId="144CC08C" w14:textId="77777777" w:rsidR="00B76D39" w:rsidRPr="00B76D39" w:rsidRDefault="00B76D39" w:rsidP="00B76D39">
      <w:pPr>
        <w:tabs>
          <w:tab w:val="left" w:pos="142"/>
          <w:tab w:val="left" w:pos="284"/>
        </w:tabs>
        <w:spacing w:after="0" w:line="276" w:lineRule="auto"/>
        <w:ind w:left="709" w:right="709"/>
        <w:jc w:val="both"/>
        <w:rPr>
          <w:rFonts w:ascii="Verdana" w:eastAsia="Century Gothic" w:hAnsi="Verdana" w:cs="Century Gothic"/>
          <w:b/>
          <w:bCs/>
        </w:rPr>
      </w:pPr>
    </w:p>
    <w:p w14:paraId="5F838470"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Arial"/>
          <w:kern w:val="2"/>
          <w:sz w:val="21"/>
          <w:szCs w:val="21"/>
          <w14:ligatures w14:val="standardContextual"/>
        </w:rPr>
        <w:t>“</w:t>
      </w:r>
      <w:r w:rsidRPr="00B76D39">
        <w:rPr>
          <w:rFonts w:ascii="Verdana" w:eastAsia="Aptos" w:hAnsi="Verdana" w:cs="Times New Roman"/>
          <w:kern w:val="2"/>
          <w:sz w:val="21"/>
          <w:szCs w:val="21"/>
          <w14:ligatures w14:val="standardContextual"/>
        </w:rPr>
        <w:t xml:space="preserve">Respetados Sres. Colombia Compra Eficiente, Por medio del presente escrito, solicito su concepto jurídico respecto a la aplicabilidad de los Documentos Tipo del Sector Institucional y del Sector Agua Potable y Saneamiento Básico en tres (3) procesos de contratación independientes, adelantados bajo las modalidades de Mínima y Menor Cuantía, cuyos objetos corresponden a: </w:t>
      </w:r>
    </w:p>
    <w:p w14:paraId="537CA4C3"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1. Mantenimiento y verificación de cabinas de extracción de seguridad biológica. </w:t>
      </w:r>
    </w:p>
    <w:p w14:paraId="6FC9B224"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2. Mantenimiento preventivo de centrales y redes de gases. </w:t>
      </w:r>
    </w:p>
    <w:p w14:paraId="27C3FF19"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3. Contratación del servicio de mantenimiento de los sistemas de tratamiento de aguas residuales (PTAR). </w:t>
      </w:r>
    </w:p>
    <w:p w14:paraId="251E2AD7"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En lo relativo al alcance operativo del proceso de mantenimiento preventivo de centrales y redes de gases (presupuesto estimado inferior a $20 millones / Mínima Cuantía), las obligaciones comprenden exclusivamente la prestación de un servicio técnico especializado e inspección sobre instalaciones y equipos existentes, a saber: </w:t>
      </w:r>
    </w:p>
    <w:p w14:paraId="115E3BE5"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a) Revisión, desarme, limpieza, ajuste y reemplazo de elementos menores o gastados (reguladores de presión, mangueras flexibles de ¼" con conexión CGA, acoples, uniones, tuercas, vástagos, niples, tapones, férulas, cinta PTFE y </w:t>
      </w:r>
      <w:proofErr w:type="spellStart"/>
      <w:r w:rsidRPr="00B76D39">
        <w:rPr>
          <w:rFonts w:ascii="Verdana" w:eastAsia="Aptos" w:hAnsi="Verdana" w:cs="Times New Roman"/>
          <w:kern w:val="2"/>
          <w:sz w:val="21"/>
          <w:szCs w:val="21"/>
          <w14:ligatures w14:val="standardContextual"/>
        </w:rPr>
        <w:t>arrestadores</w:t>
      </w:r>
      <w:proofErr w:type="spellEnd"/>
      <w:r w:rsidRPr="00B76D39">
        <w:rPr>
          <w:rFonts w:ascii="Verdana" w:eastAsia="Aptos" w:hAnsi="Verdana" w:cs="Times New Roman"/>
          <w:kern w:val="2"/>
          <w:sz w:val="21"/>
          <w:szCs w:val="21"/>
          <w14:ligatures w14:val="standardContextual"/>
        </w:rPr>
        <w:t xml:space="preserve"> de llama en puntos de uso de H</w:t>
      </w:r>
      <w:r w:rsidRPr="00B76D39">
        <w:rPr>
          <w:rFonts w:ascii="Cambria Math" w:eastAsia="Aptos" w:hAnsi="Cambria Math" w:cs="Cambria Math"/>
          <w:kern w:val="2"/>
          <w:sz w:val="21"/>
          <w:szCs w:val="21"/>
          <w14:ligatures w14:val="standardContextual"/>
        </w:rPr>
        <w:t>₂</w:t>
      </w:r>
      <w:r w:rsidRPr="00B76D39">
        <w:rPr>
          <w:rFonts w:ascii="Verdana" w:eastAsia="Aptos" w:hAnsi="Verdana" w:cs="Times New Roman"/>
          <w:kern w:val="2"/>
          <w:sz w:val="21"/>
          <w:szCs w:val="21"/>
          <w14:ligatures w14:val="standardContextual"/>
        </w:rPr>
        <w:t xml:space="preserve">); </w:t>
      </w:r>
    </w:p>
    <w:p w14:paraId="672C8619"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b) Verificación, ajuste y etiquetado de manómetros mediante manómetro patrón con certificado de calibración ONAC vigente presentado previo a la ejecución; </w:t>
      </w:r>
    </w:p>
    <w:p w14:paraId="322158FB"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c) Mantenimiento preventivo integral de componentes (unidades de regulación primarias/secundarias, </w:t>
      </w:r>
      <w:proofErr w:type="spellStart"/>
      <w:r w:rsidRPr="00B76D39">
        <w:rPr>
          <w:rFonts w:ascii="Verdana" w:eastAsia="Aptos" w:hAnsi="Verdana" w:cs="Times New Roman"/>
          <w:kern w:val="2"/>
          <w:sz w:val="21"/>
          <w:szCs w:val="21"/>
          <w14:ligatures w14:val="standardContextual"/>
        </w:rPr>
        <w:t>manifolds</w:t>
      </w:r>
      <w:proofErr w:type="spellEnd"/>
      <w:r w:rsidRPr="00B76D39">
        <w:rPr>
          <w:rFonts w:ascii="Verdana" w:eastAsia="Aptos" w:hAnsi="Verdana" w:cs="Times New Roman"/>
          <w:kern w:val="2"/>
          <w:sz w:val="21"/>
          <w:szCs w:val="21"/>
          <w14:ligatures w14:val="standardContextual"/>
        </w:rPr>
        <w:t xml:space="preserve">, serpentines, colectores y puntos de trabajo), pruebas de estanqueidad al 110 % de la presión de trabajo, detección y corrección de fugas, y ensayos bajo la NTC 5318 (numeral 12.5) y recomendaciones del fabricante para la puesta en servicio; y </w:t>
      </w:r>
    </w:p>
    <w:p w14:paraId="445F5E3D"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d) Ejecución de 1 visita preventiva, 1 de validación </w:t>
      </w:r>
      <w:proofErr w:type="spellStart"/>
      <w:r w:rsidRPr="00B76D39">
        <w:rPr>
          <w:rFonts w:ascii="Verdana" w:eastAsia="Aptos" w:hAnsi="Verdana" w:cs="Times New Roman"/>
          <w:kern w:val="2"/>
          <w:sz w:val="21"/>
          <w:szCs w:val="21"/>
          <w14:ligatures w14:val="standardContextual"/>
        </w:rPr>
        <w:t>post-intervención</w:t>
      </w:r>
      <w:proofErr w:type="spellEnd"/>
      <w:r w:rsidRPr="00B76D39">
        <w:rPr>
          <w:rFonts w:ascii="Verdana" w:eastAsia="Aptos" w:hAnsi="Verdana" w:cs="Times New Roman"/>
          <w:kern w:val="2"/>
          <w:sz w:val="21"/>
          <w:szCs w:val="21"/>
          <w14:ligatures w14:val="standardContextual"/>
        </w:rPr>
        <w:t xml:space="preserve"> y las visitas correctivas requeridas, junto con el informe técnico final firmado por el profesional ejecutante, recibido a satisfacción y copias de calibración ONAC del instrumental. </w:t>
      </w:r>
    </w:p>
    <w:p w14:paraId="19AF27D3"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Se precisa expresamente que en la ejecución de los tres procesos no existe obra civil ni intervención locativa o intramural que altere </w:t>
      </w:r>
      <w:r w:rsidRPr="00B76D39">
        <w:rPr>
          <w:rFonts w:ascii="Verdana" w:eastAsia="Aptos" w:hAnsi="Verdana" w:cs="Times New Roman"/>
          <w:kern w:val="2"/>
          <w:sz w:val="21"/>
          <w:szCs w:val="21"/>
          <w14:ligatures w14:val="standardContextual"/>
        </w:rPr>
        <w:lastRenderedPageBreak/>
        <w:t xml:space="preserve">paredes, redes eléctricas, sistemas hidráulicos o elementos estructurales de los inmuebles. </w:t>
      </w:r>
    </w:p>
    <w:p w14:paraId="6F977F13"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Bajo este contexto: </w:t>
      </w:r>
    </w:p>
    <w:p w14:paraId="21F2E94D"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 </w:t>
      </w:r>
      <w:r w:rsidRPr="00B76D39">
        <w:rPr>
          <w:rFonts w:ascii="Verdana" w:eastAsia="Aptos" w:hAnsi="Verdana" w:cs="Times New Roman"/>
          <w:b/>
          <w:bCs/>
          <w:kern w:val="2"/>
          <w:sz w:val="21"/>
          <w:szCs w:val="21"/>
          <w14:ligatures w14:val="standardContextual"/>
        </w:rPr>
        <w:t>Las centrales y redes de gases y los sistemas PTAR</w:t>
      </w:r>
      <w:r w:rsidRPr="00B76D39">
        <w:rPr>
          <w:rFonts w:ascii="Verdana" w:eastAsia="Aptos" w:hAnsi="Verdana" w:cs="Times New Roman"/>
          <w:kern w:val="2"/>
          <w:sz w:val="21"/>
          <w:szCs w:val="21"/>
          <w14:ligatures w14:val="standardContextual"/>
        </w:rPr>
        <w:t xml:space="preserve"> constituyen jurídicamente bienes muebles por adhesión, en tanto están incorporados de manera fija a la estructura física de la Entidad. </w:t>
      </w:r>
    </w:p>
    <w:p w14:paraId="7EECE9F0"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 </w:t>
      </w:r>
      <w:r w:rsidRPr="00B76D39">
        <w:rPr>
          <w:rFonts w:ascii="Verdana" w:eastAsia="Aptos" w:hAnsi="Verdana" w:cs="Times New Roman"/>
          <w:b/>
          <w:bCs/>
          <w:kern w:val="2"/>
          <w:sz w:val="21"/>
          <w:szCs w:val="21"/>
          <w14:ligatures w14:val="standardContextual"/>
        </w:rPr>
        <w:t>Respecto a las cabinas de seguridad biológica</w:t>
      </w:r>
      <w:r w:rsidRPr="00B76D39">
        <w:rPr>
          <w:rFonts w:ascii="Verdana" w:eastAsia="Aptos" w:hAnsi="Verdana" w:cs="Times New Roman"/>
          <w:kern w:val="2"/>
          <w:sz w:val="21"/>
          <w:szCs w:val="21"/>
          <w14:ligatures w14:val="standardContextual"/>
        </w:rPr>
        <w:t xml:space="preserve">, estas son conectadas o instaladas sin fijación definitiva ni afectación estructural al inmueble en caso de desinstalación, por lo que se consulta si pueden clasificarse como bienes muebles por destinación o simplemente equipo técnico. </w:t>
      </w:r>
    </w:p>
    <w:p w14:paraId="61D79A84"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 </w:t>
      </w:r>
      <w:r w:rsidRPr="00B76D39">
        <w:rPr>
          <w:rFonts w:ascii="Verdana" w:eastAsia="Aptos" w:hAnsi="Verdana" w:cs="Times New Roman"/>
          <w:b/>
          <w:bCs/>
          <w:kern w:val="2"/>
          <w:sz w:val="21"/>
          <w:szCs w:val="21"/>
          <w14:ligatures w14:val="standardContextual"/>
        </w:rPr>
        <w:t>En todos los casos, la labor sobre estos bienes configura un servicio técnico de mantenimiento y no la ejecución de una obra pública (construcción, modificación, adecuación o reparación de la infraestructura física subyacente).</w:t>
      </w:r>
      <w:r w:rsidRPr="00B76D39">
        <w:rPr>
          <w:rFonts w:ascii="Verdana" w:eastAsia="Aptos" w:hAnsi="Verdana" w:cs="Times New Roman"/>
          <w:kern w:val="2"/>
          <w:sz w:val="21"/>
          <w:szCs w:val="21"/>
          <w14:ligatures w14:val="standardContextual"/>
        </w:rPr>
        <w:t xml:space="preserve"> No obstante, lo anterior, por </w:t>
      </w:r>
      <w:proofErr w:type="gramStart"/>
      <w:r w:rsidRPr="00B76D39">
        <w:rPr>
          <w:rFonts w:ascii="Verdana" w:eastAsia="Aptos" w:hAnsi="Verdana" w:cs="Times New Roman"/>
          <w:kern w:val="2"/>
          <w:sz w:val="21"/>
          <w:szCs w:val="21"/>
          <w14:ligatures w14:val="standardContextual"/>
        </w:rPr>
        <w:t>ejemplo</w:t>
      </w:r>
      <w:proofErr w:type="gramEnd"/>
      <w:r w:rsidRPr="00B76D39">
        <w:rPr>
          <w:rFonts w:ascii="Verdana" w:eastAsia="Aptos" w:hAnsi="Verdana" w:cs="Times New Roman"/>
          <w:kern w:val="2"/>
          <w:sz w:val="21"/>
          <w:szCs w:val="21"/>
          <w14:ligatures w14:val="standardContextual"/>
        </w:rPr>
        <w:t xml:space="preserve"> la actividad de "mantenimiento... de redes de gases..." se halla en el numeral 3.13 de la Matriz de Experiencia del Pliego Tipo del Sector Institucional, mientras que el mantenimiento de PTAR se contempla en la Matriz de Experiencia de Agua Potable y Saneamiento Básico. </w:t>
      </w:r>
    </w:p>
    <w:p w14:paraId="274F9D3C"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En consecuencia, me permito formular los siguientes interrogantes: </w:t>
      </w:r>
    </w:p>
    <w:p w14:paraId="344FD420"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1. ¿Es obligatorio aplicar los Pliegos Tipo de Infraestructura Social/Institucional a procesos de Mínima o Menor Cuantía cuyo objeto se limita exclusivamente al mantenimiento preventivo y verificación técnica de centrales/redes de gases, cabinas de seguridad biológica o plantas de tratamiento de aguas residuales (sin ejecución de obra civil ni intervención estructural), aun cuando dicha actividad se halle descrita en la matriz de experiencia de referidos pliegos? </w:t>
      </w:r>
    </w:p>
    <w:p w14:paraId="7589947B" w14:textId="77777777" w:rsidR="00B76D39" w:rsidRPr="00B76D39" w:rsidRDefault="00B76D39" w:rsidP="00B76D39">
      <w:pPr>
        <w:spacing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2. ¿Se consideran las cabinas de seguridad biológica como bienes muebles por destinación (o bienes muebles independientes) y las centrales de gases/PTAR como bienes por adhesión, de modo que el mantenimiento, verificación y calibración sobre estos deba tipificarse como un contrato de prestación de servicios técnicos exceptuado de la obligación de adoptar pliegos tipo de obra pública? </w:t>
      </w:r>
    </w:p>
    <w:p w14:paraId="3A12301D" w14:textId="77777777" w:rsidR="00B76D39" w:rsidRPr="00B76D39" w:rsidRDefault="00B76D39" w:rsidP="00B76D39">
      <w:pPr>
        <w:spacing w:after="120" w:line="240" w:lineRule="auto"/>
        <w:ind w:left="709" w:right="709"/>
        <w:jc w:val="both"/>
        <w:rPr>
          <w:rFonts w:ascii="Verdana" w:eastAsia="Aptos" w:hAnsi="Verdana" w:cs="Times New Roman"/>
          <w:kern w:val="2"/>
          <w:sz w:val="21"/>
          <w:szCs w:val="21"/>
          <w14:ligatures w14:val="standardContextual"/>
        </w:rPr>
      </w:pPr>
      <w:r w:rsidRPr="00B76D39">
        <w:rPr>
          <w:rFonts w:ascii="Verdana" w:eastAsia="Aptos" w:hAnsi="Verdana" w:cs="Times New Roman"/>
          <w:kern w:val="2"/>
          <w:sz w:val="21"/>
          <w:szCs w:val="21"/>
          <w14:ligatures w14:val="standardContextual"/>
        </w:rPr>
        <w:t xml:space="preserve">3. Para el proceso de mantenimiento de la PTAR por valor de $110 millones (modalidad de Selección Abreviada de Menor Cuantía para la Entidad), ¿es jurídicamente viable adoptar la Matriz de Experiencia prevista para Licitación Pública en los Pliegos Tipo de Agua Potable y Saneamiento Básico (modalidad Llave en Mano) por ser la que </w:t>
      </w:r>
      <w:r w:rsidRPr="00B76D39">
        <w:rPr>
          <w:rFonts w:ascii="Verdana" w:eastAsia="Aptos" w:hAnsi="Verdana" w:cs="Times New Roman"/>
          <w:kern w:val="2"/>
          <w:sz w:val="21"/>
          <w:szCs w:val="21"/>
          <w14:ligatures w14:val="standardContextual"/>
        </w:rPr>
        <w:lastRenderedPageBreak/>
        <w:t>contempla explícitamente el mantenimiento de PTAR, e integrarla de manera transversal con los formatos del Pliego Tipo de Menor Cuantía correspondientes a dicho presupuesto? Mil gracias por su atención y quedo atenta.”.</w:t>
      </w:r>
    </w:p>
    <w:p w14:paraId="66CCA4EB" w14:textId="77777777" w:rsidR="00B76D39" w:rsidRPr="00B76D39" w:rsidRDefault="00B76D39" w:rsidP="00B76D39">
      <w:pPr>
        <w:spacing w:after="0" w:line="240" w:lineRule="auto"/>
        <w:ind w:left="709" w:right="709"/>
        <w:jc w:val="both"/>
        <w:rPr>
          <w:rFonts w:ascii="Arial" w:eastAsia="Aptos" w:hAnsi="Arial" w:cs="Arial"/>
          <w:kern w:val="2"/>
          <w:sz w:val="21"/>
          <w:szCs w:val="21"/>
          <w14:ligatures w14:val="standardContextual"/>
        </w:rPr>
      </w:pPr>
    </w:p>
    <w:p w14:paraId="53DFCA26" w14:textId="77777777" w:rsidR="00B76D39" w:rsidRPr="00B76D39" w:rsidRDefault="00B76D39" w:rsidP="00B76D39">
      <w:pPr>
        <w:spacing w:after="120" w:line="276" w:lineRule="auto"/>
        <w:ind w:firstLine="709"/>
        <w:jc w:val="both"/>
        <w:rPr>
          <w:rFonts w:ascii="Verdana" w:eastAsia="Calibri" w:hAnsi="Verdana" w:cs="Arial"/>
          <w:color w:val="000000"/>
          <w:kern w:val="2"/>
          <w:lang w:val="es-ES" w:eastAsia="es-ES"/>
          <w14:ligatures w14:val="standardContextual"/>
        </w:rPr>
      </w:pPr>
      <w:r w:rsidRPr="00B76D39">
        <w:rPr>
          <w:rFonts w:ascii="Verdana" w:eastAsia="Calibri" w:hAnsi="Verdana" w:cs="Arial"/>
          <w:color w:val="000000"/>
          <w:kern w:val="2"/>
          <w:lang w:val="es-ES" w:eastAsia="es-ES"/>
          <w14:ligatures w14:val="standardContextual"/>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76D39">
        <w:rPr>
          <w:rFonts w:ascii="Verdana" w:eastAsia="Calibri" w:hAnsi="Verdana" w:cs="Arial"/>
          <w:color w:val="000000"/>
          <w:kern w:val="2"/>
          <w:lang w:val="es-ES_tradnl" w:eastAsia="es-ES_tradnl"/>
          <w14:ligatures w14:val="standardContextual"/>
        </w:rPr>
        <w:tab/>
      </w:r>
    </w:p>
    <w:p w14:paraId="4B5AFA88" w14:textId="77777777" w:rsidR="00B76D39" w:rsidRPr="00B76D39" w:rsidRDefault="00B76D39" w:rsidP="00B76D39">
      <w:pPr>
        <w:spacing w:after="0" w:line="276" w:lineRule="auto"/>
        <w:ind w:firstLine="709"/>
        <w:jc w:val="both"/>
        <w:rPr>
          <w:rFonts w:ascii="Verdana" w:eastAsia="Calibri" w:hAnsi="Verdana" w:cs="Arial"/>
          <w:color w:val="000000"/>
          <w:kern w:val="2"/>
          <w:lang w:val="es-ES" w:eastAsia="es-ES"/>
          <w14:ligatures w14:val="standardContextual"/>
        </w:rPr>
      </w:pPr>
      <w:r w:rsidRPr="00B76D39">
        <w:rPr>
          <w:rFonts w:ascii="Verdana" w:eastAsia="Calibri" w:hAnsi="Verdana" w:cs="Arial"/>
          <w:color w:val="000000"/>
          <w:kern w:val="2"/>
          <w:lang w:val="es-ES" w:eastAsia="es-ES"/>
          <w14:ligatures w14:val="standardContextual"/>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B76D39">
        <w:rPr>
          <w:rFonts w:ascii="Verdana" w:eastAsia="Calibri" w:hAnsi="Verdana" w:cs="Arial"/>
          <w:color w:val="7030A0"/>
          <w:kern w:val="2"/>
          <w:lang w:val="es-ES" w:eastAsia="es-ES"/>
          <w14:ligatures w14:val="standardContextual"/>
        </w:rPr>
        <w:t xml:space="preserve"> </w:t>
      </w:r>
      <w:r w:rsidRPr="00B76D39">
        <w:rPr>
          <w:rFonts w:ascii="Verdana" w:eastAsia="Calibri" w:hAnsi="Verdana" w:cs="Arial"/>
          <w:color w:val="000000"/>
          <w:kern w:val="2"/>
          <w:lang w:val="es-ES" w:eastAsia="es-ES"/>
          <w14:ligatures w14:val="standardContextual"/>
        </w:rPr>
        <w:t>problema</w:t>
      </w:r>
      <w:r w:rsidRPr="00B76D39">
        <w:rPr>
          <w:rFonts w:ascii="Verdana" w:eastAsia="Calibri" w:hAnsi="Verdana" w:cs="Arial"/>
          <w:color w:val="7030A0"/>
          <w:kern w:val="2"/>
          <w:lang w:val="es-ES" w:eastAsia="es-ES"/>
          <w14:ligatures w14:val="standardContextual"/>
        </w:rPr>
        <w:t xml:space="preserve"> </w:t>
      </w:r>
      <w:r w:rsidRPr="00B76D39">
        <w:rPr>
          <w:rFonts w:ascii="Verdana" w:eastAsia="Calibri" w:hAnsi="Verdana" w:cs="Arial"/>
          <w:color w:val="000000"/>
          <w:kern w:val="2"/>
          <w:lang w:val="es-ES" w:eastAsia="es-ES"/>
          <w14:ligatures w14:val="standardContextual"/>
        </w:rPr>
        <w:t>jurídico</w:t>
      </w:r>
      <w:r w:rsidRPr="00B76D39">
        <w:rPr>
          <w:rFonts w:ascii="Verdana" w:eastAsia="Calibri" w:hAnsi="Verdana" w:cs="Arial"/>
          <w:color w:val="7030A0"/>
          <w:kern w:val="2"/>
          <w:lang w:val="es-ES" w:eastAsia="es-ES"/>
          <w14:ligatures w14:val="standardContextual"/>
        </w:rPr>
        <w:t xml:space="preserve"> </w:t>
      </w:r>
      <w:r w:rsidRPr="00B76D39">
        <w:rPr>
          <w:rFonts w:ascii="Verdana" w:eastAsia="Calibri" w:hAnsi="Verdana" w:cs="Arial"/>
          <w:color w:val="000000"/>
          <w:kern w:val="2"/>
          <w:lang w:val="es-ES" w:eastAsia="es-ES"/>
          <w14:ligatures w14:val="standardContextual"/>
        </w:rPr>
        <w:t xml:space="preserve">de su consulta. </w:t>
      </w:r>
    </w:p>
    <w:p w14:paraId="7C4A0E5E" w14:textId="77777777" w:rsidR="00B76D39" w:rsidRPr="00B76D39" w:rsidRDefault="00B76D39" w:rsidP="00B76D39">
      <w:pPr>
        <w:spacing w:after="0" w:line="276" w:lineRule="auto"/>
        <w:jc w:val="both"/>
        <w:rPr>
          <w:rFonts w:ascii="Verdana" w:eastAsia="Calibri" w:hAnsi="Verdana" w:cs="Arial"/>
          <w:lang w:val="es-ES" w:eastAsia="es-ES"/>
        </w:rPr>
      </w:pPr>
    </w:p>
    <w:p w14:paraId="4016199E" w14:textId="77777777" w:rsidR="00B76D39" w:rsidRPr="00B76D39" w:rsidRDefault="00B76D39" w:rsidP="00B76D39">
      <w:pPr>
        <w:numPr>
          <w:ilvl w:val="0"/>
          <w:numId w:val="17"/>
        </w:numPr>
        <w:tabs>
          <w:tab w:val="left" w:pos="142"/>
          <w:tab w:val="left" w:pos="284"/>
        </w:tabs>
        <w:spacing w:after="0" w:line="276" w:lineRule="auto"/>
        <w:jc w:val="both"/>
        <w:rPr>
          <w:rFonts w:ascii="Verdana" w:eastAsia="Century Gothic" w:hAnsi="Verdana" w:cs="Century Gothic"/>
          <w:b/>
          <w:bCs/>
        </w:rPr>
      </w:pPr>
      <w:r w:rsidRPr="00B76D39">
        <w:rPr>
          <w:rFonts w:ascii="Verdana" w:eastAsia="Century Gothic" w:hAnsi="Verdana" w:cs="Century Gothic"/>
          <w:b/>
          <w:bCs/>
        </w:rPr>
        <w:t>Problema planteado:</w:t>
      </w:r>
    </w:p>
    <w:p w14:paraId="2AE1AAC6" w14:textId="77777777" w:rsidR="00B76D39" w:rsidRPr="00B76D39" w:rsidRDefault="00B76D39" w:rsidP="00B76D39">
      <w:pPr>
        <w:tabs>
          <w:tab w:val="left" w:pos="426"/>
        </w:tabs>
        <w:spacing w:after="0" w:line="276" w:lineRule="auto"/>
        <w:jc w:val="both"/>
        <w:rPr>
          <w:rFonts w:ascii="Verdana" w:eastAsia="Century Gothic" w:hAnsi="Verdana" w:cs="Century Gothic"/>
          <w:lang w:val="es-ES"/>
        </w:rPr>
      </w:pPr>
    </w:p>
    <w:p w14:paraId="2E6148BF" w14:textId="77777777" w:rsidR="00B76D39" w:rsidRPr="00B76D39" w:rsidRDefault="00B76D39" w:rsidP="00B76D39">
      <w:pPr>
        <w:spacing w:after="0" w:line="276" w:lineRule="auto"/>
        <w:jc w:val="both"/>
        <w:rPr>
          <w:rFonts w:ascii="Verdana" w:eastAsia="Century Gothic" w:hAnsi="Verdana" w:cs="Century Gothic"/>
        </w:rPr>
      </w:pPr>
      <w:r w:rsidRPr="00B76D39">
        <w:rPr>
          <w:rFonts w:ascii="Verdana" w:eastAsia="Century Gothic" w:hAnsi="Verdana" w:cs="Century Gothic"/>
        </w:rPr>
        <w:t xml:space="preserve">De acuerdo con el contenido de su solicitud, esta Agencia resolverá los siguientes problemas jurídicos: i) ¿Constituye un contrato de obra pública el mantenimiento de bienes que, por adhesión o por destinación, se reputan inmuebles, aun cuando su ejecución no implique obra civil ni intervención estructural sobre la edificación?; </w:t>
      </w:r>
      <w:proofErr w:type="spellStart"/>
      <w:r w:rsidRPr="00B76D39">
        <w:rPr>
          <w:rFonts w:ascii="Verdana" w:eastAsia="Century Gothic" w:hAnsi="Verdana" w:cs="Century Gothic"/>
        </w:rPr>
        <w:t>ii</w:t>
      </w:r>
      <w:proofErr w:type="spellEnd"/>
      <w:r w:rsidRPr="00B76D39">
        <w:rPr>
          <w:rFonts w:ascii="Verdana" w:eastAsia="Century Gothic" w:hAnsi="Verdana" w:cs="Century Gothic"/>
        </w:rPr>
        <w:t xml:space="preserve">) ¿Son de obligatoria aplicación los documentos tipo del sector institucional o los de agua potable y saneamiento básico en los procesos de selección abreviada de menor cuantía y mínima cuantía cuyo objeto es el mantenimiento de cabinas de extracción de seguridad biológica, de centrales y redes de gases, y de plantas de tratamiento de aguas residuales (PTAR)?, y </w:t>
      </w:r>
      <w:proofErr w:type="spellStart"/>
      <w:r w:rsidRPr="00B76D39">
        <w:rPr>
          <w:rFonts w:ascii="Verdana" w:eastAsia="Century Gothic" w:hAnsi="Verdana" w:cs="Century Gothic"/>
        </w:rPr>
        <w:t>iii</w:t>
      </w:r>
      <w:proofErr w:type="spellEnd"/>
      <w:r w:rsidRPr="00B76D39">
        <w:rPr>
          <w:rFonts w:ascii="Verdana" w:eastAsia="Century Gothic" w:hAnsi="Verdana" w:cs="Century Gothic"/>
        </w:rPr>
        <w:t xml:space="preserve">) ¿Puede una entidad estatal integrar la Matriz 1 – Experiencia de los documentos </w:t>
      </w:r>
      <w:r w:rsidRPr="00B76D39">
        <w:rPr>
          <w:rFonts w:ascii="Verdana" w:eastAsia="Century Gothic" w:hAnsi="Verdana" w:cs="Century Gothic"/>
        </w:rPr>
        <w:lastRenderedPageBreak/>
        <w:t>tipo de licitación de obra pública de agua potable y saneamiento básico con los documentos tipo de selección abreviada de menor cuantía de obra pública de infraestructura social - institucional?</w:t>
      </w:r>
    </w:p>
    <w:p w14:paraId="6530808E" w14:textId="77777777" w:rsidR="00B76D39" w:rsidRPr="00B76D39" w:rsidRDefault="00B76D39" w:rsidP="00B76D39">
      <w:pPr>
        <w:spacing w:after="0" w:line="276" w:lineRule="auto"/>
        <w:jc w:val="both"/>
        <w:rPr>
          <w:rFonts w:ascii="Verdana" w:eastAsia="Century Gothic" w:hAnsi="Verdana" w:cs="Century Gothic"/>
        </w:rPr>
      </w:pPr>
    </w:p>
    <w:p w14:paraId="10C0B822" w14:textId="77777777" w:rsidR="00B76D39" w:rsidRPr="00B76D39" w:rsidRDefault="00B76D39" w:rsidP="00B76D39">
      <w:pPr>
        <w:tabs>
          <w:tab w:val="left" w:pos="142"/>
          <w:tab w:val="left" w:pos="284"/>
        </w:tabs>
        <w:spacing w:after="0" w:line="276" w:lineRule="auto"/>
        <w:contextualSpacing/>
        <w:jc w:val="both"/>
        <w:rPr>
          <w:rFonts w:ascii="Verdana" w:eastAsia="Century Gothic" w:hAnsi="Verdana" w:cs="Century Gothic"/>
          <w:b/>
          <w:bCs/>
          <w:lang w:val="es-ES"/>
        </w:rPr>
      </w:pPr>
      <w:r w:rsidRPr="00B76D39">
        <w:rPr>
          <w:rFonts w:ascii="Verdana" w:eastAsia="Century Gothic" w:hAnsi="Verdana" w:cs="Century Gothic"/>
          <w:b/>
          <w:bCs/>
          <w:lang w:val="es-ES"/>
        </w:rPr>
        <w:t>2. Respuestas:</w:t>
      </w:r>
    </w:p>
    <w:p w14:paraId="4C649D15" w14:textId="77777777" w:rsidR="00B76D39" w:rsidRPr="00B76D39" w:rsidRDefault="00B76D39" w:rsidP="00B76D39">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76D39" w:rsidRPr="00B76D39" w14:paraId="365480E5" w14:textId="77777777" w:rsidTr="009E3879">
        <w:trPr>
          <w:trHeight w:val="40"/>
        </w:trPr>
        <w:tc>
          <w:tcPr>
            <w:tcW w:w="8828" w:type="dxa"/>
            <w:tcBorders>
              <w:top w:val="dotted" w:sz="4" w:space="0" w:color="auto"/>
              <w:left w:val="dotted" w:sz="4" w:space="0" w:color="auto"/>
              <w:bottom w:val="dotted" w:sz="4" w:space="0" w:color="auto"/>
              <w:right w:val="dotted" w:sz="4" w:space="0" w:color="auto"/>
            </w:tcBorders>
          </w:tcPr>
          <w:p w14:paraId="4AEB1954" w14:textId="77777777" w:rsidR="00B76D39" w:rsidRPr="00B76D39" w:rsidRDefault="00B76D39" w:rsidP="00B76D39">
            <w:pPr>
              <w:spacing w:after="120" w:line="276" w:lineRule="auto"/>
              <w:jc w:val="both"/>
              <w:rPr>
                <w:rFonts w:ascii="Verdana" w:eastAsia="Times New Roman" w:hAnsi="Verdana" w:cs="Arial"/>
                <w:shd w:val="clear" w:color="auto" w:fill="FFFFFF"/>
                <w:lang w:val="es-ES_tradnl" w:eastAsia="es-ES_tradnl"/>
              </w:rPr>
            </w:pPr>
            <w:r w:rsidRPr="00B76D39">
              <w:rPr>
                <w:rFonts w:ascii="Verdana" w:eastAsia="Calibri" w:hAnsi="Verdana" w:cs="Times New Roman"/>
                <w:lang w:val="es-ES"/>
              </w:rPr>
              <w:t>i</w:t>
            </w:r>
            <w:r w:rsidRPr="00B76D39">
              <w:rPr>
                <w:rFonts w:ascii="Verdana" w:eastAsia="Times New Roman" w:hAnsi="Verdana" w:cs="Arial"/>
                <w:shd w:val="clear" w:color="auto" w:fill="FFFFFF"/>
                <w:lang w:val="es-ES_tradnl" w:eastAsia="es-ES_tradnl"/>
              </w:rPr>
              <w:t xml:space="preserve"> Los documentos tipo adoptados por la Agencia Nacional de Contratación Pública </w:t>
            </w:r>
            <w:r w:rsidRPr="00B76D39">
              <w:rPr>
                <w:rFonts w:ascii="Verdana" w:eastAsia="Symbol" w:hAnsi="Verdana" w:cs="Symbol"/>
                <w:shd w:val="clear" w:color="auto" w:fill="FFFFFF"/>
                <w:lang w:val="es-ES_tradnl" w:eastAsia="es-ES_tradnl"/>
              </w:rPr>
              <w:t>–</w:t>
            </w:r>
            <w:r w:rsidRPr="00B76D39">
              <w:rPr>
                <w:rFonts w:ascii="Verdana" w:eastAsia="Times New Roman" w:hAnsi="Verdana" w:cs="Arial"/>
                <w:shd w:val="clear" w:color="auto" w:fill="FFFFFF"/>
                <w:lang w:val="es-ES_tradnl" w:eastAsia="es-ES_tradnl"/>
              </w:rPr>
              <w:t xml:space="preserve"> Colombia Compra eficiente</w:t>
            </w:r>
            <w:r w:rsidRPr="00B76D39">
              <w:rPr>
                <w:rFonts w:ascii="Verdana" w:eastAsia="Aptos" w:hAnsi="Verdana" w:cs="Times New Roman"/>
                <w:lang w:val="es-ES_tradnl"/>
              </w:rPr>
              <w:t xml:space="preserve"> - en el sector de infraestructura social y en el sector de agua potable y saneamiento básico</w:t>
            </w:r>
            <w:r w:rsidRPr="00B76D39">
              <w:rPr>
                <w:rFonts w:ascii="Verdana" w:eastAsia="Times New Roman" w:hAnsi="Verdana" w:cs="Arial"/>
                <w:shd w:val="clear" w:color="auto" w:fill="FFFFFF"/>
                <w:lang w:val="es-ES_tradnl" w:eastAsia="es-ES_tradnl"/>
              </w:rPr>
              <w:t>, aplican para los procesos de “</w:t>
            </w:r>
            <w:r w:rsidRPr="00B76D39">
              <w:rPr>
                <w:rFonts w:ascii="Verdana" w:eastAsia="Times New Roman" w:hAnsi="Verdana" w:cs="Arial"/>
                <w:i/>
                <w:iCs/>
                <w:shd w:val="clear" w:color="auto" w:fill="FFFFFF"/>
                <w:lang w:val="es-ES_tradnl" w:eastAsia="es-ES_tradnl"/>
              </w:rPr>
              <w:t>obra pública”</w:t>
            </w:r>
            <w:r w:rsidRPr="00B76D39">
              <w:rPr>
                <w:rFonts w:ascii="Verdana" w:eastAsia="Times New Roman" w:hAnsi="Verdana" w:cs="Arial"/>
                <w:shd w:val="clear" w:color="auto" w:fill="FFFFFF"/>
                <w:lang w:val="es-ES_tradnl" w:eastAsia="es-ES_tradnl"/>
              </w:rPr>
              <w:t xml:space="preserve"> en las modalidades de selección acogidas: licitación pública, selección abreviada de menor cuantía y mínima cuantía.</w:t>
            </w:r>
          </w:p>
          <w:p w14:paraId="3837782B" w14:textId="77777777" w:rsidR="00B76D39" w:rsidRPr="00B76D39" w:rsidRDefault="00B76D39" w:rsidP="00B76D39">
            <w:pPr>
              <w:snapToGrid w:val="0"/>
              <w:spacing w:after="120" w:line="276" w:lineRule="auto"/>
              <w:ind w:firstLine="705"/>
              <w:jc w:val="both"/>
              <w:rPr>
                <w:rFonts w:ascii="Verdana" w:eastAsia="Times New Roman" w:hAnsi="Verdana" w:cs="Arial"/>
                <w:sz w:val="24"/>
                <w:szCs w:val="24"/>
                <w:shd w:val="clear" w:color="auto" w:fill="FFFFFF"/>
                <w:lang w:val="es-ES_tradnl" w:eastAsia="es-ES_tradnl"/>
              </w:rPr>
            </w:pPr>
            <w:r w:rsidRPr="00B76D39">
              <w:rPr>
                <w:rFonts w:ascii="Verdana" w:eastAsia="Times New Roman" w:hAnsi="Verdana" w:cs="Arial"/>
                <w:color w:val="000000"/>
                <w:lang w:val="es-ES" w:eastAsia="es-MX"/>
              </w:rPr>
              <w:t>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r w:rsidRPr="00B76D39">
              <w:rPr>
                <w:rFonts w:ascii="Verdana" w:eastAsia="Times New Roman" w:hAnsi="Verdana" w:cs="Arial"/>
                <w:color w:val="000000"/>
                <w:lang w:eastAsia="es-MX"/>
              </w:rPr>
              <w:t> </w:t>
            </w:r>
          </w:p>
          <w:p w14:paraId="4309DC7E" w14:textId="77777777" w:rsidR="00B76D39" w:rsidRPr="00B76D39" w:rsidRDefault="00B76D39" w:rsidP="00B76D39">
            <w:pPr>
              <w:snapToGrid w:val="0"/>
              <w:spacing w:line="276" w:lineRule="auto"/>
              <w:ind w:firstLine="705"/>
              <w:jc w:val="both"/>
              <w:textAlignment w:val="baseline"/>
              <w:rPr>
                <w:rFonts w:ascii="Verdana" w:eastAsia="Times New Roman" w:hAnsi="Verdana" w:cs="Segoe UI"/>
                <w:lang w:eastAsia="es-MX"/>
              </w:rPr>
            </w:pPr>
            <w:r w:rsidRPr="00B76D39">
              <w:rPr>
                <w:rFonts w:ascii="Verdana" w:eastAsia="Times New Roman" w:hAnsi="Verdana" w:cs="Arial"/>
                <w:color w:val="000000"/>
                <w:lang w:val="es-ES" w:eastAsia="es-MX"/>
              </w:rPr>
              <w:t>En </w:t>
            </w:r>
            <w:r w:rsidRPr="00B76D39">
              <w:rPr>
                <w:rFonts w:ascii="Verdana" w:eastAsia="Times New Roman" w:hAnsi="Verdana" w:cs="Arial"/>
                <w:i/>
                <w:iCs/>
                <w:color w:val="000000"/>
                <w:lang w:val="es-ES" w:eastAsia="es-MX"/>
              </w:rPr>
              <w:t>sentido amplio</w:t>
            </w:r>
            <w:r w:rsidRPr="00B76D39">
              <w:rPr>
                <w:rFonts w:ascii="Verdana" w:eastAsia="Times New Roman" w:hAnsi="Verdana" w:cs="Arial"/>
                <w:color w:val="000000"/>
                <w:lang w:val="es-ES" w:eastAsia="es-MX"/>
              </w:rPr>
              <w:t>, dado que la “obra” es un bien que crea la actividad humana, el hecho de que sea “pública” significa que es todo trabajo material en cuya creación o realización interviene el Estado. No obstante, el numeral 1 del artículo 32 de la Ley 80 de 1993 opta por un </w:t>
            </w:r>
            <w:r w:rsidRPr="00B76D39">
              <w:rPr>
                <w:rFonts w:ascii="Verdana" w:eastAsia="Times New Roman" w:hAnsi="Verdana" w:cs="Arial"/>
                <w:i/>
                <w:iCs/>
                <w:color w:val="000000"/>
                <w:lang w:val="es-ES" w:eastAsia="es-MX"/>
              </w:rPr>
              <w:t>sentido restringido</w:t>
            </w:r>
            <w:r w:rsidRPr="00B76D39">
              <w:rPr>
                <w:rFonts w:ascii="Verdana" w:eastAsia="Times New Roman" w:hAnsi="Verdana" w:cs="Arial"/>
                <w:color w:val="000000"/>
                <w:lang w:val="es-ES" w:eastAsia="es-MX"/>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 De esta manera:</w:t>
            </w:r>
            <w:r w:rsidRPr="00B76D39">
              <w:rPr>
                <w:rFonts w:ascii="Verdana" w:eastAsia="Times New Roman" w:hAnsi="Verdana" w:cs="Arial"/>
                <w:color w:val="000000"/>
                <w:lang w:eastAsia="es-MX"/>
              </w:rPr>
              <w:t> </w:t>
            </w:r>
          </w:p>
          <w:p w14:paraId="6C5CA390" w14:textId="77777777" w:rsidR="00B76D39" w:rsidRPr="00B76D39" w:rsidRDefault="00B76D39" w:rsidP="00B76D39">
            <w:pPr>
              <w:snapToGrid w:val="0"/>
              <w:spacing w:line="276" w:lineRule="auto"/>
              <w:ind w:firstLine="705"/>
              <w:jc w:val="both"/>
              <w:textAlignment w:val="baseline"/>
              <w:rPr>
                <w:rFonts w:ascii="Verdana" w:eastAsia="Times New Roman" w:hAnsi="Verdana" w:cs="Segoe UI"/>
                <w:lang w:eastAsia="es-MX"/>
              </w:rPr>
            </w:pPr>
            <w:r w:rsidRPr="00B76D39">
              <w:rPr>
                <w:rFonts w:ascii="Verdana" w:eastAsia="Times New Roman" w:hAnsi="Verdana" w:cs="Arial"/>
                <w:color w:val="000000"/>
                <w:lang w:eastAsia="es-MX"/>
              </w:rPr>
              <w:t> </w:t>
            </w:r>
          </w:p>
          <w:p w14:paraId="38FBCAB1" w14:textId="77777777" w:rsidR="00B76D39" w:rsidRPr="00B76D39" w:rsidRDefault="00B76D39" w:rsidP="00B76D39">
            <w:pPr>
              <w:snapToGrid w:val="0"/>
              <w:spacing w:after="120"/>
              <w:ind w:left="705" w:right="705"/>
              <w:jc w:val="both"/>
              <w:textAlignment w:val="baseline"/>
              <w:rPr>
                <w:rFonts w:ascii="Verdana" w:eastAsia="Times New Roman" w:hAnsi="Verdana" w:cs="Segoe UI"/>
                <w:sz w:val="21"/>
                <w:szCs w:val="21"/>
                <w:lang w:eastAsia="es-MX"/>
              </w:rPr>
            </w:pPr>
            <w:r w:rsidRPr="00B76D39">
              <w:rPr>
                <w:rFonts w:ascii="Verdana" w:eastAsia="Times New Roman" w:hAnsi="Verdana" w:cs="Arial"/>
                <w:color w:val="000000"/>
                <w:sz w:val="21"/>
                <w:szCs w:val="21"/>
                <w:lang w:val="es-ES" w:eastAsia="es-MX"/>
              </w:rPr>
              <w:t xml:space="preserve">“(…) el legislador limitó la naturaleza de los contratos de obra a las actividades de trabajos materiales exclusivamente sobre bienes </w:t>
            </w:r>
            <w:r w:rsidRPr="00B76D39">
              <w:rPr>
                <w:rFonts w:ascii="Verdana" w:eastAsia="Times New Roman" w:hAnsi="Verdana" w:cs="Arial"/>
                <w:color w:val="000000"/>
                <w:sz w:val="21"/>
                <w:szCs w:val="21"/>
                <w:lang w:val="es-ES" w:eastAsia="es-MX"/>
              </w:rPr>
              <w:lastRenderedPageBreak/>
              <w:t>inmuebles, independientemente de su modalidad de ejecución y pago. De esta forma, acogió la posición de una parte de la doctrina y del derecho comparado, que vinculan la tipificación del contrato de obra a aquellas actividades realizadas sobre bienes inmuebles. </w:t>
            </w:r>
            <w:r w:rsidRPr="00B76D39">
              <w:rPr>
                <w:rFonts w:ascii="Verdana" w:eastAsia="Times New Roman" w:hAnsi="Verdana" w:cs="Arial"/>
                <w:color w:val="000000"/>
                <w:sz w:val="21"/>
                <w:szCs w:val="21"/>
                <w:lang w:eastAsia="es-MX"/>
              </w:rPr>
              <w:t> </w:t>
            </w:r>
          </w:p>
          <w:p w14:paraId="2E9BBA0D" w14:textId="77777777" w:rsidR="00B76D39" w:rsidRPr="00B76D39" w:rsidRDefault="00B76D39" w:rsidP="00B76D39">
            <w:pPr>
              <w:snapToGrid w:val="0"/>
              <w:ind w:left="705" w:right="705"/>
              <w:jc w:val="both"/>
              <w:textAlignment w:val="baseline"/>
              <w:rPr>
                <w:rFonts w:ascii="Verdana" w:eastAsia="Times New Roman" w:hAnsi="Verdana" w:cs="Segoe UI"/>
                <w:sz w:val="21"/>
                <w:szCs w:val="21"/>
                <w:lang w:eastAsia="es-MX"/>
              </w:rPr>
            </w:pPr>
            <w:r w:rsidRPr="00B76D39">
              <w:rPr>
                <w:rFonts w:ascii="Verdana" w:eastAsia="Times New Roman" w:hAnsi="Verdana" w:cs="Arial"/>
                <w:color w:val="000000"/>
                <w:sz w:val="21"/>
                <w:szCs w:val="21"/>
                <w:lang w:val="es-ES" w:eastAsia="es-MX"/>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B76D39">
              <w:rPr>
                <w:rFonts w:ascii="Verdana" w:eastAsia="Times New Roman" w:hAnsi="Verdana" w:cs="Arial"/>
                <w:color w:val="000000"/>
                <w:sz w:val="21"/>
                <w:szCs w:val="21"/>
                <w:lang w:eastAsia="es-MX"/>
              </w:rPr>
              <w:t> </w:t>
            </w:r>
          </w:p>
          <w:p w14:paraId="273D3EB8" w14:textId="77777777" w:rsidR="00B76D39" w:rsidRPr="00B76D39" w:rsidRDefault="00B76D39" w:rsidP="00B76D39">
            <w:pPr>
              <w:snapToGrid w:val="0"/>
              <w:spacing w:line="276" w:lineRule="auto"/>
              <w:ind w:left="705" w:right="705"/>
              <w:jc w:val="both"/>
              <w:textAlignment w:val="baseline"/>
              <w:rPr>
                <w:rFonts w:ascii="Verdana" w:eastAsia="Times New Roman" w:hAnsi="Verdana" w:cs="Segoe UI"/>
                <w:lang w:eastAsia="es-MX"/>
              </w:rPr>
            </w:pPr>
            <w:r w:rsidRPr="00B76D39">
              <w:rPr>
                <w:rFonts w:ascii="Verdana" w:eastAsia="Times New Roman" w:hAnsi="Verdana" w:cs="Arial"/>
                <w:color w:val="000000"/>
                <w:lang w:eastAsia="es-MX"/>
              </w:rPr>
              <w:t> </w:t>
            </w:r>
          </w:p>
          <w:p w14:paraId="739BE2F2" w14:textId="77777777" w:rsidR="00B76D39" w:rsidRPr="00B76D39" w:rsidRDefault="00B76D39" w:rsidP="00B76D39">
            <w:pPr>
              <w:snapToGrid w:val="0"/>
              <w:spacing w:after="120" w:line="276" w:lineRule="auto"/>
              <w:ind w:firstLine="705"/>
              <w:jc w:val="both"/>
              <w:textAlignment w:val="baseline"/>
              <w:rPr>
                <w:rFonts w:ascii="Verdana" w:eastAsia="Times New Roman" w:hAnsi="Verdana" w:cs="Times New Roman"/>
                <w:color w:val="000000"/>
                <w:lang w:val="es-ES" w:eastAsia="es-MX"/>
              </w:rPr>
            </w:pPr>
            <w:r w:rsidRPr="00B76D39">
              <w:rPr>
                <w:rFonts w:ascii="Verdana" w:eastAsia="Times New Roman" w:hAnsi="Verdana" w:cs="Times New Roman"/>
                <w:color w:val="000000"/>
                <w:lang w:val="es-ES" w:eastAsia="es-MX"/>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 entre otros.</w:t>
            </w:r>
          </w:p>
          <w:p w14:paraId="3E5E5068" w14:textId="77777777" w:rsidR="00B76D39" w:rsidRPr="00B76D39" w:rsidRDefault="00B76D39" w:rsidP="00B76D39">
            <w:pPr>
              <w:snapToGrid w:val="0"/>
              <w:spacing w:after="120" w:line="276" w:lineRule="auto"/>
              <w:ind w:firstLine="705"/>
              <w:jc w:val="both"/>
              <w:textAlignment w:val="baseline"/>
              <w:rPr>
                <w:rFonts w:ascii="Verdana" w:eastAsia="Times New Roman" w:hAnsi="Verdana" w:cs="Segoe UI"/>
                <w:lang w:eastAsia="es-MX"/>
              </w:rPr>
            </w:pPr>
            <w:r w:rsidRPr="00B76D39">
              <w:rPr>
                <w:rFonts w:ascii="Verdana" w:eastAsia="Times New Roman" w:hAnsi="Verdana" w:cs="Arial"/>
                <w:color w:val="000000"/>
                <w:lang w:val="es-ES" w:eastAsia="es-MX"/>
              </w:rPr>
              <w:t>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r w:rsidRPr="00B76D39">
              <w:rPr>
                <w:rFonts w:ascii="Verdana" w:eastAsia="Times New Roman" w:hAnsi="Verdana" w:cs="Arial"/>
                <w:color w:val="000000"/>
                <w:lang w:eastAsia="es-MX"/>
              </w:rPr>
              <w:t> </w:t>
            </w:r>
          </w:p>
          <w:p w14:paraId="433F6E3D" w14:textId="77777777" w:rsidR="00B76D39" w:rsidRPr="00B76D39" w:rsidRDefault="00B76D39" w:rsidP="00B76D39">
            <w:pPr>
              <w:snapToGrid w:val="0"/>
              <w:spacing w:after="120" w:line="276" w:lineRule="auto"/>
              <w:ind w:firstLine="705"/>
              <w:jc w:val="both"/>
              <w:textAlignment w:val="baseline"/>
              <w:rPr>
                <w:rFonts w:ascii="Verdana" w:eastAsia="Times New Roman" w:hAnsi="Verdana" w:cs="Arial"/>
                <w:color w:val="000000"/>
                <w:kern w:val="2"/>
                <w:lang w:val="es-ES" w:eastAsia="es-MX"/>
                <w14:ligatures w14:val="standardContextual"/>
              </w:rPr>
            </w:pPr>
            <w:r w:rsidRPr="00B76D39">
              <w:rPr>
                <w:rFonts w:ascii="Verdana" w:eastAsia="Times New Roman" w:hAnsi="Verdana" w:cs="Arial"/>
                <w:color w:val="000000"/>
                <w:lang w:val="es-ES" w:eastAsia="es-MX"/>
              </w:rPr>
              <w:t xml:space="preserve">En ese sentido, la naturaleza inmueble del bien –ya sea natural, por adhesión o destinación– sobre el que se realizan las actividades es determinante para saber si está ante un contrato de obra pública, ya que de este tipo contractual se encuentran excluidos trabajos materiales realizados sobre bienes muebles, por lo que estos corresponderían a un tipo contractual diferente. Esto supone que, en caso de que las prestaciones a realizarse impliquen el desarrollo de actividades materiales sobre bienes muebles, no resulta jurídicamente valido acudir al contrato de obra pública, debiendo la </w:t>
            </w:r>
            <w:r w:rsidRPr="00B76D39">
              <w:rPr>
                <w:rFonts w:ascii="Verdana" w:eastAsia="Times New Roman" w:hAnsi="Verdana" w:cs="Arial"/>
                <w:color w:val="000000"/>
                <w:lang w:val="es-ES" w:eastAsia="es-MX"/>
              </w:rPr>
              <w:lastRenderedPageBreak/>
              <w:t>entidad acudir al régimen contractual de algún otro tipo contractual en el que se subsuma la actividad a contratar, como, por ejemplo, el contrato de prestación de servicios, o a cualquier otra modalidad típica o atípica, nominada o innominada que pueda celebrarse entre la entidad estatal y un contratista, en los términos de la autonomía de la voluntad de las partes, de acuerdo con lo previsto en los artículos 32 y 40 de la Ley 80 de 1993. </w:t>
            </w:r>
          </w:p>
          <w:p w14:paraId="7374E66F" w14:textId="77777777" w:rsidR="00B76D39" w:rsidRPr="00B76D39" w:rsidRDefault="00B76D39" w:rsidP="00B76D39">
            <w:pPr>
              <w:snapToGrid w:val="0"/>
              <w:spacing w:line="276" w:lineRule="auto"/>
              <w:ind w:firstLine="705"/>
              <w:jc w:val="both"/>
              <w:textAlignment w:val="baseline"/>
              <w:rPr>
                <w:rFonts w:ascii="Verdana" w:eastAsia="Times New Roman" w:hAnsi="Verdana" w:cs="Arial"/>
                <w:color w:val="000000"/>
                <w:lang w:val="es-ES" w:eastAsia="es-MX"/>
              </w:rPr>
            </w:pPr>
            <w:r w:rsidRPr="00B76D39">
              <w:rPr>
                <w:rFonts w:ascii="Verdana" w:eastAsia="Times New Roman" w:hAnsi="Verdana" w:cs="Arial"/>
                <w:color w:val="000000"/>
                <w:lang w:val="es-ES" w:eastAsia="es-MX"/>
              </w:rPr>
              <w:t>Con todo, es pertinente resaltar que la determinación de celebrar o no un contrato de obra pública depende exclusivamente del análisis, caso a caso, efectuado por cada entidad estatal. Es decir, utilizar esta tipología contractual dependerá de la necesidad específica que pretenda satisfacer la entidad pública. Lo anterior, porque en ejercicio de su autonomía negocial y discrecionalidad, la entidad estatal puede considerar que la necesidad a satisfacer encuadra más en determinada tipología contractual.</w:t>
            </w:r>
          </w:p>
          <w:p w14:paraId="66B92D14" w14:textId="77777777" w:rsidR="00B76D39" w:rsidRPr="00B76D39" w:rsidRDefault="00B76D39" w:rsidP="00B76D39">
            <w:pPr>
              <w:spacing w:line="276" w:lineRule="auto"/>
              <w:jc w:val="both"/>
              <w:rPr>
                <w:rFonts w:ascii="Verdana" w:eastAsia="Calibri" w:hAnsi="Verdana" w:cs="Times New Roman"/>
                <w:lang w:val="es-ES"/>
              </w:rPr>
            </w:pPr>
          </w:p>
          <w:p w14:paraId="690342BD" w14:textId="77777777" w:rsidR="00B76D39" w:rsidRPr="00B76D39" w:rsidRDefault="00B76D39" w:rsidP="00B76D39">
            <w:pPr>
              <w:spacing w:after="120" w:line="276" w:lineRule="auto"/>
              <w:jc w:val="both"/>
              <w:rPr>
                <w:rFonts w:ascii="Verdana" w:eastAsia="Aptos" w:hAnsi="Verdana" w:cs="Times New Roman"/>
              </w:rPr>
            </w:pPr>
            <w:proofErr w:type="spellStart"/>
            <w:r w:rsidRPr="00B76D39">
              <w:rPr>
                <w:rFonts w:ascii="Verdana" w:eastAsia="Calibri" w:hAnsi="Verdana" w:cs="Times New Roman"/>
                <w:lang w:val="es-ES"/>
              </w:rPr>
              <w:t>ii</w:t>
            </w:r>
            <w:proofErr w:type="spellEnd"/>
            <w:r w:rsidRPr="00B76D39">
              <w:rPr>
                <w:rFonts w:ascii="Verdana" w:eastAsia="Calibri" w:hAnsi="Verdana" w:cs="Times New Roman"/>
                <w:lang w:val="es-ES"/>
              </w:rPr>
              <w:t xml:space="preserve">. </w:t>
            </w:r>
            <w:r w:rsidRPr="00B76D39">
              <w:rPr>
                <w:rFonts w:ascii="Verdana" w:eastAsia="Aptos" w:hAnsi="Verdana" w:cs="Times New Roman"/>
              </w:rPr>
              <w:t xml:space="preserve">Considerando que su solicitud se dirige a que la Agencia Nacional de Contratación Pública – Colombia Compra Eficiente determine si los documentos tipo del sector de infraestructura social, particularmente los del sector institucional, y los documentos tipo de agua potable y saneamiento básico son aplicables para adelantar tres (3) procesos cuyos objetos son, respectivamente: i) mantenimiento y verificación de cabinas de extracción de seguridad biológica; </w:t>
            </w:r>
            <w:proofErr w:type="spellStart"/>
            <w:r w:rsidRPr="00B76D39">
              <w:rPr>
                <w:rFonts w:ascii="Verdana" w:eastAsia="Aptos" w:hAnsi="Verdana" w:cs="Times New Roman"/>
              </w:rPr>
              <w:t>ii</w:t>
            </w:r>
            <w:proofErr w:type="spellEnd"/>
            <w:r w:rsidRPr="00B76D39">
              <w:rPr>
                <w:rFonts w:ascii="Verdana" w:eastAsia="Aptos" w:hAnsi="Verdana" w:cs="Times New Roman"/>
              </w:rPr>
              <w:t xml:space="preserve">) mantenimiento preventivo de centrales y redes de gases, y </w:t>
            </w:r>
            <w:proofErr w:type="spellStart"/>
            <w:r w:rsidRPr="00B76D39">
              <w:rPr>
                <w:rFonts w:ascii="Verdana" w:eastAsia="Aptos" w:hAnsi="Verdana" w:cs="Times New Roman"/>
              </w:rPr>
              <w:t>iii</w:t>
            </w:r>
            <w:proofErr w:type="spellEnd"/>
            <w:r w:rsidRPr="00B76D39">
              <w:rPr>
                <w:rFonts w:ascii="Verdana" w:eastAsia="Aptos" w:hAnsi="Verdana" w:cs="Times New Roman"/>
              </w:rPr>
              <w:t>) contratación del servicio de mantenimiento de las plantas de tratamiento de aguas residuales (PTAR). Sobre el particular, se realizan las siguientes consideraciones:</w:t>
            </w:r>
          </w:p>
          <w:p w14:paraId="3D242AC5" w14:textId="77777777" w:rsidR="00B76D39" w:rsidRPr="00B76D39" w:rsidRDefault="00B76D39" w:rsidP="00B76D39">
            <w:pPr>
              <w:spacing w:after="120" w:line="276" w:lineRule="auto"/>
              <w:ind w:firstLine="708"/>
              <w:jc w:val="both"/>
              <w:rPr>
                <w:rFonts w:ascii="Verdana" w:eastAsia="Aptos" w:hAnsi="Verdana" w:cs="Times New Roman"/>
              </w:rPr>
            </w:pPr>
            <w:r w:rsidRPr="00B76D39">
              <w:rPr>
                <w:rFonts w:ascii="Verdana" w:eastAsia="Aptos" w:hAnsi="Verdana" w:cs="Times New Roman"/>
              </w:rPr>
              <w:t xml:space="preserve">i. Revisados los tipos de obra y las actividades a contratar dispuestos en la Matriz 1 – Experiencia de los documentos tipo del sector institucional, así como los contenidos en la Matriz 1 – Experiencia de los documentos tipo de infraestructura de agua potable y saneamiento básico, no se encuentra ninguna actividad dirigida al mantenimiento y la verificación de cabinas de extracción de seguridad biológica. </w:t>
            </w:r>
          </w:p>
          <w:p w14:paraId="2F89A6CD" w14:textId="77777777" w:rsidR="00B76D39" w:rsidRPr="00B76D39" w:rsidRDefault="00B76D39" w:rsidP="00B76D39">
            <w:pPr>
              <w:spacing w:after="120" w:line="276" w:lineRule="auto"/>
              <w:ind w:firstLine="708"/>
              <w:jc w:val="both"/>
              <w:rPr>
                <w:rFonts w:ascii="Verdana" w:eastAsia="Aptos" w:hAnsi="Verdana" w:cs="Times New Roman"/>
              </w:rPr>
            </w:pPr>
            <w:r w:rsidRPr="00B76D39">
              <w:rPr>
                <w:rFonts w:ascii="Verdana" w:eastAsia="Aptos" w:hAnsi="Verdana" w:cs="Times New Roman"/>
              </w:rPr>
              <w:t xml:space="preserve">Si bien la matriz del sector institucional contempla el suministro y/o la instalación de equipos especiales, electromecánicos o electrónicos –numerales 1.12, 2.13 y 3.12–, así como de sistemas de aire acondicionado o ventilación –numerales 1.15, 2.14 y 3.15–, estas actividades no comprenden el </w:t>
            </w:r>
            <w:r w:rsidRPr="00B76D39">
              <w:rPr>
                <w:rFonts w:ascii="Verdana" w:eastAsia="Aptos" w:hAnsi="Verdana" w:cs="Times New Roman"/>
              </w:rPr>
              <w:lastRenderedPageBreak/>
              <w:t>mantenimiento ni la verificación de estos equipos. Por lo tanto, al no existir documentos tipo aplicables al proceso en mención, su uso no es obligatorio.</w:t>
            </w:r>
          </w:p>
          <w:p w14:paraId="4ED0DB24" w14:textId="77777777" w:rsidR="00B76D39" w:rsidRPr="00B76D39" w:rsidRDefault="00B76D39" w:rsidP="00B76D39">
            <w:pPr>
              <w:spacing w:after="120" w:line="276" w:lineRule="auto"/>
              <w:ind w:firstLine="708"/>
              <w:jc w:val="both"/>
              <w:rPr>
                <w:rFonts w:ascii="Verdana" w:eastAsia="Times New Roman" w:hAnsi="Verdana" w:cs="Times New Roman"/>
                <w:lang w:eastAsia="es-MX"/>
              </w:rPr>
            </w:pPr>
            <w:proofErr w:type="spellStart"/>
            <w:r w:rsidRPr="00B76D39">
              <w:rPr>
                <w:rFonts w:ascii="Verdana" w:eastAsia="Calibri" w:hAnsi="Verdana" w:cs="Times New Roman"/>
                <w:lang w:val="es-ES" w:eastAsia="es-MX"/>
              </w:rPr>
              <w:t>ii</w:t>
            </w:r>
            <w:proofErr w:type="spellEnd"/>
            <w:r w:rsidRPr="00B76D39">
              <w:rPr>
                <w:rFonts w:ascii="Verdana" w:eastAsia="Calibri" w:hAnsi="Verdana" w:cs="Times New Roman"/>
                <w:lang w:val="es-ES" w:eastAsia="es-MX"/>
              </w:rPr>
              <w:t xml:space="preserve">. </w:t>
            </w:r>
            <w:r w:rsidRPr="00B76D39">
              <w:rPr>
                <w:rFonts w:ascii="Verdana" w:eastAsia="Times New Roman" w:hAnsi="Verdana" w:cs="Times New Roman"/>
                <w:lang w:eastAsia="es-MX"/>
              </w:rPr>
              <w:t>Respecto al proceso cuyo objeto es el “mantenimiento preventivo de centrales y redes de gases”, se advierte lo siguiente. En la Matriz 1 – Experiencia de los documentos tipo del sector institucional en las modalidades adoptadas –licitación pública, selección abreviada de menor cuantía y mínima cuantía–, en el capítulo 2, “Obras en proyectos de infraestructura institucional de servicio público”, contempla la actividad “2.12.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COCCIÓN DE INFRAESTRUCTURA INSTITUCIONAL - SERVICIO PÚBLICO”. El capítulo 3, “Obras en proyectos de infraestructura institucional – sitios de reclusión”, contempla una actividad con el mismo alcance para ese tipo de infraestructura: “3.13.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COCCION DE INFRAESTRUCTURA INSTITUCIONAL - SITIOS DE RECLUSIÓN”.</w:t>
            </w:r>
          </w:p>
          <w:p w14:paraId="3D73D7A9"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 xml:space="preserve">Como se observa, estas actividades –2.12 y 3.13– incluyen expresamente el mantenimiento de redes de gases y similares en edificaciones de servicio público y sitios de reclusión. En este sentido, considerando que, de acuerdo con el numeral 1 del artículo 32 de la Ley 80 de 1993, son contratos de obra los que se celebran para la construcción, el mantenimiento, la instalación y, en general, cualquier otro trabajo material sobre bienes inmuebles. Esta categoría comprende los inmuebles por adhesión y por destinación, en los términos de los artículos 656 y 658 del Código Civil. Por ello, las centrales y redes de gases que se encuentran incorporadas de forma </w:t>
            </w:r>
            <w:r w:rsidRPr="00B76D39">
              <w:rPr>
                <w:rFonts w:ascii="Verdana" w:eastAsia="Times New Roman" w:hAnsi="Verdana" w:cs="Times New Roman"/>
                <w:lang w:eastAsia="es-MX"/>
              </w:rPr>
              <w:lastRenderedPageBreak/>
              <w:t>permanente a la edificación constituyen inmuebles por adhesión, y su mantenimiento corresponde a un trabajo material sobre bienes inmuebles.</w:t>
            </w:r>
          </w:p>
          <w:p w14:paraId="2025313C" w14:textId="77777777" w:rsidR="00B76D39" w:rsidRPr="00B76D39" w:rsidRDefault="00B76D39" w:rsidP="00B76D39">
            <w:pPr>
              <w:spacing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Por lo tanto, si la edificación en la que se encuentran las centrales y redes de gases corresponde a infraestructura institucional de servicio público o a un sitio de reclusión, la entidad estatal deberá aplicar de manera obligatoria los documentos tipo del sector institucional. Según la modalidad que corresponda por la cuantía, se aplicarán los adoptados mediante la Resolución 540 de 2025, para selección abreviada de menor cuantía, o la Resolución 541 de 2025, para mínima cuantía. Por el contrario, si el mantenimiento recae sobre equipos o elementos que no se encuentran incorporados a la edificación y que, por tanto, conservan su naturaleza de bienes muebles, la actividad no se enmarcaría en el contrato de obra pública y los documentos tipo no serían obligatorios.</w:t>
            </w:r>
          </w:p>
          <w:p w14:paraId="4DDE7F2C"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proofErr w:type="spellStart"/>
            <w:r w:rsidRPr="00B76D39">
              <w:rPr>
                <w:rFonts w:ascii="Verdana" w:eastAsia="Calibri" w:hAnsi="Verdana" w:cs="Times New Roman"/>
                <w:lang w:val="es-ES" w:eastAsia="es-MX"/>
              </w:rPr>
              <w:t>iii</w:t>
            </w:r>
            <w:proofErr w:type="spellEnd"/>
            <w:r w:rsidRPr="00B76D39">
              <w:rPr>
                <w:rFonts w:ascii="Verdana" w:eastAsia="Calibri" w:hAnsi="Verdana" w:cs="Times New Roman"/>
                <w:lang w:val="es-ES" w:eastAsia="es-MX"/>
              </w:rPr>
              <w:t xml:space="preserve">. </w:t>
            </w:r>
            <w:r w:rsidRPr="00B76D39">
              <w:rPr>
                <w:rFonts w:ascii="Verdana" w:eastAsia="Times New Roman" w:hAnsi="Verdana" w:cs="Times New Roman"/>
                <w:lang w:eastAsia="es-MX"/>
              </w:rPr>
              <w:t>En relación con el proceso que tiene por objeto “la contratación del servicio de mantenimiento de las plantas de tratamiento de aguas residuales (PTAR)”, debe indicarse, en primer lugar, que una Planta de Tratamiento de Agua Residual –PTAR– es una infraestructura construida y adherida al suelo, esto es, un bien inmueble. Por ello, las actividades de mantenimiento que recaen sobre ella constituyen un trabajo material sobre bienes inmuebles y se enmarcan en el contrato de obra pública definido en el numeral 1 del artículo 32 de la Ley 80 de 1993. Esto es así con independencia de que el objeto contractual se denomine “servicio de mantenimiento”.</w:t>
            </w:r>
          </w:p>
          <w:p w14:paraId="6BC1938C"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 xml:space="preserve">En segundo lugar, la Matriz 1 – Experiencia de los documentos tipo de infraestructura de agua potable y saneamiento básico contempla, dentro del capítulo tres (3) “Obras para PTAP (Planta de Tratamiento de Agua Potable) y/o PTAR (Planta de Tratamiento de Aguas Residuales)”, la actividad “3.3 Proyectos de optimización y/o mejoramiento y/o adecuación y/o reforzamiento y/o rehabilitación y/o mantenimiento de PTAR y/u obras complementarias”. Sin embargo, en este sector, –como se señaló en el punto uno (i) de este concepto– esta Agencia solo ha adoptado documentos tipo para las modalidades de licitación pública, mediante la Resolución 248 de 2020, y de licitación pública en la modalidad llave en mano, mediante la Resolución 249 de 2020. También adoptó documentos tipo para el concurso de méritos de interventoría, mediante la Resolución 333 de 2022. En consecuencia, a la fecha no existen documentos tipo del sector de agua potable y saneamiento básico </w:t>
            </w:r>
            <w:r w:rsidRPr="00B76D39">
              <w:rPr>
                <w:rFonts w:ascii="Verdana" w:eastAsia="Times New Roman" w:hAnsi="Verdana" w:cs="Times New Roman"/>
                <w:lang w:eastAsia="es-MX"/>
              </w:rPr>
              <w:lastRenderedPageBreak/>
              <w:t>para las modalidades de selección abreviada de menor cuantía y mínima cuantía, por lo que en estas modalidades su aplicación no es obligatoria.</w:t>
            </w:r>
          </w:p>
          <w:p w14:paraId="7C465685"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En tercer lugar, la Matriz 1 – Experiencia de los documentos tipo del sector institucional no contiene ninguna actividad dirigida a plantas de tratamiento de aguas residuales. Las actividades 2.6 y 3.6 se refieren a baterías sanitarias, redes hidrosanitarias, tanques de almacenamiento y sistemas de bombeo, es decir, a las instalaciones internas de la edificación, y no a sistemas de tratamiento. Por lo tanto, un proceso cuyo objeto sea únicamente el mantenimiento de una PTAR no se encuadra en ninguna de las actividades de esta matriz.</w:t>
            </w:r>
          </w:p>
          <w:p w14:paraId="3172257A"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 xml:space="preserve">Distinto es el caso en que el mantenimiento de la PTAR sea solo un componente de un proceso cuyo objeto principal sí corresponda a una actividad de la matriz del sector institucional, como el mantenimiento general de una edificación de servicio público o de un sitio de reclusión. En ese supuesto, son los documentos tipo del sector institucional los que resultan aplicables </w:t>
            </w:r>
            <w:proofErr w:type="gramStart"/>
            <w:r w:rsidRPr="00B76D39">
              <w:rPr>
                <w:rFonts w:ascii="Verdana" w:eastAsia="Times New Roman" w:hAnsi="Verdana" w:cs="Times New Roman"/>
                <w:lang w:eastAsia="es-MX"/>
              </w:rPr>
              <w:t>en razón del</w:t>
            </w:r>
            <w:proofErr w:type="gramEnd"/>
            <w:r w:rsidRPr="00B76D39">
              <w:rPr>
                <w:rFonts w:ascii="Verdana" w:eastAsia="Times New Roman" w:hAnsi="Verdana" w:cs="Times New Roman"/>
                <w:lang w:eastAsia="es-MX"/>
              </w:rPr>
              <w:t xml:space="preserve"> objeto principal, y la entidad puede acudir a las reglas de combinación de experiencia del numeral 3.5.1 del documento base, en concordancia con la actividad de mantenimiento de PTAR de la Matriz 1 de agua potable y saneamiento básico, tal como lo señaló esta Agencia en el concepto C-429 de 2026.</w:t>
            </w:r>
          </w:p>
          <w:p w14:paraId="03148839"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En consecuencia, al no existir una actividad dirigida a PTAR en la matriz del sector institucional, ni documentos tipo del sector de agua potable y saneamiento básico para las modalidades de selección abreviada de menor cuantía y mínima cuantía, la aplicación de los documentos tipo no es obligatoria para el proceso en mención.</w:t>
            </w:r>
          </w:p>
          <w:p w14:paraId="45BAB073" w14:textId="77777777" w:rsidR="00B76D39" w:rsidRPr="00B76D39" w:rsidRDefault="00B76D39" w:rsidP="00B76D39">
            <w:pPr>
              <w:snapToGrid w:val="0"/>
              <w:spacing w:after="120" w:line="276" w:lineRule="auto"/>
              <w:jc w:val="both"/>
              <w:rPr>
                <w:rFonts w:ascii="Verdana" w:eastAsia="Times New Roman" w:hAnsi="Verdana" w:cs="Times New Roman"/>
                <w:lang w:eastAsia="es-MX"/>
              </w:rPr>
            </w:pPr>
            <w:proofErr w:type="spellStart"/>
            <w:r w:rsidRPr="00B76D39">
              <w:rPr>
                <w:rFonts w:ascii="Verdana" w:eastAsia="Times New Roman" w:hAnsi="Verdana" w:cs="Times New Roman"/>
                <w:lang w:eastAsia="es-MX"/>
              </w:rPr>
              <w:t>iii</w:t>
            </w:r>
            <w:proofErr w:type="spellEnd"/>
            <w:r w:rsidRPr="00B76D39">
              <w:rPr>
                <w:rFonts w:ascii="Verdana" w:eastAsia="Times New Roman" w:hAnsi="Verdana" w:cs="Times New Roman"/>
                <w:lang w:eastAsia="es-MX"/>
              </w:rPr>
              <w:t>. Sobre si una entidad estatal puede integrar la Matriz 1 – Experiencia de los documentos tipo de licitación de obra pública de agua potable y saneamiento básico con los documentos tipo de selección abreviada de menor cuantía de obra pública de infraestructura social – institucional, deben distinguirse dos supuestos.</w:t>
            </w:r>
          </w:p>
          <w:p w14:paraId="260FF908" w14:textId="77777777" w:rsidR="00B76D39" w:rsidRPr="00B76D39" w:rsidRDefault="00B76D39" w:rsidP="00B76D39">
            <w:pPr>
              <w:snapToGrid w:val="0"/>
              <w:spacing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 xml:space="preserve">En el primero, el objeto del proceso corresponde únicamente al mantenimiento de una PTAR. Como se explicó, la Matriz 1 – Experiencia del sector institucional no contiene ninguna actividad dirigida a plantas de tratamiento de aguas residuales, y en el sector de agua potable y saneamiento </w:t>
            </w:r>
            <w:r w:rsidRPr="00B76D39">
              <w:rPr>
                <w:rFonts w:ascii="Verdana" w:eastAsia="Times New Roman" w:hAnsi="Verdana" w:cs="Times New Roman"/>
                <w:lang w:eastAsia="es-MX"/>
              </w:rPr>
              <w:lastRenderedPageBreak/>
              <w:t>básico no se han adoptado documentos tipo para la modalidad de selección abreviada de menor cuantía. En consecuencia, ninguno de estos documentos tipo tiene fuerza obligatoria para dicho proceso, y la entidad deberá estructurarlo conforme a la normativa vigente en materia de compras y contratación pública. En particular, deberá fijar requisitos habilitantes adecuados y proporcionales a la naturaleza y valor del contrato, de conformidad con el numeral 1 del artículo 5 de la Ley 1150 de 2007 y el artículo 2.2.1.1.1.6.2 del Decreto 1082 de 2015.</w:t>
            </w:r>
          </w:p>
          <w:p w14:paraId="4DD17CCD" w14:textId="77777777" w:rsidR="00B76D39" w:rsidRPr="00B76D39" w:rsidRDefault="00B76D39" w:rsidP="00B76D39">
            <w:pPr>
              <w:snapToGrid w:val="0"/>
              <w:spacing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No obstante, tal como lo ha señalado esta Agencia en el concepto C-1550 de 2025, cuando los documentos tipo no resultan obligatorios, las entidades pueden observarlos de forma facultativa, como una estrategia para adoptar e incorporar políticas de buenas prácticas contractuales, realizando las adaptaciones que consideren pertinentes. Bajo este criterio, nada impide que la entidad tome como referencia la actividad de mantenimiento de PTAR de la Matriz 1 – Experiencia de agua potable y saneamiento básico y la estructura de los documentos tipo de selección abreviada de menor cuantía. En este supuesto, el pliego de condiciones resultante no constituye un documento tipo, pues no se aplica por mandato de las resoluciones que los adoptan, sino como referente de buenas prácticas. Por lo tanto, corresponde a la entidad garantizar que las condiciones de experiencia sean coherentes con el objeto y proporcionales a la cuantía del proceso, considerando que la Matriz 1 de agua potable y saneamiento básico fue concebida para procesos de licitación pública.</w:t>
            </w:r>
          </w:p>
          <w:p w14:paraId="78AD9697" w14:textId="77777777" w:rsidR="00B76D39" w:rsidRPr="00B76D39" w:rsidRDefault="00B76D39" w:rsidP="00B76D39">
            <w:pPr>
              <w:snapToGrid w:val="0"/>
              <w:spacing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 xml:space="preserve">En el segundo supuesto, el mantenimiento de la PTAR es solo un componente de un proceso cuyo objeto principal sí corresponde a una actividad de la Matriz 1 – Experiencia del sector institucional, como el mantenimiento general de una edificación de servicio público o de un sitio de reclusión. En ese caso, los documentos tipo del sector institucional son de obligatoria aplicación </w:t>
            </w:r>
            <w:proofErr w:type="gramStart"/>
            <w:r w:rsidRPr="00B76D39">
              <w:rPr>
                <w:rFonts w:ascii="Verdana" w:eastAsia="Times New Roman" w:hAnsi="Verdana" w:cs="Times New Roman"/>
                <w:lang w:eastAsia="es-MX"/>
              </w:rPr>
              <w:t>en razón del</w:t>
            </w:r>
            <w:proofErr w:type="gramEnd"/>
            <w:r w:rsidRPr="00B76D39">
              <w:rPr>
                <w:rFonts w:ascii="Verdana" w:eastAsia="Times New Roman" w:hAnsi="Verdana" w:cs="Times New Roman"/>
                <w:lang w:eastAsia="es-MX"/>
              </w:rPr>
              <w:t xml:space="preserve"> objeto principal y están sujetos a la regla de inalterabilidad, por lo que solo pueden modificarse en los aspectos que ellos mismos permiten. Dentro de ese marco, la entidad puede acudir a las reglas de combinación de experiencia del numeral 3.5.1 del documento base, en concordancia con la actividad de mantenimiento de PTAR de la Matriz 1 de agua potable y saneamiento básico, tal como lo señaló esta Agencia en el concepto C-429 de 2026. En este supuesto, la matriz de agua potable no se </w:t>
            </w:r>
            <w:r w:rsidRPr="00B76D39">
              <w:rPr>
                <w:rFonts w:ascii="Verdana" w:eastAsia="Times New Roman" w:hAnsi="Verdana" w:cs="Times New Roman"/>
                <w:lang w:eastAsia="es-MX"/>
              </w:rPr>
              <w:lastRenderedPageBreak/>
              <w:t>integra al documento tipo, sino que se utiliza como referente para la combinación de experiencia que el propio documento base permite.</w:t>
            </w:r>
          </w:p>
          <w:p w14:paraId="3677220E" w14:textId="77777777" w:rsidR="00B76D39" w:rsidRPr="00B76D39" w:rsidRDefault="00B76D39" w:rsidP="00B76D39">
            <w:pPr>
              <w:spacing w:before="120" w:line="276" w:lineRule="auto"/>
              <w:jc w:val="both"/>
              <w:rPr>
                <w:rFonts w:ascii="Verdana" w:eastAsia="Times New Roman" w:hAnsi="Verdana" w:cs="Times New Roman"/>
                <w:lang w:eastAsia="es-MX"/>
              </w:rPr>
            </w:pPr>
            <w:r w:rsidRPr="00B76D39">
              <w:rPr>
                <w:rFonts w:ascii="Verdana" w:eastAsia="Times New Roman" w:hAnsi="Verdana" w:cs="Times New Roman"/>
                <w:lang w:eastAsia="es-MX"/>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p w14:paraId="13624F07"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D7E6E26" w14:textId="77777777" w:rsidR="00B76D39" w:rsidRPr="00B76D39" w:rsidRDefault="00B76D39" w:rsidP="00B76D39">
            <w:pPr>
              <w:spacing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62E1A9E8" w14:textId="77777777" w:rsidR="00B76D39" w:rsidRPr="00B76D39" w:rsidRDefault="00B76D39" w:rsidP="00B76D39">
      <w:pPr>
        <w:tabs>
          <w:tab w:val="left" w:pos="142"/>
          <w:tab w:val="left" w:pos="284"/>
        </w:tabs>
        <w:spacing w:after="0" w:line="276" w:lineRule="auto"/>
        <w:jc w:val="both"/>
        <w:rPr>
          <w:rFonts w:ascii="Verdana" w:eastAsia="Century Gothic" w:hAnsi="Verdana" w:cs="Century Gothic"/>
          <w:b/>
          <w:bCs/>
          <w:lang w:val="es-ES"/>
        </w:rPr>
      </w:pPr>
    </w:p>
    <w:p w14:paraId="06400586" w14:textId="77777777" w:rsidR="00B76D39" w:rsidRPr="00B76D39" w:rsidRDefault="00B76D39" w:rsidP="00B76D39">
      <w:pPr>
        <w:tabs>
          <w:tab w:val="left" w:pos="142"/>
          <w:tab w:val="left" w:pos="284"/>
        </w:tabs>
        <w:spacing w:after="0" w:line="276" w:lineRule="auto"/>
        <w:jc w:val="both"/>
        <w:rPr>
          <w:rFonts w:ascii="Verdana" w:eastAsia="Century Gothic" w:hAnsi="Verdana" w:cs="Century Gothic"/>
          <w:b/>
          <w:bCs/>
          <w:lang w:val="es-ES"/>
        </w:rPr>
      </w:pPr>
      <w:r w:rsidRPr="00B76D39">
        <w:rPr>
          <w:rFonts w:ascii="Verdana" w:eastAsia="Century Gothic" w:hAnsi="Verdana" w:cs="Century Gothic"/>
          <w:b/>
          <w:bCs/>
          <w:lang w:val="es-ES"/>
        </w:rPr>
        <w:t>3. Razones de la respuesta:</w:t>
      </w:r>
    </w:p>
    <w:p w14:paraId="612089CB" w14:textId="77777777" w:rsidR="00B76D39" w:rsidRPr="00B76D39" w:rsidRDefault="00B76D39" w:rsidP="00B76D39">
      <w:pPr>
        <w:spacing w:after="0" w:line="276" w:lineRule="auto"/>
        <w:jc w:val="both"/>
        <w:rPr>
          <w:rFonts w:ascii="Verdana" w:eastAsia="Calibri" w:hAnsi="Verdana" w:cs="Arial"/>
          <w:lang w:val="es-ES"/>
        </w:rPr>
      </w:pPr>
    </w:p>
    <w:p w14:paraId="38531FB7" w14:textId="77777777" w:rsidR="00B76D39" w:rsidRPr="00B76D39" w:rsidRDefault="00B76D39" w:rsidP="00B76D39">
      <w:pPr>
        <w:spacing w:after="0" w:line="276" w:lineRule="auto"/>
        <w:jc w:val="both"/>
        <w:rPr>
          <w:rFonts w:ascii="Verdana" w:eastAsia="Calibri" w:hAnsi="Verdana" w:cs="Arial"/>
          <w:lang w:val="es-ES"/>
        </w:rPr>
      </w:pPr>
      <w:r w:rsidRPr="00B76D39">
        <w:rPr>
          <w:rFonts w:ascii="Verdana" w:eastAsia="Calibri" w:hAnsi="Verdana" w:cs="Arial"/>
          <w:lang w:val="es-ES"/>
        </w:rPr>
        <w:t xml:space="preserve">Lo anterior se sustenta en las siguientes consideraciones: </w:t>
      </w:r>
    </w:p>
    <w:p w14:paraId="67F489B1" w14:textId="77777777" w:rsidR="00B76D39" w:rsidRPr="00B76D39" w:rsidRDefault="00B76D39" w:rsidP="00B76D39">
      <w:pPr>
        <w:spacing w:after="0" w:line="276" w:lineRule="auto"/>
        <w:jc w:val="both"/>
        <w:rPr>
          <w:rFonts w:ascii="Verdana" w:eastAsia="Calibri" w:hAnsi="Verdana" w:cs="Arial"/>
          <w:lang w:val="es-ES"/>
        </w:rPr>
      </w:pPr>
    </w:p>
    <w:p w14:paraId="2B533FD1" w14:textId="77777777" w:rsidR="00B76D39" w:rsidRPr="00B76D39" w:rsidRDefault="00B76D39" w:rsidP="00B76D39">
      <w:pPr>
        <w:spacing w:after="120" w:line="276" w:lineRule="auto"/>
        <w:jc w:val="both"/>
        <w:rPr>
          <w:rFonts w:ascii="Verdana" w:eastAsia="Aptos" w:hAnsi="Verdana" w:cs="Arial"/>
        </w:rPr>
      </w:pPr>
      <w:r w:rsidRPr="00B76D39">
        <w:rPr>
          <w:rFonts w:ascii="Verdana" w:eastAsia="Aptos" w:hAnsi="Verdana" w:cs="Arial"/>
        </w:rPr>
        <w:lastRenderedPageBreak/>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3C3F9B6" w14:textId="77777777" w:rsidR="00B76D39" w:rsidRPr="00B76D39" w:rsidRDefault="00B76D39" w:rsidP="00B76D39">
      <w:pPr>
        <w:spacing w:after="120" w:line="276" w:lineRule="auto"/>
        <w:ind w:firstLine="708"/>
        <w:jc w:val="both"/>
        <w:rPr>
          <w:rFonts w:ascii="Verdana" w:eastAsia="Aptos" w:hAnsi="Verdana" w:cs="Arial"/>
          <w:lang w:val="es-ES"/>
        </w:rPr>
      </w:pPr>
      <w:r w:rsidRPr="00B76D39">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004F8B38" w14:textId="77777777" w:rsidR="00B76D39" w:rsidRPr="00B76D39" w:rsidRDefault="00B76D39" w:rsidP="00B76D39">
      <w:pPr>
        <w:spacing w:after="120" w:line="276" w:lineRule="auto"/>
        <w:ind w:firstLine="708"/>
        <w:jc w:val="both"/>
        <w:rPr>
          <w:rFonts w:ascii="Verdana" w:eastAsia="Calibri" w:hAnsi="Verdana" w:cs="Times New Roman"/>
          <w:lang w:val="es-ES"/>
        </w:rPr>
      </w:pPr>
      <w:r w:rsidRPr="00B76D39">
        <w:rPr>
          <w:rFonts w:ascii="Verdana" w:eastAsia="Calibri" w:hAnsi="Verdana" w:cs="Times New Roman"/>
          <w:lang w:val="es-ES"/>
        </w:rPr>
        <w:t>En el sector de infraestructura de agua potable y saneamiento básico, la Agencia Nacional de Contratación Pública – Colombia Compra Eficiente, mediante la Resolución 248 del 1 de diciembre de 2020, adoptó los Documentos Tipo para los procesos de licitación pública para obras de infraestructura de agua potable y saneamiento básico. Por su parte, mediante la Resolución 249 del 1 de diciembre de 2025, esta Agencia expidió los Documentos Tipo para los procesos de licitación pública para obras de infraestructura de agua potable y saneamiento básico en la modalidad de llave en mano. Por medio de la Resolución 333 del 27 de julio de 2022, esta Entidad expidió los Documentos Tipo para los procesos de selección de interventoría de obra pública de infraestructura de agua potable y saneamiento básico que se adelanten por la modalidad de concurso de méritos.</w:t>
      </w:r>
    </w:p>
    <w:p w14:paraId="069C9D7E" w14:textId="77777777" w:rsidR="00B76D39" w:rsidRPr="00B76D39" w:rsidRDefault="00B76D39" w:rsidP="00B76D39">
      <w:pPr>
        <w:spacing w:after="120" w:line="276" w:lineRule="auto"/>
        <w:ind w:firstLine="708"/>
        <w:jc w:val="both"/>
        <w:rPr>
          <w:rFonts w:ascii="Verdana" w:eastAsia="Aptos" w:hAnsi="Verdana" w:cs="Arial"/>
        </w:rPr>
      </w:pPr>
      <w:r w:rsidRPr="00B76D39">
        <w:rPr>
          <w:rFonts w:ascii="Verdana" w:eastAsia="Aptos" w:hAnsi="Verdana" w:cs="Arial"/>
        </w:rPr>
        <w:t xml:space="preserve">Finalmente, en el sector de infraestructura de agua, saneamiento básico y estructuras hidráulicas, la Agencia Nacional de Contratación Pública – Colombia Compra Eficiente mediante la Resolución 546 del 14 de septiembre de 2026, adoptó la versión 2 de los de los documentos tipo para los procesos de contratación de infraestructura de agua, saneamiento básico y estructuras hidráulicas que se adelantan por la modalidad de licitación pública o licitación pública bajo el esquema llave en mano. De acuerdo con el artículo 8 “vigencia” </w:t>
      </w:r>
      <w:r w:rsidRPr="00B76D39">
        <w:rPr>
          <w:rFonts w:ascii="Verdana" w:eastAsia="Aptos" w:hAnsi="Verdana" w:cs="Arial"/>
        </w:rPr>
        <w:lastRenderedPageBreak/>
        <w:t xml:space="preserve">de la citada Resolución, estos rigen “(…) </w:t>
      </w:r>
      <w:r w:rsidRPr="00B76D39">
        <w:rPr>
          <w:rFonts w:ascii="Verdana" w:eastAsia="Aptos" w:hAnsi="Verdana" w:cs="Times New Roman"/>
          <w:kern w:val="2"/>
          <w14:ligatures w14:val="standardContextual"/>
        </w:rPr>
        <w:t>a partir de su publicación y aplicará a los procedimientos de selección de infraestructura de agua, saneamiento básico y estructuras hidráulicas que se adelantan por la modalidad de licitación pública o licitación pública bajo el esquema llave en mano, cuyo aviso de convocatoria sea publicado a partir del 01 de marzo de 2027.</w:t>
      </w:r>
      <w:r w:rsidRPr="00B76D39">
        <w:rPr>
          <w:rFonts w:ascii="Aptos" w:eastAsia="Aptos" w:hAnsi="Aptos" w:cs="Times New Roman"/>
          <w:kern w:val="2"/>
          <w:sz w:val="24"/>
          <w:szCs w:val="24"/>
          <w14:ligatures w14:val="standardContextual"/>
        </w:rPr>
        <w:t xml:space="preserve"> </w:t>
      </w:r>
    </w:p>
    <w:p w14:paraId="41529C74" w14:textId="77777777" w:rsidR="00B76D39" w:rsidRPr="00B76D39" w:rsidRDefault="00B76D39" w:rsidP="00B76D39">
      <w:pPr>
        <w:spacing w:after="120" w:line="276" w:lineRule="auto"/>
        <w:ind w:firstLine="708"/>
        <w:jc w:val="both"/>
        <w:rPr>
          <w:rFonts w:ascii="Verdana" w:eastAsia="Times New Roman" w:hAnsi="Verdana" w:cs="Times New Roman"/>
          <w:color w:val="000000"/>
          <w:lang w:eastAsia="es-CO"/>
        </w:rPr>
      </w:pPr>
      <w:r w:rsidRPr="00B76D39">
        <w:rPr>
          <w:rFonts w:ascii="Verdana" w:eastAsia="Aptos" w:hAnsi="Verdana" w:cs="Arial"/>
        </w:rPr>
        <w:t xml:space="preserve">En el sector social, </w:t>
      </w:r>
      <w:r w:rsidRPr="00B76D39">
        <w:rPr>
          <w:rFonts w:ascii="Verdana" w:eastAsia="Calibri" w:hAnsi="Verdana" w:cs="Arial"/>
          <w:lang w:val="es-MX"/>
        </w:rPr>
        <w:t xml:space="preserve">la Agencia Nacional de Contratación Pública – Colombia Compra </w:t>
      </w:r>
      <w:r w:rsidRPr="00B76D39">
        <w:rPr>
          <w:rFonts w:ascii="Verdana" w:eastAsia="Calibri" w:hAnsi="Verdana" w:cs="Arial"/>
        </w:rPr>
        <w:t xml:space="preserve">Eficiente </w:t>
      </w:r>
      <w:r w:rsidRPr="00B76D39">
        <w:rPr>
          <w:rFonts w:ascii="Verdana" w:eastAsia="Times New Roman" w:hAnsi="Verdana" w:cs="Times New Roman"/>
          <w:color w:val="000000"/>
          <w:lang w:eastAsia="es-CO"/>
        </w:rPr>
        <w:t>en el segundo semestre del año 2025 adoptó las siguientes Resoluciones para contratar obra pública y concurso de méritos:</w:t>
      </w:r>
    </w:p>
    <w:p w14:paraId="1948E067" w14:textId="77777777" w:rsidR="00B76D39" w:rsidRPr="00B76D39" w:rsidRDefault="00B76D39" w:rsidP="00B76D39">
      <w:pPr>
        <w:spacing w:after="120" w:line="276" w:lineRule="auto"/>
        <w:ind w:firstLine="708"/>
        <w:jc w:val="both"/>
        <w:rPr>
          <w:rFonts w:ascii="Verdana" w:eastAsia="Times New Roman" w:hAnsi="Verdana" w:cs="Times New Roman"/>
          <w:color w:val="000000"/>
          <w:lang w:eastAsia="es-CO"/>
        </w:rPr>
      </w:pPr>
      <w:r w:rsidRPr="00B76D39">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BD57CFA" w14:textId="77777777" w:rsidR="00B76D39" w:rsidRPr="00B76D39" w:rsidRDefault="00B76D39" w:rsidP="00B76D39">
      <w:pPr>
        <w:spacing w:after="120" w:line="276" w:lineRule="auto"/>
        <w:ind w:firstLine="708"/>
        <w:jc w:val="both"/>
        <w:rPr>
          <w:rFonts w:ascii="Verdana" w:eastAsia="Times New Roman" w:hAnsi="Verdana" w:cs="Times New Roman"/>
          <w:color w:val="000000"/>
          <w:lang w:eastAsia="es-CO"/>
        </w:rPr>
      </w:pPr>
      <w:r w:rsidRPr="00B76D39">
        <w:rPr>
          <w:rFonts w:ascii="Verdana" w:eastAsia="Times New Roman" w:hAnsi="Verdana" w:cs="Times New Roman"/>
          <w:color w:val="000000"/>
          <w:lang w:eastAsia="es-CO"/>
        </w:rPr>
        <w:t xml:space="preserve"> </w:t>
      </w:r>
      <w:proofErr w:type="spellStart"/>
      <w:r w:rsidRPr="00B76D39">
        <w:rPr>
          <w:rFonts w:ascii="Verdana" w:eastAsia="Times New Roman" w:hAnsi="Verdana" w:cs="Times New Roman"/>
          <w:color w:val="000000"/>
          <w:lang w:eastAsia="es-CO"/>
        </w:rPr>
        <w:t>ii</w:t>
      </w:r>
      <w:proofErr w:type="spellEnd"/>
      <w:r w:rsidRPr="00B76D39">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68284714" w14:textId="77777777" w:rsidR="00B76D39" w:rsidRPr="00B76D39" w:rsidRDefault="00B76D39" w:rsidP="00B76D39">
      <w:pPr>
        <w:spacing w:after="120" w:line="276" w:lineRule="auto"/>
        <w:ind w:firstLine="708"/>
        <w:jc w:val="both"/>
        <w:rPr>
          <w:rFonts w:ascii="Verdana" w:eastAsia="Times New Roman" w:hAnsi="Verdana" w:cs="Times New Roman"/>
          <w:color w:val="000000"/>
          <w:lang w:eastAsia="es-CO"/>
        </w:rPr>
      </w:pPr>
      <w:proofErr w:type="spellStart"/>
      <w:r w:rsidRPr="00B76D39">
        <w:rPr>
          <w:rFonts w:ascii="Verdana" w:eastAsia="Times New Roman" w:hAnsi="Verdana" w:cs="Times New Roman"/>
          <w:color w:val="000000"/>
          <w:lang w:eastAsia="es-CO"/>
        </w:rPr>
        <w:t>iii</w:t>
      </w:r>
      <w:proofErr w:type="spellEnd"/>
      <w:r w:rsidRPr="00B76D39">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6C3BB64F" w14:textId="77777777" w:rsidR="00B76D39" w:rsidRPr="00B76D39" w:rsidRDefault="00B76D39" w:rsidP="00B76D39">
      <w:pPr>
        <w:spacing w:after="120" w:line="276" w:lineRule="auto"/>
        <w:ind w:firstLine="708"/>
        <w:jc w:val="both"/>
        <w:rPr>
          <w:rFonts w:ascii="Verdana" w:eastAsia="Times New Roman" w:hAnsi="Verdana" w:cs="Times New Roman"/>
          <w:color w:val="000000"/>
          <w:lang w:eastAsia="es-CO"/>
        </w:rPr>
      </w:pPr>
      <w:proofErr w:type="spellStart"/>
      <w:r w:rsidRPr="00B76D39">
        <w:rPr>
          <w:rFonts w:ascii="Verdana" w:eastAsia="Times New Roman" w:hAnsi="Verdana" w:cs="Times New Roman"/>
          <w:color w:val="000000"/>
          <w:lang w:eastAsia="es-CO"/>
        </w:rPr>
        <w:t>iv</w:t>
      </w:r>
      <w:proofErr w:type="spellEnd"/>
      <w:r w:rsidRPr="00B76D39">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49CDF20E" w14:textId="77777777" w:rsidR="00B76D39" w:rsidRPr="00B76D39" w:rsidRDefault="00B76D39" w:rsidP="00B76D39">
      <w:pPr>
        <w:spacing w:after="120" w:line="276" w:lineRule="auto"/>
        <w:ind w:firstLine="708"/>
        <w:jc w:val="both"/>
        <w:rPr>
          <w:rFonts w:ascii="Verdana" w:eastAsia="Times New Roman" w:hAnsi="Verdana" w:cs="Times New Roman"/>
          <w:color w:val="000000"/>
          <w:lang w:eastAsia="es-CO"/>
        </w:rPr>
      </w:pPr>
      <w:r w:rsidRPr="00B76D39">
        <w:rPr>
          <w:rFonts w:ascii="Verdana" w:eastAsia="Times New Roman" w:hAnsi="Verdana" w:cs="Times New Roman"/>
          <w:color w:val="000000"/>
          <w:lang w:eastAsia="es-CO"/>
        </w:rPr>
        <w:lastRenderedPageBreak/>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B76D39">
        <w:rPr>
          <w:rFonts w:ascii="Verdana" w:eastAsia="Aptos" w:hAnsi="Verdana" w:cs="Times New Roman"/>
          <w:kern w:val="2"/>
          <w14:ligatures w14:val="standardContextual"/>
        </w:rPr>
        <w:t xml:space="preserve"> </w:t>
      </w:r>
    </w:p>
    <w:p w14:paraId="7CCBD893" w14:textId="77777777" w:rsidR="00B76D39" w:rsidRPr="00B76D39" w:rsidRDefault="00B76D39" w:rsidP="00B76D39">
      <w:pPr>
        <w:spacing w:after="120" w:line="276" w:lineRule="auto"/>
        <w:ind w:firstLine="708"/>
        <w:jc w:val="both"/>
        <w:textAlignment w:val="baseline"/>
        <w:rPr>
          <w:rFonts w:ascii="Verdana" w:eastAsia="Calibri" w:hAnsi="Verdana" w:cs="Arial"/>
        </w:rPr>
      </w:pPr>
      <w:r w:rsidRPr="00B76D39">
        <w:rPr>
          <w:rFonts w:ascii="Verdana" w:eastAsia="Aptos" w:hAnsi="Verdana" w:cs="Times New Roman"/>
          <w:kern w:val="2"/>
          <w14:ligatures w14:val="standardContextual"/>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B76D39">
        <w:rPr>
          <w:rFonts w:ascii="Verdana" w:eastAsia="Calibri" w:hAnsi="Verdana" w:cs="Arial"/>
          <w:vertAlign w:val="superscript"/>
        </w:rPr>
        <w:footnoteReference w:id="1"/>
      </w:r>
      <w:r w:rsidRPr="00B76D39">
        <w:rPr>
          <w:rFonts w:ascii="Verdana" w:eastAsia="Calibri" w:hAnsi="Verdana" w:cs="Arial"/>
        </w:rPr>
        <w:t>.</w:t>
      </w:r>
    </w:p>
    <w:p w14:paraId="33408946" w14:textId="77777777" w:rsidR="00B76D39" w:rsidRPr="00B76D39" w:rsidRDefault="00B76D39" w:rsidP="00B76D39">
      <w:pPr>
        <w:widowControl w:val="0"/>
        <w:autoSpaceDE w:val="0"/>
        <w:autoSpaceDN w:val="0"/>
        <w:spacing w:after="120" w:line="276" w:lineRule="auto"/>
        <w:ind w:firstLine="708"/>
        <w:jc w:val="both"/>
        <w:rPr>
          <w:rFonts w:ascii="Verdana" w:eastAsia="Calibri" w:hAnsi="Verdana" w:cs="Arial"/>
          <w:kern w:val="2"/>
          <w14:ligatures w14:val="standardContextual"/>
        </w:rPr>
      </w:pPr>
      <w:r w:rsidRPr="00B76D39">
        <w:rPr>
          <w:rFonts w:ascii="Verdana" w:eastAsia="Calibri" w:hAnsi="Verdana" w:cs="Arial"/>
          <w:kern w:val="2"/>
          <w14:ligatures w14:val="standardContextual"/>
        </w:rPr>
        <w:lastRenderedPageBreak/>
        <w:t>De acuerdo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implementación.</w:t>
      </w:r>
    </w:p>
    <w:p w14:paraId="4DDEFE4C" w14:textId="77777777" w:rsidR="00B76D39" w:rsidRPr="00B76D39" w:rsidRDefault="00B76D39" w:rsidP="00B76D39">
      <w:pPr>
        <w:widowControl w:val="0"/>
        <w:autoSpaceDE w:val="0"/>
        <w:autoSpaceDN w:val="0"/>
        <w:spacing w:after="120" w:line="276" w:lineRule="auto"/>
        <w:ind w:firstLine="708"/>
        <w:jc w:val="both"/>
        <w:rPr>
          <w:rFonts w:ascii="Verdana" w:eastAsia="Calibri" w:hAnsi="Verdana" w:cs="Arial"/>
          <w:kern w:val="2"/>
          <w14:ligatures w14:val="standardContextual"/>
        </w:rPr>
      </w:pPr>
      <w:r w:rsidRPr="00B76D39">
        <w:rPr>
          <w:rFonts w:ascii="Verdana" w:eastAsia="Calibri" w:hAnsi="Verdana" w:cs="Arial"/>
          <w:kern w:val="2"/>
          <w14:ligatures w14:val="standardContextual"/>
        </w:rPr>
        <w:t xml:space="preserve">En consecuencia, los obligados a su aplicación, al adelantar sus procedimientos de selección, solo podrán modificarlos en los aspectos que los Documentos Tipo lo permitan. </w:t>
      </w:r>
      <w:r w:rsidRPr="00B76D39">
        <w:rPr>
          <w:rFonts w:ascii="Verdana" w:eastAsia="Calibri" w:hAnsi="Verdana" w:cs="Times New Roman"/>
          <w:kern w:val="2"/>
          <w:lang w:val="es-ES"/>
          <w14:ligatures w14:val="standardContextual"/>
        </w:rPr>
        <w:t xml:space="preserve">Esto corresponde a aquellos aspectos que se encuentran entre corchetes y resaltados en gris </w:t>
      </w:r>
      <w:r w:rsidRPr="00B76D39">
        <w:rPr>
          <w:rFonts w:ascii="Verdana" w:eastAsia="Calibri" w:hAnsi="Verdana" w:cs="Times New Roman"/>
          <w:kern w:val="2"/>
          <w:shd w:val="clear" w:color="auto" w:fill="E8E8E8"/>
          <w:lang w:val="es-ES"/>
          <w14:ligatures w14:val="standardContextual"/>
        </w:rPr>
        <w:t>–[texto]–,</w:t>
      </w:r>
      <w:r w:rsidRPr="00B76D39">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7ECE8877" w14:textId="77777777" w:rsidR="00B76D39" w:rsidRPr="00B76D39" w:rsidRDefault="00B76D39" w:rsidP="00B76D39">
      <w:pPr>
        <w:widowControl w:val="0"/>
        <w:autoSpaceDE w:val="0"/>
        <w:autoSpaceDN w:val="0"/>
        <w:spacing w:after="120" w:line="276" w:lineRule="auto"/>
        <w:ind w:firstLine="708"/>
        <w:jc w:val="both"/>
        <w:rPr>
          <w:rFonts w:ascii="Verdana" w:eastAsia="Calibri" w:hAnsi="Verdana" w:cs="Times New Roman"/>
          <w:lang w:val="es-ES"/>
        </w:rPr>
      </w:pPr>
      <w:r w:rsidRPr="00B76D39">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4563BC9" w14:textId="77777777" w:rsidR="00B76D39" w:rsidRPr="00B76D39" w:rsidRDefault="00B76D39" w:rsidP="00B76D39">
      <w:pPr>
        <w:widowControl w:val="0"/>
        <w:autoSpaceDE w:val="0"/>
        <w:autoSpaceDN w:val="0"/>
        <w:spacing w:after="120" w:line="276" w:lineRule="auto"/>
        <w:ind w:firstLine="708"/>
        <w:jc w:val="both"/>
        <w:rPr>
          <w:rFonts w:ascii="Verdana" w:eastAsia="Calibri" w:hAnsi="Verdana" w:cs="Times New Roman"/>
          <w:lang w:val="es-ES"/>
        </w:rPr>
      </w:pPr>
      <w:r w:rsidRPr="00B76D39">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B405FEB" w14:textId="77777777" w:rsidR="00B76D39" w:rsidRPr="00B76D39" w:rsidRDefault="00B76D39" w:rsidP="00B76D39">
      <w:pPr>
        <w:widowControl w:val="0"/>
        <w:autoSpaceDE w:val="0"/>
        <w:autoSpaceDN w:val="0"/>
        <w:spacing w:after="120" w:line="276" w:lineRule="auto"/>
        <w:ind w:firstLine="708"/>
        <w:jc w:val="both"/>
        <w:rPr>
          <w:rFonts w:ascii="Verdana" w:eastAsia="Calibri" w:hAnsi="Verdana" w:cs="Times New Roman"/>
          <w:lang w:val="es-ES"/>
        </w:rPr>
      </w:pPr>
      <w:r w:rsidRPr="00B76D39">
        <w:rPr>
          <w:rFonts w:ascii="Verdana" w:eastAsia="Calibri" w:hAnsi="Verdana" w:cs="Times New Roman"/>
          <w:lang w:val="es-ES"/>
        </w:rPr>
        <w:t xml:space="preserve">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w:t>
      </w:r>
      <w:r w:rsidRPr="00B76D39">
        <w:rPr>
          <w:rFonts w:ascii="Verdana" w:eastAsia="Calibri" w:hAnsi="Verdana" w:cs="Times New Roman"/>
          <w:lang w:val="es-ES"/>
        </w:rPr>
        <w:lastRenderedPageBreak/>
        <w:t>contratarse debe emplear los Documentos Tipo adoptados por esta Agencia.</w:t>
      </w:r>
    </w:p>
    <w:p w14:paraId="3FAC824D" w14:textId="77777777" w:rsidR="00B76D39" w:rsidRPr="00B76D39" w:rsidRDefault="00B76D39" w:rsidP="00B76D39">
      <w:pPr>
        <w:widowControl w:val="0"/>
        <w:autoSpaceDE w:val="0"/>
        <w:autoSpaceDN w:val="0"/>
        <w:spacing w:after="120" w:line="276" w:lineRule="auto"/>
        <w:ind w:firstLine="708"/>
        <w:jc w:val="both"/>
        <w:rPr>
          <w:rFonts w:ascii="Verdana" w:eastAsia="Calibri" w:hAnsi="Verdana" w:cs="Times New Roman"/>
          <w:lang w:val="es-ES"/>
        </w:rPr>
      </w:pPr>
      <w:r w:rsidRPr="00B76D39">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580FAC32" w14:textId="77777777" w:rsidR="00B76D39" w:rsidRPr="00B76D39" w:rsidRDefault="00B76D39" w:rsidP="00B76D39">
      <w:pPr>
        <w:widowControl w:val="0"/>
        <w:autoSpaceDE w:val="0"/>
        <w:autoSpaceDN w:val="0"/>
        <w:spacing w:after="0" w:line="276" w:lineRule="auto"/>
        <w:ind w:firstLine="708"/>
        <w:jc w:val="both"/>
        <w:rPr>
          <w:rFonts w:ascii="Verdana" w:eastAsia="Calibri" w:hAnsi="Verdana" w:cs="Times New Roman"/>
          <w:lang w:val="es-ES"/>
        </w:rPr>
      </w:pPr>
      <w:r w:rsidRPr="00B76D39">
        <w:rPr>
          <w:rFonts w:ascii="Verdana" w:eastAsia="Calibri" w:hAnsi="Verdana" w:cs="Times New Roman"/>
          <w:lang w:val="es-ES"/>
        </w:rPr>
        <w:t>De esta manera, para saber a qué actividades deben aplicarse los Documentos Tipo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6C4DED67" w14:textId="77777777" w:rsidR="00B76D39" w:rsidRPr="00B76D39" w:rsidRDefault="00B76D39" w:rsidP="00B76D39">
      <w:pPr>
        <w:widowControl w:val="0"/>
        <w:autoSpaceDE w:val="0"/>
        <w:autoSpaceDN w:val="0"/>
        <w:spacing w:after="0" w:line="276" w:lineRule="auto"/>
        <w:jc w:val="both"/>
        <w:rPr>
          <w:rFonts w:ascii="Verdana" w:eastAsia="Calibri" w:hAnsi="Verdana" w:cs="Times New Roman"/>
          <w:lang w:val="es-ES"/>
        </w:rPr>
      </w:pPr>
    </w:p>
    <w:p w14:paraId="04997033" w14:textId="77777777" w:rsidR="00B76D39" w:rsidRPr="00B76D39" w:rsidRDefault="00B76D39" w:rsidP="00B76D39">
      <w:pPr>
        <w:snapToGrid w:val="0"/>
        <w:spacing w:after="120" w:line="276" w:lineRule="auto"/>
        <w:jc w:val="both"/>
        <w:rPr>
          <w:rFonts w:ascii="Verdana" w:eastAsia="Times New Roman" w:hAnsi="Verdana" w:cs="Arial"/>
          <w:kern w:val="2"/>
          <w:sz w:val="24"/>
          <w:szCs w:val="24"/>
          <w:shd w:val="clear" w:color="auto" w:fill="FFFFFF"/>
          <w:lang w:val="es-ES_tradnl" w:eastAsia="es-ES_tradnl"/>
          <w14:ligatures w14:val="standardContextual"/>
        </w:rPr>
      </w:pPr>
      <w:proofErr w:type="spellStart"/>
      <w:r w:rsidRPr="00B76D39">
        <w:rPr>
          <w:rFonts w:ascii="Verdana" w:eastAsia="Calibri" w:hAnsi="Verdana" w:cs="Times New Roman"/>
          <w:lang w:val="es-ES"/>
        </w:rPr>
        <w:t>ii</w:t>
      </w:r>
      <w:proofErr w:type="spellEnd"/>
      <w:r w:rsidRPr="00B76D39">
        <w:rPr>
          <w:rFonts w:ascii="Verdana" w:eastAsia="Calibri" w:hAnsi="Verdana" w:cs="Times New Roman"/>
          <w:lang w:val="es-ES"/>
        </w:rPr>
        <w:t xml:space="preserve">. </w:t>
      </w:r>
      <w:r w:rsidRPr="00B76D39">
        <w:rPr>
          <w:rFonts w:ascii="Verdana" w:eastAsia="Times New Roman" w:hAnsi="Verdana" w:cs="Arial"/>
          <w:kern w:val="2"/>
          <w:shd w:val="clear" w:color="auto" w:fill="FFFFFF"/>
          <w:lang w:val="es-ES_tradnl" w:eastAsia="es-ES_tradnl"/>
          <w14:ligatures w14:val="standardContextual"/>
        </w:rPr>
        <w:t xml:space="preserve">Los documentos tipo adoptados por la Agencia Nacional de Contratación Pública </w:t>
      </w:r>
      <w:r w:rsidRPr="00B76D39">
        <w:rPr>
          <w:rFonts w:ascii="Verdana" w:eastAsia="Symbol" w:hAnsi="Verdana" w:cs="Symbol"/>
          <w:kern w:val="2"/>
          <w:shd w:val="clear" w:color="auto" w:fill="FFFFFF"/>
          <w:lang w:val="es-ES_tradnl" w:eastAsia="es-ES_tradnl"/>
          <w14:ligatures w14:val="standardContextual"/>
        </w:rPr>
        <w:t>–</w:t>
      </w:r>
      <w:r w:rsidRPr="00B76D39">
        <w:rPr>
          <w:rFonts w:ascii="Verdana" w:eastAsia="Times New Roman" w:hAnsi="Verdana" w:cs="Arial"/>
          <w:kern w:val="2"/>
          <w:shd w:val="clear" w:color="auto" w:fill="FFFFFF"/>
          <w:lang w:val="es-ES_tradnl" w:eastAsia="es-ES_tradnl"/>
          <w14:ligatures w14:val="standardContextual"/>
        </w:rPr>
        <w:t xml:space="preserve"> Colombia Compra eficiente</w:t>
      </w:r>
      <w:r w:rsidRPr="00B76D39">
        <w:rPr>
          <w:rFonts w:ascii="Verdana" w:eastAsia="Aptos" w:hAnsi="Verdana" w:cs="Times New Roman"/>
          <w:kern w:val="2"/>
          <w:lang w:val="es-ES_tradnl"/>
          <w14:ligatures w14:val="standardContextual"/>
        </w:rPr>
        <w:t xml:space="preserve"> en el sector de infraestructura social y en el sector de agua potable y saneamiento básico</w:t>
      </w:r>
      <w:r w:rsidRPr="00B76D39">
        <w:rPr>
          <w:rFonts w:ascii="Verdana" w:eastAsia="Times New Roman" w:hAnsi="Verdana" w:cs="Arial"/>
          <w:kern w:val="2"/>
          <w:shd w:val="clear" w:color="auto" w:fill="FFFFFF"/>
          <w:lang w:val="es-ES_tradnl" w:eastAsia="es-ES_tradnl"/>
          <w14:ligatures w14:val="standardContextual"/>
        </w:rPr>
        <w:t>, aplican para los procesos de “</w:t>
      </w:r>
      <w:r w:rsidRPr="00B76D39">
        <w:rPr>
          <w:rFonts w:ascii="Verdana" w:eastAsia="Times New Roman" w:hAnsi="Verdana" w:cs="Arial"/>
          <w:i/>
          <w:iCs/>
          <w:kern w:val="2"/>
          <w:shd w:val="clear" w:color="auto" w:fill="FFFFFF"/>
          <w:lang w:val="es-ES_tradnl" w:eastAsia="es-ES_tradnl"/>
          <w14:ligatures w14:val="standardContextual"/>
        </w:rPr>
        <w:t>obra pública”</w:t>
      </w:r>
      <w:r w:rsidRPr="00B76D39">
        <w:rPr>
          <w:rFonts w:ascii="Verdana" w:eastAsia="Times New Roman" w:hAnsi="Verdana" w:cs="Arial"/>
          <w:kern w:val="2"/>
          <w:shd w:val="clear" w:color="auto" w:fill="FFFFFF"/>
          <w:lang w:val="es-ES_tradnl" w:eastAsia="es-ES_tradnl"/>
          <w14:ligatures w14:val="standardContextual"/>
        </w:rPr>
        <w:t xml:space="preserve"> en las modalidades de selección acogidas: licitación pública, selección abreviada de menor cuantía y mínima cuantía.</w:t>
      </w:r>
      <w:r w:rsidRPr="00B76D39">
        <w:rPr>
          <w:rFonts w:ascii="Verdana" w:eastAsia="Times New Roman" w:hAnsi="Verdana" w:cs="Arial"/>
          <w:kern w:val="2"/>
          <w:sz w:val="24"/>
          <w:szCs w:val="24"/>
          <w:shd w:val="clear" w:color="auto" w:fill="FFFFFF"/>
          <w:lang w:val="es-ES_tradnl" w:eastAsia="es-ES_tradnl"/>
          <w14:ligatures w14:val="standardContextual"/>
        </w:rPr>
        <w:t xml:space="preserve"> </w:t>
      </w:r>
    </w:p>
    <w:p w14:paraId="0D71F7AC" w14:textId="77777777" w:rsidR="00B76D39" w:rsidRPr="00B76D39" w:rsidRDefault="00B76D39" w:rsidP="00B76D39">
      <w:pPr>
        <w:snapToGrid w:val="0"/>
        <w:spacing w:after="120" w:line="276" w:lineRule="auto"/>
        <w:ind w:firstLine="705"/>
        <w:jc w:val="both"/>
        <w:rPr>
          <w:rFonts w:ascii="Verdana" w:eastAsia="Times New Roman" w:hAnsi="Verdana" w:cs="Arial"/>
          <w:kern w:val="2"/>
          <w:sz w:val="24"/>
          <w:szCs w:val="24"/>
          <w:shd w:val="clear" w:color="auto" w:fill="FFFFFF"/>
          <w:lang w:val="es-ES_tradnl" w:eastAsia="es-ES_tradnl"/>
          <w14:ligatures w14:val="standardContextual"/>
        </w:rPr>
      </w:pPr>
      <w:r w:rsidRPr="00B76D39">
        <w:rPr>
          <w:rFonts w:ascii="Verdana" w:eastAsia="Times New Roman" w:hAnsi="Verdana" w:cs="Arial"/>
          <w:color w:val="000000"/>
          <w:kern w:val="2"/>
          <w:lang w:val="es-ES" w:eastAsia="es-MX"/>
          <w14:ligatures w14:val="standardContextual"/>
        </w:rPr>
        <w:t>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r w:rsidRPr="00B76D39">
        <w:rPr>
          <w:rFonts w:ascii="Verdana" w:eastAsia="Times New Roman" w:hAnsi="Verdana" w:cs="Arial"/>
          <w:color w:val="000000"/>
          <w:kern w:val="2"/>
          <w:lang w:eastAsia="es-MX"/>
          <w14:ligatures w14:val="standardContextual"/>
        </w:rPr>
        <w:t> </w:t>
      </w:r>
    </w:p>
    <w:p w14:paraId="68373C3A" w14:textId="77777777" w:rsidR="00B76D39" w:rsidRPr="00B76D39" w:rsidRDefault="00B76D39" w:rsidP="00B76D39">
      <w:pPr>
        <w:snapToGrid w:val="0"/>
        <w:spacing w:after="0" w:line="276" w:lineRule="auto"/>
        <w:ind w:firstLine="705"/>
        <w:jc w:val="both"/>
        <w:textAlignment w:val="baseline"/>
        <w:rPr>
          <w:rFonts w:ascii="Verdana" w:eastAsia="Times New Roman" w:hAnsi="Verdana" w:cs="Segoe UI"/>
          <w:kern w:val="2"/>
          <w:lang w:eastAsia="es-MX"/>
          <w14:ligatures w14:val="standardContextual"/>
        </w:rPr>
      </w:pPr>
      <w:r w:rsidRPr="00B76D39">
        <w:rPr>
          <w:rFonts w:ascii="Verdana" w:eastAsia="Times New Roman" w:hAnsi="Verdana" w:cs="Arial"/>
          <w:color w:val="000000"/>
          <w:kern w:val="2"/>
          <w:lang w:val="es-ES" w:eastAsia="es-MX"/>
          <w14:ligatures w14:val="standardContextual"/>
        </w:rPr>
        <w:t xml:space="preserve">En efecto, en el derecho privado brilla por la ausencia una definición del contrato de obra. El artículo 2053 del Código Civil lo tipifica como una de las clases de arrendamiento, y establece reglas para diferenciarlo de la </w:t>
      </w:r>
      <w:r w:rsidRPr="00B76D39">
        <w:rPr>
          <w:rFonts w:ascii="Verdana" w:eastAsia="Times New Roman" w:hAnsi="Verdana" w:cs="Arial"/>
          <w:color w:val="000000"/>
          <w:kern w:val="2"/>
          <w:lang w:val="es-ES" w:eastAsia="es-MX"/>
          <w14:ligatures w14:val="standardContextual"/>
        </w:rPr>
        <w:lastRenderedPageBreak/>
        <w:t>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Así, la doctrina considera que:</w:t>
      </w:r>
      <w:r w:rsidRPr="00B76D39">
        <w:rPr>
          <w:rFonts w:ascii="Verdana" w:eastAsia="Times New Roman" w:hAnsi="Verdana" w:cs="Arial"/>
          <w:color w:val="000000"/>
          <w:kern w:val="2"/>
          <w:lang w:eastAsia="es-MX"/>
          <w14:ligatures w14:val="standardContextual"/>
        </w:rPr>
        <w:t> </w:t>
      </w:r>
    </w:p>
    <w:p w14:paraId="2A0E667F" w14:textId="77777777" w:rsidR="00B76D39" w:rsidRPr="00B76D39" w:rsidRDefault="00B76D39" w:rsidP="00B76D39">
      <w:pPr>
        <w:snapToGrid w:val="0"/>
        <w:spacing w:after="0" w:line="240" w:lineRule="auto"/>
        <w:ind w:left="705" w:right="705"/>
        <w:jc w:val="both"/>
        <w:textAlignment w:val="baseline"/>
        <w:rPr>
          <w:rFonts w:ascii="Verdana" w:eastAsia="Times New Roman" w:hAnsi="Verdana" w:cs="Segoe UI"/>
          <w:kern w:val="2"/>
          <w:sz w:val="18"/>
          <w:szCs w:val="18"/>
          <w:lang w:eastAsia="es-MX"/>
          <w14:ligatures w14:val="standardContextual"/>
        </w:rPr>
      </w:pPr>
      <w:r w:rsidRPr="00B76D39">
        <w:rPr>
          <w:rFonts w:ascii="Verdana" w:eastAsia="Times New Roman" w:hAnsi="Verdana" w:cs="Arial"/>
          <w:color w:val="000000"/>
          <w:kern w:val="2"/>
          <w:sz w:val="24"/>
          <w:szCs w:val="24"/>
          <w:lang w:eastAsia="es-MX"/>
          <w14:ligatures w14:val="standardContextual"/>
        </w:rPr>
        <w:t> </w:t>
      </w:r>
    </w:p>
    <w:p w14:paraId="057EDF6C" w14:textId="77777777" w:rsidR="00B76D39" w:rsidRPr="00B76D39" w:rsidRDefault="00B76D39" w:rsidP="00B76D39">
      <w:pPr>
        <w:snapToGrid w:val="0"/>
        <w:spacing w:after="120" w:line="240" w:lineRule="auto"/>
        <w:ind w:left="705" w:right="705"/>
        <w:jc w:val="both"/>
        <w:textAlignment w:val="baseline"/>
        <w:rPr>
          <w:rFonts w:ascii="Verdana" w:eastAsia="Times New Roman" w:hAnsi="Verdana" w:cs="Segoe UI"/>
          <w:kern w:val="2"/>
          <w:sz w:val="21"/>
          <w:szCs w:val="21"/>
          <w:lang w:eastAsia="es-MX"/>
          <w14:ligatures w14:val="standardContextual"/>
        </w:rPr>
      </w:pPr>
      <w:r w:rsidRPr="00B76D39">
        <w:rPr>
          <w:rFonts w:ascii="Verdana" w:eastAsia="Times New Roman" w:hAnsi="Verdana" w:cs="Arial"/>
          <w:color w:val="000000"/>
          <w:kern w:val="2"/>
          <w:sz w:val="21"/>
          <w:szCs w:val="21"/>
          <w:lang w:val="es-ES" w:eastAsia="es-MX"/>
          <w14:ligatures w14:val="standardContextual"/>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r w:rsidRPr="00B76D39">
        <w:rPr>
          <w:rFonts w:ascii="Verdana" w:eastAsia="Times New Roman" w:hAnsi="Verdana" w:cs="Arial"/>
          <w:color w:val="000000"/>
          <w:kern w:val="2"/>
          <w:sz w:val="21"/>
          <w:szCs w:val="21"/>
          <w:lang w:eastAsia="es-MX"/>
          <w14:ligatures w14:val="standardContextual"/>
        </w:rPr>
        <w:t> </w:t>
      </w:r>
    </w:p>
    <w:p w14:paraId="6F4DD812" w14:textId="77777777" w:rsidR="00B76D39" w:rsidRPr="00B76D39" w:rsidRDefault="00B76D39" w:rsidP="00B76D39">
      <w:pPr>
        <w:snapToGrid w:val="0"/>
        <w:spacing w:after="0" w:line="240" w:lineRule="auto"/>
        <w:ind w:left="705" w:right="705"/>
        <w:jc w:val="both"/>
        <w:textAlignment w:val="baseline"/>
        <w:rPr>
          <w:rFonts w:ascii="Verdana" w:eastAsia="Times New Roman" w:hAnsi="Verdana" w:cs="Segoe UI"/>
          <w:kern w:val="2"/>
          <w:sz w:val="21"/>
          <w:szCs w:val="21"/>
          <w:lang w:eastAsia="es-MX"/>
          <w14:ligatures w14:val="standardContextual"/>
        </w:rPr>
      </w:pPr>
      <w:r w:rsidRPr="00B76D39">
        <w:rPr>
          <w:rFonts w:ascii="Verdana" w:eastAsia="Times New Roman" w:hAnsi="Verdana" w:cs="Arial"/>
          <w:color w:val="000000"/>
          <w:kern w:val="2"/>
          <w:sz w:val="21"/>
          <w:szCs w:val="21"/>
          <w:lang w:val="es-ES" w:eastAsia="es-MX"/>
          <w14:ligatures w14:val="standardContextual"/>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B76D39">
        <w:rPr>
          <w:rFonts w:ascii="Verdana" w:eastAsia="Times New Roman" w:hAnsi="Verdana" w:cs="Arial"/>
          <w:color w:val="000000"/>
          <w:kern w:val="2"/>
          <w:sz w:val="21"/>
          <w:szCs w:val="21"/>
          <w:vertAlign w:val="superscript"/>
          <w:lang w:val="es-ES" w:eastAsia="es-MX"/>
          <w14:ligatures w14:val="standardContextual"/>
        </w:rPr>
        <w:footnoteReference w:id="2"/>
      </w:r>
      <w:r w:rsidRPr="00B76D39">
        <w:rPr>
          <w:rFonts w:ascii="Verdana" w:eastAsia="Times New Roman" w:hAnsi="Verdana" w:cs="Arial"/>
          <w:color w:val="000000"/>
          <w:kern w:val="2"/>
          <w:sz w:val="21"/>
          <w:szCs w:val="21"/>
          <w:lang w:val="es-ES" w:eastAsia="es-MX"/>
          <w14:ligatures w14:val="standardContextual"/>
        </w:rPr>
        <w:t>.  </w:t>
      </w:r>
      <w:r w:rsidRPr="00B76D39">
        <w:rPr>
          <w:rFonts w:ascii="Verdana" w:eastAsia="Times New Roman" w:hAnsi="Verdana" w:cs="Arial"/>
          <w:color w:val="000000"/>
          <w:kern w:val="2"/>
          <w:sz w:val="21"/>
          <w:szCs w:val="21"/>
          <w:lang w:eastAsia="es-MX"/>
          <w14:ligatures w14:val="standardContextual"/>
        </w:rPr>
        <w:t> </w:t>
      </w:r>
    </w:p>
    <w:p w14:paraId="18672054" w14:textId="77777777" w:rsidR="00B76D39" w:rsidRPr="00B76D39" w:rsidRDefault="00B76D39" w:rsidP="00B76D39">
      <w:pPr>
        <w:snapToGrid w:val="0"/>
        <w:spacing w:after="0" w:line="240" w:lineRule="auto"/>
        <w:ind w:left="705" w:right="705"/>
        <w:jc w:val="both"/>
        <w:textAlignment w:val="baseline"/>
        <w:rPr>
          <w:rFonts w:ascii="Verdana" w:eastAsia="Times New Roman" w:hAnsi="Verdana" w:cs="Segoe UI"/>
          <w:kern w:val="2"/>
          <w:sz w:val="18"/>
          <w:szCs w:val="18"/>
          <w:lang w:eastAsia="es-MX"/>
          <w14:ligatures w14:val="standardContextual"/>
        </w:rPr>
      </w:pPr>
      <w:r w:rsidRPr="00B76D39">
        <w:rPr>
          <w:rFonts w:ascii="Verdana" w:eastAsia="Times New Roman" w:hAnsi="Verdana" w:cs="Arial"/>
          <w:color w:val="000000"/>
          <w:kern w:val="2"/>
          <w:sz w:val="21"/>
          <w:szCs w:val="21"/>
          <w:lang w:val="es-ES" w:eastAsia="es-MX"/>
          <w14:ligatures w14:val="standardContextual"/>
        </w:rPr>
        <w:t>    </w:t>
      </w:r>
      <w:r w:rsidRPr="00B76D39">
        <w:rPr>
          <w:rFonts w:ascii="Verdana" w:eastAsia="Times New Roman" w:hAnsi="Verdana" w:cs="Arial"/>
          <w:color w:val="000000"/>
          <w:kern w:val="2"/>
          <w:sz w:val="21"/>
          <w:szCs w:val="21"/>
          <w:lang w:eastAsia="es-MX"/>
          <w14:ligatures w14:val="standardContextual"/>
        </w:rPr>
        <w:t> </w:t>
      </w:r>
    </w:p>
    <w:p w14:paraId="474FFEAC" w14:textId="77777777" w:rsidR="00B76D39" w:rsidRPr="00B76D39" w:rsidRDefault="00B76D39" w:rsidP="00B76D39">
      <w:pPr>
        <w:snapToGrid w:val="0"/>
        <w:spacing w:after="0" w:line="276" w:lineRule="auto"/>
        <w:ind w:firstLine="705"/>
        <w:jc w:val="both"/>
        <w:textAlignment w:val="baseline"/>
        <w:rPr>
          <w:rFonts w:ascii="Verdana" w:eastAsia="Times New Roman" w:hAnsi="Verdana" w:cs="Segoe UI"/>
          <w:kern w:val="2"/>
          <w:lang w:eastAsia="es-MX"/>
          <w14:ligatures w14:val="standardContextual"/>
        </w:rPr>
      </w:pPr>
      <w:r w:rsidRPr="00B76D39">
        <w:rPr>
          <w:rFonts w:ascii="Verdana" w:eastAsia="Times New Roman" w:hAnsi="Verdana" w:cs="Arial"/>
          <w:color w:val="000000"/>
          <w:kern w:val="2"/>
          <w:lang w:val="es-ES" w:eastAsia="es-MX"/>
          <w14:ligatures w14:val="standardContextual"/>
        </w:rPr>
        <w:t>En </w:t>
      </w:r>
      <w:r w:rsidRPr="00B76D39">
        <w:rPr>
          <w:rFonts w:ascii="Verdana" w:eastAsia="Times New Roman" w:hAnsi="Verdana" w:cs="Arial"/>
          <w:i/>
          <w:iCs/>
          <w:color w:val="000000"/>
          <w:kern w:val="2"/>
          <w:lang w:val="es-ES" w:eastAsia="es-MX"/>
          <w14:ligatures w14:val="standardContextual"/>
        </w:rPr>
        <w:t>sentido amplio</w:t>
      </w:r>
      <w:r w:rsidRPr="00B76D39">
        <w:rPr>
          <w:rFonts w:ascii="Verdana" w:eastAsia="Times New Roman" w:hAnsi="Verdana" w:cs="Arial"/>
          <w:color w:val="000000"/>
          <w:kern w:val="2"/>
          <w:lang w:val="es-ES" w:eastAsia="es-MX"/>
          <w14:ligatures w14:val="standardContextual"/>
        </w:rPr>
        <w:t>, dado que la “obra” es un bien que crea la actividad humana, el hecho de que sea “pública” significa que es todo trabajo material en cuya creación o realización interviene el Estado. No obstante, el numeral 1 del artículo 32 de la Ley 80 de 1993 opta por un </w:t>
      </w:r>
      <w:r w:rsidRPr="00B76D39">
        <w:rPr>
          <w:rFonts w:ascii="Verdana" w:eastAsia="Times New Roman" w:hAnsi="Verdana" w:cs="Arial"/>
          <w:i/>
          <w:iCs/>
          <w:color w:val="000000"/>
          <w:kern w:val="2"/>
          <w:lang w:val="es-ES" w:eastAsia="es-MX"/>
          <w14:ligatures w14:val="standardContextual"/>
        </w:rPr>
        <w:t>sentido restringido</w:t>
      </w:r>
      <w:r w:rsidRPr="00B76D39">
        <w:rPr>
          <w:rFonts w:ascii="Verdana" w:eastAsia="Times New Roman" w:hAnsi="Verdana" w:cs="Arial"/>
          <w:color w:val="000000"/>
          <w:kern w:val="2"/>
          <w:lang w:val="es-ES" w:eastAsia="es-MX"/>
          <w14:ligatures w14:val="standardContextual"/>
        </w:rPr>
        <w:t xml:space="preserve">,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w:t>
      </w:r>
      <w:r w:rsidRPr="00B76D39">
        <w:rPr>
          <w:rFonts w:ascii="Verdana" w:eastAsia="Times New Roman" w:hAnsi="Verdana" w:cs="Arial"/>
          <w:color w:val="000000"/>
          <w:kern w:val="2"/>
          <w:lang w:val="es-ES" w:eastAsia="es-MX"/>
          <w14:ligatures w14:val="standardContextual"/>
        </w:rPr>
        <w:lastRenderedPageBreak/>
        <w:t>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r w:rsidRPr="00B76D39">
        <w:rPr>
          <w:rFonts w:ascii="Verdana" w:eastAsia="Times New Roman" w:hAnsi="Verdana" w:cs="Arial"/>
          <w:color w:val="000000"/>
          <w:kern w:val="2"/>
          <w:vertAlign w:val="superscript"/>
          <w:lang w:val="es-ES" w:eastAsia="es-MX"/>
          <w14:ligatures w14:val="standardContextual"/>
        </w:rPr>
        <w:footnoteReference w:id="3"/>
      </w:r>
      <w:r w:rsidRPr="00B76D39">
        <w:rPr>
          <w:rFonts w:ascii="Verdana" w:eastAsia="Times New Roman" w:hAnsi="Verdana" w:cs="Arial"/>
          <w:color w:val="000000"/>
          <w:kern w:val="2"/>
          <w:lang w:val="es-ES" w:eastAsia="es-MX"/>
          <w14:ligatures w14:val="standardContextual"/>
        </w:rPr>
        <w:t>. De esta manera:</w:t>
      </w:r>
      <w:r w:rsidRPr="00B76D39">
        <w:rPr>
          <w:rFonts w:ascii="Verdana" w:eastAsia="Times New Roman" w:hAnsi="Verdana" w:cs="Arial"/>
          <w:color w:val="000000"/>
          <w:kern w:val="2"/>
          <w:lang w:eastAsia="es-MX"/>
          <w14:ligatures w14:val="standardContextual"/>
        </w:rPr>
        <w:t> </w:t>
      </w:r>
    </w:p>
    <w:p w14:paraId="62E9E340" w14:textId="77777777" w:rsidR="00B76D39" w:rsidRPr="00B76D39" w:rsidRDefault="00B76D39" w:rsidP="00B76D39">
      <w:pPr>
        <w:snapToGrid w:val="0"/>
        <w:spacing w:after="0" w:line="240" w:lineRule="auto"/>
        <w:ind w:firstLine="705"/>
        <w:jc w:val="both"/>
        <w:textAlignment w:val="baseline"/>
        <w:rPr>
          <w:rFonts w:ascii="Verdana" w:eastAsia="Times New Roman" w:hAnsi="Verdana" w:cs="Segoe UI"/>
          <w:kern w:val="2"/>
          <w:lang w:eastAsia="es-MX"/>
          <w14:ligatures w14:val="standardContextual"/>
        </w:rPr>
      </w:pPr>
      <w:r w:rsidRPr="00B76D39">
        <w:rPr>
          <w:rFonts w:ascii="Verdana" w:eastAsia="Times New Roman" w:hAnsi="Verdana" w:cs="Arial"/>
          <w:color w:val="000000"/>
          <w:kern w:val="2"/>
          <w:lang w:eastAsia="es-MX"/>
          <w14:ligatures w14:val="standardContextual"/>
        </w:rPr>
        <w:t> </w:t>
      </w:r>
    </w:p>
    <w:p w14:paraId="41BFF520" w14:textId="77777777" w:rsidR="00B76D39" w:rsidRPr="00B76D39" w:rsidRDefault="00B76D39" w:rsidP="00B76D39">
      <w:pPr>
        <w:snapToGrid w:val="0"/>
        <w:spacing w:after="120" w:line="240" w:lineRule="auto"/>
        <w:ind w:left="705" w:right="705"/>
        <w:jc w:val="both"/>
        <w:textAlignment w:val="baseline"/>
        <w:rPr>
          <w:rFonts w:ascii="Verdana" w:eastAsia="Times New Roman" w:hAnsi="Verdana" w:cs="Segoe UI"/>
          <w:kern w:val="2"/>
          <w:sz w:val="21"/>
          <w:szCs w:val="21"/>
          <w:lang w:eastAsia="es-MX"/>
          <w14:ligatures w14:val="standardContextual"/>
        </w:rPr>
      </w:pPr>
      <w:r w:rsidRPr="00B76D39">
        <w:rPr>
          <w:rFonts w:ascii="Verdana" w:eastAsia="Times New Roman" w:hAnsi="Verdana" w:cs="Arial"/>
          <w:color w:val="000000"/>
          <w:kern w:val="2"/>
          <w:sz w:val="21"/>
          <w:szCs w:val="21"/>
          <w:lang w:val="es-ES" w:eastAsia="es-MX"/>
          <w14:ligatures w14:val="standardContextual"/>
        </w:rPr>
        <w:t>“(…)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r w:rsidRPr="00B76D39">
        <w:rPr>
          <w:rFonts w:ascii="Verdana" w:eastAsia="Times New Roman" w:hAnsi="Verdana" w:cs="Arial"/>
          <w:color w:val="000000"/>
          <w:kern w:val="2"/>
          <w:sz w:val="21"/>
          <w:szCs w:val="21"/>
          <w:lang w:eastAsia="es-MX"/>
          <w14:ligatures w14:val="standardContextual"/>
        </w:rPr>
        <w:t> </w:t>
      </w:r>
    </w:p>
    <w:p w14:paraId="7C2BB585" w14:textId="77777777" w:rsidR="00B76D39" w:rsidRPr="00B76D39" w:rsidRDefault="00B76D39" w:rsidP="00B76D39">
      <w:pPr>
        <w:snapToGrid w:val="0"/>
        <w:spacing w:after="120" w:line="240" w:lineRule="auto"/>
        <w:ind w:left="705" w:right="705"/>
        <w:jc w:val="both"/>
        <w:textAlignment w:val="baseline"/>
        <w:rPr>
          <w:rFonts w:ascii="Verdana" w:eastAsia="Times New Roman" w:hAnsi="Verdana" w:cs="Segoe UI"/>
          <w:kern w:val="2"/>
          <w:sz w:val="21"/>
          <w:szCs w:val="21"/>
          <w:lang w:eastAsia="es-MX"/>
          <w14:ligatures w14:val="standardContextual"/>
        </w:rPr>
      </w:pPr>
      <w:r w:rsidRPr="00B76D39">
        <w:rPr>
          <w:rFonts w:ascii="Verdana" w:eastAsia="Times New Roman" w:hAnsi="Verdana" w:cs="Arial"/>
          <w:color w:val="000000"/>
          <w:kern w:val="2"/>
          <w:sz w:val="21"/>
          <w:szCs w:val="21"/>
          <w:lang w:val="es-ES" w:eastAsia="es-MX"/>
          <w14:ligatures w14:val="standardContextual"/>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B76D39">
        <w:rPr>
          <w:rFonts w:ascii="Verdana" w:eastAsia="Times New Roman" w:hAnsi="Verdana" w:cs="Arial"/>
          <w:color w:val="000000"/>
          <w:kern w:val="2"/>
          <w:sz w:val="21"/>
          <w:szCs w:val="21"/>
          <w:vertAlign w:val="superscript"/>
          <w:lang w:val="es-ES" w:eastAsia="es-MX"/>
          <w14:ligatures w14:val="standardContextual"/>
        </w:rPr>
        <w:footnoteReference w:id="4"/>
      </w:r>
      <w:r w:rsidRPr="00B76D39">
        <w:rPr>
          <w:rFonts w:ascii="Verdana" w:eastAsia="Times New Roman" w:hAnsi="Verdana" w:cs="Arial"/>
          <w:color w:val="000000"/>
          <w:kern w:val="2"/>
          <w:sz w:val="21"/>
          <w:szCs w:val="21"/>
          <w:lang w:val="es-ES" w:eastAsia="es-MX"/>
          <w14:ligatures w14:val="standardContextual"/>
        </w:rPr>
        <w:t>.</w:t>
      </w:r>
      <w:r w:rsidRPr="00B76D39">
        <w:rPr>
          <w:rFonts w:ascii="Verdana" w:eastAsia="Times New Roman" w:hAnsi="Verdana" w:cs="Arial"/>
          <w:color w:val="000000"/>
          <w:kern w:val="2"/>
          <w:sz w:val="21"/>
          <w:szCs w:val="21"/>
          <w:lang w:eastAsia="es-MX"/>
          <w14:ligatures w14:val="standardContextual"/>
        </w:rPr>
        <w:t> </w:t>
      </w:r>
    </w:p>
    <w:p w14:paraId="33DFBAE9" w14:textId="77777777" w:rsidR="00B76D39" w:rsidRPr="00B76D39" w:rsidRDefault="00B76D39" w:rsidP="00B76D39">
      <w:pPr>
        <w:snapToGrid w:val="0"/>
        <w:spacing w:after="0" w:line="240" w:lineRule="auto"/>
        <w:ind w:left="705" w:right="705"/>
        <w:jc w:val="both"/>
        <w:textAlignment w:val="baseline"/>
        <w:rPr>
          <w:rFonts w:ascii="Verdana" w:eastAsia="Times New Roman" w:hAnsi="Verdana" w:cs="Segoe UI"/>
          <w:kern w:val="2"/>
          <w:lang w:eastAsia="es-MX"/>
          <w14:ligatures w14:val="standardContextual"/>
        </w:rPr>
      </w:pPr>
      <w:r w:rsidRPr="00B76D39">
        <w:rPr>
          <w:rFonts w:ascii="Verdana" w:eastAsia="Times New Roman" w:hAnsi="Verdana" w:cs="Arial"/>
          <w:color w:val="000000"/>
          <w:kern w:val="2"/>
          <w:lang w:eastAsia="es-MX"/>
          <w14:ligatures w14:val="standardContextual"/>
        </w:rPr>
        <w:t> </w:t>
      </w:r>
    </w:p>
    <w:p w14:paraId="29123F68" w14:textId="77777777" w:rsidR="00B76D39" w:rsidRPr="00B76D39" w:rsidRDefault="00B76D39" w:rsidP="00B76D39">
      <w:pPr>
        <w:snapToGrid w:val="0"/>
        <w:spacing w:after="120" w:line="276" w:lineRule="auto"/>
        <w:ind w:firstLine="705"/>
        <w:jc w:val="both"/>
        <w:textAlignment w:val="baseline"/>
        <w:rPr>
          <w:rFonts w:ascii="Verdana" w:eastAsia="Times New Roman" w:hAnsi="Verdana" w:cs="Times New Roman"/>
          <w:color w:val="000000"/>
          <w:kern w:val="2"/>
          <w:lang w:val="es-ES" w:eastAsia="es-MX"/>
          <w14:ligatures w14:val="standardContextual"/>
        </w:rPr>
      </w:pPr>
      <w:r w:rsidRPr="00B76D39">
        <w:rPr>
          <w:rFonts w:ascii="Verdana" w:eastAsia="Times New Roman" w:hAnsi="Verdana" w:cs="Times New Roman"/>
          <w:color w:val="000000"/>
          <w:kern w:val="2"/>
          <w:lang w:val="es-ES" w:eastAsia="es-MX"/>
          <w14:ligatures w14:val="standardContextual"/>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 entre otros.</w:t>
      </w:r>
    </w:p>
    <w:p w14:paraId="3C174C8D" w14:textId="77777777" w:rsidR="00B76D39" w:rsidRPr="00B76D39" w:rsidRDefault="00B76D39" w:rsidP="00B76D39">
      <w:pPr>
        <w:snapToGrid w:val="0"/>
        <w:spacing w:after="120" w:line="276" w:lineRule="auto"/>
        <w:ind w:firstLine="705"/>
        <w:jc w:val="both"/>
        <w:textAlignment w:val="baseline"/>
        <w:rPr>
          <w:rFonts w:ascii="Verdana" w:eastAsia="Times New Roman" w:hAnsi="Verdana" w:cs="Segoe UI"/>
          <w:kern w:val="2"/>
          <w:lang w:eastAsia="es-MX"/>
          <w14:ligatures w14:val="standardContextual"/>
        </w:rPr>
      </w:pPr>
      <w:r w:rsidRPr="00B76D39">
        <w:rPr>
          <w:rFonts w:ascii="Verdana" w:eastAsia="Times New Roman" w:hAnsi="Verdana" w:cs="Arial"/>
          <w:color w:val="000000"/>
          <w:kern w:val="2"/>
          <w:lang w:val="es-ES" w:eastAsia="es-MX"/>
          <w14:ligatures w14:val="standardContextual"/>
        </w:rPr>
        <w:t xml:space="preserve">Respecto a la referencia a los bienes inmuebles, se debe considerar la definición de los artículos 656 y 658 del Código Civil, que incluye en esa categoría </w:t>
      </w:r>
      <w:r w:rsidRPr="00B76D39">
        <w:rPr>
          <w:rFonts w:ascii="Verdana" w:eastAsia="Times New Roman" w:hAnsi="Verdana" w:cs="Arial"/>
          <w:color w:val="000000"/>
          <w:kern w:val="2"/>
          <w:lang w:val="es-ES" w:eastAsia="es-MX"/>
          <w14:ligatures w14:val="standardContextual"/>
        </w:rPr>
        <w:lastRenderedPageBreak/>
        <w:t>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r w:rsidRPr="00B76D39">
        <w:rPr>
          <w:rFonts w:ascii="Verdana" w:eastAsia="Times New Roman" w:hAnsi="Verdana" w:cs="Arial"/>
          <w:color w:val="000000"/>
          <w:kern w:val="2"/>
          <w:lang w:eastAsia="es-MX"/>
          <w14:ligatures w14:val="standardContextual"/>
        </w:rPr>
        <w:t> </w:t>
      </w:r>
    </w:p>
    <w:p w14:paraId="64E099E8" w14:textId="77777777" w:rsidR="00B76D39" w:rsidRPr="00B76D39" w:rsidRDefault="00B76D39" w:rsidP="00B76D39">
      <w:pPr>
        <w:snapToGrid w:val="0"/>
        <w:spacing w:after="120" w:line="276" w:lineRule="auto"/>
        <w:ind w:firstLine="705"/>
        <w:jc w:val="both"/>
        <w:textAlignment w:val="baseline"/>
        <w:rPr>
          <w:rFonts w:ascii="Verdana" w:eastAsia="Times New Roman" w:hAnsi="Verdana" w:cs="Segoe UI"/>
          <w:kern w:val="2"/>
          <w:lang w:eastAsia="es-MX"/>
          <w14:ligatures w14:val="standardContextual"/>
        </w:rPr>
      </w:pPr>
      <w:r w:rsidRPr="00B76D39">
        <w:rPr>
          <w:rFonts w:ascii="Verdana" w:eastAsia="Times New Roman" w:hAnsi="Verdana" w:cs="Arial"/>
          <w:color w:val="000000"/>
          <w:kern w:val="2"/>
          <w:lang w:val="es-ES" w:eastAsia="es-MX"/>
          <w14:ligatures w14:val="standardContextual"/>
        </w:rPr>
        <w:t>Teniendo en cuenta la remisión de los artículos 13, 32 y 40 del Estatuto General de Contratación al Código Civil, 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 Estos bienes se denominan </w:t>
      </w:r>
      <w:r w:rsidRPr="00B76D39">
        <w:rPr>
          <w:rFonts w:ascii="Verdana" w:eastAsia="Times New Roman" w:hAnsi="Verdana" w:cs="Arial"/>
          <w:i/>
          <w:iCs/>
          <w:color w:val="000000"/>
          <w:kern w:val="2"/>
          <w:lang w:val="es-ES" w:eastAsia="es-MX"/>
          <w14:ligatures w14:val="standardContextual"/>
        </w:rPr>
        <w:t>inmuebles por adhesión</w:t>
      </w:r>
      <w:r w:rsidRPr="00B76D39">
        <w:rPr>
          <w:rFonts w:ascii="Verdana" w:eastAsia="Times New Roman" w:hAnsi="Verdana" w:cs="Arial"/>
          <w:color w:val="000000"/>
          <w:kern w:val="2"/>
          <w:lang w:val="es-ES" w:eastAsia="es-MX"/>
          <w14:ligatures w14:val="standardContextual"/>
        </w:rPr>
        <w:t> y la doctrina los caracteriza como “(…) bienes muebles por naturaleza, adheridos permanente y materialmente a un inmueble, incorporados por el propietario o por una persona distinta de él, que por una ficción jurídica del legislador se transforman en bienes inmuebles”</w:t>
      </w:r>
      <w:r w:rsidRPr="00B76D39">
        <w:rPr>
          <w:rFonts w:ascii="Verdana" w:eastAsia="Times New Roman" w:hAnsi="Verdana" w:cs="Arial"/>
          <w:color w:val="000000"/>
          <w:kern w:val="2"/>
          <w:vertAlign w:val="superscript"/>
          <w:lang w:val="es-ES" w:eastAsia="es-MX"/>
          <w14:ligatures w14:val="standardContextual"/>
        </w:rPr>
        <w:footnoteReference w:id="5"/>
      </w:r>
      <w:r w:rsidRPr="00B76D39">
        <w:rPr>
          <w:rFonts w:ascii="Verdana" w:eastAsia="Times New Roman" w:hAnsi="Verdana" w:cs="Arial"/>
          <w:color w:val="000000"/>
          <w:kern w:val="2"/>
          <w:lang w:val="es-ES" w:eastAsia="es-MX"/>
          <w14:ligatures w14:val="standardContextual"/>
        </w:rPr>
        <w:t>.   </w:t>
      </w:r>
      <w:r w:rsidRPr="00B76D39">
        <w:rPr>
          <w:rFonts w:ascii="Verdana" w:eastAsia="Times New Roman" w:hAnsi="Verdana" w:cs="Arial"/>
          <w:color w:val="000000"/>
          <w:kern w:val="2"/>
          <w:lang w:eastAsia="es-MX"/>
          <w14:ligatures w14:val="standardContextual"/>
        </w:rPr>
        <w:t> </w:t>
      </w:r>
    </w:p>
    <w:p w14:paraId="177D4D93" w14:textId="77777777" w:rsidR="00B76D39" w:rsidRPr="00B76D39" w:rsidRDefault="00B76D39" w:rsidP="00B76D39">
      <w:pPr>
        <w:snapToGrid w:val="0"/>
        <w:spacing w:after="120" w:line="276" w:lineRule="auto"/>
        <w:ind w:firstLine="705"/>
        <w:jc w:val="both"/>
        <w:textAlignment w:val="baseline"/>
        <w:rPr>
          <w:rFonts w:ascii="Verdana" w:eastAsia="Times New Roman" w:hAnsi="Verdana" w:cs="Segoe UI"/>
          <w:kern w:val="2"/>
          <w:lang w:eastAsia="es-MX"/>
          <w14:ligatures w14:val="standardContextual"/>
        </w:rPr>
      </w:pPr>
      <w:r w:rsidRPr="00B76D39">
        <w:rPr>
          <w:rFonts w:ascii="Verdana" w:eastAsia="Times New Roman" w:hAnsi="Verdana" w:cs="Arial"/>
          <w:color w:val="000000"/>
          <w:kern w:val="2"/>
          <w:lang w:val="es-ES" w:eastAsia="es-MX"/>
          <w14:ligatures w14:val="standardContextual"/>
        </w:rPr>
        <w:t>Por otra parte, el artículo 658 del Código Civil crea la categoría de </w:t>
      </w:r>
      <w:r w:rsidRPr="00B76D39">
        <w:rPr>
          <w:rFonts w:ascii="Verdana" w:eastAsia="Times New Roman" w:hAnsi="Verdana" w:cs="Arial"/>
          <w:i/>
          <w:iCs/>
          <w:color w:val="000000"/>
          <w:kern w:val="2"/>
          <w:lang w:val="es-ES" w:eastAsia="es-MX"/>
          <w14:ligatures w14:val="standardContextual"/>
        </w:rPr>
        <w:t>inmuebles por destinación</w:t>
      </w:r>
      <w:r w:rsidRPr="00B76D39">
        <w:rPr>
          <w:rFonts w:ascii="Verdana" w:eastAsia="Times New Roman" w:hAnsi="Verdana" w:cs="Arial"/>
          <w:color w:val="000000"/>
          <w:kern w:val="2"/>
          <w:lang w:val="es-ES" w:eastAsia="es-MX"/>
          <w14:ligatures w14:val="standardContextual"/>
        </w:rPr>
        <w:t>, disponiendo que “Se reputan inmuebles, aunque por su naturaleza no lo sean, las cosas que están permanentemente destinadas al uso, cultivo y beneficio de un inmueble, sin embargo, de que puedan separarse sin detrimento”. El mismo artículo crea una lista enunciativa de estos bienes, dentro de los cuales se encuentran: i) las losas de un pavimento; </w:t>
      </w:r>
      <w:proofErr w:type="spellStart"/>
      <w:r w:rsidRPr="00B76D39">
        <w:rPr>
          <w:rFonts w:ascii="Verdana" w:eastAsia="Times New Roman" w:hAnsi="Verdana" w:cs="Arial"/>
          <w:color w:val="000000"/>
          <w:kern w:val="2"/>
          <w:lang w:val="es-ES" w:eastAsia="es-MX"/>
          <w14:ligatures w14:val="standardContextual"/>
        </w:rPr>
        <w:t>ii</w:t>
      </w:r>
      <w:proofErr w:type="spellEnd"/>
      <w:r w:rsidRPr="00B76D39">
        <w:rPr>
          <w:rFonts w:ascii="Verdana" w:eastAsia="Times New Roman" w:hAnsi="Verdana" w:cs="Arial"/>
          <w:color w:val="000000"/>
          <w:kern w:val="2"/>
          <w:lang w:val="es-ES" w:eastAsia="es-MX"/>
          <w14:ligatures w14:val="standardContextual"/>
        </w:rPr>
        <w:t>) los tubos de las cañerías; </w:t>
      </w:r>
      <w:proofErr w:type="spellStart"/>
      <w:r w:rsidRPr="00B76D39">
        <w:rPr>
          <w:rFonts w:ascii="Verdana" w:eastAsia="Times New Roman" w:hAnsi="Verdana" w:cs="Arial"/>
          <w:color w:val="000000"/>
          <w:kern w:val="2"/>
          <w:lang w:val="es-ES" w:eastAsia="es-MX"/>
          <w14:ligatures w14:val="standardContextual"/>
        </w:rPr>
        <w:t>iii</w:t>
      </w:r>
      <w:proofErr w:type="spellEnd"/>
      <w:r w:rsidRPr="00B76D39">
        <w:rPr>
          <w:rFonts w:ascii="Verdana" w:eastAsia="Times New Roman" w:hAnsi="Verdana" w:cs="Arial"/>
          <w:color w:val="000000"/>
          <w:kern w:val="2"/>
          <w:lang w:val="es-ES" w:eastAsia="es-MX"/>
          <w14:ligatures w14:val="standardContextual"/>
        </w:rPr>
        <w:t>) los utensilios de labranza o minería, y los animales actualmente destinados al cultivo o beneficio de una finca, con tal que hayan sido puestos en ella por el dueño de la finca; </w:t>
      </w:r>
      <w:proofErr w:type="spellStart"/>
      <w:r w:rsidRPr="00B76D39">
        <w:rPr>
          <w:rFonts w:ascii="Verdana" w:eastAsia="Times New Roman" w:hAnsi="Verdana" w:cs="Arial"/>
          <w:color w:val="000000"/>
          <w:kern w:val="2"/>
          <w:lang w:val="es-ES" w:eastAsia="es-MX"/>
          <w14:ligatures w14:val="standardContextual"/>
        </w:rPr>
        <w:t>iv</w:t>
      </w:r>
      <w:proofErr w:type="spellEnd"/>
      <w:r w:rsidRPr="00B76D39">
        <w:rPr>
          <w:rFonts w:ascii="Verdana" w:eastAsia="Times New Roman" w:hAnsi="Verdana" w:cs="Arial"/>
          <w:color w:val="000000"/>
          <w:kern w:val="2"/>
          <w:lang w:val="es-ES" w:eastAsia="es-MX"/>
          <w14:ligatures w14:val="standardContextual"/>
        </w:rPr>
        <w:t>) los abonos existentes en ella y destinados por el dueño de la finca a mejorarla; v) las prensas, calderas, cubas, alambiques, toneles y máquinas, que forman parte de un establecimiento industrial adherente al suelo y pertenecen al dueño de éste; y vi) los animales que se guardan en conejeras, pajareras, estanques, colmenas y cualesquiera otros vivares, con tal que éstos adhieran al suelo, o sean parte del suelo mismo o de un edificio. </w:t>
      </w:r>
      <w:r w:rsidRPr="00B76D39">
        <w:rPr>
          <w:rFonts w:ascii="Verdana" w:eastAsia="Times New Roman" w:hAnsi="Verdana" w:cs="Arial"/>
          <w:color w:val="000000"/>
          <w:kern w:val="2"/>
          <w:lang w:eastAsia="es-MX"/>
          <w14:ligatures w14:val="standardContextual"/>
        </w:rPr>
        <w:t> </w:t>
      </w:r>
    </w:p>
    <w:p w14:paraId="3D15B048" w14:textId="77777777" w:rsidR="00B76D39" w:rsidRPr="00B76D39" w:rsidRDefault="00B76D39" w:rsidP="00B76D39">
      <w:pPr>
        <w:snapToGrid w:val="0"/>
        <w:spacing w:after="120" w:line="276" w:lineRule="auto"/>
        <w:ind w:firstLine="705"/>
        <w:jc w:val="both"/>
        <w:textAlignment w:val="baseline"/>
        <w:rPr>
          <w:rFonts w:ascii="Verdana" w:eastAsia="Times New Roman" w:hAnsi="Verdana" w:cs="Segoe UI"/>
          <w:kern w:val="2"/>
          <w:lang w:eastAsia="es-MX"/>
          <w14:ligatures w14:val="standardContextual"/>
        </w:rPr>
      </w:pPr>
      <w:r w:rsidRPr="00B76D39">
        <w:rPr>
          <w:rFonts w:ascii="Verdana" w:eastAsia="Times New Roman" w:hAnsi="Verdana" w:cs="Arial"/>
          <w:color w:val="000000"/>
          <w:kern w:val="2"/>
          <w:lang w:val="es-ES" w:eastAsia="es-MX"/>
          <w14:ligatures w14:val="standardContextual"/>
        </w:rPr>
        <w:lastRenderedPageBreak/>
        <w:t>Así las cosas, para que clasifiquen dentro de esta categoría se requiere que los muebles sirvan para prestar un servicio útil al inmueble por naturaleza, que el servicio sea permanente, además de que ambos sean del mismo propietario. En esta medida: “Por excepción al criterio extraído de la naturaleza física de las cosas, los redactores del Código Civil han considerado como inmuebles las cosas trasladables: las clasifican entre los inmuebles </w:t>
      </w:r>
      <w:proofErr w:type="gramStart"/>
      <w:r w:rsidRPr="00B76D39">
        <w:rPr>
          <w:rFonts w:ascii="Verdana" w:eastAsia="Times New Roman" w:hAnsi="Verdana" w:cs="Arial"/>
          <w:color w:val="000000"/>
          <w:kern w:val="2"/>
          <w:lang w:val="es-ES" w:eastAsia="es-MX"/>
          <w14:ligatures w14:val="standardContextual"/>
        </w:rPr>
        <w:t>en razón de</w:t>
      </w:r>
      <w:proofErr w:type="gramEnd"/>
      <w:r w:rsidRPr="00B76D39">
        <w:rPr>
          <w:rFonts w:ascii="Verdana" w:eastAsia="Times New Roman" w:hAnsi="Verdana" w:cs="Arial"/>
          <w:color w:val="000000"/>
          <w:kern w:val="2"/>
          <w:lang w:val="es-ES" w:eastAsia="es-MX"/>
          <w14:ligatures w14:val="standardContextual"/>
        </w:rPr>
        <w:t>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w:t>
      </w:r>
      <w:r w:rsidRPr="00B76D39">
        <w:rPr>
          <w:rFonts w:ascii="Verdana" w:eastAsia="Times New Roman" w:hAnsi="Verdana" w:cs="Arial"/>
          <w:color w:val="000000"/>
          <w:kern w:val="2"/>
          <w:vertAlign w:val="superscript"/>
          <w:lang w:val="es-ES" w:eastAsia="es-MX"/>
          <w14:ligatures w14:val="standardContextual"/>
        </w:rPr>
        <w:footnoteReference w:id="6"/>
      </w:r>
      <w:r w:rsidRPr="00B76D39">
        <w:rPr>
          <w:rFonts w:ascii="Verdana" w:eastAsia="Times New Roman" w:hAnsi="Verdana" w:cs="Arial"/>
          <w:color w:val="000000"/>
          <w:kern w:val="2"/>
          <w:lang w:val="es-ES" w:eastAsia="es-MX"/>
          <w14:ligatures w14:val="standardContextual"/>
        </w:rPr>
        <w:t>.  </w:t>
      </w:r>
      <w:r w:rsidRPr="00B76D39">
        <w:rPr>
          <w:rFonts w:ascii="Verdana" w:eastAsia="Times New Roman" w:hAnsi="Verdana" w:cs="Arial"/>
          <w:color w:val="000000"/>
          <w:kern w:val="2"/>
          <w:lang w:eastAsia="es-MX"/>
          <w14:ligatures w14:val="standardContextual"/>
        </w:rPr>
        <w:t> </w:t>
      </w:r>
    </w:p>
    <w:p w14:paraId="0418969F" w14:textId="77777777" w:rsidR="00B76D39" w:rsidRPr="00B76D39" w:rsidRDefault="00B76D39" w:rsidP="00B76D39">
      <w:pPr>
        <w:snapToGrid w:val="0"/>
        <w:spacing w:after="120" w:line="276" w:lineRule="auto"/>
        <w:ind w:firstLine="705"/>
        <w:jc w:val="both"/>
        <w:textAlignment w:val="baseline"/>
        <w:rPr>
          <w:rFonts w:ascii="Verdana" w:eastAsia="Times New Roman" w:hAnsi="Verdana" w:cs="Segoe UI"/>
          <w:kern w:val="2"/>
          <w:lang w:eastAsia="es-MX"/>
          <w14:ligatures w14:val="standardContextual"/>
        </w:rPr>
      </w:pPr>
      <w:r w:rsidRPr="00B76D39">
        <w:rPr>
          <w:rFonts w:ascii="Verdana" w:eastAsia="Times New Roman" w:hAnsi="Verdana" w:cs="Arial"/>
          <w:color w:val="000000"/>
          <w:kern w:val="2"/>
          <w:lang w:val="es-ES" w:eastAsia="es-MX"/>
          <w14:ligatures w14:val="standardContextual"/>
        </w:rPr>
        <w:t>Las diferencias entre ambos tipos de bienes se derivan de que: i) mientras la incorporación de los </w:t>
      </w:r>
      <w:r w:rsidRPr="00B76D39">
        <w:rPr>
          <w:rFonts w:ascii="Verdana" w:eastAsia="Times New Roman" w:hAnsi="Verdana" w:cs="Arial"/>
          <w:i/>
          <w:iCs/>
          <w:color w:val="000000"/>
          <w:kern w:val="2"/>
          <w:lang w:val="es-ES" w:eastAsia="es-MX"/>
          <w14:ligatures w14:val="standardContextual"/>
        </w:rPr>
        <w:t>inmuebles por adhesión</w:t>
      </w:r>
      <w:r w:rsidRPr="00B76D39">
        <w:rPr>
          <w:rFonts w:ascii="Verdana" w:eastAsia="Times New Roman" w:hAnsi="Verdana" w:cs="Arial"/>
          <w:color w:val="000000"/>
          <w:kern w:val="2"/>
          <w:lang w:val="es-ES" w:eastAsia="es-MX"/>
          <w14:ligatures w14:val="standardContextual"/>
        </w:rPr>
        <w:t> es material, la de los </w:t>
      </w:r>
      <w:r w:rsidRPr="00B76D39">
        <w:rPr>
          <w:rFonts w:ascii="Verdana" w:eastAsia="Times New Roman" w:hAnsi="Verdana" w:cs="Arial"/>
          <w:i/>
          <w:iCs/>
          <w:color w:val="000000"/>
          <w:kern w:val="2"/>
          <w:lang w:val="es-ES" w:eastAsia="es-MX"/>
          <w14:ligatures w14:val="standardContextual"/>
        </w:rPr>
        <w:t>inmuebles por destinación </w:t>
      </w:r>
      <w:r w:rsidRPr="00B76D39">
        <w:rPr>
          <w:rFonts w:ascii="Verdana" w:eastAsia="Times New Roman" w:hAnsi="Verdana" w:cs="Arial"/>
          <w:color w:val="000000"/>
          <w:kern w:val="2"/>
          <w:lang w:val="es-ES" w:eastAsia="es-MX"/>
          <w14:ligatures w14:val="standardContextual"/>
        </w:rPr>
        <w:t>es intelectual; </w:t>
      </w:r>
      <w:proofErr w:type="spellStart"/>
      <w:r w:rsidRPr="00B76D39">
        <w:rPr>
          <w:rFonts w:ascii="Verdana" w:eastAsia="Times New Roman" w:hAnsi="Verdana" w:cs="Arial"/>
          <w:color w:val="000000"/>
          <w:kern w:val="2"/>
          <w:lang w:val="es-ES" w:eastAsia="es-MX"/>
          <w14:ligatures w14:val="standardContextual"/>
        </w:rPr>
        <w:t>ii</w:t>
      </w:r>
      <w:proofErr w:type="spellEnd"/>
      <w:r w:rsidRPr="00B76D39">
        <w:rPr>
          <w:rFonts w:ascii="Verdana" w:eastAsia="Times New Roman" w:hAnsi="Verdana" w:cs="Arial"/>
          <w:color w:val="000000"/>
          <w:kern w:val="2"/>
          <w:lang w:val="es-ES" w:eastAsia="es-MX"/>
          <w14:ligatures w14:val="standardContextual"/>
        </w:rPr>
        <w:t>) mientras los primeros son incorporados por el dueño o por terceras personas, en los segundos es necesaria la identidad del propietario; finalmente, </w:t>
      </w:r>
      <w:proofErr w:type="spellStart"/>
      <w:r w:rsidRPr="00B76D39">
        <w:rPr>
          <w:rFonts w:ascii="Verdana" w:eastAsia="Times New Roman" w:hAnsi="Verdana" w:cs="Arial"/>
          <w:color w:val="000000"/>
          <w:kern w:val="2"/>
          <w:lang w:val="es-ES" w:eastAsia="es-MX"/>
          <w14:ligatures w14:val="standardContextual"/>
        </w:rPr>
        <w:t>iii</w:t>
      </w:r>
      <w:proofErr w:type="spellEnd"/>
      <w:r w:rsidRPr="00B76D39">
        <w:rPr>
          <w:rFonts w:ascii="Verdana" w:eastAsia="Times New Roman" w:hAnsi="Verdana" w:cs="Arial"/>
          <w:color w:val="000000"/>
          <w:kern w:val="2"/>
          <w:lang w:val="es-ES" w:eastAsia="es-MX"/>
          <w14:ligatures w14:val="standardContextual"/>
        </w:rPr>
        <w:t>) mientras que aquellos pierden individualidad por la incorporación al inmueble, no sucede lo mismo con los segundos, los cuales conservan su autonomía pese a estar destinados al cultivo de aquel. De esta manera, la distinción del Código Civil entre bienes muebles e inmuebles influye en la identificación de una actividad material como parte de un contrato de obra pública en los términos del Estatuto General de Contratación de la Administración Pública. </w:t>
      </w:r>
      <w:r w:rsidRPr="00B76D39">
        <w:rPr>
          <w:rFonts w:ascii="Verdana" w:eastAsia="Times New Roman" w:hAnsi="Verdana" w:cs="Arial"/>
          <w:color w:val="000000"/>
          <w:kern w:val="2"/>
          <w:lang w:eastAsia="es-MX"/>
          <w14:ligatures w14:val="standardContextual"/>
        </w:rPr>
        <w:t> </w:t>
      </w:r>
    </w:p>
    <w:p w14:paraId="3E570AC8" w14:textId="77777777" w:rsidR="00B76D39" w:rsidRPr="00B76D39" w:rsidRDefault="00B76D39" w:rsidP="00B76D39">
      <w:pPr>
        <w:snapToGrid w:val="0"/>
        <w:spacing w:after="120" w:line="276" w:lineRule="auto"/>
        <w:ind w:firstLine="705"/>
        <w:jc w:val="both"/>
        <w:textAlignment w:val="baseline"/>
        <w:rPr>
          <w:rFonts w:ascii="Verdana" w:eastAsia="Times New Roman" w:hAnsi="Verdana" w:cs="Arial"/>
          <w:color w:val="000000"/>
          <w:kern w:val="2"/>
          <w:lang w:val="es-ES" w:eastAsia="es-MX"/>
          <w14:ligatures w14:val="standardContextual"/>
        </w:rPr>
      </w:pPr>
      <w:r w:rsidRPr="00B76D39">
        <w:rPr>
          <w:rFonts w:ascii="Verdana" w:eastAsia="Times New Roman" w:hAnsi="Verdana" w:cs="Arial"/>
          <w:color w:val="000000"/>
          <w:kern w:val="2"/>
          <w:lang w:val="es-ES" w:eastAsia="es-MX"/>
          <w14:ligatures w14:val="standardContextual"/>
        </w:rPr>
        <w:t xml:space="preserve">En ese sentido, la naturaleza inmueble del bien –ya sea natural, por adhesión o destinación– sobre el que se realizan las actividades es determinante para saber si está ante un contrato de obra pública, ya que de este tipo contractual se encuentran excluidos trabajos materiales realizados sobre bienes muebles, por lo que estos corresponderían a un tipo contractual diferente. Esto supone que, en caso de que las prestaciones a realizarse impliquen el desarrollo de actividades materiales sobre bienes muebles, no resulta jurídicamente valido acudir al contrato de obra pública, debiendo la entidad acudir al régimen contractual de algún otro tipo contractual en el que se subsuma la actividad a contratar, como, por ejemplo, el contrato de prestación de servicios, o a cualquier otra modalidad típica o atípica, nominada o innominada que pueda </w:t>
      </w:r>
      <w:r w:rsidRPr="00B76D39">
        <w:rPr>
          <w:rFonts w:ascii="Verdana" w:eastAsia="Times New Roman" w:hAnsi="Verdana" w:cs="Arial"/>
          <w:color w:val="000000"/>
          <w:kern w:val="2"/>
          <w:lang w:val="es-ES" w:eastAsia="es-MX"/>
          <w14:ligatures w14:val="standardContextual"/>
        </w:rPr>
        <w:lastRenderedPageBreak/>
        <w:t>celebrarse entre la entidad estatal y un contratista, en los términos de la autonomía de la voluntad de las partes, de acuerdo con lo previsto en los artículos 32 y 40 de la Ley 80 de 1993. </w:t>
      </w:r>
    </w:p>
    <w:p w14:paraId="2C457D43" w14:textId="77777777" w:rsidR="00B76D39" w:rsidRPr="00B76D39" w:rsidRDefault="00B76D39" w:rsidP="00B76D39">
      <w:pPr>
        <w:snapToGrid w:val="0"/>
        <w:spacing w:after="0" w:line="276" w:lineRule="auto"/>
        <w:ind w:firstLine="705"/>
        <w:jc w:val="both"/>
        <w:textAlignment w:val="baseline"/>
        <w:rPr>
          <w:rFonts w:ascii="Verdana" w:eastAsia="Times New Roman" w:hAnsi="Verdana" w:cs="Arial"/>
          <w:color w:val="000000"/>
          <w:kern w:val="2"/>
          <w:lang w:val="es-ES" w:eastAsia="es-MX"/>
          <w14:ligatures w14:val="standardContextual"/>
        </w:rPr>
      </w:pPr>
      <w:r w:rsidRPr="00B76D39">
        <w:rPr>
          <w:rFonts w:ascii="Verdana" w:eastAsia="Times New Roman" w:hAnsi="Verdana" w:cs="Arial"/>
          <w:color w:val="000000"/>
          <w:kern w:val="2"/>
          <w:lang w:val="es-ES" w:eastAsia="es-MX"/>
          <w14:ligatures w14:val="standardContextual"/>
        </w:rPr>
        <w:t>Con todo, es pertinente resaltar que la determinación de celebrar o no un contrato de obra pública depende exclusivamente del análisis, caso a caso, efectuado por cada entidad estatal. Es decir, utilizar esta tipología contractual dependerá de la necesidad específica que pretenda satisfacer la entidad pública. Lo anterior, porque en ejercicio de su autonomía negocial y discrecionalidad, la entidad estatal puede considerar que la necesidad a satisfacer encuadra más en determinada tipología contractual.</w:t>
      </w:r>
    </w:p>
    <w:p w14:paraId="00E34EAE" w14:textId="77777777" w:rsidR="00B76D39" w:rsidRPr="00B76D39" w:rsidRDefault="00B76D39" w:rsidP="00B76D39">
      <w:pPr>
        <w:widowControl w:val="0"/>
        <w:autoSpaceDE w:val="0"/>
        <w:autoSpaceDN w:val="0"/>
        <w:spacing w:after="0" w:line="276" w:lineRule="auto"/>
        <w:jc w:val="both"/>
        <w:rPr>
          <w:rFonts w:ascii="Verdana" w:eastAsia="Calibri" w:hAnsi="Verdana" w:cs="Times New Roman"/>
          <w:lang w:val="es-ES"/>
        </w:rPr>
      </w:pPr>
    </w:p>
    <w:p w14:paraId="2B4E2CCC" w14:textId="77777777" w:rsidR="00B76D39" w:rsidRPr="00B76D39" w:rsidRDefault="00B76D39" w:rsidP="00B76D39">
      <w:pPr>
        <w:spacing w:after="120" w:line="276" w:lineRule="auto"/>
        <w:jc w:val="both"/>
        <w:rPr>
          <w:rFonts w:ascii="Verdana" w:eastAsia="Calibri" w:hAnsi="Verdana" w:cs="Times New Roman"/>
          <w:kern w:val="2"/>
          <w:lang w:val="es-ES" w:eastAsia="es-MX"/>
          <w14:ligatures w14:val="standardContextual"/>
        </w:rPr>
      </w:pPr>
      <w:proofErr w:type="spellStart"/>
      <w:r w:rsidRPr="00B76D39">
        <w:rPr>
          <w:rFonts w:ascii="Verdana" w:eastAsia="Calibri" w:hAnsi="Verdana" w:cs="Times New Roman"/>
          <w:lang w:val="es-ES"/>
        </w:rPr>
        <w:t>iii</w:t>
      </w:r>
      <w:proofErr w:type="spellEnd"/>
      <w:r w:rsidRPr="00B76D39">
        <w:rPr>
          <w:rFonts w:ascii="Verdana" w:eastAsia="Calibri" w:hAnsi="Verdana" w:cs="Times New Roman"/>
          <w:lang w:val="es-ES"/>
        </w:rPr>
        <w:t xml:space="preserve">. </w:t>
      </w:r>
      <w:r w:rsidRPr="00B76D39">
        <w:rPr>
          <w:rFonts w:ascii="Verdana" w:eastAsia="Calibri" w:hAnsi="Verdana" w:cs="Times New Roman"/>
          <w:kern w:val="2"/>
          <w:lang w:val="es-ES" w:eastAsia="es-MX"/>
          <w14:ligatures w14:val="standardContextual"/>
        </w:rPr>
        <w:t xml:space="preserve">El artículo 17 de la Resolución 539 del 21 de agosto de 2025, y el artículo 16 de las Resoluciones 540 y 541 del 21 de agosto de 2025, adoptan los Documentos Tipo complementarios para los procesos de infraestructura social relacionados con el Sector Institucional –según la modalidad que aplique–. De acuerdo con el parágrafo segundo de los artículos 17 y 16 de las citadas resoluciones, estos documentos aplican a los procesos contractuales que correspondan a las actividades definidas en la Matriz 1 – Experiencia del Sector Institucional. </w:t>
      </w:r>
    </w:p>
    <w:p w14:paraId="711961CE" w14:textId="77777777" w:rsidR="00B76D39" w:rsidRPr="00B76D39" w:rsidRDefault="00B76D39" w:rsidP="00B76D39">
      <w:pPr>
        <w:spacing w:after="120" w:line="276" w:lineRule="auto"/>
        <w:jc w:val="both"/>
        <w:rPr>
          <w:rFonts w:ascii="Verdana" w:eastAsia="Arial" w:hAnsi="Verdana" w:cs="Aptos"/>
          <w:kern w:val="2"/>
          <w:lang w:eastAsia="es-ES"/>
          <w14:ligatures w14:val="standardContextual"/>
        </w:rPr>
      </w:pPr>
      <w:r w:rsidRPr="00B76D39">
        <w:rPr>
          <w:rFonts w:ascii="Verdana" w:eastAsia="Calibri" w:hAnsi="Verdana" w:cs="Times New Roman"/>
          <w:kern w:val="2"/>
          <w:lang w:val="es-ES" w:eastAsia="es-MX"/>
          <w14:ligatures w14:val="standardContextual"/>
        </w:rPr>
        <w:tab/>
        <w:t xml:space="preserve">La Matriz 1 – Experiencia del Sector Institucional, </w:t>
      </w:r>
      <w:r w:rsidRPr="00B76D39">
        <w:rPr>
          <w:rFonts w:ascii="Verdana" w:eastAsia="Times New Roman" w:hAnsi="Verdana" w:cs="Times New Roman"/>
          <w:color w:val="000000"/>
          <w:kern w:val="2"/>
          <w:lang w:eastAsia="es-CO"/>
          <w14:ligatures w14:val="standardContextual"/>
        </w:rPr>
        <w:t xml:space="preserve">en la modalidad de licitación pública, selección abreviada de menor cuantía y mínima cuantía dispone de los siguientes cinco (5) tipos de infraestructura: </w:t>
      </w:r>
      <w:r w:rsidRPr="00B76D39">
        <w:rPr>
          <w:rFonts w:ascii="Verdana" w:eastAsia="Arial" w:hAnsi="Verdana" w:cs="Aptos"/>
          <w:kern w:val="2"/>
          <w:lang w:eastAsia="es-ES"/>
          <w14:ligatures w14:val="standardContextual"/>
        </w:rPr>
        <w:t>“1)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B76D39">
        <w:rPr>
          <w:rFonts w:ascii="Verdana" w:eastAsia="Aptos" w:hAnsi="Verdana" w:cs="Arial"/>
          <w:kern w:val="2"/>
          <w14:ligatures w14:val="standardContextual"/>
        </w:rPr>
        <w:t xml:space="preserve">. </w:t>
      </w:r>
      <w:r w:rsidRPr="00B76D39">
        <w:rPr>
          <w:rFonts w:ascii="Verdana" w:eastAsia="Arial" w:hAnsi="Verdana" w:cs="Aptos"/>
          <w:kern w:val="2"/>
          <w:lang w:eastAsia="es-ES"/>
          <w14:ligatures w14:val="standardContextual"/>
        </w:rPr>
        <w:t xml:space="preserve">Sobre los tipos de obras señaladas, la Matriz 1 – Experiencia contiene una serie de actividades donde la entidad debe encuadrar el objeto del proceso que pretende ejecutar. Estas actividades se relacionan con proyectos de construcción, ampliación, reconstrucción, adecuación, conservación, intervención, remodelación, mantenimiento, mejoramiento, modificación, optimización, rehabilitación, </w:t>
      </w:r>
      <w:r w:rsidRPr="00B76D39">
        <w:rPr>
          <w:rFonts w:ascii="Verdana" w:eastAsia="Arial" w:hAnsi="Verdana" w:cs="Aptos"/>
          <w:kern w:val="2"/>
          <w:lang w:eastAsia="es-ES"/>
          <w14:ligatures w14:val="standardContextual"/>
        </w:rPr>
        <w:lastRenderedPageBreak/>
        <w:t xml:space="preserve">remodelación, reposición, reparación, suministro, entre otras actividades, sobre infraestructura institucional. </w:t>
      </w:r>
    </w:p>
    <w:p w14:paraId="75C9FD0D" w14:textId="77777777" w:rsidR="00B76D39" w:rsidRPr="00B76D39" w:rsidRDefault="00B76D39" w:rsidP="00B76D39">
      <w:pPr>
        <w:spacing w:after="120" w:line="276" w:lineRule="auto"/>
        <w:jc w:val="both"/>
        <w:rPr>
          <w:rFonts w:ascii="Verdana" w:eastAsia="Times New Roman" w:hAnsi="Verdana" w:cs="Times New Roman"/>
          <w:color w:val="000000"/>
          <w:kern w:val="2"/>
          <w:lang w:eastAsia="es-CO"/>
          <w14:ligatures w14:val="standardContextual"/>
        </w:rPr>
      </w:pPr>
      <w:r w:rsidRPr="00B76D39">
        <w:rPr>
          <w:rFonts w:ascii="Verdana" w:eastAsia="Arial" w:hAnsi="Verdana" w:cs="Aptos"/>
          <w:kern w:val="2"/>
          <w:lang w:eastAsia="es-ES"/>
          <w14:ligatures w14:val="standardContextual"/>
        </w:rPr>
        <w:tab/>
        <w:t>De esta forma, los tipos de obras señaladas y las actividades previstas en la Matriz 1</w:t>
      </w:r>
      <w:r w:rsidRPr="00B76D39">
        <w:rPr>
          <w:rFonts w:ascii="Verdana" w:eastAsia="Calibri" w:hAnsi="Verdana" w:cs="Times New Roman"/>
          <w:kern w:val="2"/>
          <w:lang w:val="es-ES" w:eastAsia="es-MX"/>
          <w14:ligatures w14:val="standardContextual"/>
        </w:rPr>
        <w:t xml:space="preserve">– Experiencia del Sector Institucional, </w:t>
      </w:r>
      <w:r w:rsidRPr="00B76D39">
        <w:rPr>
          <w:rFonts w:ascii="Verdana" w:eastAsia="Times New Roman" w:hAnsi="Verdana" w:cs="Times New Roman"/>
          <w:color w:val="000000"/>
          <w:kern w:val="2"/>
          <w:lang w:eastAsia="es-CO"/>
          <w14:ligatures w14:val="standardContextual"/>
        </w:rPr>
        <w:t>en la modalidad de licitación pública, selección abreviada de menor cuantía y mínima cuantía, recaen sobre infraestructura institucional. Esto es importante para precisar el ámbito de aplicación de los Documentos Tipo de este sector adoptados en de las Resoluciones 539, 540 y 541 de 2025.</w:t>
      </w:r>
    </w:p>
    <w:p w14:paraId="60FDE2D1" w14:textId="77777777" w:rsidR="00B76D39" w:rsidRPr="00B76D39" w:rsidRDefault="00B76D39" w:rsidP="00B76D39">
      <w:pPr>
        <w:spacing w:after="120" w:line="276" w:lineRule="auto"/>
        <w:ind w:firstLine="708"/>
        <w:jc w:val="both"/>
        <w:rPr>
          <w:rFonts w:ascii="Verdana" w:eastAsia="Aptos" w:hAnsi="Verdana" w:cs="Times New Roman"/>
          <w:kern w:val="2"/>
          <w14:ligatures w14:val="standardContextual"/>
        </w:rPr>
      </w:pPr>
      <w:r w:rsidRPr="00B76D39">
        <w:rPr>
          <w:rFonts w:ascii="Verdana" w:eastAsia="Aptos" w:hAnsi="Verdana" w:cs="Times New Roman"/>
          <w:kern w:val="2"/>
          <w14:ligatures w14:val="standardContextual"/>
        </w:rPr>
        <w:t>Por su parte, en los documentos tipo adoptados mediante la Resolución 248 del 1 de diciembre de 2020, es decir, los de licitación de obra pública de infraestructura de agua potable y saneamiento básico, la Matriz 1 está conformada por siete (7) tipos de obras de infraestructura de agua potable y saneamiento básico, identificados con un número y su descripción, a saber: 1) obras de acueducto; 2) obras de alcantarillado (sanitario y/o pluvial y/o combinado);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estudios, diseños y construcción). Estos tipos de obra determinan el marco de aplicación de los documentos tipo, dado que comprenden todas las actividades que constituyen obra pública de infraestructura de agua potable y saneamiento básico y que han sido objeto de estandarización mediante dicha resolución para los procesos de licitación pública.</w:t>
      </w:r>
    </w:p>
    <w:p w14:paraId="06F358F3" w14:textId="77777777" w:rsidR="00B76D39" w:rsidRPr="00B76D39" w:rsidRDefault="00B76D39" w:rsidP="00B76D39">
      <w:pPr>
        <w:spacing w:after="120" w:line="276" w:lineRule="auto"/>
        <w:ind w:firstLine="708"/>
        <w:jc w:val="both"/>
        <w:rPr>
          <w:rFonts w:ascii="Verdana" w:eastAsia="Aptos" w:hAnsi="Verdana" w:cs="Times New Roman"/>
          <w:kern w:val="2"/>
          <w14:ligatures w14:val="standardContextual"/>
        </w:rPr>
      </w:pPr>
      <w:r w:rsidRPr="00B76D39">
        <w:rPr>
          <w:rFonts w:ascii="Verdana" w:eastAsia="Aptos" w:hAnsi="Verdana" w:cs="Times New Roman"/>
          <w:kern w:val="2"/>
          <w14:ligatures w14:val="standardContextual"/>
        </w:rPr>
        <w:t xml:space="preserve">Considerando que su solicitud se dirige a que la Agencia Nacional de Contratación Pública – Colombia Compra Eficiente determine si los documentos tipo del sector de infraestructura social, particularmente los del sector institucional, y los documentos tipo de agua potable y saneamiento básico son aplicables para adelantar tres (3) procesos cuyos objetos son, respectivamente: i) mantenimiento y verificación de cabinas de extracción de seguridad biológica; </w:t>
      </w:r>
      <w:proofErr w:type="spellStart"/>
      <w:r w:rsidRPr="00B76D39">
        <w:rPr>
          <w:rFonts w:ascii="Verdana" w:eastAsia="Aptos" w:hAnsi="Verdana" w:cs="Times New Roman"/>
          <w:kern w:val="2"/>
          <w14:ligatures w14:val="standardContextual"/>
        </w:rPr>
        <w:t>ii</w:t>
      </w:r>
      <w:proofErr w:type="spellEnd"/>
      <w:r w:rsidRPr="00B76D39">
        <w:rPr>
          <w:rFonts w:ascii="Verdana" w:eastAsia="Aptos" w:hAnsi="Verdana" w:cs="Times New Roman"/>
          <w:kern w:val="2"/>
          <w14:ligatures w14:val="standardContextual"/>
        </w:rPr>
        <w:t xml:space="preserve">) mantenimiento preventivo de centrales y redes de gases, y </w:t>
      </w:r>
      <w:proofErr w:type="spellStart"/>
      <w:r w:rsidRPr="00B76D39">
        <w:rPr>
          <w:rFonts w:ascii="Verdana" w:eastAsia="Aptos" w:hAnsi="Verdana" w:cs="Times New Roman"/>
          <w:kern w:val="2"/>
          <w14:ligatures w14:val="standardContextual"/>
        </w:rPr>
        <w:t>iii</w:t>
      </w:r>
      <w:proofErr w:type="spellEnd"/>
      <w:r w:rsidRPr="00B76D39">
        <w:rPr>
          <w:rFonts w:ascii="Verdana" w:eastAsia="Aptos" w:hAnsi="Verdana" w:cs="Times New Roman"/>
          <w:kern w:val="2"/>
          <w14:ligatures w14:val="standardContextual"/>
        </w:rPr>
        <w:t>) contratación del servicio de mantenimiento de las plantas de tratamiento de aguas residuales (PTAR). Sobre el particular, se realizan las siguientes consideraciones:</w:t>
      </w:r>
    </w:p>
    <w:p w14:paraId="40A820C5" w14:textId="77777777" w:rsidR="00B76D39" w:rsidRPr="00B76D39" w:rsidRDefault="00B76D39" w:rsidP="00B76D39">
      <w:pPr>
        <w:spacing w:after="120" w:line="276" w:lineRule="auto"/>
        <w:ind w:firstLine="708"/>
        <w:jc w:val="both"/>
        <w:rPr>
          <w:rFonts w:ascii="Verdana" w:eastAsia="Aptos" w:hAnsi="Verdana" w:cs="Times New Roman"/>
          <w:kern w:val="2"/>
          <w14:ligatures w14:val="standardContextual"/>
        </w:rPr>
      </w:pPr>
      <w:r w:rsidRPr="00B76D39">
        <w:rPr>
          <w:rFonts w:ascii="Verdana" w:eastAsia="Aptos" w:hAnsi="Verdana" w:cs="Times New Roman"/>
          <w:kern w:val="2"/>
          <w14:ligatures w14:val="standardContextual"/>
        </w:rPr>
        <w:t xml:space="preserve">i. Revisados los tipos de obra y las actividades a contratar dispuestos en la Matriz 1 – Experiencia de los documentos tipo del sector institucional, así como </w:t>
      </w:r>
      <w:r w:rsidRPr="00B76D39">
        <w:rPr>
          <w:rFonts w:ascii="Verdana" w:eastAsia="Aptos" w:hAnsi="Verdana" w:cs="Times New Roman"/>
          <w:kern w:val="2"/>
          <w14:ligatures w14:val="standardContextual"/>
        </w:rPr>
        <w:lastRenderedPageBreak/>
        <w:t xml:space="preserve">los contenidos en la Matriz 1 – Experiencia de los documentos tipo de infraestructura de agua potable y saneamiento básico, no se encuentra ninguna actividad dirigida al mantenimiento y la verificación de cabinas de extracción de seguridad biológica. </w:t>
      </w:r>
    </w:p>
    <w:p w14:paraId="0CFDEBC7" w14:textId="77777777" w:rsidR="00B76D39" w:rsidRPr="00B76D39" w:rsidRDefault="00B76D39" w:rsidP="00B76D39">
      <w:pPr>
        <w:spacing w:after="120" w:line="276" w:lineRule="auto"/>
        <w:ind w:firstLine="708"/>
        <w:jc w:val="both"/>
        <w:rPr>
          <w:rFonts w:ascii="Verdana" w:eastAsia="Aptos" w:hAnsi="Verdana" w:cs="Times New Roman"/>
          <w:kern w:val="2"/>
          <w14:ligatures w14:val="standardContextual"/>
        </w:rPr>
      </w:pPr>
      <w:r w:rsidRPr="00B76D39">
        <w:rPr>
          <w:rFonts w:ascii="Verdana" w:eastAsia="Aptos" w:hAnsi="Verdana" w:cs="Times New Roman"/>
          <w:kern w:val="2"/>
          <w14:ligatures w14:val="standardContextual"/>
        </w:rPr>
        <w:t>Si bien la matriz del sector institucional contempla el suministro y/o la instalación de equipos especiales, electromecánicos o electrónicos –numerales 1.12, 2.13 y 3.12–, así como de sistemas de aire acondicionado o ventilación –numerales 1.15, 2.14 y 3.15–, estas actividades no comprenden el mantenimiento ni la verificación de estos equipos. Por lo tanto, al no existir documentos tipo aplicables al proceso en mención, su uso no es obligatorio.</w:t>
      </w:r>
    </w:p>
    <w:p w14:paraId="044AEC57" w14:textId="77777777" w:rsidR="00B76D39" w:rsidRPr="00B76D39" w:rsidRDefault="00B76D39" w:rsidP="00B76D39">
      <w:pPr>
        <w:spacing w:after="0" w:line="276" w:lineRule="auto"/>
        <w:ind w:firstLine="708"/>
        <w:jc w:val="both"/>
        <w:rPr>
          <w:rFonts w:ascii="Verdana" w:eastAsia="Times New Roman" w:hAnsi="Verdana" w:cs="Times New Roman"/>
          <w:lang w:eastAsia="es-MX"/>
        </w:rPr>
      </w:pPr>
      <w:proofErr w:type="spellStart"/>
      <w:r w:rsidRPr="00B76D39">
        <w:rPr>
          <w:rFonts w:ascii="Verdana" w:eastAsia="Calibri" w:hAnsi="Verdana" w:cs="Times New Roman"/>
          <w:lang w:val="es-ES" w:eastAsia="es-MX"/>
        </w:rPr>
        <w:t>ii</w:t>
      </w:r>
      <w:proofErr w:type="spellEnd"/>
      <w:r w:rsidRPr="00B76D39">
        <w:rPr>
          <w:rFonts w:ascii="Verdana" w:eastAsia="Calibri" w:hAnsi="Verdana" w:cs="Times New Roman"/>
          <w:lang w:val="es-ES" w:eastAsia="es-MX"/>
        </w:rPr>
        <w:t xml:space="preserve">. </w:t>
      </w:r>
      <w:r w:rsidRPr="00B76D39">
        <w:rPr>
          <w:rFonts w:ascii="Verdana" w:eastAsia="Times New Roman" w:hAnsi="Verdana" w:cs="Times New Roman"/>
          <w:lang w:eastAsia="es-MX"/>
        </w:rPr>
        <w:t>Respecto al proceso cuyo objeto es el “mantenimiento preventivo de centrales y redes de gases”, se advierte lo siguiente. En la Matriz 1 – Experiencia de los documentos tipo del sector institucional en las modalidades adoptadas –licitación pública, selección abreviada de menor cuantía y mínima cuantía–, en el capítulo 2, “Obras en proyectos de infraestructura institucional de servicio público”, contempla la actividad “2.12.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COCCIÓN DE INFRAESTRUCTURA INSTITUCIONAL - SERVICIO PÚBLICO”. El capítulo 3, “Obras en proyectos de infraestructura institucional – sitios de reclusión”, contempla una actividad con el mismo alcance para ese tipo de infraestructura: “3.13.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COCCION DE INFRAESTRUCTURA INSTITUCIONAL - SITIOS DE RECLUSIÓN”.</w:t>
      </w:r>
    </w:p>
    <w:p w14:paraId="49597E2D"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 xml:space="preserve">Como se observa, estas actividades –2.12 y 3.13– incluyen expresamente el mantenimiento de redes de gases y similares en edificaciones de servicio </w:t>
      </w:r>
      <w:r w:rsidRPr="00B76D39">
        <w:rPr>
          <w:rFonts w:ascii="Verdana" w:eastAsia="Times New Roman" w:hAnsi="Verdana" w:cs="Times New Roman"/>
          <w:lang w:eastAsia="es-MX"/>
        </w:rPr>
        <w:lastRenderedPageBreak/>
        <w:t>público y sitios de reclusión. En este sentido, considerando que, de acuerdo con el numeral 1 del artículo 32 de la Ley 80 de 1993, son contratos de obra los que se celebran para la construcción, el mantenimiento, la instalación y, en general, cualquier otro trabajo material sobre bienes inmuebles. Esta categoría comprende los inmuebles por adhesión y por destinación, en los términos de los artículos 656 y 658 del Código Civil. Por ello, las centrales y redes de gases que se encuentran incorporadas de forma permanente a la edificación constituyen inmuebles por adhesión, y su mantenimiento corresponde a un trabajo material sobre bienes inmuebles.</w:t>
      </w:r>
    </w:p>
    <w:p w14:paraId="094A6383" w14:textId="77777777" w:rsidR="00B76D39" w:rsidRPr="00B76D39" w:rsidRDefault="00B76D39" w:rsidP="00B76D39">
      <w:pPr>
        <w:spacing w:after="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Por lo tanto, si la edificación en la que se encuentran las centrales y redes de gases corresponde a infraestructura institucional de servicio público o a un sitio de reclusión, la entidad estatal deberá aplicar de manera obligatoria los documentos tipo del sector institucional. Según la modalidad que corresponda por la cuantía, se aplicarán los adoptados mediante la Resolución 540 de 2025, para selección abreviada de menor cuantía, o la Resolución 541 de 2025, para mínima cuantía. Por el contrario, si el mantenimiento recae sobre equipos o elementos que no se encuentran incorporados a la edificación y que, por tanto, conservan su naturaleza de bienes muebles, la actividad no se enmarcaría en el contrato de obra pública y los documentos tipo no serían obligatorios.</w:t>
      </w:r>
    </w:p>
    <w:p w14:paraId="05D83FEE"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proofErr w:type="spellStart"/>
      <w:r w:rsidRPr="00B76D39">
        <w:rPr>
          <w:rFonts w:ascii="Verdana" w:eastAsia="Calibri" w:hAnsi="Verdana" w:cs="Times New Roman"/>
          <w:lang w:val="es-ES" w:eastAsia="es-MX"/>
        </w:rPr>
        <w:t>iii</w:t>
      </w:r>
      <w:proofErr w:type="spellEnd"/>
      <w:r w:rsidRPr="00B76D39">
        <w:rPr>
          <w:rFonts w:ascii="Verdana" w:eastAsia="Calibri" w:hAnsi="Verdana" w:cs="Times New Roman"/>
          <w:lang w:val="es-ES" w:eastAsia="es-MX"/>
        </w:rPr>
        <w:t xml:space="preserve">. </w:t>
      </w:r>
      <w:r w:rsidRPr="00B76D39">
        <w:rPr>
          <w:rFonts w:ascii="Verdana" w:eastAsia="Times New Roman" w:hAnsi="Verdana" w:cs="Times New Roman"/>
          <w:lang w:eastAsia="es-MX"/>
        </w:rPr>
        <w:t>En relación con el proceso que tiene por objeto “la contratación del servicio de mantenimiento de las plantas de tratamiento de aguas residuales (PTAR)”, debe indicarse, en primer lugar, que una Planta de Tratamiento de Agua Residual –PTAR– es una infraestructura construida y adherida al suelo, esto es, un bien inmueble. Por ello, las actividades de mantenimiento que recaen sobre ella constituyen un trabajo material sobre bienes inmuebles y se enmarcan en el contrato de obra pública definido en el numeral 1 del artículo 32 de la Ley 80 de 1993. Esto es así con independencia de que el objeto contractual se denomine “servicio de mantenimiento”.</w:t>
      </w:r>
    </w:p>
    <w:p w14:paraId="54194ECC"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 xml:space="preserve">En segundo lugar, la Matriz 1 – Experiencia de los documentos tipo de infraestructura de agua potable y saneamiento básico contempla, dentro del capítulo tres (3) “Obras para PTAP (Planta de Tratamiento de Agua Potable) y/o PTAR (Planta de Tratamiento de Aguas Residuales)”, la actividad “3.3 Proyectos de optimización y/o mejoramiento y/o adecuación y/o reforzamiento y/o rehabilitación y/o mantenimiento de PTAR y/u obras complementarias”. Sin embargo, en este sector, –como se señaló en el punto uno (i) de este concepto– </w:t>
      </w:r>
      <w:r w:rsidRPr="00B76D39">
        <w:rPr>
          <w:rFonts w:ascii="Verdana" w:eastAsia="Times New Roman" w:hAnsi="Verdana" w:cs="Times New Roman"/>
          <w:lang w:eastAsia="es-MX"/>
        </w:rPr>
        <w:lastRenderedPageBreak/>
        <w:t>esta Agencia solo ha adoptado documentos tipo para las modalidades de licitación pública, mediante la Resolución 248 de 2020, y de licitación pública en la modalidad llave en mano, mediante la Resolución 249 de 2020. También adoptó documentos tipo para el concurso de méritos de interventoría, mediante la Resolución 333 de 2022. En consecuencia, a la fecha no existen documentos tipo del sector de agua potable y saneamiento básico para las modalidades de selección abreviada de menor cuantía y mínima cuantía, por lo que en estas modalidades su aplicación no es obligatoria.</w:t>
      </w:r>
    </w:p>
    <w:p w14:paraId="69F0D0EF"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En tercer lugar, la Matriz 1 – Experiencia de los documentos tipo del sector institucional no contiene ninguna actividad dirigida a plantas de tratamiento de aguas residuales. Las actividades 2.6 y 3.6 se refieren a baterías sanitarias, redes hidrosanitarias, tanques de almacenamiento y sistemas de bombeo, es decir, a las instalaciones internas de la edificación, y no a sistemas de tratamiento. Por lo tanto, un proceso cuyo objeto sea únicamente el mantenimiento de una PTAR no se encuadra en ninguna de las actividades de esta matriz.</w:t>
      </w:r>
    </w:p>
    <w:p w14:paraId="568C3F15"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 xml:space="preserve">Distinto es el caso en que el mantenimiento de la PTAR sea solo un componente de un proceso cuyo objeto principal sí corresponda a una actividad de la matriz del sector institucional, como el mantenimiento general de una edificación de servicio público o de un sitio de reclusión. En ese supuesto, son los documentos tipo del sector institucional los que resultan aplicables </w:t>
      </w:r>
      <w:proofErr w:type="gramStart"/>
      <w:r w:rsidRPr="00B76D39">
        <w:rPr>
          <w:rFonts w:ascii="Verdana" w:eastAsia="Times New Roman" w:hAnsi="Verdana" w:cs="Times New Roman"/>
          <w:lang w:eastAsia="es-MX"/>
        </w:rPr>
        <w:t>en razón del</w:t>
      </w:r>
      <w:proofErr w:type="gramEnd"/>
      <w:r w:rsidRPr="00B76D39">
        <w:rPr>
          <w:rFonts w:ascii="Verdana" w:eastAsia="Times New Roman" w:hAnsi="Verdana" w:cs="Times New Roman"/>
          <w:lang w:eastAsia="es-MX"/>
        </w:rPr>
        <w:t xml:space="preserve"> objeto principal, y la entidad puede acudir a las reglas de combinación de experiencia del numeral 3.5.1 del documento base, en concordancia con la actividad de mantenimiento de PTAR de la Matriz 1 de agua potable y saneamiento básico, tal como lo señaló esta Agencia en el concepto C-429 de 2026</w:t>
      </w:r>
      <w:r w:rsidRPr="00B76D39">
        <w:rPr>
          <w:rFonts w:ascii="Verdana" w:eastAsia="Times New Roman" w:hAnsi="Verdana" w:cs="Times New Roman"/>
          <w:vertAlign w:val="superscript"/>
          <w:lang w:eastAsia="es-MX"/>
        </w:rPr>
        <w:footnoteReference w:id="7"/>
      </w:r>
      <w:r w:rsidRPr="00B76D39">
        <w:rPr>
          <w:rFonts w:ascii="Verdana" w:eastAsia="Times New Roman" w:hAnsi="Verdana" w:cs="Times New Roman"/>
          <w:lang w:eastAsia="es-MX"/>
        </w:rPr>
        <w:t>.</w:t>
      </w:r>
    </w:p>
    <w:p w14:paraId="5D5CF5CC" w14:textId="77777777" w:rsidR="00B76D39" w:rsidRPr="00B76D39" w:rsidRDefault="00B76D39" w:rsidP="00B76D39">
      <w:pPr>
        <w:snapToGrid w:val="0"/>
        <w:spacing w:after="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En consecuencia, al no existir una actividad dirigida a PTAR en la matriz del sector institucional, ni documentos tipo del sector de agua potable y saneamiento básico para las modalidades de selección abreviada de menor cuantía y mínima cuantía, la aplicación de los documentos tipo no es obligatoria para el proceso en mención.</w:t>
      </w:r>
    </w:p>
    <w:p w14:paraId="524E85E6" w14:textId="77777777" w:rsidR="00B76D39" w:rsidRPr="00B76D39" w:rsidRDefault="00B76D39" w:rsidP="00B76D39">
      <w:pPr>
        <w:snapToGrid w:val="0"/>
        <w:spacing w:after="0" w:line="276" w:lineRule="auto"/>
        <w:ind w:firstLine="708"/>
        <w:jc w:val="both"/>
        <w:rPr>
          <w:rFonts w:ascii="Verdana" w:eastAsia="Times New Roman" w:hAnsi="Verdana" w:cs="Times New Roman"/>
          <w:lang w:eastAsia="es-MX"/>
        </w:rPr>
      </w:pPr>
    </w:p>
    <w:p w14:paraId="2973ACE3" w14:textId="77777777" w:rsidR="00B76D39" w:rsidRPr="00B76D39" w:rsidRDefault="00B76D39" w:rsidP="00B76D39">
      <w:pPr>
        <w:snapToGrid w:val="0"/>
        <w:spacing w:after="120" w:line="276" w:lineRule="auto"/>
        <w:jc w:val="both"/>
        <w:rPr>
          <w:rFonts w:ascii="Verdana" w:eastAsia="Times New Roman" w:hAnsi="Verdana" w:cs="Times New Roman"/>
          <w:lang w:eastAsia="es-MX"/>
        </w:rPr>
      </w:pPr>
      <w:proofErr w:type="spellStart"/>
      <w:r w:rsidRPr="00B76D39">
        <w:rPr>
          <w:rFonts w:ascii="Verdana" w:eastAsia="Times New Roman" w:hAnsi="Verdana" w:cs="Times New Roman"/>
          <w:lang w:eastAsia="es-MX"/>
        </w:rPr>
        <w:t>iv</w:t>
      </w:r>
      <w:proofErr w:type="spellEnd"/>
      <w:r w:rsidRPr="00B76D39">
        <w:rPr>
          <w:rFonts w:ascii="Verdana" w:eastAsia="Times New Roman" w:hAnsi="Verdana" w:cs="Times New Roman"/>
          <w:lang w:eastAsia="es-MX"/>
        </w:rPr>
        <w:t>. Sobre si una entidad estatal puede integrar la Matriz 1 – Experiencia de los documentos tipo de licitación de obra pública de agua potable y saneamiento básico con los documentos tipo de selección abreviada de menor cuantía de obra pública de infraestructura social – institucional, deben distinguirse dos supuestos.</w:t>
      </w:r>
    </w:p>
    <w:p w14:paraId="55BC3C42" w14:textId="77777777" w:rsidR="00B76D39" w:rsidRPr="00B76D39" w:rsidRDefault="00B76D39" w:rsidP="00B76D39">
      <w:pPr>
        <w:snapToGrid w:val="0"/>
        <w:spacing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En el primero, el objeto del proceso corresponde únicamente al mantenimiento de una PTAR. Como se explicó, la Matriz 1 – Experiencia del sector institucional no contiene ninguna actividad dirigida a plantas de tratamiento de aguas residuales, y en el sector de agua potable y saneamiento básico no se han adoptado documentos tipo para la modalidad de selección abreviada de menor cuantía. En consecuencia, ninguno de estos documentos tipo tiene fuerza obligatoria para dicho proceso, y la entidad deberá estructurarlo conforme a la normativa vigente en materia de compras y contratación pública. En particular, deberá fijar requisitos habilitantes adecuados y proporcionales a la naturaleza y valor del contrato, de conformidad con el numeral 1 del artículo 5 de la Ley 1150 de 2007 y el artículo 2.2.1.1.1.6.2 del Decreto 1082 de 2015.</w:t>
      </w:r>
    </w:p>
    <w:p w14:paraId="316087DE" w14:textId="77777777" w:rsidR="00B76D39" w:rsidRPr="00B76D39" w:rsidRDefault="00B76D39" w:rsidP="00B76D39">
      <w:pPr>
        <w:snapToGrid w:val="0"/>
        <w:spacing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No obstante, tal como lo ha señalado esta Agencia en el concepto C-1550 de 2025</w:t>
      </w:r>
      <w:r w:rsidRPr="00B76D39">
        <w:rPr>
          <w:rFonts w:ascii="Verdana" w:eastAsia="Times New Roman" w:hAnsi="Verdana" w:cs="Times New Roman"/>
          <w:vertAlign w:val="superscript"/>
          <w:lang w:eastAsia="es-MX"/>
        </w:rPr>
        <w:footnoteReference w:id="8"/>
      </w:r>
      <w:r w:rsidRPr="00B76D39">
        <w:rPr>
          <w:rFonts w:ascii="Verdana" w:eastAsia="Times New Roman" w:hAnsi="Verdana" w:cs="Times New Roman"/>
          <w:lang w:eastAsia="es-MX"/>
        </w:rPr>
        <w:t>, cuando los documentos tipo no resultan obligatorios, las entidades pueden observarlos de forma facultativa, como una estrategia para adoptar e incorporar políticas de buenas prácticas contractuales, realizando las adaptaciones que consideren pertinentes. Bajo este criterio, nada impide que la entidad tome como referencia la actividad de mantenimiento de PTAR de la Matriz 1 – Experiencia de agua potable y saneamiento básico y la estructura de los documentos tipo de selección abreviada de menor cuantía. En este supuesto, el pliego de condiciones resultante no constituye un documento tipo, pues no se aplica por mandato de las resoluciones que los adoptan, sino como referente de buenas prácticas. Por lo tanto, corresponde a la entidad garantizar que las condiciones de experiencia sean coherentes con el objeto y proporcionales a la cuantía del proceso, considerando que la Matriz 1 de agua potable y saneamiento básico fue concebida para procesos de licitación pública.</w:t>
      </w:r>
    </w:p>
    <w:p w14:paraId="5F492BF5" w14:textId="77777777" w:rsidR="00B76D39" w:rsidRPr="00B76D39" w:rsidRDefault="00B76D39" w:rsidP="00B76D39">
      <w:pPr>
        <w:snapToGrid w:val="0"/>
        <w:spacing w:after="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lastRenderedPageBreak/>
        <w:t xml:space="preserve">En el segundo supuesto, el mantenimiento de la PTAR es solo un componente de un proceso cuyo objeto principal sí corresponde a una actividad de la Matriz 1 – Experiencia del sector institucional, como el mantenimiento general de una edificación de servicio público o de un sitio de reclusión. En ese caso, los documentos tipo del sector institucional son de obligatoria aplicación </w:t>
      </w:r>
      <w:proofErr w:type="gramStart"/>
      <w:r w:rsidRPr="00B76D39">
        <w:rPr>
          <w:rFonts w:ascii="Verdana" w:eastAsia="Times New Roman" w:hAnsi="Verdana" w:cs="Times New Roman"/>
          <w:lang w:eastAsia="es-MX"/>
        </w:rPr>
        <w:t>en razón del</w:t>
      </w:r>
      <w:proofErr w:type="gramEnd"/>
      <w:r w:rsidRPr="00B76D39">
        <w:rPr>
          <w:rFonts w:ascii="Verdana" w:eastAsia="Times New Roman" w:hAnsi="Verdana" w:cs="Times New Roman"/>
          <w:lang w:eastAsia="es-MX"/>
        </w:rPr>
        <w:t xml:space="preserve"> objeto principal y están sujetos a la regla de inalterabilidad, por lo que solo pueden modificarse en los aspectos que ellos mismos permiten. Dentro de ese marco, la entidad puede acudir a las reglas de combinación de experiencia del numeral 3.5.1 del documento base, en concordancia con la actividad de mantenimiento de PTAR de la Matriz 1 de agua potable y saneamiento básico, tal como lo señaló esta Agencia en el concepto C-429 de 2026. En este supuesto, la matriz de agua potable no se integra al documento tipo, sino que se utiliza como referente para la combinación de experiencia que el propio documento base permite.</w:t>
      </w:r>
    </w:p>
    <w:p w14:paraId="15284DD1" w14:textId="77777777" w:rsidR="00B76D39" w:rsidRPr="00B76D39" w:rsidRDefault="00B76D39" w:rsidP="00B76D39">
      <w:pPr>
        <w:spacing w:after="0" w:line="276" w:lineRule="auto"/>
        <w:jc w:val="both"/>
        <w:rPr>
          <w:rFonts w:ascii="Verdana" w:eastAsia="Times New Roman" w:hAnsi="Verdana" w:cs="Times New Roman"/>
          <w:lang w:eastAsia="es-MX"/>
        </w:rPr>
      </w:pPr>
    </w:p>
    <w:p w14:paraId="463E0F69" w14:textId="77777777" w:rsidR="00B76D39" w:rsidRPr="00B76D39" w:rsidRDefault="00B76D39" w:rsidP="00B76D39">
      <w:pPr>
        <w:spacing w:after="0" w:line="276" w:lineRule="auto"/>
        <w:jc w:val="both"/>
        <w:rPr>
          <w:rFonts w:ascii="Verdana" w:eastAsia="Times New Roman" w:hAnsi="Verdana" w:cs="Times New Roman"/>
          <w:lang w:eastAsia="es-MX"/>
        </w:rPr>
      </w:pPr>
      <w:r w:rsidRPr="00B76D39">
        <w:rPr>
          <w:rFonts w:ascii="Verdana" w:eastAsia="Times New Roman" w:hAnsi="Verdana" w:cs="Times New Roman"/>
          <w:lang w:eastAsia="es-MX"/>
        </w:rPr>
        <w:t xml:space="preserve">v. 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p w14:paraId="55E209BB" w14:textId="77777777" w:rsidR="00B76D39" w:rsidRPr="00B76D39" w:rsidRDefault="00B76D39" w:rsidP="00B76D39">
      <w:pPr>
        <w:spacing w:before="120" w:after="12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B9C3BED" w14:textId="77777777" w:rsidR="00B76D39" w:rsidRPr="00B76D39" w:rsidRDefault="00B76D39" w:rsidP="00B76D39">
      <w:pPr>
        <w:spacing w:after="0" w:line="276" w:lineRule="auto"/>
        <w:ind w:firstLine="708"/>
        <w:jc w:val="both"/>
        <w:rPr>
          <w:rFonts w:ascii="Verdana" w:eastAsia="Times New Roman" w:hAnsi="Verdana" w:cs="Times New Roman"/>
          <w:lang w:eastAsia="es-MX"/>
        </w:rPr>
      </w:pPr>
      <w:r w:rsidRPr="00B76D39">
        <w:rPr>
          <w:rFonts w:ascii="Verdana" w:eastAsia="Times New Roman" w:hAnsi="Verdana" w:cs="Times New Roman"/>
          <w:lang w:eastAsia="es-MX"/>
        </w:rPr>
        <w:t xml:space="preserve">Dentro de este marco, la entidad contratante definirá en cada caso concreto lo relacionado con el tema objeto de consulta. Al tratarse de un análisis </w:t>
      </w:r>
      <w:r w:rsidRPr="00B76D39">
        <w:rPr>
          <w:rFonts w:ascii="Verdana" w:eastAsia="Times New Roman" w:hAnsi="Verdana" w:cs="Times New Roman"/>
          <w:lang w:eastAsia="es-MX"/>
        </w:rPr>
        <w:lastRenderedPageBreak/>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3B3C9A5" w14:textId="77777777" w:rsidR="00B76D39" w:rsidRPr="00B76D39" w:rsidRDefault="00B76D39" w:rsidP="00B76D39">
      <w:pPr>
        <w:spacing w:after="0" w:line="276" w:lineRule="auto"/>
        <w:jc w:val="both"/>
        <w:rPr>
          <w:rFonts w:ascii="Verdana" w:eastAsia="Calibri" w:hAnsi="Verdana" w:cs="Times New Roman"/>
        </w:rPr>
      </w:pPr>
    </w:p>
    <w:p w14:paraId="734B6A8C" w14:textId="77777777" w:rsidR="00B76D39" w:rsidRPr="00B76D39" w:rsidRDefault="00B76D39" w:rsidP="00B76D39">
      <w:pPr>
        <w:tabs>
          <w:tab w:val="left" w:pos="142"/>
          <w:tab w:val="left" w:pos="284"/>
        </w:tabs>
        <w:spacing w:after="0" w:line="276" w:lineRule="auto"/>
        <w:jc w:val="both"/>
        <w:rPr>
          <w:rFonts w:ascii="Verdana" w:eastAsia="Century Gothic" w:hAnsi="Verdana" w:cs="Century Gothic"/>
          <w:b/>
          <w:bCs/>
          <w:lang w:val="es-ES_tradnl"/>
        </w:rPr>
      </w:pPr>
      <w:r w:rsidRPr="00B76D39">
        <w:rPr>
          <w:rFonts w:ascii="Verdana" w:eastAsia="Century Gothic" w:hAnsi="Verdana" w:cs="Century Gothic"/>
          <w:b/>
          <w:bCs/>
          <w:lang w:val="es-ES_tradnl"/>
        </w:rPr>
        <w:t>4. Referencias normativas, jurisprudenciales y otras fuentes:</w:t>
      </w:r>
    </w:p>
    <w:p w14:paraId="2F437220" w14:textId="77777777" w:rsidR="00B76D39" w:rsidRPr="00B76D39" w:rsidRDefault="00B76D39" w:rsidP="00B76D39">
      <w:pPr>
        <w:spacing w:after="0"/>
        <w:ind w:left="-15840"/>
        <w:jc w:val="both"/>
        <w:rPr>
          <w:rFonts w:ascii="Verdana" w:eastAsia="Calibri" w:hAnsi="Verdana" w:cs="Arial"/>
          <w:b/>
          <w:bCs/>
        </w:rPr>
      </w:pPr>
      <w:r w:rsidRPr="00B76D39">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B76D39" w:rsidRPr="00B76D39" w14:paraId="6BB2DAAC" w14:textId="77777777" w:rsidTr="009E3879">
        <w:trPr>
          <w:trHeight w:val="870"/>
        </w:trPr>
        <w:tc>
          <w:tcPr>
            <w:tcW w:w="8647" w:type="dxa"/>
            <w:tcBorders>
              <w:top w:val="dotted" w:sz="4" w:space="0" w:color="auto"/>
              <w:left w:val="dotted" w:sz="4" w:space="0" w:color="auto"/>
              <w:bottom w:val="dotted" w:sz="4" w:space="0" w:color="auto"/>
              <w:right w:val="dotted" w:sz="4" w:space="0" w:color="auto"/>
            </w:tcBorders>
          </w:tcPr>
          <w:p w14:paraId="497DF371" w14:textId="77777777" w:rsidR="00B76D39" w:rsidRPr="00B76D39" w:rsidRDefault="00B76D39" w:rsidP="00B76D39">
            <w:pPr>
              <w:widowControl w:val="0"/>
              <w:numPr>
                <w:ilvl w:val="0"/>
                <w:numId w:val="18"/>
              </w:numPr>
              <w:autoSpaceDE w:val="0"/>
              <w:autoSpaceDN w:val="0"/>
              <w:spacing w:line="276" w:lineRule="auto"/>
              <w:contextualSpacing/>
              <w:jc w:val="both"/>
              <w:rPr>
                <w:rFonts w:ascii="Verdana" w:eastAsia="Calibri" w:hAnsi="Verdana" w:cs="Arial"/>
                <w:lang w:val="es-ES_tradnl"/>
              </w:rPr>
            </w:pPr>
            <w:r w:rsidRPr="00B76D39">
              <w:rPr>
                <w:rFonts w:ascii="Verdana" w:eastAsia="Calibri" w:hAnsi="Verdana" w:cs="Arial"/>
                <w:lang w:val="es-ES_tradnl"/>
              </w:rPr>
              <w:t xml:space="preserve">Ley 2022 de 2020, artículo 1. </w:t>
            </w:r>
          </w:p>
          <w:p w14:paraId="7FF10A44" w14:textId="77777777" w:rsidR="00B76D39" w:rsidRPr="00B76D39" w:rsidRDefault="00B76D39" w:rsidP="00B76D39">
            <w:pPr>
              <w:widowControl w:val="0"/>
              <w:numPr>
                <w:ilvl w:val="0"/>
                <w:numId w:val="16"/>
              </w:numPr>
              <w:autoSpaceDE w:val="0"/>
              <w:autoSpaceDN w:val="0"/>
              <w:spacing w:line="276" w:lineRule="auto"/>
              <w:jc w:val="both"/>
              <w:rPr>
                <w:rFonts w:ascii="Verdana" w:eastAsia="Calibri" w:hAnsi="Verdana" w:cs="Arial"/>
              </w:rPr>
            </w:pPr>
            <w:r w:rsidRPr="00B76D39">
              <w:rPr>
                <w:rFonts w:ascii="Verdana" w:eastAsia="Calibri" w:hAnsi="Verdana" w:cs="Arial"/>
              </w:rPr>
              <w:t>Ley 1150 de 2007, artículo 2.</w:t>
            </w:r>
          </w:p>
          <w:p w14:paraId="5D23D933" w14:textId="77777777" w:rsidR="00B76D39" w:rsidRPr="00B76D39" w:rsidRDefault="00B76D39" w:rsidP="00B76D39">
            <w:pPr>
              <w:widowControl w:val="0"/>
              <w:numPr>
                <w:ilvl w:val="0"/>
                <w:numId w:val="16"/>
              </w:numPr>
              <w:autoSpaceDE w:val="0"/>
              <w:autoSpaceDN w:val="0"/>
              <w:spacing w:line="276" w:lineRule="auto"/>
              <w:contextualSpacing/>
              <w:jc w:val="both"/>
              <w:rPr>
                <w:rFonts w:ascii="Verdana" w:eastAsia="Calibri" w:hAnsi="Verdana" w:cs="Arial"/>
              </w:rPr>
            </w:pPr>
            <w:r w:rsidRPr="00B76D39">
              <w:rPr>
                <w:rFonts w:ascii="Verdana" w:eastAsia="Calibri" w:hAnsi="Verdana" w:cs="Arial"/>
                <w:lang w:val="es-ES_tradnl"/>
              </w:rPr>
              <w:t xml:space="preserve">Documentos Tipo. Disponibles en: </w:t>
            </w:r>
            <w:hyperlink r:id="rId11" w:history="1">
              <w:r w:rsidRPr="00B76D39">
                <w:rPr>
                  <w:rFonts w:ascii="Verdana" w:eastAsia="Calibri" w:hAnsi="Verdana" w:cs="Arial"/>
                  <w:color w:val="0000FF"/>
                  <w:u w:val="single"/>
                  <w:lang w:val="es-ES_tradnl"/>
                </w:rPr>
                <w:t>https://www.colombiacompra.gov.co/documentos-tipo/documentos-tipo</w:t>
              </w:r>
            </w:hyperlink>
            <w:r w:rsidRPr="00B76D39">
              <w:rPr>
                <w:rFonts w:ascii="Verdana" w:eastAsia="Calibri" w:hAnsi="Verdana" w:cs="Arial"/>
                <w:lang w:val="es-ES_tradnl"/>
              </w:rPr>
              <w:t>.</w:t>
            </w:r>
          </w:p>
          <w:p w14:paraId="4350552A" w14:textId="77777777" w:rsidR="00B76D39" w:rsidRPr="00B76D39" w:rsidRDefault="00B76D39" w:rsidP="00B76D39">
            <w:pPr>
              <w:widowControl w:val="0"/>
              <w:numPr>
                <w:ilvl w:val="0"/>
                <w:numId w:val="16"/>
              </w:numPr>
              <w:autoSpaceDE w:val="0"/>
              <w:autoSpaceDN w:val="0"/>
              <w:spacing w:line="276" w:lineRule="auto"/>
              <w:jc w:val="both"/>
              <w:rPr>
                <w:rFonts w:ascii="Verdana" w:eastAsia="Calibri" w:hAnsi="Verdana" w:cs="Arial"/>
                <w:lang w:val="es-ES_tradnl"/>
              </w:rPr>
            </w:pPr>
            <w:r w:rsidRPr="00B76D39">
              <w:rPr>
                <w:rFonts w:ascii="Verdana" w:eastAsia="Calibri" w:hAnsi="Verdana" w:cs="Arial"/>
                <w:lang w:val="es-ES_tradnl"/>
              </w:rPr>
              <w:t xml:space="preserve">ALESSANDRI RODRÍGUEZ, Arturo. De los contratos. Santiago de Chile: Editorial Jurídica EDIAR-CONOCSUR LTDA, 1988. p. 182. </w:t>
            </w:r>
          </w:p>
          <w:p w14:paraId="7BE00BB7" w14:textId="77777777" w:rsidR="00B76D39" w:rsidRPr="00B76D39" w:rsidRDefault="00B76D39" w:rsidP="00B76D39">
            <w:pPr>
              <w:widowControl w:val="0"/>
              <w:numPr>
                <w:ilvl w:val="0"/>
                <w:numId w:val="16"/>
              </w:numPr>
              <w:autoSpaceDE w:val="0"/>
              <w:autoSpaceDN w:val="0"/>
              <w:spacing w:line="276" w:lineRule="auto"/>
              <w:jc w:val="both"/>
              <w:rPr>
                <w:rFonts w:ascii="Verdana" w:eastAsia="Calibri" w:hAnsi="Verdana" w:cs="Arial"/>
                <w:lang w:val="es-ES"/>
              </w:rPr>
            </w:pPr>
            <w:r w:rsidRPr="00B76D39">
              <w:rPr>
                <w:rFonts w:ascii="Verdana" w:eastAsia="Calibri" w:hAnsi="Verdana" w:cs="Arial"/>
                <w:lang w:val="es-ES"/>
              </w:rPr>
              <w:t>OSPINA MENA, Jesús Marino. Régimen de la Contratación Estatal. Un salto a la contratación liquida. Bogotá: Dike, 2020. p. 168.</w:t>
            </w:r>
          </w:p>
          <w:p w14:paraId="5D2E550E" w14:textId="77777777" w:rsidR="00B76D39" w:rsidRPr="00B76D39" w:rsidRDefault="00B76D39" w:rsidP="00B76D39">
            <w:pPr>
              <w:widowControl w:val="0"/>
              <w:numPr>
                <w:ilvl w:val="0"/>
                <w:numId w:val="16"/>
              </w:numPr>
              <w:autoSpaceDE w:val="0"/>
              <w:autoSpaceDN w:val="0"/>
              <w:spacing w:line="276" w:lineRule="auto"/>
              <w:jc w:val="both"/>
              <w:rPr>
                <w:rFonts w:ascii="Verdana" w:eastAsia="Calibri" w:hAnsi="Verdana" w:cs="Arial"/>
                <w:lang w:val="es-ES_tradnl"/>
              </w:rPr>
            </w:pPr>
            <w:r w:rsidRPr="00B76D39">
              <w:rPr>
                <w:rFonts w:ascii="Verdana" w:eastAsia="Calibri" w:hAnsi="Verdana" w:cs="Arial"/>
                <w:lang w:val="es-ES_tradnl"/>
              </w:rPr>
              <w:t>CONSEJO DE ESTADO. Sala de Consulta y Servicio Civil. Concepto del 5 de septiembre de 2018. Rad. 2.386. C.P. Edgar González López.</w:t>
            </w:r>
          </w:p>
          <w:p w14:paraId="5581D160" w14:textId="77777777" w:rsidR="00B76D39" w:rsidRPr="00B76D39" w:rsidRDefault="00B76D39" w:rsidP="00B76D39">
            <w:pPr>
              <w:widowControl w:val="0"/>
              <w:numPr>
                <w:ilvl w:val="0"/>
                <w:numId w:val="16"/>
              </w:numPr>
              <w:autoSpaceDE w:val="0"/>
              <w:autoSpaceDN w:val="0"/>
              <w:spacing w:line="276" w:lineRule="auto"/>
              <w:jc w:val="both"/>
              <w:rPr>
                <w:rFonts w:ascii="Verdana" w:eastAsia="Calibri" w:hAnsi="Verdana" w:cs="Arial"/>
                <w:lang w:val="es-ES_tradnl"/>
              </w:rPr>
            </w:pPr>
            <w:r w:rsidRPr="00B76D39">
              <w:rPr>
                <w:rFonts w:ascii="Verdana" w:eastAsia="Calibri" w:hAnsi="Verdana" w:cs="Arial"/>
                <w:lang w:val="es-ES_tradnl"/>
              </w:rPr>
              <w:t>VELÁSQUEZ JARAMILLO, Luis Guillermo. Bienes. Duodécima edición. Bogotá: Temis, 2010. p. 22.</w:t>
            </w:r>
          </w:p>
          <w:p w14:paraId="704A412A" w14:textId="77777777" w:rsidR="00B76D39" w:rsidRPr="00B76D39" w:rsidRDefault="00B76D39" w:rsidP="00B76D39">
            <w:pPr>
              <w:widowControl w:val="0"/>
              <w:numPr>
                <w:ilvl w:val="0"/>
                <w:numId w:val="16"/>
              </w:numPr>
              <w:autoSpaceDE w:val="0"/>
              <w:autoSpaceDN w:val="0"/>
              <w:spacing w:line="276" w:lineRule="auto"/>
              <w:contextualSpacing/>
              <w:jc w:val="both"/>
              <w:rPr>
                <w:rFonts w:ascii="Verdana" w:eastAsia="Calibri" w:hAnsi="Verdana" w:cs="Arial"/>
              </w:rPr>
            </w:pPr>
            <w:r w:rsidRPr="00B76D39">
              <w:rPr>
                <w:rFonts w:ascii="Verdana" w:eastAsia="Calibri" w:hAnsi="Verdana" w:cs="Arial"/>
                <w:lang w:val="es-ES_tradnl"/>
              </w:rPr>
              <w:t>MAZEUD, Henri, MAZEUD, León y MAZEUD, Jean. Lecciones de derecho civil. Parte Primera. Volumen I. Buenos Aires: EJEA, 1976. p. 305-306.</w:t>
            </w:r>
          </w:p>
        </w:tc>
      </w:tr>
    </w:tbl>
    <w:p w14:paraId="477BE069" w14:textId="77777777" w:rsidR="00B76D39" w:rsidRPr="00B76D39" w:rsidRDefault="00B76D39" w:rsidP="00B76D39">
      <w:pPr>
        <w:tabs>
          <w:tab w:val="left" w:pos="142"/>
          <w:tab w:val="left" w:pos="284"/>
        </w:tabs>
        <w:spacing w:after="0" w:line="276" w:lineRule="auto"/>
        <w:jc w:val="both"/>
        <w:rPr>
          <w:rFonts w:ascii="Verdana" w:eastAsia="Calibri" w:hAnsi="Verdana" w:cs="Arial"/>
        </w:rPr>
      </w:pPr>
    </w:p>
    <w:p w14:paraId="765CF395" w14:textId="77777777" w:rsidR="00B76D39" w:rsidRPr="00B76D39" w:rsidRDefault="00B76D39" w:rsidP="00B76D39">
      <w:pPr>
        <w:tabs>
          <w:tab w:val="left" w:pos="142"/>
          <w:tab w:val="left" w:pos="284"/>
        </w:tabs>
        <w:spacing w:after="0" w:line="276" w:lineRule="auto"/>
        <w:jc w:val="both"/>
        <w:rPr>
          <w:rFonts w:ascii="Verdana" w:eastAsia="Century Gothic" w:hAnsi="Verdana" w:cs="Century Gothic"/>
          <w:b/>
          <w:bCs/>
          <w:lang w:val="es-ES"/>
        </w:rPr>
      </w:pPr>
      <w:r w:rsidRPr="00B76D39">
        <w:rPr>
          <w:rFonts w:ascii="Verdana" w:eastAsia="Calibri" w:hAnsi="Verdana" w:cs="Arial"/>
          <w:b/>
          <w:bCs/>
        </w:rPr>
        <w:t>5</w:t>
      </w:r>
      <w:r w:rsidRPr="00B76D39">
        <w:rPr>
          <w:rFonts w:ascii="Verdana" w:eastAsia="Calibri" w:hAnsi="Verdana" w:cs="Arial"/>
        </w:rPr>
        <w:t>.</w:t>
      </w:r>
      <w:r w:rsidRPr="00B76D39">
        <w:rPr>
          <w:rFonts w:ascii="Verdana" w:eastAsia="Century Gothic" w:hAnsi="Verdana" w:cs="Century Gothic"/>
          <w:b/>
          <w:bCs/>
          <w:lang w:val="es-ES"/>
        </w:rPr>
        <w:t>Doctrina de la Agencia Nacional de Contratación Pública:</w:t>
      </w:r>
    </w:p>
    <w:p w14:paraId="66F99A5B" w14:textId="77777777" w:rsidR="00B76D39" w:rsidRPr="00B76D39" w:rsidRDefault="00B76D39" w:rsidP="00B76D39">
      <w:pPr>
        <w:widowControl w:val="0"/>
        <w:autoSpaceDE w:val="0"/>
        <w:autoSpaceDN w:val="0"/>
        <w:spacing w:after="0" w:line="276" w:lineRule="auto"/>
        <w:jc w:val="both"/>
        <w:rPr>
          <w:rFonts w:ascii="Verdana" w:eastAsia="Calibri" w:hAnsi="Verdana" w:cs="Arial"/>
        </w:rPr>
      </w:pPr>
    </w:p>
    <w:p w14:paraId="10A37F3C" w14:textId="77777777" w:rsidR="00B76D39" w:rsidRPr="00B76D39" w:rsidRDefault="00B76D39" w:rsidP="00B76D39">
      <w:pPr>
        <w:spacing w:after="0" w:line="276" w:lineRule="auto"/>
        <w:jc w:val="both"/>
        <w:rPr>
          <w:rFonts w:ascii="Verdana" w:eastAsia="Times New Roman" w:hAnsi="Verdana" w:cs="Times New Roman"/>
          <w:color w:val="000000"/>
          <w:kern w:val="2"/>
          <w:lang w:eastAsia="es-CO"/>
          <w14:ligatures w14:val="standardContextual"/>
        </w:rPr>
      </w:pPr>
      <w:r w:rsidRPr="00B76D39">
        <w:rPr>
          <w:rFonts w:ascii="Verdana" w:eastAsia="Calibri" w:hAnsi="Verdana" w:cs="Arial"/>
          <w:kern w:val="2"/>
          <w:shd w:val="clear" w:color="auto" w:fill="FFFFFF"/>
          <w:lang w:val="es-ES" w:eastAsia="es-MX"/>
          <w14:ligatures w14:val="standardContextual"/>
        </w:rPr>
        <w:t>La Agencia Nacional de Contratación Pública – Colombia Compra Eficiente se pronunció</w:t>
      </w:r>
      <w:r w:rsidRPr="00B76D39">
        <w:rPr>
          <w:rFonts w:ascii="Verdana" w:eastAsia="Calibri" w:hAnsi="Verdana" w:cs="Times New Roman"/>
          <w:kern w:val="2"/>
          <w:lang w:eastAsia="es-MX"/>
          <w14:ligatures w14:val="standardContextual"/>
        </w:rPr>
        <w:t xml:space="preserve"> </w:t>
      </w:r>
      <w:r w:rsidRPr="00B76D39">
        <w:rPr>
          <w:rFonts w:ascii="Verdana" w:eastAsia="Calibri" w:hAnsi="Verdana" w:cs="Arial"/>
          <w:kern w:val="2"/>
          <w:shd w:val="clear" w:color="auto" w:fill="FFFFFF"/>
          <w:lang w:val="es-ES" w:eastAsia="es-MX"/>
          <w14:ligatures w14:val="standardContextual"/>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w:t>
      </w:r>
      <w:r w:rsidRPr="00B76D39">
        <w:rPr>
          <w:rFonts w:ascii="Verdana" w:eastAsia="Calibri" w:hAnsi="Verdana" w:cs="Arial"/>
          <w:kern w:val="2"/>
          <w:shd w:val="clear" w:color="auto" w:fill="FFFFFF"/>
          <w:lang w:val="es-ES" w:eastAsia="es-MX"/>
          <w14:ligatures w14:val="standardContextual"/>
        </w:rPr>
        <w:lastRenderedPageBreak/>
        <w:t>de 2023, C-587 del 23 de octubre de 2024,</w:t>
      </w:r>
      <w:r w:rsidRPr="00B76D39">
        <w:rPr>
          <w:rFonts w:ascii="Verdana" w:eastAsia="Calibri" w:hAnsi="Verdana" w:cs="Arial"/>
          <w:kern w:val="2"/>
          <w:shd w:val="clear" w:color="auto" w:fill="FFFFFF"/>
          <w:lang w:val="es-ES" w:eastAsia="es-MX"/>
          <w14:ligatures w14:val="standardContextual"/>
        </w:rPr>
        <w:tab/>
        <w:t xml:space="preserve">C-636 del 1 de noviembre de 2024, C-777 del 9 de diciembre de 2024, C-971 del 21 de enero de 2025 y C-1813 del 31 de diciembre de 2025, entre otros. Concretamente, sobre los documentos tipo </w:t>
      </w:r>
      <w:r w:rsidRPr="00B76D39">
        <w:rPr>
          <w:rFonts w:ascii="Verdana" w:eastAsia="Times New Roman" w:hAnsi="Verdana" w:cs="Times New Roman"/>
          <w:color w:val="000000"/>
          <w:kern w:val="2"/>
          <w:lang w:eastAsia="es-CO"/>
          <w14:ligatures w14:val="standardContextual"/>
        </w:rPr>
        <w:t>complementarios del Sector Cultura, recreación y deporte – versión 2, esta Agencia se pronunció en los siguientes conceptos: C-182 del 19 de marzo de 2026, C-386 del 23 de abril de 2026, C-469 del 6 de mayo de 2026, C-692 del 8 de julio de 2026, C-790 del 1 de junio de 2026 y C-1318 del 25 de septiembre de 2026, entre otros.</w:t>
      </w:r>
    </w:p>
    <w:p w14:paraId="6B54E308" w14:textId="77777777" w:rsidR="00B76D39" w:rsidRPr="00B76D39" w:rsidRDefault="00B76D39" w:rsidP="00B76D39">
      <w:pPr>
        <w:spacing w:after="0" w:line="276" w:lineRule="auto"/>
        <w:jc w:val="both"/>
        <w:rPr>
          <w:rFonts w:ascii="Verdana" w:eastAsia="Times New Roman" w:hAnsi="Verdana" w:cs="Times New Roman"/>
          <w:color w:val="000000"/>
          <w:kern w:val="2"/>
          <w:lang w:eastAsia="es-CO"/>
          <w14:ligatures w14:val="standardContextual"/>
        </w:rPr>
      </w:pPr>
    </w:p>
    <w:p w14:paraId="329699A0" w14:textId="77777777" w:rsidR="00B76D39" w:rsidRPr="00B76D39" w:rsidRDefault="00B76D39" w:rsidP="00B76D39">
      <w:pPr>
        <w:spacing w:after="0" w:line="276" w:lineRule="auto"/>
        <w:jc w:val="both"/>
        <w:rPr>
          <w:rFonts w:ascii="Verdana" w:eastAsia="Calibri" w:hAnsi="Verdana" w:cs="Arial"/>
          <w:kern w:val="2"/>
          <w:shd w:val="clear" w:color="auto" w:fill="FFFFFF"/>
          <w:lang w:val="es-ES"/>
          <w14:ligatures w14:val="standardContextual"/>
        </w:rPr>
      </w:pPr>
      <w:r w:rsidRPr="00B76D39">
        <w:rPr>
          <w:rFonts w:ascii="Verdana" w:eastAsia="Calibri" w:hAnsi="Verdana" w:cs="Arial"/>
          <w:kern w:val="2"/>
          <w:shd w:val="clear" w:color="auto" w:fill="FFFFFF"/>
          <w:lang w:val="es-ES"/>
          <w14:ligatures w14:val="standardContextual"/>
        </w:rPr>
        <w:t xml:space="preserve">Ahora bien, esta Subdirección se ha pronunciado sobre el objeto y las características del contrato de obra pública en los Conceptos 4201913000008014 del 24 de diciembre del año 2019, C-530 del 13 de agosto de 2020, C-038 del 5 de abril de 2021, C-110 del 7 de marzo de 2025 y C-915 del 15 de julio de 2025, entre otros. Igualmente, la Subdirección se ha referido a los contratos Mixtos y objetos sociales con prestaciones mixtas en los conceptos con radicados 2201913000009572 y 2201913000009588 del 24 de diciembre de 2019, C-694 del 29 de diciembre de 2021, C-440 del 2 de septiembre de 2021, C–933 de 2022, C–484 del 09 de octubre de 2024, C-864 del 11 de agosto de 2025, C-1580 del 24 de diciembre de 2025, C-365 del 8 de abril de 2026, C-386 del 23 de abril de 2026, C-452 del 4 de mayo de 2026 y C-1188 del 8 de septiembre de 2026.  </w:t>
      </w:r>
    </w:p>
    <w:p w14:paraId="5690625F" w14:textId="77777777" w:rsidR="00B76D39" w:rsidRPr="00B76D39" w:rsidRDefault="00B76D39" w:rsidP="00B76D39">
      <w:pPr>
        <w:spacing w:after="0" w:line="240" w:lineRule="auto"/>
        <w:jc w:val="both"/>
        <w:rPr>
          <w:rFonts w:ascii="Verdana" w:eastAsia="Calibri" w:hAnsi="Verdana" w:cs="Arial"/>
          <w:color w:val="000000"/>
          <w:kern w:val="2"/>
          <w:shd w:val="clear" w:color="auto" w:fill="FFFFFF"/>
          <w:lang w:val="es-ES" w:eastAsia="es-MX"/>
          <w14:ligatures w14:val="standardContextual"/>
        </w:rPr>
      </w:pPr>
    </w:p>
    <w:p w14:paraId="7C1AA8C8" w14:textId="77777777" w:rsidR="00B76D39" w:rsidRPr="00B76D39" w:rsidRDefault="00B76D39" w:rsidP="00B76D39">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B76D39">
        <w:rPr>
          <w:rFonts w:ascii="Verdana" w:eastAsia="Calibri" w:hAnsi="Verdana" w:cs="Arial"/>
          <w:color w:val="000000"/>
          <w:kern w:val="2"/>
          <w:shd w:val="clear" w:color="auto" w:fill="FFFFFF"/>
          <w:lang w:eastAsia="es-MX"/>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B76D39">
          <w:rPr>
            <w:rFonts w:ascii="Verdana" w:eastAsia="Calibri" w:hAnsi="Verdana" w:cs="Arial"/>
            <w:color w:val="0000FF"/>
            <w:kern w:val="2"/>
            <w:u w:val="single"/>
            <w:shd w:val="clear" w:color="auto" w:fill="FFFFFF"/>
            <w:lang w:eastAsia="es-MX"/>
            <w14:ligatures w14:val="standardContextual"/>
          </w:rPr>
          <w:t>https://relatoria.colombiacompra.gov.co/</w:t>
        </w:r>
      </w:hyperlink>
      <w:r w:rsidRPr="00B76D39">
        <w:rPr>
          <w:rFonts w:ascii="Verdana" w:eastAsia="Calibri" w:hAnsi="Verdana" w:cs="Arial"/>
          <w:color w:val="0000FF"/>
          <w:kern w:val="2"/>
          <w:u w:val="single"/>
          <w:shd w:val="clear" w:color="auto" w:fill="FFFFFF"/>
          <w:lang w:eastAsia="es-MX"/>
          <w14:ligatures w14:val="standardContextual"/>
        </w:rPr>
        <w:t> .</w:t>
      </w:r>
    </w:p>
    <w:p w14:paraId="25C9EB6E" w14:textId="77777777" w:rsidR="00B76D39" w:rsidRPr="00B76D39" w:rsidRDefault="00B76D39" w:rsidP="00B76D39">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p w14:paraId="4E59AEA8" w14:textId="77777777" w:rsidR="00B76D39" w:rsidRPr="00B76D39" w:rsidRDefault="00B76D39" w:rsidP="00B76D39">
      <w:pPr>
        <w:spacing w:after="0" w:line="276" w:lineRule="auto"/>
        <w:jc w:val="both"/>
        <w:rPr>
          <w:rFonts w:ascii="Verdana" w:eastAsia="Aptos" w:hAnsi="Verdana" w:cs="Times New Roman"/>
          <w:kern w:val="2"/>
          <w14:ligatures w14:val="standardContextual"/>
        </w:rPr>
      </w:pPr>
      <w:r w:rsidRPr="00B76D39">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B76D39">
        <w:rPr>
          <w:rFonts w:ascii="Verdana" w:eastAsia="Aptos" w:hAnsi="Verdana" w:cs="Times New Roman"/>
          <w:b/>
          <w:bCs/>
          <w:color w:val="000000"/>
          <w:kern w:val="2"/>
          <w14:ligatures w14:val="standardContextual"/>
        </w:rPr>
        <w:t>Guía para la Exigencia y Constitución de Garantías en los Procesos de Contratación</w:t>
      </w:r>
      <w:r w:rsidRPr="00B76D39">
        <w:rPr>
          <w:rFonts w:ascii="Verdana" w:eastAsia="Aptos" w:hAnsi="Verdana" w:cs="Times New Roman"/>
          <w:color w:val="000000"/>
          <w:kern w:val="2"/>
          <w14:ligatures w14:val="standardContextual"/>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w:t>
      </w:r>
      <w:r w:rsidRPr="00B76D39">
        <w:rPr>
          <w:rFonts w:ascii="Verdana" w:eastAsia="Aptos" w:hAnsi="Verdana" w:cs="Times New Roman"/>
          <w:color w:val="000000"/>
          <w:kern w:val="2"/>
          <w14:ligatures w14:val="standardContextual"/>
        </w:rPr>
        <w:lastRenderedPageBreak/>
        <w:t>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B76D39">
          <w:rPr>
            <w:rFonts w:ascii="Verdana" w:eastAsia="Aptos" w:hAnsi="Verdana" w:cs="Times New Roman"/>
            <w:color w:val="0078D7"/>
            <w:kern w:val="2"/>
            <w:u w:val="single"/>
            <w14:ligatures w14:val="standardContextual"/>
          </w:rPr>
          <w:t>https://www.colombiacompra.gov.co/archivos/manual/guia-de-garantias-en-procesos-de-contratacion</w:t>
        </w:r>
      </w:hyperlink>
    </w:p>
    <w:p w14:paraId="618E38BF" w14:textId="77777777" w:rsidR="00B76D39" w:rsidRPr="00B76D39" w:rsidRDefault="00B76D39" w:rsidP="00B76D39">
      <w:pPr>
        <w:spacing w:after="0" w:line="276" w:lineRule="auto"/>
        <w:jc w:val="both"/>
        <w:rPr>
          <w:rFonts w:ascii="Verdana" w:eastAsia="Aptos" w:hAnsi="Verdana" w:cs="Times New Roman"/>
          <w:kern w:val="2"/>
          <w14:ligatures w14:val="standardContextual"/>
        </w:rPr>
      </w:pPr>
    </w:p>
    <w:p w14:paraId="2823EFCC" w14:textId="77777777" w:rsidR="00B76D39" w:rsidRPr="00B76D39" w:rsidRDefault="00B76D39" w:rsidP="00B76D39">
      <w:pPr>
        <w:spacing w:after="0" w:line="276" w:lineRule="auto"/>
        <w:jc w:val="both"/>
        <w:rPr>
          <w:rFonts w:ascii="Verdana" w:eastAsia="Aptos" w:hAnsi="Verdana" w:cs="Times New Roman"/>
          <w:kern w:val="2"/>
          <w14:ligatures w14:val="standardContextual"/>
        </w:rPr>
      </w:pPr>
      <w:r w:rsidRPr="00B76D39">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B76D39">
        <w:rPr>
          <w:rFonts w:ascii="Verdana" w:eastAsia="Aptos" w:hAnsi="Verdana" w:cs="Times New Roman"/>
          <w:b/>
          <w:bCs/>
          <w:color w:val="000000"/>
          <w:kern w:val="2"/>
          <w14:ligatures w14:val="standardContextual"/>
        </w:rPr>
        <w:t>Sistema Integral de Preferencias en favor de las personas con discapacidad</w:t>
      </w:r>
      <w:r w:rsidRPr="00B76D39">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B76D39">
        <w:rPr>
          <w:rFonts w:ascii="Verdana" w:eastAsia="Aptos" w:hAnsi="Verdana" w:cs="Times New Roman"/>
          <w:b/>
          <w:bCs/>
          <w:color w:val="000000"/>
          <w:kern w:val="2"/>
          <w14:ligatures w14:val="standardContextual"/>
        </w:rPr>
        <w:t>Circular Externa 003 del 12 de mayo de 2026, </w:t>
      </w:r>
      <w:r w:rsidRPr="00B76D39">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B76D39">
          <w:rPr>
            <w:rFonts w:ascii="Verdana" w:eastAsia="Aptos" w:hAnsi="Verdana" w:cs="Times New Roman"/>
            <w:color w:val="0078D7"/>
            <w:kern w:val="2"/>
            <w:u w:val="single"/>
            <w14:ligatures w14:val="standardContextual"/>
          </w:rPr>
          <w:t>https://www.colombiacompra.gov.co/archivos/circular/circular-externa-003-de-2026</w:t>
        </w:r>
      </w:hyperlink>
    </w:p>
    <w:p w14:paraId="05B33AFB" w14:textId="77777777" w:rsidR="00B76D39" w:rsidRPr="00B76D39" w:rsidRDefault="00B76D39" w:rsidP="00B76D39">
      <w:pPr>
        <w:spacing w:after="0" w:line="276" w:lineRule="auto"/>
        <w:jc w:val="both"/>
        <w:rPr>
          <w:rFonts w:ascii="Verdana" w:eastAsia="Aptos" w:hAnsi="Verdana" w:cs="Times New Roman"/>
          <w:color w:val="000000"/>
          <w:kern w:val="2"/>
          <w14:ligatures w14:val="standardContextual"/>
        </w:rPr>
      </w:pPr>
    </w:p>
    <w:p w14:paraId="47EA68CE" w14:textId="77777777" w:rsidR="00B76D39" w:rsidRPr="00B76D39" w:rsidRDefault="00B76D39" w:rsidP="00B76D39">
      <w:pPr>
        <w:spacing w:after="0" w:line="276" w:lineRule="auto"/>
        <w:jc w:val="both"/>
        <w:rPr>
          <w:rFonts w:ascii="Verdana" w:eastAsia="Aptos" w:hAnsi="Verdana" w:cs="Times New Roman"/>
          <w:kern w:val="2"/>
          <w14:ligatures w14:val="standardContextual"/>
        </w:rPr>
      </w:pPr>
      <w:r w:rsidRPr="00B76D39">
        <w:rPr>
          <w:rFonts w:ascii="Verdana" w:eastAsia="Aptos" w:hAnsi="Verdana" w:cs="Times New Roman"/>
          <w:color w:val="000000"/>
          <w:kern w:val="2"/>
          <w14:ligatures w14:val="standardContextual"/>
        </w:rPr>
        <w:t>Recuerda también que la</w:t>
      </w:r>
      <w:r w:rsidRPr="00B76D39">
        <w:rPr>
          <w:rFonts w:ascii="Verdana" w:eastAsia="Aptos" w:hAnsi="Verdana" w:cs="Times New Roman"/>
          <w:b/>
          <w:bCs/>
          <w:color w:val="000000"/>
          <w:kern w:val="2"/>
          <w14:ligatures w14:val="standardContextual"/>
        </w:rPr>
        <w:t> información sobre sanciones e inhabilidades </w:t>
      </w:r>
      <w:r w:rsidRPr="00B76D39">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B76D39">
        <w:rPr>
          <w:rFonts w:ascii="Verdana" w:eastAsia="Aptos" w:hAnsi="Verdana" w:cs="Times New Roman"/>
          <w:b/>
          <w:bCs/>
          <w:color w:val="000000"/>
          <w:kern w:val="2"/>
          <w14:ligatures w14:val="standardContextual"/>
        </w:rPr>
        <w:t>Circular Externa 002 del 5 de mayo de 2026,</w:t>
      </w:r>
      <w:r w:rsidRPr="00B76D39">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B76D39">
          <w:rPr>
            <w:rFonts w:ascii="Verdana" w:eastAsia="Aptos" w:hAnsi="Verdana" w:cs="Times New Roman"/>
            <w:color w:val="0078D7"/>
            <w:kern w:val="2"/>
            <w:u w:val="single"/>
            <w14:ligatures w14:val="standardContextual"/>
          </w:rPr>
          <w:t>https://www.colombiacompra.gov.co/archivos/circular/circular-externa-002-de-2026</w:t>
        </w:r>
      </w:hyperlink>
    </w:p>
    <w:p w14:paraId="06C37477" w14:textId="77777777" w:rsidR="00B76D39" w:rsidRPr="00B76D39" w:rsidRDefault="00B76D39" w:rsidP="00B76D39">
      <w:pPr>
        <w:spacing w:after="0" w:line="276" w:lineRule="auto"/>
        <w:jc w:val="both"/>
        <w:rPr>
          <w:rFonts w:ascii="Verdana" w:eastAsia="Aptos" w:hAnsi="Verdana" w:cs="Times New Roman"/>
          <w:color w:val="000000"/>
          <w:kern w:val="2"/>
          <w14:ligatures w14:val="standardContextual"/>
        </w:rPr>
      </w:pPr>
    </w:p>
    <w:p w14:paraId="1357B39A" w14:textId="77777777" w:rsidR="00B76D39" w:rsidRPr="00B76D39" w:rsidRDefault="00B76D39" w:rsidP="00B76D39">
      <w:pPr>
        <w:spacing w:after="0" w:line="276" w:lineRule="auto"/>
        <w:jc w:val="both"/>
        <w:rPr>
          <w:rFonts w:ascii="Verdana" w:eastAsia="Aptos" w:hAnsi="Verdana" w:cs="Times New Roman"/>
          <w:color w:val="000000"/>
          <w:kern w:val="2"/>
          <w14:ligatures w14:val="standardContextual"/>
        </w:rPr>
      </w:pPr>
      <w:r w:rsidRPr="00B76D39">
        <w:rPr>
          <w:rFonts w:ascii="Verdana" w:eastAsia="Aptos" w:hAnsi="Verdana" w:cs="Times New Roman"/>
          <w:color w:val="000000"/>
          <w:kern w:val="2"/>
          <w14:ligatures w14:val="standardContextual"/>
        </w:rPr>
        <w:t>Finalmente, si quieres seguir de cerca la actividad de la Agencia, la tercera edición de 2026 del</w:t>
      </w:r>
      <w:r w:rsidRPr="00B76D39">
        <w:rPr>
          <w:rFonts w:ascii="Verdana" w:eastAsia="Aptos" w:hAnsi="Verdana" w:cs="Times New Roman"/>
          <w:b/>
          <w:bCs/>
          <w:color w:val="000000"/>
          <w:kern w:val="2"/>
          <w14:ligatures w14:val="standardContextual"/>
        </w:rPr>
        <w:t> Radar de la Compra Pública</w:t>
      </w:r>
      <w:r w:rsidRPr="00B76D39">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B76D39">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B76D39">
        <w:rPr>
          <w:rFonts w:ascii="Verdana" w:eastAsia="Aptos" w:hAnsi="Verdana" w:cs="Times New Roman"/>
          <w:color w:val="000000"/>
          <w:kern w:val="2"/>
          <w14:ligatures w14:val="standardContextual"/>
        </w:rPr>
        <w:t>"</w:t>
      </w:r>
    </w:p>
    <w:p w14:paraId="2691E188" w14:textId="77777777" w:rsidR="00B76D39" w:rsidRPr="00B76D39" w:rsidRDefault="00B76D39" w:rsidP="00B76D39">
      <w:pPr>
        <w:spacing w:after="0" w:line="276" w:lineRule="auto"/>
        <w:jc w:val="both"/>
        <w:rPr>
          <w:rFonts w:ascii="Verdana" w:eastAsia="Aptos" w:hAnsi="Verdana" w:cs="Times New Roman"/>
          <w:color w:val="000000"/>
          <w:kern w:val="2"/>
          <w14:ligatures w14:val="standardContextual"/>
        </w:rPr>
      </w:pPr>
    </w:p>
    <w:p w14:paraId="4585D5EE" w14:textId="77777777" w:rsidR="00B76D39" w:rsidRPr="00B76D39" w:rsidRDefault="00B76D39" w:rsidP="00B76D39">
      <w:pPr>
        <w:spacing w:after="0" w:line="276" w:lineRule="auto"/>
        <w:jc w:val="both"/>
        <w:rPr>
          <w:rFonts w:ascii="Verdana" w:eastAsia="Aptos" w:hAnsi="Verdana" w:cs="Times New Roman"/>
          <w:kern w:val="2"/>
          <w:lang w:eastAsia="es-MX"/>
          <w14:ligatures w14:val="standardContextual"/>
        </w:rPr>
      </w:pPr>
      <w:r w:rsidRPr="00B76D39">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3A6CD5CA" w14:textId="77777777" w:rsidR="00B76D39" w:rsidRPr="00B76D39" w:rsidRDefault="00B76D39" w:rsidP="00B76D39">
      <w:pPr>
        <w:spacing w:after="0" w:line="276" w:lineRule="auto"/>
        <w:jc w:val="both"/>
        <w:rPr>
          <w:rFonts w:ascii="Verdana" w:eastAsia="Calibri" w:hAnsi="Verdana" w:cs="Times New Roman"/>
          <w:kern w:val="2"/>
          <w:lang w:eastAsia="es-MX"/>
          <w14:ligatures w14:val="standardContextual"/>
        </w:rPr>
      </w:pPr>
    </w:p>
    <w:p w14:paraId="7C528769" w14:textId="77777777" w:rsidR="00B76D39" w:rsidRPr="00B76D39" w:rsidRDefault="00B76D39" w:rsidP="00B76D39">
      <w:pPr>
        <w:spacing w:after="0" w:line="276" w:lineRule="auto"/>
        <w:jc w:val="both"/>
        <w:rPr>
          <w:rFonts w:ascii="Verdana" w:eastAsia="Aptos" w:hAnsi="Verdana" w:cs="Times New Roman"/>
          <w:kern w:val="2"/>
          <w:lang w:eastAsia="es-MX"/>
          <w14:ligatures w14:val="standardContextual"/>
        </w:rPr>
      </w:pPr>
      <w:r w:rsidRPr="00B76D39">
        <w:rPr>
          <w:rFonts w:ascii="Verdana" w:eastAsia="Aptos" w:hAnsi="Verdana" w:cs="Times New Roman"/>
          <w:kern w:val="2"/>
          <w:lang w:eastAsia="es-MX"/>
          <w14:ligatures w14:val="standardContextual"/>
        </w:rPr>
        <w:t xml:space="preserve">Twitter: </w:t>
      </w:r>
      <w:r w:rsidRPr="00B76D39">
        <w:rPr>
          <w:rFonts w:ascii="Verdana" w:eastAsia="Calibri" w:hAnsi="Verdana" w:cs="Times New Roman"/>
          <w:color w:val="156082"/>
          <w:kern w:val="2"/>
          <w:u w:val="single"/>
          <w:lang w:eastAsia="es-MX"/>
          <w14:ligatures w14:val="standardContextual"/>
        </w:rPr>
        <w:t>@colombiacompra</w:t>
      </w:r>
      <w:r w:rsidRPr="00B76D39">
        <w:rPr>
          <w:rFonts w:ascii="Verdana" w:eastAsia="Calibri" w:hAnsi="Verdana" w:cs="Times New Roman"/>
          <w:color w:val="156082"/>
          <w:kern w:val="2"/>
          <w:lang w:eastAsia="es-MX"/>
          <w14:ligatures w14:val="standardContextual"/>
        </w:rPr>
        <w:t xml:space="preserve"> </w:t>
      </w:r>
    </w:p>
    <w:p w14:paraId="0521CFF8" w14:textId="77777777" w:rsidR="00B76D39" w:rsidRPr="00B76D39" w:rsidRDefault="00B76D39" w:rsidP="00B76D39">
      <w:pPr>
        <w:spacing w:after="0" w:line="276" w:lineRule="auto"/>
        <w:jc w:val="both"/>
        <w:rPr>
          <w:rFonts w:ascii="Verdana" w:eastAsia="Aptos" w:hAnsi="Verdana" w:cs="Times New Roman"/>
          <w:kern w:val="2"/>
          <w:lang w:eastAsia="es-MX"/>
          <w14:ligatures w14:val="standardContextual"/>
        </w:rPr>
      </w:pPr>
      <w:r w:rsidRPr="00B76D39">
        <w:rPr>
          <w:rFonts w:ascii="Verdana" w:eastAsia="Aptos" w:hAnsi="Verdana" w:cs="Times New Roman"/>
          <w:kern w:val="2"/>
          <w:lang w:eastAsia="es-MX"/>
          <w14:ligatures w14:val="standardContextual"/>
        </w:rPr>
        <w:t xml:space="preserve">Facebook: </w:t>
      </w:r>
      <w:proofErr w:type="spellStart"/>
      <w:r w:rsidRPr="00B76D39">
        <w:rPr>
          <w:rFonts w:ascii="Verdana" w:eastAsia="Calibri" w:hAnsi="Verdana" w:cs="Times New Roman"/>
          <w:color w:val="156082"/>
          <w:kern w:val="2"/>
          <w:u w:val="single"/>
          <w:lang w:eastAsia="es-MX"/>
          <w14:ligatures w14:val="standardContextual"/>
        </w:rPr>
        <w:t>ColombiaCompraEficiente</w:t>
      </w:r>
      <w:proofErr w:type="spellEnd"/>
    </w:p>
    <w:p w14:paraId="7D340421" w14:textId="77777777" w:rsidR="00B76D39" w:rsidRPr="00B76D39" w:rsidRDefault="00B76D39" w:rsidP="00B76D39">
      <w:pPr>
        <w:spacing w:after="0" w:line="276" w:lineRule="auto"/>
        <w:jc w:val="both"/>
        <w:rPr>
          <w:rFonts w:ascii="Verdana" w:eastAsia="Aptos" w:hAnsi="Verdana" w:cs="Times New Roman"/>
          <w:kern w:val="2"/>
          <w:lang w:eastAsia="es-MX"/>
          <w14:ligatures w14:val="standardContextual"/>
        </w:rPr>
      </w:pPr>
      <w:r w:rsidRPr="00B76D39">
        <w:rPr>
          <w:rFonts w:ascii="Verdana" w:eastAsia="Aptos" w:hAnsi="Verdana" w:cs="Times New Roman"/>
          <w:kern w:val="2"/>
          <w:lang w:eastAsia="es-MX"/>
          <w14:ligatures w14:val="standardContextual"/>
        </w:rPr>
        <w:t xml:space="preserve">LinkedIn: </w:t>
      </w:r>
      <w:r w:rsidRPr="00B76D39">
        <w:rPr>
          <w:rFonts w:ascii="Verdana" w:eastAsia="Calibri" w:hAnsi="Verdana" w:cs="Times New Roman"/>
          <w:color w:val="156082"/>
          <w:kern w:val="2"/>
          <w:u w:val="single"/>
          <w:lang w:eastAsia="es-MX"/>
          <w14:ligatures w14:val="standardContextual"/>
        </w:rPr>
        <w:t>Agencia Nacional de Contratación Pública - Colombia Compra Eficiente</w:t>
      </w:r>
      <w:r w:rsidRPr="00B76D39">
        <w:rPr>
          <w:rFonts w:ascii="Verdana" w:eastAsia="Calibri" w:hAnsi="Verdana" w:cs="Times New Roman"/>
          <w:color w:val="156082"/>
          <w:kern w:val="2"/>
          <w:lang w:eastAsia="es-MX"/>
          <w14:ligatures w14:val="standardContextual"/>
        </w:rPr>
        <w:t xml:space="preserve"> </w:t>
      </w:r>
      <w:r w:rsidRPr="00B76D39">
        <w:rPr>
          <w:rFonts w:ascii="Verdana" w:eastAsia="Aptos" w:hAnsi="Verdana" w:cs="Times New Roman"/>
          <w:kern w:val="2"/>
          <w:lang w:eastAsia="es-MX"/>
          <w14:ligatures w14:val="standardContextual"/>
        </w:rPr>
        <w:t xml:space="preserve">Instagram: </w:t>
      </w:r>
      <w:r w:rsidRPr="00B76D39">
        <w:rPr>
          <w:rFonts w:ascii="Verdana" w:eastAsia="Calibri" w:hAnsi="Verdana" w:cs="Times New Roman"/>
          <w:color w:val="156082"/>
          <w:kern w:val="2"/>
          <w:u w:val="single"/>
          <w:lang w:eastAsia="es-MX"/>
          <w14:ligatures w14:val="standardContextual"/>
        </w:rPr>
        <w:t>@colombiacompraeficiente_cce</w:t>
      </w:r>
    </w:p>
    <w:p w14:paraId="4F8F582E" w14:textId="77777777" w:rsidR="00B76D39" w:rsidRPr="00B76D39" w:rsidRDefault="00B76D39" w:rsidP="00B76D39">
      <w:pPr>
        <w:spacing w:after="0" w:line="276" w:lineRule="auto"/>
        <w:jc w:val="both"/>
        <w:rPr>
          <w:rFonts w:ascii="Verdana" w:eastAsia="Aptos" w:hAnsi="Verdana" w:cs="Times New Roman"/>
          <w:kern w:val="2"/>
          <w:lang w:eastAsia="es-MX"/>
          <w14:ligatures w14:val="standardContextual"/>
        </w:rPr>
      </w:pPr>
    </w:p>
    <w:p w14:paraId="4936AFA8" w14:textId="77777777" w:rsidR="00B76D39" w:rsidRPr="00B76D39" w:rsidRDefault="00B76D39" w:rsidP="00B76D39">
      <w:pPr>
        <w:spacing w:after="0" w:line="276" w:lineRule="auto"/>
        <w:jc w:val="both"/>
        <w:rPr>
          <w:rFonts w:ascii="Verdana" w:eastAsia="Calibri" w:hAnsi="Verdana" w:cs="Times New Roman"/>
          <w:bCs/>
          <w:kern w:val="2"/>
          <w:lang w:val="es-ES_tradnl" w:eastAsia="es-MX"/>
          <w14:ligatures w14:val="standardContextual"/>
        </w:rPr>
      </w:pPr>
      <w:r w:rsidRPr="00B76D39">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1FD9CCB" w14:textId="77777777" w:rsidR="00B76D39" w:rsidRPr="00B76D39" w:rsidRDefault="00B76D39" w:rsidP="00B76D39">
      <w:pPr>
        <w:spacing w:after="0" w:line="276" w:lineRule="auto"/>
        <w:jc w:val="both"/>
        <w:rPr>
          <w:rFonts w:ascii="Verdana" w:eastAsia="Calibri" w:hAnsi="Verdana" w:cs="Times New Roman"/>
          <w:kern w:val="2"/>
          <w:lang w:eastAsia="es-MX"/>
          <w14:ligatures w14:val="standardContextual"/>
        </w:rPr>
      </w:pPr>
    </w:p>
    <w:p w14:paraId="0974ECA5" w14:textId="77777777" w:rsidR="00B76D39" w:rsidRPr="00B76D39" w:rsidRDefault="00B76D39" w:rsidP="00B76D39">
      <w:pPr>
        <w:spacing w:after="0" w:line="276" w:lineRule="auto"/>
        <w:jc w:val="both"/>
        <w:rPr>
          <w:rFonts w:ascii="Verdana" w:eastAsia="Calibri" w:hAnsi="Verdana" w:cs="Times New Roman"/>
          <w:kern w:val="2"/>
          <w:lang w:eastAsia="es-MX"/>
          <w14:ligatures w14:val="standardContextual"/>
        </w:rPr>
      </w:pPr>
      <w:r w:rsidRPr="00B76D39">
        <w:rPr>
          <w:rFonts w:ascii="Verdana" w:eastAsia="Calibri" w:hAnsi="Verdana" w:cs="Times New Roman"/>
          <w:kern w:val="2"/>
          <w:lang w:eastAsia="es-MX"/>
          <w14:ligatures w14:val="standardContextual"/>
        </w:rPr>
        <w:t>Atentamente,</w:t>
      </w:r>
    </w:p>
    <w:p w14:paraId="65A721B3" w14:textId="682018D0" w:rsidR="00B76D39" w:rsidRPr="00B76D39" w:rsidRDefault="00B76D39" w:rsidP="00B76D39">
      <w:pPr>
        <w:tabs>
          <w:tab w:val="left" w:pos="1320"/>
        </w:tabs>
        <w:spacing w:after="0" w:line="278" w:lineRule="auto"/>
        <w:jc w:val="center"/>
        <w:rPr>
          <w:rFonts w:ascii="Verdana" w:eastAsia="Calibri" w:hAnsi="Verdana" w:cs="Times New Roman"/>
          <w:kern w:val="2"/>
          <w:sz w:val="24"/>
          <w:szCs w:val="24"/>
          <w:lang w:eastAsia="es-MX"/>
          <w14:ligatures w14:val="standardContextual"/>
        </w:rPr>
      </w:pPr>
    </w:p>
    <w:p w14:paraId="57C4ACDD" w14:textId="754A2560" w:rsidR="00B76D39" w:rsidRPr="00B76D39" w:rsidRDefault="007168E8" w:rsidP="007168E8">
      <w:pPr>
        <w:tabs>
          <w:tab w:val="left" w:pos="1320"/>
        </w:tabs>
        <w:spacing w:after="0"/>
        <w:jc w:val="center"/>
        <w:rPr>
          <w:rFonts w:ascii="Verdana" w:eastAsia="Calibri" w:hAnsi="Verdana" w:cs="Times New Roman"/>
          <w:lang w:eastAsia="es-MX"/>
        </w:rPr>
      </w:pPr>
      <w:r w:rsidRPr="004D5C25">
        <w:rPr>
          <w:rFonts w:ascii="Century Gothic" w:hAnsi="Century Gothic"/>
          <w:noProof/>
        </w:rPr>
        <w:drawing>
          <wp:inline distT="0" distB="0" distL="0" distR="0" wp14:anchorId="3888DB0C" wp14:editId="754828E8">
            <wp:extent cx="2394455" cy="1027953"/>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468950" cy="1059934"/>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B76D39" w:rsidRPr="00B76D39" w14:paraId="2E0AB3CA" w14:textId="77777777" w:rsidTr="009E3879">
        <w:trPr>
          <w:trHeight w:val="323"/>
        </w:trPr>
        <w:tc>
          <w:tcPr>
            <w:tcW w:w="1041" w:type="dxa"/>
            <w:vAlign w:val="center"/>
            <w:hideMark/>
          </w:tcPr>
          <w:p w14:paraId="2F287626" w14:textId="77777777" w:rsidR="00B76D39" w:rsidRPr="00B76D39" w:rsidRDefault="00B76D39" w:rsidP="00B76D39">
            <w:pPr>
              <w:rPr>
                <w:rFonts w:ascii="Verdana" w:eastAsia="Calibri" w:hAnsi="Verdana" w:cs="Arial"/>
                <w:sz w:val="16"/>
                <w:szCs w:val="16"/>
                <w:lang w:val="es-ES_tradnl" w:eastAsia="es-ES"/>
              </w:rPr>
            </w:pPr>
            <w:r w:rsidRPr="00B76D39">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3E495DCE" w14:textId="77777777" w:rsidR="00B76D39" w:rsidRPr="00B76D39" w:rsidRDefault="00B76D39" w:rsidP="00B76D39">
            <w:pPr>
              <w:rPr>
                <w:rFonts w:ascii="Verdana" w:eastAsia="Arial" w:hAnsi="Verdana" w:cs="Arial"/>
                <w:sz w:val="16"/>
                <w:szCs w:val="16"/>
                <w:lang w:val="es-ES" w:eastAsia="es-MX"/>
              </w:rPr>
            </w:pPr>
            <w:r w:rsidRPr="00B76D39">
              <w:rPr>
                <w:rFonts w:ascii="Verdana" w:eastAsia="Arial" w:hAnsi="Verdana" w:cs="Arial"/>
                <w:sz w:val="16"/>
                <w:szCs w:val="16"/>
                <w:lang w:val="es-ES" w:eastAsia="es-MX"/>
              </w:rPr>
              <w:t xml:space="preserve">Carlos Mario Castrillón Endo </w:t>
            </w:r>
          </w:p>
          <w:p w14:paraId="1FA0850D" w14:textId="77777777" w:rsidR="00B76D39" w:rsidRPr="00B76D39" w:rsidRDefault="00B76D39" w:rsidP="00B76D39">
            <w:pPr>
              <w:rPr>
                <w:rFonts w:ascii="Verdana" w:eastAsia="Arial" w:hAnsi="Verdana" w:cs="Arial"/>
                <w:sz w:val="16"/>
                <w:szCs w:val="16"/>
                <w:lang w:val="es-ES_tradnl" w:eastAsia="es-MX"/>
              </w:rPr>
            </w:pPr>
            <w:r w:rsidRPr="00B76D39">
              <w:rPr>
                <w:rFonts w:ascii="Verdana" w:eastAsia="Arial" w:hAnsi="Verdana" w:cs="Arial"/>
                <w:sz w:val="16"/>
                <w:szCs w:val="16"/>
                <w:lang w:val="es-ES_tradnl" w:eastAsia="es-MX"/>
              </w:rPr>
              <w:t>Contratista de la Subdirección de Gestión Contractual</w:t>
            </w:r>
          </w:p>
          <w:p w14:paraId="6C1CF5B3" w14:textId="77777777" w:rsidR="00B76D39" w:rsidRPr="00B76D39" w:rsidRDefault="00B76D39" w:rsidP="00B76D39">
            <w:pPr>
              <w:rPr>
                <w:rFonts w:ascii="Verdana" w:eastAsia="Arial" w:hAnsi="Verdana" w:cs="Arial"/>
                <w:sz w:val="16"/>
                <w:szCs w:val="16"/>
                <w:lang w:val="es-ES_tradnl" w:eastAsia="es-MX"/>
              </w:rPr>
            </w:pPr>
          </w:p>
        </w:tc>
      </w:tr>
      <w:tr w:rsidR="00B76D39" w:rsidRPr="00B76D39" w14:paraId="7E261904" w14:textId="77777777" w:rsidTr="009E3879">
        <w:trPr>
          <w:trHeight w:val="338"/>
        </w:trPr>
        <w:tc>
          <w:tcPr>
            <w:tcW w:w="1041" w:type="dxa"/>
            <w:vAlign w:val="center"/>
            <w:hideMark/>
          </w:tcPr>
          <w:p w14:paraId="6BA0051A" w14:textId="77777777" w:rsidR="00B76D39" w:rsidRPr="00B76D39" w:rsidRDefault="00B76D39" w:rsidP="00B76D39">
            <w:pPr>
              <w:rPr>
                <w:rFonts w:ascii="Verdana" w:eastAsia="Calibri" w:hAnsi="Verdana" w:cs="Arial"/>
                <w:sz w:val="16"/>
                <w:szCs w:val="16"/>
                <w:lang w:val="es-ES_tradnl" w:eastAsia="es-ES"/>
              </w:rPr>
            </w:pPr>
            <w:r w:rsidRPr="00B76D39">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74F0A38A" w14:textId="77777777" w:rsidR="00B76D39" w:rsidRPr="00B76D39" w:rsidRDefault="00B76D39" w:rsidP="00B76D39">
            <w:pPr>
              <w:rPr>
                <w:rFonts w:ascii="Verdana" w:eastAsia="Arial" w:hAnsi="Verdana" w:cs="Arial"/>
                <w:sz w:val="16"/>
                <w:szCs w:val="16"/>
                <w:lang w:val="es-ES" w:eastAsia="es-MX"/>
              </w:rPr>
            </w:pPr>
            <w:r w:rsidRPr="00B76D39">
              <w:rPr>
                <w:rFonts w:ascii="Verdana" w:eastAsia="Arial" w:hAnsi="Verdana" w:cs="Arial"/>
                <w:sz w:val="16"/>
                <w:szCs w:val="16"/>
                <w:lang w:val="es-ES" w:eastAsia="es-MX"/>
              </w:rPr>
              <w:t>Alexandra Rodríguez Motta</w:t>
            </w:r>
          </w:p>
          <w:p w14:paraId="4EBED0F4" w14:textId="77777777" w:rsidR="00B76D39" w:rsidRPr="00B76D39" w:rsidRDefault="00B76D39" w:rsidP="00B76D39">
            <w:pPr>
              <w:rPr>
                <w:rFonts w:ascii="Verdana" w:eastAsia="Arial" w:hAnsi="Verdana" w:cs="Arial"/>
                <w:sz w:val="16"/>
                <w:szCs w:val="16"/>
                <w:lang w:val="es-ES" w:eastAsia="es-MX"/>
              </w:rPr>
            </w:pPr>
            <w:r w:rsidRPr="00B76D39">
              <w:rPr>
                <w:rFonts w:ascii="Verdana" w:eastAsia="Arial" w:hAnsi="Verdana" w:cs="Arial"/>
                <w:sz w:val="16"/>
                <w:szCs w:val="16"/>
                <w:lang w:val="es-ES_tradnl" w:eastAsia="es-MX"/>
              </w:rPr>
              <w:t>Contratista de la Subdirección de Gestión Contractual</w:t>
            </w:r>
          </w:p>
          <w:p w14:paraId="0963092B" w14:textId="77777777" w:rsidR="00B76D39" w:rsidRPr="00B76D39" w:rsidRDefault="00B76D39" w:rsidP="00B76D39">
            <w:pPr>
              <w:rPr>
                <w:rFonts w:ascii="Verdana" w:eastAsia="Arial" w:hAnsi="Verdana" w:cs="Arial"/>
                <w:sz w:val="16"/>
                <w:szCs w:val="16"/>
                <w:lang w:val="es-ES_tradnl" w:eastAsia="es-MX"/>
              </w:rPr>
            </w:pPr>
            <w:r w:rsidRPr="00B76D39">
              <w:rPr>
                <w:rFonts w:ascii="Verdana" w:eastAsia="Arial" w:hAnsi="Verdana" w:cs="Arial"/>
                <w:sz w:val="16"/>
                <w:szCs w:val="16"/>
                <w:lang w:val="es-ES_tradnl" w:eastAsia="es-MX"/>
              </w:rPr>
              <w:t xml:space="preserve">Juan David Cárdenas Cabezas </w:t>
            </w:r>
          </w:p>
          <w:p w14:paraId="37637902" w14:textId="77777777" w:rsidR="00B76D39" w:rsidRPr="00B76D39" w:rsidRDefault="00B76D39" w:rsidP="00B76D39">
            <w:pPr>
              <w:rPr>
                <w:rFonts w:ascii="Verdana" w:eastAsia="Arial" w:hAnsi="Verdana" w:cs="Arial"/>
                <w:sz w:val="16"/>
                <w:szCs w:val="16"/>
                <w:lang w:val="es-ES" w:eastAsia="es-MX"/>
              </w:rPr>
            </w:pPr>
            <w:r w:rsidRPr="00B76D39">
              <w:rPr>
                <w:rFonts w:ascii="Verdana" w:eastAsia="Arial" w:hAnsi="Verdana" w:cs="Arial"/>
                <w:sz w:val="16"/>
                <w:szCs w:val="16"/>
                <w:lang w:val="es-ES_tradnl" w:eastAsia="es-MX"/>
              </w:rPr>
              <w:t>Contratista de la Subdirección de Gestión Contractual</w:t>
            </w:r>
          </w:p>
        </w:tc>
      </w:tr>
      <w:tr w:rsidR="00B76D39" w:rsidRPr="00B76D39" w14:paraId="63CB8C87" w14:textId="77777777" w:rsidTr="009E3879">
        <w:trPr>
          <w:trHeight w:val="308"/>
        </w:trPr>
        <w:tc>
          <w:tcPr>
            <w:tcW w:w="1041" w:type="dxa"/>
            <w:vAlign w:val="center"/>
          </w:tcPr>
          <w:p w14:paraId="169A9FBF" w14:textId="77777777" w:rsidR="00B76D39" w:rsidRPr="00B76D39" w:rsidRDefault="00B76D39" w:rsidP="00B76D39">
            <w:pPr>
              <w:rPr>
                <w:rFonts w:ascii="Verdana" w:eastAsia="Calibri" w:hAnsi="Verdana" w:cs="Arial"/>
                <w:sz w:val="16"/>
                <w:szCs w:val="16"/>
                <w:lang w:val="es-ES_tradnl" w:eastAsia="es-ES"/>
              </w:rPr>
            </w:pPr>
            <w:r w:rsidRPr="00B76D39">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44EF2E70" w14:textId="77777777" w:rsidR="00B76D39" w:rsidRPr="00B76D39" w:rsidRDefault="00B76D39" w:rsidP="00B76D39">
            <w:pPr>
              <w:rPr>
                <w:rFonts w:ascii="Verdana" w:eastAsia="Calibri" w:hAnsi="Verdana" w:cs="Arial"/>
                <w:sz w:val="16"/>
                <w:szCs w:val="16"/>
                <w:lang w:val="es-ES" w:eastAsia="es-ES"/>
              </w:rPr>
            </w:pPr>
            <w:r w:rsidRPr="00B76D39">
              <w:rPr>
                <w:rFonts w:ascii="Verdana" w:eastAsia="Calibri" w:hAnsi="Verdana" w:cs="Arial"/>
                <w:sz w:val="16"/>
                <w:szCs w:val="16"/>
                <w:lang w:val="es-ES" w:eastAsia="es-ES"/>
              </w:rPr>
              <w:t>Carolina Quintero Gacharná</w:t>
            </w:r>
          </w:p>
          <w:p w14:paraId="26D5668A" w14:textId="77777777" w:rsidR="00B76D39" w:rsidRPr="00B76D39" w:rsidRDefault="00B76D39" w:rsidP="00B76D39">
            <w:pPr>
              <w:rPr>
                <w:rFonts w:ascii="Verdana" w:eastAsia="Calibri" w:hAnsi="Verdana" w:cs="Arial"/>
                <w:sz w:val="16"/>
                <w:szCs w:val="16"/>
                <w:lang w:val="es-ES_tradnl" w:eastAsia="es-ES"/>
              </w:rPr>
            </w:pPr>
            <w:r w:rsidRPr="00B76D39">
              <w:rPr>
                <w:rFonts w:ascii="Verdana" w:eastAsia="Calibri" w:hAnsi="Verdana" w:cs="Arial"/>
                <w:sz w:val="16"/>
                <w:szCs w:val="16"/>
                <w:lang w:val="es-ES_tradnl" w:eastAsia="es-ES"/>
              </w:rPr>
              <w:t>Subdirectora de Gestión Contractual ANCP – CCE</w:t>
            </w:r>
          </w:p>
        </w:tc>
      </w:tr>
    </w:tbl>
    <w:p w14:paraId="12DB136D" w14:textId="77777777" w:rsidR="00B76D39" w:rsidRPr="00B76D39" w:rsidRDefault="00B76D39" w:rsidP="00B76D39">
      <w:pPr>
        <w:spacing w:after="0"/>
        <w:rPr>
          <w:rFonts w:ascii="Verdana" w:eastAsia="Calibri" w:hAnsi="Verdana" w:cs="Times New Roman"/>
          <w:lang w:eastAsia="es-MX"/>
        </w:rPr>
      </w:pPr>
    </w:p>
    <w:p w14:paraId="69BC4D14" w14:textId="12A1AE33"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E7268" w14:textId="77777777" w:rsidR="005B6DD7" w:rsidRDefault="005B6DD7" w:rsidP="004A1847">
      <w:pPr>
        <w:spacing w:after="0" w:line="240" w:lineRule="auto"/>
      </w:pPr>
      <w:r>
        <w:separator/>
      </w:r>
    </w:p>
  </w:endnote>
  <w:endnote w:type="continuationSeparator" w:id="0">
    <w:p w14:paraId="14B47055" w14:textId="77777777" w:rsidR="005B6DD7" w:rsidRDefault="005B6DD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B76D39">
      <w:rPr>
        <w:rFonts w:ascii="Verdana" w:eastAsia="Verdana" w:hAnsi="Verdana" w:cs="Verdana"/>
        <w:b/>
        <w:bCs/>
        <w:color w:val="000000"/>
        <w:sz w:val="18"/>
        <w:szCs w:val="18"/>
        <w:lang w:eastAsia="es-CO"/>
      </w:rPr>
      <w:t xml:space="preserve">Código: </w:t>
    </w:r>
    <w:r w:rsidRPr="00B76D39">
      <w:rPr>
        <w:rFonts w:ascii="Verdana" w:eastAsia="Verdana" w:hAnsi="Verdana" w:cs="Verdana"/>
        <w:color w:val="000000"/>
        <w:sz w:val="18"/>
        <w:szCs w:val="18"/>
        <w:lang w:eastAsia="es-CO"/>
      </w:rPr>
      <w:t xml:space="preserve">CCE-REC-FM-17 </w:t>
    </w:r>
    <w:r w:rsidRPr="00B76D39">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B7614" w14:textId="77777777" w:rsidR="005B6DD7" w:rsidRDefault="005B6DD7" w:rsidP="004A1847">
      <w:pPr>
        <w:spacing w:after="0" w:line="240" w:lineRule="auto"/>
      </w:pPr>
      <w:r>
        <w:separator/>
      </w:r>
    </w:p>
  </w:footnote>
  <w:footnote w:type="continuationSeparator" w:id="0">
    <w:p w14:paraId="47FAFA1B" w14:textId="77777777" w:rsidR="005B6DD7" w:rsidRDefault="005B6DD7" w:rsidP="004A1847">
      <w:pPr>
        <w:spacing w:after="0" w:line="240" w:lineRule="auto"/>
      </w:pPr>
      <w:r>
        <w:continuationSeparator/>
      </w:r>
    </w:p>
  </w:footnote>
  <w:footnote w:id="1">
    <w:p w14:paraId="1D75DBBB" w14:textId="77777777" w:rsidR="00B76D39" w:rsidRPr="0028055F" w:rsidRDefault="00B76D39" w:rsidP="00B76D39">
      <w:pPr>
        <w:pStyle w:val="Textonotapie"/>
        <w:ind w:firstLine="708"/>
        <w:jc w:val="both"/>
        <w:rPr>
          <w:rFonts w:ascii="Verdana" w:hAnsi="Verdana"/>
          <w:sz w:val="18"/>
          <w:szCs w:val="18"/>
        </w:rPr>
      </w:pPr>
      <w:r w:rsidRPr="0028055F">
        <w:rPr>
          <w:rStyle w:val="Refdenotaalpie"/>
          <w:rFonts w:ascii="Verdana" w:hAnsi="Verdana"/>
          <w:sz w:val="18"/>
          <w:szCs w:val="18"/>
        </w:rPr>
        <w:footnoteRef/>
      </w:r>
      <w:r w:rsidRPr="0028055F">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4D7B68ED" w14:textId="77777777" w:rsidR="00B76D39" w:rsidRPr="0028055F" w:rsidRDefault="00B76D39" w:rsidP="00B76D39">
      <w:pPr>
        <w:pStyle w:val="Textonotapie"/>
        <w:ind w:firstLine="708"/>
        <w:jc w:val="both"/>
        <w:rPr>
          <w:rFonts w:ascii="Verdana" w:hAnsi="Verdana"/>
          <w:sz w:val="18"/>
          <w:szCs w:val="18"/>
        </w:rPr>
      </w:pPr>
    </w:p>
    <w:p w14:paraId="12753DB1" w14:textId="77777777" w:rsidR="00B76D39" w:rsidRPr="0028055F" w:rsidRDefault="00B76D39" w:rsidP="00B76D39">
      <w:pPr>
        <w:pStyle w:val="Textonotapie"/>
        <w:ind w:firstLine="708"/>
        <w:jc w:val="both"/>
        <w:rPr>
          <w:rFonts w:ascii="Verdana" w:hAnsi="Verdana"/>
          <w:sz w:val="18"/>
          <w:szCs w:val="18"/>
        </w:rPr>
      </w:pPr>
      <w:r w:rsidRPr="0028055F">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36CC70DD" w14:textId="77777777" w:rsidR="00B76D39" w:rsidRPr="0028055F" w:rsidRDefault="00B76D39" w:rsidP="00B76D39">
      <w:pPr>
        <w:pStyle w:val="Textonotapie"/>
        <w:ind w:firstLine="708"/>
        <w:jc w:val="both"/>
        <w:rPr>
          <w:rFonts w:ascii="Verdana" w:hAnsi="Verdana"/>
          <w:sz w:val="18"/>
          <w:szCs w:val="18"/>
        </w:rPr>
      </w:pPr>
    </w:p>
    <w:p w14:paraId="5C12A5A6" w14:textId="77777777" w:rsidR="00B76D39" w:rsidRPr="0028055F" w:rsidRDefault="00B76D39" w:rsidP="00B76D39">
      <w:pPr>
        <w:pStyle w:val="Textonotapie"/>
        <w:ind w:firstLine="708"/>
        <w:jc w:val="both"/>
        <w:rPr>
          <w:rFonts w:ascii="Verdana" w:hAnsi="Verdana"/>
          <w:sz w:val="18"/>
          <w:szCs w:val="18"/>
        </w:rPr>
      </w:pPr>
      <w:r w:rsidRPr="0028055F">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5269C990" w14:textId="77777777" w:rsidR="00B76D39" w:rsidRPr="0028055F" w:rsidRDefault="00B76D39" w:rsidP="00B76D39">
      <w:pPr>
        <w:pStyle w:val="Textonotapie"/>
        <w:ind w:firstLine="708"/>
        <w:jc w:val="both"/>
        <w:rPr>
          <w:rFonts w:ascii="Verdana" w:hAnsi="Verdana"/>
          <w:sz w:val="18"/>
          <w:szCs w:val="18"/>
        </w:rPr>
      </w:pPr>
    </w:p>
    <w:p w14:paraId="3F66879B" w14:textId="77777777" w:rsidR="00B76D39" w:rsidRPr="0028055F" w:rsidRDefault="00B76D39" w:rsidP="00B76D39">
      <w:pPr>
        <w:pStyle w:val="Textonotapie"/>
        <w:ind w:firstLine="708"/>
        <w:jc w:val="both"/>
        <w:rPr>
          <w:rFonts w:ascii="Verdana" w:hAnsi="Verdana"/>
          <w:sz w:val="18"/>
          <w:szCs w:val="18"/>
        </w:rPr>
      </w:pPr>
      <w:r w:rsidRPr="0028055F">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5B6D2D88" w14:textId="77777777" w:rsidR="00B76D39" w:rsidRPr="0028055F" w:rsidRDefault="00B76D39" w:rsidP="00B76D39">
      <w:pPr>
        <w:pStyle w:val="Textonotapie"/>
        <w:ind w:firstLine="708"/>
        <w:jc w:val="both"/>
        <w:rPr>
          <w:rFonts w:ascii="Verdana" w:hAnsi="Verdana"/>
          <w:sz w:val="18"/>
          <w:szCs w:val="18"/>
        </w:rPr>
      </w:pPr>
    </w:p>
    <w:p w14:paraId="0678ADA6" w14:textId="77777777" w:rsidR="00B76D39" w:rsidRPr="0028055F" w:rsidRDefault="00B76D39" w:rsidP="00B76D39">
      <w:pPr>
        <w:pStyle w:val="Textonotapie"/>
        <w:ind w:firstLine="708"/>
        <w:jc w:val="both"/>
        <w:rPr>
          <w:rFonts w:ascii="Verdana" w:hAnsi="Verdana"/>
          <w:sz w:val="18"/>
          <w:szCs w:val="18"/>
        </w:rPr>
      </w:pPr>
      <w:r w:rsidRPr="0028055F">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2">
    <w:p w14:paraId="5EAA7AB7" w14:textId="77777777" w:rsidR="00B76D39" w:rsidRPr="0028055F" w:rsidRDefault="00B76D39" w:rsidP="00B76D39">
      <w:pPr>
        <w:pStyle w:val="Textonotapie"/>
        <w:ind w:firstLine="709"/>
        <w:jc w:val="both"/>
        <w:rPr>
          <w:rFonts w:ascii="Verdana" w:hAnsi="Verdana" w:cs="Arial"/>
          <w:color w:val="000000"/>
          <w:sz w:val="18"/>
          <w:szCs w:val="18"/>
        </w:rPr>
      </w:pPr>
      <w:r w:rsidRPr="0028055F">
        <w:rPr>
          <w:rStyle w:val="Refdenotaalpie"/>
          <w:rFonts w:ascii="Verdana" w:hAnsi="Verdana"/>
          <w:sz w:val="18"/>
          <w:szCs w:val="18"/>
        </w:rPr>
        <w:footnoteRef/>
      </w:r>
      <w:r w:rsidRPr="0028055F">
        <w:rPr>
          <w:rFonts w:ascii="Verdana" w:hAnsi="Verdana"/>
          <w:sz w:val="18"/>
          <w:szCs w:val="18"/>
        </w:rPr>
        <w:t xml:space="preserve"> </w:t>
      </w:r>
      <w:r w:rsidRPr="0028055F">
        <w:rPr>
          <w:rFonts w:ascii="Verdana" w:hAnsi="Verdana" w:cs="Arial"/>
          <w:color w:val="000000"/>
          <w:sz w:val="18"/>
          <w:szCs w:val="18"/>
        </w:rPr>
        <w:t xml:space="preserve">ALESSANDRI RODRÍGUEZ, Arturo. De los contratos. Santiago de Chile: Editorial Jurídica EDIAR-CONOCSUR LTDA, 1988. p. 182. </w:t>
      </w:r>
    </w:p>
    <w:p w14:paraId="4D32AE46" w14:textId="77777777" w:rsidR="00B76D39" w:rsidRPr="0028055F" w:rsidRDefault="00B76D39" w:rsidP="00B76D39">
      <w:pPr>
        <w:pStyle w:val="Textonotapie"/>
        <w:jc w:val="both"/>
        <w:rPr>
          <w:rFonts w:ascii="Verdana" w:hAnsi="Verdana"/>
          <w:sz w:val="18"/>
          <w:szCs w:val="18"/>
        </w:rPr>
      </w:pPr>
    </w:p>
  </w:footnote>
  <w:footnote w:id="3">
    <w:p w14:paraId="2C548D92" w14:textId="77777777" w:rsidR="00B76D39" w:rsidRPr="0028055F" w:rsidRDefault="00B76D39" w:rsidP="00B76D39">
      <w:pPr>
        <w:pStyle w:val="Textonotapie"/>
        <w:ind w:firstLine="708"/>
        <w:jc w:val="both"/>
        <w:rPr>
          <w:rFonts w:ascii="Verdana" w:hAnsi="Verdana" w:cs="Arial"/>
          <w:color w:val="000000"/>
          <w:sz w:val="18"/>
          <w:szCs w:val="18"/>
        </w:rPr>
      </w:pPr>
      <w:r w:rsidRPr="0028055F">
        <w:rPr>
          <w:rStyle w:val="Refdenotaalpie"/>
          <w:rFonts w:ascii="Verdana" w:hAnsi="Verdana"/>
          <w:sz w:val="18"/>
          <w:szCs w:val="18"/>
        </w:rPr>
        <w:footnoteRef/>
      </w:r>
      <w:r w:rsidRPr="0028055F">
        <w:rPr>
          <w:rFonts w:ascii="Verdana" w:hAnsi="Verdana"/>
          <w:sz w:val="18"/>
          <w:szCs w:val="18"/>
        </w:rPr>
        <w:t xml:space="preserve"> </w:t>
      </w:r>
      <w:r w:rsidRPr="0028055F">
        <w:rPr>
          <w:rFonts w:ascii="Verdana" w:hAnsi="Verdana" w:cs="Arial"/>
          <w:color w:val="000000"/>
          <w:sz w:val="18"/>
          <w:szCs w:val="18"/>
        </w:rPr>
        <w:t>OSPINA MENA, Jesús Marino. Régimen de la Contratación Estatal. Un salto a la contratación liquida. Bogotá: Dike, 2020. p. 168.</w:t>
      </w:r>
    </w:p>
    <w:p w14:paraId="42C7E139" w14:textId="77777777" w:rsidR="00B76D39" w:rsidRPr="0028055F" w:rsidRDefault="00B76D39" w:rsidP="00B76D39">
      <w:pPr>
        <w:pStyle w:val="Textonotapie"/>
        <w:ind w:firstLine="708"/>
        <w:jc w:val="both"/>
        <w:rPr>
          <w:rFonts w:ascii="Verdana" w:hAnsi="Verdana"/>
          <w:sz w:val="18"/>
          <w:szCs w:val="18"/>
          <w:lang w:val="es-ES_tradnl"/>
        </w:rPr>
      </w:pPr>
    </w:p>
  </w:footnote>
  <w:footnote w:id="4">
    <w:p w14:paraId="0918109E" w14:textId="77777777" w:rsidR="00B76D39" w:rsidRPr="0028055F" w:rsidRDefault="00B76D39" w:rsidP="00B76D39">
      <w:pPr>
        <w:pStyle w:val="Textonotapie"/>
        <w:ind w:firstLine="708"/>
        <w:jc w:val="both"/>
        <w:rPr>
          <w:rFonts w:ascii="Verdana" w:hAnsi="Verdana"/>
          <w:sz w:val="18"/>
          <w:szCs w:val="18"/>
          <w:lang w:val="es-ES_tradnl"/>
        </w:rPr>
      </w:pPr>
      <w:r w:rsidRPr="0028055F">
        <w:rPr>
          <w:rStyle w:val="Refdenotaalpie"/>
          <w:rFonts w:ascii="Verdana" w:hAnsi="Verdana"/>
          <w:sz w:val="18"/>
          <w:szCs w:val="18"/>
        </w:rPr>
        <w:footnoteRef/>
      </w:r>
      <w:r w:rsidRPr="0028055F">
        <w:rPr>
          <w:rFonts w:ascii="Verdana" w:hAnsi="Verdana"/>
          <w:sz w:val="18"/>
          <w:szCs w:val="18"/>
        </w:rPr>
        <w:t xml:space="preserve"> </w:t>
      </w:r>
      <w:r w:rsidRPr="0028055F">
        <w:rPr>
          <w:rFonts w:ascii="Verdana" w:hAnsi="Verdana" w:cs="Arial"/>
          <w:color w:val="000000"/>
          <w:sz w:val="18"/>
          <w:szCs w:val="18"/>
        </w:rPr>
        <w:t>CONSEJO DE ESTADO. Sala de Consulta y Servicio Civil. Concepto del 5 de septiembre de 2018. Rad. 2.386. C.P. Edgar González López.</w:t>
      </w:r>
    </w:p>
  </w:footnote>
  <w:footnote w:id="5">
    <w:p w14:paraId="7B4226C1" w14:textId="77777777" w:rsidR="00B76D39" w:rsidRPr="0028055F" w:rsidRDefault="00B76D39" w:rsidP="00B76D39">
      <w:pPr>
        <w:pStyle w:val="Textonotapie"/>
        <w:ind w:firstLine="709"/>
        <w:jc w:val="both"/>
        <w:rPr>
          <w:rFonts w:ascii="Verdana" w:hAnsi="Verdana" w:cs="Arial"/>
          <w:color w:val="000000"/>
          <w:sz w:val="18"/>
          <w:szCs w:val="18"/>
        </w:rPr>
      </w:pPr>
      <w:r w:rsidRPr="0028055F">
        <w:rPr>
          <w:rStyle w:val="Refdenotaalpie"/>
          <w:rFonts w:ascii="Verdana" w:hAnsi="Verdana"/>
          <w:sz w:val="18"/>
          <w:szCs w:val="18"/>
        </w:rPr>
        <w:footnoteRef/>
      </w:r>
      <w:r w:rsidRPr="0028055F">
        <w:rPr>
          <w:rFonts w:ascii="Verdana" w:hAnsi="Verdana"/>
          <w:sz w:val="18"/>
          <w:szCs w:val="18"/>
        </w:rPr>
        <w:t xml:space="preserve"> </w:t>
      </w:r>
      <w:bookmarkStart w:id="3" w:name="_Hlk35341897"/>
      <w:r w:rsidRPr="0028055F">
        <w:rPr>
          <w:rFonts w:ascii="Verdana" w:hAnsi="Verdana" w:cs="Arial"/>
          <w:color w:val="000000"/>
          <w:sz w:val="18"/>
          <w:szCs w:val="18"/>
        </w:rPr>
        <w:t>VELÁSQUEZ JARAMILLO, Luis Guillermo. Bienes. Duodécima edición. Bogotá: Temis, 2010. p. 22</w:t>
      </w:r>
      <w:bookmarkEnd w:id="3"/>
      <w:r w:rsidRPr="0028055F">
        <w:rPr>
          <w:rFonts w:ascii="Verdana" w:hAnsi="Verdana" w:cs="Arial"/>
          <w:color w:val="000000"/>
          <w:sz w:val="18"/>
          <w:szCs w:val="18"/>
        </w:rPr>
        <w:t>.</w:t>
      </w:r>
    </w:p>
    <w:p w14:paraId="33D5C482" w14:textId="77777777" w:rsidR="00B76D39" w:rsidRPr="0028055F" w:rsidRDefault="00B76D39" w:rsidP="00B76D39">
      <w:pPr>
        <w:pStyle w:val="Textonotapie"/>
        <w:jc w:val="both"/>
        <w:rPr>
          <w:rFonts w:ascii="Verdana" w:hAnsi="Verdana"/>
          <w:sz w:val="18"/>
          <w:szCs w:val="18"/>
        </w:rPr>
      </w:pPr>
    </w:p>
  </w:footnote>
  <w:footnote w:id="6">
    <w:p w14:paraId="2AE07596" w14:textId="77777777" w:rsidR="00B76D39" w:rsidRPr="0028055F" w:rsidRDefault="00B76D39" w:rsidP="00B76D39">
      <w:pPr>
        <w:pStyle w:val="Textonotapie"/>
        <w:ind w:firstLine="708"/>
        <w:jc w:val="both"/>
        <w:rPr>
          <w:rFonts w:ascii="Verdana" w:hAnsi="Verdana"/>
          <w:sz w:val="18"/>
          <w:szCs w:val="18"/>
          <w:lang w:val="es-ES_tradnl"/>
        </w:rPr>
      </w:pPr>
      <w:r w:rsidRPr="0028055F">
        <w:rPr>
          <w:rStyle w:val="Refdenotaalpie"/>
          <w:rFonts w:ascii="Verdana" w:hAnsi="Verdana"/>
          <w:sz w:val="18"/>
          <w:szCs w:val="18"/>
        </w:rPr>
        <w:footnoteRef/>
      </w:r>
      <w:r w:rsidRPr="0028055F">
        <w:rPr>
          <w:rFonts w:ascii="Verdana" w:hAnsi="Verdana"/>
          <w:sz w:val="18"/>
          <w:szCs w:val="18"/>
        </w:rPr>
        <w:t xml:space="preserve"> </w:t>
      </w:r>
      <w:r w:rsidRPr="0028055F">
        <w:rPr>
          <w:rFonts w:ascii="Verdana" w:hAnsi="Verdana" w:cs="Arial"/>
          <w:color w:val="000000"/>
          <w:sz w:val="18"/>
          <w:szCs w:val="18"/>
        </w:rPr>
        <w:t>MAZEUD, Henri, MAZEUD, León y MAZEUD, Jean. Lecciones de derecho civil. Parte Primera. Volumen I. Buenos Aires: EJEA, 1976. p. 305-306.</w:t>
      </w:r>
    </w:p>
  </w:footnote>
  <w:footnote w:id="7">
    <w:p w14:paraId="000BC47A" w14:textId="77777777" w:rsidR="00B76D39" w:rsidRDefault="00B76D39" w:rsidP="00B76D39">
      <w:pPr>
        <w:pStyle w:val="Textonotapie"/>
        <w:ind w:firstLine="708"/>
        <w:jc w:val="both"/>
        <w:rPr>
          <w:rFonts w:ascii="Verdana" w:hAnsi="Verdana"/>
          <w:sz w:val="18"/>
          <w:szCs w:val="18"/>
        </w:rPr>
      </w:pPr>
      <w:r w:rsidRPr="0028055F">
        <w:rPr>
          <w:rStyle w:val="Refdenotaalpie"/>
          <w:rFonts w:ascii="Verdana" w:hAnsi="Verdana"/>
          <w:sz w:val="18"/>
          <w:szCs w:val="18"/>
        </w:rPr>
        <w:footnoteRef/>
      </w:r>
      <w:r w:rsidRPr="0028055F">
        <w:rPr>
          <w:rFonts w:ascii="Verdana" w:hAnsi="Verdana"/>
          <w:sz w:val="18"/>
          <w:szCs w:val="18"/>
        </w:rPr>
        <w:t xml:space="preserve"> Este concepto se encuentra disponible para consulta en la relatoria de la Agencia Nacional de Contratación Pública – Colombia Compra Eficiente en el siguiente enlace: </w:t>
      </w:r>
      <w:hyperlink r:id="rId1" w:history="1">
        <w:r w:rsidRPr="0028055F">
          <w:rPr>
            <w:rStyle w:val="Hipervnculo"/>
            <w:rFonts w:ascii="Verdana" w:hAnsi="Verdana"/>
            <w:sz w:val="18"/>
            <w:szCs w:val="18"/>
          </w:rPr>
          <w:t>https://relatoria.colombiacompra.gov.co/conceptos/c-429-de-2026/</w:t>
        </w:r>
      </w:hyperlink>
      <w:r w:rsidRPr="0028055F">
        <w:rPr>
          <w:rFonts w:ascii="Verdana" w:hAnsi="Verdana"/>
          <w:sz w:val="18"/>
          <w:szCs w:val="18"/>
        </w:rPr>
        <w:t xml:space="preserve"> </w:t>
      </w:r>
    </w:p>
    <w:p w14:paraId="5E7D2CA6" w14:textId="77777777" w:rsidR="00B76D39" w:rsidRPr="0028055F" w:rsidRDefault="00B76D39" w:rsidP="00B76D39">
      <w:pPr>
        <w:pStyle w:val="Textonotapie"/>
        <w:ind w:firstLine="708"/>
        <w:jc w:val="both"/>
        <w:rPr>
          <w:rFonts w:ascii="Verdana" w:hAnsi="Verdana"/>
          <w:sz w:val="18"/>
          <w:szCs w:val="18"/>
          <w:lang w:val="es-ES_tradnl"/>
        </w:rPr>
      </w:pPr>
    </w:p>
  </w:footnote>
  <w:footnote w:id="8">
    <w:p w14:paraId="0326BC38" w14:textId="77777777" w:rsidR="00B76D39" w:rsidRPr="009C3B9B" w:rsidRDefault="00B76D39" w:rsidP="00B76D39">
      <w:pPr>
        <w:pStyle w:val="Textonotapie"/>
        <w:ind w:firstLine="708"/>
        <w:jc w:val="both"/>
        <w:rPr>
          <w:rFonts w:ascii="Verdana" w:hAnsi="Verdana"/>
          <w:sz w:val="18"/>
          <w:szCs w:val="18"/>
        </w:rPr>
      </w:pPr>
      <w:r>
        <w:rPr>
          <w:rStyle w:val="Refdenotaalpie"/>
        </w:rPr>
        <w:footnoteRef/>
      </w:r>
      <w:r>
        <w:t xml:space="preserve"> </w:t>
      </w:r>
      <w:r w:rsidRPr="009C3B9B">
        <w:rPr>
          <w:rFonts w:ascii="Verdana" w:hAnsi="Verdana"/>
          <w:sz w:val="18"/>
          <w:szCs w:val="18"/>
        </w:rPr>
        <w:t xml:space="preserve">Este concepto se encuentra disponible para consulta en la relatoria de la Agencia Nacional de Contratación Pública – Colombia Compra Eficiente en el siguiente enlace:  </w:t>
      </w:r>
    </w:p>
    <w:p w14:paraId="000F5E47" w14:textId="77777777" w:rsidR="00B76D39" w:rsidRPr="009C3B9B" w:rsidRDefault="00B76D39" w:rsidP="00B76D39">
      <w:pPr>
        <w:pStyle w:val="Textonotapie"/>
        <w:jc w:val="both"/>
        <w:rPr>
          <w:lang w:val="es-ES_tradnl"/>
        </w:rPr>
      </w:pPr>
      <w:r w:rsidRPr="009C3B9B">
        <w:rPr>
          <w:rFonts w:ascii="Verdana" w:hAnsi="Verdana"/>
          <w:sz w:val="18"/>
          <w:szCs w:val="18"/>
        </w:rPr>
        <w:t>https://relatoria.colombiacompra.gov.co/conceptos/c-1550-de-2025/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CC7703"/>
    <w:multiLevelType w:val="hybridMultilevel"/>
    <w:tmpl w:val="0B5AB6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827985604">
    <w:abstractNumId w:val="10"/>
  </w:num>
  <w:num w:numId="17" w16cid:durableId="341274352">
    <w:abstractNumId w:val="0"/>
  </w:num>
  <w:num w:numId="18" w16cid:durableId="1631857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E3FE1"/>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83868"/>
    <w:rsid w:val="003A779E"/>
    <w:rsid w:val="003D0F4D"/>
    <w:rsid w:val="003D5B0D"/>
    <w:rsid w:val="003E0499"/>
    <w:rsid w:val="003E4F80"/>
    <w:rsid w:val="003E6439"/>
    <w:rsid w:val="003F3941"/>
    <w:rsid w:val="00406575"/>
    <w:rsid w:val="00414C74"/>
    <w:rsid w:val="0042722E"/>
    <w:rsid w:val="00441C97"/>
    <w:rsid w:val="0044528D"/>
    <w:rsid w:val="00466E39"/>
    <w:rsid w:val="004A1847"/>
    <w:rsid w:val="004A305D"/>
    <w:rsid w:val="004F21C4"/>
    <w:rsid w:val="004F685F"/>
    <w:rsid w:val="005566E8"/>
    <w:rsid w:val="00574867"/>
    <w:rsid w:val="00591460"/>
    <w:rsid w:val="005A65E0"/>
    <w:rsid w:val="005B6DD7"/>
    <w:rsid w:val="005C3777"/>
    <w:rsid w:val="005C5CDC"/>
    <w:rsid w:val="005D476C"/>
    <w:rsid w:val="006200BF"/>
    <w:rsid w:val="006219F8"/>
    <w:rsid w:val="006224F0"/>
    <w:rsid w:val="006302F7"/>
    <w:rsid w:val="00646B9F"/>
    <w:rsid w:val="00665D70"/>
    <w:rsid w:val="006900D9"/>
    <w:rsid w:val="00706C16"/>
    <w:rsid w:val="007168E8"/>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B71A5"/>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6C87"/>
    <w:rsid w:val="00A67207"/>
    <w:rsid w:val="00AB0ADB"/>
    <w:rsid w:val="00B00C0E"/>
    <w:rsid w:val="00B01B1A"/>
    <w:rsid w:val="00B0381D"/>
    <w:rsid w:val="00B44A47"/>
    <w:rsid w:val="00B72CD3"/>
    <w:rsid w:val="00B72FFF"/>
    <w:rsid w:val="00B76D39"/>
    <w:rsid w:val="00BC3D36"/>
    <w:rsid w:val="00BD54A6"/>
    <w:rsid w:val="00BD7F72"/>
    <w:rsid w:val="00BF7425"/>
    <w:rsid w:val="00C04FB3"/>
    <w:rsid w:val="00C11D8B"/>
    <w:rsid w:val="00C15139"/>
    <w:rsid w:val="00C330EB"/>
    <w:rsid w:val="00C50D69"/>
    <w:rsid w:val="00C5365C"/>
    <w:rsid w:val="00C57205"/>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3958"/>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B76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B76D3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conceptos/c-429-de-20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F1B5DBD-3E81-4857-BD77-4AEB9F143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37</Pages>
  <Words>13530</Words>
  <Characters>74419</Characters>
  <Application>Microsoft Office Word</Application>
  <DocSecurity>0</DocSecurity>
  <Lines>620</Lines>
  <Paragraphs>175</Paragraphs>
  <ScaleCrop>false</ScaleCrop>
  <Company/>
  <LinksUpToDate>false</LinksUpToDate>
  <CharactersWithSpaces>87774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2026-09-29T01:16:00Z</dcterms:created>
  <dcterms:modified xsi:type="dcterms:W3CDTF">2026-09-29T20:43:00Z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