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9FBCD" w14:textId="77777777" w:rsidR="00F2650D" w:rsidRDefault="00000000">
      <w:pPr>
        <w:spacing w:after="0" w:line="240" w:lineRule="auto"/>
        <w:contextualSpacing/>
        <w:jc w:val="both"/>
        <w:rPr>
          <w:rFonts w:ascii="Verdana" w:eastAsia="Calibri" w:hAnsi="Verdana" w:cs="Arial"/>
          <w:b/>
          <w:bCs/>
          <w:lang w:eastAsia="es-ES"/>
        </w:rPr>
      </w:pPr>
      <w:bookmarkStart w:id="0" w:name="_Hlk241077334"/>
      <w:r>
        <w:rPr>
          <w:rFonts w:ascii="Verdana" w:eastAsia="Calibri" w:hAnsi="Verdana" w:cs="Arial"/>
          <w:b/>
          <w:bCs/>
          <w:lang w:eastAsia="es-ES"/>
        </w:rPr>
        <w:t>DECRETO 0287 DE 2026 ‒ Sistema Integral de Preferencias ‒ Contratación pública inclusiva ‒ Personas con discapacidad</w:t>
      </w:r>
    </w:p>
    <w:p w14:paraId="0EBDA3CB" w14:textId="77777777" w:rsidR="00F2650D" w:rsidRDefault="00F2650D">
      <w:pPr>
        <w:spacing w:after="0" w:line="240" w:lineRule="auto"/>
        <w:contextualSpacing/>
        <w:jc w:val="both"/>
        <w:rPr>
          <w:rFonts w:ascii="Verdana" w:eastAsia="Calibri" w:hAnsi="Verdana" w:cs="Arial"/>
          <w:b/>
          <w:bCs/>
          <w:lang w:eastAsia="es-ES"/>
        </w:rPr>
      </w:pPr>
    </w:p>
    <w:p w14:paraId="1C415EB1" w14:textId="77777777" w:rsidR="00F2650D"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 Respecto al alcance del Decreto 0287 de 2026, es necesario indicar que este reglamenta los numerales 1, 7 y 8 del artículo 13 de la Ley 1618 de 2013, acción que fue ordenada por el Consejo de Estado, Sección Quinta de la Sala de lo Contencioso Administrativo, mediante sentencia de acción de cumplimiento del 12 de diciembre de 2024, radicación </w:t>
      </w:r>
      <w:proofErr w:type="spellStart"/>
      <w:r>
        <w:rPr>
          <w:rFonts w:ascii="Verdana" w:eastAsia="Calibri" w:hAnsi="Verdana" w:cs="Arial"/>
          <w:sz w:val="20"/>
          <w:szCs w:val="20"/>
          <w:lang w:eastAsia="es-ES"/>
        </w:rPr>
        <w:t>N.°</w:t>
      </w:r>
      <w:proofErr w:type="spellEnd"/>
      <w:r>
        <w:rPr>
          <w:rFonts w:ascii="Verdana" w:eastAsia="Calibri" w:hAnsi="Verdana" w:cs="Arial"/>
          <w:sz w:val="20"/>
          <w:szCs w:val="20"/>
          <w:lang w:eastAsia="es-ES"/>
        </w:rPr>
        <w:t xml:space="preserve"> 05001-23-33-000-2024-00847-01, con ponencia del magistrado Omar Joaquín Barreto Suárez, y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Este sistema está compuesto por cinco medidas: herramientas de planeación para procesos inclusivos, criterios habilitantes diferenciales, puntaje adicional del 2%, condiciones especiales de ejecución e inclusión de personas con discapacidad (en adelante, </w:t>
      </w:r>
      <w:proofErr w:type="spellStart"/>
      <w:r>
        <w:rPr>
          <w:rFonts w:ascii="Verdana" w:eastAsia="Calibri" w:hAnsi="Verdana" w:cs="Arial"/>
          <w:sz w:val="20"/>
          <w:szCs w:val="20"/>
          <w:lang w:eastAsia="es-ES"/>
        </w:rPr>
        <w:t>PcD</w:t>
      </w:r>
      <w:proofErr w:type="spellEnd"/>
      <w:r>
        <w:rPr>
          <w:rFonts w:ascii="Verdana" w:eastAsia="Calibri" w:hAnsi="Verdana" w:cs="Arial"/>
          <w:sz w:val="20"/>
          <w:szCs w:val="20"/>
          <w:lang w:eastAsia="es-ES"/>
        </w:rPr>
        <w:t>) en contratos de prestación de 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 irradiando la fase de planeación ya que es allí donde la compra debe plantearse con criterios de accesibilidad.</w:t>
      </w:r>
    </w:p>
    <w:p w14:paraId="12DA6BC5" w14:textId="77777777" w:rsidR="00F2650D" w:rsidRDefault="00F2650D">
      <w:pPr>
        <w:spacing w:after="0" w:line="240" w:lineRule="auto"/>
        <w:contextualSpacing/>
        <w:jc w:val="both"/>
        <w:rPr>
          <w:rFonts w:ascii="Verdana" w:eastAsia="Calibri" w:hAnsi="Verdana" w:cs="Arial"/>
          <w:b/>
          <w:bCs/>
          <w:lang w:eastAsia="es-ES"/>
        </w:rPr>
      </w:pPr>
    </w:p>
    <w:p w14:paraId="60651245" w14:textId="77777777" w:rsidR="00F2650D"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DECRETO 0287 DE 2026 ‒ Puntaje adicional del 2% ‒ No acumulabilidad ‒ Acreditación simultánea de condiciones ‒ Modalidades de selección aplicables</w:t>
      </w:r>
    </w:p>
    <w:p w14:paraId="207AD9A1" w14:textId="77777777" w:rsidR="00F2650D" w:rsidRDefault="00F2650D">
      <w:pPr>
        <w:spacing w:after="0" w:line="240" w:lineRule="auto"/>
        <w:contextualSpacing/>
        <w:jc w:val="both"/>
        <w:rPr>
          <w:rFonts w:ascii="Verdana" w:eastAsia="Calibri" w:hAnsi="Verdana" w:cs="Arial"/>
          <w:b/>
          <w:bCs/>
          <w:lang w:eastAsia="es-ES"/>
        </w:rPr>
      </w:pPr>
    </w:p>
    <w:p w14:paraId="23FBB2EE" w14:textId="77777777" w:rsidR="00F2650D"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El artículo 2.2.1.2.4.2.7.4. del Decreto 0287 de 2026 es explícito al disponer que, aunque el proponente acredite simultáneamente ser emprendimiento o empresa de </w:t>
      </w:r>
      <w:proofErr w:type="spellStart"/>
      <w:r>
        <w:rPr>
          <w:rFonts w:ascii="Verdana" w:eastAsia="Calibri" w:hAnsi="Verdana" w:cs="Arial"/>
          <w:sz w:val="20"/>
          <w:szCs w:val="20"/>
          <w:lang w:eastAsia="es-ES"/>
        </w:rPr>
        <w:t>PcD</w:t>
      </w:r>
      <w:proofErr w:type="spellEnd"/>
      <w:r>
        <w:rPr>
          <w:rFonts w:ascii="Verdana" w:eastAsia="Calibri" w:hAnsi="Verdana" w:cs="Arial"/>
          <w:sz w:val="20"/>
          <w:szCs w:val="20"/>
          <w:lang w:eastAsia="es-ES"/>
        </w:rPr>
        <w:t xml:space="preserve"> y ser empleador de </w:t>
      </w:r>
      <w:proofErr w:type="spellStart"/>
      <w:r>
        <w:rPr>
          <w:rFonts w:ascii="Verdana" w:eastAsia="Calibri" w:hAnsi="Verdana" w:cs="Arial"/>
          <w:sz w:val="20"/>
          <w:szCs w:val="20"/>
          <w:lang w:eastAsia="es-ES"/>
        </w:rPr>
        <w:t>PcD</w:t>
      </w:r>
      <w:proofErr w:type="spellEnd"/>
      <w:r>
        <w:rPr>
          <w:rFonts w:ascii="Verdana" w:eastAsia="Calibri" w:hAnsi="Verdana" w:cs="Arial"/>
          <w:sz w:val="20"/>
          <w:szCs w:val="20"/>
          <w:lang w:eastAsia="es-ES"/>
        </w:rPr>
        <w:t>, el puntaje máximo a otorgar por este criterio es siempre el 2% del total de los puntos del pliego, sin que las condiciones acreditadas sean sumables para efectos de la evaluación de la oferta, y tampoco es posible disminuir ese porcentaje de puntos ya que siempre será el 2% como lo establece el decreto. Este puntaje aplica únicamente en entidades regidas por el Estatuto General de Contratación Pública, en las modalidades de licitación pública y concurso de méritos; no aplica en régimen especial, ni en selección abreviada, mínima cuantía ni contratación directa.</w:t>
      </w:r>
    </w:p>
    <w:p w14:paraId="0A0C2C35" w14:textId="77777777" w:rsidR="00F2650D" w:rsidRDefault="00F2650D">
      <w:pPr>
        <w:spacing w:after="0" w:line="240" w:lineRule="auto"/>
        <w:contextualSpacing/>
        <w:jc w:val="both"/>
        <w:rPr>
          <w:rFonts w:ascii="Verdana" w:eastAsia="Calibri" w:hAnsi="Verdana" w:cs="Arial"/>
          <w:b/>
          <w:bCs/>
          <w:lang w:eastAsia="es-ES"/>
        </w:rPr>
      </w:pPr>
    </w:p>
    <w:p w14:paraId="10089545" w14:textId="77777777" w:rsidR="00F2650D"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CERTIFICADO DE DISCAPACIDAD ‒ Naturaleza declarativa ‒ Fecha de expedición ‒ Términos mínimos de vinculación laboral ‒ Decreto 0287 de 2026</w:t>
      </w:r>
    </w:p>
    <w:p w14:paraId="34532B65" w14:textId="77777777" w:rsidR="00F2650D" w:rsidRDefault="00F2650D">
      <w:pPr>
        <w:spacing w:after="0" w:line="240" w:lineRule="auto"/>
        <w:contextualSpacing/>
        <w:jc w:val="both"/>
        <w:rPr>
          <w:rFonts w:ascii="Verdana" w:eastAsia="Calibri" w:hAnsi="Verdana" w:cs="Arial"/>
          <w:b/>
          <w:bCs/>
          <w:lang w:eastAsia="es-ES"/>
        </w:rPr>
      </w:pPr>
    </w:p>
    <w:p w14:paraId="75B4856C" w14:textId="77777777" w:rsidR="00F2650D"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La condición de persona con discapacidad no se adquiere con la expedición del certificado: deriva de la existencia de deficiencias físicas, mentales, intelectuales o sensoriales a largo plazo que, al interactuar con diversas barreras, pueden impedir la participación plena y efectiva en la sociedad, en los términos del numeral 1 del artículo 2 de la Ley Estatutaria 1618 de 2013. El certificado de discapacidad expedido conforme </w:t>
      </w:r>
      <w:r>
        <w:rPr>
          <w:rFonts w:ascii="Verdana" w:eastAsia="Calibri" w:hAnsi="Verdana" w:cs="Arial"/>
          <w:sz w:val="20"/>
          <w:szCs w:val="20"/>
          <w:lang w:eastAsia="es-ES"/>
        </w:rPr>
        <w:lastRenderedPageBreak/>
        <w:t xml:space="preserve">a la normativa del Ministerio de Salud y Protección Social es el resultado de una valoración multidisciplinaria que verifica y documenta esa condición preexistente, de modo que tiene naturaleza declarativa y probatoria, no constitutiva. En consecuencia, los términos mínimos que exige el Decreto 0287 de 2026 —tres (3) meses de aportes a seguridad social anteriores a la presentación de la oferta para el empleador de </w:t>
      </w:r>
      <w:proofErr w:type="spellStart"/>
      <w:r>
        <w:rPr>
          <w:rFonts w:ascii="Verdana" w:eastAsia="Calibri" w:hAnsi="Verdana" w:cs="Arial"/>
          <w:sz w:val="20"/>
          <w:szCs w:val="20"/>
          <w:lang w:eastAsia="es-ES"/>
        </w:rPr>
        <w:t>PcD</w:t>
      </w:r>
      <w:proofErr w:type="spellEnd"/>
      <w:r>
        <w:rPr>
          <w:rFonts w:ascii="Verdana" w:eastAsia="Calibri" w:hAnsi="Verdana" w:cs="Arial"/>
          <w:sz w:val="20"/>
          <w:szCs w:val="20"/>
          <w:lang w:eastAsia="es-ES"/>
        </w:rPr>
        <w:t xml:space="preserve"> y un (1) año para los supuestos de los numerales 2, 3 y 4 del artículo 2.2.1.2.4.2.6— recaen sobre la vinculación o la circunstancia respectiva, y no sobre la antigüedad del certificado, cuya fecha de expedición no determina, por sí sola, la pérdida del puntaje.</w:t>
      </w:r>
    </w:p>
    <w:p w14:paraId="296F883B" w14:textId="77777777" w:rsidR="00F2650D" w:rsidRDefault="00F2650D">
      <w:pPr>
        <w:spacing w:after="0" w:line="240" w:lineRule="auto"/>
        <w:contextualSpacing/>
        <w:jc w:val="both"/>
        <w:rPr>
          <w:rFonts w:ascii="Verdana" w:eastAsia="Calibri" w:hAnsi="Verdana" w:cs="Arial"/>
          <w:b/>
          <w:bCs/>
          <w:lang w:eastAsia="es-ES"/>
        </w:rPr>
      </w:pPr>
    </w:p>
    <w:p w14:paraId="36CA0CFC" w14:textId="77777777" w:rsidR="00F2650D"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PROCESOS DE SELECCIÓN ‒ Controversias sobre la evaluación ‒ Observaciones al informe de evaluación ‒ Audiencia de adjudicación ‒ Organismos de control ‒ Control judicial</w:t>
      </w:r>
    </w:p>
    <w:p w14:paraId="0060F951" w14:textId="77777777" w:rsidR="00F2650D" w:rsidRDefault="00F2650D">
      <w:pPr>
        <w:spacing w:after="0" w:line="240" w:lineRule="auto"/>
        <w:contextualSpacing/>
        <w:jc w:val="both"/>
        <w:rPr>
          <w:rFonts w:ascii="Verdana" w:eastAsia="Calibri" w:hAnsi="Verdana" w:cs="Arial"/>
          <w:b/>
          <w:bCs/>
          <w:lang w:eastAsia="es-ES"/>
        </w:rPr>
      </w:pPr>
    </w:p>
    <w:p w14:paraId="23493CC5" w14:textId="77777777" w:rsidR="00F2650D"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El proponente que considere que la entidad ha aplicado indebidamente las medidas del Decreto 0287 de 2026 en un proceso de licitación pública dispone de mecanismos dentro del propio proceso: la presentación de observaciones al informe de evaluación durante su traslado por cinco (5) días hábiles (artículo 30, numeral 8, de la Ley 80 de 1993) y la intervención en la audiencia pública de adjudicación (artículo 9 de la Ley 1150 de 2007). Puede, además, acudir a los organismos de control y, contra el acto de adjudicación —que no admite recursos en sede administrativa—, ejercer los medios de control previstos en el Código de Procedimiento Administrativo y de lo Contencioso Administrativo.</w:t>
      </w:r>
    </w:p>
    <w:p w14:paraId="4BAD08B7" w14:textId="77777777" w:rsidR="007871E6" w:rsidRPr="005544FB" w:rsidRDefault="007871E6" w:rsidP="005544FB">
      <w:pPr>
        <w:spacing w:after="0" w:line="240" w:lineRule="auto"/>
        <w:contextualSpacing/>
        <w:jc w:val="both"/>
        <w:rPr>
          <w:rFonts w:ascii="Verdana" w:eastAsia="Calibri" w:hAnsi="Verdana" w:cs="Arial"/>
          <w:sz w:val="20"/>
          <w:szCs w:val="20"/>
          <w:lang w:eastAsia="es-ES"/>
        </w:rPr>
      </w:pPr>
    </w:p>
    <w:p w14:paraId="483430B8"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153DCD53"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7EFAB1C1"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728239B0"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08EC0974"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62336BFF"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69C31310"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7BBF4F8F"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755C1FBA"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6A3A094B"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4F8383A6"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035E4562"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52987E6B"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3F36A317"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2E1B897D"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71765BF8"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64B337F2"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4A762CAF"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329D1363"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4EFD8053"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6E30D54E"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5CAA5D51" w14:textId="565800DD" w:rsidR="007741C2" w:rsidRPr="006A331A" w:rsidRDefault="007C30EE" w:rsidP="007741C2">
      <w:pPr>
        <w:spacing w:after="0" w:line="240" w:lineRule="auto"/>
        <w:rPr>
          <w:rFonts w:ascii="Verdana" w:eastAsia="Calibri" w:hAnsi="Verdana" w:cs="Arial"/>
          <w:bCs/>
          <w:lang w:eastAsia="es-ES_tradnl"/>
        </w:rPr>
      </w:pPr>
      <w:r w:rsidRPr="006A331A">
        <w:rPr>
          <w:rFonts w:ascii="Verdana" w:eastAsia="Calibri" w:hAnsi="Verdana" w:cs="Arial"/>
          <w:bCs/>
          <w:noProof/>
          <w:lang w:eastAsia="es-ES_tradnl"/>
        </w:rPr>
        <w:lastRenderedPageBreak/>
        <w:drawing>
          <wp:anchor distT="0" distB="0" distL="114300" distR="114300" simplePos="0" relativeHeight="251658240" behindDoc="1" locked="0" layoutInCell="1" allowOverlap="1" wp14:anchorId="16FD0400" wp14:editId="09D4364D">
            <wp:simplePos x="0" y="0"/>
            <wp:positionH relativeFrom="column">
              <wp:posOffset>3202305</wp:posOffset>
            </wp:positionH>
            <wp:positionV relativeFrom="paragraph">
              <wp:posOffset>0</wp:posOffset>
            </wp:positionV>
            <wp:extent cx="3444240" cy="1165860"/>
            <wp:effectExtent l="0" t="0" r="3810" b="0"/>
            <wp:wrapTight wrapText="bothSides">
              <wp:wrapPolygon edited="0">
                <wp:start x="0" y="0"/>
                <wp:lineTo x="0" y="21176"/>
                <wp:lineTo x="21504" y="21176"/>
                <wp:lineTo x="21504" y="0"/>
                <wp:lineTo x="0" y="0"/>
              </wp:wrapPolygon>
            </wp:wrapTight>
            <wp:docPr id="14754063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406355" name=""/>
                    <pic:cNvPicPr/>
                  </pic:nvPicPr>
                  <pic:blipFill>
                    <a:blip r:embed="rId10">
                      <a:extLst>
                        <a:ext uri="{28A0092B-C50C-407E-A947-70E740481C1C}">
                          <a14:useLocalDpi xmlns:a14="http://schemas.microsoft.com/office/drawing/2010/main" val="0"/>
                        </a:ext>
                      </a:extLst>
                    </a:blip>
                    <a:stretch>
                      <a:fillRect/>
                    </a:stretch>
                  </pic:blipFill>
                  <pic:spPr>
                    <a:xfrm>
                      <a:off x="0" y="0"/>
                      <a:ext cx="3444240" cy="1165860"/>
                    </a:xfrm>
                    <a:prstGeom prst="rect">
                      <a:avLst/>
                    </a:prstGeom>
                  </pic:spPr>
                </pic:pic>
              </a:graphicData>
            </a:graphic>
            <wp14:sizeRelH relativeFrom="page">
              <wp14:pctWidth>0</wp14:pctWidth>
            </wp14:sizeRelH>
            <wp14:sizeRelV relativeFrom="page">
              <wp14:pctHeight>0</wp14:pctHeight>
            </wp14:sizeRelV>
          </wp:anchor>
        </w:drawing>
      </w:r>
      <w:r w:rsidRPr="006A331A">
        <w:rPr>
          <w:rFonts w:ascii="Verdana" w:eastAsia="Calibri" w:hAnsi="Verdana" w:cs="Arial"/>
          <w:bCs/>
          <w:lang w:eastAsia="es-ES_tradnl"/>
        </w:rPr>
        <w:t xml:space="preserve">Bogotá D.C., 25 de </w:t>
      </w:r>
      <w:r w:rsidR="006A331A" w:rsidRPr="006A331A">
        <w:rPr>
          <w:rFonts w:ascii="Verdana" w:eastAsia="Calibri" w:hAnsi="Verdana" w:cs="Arial"/>
          <w:bCs/>
          <w:lang w:eastAsia="es-ES_tradnl"/>
        </w:rPr>
        <w:t>septiembre</w:t>
      </w:r>
      <w:r w:rsidRPr="006A331A">
        <w:rPr>
          <w:rFonts w:ascii="Verdana" w:eastAsia="Calibri" w:hAnsi="Verdana" w:cs="Arial"/>
          <w:bCs/>
          <w:lang w:eastAsia="es-ES_tradnl"/>
        </w:rPr>
        <w:t xml:space="preserve"> de 2026</w:t>
      </w:r>
    </w:p>
    <w:p w14:paraId="0ECAD69A" w14:textId="7E25B26F" w:rsidR="007871E6" w:rsidRDefault="007871E6" w:rsidP="003248CC">
      <w:pPr>
        <w:spacing w:after="0" w:line="240" w:lineRule="auto"/>
        <w:rPr>
          <w:rFonts w:ascii="Verdana" w:hAnsi="Verdana"/>
        </w:rPr>
      </w:pPr>
    </w:p>
    <w:p w14:paraId="1697942F" w14:textId="77777777" w:rsidR="00DD71D8" w:rsidRPr="00777292" w:rsidRDefault="00DD71D8" w:rsidP="003248CC">
      <w:pPr>
        <w:spacing w:after="0" w:line="240" w:lineRule="auto"/>
        <w:rPr>
          <w:rFonts w:ascii="Verdana" w:hAnsi="Verdana"/>
          <w:lang w:val="es-ES_tradnl"/>
        </w:rPr>
      </w:pPr>
    </w:p>
    <w:p w14:paraId="501C986E" w14:textId="77777777" w:rsidR="00F2650D" w:rsidRDefault="00000000">
      <w:pPr>
        <w:spacing w:after="0" w:line="240" w:lineRule="auto"/>
        <w:rPr>
          <w:rFonts w:ascii="Verdana" w:hAnsi="Verdana"/>
          <w:lang w:val="es-ES"/>
        </w:rPr>
      </w:pPr>
      <w:r>
        <w:rPr>
          <w:rFonts w:ascii="Verdana" w:eastAsia="Calibri" w:hAnsi="Verdana" w:cs="Arial"/>
          <w:lang w:val="es-ES" w:eastAsia="es-ES"/>
        </w:rPr>
        <w:t>Señor</w:t>
      </w:r>
    </w:p>
    <w:p w14:paraId="74108721" w14:textId="77777777" w:rsidR="00F2650D" w:rsidRPr="00C001E2" w:rsidRDefault="00000000">
      <w:pPr>
        <w:spacing w:after="0" w:line="240" w:lineRule="auto"/>
        <w:rPr>
          <w:rFonts w:ascii="Verdana" w:hAnsi="Verdana"/>
          <w:b/>
          <w:bCs/>
          <w:lang w:val="es-ES"/>
        </w:rPr>
      </w:pPr>
      <w:r w:rsidRPr="00C001E2">
        <w:rPr>
          <w:rFonts w:ascii="Verdana" w:eastAsia="Calibri" w:hAnsi="Verdana" w:cs="Arial"/>
          <w:b/>
          <w:bCs/>
          <w:lang w:val="es-ES" w:eastAsia="es-ES"/>
        </w:rPr>
        <w:t>Juan David Pachón Corredor</w:t>
      </w:r>
    </w:p>
    <w:p w14:paraId="391CEEA8" w14:textId="77777777" w:rsidR="00F2650D" w:rsidRDefault="00000000">
      <w:pPr>
        <w:spacing w:after="0" w:line="240" w:lineRule="auto"/>
        <w:rPr>
          <w:rFonts w:ascii="Verdana" w:hAnsi="Verdana"/>
          <w:lang w:val="es-ES"/>
        </w:rPr>
      </w:pPr>
      <w:r>
        <w:rPr>
          <w:rFonts w:ascii="Verdana" w:eastAsia="Calibri" w:hAnsi="Verdana" w:cs="Arial"/>
          <w:lang w:val="es-ES" w:eastAsia="es-ES"/>
        </w:rPr>
        <w:t>juandapa98@gmail.com</w:t>
      </w:r>
    </w:p>
    <w:p w14:paraId="25FC6BA4" w14:textId="77777777" w:rsidR="00F2650D" w:rsidRDefault="00000000">
      <w:pPr>
        <w:spacing w:after="0" w:line="240" w:lineRule="auto"/>
        <w:rPr>
          <w:rFonts w:ascii="Verdana" w:hAnsi="Verdana"/>
          <w:lang w:val="es-ES"/>
        </w:rPr>
      </w:pPr>
      <w:r>
        <w:rPr>
          <w:rFonts w:ascii="Verdana" w:eastAsia="Calibri" w:hAnsi="Verdana" w:cs="Arial"/>
          <w:lang w:val="es-ES" w:eastAsia="es-ES"/>
        </w:rPr>
        <w:t>Barranquilla, Atlántico</w:t>
      </w:r>
    </w:p>
    <w:p w14:paraId="5FBA266D" w14:textId="77777777" w:rsidR="005B1993" w:rsidRPr="00966744" w:rsidRDefault="005B1993" w:rsidP="003248CC">
      <w:pPr>
        <w:spacing w:after="0" w:line="240" w:lineRule="auto"/>
        <w:rPr>
          <w:rFonts w:ascii="Verdana" w:eastAsia="Calibri" w:hAnsi="Verdana" w:cs="Arial"/>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871E6" w:rsidRPr="00777292" w14:paraId="0626C680" w14:textId="77777777" w:rsidTr="000A1473">
        <w:trPr>
          <w:trHeight w:val="190"/>
        </w:trPr>
        <w:tc>
          <w:tcPr>
            <w:tcW w:w="2689" w:type="dxa"/>
          </w:tcPr>
          <w:p w14:paraId="0361181D" w14:textId="77777777" w:rsidR="007871E6" w:rsidRDefault="007871E6" w:rsidP="005B1993">
            <w:pPr>
              <w:jc w:val="both"/>
              <w:rPr>
                <w:rFonts w:ascii="Verdana" w:eastAsia="Calibri" w:hAnsi="Verdana" w:cs="Arial"/>
                <w:b/>
                <w:bCs/>
                <w:lang w:eastAsia="es-ES_tradnl"/>
              </w:rPr>
            </w:pPr>
          </w:p>
          <w:p w14:paraId="3EE6D552" w14:textId="77777777" w:rsidR="005B1993" w:rsidRPr="00777292" w:rsidRDefault="005B1993" w:rsidP="005B1993">
            <w:pPr>
              <w:jc w:val="both"/>
              <w:rPr>
                <w:rFonts w:ascii="Verdana" w:eastAsia="Calibri" w:hAnsi="Verdana" w:cs="Arial"/>
                <w:b/>
                <w:bCs/>
                <w:lang w:eastAsia="es-ES_tradnl"/>
              </w:rPr>
            </w:pPr>
          </w:p>
        </w:tc>
        <w:tc>
          <w:tcPr>
            <w:tcW w:w="6100" w:type="dxa"/>
          </w:tcPr>
          <w:p w14:paraId="38927AE3" w14:textId="626E3FF4" w:rsidR="007871E6" w:rsidRPr="00777292" w:rsidRDefault="007871E6">
            <w:pPr>
              <w:jc w:val="both"/>
              <w:rPr>
                <w:rFonts w:ascii="Verdana" w:eastAsia="Calibri" w:hAnsi="Verdana" w:cs="Arial"/>
                <w:b/>
                <w:bCs/>
                <w:lang w:eastAsia="es-ES"/>
              </w:rPr>
            </w:pPr>
            <w:r>
              <w:rPr>
                <w:rFonts w:ascii="Verdana" w:eastAsia="Calibri" w:hAnsi="Verdana" w:cs="Arial"/>
                <w:b/>
                <w:bCs/>
                <w:lang w:eastAsia="es-ES"/>
              </w:rPr>
              <w:t>Concepto C-1312 de 2026</w:t>
            </w:r>
          </w:p>
          <w:p w14:paraId="668136F8" w14:textId="77777777" w:rsidR="007871E6" w:rsidRPr="00777292" w:rsidRDefault="007871E6">
            <w:pPr>
              <w:jc w:val="both"/>
              <w:rPr>
                <w:rFonts w:ascii="Verdana" w:eastAsia="Calibri" w:hAnsi="Verdana" w:cs="Arial"/>
                <w:b/>
                <w:bCs/>
                <w:lang w:eastAsia="es-ES"/>
              </w:rPr>
            </w:pPr>
          </w:p>
        </w:tc>
      </w:tr>
      <w:tr w:rsidR="007871E6" w:rsidRPr="00777292" w14:paraId="18E70039" w14:textId="77777777" w:rsidTr="000A1473">
        <w:trPr>
          <w:trHeight w:val="884"/>
        </w:trPr>
        <w:tc>
          <w:tcPr>
            <w:tcW w:w="2689" w:type="dxa"/>
          </w:tcPr>
          <w:p w14:paraId="1899E063" w14:textId="77777777" w:rsidR="007871E6" w:rsidRPr="00777292" w:rsidRDefault="007871E6" w:rsidP="005B1993">
            <w:pPr>
              <w:jc w:val="both"/>
              <w:rPr>
                <w:rFonts w:ascii="Verdana" w:eastAsia="Calibri" w:hAnsi="Verdana" w:cs="Arial"/>
                <w:lang w:eastAsia="es-ES_tradnl"/>
              </w:rPr>
            </w:pPr>
            <w:r>
              <w:rPr>
                <w:rFonts w:ascii="Verdana" w:eastAsia="Calibri" w:hAnsi="Verdana" w:cs="Arial"/>
                <w:b/>
                <w:lang w:eastAsia="es-ES_tradnl"/>
              </w:rPr>
              <w:t>Tema:</w:t>
            </w:r>
            <w:r>
              <w:rPr>
                <w:rFonts w:ascii="Verdana" w:eastAsia="Calibri" w:hAnsi="Verdana" w:cs="Arial"/>
                <w:lang w:eastAsia="es-ES_tradnl"/>
              </w:rPr>
              <w:t xml:space="preserve">                   </w:t>
            </w:r>
          </w:p>
        </w:tc>
        <w:tc>
          <w:tcPr>
            <w:tcW w:w="6100" w:type="dxa"/>
          </w:tcPr>
          <w:p w14:paraId="4AE16A4F" w14:textId="77777777" w:rsidR="007871E6" w:rsidRDefault="007871E6" w:rsidP="00C00CDF">
            <w:pPr>
              <w:contextualSpacing/>
              <w:jc w:val="both"/>
              <w:rPr>
                <w:rFonts w:ascii="Verdana" w:eastAsia="Calibri" w:hAnsi="Verdana" w:cs="Arial"/>
                <w:lang w:eastAsia="es-ES"/>
              </w:rPr>
            </w:pPr>
            <w:r>
              <w:rPr>
                <w:rFonts w:ascii="Verdana" w:eastAsia="Calibri" w:hAnsi="Verdana" w:cs="Arial"/>
                <w:lang w:eastAsia="es-ES"/>
              </w:rPr>
              <w:t>DECRETO 0287 DE 2026 ‒ Sistema Integral de Preferencias ‒ Contratación pública inclusiva ‒ Personas con discapacidad / DECRETO 0287 DE 2026 ‒ Puntaje adicional del 2% ‒ No acumulabilidad ‒ Acreditación simultánea de condiciones ‒ Modalidades de selección aplicables / CERTIFICADO DE DISCAPACIDAD ‒ Naturaleza declarativa ‒ Fecha de expedición ‒ Términos mínimos de vinculación laboral ‒ Decreto 0287 de 2026 / PROCESOS DE SELECCIÓN ‒ Controversias sobre la evaluación ‒ Observaciones al informe de evaluación ‒ Audiencia de adjudicación ‒ Organismos de control ‒ Control judicial</w:t>
            </w:r>
          </w:p>
          <w:p w14:paraId="6241FF2B" w14:textId="15EE0802" w:rsidR="00C001E2" w:rsidRPr="00777292" w:rsidRDefault="00C001E2" w:rsidP="00C00CDF">
            <w:pPr>
              <w:contextualSpacing/>
              <w:jc w:val="both"/>
              <w:rPr>
                <w:rFonts w:ascii="Verdana" w:eastAsia="Calibri" w:hAnsi="Verdana" w:cs="Arial"/>
                <w:lang w:eastAsia="es-ES"/>
              </w:rPr>
            </w:pPr>
          </w:p>
        </w:tc>
      </w:tr>
      <w:tr w:rsidR="007871E6" w:rsidRPr="00777292" w14:paraId="5DE4541C" w14:textId="77777777" w:rsidTr="000A1473">
        <w:tc>
          <w:tcPr>
            <w:tcW w:w="2689" w:type="dxa"/>
          </w:tcPr>
          <w:p w14:paraId="710037E3" w14:textId="77777777" w:rsidR="007871E6" w:rsidRPr="00777292" w:rsidRDefault="007871E6" w:rsidP="005B1993">
            <w:pPr>
              <w:jc w:val="both"/>
              <w:rPr>
                <w:rFonts w:ascii="Verdana" w:eastAsia="Calibri" w:hAnsi="Verdana" w:cs="Arial"/>
                <w:b/>
                <w:lang w:eastAsia="es-ES_tradnl"/>
              </w:rPr>
            </w:pPr>
            <w:r>
              <w:rPr>
                <w:rFonts w:ascii="Verdana" w:eastAsia="Calibri" w:hAnsi="Verdana" w:cs="Arial"/>
                <w:b/>
                <w:lang w:eastAsia="es-ES_tradnl"/>
              </w:rPr>
              <w:t>Radicación:</w:t>
            </w:r>
            <w:r>
              <w:rPr>
                <w:rFonts w:ascii="Verdana" w:eastAsia="Calibri" w:hAnsi="Verdana" w:cs="Arial"/>
                <w:lang w:eastAsia="es-ES_tradnl"/>
              </w:rPr>
              <w:t xml:space="preserve">               </w:t>
            </w:r>
          </w:p>
        </w:tc>
        <w:tc>
          <w:tcPr>
            <w:tcW w:w="6100" w:type="dxa"/>
          </w:tcPr>
          <w:p w14:paraId="306CED9C" w14:textId="77777777" w:rsidR="007871E6" w:rsidRPr="006A331A" w:rsidRDefault="007871E6" w:rsidP="005B1993">
            <w:pPr>
              <w:jc w:val="both"/>
              <w:rPr>
                <w:rFonts w:ascii="Verdana" w:eastAsia="Calibri" w:hAnsi="Verdana" w:cs="Arial"/>
                <w:lang w:eastAsia="es-ES_tradnl"/>
              </w:rPr>
            </w:pPr>
            <w:r w:rsidRPr="006A331A">
              <w:rPr>
                <w:rFonts w:ascii="Verdana" w:eastAsia="Calibri" w:hAnsi="Verdana" w:cs="Arial"/>
                <w:lang w:eastAsia="es-ES_tradnl"/>
              </w:rPr>
              <w:t>Respuesta a consulta con radicado No.</w:t>
            </w:r>
            <w:r w:rsidRPr="006A331A">
              <w:rPr>
                <w:rFonts w:ascii="Roboto" w:hAnsi="Roboto"/>
                <w:sz w:val="27"/>
                <w:szCs w:val="27"/>
                <w:shd w:val="clear" w:color="auto" w:fill="FFFFFF"/>
              </w:rPr>
              <w:t xml:space="preserve"> </w:t>
            </w:r>
            <w:r w:rsidRPr="006A331A">
              <w:rPr>
                <w:rFonts w:ascii="Verdana" w:hAnsi="Verdana"/>
                <w:shd w:val="clear" w:color="auto" w:fill="FFFFFF"/>
              </w:rPr>
              <w:t>1_2026_08_18_010960 acumulada 1_2026_08_18_010959</w:t>
            </w:r>
          </w:p>
        </w:tc>
      </w:tr>
    </w:tbl>
    <w:p w14:paraId="1B7B993B" w14:textId="77777777" w:rsidR="007871E6" w:rsidRPr="00206556" w:rsidRDefault="007871E6" w:rsidP="005B1993">
      <w:pPr>
        <w:tabs>
          <w:tab w:val="left" w:pos="1520"/>
        </w:tabs>
        <w:spacing w:after="0" w:line="276" w:lineRule="auto"/>
        <w:jc w:val="both"/>
        <w:rPr>
          <w:rFonts w:ascii="Verdana" w:eastAsia="Calibri" w:hAnsi="Verdana" w:cs="Arial"/>
          <w:color w:val="ED7D31" w:themeColor="accent2"/>
          <w:sz w:val="20"/>
          <w:szCs w:val="20"/>
          <w:lang w:val="es-ES" w:eastAsia="es-ES"/>
        </w:rPr>
      </w:pPr>
    </w:p>
    <w:p w14:paraId="6FB224DA" w14:textId="77777777" w:rsidR="007871E6" w:rsidRPr="00206556" w:rsidRDefault="007871E6" w:rsidP="005B1993">
      <w:pPr>
        <w:spacing w:after="0" w:line="276" w:lineRule="auto"/>
        <w:jc w:val="both"/>
        <w:rPr>
          <w:rFonts w:ascii="Verdana" w:eastAsia="Calibri" w:hAnsi="Verdana" w:cs="Arial"/>
          <w:color w:val="ED7D31" w:themeColor="accent2"/>
          <w:lang w:val="es-ES" w:eastAsia="es-ES"/>
        </w:rPr>
      </w:pPr>
    </w:p>
    <w:p w14:paraId="203CB6C8" w14:textId="77777777" w:rsidR="007871E6" w:rsidRPr="00206556" w:rsidRDefault="007871E6">
      <w:pPr>
        <w:spacing w:after="0" w:line="276" w:lineRule="auto"/>
        <w:jc w:val="both"/>
        <w:rPr>
          <w:rFonts w:ascii="Verdana" w:eastAsia="Calibri" w:hAnsi="Verdana" w:cs="Arial"/>
          <w:lang w:val="es-ES" w:eastAsia="es-ES"/>
        </w:rPr>
      </w:pPr>
      <w:r>
        <w:rPr>
          <w:rFonts w:ascii="Verdana" w:eastAsia="Calibri" w:hAnsi="Verdana" w:cs="Arial"/>
          <w:lang w:val="es-ES" w:eastAsia="es-ES"/>
        </w:rPr>
        <w:t>Estimado señor Pachón:</w:t>
      </w:r>
    </w:p>
    <w:p w14:paraId="543CEC99" w14:textId="77777777" w:rsidR="007871E6" w:rsidRPr="00206556" w:rsidRDefault="007871E6">
      <w:pPr>
        <w:tabs>
          <w:tab w:val="left" w:pos="3768"/>
        </w:tabs>
        <w:spacing w:after="0" w:line="276" w:lineRule="auto"/>
        <w:jc w:val="both"/>
        <w:rPr>
          <w:rFonts w:ascii="Verdana" w:eastAsia="Calibri" w:hAnsi="Verdana" w:cs="Arial"/>
          <w:lang w:val="es-ES" w:eastAsia="es-ES"/>
        </w:rPr>
      </w:pPr>
      <w:r>
        <w:rPr>
          <w:rFonts w:ascii="Verdana" w:eastAsia="Calibri" w:hAnsi="Verdana" w:cs="Arial"/>
          <w:lang w:val="es-ES" w:eastAsia="es-ES"/>
        </w:rPr>
        <w:tab/>
      </w:r>
    </w:p>
    <w:p w14:paraId="404D9089" w14:textId="77777777" w:rsidR="007871E6" w:rsidRPr="00206556" w:rsidRDefault="007871E6">
      <w:pPr>
        <w:spacing w:after="0" w:line="276" w:lineRule="auto"/>
        <w:jc w:val="both"/>
        <w:rPr>
          <w:rFonts w:ascii="Verdana" w:eastAsia="Calibri" w:hAnsi="Verdana" w:cs="Arial"/>
          <w:lang w:val="es-ES" w:eastAsia="es-ES"/>
        </w:rPr>
      </w:pPr>
      <w:r>
        <w:rPr>
          <w:rFonts w:ascii="Verdana" w:eastAsia="Calibri" w:hAnsi="Verdana" w:cs="Arial"/>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lang w:val="es-ES"/>
        </w:rPr>
        <w:t xml:space="preserve">así como lo establecido en la Resolución 469 de 2025 expedida por esta Entidad, </w:t>
      </w:r>
      <w:r>
        <w:rPr>
          <w:rFonts w:ascii="Verdana" w:eastAsia="Calibri" w:hAnsi="Verdana" w:cs="Arial"/>
          <w:lang w:val="es-ES" w:eastAsia="es-ES"/>
        </w:rPr>
        <w:t xml:space="preserve">la Agencia Nacional de Contratación Pública – Colombia Compra Eficiente– responde sus peticiones del 18 de agosto de 2026, en las cuales manifiesta lo siguiente: </w:t>
      </w:r>
    </w:p>
    <w:p w14:paraId="7AAEA145" w14:textId="77777777" w:rsidR="007871E6" w:rsidRPr="006A0794" w:rsidRDefault="007871E6" w:rsidP="003248CC">
      <w:pPr>
        <w:spacing w:after="0" w:line="276" w:lineRule="auto"/>
        <w:ind w:right="709"/>
        <w:jc w:val="both"/>
        <w:rPr>
          <w:rFonts w:ascii="Verdana" w:eastAsia="Century Gothic" w:hAnsi="Verdana" w:cs="Century Gothic"/>
          <w:i/>
          <w:iCs/>
          <w:sz w:val="20"/>
          <w:szCs w:val="20"/>
          <w:lang w:val="es-ES"/>
        </w:rPr>
      </w:pPr>
    </w:p>
    <w:p w14:paraId="186DDB8A" w14:textId="77777777" w:rsidR="00F2650D"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Consulta radicada bajo el No. 1_2026_08_18_010959:</w:t>
      </w:r>
    </w:p>
    <w:p w14:paraId="498C0032" w14:textId="77777777" w:rsidR="00F2650D" w:rsidRDefault="00F2650D">
      <w:pPr>
        <w:spacing w:after="0" w:line="240" w:lineRule="auto"/>
        <w:contextualSpacing/>
        <w:jc w:val="both"/>
        <w:rPr>
          <w:rFonts w:ascii="Verdana" w:eastAsia="Calibri" w:hAnsi="Verdana" w:cs="Arial"/>
          <w:b/>
          <w:bCs/>
          <w:lang w:eastAsia="es-ES"/>
        </w:rPr>
      </w:pPr>
    </w:p>
    <w:p w14:paraId="1AF04772" w14:textId="77777777" w:rsidR="00F2650D"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“Teniendo como base legal al decreto 0287 de 2026, solicitamos amablemente a la entidad aclarar su posición respecto a la siguiente situación particular:</w:t>
      </w:r>
    </w:p>
    <w:p w14:paraId="0EF1AC9F" w14:textId="77777777" w:rsidR="00F2650D"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lastRenderedPageBreak/>
        <w:t>1. Si el oferente presentó dentro de su oferta la acreditación de puntaje optando por el requisito de tabla normativa y acreditó tener un trabajador vinculado por ejemplo desde el 18 de agosto de 2025, adicionalmente aportó soportes laborales y planillas de seguridad social y soportes de vinculación laboral, además del certificado de discapacidad, pero, al revisar la fecha de expedición del certificado se evidencia que fue del 30 de julio de 2026, se solicita responder si:</w:t>
      </w:r>
    </w:p>
    <w:p w14:paraId="6877F8D2" w14:textId="77777777" w:rsidR="00F2650D"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 xml:space="preserve">- El oferente no debe ser acreedor de puntaje pues no tenía vinculada una persona con discapacidad si no desde el 30 de julio de 2026 y no cumple con el tiempo mínimo de 3 meses especificado en la ley, aclarar que la persona acredita su condición de </w:t>
      </w:r>
      <w:proofErr w:type="spellStart"/>
      <w:r>
        <w:rPr>
          <w:rFonts w:ascii="Verdana" w:eastAsia="Century Gothic" w:hAnsi="Verdana" w:cs="Century Gothic"/>
          <w:sz w:val="20"/>
          <w:szCs w:val="20"/>
        </w:rPr>
        <w:t>PcD</w:t>
      </w:r>
      <w:proofErr w:type="spellEnd"/>
      <w:r>
        <w:rPr>
          <w:rFonts w:ascii="Verdana" w:eastAsia="Century Gothic" w:hAnsi="Verdana" w:cs="Century Gothic"/>
          <w:sz w:val="20"/>
          <w:szCs w:val="20"/>
        </w:rPr>
        <w:t xml:space="preserve">, desde que se expide su certificado por Min Salud, así la condición de </w:t>
      </w:r>
      <w:proofErr w:type="spellStart"/>
      <w:r>
        <w:rPr>
          <w:rFonts w:ascii="Verdana" w:eastAsia="Century Gothic" w:hAnsi="Verdana" w:cs="Century Gothic"/>
          <w:sz w:val="20"/>
          <w:szCs w:val="20"/>
        </w:rPr>
        <w:t>PcD</w:t>
      </w:r>
      <w:proofErr w:type="spellEnd"/>
      <w:r>
        <w:rPr>
          <w:rFonts w:ascii="Verdana" w:eastAsia="Century Gothic" w:hAnsi="Verdana" w:cs="Century Gothic"/>
          <w:sz w:val="20"/>
          <w:szCs w:val="20"/>
        </w:rPr>
        <w:t xml:space="preserve"> y la vinculación deben coexistir”.</w:t>
      </w:r>
    </w:p>
    <w:p w14:paraId="5D917ECF" w14:textId="77777777" w:rsidR="00F2650D" w:rsidRDefault="00F2650D">
      <w:pPr>
        <w:spacing w:after="0" w:line="240" w:lineRule="auto"/>
        <w:contextualSpacing/>
        <w:jc w:val="both"/>
        <w:rPr>
          <w:rFonts w:ascii="Verdana" w:eastAsia="Calibri" w:hAnsi="Verdana" w:cs="Arial"/>
          <w:b/>
          <w:bCs/>
          <w:lang w:eastAsia="es-ES"/>
        </w:rPr>
      </w:pPr>
    </w:p>
    <w:p w14:paraId="31BAA1F8" w14:textId="77777777" w:rsidR="00F2650D"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Consulta radicada bajo el No. 1_2026_08_18_010960:</w:t>
      </w:r>
    </w:p>
    <w:p w14:paraId="5FE4679B" w14:textId="77777777" w:rsidR="00F2650D" w:rsidRDefault="00F2650D">
      <w:pPr>
        <w:spacing w:after="0" w:line="240" w:lineRule="auto"/>
        <w:contextualSpacing/>
        <w:jc w:val="both"/>
        <w:rPr>
          <w:rFonts w:ascii="Verdana" w:eastAsia="Calibri" w:hAnsi="Verdana" w:cs="Arial"/>
          <w:b/>
          <w:bCs/>
          <w:lang w:eastAsia="es-ES"/>
        </w:rPr>
      </w:pPr>
    </w:p>
    <w:p w14:paraId="58678E35" w14:textId="77777777" w:rsidR="00F2650D"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“Solicito de manera urgente y en aras de garantizar mi derecho el trabajo y la selección objetiva y transparente responder de fondo mi solicitud con radicado 1_2026_08_18_010959, puesto que en un proceso de licitación pública se está violando lo dispuesto en el decreto 0287 de 2026 y estoy perdiendo la adjudicación por dicha situación por tal razón solicito de manera urgente sentar posición sobre el radicado mencionado en un máximo de 7 días es urgente por favor”.</w:t>
      </w:r>
    </w:p>
    <w:p w14:paraId="17C76C7C" w14:textId="77777777" w:rsidR="007871E6" w:rsidRPr="003248CC" w:rsidRDefault="007871E6" w:rsidP="003248CC">
      <w:pPr>
        <w:spacing w:before="120" w:after="120" w:line="276" w:lineRule="auto"/>
        <w:ind w:left="709" w:right="709"/>
        <w:contextualSpacing/>
        <w:rPr>
          <w:rFonts w:ascii="Verdana" w:eastAsia="Century Gothic" w:hAnsi="Verdana" w:cs="Century Gothic"/>
          <w:lang w:val="es-ES"/>
        </w:rPr>
      </w:pPr>
    </w:p>
    <w:p w14:paraId="589993BB" w14:textId="77777777" w:rsidR="007871E6" w:rsidRPr="00206556" w:rsidRDefault="007871E6" w:rsidP="005B1993">
      <w:pPr>
        <w:spacing w:after="120" w:line="276" w:lineRule="auto"/>
        <w:ind w:firstLine="708"/>
        <w:jc w:val="both"/>
        <w:rPr>
          <w:rFonts w:ascii="Verdana" w:eastAsia="Calibri" w:hAnsi="Verdana" w:cs="Arial"/>
          <w:lang w:val="es-ES" w:eastAsia="es-ES"/>
        </w:rPr>
      </w:pPr>
      <w:r>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al </w:t>
      </w:r>
      <w:r>
        <w:rPr>
          <w:rFonts w:ascii="Verdana" w:hAnsi="Verdana"/>
        </w:rPr>
        <w:t>Estatuto General de Contratación Pública</w:t>
      </w:r>
      <w:r>
        <w:rPr>
          <w:rFonts w:ascii="Verdana" w:eastAsia="Calibri" w:hAnsi="Verdana" w:cs="Arial"/>
          <w:lang w:val="es-ES" w:eastAsia="es-ES"/>
        </w:rPr>
        <w:t xml:space="preserve"> o de los demás participantes de la contratación pública. Esta competencia de interpretación de normas generales, por definición, no puede extenderse a la resolución de controversias, ni a brindar asesorías sobre casos puntuales.  </w:t>
      </w:r>
      <w:r>
        <w:rPr>
          <w:rFonts w:ascii="Verdana" w:hAnsi="Verdana"/>
          <w:lang w:val="es-ES"/>
        </w:rPr>
        <w:tab/>
      </w:r>
    </w:p>
    <w:p w14:paraId="16C5601A" w14:textId="77777777" w:rsidR="007871E6" w:rsidRPr="00206556" w:rsidRDefault="007871E6" w:rsidP="005B1993">
      <w:pPr>
        <w:spacing w:after="0" w:line="276" w:lineRule="auto"/>
        <w:ind w:firstLine="709"/>
        <w:jc w:val="both"/>
        <w:rPr>
          <w:rFonts w:ascii="Verdana" w:eastAsia="Calibri" w:hAnsi="Verdana" w:cs="Arial"/>
          <w:lang w:val="es-ES" w:eastAsia="es-ES"/>
        </w:rPr>
      </w:pPr>
      <w:r>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w:t>
      </w:r>
      <w:r>
        <w:rPr>
          <w:rFonts w:ascii="Verdana" w:eastAsia="Calibri" w:hAnsi="Verdana" w:cs="Arial"/>
          <w:lang w:val="es-ES" w:eastAsia="es-ES"/>
        </w:rPr>
        <w:lastRenderedPageBreak/>
        <w:t xml:space="preserve">concretas mencionadas en su petición, pero haciendo unas consideraciones sobre las normas generales relacionadas con el problema jurídico de su consulta. </w:t>
      </w:r>
    </w:p>
    <w:p w14:paraId="2D047FE4" w14:textId="77777777" w:rsidR="007871E6" w:rsidRPr="00206556" w:rsidRDefault="007871E6" w:rsidP="005B1993">
      <w:pPr>
        <w:spacing w:after="0" w:line="276" w:lineRule="auto"/>
        <w:ind w:firstLine="709"/>
        <w:jc w:val="both"/>
        <w:rPr>
          <w:rFonts w:ascii="Verdana" w:eastAsia="Calibri" w:hAnsi="Verdana" w:cs="Arial"/>
          <w:lang w:val="es-ES" w:eastAsia="es-ES"/>
        </w:rPr>
      </w:pPr>
    </w:p>
    <w:p w14:paraId="20AB1B62" w14:textId="77777777" w:rsidR="007871E6" w:rsidRPr="00206556" w:rsidRDefault="007871E6" w:rsidP="003248CC">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1. Problema planteado:</w:t>
      </w:r>
    </w:p>
    <w:p w14:paraId="5F463200" w14:textId="77777777" w:rsidR="007871E6" w:rsidRPr="00206556" w:rsidRDefault="007871E6" w:rsidP="005B1993">
      <w:pPr>
        <w:tabs>
          <w:tab w:val="left" w:pos="426"/>
        </w:tabs>
        <w:spacing w:after="0" w:line="276" w:lineRule="auto"/>
        <w:jc w:val="both"/>
        <w:rPr>
          <w:rFonts w:ascii="Verdana" w:eastAsia="Century Gothic" w:hAnsi="Verdana" w:cs="Century Gothic"/>
          <w:color w:val="ED7D31" w:themeColor="accent2"/>
          <w:lang w:val="es-ES"/>
        </w:rPr>
      </w:pPr>
    </w:p>
    <w:p w14:paraId="22F91B12" w14:textId="77777777" w:rsidR="00F2650D"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De acuerdo con el contenido de sus solicitudes, esta Agencia resolverá los siguientes problemas jurídicos: (i) ¿Cuál es la naturaleza jurídica del certificado de discapacidad expedido conforme a la normativa del Ministerio de Salud y Protección Social y sobre qué recaen los términos mínimos previstos en el Decreto 0287 de 2026 para el otorgamiento del puntaje adicional? y (</w:t>
      </w:r>
      <w:proofErr w:type="spellStart"/>
      <w:r>
        <w:rPr>
          <w:rFonts w:ascii="Verdana" w:eastAsia="Times New Roman" w:hAnsi="Verdana" w:cs="Times New Roman"/>
        </w:rPr>
        <w:t>ii</w:t>
      </w:r>
      <w:proofErr w:type="spellEnd"/>
      <w:r>
        <w:rPr>
          <w:rFonts w:ascii="Verdana" w:eastAsia="Times New Roman" w:hAnsi="Verdana" w:cs="Times New Roman"/>
        </w:rPr>
        <w:t>) ¿Puede la Agencia Nacional de Contratación Pública – Colombia Compra Eficiente, en ejercicio de su competencia consultiva, sentar posición sobre la aplicación del Decreto 0287 de 2026 en un proceso de licitación pública específico y en qué término deben resolverse las consultas que se le formulan?</w:t>
      </w:r>
    </w:p>
    <w:p w14:paraId="499038B0" w14:textId="77777777" w:rsidR="006974CA" w:rsidRPr="007741C2" w:rsidRDefault="006974CA" w:rsidP="007741C2">
      <w:pPr>
        <w:spacing w:after="0" w:line="276" w:lineRule="auto"/>
        <w:jc w:val="both"/>
        <w:rPr>
          <w:rFonts w:ascii="Verdana" w:eastAsia="Century Gothic" w:hAnsi="Verdana" w:cs="Century Gothic"/>
          <w:lang w:val="es-ES"/>
        </w:rPr>
      </w:pPr>
    </w:p>
    <w:p w14:paraId="3CDB85CA" w14:textId="77777777" w:rsidR="007871E6" w:rsidRPr="00206556" w:rsidRDefault="007871E6" w:rsidP="005B1993">
      <w:pPr>
        <w:spacing w:after="0" w:line="276" w:lineRule="auto"/>
        <w:jc w:val="both"/>
        <w:rPr>
          <w:rFonts w:ascii="Verdana" w:eastAsia="Century Gothic" w:hAnsi="Verdana" w:cs="Century Gothic"/>
          <w:color w:val="ED7D31" w:themeColor="accent2"/>
        </w:rPr>
      </w:pPr>
    </w:p>
    <w:p w14:paraId="4CA865A8" w14:textId="77777777" w:rsidR="007871E6" w:rsidRDefault="007871E6">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2. Respuesta:</w:t>
      </w:r>
    </w:p>
    <w:p w14:paraId="7350BE9C" w14:textId="77777777" w:rsidR="005B1993" w:rsidRPr="00A4789E" w:rsidRDefault="005B1993">
      <w:pPr>
        <w:tabs>
          <w:tab w:val="left" w:pos="142"/>
          <w:tab w:val="left" w:pos="284"/>
        </w:tabs>
        <w:spacing w:after="0" w:line="276" w:lineRule="auto"/>
        <w:jc w:val="both"/>
        <w:rPr>
          <w:rFonts w:ascii="Verdana" w:eastAsia="Century Gothic" w:hAnsi="Verdana" w:cs="Century Gothic"/>
          <w:b/>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871E6" w:rsidRPr="00206556" w14:paraId="74E42780" w14:textId="77777777" w:rsidTr="000A1473">
        <w:tc>
          <w:tcPr>
            <w:tcW w:w="8828" w:type="dxa"/>
          </w:tcPr>
          <w:p w14:paraId="7BAD6C0A" w14:textId="77777777" w:rsidR="00F2650D" w:rsidRDefault="00000000">
            <w:pPr>
              <w:spacing w:line="276" w:lineRule="auto"/>
              <w:ind w:firstLine="709"/>
              <w:jc w:val="both"/>
              <w:rPr>
                <w:rFonts w:ascii="Verdana" w:eastAsia="Calibri" w:hAnsi="Verdana" w:cs="Arial"/>
              </w:rPr>
            </w:pPr>
            <w:r>
              <w:rPr>
                <w:rFonts w:ascii="Verdana" w:eastAsia="Calibri" w:hAnsi="Verdana" w:cs="Arial"/>
              </w:rPr>
              <w:t xml:space="preserve">En atención a los problemas jurídicos planteados, es necesario precisar que la condición de persona con discapacidad (en adelante, </w:t>
            </w:r>
            <w:proofErr w:type="spellStart"/>
            <w:r>
              <w:rPr>
                <w:rFonts w:ascii="Verdana" w:eastAsia="Calibri" w:hAnsi="Verdana" w:cs="Arial"/>
              </w:rPr>
              <w:t>PcD</w:t>
            </w:r>
            <w:proofErr w:type="spellEnd"/>
            <w:r>
              <w:rPr>
                <w:rFonts w:ascii="Verdana" w:eastAsia="Calibri" w:hAnsi="Verdana" w:cs="Arial"/>
              </w:rPr>
              <w:t>) no se adquiere con la expedición del certificado. Conforme al numeral 1 del artículo 2 de la Ley Estatutaria 1618 de 2013, son personas con discapacidad aquellas que tengan deficiencias físicas, mentales, intelectuales o sensoriales a mediano y largo plazo que, al interactuar con diversas barreras incluyendo las actitudinales, puedan impedir su participación plena y efectiva en la sociedad en igualdad de condiciones con las demás. El certificado de discapacidad expedido conforme a la normativa del Ministerio de Salud y Protección Social es el resultado de una valoración multidisciplinaria que verifica y documenta esa condición preexistente; su naturaleza es, por tanto, declarativa y probatoria, y no constitutiva de la condición.</w:t>
            </w:r>
          </w:p>
          <w:p w14:paraId="6A82FDC6" w14:textId="77777777" w:rsidR="00C001E2" w:rsidRDefault="00C001E2">
            <w:pPr>
              <w:spacing w:line="276" w:lineRule="auto"/>
              <w:ind w:firstLine="709"/>
              <w:jc w:val="both"/>
              <w:rPr>
                <w:rFonts w:ascii="Verdana" w:eastAsia="Calibri" w:hAnsi="Verdana" w:cs="Arial"/>
              </w:rPr>
            </w:pPr>
          </w:p>
          <w:p w14:paraId="4716C820" w14:textId="77777777" w:rsidR="00F2650D" w:rsidRDefault="00000000">
            <w:pPr>
              <w:spacing w:line="276" w:lineRule="auto"/>
              <w:ind w:firstLine="709"/>
              <w:jc w:val="both"/>
              <w:rPr>
                <w:rFonts w:ascii="Verdana" w:eastAsia="Calibri" w:hAnsi="Verdana" w:cs="Arial"/>
              </w:rPr>
            </w:pPr>
            <w:r>
              <w:rPr>
                <w:rFonts w:ascii="Verdana" w:eastAsia="Calibri" w:hAnsi="Verdana" w:cs="Arial"/>
              </w:rPr>
              <w:t xml:space="preserve">De lo anterior se desprende que la fecha de expedición del certificado no determina el momento desde el cual la persona es titular de la condición de discapacidad, sino la fecha en que esta fue verificada y documentada por el equipo multidisciplinario. En consecuencia, los términos mínimos previstos en el Decreto 0287 de 2026 recaen sobre la vinculación laboral o sobre la </w:t>
            </w:r>
            <w:r>
              <w:rPr>
                <w:rFonts w:ascii="Verdana" w:eastAsia="Calibri" w:hAnsi="Verdana" w:cs="Arial"/>
              </w:rPr>
              <w:lastRenderedPageBreak/>
              <w:t xml:space="preserve">circunstancia que en cada caso exige la norma, y no sobre la antigüedad del certificado. Así, en la condición de empleador de </w:t>
            </w:r>
            <w:proofErr w:type="spellStart"/>
            <w:r>
              <w:rPr>
                <w:rFonts w:ascii="Verdana" w:eastAsia="Calibri" w:hAnsi="Verdana" w:cs="Arial"/>
              </w:rPr>
              <w:t>PcD</w:t>
            </w:r>
            <w:proofErr w:type="spellEnd"/>
            <w:r>
              <w:rPr>
                <w:rFonts w:ascii="Verdana" w:eastAsia="Calibri" w:hAnsi="Verdana" w:cs="Arial"/>
              </w:rPr>
              <w:t xml:space="preserve"> del artículo 2.2.1.2.4.2.7.4 del Decreto 1082 de 2015, lo exigible es que se acredite la vinculación mediante contrato laboral con dedicación exclusiva y los certificados de aportes a seguridad social de los tres (3) meses anteriores a la presentación de la oferta respecto de cada </w:t>
            </w:r>
            <w:proofErr w:type="spellStart"/>
            <w:r>
              <w:rPr>
                <w:rFonts w:ascii="Verdana" w:eastAsia="Calibri" w:hAnsi="Verdana" w:cs="Arial"/>
              </w:rPr>
              <w:t>PcD</w:t>
            </w:r>
            <w:proofErr w:type="spellEnd"/>
            <w:r>
              <w:rPr>
                <w:rFonts w:ascii="Verdana" w:eastAsia="Calibri" w:hAnsi="Verdana" w:cs="Arial"/>
              </w:rPr>
              <w:t xml:space="preserve"> computada; y en los supuestos de los numerales 2, 3 y 4 del artículo 2.2.1.2.4.2.6, que la actividad comercial, la titularidad de la participación o la vinculación en el cargo de nivel directivo, según corresponda, se hayan mantenido durante al menos el último año anterior al cierre. Ninguna de esas disposiciones exige que el certificado de discapacidad haya sido expedido con determinada antelación, ni antes del inicio de la vinculación.</w:t>
            </w:r>
          </w:p>
          <w:p w14:paraId="67B92B27" w14:textId="77777777" w:rsidR="00C001E2" w:rsidRDefault="00C001E2">
            <w:pPr>
              <w:spacing w:line="276" w:lineRule="auto"/>
              <w:ind w:firstLine="709"/>
              <w:jc w:val="both"/>
              <w:rPr>
                <w:rFonts w:ascii="Verdana" w:eastAsia="Calibri" w:hAnsi="Verdana" w:cs="Arial"/>
              </w:rPr>
            </w:pPr>
          </w:p>
          <w:p w14:paraId="50083D47" w14:textId="77777777" w:rsidR="00F2650D" w:rsidRDefault="00000000">
            <w:pPr>
              <w:spacing w:line="276" w:lineRule="auto"/>
              <w:ind w:firstLine="709"/>
              <w:jc w:val="both"/>
              <w:rPr>
                <w:rFonts w:ascii="Verdana" w:eastAsia="Calibri" w:hAnsi="Verdana" w:cs="Arial"/>
              </w:rPr>
            </w:pPr>
            <w:r>
              <w:rPr>
                <w:rFonts w:ascii="Verdana" w:eastAsia="Calibri" w:hAnsi="Verdana" w:cs="Arial"/>
              </w:rPr>
              <w:t>Por consiguiente, las disposiciones citadas no contemplan un término de antelación para la expedición del certificado de discapacidad, de modo que exigirlo equivaldría a añadir un requisito no previsto en la norma, lo que resulta contrario al principio de legalidad, al carácter de tarifa legal probatoria de la documentación prevista en el decreto y al principio de economía del numeral 2 del artículo 25 de la Ley 80 de 1993; además, desincentivaría la certificación y restringiría injustificadamente el acceso a las medidas afirmativas, en contravía de la finalidad del Sistema Integral de Preferencias y del mandato de igualdad real y efectiva del artículo 13 de la Constitución Política. Lo anterior no relaja la verificación documental: corresponde a la entidad constatar, con el rigor que el caso exige, la autenticidad y la vigencia del certificado y que la documentación laboral acredite efectivamente el periodo exigido. Si de la documentación aportada no se desprende el cumplimiento del término, la consecuencia es que la persona respectiva no se compute para el puntaje, sin que se configure causal de rechazo de la oferta, pues se trata de un factor de evaluación y no de un requisito habilitante. En todo caso, la valoración de los documentos aportados en un proceso determinado y la decisión sobre el otorgamiento del puntaje corresponden exclusivamente a la entidad que lo adelanta, sin que sea atribución de esta Agencia pronunciarse sobre casos particulares.</w:t>
            </w:r>
          </w:p>
          <w:p w14:paraId="71F2650F" w14:textId="77777777" w:rsidR="00C001E2" w:rsidRDefault="00C001E2">
            <w:pPr>
              <w:spacing w:line="276" w:lineRule="auto"/>
              <w:ind w:firstLine="709"/>
              <w:jc w:val="both"/>
              <w:rPr>
                <w:rFonts w:ascii="Verdana" w:eastAsia="Calibri" w:hAnsi="Verdana" w:cs="Arial"/>
              </w:rPr>
            </w:pPr>
          </w:p>
          <w:p w14:paraId="6723BBD6" w14:textId="77777777" w:rsidR="00F2650D" w:rsidRDefault="00000000">
            <w:pPr>
              <w:spacing w:line="276" w:lineRule="auto"/>
              <w:ind w:firstLine="709"/>
              <w:jc w:val="both"/>
              <w:rPr>
                <w:rFonts w:ascii="Verdana" w:eastAsia="Calibri" w:hAnsi="Verdana" w:cs="Arial"/>
              </w:rPr>
            </w:pPr>
            <w:r>
              <w:rPr>
                <w:rFonts w:ascii="Verdana" w:eastAsia="Calibri" w:hAnsi="Verdana" w:cs="Arial"/>
              </w:rPr>
              <w:t xml:space="preserve">Frente al segundo problema jurídico, esta Agencia no puede sentar posición sobre la aplicación del Decreto 0287 de 2026 en el proceso de </w:t>
            </w:r>
            <w:r>
              <w:rPr>
                <w:rFonts w:ascii="Verdana" w:eastAsia="Calibri" w:hAnsi="Verdana" w:cs="Arial"/>
              </w:rPr>
              <w:lastRenderedPageBreak/>
              <w:t>licitación pública al que se refiere su petición. La competencia consultiva atribuida por los artículos 3, numeral 5, y 11, numeral 8, del Decreto Ley 4170 de 2011 se limita a la interpretación de normas de carácter general, de modo que no le corresponde intervenir en la evaluación de las ofertas, revisar la actuación de la entidad contratante ni definir si en un proceso concreto se aplica o no correctamente una norma, pues ello convertiría a la Agencia en una instancia de validación de las actuaciones de las entidades, función que el ordenamiento no le atribuye. La verificación de las condiciones acreditadas por los proponentes, la asignación del puntaje y la adjudicación son decisiones exclusivas de la entidad que adelanta el proceso. Asimismo, se precisa que las consultas se resuelven dentro de los treinta (30) días siguientes a su recepción, conforme al numeral 2 del artículo 14 de la Ley 1437 de 2011, sustituido por el artículo 1 de la Ley 1755 de 2015, sin que la solicitud de un plazo menor modifique dicho término legal.</w:t>
            </w:r>
          </w:p>
          <w:p w14:paraId="7856BAB9" w14:textId="77777777" w:rsidR="00C001E2" w:rsidRDefault="00C001E2">
            <w:pPr>
              <w:spacing w:line="276" w:lineRule="auto"/>
              <w:ind w:firstLine="709"/>
              <w:jc w:val="both"/>
              <w:rPr>
                <w:rFonts w:ascii="Verdana" w:eastAsia="Calibri" w:hAnsi="Verdana" w:cs="Arial"/>
              </w:rPr>
            </w:pPr>
          </w:p>
          <w:p w14:paraId="078D0B21" w14:textId="77777777" w:rsidR="00F2650D" w:rsidRDefault="00000000">
            <w:pPr>
              <w:spacing w:line="276" w:lineRule="auto"/>
              <w:ind w:firstLine="709"/>
              <w:jc w:val="both"/>
              <w:rPr>
                <w:rFonts w:ascii="Verdana" w:eastAsia="Calibri" w:hAnsi="Verdana" w:cs="Arial"/>
              </w:rPr>
            </w:pPr>
            <w:r>
              <w:rPr>
                <w:rFonts w:ascii="Verdana" w:eastAsia="Calibri" w:hAnsi="Verdana" w:cs="Arial"/>
              </w:rPr>
              <w:t>Como se indicó, esta Agencia no puede sentar posición sobre la aplicación del Decreto 0287 de 2026 en el proceso de licitación pública al que se refiere su petición. La competencia consultiva atribuida por los artículos 3, numeral 5, y 11, numeral 8, del Decreto Ley 4170 de 2011 se limita a la interpretación de normas de carácter general en materia de compras y contratación pública, de modo que no le corresponde intervenir en la evaluación de las ofertas, revisar la actuación de la entidad contratante ni definir si en un proceso concreto se está aplicando o no correctamente una norma, pues ello convertiría a la Agencia en una instancia de validación de las actuaciones de las entidades, función que el ordenamiento no le atribuye. La verificación de las condiciones acreditadas por los proponentes, la asignación del puntaje y la adjudicación son decisiones exclusivas de la entidad que adelanta el proceso, sujetas a los controles que más adelante se indican.</w:t>
            </w:r>
          </w:p>
          <w:p w14:paraId="4AE7EE00" w14:textId="77777777" w:rsidR="00C001E2" w:rsidRDefault="00C001E2">
            <w:pPr>
              <w:spacing w:line="276" w:lineRule="auto"/>
              <w:ind w:firstLine="709"/>
              <w:jc w:val="both"/>
              <w:rPr>
                <w:rFonts w:ascii="Verdana" w:eastAsia="Calibri" w:hAnsi="Verdana" w:cs="Arial"/>
              </w:rPr>
            </w:pPr>
          </w:p>
          <w:p w14:paraId="48F0B626" w14:textId="3F28D0DE" w:rsidR="00F2650D" w:rsidRDefault="00000000">
            <w:pPr>
              <w:spacing w:line="276" w:lineRule="auto"/>
              <w:ind w:firstLine="709"/>
              <w:jc w:val="both"/>
              <w:rPr>
                <w:rFonts w:ascii="Verdana" w:eastAsia="Calibri" w:hAnsi="Verdana" w:cs="Arial"/>
              </w:rPr>
            </w:pPr>
            <w:r>
              <w:rPr>
                <w:rFonts w:ascii="Verdana" w:eastAsia="Calibri" w:hAnsi="Verdana" w:cs="Arial"/>
              </w:rPr>
              <w:t xml:space="preserve">Sin perjuicio de lo anterior, conviene recordar los elementos generales del Decreto 0287 de 2026 aplicables a la licitación pública. El decreto reglamentó los numerales 1, 7 y 8 del artículo 13 de la Ley Estatutaria 1618 de 2013 y estableció un Sistema Integral de Preferencias en favor de las personas con discapacidad (en adelante, </w:t>
            </w:r>
            <w:proofErr w:type="spellStart"/>
            <w:r>
              <w:rPr>
                <w:rFonts w:ascii="Verdana" w:eastAsia="Calibri" w:hAnsi="Verdana" w:cs="Arial"/>
              </w:rPr>
              <w:t>PcD</w:t>
            </w:r>
            <w:proofErr w:type="spellEnd"/>
            <w:r>
              <w:rPr>
                <w:rFonts w:ascii="Verdana" w:eastAsia="Calibri" w:hAnsi="Verdana" w:cs="Arial"/>
              </w:rPr>
              <w:t xml:space="preserve">). Dentro de sus medidas, el puntaje adicional del artículo 2.2.1.2.4.2.7.4 del Decreto 1082 de 2015 (modificado) opera en las modalidades de licitación pública y concurso de </w:t>
            </w:r>
            <w:r>
              <w:rPr>
                <w:rFonts w:ascii="Verdana" w:eastAsia="Calibri" w:hAnsi="Verdana" w:cs="Arial"/>
              </w:rPr>
              <w:lastRenderedPageBreak/>
              <w:t>méritos de las entidades regidas por el Estatuto General de Contratación de la Administración Pública, equivale siempre al dos por ciento (2%) del total de los puntos y no es acumulable por la acreditación simultánea de las dos condiciones previstas</w:t>
            </w:r>
            <w:r w:rsidR="00C001E2">
              <w:rPr>
                <w:rFonts w:ascii="Verdana" w:eastAsia="Calibri" w:hAnsi="Verdana" w:cs="Arial"/>
              </w:rPr>
              <w:t xml:space="preserve">, </w:t>
            </w:r>
            <w:r>
              <w:rPr>
                <w:rFonts w:ascii="Verdana" w:eastAsia="Calibri" w:hAnsi="Verdana" w:cs="Arial"/>
              </w:rPr>
              <w:t xml:space="preserve">ser emprendimiento o empresa de </w:t>
            </w:r>
            <w:proofErr w:type="spellStart"/>
            <w:r>
              <w:rPr>
                <w:rFonts w:ascii="Verdana" w:eastAsia="Calibri" w:hAnsi="Verdana" w:cs="Arial"/>
              </w:rPr>
              <w:t>PcD</w:t>
            </w:r>
            <w:proofErr w:type="spellEnd"/>
            <w:r>
              <w:rPr>
                <w:rFonts w:ascii="Verdana" w:eastAsia="Calibri" w:hAnsi="Verdana" w:cs="Arial"/>
              </w:rPr>
              <w:t xml:space="preserve"> o ser empleador de </w:t>
            </w:r>
            <w:proofErr w:type="spellStart"/>
            <w:r>
              <w:rPr>
                <w:rFonts w:ascii="Verdana" w:eastAsia="Calibri" w:hAnsi="Verdana" w:cs="Arial"/>
              </w:rPr>
              <w:t>PcD</w:t>
            </w:r>
            <w:proofErr w:type="spellEnd"/>
            <w:r>
              <w:rPr>
                <w:rFonts w:ascii="Verdana" w:eastAsia="Calibri" w:hAnsi="Verdana" w:cs="Arial"/>
              </w:rPr>
              <w:t>. Su acreditación se sujeta a la documentación que la norma establece como tarifa legal para cada condición, y es un factor de evaluación y no un requisito habilitante: la entidad debe otorgarlo al proponente que acredite la condición en los términos del decreto y no puede exigir formalidades adicionales ni suprimir las previstas, conforme a las orientaciones de la Circular Externa No. 003 de 2026 de esta Agencia.</w:t>
            </w:r>
          </w:p>
          <w:p w14:paraId="388BAA24" w14:textId="77777777" w:rsidR="00C001E2" w:rsidRDefault="00C001E2">
            <w:pPr>
              <w:spacing w:line="276" w:lineRule="auto"/>
              <w:ind w:firstLine="709"/>
              <w:jc w:val="both"/>
              <w:rPr>
                <w:rFonts w:ascii="Verdana" w:eastAsia="Calibri" w:hAnsi="Verdana" w:cs="Arial"/>
              </w:rPr>
            </w:pPr>
          </w:p>
          <w:p w14:paraId="55889C61" w14:textId="26A16FFC" w:rsidR="00F2650D" w:rsidRDefault="00000000">
            <w:pPr>
              <w:spacing w:line="276" w:lineRule="auto"/>
              <w:ind w:firstLine="709"/>
              <w:jc w:val="both"/>
              <w:rPr>
                <w:rFonts w:ascii="Verdana" w:eastAsia="Calibri" w:hAnsi="Verdana" w:cs="Arial"/>
              </w:rPr>
            </w:pPr>
            <w:r>
              <w:rPr>
                <w:rFonts w:ascii="Verdana" w:eastAsia="Calibri" w:hAnsi="Verdana" w:cs="Arial"/>
              </w:rPr>
              <w:t>En todo caso, corresponde a cada entidad estatal, en ejercicio de su competencia y previa valoración de los elementos fácticos y jurídicos de su proceso, definir la forma de adelantar su gestión contractual, sin que sea atribución de Colombia Compra Eficiente validar sus actuaciones.</w:t>
            </w:r>
          </w:p>
        </w:tc>
      </w:tr>
    </w:tbl>
    <w:p w14:paraId="6FCC59C6" w14:textId="77777777" w:rsidR="007871E6" w:rsidRPr="00206556" w:rsidRDefault="007871E6" w:rsidP="007871E6">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0D9CFFF0" w14:textId="77777777" w:rsidR="007871E6" w:rsidRPr="00206556" w:rsidRDefault="007871E6" w:rsidP="007871E6">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3. Razones de la respuesta:</w:t>
      </w:r>
    </w:p>
    <w:p w14:paraId="5B13492B" w14:textId="77777777" w:rsidR="007871E6" w:rsidRPr="00206556" w:rsidRDefault="007871E6" w:rsidP="007871E6">
      <w:pPr>
        <w:tabs>
          <w:tab w:val="left" w:pos="142"/>
          <w:tab w:val="left" w:pos="284"/>
        </w:tabs>
        <w:spacing w:after="0" w:line="276" w:lineRule="auto"/>
        <w:jc w:val="both"/>
        <w:rPr>
          <w:rFonts w:ascii="Verdana" w:eastAsia="Century Gothic" w:hAnsi="Verdana" w:cs="Century Gothic"/>
          <w:b/>
          <w:color w:val="ED7D31" w:themeColor="accent2"/>
          <w:lang w:val="es-ES"/>
        </w:rPr>
      </w:pPr>
    </w:p>
    <w:p w14:paraId="0DEACC31" w14:textId="77777777" w:rsidR="007871E6" w:rsidRPr="00206556" w:rsidRDefault="007871E6" w:rsidP="007871E6">
      <w:pPr>
        <w:spacing w:after="0" w:line="276" w:lineRule="auto"/>
        <w:jc w:val="both"/>
        <w:rPr>
          <w:rFonts w:ascii="Verdana" w:eastAsia="Calibri" w:hAnsi="Verdana" w:cs="Arial"/>
          <w:lang w:val="es-ES"/>
        </w:rPr>
      </w:pPr>
      <w:r>
        <w:rPr>
          <w:rFonts w:ascii="Verdana" w:eastAsia="Calibri" w:hAnsi="Verdana" w:cs="Arial"/>
          <w:lang w:val="es-ES"/>
        </w:rPr>
        <w:t>Lo anterior se sustenta en las siguientes consideraciones:</w:t>
      </w:r>
    </w:p>
    <w:p w14:paraId="03A837EA" w14:textId="77777777" w:rsidR="007871E6" w:rsidRPr="00206556" w:rsidRDefault="007871E6" w:rsidP="007871E6">
      <w:pPr>
        <w:spacing w:after="0" w:line="276" w:lineRule="auto"/>
        <w:jc w:val="both"/>
        <w:rPr>
          <w:rFonts w:ascii="Verdana" w:eastAsia="Calibri" w:hAnsi="Verdana" w:cs="Arial"/>
          <w:lang w:val="es-ES"/>
        </w:rPr>
      </w:pPr>
    </w:p>
    <w:p w14:paraId="6775C3C1" w14:textId="77777777" w:rsidR="00F2650D"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(i) Para resolver el problema jurídico planteado, esta Agencia considera necesario referirse, en primer término, al régimen del derecho de petición aplicable a su solicitud. El artículo 23 de la Constitución Política garantiza a toda persona el derecho a presentar peticiones respetuosas a las autoridades y a obtener pronta resolución, y el artículo 14 de la Ley 1437 de 2011, sustituido por el artículo 1 de la Ley 1755 de 2015, fija los términos para resolverlas: quince (15) días como regla general, diez (10) días para las peticiones de documentos e información y treinta (30) días para las consultas que se formulen a las autoridades en relación con las materias a su cargo</w:t>
      </w:r>
      <w:r>
        <w:rPr>
          <w:rStyle w:val="Refdenotaalpie"/>
          <w:rFonts w:ascii="Verdana" w:eastAsia="Times New Roman" w:hAnsi="Verdana" w:cs="Times New Roman"/>
        </w:rPr>
        <w:footnoteReference w:id="2"/>
      </w:r>
      <w:r>
        <w:rPr>
          <w:rFonts w:ascii="Verdana" w:eastAsia="Times New Roman" w:hAnsi="Verdana" w:cs="Times New Roman"/>
        </w:rPr>
        <w:t xml:space="preserve">. La solicitud radicada </w:t>
      </w:r>
      <w:r>
        <w:rPr>
          <w:rFonts w:ascii="Verdana" w:eastAsia="Times New Roman" w:hAnsi="Verdana" w:cs="Times New Roman"/>
        </w:rPr>
        <w:lastRenderedPageBreak/>
        <w:t>bajo el No. 1_2026_08_18_010959 es una consulta sobre la aplicación del Decreto 0287 de 2026 y, por tanto, se rige por el término de treinta (30) días, dentro del cual será resuelta. La petición de que se atienda en un plazo máximo de siete (7) días no modifica el término legal, pues este rige de manera general para todas las peticiones que recibe la Entidad, que se atienden con sujeción a los principios de igualdad y de imparcialidad; sin perjuicio de ello, la Agencia resolverá la consulta dentro del plazo legal y, si excepcionalmente no fuere posible, informará al interesado los motivos de la demora y el plazo en que se resolverá, conforme al parágrafo del citado artículo 14.</w:t>
      </w:r>
    </w:p>
    <w:p w14:paraId="2BE3A259" w14:textId="77777777" w:rsidR="00F2650D"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w:t>
      </w:r>
      <w:proofErr w:type="spellStart"/>
      <w:r>
        <w:rPr>
          <w:rFonts w:ascii="Verdana" w:eastAsia="Times New Roman" w:hAnsi="Verdana" w:cs="Times New Roman"/>
        </w:rPr>
        <w:t>ii</w:t>
      </w:r>
      <w:proofErr w:type="spellEnd"/>
      <w:r>
        <w:rPr>
          <w:rFonts w:ascii="Verdana" w:eastAsia="Times New Roman" w:hAnsi="Verdana" w:cs="Times New Roman"/>
        </w:rPr>
        <w:t>) En segundo término, la solicitud de que la Agencia “siente posición” sobre la aplicación del decreto en el proceso de licitación pública en el que participa el peticionario debe examinarse a la luz de la competencia consultiva de esta Entidad. Como se indicó en la parte preliminar, los artículos 3, numeral 5, y 11, numeral 8, del Decreto Ley 4170 de 2011 facultan a la Agencia para absolver consultas sobre la aplicación de normas de carácter general en materia de compras y contratación pública, pero no la erigen en una instancia de validación o de revisión de las actuaciones de las entidades estatales ni en una autoridad llamada a resolver controversias particulares. En consecuencia, la Agencia no puede determinar si, en un proceso específico, la entidad contratante está aplicando correctamente el Decreto 0287 de 2026, ni si el peticionario tiene o no derecho al puntaje o a la adjudicación, pues tales decisiones corresponden exclusivamente a la entidad que adelanta el proceso, en ejercicio de la función de evaluación y selección objetiva que le atribuyen los artículos 29 de la Ley 80 de 1993 y 5 de la Ley 1150 de 2007, y su legalidad se controla a través de los mecanismos que se explican más adelante. Lo que sí puede hacer esta Agencia, y hace en este concepto, es explicar el alcance general de las disposiciones del decreto y de los mecanismos de controversia, para que el interesado cuente con elementos de juicio en su actuación.</w:t>
      </w:r>
    </w:p>
    <w:p w14:paraId="56D80500" w14:textId="77777777" w:rsidR="005B1993" w:rsidRDefault="007871E6" w:rsidP="00C001E2">
      <w:pPr>
        <w:spacing w:after="120" w:line="276" w:lineRule="auto"/>
        <w:ind w:firstLine="708"/>
        <w:jc w:val="both"/>
        <w:rPr>
          <w:rFonts w:ascii="Verdana" w:eastAsia="Calibri" w:hAnsi="Verdana" w:cs="Arial"/>
        </w:rPr>
      </w:pPr>
      <w:r>
        <w:rPr>
          <w:rFonts w:ascii="Verdana" w:eastAsia="Calibri" w:hAnsi="Verdana" w:cs="Arial"/>
          <w:lang w:val="es-ES"/>
        </w:rPr>
        <w:t>(</w:t>
      </w:r>
      <w:proofErr w:type="spellStart"/>
      <w:r>
        <w:rPr>
          <w:rFonts w:ascii="Verdana" w:eastAsia="Calibri" w:hAnsi="Verdana" w:cs="Arial"/>
          <w:lang w:val="es-ES"/>
        </w:rPr>
        <w:t>iii</w:t>
      </w:r>
      <w:proofErr w:type="spellEnd"/>
      <w:r>
        <w:rPr>
          <w:rFonts w:ascii="Verdana" w:eastAsia="Calibri" w:hAnsi="Verdana" w:cs="Arial"/>
          <w:lang w:val="es-ES"/>
        </w:rPr>
        <w:t xml:space="preserve">) </w:t>
      </w:r>
      <w:r>
        <w:rPr>
          <w:rFonts w:ascii="Verdana" w:eastAsia="Calibri" w:hAnsi="Verdana" w:cs="Arial"/>
        </w:rPr>
        <w:t xml:space="preserve">En tercer término, en cuanto a las disposiciones del Decreto 0287 de 2026 que el peticionario invoca, esta Agencia considera necesario partir de los antecedentes normativos que explican el origen, la finalidad y el alcance del Sistema Integral de Preferencias establecido por el Decreto 0287 de 2026, pues solo a partir de ese contexto es posible comprender las obligaciones concretas que dicho Decreto impone a las entidades estatales y a los demás partícipes de la contratación pública. </w:t>
      </w:r>
    </w:p>
    <w:p w14:paraId="3844B495" w14:textId="77777777" w:rsidR="007871E6" w:rsidRPr="00206556" w:rsidRDefault="007871E6" w:rsidP="003248CC">
      <w:pPr>
        <w:spacing w:after="120" w:line="276" w:lineRule="auto"/>
        <w:ind w:firstLine="708"/>
        <w:jc w:val="both"/>
        <w:rPr>
          <w:rFonts w:ascii="Verdana" w:hAnsi="Verdana"/>
        </w:rPr>
      </w:pPr>
      <w:r>
        <w:rPr>
          <w:rFonts w:ascii="Verdana" w:eastAsia="Times New Roman" w:hAnsi="Verdana" w:cs="Times New Roman"/>
        </w:rPr>
        <w:lastRenderedPageBreak/>
        <w:t>El fundamento del Sistema de Preferencias para Personas con Discapacidad (</w:t>
      </w:r>
      <w:proofErr w:type="spellStart"/>
      <w:r>
        <w:rPr>
          <w:rFonts w:ascii="Verdana" w:eastAsia="Times New Roman" w:hAnsi="Verdana" w:cs="Times New Roman"/>
        </w:rPr>
        <w:t>PcD</w:t>
      </w:r>
      <w:proofErr w:type="spellEnd"/>
      <w:r>
        <w:rPr>
          <w:rFonts w:ascii="Verdana" w:eastAsia="Times New Roman" w:hAnsi="Verdana" w:cs="Times New Roman"/>
        </w:rPr>
        <w:t>) en la contratación pública es el principio de igualdad real y efectiva consagrado en el artículo 13 de la Constitución Política de 1991</w:t>
      </w:r>
      <w:r>
        <w:rPr>
          <w:rStyle w:val="Refdenotaalpie"/>
          <w:rFonts w:ascii="Verdana" w:eastAsia="Times New Roman" w:hAnsi="Verdana" w:cs="Times New Roman"/>
        </w:rPr>
        <w:footnoteReference w:id="3"/>
      </w:r>
      <w:r>
        <w:rPr>
          <w:rFonts w:ascii="Verdana" w:eastAsia="Times New Roman" w:hAnsi="Verdana" w:cs="Times New Roman"/>
        </w:rPr>
        <w:t xml:space="preserve">, que impone al Estado el deber positivo de adoptar </w:t>
      </w:r>
      <w:r>
        <w:rPr>
          <w:rFonts w:ascii="Verdana" w:eastAsia="Times New Roman" w:hAnsi="Verdana" w:cs="Times New Roman"/>
          <w:i/>
          <w:iCs/>
        </w:rPr>
        <w:t>acciones afirmativas</w:t>
      </w:r>
      <w:r>
        <w:rPr>
          <w:rFonts w:ascii="Verdana" w:eastAsia="Times New Roman" w:hAnsi="Verdana" w:cs="Times New Roman"/>
        </w:rPr>
        <w:t xml:space="preserve"> en favor de grupos históricamente excluidos. La Corte Constitucional ha sostenido que tales medidas buscan contrarrestar los efectos de la discriminación y que el Estado puede establecer tratamientos diferenciales a favor de estos grupos en aras de lograr una igualdad real y efectiva. Los artículos 47 y 54 de la Carta Política refuerzan este mandato al ordenar políticas de integración social y ubicación laboral para las </w:t>
      </w:r>
      <w:proofErr w:type="spellStart"/>
      <w:r>
        <w:rPr>
          <w:rFonts w:ascii="Verdana" w:eastAsia="Times New Roman" w:hAnsi="Verdana" w:cs="Times New Roman"/>
        </w:rPr>
        <w:t>PcD</w:t>
      </w:r>
      <w:proofErr w:type="spellEnd"/>
      <w:r>
        <w:rPr>
          <w:rStyle w:val="Refdenotaalpie"/>
          <w:rFonts w:ascii="Verdana" w:eastAsia="Times New Roman" w:hAnsi="Verdana" w:cs="Times New Roman"/>
        </w:rPr>
        <w:footnoteReference w:id="4"/>
      </w:r>
      <w:r>
        <w:rPr>
          <w:rFonts w:ascii="Verdana" w:eastAsia="Times New Roman" w:hAnsi="Verdana" w:cs="Times New Roman"/>
        </w:rPr>
        <w:t>.</w:t>
      </w:r>
    </w:p>
    <w:p w14:paraId="3ED07AF7" w14:textId="77777777" w:rsidR="007871E6" w:rsidRPr="00206556" w:rsidRDefault="007871E6" w:rsidP="007871E6">
      <w:pPr>
        <w:spacing w:after="120" w:line="276" w:lineRule="auto"/>
        <w:ind w:firstLine="708"/>
        <w:jc w:val="both"/>
        <w:rPr>
          <w:rFonts w:ascii="Verdana" w:hAnsi="Verdana"/>
        </w:rPr>
      </w:pPr>
      <w:r>
        <w:rPr>
          <w:rFonts w:ascii="Verdana" w:eastAsia="Times New Roman" w:hAnsi="Verdana" w:cs="Times New Roman"/>
        </w:rPr>
        <w:t>En el plano internacional, Colombia es Estado Parte de instrumentos que conforman el Bloque de Constitucionalidad en virtud del artículo 93 superior. La Convención sobre los Derechos de las Personas con Discapacidad de la ONU</w:t>
      </w:r>
      <w:r>
        <w:rPr>
          <w:rStyle w:val="Refdenotaalpie"/>
          <w:rFonts w:ascii="Verdana" w:eastAsia="Times New Roman" w:hAnsi="Verdana" w:cs="Times New Roman"/>
        </w:rPr>
        <w:footnoteReference w:id="5"/>
      </w:r>
      <w:r>
        <w:rPr>
          <w:rFonts w:ascii="Verdana" w:eastAsia="Times New Roman" w:hAnsi="Verdana" w:cs="Times New Roman"/>
        </w:rPr>
        <w:t xml:space="preserve"> reconoce el derecho de las </w:t>
      </w:r>
      <w:proofErr w:type="spellStart"/>
      <w:r>
        <w:rPr>
          <w:rFonts w:ascii="Verdana" w:eastAsia="Times New Roman" w:hAnsi="Verdana" w:cs="Times New Roman"/>
        </w:rPr>
        <w:t>PcD</w:t>
      </w:r>
      <w:proofErr w:type="spellEnd"/>
      <w:r>
        <w:rPr>
          <w:rFonts w:ascii="Verdana" w:eastAsia="Times New Roman" w:hAnsi="Verdana" w:cs="Times New Roman"/>
        </w:rPr>
        <w:t xml:space="preserve"> a trabajar en igualdad de condiciones y exige programas de acción afirmativa. La Convención Interamericana para la Eliminación de todas las Formas de Discriminación</w:t>
      </w:r>
      <w:r>
        <w:rPr>
          <w:rStyle w:val="Refdenotaalpie"/>
          <w:rFonts w:ascii="Verdana" w:eastAsia="Times New Roman" w:hAnsi="Verdana" w:cs="Times New Roman"/>
        </w:rPr>
        <w:footnoteReference w:id="6"/>
      </w:r>
      <w:r>
        <w:rPr>
          <w:rFonts w:ascii="Verdana" w:eastAsia="Times New Roman" w:hAnsi="Verdana" w:cs="Times New Roman"/>
        </w:rPr>
        <w:t xml:space="preserve"> ordena eliminar progresivamente la discriminación en la prestación de servicios, incluido el empleo. El Convenio 159 de la OIT</w:t>
      </w:r>
      <w:r>
        <w:rPr>
          <w:rStyle w:val="Refdenotaalpie"/>
          <w:rFonts w:ascii="Verdana" w:eastAsia="Times New Roman" w:hAnsi="Verdana" w:cs="Times New Roman"/>
        </w:rPr>
        <w:footnoteReference w:id="7"/>
      </w:r>
      <w:r>
        <w:rPr>
          <w:rFonts w:ascii="Verdana" w:eastAsia="Times New Roman" w:hAnsi="Verdana" w:cs="Times New Roman"/>
        </w:rPr>
        <w:t xml:space="preserve"> exige medidas orientadas a garantizar la igualdad de oportunidades de todas las categorías de </w:t>
      </w:r>
      <w:proofErr w:type="spellStart"/>
      <w:r>
        <w:rPr>
          <w:rFonts w:ascii="Verdana" w:eastAsia="Times New Roman" w:hAnsi="Verdana" w:cs="Times New Roman"/>
        </w:rPr>
        <w:t>PcD</w:t>
      </w:r>
      <w:proofErr w:type="spellEnd"/>
      <w:r>
        <w:rPr>
          <w:rFonts w:ascii="Verdana" w:eastAsia="Times New Roman" w:hAnsi="Verdana" w:cs="Times New Roman"/>
        </w:rPr>
        <w:t xml:space="preserve"> en materia de empleo.</w:t>
      </w:r>
    </w:p>
    <w:p w14:paraId="5F0A3078" w14:textId="77777777" w:rsidR="007871E6" w:rsidRPr="00206556" w:rsidRDefault="007871E6" w:rsidP="007871E6">
      <w:pPr>
        <w:spacing w:after="120" w:line="276" w:lineRule="auto"/>
        <w:jc w:val="both"/>
        <w:rPr>
          <w:rFonts w:ascii="Verdana" w:hAnsi="Verdana"/>
        </w:rPr>
      </w:pPr>
      <w:r>
        <w:rPr>
          <w:rFonts w:ascii="Verdana" w:eastAsia="Times New Roman" w:hAnsi="Verdana" w:cs="Times New Roman"/>
        </w:rPr>
        <w:t xml:space="preserve">        En el ámbito nacional, la Ley 361 de 1997 estableció los primeros mecanismos de integración social de las </w:t>
      </w:r>
      <w:proofErr w:type="spellStart"/>
      <w:r>
        <w:rPr>
          <w:rFonts w:ascii="Verdana" w:eastAsia="Times New Roman" w:hAnsi="Verdana" w:cs="Times New Roman"/>
        </w:rPr>
        <w:t>PcD</w:t>
      </w:r>
      <w:proofErr w:type="spellEnd"/>
      <w:r>
        <w:rPr>
          <w:rFonts w:ascii="Verdana" w:eastAsia="Times New Roman" w:hAnsi="Verdana" w:cs="Times New Roman"/>
        </w:rPr>
        <w:t xml:space="preserve">. Su artículo 24 introdujo una preferencia en igualdad de condiciones en licitaciones y adjudicaciones de contratos para los empleadores que tuvieran al menos el diez por ciento (10%) </w:t>
      </w:r>
      <w:r>
        <w:rPr>
          <w:rFonts w:ascii="Verdana" w:eastAsia="Times New Roman" w:hAnsi="Verdana" w:cs="Times New Roman"/>
        </w:rPr>
        <w:lastRenderedPageBreak/>
        <w:t xml:space="preserve">de su nómina compuesta por </w:t>
      </w:r>
      <w:proofErr w:type="spellStart"/>
      <w:r>
        <w:rPr>
          <w:rFonts w:ascii="Verdana" w:eastAsia="Times New Roman" w:hAnsi="Verdana" w:cs="Times New Roman"/>
        </w:rPr>
        <w:t>PcD</w:t>
      </w:r>
      <w:proofErr w:type="spellEnd"/>
      <w:r>
        <w:rPr>
          <w:rStyle w:val="Refdenotaalpie"/>
          <w:rFonts w:ascii="Verdana" w:eastAsia="Times New Roman" w:hAnsi="Verdana" w:cs="Times New Roman"/>
        </w:rPr>
        <w:footnoteReference w:id="8"/>
      </w:r>
      <w:r>
        <w:rPr>
          <w:rFonts w:ascii="Verdana" w:eastAsia="Times New Roman" w:hAnsi="Verdana" w:cs="Times New Roman"/>
        </w:rPr>
        <w:t xml:space="preserve">. Esta norma vinculó por primera vez la contratación pública con la inclusión laboral de las </w:t>
      </w:r>
      <w:proofErr w:type="spellStart"/>
      <w:r>
        <w:rPr>
          <w:rFonts w:ascii="Verdana" w:eastAsia="Times New Roman" w:hAnsi="Verdana" w:cs="Times New Roman"/>
        </w:rPr>
        <w:t>PcD</w:t>
      </w:r>
      <w:proofErr w:type="spellEnd"/>
      <w:r>
        <w:rPr>
          <w:rFonts w:ascii="Verdana" w:eastAsia="Times New Roman" w:hAnsi="Verdana" w:cs="Times New Roman"/>
        </w:rPr>
        <w:t xml:space="preserve">, pero su alcance era limitado: una preferencia residual aplicable solo en caso de empate, que beneficiaba únicamente a los empleadores de </w:t>
      </w:r>
      <w:proofErr w:type="spellStart"/>
      <w:r>
        <w:rPr>
          <w:rFonts w:ascii="Verdana" w:eastAsia="Times New Roman" w:hAnsi="Verdana" w:cs="Times New Roman"/>
        </w:rPr>
        <w:t>PcD</w:t>
      </w:r>
      <w:proofErr w:type="spellEnd"/>
      <w:r>
        <w:rPr>
          <w:rFonts w:ascii="Verdana" w:eastAsia="Times New Roman" w:hAnsi="Verdana" w:cs="Times New Roman"/>
        </w:rPr>
        <w:t xml:space="preserve"> sin considerar a las propias </w:t>
      </w:r>
      <w:proofErr w:type="spellStart"/>
      <w:r>
        <w:rPr>
          <w:rFonts w:ascii="Verdana" w:eastAsia="Times New Roman" w:hAnsi="Verdana" w:cs="Times New Roman"/>
        </w:rPr>
        <w:t>PcD</w:t>
      </w:r>
      <w:proofErr w:type="spellEnd"/>
      <w:r>
        <w:rPr>
          <w:rFonts w:ascii="Verdana" w:eastAsia="Times New Roman" w:hAnsi="Verdana" w:cs="Times New Roman"/>
        </w:rPr>
        <w:t xml:space="preserve"> como proponentes directos.</w:t>
      </w:r>
    </w:p>
    <w:p w14:paraId="24F24429" w14:textId="77777777" w:rsidR="007871E6" w:rsidRPr="00206556" w:rsidRDefault="007871E6" w:rsidP="007871E6">
      <w:pPr>
        <w:spacing w:after="120" w:line="276" w:lineRule="auto"/>
        <w:jc w:val="both"/>
        <w:rPr>
          <w:rFonts w:ascii="Verdana" w:hAnsi="Verdana"/>
        </w:rPr>
      </w:pPr>
      <w:r>
        <w:rPr>
          <w:rFonts w:ascii="Verdana" w:eastAsia="Times New Roman" w:hAnsi="Verdana" w:cs="Times New Roman"/>
          <w:b/>
          <w:bCs/>
        </w:rPr>
        <w:t xml:space="preserve">       </w:t>
      </w:r>
      <w:r>
        <w:rPr>
          <w:rFonts w:ascii="Verdana" w:eastAsia="Times New Roman" w:hAnsi="Verdana" w:cs="Times New Roman"/>
        </w:rPr>
        <w:t xml:space="preserve">La Ley Estatutaria 1618 de 2013 representó un salto cualitativo en el marco jurídico de protección de las </w:t>
      </w:r>
      <w:proofErr w:type="spellStart"/>
      <w:r>
        <w:rPr>
          <w:rFonts w:ascii="Verdana" w:eastAsia="Times New Roman" w:hAnsi="Verdana" w:cs="Times New Roman"/>
        </w:rPr>
        <w:t>PcD</w:t>
      </w:r>
      <w:proofErr w:type="spellEnd"/>
      <w:r>
        <w:rPr>
          <w:rFonts w:ascii="Verdana" w:eastAsia="Times New Roman" w:hAnsi="Verdana" w:cs="Times New Roman"/>
        </w:rPr>
        <w:t xml:space="preserve">, al definir a estas como </w:t>
      </w:r>
      <w:r>
        <w:rPr>
          <w:rFonts w:ascii="Verdana" w:eastAsia="Times New Roman" w:hAnsi="Verdana" w:cs="Times New Roman"/>
          <w:i/>
          <w:iCs/>
        </w:rPr>
        <w:t>"aquellas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w:t>
      </w:r>
      <w:r>
        <w:rPr>
          <w:rStyle w:val="Refdenotaalpie"/>
          <w:rFonts w:ascii="Verdana" w:eastAsia="Times New Roman" w:hAnsi="Verdana" w:cs="Times New Roman"/>
          <w:i/>
          <w:iCs/>
        </w:rPr>
        <w:footnoteReference w:id="9"/>
      </w:r>
      <w:r>
        <w:rPr>
          <w:rFonts w:ascii="Verdana" w:eastAsia="Times New Roman" w:hAnsi="Verdana" w:cs="Times New Roman"/>
          <w:i/>
          <w:iCs/>
        </w:rPr>
        <w:t>.</w:t>
      </w:r>
      <w:r>
        <w:rPr>
          <w:rFonts w:ascii="Verdana" w:eastAsia="Times New Roman" w:hAnsi="Verdana" w:cs="Times New Roman"/>
        </w:rPr>
        <w:t xml:space="preserve"> Su artículo 13, en los numerales 1, 7 y 8, ordenó al Gobierno Nacional reglamentar: una puntuación adicional en licitación pública, concurso de méritos y contratación directa para empresas que vinculen </w:t>
      </w:r>
      <w:proofErr w:type="spellStart"/>
      <w:r>
        <w:rPr>
          <w:rFonts w:ascii="Verdana" w:eastAsia="Times New Roman" w:hAnsi="Verdana" w:cs="Times New Roman"/>
        </w:rPr>
        <w:t>PcD</w:t>
      </w:r>
      <w:proofErr w:type="spellEnd"/>
      <w:r>
        <w:rPr>
          <w:rFonts w:ascii="Verdana" w:eastAsia="Times New Roman" w:hAnsi="Verdana" w:cs="Times New Roman"/>
        </w:rPr>
        <w:t xml:space="preserve"> y para empresas de </w:t>
      </w:r>
      <w:proofErr w:type="spellStart"/>
      <w:r>
        <w:rPr>
          <w:rFonts w:ascii="Verdana" w:eastAsia="Times New Roman" w:hAnsi="Verdana" w:cs="Times New Roman"/>
        </w:rPr>
        <w:t>PcD</w:t>
      </w:r>
      <w:proofErr w:type="spellEnd"/>
      <w:r>
        <w:rPr>
          <w:rFonts w:ascii="Verdana" w:eastAsia="Times New Roman" w:hAnsi="Verdana" w:cs="Times New Roman"/>
        </w:rPr>
        <w:t xml:space="preserve">; un sistema de preferencias para empleadores de </w:t>
      </w:r>
      <w:proofErr w:type="spellStart"/>
      <w:r>
        <w:rPr>
          <w:rFonts w:ascii="Verdana" w:eastAsia="Times New Roman" w:hAnsi="Verdana" w:cs="Times New Roman"/>
        </w:rPr>
        <w:t>PcD</w:t>
      </w:r>
      <w:proofErr w:type="spellEnd"/>
      <w:r>
        <w:rPr>
          <w:rFonts w:ascii="Verdana" w:eastAsia="Times New Roman" w:hAnsi="Verdana" w:cs="Times New Roman"/>
        </w:rPr>
        <w:t xml:space="preserve"> en la adjudicación; y un sistema de preferencias en favor de las propias </w:t>
      </w:r>
      <w:proofErr w:type="spellStart"/>
      <w:r>
        <w:rPr>
          <w:rFonts w:ascii="Verdana" w:eastAsia="Times New Roman" w:hAnsi="Verdana" w:cs="Times New Roman"/>
        </w:rPr>
        <w:t>PcD</w:t>
      </w:r>
      <w:proofErr w:type="spellEnd"/>
      <w:r>
        <w:rPr>
          <w:rFonts w:ascii="Verdana" w:eastAsia="Times New Roman" w:hAnsi="Verdana" w:cs="Times New Roman"/>
        </w:rPr>
        <w:t xml:space="preserve"> como contratistas</w:t>
      </w:r>
      <w:r>
        <w:rPr>
          <w:rStyle w:val="Refdenotaalpie"/>
          <w:rFonts w:ascii="Verdana" w:eastAsia="Times New Roman" w:hAnsi="Verdana" w:cs="Times New Roman"/>
        </w:rPr>
        <w:footnoteReference w:id="10"/>
      </w:r>
      <w:r>
        <w:rPr>
          <w:rFonts w:ascii="Verdana" w:eastAsia="Times New Roman" w:hAnsi="Verdana" w:cs="Times New Roman"/>
        </w:rPr>
        <w:t xml:space="preserve">. Este último mandato fue especialmente significativo porque introdujo el concepto de </w:t>
      </w:r>
      <w:r>
        <w:rPr>
          <w:rFonts w:ascii="Verdana" w:eastAsia="Times New Roman" w:hAnsi="Verdana" w:cs="Times New Roman"/>
          <w:i/>
          <w:iCs/>
        </w:rPr>
        <w:t>"sistema de preferencias"</w:t>
      </w:r>
      <w:r>
        <w:rPr>
          <w:rFonts w:ascii="Verdana" w:eastAsia="Times New Roman" w:hAnsi="Verdana" w:cs="Times New Roman"/>
        </w:rPr>
        <w:t xml:space="preserve">, que por definición no puede reducirse a una sola </w:t>
      </w:r>
      <w:proofErr w:type="gramStart"/>
      <w:r>
        <w:rPr>
          <w:rFonts w:ascii="Verdana" w:eastAsia="Times New Roman" w:hAnsi="Verdana" w:cs="Times New Roman"/>
        </w:rPr>
        <w:t>medida</w:t>
      </w:r>
      <w:proofErr w:type="gramEnd"/>
      <w:r>
        <w:rPr>
          <w:rFonts w:ascii="Verdana" w:eastAsia="Times New Roman" w:hAnsi="Verdana" w:cs="Times New Roman"/>
        </w:rPr>
        <w:t xml:space="preserve"> sino que implica un conjunto estructurado de instrumentos que actúen en las distintas fases del proceso contractual.</w:t>
      </w:r>
    </w:p>
    <w:p w14:paraId="7D2DA731" w14:textId="77777777" w:rsidR="007871E6" w:rsidRPr="00A420A9" w:rsidRDefault="007871E6" w:rsidP="007871E6">
      <w:pPr>
        <w:spacing w:after="120" w:line="276" w:lineRule="auto"/>
        <w:ind w:firstLine="709"/>
        <w:jc w:val="both"/>
        <w:rPr>
          <w:rFonts w:ascii="Verdana" w:hAnsi="Verdana"/>
        </w:rPr>
      </w:pPr>
      <w:r>
        <w:rPr>
          <w:rFonts w:ascii="Verdana" w:hAnsi="Verdana"/>
        </w:rPr>
        <w:t xml:space="preserve">En cumplimiento parcial de los numerales 1 y 8 del artículo 13 de la Ley 1618 de 2013, se expidió el Decreto 392 de 2018. Sin embargo, como se reconoce en los considerandos del Decreto 0287 de 2026, dicha regulación presentó omisiones estructurales que frustraron la finalidad de la Ley Estatutaria: solo contempló el uno por ciento (1%) de puntaje para empleadores de </w:t>
      </w:r>
      <w:proofErr w:type="spellStart"/>
      <w:r>
        <w:rPr>
          <w:rFonts w:ascii="Verdana" w:hAnsi="Verdana"/>
        </w:rPr>
        <w:t>PcD</w:t>
      </w:r>
      <w:proofErr w:type="spellEnd"/>
      <w:r>
        <w:rPr>
          <w:rFonts w:ascii="Verdana" w:hAnsi="Verdana"/>
        </w:rPr>
        <w:t xml:space="preserve">, sin incluir a las empresas de </w:t>
      </w:r>
      <w:proofErr w:type="spellStart"/>
      <w:r>
        <w:rPr>
          <w:rFonts w:ascii="Verdana" w:hAnsi="Verdana"/>
        </w:rPr>
        <w:t>PcD</w:t>
      </w:r>
      <w:proofErr w:type="spellEnd"/>
      <w:r>
        <w:rPr>
          <w:rFonts w:ascii="Verdana" w:hAnsi="Verdana"/>
        </w:rPr>
        <w:t xml:space="preserve">; redujo el "sistema de preferencias" a un único criterio de desempate; y no previó medidas en planeación, criterios habilitantes diferenciales, condiciones especiales de ejecución ni abordó la contratación directa como escenario de inclusión. En consecuencia, desde el </w:t>
      </w:r>
      <w:r>
        <w:rPr>
          <w:rFonts w:ascii="Verdana" w:hAnsi="Verdana"/>
        </w:rPr>
        <w:lastRenderedPageBreak/>
        <w:t xml:space="preserve">punto de vista sustantivo, el Decreto 392 de 2018 reglamentó el numeral 1 de manera parcial y el numeral 7, dejando sin reglamentación material el numeral 8, que era precisamente el que ordenaba el sistema de preferencias en favor de las propias </w:t>
      </w:r>
      <w:proofErr w:type="spellStart"/>
      <w:r>
        <w:rPr>
          <w:rFonts w:ascii="Verdana" w:hAnsi="Verdana"/>
        </w:rPr>
        <w:t>PcD</w:t>
      </w:r>
      <w:proofErr w:type="spellEnd"/>
      <w:r>
        <w:rPr>
          <w:rFonts w:ascii="Verdana" w:hAnsi="Verdana"/>
        </w:rPr>
        <w:t xml:space="preserve"> como contratistas.</w:t>
      </w:r>
    </w:p>
    <w:p w14:paraId="5B73FBE2" w14:textId="77777777" w:rsidR="007871E6" w:rsidRDefault="007871E6" w:rsidP="007871E6">
      <w:pPr>
        <w:spacing w:after="120" w:line="276" w:lineRule="auto"/>
        <w:ind w:firstLine="709"/>
        <w:jc w:val="both"/>
        <w:rPr>
          <w:rFonts w:ascii="Verdana" w:hAnsi="Verdana"/>
        </w:rPr>
      </w:pPr>
      <w:r>
        <w:rPr>
          <w:rFonts w:ascii="Verdana" w:hAnsi="Verdana"/>
        </w:rPr>
        <w:t xml:space="preserve">La insuficiencia del Decreto 392 de 2018 fue constatada judicialmente. La Sección Quinta del Consejo de Estado, mediante sentencia de acción de cumplimiento del 12 de diciembre de 2024, radicación </w:t>
      </w:r>
      <w:proofErr w:type="spellStart"/>
      <w:r>
        <w:rPr>
          <w:rFonts w:ascii="Verdana" w:hAnsi="Verdana"/>
        </w:rPr>
        <w:t>n.°</w:t>
      </w:r>
      <w:proofErr w:type="spellEnd"/>
      <w:r>
        <w:rPr>
          <w:rFonts w:ascii="Verdana" w:hAnsi="Verdana"/>
        </w:rPr>
        <w:t xml:space="preserve">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0B92FB53" w14:textId="77777777" w:rsidR="00AB15F5" w:rsidRDefault="007871E6" w:rsidP="00430FE2">
      <w:pPr>
        <w:spacing w:after="120" w:line="276" w:lineRule="auto"/>
        <w:ind w:firstLine="709"/>
        <w:jc w:val="both"/>
        <w:rPr>
          <w:rFonts w:ascii="Verdana" w:hAnsi="Verdana"/>
        </w:rPr>
      </w:pPr>
      <w:r>
        <w:rPr>
          <w:rFonts w:ascii="Verdana" w:hAnsi="Verdana"/>
        </w:rPr>
        <w:t xml:space="preserve">En cumplimiento de esa decisión fue expedido el Decreto 0287 de 2026, el cual, como se indicó en la respuesta, establece un Sistema Integral de Preferencias compuesto por cinco medidas afirmativas que actúan en todas las fases del proceso contractual, planeación, selección, adjudicación y ejecución, y que benefician a dos sujetos diferenciados: los emprendimientos y empresas de </w:t>
      </w:r>
      <w:proofErr w:type="spellStart"/>
      <w:r>
        <w:rPr>
          <w:rFonts w:ascii="Verdana" w:hAnsi="Verdana"/>
        </w:rPr>
        <w:t>PcD</w:t>
      </w:r>
      <w:proofErr w:type="spellEnd"/>
      <w:r>
        <w:rPr>
          <w:rFonts w:ascii="Verdana" w:hAnsi="Verdana"/>
        </w:rPr>
        <w:t xml:space="preserve"> y los empleadores de </w:t>
      </w:r>
      <w:proofErr w:type="spellStart"/>
      <w:r>
        <w:rPr>
          <w:rFonts w:ascii="Verdana" w:hAnsi="Verdana"/>
        </w:rPr>
        <w:t>PcD</w:t>
      </w:r>
      <w:proofErr w:type="spellEnd"/>
      <w:r>
        <w:rPr>
          <w:rFonts w:ascii="Verdana" w:hAnsi="Verdana"/>
        </w:rPr>
        <w:t xml:space="preserve">. </w:t>
      </w:r>
      <w:r>
        <w:rPr>
          <w:rFonts w:ascii="Verdana" w:eastAsia="Aptos" w:hAnsi="Verdana" w:cs="Times New Roman"/>
          <w:kern w:val="2"/>
          <w14:ligatures w14:val="standardContextual"/>
        </w:rPr>
        <w:t xml:space="preserve">Mediante la expedición del mencionado decreto, se modificaron los artículos 2.2.1.2.4.2.6, 2.2.1.2.4.2.7. y 2.2.1.2.4.2.8. del Decreto 1082 de 2015 y se adicionan otras normas, cuyos aspectos más relevantes se resaltan a continuación: </w:t>
      </w:r>
    </w:p>
    <w:p w14:paraId="20C05A0C" w14:textId="77777777" w:rsidR="00AB15F5" w:rsidRPr="001B3C5D" w:rsidRDefault="00AB15F5" w:rsidP="00AB15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i) Se modifica el artículo 2.2.1.2.4.2.6. del Decreto 1082 de 2015, incorporando la definición de emprendimientos y empresas de personas con discapacidad, con el propósito de adoptar medidas afirmativas que incentiven las personas en condición de discapacidad en el sistema de compras y contratación pública.</w:t>
      </w:r>
    </w:p>
    <w:p w14:paraId="0E4B4F5C" w14:textId="77777777" w:rsidR="00AB15F5" w:rsidRPr="001B3C5D" w:rsidRDefault="00AB15F5" w:rsidP="00AB15F5">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Pr>
          <w:rFonts w:ascii="Verdana" w:eastAsia="Aptos" w:hAnsi="Verdana" w:cs="Times New Roman"/>
          <w:kern w:val="2"/>
          <w14:ligatures w14:val="standardContextual"/>
        </w:rPr>
        <w:t>ii</w:t>
      </w:r>
      <w:proofErr w:type="spellEnd"/>
      <w:r>
        <w:rPr>
          <w:rFonts w:ascii="Verdana" w:eastAsia="Aptos" w:hAnsi="Verdana" w:cs="Times New Roman"/>
          <w:kern w:val="2"/>
          <w14:ligatures w14:val="standardContextual"/>
        </w:rPr>
        <w:t xml:space="preserve">) Se modifica el artículo 2.2.1.2.4.2.7. del Decreto 1082 de 2015, estableciendo un Sistema de Preferencias en Favor de las Personas con Discapacidad en el Sistema de Compras y Contratación Pública, mediante medidas afirmativas, que deben adoptar las Entidades Estatales en sus Procesos de Contratación, para promover condiciones efectivas de igualdad para estas personas, corregir barreras estructurales de acceso y fomentar su participación </w:t>
      </w:r>
      <w:r>
        <w:rPr>
          <w:rFonts w:ascii="Verdana" w:eastAsia="Aptos" w:hAnsi="Verdana" w:cs="Times New Roman"/>
          <w:kern w:val="2"/>
          <w14:ligatures w14:val="standardContextual"/>
        </w:rPr>
        <w:lastRenderedPageBreak/>
        <w:t xml:space="preserve">como proponentes, contratistas o integrantes de la cadena de valor. </w:t>
      </w:r>
    </w:p>
    <w:p w14:paraId="7A303D75" w14:textId="77777777" w:rsidR="00AB15F5" w:rsidRPr="001B3C5D" w:rsidRDefault="00AB15F5" w:rsidP="00AB15F5">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Pr>
          <w:rFonts w:ascii="Verdana" w:eastAsia="Aptos" w:hAnsi="Verdana" w:cs="Times New Roman"/>
          <w:kern w:val="2"/>
          <w14:ligatures w14:val="standardContextual"/>
        </w:rPr>
        <w:t>iii</w:t>
      </w:r>
      <w:proofErr w:type="spellEnd"/>
      <w:r>
        <w:rPr>
          <w:rFonts w:ascii="Verdana" w:eastAsia="Aptos" w:hAnsi="Verdana" w:cs="Times New Roman"/>
          <w:kern w:val="2"/>
          <w14:ligatures w14:val="standardContextual"/>
        </w:rPr>
        <w:t xml:space="preserve">) Se incluye el artículo 2.2.1.2.4.2.7.1. del Decreto 1082 de 2015, disponiendo que todas las entidades que manejen recursos públicos están obligadas a garantizar la accesibilidad para personas con discapacidad en sus procesos de contratación. </w:t>
      </w:r>
    </w:p>
    <w:p w14:paraId="27B2A4D2" w14:textId="77777777" w:rsidR="00AB15F5" w:rsidRPr="001B3C5D" w:rsidRDefault="00AB15F5" w:rsidP="00AB15F5">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Pr>
          <w:rFonts w:ascii="Aptos" w:eastAsia="Aptos" w:hAnsi="Aptos" w:cs="Times New Roman"/>
          <w:kern w:val="2"/>
          <w:sz w:val="24"/>
          <w:szCs w:val="24"/>
          <w14:ligatures w14:val="standardContextual"/>
        </w:rPr>
        <w:t>iv</w:t>
      </w:r>
      <w:proofErr w:type="spellEnd"/>
      <w:r>
        <w:rPr>
          <w:rFonts w:ascii="Aptos" w:eastAsia="Aptos" w:hAnsi="Aptos" w:cs="Times New Roman"/>
          <w:kern w:val="2"/>
          <w:sz w:val="24"/>
          <w:szCs w:val="24"/>
          <w14:ligatures w14:val="standardContextual"/>
        </w:rPr>
        <w:t xml:space="preserve">) </w:t>
      </w:r>
      <w:r>
        <w:rPr>
          <w:rFonts w:ascii="Verdana" w:eastAsia="Aptos" w:hAnsi="Verdana" w:cs="Times New Roman"/>
          <w:kern w:val="2"/>
          <w14:ligatures w14:val="standardContextual"/>
        </w:rPr>
        <w:t>Se incluye el artículo 2.2.1.2.4.2.7.2. del Decreto 1082 de 2015, en el cual se consagra que, en la planeación contractual, las Entidades Estatales deben implementar acciones concretas para promover la participación de emprendimientos y empresas de personas con discapacidad, asegurando igualdad de oportunidades en los procesos de contratación pública. Esto implica diseñar mecanismos que eliminen barreras de acceso y fomenten una participación más inclusiva desde las etapas iniciales del proceso.</w:t>
      </w:r>
    </w:p>
    <w:p w14:paraId="0B69D4C0" w14:textId="77777777" w:rsidR="00AB15F5" w:rsidRPr="001B3C5D" w:rsidRDefault="00AB15F5" w:rsidP="00AB15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v) Se incluye el artículo 2.2.1.2.4.2.7.3. del Decreto 1082 de 2015, incorporando criterios diferenciales en favor de los emprendimientos y empresas de personas con discapacidad en la habilitación, como parte del sistema de preferencias para esta población en la contratación pública que impone reglamentar la Ley 1618 de 2013. Este aspecto considerando que “(…) es necesario flexibilizar los requisitos habilitantes de los procesos de contratación para facilitar la participación de las personas con discapacidad, debido a que sin esto el puntaje que también regula el presente Decreto (287 de 2026) se vuelve inocuo porque no se podría aplicar si las personas con discapacidad no superan el primer filtro, que resulta de la aplicación de los requisitos habilitantes que pueden resultar un impedimento para la posterior evaluación de su oferta y que pueda tener efectividad el puntaje”</w:t>
      </w:r>
      <w:r>
        <w:rPr>
          <w:rFonts w:ascii="Verdana" w:eastAsia="Aptos" w:hAnsi="Verdana" w:cs="Times New Roman"/>
          <w:kern w:val="2"/>
          <w:vertAlign w:val="superscript"/>
          <w14:ligatures w14:val="standardContextual"/>
        </w:rPr>
        <w:footnoteReference w:id="11"/>
      </w:r>
      <w:r>
        <w:rPr>
          <w:rFonts w:ascii="Verdana" w:eastAsia="Aptos" w:hAnsi="Verdana" w:cs="Times New Roman"/>
          <w:kern w:val="2"/>
          <w14:ligatures w14:val="standardContextual"/>
        </w:rPr>
        <w:t xml:space="preserve">. </w:t>
      </w:r>
    </w:p>
    <w:p w14:paraId="76136FA9" w14:textId="77777777" w:rsidR="00AB15F5" w:rsidRPr="001B3C5D" w:rsidRDefault="00AB15F5" w:rsidP="00AB15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 xml:space="preserve">vi) Se incluye el artículo 2.1.2.4.2.7.4 que establece un puntaje adicional en favor de los empleadores de personas con discapacidad y de los emprendimientos y empresas de personas con discapacidad del dos por ciento (2%) del valor total de los puntos establecidos en el pliego de condiciones o documentos equivalentes, para promover la inclusión laboral de personas con discapacidad en los procedimientos de licitación pública y concurso de méritos que adelanten las entidades estatales, cuando se configuren las situaciones previstas en ese artículo. </w:t>
      </w:r>
    </w:p>
    <w:p w14:paraId="62AFA326" w14:textId="77777777" w:rsidR="00AB15F5" w:rsidRPr="001B3C5D" w:rsidRDefault="00AB15F5" w:rsidP="00AB15F5">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Pr>
          <w:rFonts w:ascii="Verdana" w:eastAsia="Aptos" w:hAnsi="Verdana" w:cs="Times New Roman"/>
          <w:kern w:val="2"/>
          <w14:ligatures w14:val="standardContextual"/>
        </w:rPr>
        <w:t>vii</w:t>
      </w:r>
      <w:proofErr w:type="spellEnd"/>
      <w:r>
        <w:rPr>
          <w:rFonts w:ascii="Verdana" w:eastAsia="Aptos" w:hAnsi="Verdana" w:cs="Times New Roman"/>
          <w:kern w:val="2"/>
          <w14:ligatures w14:val="standardContextual"/>
        </w:rPr>
        <w:t xml:space="preserve">) Se incluye el artículo 2.2.1.2.4.2.7.5. del Decreto 1082 de 2015, </w:t>
      </w:r>
      <w:r>
        <w:rPr>
          <w:rFonts w:ascii="Verdana" w:eastAsia="Aptos" w:hAnsi="Verdana" w:cs="Times New Roman"/>
          <w:kern w:val="2"/>
          <w14:ligatures w14:val="standardContextual"/>
        </w:rPr>
        <w:lastRenderedPageBreak/>
        <w:t xml:space="preserve">indicando condiciones especiales de sujeción en favor de personas con discapacidad, que deberán incluir las entidades estatales como obligación contractual en los documentos del proceso, previo análisis de oportunidad y conveniencia. </w:t>
      </w:r>
    </w:p>
    <w:p w14:paraId="0712D348" w14:textId="77777777" w:rsidR="00AB15F5" w:rsidRPr="001B3C5D" w:rsidRDefault="00AB15F5" w:rsidP="00AB15F5">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Pr>
          <w:rFonts w:ascii="Verdana" w:eastAsia="Aptos" w:hAnsi="Verdana" w:cs="Times New Roman"/>
          <w:kern w:val="2"/>
          <w14:ligatures w14:val="standardContextual"/>
        </w:rPr>
        <w:t>viii</w:t>
      </w:r>
      <w:proofErr w:type="spellEnd"/>
      <w:r>
        <w:rPr>
          <w:rFonts w:ascii="Verdana" w:eastAsia="Aptos" w:hAnsi="Verdana" w:cs="Times New Roman"/>
          <w:kern w:val="2"/>
          <w14:ligatures w14:val="standardContextual"/>
        </w:rPr>
        <w:t>) Se incluye el artículo 2.2.1.2.4.2.7.6. del Decreto 1082 de 2015, contemplando que, las Entidades Estatales propenderán por la contratación de personas con discapacidad mediante la celebración de contratos de prestación de servicios profesionales y/o de apoyo a la gestión, de acuerdo con su planeación contractual, disponibilidad presupuestal y las necesidades del servicio.</w:t>
      </w:r>
    </w:p>
    <w:p w14:paraId="784028E6" w14:textId="77777777" w:rsidR="00AB15F5" w:rsidRDefault="00AB15F5" w:rsidP="00AB15F5">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Pr>
          <w:rFonts w:ascii="Verdana" w:eastAsia="Aptos" w:hAnsi="Verdana" w:cs="Times New Roman"/>
          <w:kern w:val="2"/>
          <w14:ligatures w14:val="standardContextual"/>
        </w:rPr>
        <w:t>ix</w:t>
      </w:r>
      <w:proofErr w:type="spellEnd"/>
      <w:r>
        <w:rPr>
          <w:rFonts w:ascii="Verdana" w:eastAsia="Aptos" w:hAnsi="Verdana" w:cs="Times New Roman"/>
          <w:kern w:val="2"/>
          <w14:ligatures w14:val="standardContextual"/>
        </w:rPr>
        <w:t>) Se incluye el artículo 2.2.1.2.4.2.7.7. del Decreto 1082 de 2015, que incorpora el</w:t>
      </w:r>
      <w:r>
        <w:t xml:space="preserve"> </w:t>
      </w:r>
      <w:r>
        <w:rPr>
          <w:rFonts w:ascii="Verdana" w:eastAsia="Aptos" w:hAnsi="Verdana" w:cs="Times New Roman"/>
          <w:kern w:val="2"/>
          <w14:ligatures w14:val="standardContextual"/>
        </w:rPr>
        <w:t>seguimiento a la inclusión de personas con discapacidad a través de contratos de prestación de servicios profesionales y lo de apoyo a la gestión.</w:t>
      </w:r>
    </w:p>
    <w:p w14:paraId="506E0527" w14:textId="77777777" w:rsidR="00AB15F5" w:rsidRDefault="00AB15F5" w:rsidP="00AB15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 xml:space="preserve">x) Se modifica el artículo 2.2.1.2.4.2.7.8 del Decreto 1082 de 2015 y dispone que, la Agencia Nacional de Contratación Pública –Colombia Compra Eficiente garantizará la adopción permanente de las acciones necesarias para que las medidas señaladas en favor de las Personas con Discapacidad se incorporen a los documentos e instrumentos que genera. </w:t>
      </w:r>
    </w:p>
    <w:p w14:paraId="27C87DEA" w14:textId="77777777" w:rsidR="00AB15F5" w:rsidRDefault="00AB15F5" w:rsidP="003248CC">
      <w:pPr>
        <w:widowControl w:val="0"/>
        <w:autoSpaceDE w:val="0"/>
        <w:autoSpaceDN w:val="0"/>
        <w:spacing w:after="0" w:line="276" w:lineRule="auto"/>
        <w:ind w:firstLine="708"/>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 xml:space="preserve">xi) </w:t>
      </w:r>
      <w:r>
        <w:rPr>
          <w:rFonts w:ascii="Verdana" w:eastAsia="Aptos" w:hAnsi="Verdana" w:cs="Times New Roman"/>
          <w:color w:val="000000" w:themeColor="text1"/>
          <w:kern w:val="2"/>
          <w14:ligatures w14:val="standardContextual"/>
        </w:rPr>
        <w:t>Se incluye el artículo 2.2.1.2.4.2.7.9 del Decreto 1082 de 2015</w:t>
      </w:r>
      <w:r>
        <w:rPr>
          <w:rFonts w:ascii="Work Sans" w:hAnsi="Work Sans"/>
          <w:b/>
          <w:bCs/>
          <w:color w:val="000000" w:themeColor="text1"/>
          <w:sz w:val="25"/>
          <w:szCs w:val="25"/>
          <w:shd w:val="clear" w:color="auto" w:fill="FFFFFF"/>
        </w:rPr>
        <w:t xml:space="preserve"> </w:t>
      </w:r>
      <w:r>
        <w:rPr>
          <w:rFonts w:ascii="Verdana" w:hAnsi="Verdana"/>
          <w:color w:val="000000" w:themeColor="text1"/>
          <w:shd w:val="clear" w:color="auto" w:fill="FFFFFF"/>
        </w:rPr>
        <w:t>que establece lo referente al</w:t>
      </w:r>
      <w:r>
        <w:rPr>
          <w:rFonts w:ascii="Work Sans" w:hAnsi="Work Sans"/>
          <w:b/>
          <w:bCs/>
          <w:color w:val="000000" w:themeColor="text1"/>
          <w:sz w:val="25"/>
          <w:szCs w:val="25"/>
          <w:shd w:val="clear" w:color="auto" w:fill="FFFFFF"/>
        </w:rPr>
        <w:t xml:space="preserve"> </w:t>
      </w:r>
      <w:r>
        <w:rPr>
          <w:rFonts w:ascii="Verdana" w:eastAsia="Aptos" w:hAnsi="Verdana" w:cs="Times New Roman"/>
          <w:color w:val="000000" w:themeColor="text1"/>
          <w:kern w:val="2"/>
          <w14:ligatures w14:val="standardContextual"/>
        </w:rPr>
        <w:t>acceso y accesibilidad del sistema electrónico de contratación pública - SECOP. </w:t>
      </w:r>
    </w:p>
    <w:p w14:paraId="51933E31" w14:textId="77777777" w:rsidR="00AB15F5" w:rsidRDefault="00AB15F5" w:rsidP="003248CC">
      <w:pPr>
        <w:spacing w:after="0" w:line="276" w:lineRule="auto"/>
        <w:jc w:val="both"/>
        <w:rPr>
          <w:rFonts w:ascii="Verdana" w:hAnsi="Verdana"/>
        </w:rPr>
      </w:pPr>
    </w:p>
    <w:p w14:paraId="18C5C2E2" w14:textId="0D6BC0C5" w:rsidR="00F2650D"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Vista a grandes rasgos cada una de las medidas, conviene precisar los elementos del sistema que resultan relevantes para la participación en procesos de licitación pública. Conforme lo precisó esta Agencia en la Circular Externa No. 003 de 2026</w:t>
      </w:r>
      <w:r>
        <w:rPr>
          <w:rStyle w:val="Refdenotaalpie"/>
          <w:rFonts w:ascii="Verdana" w:eastAsia="Times New Roman" w:hAnsi="Verdana" w:cs="Times New Roman"/>
        </w:rPr>
        <w:footnoteReference w:id="12"/>
      </w:r>
      <w:r>
        <w:rPr>
          <w:rFonts w:ascii="Verdana" w:eastAsia="Times New Roman" w:hAnsi="Verdana" w:cs="Times New Roman"/>
        </w:rPr>
        <w:t xml:space="preserve">, el puntaje adicional del artículo 2.2.1.2.4.2.7.4 del Decreto 1082 de 2015 aplica únicamente en las modalidades de licitación pública y concurso de méritos de las entidades regidas por el Estatuto General de Contratación de la Administración Pública; equivale siempre al dos por ciento (2%) del total de los puntos y no es acumulable por la acreditación simultánea de las dos condiciones; se acredita con la documentación que la norma establece como </w:t>
      </w:r>
      <w:r>
        <w:rPr>
          <w:rFonts w:ascii="Verdana" w:eastAsia="Times New Roman" w:hAnsi="Verdana" w:cs="Times New Roman"/>
        </w:rPr>
        <w:lastRenderedPageBreak/>
        <w:t>tarifa legal para cada sujeto</w:t>
      </w:r>
      <w:r w:rsidR="00C001E2">
        <w:rPr>
          <w:rFonts w:ascii="Verdana" w:eastAsia="Times New Roman" w:hAnsi="Verdana" w:cs="Times New Roman"/>
        </w:rPr>
        <w:t xml:space="preserve">, </w:t>
      </w:r>
      <w:r>
        <w:rPr>
          <w:rFonts w:ascii="Verdana" w:eastAsia="Times New Roman" w:hAnsi="Verdana" w:cs="Times New Roman"/>
        </w:rPr>
        <w:t xml:space="preserve">para el empleador de </w:t>
      </w:r>
      <w:proofErr w:type="spellStart"/>
      <w:r>
        <w:rPr>
          <w:rFonts w:ascii="Verdana" w:eastAsia="Times New Roman" w:hAnsi="Verdana" w:cs="Times New Roman"/>
        </w:rPr>
        <w:t>PcD</w:t>
      </w:r>
      <w:proofErr w:type="spellEnd"/>
      <w:r>
        <w:rPr>
          <w:rFonts w:ascii="Verdana" w:eastAsia="Times New Roman" w:hAnsi="Verdana" w:cs="Times New Roman"/>
        </w:rPr>
        <w:t>, entre otros, el contrato o certificación laboral con dedicación exclusiva y los certificados de aportes a seguridad social de los tres (3) meses anteriores a la presentación de la oferta, conforme a la tabla que ya incorpora los mínimos de la Ley 2466 de 2025; y constituye un factor de evaluación y no un requisito habilitante, de modo que su no acreditación no impide participar ni contratar, sino que impide obtener el puntaje. Por tratarse de una tarifa legal, la entidad no puede exigir formalidades adicionales ni suprimir las previstas, y debe otorgar el puntaje a quien acredite la condición en los términos del decreto, decisión que, en todo caso, adopta la entidad en cada proceso y que es susceptible de los controles que se indican a continuación.</w:t>
      </w:r>
    </w:p>
    <w:p w14:paraId="75D20CD9" w14:textId="77777777" w:rsidR="00430FE2" w:rsidRDefault="00430FE2" w:rsidP="003248CC">
      <w:pPr>
        <w:spacing w:after="0" w:line="276" w:lineRule="auto"/>
        <w:ind w:firstLine="708"/>
        <w:jc w:val="both"/>
        <w:rPr>
          <w:rFonts w:ascii="Verdana" w:hAnsi="Verdana"/>
        </w:rPr>
      </w:pPr>
    </w:p>
    <w:p w14:paraId="1643DC3E" w14:textId="77777777" w:rsidR="00F2650D"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w:t>
      </w:r>
      <w:proofErr w:type="spellStart"/>
      <w:r>
        <w:rPr>
          <w:rFonts w:ascii="Verdana" w:eastAsia="Times New Roman" w:hAnsi="Verdana" w:cs="Times New Roman"/>
        </w:rPr>
        <w:t>iv</w:t>
      </w:r>
      <w:proofErr w:type="spellEnd"/>
      <w:r>
        <w:rPr>
          <w:rFonts w:ascii="Verdana" w:eastAsia="Times New Roman" w:hAnsi="Verdana" w:cs="Times New Roman"/>
        </w:rPr>
        <w:t>) Precisado el marco anterior, corresponde referirse al primer problema jurídico, relativo a la naturaleza jurídica del certificado de discapacidad y al alcance de los términos mínimos previstos en el Decreto 0287 de 2026. Para ello debe partirse de la noción legal de discapacidad. El numeral 1 del artículo 2 de la Ley Estatutaria 1618 de 2013 define a las personas con discapacidad como aquellas que tengan deficiencias físicas, mentales, intelectuales o sensoriales a mediano y largo plazo que, al interactuar con diversas barreras incluyendo las actitudinales, puedan impedir su participación plena y efectiva en la sociedad en igualdad de condiciones con las demás</w:t>
      </w:r>
      <w:r>
        <w:rPr>
          <w:rStyle w:val="Refdenotaalpie"/>
          <w:rFonts w:ascii="Verdana" w:eastAsia="Times New Roman" w:hAnsi="Verdana" w:cs="Times New Roman"/>
        </w:rPr>
        <w:footnoteReference w:id="13"/>
      </w:r>
      <w:r>
        <w:rPr>
          <w:rFonts w:ascii="Verdana" w:eastAsia="Times New Roman" w:hAnsi="Verdana" w:cs="Times New Roman"/>
        </w:rPr>
        <w:t>. Esta definición, que recoge el modelo social de la discapacidad adoptado por la Convención sobre los Derechos de las Personas con Discapacidad, describe una situación fáctica de la persona en su interacción con el entorno, y no una calidad que dependa de un acto de la administración.</w:t>
      </w:r>
    </w:p>
    <w:p w14:paraId="4464F04B" w14:textId="14FC0F4E" w:rsidR="00F2650D"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Consecuente con ello, el certificado de discapacidad, regulado por la normativa que expide el Ministerio de Salud y Protección Social</w:t>
      </w:r>
      <w:r>
        <w:rPr>
          <w:rStyle w:val="Refdenotaalpie"/>
          <w:rFonts w:ascii="Verdana" w:eastAsia="Times New Roman" w:hAnsi="Verdana" w:cs="Times New Roman"/>
        </w:rPr>
        <w:footnoteReference w:id="14"/>
      </w:r>
      <w:r>
        <w:rPr>
          <w:rFonts w:ascii="Verdana" w:eastAsia="Times New Roman" w:hAnsi="Verdana" w:cs="Times New Roman"/>
        </w:rPr>
        <w:t xml:space="preserve">, es el documento que resulta de la valoración multidisciplinaria mediante la cual un equipo de profesionales de la salud verifica y documenta la existencia de la deficiencia, el nivel de dificultad en el desempeño y el perfil de funcionamiento </w:t>
      </w:r>
      <w:r>
        <w:rPr>
          <w:rFonts w:ascii="Verdana" w:eastAsia="Times New Roman" w:hAnsi="Verdana" w:cs="Times New Roman"/>
        </w:rPr>
        <w:lastRenderedPageBreak/>
        <w:t>de la persona. Su función es acreditar</w:t>
      </w:r>
      <w:r w:rsidR="00C001E2">
        <w:rPr>
          <w:rFonts w:ascii="Verdana" w:eastAsia="Times New Roman" w:hAnsi="Verdana" w:cs="Times New Roman"/>
        </w:rPr>
        <w:t xml:space="preserve">, </w:t>
      </w:r>
      <w:r>
        <w:rPr>
          <w:rFonts w:ascii="Verdana" w:eastAsia="Times New Roman" w:hAnsi="Verdana" w:cs="Times New Roman"/>
        </w:rPr>
        <w:t>esto es, hacer constar— una condición que le preexiste, así como permitir su registro en el Registro de Localización y Caracterización de Personas con Discapacidad. Por tanto, el certificado tiene naturaleza declarativa y probatoria, y no constitutiva: la persona no adquiere la condición de discapacidad el día en que se expide el certificado, del mismo modo que la fecha de un dictamen no determina el momento en que surgió la situación que constata. Sostener lo contrario implicaría afirmar que una persona con una deficiencia sensorial de larga data solo adquiere su condición el día de la valoración, conclusión que contradice tanto la definición legal como el modelo social que inspira el régimen de protección.</w:t>
      </w:r>
    </w:p>
    <w:p w14:paraId="6F6348CE" w14:textId="77777777" w:rsidR="00F2650D"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Trasladado lo anterior al régimen del Decreto 0287 de 2026, se observa que los términos mínimos que este contempla están referidos a la vinculación laboral o a la circunstancia empresarial de que se trate, y no a la antigüedad del certificado. En la condición de empleador de </w:t>
      </w:r>
      <w:proofErr w:type="spellStart"/>
      <w:r>
        <w:rPr>
          <w:rFonts w:ascii="Verdana" w:eastAsia="Times New Roman" w:hAnsi="Verdana" w:cs="Times New Roman"/>
        </w:rPr>
        <w:t>PcD</w:t>
      </w:r>
      <w:proofErr w:type="spellEnd"/>
      <w:r>
        <w:rPr>
          <w:rFonts w:ascii="Verdana" w:eastAsia="Times New Roman" w:hAnsi="Verdana" w:cs="Times New Roman"/>
        </w:rPr>
        <w:t xml:space="preserve">, el artículo 2.2.1.2.4.2.7.4 del Decreto 1082 de 2015 exige los certificados de aportes a seguridad social de los tres (3) meses anteriores a la presentación de la oferta respecto de cada </w:t>
      </w:r>
      <w:proofErr w:type="spellStart"/>
      <w:r>
        <w:rPr>
          <w:rFonts w:ascii="Verdana" w:eastAsia="Times New Roman" w:hAnsi="Verdana" w:cs="Times New Roman"/>
        </w:rPr>
        <w:t>PcD</w:t>
      </w:r>
      <w:proofErr w:type="spellEnd"/>
      <w:r>
        <w:rPr>
          <w:rFonts w:ascii="Verdana" w:eastAsia="Times New Roman" w:hAnsi="Verdana" w:cs="Times New Roman"/>
        </w:rPr>
        <w:t xml:space="preserve"> incluida en el cómputo, junto con el contrato o la certificación laboral que acredite la vinculación con dedicación exclusiva y el certificado de discapacidad, sin exigir que este último tenga determinada antigüedad. Y en los supuestos de emprendimientos y empresas de </w:t>
      </w:r>
      <w:proofErr w:type="spellStart"/>
      <w:r>
        <w:rPr>
          <w:rFonts w:ascii="Verdana" w:eastAsia="Times New Roman" w:hAnsi="Verdana" w:cs="Times New Roman"/>
        </w:rPr>
        <w:t>PcD</w:t>
      </w:r>
      <w:proofErr w:type="spellEnd"/>
      <w:r>
        <w:rPr>
          <w:rFonts w:ascii="Verdana" w:eastAsia="Times New Roman" w:hAnsi="Verdana" w:cs="Times New Roman"/>
        </w:rPr>
        <w:t xml:space="preserve">, los numerales 2, 3 y 4 del artículo 2.2.1.2.4.2.6 exigen que la actividad comercial a través de establecimiento de comercio, la titularidad de más del cincuenta por ciento (50%) de las acciones, cuotas o partes de interés, o la vinculación laboral de al menos una </w:t>
      </w:r>
      <w:proofErr w:type="spellStart"/>
      <w:r>
        <w:rPr>
          <w:rFonts w:ascii="Verdana" w:eastAsia="Times New Roman" w:hAnsi="Verdana" w:cs="Times New Roman"/>
        </w:rPr>
        <w:t>PcD</w:t>
      </w:r>
      <w:proofErr w:type="spellEnd"/>
      <w:r>
        <w:rPr>
          <w:rFonts w:ascii="Verdana" w:eastAsia="Times New Roman" w:hAnsi="Verdana" w:cs="Times New Roman"/>
        </w:rPr>
        <w:t xml:space="preserve"> en un empleo del nivel directivo, según corresponda, se hayan mantenido durante al menos el año anterior a la fecha de cierre del proceso de selección; también en estos casos el término recae sobre la circunstancia acreditada, no sobre la fecha del certificado.</w:t>
      </w:r>
    </w:p>
    <w:p w14:paraId="4EED05B0" w14:textId="19E43FBF" w:rsidR="00F2650D" w:rsidRDefault="00000000" w:rsidP="00BC235F">
      <w:pPr>
        <w:rPr>
          <w:rFonts w:ascii="Verdana" w:hAnsi="Verdana"/>
        </w:rPr>
      </w:pPr>
      <w:r>
        <w:rPr>
          <w:rFonts w:ascii="Verdana" w:eastAsia="Times New Roman" w:hAnsi="Verdana" w:cs="Times New Roman"/>
        </w:rPr>
        <w:t>De lo expuesto se desprende que las normas citadas no supeditan el otorgamiento del puntaje a que el certificado de discapacidad tenga determinada antigüedad, sino a la acreditación de dos elementos: de una parte, que la persona ostente la condición de discapacidad, lo cual se acredita con el certificado expedido conforme a la normativa del Ministerio de Salud y Protección Social, que debe estar vigente al momento de la presentación de la oferta; y, de otra, que la vinculación laboral</w:t>
      </w:r>
      <w:r w:rsidR="005501EB">
        <w:rPr>
          <w:rFonts w:ascii="Verdana" w:eastAsia="Times New Roman" w:hAnsi="Verdana" w:cs="Times New Roman"/>
        </w:rPr>
        <w:t>, o</w:t>
      </w:r>
      <w:r>
        <w:rPr>
          <w:rFonts w:ascii="Verdana" w:eastAsia="Times New Roman" w:hAnsi="Verdana" w:cs="Times New Roman"/>
        </w:rPr>
        <w:t xml:space="preserve"> la circunstancia respectiva</w:t>
      </w:r>
      <w:r w:rsidR="005501EB">
        <w:rPr>
          <w:rFonts w:ascii="Verdana" w:eastAsia="Times New Roman" w:hAnsi="Verdana" w:cs="Times New Roman"/>
        </w:rPr>
        <w:t>,</w:t>
      </w:r>
      <w:r>
        <w:rPr>
          <w:rFonts w:ascii="Verdana" w:eastAsia="Times New Roman" w:hAnsi="Verdana" w:cs="Times New Roman"/>
        </w:rPr>
        <w:t xml:space="preserve"> cubra el periodo mínimo exigido, lo que se demuestra con los documentos laborales y las planillas de aportes correspondientes. Exigir adicionalmente que </w:t>
      </w:r>
      <w:r>
        <w:rPr>
          <w:rFonts w:ascii="Verdana" w:eastAsia="Times New Roman" w:hAnsi="Verdana" w:cs="Times New Roman"/>
        </w:rPr>
        <w:lastRenderedPageBreak/>
        <w:t>el certificado hubiera sido expedido antes del inicio de la vinculación o con una antelación determinada equivaldría a incorporar un requisito que la norma no contempla, lo cual desconoce el principio de legalidad, el carácter de tarifa legal probatoria de la documentación prevista en el decreto y el principio de economía consagrado en el numeral 2 del artículo 25 de la Ley 80 de 1993. A ello se suma un argumento finalista: una interpretación en ese sentido desincentivaría la obtención del certificado y excluiría de las medidas afirmativas a personas que efectivamente tienen la condición y se encuentran vinculadas laboralmente, en contravía del mandato de igualdad real y efectiva del artículo 13 de la Constitución Política y de la finalidad del Sistema Integral de Preferencias.</w:t>
      </w:r>
    </w:p>
    <w:p w14:paraId="76001EB4" w14:textId="6FCFF5CE" w:rsidR="00F2650D"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Lo anterior no significa que la verificación documental se relaje. La entidad conserva el deber de constatar, con rigor, que el certificado corresponde a la persona computada, que fue expedido conforme a la normativa aplicable y que se encuentra vigente, así como que los documentos laborales y las planillas acreditan de manera completa el periodo mínimo exigido, pues es sobre ese periodo que recae la exigencia temporal. Si de la documentación aportada no se desprende el cumplimiento del término</w:t>
      </w:r>
      <w:r w:rsidR="00C001E2">
        <w:rPr>
          <w:rFonts w:ascii="Verdana" w:eastAsia="Times New Roman" w:hAnsi="Verdana" w:cs="Times New Roman"/>
        </w:rPr>
        <w:t xml:space="preserve">, </w:t>
      </w:r>
      <w:r>
        <w:rPr>
          <w:rFonts w:ascii="Verdana" w:eastAsia="Times New Roman" w:hAnsi="Verdana" w:cs="Times New Roman"/>
        </w:rPr>
        <w:t>por ejemplo, porque las planillas no cubren los tres (3) meses anteriores a la presentación de la oferta o porque la vinculación en el cargo directivo no alcanza el año, la consecuencia es que la persona respectiva no se compute para efectos del puntaje, pudiendo el proponente acceder a este con las demás personas que sí cumplan los requisitos o participar sin él; en ningún caso se configura causal de rechazo de la oferta, pues el puntaje adicional es un factor de evaluación y no un requisito habilitante. Finalmente, debe recordarse que, por tratarse de documentos que acreditan un factor de asignación de puntaje, conforme al parágrafo 1 del artículo 5 de la Ley 1150 de 2007 no son subsanables con posterioridad al cierre del proceso.</w:t>
      </w:r>
    </w:p>
    <w:p w14:paraId="0674F50A" w14:textId="6ED87B72" w:rsidR="00F2650D" w:rsidRDefault="00000000" w:rsidP="00C001E2">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(v) </w:t>
      </w:r>
      <w:r w:rsidR="000123B5">
        <w:rPr>
          <w:rFonts w:ascii="Verdana" w:eastAsia="Times New Roman" w:hAnsi="Verdana" w:cs="Times New Roman"/>
        </w:rPr>
        <w:t>Ahora bien</w:t>
      </w:r>
      <w:r>
        <w:rPr>
          <w:rFonts w:ascii="Verdana" w:eastAsia="Times New Roman" w:hAnsi="Verdana" w:cs="Times New Roman"/>
        </w:rPr>
        <w:t>, el proponente que considere que la entidad contratante ha aplicado indebidamente las medidas del Decreto 0287 de 2026</w:t>
      </w:r>
      <w:r w:rsidR="00C001E2">
        <w:rPr>
          <w:rFonts w:ascii="Verdana" w:eastAsia="Times New Roman" w:hAnsi="Verdana" w:cs="Times New Roman"/>
        </w:rPr>
        <w:t xml:space="preserve">, </w:t>
      </w:r>
      <w:r>
        <w:rPr>
          <w:rFonts w:ascii="Verdana" w:eastAsia="Times New Roman" w:hAnsi="Verdana" w:cs="Times New Roman"/>
        </w:rPr>
        <w:t>por ejemplo, al no otorgar el puntaje adicional a quien lo acreditó, al exigir documentos no previstos en la norma o al otorgarlo a quien no cumplía las condiciones</w:t>
      </w:r>
      <w:r w:rsidR="00C001E2">
        <w:rPr>
          <w:rFonts w:ascii="Verdana" w:eastAsia="Times New Roman" w:hAnsi="Verdana" w:cs="Times New Roman"/>
        </w:rPr>
        <w:t xml:space="preserve">, </w:t>
      </w:r>
      <w:r>
        <w:rPr>
          <w:rFonts w:ascii="Verdana" w:eastAsia="Times New Roman" w:hAnsi="Verdana" w:cs="Times New Roman"/>
        </w:rPr>
        <w:t xml:space="preserve">dispone de mecanismos para controvertirlo. Dentro del proceso de selección, el numeral 8 del artículo 30 de la Ley 80 de 1993 dispone que los informes de evaluación de las propuestas permanecerán a disposición de los oferentes por un término de cinco (5) días hábiles para que presenten las observaciones que estimen </w:t>
      </w:r>
      <w:r>
        <w:rPr>
          <w:rFonts w:ascii="Verdana" w:eastAsia="Times New Roman" w:hAnsi="Verdana" w:cs="Times New Roman"/>
        </w:rPr>
        <w:lastRenderedPageBreak/>
        <w:t>pertinentes</w:t>
      </w:r>
      <w:r>
        <w:rPr>
          <w:rStyle w:val="Refdenotaalpie"/>
          <w:rFonts w:ascii="Verdana" w:eastAsia="Times New Roman" w:hAnsi="Verdana" w:cs="Times New Roman"/>
        </w:rPr>
        <w:footnoteReference w:id="15"/>
      </w:r>
      <w:r>
        <w:rPr>
          <w:rFonts w:ascii="Verdana" w:eastAsia="Times New Roman" w:hAnsi="Verdana" w:cs="Times New Roman"/>
        </w:rPr>
        <w:t>, las cuales deben ser resueltas de manera motivada por la entidad; y el artículo 9 de la Ley 1150 de 2007 establece que en la licitación pública la adjudicación se realiza en audiencia pública, en la que los oferentes pueden pronunciarse sobre las respuestas dadas por la entidad a sus observaciones. Estos son los escenarios naturales para plantear ante la entidad la indebida aplicación del decreto y obtener un pronunciamiento motivado</w:t>
      </w:r>
      <w:r w:rsidR="00C001E2">
        <w:rPr>
          <w:rFonts w:ascii="Verdana" w:eastAsia="Times New Roman" w:hAnsi="Verdana" w:cs="Times New Roman"/>
        </w:rPr>
        <w:t>. Seguidamente, p</w:t>
      </w:r>
      <w:r>
        <w:rPr>
          <w:rFonts w:ascii="Verdana" w:eastAsia="Times New Roman" w:hAnsi="Verdana" w:cs="Times New Roman"/>
        </w:rPr>
        <w:t>or fuera del proceso, el interesado puede poner en conocimiento de los organismos de control las irregularidades que advierta</w:t>
      </w:r>
      <w:r w:rsidR="00C001E2">
        <w:rPr>
          <w:rFonts w:ascii="Verdana" w:eastAsia="Times New Roman" w:hAnsi="Verdana" w:cs="Times New Roman"/>
        </w:rPr>
        <w:t>.</w:t>
      </w:r>
    </w:p>
    <w:p w14:paraId="4FE93F7F" w14:textId="77777777" w:rsidR="00BC57BE" w:rsidRDefault="00000000" w:rsidP="0052334E">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Finalmente, debe advertirse que el análisis requerido para resolver situaciones concretas relacionadas con la contratación de las entidades estatales corresponde a quienes tengan interés en ello, de modo que las afirmaciones aquí realizadas no pueden interpretarse como juicios de valor sobre circunstancias particulares. Al tratarse de reglas que deben definirse en el marco de un procedimiento contractual específico, esta Agencia no puede fijar un criterio universal y absoluto por vía consultiva, sino brindar elementos de carácter general para que los partícipes del sistema de compras y contratación pública adopten la decisión que corresponda, conforme al principio de juridicidad. Así, cada entidad definirá, en ejercicio de su competencia y previa valoración de los elementos fácticos y jurídicos de su proceso, la forma de adelantar su gestión contractual, sin que sea atribución de Colombia Compra Eficiente validar sus actuaciones.</w:t>
      </w:r>
    </w:p>
    <w:p w14:paraId="4235D430" w14:textId="77777777" w:rsidR="007871E6" w:rsidRPr="00EE1130" w:rsidRDefault="007871E6" w:rsidP="00EE1130">
      <w:pPr>
        <w:spacing w:after="0" w:line="276" w:lineRule="auto"/>
        <w:jc w:val="both"/>
        <w:rPr>
          <w:rFonts w:ascii="Verdana" w:eastAsia="Calibri" w:hAnsi="Verdana" w:cs="Arial"/>
        </w:rPr>
      </w:pPr>
    </w:p>
    <w:p w14:paraId="261A023E" w14:textId="77777777" w:rsidR="007871E6" w:rsidRDefault="007871E6" w:rsidP="00EE1130">
      <w:pPr>
        <w:spacing w:after="0" w:line="276" w:lineRule="auto"/>
        <w:jc w:val="both"/>
        <w:rPr>
          <w:rFonts w:ascii="Verdana" w:eastAsia="Century Gothic" w:hAnsi="Verdana" w:cs="Century Gothic"/>
          <w:b/>
          <w:lang w:val="es-ES"/>
        </w:rPr>
      </w:pPr>
      <w:r>
        <w:rPr>
          <w:rFonts w:ascii="Verdana" w:eastAsia="Century Gothic" w:hAnsi="Verdana" w:cs="Century Gothic"/>
          <w:b/>
          <w:lang w:val="es-ES"/>
        </w:rPr>
        <w:t>4. Referencias normativas, jurisprudenciales y otras fuentes:</w:t>
      </w:r>
    </w:p>
    <w:p w14:paraId="4ED4BEF8" w14:textId="77777777" w:rsidR="00EE1130" w:rsidRPr="00EE1130" w:rsidRDefault="00EE1130" w:rsidP="003248CC">
      <w:pPr>
        <w:spacing w:after="0" w:line="276" w:lineRule="auto"/>
        <w:jc w:val="both"/>
        <w:rPr>
          <w:rFonts w:ascii="Verdana" w:eastAsia="Century Gothic" w:hAnsi="Verdana" w:cs="Century Gothic"/>
          <w:b/>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871E6" w:rsidRPr="00EE1130" w14:paraId="0CA177A6" w14:textId="77777777" w:rsidTr="000A1473">
        <w:trPr>
          <w:trHeight w:val="297"/>
        </w:trPr>
        <w:tc>
          <w:tcPr>
            <w:tcW w:w="8647" w:type="dxa"/>
          </w:tcPr>
          <w:p w14:paraId="52AEFDA5" w14:textId="77777777" w:rsidR="00F2650D"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Constitución Política de Colombia. Artículos 13, 23, 47, 54 y 93.</w:t>
            </w:r>
          </w:p>
          <w:p w14:paraId="1E457CB5" w14:textId="77777777" w:rsidR="00F2650D"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22 de 1967.</w:t>
            </w:r>
          </w:p>
          <w:p w14:paraId="6ACDF675" w14:textId="77777777" w:rsidR="00F2650D"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82 de 1988.</w:t>
            </w:r>
          </w:p>
          <w:p w14:paraId="7A74C403" w14:textId="77777777" w:rsidR="00F2650D"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361 de 1997. Artículo 24.</w:t>
            </w:r>
          </w:p>
          <w:p w14:paraId="6C909B4D" w14:textId="77777777" w:rsidR="00F2650D"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762 de 2002.</w:t>
            </w:r>
          </w:p>
          <w:p w14:paraId="02A2CEB0" w14:textId="77777777" w:rsidR="00F2650D"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80 de 1993. Artículos 29, 30, numeral 8, y 77.</w:t>
            </w:r>
          </w:p>
          <w:p w14:paraId="3ADFF733" w14:textId="77777777" w:rsidR="00F2650D"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1150 de 2007. Artículos 5 y 9.</w:t>
            </w:r>
          </w:p>
          <w:p w14:paraId="3D1B4163" w14:textId="77777777" w:rsidR="00F2650D"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850 de 2003.</w:t>
            </w:r>
          </w:p>
          <w:p w14:paraId="59A845FC" w14:textId="77777777" w:rsidR="00F2650D"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lastRenderedPageBreak/>
              <w:t>Ley 1346 de 2009. Por medio de la cual se aprueba la Convención sobre los Derechos de las Personas con Discapacidad de la ONU.</w:t>
            </w:r>
          </w:p>
          <w:p w14:paraId="2791B847" w14:textId="77777777" w:rsidR="00F2650D"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1437 de 2011. Artículos 14, 137, 138, 141 y 229 y siguientes.</w:t>
            </w:r>
          </w:p>
          <w:p w14:paraId="1C574C91" w14:textId="77777777" w:rsidR="00F2650D"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Estatutaria 1618 de 2013. Artículo 2, numeral 1, y artículo 13, numerales 1, 7 y 8.</w:t>
            </w:r>
          </w:p>
          <w:p w14:paraId="5C21292C" w14:textId="77777777" w:rsidR="00F2650D"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Ministerio de Salud y Protección Social. Normativa sobre certificación de discapacidad y Registro de Localización y Caracterización de Personas con Discapacidad.</w:t>
            </w:r>
          </w:p>
          <w:p w14:paraId="7F35564C" w14:textId="77777777" w:rsidR="00F2650D"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1755 de 2015. Artículo 1.</w:t>
            </w:r>
          </w:p>
          <w:p w14:paraId="3C3C8F3B" w14:textId="77777777" w:rsidR="00F2650D"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1996 de 2019. Artículo 62.</w:t>
            </w:r>
          </w:p>
          <w:p w14:paraId="7A4F9A61" w14:textId="77777777" w:rsidR="00F2650D"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2466 de 2025.</w:t>
            </w:r>
          </w:p>
          <w:p w14:paraId="5AE2742C" w14:textId="77777777" w:rsidR="00F2650D"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Ley 4170 de 2011. Artículo 3, numeral 5, y artículo 11, numeral 8.</w:t>
            </w:r>
          </w:p>
          <w:p w14:paraId="3C8F9C6B" w14:textId="77777777" w:rsidR="00F2650D"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392 de 2018.</w:t>
            </w:r>
          </w:p>
          <w:p w14:paraId="6C7085F1" w14:textId="77777777" w:rsidR="00F2650D"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1082 de 2015. Artículos 2.2.1.2.4.2.6, 2.2.1.2.4.2.7.3 y 2.2.1.2.4.2.7.4.</w:t>
            </w:r>
          </w:p>
          <w:p w14:paraId="33CF5CEC" w14:textId="77777777" w:rsidR="00F2650D"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0287 de 2026.</w:t>
            </w:r>
          </w:p>
          <w:p w14:paraId="352C92A4" w14:textId="77777777" w:rsidR="00F2650D"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Resolución 469 de 2025.</w:t>
            </w:r>
          </w:p>
          <w:p w14:paraId="0A026D4E" w14:textId="77777777" w:rsidR="00F2650D"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Consejo de Estado. Sala de lo Contencioso Administrativo. Sección Quinta. Sentencia del 12 de diciembre de 2024. Rad. 05001-23-33-000-2024-00847-01. M.P. Omar Joaquín Barreto Suárez.</w:t>
            </w:r>
          </w:p>
          <w:p w14:paraId="1A280701" w14:textId="77777777" w:rsidR="00F2650D"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Circular Externa No. 003 de 2026.</w:t>
            </w:r>
          </w:p>
        </w:tc>
      </w:tr>
    </w:tbl>
    <w:p w14:paraId="2977DD51" w14:textId="77777777" w:rsidR="007871E6" w:rsidRPr="00EE1130" w:rsidRDefault="007871E6" w:rsidP="00EE1130">
      <w:pPr>
        <w:widowControl w:val="0"/>
        <w:autoSpaceDE w:val="0"/>
        <w:autoSpaceDN w:val="0"/>
        <w:spacing w:after="0" w:line="276" w:lineRule="auto"/>
        <w:jc w:val="both"/>
        <w:rPr>
          <w:rFonts w:ascii="Verdana" w:hAnsi="Verdana" w:cs="Arial"/>
          <w:color w:val="ED7D31" w:themeColor="accent2"/>
          <w:lang w:val="es-ES"/>
        </w:rPr>
      </w:pPr>
    </w:p>
    <w:p w14:paraId="7672473C" w14:textId="77777777" w:rsidR="007871E6" w:rsidRPr="00EE1130" w:rsidRDefault="007871E6" w:rsidP="00EE1130">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5. Doctrina de la Agencia Nacional de Contratación Pública:</w:t>
      </w:r>
    </w:p>
    <w:p w14:paraId="1923CEB2" w14:textId="77777777" w:rsidR="007871E6" w:rsidRPr="001B3CBA" w:rsidRDefault="007871E6" w:rsidP="001B3CBA">
      <w:pPr>
        <w:tabs>
          <w:tab w:val="left" w:pos="142"/>
          <w:tab w:val="left" w:pos="284"/>
        </w:tabs>
        <w:spacing w:after="0" w:line="276" w:lineRule="auto"/>
        <w:jc w:val="both"/>
        <w:rPr>
          <w:rFonts w:ascii="Verdana" w:eastAsia="Century Gothic" w:hAnsi="Verdana" w:cs="Century Gothic"/>
          <w:b/>
          <w:lang w:val="es-ES"/>
        </w:rPr>
      </w:pPr>
    </w:p>
    <w:p w14:paraId="0DBD4CEC" w14:textId="77777777" w:rsidR="007871E6" w:rsidRPr="00EE1130" w:rsidRDefault="007871E6" w:rsidP="001B3CBA">
      <w:pPr>
        <w:spacing w:after="0" w:line="276" w:lineRule="auto"/>
        <w:jc w:val="both"/>
        <w:rPr>
          <w:rFonts w:ascii="Verdana" w:hAnsi="Verdana"/>
          <w:color w:val="ED7D31" w:themeColor="accent2"/>
          <w:lang w:val="es-ES"/>
        </w:rPr>
      </w:pPr>
      <w:r>
        <w:rPr>
          <w:rFonts w:ascii="Verdana" w:eastAsia="Calibri" w:hAnsi="Verdana" w:cs="Arial"/>
          <w:lang w:val="es-ES"/>
        </w:rPr>
        <w:t xml:space="preserve">La Agencia Nacional de Contratación Pública – Colombia Compra Eficiente se ha referido </w:t>
      </w:r>
      <w:r>
        <w:rPr>
          <w:rFonts w:ascii="Verdana" w:hAnsi="Verdana" w:cs="Arial"/>
          <w:shd w:val="clear" w:color="auto" w:fill="FFFFFF"/>
          <w:lang w:val="es-ES"/>
        </w:rPr>
        <w:t>sobre el alcance del Decreto 0287 de 2026 en este concepto</w:t>
      </w:r>
      <w:r>
        <w:rPr>
          <w:rFonts w:ascii="Verdana" w:eastAsia="Calibri" w:hAnsi="Verdana" w:cs="Arial"/>
          <w:lang w:val="es-ES_tradnl" w:eastAsia="es-ES"/>
        </w:rPr>
        <w:t>.</w:t>
      </w:r>
      <w:r>
        <w:rPr>
          <w:rFonts w:ascii="Verdana" w:hAnsi="Verdana" w:cs="Arial"/>
          <w:shd w:val="clear" w:color="auto" w:fill="FFFFFF"/>
          <w:lang w:val="es-ES"/>
        </w:rPr>
        <w:t xml:space="preserve"> Este</w:t>
      </w:r>
      <w:r>
        <w:rPr>
          <w:rFonts w:ascii="Verdana" w:hAnsi="Verdana"/>
          <w:lang w:val="es-ES"/>
        </w:rPr>
        <w:t xml:space="preserve"> y otros se encuentran disponibles para consulta en el Sistema de relatoría de la Agencia, al cual se puede acceder a través del siguiente enlace:</w:t>
      </w:r>
      <w:r>
        <w:rPr>
          <w:rFonts w:ascii="Verdana" w:hAnsi="Verdana" w:cs="Arial"/>
          <w:shd w:val="clear" w:color="auto" w:fill="FFFFFF"/>
          <w:lang w:val="es-ES"/>
        </w:rPr>
        <w:t xml:space="preserve"> </w:t>
      </w:r>
      <w:hyperlink r:id="rId11" w:history="1">
        <w:r>
          <w:rPr>
            <w:rStyle w:val="Hipervnculo"/>
            <w:rFonts w:ascii="Verdana" w:hAnsi="Verdana" w:cs="Arial"/>
            <w:shd w:val="clear" w:color="auto" w:fill="FFFFFF"/>
            <w:lang w:val="es-ES"/>
          </w:rPr>
          <w:t>https://relatoria.colombiacompra.gov.co/busqueda/conceptos</w:t>
        </w:r>
      </w:hyperlink>
    </w:p>
    <w:p w14:paraId="323CAD70" w14:textId="77777777" w:rsidR="007871E6" w:rsidRPr="00EE1130" w:rsidRDefault="007871E6">
      <w:pPr>
        <w:spacing w:after="0" w:line="276" w:lineRule="auto"/>
        <w:jc w:val="both"/>
        <w:rPr>
          <w:rFonts w:ascii="Verdana" w:hAnsi="Verdana" w:cs="Arial"/>
          <w:color w:val="ED7D31" w:themeColor="accent2"/>
          <w:shd w:val="clear" w:color="auto" w:fill="FFFFFF"/>
          <w:lang w:val="es-ES"/>
        </w:rPr>
      </w:pPr>
    </w:p>
    <w:p w14:paraId="5CD661E6" w14:textId="77777777" w:rsidR="007871E6" w:rsidRPr="00EE1130" w:rsidRDefault="007871E6">
      <w:pPr>
        <w:spacing w:after="0" w:line="276" w:lineRule="auto"/>
        <w:jc w:val="both"/>
        <w:rPr>
          <w:rFonts w:ascii="Verdana" w:hAnsi="Verdana" w:cs="Arial"/>
          <w:shd w:val="clear" w:color="auto" w:fill="FFFFFF"/>
        </w:rPr>
      </w:pPr>
      <w:r>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w:t>
      </w:r>
      <w:r>
        <w:rPr>
          <w:rFonts w:ascii="Verdana" w:hAnsi="Verdana" w:cs="Arial"/>
          <w:shd w:val="clear" w:color="auto" w:fill="FFFFFF"/>
        </w:rPr>
        <w:lastRenderedPageBreak/>
        <w:t xml:space="preserve">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2" w:history="1">
        <w:r>
          <w:rPr>
            <w:rStyle w:val="Hipervnculo"/>
            <w:rFonts w:ascii="Verdana" w:hAnsi="Verdana" w:cs="Arial"/>
            <w:shd w:val="clear" w:color="auto" w:fill="FFFFFF"/>
          </w:rPr>
          <w:t>https://formacionvirtual.colombiacompra.gov.co/mod/page/view.php?id=3718</w:t>
        </w:r>
      </w:hyperlink>
      <w:r>
        <w:rPr>
          <w:rFonts w:ascii="Verdana" w:hAnsi="Verdana" w:cs="Arial"/>
          <w:shd w:val="clear" w:color="auto" w:fill="FFFFFF"/>
        </w:rPr>
        <w:t xml:space="preserve"> </w:t>
      </w:r>
    </w:p>
    <w:p w14:paraId="2776A7F2" w14:textId="77777777" w:rsidR="007871E6" w:rsidRPr="001B3CBA" w:rsidRDefault="007871E6">
      <w:pPr>
        <w:spacing w:after="0" w:line="276" w:lineRule="auto"/>
        <w:jc w:val="both"/>
        <w:rPr>
          <w:rFonts w:ascii="Verdana" w:hAnsi="Verdana" w:cs="Arial"/>
          <w:shd w:val="clear" w:color="auto" w:fill="FFFFFF"/>
        </w:rPr>
      </w:pPr>
    </w:p>
    <w:p w14:paraId="0E15BE44" w14:textId="77777777" w:rsidR="007871E6" w:rsidRPr="00EE1130" w:rsidRDefault="007871E6">
      <w:pPr>
        <w:spacing w:after="0" w:line="276" w:lineRule="auto"/>
        <w:jc w:val="both"/>
        <w:rPr>
          <w:rFonts w:ascii="Verdana" w:hAnsi="Verdana" w:cs="Arial"/>
          <w:shd w:val="clear" w:color="auto" w:fill="FFFFFF"/>
        </w:rPr>
      </w:pPr>
      <w:r>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3" w:history="1">
        <w:r>
          <w:rPr>
            <w:rStyle w:val="Hipervnculo"/>
            <w:rFonts w:ascii="Verdana" w:hAnsi="Verdana" w:cs="Arial"/>
            <w:shd w:val="clear" w:color="auto" w:fill="FFFFFF"/>
          </w:rPr>
          <w:t>https://www.colombiacompra.gov.co/normativa-y-relatoria/documentos-tipo</w:t>
        </w:r>
      </w:hyperlink>
    </w:p>
    <w:p w14:paraId="7330F7E3" w14:textId="77777777" w:rsidR="007871E6" w:rsidRPr="00EE1130" w:rsidRDefault="007871E6">
      <w:pPr>
        <w:spacing w:after="0" w:line="276" w:lineRule="auto"/>
        <w:jc w:val="both"/>
        <w:rPr>
          <w:rFonts w:ascii="Verdana" w:hAnsi="Verdana" w:cs="Arial"/>
          <w:shd w:val="clear" w:color="auto" w:fill="FFFFFF"/>
        </w:rPr>
      </w:pPr>
    </w:p>
    <w:p w14:paraId="38A2C0B8" w14:textId="77777777" w:rsidR="007871E6" w:rsidRPr="00EE1130" w:rsidRDefault="007871E6">
      <w:pPr>
        <w:spacing w:after="0" w:line="276" w:lineRule="auto"/>
        <w:jc w:val="both"/>
        <w:rPr>
          <w:rFonts w:ascii="Verdana" w:hAnsi="Verdana" w:cs="Arial"/>
          <w:shd w:val="clear" w:color="auto" w:fill="FFFFFF"/>
        </w:rPr>
      </w:pPr>
      <w:r>
        <w:rPr>
          <w:rFonts w:ascii="Verdana" w:hAnsi="Verdana" w:cs="Arial"/>
          <w:shd w:val="clear" w:color="auto" w:fill="FFFFFF"/>
        </w:rPr>
        <w:t xml:space="preserve">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Pr>
          <w:rFonts w:ascii="Verdana" w:hAnsi="Verdana" w:cs="Arial"/>
          <w:shd w:val="clear" w:color="auto" w:fill="FFFFFF"/>
        </w:rPr>
        <w:t>Además</w:t>
      </w:r>
      <w:proofErr w:type="gramEnd"/>
      <w:r>
        <w:rPr>
          <w:rFonts w:ascii="Verdana" w:hAnsi="Verdana" w:cs="Arial"/>
          <w:shd w:val="clear" w:color="auto" w:fill="FFFFFF"/>
        </w:rPr>
        <w:t xml:space="preserve"> se incluyeron lineamientos que orientan la 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56C8130E" w14:textId="77777777" w:rsidR="007871E6" w:rsidRPr="00EE1130" w:rsidRDefault="007871E6">
      <w:pPr>
        <w:spacing w:after="0" w:line="276" w:lineRule="auto"/>
        <w:jc w:val="both"/>
        <w:rPr>
          <w:rFonts w:ascii="Verdana" w:hAnsi="Verdana" w:cs="Arial"/>
          <w:color w:val="ED7D31" w:themeColor="accent2"/>
          <w:shd w:val="clear" w:color="auto" w:fill="FFFFFF"/>
        </w:rPr>
      </w:pPr>
    </w:p>
    <w:p w14:paraId="548FF379"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Por último, lo invitamos a seguirnos en las redes sociales en las cuales se difunde información institucional: </w:t>
      </w:r>
    </w:p>
    <w:p w14:paraId="317C5EAC" w14:textId="77777777" w:rsidR="007871E6" w:rsidRPr="00EE1130" w:rsidRDefault="007871E6" w:rsidP="003248CC">
      <w:pPr>
        <w:spacing w:after="0" w:line="276" w:lineRule="auto"/>
        <w:jc w:val="both"/>
        <w:rPr>
          <w:rFonts w:ascii="Verdana" w:hAnsi="Verdana" w:cs="Arial"/>
          <w:shd w:val="clear" w:color="auto" w:fill="FFFFFF"/>
        </w:rPr>
      </w:pPr>
    </w:p>
    <w:p w14:paraId="0B48ADAD"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Twitter: </w:t>
      </w:r>
      <w:r>
        <w:rPr>
          <w:rStyle w:val="Hipervnculo"/>
          <w:rFonts w:ascii="Verdana" w:hAnsi="Verdana"/>
          <w:lang w:val="es-ES"/>
        </w:rPr>
        <w:t>@colombiacompra</w:t>
      </w:r>
      <w:r>
        <w:rPr>
          <w:rStyle w:val="Hipervnculo"/>
          <w:rFonts w:ascii="Verdana" w:hAnsi="Verdana"/>
          <w:color w:val="auto"/>
          <w:lang w:val="es-ES"/>
        </w:rPr>
        <w:t xml:space="preserve"> </w:t>
      </w:r>
    </w:p>
    <w:p w14:paraId="7E3B7A5E"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Facebook:</w:t>
      </w:r>
      <w:r>
        <w:rPr>
          <w:rStyle w:val="Hipervnculo"/>
          <w:rFonts w:ascii="Verdana" w:hAnsi="Verdana"/>
          <w:lang w:val="es-ES"/>
        </w:rPr>
        <w:t xml:space="preserve"> </w:t>
      </w:r>
      <w:proofErr w:type="spellStart"/>
      <w:r>
        <w:rPr>
          <w:rStyle w:val="Hipervnculo"/>
          <w:rFonts w:ascii="Verdana" w:hAnsi="Verdana"/>
          <w:lang w:val="es-ES"/>
        </w:rPr>
        <w:t>ColombiaCompraEficiente</w:t>
      </w:r>
      <w:proofErr w:type="spellEnd"/>
    </w:p>
    <w:p w14:paraId="4AD27503"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lastRenderedPageBreak/>
        <w:t xml:space="preserve">LinkedIn: </w:t>
      </w:r>
      <w:r>
        <w:rPr>
          <w:rStyle w:val="Hipervnculo"/>
          <w:rFonts w:ascii="Verdana" w:hAnsi="Verdana"/>
          <w:lang w:val="es-ES"/>
        </w:rPr>
        <w:t>Agencia Nacional de Contratación Pública - Colombia Compra Eficiente</w:t>
      </w:r>
      <w:r>
        <w:rPr>
          <w:rFonts w:ascii="Verdana" w:hAnsi="Verdana" w:cs="Arial"/>
          <w:color w:val="0000FF"/>
          <w:shd w:val="clear" w:color="auto" w:fill="FFFFFF"/>
        </w:rPr>
        <w:t xml:space="preserve"> </w:t>
      </w:r>
    </w:p>
    <w:p w14:paraId="06DFE084"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Instagram: </w:t>
      </w:r>
      <w:r>
        <w:rPr>
          <w:rStyle w:val="Hipervnculo"/>
          <w:rFonts w:ascii="Verdana" w:hAnsi="Verdana"/>
          <w:lang w:val="es-ES"/>
        </w:rPr>
        <w:t>@colombiacompraeficiente_cce</w:t>
      </w:r>
    </w:p>
    <w:p w14:paraId="55B4D50F" w14:textId="77777777" w:rsidR="007871E6" w:rsidRPr="00EE1130" w:rsidRDefault="007871E6" w:rsidP="00EE1130">
      <w:pPr>
        <w:widowControl w:val="0"/>
        <w:autoSpaceDE w:val="0"/>
        <w:autoSpaceDN w:val="0"/>
        <w:spacing w:after="0" w:line="276" w:lineRule="auto"/>
        <w:jc w:val="both"/>
        <w:rPr>
          <w:rFonts w:ascii="Verdana" w:hAnsi="Verdana" w:cs="Arial"/>
          <w:color w:val="ED7D31" w:themeColor="accent2"/>
          <w:lang w:val="es-ES"/>
        </w:rPr>
      </w:pPr>
    </w:p>
    <w:p w14:paraId="155E87A1" w14:textId="77777777" w:rsidR="007871E6" w:rsidRPr="00EE1130" w:rsidRDefault="007871E6" w:rsidP="001B3CBA">
      <w:pPr>
        <w:widowControl w:val="0"/>
        <w:autoSpaceDE w:val="0"/>
        <w:autoSpaceDN w:val="0"/>
        <w:spacing w:after="0" w:line="276" w:lineRule="auto"/>
        <w:jc w:val="both"/>
        <w:rPr>
          <w:rFonts w:ascii="Verdana" w:hAnsi="Verdana" w:cs="Arial"/>
          <w:lang w:val="es-ES"/>
        </w:rPr>
      </w:pPr>
      <w:r>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685E388" w14:textId="77777777" w:rsidR="007871E6" w:rsidRPr="00EE1130" w:rsidRDefault="007871E6">
      <w:pPr>
        <w:widowControl w:val="0"/>
        <w:autoSpaceDE w:val="0"/>
        <w:autoSpaceDN w:val="0"/>
        <w:spacing w:after="0" w:line="276" w:lineRule="auto"/>
        <w:jc w:val="both"/>
        <w:rPr>
          <w:rFonts w:ascii="Verdana" w:hAnsi="Verdana" w:cs="Arial"/>
          <w:lang w:val="es-ES"/>
        </w:rPr>
      </w:pPr>
    </w:p>
    <w:p w14:paraId="3976D384" w14:textId="77777777" w:rsidR="007871E6" w:rsidRPr="00EE1130" w:rsidRDefault="007871E6">
      <w:pPr>
        <w:spacing w:after="0" w:line="276" w:lineRule="auto"/>
        <w:rPr>
          <w:rFonts w:ascii="Verdana" w:hAnsi="Verdana" w:cs="Arial"/>
          <w:lang w:val="es-ES" w:eastAsia="es-CO"/>
        </w:rPr>
      </w:pPr>
      <w:r>
        <w:rPr>
          <w:rFonts w:ascii="Verdana" w:eastAsia="Times New Roman" w:hAnsi="Verdana" w:cs="Arial"/>
          <w:lang w:val="es-ES" w:eastAsia="es-CO"/>
        </w:rPr>
        <w:t>Atentamente,</w:t>
      </w:r>
      <w:r>
        <w:rPr>
          <w:rFonts w:ascii="Verdana" w:hAnsi="Verdana" w:cs="Arial"/>
          <w:lang w:val="es-ES" w:eastAsia="es-CO"/>
        </w:rPr>
        <w:t xml:space="preserve"> </w:t>
      </w:r>
    </w:p>
    <w:p w14:paraId="1E9D3324" w14:textId="58EC68E1" w:rsidR="007871E6" w:rsidRPr="00206556" w:rsidRDefault="007C30EE" w:rsidP="007871E6">
      <w:pPr>
        <w:spacing w:after="0" w:line="256" w:lineRule="auto"/>
        <w:jc w:val="center"/>
        <w:rPr>
          <w:rFonts w:ascii="Verdana" w:eastAsia="Times New Roman" w:hAnsi="Verdana" w:cs="Arial"/>
          <w:lang w:eastAsia="es-ES"/>
        </w:rPr>
      </w:pPr>
      <w:r>
        <w:rPr>
          <w:rFonts w:ascii="Verdana" w:eastAsia="Times New Roman" w:hAnsi="Verdana" w:cs="Arial"/>
          <w:noProof/>
          <w:lang w:eastAsia="es-ES"/>
        </w:rPr>
        <w:drawing>
          <wp:inline distT="0" distB="0" distL="0" distR="0" wp14:anchorId="00807442" wp14:editId="22D9E6FD">
            <wp:extent cx="3639058" cy="1343212"/>
            <wp:effectExtent l="0" t="0" r="0" b="0"/>
            <wp:docPr id="53571970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719708" name="Imagen 1" descr="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p w14:paraId="0FBFAACC" w14:textId="77777777" w:rsidR="007871E6" w:rsidRPr="00206556" w:rsidRDefault="007871E6" w:rsidP="003248CC">
      <w:pPr>
        <w:spacing w:after="0" w:line="240" w:lineRule="auto"/>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7871E6" w:rsidRPr="00206556" w14:paraId="7FF5E4F9" w14:textId="77777777" w:rsidTr="000A1473">
        <w:trPr>
          <w:trHeight w:val="322"/>
        </w:trPr>
        <w:tc>
          <w:tcPr>
            <w:tcW w:w="733" w:type="dxa"/>
            <w:tcBorders>
              <w:top w:val="nil"/>
              <w:left w:val="nil"/>
              <w:bottom w:val="nil"/>
              <w:right w:val="nil"/>
            </w:tcBorders>
            <w:vAlign w:val="center"/>
            <w:hideMark/>
          </w:tcPr>
          <w:p w14:paraId="470808DC"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Elaboró:         </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1A48B4F8"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Gloria Elizabeth Arango Builes</w:t>
            </w:r>
          </w:p>
          <w:p w14:paraId="725347C9" w14:textId="77777777" w:rsidR="007871E6" w:rsidRPr="00206556" w:rsidRDefault="007871E6" w:rsidP="000A1473">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eastAsia="es-ES"/>
              </w:rPr>
              <w:t xml:space="preserve">Contratista </w:t>
            </w:r>
            <w:r>
              <w:rPr>
                <w:rFonts w:ascii="Verdana" w:eastAsia="Times New Roman" w:hAnsi="Verdana" w:cs="Times New Roman"/>
                <w:sz w:val="16"/>
                <w:szCs w:val="16"/>
                <w:lang w:eastAsia="es-CO"/>
              </w:rPr>
              <w:t>de la Subdirección de Gestión Contractual</w:t>
            </w:r>
          </w:p>
        </w:tc>
      </w:tr>
      <w:tr w:rsidR="007871E6" w:rsidRPr="00206556" w14:paraId="668D4C7F" w14:textId="77777777" w:rsidTr="000A1473">
        <w:trPr>
          <w:trHeight w:val="322"/>
        </w:trPr>
        <w:tc>
          <w:tcPr>
            <w:tcW w:w="733" w:type="dxa"/>
            <w:tcBorders>
              <w:top w:val="nil"/>
              <w:left w:val="nil"/>
              <w:bottom w:val="nil"/>
              <w:right w:val="nil"/>
            </w:tcBorders>
            <w:vAlign w:val="center"/>
            <w:hideMark/>
          </w:tcPr>
          <w:p w14:paraId="175E2782"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Revisó: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121E743B" w14:textId="77777777" w:rsidR="007871E6" w:rsidRPr="00206556" w:rsidRDefault="006974CA" w:rsidP="000A1473">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Diana Lucía Saavedra Castañeda</w:t>
            </w:r>
          </w:p>
          <w:p w14:paraId="355DB248" w14:textId="77777777" w:rsidR="007871E6" w:rsidRPr="00206556" w:rsidRDefault="007871E6" w:rsidP="003248CC">
            <w:pPr>
              <w:autoSpaceDE w:val="0"/>
              <w:autoSpaceDN w:val="0"/>
              <w:adjustRightInd w:val="0"/>
              <w:spacing w:after="0" w:line="276" w:lineRule="auto"/>
              <w:rPr>
                <w:rFonts w:ascii="Verdana" w:eastAsia="Times New Roman" w:hAnsi="Verdana" w:cs="Times New Roman"/>
                <w:sz w:val="16"/>
                <w:szCs w:val="16"/>
                <w:lang w:eastAsia="es-CO"/>
              </w:rPr>
            </w:pPr>
            <w:r>
              <w:rPr>
                <w:rFonts w:ascii="Verdana" w:eastAsia="Times New Roman" w:hAnsi="Verdana" w:cs="Arial"/>
                <w:sz w:val="16"/>
                <w:szCs w:val="16"/>
                <w:lang w:eastAsia="es-ES"/>
              </w:rPr>
              <w:t>Contratista de la Subdirección de Gestión Contractual</w:t>
            </w:r>
          </w:p>
        </w:tc>
      </w:tr>
      <w:tr w:rsidR="007871E6" w:rsidRPr="00206556" w14:paraId="56E1C180" w14:textId="77777777" w:rsidTr="000A1473">
        <w:trPr>
          <w:trHeight w:val="307"/>
        </w:trPr>
        <w:tc>
          <w:tcPr>
            <w:tcW w:w="733" w:type="dxa"/>
            <w:tcBorders>
              <w:top w:val="nil"/>
              <w:left w:val="nil"/>
              <w:bottom w:val="nil"/>
              <w:right w:val="nil"/>
            </w:tcBorders>
            <w:vAlign w:val="center"/>
            <w:hideMark/>
          </w:tcPr>
          <w:p w14:paraId="55BC83E5"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Aprobó: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3C1CC747" w14:textId="77777777" w:rsidR="007871E6" w:rsidRPr="00206556" w:rsidRDefault="007871E6" w:rsidP="000A1473">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Carolina Quintero Gacharná</w:t>
            </w:r>
          </w:p>
          <w:p w14:paraId="3715B587" w14:textId="77777777" w:rsidR="007871E6" w:rsidRPr="00206556" w:rsidRDefault="007871E6" w:rsidP="000A1473">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Subdirectora de Gestión Contractual ANCP – CCE</w:t>
            </w:r>
          </w:p>
        </w:tc>
      </w:tr>
    </w:tbl>
    <w:p w14:paraId="2DC933F4" w14:textId="77777777" w:rsidR="007871E6" w:rsidRDefault="007871E6" w:rsidP="007871E6">
      <w:pPr>
        <w:autoSpaceDE w:val="0"/>
        <w:autoSpaceDN w:val="0"/>
        <w:adjustRightInd w:val="0"/>
        <w:spacing w:after="0" w:line="276" w:lineRule="auto"/>
        <w:jc w:val="center"/>
        <w:rPr>
          <w:rFonts w:ascii="Verdana" w:eastAsia="Calibri" w:hAnsi="Verdana" w:cs="Arial"/>
        </w:rPr>
      </w:pPr>
    </w:p>
    <w:p w14:paraId="1ADAD310" w14:textId="77777777" w:rsidR="007871E6" w:rsidRDefault="007871E6" w:rsidP="007871E6">
      <w:pPr>
        <w:autoSpaceDE w:val="0"/>
        <w:autoSpaceDN w:val="0"/>
        <w:adjustRightInd w:val="0"/>
        <w:spacing w:after="0" w:line="276" w:lineRule="auto"/>
        <w:jc w:val="center"/>
        <w:rPr>
          <w:rFonts w:ascii="Verdana" w:eastAsia="Calibri" w:hAnsi="Verdana" w:cs="Arial"/>
        </w:rPr>
      </w:pPr>
    </w:p>
    <w:p w14:paraId="57DFC1DC" w14:textId="77777777" w:rsidR="007871E6" w:rsidRPr="00206556" w:rsidRDefault="007871E6" w:rsidP="007871E6">
      <w:pPr>
        <w:autoSpaceDE w:val="0"/>
        <w:autoSpaceDN w:val="0"/>
        <w:adjustRightInd w:val="0"/>
        <w:spacing w:after="0" w:line="276" w:lineRule="auto"/>
        <w:jc w:val="center"/>
        <w:rPr>
          <w:rFonts w:ascii="Verdana" w:eastAsia="Calibri" w:hAnsi="Verdana" w:cs="Arial"/>
        </w:rPr>
      </w:pPr>
    </w:p>
    <w:p w14:paraId="3E1D05D7" w14:textId="77777777" w:rsidR="002A0DD0" w:rsidRPr="007871E6" w:rsidRDefault="002A0DD0" w:rsidP="30821638">
      <w:pPr>
        <w:spacing w:after="0" w:line="240" w:lineRule="auto"/>
        <w:jc w:val="both"/>
        <w:rPr>
          <w:rFonts w:ascii="Verdana" w:eastAsia="Verdana" w:hAnsi="Verdana" w:cs="Verdana"/>
          <w:b/>
          <w:bCs/>
        </w:rPr>
      </w:pPr>
    </w:p>
    <w:p w14:paraId="7A75D8AD"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1606614E" w14:textId="77777777" w:rsidR="00C15139" w:rsidRPr="000E2B93" w:rsidRDefault="00C15139" w:rsidP="30821638">
      <w:pPr>
        <w:spacing w:after="0" w:line="240" w:lineRule="auto"/>
        <w:textAlignment w:val="baseline"/>
        <w:rPr>
          <w:rFonts w:ascii="Verdana" w:eastAsia="Verdana" w:hAnsi="Verdana" w:cs="Verdana"/>
          <w:lang w:eastAsia="es-CO"/>
        </w:rPr>
      </w:pPr>
      <w:r>
        <w:rPr>
          <w:rFonts w:ascii="Verdana" w:eastAsia="Verdana" w:hAnsi="Verdana" w:cs="Verdana"/>
          <w:lang w:eastAsia="es-CO"/>
        </w:rPr>
        <w:t> </w:t>
      </w:r>
      <w:bookmarkEnd w:id="0"/>
    </w:p>
    <w:sectPr w:rsidR="00C15139" w:rsidRPr="000E2B93"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66A4B" w14:textId="77777777" w:rsidR="004E421C" w:rsidRDefault="004E421C" w:rsidP="004A1847">
      <w:pPr>
        <w:spacing w:after="0" w:line="240" w:lineRule="auto"/>
      </w:pPr>
      <w:r>
        <w:separator/>
      </w:r>
    </w:p>
  </w:endnote>
  <w:endnote w:type="continuationSeparator" w:id="0">
    <w:p w14:paraId="001AA0E9" w14:textId="77777777" w:rsidR="004E421C" w:rsidRDefault="004E421C" w:rsidP="004A1847">
      <w:pPr>
        <w:spacing w:after="0" w:line="240" w:lineRule="auto"/>
      </w:pPr>
      <w:r>
        <w:continuationSeparator/>
      </w:r>
    </w:p>
  </w:endnote>
  <w:endnote w:type="continuationNotice" w:id="1">
    <w:p w14:paraId="29B9DE5C" w14:textId="77777777" w:rsidR="004E421C" w:rsidRDefault="004E42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Work Sans">
    <w:charset w:val="00"/>
    <w:family w:val="auto"/>
    <w:pitch w:val="variable"/>
    <w:sig w:usb0="A00000FF" w:usb1="5000E07B"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EDDF" w14:textId="77777777" w:rsidR="004A1847" w:rsidRDefault="004A1847">
    <w:pPr>
      <w:pStyle w:val="Piedepgina"/>
    </w:pPr>
  </w:p>
  <w:p w14:paraId="27D866D8"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33EE366D"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54AAB1CA"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33736315" w14:textId="77777777"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783DE" w14:textId="77777777" w:rsidR="004E421C" w:rsidRDefault="004E421C" w:rsidP="004A1847">
      <w:pPr>
        <w:spacing w:after="0" w:line="240" w:lineRule="auto"/>
      </w:pPr>
      <w:r>
        <w:separator/>
      </w:r>
    </w:p>
  </w:footnote>
  <w:footnote w:type="continuationSeparator" w:id="0">
    <w:p w14:paraId="3425A77E" w14:textId="77777777" w:rsidR="004E421C" w:rsidRDefault="004E421C" w:rsidP="004A1847">
      <w:pPr>
        <w:spacing w:after="0" w:line="240" w:lineRule="auto"/>
      </w:pPr>
      <w:r>
        <w:continuationSeparator/>
      </w:r>
    </w:p>
  </w:footnote>
  <w:footnote w:type="continuationNotice" w:id="1">
    <w:p w14:paraId="7FEFA1BC" w14:textId="77777777" w:rsidR="004E421C" w:rsidRDefault="004E421C">
      <w:pPr>
        <w:spacing w:after="0" w:line="240" w:lineRule="auto"/>
      </w:pPr>
    </w:p>
  </w:footnote>
  <w:footnote w:id="2">
    <w:p w14:paraId="2F7613D5" w14:textId="77777777" w:rsidR="00F2650D"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1437 de 2011, artículo 14, sustituido por el artículo 1 de la Ley 1755 de 2015: “Salvo norma legal especial y so pena de sanción disciplinaria, toda petición deberá resolverse dentro de los quince (15) días siguientes a su recepción. Estará sometida a término especial la resolución de las siguientes peticiones: 1. Las peticiones de documentos y de información deberán resolverse dentro de los diez (10) días siguientes a su recepción […]. 2. Las peticiones mediante las cuales se eleva una consulta a las autoridades en relación con las materias a su cargo deberán resolverse dentro de los treinta (30) días siguientes a su recepción. Parágrafo. Cuando excepcionalmente no fuere posible resolver la petición en los plazos aquí señalados, la autoridad debe informar esta circunstancia al interesado, antes del vencimiento del término señalado en la ley expresando los motivos de la demora y señalando a la vez el plazo razonable en que se resolverá o dará respuesta, que no podrá exceder del doble del inicialmente previsto”.</w:t>
      </w:r>
    </w:p>
  </w:footnote>
  <w:footnote w:id="3">
    <w:p w14:paraId="5FE3ABEB" w14:textId="77777777" w:rsidR="007871E6" w:rsidRDefault="007871E6" w:rsidP="003248CC">
      <w:pPr>
        <w:spacing w:after="0" w:line="240" w:lineRule="auto"/>
        <w:ind w:firstLine="709"/>
        <w:jc w:val="both"/>
        <w:rPr>
          <w:rFonts w:ascii="Verdana" w:eastAsia="Times New Roman" w:hAnsi="Verdana" w:cs="Times New Roman"/>
          <w:sz w:val="16"/>
          <w:szCs w:val="16"/>
        </w:rPr>
      </w:pPr>
      <w:r w:rsidRPr="001C2502">
        <w:rPr>
          <w:rStyle w:val="Refdenotaalpie"/>
          <w:rFonts w:ascii="Verdana" w:hAnsi="Verdana"/>
          <w:sz w:val="16"/>
          <w:szCs w:val="16"/>
        </w:rPr>
        <w:footnoteRef/>
      </w:r>
      <w:r w:rsidRPr="001C2502">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 13. </w:t>
      </w:r>
    </w:p>
    <w:p w14:paraId="3C473289" w14:textId="77777777" w:rsidR="007871E6" w:rsidRPr="00FD2507" w:rsidRDefault="007871E6" w:rsidP="003248CC">
      <w:pPr>
        <w:spacing w:after="0" w:line="240" w:lineRule="auto"/>
        <w:ind w:firstLine="709"/>
        <w:jc w:val="both"/>
        <w:rPr>
          <w:rFonts w:ascii="Verdana" w:eastAsia="Times New Roman" w:hAnsi="Verdana" w:cs="Times New Roman"/>
          <w:sz w:val="16"/>
          <w:szCs w:val="16"/>
        </w:rPr>
      </w:pPr>
    </w:p>
  </w:footnote>
  <w:footnote w:id="4">
    <w:p w14:paraId="126A7548" w14:textId="77777777" w:rsidR="007871E6" w:rsidRPr="00206556" w:rsidRDefault="007871E6" w:rsidP="003248CC">
      <w:pPr>
        <w:pStyle w:val="Textonotapie"/>
        <w:ind w:firstLine="709"/>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Artículos 47 y 54. </w:t>
      </w:r>
    </w:p>
    <w:p w14:paraId="192217E3" w14:textId="77777777" w:rsidR="007871E6" w:rsidRPr="00206556" w:rsidRDefault="007871E6" w:rsidP="003248CC">
      <w:pPr>
        <w:pStyle w:val="Textonotapie"/>
        <w:ind w:firstLine="709"/>
        <w:jc w:val="both"/>
        <w:rPr>
          <w:rFonts w:ascii="Verdana" w:hAnsi="Verdana"/>
          <w:sz w:val="16"/>
          <w:szCs w:val="16"/>
          <w:lang w:val="es-ES"/>
        </w:rPr>
      </w:pPr>
    </w:p>
  </w:footnote>
  <w:footnote w:id="5">
    <w:p w14:paraId="4BFB12F1" w14:textId="77777777" w:rsidR="007871E6" w:rsidRPr="00206556" w:rsidRDefault="007871E6" w:rsidP="003248CC">
      <w:pPr>
        <w:spacing w:after="0" w:line="240" w:lineRule="auto"/>
        <w:ind w:firstLine="709"/>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las Naciones Unidas. (2006). Convención sobre los Derechos de las Personas con Discapacidad. Nueva York: ONU. Aprobada en Colombia mediante: Colombia. Congreso de la República. (31 de julio de 2009). Ley 1346 de 2009. Diario Oficial 47427.</w:t>
      </w:r>
    </w:p>
    <w:p w14:paraId="7A127938" w14:textId="77777777" w:rsidR="007871E6" w:rsidRPr="00206556" w:rsidRDefault="007871E6" w:rsidP="003248CC">
      <w:pPr>
        <w:spacing w:after="0" w:line="240" w:lineRule="auto"/>
        <w:ind w:firstLine="709"/>
        <w:jc w:val="both"/>
        <w:rPr>
          <w:rFonts w:ascii="Verdana" w:hAnsi="Verdana"/>
          <w:sz w:val="16"/>
          <w:szCs w:val="16"/>
        </w:rPr>
      </w:pPr>
    </w:p>
  </w:footnote>
  <w:footnote w:id="6">
    <w:p w14:paraId="31C15919" w14:textId="77777777" w:rsidR="007871E6" w:rsidRPr="00206556" w:rsidRDefault="007871E6" w:rsidP="003248CC">
      <w:pPr>
        <w:pStyle w:val="Textonotapie"/>
        <w:ind w:firstLine="709"/>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los Estados Americanos. (1999). Convención Interamericana para la Eliminación de todas las Formas de Discriminación contra las Personas con Discapacidad. Ciudad de Guatemala. Aprobada en Colombia mediante: Colombia. Congreso de la República. (31 de julio de 2002). Ley 762 de 2002. Diario Oficial 44889.</w:t>
      </w:r>
    </w:p>
    <w:p w14:paraId="6183E261" w14:textId="77777777" w:rsidR="007871E6" w:rsidRPr="00206556" w:rsidRDefault="007871E6" w:rsidP="003248CC">
      <w:pPr>
        <w:pStyle w:val="Textonotapie"/>
        <w:ind w:firstLine="709"/>
        <w:jc w:val="both"/>
        <w:rPr>
          <w:rFonts w:ascii="Verdana" w:hAnsi="Verdana"/>
          <w:sz w:val="16"/>
          <w:szCs w:val="16"/>
          <w:lang w:val="es-ES"/>
        </w:rPr>
      </w:pPr>
    </w:p>
  </w:footnote>
  <w:footnote w:id="7">
    <w:p w14:paraId="1B909C53" w14:textId="77777777" w:rsidR="007871E6" w:rsidRPr="00206556" w:rsidRDefault="007871E6" w:rsidP="003248CC">
      <w:pPr>
        <w:pStyle w:val="Textonotapie"/>
        <w:ind w:firstLine="709"/>
        <w:jc w:val="both"/>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Organización Internacional del Trabajo. (1983). Convenio sobre la readaptación profesional y el empleo (personas inválidas), núm. 159. Ginebra: OIT. Aprobado en Colombia mediante: Colombia. Congreso de la República. (23 de diciembre de 1988). Ley 82 de 1988. Diario Oficial 38608.</w:t>
      </w:r>
    </w:p>
    <w:p w14:paraId="15C9E403" w14:textId="77777777" w:rsidR="007871E6" w:rsidRPr="00206556" w:rsidRDefault="007871E6" w:rsidP="003248CC">
      <w:pPr>
        <w:pStyle w:val="Textonotapie"/>
        <w:ind w:firstLine="709"/>
        <w:jc w:val="both"/>
        <w:rPr>
          <w:rFonts w:ascii="Verdana" w:hAnsi="Verdana"/>
          <w:sz w:val="16"/>
          <w:szCs w:val="16"/>
          <w:lang w:val="es-ES"/>
        </w:rPr>
      </w:pPr>
    </w:p>
  </w:footnote>
  <w:footnote w:id="8">
    <w:p w14:paraId="7D3D01FB" w14:textId="77777777" w:rsidR="007871E6" w:rsidRPr="00206556" w:rsidRDefault="007871E6" w:rsidP="003248CC">
      <w:pPr>
        <w:pStyle w:val="Textonotapie"/>
        <w:ind w:firstLine="709"/>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(7 de febrero de 1997). Ley 361 de 1997, por la cual se establecen mecanismos de integración social de las personas con limitación y se dictan otras disposiciones. Artículo 24. Diario Oficial 42978.</w:t>
      </w:r>
    </w:p>
    <w:p w14:paraId="2881F18C" w14:textId="77777777" w:rsidR="007871E6" w:rsidRPr="00206556" w:rsidRDefault="007871E6" w:rsidP="003248CC">
      <w:pPr>
        <w:pStyle w:val="Textonotapie"/>
        <w:ind w:firstLine="709"/>
        <w:rPr>
          <w:rFonts w:ascii="Verdana" w:hAnsi="Verdana"/>
          <w:sz w:val="16"/>
          <w:szCs w:val="16"/>
          <w:lang w:val="es-ES"/>
        </w:rPr>
      </w:pPr>
    </w:p>
  </w:footnote>
  <w:footnote w:id="9">
    <w:p w14:paraId="1C1C48F9" w14:textId="77777777" w:rsidR="007871E6" w:rsidRPr="00206556" w:rsidRDefault="007871E6" w:rsidP="003248CC">
      <w:pPr>
        <w:pStyle w:val="Textonotapie"/>
        <w:ind w:firstLine="709"/>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Artículo 2, numeral 1. Diario Oficial 48717.</w:t>
      </w:r>
    </w:p>
    <w:p w14:paraId="04284C61" w14:textId="77777777" w:rsidR="007871E6" w:rsidRPr="00206556" w:rsidRDefault="007871E6" w:rsidP="003248CC">
      <w:pPr>
        <w:pStyle w:val="Textonotapie"/>
        <w:ind w:firstLine="709"/>
        <w:rPr>
          <w:rFonts w:ascii="Verdana" w:hAnsi="Verdana"/>
          <w:sz w:val="16"/>
          <w:szCs w:val="16"/>
          <w:lang w:val="es-ES"/>
        </w:rPr>
      </w:pPr>
    </w:p>
  </w:footnote>
  <w:footnote w:id="10">
    <w:p w14:paraId="1906E980" w14:textId="77777777" w:rsidR="007871E6" w:rsidRPr="00206556" w:rsidRDefault="007871E6" w:rsidP="003248CC">
      <w:pPr>
        <w:pStyle w:val="Textonotapie"/>
        <w:ind w:firstLine="709"/>
        <w:rPr>
          <w:rFonts w:ascii="Verdana" w:hAnsi="Verdana"/>
          <w:sz w:val="16"/>
          <w:szCs w:val="16"/>
          <w:lang w:val="es-ES"/>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por medio de la cual se establecen las disposiciones para garantizar el pleno ejercicio de los derechos de las personas con discapacidad. Artículo 13, numerales 1, 7 y 8. Diario Oficial 48717.</w:t>
      </w:r>
    </w:p>
  </w:footnote>
  <w:footnote w:id="11">
    <w:p w14:paraId="3938992F" w14:textId="77777777" w:rsidR="00AB15F5" w:rsidRPr="00662625" w:rsidRDefault="00AB15F5" w:rsidP="003248CC">
      <w:pPr>
        <w:pStyle w:val="Textonotapie"/>
        <w:ind w:firstLine="709"/>
        <w:jc w:val="both"/>
        <w:rPr>
          <w:rFonts w:ascii="Verdana" w:hAnsi="Verdana"/>
          <w:sz w:val="16"/>
          <w:szCs w:val="16"/>
          <w:lang w:val="es-ES_tradnl"/>
        </w:rPr>
      </w:pPr>
      <w:r w:rsidRPr="00662625">
        <w:rPr>
          <w:rStyle w:val="Refdenotaalpie"/>
          <w:rFonts w:ascii="Verdana" w:hAnsi="Verdana"/>
          <w:sz w:val="16"/>
          <w:szCs w:val="16"/>
        </w:rPr>
        <w:footnoteRef/>
      </w:r>
      <w:r w:rsidRPr="00662625">
        <w:rPr>
          <w:rFonts w:ascii="Verdana" w:hAnsi="Verdana"/>
          <w:sz w:val="16"/>
          <w:szCs w:val="16"/>
        </w:rPr>
        <w:t xml:space="preserve"> Parte considerativa del Decreto 287 de 2026.</w:t>
      </w:r>
    </w:p>
  </w:footnote>
  <w:footnote w:id="12">
    <w:p w14:paraId="4B597711" w14:textId="77777777" w:rsidR="00467E7D"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(12 de mayo de 2026). Circular Externa No. 003 de 2026. Orientaciones para la aplicación del Decreto 287 del 19 de marzo de 2026 – Sistema Integral de Preferencias en la contratación pública en favor de personas con discapacidad. Bogotá: ANCP-CCE.</w:t>
      </w:r>
    </w:p>
  </w:footnote>
  <w:footnote w:id="13">
    <w:p w14:paraId="42399C98" w14:textId="77777777" w:rsidR="00F2650D"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Estatutaria 1618 de 2013, artículo 2, numeral 1: “Personas con y/o en situación de discapacidad: 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w:t>
      </w:r>
    </w:p>
  </w:footnote>
  <w:footnote w:id="14">
    <w:p w14:paraId="37394FC2" w14:textId="1F15AF03" w:rsidR="00F2650D"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La certificación de discapacidad y el Registro de Localización y Caracterización de Personas con Discapacidad se rigen por la normativa que expide el Ministerio de Salud y Protección Social en desarrollo de los artículos 5 y 8 de la Ley Estatutaria 1618 de 2013.</w:t>
      </w:r>
    </w:p>
  </w:footnote>
  <w:footnote w:id="15">
    <w:p w14:paraId="2CB58578" w14:textId="77777777" w:rsidR="00F2650D"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80 de 1993, artículo 30, numeral 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2756D" w14:textId="77777777"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5097A80D" wp14:editId="6516D516">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37F98914" wp14:editId="7B0CA72B">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3FFA19B" w14:textId="77777777" w:rsidR="00756841" w:rsidRDefault="00756841">
    <w:pPr>
      <w:pStyle w:val="Encabezado"/>
    </w:pPr>
  </w:p>
  <w:p w14:paraId="00E763F8" w14:textId="77777777" w:rsidR="004A305D" w:rsidRPr="004A305D" w:rsidRDefault="004A305D" w:rsidP="00B01B1A">
    <w:pPr>
      <w:spacing w:after="0" w:line="120" w:lineRule="auto"/>
      <w:rPr>
        <w:rFonts w:ascii="Century Gothic" w:eastAsia="Geo" w:hAnsi="Century Gothic" w:cs="Geo"/>
        <w:sz w:val="16"/>
        <w:szCs w:val="16"/>
        <w:lang w:eastAsia="es-CO"/>
      </w:rPr>
    </w:pPr>
  </w:p>
  <w:p w14:paraId="47F2DE76" w14:textId="77777777" w:rsidR="00C925AC" w:rsidRDefault="00C925AC" w:rsidP="00844AE9">
    <w:pPr>
      <w:spacing w:after="0" w:line="240" w:lineRule="auto"/>
      <w:rPr>
        <w:rFonts w:ascii="Verdana" w:hAnsi="Verdana"/>
        <w:sz w:val="24"/>
        <w:szCs w:val="24"/>
      </w:rPr>
    </w:pPr>
  </w:p>
  <w:p w14:paraId="4B4D25A4" w14:textId="77777777" w:rsidR="00A14468" w:rsidRPr="00C925AC" w:rsidRDefault="00A14468" w:rsidP="00844AE9">
    <w:pPr>
      <w:spacing w:after="0" w:line="240" w:lineRule="auto"/>
      <w:rPr>
        <w:rFonts w:ascii="Verdana" w:hAnsi="Verdana"/>
        <w:sz w:val="24"/>
        <w:szCs w:val="24"/>
      </w:rPr>
    </w:pPr>
  </w:p>
  <w:p w14:paraId="69A9E289" w14:textId="77777777"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4860404">
    <w:abstractNumId w:val="6"/>
  </w:num>
  <w:num w:numId="2" w16cid:durableId="990980600">
    <w:abstractNumId w:val="2"/>
  </w:num>
  <w:num w:numId="3" w16cid:durableId="607928268">
    <w:abstractNumId w:val="4"/>
  </w:num>
  <w:num w:numId="4" w16cid:durableId="10560072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4858552">
    <w:abstractNumId w:val="2"/>
  </w:num>
  <w:num w:numId="6" w16cid:durableId="1752386460">
    <w:abstractNumId w:val="12"/>
  </w:num>
  <w:num w:numId="7" w16cid:durableId="1572693359">
    <w:abstractNumId w:val="5"/>
  </w:num>
  <w:num w:numId="8" w16cid:durableId="800264154">
    <w:abstractNumId w:val="11"/>
  </w:num>
  <w:num w:numId="9" w16cid:durableId="1590503547">
    <w:abstractNumId w:val="7"/>
  </w:num>
  <w:num w:numId="10" w16cid:durableId="1754164154">
    <w:abstractNumId w:val="10"/>
  </w:num>
  <w:num w:numId="11" w16cid:durableId="77290861">
    <w:abstractNumId w:val="8"/>
  </w:num>
  <w:num w:numId="12" w16cid:durableId="1324502715">
    <w:abstractNumId w:val="0"/>
  </w:num>
  <w:num w:numId="13" w16cid:durableId="1640918912">
    <w:abstractNumId w:val="3"/>
  </w:num>
  <w:num w:numId="14" w16cid:durableId="1936480602">
    <w:abstractNumId w:val="13"/>
  </w:num>
  <w:num w:numId="15" w16cid:durableId="1823277618">
    <w:abstractNumId w:val="9"/>
  </w:num>
  <w:num w:numId="16" w16cid:durableId="195001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23B5"/>
    <w:rsid w:val="00016F78"/>
    <w:rsid w:val="00035967"/>
    <w:rsid w:val="00035C8B"/>
    <w:rsid w:val="00046945"/>
    <w:rsid w:val="00061B2A"/>
    <w:rsid w:val="00062C0D"/>
    <w:rsid w:val="000706F1"/>
    <w:rsid w:val="00082362"/>
    <w:rsid w:val="000A683E"/>
    <w:rsid w:val="000B19B9"/>
    <w:rsid w:val="000D0334"/>
    <w:rsid w:val="000D5DA7"/>
    <w:rsid w:val="000F4313"/>
    <w:rsid w:val="000F6486"/>
    <w:rsid w:val="00116940"/>
    <w:rsid w:val="00125105"/>
    <w:rsid w:val="00127233"/>
    <w:rsid w:val="0015699B"/>
    <w:rsid w:val="001868CD"/>
    <w:rsid w:val="001A33BF"/>
    <w:rsid w:val="001B3CBA"/>
    <w:rsid w:val="001E4177"/>
    <w:rsid w:val="001F0B24"/>
    <w:rsid w:val="001F7DC6"/>
    <w:rsid w:val="00212B15"/>
    <w:rsid w:val="0022400B"/>
    <w:rsid w:val="002421BB"/>
    <w:rsid w:val="0025796E"/>
    <w:rsid w:val="002707A2"/>
    <w:rsid w:val="00287F6B"/>
    <w:rsid w:val="002951A0"/>
    <w:rsid w:val="002962BC"/>
    <w:rsid w:val="002A093D"/>
    <w:rsid w:val="002A0DD0"/>
    <w:rsid w:val="002A49AC"/>
    <w:rsid w:val="002A64FD"/>
    <w:rsid w:val="002C1E87"/>
    <w:rsid w:val="002C7A84"/>
    <w:rsid w:val="002D2B8A"/>
    <w:rsid w:val="002E2BF8"/>
    <w:rsid w:val="002E4FD9"/>
    <w:rsid w:val="002F15DA"/>
    <w:rsid w:val="00300EA6"/>
    <w:rsid w:val="0030657A"/>
    <w:rsid w:val="00321092"/>
    <w:rsid w:val="00322A85"/>
    <w:rsid w:val="00324168"/>
    <w:rsid w:val="003248CC"/>
    <w:rsid w:val="00330834"/>
    <w:rsid w:val="003448F4"/>
    <w:rsid w:val="00366EF7"/>
    <w:rsid w:val="00374F5E"/>
    <w:rsid w:val="003753CA"/>
    <w:rsid w:val="00377E3E"/>
    <w:rsid w:val="003A779E"/>
    <w:rsid w:val="003D0F4D"/>
    <w:rsid w:val="003D5B0D"/>
    <w:rsid w:val="003E0499"/>
    <w:rsid w:val="003E281C"/>
    <w:rsid w:val="003E4F80"/>
    <w:rsid w:val="003E6439"/>
    <w:rsid w:val="003F0F48"/>
    <w:rsid w:val="003F3941"/>
    <w:rsid w:val="00406575"/>
    <w:rsid w:val="00414C74"/>
    <w:rsid w:val="0042722E"/>
    <w:rsid w:val="00430FA2"/>
    <w:rsid w:val="00430FE2"/>
    <w:rsid w:val="0044528D"/>
    <w:rsid w:val="00466E39"/>
    <w:rsid w:val="00467E7D"/>
    <w:rsid w:val="00485BA6"/>
    <w:rsid w:val="004A1847"/>
    <w:rsid w:val="004A305D"/>
    <w:rsid w:val="004C017B"/>
    <w:rsid w:val="004D0406"/>
    <w:rsid w:val="004E421C"/>
    <w:rsid w:val="004F21C4"/>
    <w:rsid w:val="004F685F"/>
    <w:rsid w:val="0052334E"/>
    <w:rsid w:val="00540C3A"/>
    <w:rsid w:val="005501EB"/>
    <w:rsid w:val="005544FB"/>
    <w:rsid w:val="005566E8"/>
    <w:rsid w:val="00567481"/>
    <w:rsid w:val="00574867"/>
    <w:rsid w:val="00591460"/>
    <w:rsid w:val="005A65E0"/>
    <w:rsid w:val="005B1993"/>
    <w:rsid w:val="005C3777"/>
    <w:rsid w:val="005C5CDC"/>
    <w:rsid w:val="005D476C"/>
    <w:rsid w:val="00607073"/>
    <w:rsid w:val="006200BF"/>
    <w:rsid w:val="006219F8"/>
    <w:rsid w:val="006302F7"/>
    <w:rsid w:val="00646B9F"/>
    <w:rsid w:val="00663F70"/>
    <w:rsid w:val="00665D70"/>
    <w:rsid w:val="0067287B"/>
    <w:rsid w:val="00673581"/>
    <w:rsid w:val="006900D9"/>
    <w:rsid w:val="006974CA"/>
    <w:rsid w:val="006A331A"/>
    <w:rsid w:val="006B13E0"/>
    <w:rsid w:val="00706C16"/>
    <w:rsid w:val="007340C3"/>
    <w:rsid w:val="0075235A"/>
    <w:rsid w:val="00756841"/>
    <w:rsid w:val="007649AB"/>
    <w:rsid w:val="00771D0C"/>
    <w:rsid w:val="007741C2"/>
    <w:rsid w:val="007833AC"/>
    <w:rsid w:val="007871E6"/>
    <w:rsid w:val="00792636"/>
    <w:rsid w:val="007A10D0"/>
    <w:rsid w:val="007B1106"/>
    <w:rsid w:val="007B268C"/>
    <w:rsid w:val="007B7171"/>
    <w:rsid w:val="007C0C0F"/>
    <w:rsid w:val="007C30EE"/>
    <w:rsid w:val="007C3DC2"/>
    <w:rsid w:val="007E5497"/>
    <w:rsid w:val="007F167A"/>
    <w:rsid w:val="0080176E"/>
    <w:rsid w:val="00806F5F"/>
    <w:rsid w:val="00820278"/>
    <w:rsid w:val="008258C9"/>
    <w:rsid w:val="00840403"/>
    <w:rsid w:val="00844AE9"/>
    <w:rsid w:val="00867F95"/>
    <w:rsid w:val="008843B6"/>
    <w:rsid w:val="00891928"/>
    <w:rsid w:val="008A446D"/>
    <w:rsid w:val="008B25F1"/>
    <w:rsid w:val="008D180B"/>
    <w:rsid w:val="008E4841"/>
    <w:rsid w:val="008F0EA7"/>
    <w:rsid w:val="00923EEF"/>
    <w:rsid w:val="009419F9"/>
    <w:rsid w:val="009513BD"/>
    <w:rsid w:val="0095685E"/>
    <w:rsid w:val="00961B09"/>
    <w:rsid w:val="00965334"/>
    <w:rsid w:val="00966744"/>
    <w:rsid w:val="0097093E"/>
    <w:rsid w:val="009A0DFA"/>
    <w:rsid w:val="009A1C6F"/>
    <w:rsid w:val="009B1CDC"/>
    <w:rsid w:val="009B2D26"/>
    <w:rsid w:val="009C71FA"/>
    <w:rsid w:val="009C72E7"/>
    <w:rsid w:val="009C7F7E"/>
    <w:rsid w:val="009D1776"/>
    <w:rsid w:val="009D3058"/>
    <w:rsid w:val="009F3A13"/>
    <w:rsid w:val="00A122D3"/>
    <w:rsid w:val="00A14468"/>
    <w:rsid w:val="00A17F13"/>
    <w:rsid w:val="00A20739"/>
    <w:rsid w:val="00A23AF9"/>
    <w:rsid w:val="00A33C78"/>
    <w:rsid w:val="00A47782"/>
    <w:rsid w:val="00A822D6"/>
    <w:rsid w:val="00AA3569"/>
    <w:rsid w:val="00AA4FEB"/>
    <w:rsid w:val="00AB0ADB"/>
    <w:rsid w:val="00AB15F5"/>
    <w:rsid w:val="00B00C0E"/>
    <w:rsid w:val="00B01B1A"/>
    <w:rsid w:val="00B0381D"/>
    <w:rsid w:val="00B154FA"/>
    <w:rsid w:val="00B44A47"/>
    <w:rsid w:val="00B72CD3"/>
    <w:rsid w:val="00B72FFF"/>
    <w:rsid w:val="00BC235F"/>
    <w:rsid w:val="00BC3D36"/>
    <w:rsid w:val="00BC57BE"/>
    <w:rsid w:val="00BD54A6"/>
    <w:rsid w:val="00BD7F72"/>
    <w:rsid w:val="00BF7425"/>
    <w:rsid w:val="00C001E2"/>
    <w:rsid w:val="00C00CDF"/>
    <w:rsid w:val="00C04FB3"/>
    <w:rsid w:val="00C11D8B"/>
    <w:rsid w:val="00C15139"/>
    <w:rsid w:val="00C330EB"/>
    <w:rsid w:val="00C50D69"/>
    <w:rsid w:val="00C5365C"/>
    <w:rsid w:val="00C62946"/>
    <w:rsid w:val="00C754BE"/>
    <w:rsid w:val="00C76B1C"/>
    <w:rsid w:val="00C925AC"/>
    <w:rsid w:val="00CB6357"/>
    <w:rsid w:val="00CC1B26"/>
    <w:rsid w:val="00CD1B8D"/>
    <w:rsid w:val="00CF5DED"/>
    <w:rsid w:val="00D13655"/>
    <w:rsid w:val="00D361FD"/>
    <w:rsid w:val="00D423A2"/>
    <w:rsid w:val="00D44E26"/>
    <w:rsid w:val="00D520D8"/>
    <w:rsid w:val="00D63AC2"/>
    <w:rsid w:val="00D66164"/>
    <w:rsid w:val="00D7383B"/>
    <w:rsid w:val="00D7788A"/>
    <w:rsid w:val="00DA231B"/>
    <w:rsid w:val="00DC39FC"/>
    <w:rsid w:val="00DD71D8"/>
    <w:rsid w:val="00DF5254"/>
    <w:rsid w:val="00E02524"/>
    <w:rsid w:val="00E16408"/>
    <w:rsid w:val="00E20894"/>
    <w:rsid w:val="00E245AB"/>
    <w:rsid w:val="00E2764C"/>
    <w:rsid w:val="00E27F2E"/>
    <w:rsid w:val="00E36DFE"/>
    <w:rsid w:val="00E43DCE"/>
    <w:rsid w:val="00E50AFE"/>
    <w:rsid w:val="00E75C92"/>
    <w:rsid w:val="00E771DC"/>
    <w:rsid w:val="00E80081"/>
    <w:rsid w:val="00E8772A"/>
    <w:rsid w:val="00E90F6B"/>
    <w:rsid w:val="00E92C27"/>
    <w:rsid w:val="00EA0E3D"/>
    <w:rsid w:val="00EB47BE"/>
    <w:rsid w:val="00EC38A7"/>
    <w:rsid w:val="00ED4BC9"/>
    <w:rsid w:val="00EE02E2"/>
    <w:rsid w:val="00EE1130"/>
    <w:rsid w:val="00EE1AA8"/>
    <w:rsid w:val="00F158E3"/>
    <w:rsid w:val="00F23FEA"/>
    <w:rsid w:val="00F2650D"/>
    <w:rsid w:val="00F31EDC"/>
    <w:rsid w:val="00F462B3"/>
    <w:rsid w:val="00F5664F"/>
    <w:rsid w:val="00F61940"/>
    <w:rsid w:val="00F666C4"/>
    <w:rsid w:val="00F76AFC"/>
    <w:rsid w:val="00F91202"/>
    <w:rsid w:val="00FA47C0"/>
    <w:rsid w:val="00FB45D3"/>
    <w:rsid w:val="00FB50A5"/>
    <w:rsid w:val="00FB5DD1"/>
    <w:rsid w:val="00FC2B5D"/>
    <w:rsid w:val="00FF1449"/>
    <w:rsid w:val="00FF7963"/>
    <w:rsid w:val="071B8F93"/>
    <w:rsid w:val="07C73DD1"/>
    <w:rsid w:val="09908A09"/>
    <w:rsid w:val="0E0AF0F4"/>
    <w:rsid w:val="0EFE6349"/>
    <w:rsid w:val="0FF4CCA8"/>
    <w:rsid w:val="13CFC91B"/>
    <w:rsid w:val="19A2EC2C"/>
    <w:rsid w:val="19C2847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92B885"/>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871E6"/>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12034420">
      <w:bodyDiv w:val="1"/>
      <w:marLeft w:val="0"/>
      <w:marRight w:val="0"/>
      <w:marTop w:val="0"/>
      <w:marBottom w:val="0"/>
      <w:divBdr>
        <w:top w:val="none" w:sz="0" w:space="0" w:color="auto"/>
        <w:left w:val="none" w:sz="0" w:space="0" w:color="auto"/>
        <w:bottom w:val="none" w:sz="0" w:space="0" w:color="auto"/>
        <w:right w:val="none" w:sz="0" w:space="0" w:color="auto"/>
      </w:divBdr>
      <w:divsChild>
        <w:div w:id="618488851">
          <w:marLeft w:val="0"/>
          <w:marRight w:val="0"/>
          <w:marTop w:val="0"/>
          <w:marBottom w:val="0"/>
          <w:divBdr>
            <w:top w:val="none" w:sz="0" w:space="0" w:color="auto"/>
            <w:left w:val="none" w:sz="0" w:space="0" w:color="auto"/>
            <w:bottom w:val="none" w:sz="0" w:space="0" w:color="auto"/>
            <w:right w:val="none" w:sz="0" w:space="0" w:color="auto"/>
          </w:divBdr>
          <w:divsChild>
            <w:div w:id="1312514199">
              <w:marLeft w:val="0"/>
              <w:marRight w:val="0"/>
              <w:marTop w:val="0"/>
              <w:marBottom w:val="0"/>
              <w:divBdr>
                <w:top w:val="none" w:sz="0" w:space="0" w:color="auto"/>
                <w:left w:val="none" w:sz="0" w:space="0" w:color="auto"/>
                <w:bottom w:val="none" w:sz="0" w:space="0" w:color="auto"/>
                <w:right w:val="none" w:sz="0" w:space="0" w:color="auto"/>
              </w:divBdr>
              <w:divsChild>
                <w:div w:id="651522952">
                  <w:marLeft w:val="0"/>
                  <w:marRight w:val="0"/>
                  <w:marTop w:val="0"/>
                  <w:marBottom w:val="0"/>
                  <w:divBdr>
                    <w:top w:val="none" w:sz="0" w:space="0" w:color="auto"/>
                    <w:left w:val="none" w:sz="0" w:space="0" w:color="auto"/>
                    <w:bottom w:val="none" w:sz="0" w:space="0" w:color="auto"/>
                    <w:right w:val="none" w:sz="0" w:space="0" w:color="auto"/>
                  </w:divBdr>
                  <w:divsChild>
                    <w:div w:id="1443960521">
                      <w:marLeft w:val="0"/>
                      <w:marRight w:val="0"/>
                      <w:marTop w:val="0"/>
                      <w:marBottom w:val="0"/>
                      <w:divBdr>
                        <w:top w:val="none" w:sz="0" w:space="0" w:color="auto"/>
                        <w:left w:val="none" w:sz="0" w:space="0" w:color="auto"/>
                        <w:bottom w:val="none" w:sz="0" w:space="0" w:color="auto"/>
                        <w:right w:val="none" w:sz="0" w:space="0" w:color="auto"/>
                      </w:divBdr>
                      <w:divsChild>
                        <w:div w:id="1892957634">
                          <w:marLeft w:val="0"/>
                          <w:marRight w:val="0"/>
                          <w:marTop w:val="0"/>
                          <w:marBottom w:val="0"/>
                          <w:divBdr>
                            <w:top w:val="none" w:sz="0" w:space="0" w:color="auto"/>
                            <w:left w:val="none" w:sz="0" w:space="0" w:color="auto"/>
                            <w:bottom w:val="none" w:sz="0" w:space="0" w:color="auto"/>
                            <w:right w:val="none" w:sz="0" w:space="0" w:color="auto"/>
                          </w:divBdr>
                          <w:divsChild>
                            <w:div w:id="780998957">
                              <w:marLeft w:val="0"/>
                              <w:marRight w:val="0"/>
                              <w:marTop w:val="0"/>
                              <w:marBottom w:val="0"/>
                              <w:divBdr>
                                <w:top w:val="none" w:sz="0" w:space="0" w:color="auto"/>
                                <w:left w:val="none" w:sz="0" w:space="0" w:color="auto"/>
                                <w:bottom w:val="none" w:sz="0" w:space="0" w:color="auto"/>
                                <w:right w:val="none" w:sz="0" w:space="0" w:color="auto"/>
                              </w:divBdr>
                              <w:divsChild>
                                <w:div w:id="1707415034">
                                  <w:marLeft w:val="0"/>
                                  <w:marRight w:val="0"/>
                                  <w:marTop w:val="0"/>
                                  <w:marBottom w:val="0"/>
                                  <w:divBdr>
                                    <w:top w:val="none" w:sz="0" w:space="0" w:color="auto"/>
                                    <w:left w:val="none" w:sz="0" w:space="0" w:color="auto"/>
                                    <w:bottom w:val="none" w:sz="0" w:space="0" w:color="auto"/>
                                    <w:right w:val="none" w:sz="0" w:space="0" w:color="auto"/>
                                  </w:divBdr>
                                  <w:divsChild>
                                    <w:div w:id="5493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597518956">
      <w:bodyDiv w:val="1"/>
      <w:marLeft w:val="0"/>
      <w:marRight w:val="0"/>
      <w:marTop w:val="0"/>
      <w:marBottom w:val="0"/>
      <w:divBdr>
        <w:top w:val="none" w:sz="0" w:space="0" w:color="auto"/>
        <w:left w:val="none" w:sz="0" w:space="0" w:color="auto"/>
        <w:bottom w:val="none" w:sz="0" w:space="0" w:color="auto"/>
        <w:right w:val="none" w:sz="0" w:space="0" w:color="auto"/>
      </w:divBdr>
      <w:divsChild>
        <w:div w:id="1929848834">
          <w:marLeft w:val="0"/>
          <w:marRight w:val="0"/>
          <w:marTop w:val="0"/>
          <w:marBottom w:val="0"/>
          <w:divBdr>
            <w:top w:val="none" w:sz="0" w:space="0" w:color="auto"/>
            <w:left w:val="none" w:sz="0" w:space="0" w:color="auto"/>
            <w:bottom w:val="none" w:sz="0" w:space="0" w:color="auto"/>
            <w:right w:val="none" w:sz="0" w:space="0" w:color="auto"/>
          </w:divBdr>
          <w:divsChild>
            <w:div w:id="2056924019">
              <w:marLeft w:val="0"/>
              <w:marRight w:val="0"/>
              <w:marTop w:val="0"/>
              <w:marBottom w:val="0"/>
              <w:divBdr>
                <w:top w:val="none" w:sz="0" w:space="0" w:color="auto"/>
                <w:left w:val="none" w:sz="0" w:space="0" w:color="auto"/>
                <w:bottom w:val="none" w:sz="0" w:space="0" w:color="auto"/>
                <w:right w:val="none" w:sz="0" w:space="0" w:color="auto"/>
              </w:divBdr>
              <w:divsChild>
                <w:div w:id="1876308058">
                  <w:marLeft w:val="0"/>
                  <w:marRight w:val="0"/>
                  <w:marTop w:val="0"/>
                  <w:marBottom w:val="0"/>
                  <w:divBdr>
                    <w:top w:val="none" w:sz="0" w:space="0" w:color="auto"/>
                    <w:left w:val="none" w:sz="0" w:space="0" w:color="auto"/>
                    <w:bottom w:val="none" w:sz="0" w:space="0" w:color="auto"/>
                    <w:right w:val="none" w:sz="0" w:space="0" w:color="auto"/>
                  </w:divBdr>
                  <w:divsChild>
                    <w:div w:id="867257576">
                      <w:marLeft w:val="0"/>
                      <w:marRight w:val="0"/>
                      <w:marTop w:val="0"/>
                      <w:marBottom w:val="0"/>
                      <w:divBdr>
                        <w:top w:val="none" w:sz="0" w:space="0" w:color="auto"/>
                        <w:left w:val="none" w:sz="0" w:space="0" w:color="auto"/>
                        <w:bottom w:val="none" w:sz="0" w:space="0" w:color="auto"/>
                        <w:right w:val="none" w:sz="0" w:space="0" w:color="auto"/>
                      </w:divBdr>
                      <w:divsChild>
                        <w:div w:id="434636078">
                          <w:marLeft w:val="0"/>
                          <w:marRight w:val="0"/>
                          <w:marTop w:val="0"/>
                          <w:marBottom w:val="0"/>
                          <w:divBdr>
                            <w:top w:val="none" w:sz="0" w:space="0" w:color="auto"/>
                            <w:left w:val="none" w:sz="0" w:space="0" w:color="auto"/>
                            <w:bottom w:val="none" w:sz="0" w:space="0" w:color="auto"/>
                            <w:right w:val="none" w:sz="0" w:space="0" w:color="auto"/>
                          </w:divBdr>
                          <w:divsChild>
                            <w:div w:id="1226837747">
                              <w:marLeft w:val="0"/>
                              <w:marRight w:val="0"/>
                              <w:marTop w:val="0"/>
                              <w:marBottom w:val="0"/>
                              <w:divBdr>
                                <w:top w:val="none" w:sz="0" w:space="0" w:color="auto"/>
                                <w:left w:val="none" w:sz="0" w:space="0" w:color="auto"/>
                                <w:bottom w:val="none" w:sz="0" w:space="0" w:color="auto"/>
                                <w:right w:val="none" w:sz="0" w:space="0" w:color="auto"/>
                              </w:divBdr>
                              <w:divsChild>
                                <w:div w:id="986592301">
                                  <w:marLeft w:val="0"/>
                                  <w:marRight w:val="0"/>
                                  <w:marTop w:val="0"/>
                                  <w:marBottom w:val="0"/>
                                  <w:divBdr>
                                    <w:top w:val="none" w:sz="0" w:space="0" w:color="auto"/>
                                    <w:left w:val="none" w:sz="0" w:space="0" w:color="auto"/>
                                    <w:bottom w:val="none" w:sz="0" w:space="0" w:color="auto"/>
                                    <w:right w:val="none" w:sz="0" w:space="0" w:color="auto"/>
                                  </w:divBdr>
                                  <w:divsChild>
                                    <w:div w:id="68826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7025263">
      <w:bodyDiv w:val="1"/>
      <w:marLeft w:val="0"/>
      <w:marRight w:val="0"/>
      <w:marTop w:val="0"/>
      <w:marBottom w:val="0"/>
      <w:divBdr>
        <w:top w:val="none" w:sz="0" w:space="0" w:color="auto"/>
        <w:left w:val="none" w:sz="0" w:space="0" w:color="auto"/>
        <w:bottom w:val="none" w:sz="0" w:space="0" w:color="auto"/>
        <w:right w:val="none" w:sz="0" w:space="0" w:color="auto"/>
      </w:divBdr>
    </w:div>
    <w:div w:id="193077110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rmacionvirtual.colombiacompra.gov.co/mod/page/view.php?id=3718"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0655FA55-0C89-49F6-BF36-D350991A53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22</TotalTime>
  <Pages>21</Pages>
  <Words>6950</Words>
  <Characters>38227</Characters>
  <Application>Microsoft Office Word</Application>
  <DocSecurity>0</DocSecurity>
  <Lines>318</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45087</CharactersWithSpaces>
  <SharedDoc>false</SharedDoc>
  <HLinks>
    <vt:vector size="24" baseType="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5505151</vt:i4>
      </vt:variant>
      <vt:variant>
        <vt:i4>0</vt:i4>
      </vt:variant>
      <vt:variant>
        <vt:i4>0</vt:i4>
      </vt:variant>
      <vt:variant>
        <vt:i4>5</vt:i4>
      </vt:variant>
      <vt:variant>
        <vt:lpwstr>mailto:Ana.menesesb@fiscalia.gov.co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2023-01-10T21:18:00Z</cp:lastPrinted>
  <dcterms:created xsi:type="dcterms:W3CDTF">2026-09-29T22:03:00Z</dcterms:created>
  <dcterms:modified xsi:type="dcterms:W3CDTF">2026-09-30T16:07:00Z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