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D2416" w14:textId="77777777" w:rsidR="008977DD" w:rsidRPr="00621920" w:rsidRDefault="008977DD" w:rsidP="00104B72">
      <w:pPr>
        <w:spacing w:after="0" w:line="240" w:lineRule="auto"/>
        <w:jc w:val="both"/>
        <w:rPr>
          <w:rFonts w:ascii="Verdana" w:eastAsia="Verdana" w:hAnsi="Verdana" w:cs="Verdana"/>
          <w:b/>
          <w:lang w:val="es-ES"/>
        </w:rPr>
      </w:pPr>
      <w:bookmarkStart w:id="0" w:name="_Hlk143780582"/>
      <w:r w:rsidRPr="00621920">
        <w:rPr>
          <w:rFonts w:ascii="Verdana" w:eastAsia="Verdana" w:hAnsi="Verdana" w:cs="Verdana"/>
          <w:b/>
          <w:lang w:val="es-ES"/>
        </w:rPr>
        <w:t>CONTRATO ESTATAL – Ejercicio – Funciones de control y vigilancia</w:t>
      </w:r>
    </w:p>
    <w:p w14:paraId="10890217" w14:textId="77777777" w:rsidR="008977DD" w:rsidRPr="00621920" w:rsidRDefault="008977DD" w:rsidP="00104B72">
      <w:pPr>
        <w:spacing w:after="0" w:line="240" w:lineRule="auto"/>
        <w:jc w:val="both"/>
        <w:rPr>
          <w:rFonts w:ascii="Verdana" w:eastAsia="Verdana" w:hAnsi="Verdana" w:cs="Verdana"/>
          <w:b/>
          <w:lang w:val="es-ES"/>
        </w:rPr>
      </w:pPr>
    </w:p>
    <w:p w14:paraId="110DB3F1" w14:textId="77777777" w:rsidR="00C65CDA" w:rsidRDefault="00C65CDA" w:rsidP="00104B72">
      <w:pPr>
        <w:spacing w:after="0" w:line="240" w:lineRule="auto"/>
        <w:jc w:val="both"/>
        <w:rPr>
          <w:rFonts w:ascii="Verdana" w:eastAsia="Verdana" w:hAnsi="Verdana" w:cs="Verdana"/>
          <w:bCs/>
          <w:sz w:val="20"/>
          <w:szCs w:val="20"/>
          <w:lang w:val="es-ES"/>
        </w:rPr>
      </w:pPr>
      <w:r w:rsidRPr="00C65CDA">
        <w:rPr>
          <w:rFonts w:ascii="Verdana" w:eastAsia="Verdana" w:hAnsi="Verdana" w:cs="Verdana"/>
          <w:bCs/>
          <w:sz w:val="20"/>
          <w:szCs w:val="20"/>
          <w:lang w:val="es-ES"/>
        </w:rPr>
        <w:t>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1D21DD83" w14:textId="77777777" w:rsidR="00C65CDA" w:rsidRPr="00C65CDA" w:rsidRDefault="00C65CDA" w:rsidP="00104B72">
      <w:pPr>
        <w:spacing w:after="0" w:line="240" w:lineRule="auto"/>
        <w:jc w:val="both"/>
        <w:rPr>
          <w:rFonts w:ascii="Verdana" w:eastAsia="Verdana" w:hAnsi="Verdana" w:cs="Verdana"/>
          <w:bCs/>
          <w:sz w:val="20"/>
          <w:szCs w:val="20"/>
          <w:lang w:val="es-ES"/>
        </w:rPr>
      </w:pPr>
    </w:p>
    <w:p w14:paraId="55BCCEE2" w14:textId="77777777" w:rsidR="00C65CDA" w:rsidRPr="00C65CDA" w:rsidRDefault="00C65CDA" w:rsidP="00104B72">
      <w:pPr>
        <w:spacing w:after="0" w:line="240" w:lineRule="auto"/>
        <w:jc w:val="both"/>
        <w:rPr>
          <w:rFonts w:ascii="Verdana" w:eastAsia="Verdana" w:hAnsi="Verdana" w:cs="Verdana"/>
          <w:bCs/>
          <w:sz w:val="20"/>
          <w:szCs w:val="20"/>
          <w:lang w:val="es-ES"/>
        </w:rPr>
      </w:pPr>
      <w:r w:rsidRPr="00C65CDA">
        <w:rPr>
          <w:rFonts w:ascii="Verdana" w:eastAsia="Verdana" w:hAnsi="Verdana" w:cs="Verdana"/>
          <w:bCs/>
          <w:sz w:val="20"/>
          <w:szCs w:val="2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75AEB9D" w14:textId="77777777" w:rsidR="008977DD" w:rsidRPr="00621920" w:rsidRDefault="008977DD" w:rsidP="00104B72">
      <w:pPr>
        <w:spacing w:after="0" w:line="240" w:lineRule="auto"/>
        <w:jc w:val="both"/>
        <w:rPr>
          <w:rFonts w:ascii="Verdana" w:eastAsia="Verdana" w:hAnsi="Verdana" w:cs="Verdana"/>
          <w:b/>
          <w:lang w:val="es-ES"/>
        </w:rPr>
      </w:pPr>
    </w:p>
    <w:p w14:paraId="3589E13C" w14:textId="3B7919B0" w:rsidR="008977DD" w:rsidRPr="00621920" w:rsidRDefault="008977DD" w:rsidP="00104B72">
      <w:pPr>
        <w:spacing w:after="0" w:line="240" w:lineRule="auto"/>
        <w:jc w:val="both"/>
        <w:rPr>
          <w:rFonts w:ascii="Verdana" w:eastAsia="Verdana" w:hAnsi="Verdana" w:cs="Verdana"/>
          <w:b/>
          <w:lang w:val="es-ES"/>
        </w:rPr>
      </w:pPr>
      <w:r w:rsidRPr="00621920">
        <w:rPr>
          <w:rFonts w:ascii="Verdana" w:eastAsia="Verdana" w:hAnsi="Verdana" w:cs="Verdana"/>
          <w:b/>
          <w:lang w:val="es-ES"/>
        </w:rPr>
        <w:t xml:space="preserve">CONTRATO ESTATAL – Supervisión – Interventoría – </w:t>
      </w:r>
      <w:r w:rsidR="00543C6A">
        <w:rPr>
          <w:rFonts w:ascii="Verdana" w:eastAsia="Verdana" w:hAnsi="Verdana" w:cs="Verdana"/>
          <w:b/>
          <w:lang w:val="es-ES"/>
        </w:rPr>
        <w:t>C</w:t>
      </w:r>
      <w:r w:rsidRPr="00621920">
        <w:rPr>
          <w:rFonts w:ascii="Verdana" w:eastAsia="Verdana" w:hAnsi="Verdana" w:cs="Verdana"/>
          <w:b/>
          <w:lang w:val="es-ES"/>
        </w:rPr>
        <w:t xml:space="preserve">aracterísticas </w:t>
      </w:r>
    </w:p>
    <w:p w14:paraId="61B675E5" w14:textId="77777777" w:rsidR="008977DD" w:rsidRPr="00603A69" w:rsidRDefault="008977DD" w:rsidP="00104B72">
      <w:pPr>
        <w:spacing w:after="0" w:line="240" w:lineRule="auto"/>
        <w:jc w:val="both"/>
        <w:rPr>
          <w:rFonts w:ascii="Verdana" w:eastAsia="Verdana" w:hAnsi="Verdana" w:cs="Verdana"/>
          <w:bCs/>
          <w:sz w:val="20"/>
          <w:szCs w:val="20"/>
          <w:lang w:val="es-ES"/>
        </w:rPr>
      </w:pPr>
    </w:p>
    <w:p w14:paraId="1FFBBC82" w14:textId="35B6EEA9" w:rsidR="00D85870" w:rsidRDefault="00D85870" w:rsidP="00104B72">
      <w:pPr>
        <w:spacing w:after="0" w:line="240" w:lineRule="auto"/>
        <w:jc w:val="both"/>
        <w:rPr>
          <w:rFonts w:ascii="Verdana" w:eastAsia="Verdana" w:hAnsi="Verdana" w:cs="Verdana"/>
          <w:bCs/>
          <w:sz w:val="20"/>
          <w:szCs w:val="20"/>
          <w:lang w:val="es-ES"/>
        </w:rPr>
      </w:pPr>
      <w:r w:rsidRPr="00603A69">
        <w:rPr>
          <w:rFonts w:ascii="Verdana" w:eastAsia="Verdana" w:hAnsi="Verdana" w:cs="Verdana"/>
          <w:bCs/>
          <w:sz w:val="20"/>
          <w:szCs w:val="20"/>
          <w:lang w:val="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603A69">
        <w:rPr>
          <w:rFonts w:ascii="Verdana" w:eastAsia="Verdana" w:hAnsi="Verdana" w:cs="Verdana"/>
          <w:bCs/>
          <w:sz w:val="20"/>
          <w:szCs w:val="20"/>
          <w:lang w:val="es-ES"/>
        </w:rPr>
        <w:t>ii</w:t>
      </w:r>
      <w:proofErr w:type="spellEnd"/>
      <w:r w:rsidRPr="00603A69">
        <w:rPr>
          <w:rFonts w:ascii="Verdana" w:eastAsia="Verdana" w:hAnsi="Verdana" w:cs="Verdana"/>
          <w:bCs/>
          <w:sz w:val="20"/>
          <w:szCs w:val="20"/>
          <w:lang w:val="es-ES"/>
        </w:rPr>
        <w:t xml:space="preserve">) no requiere conocimientos tan especializados como la interventoría; </w:t>
      </w:r>
      <w:proofErr w:type="spellStart"/>
      <w:r w:rsidRPr="00603A69">
        <w:rPr>
          <w:rFonts w:ascii="Verdana" w:eastAsia="Verdana" w:hAnsi="Verdana" w:cs="Verdana"/>
          <w:bCs/>
          <w:sz w:val="20"/>
          <w:szCs w:val="20"/>
          <w:lang w:val="es-ES"/>
        </w:rPr>
        <w:t>iii</w:t>
      </w:r>
      <w:proofErr w:type="spellEnd"/>
      <w:r w:rsidRPr="00603A69">
        <w:rPr>
          <w:rFonts w:ascii="Verdana" w:eastAsia="Verdana" w:hAnsi="Verdana" w:cs="Verdana"/>
          <w:bCs/>
          <w:sz w:val="20"/>
          <w:szCs w:val="20"/>
          <w:lang w:val="es-ES"/>
        </w:rPr>
        <w:t xml:space="preserve">) se ejerce por la Entidad Estatal por conducto de la designación de servidores públicos idóneos para cumplir la función; </w:t>
      </w:r>
      <w:proofErr w:type="spellStart"/>
      <w:r w:rsidRPr="00603A69">
        <w:rPr>
          <w:rFonts w:ascii="Verdana" w:eastAsia="Verdana" w:hAnsi="Verdana" w:cs="Verdana"/>
          <w:bCs/>
          <w:sz w:val="20"/>
          <w:szCs w:val="20"/>
          <w:lang w:val="es-ES"/>
        </w:rPr>
        <w:t>iv</w:t>
      </w:r>
      <w:proofErr w:type="spellEnd"/>
      <w:r w:rsidRPr="00603A69">
        <w:rPr>
          <w:rFonts w:ascii="Verdana" w:eastAsia="Verdana" w:hAnsi="Verdana" w:cs="Verdana"/>
          <w:bCs/>
          <w:sz w:val="20"/>
          <w:szCs w:val="20"/>
          <w:lang w:val="es-ES"/>
        </w:rPr>
        <w:t>) puede recibir apoyo de personal contratado para tal fin mediante contratos de prestación de servicios; y v) le es inseparable el seguimiento técnico, administrativo, financiero, contable y jurídico del contrato vigilado.</w:t>
      </w:r>
    </w:p>
    <w:p w14:paraId="18C1180D" w14:textId="77777777" w:rsidR="00603A69" w:rsidRPr="00603A69" w:rsidRDefault="00603A69" w:rsidP="00104B72">
      <w:pPr>
        <w:spacing w:after="0" w:line="240" w:lineRule="auto"/>
        <w:jc w:val="both"/>
        <w:rPr>
          <w:rFonts w:ascii="Verdana" w:eastAsia="Verdana" w:hAnsi="Verdana" w:cs="Verdana"/>
          <w:bCs/>
          <w:sz w:val="20"/>
          <w:szCs w:val="20"/>
          <w:lang w:val="es-ES"/>
        </w:rPr>
      </w:pPr>
    </w:p>
    <w:p w14:paraId="177B8A37" w14:textId="7BD10BDF" w:rsidR="00D85870" w:rsidRPr="00603A69" w:rsidRDefault="00D85870" w:rsidP="00104B72">
      <w:pPr>
        <w:spacing w:after="0" w:line="240" w:lineRule="auto"/>
        <w:jc w:val="both"/>
        <w:rPr>
          <w:rFonts w:ascii="Verdana" w:eastAsia="Verdana" w:hAnsi="Verdana" w:cs="Verdana"/>
          <w:bCs/>
          <w:sz w:val="20"/>
          <w:szCs w:val="20"/>
        </w:rPr>
      </w:pPr>
      <w:r w:rsidRPr="00603A69">
        <w:rPr>
          <w:rFonts w:ascii="Verdana" w:eastAsia="Verdana" w:hAnsi="Verdana" w:cs="Verdana"/>
          <w:bCs/>
          <w:sz w:val="20"/>
          <w:szCs w:val="20"/>
          <w:lang w:val="es-ES"/>
        </w:rPr>
        <w:t xml:space="preserve">Por otro lado, </w:t>
      </w:r>
      <w:r w:rsidRPr="00603A69">
        <w:rPr>
          <w:rFonts w:ascii="Verdana" w:eastAsia="Verdana" w:hAnsi="Verdana" w:cs="Verdana"/>
          <w:bCs/>
          <w:sz w:val="20"/>
          <w:szCs w:val="20"/>
        </w:rPr>
        <w:t xml:space="preserve">la interventoría puede caracterizarse de la siguiente manera: i) es un mecanismo de vigilancia contingente en la medida que solo es obligatorio para el </w:t>
      </w:r>
      <w:r w:rsidRPr="00603A69">
        <w:rPr>
          <w:rFonts w:ascii="Verdana" w:eastAsia="Verdana" w:hAnsi="Verdana" w:cs="Verdana"/>
          <w:bCs/>
          <w:sz w:val="20"/>
          <w:szCs w:val="20"/>
        </w:rPr>
        <w:lastRenderedPageBreak/>
        <w:t xml:space="preserve">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603A69">
        <w:rPr>
          <w:rFonts w:ascii="Verdana" w:eastAsia="Verdana" w:hAnsi="Verdana" w:cs="Verdana"/>
          <w:bCs/>
          <w:sz w:val="20"/>
          <w:szCs w:val="20"/>
        </w:rPr>
        <w:t>ii</w:t>
      </w:r>
      <w:proofErr w:type="spellEnd"/>
      <w:r w:rsidRPr="00603A69">
        <w:rPr>
          <w:rFonts w:ascii="Verdana" w:eastAsia="Verdana" w:hAnsi="Verdana" w:cs="Verdana"/>
          <w:bCs/>
          <w:sz w:val="20"/>
          <w:szCs w:val="20"/>
        </w:rPr>
        <w:t xml:space="preserve">) es un mecanismo de vigilancia que exige, en su ejecución, la utilización de conocimientos especializados; </w:t>
      </w:r>
      <w:proofErr w:type="spellStart"/>
      <w:r w:rsidRPr="00603A69">
        <w:rPr>
          <w:rFonts w:ascii="Verdana" w:eastAsia="Verdana" w:hAnsi="Verdana" w:cs="Verdana"/>
          <w:bCs/>
          <w:sz w:val="20"/>
          <w:szCs w:val="20"/>
        </w:rPr>
        <w:t>iii</w:t>
      </w:r>
      <w:proofErr w:type="spellEnd"/>
      <w:r w:rsidRPr="00603A69">
        <w:rPr>
          <w:rFonts w:ascii="Verdana" w:eastAsia="Verdana" w:hAnsi="Verdana" w:cs="Verdana"/>
          <w:bCs/>
          <w:sz w:val="20"/>
          <w:szCs w:val="20"/>
        </w:rPr>
        <w:t xml:space="preserve">) por lo anterior, la entidad contrata un experto, por regla general, mediante la modalidad de selección de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w:t>
      </w:r>
      <w:proofErr w:type="spellStart"/>
      <w:r w:rsidRPr="00603A69">
        <w:rPr>
          <w:rFonts w:ascii="Verdana" w:eastAsia="Verdana" w:hAnsi="Verdana" w:cs="Verdana"/>
          <w:bCs/>
          <w:sz w:val="20"/>
          <w:szCs w:val="20"/>
        </w:rPr>
        <w:t>iv</w:t>
      </w:r>
      <w:proofErr w:type="spellEnd"/>
      <w:r w:rsidRPr="00603A69">
        <w:rPr>
          <w:rFonts w:ascii="Verdana" w:eastAsia="Verdana" w:hAnsi="Verdana" w:cs="Verdana"/>
          <w:bCs/>
          <w:sz w:val="20"/>
          <w:szCs w:val="20"/>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37B06CFA" w14:textId="77777777" w:rsidR="008977DD" w:rsidRPr="00D85870" w:rsidRDefault="008977DD" w:rsidP="00104B72">
      <w:pPr>
        <w:spacing w:after="0" w:line="240" w:lineRule="auto"/>
        <w:jc w:val="both"/>
        <w:rPr>
          <w:rFonts w:ascii="Verdana" w:eastAsia="Verdana" w:hAnsi="Verdana" w:cs="Verdana"/>
          <w:b/>
        </w:rPr>
      </w:pPr>
    </w:p>
    <w:p w14:paraId="5E09468B" w14:textId="5616AAF7" w:rsidR="008977DD" w:rsidRPr="00621920" w:rsidRDefault="008977DD" w:rsidP="00104B72">
      <w:pPr>
        <w:spacing w:after="0" w:line="240" w:lineRule="auto"/>
        <w:jc w:val="both"/>
        <w:rPr>
          <w:rFonts w:ascii="Verdana" w:eastAsia="Verdana" w:hAnsi="Verdana" w:cs="Verdana"/>
          <w:b/>
          <w:lang w:val="es-ES"/>
        </w:rPr>
      </w:pPr>
      <w:r w:rsidRPr="00621920">
        <w:rPr>
          <w:rFonts w:ascii="Verdana" w:eastAsia="Verdana" w:hAnsi="Verdana" w:cs="Verdana"/>
          <w:b/>
          <w:lang w:val="es-ES"/>
        </w:rPr>
        <w:t xml:space="preserve">INTERVENTORÍA   Y SUPERVISIÓN – Funciones </w:t>
      </w:r>
      <w:r w:rsidR="00543C6A" w:rsidRPr="00543C6A">
        <w:rPr>
          <w:rFonts w:ascii="Verdana" w:eastAsia="Verdana" w:hAnsi="Verdana" w:cs="Verdana"/>
          <w:b/>
          <w:bCs/>
          <w:lang w:val="es-ES"/>
        </w:rPr>
        <w:t>–</w:t>
      </w:r>
      <w:r w:rsidRPr="00621920">
        <w:rPr>
          <w:rFonts w:ascii="Verdana" w:eastAsia="Verdana" w:hAnsi="Verdana" w:cs="Verdana"/>
          <w:b/>
          <w:lang w:val="es-ES"/>
        </w:rPr>
        <w:t xml:space="preserve"> Deberes </w:t>
      </w:r>
    </w:p>
    <w:p w14:paraId="5F9E2FB6" w14:textId="77777777" w:rsidR="008977DD" w:rsidRPr="00277B9D" w:rsidRDefault="008977DD" w:rsidP="00104B72">
      <w:pPr>
        <w:spacing w:after="0" w:line="240" w:lineRule="auto"/>
        <w:jc w:val="both"/>
        <w:rPr>
          <w:rFonts w:ascii="Verdana" w:eastAsia="Verdana" w:hAnsi="Verdana" w:cs="Verdana"/>
          <w:bCs/>
          <w:sz w:val="20"/>
          <w:szCs w:val="20"/>
          <w:lang w:val="es-ES"/>
        </w:rPr>
      </w:pPr>
    </w:p>
    <w:p w14:paraId="281B5455" w14:textId="77777777" w:rsidR="00277B9D" w:rsidRDefault="00277B9D" w:rsidP="00104B72">
      <w:pPr>
        <w:spacing w:after="0" w:line="240" w:lineRule="auto"/>
        <w:jc w:val="both"/>
        <w:rPr>
          <w:rFonts w:ascii="Verdana" w:eastAsia="Verdana" w:hAnsi="Verdana" w:cs="Verdana"/>
          <w:bCs/>
          <w:sz w:val="20"/>
          <w:szCs w:val="20"/>
        </w:rPr>
      </w:pPr>
      <w:r w:rsidRPr="00277B9D">
        <w:rPr>
          <w:rFonts w:ascii="Verdana" w:eastAsia="Verdana" w:hAnsi="Verdana" w:cs="Verdana"/>
          <w:bCs/>
          <w:sz w:val="20"/>
          <w:szCs w:val="20"/>
          <w:lang w:val="es-ES"/>
        </w:rPr>
        <w:t>Quien ejerza la vigilancia de la ejecución del contrato, ya sea mediante la supervisión o mediante la interventoría, puede hacer uso de las facultades previstas en el artículo 84 de la Ley 1474 de 2011 para efectuar el seguimiento al cumplimiento obligacional del contrato y estará sometido a los deberes y responsabilidades que implica el ejercicio de dicha actividad. En este contexto, tanto los supervisores como los interventores “</w:t>
      </w:r>
      <w:r w:rsidRPr="00277B9D">
        <w:rPr>
          <w:rFonts w:ascii="Verdana" w:eastAsia="Verdana" w:hAnsi="Verdana" w:cs="Verdana"/>
          <w:bCs/>
          <w:sz w:val="20"/>
          <w:szCs w:val="20"/>
        </w:rPr>
        <w:t xml:space="preserve">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En otras palabras, quienes ejercen funciones de seguimiento contractual tienen la potestad de pedir al contratista toda la información necesaria —informes, aclaraciones y explicaciones— para verificar cómo avanza la ejecución del contrato. Además, se les impone un deber especial: deben mantener informada a la entidad contratante sobre cualquier hecho, situación o indicio que pueda constituir un acto de corrupción o que genere riesgo de incumplimiento contractual, e incluso reportar cuando dicho incumplimiento ya se haya producido. </w:t>
      </w:r>
    </w:p>
    <w:p w14:paraId="5E4CA43F" w14:textId="77777777" w:rsidR="008977DD" w:rsidRPr="00621920" w:rsidRDefault="008977DD" w:rsidP="00104B72">
      <w:pPr>
        <w:spacing w:after="0" w:line="240" w:lineRule="auto"/>
        <w:jc w:val="both"/>
        <w:rPr>
          <w:rFonts w:ascii="Verdana" w:eastAsia="Verdana" w:hAnsi="Verdana" w:cs="Verdana"/>
          <w:b/>
          <w:lang w:val="es-ES"/>
        </w:rPr>
      </w:pPr>
    </w:p>
    <w:p w14:paraId="5D546015" w14:textId="77777777" w:rsidR="008977DD" w:rsidRPr="00621920" w:rsidRDefault="008977DD" w:rsidP="00104B72">
      <w:pPr>
        <w:spacing w:after="0" w:line="240" w:lineRule="auto"/>
        <w:jc w:val="both"/>
        <w:rPr>
          <w:rFonts w:ascii="Verdana" w:eastAsia="Verdana" w:hAnsi="Verdana" w:cs="Verdana"/>
          <w:b/>
          <w:lang w:val="es-ES"/>
        </w:rPr>
      </w:pPr>
      <w:r w:rsidRPr="00621920">
        <w:rPr>
          <w:rFonts w:ascii="Verdana" w:eastAsia="Verdana" w:hAnsi="Verdana" w:cs="Verdana"/>
          <w:b/>
          <w:lang w:val="es-ES"/>
        </w:rPr>
        <w:t xml:space="preserve">VIGILANCIA Y CONTROL – Supervisión e interventoría – Ejercicio – Funciones administrativas </w:t>
      </w:r>
    </w:p>
    <w:p w14:paraId="036EBEAE" w14:textId="77777777" w:rsidR="008977DD" w:rsidRPr="00641BB0" w:rsidRDefault="008977DD" w:rsidP="00104B72">
      <w:pPr>
        <w:spacing w:after="0" w:line="240" w:lineRule="auto"/>
        <w:jc w:val="both"/>
        <w:rPr>
          <w:rFonts w:ascii="Verdana" w:eastAsia="Verdana" w:hAnsi="Verdana" w:cs="Verdana"/>
          <w:bCs/>
          <w:sz w:val="20"/>
          <w:szCs w:val="20"/>
          <w:lang w:val="es-ES"/>
        </w:rPr>
      </w:pPr>
    </w:p>
    <w:p w14:paraId="5D9147EB" w14:textId="77777777" w:rsidR="00641BB0" w:rsidRPr="00641BB0" w:rsidRDefault="00641BB0" w:rsidP="00104B72">
      <w:pPr>
        <w:spacing w:after="0" w:line="240" w:lineRule="auto"/>
        <w:jc w:val="both"/>
        <w:rPr>
          <w:rFonts w:ascii="Verdana" w:eastAsia="Verdana" w:hAnsi="Verdana" w:cs="Verdana"/>
          <w:bCs/>
          <w:sz w:val="20"/>
          <w:szCs w:val="20"/>
        </w:rPr>
      </w:pPr>
      <w:r w:rsidRPr="00641BB0">
        <w:rPr>
          <w:rFonts w:ascii="Verdana" w:eastAsia="Verdana" w:hAnsi="Verdana" w:cs="Verdana"/>
          <w:bCs/>
          <w:sz w:val="20"/>
          <w:szCs w:val="20"/>
        </w:rPr>
        <w:t xml:space="preserve">La supervisión y la interventoría contractual como instituciones jurídicas adelantan expresiones claras del ejercicio de una función pública, en tanto se orientan al control del cumplimiento obligacional y a la protección del interés general comprometido en la </w:t>
      </w:r>
      <w:r w:rsidRPr="00641BB0">
        <w:rPr>
          <w:rFonts w:ascii="Verdana" w:eastAsia="Verdana" w:hAnsi="Verdana" w:cs="Verdana"/>
          <w:bCs/>
          <w:sz w:val="20"/>
          <w:szCs w:val="20"/>
        </w:rPr>
        <w:lastRenderedPageBreak/>
        <w:t xml:space="preserve">contratación estatal. Su naturaleza administrativa implica que quienes las ejercen —servidores públicos o terceros contratados para tal fin— actúan en representación de la entidad estatal y bajo parámetros normativos que les asignan deberes de verificación, seguimiento, advertencia y reporte. Precisamente por tratarse de una función de control y no de ejecución, los supervisores e interventores no son </w:t>
      </w:r>
      <w:proofErr w:type="spellStart"/>
      <w:r w:rsidRPr="00641BB0">
        <w:rPr>
          <w:rFonts w:ascii="Verdana" w:eastAsia="Verdana" w:hAnsi="Verdana" w:cs="Verdana"/>
          <w:bCs/>
          <w:sz w:val="20"/>
          <w:szCs w:val="20"/>
        </w:rPr>
        <w:t>coejecutores</w:t>
      </w:r>
      <w:proofErr w:type="spellEnd"/>
      <w:r w:rsidRPr="00641BB0">
        <w:rPr>
          <w:rFonts w:ascii="Verdana" w:eastAsia="Verdana" w:hAnsi="Verdana" w:cs="Verdana"/>
          <w:bCs/>
          <w:sz w:val="20"/>
          <w:szCs w:val="20"/>
        </w:rPr>
        <w:t xml:space="preserve"> del contrato, pues su rol no consiste en realizar materialmente las prestaciones pactadas ni en sustituir al contratista en la ejecución del objeto contractual. Su intervención se limita a constatar que las obligaciones se cumplan en la forma, tiempo y condiciones convenidas, a identificar riesgos y desviaciones, y a adoptar las medidas de control que resulten procedentes dentro del marco de la función administrativa. De este modo, la vigilancia contractual se configura como una actividad pública de control, diferenciada de la ejecución material del contrato, que permanece exclusivamente en cabeza del contratista. </w:t>
      </w:r>
    </w:p>
    <w:p w14:paraId="7207F484" w14:textId="77777777" w:rsidR="008977DD" w:rsidRPr="00641BB0" w:rsidRDefault="008977DD" w:rsidP="00104B72">
      <w:pPr>
        <w:spacing w:after="0" w:line="240" w:lineRule="auto"/>
        <w:jc w:val="both"/>
        <w:rPr>
          <w:rFonts w:ascii="Verdana" w:eastAsia="Verdana" w:hAnsi="Verdana" w:cs="Verdana"/>
          <w:b/>
        </w:rPr>
      </w:pPr>
    </w:p>
    <w:p w14:paraId="07C0D1B0" w14:textId="77777777" w:rsidR="008977DD" w:rsidRPr="00621920" w:rsidRDefault="008977DD" w:rsidP="00104B72">
      <w:pPr>
        <w:spacing w:after="0" w:line="240" w:lineRule="auto"/>
        <w:jc w:val="both"/>
        <w:rPr>
          <w:rFonts w:ascii="Verdana" w:eastAsia="Verdana" w:hAnsi="Verdana" w:cs="Verdana"/>
          <w:b/>
          <w:lang w:val="es-ES"/>
        </w:rPr>
      </w:pPr>
      <w:r w:rsidRPr="00621920">
        <w:rPr>
          <w:rFonts w:ascii="Verdana" w:eastAsia="Verdana" w:hAnsi="Verdana" w:cs="Verdana"/>
          <w:b/>
          <w:lang w:val="es-ES"/>
        </w:rPr>
        <w:t xml:space="preserve">SUPERVISIÓN E INTERVENTORÍA – Deberes – Metodología </w:t>
      </w:r>
    </w:p>
    <w:p w14:paraId="22E62A4C" w14:textId="77777777" w:rsidR="008977DD" w:rsidRPr="00631040" w:rsidRDefault="008977DD" w:rsidP="00104B72">
      <w:pPr>
        <w:spacing w:after="0" w:line="240" w:lineRule="auto"/>
        <w:jc w:val="both"/>
        <w:rPr>
          <w:rFonts w:ascii="Verdana" w:eastAsia="Verdana" w:hAnsi="Verdana" w:cs="Verdana"/>
          <w:bCs/>
          <w:sz w:val="20"/>
          <w:szCs w:val="20"/>
          <w:lang w:val="es-ES"/>
        </w:rPr>
      </w:pPr>
    </w:p>
    <w:p w14:paraId="787FB1B0" w14:textId="77777777" w:rsidR="000B0ED5" w:rsidRDefault="00631040" w:rsidP="00104B72">
      <w:pPr>
        <w:spacing w:after="0" w:line="240" w:lineRule="auto"/>
        <w:jc w:val="both"/>
        <w:rPr>
          <w:rFonts w:ascii="Verdana" w:eastAsia="Verdana" w:hAnsi="Verdana" w:cs="Verdana"/>
          <w:bCs/>
          <w:sz w:val="20"/>
          <w:szCs w:val="20"/>
          <w:lang w:val="es-MX"/>
        </w:rPr>
      </w:pPr>
      <w:r w:rsidRPr="00631040">
        <w:rPr>
          <w:rFonts w:ascii="Verdana" w:eastAsia="Verdana" w:hAnsi="Verdana" w:cs="Verdana"/>
          <w:bCs/>
          <w:sz w:val="20"/>
          <w:szCs w:val="20"/>
          <w:lang w:val="es-MX"/>
        </w:rPr>
        <w:t xml:space="preserve">Aquí cobra importancia la metodología para el ejercicio de la supervisión e interventoría, la cual usualmente se formaliza mediante manuales que expiden las entidades públicas, que estandarizan las condiciones de control y vigilancia. Además, de la habilitación del artículo 84 del Estatuto Anticorrupción para solicitar informes, aclaraciones y explicaciones sobre el desarrollo de la ejecución contractual, dichos manuales desarrollan procedimientos internos para desarrollo de estas actividades. Estos últimos sujetan al contratista vigilado, ya que existe un nexo inescindible entre las obligaciones ejecutadas y el control sobre su efectivo cumplimiento. Sumado a lo anterior, tratándose de la interventoría, el contrato también delimita criterios adicionales para verificar el avance de las obras o la prestación de los servicios de acuerdo con la complejidad del objeto. Éstos últimos también sujetan al contratista vigilado, pues tiene la obligación de acatar las directrices derivadas del ejercicio de la potestad de control. </w:t>
      </w:r>
    </w:p>
    <w:p w14:paraId="077B4E4B" w14:textId="3B48F22E" w:rsidR="00631040" w:rsidRPr="00631040" w:rsidRDefault="00631040" w:rsidP="00104B72">
      <w:pPr>
        <w:spacing w:after="0" w:line="240" w:lineRule="auto"/>
        <w:jc w:val="both"/>
        <w:rPr>
          <w:rFonts w:ascii="Verdana" w:eastAsia="Verdana" w:hAnsi="Verdana" w:cs="Verdana"/>
          <w:bCs/>
          <w:sz w:val="20"/>
          <w:szCs w:val="20"/>
        </w:rPr>
      </w:pPr>
      <w:r w:rsidRPr="00631040">
        <w:rPr>
          <w:rFonts w:ascii="Verdana" w:eastAsia="Verdana" w:hAnsi="Verdana" w:cs="Verdana"/>
          <w:bCs/>
          <w:sz w:val="20"/>
          <w:szCs w:val="20"/>
          <w:lang w:val="es-MX"/>
        </w:rPr>
        <w:t xml:space="preserve"> </w:t>
      </w:r>
    </w:p>
    <w:p w14:paraId="207743A7" w14:textId="77777777" w:rsidR="00631040" w:rsidRPr="00631040" w:rsidRDefault="00631040" w:rsidP="00104B72">
      <w:pPr>
        <w:spacing w:after="0" w:line="240" w:lineRule="auto"/>
        <w:jc w:val="both"/>
        <w:rPr>
          <w:rFonts w:ascii="Verdana" w:eastAsia="Verdana" w:hAnsi="Verdana" w:cs="Verdana"/>
          <w:bCs/>
          <w:sz w:val="20"/>
          <w:szCs w:val="20"/>
          <w:lang w:val="es-MX"/>
        </w:rPr>
      </w:pPr>
      <w:r w:rsidRPr="00631040">
        <w:rPr>
          <w:rFonts w:ascii="Verdana" w:eastAsia="Verdana" w:hAnsi="Verdana" w:cs="Verdana"/>
          <w:bCs/>
          <w:sz w:val="20"/>
          <w:szCs w:val="20"/>
          <w:lang w:val="es-MX"/>
        </w:rPr>
        <w:t xml:space="preserve">La vigilancia sobre el cumplimiento obligacional se somete a la ley, los manuales internos y las condiciones que establece la entidad tanto en el contrato de interventoría como en el contrato vigilado, criterios que debe acatar el contratista ejecutor de la obra o prestador del servicio, así como el supervisor de la interventoría y la entidad como responsable de la dirección y control. Como los mismos establecen los linderos de la potestad de control, no pueden adoptarse protocolos, requisitos o procedimientos ajenos al marco citado, por lo que no son oponibles al contratista salvo que medien modificaciones previas a los manuales expedidos y/o a los contratos suscritos. Estas actividades no implican </w:t>
      </w:r>
      <w:proofErr w:type="spellStart"/>
      <w:r w:rsidRPr="00631040">
        <w:rPr>
          <w:rFonts w:ascii="Verdana" w:eastAsia="Verdana" w:hAnsi="Verdana" w:cs="Verdana"/>
          <w:bCs/>
          <w:sz w:val="20"/>
          <w:szCs w:val="20"/>
          <w:lang w:val="es-MX"/>
        </w:rPr>
        <w:t>coejecución</w:t>
      </w:r>
      <w:proofErr w:type="spellEnd"/>
      <w:r w:rsidRPr="00631040">
        <w:rPr>
          <w:rFonts w:ascii="Verdana" w:eastAsia="Verdana" w:hAnsi="Verdana" w:cs="Verdana"/>
          <w:bCs/>
          <w:sz w:val="20"/>
          <w:szCs w:val="20"/>
          <w:lang w:val="es-MX"/>
        </w:rPr>
        <w:t xml:space="preserve"> por las razones expuestas </w:t>
      </w:r>
      <w:r w:rsidRPr="00631040">
        <w:rPr>
          <w:rFonts w:ascii="Verdana" w:eastAsia="Verdana" w:hAnsi="Verdana" w:cs="Verdana"/>
          <w:bCs/>
          <w:i/>
          <w:iCs/>
          <w:sz w:val="20"/>
          <w:szCs w:val="20"/>
          <w:lang w:val="es-MX"/>
        </w:rPr>
        <w:t>ut supra</w:t>
      </w:r>
      <w:r w:rsidRPr="00631040">
        <w:rPr>
          <w:rFonts w:ascii="Verdana" w:eastAsia="Verdana" w:hAnsi="Verdana" w:cs="Verdana"/>
          <w:bCs/>
          <w:sz w:val="20"/>
          <w:szCs w:val="20"/>
          <w:lang w:val="es-MX"/>
        </w:rPr>
        <w:t xml:space="preserve">, y las modificaciones sobre la forma de validar el cumplimiento no dan lugar a reconocimientos económicos adicionales, a menos que impliquen mayores costos para el contratista. </w:t>
      </w:r>
    </w:p>
    <w:p w14:paraId="32017B00" w14:textId="77777777" w:rsidR="008977DD" w:rsidRPr="00631040" w:rsidRDefault="008977DD" w:rsidP="00104B72">
      <w:pPr>
        <w:spacing w:after="0" w:line="240" w:lineRule="auto"/>
        <w:jc w:val="both"/>
        <w:rPr>
          <w:rFonts w:ascii="Verdana" w:eastAsia="Verdana" w:hAnsi="Verdana" w:cs="Verdana"/>
          <w:b/>
          <w:lang w:val="es-MX"/>
        </w:rPr>
      </w:pPr>
    </w:p>
    <w:p w14:paraId="6B91BA87" w14:textId="72FB50BF" w:rsidR="008977DD" w:rsidRPr="00621920" w:rsidRDefault="008977DD" w:rsidP="00104B72">
      <w:pPr>
        <w:spacing w:after="0" w:line="240" w:lineRule="auto"/>
        <w:jc w:val="both"/>
        <w:rPr>
          <w:rFonts w:ascii="Verdana" w:eastAsia="Verdana" w:hAnsi="Verdana" w:cs="Verdana"/>
          <w:b/>
          <w:lang w:val="es-ES"/>
        </w:rPr>
      </w:pPr>
      <w:r w:rsidRPr="00621920">
        <w:rPr>
          <w:rFonts w:ascii="Verdana" w:eastAsia="Verdana" w:hAnsi="Verdana" w:cs="Verdana"/>
          <w:b/>
          <w:lang w:val="es-ES"/>
        </w:rPr>
        <w:t xml:space="preserve">INTERVENTORIA – Deber – Revisión </w:t>
      </w:r>
      <w:r w:rsidR="00543C6A" w:rsidRPr="00543C6A">
        <w:rPr>
          <w:rFonts w:ascii="Verdana" w:eastAsia="Verdana" w:hAnsi="Verdana" w:cs="Verdana"/>
          <w:b/>
          <w:bCs/>
          <w:lang w:val="es-ES"/>
        </w:rPr>
        <w:t>–</w:t>
      </w:r>
      <w:r w:rsidRPr="00621920">
        <w:rPr>
          <w:rFonts w:ascii="Verdana" w:eastAsia="Verdana" w:hAnsi="Verdana" w:cs="Verdana"/>
          <w:b/>
          <w:lang w:val="es-ES"/>
        </w:rPr>
        <w:t xml:space="preserve"> Condiciones técnicas – Información</w:t>
      </w:r>
    </w:p>
    <w:p w14:paraId="321E6FE2" w14:textId="77777777" w:rsidR="008977DD" w:rsidRPr="000B0ED5" w:rsidRDefault="008977DD" w:rsidP="00104B72">
      <w:pPr>
        <w:spacing w:after="0" w:line="240" w:lineRule="auto"/>
        <w:jc w:val="both"/>
        <w:rPr>
          <w:rFonts w:ascii="Verdana" w:eastAsia="Verdana" w:hAnsi="Verdana" w:cs="Verdana"/>
          <w:bCs/>
          <w:sz w:val="20"/>
          <w:szCs w:val="20"/>
          <w:lang w:val="es-ES"/>
        </w:rPr>
      </w:pPr>
    </w:p>
    <w:p w14:paraId="55D0AB1E" w14:textId="77777777" w:rsidR="000B0ED5" w:rsidRDefault="000B0ED5" w:rsidP="00104B72">
      <w:pPr>
        <w:spacing w:after="0" w:line="240" w:lineRule="auto"/>
        <w:jc w:val="both"/>
        <w:rPr>
          <w:rFonts w:ascii="Verdana" w:eastAsia="Verdana" w:hAnsi="Verdana" w:cs="Verdana"/>
          <w:bCs/>
          <w:sz w:val="20"/>
          <w:szCs w:val="20"/>
        </w:rPr>
      </w:pPr>
      <w:r w:rsidRPr="000B0ED5">
        <w:rPr>
          <w:rFonts w:ascii="Verdana" w:eastAsia="Verdana" w:hAnsi="Verdana" w:cs="Verdana"/>
          <w:bCs/>
          <w:sz w:val="20"/>
          <w:szCs w:val="20"/>
        </w:rPr>
        <w:lastRenderedPageBreak/>
        <w:t xml:space="preserve">Desde la perspectiva de los deberes funcionales de la interventoría, cuando se evidencia que una unidad de obra no cumple con las condiciones pactadas en el contrato, el interventor está obligado a dejar constancia expresa de dicha situación y a informar oportunamente a la entidad contratante, en cumplimiento de su deber de advertencia y reporte. Este deber se articula con la responsabilidad indelegable de la entidad estatal de ejercer la dirección general y el control de la ejecución contractual, conforme al artículo 14 de la Ley 80 de 1993. En la misma línea, el artículo 4°, numeral 4°, de la Ley 80 de 1993 establece: </w:t>
      </w:r>
      <w:r w:rsidRPr="000B0ED5">
        <w:rPr>
          <w:rFonts w:ascii="Verdana" w:eastAsia="Verdana" w:hAnsi="Verdana" w:cs="Verdana"/>
          <w:bCs/>
          <w:sz w:val="20"/>
          <w:szCs w:val="20"/>
          <w:lang w:val="es-ES"/>
        </w:rPr>
        <w:t>“</w:t>
      </w:r>
      <w:r w:rsidRPr="000B0ED5">
        <w:rPr>
          <w:rFonts w:ascii="Verdana" w:eastAsia="Verdana" w:hAnsi="Verdana" w:cs="Verdana"/>
          <w:bCs/>
          <w:sz w:val="20"/>
          <w:szCs w:val="20"/>
        </w:rPr>
        <w:t xml:space="preserve">[…] Para la consecución de los fines de que trata el artículo anterior, las entidades estatales: […] 4o. Adelantarán revisiones periódicas de las obras ejecutadas, servicios prestados o bienes suministrados, </w:t>
      </w:r>
      <w:r w:rsidRPr="000B0ED5">
        <w:rPr>
          <w:rFonts w:ascii="Verdana" w:eastAsia="Verdana" w:hAnsi="Verdana" w:cs="Verdana"/>
          <w:bCs/>
          <w:i/>
          <w:iCs/>
          <w:sz w:val="20"/>
          <w:szCs w:val="20"/>
        </w:rPr>
        <w:t xml:space="preserve">para verificar que ellos cumplan con las condiciones de calidad ofrecidas por los contratistas, y promoverán las acciones de responsabilidad contra éstos y sus garantes </w:t>
      </w:r>
      <w:r w:rsidRPr="000B0ED5">
        <w:rPr>
          <w:rFonts w:ascii="Verdana" w:eastAsia="Verdana" w:hAnsi="Verdana" w:cs="Verdana"/>
          <w:bCs/>
          <w:sz w:val="20"/>
          <w:szCs w:val="20"/>
        </w:rPr>
        <w:t>cuando dichas condiciones no se cumplan” (énfasis fuera de texto). De este modo, la entidad no puede renunciar ni trasladar su deber permanente de vigilancia y control, aun cuando exista interventoría o supervisión contratada.</w:t>
      </w:r>
    </w:p>
    <w:p w14:paraId="7190A038" w14:textId="77777777" w:rsidR="000B0ED5" w:rsidRPr="000B0ED5" w:rsidRDefault="000B0ED5" w:rsidP="00104B72">
      <w:pPr>
        <w:spacing w:after="0" w:line="240" w:lineRule="auto"/>
        <w:jc w:val="both"/>
        <w:rPr>
          <w:rFonts w:ascii="Verdana" w:eastAsia="Verdana" w:hAnsi="Verdana" w:cs="Verdana"/>
          <w:bCs/>
          <w:sz w:val="20"/>
          <w:szCs w:val="20"/>
        </w:rPr>
      </w:pPr>
    </w:p>
    <w:p w14:paraId="4141733E" w14:textId="77777777" w:rsidR="000B0ED5" w:rsidRPr="000B0ED5" w:rsidRDefault="000B0ED5" w:rsidP="00104B72">
      <w:pPr>
        <w:spacing w:after="0" w:line="240" w:lineRule="auto"/>
        <w:jc w:val="both"/>
        <w:rPr>
          <w:rFonts w:ascii="Verdana" w:eastAsia="Verdana" w:hAnsi="Verdana" w:cs="Verdana"/>
          <w:bCs/>
          <w:sz w:val="20"/>
          <w:szCs w:val="20"/>
        </w:rPr>
      </w:pPr>
      <w:r w:rsidRPr="000B0ED5">
        <w:rPr>
          <w:rFonts w:ascii="Verdana" w:eastAsia="Verdana" w:hAnsi="Verdana" w:cs="Verdana"/>
          <w:bCs/>
          <w:sz w:val="20"/>
          <w:szCs w:val="20"/>
        </w:rPr>
        <w:t xml:space="preserve">Ahora bien, si en ejercicio de esa dirección y control la entidad decide aceptar una unidad de obra, debe hacerlo mediante acto escrito y debidamente motivado, en el que se expongan las razones técnicas, jurídicas y administrativas que sustentan la decisión. Es frecuente que en la ejecución contractual concurran informes o conceptos discrepantes entre la interventoría y los comités técnicos o administrativos de la entidad. Frente a tales divergencias, la administración está obligada a expresar de manera clara y argumentada las razones por las cuales otorga mayor credibilidad o fuerza probatoria a uno de los informes, garantizando el derecho de contradicción del contratista y la transparencia del proceso decisorio. La motivación adquiere aquí un carácter central, pues constituye el soporte de la legalidad y razonabilidad de la actuación administrativa. </w:t>
      </w:r>
    </w:p>
    <w:p w14:paraId="06EEE718" w14:textId="77777777" w:rsidR="000B0ED5" w:rsidRPr="000B0ED5" w:rsidRDefault="000B0ED5" w:rsidP="00104B72">
      <w:pPr>
        <w:spacing w:after="0" w:line="240" w:lineRule="auto"/>
        <w:jc w:val="both"/>
        <w:rPr>
          <w:rFonts w:ascii="Verdana" w:eastAsia="Verdana" w:hAnsi="Verdana" w:cs="Verdana"/>
          <w:bCs/>
          <w:sz w:val="20"/>
          <w:szCs w:val="20"/>
        </w:rPr>
      </w:pPr>
      <w:r w:rsidRPr="000B0ED5">
        <w:rPr>
          <w:rFonts w:ascii="Verdana" w:eastAsia="Verdana" w:hAnsi="Verdana" w:cs="Verdana"/>
          <w:bCs/>
          <w:sz w:val="20"/>
          <w:szCs w:val="20"/>
        </w:rPr>
        <w:t>En todo caso, el interventor debe cumplir con su deber de dejar constancia técnica sobre la no conformidad detectada, así como de advertir a la entidad contratante sobre hechos o circunstancias que puedan constituir incumplimientos contractuales o incluso actos de corrupción tipificados como conductas punibles. Este deber de advertencia y reporte se encuentra reforzado por el artículo 84 de la Ley 1474 de 2011, que impone a los interventores la obligación de informar sobre irregularidades que puedan comprometer la correcta ejecución contractual. La responsabilidad disciplinaria, fiscal, civil o penal de la interventoría dependerá de las actuaciones u omisiones que le sean imputables y que generen daño o perjuicio a la entidad, de conformidad con lo dispuesto en el artículo 53 de la Ley 80 de 1993, modificado por el artículo 84 de la Ley 1474 de 2011.</w:t>
      </w:r>
    </w:p>
    <w:p w14:paraId="0AB04DCF" w14:textId="77777777" w:rsidR="008977DD" w:rsidRPr="000B0ED5" w:rsidRDefault="008977DD" w:rsidP="00104B72">
      <w:pPr>
        <w:spacing w:after="0" w:line="240" w:lineRule="auto"/>
        <w:jc w:val="both"/>
        <w:rPr>
          <w:rFonts w:ascii="Verdana" w:eastAsia="Verdana" w:hAnsi="Verdana" w:cs="Verdana"/>
          <w:b/>
        </w:rPr>
      </w:pPr>
    </w:p>
    <w:p w14:paraId="57604FF1" w14:textId="77777777" w:rsidR="008977DD" w:rsidRPr="00621920" w:rsidRDefault="008977DD" w:rsidP="00104B72">
      <w:pPr>
        <w:spacing w:after="0" w:line="240" w:lineRule="auto"/>
        <w:jc w:val="both"/>
        <w:rPr>
          <w:rFonts w:ascii="Verdana" w:eastAsia="Verdana" w:hAnsi="Verdana" w:cs="Verdana"/>
          <w:b/>
          <w:lang w:val="es-ES"/>
        </w:rPr>
      </w:pPr>
      <w:r w:rsidRPr="00621920">
        <w:rPr>
          <w:rFonts w:ascii="Verdana" w:eastAsia="Verdana" w:hAnsi="Verdana" w:cs="Verdana"/>
          <w:b/>
          <w:lang w:val="es-ES"/>
        </w:rPr>
        <w:t xml:space="preserve">VIGILANCIA Y CONTROL – Deber – Análisis integral – Entidad Contratante </w:t>
      </w:r>
    </w:p>
    <w:p w14:paraId="6AD8FDF3" w14:textId="77777777" w:rsidR="008977DD" w:rsidRPr="00844435" w:rsidRDefault="008977DD" w:rsidP="00104B72">
      <w:pPr>
        <w:spacing w:after="0" w:line="240" w:lineRule="auto"/>
        <w:jc w:val="both"/>
        <w:rPr>
          <w:rFonts w:ascii="Verdana" w:eastAsia="Verdana" w:hAnsi="Verdana" w:cs="Verdana"/>
          <w:bCs/>
          <w:lang w:val="es-ES"/>
        </w:rPr>
      </w:pPr>
    </w:p>
    <w:p w14:paraId="3EDB1A93" w14:textId="77777777" w:rsidR="00844435" w:rsidRPr="00844435" w:rsidRDefault="00844435" w:rsidP="00104B72">
      <w:pPr>
        <w:spacing w:after="0" w:line="240" w:lineRule="auto"/>
        <w:jc w:val="both"/>
        <w:rPr>
          <w:rFonts w:ascii="Verdana" w:eastAsia="Verdana" w:hAnsi="Verdana" w:cs="Verdana"/>
          <w:bCs/>
          <w:sz w:val="20"/>
          <w:szCs w:val="20"/>
        </w:rPr>
      </w:pPr>
      <w:r w:rsidRPr="00844435">
        <w:rPr>
          <w:rFonts w:ascii="Verdana" w:eastAsia="Verdana" w:hAnsi="Verdana" w:cs="Verdana"/>
          <w:bCs/>
          <w:sz w:val="20"/>
          <w:szCs w:val="20"/>
        </w:rPr>
        <w:t xml:space="preserve">Por ello, verificada </w:t>
      </w:r>
      <w:proofErr w:type="gramStart"/>
      <w:r w:rsidRPr="00844435">
        <w:rPr>
          <w:rFonts w:ascii="Verdana" w:eastAsia="Verdana" w:hAnsi="Verdana" w:cs="Verdana"/>
          <w:bCs/>
          <w:sz w:val="20"/>
          <w:szCs w:val="20"/>
        </w:rPr>
        <w:t>una no</w:t>
      </w:r>
      <w:proofErr w:type="gramEnd"/>
      <w:r w:rsidRPr="00844435">
        <w:rPr>
          <w:rFonts w:ascii="Verdana" w:eastAsia="Verdana" w:hAnsi="Verdana" w:cs="Verdana"/>
          <w:bCs/>
          <w:sz w:val="20"/>
          <w:szCs w:val="20"/>
        </w:rPr>
        <w:t xml:space="preserve"> conformidad, la regla general es que el contratista corrija o rehaga la unidad de obra a su costa, dado que la ejecución material y su calidad le corresponden. Si la entidad, en ejercicio de su deber indelegable de dirección y control, considera admisible la unidad de obra pese a no ajustarse a los criterios pactados, la vía jurídicamente correcta no es la mera instrucción, sino una decisión escrita y motivada </w:t>
      </w:r>
      <w:r w:rsidRPr="00844435">
        <w:rPr>
          <w:rFonts w:ascii="Verdana" w:eastAsia="Verdana" w:hAnsi="Verdana" w:cs="Verdana"/>
          <w:bCs/>
          <w:sz w:val="20"/>
          <w:szCs w:val="20"/>
        </w:rPr>
        <w:lastRenderedPageBreak/>
        <w:t>que, según la naturaleza de la variación, se formalice mediante la modificación del contrato —cuando el cambio de especificaciones sea técnica y jurídicamente admisible y respete el objeto y el equilibrio del contrato (artículos 14 y 40 de la Ley 80 de 1993)— o mediante el reconocimiento económico proporcional al valor efectivamente recibido, cuando la unidad, aun sin cumplir íntegramente, resulte aprovechable para la finalidad del contrato.</w:t>
      </w:r>
    </w:p>
    <w:p w14:paraId="2EC04DDD" w14:textId="77777777" w:rsidR="00844435" w:rsidRPr="00844435" w:rsidRDefault="00844435" w:rsidP="00104B72">
      <w:pPr>
        <w:spacing w:after="0" w:line="240" w:lineRule="auto"/>
        <w:jc w:val="both"/>
        <w:rPr>
          <w:rFonts w:ascii="Verdana" w:eastAsia="Verdana" w:hAnsi="Verdana" w:cs="Verdana"/>
          <w:bCs/>
          <w:sz w:val="20"/>
          <w:szCs w:val="20"/>
        </w:rPr>
      </w:pPr>
    </w:p>
    <w:p w14:paraId="7697430E" w14:textId="08130907" w:rsidR="00844435" w:rsidRDefault="00844435" w:rsidP="00104B72">
      <w:pPr>
        <w:spacing w:after="0" w:line="240" w:lineRule="auto"/>
        <w:jc w:val="both"/>
        <w:rPr>
          <w:rFonts w:ascii="Verdana" w:eastAsia="Verdana" w:hAnsi="Verdana" w:cs="Verdana"/>
          <w:bCs/>
          <w:sz w:val="20"/>
          <w:szCs w:val="20"/>
        </w:rPr>
      </w:pPr>
      <w:r w:rsidRPr="00844435">
        <w:rPr>
          <w:rFonts w:ascii="Verdana" w:eastAsia="Verdana" w:hAnsi="Verdana" w:cs="Verdana"/>
          <w:bCs/>
          <w:sz w:val="20"/>
          <w:szCs w:val="20"/>
        </w:rPr>
        <w:t xml:space="preserve">Lo anterior encuentra respaldo en que el recibo de la obra no tiene efecto </w:t>
      </w:r>
      <w:proofErr w:type="spellStart"/>
      <w:r w:rsidRPr="00844435">
        <w:rPr>
          <w:rFonts w:ascii="Verdana" w:eastAsia="Verdana" w:hAnsi="Verdana" w:cs="Verdana"/>
          <w:bCs/>
          <w:sz w:val="20"/>
          <w:szCs w:val="20"/>
        </w:rPr>
        <w:t>saneador</w:t>
      </w:r>
      <w:proofErr w:type="spellEnd"/>
      <w:r w:rsidRPr="00844435">
        <w:rPr>
          <w:rFonts w:ascii="Verdana" w:eastAsia="Verdana" w:hAnsi="Verdana" w:cs="Verdana"/>
          <w:bCs/>
          <w:sz w:val="20"/>
          <w:szCs w:val="20"/>
        </w:rPr>
        <w:t xml:space="preserve"> de sus defectos. El artículo 2060, regla 3.ª, del Código Civil dispone que «[e]l recibo otorgado por el dueño, después de concluida la obra, sólo significa que el dueño la aprueba, como exteriormente ajustada al plan y a las reglas del arte, y no exime al empresario de la responsabilidad». De este modo, aceptar y pagar por su valor íntegro una unidad de obra no conforme, sin ajuste del precio ni justificación técnica y jurídica suficiente, puede comprometer la responsabilidad de los servidores intervinientes y configurar un daño patrimonial al Estado (artículo 6 de la Ley 610 de 2000), además de no relevar al contratista de responder por la estabilidad y la calidad de la obra.</w:t>
      </w:r>
    </w:p>
    <w:p w14:paraId="6C8FED6C" w14:textId="77777777" w:rsidR="00844435" w:rsidRPr="00844435" w:rsidRDefault="00844435" w:rsidP="00104B72">
      <w:pPr>
        <w:spacing w:after="0" w:line="240" w:lineRule="auto"/>
        <w:jc w:val="both"/>
        <w:rPr>
          <w:rFonts w:ascii="Verdana" w:eastAsia="Verdana" w:hAnsi="Verdana" w:cs="Verdana"/>
          <w:bCs/>
          <w:sz w:val="20"/>
          <w:szCs w:val="20"/>
        </w:rPr>
      </w:pPr>
    </w:p>
    <w:p w14:paraId="663FC182" w14:textId="257CDDF2" w:rsidR="008977DD" w:rsidRPr="00621920" w:rsidRDefault="008977DD" w:rsidP="00104B72">
      <w:pPr>
        <w:spacing w:after="0" w:line="240" w:lineRule="auto"/>
        <w:jc w:val="both"/>
        <w:rPr>
          <w:rFonts w:ascii="Verdana" w:eastAsia="Verdana" w:hAnsi="Verdana" w:cs="Verdana"/>
          <w:b/>
        </w:rPr>
      </w:pPr>
      <w:r w:rsidRPr="00621920">
        <w:rPr>
          <w:rFonts w:ascii="Verdana" w:eastAsia="Verdana" w:hAnsi="Verdana" w:cs="Verdana"/>
          <w:b/>
          <w:lang w:val="es-ES"/>
        </w:rPr>
        <w:t>VIGILANCIA Y CONTROL</w:t>
      </w:r>
      <w:r w:rsidR="00543C6A">
        <w:rPr>
          <w:rFonts w:ascii="Verdana" w:eastAsia="Verdana" w:hAnsi="Verdana" w:cs="Verdana"/>
          <w:b/>
          <w:lang w:val="es-ES"/>
        </w:rPr>
        <w:t xml:space="preserve"> </w:t>
      </w:r>
      <w:r w:rsidRPr="00621920">
        <w:rPr>
          <w:rFonts w:ascii="Verdana" w:eastAsia="Verdana" w:hAnsi="Verdana" w:cs="Verdana"/>
          <w:b/>
          <w:lang w:val="es-ES"/>
        </w:rPr>
        <w:t xml:space="preserve">– Responsabilidad – Interventoría – Entidad contratante </w:t>
      </w:r>
    </w:p>
    <w:p w14:paraId="1D64ABEA" w14:textId="77777777" w:rsidR="008977DD" w:rsidRDefault="008977DD" w:rsidP="00104B72">
      <w:pPr>
        <w:spacing w:after="0" w:line="240" w:lineRule="auto"/>
        <w:rPr>
          <w:rFonts w:ascii="Verdana" w:eastAsia="Verdana" w:hAnsi="Verdana" w:cs="Verdana"/>
        </w:rPr>
      </w:pPr>
    </w:p>
    <w:p w14:paraId="3C700A7F" w14:textId="470364C5" w:rsidR="007B12E9" w:rsidRDefault="007B12E9" w:rsidP="00104B72">
      <w:pPr>
        <w:spacing w:after="0" w:line="240" w:lineRule="auto"/>
        <w:jc w:val="both"/>
        <w:rPr>
          <w:rFonts w:ascii="Verdana" w:eastAsia="Verdana" w:hAnsi="Verdana" w:cs="Verdana"/>
          <w:sz w:val="20"/>
          <w:szCs w:val="20"/>
        </w:rPr>
      </w:pPr>
      <w:r w:rsidRPr="00104B72">
        <w:rPr>
          <w:rFonts w:ascii="Verdana" w:eastAsia="Verdana" w:hAnsi="Verdana" w:cs="Verdana"/>
          <w:sz w:val="20"/>
          <w:szCs w:val="20"/>
        </w:rPr>
        <w:t>En cuanto a las actuaciones que debe adelantar la interventoría cuando la decisión de la entidad difiere de su concepto técnico, la Guía para el ejercicio de las funciones de supervisión e interventoría de los contratos suscritos por las Entidades Estatales, expedida por esta Agencia, orienta que corresponde «[a]probar o rechazar por escrito, de forma oportuna y motivada la entrega de los bienes o servicios, cuando estos no se ajustan a lo requerido», así como suscribir las actas que documenten la ejecución, impartir por escrito las órdenes y requerimientos y publicarlos en el SECOP. En esa medida, la interventoría debe dejar constancia escrita de la no conformidad, requerir formalmente al contratista, consignar sus advertencias en los informes y en la bitácora, y comunicar a la entidad la situación solicitando la decisión motivada, reservándose, cuando los hechos lo ameriten, el reporte a los organismos de control. Estos soportes son los que permiten acreditar el cumplimiento diligente de sus deberes, máxime cuando la interventoría, ejercida por un particular, es sujeto disciplinable conforme al artículo 70 de la Ley 1952 de 2019, sin que la instrucción de la entidad la habilite para certificar una conformidad inexistente.</w:t>
      </w:r>
    </w:p>
    <w:p w14:paraId="785A91C0" w14:textId="77777777" w:rsidR="00104B72" w:rsidRPr="00104B72" w:rsidRDefault="00104B72" w:rsidP="00104B72">
      <w:pPr>
        <w:spacing w:after="0" w:line="240" w:lineRule="auto"/>
        <w:jc w:val="both"/>
        <w:rPr>
          <w:rFonts w:ascii="Verdana" w:eastAsia="Verdana" w:hAnsi="Verdana" w:cs="Verdana"/>
          <w:sz w:val="20"/>
          <w:szCs w:val="20"/>
        </w:rPr>
      </w:pPr>
    </w:p>
    <w:p w14:paraId="314F8B2C" w14:textId="77777777" w:rsidR="007B12E9" w:rsidRPr="00104B72" w:rsidRDefault="007B12E9" w:rsidP="00104B72">
      <w:pPr>
        <w:spacing w:after="0" w:line="240" w:lineRule="auto"/>
        <w:jc w:val="both"/>
        <w:rPr>
          <w:rFonts w:ascii="Verdana" w:eastAsia="Verdana" w:hAnsi="Verdana" w:cs="Verdana"/>
          <w:sz w:val="20"/>
          <w:szCs w:val="20"/>
        </w:rPr>
      </w:pPr>
      <w:r w:rsidRPr="00104B72">
        <w:rPr>
          <w:rFonts w:ascii="Verdana" w:eastAsia="Verdana" w:hAnsi="Verdana" w:cs="Verdana"/>
          <w:sz w:val="20"/>
          <w:szCs w:val="20"/>
        </w:rPr>
        <w:t xml:space="preserve">Finalmente, la sujeción de la interventoría a las directrices de la entidad no alcanza a las órdenes que la conminen a avalar técnicamente lo que no cumple. Como se expuso, la vigilancia es una función de control y no de </w:t>
      </w:r>
      <w:proofErr w:type="spellStart"/>
      <w:r w:rsidRPr="00104B72">
        <w:rPr>
          <w:rFonts w:ascii="Verdana" w:eastAsia="Verdana" w:hAnsi="Verdana" w:cs="Verdana"/>
          <w:sz w:val="20"/>
          <w:szCs w:val="20"/>
        </w:rPr>
        <w:t>coejecución</w:t>
      </w:r>
      <w:proofErr w:type="spellEnd"/>
      <w:r w:rsidRPr="00104B72">
        <w:rPr>
          <w:rFonts w:ascii="Verdana" w:eastAsia="Verdana" w:hAnsi="Verdana" w:cs="Verdana"/>
          <w:sz w:val="20"/>
          <w:szCs w:val="20"/>
        </w:rPr>
        <w:t>, de suerte que el interventor conserva su autonomía técnica y no puede ser obligado a suscribir certificaciones contrarias a la realidad. En tales eventos, su deber se satisface dejando la salvedad correspondiente y trasladando a la entidad la decisión, con la constancia documental que la respalde.</w:t>
      </w:r>
    </w:p>
    <w:p w14:paraId="125E69BC" w14:textId="77777777" w:rsidR="008977DD" w:rsidRPr="00104B72" w:rsidRDefault="008977DD" w:rsidP="00104B72">
      <w:pPr>
        <w:spacing w:after="0" w:line="240" w:lineRule="auto"/>
        <w:jc w:val="both"/>
        <w:rPr>
          <w:rFonts w:ascii="Verdana" w:eastAsia="Verdana" w:hAnsi="Verdana" w:cs="Verdana"/>
          <w:sz w:val="20"/>
          <w:szCs w:val="20"/>
        </w:rPr>
      </w:pPr>
    </w:p>
    <w:p w14:paraId="7FA37E88" w14:textId="77777777" w:rsidR="008977DD" w:rsidRDefault="008977DD" w:rsidP="00226797">
      <w:pPr>
        <w:spacing w:after="0"/>
        <w:rPr>
          <w:rFonts w:ascii="Verdana" w:eastAsia="Verdana" w:hAnsi="Verdana" w:cs="Verdana"/>
        </w:rPr>
      </w:pPr>
    </w:p>
    <w:p w14:paraId="57319742" w14:textId="4B0AFD48" w:rsidR="00226797" w:rsidRPr="00302A13" w:rsidRDefault="005E52CE" w:rsidP="00226797">
      <w:pPr>
        <w:spacing w:after="0"/>
        <w:rPr>
          <w:rFonts w:ascii="Verdana" w:hAnsi="Verdana"/>
        </w:rPr>
      </w:pPr>
      <w:r w:rsidRPr="005E52CE">
        <w:rPr>
          <w:noProof/>
        </w:rPr>
        <w:lastRenderedPageBreak/>
        <w:drawing>
          <wp:anchor distT="0" distB="0" distL="114300" distR="114300" simplePos="0" relativeHeight="251658240" behindDoc="0" locked="0" layoutInCell="1" allowOverlap="1" wp14:anchorId="7192CC88" wp14:editId="7B4A61B4">
            <wp:simplePos x="0" y="0"/>
            <wp:positionH relativeFrom="column">
              <wp:posOffset>3115310</wp:posOffset>
            </wp:positionH>
            <wp:positionV relativeFrom="paragraph">
              <wp:posOffset>121920</wp:posOffset>
            </wp:positionV>
            <wp:extent cx="2608580" cy="721995"/>
            <wp:effectExtent l="0" t="0" r="1270" b="1905"/>
            <wp:wrapSquare wrapText="bothSides"/>
            <wp:docPr id="4585464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8580" cy="721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6797" w:rsidRPr="00302A13">
        <w:rPr>
          <w:rFonts w:ascii="Verdana" w:eastAsia="Verdana" w:hAnsi="Verdana" w:cs="Verdana"/>
        </w:rPr>
        <w:t xml:space="preserve">Bogotá D.C., </w:t>
      </w:r>
      <w:r w:rsidR="00D372E3">
        <w:rPr>
          <w:rFonts w:ascii="Verdana" w:eastAsia="Verdana" w:hAnsi="Verdana" w:cs="Verdana"/>
        </w:rPr>
        <w:t>21 de septiembre de 2026</w:t>
      </w:r>
      <w:r w:rsidR="00226797" w:rsidRPr="00302A13">
        <w:tab/>
      </w:r>
      <w:r w:rsidR="00226797" w:rsidRPr="00302A13">
        <w:br/>
      </w:r>
    </w:p>
    <w:p w14:paraId="2484A15C" w14:textId="77777777" w:rsidR="00226797" w:rsidRPr="00302A13" w:rsidRDefault="00226797" w:rsidP="00226797">
      <w:pPr>
        <w:spacing w:after="0" w:line="240" w:lineRule="auto"/>
        <w:rPr>
          <w:rFonts w:ascii="Verdana" w:hAnsi="Verdana"/>
        </w:rPr>
      </w:pPr>
    </w:p>
    <w:p w14:paraId="0F2F0CDC" w14:textId="77777777" w:rsidR="00226797" w:rsidRPr="00302A13" w:rsidRDefault="00226797" w:rsidP="00226797">
      <w:pPr>
        <w:spacing w:after="0" w:line="240" w:lineRule="auto"/>
        <w:rPr>
          <w:rFonts w:ascii="Verdana" w:eastAsia="Calibri" w:hAnsi="Verdana" w:cs="Times New Roman"/>
          <w:lang w:val="es-MX"/>
        </w:rPr>
      </w:pPr>
      <w:r w:rsidRPr="00302A13">
        <w:rPr>
          <w:rFonts w:ascii="Verdana" w:eastAsia="Calibri" w:hAnsi="Verdana" w:cs="Times New Roman"/>
          <w:lang w:val="es-MX"/>
        </w:rPr>
        <w:t>Señora</w:t>
      </w:r>
    </w:p>
    <w:p w14:paraId="1B0CFD82" w14:textId="77777777" w:rsidR="00226797" w:rsidRPr="00302A13" w:rsidRDefault="00226797" w:rsidP="00226797">
      <w:pPr>
        <w:spacing w:after="0" w:line="240" w:lineRule="auto"/>
        <w:rPr>
          <w:rFonts w:ascii="Verdana" w:eastAsia="Calibri" w:hAnsi="Verdana" w:cs="Times New Roman"/>
          <w:b/>
        </w:rPr>
      </w:pPr>
      <w:r w:rsidRPr="00302A13">
        <w:rPr>
          <w:rFonts w:ascii="Verdana" w:eastAsia="Calibri" w:hAnsi="Verdana" w:cs="Times New Roman"/>
          <w:b/>
        </w:rPr>
        <w:t>María Clara Potes Mazuera</w:t>
      </w:r>
    </w:p>
    <w:p w14:paraId="5C6636CC" w14:textId="77777777" w:rsidR="00226797" w:rsidRPr="00302A13" w:rsidRDefault="00226797" w:rsidP="00226797">
      <w:pPr>
        <w:spacing w:after="0" w:line="240" w:lineRule="auto"/>
        <w:rPr>
          <w:rFonts w:ascii="Verdana" w:hAnsi="Verdana"/>
        </w:rPr>
      </w:pPr>
      <w:hyperlink r:id="rId12" w:history="1">
        <w:r w:rsidRPr="00302A13">
          <w:rPr>
            <w:rStyle w:val="Hipervnculo"/>
            <w:rFonts w:ascii="Verdana" w:hAnsi="Verdana"/>
          </w:rPr>
          <w:t>mariacpm2010@gmail.com;arangel@procuraduria.gov.co</w:t>
        </w:r>
      </w:hyperlink>
    </w:p>
    <w:p w14:paraId="58511064" w14:textId="77777777" w:rsidR="00226797" w:rsidRPr="00302A13" w:rsidRDefault="00226797" w:rsidP="00226797">
      <w:pPr>
        <w:spacing w:after="0" w:line="240" w:lineRule="auto"/>
        <w:rPr>
          <w:rFonts w:ascii="Verdana" w:eastAsia="Calibri" w:hAnsi="Verdana" w:cs="Times New Roman"/>
          <w:bCs/>
        </w:rPr>
      </w:pPr>
      <w:r w:rsidRPr="00302A13">
        <w:rPr>
          <w:rFonts w:ascii="Verdana" w:eastAsia="Calibri" w:hAnsi="Verdana" w:cs="Times New Roman"/>
          <w:bCs/>
        </w:rPr>
        <w:t>Villamaría-Caldas</w:t>
      </w:r>
    </w:p>
    <w:p w14:paraId="38EEB5D4" w14:textId="77777777" w:rsidR="00226797" w:rsidRPr="00302A13" w:rsidRDefault="00226797" w:rsidP="00226797">
      <w:pPr>
        <w:spacing w:after="0" w:line="240" w:lineRule="auto"/>
        <w:rPr>
          <w:rFonts w:ascii="Verdana" w:eastAsia="Calibri" w:hAnsi="Verdana" w:cs="Times New Roman"/>
        </w:rPr>
      </w:pPr>
    </w:p>
    <w:p w14:paraId="38C25644" w14:textId="77777777" w:rsidR="00226797" w:rsidRPr="00302A13" w:rsidRDefault="00226797" w:rsidP="00226797">
      <w:pPr>
        <w:spacing w:after="0" w:line="240" w:lineRule="auto"/>
        <w:rPr>
          <w:rFonts w:ascii="Verdana" w:eastAsia="Calibri" w:hAnsi="Verdana" w:cs="Times New Roman"/>
        </w:rPr>
      </w:pPr>
    </w:p>
    <w:p w14:paraId="127436CA" w14:textId="08CB1783" w:rsidR="00226797" w:rsidRPr="00302A13" w:rsidRDefault="00226797" w:rsidP="00226797">
      <w:pPr>
        <w:spacing w:after="0" w:line="240" w:lineRule="auto"/>
        <w:rPr>
          <w:rFonts w:ascii="Verdana" w:eastAsia="Calibri" w:hAnsi="Verdana" w:cs="Times New Roman"/>
          <w:b/>
          <w:bCs/>
          <w:lang w:val="es-ES"/>
        </w:rPr>
      </w:pPr>
      <w:r w:rsidRPr="00302A13">
        <w:rPr>
          <w:rFonts w:ascii="Verdana" w:eastAsia="Calibri" w:hAnsi="Verdana" w:cs="Times New Roman"/>
          <w:b/>
          <w:bCs/>
          <w:lang w:val="es-ES"/>
        </w:rPr>
        <w:t xml:space="preserve">                                    Concepto C</w:t>
      </w:r>
      <w:r w:rsidR="00543C6A">
        <w:rPr>
          <w:rFonts w:ascii="Verdana" w:eastAsia="Calibri" w:hAnsi="Verdana" w:cs="Times New Roman"/>
          <w:b/>
          <w:bCs/>
          <w:lang w:val="es-ES"/>
        </w:rPr>
        <w:t>-</w:t>
      </w:r>
      <w:r w:rsidRPr="00302A13">
        <w:rPr>
          <w:rFonts w:ascii="Verdana" w:eastAsia="Calibri" w:hAnsi="Verdana" w:cs="Times New Roman"/>
          <w:b/>
          <w:bCs/>
          <w:lang w:val="es-ES"/>
        </w:rPr>
        <w:t>1316 de 2026</w:t>
      </w:r>
    </w:p>
    <w:p w14:paraId="0F668CD2" w14:textId="77777777" w:rsidR="00226797" w:rsidRPr="00302A13" w:rsidRDefault="00226797" w:rsidP="00226797">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26797" w:rsidRPr="00302A13" w14:paraId="6B1A20BB" w14:textId="77777777" w:rsidTr="00DD563B">
        <w:trPr>
          <w:trHeight w:val="645"/>
        </w:trPr>
        <w:tc>
          <w:tcPr>
            <w:tcW w:w="2685" w:type="dxa"/>
            <w:hideMark/>
          </w:tcPr>
          <w:p w14:paraId="6C3518EC" w14:textId="77777777" w:rsidR="00226797" w:rsidRPr="00302A13" w:rsidRDefault="00226797" w:rsidP="00DD563B">
            <w:pPr>
              <w:rPr>
                <w:rFonts w:ascii="Verdana" w:hAnsi="Verdana"/>
                <w:b/>
                <w:bCs/>
                <w:lang w:val="es-ES_tradnl"/>
              </w:rPr>
            </w:pPr>
            <w:r w:rsidRPr="00302A13">
              <w:rPr>
                <w:rFonts w:ascii="Verdana" w:hAnsi="Verdana"/>
                <w:b/>
                <w:bCs/>
                <w:lang w:val="es-ES_tradnl"/>
              </w:rPr>
              <w:t xml:space="preserve">Temas:                  </w:t>
            </w:r>
          </w:p>
        </w:tc>
        <w:tc>
          <w:tcPr>
            <w:tcW w:w="6241" w:type="dxa"/>
            <w:hideMark/>
          </w:tcPr>
          <w:p w14:paraId="4C09FE42" w14:textId="439165B3" w:rsidR="00226797" w:rsidRPr="00302A13" w:rsidRDefault="00226797" w:rsidP="00DD563B">
            <w:pPr>
              <w:snapToGrid w:val="0"/>
              <w:spacing w:line="276" w:lineRule="auto"/>
              <w:jc w:val="both"/>
              <w:rPr>
                <w:rFonts w:ascii="Verdana" w:hAnsi="Verdana" w:cs="Arial"/>
                <w:bCs/>
                <w:lang w:val="es-ES" w:eastAsia="es-ES"/>
              </w:rPr>
            </w:pPr>
            <w:r w:rsidRPr="00302A13">
              <w:rPr>
                <w:rFonts w:ascii="Verdana" w:hAnsi="Verdana" w:cs="Arial"/>
                <w:bCs/>
                <w:lang w:val="es-ES" w:eastAsia="es-ES"/>
              </w:rPr>
              <w:t xml:space="preserve">CONTRATO ESTATAL – Ejercicio – Funciones de control y vigilancia / CONTRATO ESTATAL – Supervisión – Interventoría – características / INTERVENTORÍA   Y SUPERVISIÓN – Funciones - Deberes / VIGILANCIA Y CONTROL – Supervisión e interventoría – Ejercicio – Funciones administrativas / SUPERVISIÓN E INTERVENTORÍA – Deberes – Metodología / INTERVENTORIA – Deber – Revisión - Condiciones técnicas – Información / VIGILANCIA Y CONTROL – Deber – Análisis integral – Entidad Contratante / VIGILANCIA Y CONTROL– Responsabilidad – Interventoría – Entidad contratante </w:t>
            </w:r>
          </w:p>
        </w:tc>
        <w:tc>
          <w:tcPr>
            <w:tcW w:w="6237" w:type="dxa"/>
          </w:tcPr>
          <w:p w14:paraId="366C12CD" w14:textId="77777777" w:rsidR="00226797" w:rsidRPr="00302A13" w:rsidRDefault="00226797" w:rsidP="00DD563B">
            <w:pPr>
              <w:rPr>
                <w:rFonts w:ascii="Verdana" w:hAnsi="Verdana"/>
                <w:lang w:val="es-ES"/>
              </w:rPr>
            </w:pPr>
          </w:p>
        </w:tc>
      </w:tr>
      <w:tr w:rsidR="00226797" w:rsidRPr="00302A13" w14:paraId="37379116" w14:textId="77777777" w:rsidTr="00DD563B">
        <w:tc>
          <w:tcPr>
            <w:tcW w:w="2685" w:type="dxa"/>
          </w:tcPr>
          <w:p w14:paraId="6466931A" w14:textId="77777777" w:rsidR="00226797" w:rsidRPr="00302A13" w:rsidRDefault="00226797" w:rsidP="00DD563B">
            <w:pPr>
              <w:rPr>
                <w:rFonts w:ascii="Verdana" w:hAnsi="Verdana"/>
                <w:b/>
                <w:bCs/>
                <w:lang w:val="es-ES_tradnl"/>
              </w:rPr>
            </w:pPr>
          </w:p>
          <w:p w14:paraId="4E263F4F" w14:textId="77777777" w:rsidR="00226797" w:rsidRPr="00302A13" w:rsidRDefault="00226797" w:rsidP="00DD563B">
            <w:pPr>
              <w:rPr>
                <w:rFonts w:ascii="Verdana" w:hAnsi="Verdana"/>
                <w:b/>
                <w:bCs/>
                <w:lang w:val="es-ES_tradnl"/>
              </w:rPr>
            </w:pPr>
          </w:p>
          <w:p w14:paraId="2C57A500" w14:textId="77777777" w:rsidR="00226797" w:rsidRPr="00302A13" w:rsidRDefault="00226797" w:rsidP="00DD563B">
            <w:pPr>
              <w:rPr>
                <w:rFonts w:ascii="Verdana" w:hAnsi="Verdana"/>
                <w:b/>
                <w:bCs/>
                <w:lang w:val="es-ES_tradnl"/>
              </w:rPr>
            </w:pPr>
            <w:r w:rsidRPr="00302A13">
              <w:rPr>
                <w:rFonts w:ascii="Verdana" w:hAnsi="Verdana"/>
                <w:b/>
                <w:bCs/>
                <w:lang w:val="es-ES_tradnl"/>
              </w:rPr>
              <w:t xml:space="preserve">Radicación:               </w:t>
            </w:r>
          </w:p>
        </w:tc>
        <w:tc>
          <w:tcPr>
            <w:tcW w:w="6241" w:type="dxa"/>
          </w:tcPr>
          <w:p w14:paraId="3961A8AC" w14:textId="77777777" w:rsidR="00226797" w:rsidRPr="00302A13" w:rsidRDefault="00226797" w:rsidP="00DD563B">
            <w:pPr>
              <w:spacing w:line="276" w:lineRule="auto"/>
              <w:jc w:val="both"/>
              <w:rPr>
                <w:rFonts w:ascii="Verdana" w:hAnsi="Verdana"/>
                <w:lang w:val="es-ES_tradnl"/>
              </w:rPr>
            </w:pPr>
          </w:p>
          <w:p w14:paraId="7290A6BF" w14:textId="77777777" w:rsidR="00226797" w:rsidRPr="00302A13" w:rsidRDefault="00226797" w:rsidP="00DD563B">
            <w:pPr>
              <w:spacing w:line="276" w:lineRule="auto"/>
              <w:jc w:val="both"/>
              <w:rPr>
                <w:rFonts w:ascii="Verdana" w:hAnsi="Verdana"/>
                <w:lang w:val="es-ES_tradnl"/>
              </w:rPr>
            </w:pPr>
          </w:p>
          <w:p w14:paraId="3259EC8B" w14:textId="77777777" w:rsidR="00226797" w:rsidRPr="00302A13" w:rsidRDefault="00226797" w:rsidP="00DD563B">
            <w:pPr>
              <w:spacing w:line="276" w:lineRule="auto"/>
              <w:jc w:val="both"/>
              <w:rPr>
                <w:rFonts w:ascii="Verdana" w:hAnsi="Verdana"/>
                <w:lang w:val="es-ES_tradnl"/>
              </w:rPr>
            </w:pPr>
            <w:r w:rsidRPr="00302A13">
              <w:rPr>
                <w:rFonts w:ascii="Verdana" w:hAnsi="Verdana"/>
                <w:lang w:val="es-ES_tradnl"/>
              </w:rPr>
              <w:t xml:space="preserve">Respuesta a consulta con radicado </w:t>
            </w:r>
            <w:r w:rsidRPr="00302A13">
              <w:rPr>
                <w:rFonts w:ascii="Verdana" w:hAnsi="Verdana"/>
              </w:rPr>
              <w:t>1_2026_08_20_011065 y 1_2026_08_20_011072 (acumulados)</w:t>
            </w:r>
          </w:p>
          <w:p w14:paraId="3ED44D6A" w14:textId="77777777" w:rsidR="00226797" w:rsidRPr="00302A13" w:rsidRDefault="00226797" w:rsidP="00DD563B">
            <w:pPr>
              <w:spacing w:line="276" w:lineRule="auto"/>
              <w:jc w:val="both"/>
              <w:rPr>
                <w:rFonts w:ascii="Verdana" w:hAnsi="Verdana"/>
              </w:rPr>
            </w:pPr>
          </w:p>
          <w:p w14:paraId="71AAA8D5" w14:textId="77777777" w:rsidR="00226797" w:rsidRPr="00302A13" w:rsidRDefault="00226797" w:rsidP="00DD563B">
            <w:pPr>
              <w:spacing w:line="276" w:lineRule="auto"/>
              <w:jc w:val="both"/>
              <w:rPr>
                <w:rFonts w:ascii="Verdana" w:hAnsi="Verdana"/>
              </w:rPr>
            </w:pPr>
          </w:p>
        </w:tc>
        <w:tc>
          <w:tcPr>
            <w:tcW w:w="6237" w:type="dxa"/>
          </w:tcPr>
          <w:p w14:paraId="3B1BDE9A" w14:textId="77777777" w:rsidR="00226797" w:rsidRPr="00302A13" w:rsidRDefault="00226797" w:rsidP="00DD563B">
            <w:pPr>
              <w:rPr>
                <w:rFonts w:ascii="Verdana" w:hAnsi="Verdana"/>
              </w:rPr>
            </w:pPr>
          </w:p>
        </w:tc>
      </w:tr>
    </w:tbl>
    <w:p w14:paraId="69C5DC58" w14:textId="77777777" w:rsidR="00226797" w:rsidRPr="00302A13" w:rsidRDefault="00226797" w:rsidP="00226797">
      <w:pPr>
        <w:spacing w:after="0" w:line="256" w:lineRule="auto"/>
        <w:rPr>
          <w:rFonts w:ascii="Verdana" w:eastAsia="Calibri" w:hAnsi="Verdana" w:cs="Times New Roman"/>
          <w:lang w:val="es-ES"/>
        </w:rPr>
      </w:pPr>
      <w:r w:rsidRPr="00302A13">
        <w:rPr>
          <w:rFonts w:ascii="Verdana" w:eastAsia="Calibri" w:hAnsi="Verdana" w:cs="Times New Roman"/>
          <w:lang w:val="es-ES"/>
        </w:rPr>
        <w:t xml:space="preserve">Estimada Señora Potes: </w:t>
      </w:r>
    </w:p>
    <w:p w14:paraId="66A316A0" w14:textId="77777777" w:rsidR="00226797" w:rsidRPr="00302A13" w:rsidRDefault="00226797" w:rsidP="00226797">
      <w:pPr>
        <w:spacing w:after="0" w:line="276" w:lineRule="auto"/>
        <w:rPr>
          <w:rFonts w:ascii="Verdana" w:eastAsia="Calibri" w:hAnsi="Verdana" w:cs="Times New Roman"/>
          <w:lang w:val="es-ES"/>
        </w:rPr>
      </w:pPr>
    </w:p>
    <w:p w14:paraId="19A7DF3B" w14:textId="77777777" w:rsidR="00226797" w:rsidRPr="00302A13" w:rsidRDefault="00226797" w:rsidP="00226797">
      <w:pPr>
        <w:spacing w:after="0" w:line="276" w:lineRule="auto"/>
        <w:jc w:val="both"/>
        <w:rPr>
          <w:rFonts w:ascii="Verdana" w:eastAsia="Calibri" w:hAnsi="Verdana" w:cs="Times New Roman"/>
          <w:bCs/>
          <w:lang w:val="es-ES" w:bidi="es-ES"/>
        </w:rPr>
      </w:pPr>
      <w:r w:rsidRPr="00302A13">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302A13">
        <w:rPr>
          <w:rFonts w:ascii="Verdana" w:eastAsia="Calibri" w:hAnsi="Verdana" w:cs="Times New Roman"/>
          <w:bCs/>
          <w:lang w:bidi="es-ES"/>
        </w:rPr>
        <w:lastRenderedPageBreak/>
        <w:t>N°</w:t>
      </w:r>
      <w:proofErr w:type="spellEnd"/>
      <w:r w:rsidRPr="00302A13">
        <w:rPr>
          <w:rFonts w:ascii="Verdana" w:eastAsia="Calibri" w:hAnsi="Verdana" w:cs="Times New Roman"/>
          <w:bCs/>
          <w:lang w:bidi="es-ES"/>
        </w:rPr>
        <w:t xml:space="preserve"> 469 del 2025 expedida por esta Agencia, </w:t>
      </w:r>
      <w:r w:rsidRPr="00302A13">
        <w:rPr>
          <w:rFonts w:ascii="Verdana" w:eastAsia="Calibri" w:hAnsi="Verdana" w:cs="Times New Roman"/>
          <w:bCs/>
          <w:lang w:val="es-ES" w:bidi="es-ES"/>
        </w:rPr>
        <w:t xml:space="preserve">responde la solicitud de consulta del 20 de agosto de 2026, en la cual manifiesta: </w:t>
      </w:r>
    </w:p>
    <w:p w14:paraId="582B8B83" w14:textId="77777777" w:rsidR="00226797" w:rsidRPr="00302A13" w:rsidRDefault="00226797" w:rsidP="00226797">
      <w:pPr>
        <w:spacing w:after="0" w:line="240" w:lineRule="auto"/>
        <w:jc w:val="both"/>
        <w:rPr>
          <w:rFonts w:ascii="Verdana" w:eastAsia="Calibri" w:hAnsi="Verdana" w:cs="Times New Roman"/>
          <w:bCs/>
          <w:lang w:val="es-ES" w:bidi="es-ES"/>
        </w:rPr>
      </w:pPr>
    </w:p>
    <w:p w14:paraId="1993F975" w14:textId="77777777" w:rsidR="00226797" w:rsidRPr="00302A13" w:rsidRDefault="00226797" w:rsidP="00226797">
      <w:pPr>
        <w:spacing w:after="0" w:line="240" w:lineRule="auto"/>
        <w:ind w:left="709" w:right="709"/>
        <w:jc w:val="both"/>
        <w:rPr>
          <w:rFonts w:ascii="Verdana" w:eastAsia="Calibri" w:hAnsi="Verdana" w:cs="Times New Roman"/>
          <w:bCs/>
          <w:sz w:val="20"/>
          <w:szCs w:val="20"/>
          <w:lang w:bidi="es-ES"/>
        </w:rPr>
      </w:pPr>
      <w:r w:rsidRPr="00302A13">
        <w:rPr>
          <w:rFonts w:ascii="Verdana" w:eastAsia="Calibri" w:hAnsi="Verdana" w:cs="Times New Roman"/>
          <w:bCs/>
          <w:sz w:val="20"/>
          <w:szCs w:val="20"/>
          <w:lang w:bidi="es-ES"/>
        </w:rPr>
        <w:t xml:space="preserve">“1. Desde la perspectiva de los deberes funcionales de los servidores públicos y de quienes ejercen funciones de interventoría, ¿es procedente aceptar una unidad de obra que no satisface los criterios de aceptación establecidos contractualmente, con fundamento en una memoria de verificación estructural que concluye que la capacidad estructural de la sección resulta suficiente? </w:t>
      </w:r>
    </w:p>
    <w:p w14:paraId="5CD5C150" w14:textId="77777777" w:rsidR="00226797" w:rsidRPr="00302A13" w:rsidRDefault="00226797" w:rsidP="00226797">
      <w:pPr>
        <w:spacing w:after="0" w:line="240" w:lineRule="auto"/>
        <w:ind w:left="709" w:right="709"/>
        <w:jc w:val="both"/>
        <w:rPr>
          <w:rFonts w:ascii="Verdana" w:eastAsia="Calibri" w:hAnsi="Verdana" w:cs="Times New Roman"/>
          <w:bCs/>
          <w:sz w:val="20"/>
          <w:szCs w:val="20"/>
          <w:lang w:bidi="es-ES"/>
        </w:rPr>
      </w:pPr>
      <w:r w:rsidRPr="00302A13">
        <w:rPr>
          <w:rFonts w:ascii="Verdana" w:eastAsia="Calibri" w:hAnsi="Verdana" w:cs="Times New Roman"/>
          <w:bCs/>
          <w:sz w:val="20"/>
          <w:szCs w:val="20"/>
          <w:lang w:bidi="es-ES"/>
        </w:rPr>
        <w:t xml:space="preserve">2. En caso de que la Entidad Contratante, mediante instrucción escrita y debidamente motivada, disponga la aceptación y el reconocimiento económico de una unidad de obra que no cumple los criterios de aceptación establecidos en las Especificaciones Generales de Construcción de Carreteras INVÍAS 2022, ¿cuáles son los deberes que corresponden a la Interventoría para salvaguardar el cumplimiento de sus obligaciones legales, contractuales y funcionales? </w:t>
      </w:r>
    </w:p>
    <w:p w14:paraId="0F6602AA" w14:textId="77777777" w:rsidR="00226797" w:rsidRPr="00302A13" w:rsidRDefault="00226797" w:rsidP="00226797">
      <w:pPr>
        <w:spacing w:after="0" w:line="240" w:lineRule="auto"/>
        <w:ind w:left="709" w:right="709"/>
        <w:jc w:val="both"/>
        <w:rPr>
          <w:rFonts w:ascii="Verdana" w:eastAsia="Calibri" w:hAnsi="Verdana" w:cs="Times New Roman"/>
          <w:bCs/>
          <w:sz w:val="20"/>
          <w:szCs w:val="20"/>
          <w:lang w:bidi="es-ES"/>
        </w:rPr>
      </w:pPr>
      <w:r w:rsidRPr="00302A13">
        <w:rPr>
          <w:rFonts w:ascii="Verdana" w:eastAsia="Calibri" w:hAnsi="Verdana" w:cs="Times New Roman"/>
          <w:bCs/>
          <w:sz w:val="20"/>
          <w:szCs w:val="20"/>
          <w:lang w:bidi="es-ES"/>
        </w:rPr>
        <w:t xml:space="preserve">3. ¿La existencia de una instrucción expresa de la Entidad Contratante modifica o excluye la eventual responsabilidad disciplinaria de la Interventoría cuando esta ha dejado constancia técnica de la no conformidad identificada y de las observaciones formuladas durante el ejercicio de sus funciones? </w:t>
      </w:r>
    </w:p>
    <w:p w14:paraId="5780FD1D" w14:textId="77777777" w:rsidR="00226797" w:rsidRPr="00302A13" w:rsidRDefault="00226797" w:rsidP="00226797">
      <w:pPr>
        <w:spacing w:after="0" w:line="240" w:lineRule="auto"/>
        <w:ind w:left="709" w:right="709"/>
        <w:jc w:val="both"/>
        <w:rPr>
          <w:rFonts w:ascii="Verdana" w:eastAsia="Calibri" w:hAnsi="Verdana" w:cs="Times New Roman"/>
          <w:bCs/>
          <w:sz w:val="20"/>
          <w:szCs w:val="20"/>
          <w:lang w:bidi="es-ES"/>
        </w:rPr>
      </w:pPr>
      <w:r w:rsidRPr="00302A13">
        <w:rPr>
          <w:rFonts w:ascii="Verdana" w:eastAsia="Calibri" w:hAnsi="Verdana" w:cs="Times New Roman"/>
          <w:bCs/>
          <w:sz w:val="20"/>
          <w:szCs w:val="20"/>
          <w:lang w:bidi="es-ES"/>
        </w:rPr>
        <w:t xml:space="preserve">4. ¿Qué actuaciones documentales o administrativas se consideran necesarias para que la Interventoría evidencie el cumplimiento de sus deberes de vigilancia, control, advertencia y reporte, cuando la decisión adoptada por la Entidad difiere del concepto técnico emitido por aquella?” </w:t>
      </w:r>
    </w:p>
    <w:p w14:paraId="0A7B14B6" w14:textId="77777777" w:rsidR="00226797" w:rsidRPr="00302A13" w:rsidRDefault="00226797" w:rsidP="00226797">
      <w:pPr>
        <w:spacing w:after="0" w:line="240" w:lineRule="auto"/>
        <w:ind w:right="709"/>
        <w:jc w:val="both"/>
        <w:rPr>
          <w:rFonts w:ascii="Verdana" w:eastAsia="Calibri" w:hAnsi="Verdana" w:cs="Times New Roman"/>
          <w:bCs/>
          <w:sz w:val="21"/>
          <w:szCs w:val="21"/>
          <w:lang w:bidi="es-ES"/>
        </w:rPr>
      </w:pPr>
    </w:p>
    <w:p w14:paraId="2ED62F0F" w14:textId="77777777" w:rsidR="00226797" w:rsidRPr="00302A13" w:rsidRDefault="00226797" w:rsidP="00226797">
      <w:pPr>
        <w:spacing w:after="120" w:line="276" w:lineRule="auto"/>
        <w:ind w:firstLine="709"/>
        <w:jc w:val="both"/>
        <w:rPr>
          <w:rFonts w:ascii="Verdana" w:eastAsia="Calibri" w:hAnsi="Verdana" w:cs="Times New Roman"/>
          <w:lang w:val="es-ES"/>
        </w:rPr>
      </w:pPr>
      <w:r w:rsidRPr="00302A13">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9D81AFA" w14:textId="77777777" w:rsidR="00226797" w:rsidRPr="00302A13" w:rsidRDefault="00226797" w:rsidP="00226797">
      <w:pPr>
        <w:spacing w:after="0" w:line="276" w:lineRule="auto"/>
        <w:ind w:firstLine="708"/>
        <w:jc w:val="both"/>
        <w:rPr>
          <w:rFonts w:ascii="Verdana" w:eastAsia="Calibri" w:hAnsi="Verdana" w:cs="Times New Roman"/>
          <w:lang w:val="es-ES"/>
        </w:rPr>
      </w:pPr>
      <w:r w:rsidRPr="00302A13">
        <w:rPr>
          <w:rFonts w:ascii="Verdana" w:eastAsia="Calibri" w:hAnsi="Verdana" w:cs="Times New Roman"/>
          <w:lang w:val="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28FE26E" w14:textId="77777777" w:rsidR="00226797" w:rsidRPr="00302A13" w:rsidRDefault="00226797" w:rsidP="00226797">
      <w:pPr>
        <w:spacing w:after="0" w:line="276" w:lineRule="auto"/>
        <w:rPr>
          <w:rFonts w:ascii="Verdana" w:eastAsia="Calibri" w:hAnsi="Verdana" w:cs="Times New Roman"/>
          <w:lang w:val="es-ES"/>
        </w:rPr>
      </w:pPr>
    </w:p>
    <w:p w14:paraId="04EE683C" w14:textId="77777777" w:rsidR="00226797" w:rsidRPr="00302A13" w:rsidRDefault="00226797" w:rsidP="00226797">
      <w:pPr>
        <w:numPr>
          <w:ilvl w:val="0"/>
          <w:numId w:val="16"/>
        </w:numPr>
        <w:spacing w:after="0" w:line="276" w:lineRule="auto"/>
        <w:rPr>
          <w:rFonts w:ascii="Verdana" w:eastAsia="Calibri" w:hAnsi="Verdana" w:cs="Times New Roman"/>
          <w:b/>
          <w:bCs/>
          <w:lang w:val="es-ES"/>
        </w:rPr>
      </w:pPr>
      <w:r w:rsidRPr="00302A13">
        <w:rPr>
          <w:rFonts w:ascii="Verdana" w:eastAsia="Calibri" w:hAnsi="Verdana" w:cs="Times New Roman"/>
          <w:b/>
          <w:bCs/>
          <w:lang w:val="es-ES"/>
        </w:rPr>
        <w:t>Problema planteado:</w:t>
      </w:r>
    </w:p>
    <w:p w14:paraId="49218A35" w14:textId="77777777" w:rsidR="00226797" w:rsidRPr="00302A13" w:rsidRDefault="00226797" w:rsidP="00226797">
      <w:pPr>
        <w:spacing w:after="0" w:line="276" w:lineRule="auto"/>
        <w:rPr>
          <w:rFonts w:ascii="Verdana" w:eastAsia="Calibri" w:hAnsi="Verdana" w:cs="Times New Roman"/>
        </w:rPr>
      </w:pPr>
    </w:p>
    <w:p w14:paraId="26BFE6E0" w14:textId="77777777" w:rsidR="00226797" w:rsidRPr="00302A13" w:rsidRDefault="00226797" w:rsidP="00226797">
      <w:pPr>
        <w:spacing w:after="0" w:line="276" w:lineRule="auto"/>
        <w:jc w:val="both"/>
        <w:rPr>
          <w:rFonts w:ascii="Verdana" w:eastAsia="Calibri" w:hAnsi="Verdana"/>
        </w:rPr>
      </w:pPr>
      <w:r w:rsidRPr="00302A13">
        <w:rPr>
          <w:rFonts w:ascii="Verdana" w:eastAsia="Calibri" w:hAnsi="Verdana" w:cs="Times New Roman"/>
        </w:rPr>
        <w:t xml:space="preserve">De acuerdo con el contenido de sus solicitudes, la Agencia procede a resolver los siguientes problemas jurídicos: i) ¿Es jurídicamente procedente que la Entidad Contratante acepte y reconozca económicamente una unidad de obra que no satisface los criterios de aceptación pactados, con fundamento en una memoria de verificación estructural que concluye que la capacidad estructural resulta suficiente, y en qué medida la facultad de dirección y control de la entidad prevalece frente al concepto técnico del interventor?; </w:t>
      </w:r>
      <w:proofErr w:type="spellStart"/>
      <w:r w:rsidRPr="00302A13">
        <w:rPr>
          <w:rFonts w:ascii="Verdana" w:eastAsia="Calibri" w:hAnsi="Verdana" w:cs="Times New Roman"/>
        </w:rPr>
        <w:t>ii</w:t>
      </w:r>
      <w:proofErr w:type="spellEnd"/>
      <w:r w:rsidRPr="00302A13">
        <w:rPr>
          <w:rFonts w:ascii="Verdana" w:eastAsia="Calibri" w:hAnsi="Verdana" w:cs="Times New Roman"/>
        </w:rPr>
        <w:t xml:space="preserve">) ¿La existencia de una instrucción expresa y motivada de la Entidad Contratante modifica o excluye la responsabilidad —en particular la disciplinaria— de la Interventoría cuando esta ha dejado constancia técnica de la no conformidad?; y </w:t>
      </w:r>
      <w:proofErr w:type="spellStart"/>
      <w:r w:rsidRPr="00302A13">
        <w:rPr>
          <w:rFonts w:ascii="Verdana" w:eastAsia="Calibri" w:hAnsi="Verdana" w:cs="Times New Roman"/>
        </w:rPr>
        <w:t>iii</w:t>
      </w:r>
      <w:proofErr w:type="spellEnd"/>
      <w:r w:rsidRPr="00302A13">
        <w:rPr>
          <w:rFonts w:ascii="Verdana" w:eastAsia="Calibri" w:hAnsi="Verdana" w:cs="Times New Roman"/>
        </w:rPr>
        <w:t>) ¿Qué actuaciones documentales y administrativas debe adelantar la Interventoría para acreditar el cumplimiento de sus deberes de vigilancia, control, advertencia y reporte cuando la decisión adoptada por la entidad difiere de su concepto técnico?</w:t>
      </w:r>
    </w:p>
    <w:p w14:paraId="2B08EE20" w14:textId="77777777" w:rsidR="00226797" w:rsidRPr="00302A13" w:rsidRDefault="00226797" w:rsidP="00226797">
      <w:pPr>
        <w:spacing w:after="0" w:line="276" w:lineRule="auto"/>
        <w:jc w:val="both"/>
        <w:rPr>
          <w:rFonts w:ascii="Verdana" w:eastAsia="Calibri" w:hAnsi="Verdana" w:cs="Times New Roman"/>
          <w:i/>
          <w:iCs/>
          <w:lang w:val="es-ES"/>
        </w:rPr>
      </w:pPr>
    </w:p>
    <w:p w14:paraId="10A417CC" w14:textId="77777777" w:rsidR="00226797" w:rsidRPr="00302A13" w:rsidRDefault="00226797" w:rsidP="00226797">
      <w:pPr>
        <w:numPr>
          <w:ilvl w:val="0"/>
          <w:numId w:val="16"/>
        </w:numPr>
        <w:spacing w:after="0" w:line="276" w:lineRule="auto"/>
        <w:rPr>
          <w:rFonts w:ascii="Verdana" w:eastAsia="Calibri" w:hAnsi="Verdana" w:cs="Times New Roman"/>
          <w:b/>
          <w:bCs/>
          <w:lang w:val="es-ES"/>
        </w:rPr>
      </w:pPr>
      <w:r w:rsidRPr="00302A13">
        <w:rPr>
          <w:rFonts w:ascii="Verdana" w:eastAsia="Calibri" w:hAnsi="Verdana" w:cs="Times New Roman"/>
          <w:b/>
          <w:bCs/>
          <w:lang w:val="es-ES"/>
        </w:rPr>
        <w:t>Respuesta:</w:t>
      </w:r>
    </w:p>
    <w:p w14:paraId="02319C3E" w14:textId="77777777" w:rsidR="00226797" w:rsidRPr="00302A13" w:rsidRDefault="00226797" w:rsidP="00226797">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26797" w:rsidRPr="00302A13" w14:paraId="4291873E" w14:textId="77777777" w:rsidTr="00DD563B">
        <w:trPr>
          <w:trHeight w:val="345"/>
          <w:jc w:val="center"/>
        </w:trPr>
        <w:tc>
          <w:tcPr>
            <w:tcW w:w="8784" w:type="dxa"/>
            <w:tcBorders>
              <w:bottom w:val="single" w:sz="4" w:space="0" w:color="auto"/>
            </w:tcBorders>
          </w:tcPr>
          <w:p w14:paraId="4443B3AA" w14:textId="77777777" w:rsidR="00226797" w:rsidRPr="00302A13" w:rsidRDefault="00226797" w:rsidP="00DD563B">
            <w:pPr>
              <w:tabs>
                <w:tab w:val="left" w:pos="0"/>
              </w:tabs>
              <w:spacing w:line="276" w:lineRule="auto"/>
              <w:jc w:val="both"/>
              <w:rPr>
                <w:rFonts w:ascii="Verdana" w:eastAsia="Calibri" w:hAnsi="Verdana" w:cs="Arial"/>
                <w:bCs/>
                <w:color w:val="000000" w:themeColor="text1"/>
                <w:lang w:eastAsia="es-ES_tradnl"/>
              </w:rPr>
            </w:pPr>
            <w:r w:rsidRPr="00302A13">
              <w:rPr>
                <w:rFonts w:ascii="Verdana" w:eastAsia="Calibri" w:hAnsi="Verdana" w:cs="Arial"/>
                <w:bCs/>
                <w:color w:val="000000" w:themeColor="text1"/>
                <w:lang w:eastAsia="es-ES_tradnl"/>
              </w:rPr>
              <w:t>De acuerdo con el contenido de su solicitud, y conforme a la interpretación general de las normas del sistema de compras públicas, esta Agencia resuelve su consulta en los siguientes términos:</w:t>
            </w:r>
          </w:p>
          <w:p w14:paraId="745062FD" w14:textId="77777777" w:rsidR="00226797" w:rsidRPr="00302A13" w:rsidRDefault="00226797" w:rsidP="00DD563B">
            <w:pPr>
              <w:spacing w:line="276" w:lineRule="auto"/>
              <w:jc w:val="both"/>
              <w:rPr>
                <w:rFonts w:ascii="Verdana" w:hAnsi="Verdana" w:cs="Arial"/>
                <w:lang w:eastAsia="es-ES"/>
              </w:rPr>
            </w:pPr>
          </w:p>
          <w:p w14:paraId="4AF279C6" w14:textId="77777777" w:rsidR="00226797" w:rsidRPr="00302A13" w:rsidRDefault="00226797" w:rsidP="00DD563B">
            <w:pPr>
              <w:widowControl w:val="0"/>
              <w:autoSpaceDE w:val="0"/>
              <w:autoSpaceDN w:val="0"/>
              <w:spacing w:after="120" w:line="276" w:lineRule="auto"/>
              <w:jc w:val="both"/>
              <w:rPr>
                <w:rFonts w:ascii="Verdana" w:eastAsia="Arial MT" w:hAnsi="Verdana" w:cs="Arial"/>
                <w:color w:val="000000" w:themeColor="text1"/>
                <w:lang w:val="es-MX"/>
              </w:rPr>
            </w:pPr>
            <w:r w:rsidRPr="00302A13">
              <w:rPr>
                <w:rFonts w:ascii="Verdana" w:hAnsi="Verdana" w:cs="Arial"/>
                <w:lang w:eastAsia="es-ES"/>
              </w:rPr>
              <w:t xml:space="preserve">i. En relación con el primer problema jurídico de su consulta, </w:t>
            </w:r>
            <w:r w:rsidRPr="00302A13">
              <w:rPr>
                <w:rFonts w:ascii="Verdana" w:eastAsia="Arial MT" w:hAnsi="Verdana" w:cs="Arial"/>
                <w:color w:val="000000" w:themeColor="text1"/>
                <w:lang w:val="es-MX"/>
              </w:rPr>
              <w:t xml:space="preserve">el artículo 83 de la Ley 1474 de 2011, dispone que el seguimiento de los supervisores e interventores corresponde al cumplimiento de las obligaciones pactadas en el contrato estatal, aspecto que se ratifica en el inciso primero del artículo 84 </w:t>
            </w:r>
            <w:r w:rsidRPr="00302A13">
              <w:rPr>
                <w:rFonts w:ascii="Verdana" w:eastAsia="Arial MT" w:hAnsi="Verdana" w:cs="Arial"/>
                <w:i/>
                <w:iCs/>
                <w:color w:val="000000" w:themeColor="text1"/>
                <w:lang w:val="es-MX"/>
              </w:rPr>
              <w:t>ibidem</w:t>
            </w:r>
            <w:r w:rsidRPr="00302A13">
              <w:rPr>
                <w:rFonts w:ascii="Verdana" w:eastAsia="Arial MT" w:hAnsi="Verdana" w:cs="Arial"/>
                <w:color w:val="000000" w:themeColor="text1"/>
                <w:lang w:val="es-MX"/>
              </w:rPr>
              <w:t xml:space="preserve">. En su fase técnica, esto implica tanto “Vigilar, controlar y verificar el cumplimiento del objeto contractual y las obligaciones a cargo del contratista” </w:t>
            </w:r>
            <w:r w:rsidRPr="00302A13">
              <w:rPr>
                <w:rFonts w:ascii="Verdana" w:eastAsia="Arial MT" w:hAnsi="Verdana" w:cs="Arial"/>
                <w:color w:val="000000" w:themeColor="text1"/>
                <w:lang w:val="es-MX"/>
              </w:rPr>
              <w:lastRenderedPageBreak/>
              <w:t xml:space="preserve">como “Verificar que las condiciones técnicas del bien, obra o servicio </w:t>
            </w:r>
            <w:proofErr w:type="gramStart"/>
            <w:r w:rsidRPr="00302A13">
              <w:rPr>
                <w:rFonts w:ascii="Verdana" w:eastAsia="Arial MT" w:hAnsi="Verdana" w:cs="Arial"/>
                <w:color w:val="000000" w:themeColor="text1"/>
                <w:lang w:val="es-MX"/>
              </w:rPr>
              <w:t>contratado,</w:t>
            </w:r>
            <w:proofErr w:type="gramEnd"/>
            <w:r w:rsidRPr="00302A13">
              <w:rPr>
                <w:rFonts w:ascii="Verdana" w:eastAsia="Arial MT" w:hAnsi="Verdana" w:cs="Arial"/>
                <w:color w:val="000000" w:themeColor="text1"/>
                <w:lang w:val="es-MX"/>
              </w:rPr>
              <w:t xml:space="preserve"> cumplan con los requisitos establecidos por la entidad y con el ofrecimiento formulado, según sea el caso”. Así, la verificación del cumplimiento se realiza dentro las exigencias pactadas entre la entidad estatal y el contratista; razón por la cual, pueden abstenerse de recibir obras, bienes o servicios que no satisfagan las especificaciones del contrato.</w:t>
            </w:r>
          </w:p>
          <w:p w14:paraId="53367021" w14:textId="77777777" w:rsidR="00226797" w:rsidRPr="00302A13" w:rsidRDefault="00226797" w:rsidP="00DD563B">
            <w:pPr>
              <w:widowControl w:val="0"/>
              <w:autoSpaceDE w:val="0"/>
              <w:autoSpaceDN w:val="0"/>
              <w:spacing w:after="120" w:line="276" w:lineRule="auto"/>
              <w:ind w:firstLine="708"/>
              <w:jc w:val="both"/>
              <w:rPr>
                <w:rFonts w:ascii="Verdana" w:eastAsia="Arial MT" w:hAnsi="Verdana" w:cs="Arial MT"/>
              </w:rPr>
            </w:pPr>
            <w:r w:rsidRPr="00302A13">
              <w:rPr>
                <w:rFonts w:ascii="Verdana" w:eastAsia="Arial MT" w:hAnsi="Verdana" w:cs="Arial MT"/>
                <w:lang w:val="es-MX"/>
              </w:rPr>
              <w:t>En este aspecto, desde</w:t>
            </w:r>
            <w:r w:rsidRPr="00302A13">
              <w:rPr>
                <w:rFonts w:ascii="Verdana" w:eastAsia="Arial MT" w:hAnsi="Verdana" w:cs="Arial MT"/>
              </w:rPr>
              <w:t xml:space="preserve"> la perspectiva de los deberes funcionales de la interventoría, cuando se evidencia que una unidad de obra no cumple con las condiciones pactadas en el contrato, el interventor está obligado a dejar constancia expresa de dicha situación y a informar oportunamente a la entidad contratante, en cumplimiento de su deber de advertencia y reporte. Este deber se articula con la responsabilidad indelegable de la entidad estatal de ejercer la dirección general y el control de la ejecución contractual, conforme al artículo 14 de la Ley 80 de 1993. En la misma línea, el artículo 4°, numeral 4°, de la Ley 80 de 1993 establece: </w:t>
            </w:r>
            <w:r w:rsidRPr="00302A13">
              <w:rPr>
                <w:rFonts w:ascii="Verdana" w:eastAsia="Arial MT" w:hAnsi="Verdana" w:cs="Arial MT"/>
                <w:lang w:val="es-ES"/>
              </w:rPr>
              <w:t>“</w:t>
            </w:r>
            <w:r w:rsidRPr="00302A13">
              <w:rPr>
                <w:rFonts w:ascii="Verdana" w:eastAsia="Arial MT" w:hAnsi="Verdana" w:cs="Arial MT"/>
              </w:rPr>
              <w:t xml:space="preserve">[…] Para la consecución de los fines de que trata el artículo anterior, las entidades estatales: […] 4o. Adelantarán revisiones periódicas de las obras ejecutadas, servicios prestados o bienes suministrados, </w:t>
            </w:r>
            <w:r w:rsidRPr="00302A13">
              <w:rPr>
                <w:rFonts w:ascii="Verdana" w:eastAsia="Arial MT" w:hAnsi="Verdana" w:cs="Arial MT"/>
                <w:i/>
                <w:iCs/>
              </w:rPr>
              <w:t xml:space="preserve">para verificar que ellos cumplan con las condiciones de calidad ofrecidas por los contratistas, y promoverán las acciones de responsabilidad contra éstos y sus garantes </w:t>
            </w:r>
            <w:r w:rsidRPr="00302A13">
              <w:rPr>
                <w:rFonts w:ascii="Verdana" w:eastAsia="Arial MT" w:hAnsi="Verdana" w:cs="Arial MT"/>
              </w:rPr>
              <w:t>cuando dichas condiciones no se cumplan” (énfasis fuera de texto). De este modo, la entidad no puede renunciar ni trasladar su deber permanente de vigilancia y control, aun cuando exista interventoría o supervisión contratada.</w:t>
            </w:r>
          </w:p>
          <w:p w14:paraId="6A787B9A" w14:textId="77777777" w:rsidR="00226797" w:rsidRPr="00302A13" w:rsidRDefault="00226797" w:rsidP="00DD563B">
            <w:pPr>
              <w:widowControl w:val="0"/>
              <w:autoSpaceDE w:val="0"/>
              <w:autoSpaceDN w:val="0"/>
              <w:spacing w:after="120" w:line="276" w:lineRule="auto"/>
              <w:ind w:firstLine="709"/>
              <w:jc w:val="both"/>
              <w:rPr>
                <w:rFonts w:ascii="Verdana" w:eastAsia="Arial MT" w:hAnsi="Verdana" w:cs="Arial MT"/>
              </w:rPr>
            </w:pPr>
            <w:r w:rsidRPr="00302A13">
              <w:rPr>
                <w:rFonts w:ascii="Verdana" w:eastAsia="Arial MT" w:hAnsi="Verdana" w:cs="Arial MT"/>
              </w:rPr>
              <w:t xml:space="preserve">Ahora bien, si en ejercicio de esa dirección y control la entidad decide aceptar una unidad de obra, debe hacerlo mediante acto escrito y debidamente motivado, en el que se expongan las razones técnicas, jurídicas y administrativas que sustentan la decisión. Es frecuente que en la ejecución contractual concurran informes o conceptos discrepantes entre la interventoría y los comités técnicos o administrativos de la entidad. Frente a tales divergencias, la administración está obligada a expresar de manera clara y argumentada las razones por las cuales otorga mayor credibilidad o fuerza probatoria a uno de los informes, garantizando el derecho de contradicción del contratista y la transparencia del proceso decisorio. La motivación adquiere aquí un carácter central, pues constituye el soporte de la legalidad y </w:t>
            </w:r>
            <w:r w:rsidRPr="00302A13">
              <w:rPr>
                <w:rFonts w:ascii="Verdana" w:eastAsia="Arial MT" w:hAnsi="Verdana" w:cs="Arial MT"/>
              </w:rPr>
              <w:lastRenderedPageBreak/>
              <w:t xml:space="preserve">razonabilidad de la actuación administrativa. </w:t>
            </w:r>
          </w:p>
          <w:p w14:paraId="2B2AA614" w14:textId="77777777" w:rsidR="00226797" w:rsidRPr="00302A13" w:rsidRDefault="00226797" w:rsidP="00DD563B">
            <w:pPr>
              <w:spacing w:after="120" w:line="276" w:lineRule="auto"/>
              <w:ind w:firstLine="709"/>
              <w:jc w:val="both"/>
              <w:rPr>
                <w:rFonts w:ascii="Verdana" w:hAnsi="Verdana" w:cs="Arial"/>
                <w:lang w:eastAsia="es-ES"/>
              </w:rPr>
            </w:pPr>
            <w:r w:rsidRPr="00302A13">
              <w:rPr>
                <w:rFonts w:ascii="Verdana" w:hAnsi="Verdana" w:cs="Arial"/>
                <w:lang w:eastAsia="es-ES"/>
              </w:rPr>
              <w:t>Ahora bien, en cuanto a la procedencia de aceptar una unidad de obra que no satisface los criterios de aceptación pactados, las especificaciones técnicas y los criterios de aceptación incorporados al contrato son vinculantes para las partes (artículos 1602 del Código Civil y 5, numeral 1, de la Ley 80 de 1993), de modo que una memoria de verificación estructural que concluya que la capacidad estructural resulta suficiente constituye un insumo técnico que la entidad puede valorar, pero no releva por sí misma del cumplimiento de tales criterios ni sustituye automáticamente lo pactado. Por regla general, la obra que no cumple debe ser corregida o rehecha por el contratista a su costa. Si la entidad, en ejercicio de su dirección, opta por aceptarla, la decisión debe adoptarse por acto motivado y, según el caso, formalizarse mediante la modificación del contrato —cuando la variación de las especificaciones sea técnica y jurídicamente admisible— o mediante el reconocimiento económico proporcional al valor efectivamente recibido, cuando la unidad de obra, pese a no cumplir íntegramente, resulte aprovechable. En todo caso, el recibo a satisfacción no sanea los defectos ni exime de responsabilidad al contratista (artículo 2060 del Código Civil), y el pago de una unidad de obra no conforme por su valor íntegro, sin ajuste ni justificación suficiente, puede configurar un daño patrimonial al Estado (artículo 6 de la Ley 610 de 2000).</w:t>
            </w:r>
          </w:p>
          <w:p w14:paraId="1E320CA8" w14:textId="77777777" w:rsidR="00226797" w:rsidRPr="00302A13" w:rsidRDefault="00226797" w:rsidP="00DD563B">
            <w:pPr>
              <w:spacing w:after="120" w:line="276" w:lineRule="auto"/>
              <w:jc w:val="both"/>
              <w:rPr>
                <w:rFonts w:ascii="Verdana" w:hAnsi="Verdana" w:cs="Arial"/>
                <w:lang w:eastAsia="es-ES"/>
              </w:rPr>
            </w:pPr>
            <w:proofErr w:type="spellStart"/>
            <w:r w:rsidRPr="00302A13">
              <w:rPr>
                <w:rFonts w:ascii="Verdana" w:hAnsi="Verdana" w:cs="Arial"/>
                <w:lang w:eastAsia="es-ES"/>
              </w:rPr>
              <w:t>ii</w:t>
            </w:r>
            <w:proofErr w:type="spellEnd"/>
            <w:r w:rsidRPr="00302A13">
              <w:rPr>
                <w:rFonts w:ascii="Verdana" w:hAnsi="Verdana" w:cs="Arial"/>
                <w:lang w:eastAsia="es-ES"/>
              </w:rPr>
              <w:t>. En torno al segundo problema jurídico de su consulta, se expresa el interventor está obligado a cumplir con su deber de dejar constancia técnica sobre toda no conformidad detectada en la ejecución contractual, así como de advertir a la entidad contratante acerca de hechos o circunstancias que puedan constituir incumplimientos o incluso actos de corrupción tipificados como conductas punibles. Este deber de advertencia y reporte se encuentra reforzado por el artículo 84 de la Ley 1474 de 2011, que impone a los interventores la obligación de informar sobre irregularidades que puedan comprometer la correcta ejecución del contrato. La responsabilidad disciplinaria, fiscal, civil o penal de la interventoría dependerá de las actuaciones u omisiones que le sean imputables y que generen daño o perjuicio a la entidad, conforme a lo dispuesto en el artículo 53 de la Ley 80 de 1993, modificado por el artículo 84 de la Ley 1474 de 2011.</w:t>
            </w:r>
          </w:p>
          <w:p w14:paraId="011C5623" w14:textId="77777777" w:rsidR="00226797" w:rsidRPr="00302A13" w:rsidRDefault="00226797" w:rsidP="00DD563B">
            <w:pPr>
              <w:spacing w:after="120" w:line="276" w:lineRule="auto"/>
              <w:ind w:firstLine="709"/>
              <w:jc w:val="both"/>
              <w:rPr>
                <w:rFonts w:ascii="Verdana" w:hAnsi="Verdana" w:cs="Arial"/>
                <w:lang w:eastAsia="es-ES"/>
              </w:rPr>
            </w:pPr>
            <w:r w:rsidRPr="00302A13">
              <w:rPr>
                <w:rFonts w:ascii="Verdana" w:hAnsi="Verdana" w:cs="Arial"/>
                <w:lang w:eastAsia="es-ES"/>
              </w:rPr>
              <w:lastRenderedPageBreak/>
              <w:t>En este sentido, la existencia de una instrucción expresa de la entidad contratante no exonera a la interventoría de responsabilidad, pero sí delimita su ámbito de actuación: mientras el interventor haya cumplido con sus deberes de vigilancia, control, advertencia y reporte, dejando constancia documentada de la no conformidad, la eventual responsabilidad disciplinaria o contractual se atenúa, trasladándose el peso de la decisión a la administración. Por ello, resulta indispensable que la interventoría documente exhaustivamente sus observaciones, conceptos técnicos y advertencias, de manera que pueda acreditar ante los órganos de control y judiciales competentes el cumplimiento de sus obligaciones legales, contractuales y funcionales. Ahora bien, respecto de la entidad contratante, debe señalarse que, si adopta una decisión contraria a la constancia técnica, está obligada a justificarla de manera expresa, razonada y jurídicamente fundada; de lo contrario, podría incurrir en responsabilidad disciplinaria, fiscal, civil o penal.</w:t>
            </w:r>
          </w:p>
          <w:p w14:paraId="37212CAB" w14:textId="77777777" w:rsidR="00226797" w:rsidRPr="00302A13" w:rsidRDefault="00226797" w:rsidP="00DD563B">
            <w:pPr>
              <w:spacing w:after="120" w:line="276" w:lineRule="auto"/>
              <w:ind w:firstLine="709"/>
              <w:jc w:val="both"/>
              <w:rPr>
                <w:rFonts w:ascii="Verdana" w:hAnsi="Verdana" w:cs="Arial"/>
                <w:lang w:eastAsia="es-ES"/>
              </w:rPr>
            </w:pPr>
            <w:r w:rsidRPr="00302A13">
              <w:rPr>
                <w:rFonts w:ascii="Verdana" w:hAnsi="Verdana" w:cs="Arial"/>
                <w:lang w:eastAsia="es-ES"/>
              </w:rPr>
              <w:t>Debe agregarse que la interventoría, cuando la ejerce un particular, es sujeto disciplinable en los términos del artículo 70 de la Ley 1952 de 2019, que somete al régimen disciplinario a quienes cumplen labores de interventoría o supervisión en los contratos estatales. Por ello, la instrucción de la entidad no habilita al interventor para avalar técnicamente lo que no cumple ni para suscribir un recibo a satisfacción que no corresponda a la realidad: en ejercicio de su autonomía técnica, su deber es dejar constancia expresa de la no conformidad y, de mediar orden de recibir, hacerlo con salvedad, sin certificar una conformidad inexistente. En consecuencia, acreditado el cumplimiento de sus deberes de advertencia y reporte, el reproche por la decisión de aceptación se desplaza hacia quien la adopta en la entidad, sin perjuicio de la valoración que corresponda a las autoridades competentes.</w:t>
            </w:r>
          </w:p>
          <w:p w14:paraId="0EBB7F8E" w14:textId="77777777" w:rsidR="00226797" w:rsidRPr="00302A13" w:rsidRDefault="00226797" w:rsidP="00DD563B">
            <w:pPr>
              <w:spacing w:after="120" w:line="276" w:lineRule="auto"/>
              <w:jc w:val="both"/>
              <w:rPr>
                <w:rFonts w:ascii="Verdana" w:hAnsi="Verdana" w:cs="Arial"/>
                <w:lang w:eastAsia="es-ES"/>
              </w:rPr>
            </w:pPr>
            <w:proofErr w:type="spellStart"/>
            <w:r w:rsidRPr="00302A13">
              <w:rPr>
                <w:rFonts w:ascii="Verdana" w:hAnsi="Verdana" w:cs="Arial"/>
                <w:lang w:eastAsia="es-ES"/>
              </w:rPr>
              <w:t>iii</w:t>
            </w:r>
            <w:proofErr w:type="spellEnd"/>
            <w:r w:rsidRPr="00302A13">
              <w:rPr>
                <w:rFonts w:ascii="Verdana" w:hAnsi="Verdana" w:cs="Arial"/>
                <w:lang w:eastAsia="es-ES"/>
              </w:rPr>
              <w:t xml:space="preserve">. En relación con el tercer problema jurídico, y sin perjuicio de que cada entidad defina la metodología en sus manuales, las actuaciones documentales idóneas para acreditar el cumplimiento de los deberes de vigilancia, control, advertencia y reporte de la interventoría comprenden, entre otras: la constancia escrita y motivada de la no conformidad frente a los criterios de aceptación; los requerimientos y órdenes impartidos por escrito al contratista; las anotaciones en la bitácora o libro de obra; los informes periódicos y el informe final de interventoría; las actas de recibo parcial o final suscritas con </w:t>
            </w:r>
            <w:r w:rsidRPr="00302A13">
              <w:rPr>
                <w:rFonts w:ascii="Verdana" w:hAnsi="Verdana" w:cs="Arial"/>
                <w:lang w:eastAsia="es-ES"/>
              </w:rPr>
              <w:lastRenderedPageBreak/>
              <w:t>salvedad cuando corresponda; las comunicaciones formales dirigidas a la entidad advirtiendo la situación y solicitando la decisión motivada; y, cuando los hechos lo ameriten, el reporte a los organismos de control. Estos soportes deben publicarse en el SECOP, conforme al principio de publicidad, de manera que la interventoría cuente con evidencia trazable del ejercicio diligente de sus funciones.</w:t>
            </w:r>
          </w:p>
          <w:p w14:paraId="4A192AF3" w14:textId="77777777" w:rsidR="00226797" w:rsidRPr="00302A13" w:rsidRDefault="00226797" w:rsidP="00DD563B">
            <w:pPr>
              <w:spacing w:after="120" w:line="276" w:lineRule="auto"/>
              <w:ind w:firstLine="709"/>
              <w:jc w:val="both"/>
              <w:rPr>
                <w:rFonts w:ascii="Verdana" w:hAnsi="Verdana" w:cs="Arial"/>
                <w:lang w:eastAsia="es-ES"/>
              </w:rPr>
            </w:pPr>
            <w:r w:rsidRPr="00302A13">
              <w:rPr>
                <w:rFonts w:ascii="Verdana" w:hAnsi="Verdana" w:cs="Arial"/>
                <w:lang w:eastAsia="es-ES"/>
              </w:rPr>
              <w:t xml:space="preserve">Finalmente, debe precisarse que la Agencia Nacional de Contratación Pública – Colombia Compra Eficiente carece de competencia para calificar las actuaciones de las entidades estatales en la ejecución contractual. Su función se limita a la expedición de lineamientos, directrices y orientaciones generales que estructuran y consolidan el Sistema de Compras Públicas, sin que implique una valoración o juicio sobre la legalidad o corrección de las decisiones administrativas adoptadas por las entidades contratantes. </w:t>
            </w:r>
          </w:p>
        </w:tc>
      </w:tr>
    </w:tbl>
    <w:p w14:paraId="63FE1CA1" w14:textId="77777777" w:rsidR="00226797" w:rsidRPr="00302A13" w:rsidRDefault="00226797" w:rsidP="00226797">
      <w:pPr>
        <w:spacing w:after="0" w:line="240" w:lineRule="auto"/>
        <w:jc w:val="both"/>
        <w:rPr>
          <w:rFonts w:ascii="Verdana" w:eastAsia="Calibri" w:hAnsi="Verdana" w:cs="Arial"/>
          <w:bCs/>
          <w:color w:val="000000" w:themeColor="text1"/>
        </w:rPr>
      </w:pPr>
    </w:p>
    <w:p w14:paraId="269D34CA" w14:textId="77777777" w:rsidR="00226797" w:rsidRPr="00302A13" w:rsidRDefault="00226797" w:rsidP="00226797">
      <w:pPr>
        <w:numPr>
          <w:ilvl w:val="0"/>
          <w:numId w:val="16"/>
        </w:numPr>
        <w:tabs>
          <w:tab w:val="left" w:pos="2268"/>
        </w:tabs>
        <w:spacing w:after="0" w:line="240" w:lineRule="auto"/>
        <w:rPr>
          <w:rFonts w:ascii="Verdana" w:eastAsia="Calibri" w:hAnsi="Verdana" w:cs="Times New Roman"/>
          <w:b/>
          <w:bCs/>
          <w:lang w:val="es-ES"/>
        </w:rPr>
      </w:pPr>
      <w:r w:rsidRPr="00302A13">
        <w:rPr>
          <w:rFonts w:ascii="Verdana" w:eastAsia="Calibri" w:hAnsi="Verdana" w:cs="Times New Roman"/>
          <w:b/>
          <w:bCs/>
          <w:lang w:val="es-ES"/>
        </w:rPr>
        <w:t>Razones de la respuesta:</w:t>
      </w:r>
    </w:p>
    <w:p w14:paraId="77FEFD39" w14:textId="77777777" w:rsidR="00226797" w:rsidRPr="00302A13" w:rsidRDefault="00226797" w:rsidP="00226797">
      <w:pPr>
        <w:spacing w:after="0" w:line="240" w:lineRule="auto"/>
        <w:rPr>
          <w:rFonts w:ascii="Verdana" w:eastAsia="Calibri" w:hAnsi="Verdana" w:cs="Times New Roman"/>
          <w:b/>
          <w:bCs/>
          <w:lang w:val="es-ES"/>
        </w:rPr>
      </w:pPr>
    </w:p>
    <w:p w14:paraId="0C457DBA" w14:textId="77777777" w:rsidR="00226797" w:rsidRPr="00302A13" w:rsidRDefault="00226797" w:rsidP="00226797">
      <w:pPr>
        <w:spacing w:after="0" w:line="240" w:lineRule="auto"/>
        <w:jc w:val="both"/>
        <w:rPr>
          <w:rFonts w:ascii="Verdana" w:eastAsia="Calibri" w:hAnsi="Verdana" w:cs="Arial"/>
          <w:lang w:val="es-ES"/>
        </w:rPr>
      </w:pPr>
      <w:r w:rsidRPr="00302A13">
        <w:rPr>
          <w:rFonts w:ascii="Verdana" w:eastAsia="Calibri" w:hAnsi="Verdana" w:cs="Arial"/>
          <w:lang w:val="es-ES"/>
        </w:rPr>
        <w:t xml:space="preserve">Lo anterior se sustenta en las siguientes consideraciones: </w:t>
      </w:r>
    </w:p>
    <w:p w14:paraId="60F51286" w14:textId="77777777" w:rsidR="00226797" w:rsidRPr="00302A13" w:rsidRDefault="00226797" w:rsidP="00226797">
      <w:pPr>
        <w:spacing w:after="0" w:line="240" w:lineRule="auto"/>
        <w:jc w:val="both"/>
        <w:rPr>
          <w:rFonts w:ascii="Verdana" w:eastAsia="Calibri" w:hAnsi="Verdana" w:cs="Arial"/>
          <w:lang w:val="es-ES"/>
        </w:rPr>
      </w:pPr>
    </w:p>
    <w:p w14:paraId="34D4833C" w14:textId="77777777" w:rsidR="00226797" w:rsidRPr="00302A13" w:rsidRDefault="00226797" w:rsidP="00226797">
      <w:pPr>
        <w:spacing w:after="120" w:line="276" w:lineRule="auto"/>
        <w:jc w:val="both"/>
        <w:rPr>
          <w:rFonts w:ascii="Verdana" w:eastAsia="Calibri" w:hAnsi="Verdana" w:cs="Arial"/>
          <w:color w:val="000000"/>
          <w:lang w:val="es-ES"/>
        </w:rPr>
      </w:pPr>
      <w:r w:rsidRPr="00302A13">
        <w:rPr>
          <w:rFonts w:ascii="Verdana" w:eastAsia="Calibri" w:hAnsi="Verdana" w:cs="Arial"/>
          <w:color w:val="000000"/>
          <w:lang w:val="es-ES"/>
        </w:rPr>
        <w:t>i. 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57BB657E" w14:textId="77777777" w:rsidR="00226797" w:rsidRPr="00302A13" w:rsidRDefault="00226797" w:rsidP="00226797">
      <w:pPr>
        <w:spacing w:after="120" w:line="276" w:lineRule="auto"/>
        <w:ind w:firstLine="708"/>
        <w:jc w:val="both"/>
        <w:rPr>
          <w:rFonts w:ascii="Verdana" w:eastAsia="Calibri" w:hAnsi="Verdana" w:cs="Arial"/>
          <w:color w:val="000000"/>
          <w:lang w:val="es-ES"/>
        </w:rPr>
      </w:pPr>
      <w:r w:rsidRPr="00302A13">
        <w:rPr>
          <w:rFonts w:ascii="Verdana" w:eastAsia="Calibri" w:hAnsi="Verdana" w:cs="Arial"/>
          <w:color w:val="000000"/>
          <w:lang w:val="es-ES"/>
        </w:rPr>
        <w:t xml:space="preserve">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w:t>
      </w:r>
      <w:r w:rsidRPr="00302A13">
        <w:rPr>
          <w:rFonts w:ascii="Verdana" w:eastAsia="Calibri" w:hAnsi="Verdana" w:cs="Arial"/>
          <w:color w:val="000000"/>
          <w:lang w:val="es-ES"/>
        </w:rPr>
        <w:lastRenderedPageBreak/>
        <w:t>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B3184AA" w14:textId="77777777" w:rsidR="00226797" w:rsidRPr="00302A13" w:rsidRDefault="00226797" w:rsidP="00226797">
      <w:pPr>
        <w:spacing w:after="0" w:line="276" w:lineRule="auto"/>
        <w:ind w:firstLine="708"/>
        <w:jc w:val="both"/>
        <w:rPr>
          <w:rFonts w:ascii="Verdana" w:eastAsia="Times New Roman" w:hAnsi="Verdana" w:cs="Arial"/>
          <w:lang w:val="es-ES" w:eastAsia="es-MX"/>
        </w:rPr>
      </w:pPr>
      <w:r w:rsidRPr="00302A13">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302A13">
        <w:rPr>
          <w:rFonts w:ascii="Verdana" w:eastAsia="Times New Roman" w:hAnsi="Verdana" w:cs="Arial"/>
          <w:vertAlign w:val="superscript"/>
          <w:lang w:val="es-ES" w:eastAsia="es-MX"/>
        </w:rPr>
        <w:footnoteReference w:id="1"/>
      </w:r>
      <w:r w:rsidRPr="00302A13">
        <w:rPr>
          <w:rFonts w:ascii="Verdana" w:eastAsia="Times New Roman" w:hAnsi="Verdana" w:cs="Arial"/>
          <w:lang w:val="es-ES" w:eastAsia="es-MX"/>
        </w:rPr>
        <w:t>. También se establecen los límites de la responsabilidad del representante legal ante la delegación de sus funciones en materia contractual</w:t>
      </w:r>
      <w:r w:rsidRPr="00302A13">
        <w:rPr>
          <w:rFonts w:ascii="Verdana" w:eastAsia="Times New Roman" w:hAnsi="Verdana" w:cs="Arial"/>
          <w:vertAlign w:val="superscript"/>
          <w:lang w:val="es-ES" w:eastAsia="es-MX"/>
        </w:rPr>
        <w:footnoteReference w:id="2"/>
      </w:r>
      <w:r w:rsidRPr="00302A13">
        <w:rPr>
          <w:rFonts w:ascii="Verdana" w:eastAsia="Times New Roman" w:hAnsi="Verdana" w:cs="Arial"/>
          <w:lang w:val="es-ES" w:eastAsia="es-MX"/>
        </w:rPr>
        <w:t xml:space="preserve"> y se regula la supervisión y la interventoría de los contratos estatales</w:t>
      </w:r>
      <w:r w:rsidRPr="00302A13">
        <w:rPr>
          <w:rFonts w:ascii="Verdana" w:eastAsia="Times New Roman" w:hAnsi="Verdana" w:cs="Arial"/>
          <w:vertAlign w:val="superscript"/>
          <w:lang w:val="es-ES" w:eastAsia="es-MX"/>
        </w:rPr>
        <w:footnoteReference w:id="3"/>
      </w:r>
      <w:r w:rsidRPr="00302A13">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45BB4B32" w14:textId="77777777" w:rsidR="00226797" w:rsidRPr="00302A13" w:rsidRDefault="00226797" w:rsidP="00226797">
      <w:pPr>
        <w:spacing w:after="0"/>
        <w:ind w:left="709"/>
        <w:contextualSpacing/>
        <w:jc w:val="both"/>
        <w:rPr>
          <w:rFonts w:ascii="Verdana" w:eastAsia="Times New Roman" w:hAnsi="Verdana" w:cs="Arial"/>
          <w:sz w:val="20"/>
          <w:szCs w:val="20"/>
          <w:lang w:val="es-ES_tradnl" w:eastAsia="es-MX"/>
        </w:rPr>
      </w:pPr>
    </w:p>
    <w:p w14:paraId="3D40840C" w14:textId="77777777" w:rsidR="00226797" w:rsidRPr="00302A13" w:rsidRDefault="00226797" w:rsidP="00226797">
      <w:pPr>
        <w:spacing w:after="0" w:line="240" w:lineRule="auto"/>
        <w:ind w:left="709" w:right="709"/>
        <w:contextualSpacing/>
        <w:jc w:val="both"/>
        <w:rPr>
          <w:rFonts w:ascii="Verdana" w:eastAsia="Times New Roman" w:hAnsi="Verdana" w:cs="Arial"/>
          <w:sz w:val="20"/>
          <w:szCs w:val="20"/>
          <w:lang w:val="es-ES_tradnl" w:eastAsia="es-MX"/>
        </w:rPr>
      </w:pPr>
      <w:r w:rsidRPr="00302A13">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302A13">
        <w:rPr>
          <w:rFonts w:ascii="Verdana" w:eastAsia="Times New Roman" w:hAnsi="Verdana" w:cs="Arial"/>
          <w:sz w:val="20"/>
          <w:szCs w:val="20"/>
          <w:vertAlign w:val="superscript"/>
          <w:lang w:val="es-ES_tradnl" w:eastAsia="es-MX"/>
        </w:rPr>
        <w:footnoteReference w:id="4"/>
      </w:r>
      <w:r w:rsidRPr="00302A13">
        <w:rPr>
          <w:rFonts w:ascii="Verdana" w:eastAsia="Times New Roman" w:hAnsi="Verdana" w:cs="Arial"/>
          <w:sz w:val="20"/>
          <w:szCs w:val="20"/>
          <w:lang w:val="es-ES_tradnl" w:eastAsia="es-MX"/>
        </w:rPr>
        <w:t>.</w:t>
      </w:r>
    </w:p>
    <w:p w14:paraId="6F1693C1" w14:textId="77777777" w:rsidR="00226797" w:rsidRPr="00302A13" w:rsidRDefault="00226797" w:rsidP="00226797">
      <w:pPr>
        <w:snapToGrid w:val="0"/>
        <w:spacing w:after="0" w:line="276" w:lineRule="auto"/>
        <w:ind w:left="720"/>
        <w:rPr>
          <w:rFonts w:ascii="Verdana" w:eastAsia="Times New Roman" w:hAnsi="Verdana" w:cs="Arial"/>
          <w:lang w:val="es-ES_tradnl" w:eastAsia="es-MX"/>
        </w:rPr>
      </w:pPr>
    </w:p>
    <w:p w14:paraId="502F3352" w14:textId="77777777" w:rsidR="00226797" w:rsidRPr="00302A13" w:rsidRDefault="00226797" w:rsidP="00226797">
      <w:pPr>
        <w:spacing w:after="0" w:line="276" w:lineRule="auto"/>
        <w:ind w:firstLine="709"/>
        <w:jc w:val="both"/>
        <w:rPr>
          <w:rFonts w:ascii="Verdana" w:eastAsia="Times New Roman" w:hAnsi="Verdana" w:cs="Arial"/>
          <w:lang w:eastAsia="es-MX"/>
        </w:rPr>
      </w:pPr>
      <w:r w:rsidRPr="00302A13">
        <w:rPr>
          <w:rFonts w:ascii="Verdana" w:eastAsia="Times New Roman" w:hAnsi="Verdana" w:cs="Arial"/>
          <w:lang w:val="es-ES_tradnl" w:eastAsia="es-MX"/>
        </w:rPr>
        <w:lastRenderedPageBreak/>
        <w:t>En este sentido</w:t>
      </w:r>
      <w:r w:rsidRPr="00302A13">
        <w:rPr>
          <w:rFonts w:ascii="Verdana" w:eastAsia="Times New Roman" w:hAnsi="Verdana" w:cs="Arial"/>
          <w:lang w:eastAsia="es-MX"/>
        </w:rPr>
        <w:t xml:space="preserve">, la vigilancia contractual se entiende como una función pública y con mayor precisión es el ejercicio de una función administrativa en la medida en que comporta el ejercicio de prerrogativas públicas dirigidas a proteger el interés general, prevenir riesgos para el patrimonio público y garantizar la observancia de las obligaciones contractuales. La supervisión y la interventoría, ya sea ejercidas directamente por servidores públicos o delegadas en terceros, se insertan en el marco de la gestión contractual de la entidad y se desarrollan bajo parámetros normativos que delimitan su alcance, responsabilidades y deberes. Por ello, quien administra la adecuada y oportuna ejecución del contrato debe velar no solo por el cumplimiento de las obligaciones, sino por la ejecución en el tiempo y la forma convenidos, lo que reafirma su naturaleza como función pública ejercida en desarrollo de la función administrativa. </w:t>
      </w:r>
      <w:r w:rsidRPr="00302A13">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3DD0B352" w14:textId="77777777" w:rsidR="00226797" w:rsidRPr="00302A13" w:rsidRDefault="00226797" w:rsidP="00226797">
      <w:pPr>
        <w:spacing w:after="0" w:line="276" w:lineRule="auto"/>
        <w:ind w:left="720"/>
        <w:jc w:val="both"/>
        <w:textAlignment w:val="baseline"/>
        <w:rPr>
          <w:rFonts w:ascii="Verdana" w:eastAsia="Times New Roman" w:hAnsi="Verdana" w:cs="Arial"/>
          <w:lang w:val="es-ES_tradnl" w:eastAsia="es-MX"/>
        </w:rPr>
      </w:pPr>
    </w:p>
    <w:p w14:paraId="0A7C2529" w14:textId="77777777" w:rsidR="00226797" w:rsidRPr="00302A13" w:rsidRDefault="00226797" w:rsidP="00226797">
      <w:pPr>
        <w:spacing w:after="0" w:line="240" w:lineRule="auto"/>
        <w:ind w:left="709" w:right="709"/>
        <w:jc w:val="both"/>
        <w:textAlignment w:val="baseline"/>
        <w:rPr>
          <w:rFonts w:ascii="Verdana" w:eastAsia="Times New Roman" w:hAnsi="Verdana" w:cs="Arial"/>
          <w:sz w:val="20"/>
          <w:szCs w:val="20"/>
          <w:lang w:val="es-ES" w:eastAsia="es-MX"/>
        </w:rPr>
      </w:pPr>
      <w:r w:rsidRPr="00302A13">
        <w:rPr>
          <w:rFonts w:ascii="Verdana" w:eastAsia="Times New Roman" w:hAnsi="Verdana" w:cs="Arial"/>
          <w:sz w:val="20"/>
          <w:szCs w:val="20"/>
          <w:lang w:val="es-ES" w:eastAsia="es-MX"/>
        </w:rPr>
        <w:t xml:space="preserve">“La supervisión consistirá en el seguimiento técnico, administrativo, financiero, contable, y jurídico </w:t>
      </w:r>
      <w:proofErr w:type="gramStart"/>
      <w:r w:rsidRPr="00302A13">
        <w:rPr>
          <w:rFonts w:ascii="Verdana" w:eastAsia="Times New Roman" w:hAnsi="Verdana" w:cs="Arial"/>
          <w:sz w:val="20"/>
          <w:szCs w:val="20"/>
          <w:lang w:val="es-ES" w:eastAsia="es-MX"/>
        </w:rPr>
        <w:t>que</w:t>
      </w:r>
      <w:proofErr w:type="gramEnd"/>
      <w:r w:rsidRPr="00302A13">
        <w:rPr>
          <w:rFonts w:ascii="Verdana" w:eastAsia="Times New Roman"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57AA5D9A" w14:textId="77777777" w:rsidR="00226797" w:rsidRPr="00302A13" w:rsidRDefault="00226797" w:rsidP="00226797">
      <w:pPr>
        <w:spacing w:after="0" w:line="240" w:lineRule="auto"/>
        <w:ind w:left="709" w:right="709"/>
        <w:jc w:val="both"/>
        <w:textAlignment w:val="baseline"/>
        <w:rPr>
          <w:rFonts w:ascii="Verdana" w:eastAsia="Times New Roman" w:hAnsi="Verdana" w:cs="Arial"/>
          <w:sz w:val="20"/>
          <w:szCs w:val="20"/>
          <w:lang w:val="es-ES" w:eastAsia="es-MX"/>
        </w:rPr>
      </w:pPr>
    </w:p>
    <w:p w14:paraId="3DD5B044" w14:textId="77777777" w:rsidR="00226797" w:rsidRPr="00302A13" w:rsidRDefault="00226797" w:rsidP="00226797">
      <w:pPr>
        <w:spacing w:after="0" w:line="240" w:lineRule="auto"/>
        <w:ind w:left="709" w:right="709"/>
        <w:jc w:val="both"/>
        <w:textAlignment w:val="baseline"/>
        <w:rPr>
          <w:rFonts w:ascii="Verdana" w:eastAsia="Times New Roman" w:hAnsi="Verdana" w:cs="Arial"/>
          <w:sz w:val="20"/>
          <w:szCs w:val="20"/>
          <w:lang w:val="es-ES" w:eastAsia="es-MX"/>
        </w:rPr>
      </w:pPr>
      <w:r w:rsidRPr="00302A13">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302A13">
        <w:rPr>
          <w:rFonts w:ascii="Verdana" w:eastAsia="Times New Roman" w:hAnsi="Verdana" w:cs="Arial"/>
          <w:sz w:val="20"/>
          <w:szCs w:val="20"/>
          <w:lang w:val="es-ES" w:eastAsia="es-MX"/>
        </w:rPr>
        <w:t>del mismo</w:t>
      </w:r>
      <w:proofErr w:type="gramEnd"/>
      <w:r w:rsidRPr="00302A13">
        <w:rPr>
          <w:rFonts w:ascii="Verdana" w:eastAsia="Times New Roman" w:hAnsi="Verdana" w:cs="Arial"/>
          <w:sz w:val="20"/>
          <w:szCs w:val="20"/>
          <w:lang w:val="es-ES" w:eastAsia="es-MX"/>
        </w:rPr>
        <w:t xml:space="preserve"> lo justifiquen. No obstante, lo anterior cuando la entidad lo encuentre justificado y acorde a la naturaleza del contrato principal, podrá contratar el seguimiento administrativo, </w:t>
      </w:r>
      <w:r w:rsidRPr="00302A13">
        <w:rPr>
          <w:rFonts w:ascii="Verdana" w:eastAsia="Times New Roman" w:hAnsi="Verdana" w:cs="Arial"/>
          <w:sz w:val="20"/>
          <w:szCs w:val="20"/>
          <w:lang w:val="es-ES" w:eastAsia="es-MX"/>
        </w:rPr>
        <w:lastRenderedPageBreak/>
        <w:t>técnico, financiero, contable, jurídico del objeto o contrato dentro de la interventoría”</w:t>
      </w:r>
      <w:r w:rsidRPr="00302A13">
        <w:rPr>
          <w:rFonts w:ascii="Verdana" w:eastAsia="Times New Roman" w:hAnsi="Verdana" w:cs="Arial"/>
          <w:sz w:val="20"/>
          <w:szCs w:val="20"/>
          <w:vertAlign w:val="superscript"/>
          <w:lang w:val="es-ES" w:eastAsia="es-MX"/>
        </w:rPr>
        <w:footnoteReference w:id="5"/>
      </w:r>
      <w:r w:rsidRPr="00302A13">
        <w:rPr>
          <w:rFonts w:ascii="Verdana" w:eastAsia="Times New Roman" w:hAnsi="Verdana" w:cs="Arial"/>
          <w:sz w:val="20"/>
          <w:szCs w:val="20"/>
          <w:lang w:val="es-ES" w:eastAsia="es-MX"/>
        </w:rPr>
        <w:t>.</w:t>
      </w:r>
    </w:p>
    <w:p w14:paraId="49D7F9F1" w14:textId="77777777" w:rsidR="00226797" w:rsidRPr="00302A13" w:rsidRDefault="00226797" w:rsidP="00226797">
      <w:pPr>
        <w:spacing w:after="0" w:line="276" w:lineRule="auto"/>
        <w:ind w:left="720"/>
        <w:contextualSpacing/>
        <w:jc w:val="both"/>
        <w:textAlignment w:val="baseline"/>
        <w:rPr>
          <w:rFonts w:ascii="Verdana" w:eastAsia="Times New Roman" w:hAnsi="Verdana" w:cs="Arial"/>
          <w:lang w:val="es-ES" w:eastAsia="es-MX"/>
        </w:rPr>
      </w:pPr>
    </w:p>
    <w:p w14:paraId="7D9C7933" w14:textId="77777777" w:rsidR="00226797" w:rsidRPr="00302A13" w:rsidRDefault="00226797" w:rsidP="00226797">
      <w:pPr>
        <w:spacing w:after="120" w:line="276" w:lineRule="auto"/>
        <w:ind w:firstLine="709"/>
        <w:jc w:val="both"/>
        <w:rPr>
          <w:rFonts w:ascii="Verdana" w:eastAsia="Times New Roman" w:hAnsi="Verdana" w:cs="Arial"/>
          <w:shd w:val="clear" w:color="auto" w:fill="FFFFFF"/>
          <w:lang w:val="es-ES"/>
        </w:rPr>
      </w:pPr>
      <w:r w:rsidRPr="00302A13">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302A13">
        <w:rPr>
          <w:rFonts w:ascii="Verdana" w:eastAsia="Times New Roman" w:hAnsi="Verdana" w:cs="Arial"/>
          <w:bCs/>
          <w:vertAlign w:val="superscript"/>
          <w:lang w:val="es-ES"/>
        </w:rPr>
        <w:footnoteReference w:id="6"/>
      </w:r>
      <w:r w:rsidRPr="00302A13">
        <w:rPr>
          <w:rFonts w:ascii="Verdana" w:eastAsia="Times New Roman" w:hAnsi="Verdana" w:cs="Arial"/>
          <w:bCs/>
          <w:lang w:val="es-ES"/>
        </w:rPr>
        <w:t xml:space="preserve">–; </w:t>
      </w:r>
      <w:proofErr w:type="spellStart"/>
      <w:r w:rsidRPr="00302A13">
        <w:rPr>
          <w:rFonts w:ascii="Verdana" w:eastAsia="Times New Roman" w:hAnsi="Verdana" w:cs="Arial"/>
          <w:bCs/>
          <w:lang w:val="es-ES"/>
        </w:rPr>
        <w:t>ii</w:t>
      </w:r>
      <w:proofErr w:type="spellEnd"/>
      <w:r w:rsidRPr="00302A13">
        <w:rPr>
          <w:rFonts w:ascii="Verdana" w:eastAsia="Times New Roman" w:hAnsi="Verdana" w:cs="Arial"/>
          <w:bCs/>
          <w:lang w:val="es-ES"/>
        </w:rPr>
        <w:t xml:space="preserve">) no requiere conocimientos tan especializados como la interventoría; </w:t>
      </w:r>
      <w:proofErr w:type="spellStart"/>
      <w:r w:rsidRPr="00302A13">
        <w:rPr>
          <w:rFonts w:ascii="Verdana" w:eastAsia="Times New Roman" w:hAnsi="Verdana" w:cs="Arial"/>
          <w:bCs/>
          <w:lang w:val="es-ES"/>
        </w:rPr>
        <w:t>iii</w:t>
      </w:r>
      <w:proofErr w:type="spellEnd"/>
      <w:r w:rsidRPr="00302A13">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302A13">
        <w:rPr>
          <w:rFonts w:ascii="Verdana" w:eastAsia="Times New Roman" w:hAnsi="Verdana" w:cs="Arial"/>
          <w:bCs/>
          <w:lang w:val="es-ES"/>
        </w:rPr>
        <w:t>iv</w:t>
      </w:r>
      <w:proofErr w:type="spellEnd"/>
      <w:r w:rsidRPr="00302A13">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76E293E2" w14:textId="77777777" w:rsidR="00226797" w:rsidRPr="00302A13" w:rsidRDefault="00226797" w:rsidP="00226797">
      <w:pPr>
        <w:spacing w:after="120" w:line="276" w:lineRule="auto"/>
        <w:jc w:val="both"/>
        <w:rPr>
          <w:rFonts w:ascii="Verdana" w:eastAsia="Aptos" w:hAnsi="Verdana" w:cs="Arial"/>
          <w:bCs/>
        </w:rPr>
      </w:pPr>
      <w:r w:rsidRPr="00302A13">
        <w:rPr>
          <w:rFonts w:ascii="Verdana" w:eastAsia="Aptos" w:hAnsi="Verdana" w:cs="Arial"/>
          <w:bCs/>
          <w:lang w:val="es-ES"/>
        </w:rPr>
        <w:tab/>
        <w:t xml:space="preserve">Por otro lado, </w:t>
      </w:r>
      <w:r w:rsidRPr="00302A13">
        <w:rPr>
          <w:rFonts w:ascii="Verdana" w:eastAsia="Aptos" w:hAnsi="Verdana" w:cs="Arial"/>
          <w:bCs/>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302A13">
        <w:rPr>
          <w:rFonts w:ascii="Verdana" w:eastAsia="Aptos" w:hAnsi="Verdana" w:cs="Arial"/>
          <w:bCs/>
        </w:rPr>
        <w:t>ii</w:t>
      </w:r>
      <w:proofErr w:type="spellEnd"/>
      <w:r w:rsidRPr="00302A13">
        <w:rPr>
          <w:rFonts w:ascii="Verdana" w:eastAsia="Aptos" w:hAnsi="Verdana" w:cs="Arial"/>
          <w:bCs/>
        </w:rPr>
        <w:t xml:space="preserve">) es un mecanismo de vigilancia que exige, en su ejecución, la utilización de conocimientos especializados; </w:t>
      </w:r>
      <w:proofErr w:type="spellStart"/>
      <w:r w:rsidRPr="00302A13">
        <w:rPr>
          <w:rFonts w:ascii="Verdana" w:eastAsia="Aptos" w:hAnsi="Verdana" w:cs="Arial"/>
          <w:bCs/>
        </w:rPr>
        <w:t>iii</w:t>
      </w:r>
      <w:proofErr w:type="spellEnd"/>
      <w:r w:rsidRPr="00302A13">
        <w:rPr>
          <w:rFonts w:ascii="Verdana" w:eastAsia="Aptos" w:hAnsi="Verdana" w:cs="Arial"/>
          <w:bCs/>
        </w:rPr>
        <w:t>) por lo anterior, la entidad contrata un experto, por regla general, mediante la modalidad de selección de concurso de méritos, al tratarse la interventoría de una especie del contrato de consultoría –art. 32, numeral 2, inciso 2, Ley 80 de 1993</w:t>
      </w:r>
      <w:r w:rsidRPr="00302A13">
        <w:rPr>
          <w:rFonts w:ascii="Verdana" w:eastAsia="Aptos" w:hAnsi="Verdana" w:cs="Times New Roman"/>
          <w:kern w:val="2"/>
          <w:vertAlign w:val="superscript"/>
          <w14:ligatures w14:val="standardContextual"/>
        </w:rPr>
        <w:footnoteReference w:id="7"/>
      </w:r>
      <w:r w:rsidRPr="00302A13">
        <w:rPr>
          <w:rFonts w:ascii="Verdana" w:eastAsia="Aptos" w:hAnsi="Verdana" w:cs="Arial"/>
          <w:bCs/>
        </w:rPr>
        <w:t xml:space="preserve">‒, de manera que la interventoría es realizada por “una persona natural o jurídica contratada para tal fin por la Entidad Estatal” –art. 83, Ley 1474–; </w:t>
      </w:r>
      <w:proofErr w:type="spellStart"/>
      <w:r w:rsidRPr="00302A13">
        <w:rPr>
          <w:rFonts w:ascii="Verdana" w:eastAsia="Aptos" w:hAnsi="Verdana" w:cs="Arial"/>
          <w:bCs/>
        </w:rPr>
        <w:t>iv</w:t>
      </w:r>
      <w:proofErr w:type="spellEnd"/>
      <w:r w:rsidRPr="00302A13">
        <w:rPr>
          <w:rFonts w:ascii="Verdana" w:eastAsia="Aptos" w:hAnsi="Verdana" w:cs="Arial"/>
          <w:bCs/>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w:t>
      </w:r>
      <w:r w:rsidRPr="00302A13">
        <w:rPr>
          <w:rFonts w:ascii="Verdana" w:eastAsia="Aptos" w:hAnsi="Verdana" w:cs="Arial"/>
          <w:bCs/>
        </w:rPr>
        <w:lastRenderedPageBreak/>
        <w:t>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6D5036C4" w14:textId="77777777" w:rsidR="00226797" w:rsidRPr="00302A13" w:rsidRDefault="00226797" w:rsidP="00226797">
      <w:pPr>
        <w:spacing w:after="120" w:line="276" w:lineRule="auto"/>
        <w:jc w:val="both"/>
        <w:rPr>
          <w:rFonts w:ascii="Verdana" w:eastAsia="Aptos" w:hAnsi="Verdana" w:cs="Arial"/>
          <w:bCs/>
        </w:rPr>
      </w:pPr>
      <w:r w:rsidRPr="00302A13">
        <w:rPr>
          <w:rFonts w:ascii="Verdana" w:eastAsia="Aptos" w:hAnsi="Verdana" w:cs="Arial"/>
          <w:bCs/>
          <w:lang w:val="es-ES"/>
        </w:rPr>
        <w:tab/>
      </w:r>
      <w:r w:rsidRPr="00302A13">
        <w:rPr>
          <w:rFonts w:ascii="Verdana" w:eastAsia="Aptos" w:hAnsi="Verdana" w:cs="Arial"/>
          <w:bCs/>
        </w:rPr>
        <w:t>Ahora bien, a partir del marco normativo que regula la supervisión y la interventoría en la Ley 1474 de 2011, es preciso advertir que los artículos 82, 83, 84 y 85 no definieron un ámbito de aplicación específico. A diferencia del artículo 86 —que sí delimitó expresamente su alcance a las entidades sometidas al Estatuto General de Contratación de la Administración Pública— estas disposiciones no señalaron que fueran aplicables a las entidades con régimen contractual especial. En la misma línea, la “</w:t>
      </w:r>
      <w:r w:rsidRPr="00302A13">
        <w:rPr>
          <w:rFonts w:ascii="Verdana" w:eastAsia="Aptos" w:hAnsi="Verdana" w:cs="Arial"/>
          <w:bCs/>
          <w:i/>
          <w:iCs/>
        </w:rPr>
        <w:t>Guía para la Gestión Contractual de Entidades Estatales con Régimen Especial”</w:t>
      </w:r>
      <w:r w:rsidRPr="00302A13">
        <w:rPr>
          <w:rFonts w:ascii="Verdana" w:eastAsia="Aptos" w:hAnsi="Verdana" w:cs="Arial"/>
          <w:bCs/>
        </w:rPr>
        <w:t xml:space="preserve"> tampoco incorporó estos artículos dentro del conjunto de reglas aplicables a los procesos de compras y contratación pública adelantados por dichas entidades. La ausencia de referencia normativa expresa confirma que el legislador no extendió automáticamente la aplicabilidad de estas disposiciones a los sujetos exceptuados del Estatuto General de Contratación.</w:t>
      </w:r>
    </w:p>
    <w:p w14:paraId="3951EC2C" w14:textId="77777777" w:rsidR="00226797" w:rsidRPr="00302A13" w:rsidRDefault="00226797" w:rsidP="00226797">
      <w:pPr>
        <w:spacing w:after="0" w:line="276" w:lineRule="auto"/>
        <w:ind w:firstLine="709"/>
        <w:jc w:val="both"/>
        <w:rPr>
          <w:rFonts w:ascii="Verdana" w:eastAsia="Aptos" w:hAnsi="Verdana" w:cs="Arial"/>
          <w:bCs/>
        </w:rPr>
      </w:pPr>
      <w:r w:rsidRPr="00302A13">
        <w:rPr>
          <w:rFonts w:ascii="Verdana" w:eastAsia="Aptos" w:hAnsi="Verdana" w:cs="Arial"/>
          <w:bCs/>
        </w:rPr>
        <w:t>Sin embargo, esta falta de remisión normativa no implica que las entidades de régimen especial estén exentas del deber de control y vigilancia sobre la ejecución contractual. Por el contrario, dicho deber se deriva de los principios de la función administrativa, de la gestión fiscal, como lo exige el artículo 13 de la Ley 1150 de 2007 y de la obligación general de asegurar la correcta ejecución de los recursos públicos, lo que exige mantener mecanismos idóneos de supervisión y seguimiento, aun cuando su régimen contractual sea de naturaleza excepcional.</w:t>
      </w:r>
    </w:p>
    <w:p w14:paraId="16DE2E47" w14:textId="77777777" w:rsidR="00226797" w:rsidRPr="00302A13" w:rsidRDefault="00226797" w:rsidP="00226797">
      <w:pPr>
        <w:pStyle w:val="Sinespaciado"/>
        <w:spacing w:line="276" w:lineRule="auto"/>
        <w:jc w:val="both"/>
        <w:rPr>
          <w:rFonts w:ascii="Verdana" w:eastAsia="Calibri" w:hAnsi="Verdana" w:cs="Arial"/>
          <w:color w:val="000000" w:themeColor="text1"/>
          <w:lang w:val="es-ES"/>
        </w:rPr>
      </w:pPr>
    </w:p>
    <w:p w14:paraId="64A2088C" w14:textId="77777777" w:rsidR="00226797" w:rsidRPr="00302A13" w:rsidRDefault="00226797" w:rsidP="00226797">
      <w:pPr>
        <w:pStyle w:val="Sinespaciado"/>
        <w:spacing w:after="120" w:line="276" w:lineRule="auto"/>
        <w:jc w:val="both"/>
        <w:rPr>
          <w:rFonts w:ascii="Verdana" w:hAnsi="Verdana" w:cs="Arial"/>
          <w:sz w:val="22"/>
        </w:rPr>
      </w:pPr>
      <w:proofErr w:type="spellStart"/>
      <w:r w:rsidRPr="00302A13">
        <w:rPr>
          <w:rFonts w:ascii="Verdana" w:eastAsia="Calibri" w:hAnsi="Verdana" w:cs="Arial"/>
          <w:color w:val="000000" w:themeColor="text1"/>
          <w:lang w:val="es-ES"/>
        </w:rPr>
        <w:t>ii</w:t>
      </w:r>
      <w:proofErr w:type="spellEnd"/>
      <w:r w:rsidRPr="00302A13">
        <w:rPr>
          <w:rFonts w:ascii="Verdana" w:eastAsia="Calibri" w:hAnsi="Verdana" w:cs="Arial"/>
          <w:color w:val="000000" w:themeColor="text1"/>
          <w:lang w:val="es-ES"/>
        </w:rPr>
        <w:t>.</w:t>
      </w:r>
      <w:r w:rsidRPr="00302A13">
        <w:rPr>
          <w:rFonts w:ascii="Verdana" w:hAnsi="Verdana" w:cs="Arial"/>
          <w:sz w:val="22"/>
        </w:rPr>
        <w:t xml:space="preserve"> A diferencia del supervisor, el interventor es un contratista externo a la entidad estatal y al contratista vigilado, de manera que es seleccionado por la entidad estatal mediante los procedimientos del artículo 2 de la Ley 1150 de 2007, en principio, a través del concurso de méritos. Lo anterior, sin perjuicio de que eventualmente aplique alguna causal especial que permita la celebración de este tipo de contratos mediante una modalidad diferente, como podría suceder frente a la posibilidad de realizar, por ejemplo, una contratación de </w:t>
      </w:r>
      <w:r w:rsidRPr="00302A13">
        <w:rPr>
          <w:rFonts w:ascii="Verdana" w:hAnsi="Verdana" w:cs="Arial"/>
          <w:sz w:val="22"/>
        </w:rPr>
        <w:lastRenderedPageBreak/>
        <w:t xml:space="preserve">mínima cuantía o una contratación directa, en caso de presentarse alguna de las causales establecidas en el artículo 2 de la Ley 1150 de 2007, que dé lugar a acudir a otra modalidad de selección. </w:t>
      </w:r>
    </w:p>
    <w:p w14:paraId="372EC9E3" w14:textId="77777777" w:rsidR="00226797" w:rsidRPr="00302A13" w:rsidRDefault="00226797" w:rsidP="00226797">
      <w:pPr>
        <w:spacing w:after="120" w:line="276" w:lineRule="auto"/>
        <w:ind w:firstLine="708"/>
        <w:jc w:val="both"/>
        <w:rPr>
          <w:rFonts w:ascii="Verdana" w:eastAsia="Arial MT" w:hAnsi="Verdana" w:cs="Arial"/>
          <w:color w:val="000000" w:themeColor="text1"/>
          <w:lang w:val="es-ES"/>
        </w:rPr>
      </w:pPr>
      <w:r w:rsidRPr="00302A13">
        <w:rPr>
          <w:rFonts w:ascii="Verdana" w:eastAsia="Arial MT" w:hAnsi="Verdana" w:cs="Arial"/>
          <w:color w:val="000000" w:themeColor="text1"/>
          <w:lang w:val="es-ES"/>
        </w:rPr>
        <w:t>Quien ejerza la vigilancia de la ejecución del contrato, ya sea mediante la supervisión o</w:t>
      </w:r>
      <w:r w:rsidRPr="00302A13">
        <w:rPr>
          <w:rFonts w:ascii="Verdana" w:eastAsia="Arial MT" w:hAnsi="Verdana" w:cs="Arial"/>
          <w:color w:val="000000" w:themeColor="text1"/>
          <w:spacing w:val="1"/>
          <w:lang w:val="es-ES"/>
        </w:rPr>
        <w:t xml:space="preserve"> </w:t>
      </w:r>
      <w:r w:rsidRPr="00302A13">
        <w:rPr>
          <w:rFonts w:ascii="Verdana" w:eastAsia="Arial MT" w:hAnsi="Verdana" w:cs="Arial"/>
          <w:color w:val="000000" w:themeColor="text1"/>
          <w:lang w:val="es-ES"/>
        </w:rPr>
        <w:t>mediante</w:t>
      </w:r>
      <w:r w:rsidRPr="00302A13">
        <w:rPr>
          <w:rFonts w:ascii="Verdana" w:eastAsia="Arial MT" w:hAnsi="Verdana" w:cs="Arial"/>
          <w:color w:val="000000" w:themeColor="text1"/>
          <w:spacing w:val="-6"/>
          <w:lang w:val="es-ES"/>
        </w:rPr>
        <w:t xml:space="preserve"> </w:t>
      </w:r>
      <w:r w:rsidRPr="00302A13">
        <w:rPr>
          <w:rFonts w:ascii="Verdana" w:eastAsia="Arial MT" w:hAnsi="Verdana" w:cs="Arial"/>
          <w:color w:val="000000" w:themeColor="text1"/>
          <w:lang w:val="es-ES"/>
        </w:rPr>
        <w:t>la</w:t>
      </w:r>
      <w:r w:rsidRPr="00302A13">
        <w:rPr>
          <w:rFonts w:ascii="Verdana" w:eastAsia="Arial MT" w:hAnsi="Verdana" w:cs="Arial"/>
          <w:color w:val="000000" w:themeColor="text1"/>
          <w:spacing w:val="-5"/>
          <w:lang w:val="es-ES"/>
        </w:rPr>
        <w:t xml:space="preserve"> </w:t>
      </w:r>
      <w:r w:rsidRPr="00302A13">
        <w:rPr>
          <w:rFonts w:ascii="Verdana" w:eastAsia="Arial MT" w:hAnsi="Verdana" w:cs="Arial"/>
          <w:color w:val="000000" w:themeColor="text1"/>
          <w:lang w:val="es-ES"/>
        </w:rPr>
        <w:t>interventoría,</w:t>
      </w:r>
      <w:r w:rsidRPr="00302A13">
        <w:rPr>
          <w:rFonts w:ascii="Verdana" w:eastAsia="Arial MT" w:hAnsi="Verdana" w:cs="Arial"/>
          <w:color w:val="000000" w:themeColor="text1"/>
          <w:spacing w:val="-4"/>
          <w:lang w:val="es-ES"/>
        </w:rPr>
        <w:t xml:space="preserve"> </w:t>
      </w:r>
      <w:r w:rsidRPr="00302A13">
        <w:rPr>
          <w:rFonts w:ascii="Verdana" w:eastAsia="Arial MT" w:hAnsi="Verdana" w:cs="Arial"/>
          <w:color w:val="000000" w:themeColor="text1"/>
          <w:lang w:val="es-ES"/>
        </w:rPr>
        <w:t>puede</w:t>
      </w:r>
      <w:r w:rsidRPr="00302A13">
        <w:rPr>
          <w:rFonts w:ascii="Verdana" w:eastAsia="Arial MT" w:hAnsi="Verdana" w:cs="Arial"/>
          <w:color w:val="000000" w:themeColor="text1"/>
          <w:spacing w:val="-5"/>
          <w:lang w:val="es-ES"/>
        </w:rPr>
        <w:t xml:space="preserve"> </w:t>
      </w:r>
      <w:r w:rsidRPr="00302A13">
        <w:rPr>
          <w:rFonts w:ascii="Verdana" w:eastAsia="Arial MT" w:hAnsi="Verdana" w:cs="Arial"/>
          <w:color w:val="000000" w:themeColor="text1"/>
          <w:lang w:val="es-ES"/>
        </w:rPr>
        <w:t>hacer</w:t>
      </w:r>
      <w:r w:rsidRPr="00302A13">
        <w:rPr>
          <w:rFonts w:ascii="Verdana" w:eastAsia="Arial MT" w:hAnsi="Verdana" w:cs="Arial"/>
          <w:color w:val="000000" w:themeColor="text1"/>
          <w:spacing w:val="-5"/>
          <w:lang w:val="es-ES"/>
        </w:rPr>
        <w:t xml:space="preserve"> </w:t>
      </w:r>
      <w:r w:rsidRPr="00302A13">
        <w:rPr>
          <w:rFonts w:ascii="Verdana" w:eastAsia="Arial MT" w:hAnsi="Verdana" w:cs="Arial"/>
          <w:color w:val="000000" w:themeColor="text1"/>
          <w:lang w:val="es-ES"/>
        </w:rPr>
        <w:t>uso</w:t>
      </w:r>
      <w:r w:rsidRPr="00302A13">
        <w:rPr>
          <w:rFonts w:ascii="Verdana" w:eastAsia="Arial MT" w:hAnsi="Verdana" w:cs="Arial"/>
          <w:color w:val="000000" w:themeColor="text1"/>
          <w:spacing w:val="-6"/>
          <w:lang w:val="es-ES"/>
        </w:rPr>
        <w:t xml:space="preserve"> </w:t>
      </w:r>
      <w:r w:rsidRPr="00302A13">
        <w:rPr>
          <w:rFonts w:ascii="Verdana" w:eastAsia="Arial MT" w:hAnsi="Verdana" w:cs="Arial"/>
          <w:color w:val="000000" w:themeColor="text1"/>
          <w:lang w:val="es-ES"/>
        </w:rPr>
        <w:t>de</w:t>
      </w:r>
      <w:r w:rsidRPr="00302A13">
        <w:rPr>
          <w:rFonts w:ascii="Verdana" w:eastAsia="Arial MT" w:hAnsi="Verdana" w:cs="Arial"/>
          <w:color w:val="000000" w:themeColor="text1"/>
          <w:spacing w:val="-6"/>
          <w:lang w:val="es-ES"/>
        </w:rPr>
        <w:t xml:space="preserve"> </w:t>
      </w:r>
      <w:r w:rsidRPr="00302A13">
        <w:rPr>
          <w:rFonts w:ascii="Verdana" w:eastAsia="Arial MT" w:hAnsi="Verdana" w:cs="Arial"/>
          <w:color w:val="000000" w:themeColor="text1"/>
          <w:lang w:val="es-ES"/>
        </w:rPr>
        <w:t>las</w:t>
      </w:r>
      <w:r w:rsidRPr="00302A13">
        <w:rPr>
          <w:rFonts w:ascii="Verdana" w:eastAsia="Arial MT" w:hAnsi="Verdana" w:cs="Arial"/>
          <w:color w:val="000000" w:themeColor="text1"/>
          <w:spacing w:val="-5"/>
          <w:lang w:val="es-ES"/>
        </w:rPr>
        <w:t xml:space="preserve"> </w:t>
      </w:r>
      <w:r w:rsidRPr="00302A13">
        <w:rPr>
          <w:rFonts w:ascii="Verdana" w:eastAsia="Arial MT" w:hAnsi="Verdana" w:cs="Arial"/>
          <w:color w:val="000000" w:themeColor="text1"/>
          <w:lang w:val="es-ES"/>
        </w:rPr>
        <w:t>facultades</w:t>
      </w:r>
      <w:r w:rsidRPr="00302A13">
        <w:rPr>
          <w:rFonts w:ascii="Verdana" w:eastAsia="Arial MT" w:hAnsi="Verdana" w:cs="Arial"/>
          <w:color w:val="000000" w:themeColor="text1"/>
          <w:spacing w:val="-5"/>
          <w:lang w:val="es-ES"/>
        </w:rPr>
        <w:t xml:space="preserve"> </w:t>
      </w:r>
      <w:r w:rsidRPr="00302A13">
        <w:rPr>
          <w:rFonts w:ascii="Verdana" w:eastAsia="Arial MT" w:hAnsi="Verdana" w:cs="Arial"/>
          <w:color w:val="000000" w:themeColor="text1"/>
          <w:lang w:val="es-ES"/>
        </w:rPr>
        <w:t>previstas</w:t>
      </w:r>
      <w:r w:rsidRPr="00302A13">
        <w:rPr>
          <w:rFonts w:ascii="Verdana" w:eastAsia="Arial MT" w:hAnsi="Verdana" w:cs="Arial"/>
          <w:color w:val="000000" w:themeColor="text1"/>
          <w:spacing w:val="-3"/>
          <w:lang w:val="es-ES"/>
        </w:rPr>
        <w:t xml:space="preserve"> </w:t>
      </w:r>
      <w:r w:rsidRPr="00302A13">
        <w:rPr>
          <w:rFonts w:ascii="Verdana" w:eastAsia="Arial MT" w:hAnsi="Verdana" w:cs="Arial"/>
          <w:color w:val="000000" w:themeColor="text1"/>
          <w:lang w:val="es-ES"/>
        </w:rPr>
        <w:t>en</w:t>
      </w:r>
      <w:r w:rsidRPr="00302A13">
        <w:rPr>
          <w:rFonts w:ascii="Verdana" w:eastAsia="Arial MT" w:hAnsi="Verdana" w:cs="Arial"/>
          <w:color w:val="000000" w:themeColor="text1"/>
          <w:spacing w:val="-7"/>
          <w:lang w:val="es-ES"/>
        </w:rPr>
        <w:t xml:space="preserve"> </w:t>
      </w:r>
      <w:r w:rsidRPr="00302A13">
        <w:rPr>
          <w:rFonts w:ascii="Verdana" w:eastAsia="Arial MT" w:hAnsi="Verdana" w:cs="Arial"/>
          <w:color w:val="000000" w:themeColor="text1"/>
          <w:lang w:val="es-ES"/>
        </w:rPr>
        <w:t>el</w:t>
      </w:r>
      <w:r w:rsidRPr="00302A13">
        <w:rPr>
          <w:rFonts w:ascii="Verdana" w:eastAsia="Arial MT" w:hAnsi="Verdana" w:cs="Arial"/>
          <w:color w:val="000000" w:themeColor="text1"/>
          <w:spacing w:val="-4"/>
          <w:lang w:val="es-ES"/>
        </w:rPr>
        <w:t xml:space="preserve"> </w:t>
      </w:r>
      <w:r w:rsidRPr="00302A13">
        <w:rPr>
          <w:rFonts w:ascii="Verdana" w:eastAsia="Arial MT" w:hAnsi="Verdana" w:cs="Arial"/>
          <w:color w:val="000000" w:themeColor="text1"/>
          <w:lang w:val="es-ES"/>
        </w:rPr>
        <w:t>artículo</w:t>
      </w:r>
      <w:r w:rsidRPr="00302A13">
        <w:rPr>
          <w:rFonts w:ascii="Verdana" w:eastAsia="Arial MT" w:hAnsi="Verdana" w:cs="Arial"/>
          <w:color w:val="000000" w:themeColor="text1"/>
          <w:spacing w:val="-3"/>
          <w:lang w:val="es-ES"/>
        </w:rPr>
        <w:t xml:space="preserve"> </w:t>
      </w:r>
      <w:r w:rsidRPr="00302A13">
        <w:rPr>
          <w:rFonts w:ascii="Verdana" w:eastAsia="Arial MT" w:hAnsi="Verdana" w:cs="Arial"/>
          <w:color w:val="000000" w:themeColor="text1"/>
          <w:lang w:val="es-ES"/>
        </w:rPr>
        <w:t>84</w:t>
      </w:r>
      <w:r w:rsidRPr="00302A13">
        <w:rPr>
          <w:rFonts w:ascii="Verdana" w:eastAsia="Arial MT" w:hAnsi="Verdana" w:cs="Arial"/>
          <w:color w:val="000000" w:themeColor="text1"/>
          <w:spacing w:val="-3"/>
          <w:lang w:val="es-ES"/>
        </w:rPr>
        <w:t xml:space="preserve"> </w:t>
      </w:r>
      <w:r w:rsidRPr="00302A13">
        <w:rPr>
          <w:rFonts w:ascii="Verdana" w:eastAsia="Arial MT" w:hAnsi="Verdana" w:cs="Arial"/>
          <w:color w:val="000000" w:themeColor="text1"/>
          <w:lang w:val="es-ES"/>
        </w:rPr>
        <w:t>de</w:t>
      </w:r>
      <w:r w:rsidRPr="00302A13">
        <w:rPr>
          <w:rFonts w:ascii="Verdana" w:eastAsia="Arial MT" w:hAnsi="Verdana" w:cs="Arial"/>
          <w:color w:val="000000" w:themeColor="text1"/>
          <w:spacing w:val="-7"/>
          <w:lang w:val="es-ES"/>
        </w:rPr>
        <w:t xml:space="preserve"> </w:t>
      </w:r>
      <w:r w:rsidRPr="00302A13">
        <w:rPr>
          <w:rFonts w:ascii="Verdana" w:eastAsia="Arial MT" w:hAnsi="Verdana" w:cs="Arial"/>
          <w:color w:val="000000" w:themeColor="text1"/>
          <w:lang w:val="es-ES"/>
        </w:rPr>
        <w:t>la</w:t>
      </w:r>
      <w:r w:rsidRPr="00302A13">
        <w:rPr>
          <w:rFonts w:ascii="Verdana" w:eastAsia="Arial MT" w:hAnsi="Verdana" w:cs="Arial"/>
          <w:color w:val="000000" w:themeColor="text1"/>
          <w:spacing w:val="-5"/>
          <w:lang w:val="es-ES"/>
        </w:rPr>
        <w:t xml:space="preserve"> </w:t>
      </w:r>
      <w:r w:rsidRPr="00302A13">
        <w:rPr>
          <w:rFonts w:ascii="Verdana" w:eastAsia="Arial MT" w:hAnsi="Verdana" w:cs="Arial"/>
          <w:color w:val="000000" w:themeColor="text1"/>
          <w:lang w:val="es-ES"/>
        </w:rPr>
        <w:t>Ley</w:t>
      </w:r>
      <w:r w:rsidRPr="00302A13">
        <w:rPr>
          <w:rFonts w:ascii="Verdana" w:eastAsia="Arial MT" w:hAnsi="Verdana" w:cs="Arial"/>
          <w:color w:val="000000" w:themeColor="text1"/>
          <w:spacing w:val="-58"/>
          <w:lang w:val="es-ES"/>
        </w:rPr>
        <w:t xml:space="preserve"> </w:t>
      </w:r>
      <w:r w:rsidRPr="00302A13">
        <w:rPr>
          <w:rFonts w:ascii="Verdana" w:eastAsia="Arial MT" w:hAnsi="Verdana" w:cs="Arial"/>
          <w:color w:val="000000" w:themeColor="text1"/>
          <w:lang w:val="es-ES"/>
        </w:rPr>
        <w:t>1474 de 2011 para efectuar el seguimiento al cumplimiento obligacional del contrato y estará</w:t>
      </w:r>
      <w:r w:rsidRPr="00302A13">
        <w:rPr>
          <w:rFonts w:ascii="Verdana" w:eastAsia="Arial MT" w:hAnsi="Verdana" w:cs="Arial"/>
          <w:color w:val="000000" w:themeColor="text1"/>
          <w:spacing w:val="1"/>
          <w:lang w:val="es-ES"/>
        </w:rPr>
        <w:t xml:space="preserve"> </w:t>
      </w:r>
      <w:r w:rsidRPr="00302A13">
        <w:rPr>
          <w:rFonts w:ascii="Verdana" w:eastAsia="Arial MT" w:hAnsi="Verdana" w:cs="Arial"/>
          <w:color w:val="000000" w:themeColor="text1"/>
          <w:lang w:val="es-ES"/>
        </w:rPr>
        <w:t>sometido a los deberes y responsabilidades que implica el ejercicio de dicha actividad. En este contexto, tanto los supervisores como los interventores “</w:t>
      </w:r>
      <w:r w:rsidRPr="00302A13">
        <w:rPr>
          <w:rFonts w:ascii="Verdana" w:eastAsia="Arial MT" w:hAnsi="Verdana" w:cs="Arial"/>
          <w:color w:val="000000" w:themeColor="text1"/>
        </w:rPr>
        <w:t xml:space="preserve">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En otras palabras, quienes ejercen funciones de seguimiento contractual tienen la potestad de pedir al contratista toda la información necesaria —informes, aclaraciones y explicaciones— para verificar cómo avanza la ejecución del contrato. Además, se les impone un deber especial: deben mantener informada a la entidad contratante sobre cualquier hecho, situación o indicio que pueda constituir un acto de corrupción o que genere riesgo de incumplimiento contractual, e incluso reportar cuando dicho incumplimiento ya se haya producido. </w:t>
      </w:r>
    </w:p>
    <w:p w14:paraId="1903D9F1" w14:textId="77777777" w:rsidR="00226797" w:rsidRPr="00302A13" w:rsidRDefault="00226797" w:rsidP="00226797">
      <w:pPr>
        <w:spacing w:after="0" w:line="276" w:lineRule="auto"/>
        <w:ind w:firstLine="708"/>
        <w:jc w:val="both"/>
        <w:rPr>
          <w:rFonts w:ascii="Verdana" w:eastAsia="Calibri" w:hAnsi="Verdana" w:cs="Times New Roman"/>
          <w:lang w:val="es-ES"/>
        </w:rPr>
      </w:pPr>
      <w:r w:rsidRPr="00302A13">
        <w:rPr>
          <w:rFonts w:ascii="Verdana" w:eastAsia="Arial MT" w:hAnsi="Verdana" w:cs="Arial"/>
          <w:color w:val="000000" w:themeColor="text1"/>
          <w:lang w:val="es-ES"/>
        </w:rPr>
        <w:t xml:space="preserve">Incluso, aun cuando el contrato de interventoría se celebra con un tercero a quien se le confía la labor de vigilar la ejecución idónea de otro contrato, por lo general un contrato de obra pública, aquel actúa con facultades similares a las que tiene la entidad estatal cuando ejerce la supervisión por su propia cuenta. Lo anterior, en la medida en que ambos son mecanismos a través de los cuales las entidades cumplen el deber de vigilar la correcta ejecución de los contratos, por lo que comparten una finalidad común. </w:t>
      </w:r>
      <w:r w:rsidRPr="00302A13">
        <w:rPr>
          <w:rFonts w:ascii="Verdana" w:eastAsia="Calibri" w:hAnsi="Verdana" w:cs="Times New Roman"/>
          <w:lang w:val="es-ES"/>
        </w:rPr>
        <w:t xml:space="preserve">En este sentido, la Corte Constitucional, con ocasión de un examen de constitucionalidad a las funciones de la interventoría, adujo en la Sentencia C-037 de 2003: </w:t>
      </w:r>
    </w:p>
    <w:p w14:paraId="43CCA92C" w14:textId="77777777" w:rsidR="00226797" w:rsidRPr="00302A13" w:rsidRDefault="00226797" w:rsidP="00226797">
      <w:pPr>
        <w:spacing w:after="0" w:line="240" w:lineRule="auto"/>
        <w:jc w:val="both"/>
        <w:rPr>
          <w:rFonts w:ascii="Verdana" w:eastAsia="Calibri" w:hAnsi="Verdana" w:cs="Times New Roman"/>
          <w:lang w:val="es-ES"/>
        </w:rPr>
      </w:pPr>
    </w:p>
    <w:p w14:paraId="1D82E6C9" w14:textId="77777777" w:rsidR="00226797" w:rsidRPr="00302A13" w:rsidRDefault="00226797" w:rsidP="00226797">
      <w:pPr>
        <w:numPr>
          <w:ilvl w:val="12"/>
          <w:numId w:val="0"/>
        </w:numPr>
        <w:spacing w:after="0" w:line="240" w:lineRule="auto"/>
        <w:ind w:left="851" w:right="851"/>
        <w:jc w:val="both"/>
        <w:rPr>
          <w:rFonts w:ascii="Verdana" w:eastAsia="Calibri" w:hAnsi="Verdana" w:cs="Times New Roman"/>
          <w:sz w:val="20"/>
          <w:szCs w:val="20"/>
          <w:lang w:val="es-ES"/>
        </w:rPr>
      </w:pPr>
      <w:r w:rsidRPr="00302A13">
        <w:rPr>
          <w:rFonts w:ascii="Verdana" w:eastAsia="Calibri" w:hAnsi="Verdana" w:cs="Times New Roman"/>
          <w:sz w:val="20"/>
          <w:szCs w:val="20"/>
          <w:lang w:val="es-ES"/>
        </w:rPr>
        <w:t xml:space="preserve">Ahora bien, para la Corte de los elementos que se desprenden de la ley resulta claro que al interventor le corresponde vigilar que el contrato se desarrolle de acuerdo con lo pactado en las condiciones técnicas y científicas que más se ajusten a su cabal desarrollo, de acuerdo con los </w:t>
      </w:r>
      <w:r w:rsidRPr="00302A13">
        <w:rPr>
          <w:rFonts w:ascii="Verdana" w:eastAsia="Calibri" w:hAnsi="Verdana" w:cs="Times New Roman"/>
          <w:sz w:val="20"/>
          <w:szCs w:val="20"/>
          <w:lang w:val="es-ES"/>
        </w:rPr>
        <w:lastRenderedPageBreak/>
        <w:t xml:space="preserve">conocimientos especializados que él posee, </w:t>
      </w:r>
      <w:proofErr w:type="gramStart"/>
      <w:r w:rsidRPr="00302A13">
        <w:rPr>
          <w:rFonts w:ascii="Verdana" w:eastAsia="Calibri" w:hAnsi="Verdana" w:cs="Times New Roman"/>
          <w:sz w:val="20"/>
          <w:szCs w:val="20"/>
          <w:lang w:val="es-ES"/>
        </w:rPr>
        <w:t>en razón de</w:t>
      </w:r>
      <w:proofErr w:type="gramEnd"/>
      <w:r w:rsidRPr="00302A13">
        <w:rPr>
          <w:rFonts w:ascii="Verdana" w:eastAsia="Calibri" w:hAnsi="Verdana" w:cs="Times New Roman"/>
          <w:sz w:val="20"/>
          <w:szCs w:val="20"/>
          <w:lang w:val="es-ES"/>
        </w:rPr>
        <w:t xml:space="preserve"> los cuales la administración precisamente acude a sus servicios.</w:t>
      </w:r>
    </w:p>
    <w:p w14:paraId="41DC72C7" w14:textId="77777777" w:rsidR="00226797" w:rsidRPr="00302A13" w:rsidRDefault="00226797" w:rsidP="00226797">
      <w:pPr>
        <w:numPr>
          <w:ilvl w:val="12"/>
          <w:numId w:val="0"/>
        </w:numPr>
        <w:spacing w:after="0" w:line="240" w:lineRule="auto"/>
        <w:ind w:left="851" w:right="851"/>
        <w:jc w:val="both"/>
        <w:rPr>
          <w:rFonts w:ascii="Verdana" w:eastAsia="Calibri" w:hAnsi="Verdana" w:cs="Times New Roman"/>
          <w:sz w:val="20"/>
          <w:szCs w:val="20"/>
          <w:lang w:val="es-ES"/>
        </w:rPr>
      </w:pPr>
    </w:p>
    <w:p w14:paraId="412C1A41" w14:textId="77777777" w:rsidR="00226797" w:rsidRPr="00302A13" w:rsidRDefault="00226797" w:rsidP="00226797">
      <w:pPr>
        <w:numPr>
          <w:ilvl w:val="12"/>
          <w:numId w:val="0"/>
        </w:numPr>
        <w:spacing w:after="0" w:line="240" w:lineRule="auto"/>
        <w:ind w:left="851" w:right="851"/>
        <w:jc w:val="both"/>
        <w:rPr>
          <w:rFonts w:ascii="Verdana" w:eastAsia="Calibri" w:hAnsi="Verdana" w:cs="Times New Roman"/>
          <w:sz w:val="20"/>
          <w:szCs w:val="20"/>
          <w:lang w:val="es-ES"/>
        </w:rPr>
      </w:pPr>
      <w:r w:rsidRPr="00302A13">
        <w:rPr>
          <w:rFonts w:ascii="Verdana" w:eastAsia="Calibri" w:hAnsi="Verdana" w:cs="Times New Roman"/>
          <w:sz w:val="20"/>
          <w:szCs w:val="20"/>
          <w:lang w:val="es-ES"/>
        </w:rPr>
        <w:t>Dicha función de control, que las normas contractuales asignan a los servidores públicos, pero que excepcionalmente en virtud del contrato de interventoría puede ser ejercida por un particular, implica en realidad el ejercicio de una función pública.</w:t>
      </w:r>
    </w:p>
    <w:p w14:paraId="53F800E9" w14:textId="77777777" w:rsidR="00226797" w:rsidRPr="00302A13" w:rsidRDefault="00226797" w:rsidP="00226797">
      <w:pPr>
        <w:numPr>
          <w:ilvl w:val="12"/>
          <w:numId w:val="0"/>
        </w:numPr>
        <w:spacing w:after="0" w:line="240" w:lineRule="auto"/>
        <w:ind w:left="851" w:right="851"/>
        <w:jc w:val="both"/>
        <w:rPr>
          <w:rFonts w:ascii="Verdana" w:eastAsia="Calibri" w:hAnsi="Verdana" w:cs="Times New Roman"/>
          <w:sz w:val="20"/>
          <w:szCs w:val="20"/>
          <w:lang w:val="es-ES"/>
        </w:rPr>
      </w:pPr>
    </w:p>
    <w:p w14:paraId="6C47C78E" w14:textId="77777777" w:rsidR="00226797" w:rsidRPr="00302A13" w:rsidRDefault="00226797" w:rsidP="00226797">
      <w:pPr>
        <w:numPr>
          <w:ilvl w:val="12"/>
          <w:numId w:val="0"/>
        </w:numPr>
        <w:spacing w:after="0" w:line="240" w:lineRule="auto"/>
        <w:ind w:left="851" w:right="851"/>
        <w:jc w:val="both"/>
        <w:rPr>
          <w:rFonts w:ascii="Verdana" w:eastAsia="Calibri" w:hAnsi="Verdana" w:cs="Times New Roman"/>
          <w:sz w:val="20"/>
          <w:szCs w:val="20"/>
          <w:lang w:val="es-ES"/>
        </w:rPr>
      </w:pPr>
      <w:r w:rsidRPr="00302A13">
        <w:rPr>
          <w:rFonts w:ascii="Verdana" w:eastAsia="Calibri" w:hAnsi="Verdana" w:cs="Times New Roman"/>
          <w:sz w:val="20"/>
          <w:szCs w:val="20"/>
          <w:lang w:val="es-ES"/>
        </w:rPr>
        <w:t>Téngase en cuenta que el interventor, como encargado de vigilar la buena marcha del contrato, podrá exigir al contratista la información que estime necesaria; efectuará a nombre de la administración las revisiones periódicas indispensables para verificar que las obras ejecutadas, los servicios prestados o los bienes suministrados  cumplan con las condiciones de calidad ofrecidas por los contratistas; podrá dar órdenes que se consignarán necesariamente por escrito; de su actuación dependerá que la administración responsable del contrato de que se trate adopte oportunamente las medidas necesarias para mantener durante su desarrollo y ejecución las condiciones técnicas, económicas y financiaras que fueron previstas en él, es decir que tiene atribuidas prerrogativas de aquellas que en principio solo corresponden a la Administración, al tiempo que su función se convierte en determinante para el cumplimiento de los fines de la contratación estatal</w:t>
      </w:r>
      <w:r w:rsidRPr="00302A13">
        <w:rPr>
          <w:rFonts w:ascii="Verdana" w:eastAsia="Calibri" w:hAnsi="Verdana" w:cs="Times New Roman"/>
          <w:sz w:val="20"/>
          <w:szCs w:val="20"/>
          <w:vertAlign w:val="superscript"/>
          <w:lang w:val="es-ES"/>
        </w:rPr>
        <w:footnoteReference w:id="8"/>
      </w:r>
      <w:r w:rsidRPr="00302A13">
        <w:rPr>
          <w:rFonts w:ascii="Verdana" w:eastAsia="Calibri" w:hAnsi="Verdana" w:cs="Times New Roman"/>
          <w:sz w:val="20"/>
          <w:szCs w:val="20"/>
          <w:lang w:val="es-ES"/>
        </w:rPr>
        <w:t>.</w:t>
      </w:r>
    </w:p>
    <w:p w14:paraId="18BF756B" w14:textId="77777777" w:rsidR="00226797" w:rsidRPr="00302A13" w:rsidRDefault="00226797" w:rsidP="00226797">
      <w:pPr>
        <w:widowControl w:val="0"/>
        <w:autoSpaceDE w:val="0"/>
        <w:autoSpaceDN w:val="0"/>
        <w:spacing w:after="0" w:line="276" w:lineRule="auto"/>
        <w:ind w:firstLine="709"/>
        <w:jc w:val="both"/>
        <w:rPr>
          <w:rFonts w:ascii="Verdana" w:eastAsia="Arial MT" w:hAnsi="Verdana" w:cs="Arial"/>
          <w:color w:val="000000" w:themeColor="text1"/>
          <w:lang w:val="es-ES"/>
        </w:rPr>
      </w:pPr>
    </w:p>
    <w:p w14:paraId="040853D4" w14:textId="77777777" w:rsidR="00226797" w:rsidRPr="00302A13" w:rsidRDefault="00226797" w:rsidP="00226797">
      <w:pPr>
        <w:widowControl w:val="0"/>
        <w:autoSpaceDE w:val="0"/>
        <w:autoSpaceDN w:val="0"/>
        <w:spacing w:after="120" w:line="276" w:lineRule="auto"/>
        <w:ind w:firstLine="709"/>
        <w:jc w:val="both"/>
        <w:rPr>
          <w:rFonts w:ascii="Verdana" w:eastAsia="Arial MT" w:hAnsi="Verdana" w:cs="Arial"/>
          <w:color w:val="000000" w:themeColor="text1"/>
        </w:rPr>
      </w:pPr>
      <w:r w:rsidRPr="00302A13">
        <w:rPr>
          <w:rFonts w:ascii="Verdana" w:eastAsia="Arial MT" w:hAnsi="Verdana" w:cs="Arial"/>
          <w:color w:val="000000" w:themeColor="text1"/>
        </w:rPr>
        <w:t xml:space="preserve">La supervisión y la interventoría contractual como instituciones jurídicas adelantan expresiones claras del ejercicio de una función pública, en tanto se orientan al control del cumplimiento obligacional y a la protección del interés general comprometido en la contratación estatal. Su naturaleza administrativa implica que quienes las ejercen —servidores públicos o terceros contratados para tal fin— actúan en representación de la entidad estatal y bajo parámetros normativos que les asignan deberes de verificación, seguimiento, advertencia y reporte. Precisamente por tratarse de una función de control y no de ejecución, los supervisores e interventores no son </w:t>
      </w:r>
      <w:proofErr w:type="spellStart"/>
      <w:r w:rsidRPr="00302A13">
        <w:rPr>
          <w:rFonts w:ascii="Verdana" w:eastAsia="Arial MT" w:hAnsi="Verdana" w:cs="Arial"/>
          <w:color w:val="000000" w:themeColor="text1"/>
        </w:rPr>
        <w:t>coejecutores</w:t>
      </w:r>
      <w:proofErr w:type="spellEnd"/>
      <w:r w:rsidRPr="00302A13">
        <w:rPr>
          <w:rFonts w:ascii="Verdana" w:eastAsia="Arial MT" w:hAnsi="Verdana" w:cs="Arial"/>
          <w:color w:val="000000" w:themeColor="text1"/>
        </w:rPr>
        <w:t xml:space="preserve"> del contrato, pues su rol no consiste en realizar materialmente las prestaciones pactadas ni en sustituir al contratista en la ejecución del objeto contractual. Su intervención se limita a constatar que las obligaciones se cumplan en la forma, tiempo y condiciones convenidas, a identificar riesgos y desviaciones, y a adoptar las medidas de control que resulten procedentes dentro del marco de la función administrativa. De este modo, la vigilancia contractual se configura como una actividad pública </w:t>
      </w:r>
      <w:r w:rsidRPr="00302A13">
        <w:rPr>
          <w:rFonts w:ascii="Verdana" w:eastAsia="Arial MT" w:hAnsi="Verdana" w:cs="Arial"/>
          <w:color w:val="000000" w:themeColor="text1"/>
        </w:rPr>
        <w:lastRenderedPageBreak/>
        <w:t xml:space="preserve">de control, diferenciada de la ejecución material del contrato, que permanece exclusivamente en cabeza del contratista. </w:t>
      </w:r>
    </w:p>
    <w:p w14:paraId="4E84AA35" w14:textId="77777777" w:rsidR="00226797" w:rsidRPr="00302A13" w:rsidRDefault="00226797" w:rsidP="00226797">
      <w:pPr>
        <w:widowControl w:val="0"/>
        <w:autoSpaceDE w:val="0"/>
        <w:autoSpaceDN w:val="0"/>
        <w:spacing w:after="120" w:line="276" w:lineRule="auto"/>
        <w:ind w:firstLine="709"/>
        <w:jc w:val="both"/>
        <w:rPr>
          <w:rFonts w:ascii="Verdana" w:eastAsia="Arial MT" w:hAnsi="Verdana" w:cs="Arial"/>
          <w:color w:val="000000" w:themeColor="text1"/>
        </w:rPr>
      </w:pPr>
      <w:r w:rsidRPr="00302A13">
        <w:rPr>
          <w:rFonts w:ascii="Verdana" w:eastAsia="Arial MT" w:hAnsi="Verdana" w:cs="Arial"/>
          <w:color w:val="000000" w:themeColor="text1"/>
          <w:lang w:val="es-MX"/>
        </w:rPr>
        <w:t xml:space="preserve">Aquí cobra importancia la metodología para el ejercicio de la supervisión e interventoría, la cual usualmente se formaliza mediante manuales que expiden las entidades públicas, que estandarizan las condiciones de control y vigilancia. Además, de la habilitación del artículo 84 del Estatuto Anticorrupción para solicitar informes, aclaraciones y explicaciones sobre el desarrollo de la ejecución contractual, dichos manuales desarrollan procedimientos internos para desarrollo de estas actividades. Estos últimos sujetan al contratista vigilado, ya que existe un nexo inescindible entre las obligaciones ejecutadas y el control sobre su efectivo cumplimiento. Sumado a lo anterior, tratándose de la interventoría, el contrato también delimita criterios adicionales para verificar el avance de las obras o la prestación de los servicios de acuerdo con la complejidad del objeto. Éstos últimos también sujetan al contratista vigilado, pues tiene la obligación de acatar las directrices derivadas del ejercicio de la potestad de control.  </w:t>
      </w:r>
    </w:p>
    <w:p w14:paraId="528283F3" w14:textId="77777777" w:rsidR="00226797" w:rsidRPr="00302A13" w:rsidRDefault="00226797" w:rsidP="00226797">
      <w:pPr>
        <w:widowControl w:val="0"/>
        <w:autoSpaceDE w:val="0"/>
        <w:autoSpaceDN w:val="0"/>
        <w:spacing w:after="120" w:line="276" w:lineRule="auto"/>
        <w:ind w:firstLine="709"/>
        <w:jc w:val="both"/>
        <w:rPr>
          <w:rFonts w:ascii="Verdana" w:eastAsia="Arial MT" w:hAnsi="Verdana" w:cs="Arial"/>
          <w:color w:val="000000" w:themeColor="text1"/>
          <w:lang w:val="es-MX"/>
        </w:rPr>
      </w:pPr>
      <w:r w:rsidRPr="00302A13">
        <w:rPr>
          <w:rFonts w:ascii="Verdana" w:eastAsia="Arial MT" w:hAnsi="Verdana" w:cs="Arial"/>
          <w:color w:val="000000" w:themeColor="text1"/>
          <w:lang w:val="es-MX"/>
        </w:rPr>
        <w:t xml:space="preserve">La vigilancia sobre el cumplimiento obligacional se somete a la ley, los manuales internos y las condiciones que establece la entidad tanto en el contrato de interventoría como en el contrato vigilado, criterios que debe acatar el contratista ejecutor de la obra o prestador del servicio, así como el supervisor de la interventoría y la entidad como responsable de la dirección y control. Como los mismos establecen los linderos de la potestad de control, no pueden adoptarse protocolos, requisitos o procedimientos ajenos al marco citado, por lo que no son oponibles al contratista salvo que medien modificaciones previas a los manuales expedidos y/o a los contratos suscritos. Estas actividades no implican </w:t>
      </w:r>
      <w:proofErr w:type="spellStart"/>
      <w:r w:rsidRPr="00302A13">
        <w:rPr>
          <w:rFonts w:ascii="Verdana" w:eastAsia="Arial MT" w:hAnsi="Verdana" w:cs="Arial"/>
          <w:color w:val="000000" w:themeColor="text1"/>
          <w:lang w:val="es-MX"/>
        </w:rPr>
        <w:t>coejecución</w:t>
      </w:r>
      <w:proofErr w:type="spellEnd"/>
      <w:r w:rsidRPr="00302A13">
        <w:rPr>
          <w:rFonts w:ascii="Verdana" w:eastAsia="Arial MT" w:hAnsi="Verdana" w:cs="Arial"/>
          <w:color w:val="000000" w:themeColor="text1"/>
          <w:lang w:val="es-MX"/>
        </w:rPr>
        <w:t xml:space="preserve"> por las razones expuestas </w:t>
      </w:r>
      <w:r w:rsidRPr="00302A13">
        <w:rPr>
          <w:rFonts w:ascii="Verdana" w:eastAsia="Arial MT" w:hAnsi="Verdana" w:cs="Arial"/>
          <w:i/>
          <w:iCs/>
          <w:color w:val="000000" w:themeColor="text1"/>
          <w:lang w:val="es-MX"/>
        </w:rPr>
        <w:t>ut supra</w:t>
      </w:r>
      <w:r w:rsidRPr="00302A13">
        <w:rPr>
          <w:rFonts w:ascii="Verdana" w:eastAsia="Arial MT" w:hAnsi="Verdana" w:cs="Arial"/>
          <w:color w:val="000000" w:themeColor="text1"/>
          <w:lang w:val="es-MX"/>
        </w:rPr>
        <w:t xml:space="preserve">, y las modificaciones sobre la forma de validar el cumplimiento no dan lugar a reconocimientos económicos adicionales, a menos que impliquen mayores costos para el contratista. </w:t>
      </w:r>
    </w:p>
    <w:p w14:paraId="740CF32A" w14:textId="77777777" w:rsidR="00226797" w:rsidRPr="00302A13" w:rsidRDefault="00226797" w:rsidP="00226797">
      <w:pPr>
        <w:widowControl w:val="0"/>
        <w:autoSpaceDE w:val="0"/>
        <w:autoSpaceDN w:val="0"/>
        <w:spacing w:after="120" w:line="276" w:lineRule="auto"/>
        <w:ind w:firstLine="709"/>
        <w:jc w:val="both"/>
        <w:rPr>
          <w:rFonts w:ascii="Verdana" w:eastAsia="Arial MT" w:hAnsi="Verdana" w:cs="Arial"/>
          <w:color w:val="000000" w:themeColor="text1"/>
          <w:lang w:val="es-ES"/>
        </w:rPr>
      </w:pPr>
      <w:r w:rsidRPr="00302A13">
        <w:rPr>
          <w:rFonts w:ascii="Verdana" w:eastAsia="Arial MT" w:hAnsi="Verdana" w:cs="Arial"/>
          <w:color w:val="000000" w:themeColor="text1"/>
        </w:rPr>
        <w:t xml:space="preserve">Frente a situaciones de extralimitación en el ejercicio de la actividad contractual, los artículos 50, 51 y 52 de la Ley 80 de 1993 consagran el régimen de responsabilidad que recae sobre las entidades estatales, sus servidores públicos y los contratistas. La valoración y determinación de dicha responsabilidad corresponde a las autoridades competentes, las cuales deberán </w:t>
      </w:r>
      <w:r w:rsidRPr="00302A13">
        <w:rPr>
          <w:rFonts w:ascii="Verdana" w:eastAsia="Arial MT" w:hAnsi="Verdana" w:cs="Arial"/>
          <w:color w:val="000000" w:themeColor="text1"/>
        </w:rPr>
        <w:lastRenderedPageBreak/>
        <w:t>efectuar el análisis respectivo atendiendo las circunstancias y particularidades del caso concreto.</w:t>
      </w:r>
    </w:p>
    <w:p w14:paraId="2FD9960F" w14:textId="77777777" w:rsidR="00226797" w:rsidRPr="00302A13" w:rsidRDefault="00226797" w:rsidP="00226797">
      <w:pPr>
        <w:widowControl w:val="0"/>
        <w:autoSpaceDE w:val="0"/>
        <w:autoSpaceDN w:val="0"/>
        <w:spacing w:after="120" w:line="276" w:lineRule="auto"/>
        <w:ind w:firstLine="709"/>
        <w:jc w:val="both"/>
        <w:rPr>
          <w:rFonts w:ascii="Verdana" w:eastAsia="Arial MT" w:hAnsi="Verdana" w:cs="Arial"/>
          <w:color w:val="000000" w:themeColor="text1"/>
          <w:lang w:val="es-MX"/>
        </w:rPr>
      </w:pPr>
      <w:r w:rsidRPr="00302A13">
        <w:rPr>
          <w:rFonts w:ascii="Verdana" w:eastAsia="Arial MT" w:hAnsi="Verdana" w:cs="Arial"/>
          <w:color w:val="000000" w:themeColor="text1"/>
          <w:lang w:val="es-MX"/>
        </w:rPr>
        <w:t xml:space="preserve">Para delimitar la frontera entre la vigilancia y el contrato vigilado, es necesario tener en cuenta que es al contratista a quien le corresponde la ejecución material del objeto contratado. Este último se sujeta a la potestad de control que ejerce la entidad estatal, bien a través de sus propios funcionarios –supervisión– o a través de terceros –interventoría–. Por tanto, dado que el contratista es sujeto de la vigilancia sobre el cumplimiento de las obligaciones, éste se somete al control de los supervisores o interventores, según corresponda. </w:t>
      </w:r>
    </w:p>
    <w:p w14:paraId="495E8468" w14:textId="77777777" w:rsidR="00226797" w:rsidRPr="00302A13" w:rsidRDefault="00226797" w:rsidP="00226797">
      <w:pPr>
        <w:widowControl w:val="0"/>
        <w:autoSpaceDE w:val="0"/>
        <w:autoSpaceDN w:val="0"/>
        <w:spacing w:after="120" w:line="276" w:lineRule="auto"/>
        <w:ind w:firstLine="709"/>
        <w:jc w:val="both"/>
        <w:rPr>
          <w:rFonts w:ascii="Verdana" w:eastAsia="Arial MT" w:hAnsi="Verdana" w:cs="Arial"/>
          <w:color w:val="000000" w:themeColor="text1"/>
          <w:lang w:val="es-MX"/>
        </w:rPr>
      </w:pPr>
      <w:r w:rsidRPr="00302A13">
        <w:rPr>
          <w:rFonts w:ascii="Verdana" w:eastAsia="Arial MT" w:hAnsi="Verdana" w:cs="Arial"/>
          <w:color w:val="000000" w:themeColor="text1"/>
          <w:lang w:val="es-MX"/>
        </w:rPr>
        <w:t xml:space="preserve">Para RINCÓN CÓRDOBA, la supervisión o la interventoría constituye una actividad estrechamente vinculada al contrato objeto de vigilancia, cuya finalidad es garantizar que las obligaciones contractuales se ejecuten conforme a lo pactado. Aunque el incumplimiento del contratista no implica, </w:t>
      </w:r>
      <w:r w:rsidRPr="00302A13">
        <w:rPr>
          <w:rFonts w:ascii="Verdana" w:eastAsia="Arial MT" w:hAnsi="Verdana" w:cs="Arial"/>
          <w:i/>
          <w:iCs/>
          <w:color w:val="000000" w:themeColor="text1"/>
          <w:lang w:val="es-MX"/>
        </w:rPr>
        <w:t>per se</w:t>
      </w:r>
      <w:r w:rsidRPr="00302A13">
        <w:rPr>
          <w:rFonts w:ascii="Verdana" w:eastAsia="Arial MT" w:hAnsi="Verdana" w:cs="Arial"/>
          <w:color w:val="000000" w:themeColor="text1"/>
          <w:lang w:val="es-MX"/>
        </w:rPr>
        <w:t>, responsabilidad del interventor o supervisor, ésta surge si omiten advertir, informar o gestionar oportunamente las situaciones que puedan conducir al incumplimiento. En ejercicio de sus funciones, debe verificar que el objeto contractual se desarrolle dentro de los plazos previstos, con observancia de las especificaciones técnicas establecidas, así como asegurar la adecuada custodia, administración o entrega de bienes, obras o recursos cuando la naturaleza del contrato lo exija</w:t>
      </w:r>
      <w:r w:rsidRPr="00302A13">
        <w:rPr>
          <w:rStyle w:val="Refdenotaalpie"/>
          <w:rFonts w:ascii="Verdana" w:eastAsia="Arial MT" w:hAnsi="Verdana" w:cs="Arial"/>
          <w:color w:val="000000" w:themeColor="text1"/>
          <w:lang w:val="es-MX"/>
        </w:rPr>
        <w:footnoteReference w:id="9"/>
      </w:r>
      <w:r w:rsidRPr="00302A13">
        <w:rPr>
          <w:rFonts w:ascii="Verdana" w:eastAsia="Arial MT" w:hAnsi="Verdana" w:cs="Arial"/>
          <w:color w:val="000000" w:themeColor="text1"/>
          <w:lang w:val="es-MX"/>
        </w:rPr>
        <w:t>.</w:t>
      </w:r>
    </w:p>
    <w:p w14:paraId="4A0A6425" w14:textId="77777777" w:rsidR="00226797" w:rsidRPr="00302A13" w:rsidRDefault="00226797" w:rsidP="00226797">
      <w:pPr>
        <w:widowControl w:val="0"/>
        <w:autoSpaceDE w:val="0"/>
        <w:autoSpaceDN w:val="0"/>
        <w:spacing w:after="120" w:line="276" w:lineRule="auto"/>
        <w:jc w:val="both"/>
        <w:rPr>
          <w:rFonts w:ascii="Verdana" w:eastAsia="Arial MT" w:hAnsi="Verdana" w:cs="Arial"/>
          <w:color w:val="000000" w:themeColor="text1"/>
          <w:lang w:val="es-MX"/>
        </w:rPr>
      </w:pPr>
      <w:r w:rsidRPr="00302A13">
        <w:rPr>
          <w:rFonts w:ascii="Verdana" w:eastAsia="Arial MT" w:hAnsi="Verdana" w:cs="Arial"/>
          <w:color w:val="000000" w:themeColor="text1"/>
          <w:lang w:val="es-MX"/>
        </w:rPr>
        <w:tab/>
        <w:t xml:space="preserve">El mismo autor agrega que corresponde al interventor o supervisor identificar las causas de las irregularidades que se presenten durante la ejecución contractual, proponer y verificar la implementación de medidas correctivas, certificar el cumplimiento de las obligaciones para efectos de los pagos y, cuando exista incumplimiento, evaluar su gravedad y recomendar la imposición de las sanciones o la declaratoria de caducidad que resulten procedentes. Por lo demás, debe rendir informes periódicos sobre el estado de ejecución del contrato, suministrar a la entidad los elementos de juicio necesarios para la adopción de decisiones administrativas o judiciales y ejercer la facultad de solicitar al contratista los informes, aclaraciones y explicaciones </w:t>
      </w:r>
      <w:r w:rsidRPr="00302A13">
        <w:rPr>
          <w:rFonts w:ascii="Verdana" w:eastAsia="Arial MT" w:hAnsi="Verdana" w:cs="Arial"/>
          <w:color w:val="000000" w:themeColor="text1"/>
          <w:lang w:val="es-MX"/>
        </w:rPr>
        <w:lastRenderedPageBreak/>
        <w:t>requeridos para garantizar un adecuado control de la ejecución contractual</w:t>
      </w:r>
      <w:r w:rsidRPr="00302A13">
        <w:rPr>
          <w:rStyle w:val="Refdenotaalpie"/>
          <w:rFonts w:ascii="Verdana" w:eastAsia="Arial MT" w:hAnsi="Verdana" w:cs="Arial"/>
          <w:color w:val="000000" w:themeColor="text1"/>
          <w:lang w:val="es-MX"/>
        </w:rPr>
        <w:footnoteReference w:id="10"/>
      </w:r>
      <w:r w:rsidRPr="00302A13">
        <w:rPr>
          <w:rFonts w:ascii="Verdana" w:eastAsia="Arial MT" w:hAnsi="Verdana" w:cs="Arial"/>
          <w:color w:val="000000" w:themeColor="text1"/>
          <w:lang w:val="es-MX"/>
        </w:rPr>
        <w:t>.</w:t>
      </w:r>
    </w:p>
    <w:p w14:paraId="0BB0BB88" w14:textId="77777777" w:rsidR="00226797" w:rsidRPr="00302A13" w:rsidRDefault="00226797" w:rsidP="00226797">
      <w:pPr>
        <w:widowControl w:val="0"/>
        <w:autoSpaceDE w:val="0"/>
        <w:autoSpaceDN w:val="0"/>
        <w:spacing w:after="120" w:line="276" w:lineRule="auto"/>
        <w:ind w:firstLine="709"/>
        <w:jc w:val="both"/>
        <w:rPr>
          <w:rFonts w:ascii="Verdana" w:eastAsia="Arial MT" w:hAnsi="Verdana" w:cs="Arial"/>
          <w:color w:val="000000" w:themeColor="text1"/>
          <w:lang w:val="es-MX"/>
        </w:rPr>
      </w:pPr>
      <w:r w:rsidRPr="00302A13">
        <w:rPr>
          <w:rFonts w:ascii="Verdana" w:eastAsia="Arial MT" w:hAnsi="Verdana" w:cs="Arial"/>
          <w:color w:val="000000" w:themeColor="text1"/>
          <w:lang w:val="es-MX"/>
        </w:rPr>
        <w:t xml:space="preserve">Como dispone el precitado artículo 83 del Estatuto Anticorrupción, el seguimiento de los supervisores e interventores corresponde al cumplimiento de las obligaciones pactadas en el contrato estatal, aspecto que se ratifica en el inciso primero del artículo 84 </w:t>
      </w:r>
      <w:r w:rsidRPr="00302A13">
        <w:rPr>
          <w:rFonts w:ascii="Verdana" w:eastAsia="Arial MT" w:hAnsi="Verdana" w:cs="Arial"/>
          <w:i/>
          <w:iCs/>
          <w:color w:val="000000" w:themeColor="text1"/>
          <w:lang w:val="es-MX"/>
        </w:rPr>
        <w:t>ibidem</w:t>
      </w:r>
      <w:r w:rsidRPr="00302A13">
        <w:rPr>
          <w:rFonts w:ascii="Verdana" w:eastAsia="Arial MT" w:hAnsi="Verdana" w:cs="Arial"/>
          <w:color w:val="000000" w:themeColor="text1"/>
          <w:lang w:val="es-MX"/>
        </w:rPr>
        <w:t>. En su fase técnica, esto implica tanto “Vigilar, controlar y verificar el cumplimiento del objeto contractual y las obligaciones a cargo del contratista”</w:t>
      </w:r>
      <w:r w:rsidRPr="00302A13">
        <w:rPr>
          <w:rStyle w:val="Refdenotaalpie"/>
          <w:rFonts w:ascii="Verdana" w:eastAsia="Arial MT" w:hAnsi="Verdana" w:cs="Arial"/>
          <w:color w:val="000000" w:themeColor="text1"/>
          <w:lang w:val="es-MX"/>
        </w:rPr>
        <w:footnoteReference w:id="11"/>
      </w:r>
      <w:r w:rsidRPr="00302A13">
        <w:rPr>
          <w:rFonts w:ascii="Verdana" w:eastAsia="Arial MT" w:hAnsi="Verdana" w:cs="Arial"/>
          <w:color w:val="000000" w:themeColor="text1"/>
          <w:lang w:val="es-MX"/>
        </w:rPr>
        <w:t xml:space="preserve"> como “Verificar que las condiciones técnicas del bien, obra o servicio </w:t>
      </w:r>
      <w:proofErr w:type="gramStart"/>
      <w:r w:rsidRPr="00302A13">
        <w:rPr>
          <w:rFonts w:ascii="Verdana" w:eastAsia="Arial MT" w:hAnsi="Verdana" w:cs="Arial"/>
          <w:color w:val="000000" w:themeColor="text1"/>
          <w:lang w:val="es-MX"/>
        </w:rPr>
        <w:t>contratado,</w:t>
      </w:r>
      <w:proofErr w:type="gramEnd"/>
      <w:r w:rsidRPr="00302A13">
        <w:rPr>
          <w:rFonts w:ascii="Verdana" w:eastAsia="Arial MT" w:hAnsi="Verdana" w:cs="Arial"/>
          <w:color w:val="000000" w:themeColor="text1"/>
          <w:lang w:val="es-MX"/>
        </w:rPr>
        <w:t xml:space="preserve"> cumplan con los requisitos establecidos por la entidad y con el ofrecimiento formulado, según sea el caso”</w:t>
      </w:r>
      <w:r w:rsidRPr="00302A13">
        <w:rPr>
          <w:rStyle w:val="Refdenotaalpie"/>
          <w:rFonts w:ascii="Verdana" w:eastAsia="Arial MT" w:hAnsi="Verdana" w:cs="Arial"/>
          <w:color w:val="000000" w:themeColor="text1"/>
          <w:lang w:val="es-MX"/>
        </w:rPr>
        <w:footnoteReference w:id="12"/>
      </w:r>
      <w:r w:rsidRPr="00302A13">
        <w:rPr>
          <w:rFonts w:ascii="Verdana" w:eastAsia="Arial MT" w:hAnsi="Verdana" w:cs="Arial"/>
          <w:color w:val="000000" w:themeColor="text1"/>
          <w:lang w:val="es-MX"/>
        </w:rPr>
        <w:t>. Así, la verificación del cumplimiento se realiza dentro las exigencias pactadas entre la entidad estatal y el contratista; razón por la cual, pueden abstenerse de recibir obras, bienes o servicios que no satisfagan las especificaciones del contrato.</w:t>
      </w:r>
    </w:p>
    <w:p w14:paraId="16170CF4" w14:textId="77777777" w:rsidR="00226797" w:rsidRPr="00302A13" w:rsidRDefault="00226797" w:rsidP="00226797">
      <w:pPr>
        <w:widowControl w:val="0"/>
        <w:autoSpaceDE w:val="0"/>
        <w:autoSpaceDN w:val="0"/>
        <w:spacing w:after="120" w:line="276" w:lineRule="auto"/>
        <w:ind w:firstLine="708"/>
        <w:jc w:val="both"/>
        <w:rPr>
          <w:rFonts w:ascii="Verdana" w:eastAsia="Arial MT" w:hAnsi="Verdana" w:cs="Arial MT"/>
        </w:rPr>
      </w:pPr>
      <w:r w:rsidRPr="00302A13">
        <w:rPr>
          <w:rFonts w:ascii="Verdana" w:eastAsia="Arial MT" w:hAnsi="Verdana" w:cs="Arial MT"/>
        </w:rPr>
        <w:t xml:space="preserve">Desde la perspectiva de los deberes funcionales de la interventoría, cuando se evidencia que una unidad de obra no cumple con las condiciones pactadas en el contrato, el interventor está obligado a dejar constancia expresa de dicha situación y a informar oportunamente a la entidad contratante, en cumplimiento de su deber de advertencia y reporte. Este deber se articula con la responsabilidad indelegable de la entidad estatal de ejercer la dirección general y el control de la ejecución contractual, conforme al artículo 14 de la Ley 80 de 1993. En la misma línea, el artículo 4°, numeral 4°, de la Ley 80 de 1993 establece: </w:t>
      </w:r>
      <w:r w:rsidRPr="00302A13">
        <w:rPr>
          <w:rFonts w:ascii="Verdana" w:eastAsia="Arial MT" w:hAnsi="Verdana" w:cs="Arial MT"/>
          <w:lang w:val="es-ES"/>
        </w:rPr>
        <w:t>“</w:t>
      </w:r>
      <w:r w:rsidRPr="00302A13">
        <w:rPr>
          <w:rFonts w:ascii="Verdana" w:eastAsia="Arial MT" w:hAnsi="Verdana" w:cs="Arial MT"/>
        </w:rPr>
        <w:t xml:space="preserve">[…] Para la consecución de los fines de que trata el artículo anterior, las entidades estatales: […] 4o. Adelantarán revisiones periódicas de las obras ejecutadas, servicios prestados o bienes suministrados, </w:t>
      </w:r>
      <w:r w:rsidRPr="00302A13">
        <w:rPr>
          <w:rFonts w:ascii="Verdana" w:eastAsia="Arial MT" w:hAnsi="Verdana" w:cs="Arial MT"/>
          <w:i/>
          <w:iCs/>
        </w:rPr>
        <w:t xml:space="preserve">para verificar que ellos cumplan con las condiciones de calidad ofrecidas por los contratistas, y promoverán las acciones de responsabilidad contra éstos y sus garantes </w:t>
      </w:r>
      <w:r w:rsidRPr="00302A13">
        <w:rPr>
          <w:rFonts w:ascii="Verdana" w:eastAsia="Arial MT" w:hAnsi="Verdana" w:cs="Arial MT"/>
        </w:rPr>
        <w:t>cuando dichas condiciones no se cumplan” (énfasis fuera de texto). De este modo, la entidad no puede renunciar ni trasladar su deber permanente de vigilancia y control, aun cuando exista interventoría o supervisión contratada.</w:t>
      </w:r>
    </w:p>
    <w:p w14:paraId="0D589721" w14:textId="77777777" w:rsidR="00226797" w:rsidRPr="00302A13" w:rsidRDefault="00226797" w:rsidP="00226797">
      <w:pPr>
        <w:widowControl w:val="0"/>
        <w:autoSpaceDE w:val="0"/>
        <w:autoSpaceDN w:val="0"/>
        <w:spacing w:after="120" w:line="276" w:lineRule="auto"/>
        <w:ind w:firstLine="708"/>
        <w:jc w:val="both"/>
        <w:rPr>
          <w:rFonts w:ascii="Verdana" w:eastAsia="Arial MT" w:hAnsi="Verdana" w:cs="Arial MT"/>
        </w:rPr>
      </w:pPr>
      <w:r w:rsidRPr="00302A13">
        <w:rPr>
          <w:rFonts w:ascii="Verdana" w:eastAsia="Arial MT" w:hAnsi="Verdana" w:cs="Arial MT"/>
        </w:rPr>
        <w:t xml:space="preserve">Ahora bien, si en ejercicio de esa dirección y control la entidad decide aceptar una unidad de obra, debe hacerlo mediante acto escrito y debidamente </w:t>
      </w:r>
      <w:r w:rsidRPr="00302A13">
        <w:rPr>
          <w:rFonts w:ascii="Verdana" w:eastAsia="Arial MT" w:hAnsi="Verdana" w:cs="Arial MT"/>
        </w:rPr>
        <w:lastRenderedPageBreak/>
        <w:t xml:space="preserve">motivado, en el que se expongan las razones técnicas, jurídicas y administrativas que sustentan la decisión. Es frecuente que en la ejecución contractual concurran informes o conceptos discrepantes entre la interventoría y los comités técnicos o administrativos de la entidad. Frente a tales divergencias, la administración está obligada a expresar de manera clara y argumentada las razones por las cuales otorga mayor credibilidad o fuerza probatoria a uno de los informes, garantizando el derecho de contradicción del contratista y la transparencia del proceso decisorio. La motivación adquiere aquí un carácter central, pues constituye el soporte de la legalidad y razonabilidad de la actuación administrativa. </w:t>
      </w:r>
    </w:p>
    <w:p w14:paraId="1AAA8018" w14:textId="77777777" w:rsidR="00226797" w:rsidRPr="00302A13" w:rsidRDefault="00226797" w:rsidP="00226797">
      <w:pPr>
        <w:widowControl w:val="0"/>
        <w:autoSpaceDE w:val="0"/>
        <w:autoSpaceDN w:val="0"/>
        <w:spacing w:after="120" w:line="276" w:lineRule="auto"/>
        <w:ind w:firstLine="708"/>
        <w:jc w:val="both"/>
        <w:rPr>
          <w:rFonts w:ascii="Verdana" w:eastAsia="Arial MT" w:hAnsi="Verdana" w:cs="Arial MT"/>
        </w:rPr>
      </w:pPr>
      <w:r w:rsidRPr="00302A13">
        <w:rPr>
          <w:rFonts w:ascii="Verdana" w:eastAsia="Arial MT" w:hAnsi="Verdana" w:cs="Arial MT"/>
        </w:rPr>
        <w:t>En todo caso, el interventor debe cumplir con su deber de dejar constancia técnica sobre la no conformidad detectada, así como de advertir a la entidad contratante sobre hechos o circunstancias que puedan constituir incumplimientos contractuales o incluso actos de corrupción tipificados como conductas punibles. Este deber de advertencia y reporte se encuentra reforzado por el artículo 84 de la Ley 1474 de 2011, que impone a los interventores la obligación de informar sobre irregularidades que puedan comprometer la correcta ejecución contractual. La responsabilidad disciplinaria, fiscal, civil o penal de la interventoría dependerá de las actuaciones u omisiones que le sean imputables y que generen daño o perjuicio a la entidad, de conformidad con lo dispuesto en el artículo 53 de la Ley 80 de 1993, modificado por el artículo 84 de la Ley 1474 de 2011.</w:t>
      </w:r>
    </w:p>
    <w:p w14:paraId="1A00C78D" w14:textId="77777777" w:rsidR="00226797" w:rsidRPr="00302A13" w:rsidRDefault="00226797" w:rsidP="00226797">
      <w:pPr>
        <w:widowControl w:val="0"/>
        <w:autoSpaceDE w:val="0"/>
        <w:autoSpaceDN w:val="0"/>
        <w:spacing w:after="120" w:line="276" w:lineRule="auto"/>
        <w:ind w:firstLine="708"/>
        <w:jc w:val="both"/>
        <w:rPr>
          <w:rFonts w:ascii="Verdana" w:eastAsia="Arial MT" w:hAnsi="Verdana" w:cs="Arial MT"/>
        </w:rPr>
      </w:pPr>
      <w:r w:rsidRPr="00302A13">
        <w:rPr>
          <w:rFonts w:ascii="Verdana" w:eastAsia="Arial MT" w:hAnsi="Verdana" w:cs="Arial MT"/>
        </w:rPr>
        <w:t xml:space="preserve">En efecto, la existencia de una instrucción expresa de la entidad contratante no exonera automáticamente a la interventoría de responsabilidad, pero sí delimita su ámbito de actuación: mientras el interventor haya cumplido con sus deberes de vigilancia, control, advertencia y reporte, dejando constancia documentada de la no conformidad, la eventual responsabilidad disciplinaria o contractual se atenúa, trasladándose el peso de la decisión a la administración. Por ello, resulta indispensable que la interventoría documente exhaustivamente sus observaciones, conceptos técnicos y advertencias, de manera que pueda acreditar ante los órganos de control y judiciales competentes el cumplimiento de sus obligaciones legales, contractuales y funcionales. Ahora bien, con respecto a la entidad contratante debe señalarse </w:t>
      </w:r>
      <w:proofErr w:type="gramStart"/>
      <w:r w:rsidRPr="00302A13">
        <w:rPr>
          <w:rFonts w:ascii="Verdana" w:eastAsia="Arial MT" w:hAnsi="Verdana" w:cs="Arial MT"/>
        </w:rPr>
        <w:t>que</w:t>
      </w:r>
      <w:proofErr w:type="gramEnd"/>
      <w:r w:rsidRPr="00302A13">
        <w:rPr>
          <w:rFonts w:ascii="Verdana" w:eastAsia="Arial MT" w:hAnsi="Verdana" w:cs="Arial MT"/>
        </w:rPr>
        <w:t xml:space="preserve"> si se adopta una decisión contraria a la constancia técnica, debe justificarla de manera expresa y razonada, pues de lo contrario podría incurrir en responsabilidad disciplinaria, </w:t>
      </w:r>
      <w:r w:rsidRPr="00302A13">
        <w:rPr>
          <w:rFonts w:ascii="Verdana" w:eastAsia="Arial MT" w:hAnsi="Verdana" w:cs="Arial MT"/>
        </w:rPr>
        <w:lastRenderedPageBreak/>
        <w:t xml:space="preserve">fiscal, civil o penal. </w:t>
      </w:r>
    </w:p>
    <w:p w14:paraId="2AF433DB" w14:textId="77777777" w:rsidR="00226797" w:rsidRPr="00302A13" w:rsidRDefault="00226797" w:rsidP="00226797">
      <w:pPr>
        <w:widowControl w:val="0"/>
        <w:autoSpaceDE w:val="0"/>
        <w:autoSpaceDN w:val="0"/>
        <w:spacing w:after="0" w:line="276" w:lineRule="auto"/>
        <w:ind w:firstLine="709"/>
        <w:jc w:val="both"/>
        <w:rPr>
          <w:rFonts w:ascii="Verdana" w:eastAsia="Arial MT" w:hAnsi="Verdana" w:cs="Arial MT"/>
        </w:rPr>
      </w:pPr>
      <w:r w:rsidRPr="00302A13">
        <w:rPr>
          <w:rFonts w:ascii="Verdana" w:eastAsia="Arial MT" w:hAnsi="Verdana" w:cs="Arial MT"/>
        </w:rPr>
        <w:t>Por último, debe precisarse que la Agencia Nacional de Contratación Pública – Colombia Compra Eficiente carece de competencia para calificar las actuaciones de las entidades estatales en la ejecución contractual. Su función se limita a la expedición de lineamientos, directrices y orientaciones generales que estructuran y consolidan el Sistema de Compras Públicas, sin que ello implique una valoración o juicio sobre la legalidad o corrección de las decisiones administrativas adoptadas por las entidades contratantes. De este modo, el rol de la Agencia es eminentemente normativo y orientador, dirigido a garantizar la uniformidad, transparencia y eficiencia del sistema, mientras que la responsabilidad de verificar, calificar y asumir las consecuencias de las actuaciones administrativas corresponde exclusivamente a las entidades estatales y a los órganos de control competentes.</w:t>
      </w:r>
    </w:p>
    <w:p w14:paraId="757624E8" w14:textId="77777777" w:rsidR="00226797" w:rsidRPr="00302A13" w:rsidRDefault="00226797" w:rsidP="00226797">
      <w:pPr>
        <w:widowControl w:val="0"/>
        <w:autoSpaceDE w:val="0"/>
        <w:autoSpaceDN w:val="0"/>
        <w:spacing w:after="0" w:line="276" w:lineRule="auto"/>
        <w:ind w:right="113"/>
        <w:jc w:val="both"/>
        <w:rPr>
          <w:rFonts w:ascii="Verdana" w:eastAsia="Arial MT" w:hAnsi="Verdana" w:cs="Arial MT"/>
        </w:rPr>
      </w:pPr>
    </w:p>
    <w:p w14:paraId="5072DC01" w14:textId="77777777" w:rsidR="00226797" w:rsidRPr="00302A13" w:rsidRDefault="00226797" w:rsidP="00226797">
      <w:pPr>
        <w:spacing w:after="120" w:line="276" w:lineRule="auto"/>
        <w:jc w:val="both"/>
        <w:rPr>
          <w:rFonts w:ascii="Verdana" w:eastAsia="Calibri" w:hAnsi="Verdana"/>
        </w:rPr>
      </w:pPr>
      <w:proofErr w:type="spellStart"/>
      <w:r w:rsidRPr="00302A13">
        <w:rPr>
          <w:rFonts w:ascii="Verdana" w:eastAsia="Calibri" w:hAnsi="Verdana"/>
        </w:rPr>
        <w:t>iii</w:t>
      </w:r>
      <w:proofErr w:type="spellEnd"/>
      <w:r w:rsidRPr="00302A13">
        <w:rPr>
          <w:rFonts w:ascii="Verdana" w:eastAsia="Calibri" w:hAnsi="Verdana"/>
        </w:rPr>
        <w:t>. Ahora bien, en cuanto a la procedencia de aceptar y reconocer económicamente unidades de obra que no satisfacen los criterios de aceptación pactados, es preciso partir del carácter vinculante de las especificaciones técnicas. El contrato es ley para las partes (artículo 1602 del Código Civil) y debe ejecutarse de buena fe (artículo 1603 ibidem), por lo que los criterios de aceptación incorporados a los pliegos, al contrato y a sus anexos técnicos —en la infraestructura vial, las Especificaciones Generales de Construcción de Carreteras del INVÍAS— obligan al contratista, a la entidad y al interventor. En consecuencia, una memoria de verificación estructural que concluya que la capacidad estructural de la sección resulta suficiente constituye un insumo técnico relevante, pero no releva por sí misma del cumplimiento de los criterios de aceptación ni los sustituye de manera automática, pues la aceptación de la obra se verifica frente a lo efectivamente pactado.</w:t>
      </w:r>
    </w:p>
    <w:p w14:paraId="616EF8CA" w14:textId="77777777" w:rsidR="00226797" w:rsidRPr="00302A13" w:rsidRDefault="00226797" w:rsidP="00226797">
      <w:pPr>
        <w:spacing w:after="120" w:line="276" w:lineRule="auto"/>
        <w:ind w:firstLine="709"/>
        <w:jc w:val="both"/>
        <w:rPr>
          <w:rFonts w:ascii="Verdana" w:eastAsia="Calibri" w:hAnsi="Verdana"/>
        </w:rPr>
      </w:pPr>
      <w:r w:rsidRPr="00302A13">
        <w:rPr>
          <w:rFonts w:ascii="Verdana" w:eastAsia="Calibri" w:hAnsi="Verdana"/>
        </w:rPr>
        <w:t xml:space="preserve">Por ello, verificada </w:t>
      </w:r>
      <w:proofErr w:type="gramStart"/>
      <w:r w:rsidRPr="00302A13">
        <w:rPr>
          <w:rFonts w:ascii="Verdana" w:eastAsia="Calibri" w:hAnsi="Verdana"/>
        </w:rPr>
        <w:t>una no</w:t>
      </w:r>
      <w:proofErr w:type="gramEnd"/>
      <w:r w:rsidRPr="00302A13">
        <w:rPr>
          <w:rFonts w:ascii="Verdana" w:eastAsia="Calibri" w:hAnsi="Verdana"/>
        </w:rPr>
        <w:t xml:space="preserve"> conformidad, la regla general es que el contratista corrija o rehaga la unidad de obra a su costa, dado que la ejecución material y su calidad le corresponden. Si la entidad, en ejercicio de su deber indelegable de dirección y control, considera admisible la unidad de obra pese a no ajustarse a los criterios pactados, la vía jurídicamente correcta no es la mera instrucción, sino una decisión escrita y motivada que, según la naturaleza de la variación, se formalice mediante la modificación del contrato —cuando el cambio de especificaciones sea técnica y jurídicamente admisible y respete el objeto y </w:t>
      </w:r>
      <w:r w:rsidRPr="00302A13">
        <w:rPr>
          <w:rFonts w:ascii="Verdana" w:eastAsia="Calibri" w:hAnsi="Verdana"/>
        </w:rPr>
        <w:lastRenderedPageBreak/>
        <w:t>el equilibrio del contrato (artículos 14 y 40 de la Ley 80 de 1993)— o mediante el reconocimiento económico proporcional al valor efectivamente recibido, cuando la unidad, aun sin cumplir íntegramente, resulte aprovechable para la finalidad del contrato.</w:t>
      </w:r>
    </w:p>
    <w:p w14:paraId="794B42D5" w14:textId="77777777" w:rsidR="00226797" w:rsidRPr="00302A13" w:rsidRDefault="00226797" w:rsidP="002D51B4">
      <w:pPr>
        <w:spacing w:after="120" w:line="276" w:lineRule="auto"/>
        <w:ind w:firstLine="709"/>
        <w:jc w:val="both"/>
        <w:rPr>
          <w:rFonts w:ascii="Verdana" w:eastAsia="Calibri" w:hAnsi="Verdana"/>
        </w:rPr>
      </w:pPr>
      <w:r w:rsidRPr="00302A13">
        <w:rPr>
          <w:rFonts w:ascii="Verdana" w:eastAsia="Calibri" w:hAnsi="Verdana"/>
        </w:rPr>
        <w:t xml:space="preserve">Lo anterior encuentra respaldo en que el recibo de la obra no tiene efecto </w:t>
      </w:r>
      <w:proofErr w:type="spellStart"/>
      <w:r w:rsidRPr="00302A13">
        <w:rPr>
          <w:rFonts w:ascii="Verdana" w:eastAsia="Calibri" w:hAnsi="Verdana"/>
        </w:rPr>
        <w:t>saneador</w:t>
      </w:r>
      <w:proofErr w:type="spellEnd"/>
      <w:r w:rsidRPr="00302A13">
        <w:rPr>
          <w:rFonts w:ascii="Verdana" w:eastAsia="Calibri" w:hAnsi="Verdana"/>
        </w:rPr>
        <w:t xml:space="preserve"> de sus defectos. El artículo 2060, regla 3.ª, del Código Civil dispone que «[e]l recibo otorgado por el dueño, después de concluida la obra, sólo significa que el dueño la aprueba, como exteriormente ajustada al plan y a las reglas del arte, y no exime al empresario de la responsabilidad»</w:t>
      </w:r>
      <w:r w:rsidRPr="00302A13">
        <w:rPr>
          <w:rFonts w:ascii="Verdana" w:eastAsia="Times New Roman" w:hAnsi="Verdana" w:cs="Arial"/>
          <w:vertAlign w:val="superscript"/>
        </w:rPr>
        <w:footnoteReference w:id="13"/>
      </w:r>
      <w:r w:rsidRPr="00302A13">
        <w:rPr>
          <w:rFonts w:ascii="Verdana" w:eastAsia="Calibri" w:hAnsi="Verdana"/>
        </w:rPr>
        <w:t>. De este modo, aceptar y pagar por su valor íntegro una unidad de obra no conforme, sin ajuste del precio ni justificación técnica y jurídica suficiente, puede comprometer la responsabilidad de los servidores intervinientes y configurar un daño patrimonial al Estado (artículo 6 de la Ley 610 de 2000)</w:t>
      </w:r>
      <w:r w:rsidRPr="00302A13">
        <w:rPr>
          <w:rFonts w:ascii="Verdana" w:eastAsia="Times New Roman" w:hAnsi="Verdana" w:cs="Arial"/>
          <w:vertAlign w:val="superscript"/>
        </w:rPr>
        <w:footnoteReference w:id="14"/>
      </w:r>
      <w:r w:rsidRPr="00302A13">
        <w:rPr>
          <w:rFonts w:ascii="Verdana" w:eastAsia="Calibri" w:hAnsi="Verdana"/>
        </w:rPr>
        <w:t>, además de no relevar al contratista de responder por la estabilidad y la calidad de la obra.</w:t>
      </w:r>
    </w:p>
    <w:p w14:paraId="574FE355" w14:textId="77777777" w:rsidR="00226797" w:rsidRPr="00302A13" w:rsidRDefault="00226797" w:rsidP="00226797">
      <w:pPr>
        <w:spacing w:after="0" w:line="276" w:lineRule="auto"/>
        <w:ind w:firstLine="708"/>
        <w:jc w:val="both"/>
        <w:rPr>
          <w:rFonts w:ascii="Verdana" w:eastAsia="Calibri" w:hAnsi="Verdana"/>
        </w:rPr>
      </w:pPr>
      <w:r w:rsidRPr="00302A13">
        <w:rPr>
          <w:rFonts w:ascii="Verdana" w:eastAsia="Calibri" w:hAnsi="Verdana"/>
        </w:rPr>
        <w:t>En cuanto a las actuaciones que debe adelantar la interventoría cuando la decisión de la entidad difiere de su concepto técnico, la Guía para el ejercicio de las funciones de supervisión e interventoría de los contratos suscritos por las Entidades Estatales, expedida por esta Agencia, orienta que corresponde «[a]probar o rechazar por escrito, de forma oportuna y motivada la entrega de los bienes o servicios, cuando estos no se ajustan a lo requerido», así como suscribir las actas que documenten la ejecución, impartir por escrito las órdenes y requerimientos y publicarlos en el SECOP</w:t>
      </w:r>
      <w:r w:rsidRPr="00302A13">
        <w:rPr>
          <w:rFonts w:ascii="Verdana" w:eastAsia="Times New Roman" w:hAnsi="Verdana" w:cs="Arial"/>
          <w:vertAlign w:val="superscript"/>
        </w:rPr>
        <w:footnoteReference w:id="15"/>
      </w:r>
      <w:r w:rsidRPr="00302A13">
        <w:rPr>
          <w:rFonts w:ascii="Verdana" w:eastAsia="Calibri" w:hAnsi="Verdana"/>
        </w:rPr>
        <w:t>. En esa medida, la interventoría debe dejar constancia escrita de la no conformidad, requerir formalmente al contratista, consignar sus advertencias en los informes y en la bitácora, y comunicar a la entidad la situación solicitando la decisión motivada, reservándose, cuando los hechos lo ameriten, el reporte a los organismos de control. Estos soportes son los que permiten acreditar el cumplimiento diligente de sus deberes, máxime cuando la interventoría, ejercida por un particular, es sujeto disciplinable conforme al artículo 70 de la Ley 1952 de 2019</w:t>
      </w:r>
      <w:r w:rsidRPr="00302A13">
        <w:rPr>
          <w:rFonts w:ascii="Verdana" w:eastAsia="Times New Roman" w:hAnsi="Verdana" w:cs="Arial"/>
          <w:vertAlign w:val="superscript"/>
        </w:rPr>
        <w:footnoteReference w:id="16"/>
      </w:r>
      <w:r w:rsidRPr="00302A13">
        <w:rPr>
          <w:rFonts w:ascii="Verdana" w:eastAsia="Calibri" w:hAnsi="Verdana"/>
        </w:rPr>
        <w:t>, sin que la instrucción de la entidad la habilite para certificar una conformidad inexistente.</w:t>
      </w:r>
    </w:p>
    <w:p w14:paraId="2ED11AC2" w14:textId="77777777" w:rsidR="00226797" w:rsidRDefault="00226797" w:rsidP="00226797">
      <w:pPr>
        <w:spacing w:after="0" w:line="276" w:lineRule="auto"/>
        <w:jc w:val="both"/>
        <w:rPr>
          <w:rFonts w:ascii="Verdana" w:eastAsia="Calibri" w:hAnsi="Verdana"/>
        </w:rPr>
      </w:pPr>
      <w:r w:rsidRPr="00302A13">
        <w:rPr>
          <w:rFonts w:ascii="Verdana" w:eastAsia="Calibri" w:hAnsi="Verdana"/>
        </w:rPr>
        <w:lastRenderedPageBreak/>
        <w:t xml:space="preserve">Finalmente, la sujeción de la interventoría a las directrices de la entidad no alcanza a las órdenes que la conminen a avalar técnicamente lo que no cumple. Como se expuso, la vigilancia es una función de control y no de </w:t>
      </w:r>
      <w:proofErr w:type="spellStart"/>
      <w:r w:rsidRPr="00302A13">
        <w:rPr>
          <w:rFonts w:ascii="Verdana" w:eastAsia="Calibri" w:hAnsi="Verdana"/>
        </w:rPr>
        <w:t>coejecución</w:t>
      </w:r>
      <w:proofErr w:type="spellEnd"/>
      <w:r w:rsidRPr="00302A13">
        <w:rPr>
          <w:rFonts w:ascii="Verdana" w:eastAsia="Calibri" w:hAnsi="Verdana"/>
        </w:rPr>
        <w:t>, de suerte que el interventor conserva su autonomía técnica y no puede ser obligado a suscribir certificaciones contrarias a la realidad. En tales eventos, su deber se satisface dejando la salvedad correspondiente y trasladando a la entidad la decisión, con la constancia documental que la respalde.</w:t>
      </w:r>
    </w:p>
    <w:p w14:paraId="26FC4704" w14:textId="77777777" w:rsidR="00226797" w:rsidRPr="00302A13" w:rsidRDefault="00226797" w:rsidP="00226797">
      <w:pPr>
        <w:spacing w:after="0" w:line="276" w:lineRule="auto"/>
        <w:jc w:val="both"/>
        <w:rPr>
          <w:rFonts w:ascii="Verdana" w:eastAsia="Calibri" w:hAnsi="Verdana"/>
        </w:rPr>
      </w:pPr>
    </w:p>
    <w:p w14:paraId="373D2352" w14:textId="77777777" w:rsidR="00226797" w:rsidRPr="00302A13" w:rsidRDefault="00226797" w:rsidP="00226797">
      <w:pPr>
        <w:spacing w:after="120" w:line="276" w:lineRule="auto"/>
        <w:jc w:val="both"/>
        <w:rPr>
          <w:rFonts w:ascii="Verdana" w:eastAsia="Calibri" w:hAnsi="Verdana" w:cs="Arial"/>
          <w:color w:val="000000" w:themeColor="text1"/>
          <w:lang w:val="es-ES"/>
        </w:rPr>
      </w:pPr>
      <w:proofErr w:type="spellStart"/>
      <w:r w:rsidRPr="00302A13">
        <w:rPr>
          <w:rFonts w:ascii="Verdana" w:eastAsia="Calibri" w:hAnsi="Verdana" w:cs="Arial"/>
          <w:color w:val="000000" w:themeColor="text1"/>
          <w:lang w:val="es-ES"/>
        </w:rPr>
        <w:t>iv</w:t>
      </w:r>
      <w:proofErr w:type="spellEnd"/>
      <w:r w:rsidRPr="00302A13">
        <w:rPr>
          <w:rFonts w:ascii="Verdana" w:eastAsia="Calibri" w:hAnsi="Verdana" w:cs="Arial"/>
          <w:color w:val="000000" w:themeColor="text1"/>
          <w:lang w:val="es-ES"/>
        </w:rPr>
        <w:t xml:space="preserve">. Al </w:t>
      </w:r>
      <w:r w:rsidRPr="00302A13">
        <w:rPr>
          <w:rFonts w:ascii="Verdana" w:hAnsi="Verdana" w:cs="Arial"/>
          <w:lang w:val="es-ES_tradnl" w:eastAsia="es-ES"/>
        </w:rPr>
        <w:t>margen de la explicación precedente debe advertirse que el análisis requerido para resolver problemas específicos en torno a la supervisión y la interventoría debe realizarse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F80C37A" w14:textId="77777777" w:rsidR="00226797" w:rsidRPr="007F2587" w:rsidRDefault="00226797" w:rsidP="00226797">
      <w:pPr>
        <w:spacing w:after="0" w:line="276" w:lineRule="auto"/>
        <w:ind w:firstLine="709"/>
        <w:jc w:val="both"/>
        <w:rPr>
          <w:rFonts w:ascii="Verdana" w:hAnsi="Verdana" w:cs="Arial"/>
          <w:lang w:val="es-ES" w:eastAsia="es-ES"/>
        </w:rPr>
      </w:pPr>
      <w:r w:rsidRPr="00302A13">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9D7EC1F" w14:textId="77777777" w:rsidR="00226797" w:rsidRPr="009037F6" w:rsidRDefault="00226797" w:rsidP="00226797">
      <w:pPr>
        <w:spacing w:after="0" w:line="276" w:lineRule="auto"/>
        <w:jc w:val="both"/>
        <w:rPr>
          <w:rFonts w:ascii="Verdana" w:eastAsia="Calibri" w:hAnsi="Verdana" w:cs="Arial"/>
          <w:lang w:val="es-ES" w:eastAsia="es-MX"/>
        </w:rPr>
      </w:pPr>
    </w:p>
    <w:p w14:paraId="7B8A4211" w14:textId="77777777" w:rsidR="00226797" w:rsidRPr="009037F6" w:rsidRDefault="00226797" w:rsidP="0022679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Referencias normativas</w:t>
      </w:r>
    </w:p>
    <w:p w14:paraId="02157A18" w14:textId="77777777" w:rsidR="00226797" w:rsidRPr="009037F6" w:rsidRDefault="00226797" w:rsidP="00226797">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6797" w:rsidRPr="009037F6" w14:paraId="594C7EDC" w14:textId="77777777" w:rsidTr="00DD563B">
        <w:trPr>
          <w:trHeight w:val="487"/>
          <w:jc w:val="center"/>
        </w:trPr>
        <w:tc>
          <w:tcPr>
            <w:tcW w:w="8647" w:type="dxa"/>
          </w:tcPr>
          <w:p w14:paraId="0CF99E33" w14:textId="77777777" w:rsidR="00226797" w:rsidRPr="00624EEC" w:rsidRDefault="00226797" w:rsidP="00DD563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80 de 1993, artículos 4, 5, 12, 14, 26, 32, 51 y 53.  </w:t>
            </w:r>
          </w:p>
          <w:p w14:paraId="5F36B5D6" w14:textId="77777777" w:rsidR="00226797" w:rsidRDefault="00226797" w:rsidP="00DD563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1150 de 2007, artículos 13, 17 y 21. </w:t>
            </w:r>
          </w:p>
          <w:p w14:paraId="50EAC320" w14:textId="77777777" w:rsidR="00226797" w:rsidRPr="00DF1B6B" w:rsidRDefault="00226797" w:rsidP="00DD563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1474 de 2011, artículos 82 a 86. </w:t>
            </w:r>
          </w:p>
        </w:tc>
      </w:tr>
    </w:tbl>
    <w:p w14:paraId="66ABAEC3" w14:textId="77777777" w:rsidR="00226797" w:rsidRPr="009037F6" w:rsidRDefault="00226797" w:rsidP="00226797">
      <w:pPr>
        <w:widowControl w:val="0"/>
        <w:autoSpaceDE w:val="0"/>
        <w:autoSpaceDN w:val="0"/>
        <w:spacing w:after="0" w:line="240" w:lineRule="auto"/>
        <w:jc w:val="both"/>
        <w:rPr>
          <w:rFonts w:ascii="Verdana" w:hAnsi="Verdana" w:cs="Arial"/>
        </w:rPr>
      </w:pPr>
    </w:p>
    <w:p w14:paraId="635C5DCF" w14:textId="77777777" w:rsidR="00226797" w:rsidRPr="009037F6" w:rsidRDefault="00226797" w:rsidP="00226797">
      <w:pPr>
        <w:numPr>
          <w:ilvl w:val="0"/>
          <w:numId w:val="16"/>
        </w:numPr>
        <w:tabs>
          <w:tab w:val="left" w:pos="142"/>
          <w:tab w:val="left" w:pos="284"/>
        </w:tabs>
        <w:spacing w:after="0" w:line="240" w:lineRule="auto"/>
        <w:contextualSpacing/>
        <w:jc w:val="both"/>
        <w:rPr>
          <w:rFonts w:ascii="Verdana" w:eastAsia="Century Gothic" w:hAnsi="Verdana" w:cs="Century Gothic"/>
          <w:b/>
          <w:bCs/>
          <w:lang w:val="es-ES"/>
        </w:rPr>
      </w:pPr>
      <w:r>
        <w:rPr>
          <w:rFonts w:ascii="Verdana" w:eastAsia="Century Gothic" w:hAnsi="Verdana" w:cs="Century Gothic"/>
          <w:b/>
          <w:bCs/>
          <w:lang w:val="es-ES"/>
        </w:rPr>
        <w:lastRenderedPageBreak/>
        <w:t>Doctrina de la Agencia Nacional de Contratación Pública:</w:t>
      </w:r>
    </w:p>
    <w:p w14:paraId="6987A869" w14:textId="77777777" w:rsidR="00226797" w:rsidRPr="009037F6" w:rsidRDefault="00226797" w:rsidP="00226797">
      <w:pPr>
        <w:widowControl w:val="0"/>
        <w:autoSpaceDE w:val="0"/>
        <w:autoSpaceDN w:val="0"/>
        <w:spacing w:after="0" w:line="240" w:lineRule="auto"/>
        <w:jc w:val="both"/>
        <w:rPr>
          <w:rFonts w:ascii="Verdana" w:hAnsi="Verdana" w:cs="Arial"/>
        </w:rPr>
      </w:pPr>
    </w:p>
    <w:p w14:paraId="1454B8A9" w14:textId="77777777" w:rsidR="00226797" w:rsidRPr="00AD7D5F" w:rsidRDefault="00226797" w:rsidP="00226797">
      <w:pPr>
        <w:widowControl w:val="0"/>
        <w:autoSpaceDE w:val="0"/>
        <w:autoSpaceDN w:val="0"/>
        <w:spacing w:after="0" w:line="276" w:lineRule="auto"/>
        <w:jc w:val="both"/>
        <w:rPr>
          <w:rFonts w:ascii="Verdana" w:eastAsia="Calibri" w:hAnsi="Verdana" w:cs="Arial"/>
          <w:lang w:val="es-ES"/>
        </w:rPr>
      </w:pPr>
      <w:r>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Pr>
          <w:rFonts w:ascii="Verdana" w:eastAsia="Aptos" w:hAnsi="Verdana" w:cs="Arial"/>
          <w:color w:val="000000"/>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Pr>
          <w:rFonts w:ascii="Verdana" w:eastAsia="Aptos" w:hAnsi="Verdana" w:cs="Arial"/>
          <w:color w:val="000000"/>
          <w:shd w:val="clear" w:color="auto" w:fill="FFFFFF"/>
          <w:lang w:val="es-ES"/>
        </w:rPr>
        <w:t>,C-600 del 7 de octubre de 2024, C-800 del 13 de diciembre de 2025, C-972 de 22 de enero de 2025, C-987 del 21 de enero de 2025, C-091 del 13 de febrero de 2025, C-219 del 28 de marzo de 2025, C-265 del 7 de abril de 2025, C-1484 del 24 de noviembre de 2025, C-1553 del 3 de diciembre de 2025, C-039 del 30 de enero de 2026, C-945 del 22 de junio de 2026, C-949 del 23 de julio de 2026, C-1177 del 20 de agosto de 2026, entre otros.</w:t>
      </w:r>
      <w:r>
        <w:t xml:space="preserve"> </w:t>
      </w:r>
      <w:r>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13CF02F" w14:textId="77777777" w:rsidR="00226797" w:rsidRPr="009037F6" w:rsidRDefault="00226797" w:rsidP="00226797">
      <w:pPr>
        <w:spacing w:after="0" w:line="256" w:lineRule="auto"/>
        <w:jc w:val="both"/>
        <w:rPr>
          <w:rFonts w:ascii="Verdana" w:eastAsia="Calibri" w:hAnsi="Verdana" w:cs="Times New Roman"/>
        </w:rPr>
      </w:pPr>
      <w:hyperlink r:id="rId13" w:history="1">
        <w:r>
          <w:rPr>
            <w:rFonts w:ascii="Verdana" w:eastAsia="Calibri" w:hAnsi="Verdana" w:cs="Times New Roman"/>
            <w:color w:val="0000FF"/>
            <w:u w:val="single"/>
            <w:lang w:val="es-ES"/>
          </w:rPr>
          <w:t>https://relatoria.colombiacompra.gov.co/busqueda/conceptos</w:t>
        </w:r>
      </w:hyperlink>
      <w:r>
        <w:rPr>
          <w:rFonts w:ascii="Verdana" w:eastAsia="Calibri" w:hAnsi="Verdana" w:cs="Times New Roman"/>
        </w:rPr>
        <w:t xml:space="preserve">. </w:t>
      </w:r>
    </w:p>
    <w:p w14:paraId="69D6E4CF" w14:textId="77777777" w:rsidR="00226797" w:rsidRDefault="00226797" w:rsidP="00226797">
      <w:pPr>
        <w:widowControl w:val="0"/>
        <w:autoSpaceDE w:val="0"/>
        <w:autoSpaceDN w:val="0"/>
        <w:spacing w:after="0" w:line="276" w:lineRule="auto"/>
        <w:jc w:val="both"/>
        <w:rPr>
          <w:rFonts w:ascii="Verdana" w:eastAsia="Calibri" w:hAnsi="Verdana" w:cs="Times New Roman"/>
        </w:rPr>
      </w:pPr>
    </w:p>
    <w:p w14:paraId="7414B9B4" w14:textId="77777777" w:rsidR="00226797" w:rsidRPr="003D5C91" w:rsidRDefault="00226797" w:rsidP="00226797">
      <w:pPr>
        <w:spacing w:after="0" w:line="276" w:lineRule="auto"/>
        <w:jc w:val="both"/>
        <w:rPr>
          <w:rFonts w:ascii="Verdana" w:eastAsia="Calibri" w:hAnsi="Verdana" w:cs="Arial"/>
          <w:color w:val="000000"/>
          <w:lang w:eastAsia="es-ES_tradnl"/>
        </w:rPr>
      </w:pPr>
      <w:r>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Pr>
          <w:rFonts w:ascii="Verdana" w:eastAsia="Calibri" w:hAnsi="Verdana" w:cs="Arial"/>
          <w:b/>
          <w:bCs/>
          <w:color w:val="000000"/>
          <w:lang w:eastAsia="es-ES_tradnl"/>
        </w:rPr>
        <w:t>Guía para la Exigencia y Constitución de Garantías en los Procesos de Contratación</w:t>
      </w:r>
      <w:r>
        <w:rPr>
          <w:rFonts w:ascii="Verdana" w:eastAsia="Calibri" w:hAnsi="Verdana" w:cs="Arial"/>
          <w:color w:val="000000"/>
          <w:lang w:eastAsia="es-ES_tradnl"/>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Pr>
          <w:rFonts w:ascii="Verdana" w:eastAsia="Calibri" w:hAnsi="Verdana" w:cs="Arial"/>
          <w:color w:val="000000"/>
          <w:lang w:eastAsia="es-ES_tradnl"/>
        </w:rPr>
        <w:lastRenderedPageBreak/>
        <w:t>aquí: </w:t>
      </w:r>
      <w:hyperlink r:id="rId14" w:tgtFrame="_blank" w:tooltip="https://www.colombiacompra.gov.co/archivos/manual/guia-de-garantias-en-procesos-de-contratacion" w:history="1">
        <w:r>
          <w:rPr>
            <w:rStyle w:val="Hipervnculo"/>
            <w:rFonts w:ascii="Verdana" w:eastAsia="Calibri" w:hAnsi="Verdana" w:cs="Arial"/>
            <w:lang w:eastAsia="es-ES_tradnl"/>
          </w:rPr>
          <w:t>https://www.colombiacompra.gov.co/archivos/manual/guia-de-garantias-en-procesos-de-contratacion</w:t>
        </w:r>
      </w:hyperlink>
    </w:p>
    <w:p w14:paraId="5A252CCB" w14:textId="77777777" w:rsidR="00226797" w:rsidRDefault="00226797" w:rsidP="00226797">
      <w:pPr>
        <w:spacing w:after="0" w:line="276" w:lineRule="auto"/>
        <w:jc w:val="both"/>
        <w:rPr>
          <w:rFonts w:ascii="Verdana" w:eastAsia="Calibri" w:hAnsi="Verdana" w:cs="Arial"/>
          <w:color w:val="000000"/>
          <w:lang w:eastAsia="es-ES_tradnl"/>
        </w:rPr>
      </w:pPr>
    </w:p>
    <w:p w14:paraId="5F345211" w14:textId="77777777" w:rsidR="00226797" w:rsidRPr="003D5C91" w:rsidRDefault="00226797" w:rsidP="00226797">
      <w:pPr>
        <w:spacing w:after="0" w:line="276" w:lineRule="auto"/>
        <w:jc w:val="both"/>
        <w:rPr>
          <w:rFonts w:ascii="Verdana" w:eastAsia="Calibri" w:hAnsi="Verdana" w:cs="Arial"/>
          <w:color w:val="000000"/>
          <w:lang w:eastAsia="es-ES_tradnl"/>
        </w:rPr>
      </w:pPr>
      <w:r>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Pr>
          <w:rFonts w:ascii="Verdana" w:eastAsia="Calibri" w:hAnsi="Verdana" w:cs="Arial"/>
          <w:b/>
          <w:bCs/>
          <w:color w:val="000000"/>
          <w:lang w:eastAsia="es-ES_tradnl"/>
        </w:rPr>
        <w:t>Sistema Integral de Preferencias en favor de las personas con discapacidad</w:t>
      </w:r>
      <w:r>
        <w:rPr>
          <w:rFonts w:ascii="Verdana" w:eastAsia="Calibri" w:hAnsi="Verdana" w:cs="Arial"/>
          <w:color w:val="000000"/>
          <w:lang w:eastAsia="es-ES_tradnl"/>
        </w:rPr>
        <w:t>, en cumplimiento del artículo 13 de la Ley Estatutaria 1618 de 2013. Para orientar su aplicación, esta Agencia expidió la </w:t>
      </w:r>
      <w:r>
        <w:rPr>
          <w:rFonts w:ascii="Verdana" w:eastAsia="Calibri" w:hAnsi="Verdana" w:cs="Arial"/>
          <w:b/>
          <w:bCs/>
          <w:color w:val="000000"/>
          <w:lang w:eastAsia="es-ES_tradnl"/>
        </w:rPr>
        <w:t>Circular Externa 003 del 12 de mayo de 2026, </w:t>
      </w:r>
      <w:r>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https://www.colombiacompra.gov.co/archivos/circular/circular-externa-003-de-2026" w:history="1">
        <w:r>
          <w:rPr>
            <w:rStyle w:val="Hipervnculo"/>
            <w:rFonts w:ascii="Verdana" w:eastAsia="Calibri" w:hAnsi="Verdana" w:cs="Arial"/>
            <w:lang w:eastAsia="es-ES_tradnl"/>
          </w:rPr>
          <w:t>https://www.colombiacompra.gov.co/archivos/circular/circular-externa-003-de-2026</w:t>
        </w:r>
      </w:hyperlink>
    </w:p>
    <w:p w14:paraId="753D4CB6" w14:textId="77777777" w:rsidR="00226797" w:rsidRDefault="00226797" w:rsidP="00226797">
      <w:pPr>
        <w:spacing w:after="0" w:line="276" w:lineRule="auto"/>
        <w:jc w:val="both"/>
        <w:rPr>
          <w:rFonts w:ascii="Verdana" w:eastAsia="Calibri" w:hAnsi="Verdana" w:cs="Arial"/>
          <w:color w:val="000000"/>
          <w:lang w:eastAsia="es-ES_tradnl"/>
        </w:rPr>
      </w:pPr>
    </w:p>
    <w:p w14:paraId="4BB4C998" w14:textId="77777777" w:rsidR="00226797" w:rsidRDefault="00226797" w:rsidP="00226797">
      <w:pPr>
        <w:spacing w:after="0" w:line="276" w:lineRule="auto"/>
        <w:jc w:val="both"/>
      </w:pPr>
      <w:r>
        <w:rPr>
          <w:rFonts w:ascii="Verdana" w:eastAsia="Calibri" w:hAnsi="Verdana" w:cs="Arial"/>
          <w:color w:val="000000"/>
          <w:lang w:eastAsia="es-ES_tradnl"/>
        </w:rPr>
        <w:t>Recuerda también que la</w:t>
      </w:r>
      <w:r>
        <w:rPr>
          <w:rFonts w:ascii="Verdana" w:eastAsia="Calibri" w:hAnsi="Verdana" w:cs="Arial"/>
          <w:b/>
          <w:bCs/>
          <w:color w:val="000000"/>
          <w:lang w:eastAsia="es-ES_tradnl"/>
        </w:rPr>
        <w:t> información sobre sanciones e inhabilidades </w:t>
      </w:r>
      <w:r>
        <w:rPr>
          <w:rFonts w:ascii="Verdana" w:eastAsia="Calibri" w:hAnsi="Verdana" w:cs="Arial"/>
          <w:color w:val="000000"/>
          <w:lang w:eastAsia="es-ES_tradnl"/>
        </w:rPr>
        <w:t>solo cumple su función preventiva si llega oportunamente a los registros públicos. Sobre este deber, esta Agencia expidió la </w:t>
      </w:r>
      <w:r>
        <w:rPr>
          <w:rFonts w:ascii="Verdana" w:eastAsia="Calibri" w:hAnsi="Verdana" w:cs="Arial"/>
          <w:b/>
          <w:bCs/>
          <w:color w:val="000000"/>
          <w:lang w:eastAsia="es-ES_tradnl"/>
        </w:rPr>
        <w:t>Circular Externa 002 del 5 de mayo de 2026,</w:t>
      </w:r>
      <w:r>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https://www.colombiacompra.gov.co/archivos/circular/circular-externa-002-de-2026" w:history="1">
        <w:r>
          <w:rPr>
            <w:rStyle w:val="Hipervnculo"/>
            <w:rFonts w:ascii="Verdana" w:eastAsia="Calibri" w:hAnsi="Verdana" w:cs="Arial"/>
            <w:lang w:eastAsia="es-ES_tradnl"/>
          </w:rPr>
          <w:t>https://www.colombiacompra.gov.co/archivos/circular/circular-externa-002-de-2026</w:t>
        </w:r>
      </w:hyperlink>
    </w:p>
    <w:p w14:paraId="71A6A036" w14:textId="77777777" w:rsidR="00226797" w:rsidRPr="003D5C91" w:rsidRDefault="00226797" w:rsidP="00226797">
      <w:pPr>
        <w:spacing w:after="0" w:line="276" w:lineRule="auto"/>
        <w:jc w:val="both"/>
        <w:rPr>
          <w:rFonts w:ascii="Verdana" w:eastAsia="Calibri" w:hAnsi="Verdana" w:cs="Arial"/>
          <w:color w:val="000000"/>
          <w:lang w:eastAsia="es-ES_tradnl"/>
        </w:rPr>
      </w:pPr>
    </w:p>
    <w:p w14:paraId="205D2936" w14:textId="77777777" w:rsidR="00226797" w:rsidRPr="003D5C91" w:rsidRDefault="00226797" w:rsidP="00226797">
      <w:pPr>
        <w:spacing w:after="0" w:line="276" w:lineRule="auto"/>
        <w:jc w:val="both"/>
        <w:rPr>
          <w:rFonts w:ascii="Verdana" w:eastAsia="Calibri" w:hAnsi="Verdana" w:cs="Arial"/>
          <w:color w:val="000000"/>
          <w:lang w:eastAsia="es-ES_tradnl"/>
        </w:rPr>
      </w:pPr>
      <w:r>
        <w:rPr>
          <w:rFonts w:ascii="Verdana" w:eastAsia="Calibri" w:hAnsi="Verdana" w:cs="Arial"/>
          <w:color w:val="000000"/>
          <w:lang w:eastAsia="es-ES_tradnl"/>
        </w:rPr>
        <w:t>Finalmente, si quieres seguir de cerca la actividad de la Agencia, la tercera edición de 2026 del</w:t>
      </w:r>
      <w:r>
        <w:rPr>
          <w:rFonts w:ascii="Verdana" w:eastAsia="Calibri" w:hAnsi="Verdana" w:cs="Arial"/>
          <w:b/>
          <w:bCs/>
          <w:color w:val="000000"/>
          <w:lang w:eastAsia="es-ES_tradnl"/>
        </w:rPr>
        <w:t> Radar de la Compra Pública</w:t>
      </w:r>
      <w:r>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https://www.colombiacompra.gov.co/archivos/boletin/boletin-edicion-n-3-de-2026-radar-de-la-compra-publica" w:history="1">
        <w:r>
          <w:rPr>
            <w:rStyle w:val="Hipervnculo"/>
            <w:rFonts w:ascii="Verdana" w:eastAsia="Calibri" w:hAnsi="Verdana" w:cs="Arial"/>
            <w:lang w:eastAsia="es-ES_tradnl"/>
          </w:rPr>
          <w:t>https://www.colombiacompra.gov.co/archivos/boletin/boletin-edicion-n-3-de-2026-radar-de-la-compra-publica</w:t>
        </w:r>
      </w:hyperlink>
    </w:p>
    <w:p w14:paraId="3102BE2E" w14:textId="77777777" w:rsidR="00226797" w:rsidRDefault="00226797" w:rsidP="00226797">
      <w:pPr>
        <w:spacing w:after="0"/>
        <w:jc w:val="both"/>
        <w:rPr>
          <w:rFonts w:ascii="Verdana" w:hAnsi="Verdana"/>
        </w:rPr>
      </w:pPr>
    </w:p>
    <w:p w14:paraId="5146C214" w14:textId="77777777" w:rsidR="00226797" w:rsidRPr="00116940" w:rsidRDefault="00226797" w:rsidP="00226797">
      <w:pPr>
        <w:spacing w:after="0"/>
        <w:jc w:val="both"/>
        <w:rPr>
          <w:rFonts w:ascii="Verdana" w:hAnsi="Verdana"/>
        </w:rPr>
      </w:pPr>
      <w:r>
        <w:rPr>
          <w:rFonts w:ascii="Verdana" w:hAnsi="Verdana"/>
        </w:rPr>
        <w:lastRenderedPageBreak/>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2904B2A" w14:textId="77777777" w:rsidR="00226797" w:rsidRPr="00116940" w:rsidRDefault="00226797" w:rsidP="00226797">
      <w:pPr>
        <w:spacing w:after="0"/>
        <w:jc w:val="both"/>
        <w:rPr>
          <w:rFonts w:ascii="Verdana" w:hAnsi="Verdana"/>
        </w:rPr>
      </w:pPr>
    </w:p>
    <w:p w14:paraId="14A05231" w14:textId="77777777" w:rsidR="00226797" w:rsidRPr="00116940" w:rsidRDefault="00226797" w:rsidP="00226797">
      <w:pPr>
        <w:pStyle w:val="Prrafodelista"/>
        <w:numPr>
          <w:ilvl w:val="0"/>
          <w:numId w:val="15"/>
        </w:numPr>
        <w:spacing w:after="0" w:line="240" w:lineRule="auto"/>
        <w:jc w:val="both"/>
        <w:rPr>
          <w:rFonts w:ascii="Verdana" w:eastAsia="Verdana" w:hAnsi="Verdana" w:cs="Verdana"/>
          <w:color w:val="4472C4" w:themeColor="accent1"/>
          <w:u w:val="single"/>
          <w:lang w:val="es-MX"/>
        </w:rPr>
      </w:pPr>
      <w:r>
        <w:rPr>
          <w:rFonts w:ascii="Verdana" w:eastAsia="Verdana" w:hAnsi="Verdana" w:cs="Verdana"/>
          <w:lang w:val="es-MX"/>
        </w:rPr>
        <w:t xml:space="preserve">Línea nacional gratuita o servicio a la ciudadanía (Mesa de servicio): </w:t>
      </w:r>
      <w:r>
        <w:rPr>
          <w:rStyle w:val="Hipervnculo"/>
          <w:rFonts w:ascii="Verdana" w:hAnsi="Verdana"/>
        </w:rPr>
        <w:t>01800 0520808</w:t>
      </w:r>
    </w:p>
    <w:p w14:paraId="657DE3A9" w14:textId="77777777" w:rsidR="00226797" w:rsidRPr="00116940" w:rsidRDefault="00226797" w:rsidP="00226797">
      <w:pPr>
        <w:pStyle w:val="Prrafodelista"/>
        <w:numPr>
          <w:ilvl w:val="0"/>
          <w:numId w:val="15"/>
        </w:numPr>
        <w:spacing w:after="0"/>
        <w:rPr>
          <w:rFonts w:ascii="Verdana" w:eastAsia="Verdana" w:hAnsi="Verdana" w:cs="Verdana"/>
          <w:color w:val="4472C4" w:themeColor="accent1"/>
          <w:u w:val="single"/>
          <w:lang w:val="es-MX"/>
        </w:rPr>
      </w:pPr>
      <w:r>
        <w:rPr>
          <w:rFonts w:ascii="Verdana" w:eastAsia="Verdana" w:hAnsi="Verdana" w:cs="Verdana"/>
          <w:lang w:val="es-MX"/>
        </w:rPr>
        <w:t>Línea en Bogotá (Mesa de servicio</w:t>
      </w:r>
      <w:proofErr w:type="gramStart"/>
      <w:r>
        <w:rPr>
          <w:rFonts w:ascii="Verdana" w:eastAsia="Verdana" w:hAnsi="Verdana" w:cs="Verdana"/>
          <w:lang w:val="es-MX"/>
        </w:rPr>
        <w:t>):</w:t>
      </w:r>
      <w:r>
        <w:rPr>
          <w:rStyle w:val="Hipervnculo"/>
          <w:rFonts w:ascii="Verdana" w:hAnsi="Verdana"/>
        </w:rPr>
        <w:t>+</w:t>
      </w:r>
      <w:proofErr w:type="gramEnd"/>
      <w:r>
        <w:rPr>
          <w:rStyle w:val="Hipervnculo"/>
          <w:rFonts w:ascii="Verdana" w:hAnsi="Verdana"/>
        </w:rPr>
        <w:t>57 601 7456788</w:t>
      </w:r>
    </w:p>
    <w:p w14:paraId="2993BDA3" w14:textId="77777777" w:rsidR="00226797" w:rsidRPr="00116940" w:rsidRDefault="00226797" w:rsidP="00226797">
      <w:pPr>
        <w:pStyle w:val="Prrafodelista"/>
        <w:numPr>
          <w:ilvl w:val="0"/>
          <w:numId w:val="15"/>
        </w:numPr>
        <w:spacing w:after="0"/>
        <w:rPr>
          <w:rFonts w:ascii="Verdana" w:eastAsia="Verdana" w:hAnsi="Verdana" w:cs="Verdana"/>
          <w:color w:val="0000FF"/>
          <w:u w:val="single"/>
          <w:lang w:val="es-MX"/>
        </w:rPr>
      </w:pPr>
      <w:r>
        <w:rPr>
          <w:rFonts w:ascii="Verdana" w:eastAsia="Verdana" w:hAnsi="Verdana" w:cs="Verdana"/>
          <w:lang w:val="es-MX"/>
        </w:rPr>
        <w:t xml:space="preserve">Correo de radicación de correspondencia: </w:t>
      </w:r>
      <w:hyperlink r:id="rId18">
        <w:r>
          <w:rPr>
            <w:rStyle w:val="Hipervnculo"/>
            <w:rFonts w:ascii="Verdana" w:eastAsia="Verdana" w:hAnsi="Verdana" w:cs="Verdana"/>
            <w:lang w:val="es-MX"/>
          </w:rPr>
          <w:t>ventanilladeradicacion@colombiacompra.gov.co</w:t>
        </w:r>
      </w:hyperlink>
    </w:p>
    <w:p w14:paraId="23DED7A1" w14:textId="77777777" w:rsidR="00226797" w:rsidRPr="00116940" w:rsidRDefault="00226797" w:rsidP="00226797">
      <w:pPr>
        <w:pStyle w:val="Prrafodelista"/>
        <w:numPr>
          <w:ilvl w:val="0"/>
          <w:numId w:val="15"/>
        </w:numPr>
        <w:spacing w:after="0"/>
        <w:rPr>
          <w:rFonts w:ascii="Verdana" w:eastAsia="Verdana" w:hAnsi="Verdana" w:cs="Verdana"/>
          <w:color w:val="0000FF"/>
          <w:u w:val="single"/>
          <w:lang w:val="es-MX"/>
        </w:rPr>
      </w:pPr>
      <w:r>
        <w:rPr>
          <w:rFonts w:ascii="Verdana" w:eastAsia="Verdana" w:hAnsi="Verdana" w:cs="Verdana"/>
        </w:rPr>
        <w:t>Formulario web para</w:t>
      </w:r>
      <w:r>
        <w:rPr>
          <w:rFonts w:ascii="Verdana" w:eastAsia="Verdana" w:hAnsi="Verdana" w:cs="Verdana"/>
          <w:lang w:val="es"/>
        </w:rPr>
        <w:t xml:space="preserve"> PQRSD: </w:t>
      </w:r>
      <w:hyperlink r:id="rId19">
        <w:r>
          <w:rPr>
            <w:rStyle w:val="Hipervnculo"/>
            <w:rFonts w:ascii="Verdana" w:eastAsia="Verdana" w:hAnsi="Verdana" w:cs="Verdana"/>
            <w:lang w:val="es-MX"/>
          </w:rPr>
          <w:t>https://www.colombiacompra.gov.co/pqrsd/informacion-importante-antes-de-formular-una-pqrsd</w:t>
        </w:r>
      </w:hyperlink>
    </w:p>
    <w:p w14:paraId="370304EB" w14:textId="77777777" w:rsidR="00226797" w:rsidRPr="00116940" w:rsidRDefault="00226797" w:rsidP="00226797">
      <w:pPr>
        <w:spacing w:after="0" w:line="240" w:lineRule="auto"/>
        <w:ind w:left="720"/>
        <w:jc w:val="both"/>
        <w:rPr>
          <w:rFonts w:ascii="Verdana" w:hAnsi="Verdana"/>
        </w:rPr>
      </w:pPr>
    </w:p>
    <w:p w14:paraId="09E08583" w14:textId="77777777" w:rsidR="00226797" w:rsidRPr="00116940" w:rsidRDefault="00226797" w:rsidP="00226797">
      <w:pPr>
        <w:spacing w:after="0" w:line="240" w:lineRule="auto"/>
        <w:rPr>
          <w:rFonts w:ascii="Verdana" w:hAnsi="Verdana"/>
        </w:rPr>
      </w:pPr>
      <w:r>
        <w:rPr>
          <w:rFonts w:ascii="Verdana" w:hAnsi="Verdana"/>
        </w:rPr>
        <w:t xml:space="preserve">Evalúa el servicio que ofrece la Agencia por el canal de atención de PQRSD en el siguiente </w:t>
      </w:r>
      <w:proofErr w:type="gramStart"/>
      <w:r>
        <w:rPr>
          <w:rFonts w:ascii="Verdana" w:hAnsi="Verdana"/>
        </w:rPr>
        <w:t>enlace :</w:t>
      </w:r>
      <w:proofErr w:type="gramEnd"/>
      <w:hyperlink r:id="rId20" w:tgtFrame="_blank" w:tooltip="https://forms.office.com/r/pphywvs2sz" w:history="1">
        <w:r>
          <w:rPr>
            <w:rStyle w:val="Hipervnculo"/>
            <w:rFonts w:ascii="Verdana" w:hAnsi="Verdana"/>
          </w:rPr>
          <w:t>https://forms.office.com/r/pPHyWVs2SZ</w:t>
        </w:r>
      </w:hyperlink>
      <w:r>
        <w:rPr>
          <w:rFonts w:ascii="Verdana" w:hAnsi="Verdana"/>
        </w:rPr>
        <w:t xml:space="preserve"> .¡Ayúdanos a mejorar porque el compromiso es de todos!</w:t>
      </w:r>
    </w:p>
    <w:p w14:paraId="056EB9C7" w14:textId="77777777" w:rsidR="00226797" w:rsidRPr="00116940" w:rsidRDefault="00226797" w:rsidP="00226797">
      <w:pPr>
        <w:spacing w:after="0" w:line="240" w:lineRule="auto"/>
        <w:rPr>
          <w:rFonts w:ascii="Verdana" w:hAnsi="Verdana"/>
        </w:rPr>
      </w:pPr>
    </w:p>
    <w:p w14:paraId="03D9A9D7" w14:textId="77777777" w:rsidR="00226797" w:rsidRPr="00116940" w:rsidRDefault="00226797" w:rsidP="00226797">
      <w:pPr>
        <w:spacing w:after="0" w:line="240" w:lineRule="auto"/>
        <w:jc w:val="both"/>
        <w:rPr>
          <w:rFonts w:ascii="Verdana" w:hAnsi="Verdana"/>
        </w:rPr>
      </w:pPr>
      <w:r>
        <w:rPr>
          <w:rFonts w:ascii="Verdana" w:hAnsi="Verdana"/>
        </w:rPr>
        <w:t xml:space="preserve">Por último, lo invitamos a seguirnos en las redes sociales en las cuales se difunde información institucional: </w:t>
      </w:r>
    </w:p>
    <w:p w14:paraId="50554677" w14:textId="77777777" w:rsidR="00226797" w:rsidRPr="00116940" w:rsidRDefault="00226797" w:rsidP="00226797">
      <w:pPr>
        <w:spacing w:after="0" w:line="240" w:lineRule="auto"/>
        <w:jc w:val="both"/>
        <w:rPr>
          <w:rFonts w:ascii="Verdana" w:hAnsi="Verdana"/>
        </w:rPr>
      </w:pPr>
    </w:p>
    <w:p w14:paraId="727D2742" w14:textId="77777777" w:rsidR="00226797" w:rsidRPr="00116940" w:rsidRDefault="00226797" w:rsidP="00226797">
      <w:pPr>
        <w:spacing w:after="0" w:line="240" w:lineRule="auto"/>
        <w:jc w:val="both"/>
        <w:rPr>
          <w:rFonts w:ascii="Verdana" w:hAnsi="Verdana"/>
        </w:rPr>
      </w:pPr>
      <w:r>
        <w:rPr>
          <w:rFonts w:ascii="Verdana" w:hAnsi="Verdana"/>
        </w:rPr>
        <w:t xml:space="preserve">Twitter: </w:t>
      </w:r>
      <w:r>
        <w:rPr>
          <w:rStyle w:val="Hipervnculo"/>
          <w:rFonts w:ascii="Verdana" w:hAnsi="Verdana"/>
        </w:rPr>
        <w:t>@colombiacompra</w:t>
      </w:r>
      <w:r>
        <w:rPr>
          <w:rFonts w:ascii="Verdana" w:hAnsi="Verdana"/>
        </w:rPr>
        <w:t xml:space="preserve"> </w:t>
      </w:r>
    </w:p>
    <w:p w14:paraId="4657FB9F" w14:textId="77777777" w:rsidR="00226797" w:rsidRPr="00116940" w:rsidRDefault="00226797" w:rsidP="00226797">
      <w:pPr>
        <w:spacing w:after="0" w:line="240" w:lineRule="auto"/>
        <w:jc w:val="both"/>
        <w:rPr>
          <w:rFonts w:ascii="Verdana" w:hAnsi="Verdana"/>
        </w:rPr>
      </w:pPr>
      <w:r>
        <w:rPr>
          <w:rFonts w:ascii="Verdana" w:hAnsi="Verdana"/>
        </w:rPr>
        <w:t xml:space="preserve">Facebook: </w:t>
      </w:r>
      <w:proofErr w:type="spellStart"/>
      <w:r>
        <w:rPr>
          <w:rStyle w:val="Hipervnculo"/>
          <w:rFonts w:ascii="Verdana" w:hAnsi="Verdana"/>
        </w:rPr>
        <w:t>ColombiaCompraEficiente</w:t>
      </w:r>
      <w:proofErr w:type="spellEnd"/>
    </w:p>
    <w:p w14:paraId="385CEB4A" w14:textId="77777777" w:rsidR="00226797" w:rsidRPr="00116940" w:rsidRDefault="00226797" w:rsidP="00226797">
      <w:pPr>
        <w:spacing w:after="0" w:line="240" w:lineRule="auto"/>
        <w:jc w:val="both"/>
        <w:rPr>
          <w:rFonts w:ascii="Verdana" w:hAnsi="Verdana"/>
        </w:rPr>
      </w:pPr>
      <w:r>
        <w:rPr>
          <w:rFonts w:ascii="Verdana" w:hAnsi="Verdana"/>
        </w:rPr>
        <w:t xml:space="preserve">LinkedIn: </w:t>
      </w:r>
      <w:r>
        <w:rPr>
          <w:rStyle w:val="Hipervnculo"/>
          <w:rFonts w:ascii="Verdana" w:hAnsi="Verdana"/>
        </w:rPr>
        <w:t>Agencia Nacional de Contratación Pública - Colombia Compra Eficiente</w:t>
      </w:r>
      <w:r>
        <w:rPr>
          <w:rFonts w:ascii="Verdana" w:hAnsi="Verdana"/>
        </w:rPr>
        <w:t xml:space="preserve"> Instagram: </w:t>
      </w:r>
      <w:r>
        <w:rPr>
          <w:rStyle w:val="Hipervnculo"/>
          <w:rFonts w:ascii="Verdana" w:hAnsi="Verdana"/>
        </w:rPr>
        <w:t>@colombiacompraeficiente_cce</w:t>
      </w:r>
    </w:p>
    <w:p w14:paraId="5FBB3845" w14:textId="77777777" w:rsidR="00226797" w:rsidRPr="00116940" w:rsidRDefault="00226797" w:rsidP="00226797">
      <w:pPr>
        <w:spacing w:after="0" w:line="240" w:lineRule="auto"/>
        <w:jc w:val="both"/>
        <w:rPr>
          <w:rFonts w:ascii="Verdana" w:hAnsi="Verdana"/>
        </w:rPr>
      </w:pPr>
    </w:p>
    <w:p w14:paraId="2C6A865C" w14:textId="77777777" w:rsidR="00226797" w:rsidRPr="009037F6" w:rsidRDefault="00226797" w:rsidP="00226797">
      <w:pPr>
        <w:spacing w:after="0" w:line="256" w:lineRule="auto"/>
        <w:jc w:val="both"/>
        <w:rPr>
          <w:rFonts w:ascii="Verdana" w:eastAsia="Calibri" w:hAnsi="Verdana" w:cs="Times New Roman"/>
          <w:bCs/>
          <w:lang w:val="es-ES_tradnl"/>
        </w:rPr>
      </w:pPr>
      <w:r>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DB1425B" w14:textId="77777777" w:rsidR="00226797" w:rsidRPr="00492C4A" w:rsidRDefault="00226797" w:rsidP="00226797">
      <w:pPr>
        <w:spacing w:after="0" w:line="256" w:lineRule="auto"/>
        <w:jc w:val="both"/>
        <w:rPr>
          <w:rFonts w:ascii="Verdana" w:eastAsia="Calibri" w:hAnsi="Verdana" w:cs="Times New Roman"/>
          <w:lang w:val="es-ES_tradnl"/>
        </w:rPr>
      </w:pPr>
    </w:p>
    <w:p w14:paraId="644B42BF" w14:textId="77777777" w:rsidR="00226797" w:rsidRDefault="00226797" w:rsidP="00226797">
      <w:pPr>
        <w:spacing w:after="0" w:line="256" w:lineRule="auto"/>
        <w:jc w:val="both"/>
        <w:rPr>
          <w:rFonts w:ascii="Verdana" w:eastAsia="Calibri" w:hAnsi="Verdana" w:cs="Times New Roman"/>
        </w:rPr>
      </w:pPr>
      <w:r>
        <w:rPr>
          <w:rFonts w:ascii="Verdana" w:eastAsia="Calibri" w:hAnsi="Verdana" w:cs="Times New Roman"/>
        </w:rPr>
        <w:t>Atentamente,</w:t>
      </w:r>
    </w:p>
    <w:p w14:paraId="364C813D" w14:textId="77777777" w:rsidR="00226797" w:rsidRPr="001A74DF" w:rsidRDefault="00226797" w:rsidP="00226797">
      <w:pPr>
        <w:spacing w:after="0" w:line="256" w:lineRule="auto"/>
        <w:jc w:val="both"/>
        <w:rPr>
          <w:rFonts w:ascii="Verdana" w:eastAsia="Calibri" w:hAnsi="Verdana" w:cs="Times New Roman"/>
        </w:rPr>
      </w:pPr>
    </w:p>
    <w:p w14:paraId="3006D18F" w14:textId="56765104" w:rsidR="00226797" w:rsidRDefault="00345DE1" w:rsidP="00226797">
      <w:pPr>
        <w:spacing w:after="0" w:line="256" w:lineRule="auto"/>
        <w:jc w:val="center"/>
        <w:rPr>
          <w:rFonts w:ascii="Century Gothic" w:hAnsi="Century Gothic"/>
          <w:noProof/>
          <w:sz w:val="16"/>
          <w:szCs w:val="16"/>
          <w:lang w:val="en-US"/>
        </w:rPr>
      </w:pPr>
      <w:r w:rsidRPr="002C3AD6">
        <w:rPr>
          <w:rFonts w:ascii="Century Gothic" w:hAnsi="Century Gothic"/>
          <w:noProof/>
          <w:lang w:val="en-US"/>
        </w:rPr>
        <w:lastRenderedPageBreak/>
        <w:drawing>
          <wp:inline distT="0" distB="0" distL="0" distR="0" wp14:anchorId="140EE3D1" wp14:editId="1A4688D8">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891299" cy="1509270"/>
                    </a:xfrm>
                    <a:prstGeom prst="rect">
                      <a:avLst/>
                    </a:prstGeom>
                  </pic:spPr>
                </pic:pic>
              </a:graphicData>
            </a:graphic>
          </wp:inline>
        </w:drawing>
      </w:r>
    </w:p>
    <w:p w14:paraId="10A230F8" w14:textId="77777777" w:rsidR="00226797" w:rsidRPr="002961A6" w:rsidRDefault="00226797" w:rsidP="00226797">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26797" w:rsidRPr="00D56F8A" w14:paraId="1433C5CC" w14:textId="77777777" w:rsidTr="00DD563B">
        <w:trPr>
          <w:trHeight w:val="409"/>
        </w:trPr>
        <w:tc>
          <w:tcPr>
            <w:tcW w:w="817" w:type="dxa"/>
            <w:tcBorders>
              <w:top w:val="nil"/>
              <w:left w:val="nil"/>
              <w:bottom w:val="nil"/>
              <w:right w:val="nil"/>
            </w:tcBorders>
            <w:vAlign w:val="center"/>
            <w:hideMark/>
          </w:tcPr>
          <w:p w14:paraId="393D61A7"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2D8090E"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José Luis Sánchez Cardona</w:t>
            </w:r>
          </w:p>
          <w:p w14:paraId="34E01935"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Contratista de la Subdirección de Gestión Contractual</w:t>
            </w:r>
          </w:p>
        </w:tc>
      </w:tr>
      <w:tr w:rsidR="00226797" w:rsidRPr="00D56F8A" w14:paraId="2AD4CE06" w14:textId="77777777" w:rsidTr="00DD563B">
        <w:trPr>
          <w:trHeight w:val="409"/>
        </w:trPr>
        <w:tc>
          <w:tcPr>
            <w:tcW w:w="817" w:type="dxa"/>
            <w:tcBorders>
              <w:top w:val="nil"/>
              <w:left w:val="nil"/>
              <w:bottom w:val="nil"/>
              <w:right w:val="nil"/>
            </w:tcBorders>
            <w:vAlign w:val="center"/>
            <w:hideMark/>
          </w:tcPr>
          <w:p w14:paraId="2137EECA"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9D08063"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Alejandro R. Sarmiento Cantillo</w:t>
            </w:r>
          </w:p>
          <w:p w14:paraId="4EDA6155"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Gestor T1-15 de la Subdirección de Gestión Contractual </w:t>
            </w:r>
          </w:p>
        </w:tc>
      </w:tr>
      <w:tr w:rsidR="00226797" w:rsidRPr="00D56F8A" w14:paraId="54843FDF" w14:textId="77777777" w:rsidTr="00DD563B">
        <w:trPr>
          <w:trHeight w:val="389"/>
        </w:trPr>
        <w:tc>
          <w:tcPr>
            <w:tcW w:w="817" w:type="dxa"/>
            <w:tcBorders>
              <w:top w:val="nil"/>
              <w:left w:val="nil"/>
              <w:bottom w:val="nil"/>
              <w:right w:val="nil"/>
            </w:tcBorders>
            <w:vAlign w:val="center"/>
            <w:hideMark/>
          </w:tcPr>
          <w:p w14:paraId="40F09558"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89E30A6"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Carolina Quintero Gacharná</w:t>
            </w:r>
          </w:p>
          <w:p w14:paraId="17BD4EC9" w14:textId="77777777" w:rsidR="00226797" w:rsidRPr="00D56F8A" w:rsidRDefault="00226797" w:rsidP="00DD563B">
            <w:pPr>
              <w:spacing w:after="0" w:line="256" w:lineRule="auto"/>
              <w:rPr>
                <w:rFonts w:ascii="Verdana" w:eastAsia="Calibri" w:hAnsi="Verdana" w:cs="Times New Roman"/>
                <w:sz w:val="16"/>
                <w:szCs w:val="16"/>
              </w:rPr>
            </w:pPr>
            <w:r>
              <w:rPr>
                <w:rFonts w:ascii="Verdana" w:eastAsia="Calibri" w:hAnsi="Verdana" w:cs="Times New Roman"/>
                <w:sz w:val="16"/>
                <w:szCs w:val="16"/>
              </w:rPr>
              <w:t>Subdirectora de Gestión Contractual ANCP – CCE</w:t>
            </w:r>
          </w:p>
        </w:tc>
      </w:tr>
    </w:tbl>
    <w:p w14:paraId="70933975" w14:textId="4B4EF5CE" w:rsidR="00226797" w:rsidRPr="000E2B93" w:rsidRDefault="00226797" w:rsidP="00226797">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bookmarkEnd w:id="0"/>
    <w:p w14:paraId="5B102979" w14:textId="77777777" w:rsidR="00226797" w:rsidRPr="000E2B93" w:rsidRDefault="00226797" w:rsidP="00226797">
      <w:pPr>
        <w:spacing w:after="0" w:line="240" w:lineRule="auto"/>
        <w:textAlignment w:val="baseline"/>
        <w:rPr>
          <w:rFonts w:ascii="Verdana" w:eastAsia="Verdana" w:hAnsi="Verdana" w:cs="Verdana"/>
          <w:lang w:eastAsia="es-CO"/>
        </w:rPr>
      </w:pPr>
    </w:p>
    <w:p w14:paraId="696CB33C" w14:textId="6FFAAB06" w:rsidR="0036430A" w:rsidRPr="00226797" w:rsidRDefault="0036430A" w:rsidP="00226797"/>
    <w:sectPr w:rsidR="0036430A" w:rsidRPr="00226797"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8D31B" w14:textId="77777777" w:rsidR="004775D1" w:rsidRDefault="004775D1" w:rsidP="004A1847">
      <w:pPr>
        <w:spacing w:after="0" w:line="240" w:lineRule="auto"/>
      </w:pPr>
      <w:r>
        <w:separator/>
      </w:r>
    </w:p>
  </w:endnote>
  <w:endnote w:type="continuationSeparator" w:id="0">
    <w:p w14:paraId="12468CD5" w14:textId="77777777" w:rsidR="004775D1" w:rsidRDefault="004775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1098D821"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A1642" w:rsidRPr="000A1642">
      <w:rPr>
        <w:rFonts w:ascii="Verdana" w:eastAsiaTheme="minorEastAsia" w:hAnsi="Verdana"/>
        <w:b/>
        <w:bCs/>
        <w:noProof/>
        <w:sz w:val="16"/>
        <w:szCs w:val="16"/>
      </w:rPr>
      <w:t>21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1CCAD" w14:textId="77777777" w:rsidR="004775D1" w:rsidRDefault="004775D1" w:rsidP="004A1847">
      <w:pPr>
        <w:spacing w:after="0" w:line="240" w:lineRule="auto"/>
      </w:pPr>
      <w:r>
        <w:separator/>
      </w:r>
    </w:p>
  </w:footnote>
  <w:footnote w:type="continuationSeparator" w:id="0">
    <w:p w14:paraId="1B79AE03" w14:textId="77777777" w:rsidR="004775D1" w:rsidRDefault="004775D1" w:rsidP="004A1847">
      <w:pPr>
        <w:spacing w:after="0" w:line="240" w:lineRule="auto"/>
      </w:pPr>
      <w:r>
        <w:continuationSeparator/>
      </w:r>
    </w:p>
  </w:footnote>
  <w:footnote w:id="1">
    <w:p w14:paraId="29824834" w14:textId="77777777" w:rsidR="00226797" w:rsidRPr="002B3673" w:rsidRDefault="00226797" w:rsidP="0022679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Artículo 17 de la Ley 1150 de 2007</w:t>
      </w:r>
    </w:p>
  </w:footnote>
  <w:footnote w:id="2">
    <w:p w14:paraId="0618B821" w14:textId="77777777" w:rsidR="00226797" w:rsidRPr="002B3673" w:rsidRDefault="00226797" w:rsidP="0022679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Artículo 21 de la Ley 1150 de 2007</w:t>
      </w:r>
    </w:p>
  </w:footnote>
  <w:footnote w:id="3">
    <w:p w14:paraId="7D5C772B" w14:textId="77777777" w:rsidR="00226797" w:rsidRPr="002B3673" w:rsidRDefault="00226797" w:rsidP="0022679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Artículos 83 a 86 de la Ley 1474 de 2011</w:t>
      </w:r>
    </w:p>
  </w:footnote>
  <w:footnote w:id="4">
    <w:p w14:paraId="5F549AC4" w14:textId="77777777" w:rsidR="00226797" w:rsidRPr="002B3673" w:rsidRDefault="00226797" w:rsidP="0022679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Consejo de Estado. Sección Tercera –Subsección C. Sentencia del 27 de noviembre de 2017.</w:t>
      </w:r>
      <w:r w:rsidRPr="002B3673">
        <w:rPr>
          <w:rFonts w:ascii="Verdana" w:hAnsi="Verdana"/>
          <w:sz w:val="16"/>
          <w:szCs w:val="16"/>
          <w:lang w:val="es-CO"/>
        </w:rPr>
        <w:t xml:space="preserve"> Exp. 51.802.</w:t>
      </w:r>
      <w:r w:rsidRPr="002B3673">
        <w:rPr>
          <w:rFonts w:ascii="Verdana" w:hAnsi="Verdana"/>
          <w:sz w:val="16"/>
          <w:szCs w:val="16"/>
        </w:rPr>
        <w:t xml:space="preserve"> C.P. Jaime Orlando Santofimio Gamboa. </w:t>
      </w:r>
    </w:p>
  </w:footnote>
  <w:footnote w:id="5">
    <w:p w14:paraId="4BC22BA4" w14:textId="77777777" w:rsidR="00226797" w:rsidRPr="002B3673" w:rsidRDefault="00226797" w:rsidP="0022679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Artículo 83 de la Ley 1474 de 2011</w:t>
      </w:r>
    </w:p>
  </w:footnote>
  <w:footnote w:id="6">
    <w:p w14:paraId="731115A1" w14:textId="77777777" w:rsidR="00226797" w:rsidRPr="002B3673" w:rsidRDefault="00226797" w:rsidP="00226797">
      <w:pPr>
        <w:pStyle w:val="Textonotapie"/>
        <w:ind w:firstLine="709"/>
        <w:jc w:val="both"/>
        <w:rPr>
          <w:rFonts w:ascii="Verdana" w:hAnsi="Verdana"/>
          <w:sz w:val="16"/>
          <w:szCs w:val="16"/>
        </w:rPr>
      </w:pPr>
      <w:r w:rsidRPr="002B3673">
        <w:rPr>
          <w:rFonts w:ascii="Verdana" w:hAnsi="Verdana"/>
          <w:sz w:val="16"/>
          <w:szCs w:val="16"/>
          <w:vertAlign w:val="superscript"/>
        </w:rPr>
        <w:footnoteRef/>
      </w:r>
      <w:r w:rsidRPr="002B3673">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7">
    <w:p w14:paraId="7177C6A2" w14:textId="77777777" w:rsidR="00226797" w:rsidRPr="002B3673" w:rsidRDefault="00226797" w:rsidP="00226797">
      <w:pPr>
        <w:pStyle w:val="Textonotapie"/>
        <w:adjustRightInd w:val="0"/>
        <w:snapToGrid w:val="0"/>
        <w:ind w:firstLine="709"/>
        <w:jc w:val="both"/>
        <w:rPr>
          <w:rFonts w:ascii="Verdana" w:hAnsi="Verdana" w:cs="Arial"/>
          <w:color w:val="161616"/>
          <w:sz w:val="16"/>
          <w:szCs w:val="16"/>
        </w:rPr>
      </w:pPr>
      <w:r w:rsidRPr="002B3673">
        <w:rPr>
          <w:rStyle w:val="Refdenotaalpie"/>
          <w:rFonts w:ascii="Verdana" w:hAnsi="Verdana"/>
          <w:sz w:val="16"/>
          <w:szCs w:val="16"/>
        </w:rPr>
        <w:footnoteRef/>
      </w:r>
      <w:r w:rsidRPr="002B3673">
        <w:rPr>
          <w:rFonts w:ascii="Verdana" w:hAnsi="Verdana"/>
          <w:sz w:val="16"/>
          <w:szCs w:val="16"/>
        </w:rPr>
        <w:t xml:space="preserve"> </w:t>
      </w:r>
      <w:r w:rsidRPr="002B3673">
        <w:rPr>
          <w:rFonts w:ascii="Verdana" w:hAnsi="Verdana" w:cs="Arial"/>
          <w:color w:val="161616"/>
          <w:sz w:val="16"/>
          <w:szCs w:val="16"/>
        </w:rPr>
        <w:t>“Son también contratos de consultoría los que tienen por objeto la interventoría […]”</w:t>
      </w:r>
    </w:p>
  </w:footnote>
  <w:footnote w:id="8">
    <w:p w14:paraId="1B0C2C84" w14:textId="77777777" w:rsidR="00226797" w:rsidRPr="002B3673" w:rsidRDefault="00226797" w:rsidP="00226797">
      <w:pPr>
        <w:pStyle w:val="Textonotapie"/>
        <w:ind w:firstLine="708"/>
        <w:jc w:val="both"/>
        <w:rPr>
          <w:rFonts w:ascii="Verdana" w:hAnsi="Verdana"/>
          <w:sz w:val="16"/>
          <w:szCs w:val="16"/>
          <w:lang w:val="es-CO"/>
        </w:rPr>
      </w:pPr>
      <w:r w:rsidRPr="002B3673">
        <w:rPr>
          <w:rStyle w:val="Refdenotaalpie"/>
          <w:rFonts w:ascii="Verdana" w:hAnsi="Verdana"/>
          <w:sz w:val="16"/>
          <w:szCs w:val="16"/>
        </w:rPr>
        <w:footnoteRef/>
      </w:r>
      <w:r w:rsidRPr="002B3673">
        <w:rPr>
          <w:rFonts w:ascii="Verdana" w:hAnsi="Verdana"/>
          <w:sz w:val="16"/>
          <w:szCs w:val="16"/>
        </w:rPr>
        <w:t xml:space="preserve"> </w:t>
      </w:r>
      <w:r w:rsidRPr="002B3673">
        <w:rPr>
          <w:rFonts w:ascii="Verdana" w:hAnsi="Verdana"/>
          <w:sz w:val="16"/>
          <w:szCs w:val="16"/>
          <w:lang w:val="es-CO"/>
        </w:rPr>
        <w:t>Corte Constitucional. Sentencia C-037 de 2003, M.P. Álvaro Tafur Galvis.</w:t>
      </w:r>
    </w:p>
  </w:footnote>
  <w:footnote w:id="9">
    <w:p w14:paraId="3D147A94" w14:textId="77777777" w:rsidR="00226797" w:rsidRPr="002B3673" w:rsidRDefault="00226797" w:rsidP="00226797">
      <w:pPr>
        <w:pStyle w:val="Textonotapie"/>
        <w:ind w:firstLine="708"/>
        <w:jc w:val="both"/>
        <w:rPr>
          <w:rFonts w:ascii="Verdana" w:hAnsi="Verdana"/>
          <w:sz w:val="16"/>
          <w:szCs w:val="16"/>
          <w:lang w:val="es-CO"/>
        </w:rPr>
      </w:pPr>
      <w:r w:rsidRPr="002B3673">
        <w:rPr>
          <w:rStyle w:val="Refdenotaalpie"/>
          <w:rFonts w:ascii="Verdana" w:hAnsi="Verdana"/>
          <w:sz w:val="16"/>
          <w:szCs w:val="16"/>
        </w:rPr>
        <w:footnoteRef/>
      </w:r>
      <w:r w:rsidRPr="002B3673">
        <w:rPr>
          <w:rFonts w:ascii="Verdana" w:hAnsi="Verdana"/>
          <w:sz w:val="16"/>
          <w:szCs w:val="16"/>
        </w:rPr>
        <w:t xml:space="preserve"> RINCÓN CÓRDOBA, Jorge Iván. La interventoría y supervisión: los presupuestos en los que se desarrolla la función administrativa de vigilancia de la ejecución contractual. En: Contratos públicos: problemas, perspectivas y prospectivas. Bogotá: Universidad Externado de Colombia, 2017. p. 628. </w:t>
      </w:r>
    </w:p>
  </w:footnote>
  <w:footnote w:id="10">
    <w:p w14:paraId="55AF4333" w14:textId="77777777" w:rsidR="00226797" w:rsidRPr="002B3673" w:rsidRDefault="00226797" w:rsidP="00226797">
      <w:pPr>
        <w:pStyle w:val="Textonotapie"/>
        <w:ind w:firstLine="708"/>
        <w:jc w:val="both"/>
        <w:rPr>
          <w:rFonts w:ascii="Verdana" w:hAnsi="Verdana"/>
          <w:sz w:val="16"/>
          <w:szCs w:val="16"/>
          <w:lang w:val="es-CO"/>
        </w:rPr>
      </w:pPr>
      <w:r w:rsidRPr="002B3673">
        <w:rPr>
          <w:rStyle w:val="Refdenotaalpie"/>
          <w:rFonts w:ascii="Verdana" w:hAnsi="Verdana"/>
          <w:sz w:val="16"/>
          <w:szCs w:val="16"/>
        </w:rPr>
        <w:footnoteRef/>
      </w:r>
      <w:r w:rsidRPr="002B3673">
        <w:rPr>
          <w:rFonts w:ascii="Verdana" w:hAnsi="Verdana"/>
          <w:sz w:val="16"/>
          <w:szCs w:val="16"/>
        </w:rPr>
        <w:t xml:space="preserve"> </w:t>
      </w:r>
      <w:r w:rsidRPr="002B3673">
        <w:rPr>
          <w:rFonts w:ascii="Verdana" w:hAnsi="Verdana"/>
          <w:i/>
          <w:iCs/>
          <w:sz w:val="16"/>
          <w:szCs w:val="16"/>
        </w:rPr>
        <w:t>Ibidem</w:t>
      </w:r>
      <w:r w:rsidRPr="002B3673">
        <w:rPr>
          <w:rFonts w:ascii="Verdana" w:hAnsi="Verdana"/>
          <w:sz w:val="16"/>
          <w:szCs w:val="16"/>
        </w:rPr>
        <w:t>, p. 629.</w:t>
      </w:r>
    </w:p>
  </w:footnote>
  <w:footnote w:id="11">
    <w:p w14:paraId="3FB1E7A6" w14:textId="77777777" w:rsidR="00226797" w:rsidRPr="000C292B" w:rsidRDefault="00226797" w:rsidP="00226797">
      <w:pPr>
        <w:pStyle w:val="Textonotapie"/>
        <w:ind w:firstLine="708"/>
        <w:jc w:val="both"/>
        <w:rPr>
          <w:rFonts w:ascii="Verdana" w:hAnsi="Verdana"/>
          <w:sz w:val="16"/>
          <w:szCs w:val="16"/>
          <w:lang w:val="es-CO"/>
        </w:rPr>
      </w:pPr>
      <w:r w:rsidRPr="002B3673">
        <w:rPr>
          <w:rStyle w:val="Refdenotaalpie"/>
          <w:rFonts w:ascii="Verdana" w:hAnsi="Verdana"/>
          <w:sz w:val="16"/>
          <w:szCs w:val="16"/>
        </w:rPr>
        <w:footnoteRef/>
      </w:r>
      <w:r w:rsidRPr="002B3673">
        <w:rPr>
          <w:rFonts w:ascii="Verdana" w:hAnsi="Verdana"/>
          <w:sz w:val="16"/>
          <w:szCs w:val="16"/>
        </w:rPr>
        <w:t xml:space="preserve"> SUÁREZ BELTRÁN, Gonzalo. Estudios de derecho contractual público. Bogotá: Universidad Pontificia Javeriana – Legis, 2014. p. 259.</w:t>
      </w:r>
    </w:p>
  </w:footnote>
  <w:footnote w:id="12">
    <w:p w14:paraId="2710A944" w14:textId="77777777" w:rsidR="00226797" w:rsidRPr="000C292B" w:rsidRDefault="00226797" w:rsidP="00226797">
      <w:pPr>
        <w:pStyle w:val="Textonotapie"/>
        <w:ind w:firstLine="708"/>
        <w:jc w:val="both"/>
        <w:rPr>
          <w:rFonts w:ascii="Verdana" w:hAnsi="Verdana"/>
          <w:sz w:val="16"/>
          <w:szCs w:val="16"/>
          <w:lang w:val="es-CO"/>
        </w:rPr>
      </w:pPr>
      <w:r w:rsidRPr="002B3673">
        <w:rPr>
          <w:rStyle w:val="Refdenotaalpie"/>
          <w:rFonts w:ascii="Verdana" w:hAnsi="Verdana"/>
          <w:sz w:val="16"/>
          <w:szCs w:val="16"/>
        </w:rPr>
        <w:footnoteRef/>
      </w:r>
      <w:r w:rsidRPr="002B3673">
        <w:rPr>
          <w:rFonts w:ascii="Verdana" w:hAnsi="Verdana"/>
          <w:sz w:val="16"/>
          <w:szCs w:val="16"/>
        </w:rPr>
        <w:t xml:space="preserve"> </w:t>
      </w:r>
      <w:r w:rsidRPr="002B3673">
        <w:rPr>
          <w:rFonts w:ascii="Verdana" w:hAnsi="Verdana"/>
          <w:i/>
          <w:iCs/>
          <w:sz w:val="16"/>
          <w:szCs w:val="16"/>
        </w:rPr>
        <w:t>Ibidem</w:t>
      </w:r>
      <w:r w:rsidRPr="002B3673">
        <w:rPr>
          <w:rFonts w:ascii="Verdana" w:hAnsi="Verdana"/>
          <w:sz w:val="16"/>
          <w:szCs w:val="16"/>
        </w:rPr>
        <w:t>.</w:t>
      </w:r>
    </w:p>
  </w:footnote>
  <w:footnote w:id="13">
    <w:p w14:paraId="453A6700" w14:textId="77777777" w:rsidR="00226797" w:rsidRPr="00EB516A" w:rsidRDefault="00226797" w:rsidP="00226797">
      <w:pPr>
        <w:pStyle w:val="Textonotapie"/>
        <w:ind w:firstLine="709"/>
        <w:jc w:val="both"/>
        <w:rPr>
          <w:rFonts w:ascii="Verdana" w:hAnsi="Verdana"/>
          <w:sz w:val="16"/>
          <w:szCs w:val="16"/>
        </w:rPr>
      </w:pPr>
      <w:r w:rsidRPr="00EB516A">
        <w:rPr>
          <w:rFonts w:ascii="Verdana" w:hAnsi="Verdana"/>
          <w:sz w:val="16"/>
          <w:szCs w:val="16"/>
          <w:vertAlign w:val="superscript"/>
        </w:rPr>
        <w:footnoteRef/>
      </w:r>
      <w:r w:rsidRPr="005218BD">
        <w:rPr>
          <w:rFonts w:ascii="Verdana" w:hAnsi="Verdana"/>
          <w:sz w:val="16"/>
          <w:szCs w:val="16"/>
        </w:rPr>
        <w:t xml:space="preserve"> Código Civil, artículo 2060, regla 3.ª.</w:t>
      </w:r>
    </w:p>
  </w:footnote>
  <w:footnote w:id="14">
    <w:p w14:paraId="6C8E47E9" w14:textId="77777777" w:rsidR="00226797" w:rsidRDefault="00226797" w:rsidP="00226797">
      <w:pPr>
        <w:pStyle w:val="Textonotapie"/>
        <w:ind w:firstLine="709"/>
        <w:jc w:val="both"/>
        <w:rPr>
          <w:rFonts w:ascii="Verdana" w:hAnsi="Verdana"/>
          <w:sz w:val="16"/>
          <w:szCs w:val="16"/>
        </w:rPr>
      </w:pPr>
      <w:r w:rsidRPr="00EB516A">
        <w:rPr>
          <w:rFonts w:ascii="Verdana" w:hAnsi="Verdana"/>
          <w:sz w:val="16"/>
          <w:szCs w:val="16"/>
          <w:vertAlign w:val="superscript"/>
        </w:rPr>
        <w:footnoteRef/>
      </w:r>
      <w:r w:rsidRPr="005218BD">
        <w:rPr>
          <w:rFonts w:ascii="Verdana" w:hAnsi="Verdana"/>
          <w:sz w:val="16"/>
          <w:szCs w:val="16"/>
        </w:rPr>
        <w:t xml:space="preserve"> Congreso de la República. Ley 610 de 2000, artículo 6.</w:t>
      </w:r>
    </w:p>
  </w:footnote>
  <w:footnote w:id="15">
    <w:p w14:paraId="2969987A" w14:textId="77777777" w:rsidR="00226797" w:rsidRPr="00EB516A" w:rsidRDefault="00226797" w:rsidP="00226797">
      <w:pPr>
        <w:pStyle w:val="Textonotapie"/>
        <w:ind w:firstLine="709"/>
        <w:jc w:val="both"/>
        <w:rPr>
          <w:rFonts w:ascii="Verdana" w:hAnsi="Verdana"/>
          <w:sz w:val="16"/>
          <w:szCs w:val="16"/>
        </w:rPr>
      </w:pPr>
      <w:r w:rsidRPr="00EB516A">
        <w:rPr>
          <w:rFonts w:ascii="Verdana" w:hAnsi="Verdana"/>
          <w:sz w:val="16"/>
          <w:szCs w:val="16"/>
          <w:vertAlign w:val="superscript"/>
        </w:rPr>
        <w:footnoteRef/>
      </w:r>
      <w:r w:rsidRPr="005218BD">
        <w:rPr>
          <w:rFonts w:ascii="Verdana" w:hAnsi="Verdana"/>
          <w:sz w:val="16"/>
          <w:szCs w:val="16"/>
        </w:rPr>
        <w:t xml:space="preserve"> Agencia Nacional de Contratación Pública – Colombia Compra Eficiente. Guía para el ejercicio de las funciones de supervisión e interventoría de los contratos suscritos por las Entidades Estatales. Código G-EFSICE-01. Bogotá: ANCP-CCE.</w:t>
      </w:r>
    </w:p>
  </w:footnote>
  <w:footnote w:id="16">
    <w:p w14:paraId="530B4A46" w14:textId="77777777" w:rsidR="00226797" w:rsidRDefault="00226797" w:rsidP="00226797">
      <w:pPr>
        <w:pStyle w:val="Textonotapie"/>
        <w:ind w:firstLine="709"/>
        <w:jc w:val="both"/>
        <w:rPr>
          <w:rFonts w:ascii="Verdana" w:hAnsi="Verdana"/>
          <w:sz w:val="16"/>
          <w:szCs w:val="16"/>
        </w:rPr>
      </w:pPr>
      <w:r w:rsidRPr="00EB516A">
        <w:rPr>
          <w:rFonts w:ascii="Verdana" w:hAnsi="Verdana"/>
          <w:sz w:val="16"/>
          <w:szCs w:val="16"/>
          <w:vertAlign w:val="superscript"/>
        </w:rPr>
        <w:footnoteRef/>
      </w:r>
      <w:r w:rsidRPr="005218BD">
        <w:rPr>
          <w:rFonts w:ascii="Verdana" w:hAnsi="Verdana"/>
          <w:sz w:val="16"/>
          <w:szCs w:val="16"/>
        </w:rPr>
        <w:t xml:space="preserve"> Congreso de la República. Ley 1952 de 2019 (Código General Disciplinario), artículo 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0072735"/>
    <w:multiLevelType w:val="hybridMultilevel"/>
    <w:tmpl w:val="2E7465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56886124">
    <w:abstractNumId w:val="11"/>
  </w:num>
  <w:num w:numId="2" w16cid:durableId="348219027">
    <w:abstractNumId w:val="2"/>
  </w:num>
  <w:num w:numId="3" w16cid:durableId="1352683947">
    <w:abstractNumId w:val="9"/>
  </w:num>
  <w:num w:numId="4" w16cid:durableId="964772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364703">
    <w:abstractNumId w:val="2"/>
  </w:num>
  <w:num w:numId="6" w16cid:durableId="956371318">
    <w:abstractNumId w:val="18"/>
  </w:num>
  <w:num w:numId="7" w16cid:durableId="1872305839">
    <w:abstractNumId w:val="10"/>
  </w:num>
  <w:num w:numId="8" w16cid:durableId="259533706">
    <w:abstractNumId w:val="17"/>
  </w:num>
  <w:num w:numId="9" w16cid:durableId="1984233994">
    <w:abstractNumId w:val="12"/>
  </w:num>
  <w:num w:numId="10" w16cid:durableId="901331453">
    <w:abstractNumId w:val="16"/>
  </w:num>
  <w:num w:numId="11" w16cid:durableId="103809298">
    <w:abstractNumId w:val="13"/>
  </w:num>
  <w:num w:numId="12" w16cid:durableId="386271044">
    <w:abstractNumId w:val="0"/>
  </w:num>
  <w:num w:numId="13" w16cid:durableId="284577797">
    <w:abstractNumId w:val="5"/>
  </w:num>
  <w:num w:numId="14" w16cid:durableId="1404569397">
    <w:abstractNumId w:val="19"/>
  </w:num>
  <w:num w:numId="15" w16cid:durableId="1351839890">
    <w:abstractNumId w:val="15"/>
  </w:num>
  <w:num w:numId="16" w16cid:durableId="426392047">
    <w:abstractNumId w:val="6"/>
  </w:num>
  <w:num w:numId="17" w16cid:durableId="2126734863">
    <w:abstractNumId w:val="14"/>
  </w:num>
  <w:num w:numId="18" w16cid:durableId="1204369693">
    <w:abstractNumId w:val="22"/>
  </w:num>
  <w:num w:numId="19" w16cid:durableId="105856605">
    <w:abstractNumId w:val="21"/>
  </w:num>
  <w:num w:numId="20" w16cid:durableId="1365904929">
    <w:abstractNumId w:val="1"/>
  </w:num>
  <w:num w:numId="21" w16cid:durableId="760493059">
    <w:abstractNumId w:val="4"/>
  </w:num>
  <w:num w:numId="22" w16cid:durableId="431900297">
    <w:abstractNumId w:val="7"/>
  </w:num>
  <w:num w:numId="23" w16cid:durableId="966206228">
    <w:abstractNumId w:val="3"/>
  </w:num>
  <w:num w:numId="24" w16cid:durableId="1191916945">
    <w:abstractNumId w:val="20"/>
  </w:num>
  <w:num w:numId="25" w16cid:durableId="4595391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8FA"/>
    <w:rsid w:val="00010CB4"/>
    <w:rsid w:val="000134D5"/>
    <w:rsid w:val="00016F78"/>
    <w:rsid w:val="00031330"/>
    <w:rsid w:val="0003183B"/>
    <w:rsid w:val="000353BD"/>
    <w:rsid w:val="0004113D"/>
    <w:rsid w:val="00045562"/>
    <w:rsid w:val="00046945"/>
    <w:rsid w:val="0005451E"/>
    <w:rsid w:val="00061B2A"/>
    <w:rsid w:val="00065FE6"/>
    <w:rsid w:val="000711CF"/>
    <w:rsid w:val="00076D52"/>
    <w:rsid w:val="00080B1D"/>
    <w:rsid w:val="00082362"/>
    <w:rsid w:val="000842B8"/>
    <w:rsid w:val="0009079C"/>
    <w:rsid w:val="000A0C51"/>
    <w:rsid w:val="000A1642"/>
    <w:rsid w:val="000A66E5"/>
    <w:rsid w:val="000A683E"/>
    <w:rsid w:val="000B0ED5"/>
    <w:rsid w:val="000B0FAA"/>
    <w:rsid w:val="000B19B9"/>
    <w:rsid w:val="000B27F0"/>
    <w:rsid w:val="000B68AC"/>
    <w:rsid w:val="000C292B"/>
    <w:rsid w:val="000C5A9E"/>
    <w:rsid w:val="000D0334"/>
    <w:rsid w:val="000D1DC8"/>
    <w:rsid w:val="000D22FF"/>
    <w:rsid w:val="000D326A"/>
    <w:rsid w:val="000D4734"/>
    <w:rsid w:val="000D5DA7"/>
    <w:rsid w:val="000E2298"/>
    <w:rsid w:val="000E45B0"/>
    <w:rsid w:val="000E6E2C"/>
    <w:rsid w:val="000F01E9"/>
    <w:rsid w:val="000F078F"/>
    <w:rsid w:val="000F2280"/>
    <w:rsid w:val="000F3444"/>
    <w:rsid w:val="000F512E"/>
    <w:rsid w:val="000F51CC"/>
    <w:rsid w:val="000F6486"/>
    <w:rsid w:val="000F7FD4"/>
    <w:rsid w:val="00102D96"/>
    <w:rsid w:val="00104B72"/>
    <w:rsid w:val="0010576C"/>
    <w:rsid w:val="00105C57"/>
    <w:rsid w:val="00113E8F"/>
    <w:rsid w:val="00115F20"/>
    <w:rsid w:val="001161CA"/>
    <w:rsid w:val="001168F2"/>
    <w:rsid w:val="00116940"/>
    <w:rsid w:val="00121330"/>
    <w:rsid w:val="0012394B"/>
    <w:rsid w:val="00125105"/>
    <w:rsid w:val="00127233"/>
    <w:rsid w:val="001328F3"/>
    <w:rsid w:val="001352A2"/>
    <w:rsid w:val="001428DC"/>
    <w:rsid w:val="00150E6A"/>
    <w:rsid w:val="0015699B"/>
    <w:rsid w:val="001601F5"/>
    <w:rsid w:val="00162B1E"/>
    <w:rsid w:val="00171640"/>
    <w:rsid w:val="00173BCE"/>
    <w:rsid w:val="00174D6E"/>
    <w:rsid w:val="001835B4"/>
    <w:rsid w:val="0019787F"/>
    <w:rsid w:val="001A1DE9"/>
    <w:rsid w:val="001A33BF"/>
    <w:rsid w:val="001A360F"/>
    <w:rsid w:val="001A74DF"/>
    <w:rsid w:val="001C5AE4"/>
    <w:rsid w:val="001C61B3"/>
    <w:rsid w:val="001D02CC"/>
    <w:rsid w:val="001D1146"/>
    <w:rsid w:val="001D1729"/>
    <w:rsid w:val="001D64AE"/>
    <w:rsid w:val="001E054F"/>
    <w:rsid w:val="001E2E05"/>
    <w:rsid w:val="001E4177"/>
    <w:rsid w:val="001E6B6A"/>
    <w:rsid w:val="001F0100"/>
    <w:rsid w:val="001F0B24"/>
    <w:rsid w:val="001F1459"/>
    <w:rsid w:val="001F619D"/>
    <w:rsid w:val="001F7DC6"/>
    <w:rsid w:val="00202174"/>
    <w:rsid w:val="00203389"/>
    <w:rsid w:val="00207466"/>
    <w:rsid w:val="00207A60"/>
    <w:rsid w:val="00210C0E"/>
    <w:rsid w:val="00211E12"/>
    <w:rsid w:val="00212AD1"/>
    <w:rsid w:val="00217FCA"/>
    <w:rsid w:val="0022067E"/>
    <w:rsid w:val="002209DE"/>
    <w:rsid w:val="0022400B"/>
    <w:rsid w:val="00226797"/>
    <w:rsid w:val="002421BB"/>
    <w:rsid w:val="00244E44"/>
    <w:rsid w:val="00253436"/>
    <w:rsid w:val="0025796E"/>
    <w:rsid w:val="00261233"/>
    <w:rsid w:val="0026579C"/>
    <w:rsid w:val="00267C0E"/>
    <w:rsid w:val="002707A2"/>
    <w:rsid w:val="0027257E"/>
    <w:rsid w:val="00275482"/>
    <w:rsid w:val="00277B9D"/>
    <w:rsid w:val="00277C07"/>
    <w:rsid w:val="0028285D"/>
    <w:rsid w:val="0028778F"/>
    <w:rsid w:val="00292260"/>
    <w:rsid w:val="00292D06"/>
    <w:rsid w:val="002951A0"/>
    <w:rsid w:val="002962BC"/>
    <w:rsid w:val="002975A4"/>
    <w:rsid w:val="002A093D"/>
    <w:rsid w:val="002A0DD0"/>
    <w:rsid w:val="002A49AC"/>
    <w:rsid w:val="002A64FD"/>
    <w:rsid w:val="002A7112"/>
    <w:rsid w:val="002B3673"/>
    <w:rsid w:val="002B730F"/>
    <w:rsid w:val="002C7A84"/>
    <w:rsid w:val="002D51B4"/>
    <w:rsid w:val="002D61CA"/>
    <w:rsid w:val="002D6D08"/>
    <w:rsid w:val="002E05EF"/>
    <w:rsid w:val="002E2BF8"/>
    <w:rsid w:val="002E4FD9"/>
    <w:rsid w:val="002F0847"/>
    <w:rsid w:val="002F428B"/>
    <w:rsid w:val="002F5BC0"/>
    <w:rsid w:val="003044FC"/>
    <w:rsid w:val="0030657A"/>
    <w:rsid w:val="003136DC"/>
    <w:rsid w:val="003156BF"/>
    <w:rsid w:val="00316053"/>
    <w:rsid w:val="00322A85"/>
    <w:rsid w:val="00322C00"/>
    <w:rsid w:val="00322D77"/>
    <w:rsid w:val="00324168"/>
    <w:rsid w:val="00330834"/>
    <w:rsid w:val="00332710"/>
    <w:rsid w:val="003332A8"/>
    <w:rsid w:val="0033527E"/>
    <w:rsid w:val="00335439"/>
    <w:rsid w:val="00337394"/>
    <w:rsid w:val="003448F4"/>
    <w:rsid w:val="00345DE1"/>
    <w:rsid w:val="00350382"/>
    <w:rsid w:val="0036430A"/>
    <w:rsid w:val="00374F5E"/>
    <w:rsid w:val="003769E1"/>
    <w:rsid w:val="00377E3E"/>
    <w:rsid w:val="00381BAB"/>
    <w:rsid w:val="00390224"/>
    <w:rsid w:val="003922DA"/>
    <w:rsid w:val="003A6450"/>
    <w:rsid w:val="003A779E"/>
    <w:rsid w:val="003B0DFC"/>
    <w:rsid w:val="003B698B"/>
    <w:rsid w:val="003C0ED7"/>
    <w:rsid w:val="003C7106"/>
    <w:rsid w:val="003D0F4D"/>
    <w:rsid w:val="003D494E"/>
    <w:rsid w:val="003D5B0D"/>
    <w:rsid w:val="003D7A75"/>
    <w:rsid w:val="003E0499"/>
    <w:rsid w:val="003E2C4F"/>
    <w:rsid w:val="003E4F80"/>
    <w:rsid w:val="003E6439"/>
    <w:rsid w:val="003F18C5"/>
    <w:rsid w:val="003F1FD8"/>
    <w:rsid w:val="003F2204"/>
    <w:rsid w:val="003F3941"/>
    <w:rsid w:val="00402960"/>
    <w:rsid w:val="00403EFA"/>
    <w:rsid w:val="004041CC"/>
    <w:rsid w:val="00406575"/>
    <w:rsid w:val="004140B3"/>
    <w:rsid w:val="00414652"/>
    <w:rsid w:val="00414C74"/>
    <w:rsid w:val="00422A7E"/>
    <w:rsid w:val="00425D8F"/>
    <w:rsid w:val="0042601D"/>
    <w:rsid w:val="0042722E"/>
    <w:rsid w:val="00437032"/>
    <w:rsid w:val="0044528D"/>
    <w:rsid w:val="004507E1"/>
    <w:rsid w:val="00451137"/>
    <w:rsid w:val="00452C2C"/>
    <w:rsid w:val="0045369C"/>
    <w:rsid w:val="004555EA"/>
    <w:rsid w:val="0045785F"/>
    <w:rsid w:val="0046365F"/>
    <w:rsid w:val="00466E39"/>
    <w:rsid w:val="00474A1D"/>
    <w:rsid w:val="004775D1"/>
    <w:rsid w:val="00480B7B"/>
    <w:rsid w:val="00484E40"/>
    <w:rsid w:val="0048787A"/>
    <w:rsid w:val="00490116"/>
    <w:rsid w:val="00492C4A"/>
    <w:rsid w:val="00494F04"/>
    <w:rsid w:val="004A0A0B"/>
    <w:rsid w:val="004A0E5C"/>
    <w:rsid w:val="004A1847"/>
    <w:rsid w:val="004A245F"/>
    <w:rsid w:val="004A305D"/>
    <w:rsid w:val="004A59E2"/>
    <w:rsid w:val="004B0B6B"/>
    <w:rsid w:val="004B3DAC"/>
    <w:rsid w:val="004B73B9"/>
    <w:rsid w:val="004C0DBB"/>
    <w:rsid w:val="004C7E87"/>
    <w:rsid w:val="004D0B46"/>
    <w:rsid w:val="004D2B6F"/>
    <w:rsid w:val="004E2B92"/>
    <w:rsid w:val="004F21C4"/>
    <w:rsid w:val="004F4F55"/>
    <w:rsid w:val="004F685F"/>
    <w:rsid w:val="004F7E0A"/>
    <w:rsid w:val="005000A1"/>
    <w:rsid w:val="00502B46"/>
    <w:rsid w:val="0050657F"/>
    <w:rsid w:val="00506C9D"/>
    <w:rsid w:val="00513BF7"/>
    <w:rsid w:val="00517955"/>
    <w:rsid w:val="0052084E"/>
    <w:rsid w:val="005229DB"/>
    <w:rsid w:val="0052305F"/>
    <w:rsid w:val="00534886"/>
    <w:rsid w:val="00536A0E"/>
    <w:rsid w:val="00543C6A"/>
    <w:rsid w:val="00544BA2"/>
    <w:rsid w:val="0055200B"/>
    <w:rsid w:val="0055262A"/>
    <w:rsid w:val="00553040"/>
    <w:rsid w:val="00553586"/>
    <w:rsid w:val="005566E8"/>
    <w:rsid w:val="00560892"/>
    <w:rsid w:val="00562247"/>
    <w:rsid w:val="005647CD"/>
    <w:rsid w:val="00566DEF"/>
    <w:rsid w:val="0056719C"/>
    <w:rsid w:val="00570B00"/>
    <w:rsid w:val="00572622"/>
    <w:rsid w:val="0057267B"/>
    <w:rsid w:val="0057292D"/>
    <w:rsid w:val="00573280"/>
    <w:rsid w:val="00574867"/>
    <w:rsid w:val="00591460"/>
    <w:rsid w:val="00592C94"/>
    <w:rsid w:val="005A2CAB"/>
    <w:rsid w:val="005A46FB"/>
    <w:rsid w:val="005A52A7"/>
    <w:rsid w:val="005A65E0"/>
    <w:rsid w:val="005C0881"/>
    <w:rsid w:val="005C32D8"/>
    <w:rsid w:val="005C3777"/>
    <w:rsid w:val="005C5CDC"/>
    <w:rsid w:val="005D2566"/>
    <w:rsid w:val="005D3350"/>
    <w:rsid w:val="005D476C"/>
    <w:rsid w:val="005E52CE"/>
    <w:rsid w:val="005F20A4"/>
    <w:rsid w:val="005F4BC4"/>
    <w:rsid w:val="00600D92"/>
    <w:rsid w:val="00603A69"/>
    <w:rsid w:val="00603C5B"/>
    <w:rsid w:val="00611CE6"/>
    <w:rsid w:val="006137E1"/>
    <w:rsid w:val="00617200"/>
    <w:rsid w:val="00617E91"/>
    <w:rsid w:val="006200BF"/>
    <w:rsid w:val="006207D5"/>
    <w:rsid w:val="0062143E"/>
    <w:rsid w:val="00621920"/>
    <w:rsid w:val="006219F8"/>
    <w:rsid w:val="00623967"/>
    <w:rsid w:val="00624A89"/>
    <w:rsid w:val="00624EEC"/>
    <w:rsid w:val="006302F7"/>
    <w:rsid w:val="00630B53"/>
    <w:rsid w:val="00631040"/>
    <w:rsid w:val="0063313F"/>
    <w:rsid w:val="00641917"/>
    <w:rsid w:val="00641BB0"/>
    <w:rsid w:val="0064332F"/>
    <w:rsid w:val="00646B9F"/>
    <w:rsid w:val="00646F24"/>
    <w:rsid w:val="006547C3"/>
    <w:rsid w:val="00660C46"/>
    <w:rsid w:val="00663A04"/>
    <w:rsid w:val="00664CD8"/>
    <w:rsid w:val="00665A30"/>
    <w:rsid w:val="00665D70"/>
    <w:rsid w:val="006848AE"/>
    <w:rsid w:val="00684D61"/>
    <w:rsid w:val="00684F67"/>
    <w:rsid w:val="0068758B"/>
    <w:rsid w:val="006900D9"/>
    <w:rsid w:val="0069497E"/>
    <w:rsid w:val="0069741A"/>
    <w:rsid w:val="006A2BE4"/>
    <w:rsid w:val="006A783F"/>
    <w:rsid w:val="006B4707"/>
    <w:rsid w:val="006C3A66"/>
    <w:rsid w:val="006D13BA"/>
    <w:rsid w:val="006D591D"/>
    <w:rsid w:val="006D5C50"/>
    <w:rsid w:val="006D64EE"/>
    <w:rsid w:val="006D7952"/>
    <w:rsid w:val="006F2238"/>
    <w:rsid w:val="006F2B0D"/>
    <w:rsid w:val="006F3302"/>
    <w:rsid w:val="006F3C71"/>
    <w:rsid w:val="006F4199"/>
    <w:rsid w:val="006F4EF4"/>
    <w:rsid w:val="007009D7"/>
    <w:rsid w:val="007025D7"/>
    <w:rsid w:val="00706BE8"/>
    <w:rsid w:val="00706C16"/>
    <w:rsid w:val="00714AEB"/>
    <w:rsid w:val="0071557C"/>
    <w:rsid w:val="007206E6"/>
    <w:rsid w:val="00725483"/>
    <w:rsid w:val="0073164F"/>
    <w:rsid w:val="00731F30"/>
    <w:rsid w:val="007323F5"/>
    <w:rsid w:val="00733872"/>
    <w:rsid w:val="00733E3A"/>
    <w:rsid w:val="007340C3"/>
    <w:rsid w:val="0073510E"/>
    <w:rsid w:val="0074248C"/>
    <w:rsid w:val="00743B1A"/>
    <w:rsid w:val="007446CB"/>
    <w:rsid w:val="007458D3"/>
    <w:rsid w:val="0074600B"/>
    <w:rsid w:val="0075196D"/>
    <w:rsid w:val="0075235A"/>
    <w:rsid w:val="00752CDB"/>
    <w:rsid w:val="0075557D"/>
    <w:rsid w:val="00756841"/>
    <w:rsid w:val="007649AB"/>
    <w:rsid w:val="00764B56"/>
    <w:rsid w:val="0076664C"/>
    <w:rsid w:val="007667F5"/>
    <w:rsid w:val="00771AEF"/>
    <w:rsid w:val="00771D0C"/>
    <w:rsid w:val="007805EB"/>
    <w:rsid w:val="007808AA"/>
    <w:rsid w:val="00780EDD"/>
    <w:rsid w:val="007810BC"/>
    <w:rsid w:val="00782ED2"/>
    <w:rsid w:val="007833AC"/>
    <w:rsid w:val="00785459"/>
    <w:rsid w:val="0078636D"/>
    <w:rsid w:val="00786D16"/>
    <w:rsid w:val="00787930"/>
    <w:rsid w:val="00790F16"/>
    <w:rsid w:val="00794575"/>
    <w:rsid w:val="00795086"/>
    <w:rsid w:val="007A037B"/>
    <w:rsid w:val="007A1830"/>
    <w:rsid w:val="007A20F3"/>
    <w:rsid w:val="007A321F"/>
    <w:rsid w:val="007A723D"/>
    <w:rsid w:val="007B12E9"/>
    <w:rsid w:val="007B268C"/>
    <w:rsid w:val="007B7171"/>
    <w:rsid w:val="007C0C0F"/>
    <w:rsid w:val="007C3DC2"/>
    <w:rsid w:val="007C4353"/>
    <w:rsid w:val="007C6F05"/>
    <w:rsid w:val="007D0725"/>
    <w:rsid w:val="007D2A87"/>
    <w:rsid w:val="007D3058"/>
    <w:rsid w:val="007D346C"/>
    <w:rsid w:val="007D4123"/>
    <w:rsid w:val="007D4B12"/>
    <w:rsid w:val="007D5942"/>
    <w:rsid w:val="007D5B7C"/>
    <w:rsid w:val="007D6C03"/>
    <w:rsid w:val="007E43AC"/>
    <w:rsid w:val="007E5497"/>
    <w:rsid w:val="007F2587"/>
    <w:rsid w:val="00803584"/>
    <w:rsid w:val="0080490A"/>
    <w:rsid w:val="00806F5F"/>
    <w:rsid w:val="00807D6C"/>
    <w:rsid w:val="008103F6"/>
    <w:rsid w:val="00814DE2"/>
    <w:rsid w:val="00815853"/>
    <w:rsid w:val="00817F1D"/>
    <w:rsid w:val="00820278"/>
    <w:rsid w:val="00820AA6"/>
    <w:rsid w:val="00823075"/>
    <w:rsid w:val="008258C9"/>
    <w:rsid w:val="00830893"/>
    <w:rsid w:val="00833286"/>
    <w:rsid w:val="00836232"/>
    <w:rsid w:val="0084164A"/>
    <w:rsid w:val="00841E29"/>
    <w:rsid w:val="00844435"/>
    <w:rsid w:val="00844AE9"/>
    <w:rsid w:val="0085043C"/>
    <w:rsid w:val="008517FE"/>
    <w:rsid w:val="008549E6"/>
    <w:rsid w:val="008551B2"/>
    <w:rsid w:val="0085545E"/>
    <w:rsid w:val="00857B08"/>
    <w:rsid w:val="008655A1"/>
    <w:rsid w:val="0086623D"/>
    <w:rsid w:val="00867F95"/>
    <w:rsid w:val="00871AAC"/>
    <w:rsid w:val="0088269E"/>
    <w:rsid w:val="008843B6"/>
    <w:rsid w:val="00886410"/>
    <w:rsid w:val="00891928"/>
    <w:rsid w:val="008977DD"/>
    <w:rsid w:val="008A03FE"/>
    <w:rsid w:val="008A446D"/>
    <w:rsid w:val="008A6A30"/>
    <w:rsid w:val="008B0D0F"/>
    <w:rsid w:val="008B20AF"/>
    <w:rsid w:val="008B25F1"/>
    <w:rsid w:val="008B2B98"/>
    <w:rsid w:val="008C11FD"/>
    <w:rsid w:val="008C4DD5"/>
    <w:rsid w:val="008C517A"/>
    <w:rsid w:val="008C6AE5"/>
    <w:rsid w:val="008D1660"/>
    <w:rsid w:val="008D180B"/>
    <w:rsid w:val="008E13A8"/>
    <w:rsid w:val="008E5278"/>
    <w:rsid w:val="008F0EA7"/>
    <w:rsid w:val="008F17DC"/>
    <w:rsid w:val="008F4334"/>
    <w:rsid w:val="008F553F"/>
    <w:rsid w:val="008F57BF"/>
    <w:rsid w:val="008F6705"/>
    <w:rsid w:val="00901213"/>
    <w:rsid w:val="009037F6"/>
    <w:rsid w:val="0091143C"/>
    <w:rsid w:val="00912E50"/>
    <w:rsid w:val="00920817"/>
    <w:rsid w:val="00923EEF"/>
    <w:rsid w:val="009308DC"/>
    <w:rsid w:val="00933E3F"/>
    <w:rsid w:val="00937589"/>
    <w:rsid w:val="00941242"/>
    <w:rsid w:val="009419F9"/>
    <w:rsid w:val="00953042"/>
    <w:rsid w:val="0095685E"/>
    <w:rsid w:val="00961B09"/>
    <w:rsid w:val="00963E12"/>
    <w:rsid w:val="00964321"/>
    <w:rsid w:val="00965334"/>
    <w:rsid w:val="0096691A"/>
    <w:rsid w:val="0097093E"/>
    <w:rsid w:val="009722DE"/>
    <w:rsid w:val="009761E1"/>
    <w:rsid w:val="00984DB3"/>
    <w:rsid w:val="00992E19"/>
    <w:rsid w:val="009A0486"/>
    <w:rsid w:val="009A0DFA"/>
    <w:rsid w:val="009A2C34"/>
    <w:rsid w:val="009A3D17"/>
    <w:rsid w:val="009B1929"/>
    <w:rsid w:val="009B28B9"/>
    <w:rsid w:val="009B2D26"/>
    <w:rsid w:val="009C1B98"/>
    <w:rsid w:val="009C71FA"/>
    <w:rsid w:val="009C72E7"/>
    <w:rsid w:val="009C7F7E"/>
    <w:rsid w:val="009D23F2"/>
    <w:rsid w:val="009D3058"/>
    <w:rsid w:val="009E1F28"/>
    <w:rsid w:val="009E6924"/>
    <w:rsid w:val="009E7AED"/>
    <w:rsid w:val="009F3A13"/>
    <w:rsid w:val="009F4B67"/>
    <w:rsid w:val="009F7A6E"/>
    <w:rsid w:val="009F7FC8"/>
    <w:rsid w:val="00A00B43"/>
    <w:rsid w:val="00A01572"/>
    <w:rsid w:val="00A022E4"/>
    <w:rsid w:val="00A0334B"/>
    <w:rsid w:val="00A03D5A"/>
    <w:rsid w:val="00A04BFC"/>
    <w:rsid w:val="00A0526C"/>
    <w:rsid w:val="00A11AFE"/>
    <w:rsid w:val="00A122D3"/>
    <w:rsid w:val="00A12734"/>
    <w:rsid w:val="00A14468"/>
    <w:rsid w:val="00A17F13"/>
    <w:rsid w:val="00A20739"/>
    <w:rsid w:val="00A23AF9"/>
    <w:rsid w:val="00A25555"/>
    <w:rsid w:val="00A31A76"/>
    <w:rsid w:val="00A33C78"/>
    <w:rsid w:val="00A45C70"/>
    <w:rsid w:val="00A464B5"/>
    <w:rsid w:val="00A52616"/>
    <w:rsid w:val="00A53338"/>
    <w:rsid w:val="00A6476C"/>
    <w:rsid w:val="00A73F45"/>
    <w:rsid w:val="00A753C9"/>
    <w:rsid w:val="00AA1B49"/>
    <w:rsid w:val="00AA1E47"/>
    <w:rsid w:val="00AB0ADB"/>
    <w:rsid w:val="00AB160D"/>
    <w:rsid w:val="00AB436E"/>
    <w:rsid w:val="00AB78B9"/>
    <w:rsid w:val="00AC1AC9"/>
    <w:rsid w:val="00AD173A"/>
    <w:rsid w:val="00AD24EB"/>
    <w:rsid w:val="00AD5E68"/>
    <w:rsid w:val="00AD7D5F"/>
    <w:rsid w:val="00AE1F6E"/>
    <w:rsid w:val="00AE3513"/>
    <w:rsid w:val="00AE5DD2"/>
    <w:rsid w:val="00AE6528"/>
    <w:rsid w:val="00AF5A10"/>
    <w:rsid w:val="00B00C0E"/>
    <w:rsid w:val="00B01B1A"/>
    <w:rsid w:val="00B04A24"/>
    <w:rsid w:val="00B04DA1"/>
    <w:rsid w:val="00B11075"/>
    <w:rsid w:val="00B234CF"/>
    <w:rsid w:val="00B26BE0"/>
    <w:rsid w:val="00B27E93"/>
    <w:rsid w:val="00B32719"/>
    <w:rsid w:val="00B34349"/>
    <w:rsid w:val="00B37EB5"/>
    <w:rsid w:val="00B40A94"/>
    <w:rsid w:val="00B42344"/>
    <w:rsid w:val="00B44A47"/>
    <w:rsid w:val="00B44FEE"/>
    <w:rsid w:val="00B54271"/>
    <w:rsid w:val="00B5550F"/>
    <w:rsid w:val="00B556AA"/>
    <w:rsid w:val="00B6149C"/>
    <w:rsid w:val="00B64484"/>
    <w:rsid w:val="00B70DF5"/>
    <w:rsid w:val="00B71604"/>
    <w:rsid w:val="00B718A7"/>
    <w:rsid w:val="00B71FD5"/>
    <w:rsid w:val="00B72CD3"/>
    <w:rsid w:val="00B72FFF"/>
    <w:rsid w:val="00B74092"/>
    <w:rsid w:val="00B75E92"/>
    <w:rsid w:val="00B95DAC"/>
    <w:rsid w:val="00B97CE7"/>
    <w:rsid w:val="00BA2EB9"/>
    <w:rsid w:val="00BA703D"/>
    <w:rsid w:val="00BB27E8"/>
    <w:rsid w:val="00BC35AE"/>
    <w:rsid w:val="00BC3D36"/>
    <w:rsid w:val="00BC4E30"/>
    <w:rsid w:val="00BC5D42"/>
    <w:rsid w:val="00BC5F22"/>
    <w:rsid w:val="00BC70CB"/>
    <w:rsid w:val="00BD0DEB"/>
    <w:rsid w:val="00BD13AC"/>
    <w:rsid w:val="00BD54A6"/>
    <w:rsid w:val="00BD7F72"/>
    <w:rsid w:val="00BE36F7"/>
    <w:rsid w:val="00BE5069"/>
    <w:rsid w:val="00BF056C"/>
    <w:rsid w:val="00BF3B66"/>
    <w:rsid w:val="00BF5A3E"/>
    <w:rsid w:val="00BF5C08"/>
    <w:rsid w:val="00BF7425"/>
    <w:rsid w:val="00C04FB3"/>
    <w:rsid w:val="00C11D8B"/>
    <w:rsid w:val="00C130AB"/>
    <w:rsid w:val="00C251B0"/>
    <w:rsid w:val="00C25ECD"/>
    <w:rsid w:val="00C330EB"/>
    <w:rsid w:val="00C37EC8"/>
    <w:rsid w:val="00C419DF"/>
    <w:rsid w:val="00C50D69"/>
    <w:rsid w:val="00C5365C"/>
    <w:rsid w:val="00C56BDE"/>
    <w:rsid w:val="00C619D4"/>
    <w:rsid w:val="00C61D93"/>
    <w:rsid w:val="00C65CDA"/>
    <w:rsid w:val="00C66245"/>
    <w:rsid w:val="00C74B9D"/>
    <w:rsid w:val="00C754BE"/>
    <w:rsid w:val="00C76B1C"/>
    <w:rsid w:val="00C82667"/>
    <w:rsid w:val="00C90C96"/>
    <w:rsid w:val="00C925AC"/>
    <w:rsid w:val="00C94828"/>
    <w:rsid w:val="00C963BE"/>
    <w:rsid w:val="00C96B64"/>
    <w:rsid w:val="00CA1075"/>
    <w:rsid w:val="00CA2858"/>
    <w:rsid w:val="00CB02F1"/>
    <w:rsid w:val="00CB3252"/>
    <w:rsid w:val="00CB6357"/>
    <w:rsid w:val="00CC142F"/>
    <w:rsid w:val="00CC1B26"/>
    <w:rsid w:val="00CC2C3C"/>
    <w:rsid w:val="00CC75DD"/>
    <w:rsid w:val="00CD4C85"/>
    <w:rsid w:val="00CD61D1"/>
    <w:rsid w:val="00CE3C1C"/>
    <w:rsid w:val="00CE4026"/>
    <w:rsid w:val="00CF1B51"/>
    <w:rsid w:val="00CF57A6"/>
    <w:rsid w:val="00D00907"/>
    <w:rsid w:val="00D05069"/>
    <w:rsid w:val="00D05606"/>
    <w:rsid w:val="00D06146"/>
    <w:rsid w:val="00D0651C"/>
    <w:rsid w:val="00D0699E"/>
    <w:rsid w:val="00D101E0"/>
    <w:rsid w:val="00D1210B"/>
    <w:rsid w:val="00D15A45"/>
    <w:rsid w:val="00D17802"/>
    <w:rsid w:val="00D20E42"/>
    <w:rsid w:val="00D22D2B"/>
    <w:rsid w:val="00D26660"/>
    <w:rsid w:val="00D27334"/>
    <w:rsid w:val="00D31A78"/>
    <w:rsid w:val="00D322E2"/>
    <w:rsid w:val="00D334DD"/>
    <w:rsid w:val="00D34EA3"/>
    <w:rsid w:val="00D361FD"/>
    <w:rsid w:val="00D372E3"/>
    <w:rsid w:val="00D423A2"/>
    <w:rsid w:val="00D44E26"/>
    <w:rsid w:val="00D46891"/>
    <w:rsid w:val="00D50717"/>
    <w:rsid w:val="00D51A5D"/>
    <w:rsid w:val="00D520D8"/>
    <w:rsid w:val="00D532D4"/>
    <w:rsid w:val="00D5377A"/>
    <w:rsid w:val="00D5634B"/>
    <w:rsid w:val="00D56F8A"/>
    <w:rsid w:val="00D62B9C"/>
    <w:rsid w:val="00D63AC2"/>
    <w:rsid w:val="00D64111"/>
    <w:rsid w:val="00D64AFC"/>
    <w:rsid w:val="00D65783"/>
    <w:rsid w:val="00D734E7"/>
    <w:rsid w:val="00D7383B"/>
    <w:rsid w:val="00D73DBD"/>
    <w:rsid w:val="00D7541C"/>
    <w:rsid w:val="00D7788A"/>
    <w:rsid w:val="00D80E1F"/>
    <w:rsid w:val="00D85870"/>
    <w:rsid w:val="00D85F06"/>
    <w:rsid w:val="00D87319"/>
    <w:rsid w:val="00D936A2"/>
    <w:rsid w:val="00DA231B"/>
    <w:rsid w:val="00DB13F4"/>
    <w:rsid w:val="00DB55DA"/>
    <w:rsid w:val="00DC39FC"/>
    <w:rsid w:val="00DC7CCB"/>
    <w:rsid w:val="00DE049E"/>
    <w:rsid w:val="00DE4B76"/>
    <w:rsid w:val="00DE6EC3"/>
    <w:rsid w:val="00DF0B04"/>
    <w:rsid w:val="00DF1B6B"/>
    <w:rsid w:val="00DF2A21"/>
    <w:rsid w:val="00DF5254"/>
    <w:rsid w:val="00E02524"/>
    <w:rsid w:val="00E10022"/>
    <w:rsid w:val="00E1159D"/>
    <w:rsid w:val="00E1451E"/>
    <w:rsid w:val="00E16408"/>
    <w:rsid w:val="00E17D31"/>
    <w:rsid w:val="00E200D7"/>
    <w:rsid w:val="00E20894"/>
    <w:rsid w:val="00E245AB"/>
    <w:rsid w:val="00E27341"/>
    <w:rsid w:val="00E2764C"/>
    <w:rsid w:val="00E27F2E"/>
    <w:rsid w:val="00E31225"/>
    <w:rsid w:val="00E45FF4"/>
    <w:rsid w:val="00E47D45"/>
    <w:rsid w:val="00E501E7"/>
    <w:rsid w:val="00E50AFE"/>
    <w:rsid w:val="00E577E2"/>
    <w:rsid w:val="00E615C4"/>
    <w:rsid w:val="00E71E1B"/>
    <w:rsid w:val="00E75C92"/>
    <w:rsid w:val="00E771DC"/>
    <w:rsid w:val="00E842C3"/>
    <w:rsid w:val="00E8772A"/>
    <w:rsid w:val="00E90F6B"/>
    <w:rsid w:val="00E91AED"/>
    <w:rsid w:val="00E92C27"/>
    <w:rsid w:val="00E96B5C"/>
    <w:rsid w:val="00EA0E3D"/>
    <w:rsid w:val="00EA2DC0"/>
    <w:rsid w:val="00EA3A0F"/>
    <w:rsid w:val="00EA426C"/>
    <w:rsid w:val="00EB0FD8"/>
    <w:rsid w:val="00EB224C"/>
    <w:rsid w:val="00EB721B"/>
    <w:rsid w:val="00EC006D"/>
    <w:rsid w:val="00EC297F"/>
    <w:rsid w:val="00EC2A60"/>
    <w:rsid w:val="00EC38A7"/>
    <w:rsid w:val="00ED4980"/>
    <w:rsid w:val="00EE1AA8"/>
    <w:rsid w:val="00EE265D"/>
    <w:rsid w:val="00EE3D99"/>
    <w:rsid w:val="00EF1D4F"/>
    <w:rsid w:val="00EF3DC3"/>
    <w:rsid w:val="00EF5E13"/>
    <w:rsid w:val="00EF647F"/>
    <w:rsid w:val="00EF6AA4"/>
    <w:rsid w:val="00F03218"/>
    <w:rsid w:val="00F03314"/>
    <w:rsid w:val="00F0580C"/>
    <w:rsid w:val="00F0617C"/>
    <w:rsid w:val="00F14F31"/>
    <w:rsid w:val="00F23FEA"/>
    <w:rsid w:val="00F27B7B"/>
    <w:rsid w:val="00F31EDC"/>
    <w:rsid w:val="00F34294"/>
    <w:rsid w:val="00F41ACF"/>
    <w:rsid w:val="00F462B3"/>
    <w:rsid w:val="00F47B10"/>
    <w:rsid w:val="00F47E14"/>
    <w:rsid w:val="00F5664F"/>
    <w:rsid w:val="00F666C4"/>
    <w:rsid w:val="00F72FC0"/>
    <w:rsid w:val="00F749C5"/>
    <w:rsid w:val="00F76AFC"/>
    <w:rsid w:val="00F81BF0"/>
    <w:rsid w:val="00F82E88"/>
    <w:rsid w:val="00F83D1B"/>
    <w:rsid w:val="00F86E11"/>
    <w:rsid w:val="00F86E3E"/>
    <w:rsid w:val="00F932D5"/>
    <w:rsid w:val="00F95C74"/>
    <w:rsid w:val="00FA105C"/>
    <w:rsid w:val="00FA47C0"/>
    <w:rsid w:val="00FA5FFD"/>
    <w:rsid w:val="00FB3F93"/>
    <w:rsid w:val="00FB5DD1"/>
    <w:rsid w:val="00FC2B5D"/>
    <w:rsid w:val="00FD05BA"/>
    <w:rsid w:val="00FD1DDC"/>
    <w:rsid w:val="00FD36B8"/>
    <w:rsid w:val="00FD3AD2"/>
    <w:rsid w:val="00FF1449"/>
    <w:rsid w:val="00FF1467"/>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AF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EA3A0F"/>
    <w:rPr>
      <w:color w:val="605E5C"/>
      <w:shd w:val="clear" w:color="auto" w:fill="E1DFDD"/>
    </w:rPr>
  </w:style>
  <w:style w:type="paragraph" w:styleId="Sinespaciado">
    <w:name w:val="No Spacing"/>
    <w:aliases w:val="No Indent"/>
    <w:link w:val="SinespaciadoCar"/>
    <w:uiPriority w:val="3"/>
    <w:qFormat/>
    <w:rsid w:val="00292260"/>
    <w:pPr>
      <w:spacing w:after="0" w:line="240" w:lineRule="auto"/>
    </w:pPr>
    <w:rPr>
      <w:sz w:val="24"/>
      <w:lang w:val="es-MX"/>
    </w:rPr>
  </w:style>
  <w:style w:type="character" w:customStyle="1" w:styleId="SinespaciadoCar">
    <w:name w:val="Sin espaciado Car"/>
    <w:aliases w:val="No Indent Car"/>
    <w:link w:val="Sinespaciado"/>
    <w:uiPriority w:val="3"/>
    <w:rsid w:val="00292260"/>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mariacpm2010@gmail.com;arangel@procuraduria.gov.co" TargetMode="External"/><Relationship Id="rId17" Type="http://schemas.openxmlformats.org/officeDocument/2006/relationships/hyperlink" Target="https://www.colombiacompra.gov.co/archivos/boletin/boletin-edicion-n-3-de-2026-radar-de-la-compra-public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circular/circular-externa-002-de-2026"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archivos/circular/circular-externa-003-de-202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de-garantias-en-procesos-de-contratac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D64DD00-62FF-4250-A3D9-53D11B8E850F}">
  <ds:schemaRefs>
    <ds:schemaRef ds:uri="http://schemas.openxmlformats.org/officeDocument/2006/bibliography"/>
  </ds:schemaRefs>
</ds:datastoreItem>
</file>

<file path=customXml/itemProps3.xml><?xml version="1.0" encoding="utf-8"?>
<ds:datastoreItem xmlns:ds="http://schemas.openxmlformats.org/officeDocument/2006/customXml" ds:itemID="{F28AB3C1-8212-487B-A53A-0069D0099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29</Pages>
  <Words>10915</Words>
  <Characters>60038</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127</cp:revision>
  <cp:lastPrinted>2023-01-10T21:18:00Z</cp:lastPrinted>
  <dcterms:created xsi:type="dcterms:W3CDTF">2026-08-20T21:34:00Z</dcterms:created>
  <dcterms:modified xsi:type="dcterms:W3CDTF">2026-09-22T14:00:00Z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