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5A838D" w14:textId="77777777" w:rsidR="00C24744" w:rsidRPr="00C24744" w:rsidRDefault="00C24744" w:rsidP="00C24744">
      <w:pPr>
        <w:spacing w:after="0" w:line="276" w:lineRule="auto"/>
        <w:jc w:val="both"/>
        <w:rPr>
          <w:rFonts w:ascii="Verdana" w:eastAsia="Calibri" w:hAnsi="Verdana" w:cs="Arial"/>
          <w:b/>
          <w:bCs/>
          <w:lang w:val="es-ES_tradnl" w:eastAsia="es-MX"/>
        </w:rPr>
      </w:pPr>
      <w:bookmarkStart w:id="0" w:name="_Hlk143780582"/>
      <w:r w:rsidRPr="00C24744">
        <w:rPr>
          <w:rFonts w:ascii="Verdana" w:eastAsia="Calibri" w:hAnsi="Verdana" w:cs="Arial"/>
          <w:b/>
          <w:bCs/>
          <w:lang w:val="es-ES_tradnl" w:eastAsia="es-MX"/>
        </w:rPr>
        <w:t xml:space="preserve">DOCUMENTOS TIPO – Fundamento normativo – Obligatoriedad </w:t>
      </w:r>
    </w:p>
    <w:p w14:paraId="1E756329" w14:textId="77777777" w:rsidR="00C24744" w:rsidRPr="00C24744" w:rsidRDefault="00C24744" w:rsidP="00C24744">
      <w:pPr>
        <w:spacing w:after="0" w:line="276" w:lineRule="auto"/>
        <w:jc w:val="both"/>
        <w:rPr>
          <w:rFonts w:ascii="Verdana" w:eastAsia="Calibri" w:hAnsi="Verdana" w:cs="Arial"/>
          <w:b/>
          <w:bCs/>
          <w:sz w:val="20"/>
          <w:szCs w:val="20"/>
          <w:lang w:val="es-ES_tradnl" w:eastAsia="es-MX"/>
        </w:rPr>
      </w:pPr>
    </w:p>
    <w:p w14:paraId="1869DDF2" w14:textId="77777777" w:rsidR="00C24744" w:rsidRPr="00C24744" w:rsidRDefault="00C24744" w:rsidP="00C24744">
      <w:pPr>
        <w:tabs>
          <w:tab w:val="left" w:pos="709"/>
        </w:tabs>
        <w:spacing w:after="0" w:line="240" w:lineRule="auto"/>
        <w:jc w:val="both"/>
        <w:rPr>
          <w:rFonts w:ascii="Verdana" w:eastAsia="Calibri" w:hAnsi="Verdana" w:cs="Arial"/>
          <w:sz w:val="20"/>
          <w:szCs w:val="20"/>
          <w:lang w:val="es-ES" w:eastAsia="es-MX"/>
        </w:rPr>
      </w:pPr>
      <w:r w:rsidRPr="00C24744">
        <w:rPr>
          <w:rFonts w:ascii="Verdana" w:eastAsia="Calibri" w:hAnsi="Verdana" w:cs="Arial"/>
          <w:sz w:val="20"/>
          <w:szCs w:val="20"/>
          <w:lang w:val="es-ES" w:eastAsia="es-MX"/>
        </w:rPr>
        <w:t>El artículo 1 de la Ley 2022 de 2020 “Por la cual modifica el artículo 4 de la Ley 1882 de 2018 y se dictan otras disposiciones” otorga a la Agencia Nacional de Contratación Pública – Colombia Compra Eficiente la competencia para adoptar los documentos tipo que serán de obligatorio cumplimiento en la actividad contractual de todas las entidades sometidas al Estatuto General de la Administración Pública.</w:t>
      </w:r>
    </w:p>
    <w:p w14:paraId="30745808" w14:textId="77777777" w:rsidR="00C24744" w:rsidRPr="00C24744" w:rsidRDefault="00C24744" w:rsidP="00C24744">
      <w:pPr>
        <w:spacing w:after="0" w:line="276" w:lineRule="auto"/>
        <w:jc w:val="both"/>
        <w:rPr>
          <w:rFonts w:ascii="Verdana" w:eastAsia="Calibri" w:hAnsi="Verdana" w:cs="Arial"/>
          <w:b/>
          <w:bCs/>
          <w:lang w:val="es-ES_tradnl" w:eastAsia="es-MX"/>
        </w:rPr>
      </w:pPr>
    </w:p>
    <w:p w14:paraId="7A61F532" w14:textId="77777777" w:rsidR="00C24744" w:rsidRPr="00C24744" w:rsidRDefault="00C24744" w:rsidP="00C24744">
      <w:pPr>
        <w:widowControl w:val="0"/>
        <w:autoSpaceDE w:val="0"/>
        <w:autoSpaceDN w:val="0"/>
        <w:spacing w:after="0" w:line="276" w:lineRule="auto"/>
        <w:jc w:val="both"/>
        <w:rPr>
          <w:rFonts w:ascii="Verdana" w:eastAsia="Calibri" w:hAnsi="Verdana" w:cs="Times New Roman"/>
          <w:b/>
          <w:bCs/>
          <w:lang w:val="es-ES" w:eastAsia="es-MX"/>
        </w:rPr>
      </w:pPr>
      <w:r w:rsidRPr="00C24744">
        <w:rPr>
          <w:rFonts w:ascii="Verdana" w:eastAsia="Calibri" w:hAnsi="Verdana" w:cs="Arial"/>
          <w:b/>
          <w:bCs/>
          <w:lang w:val="es-ES_tradnl" w:eastAsia="es-MX"/>
        </w:rPr>
        <w:t>SECTOR SOCIAL</w:t>
      </w:r>
      <w:r w:rsidRPr="00C24744">
        <w:rPr>
          <w:rFonts w:ascii="Verdana" w:eastAsia="Calibri" w:hAnsi="Verdana" w:cs="Times New Roman"/>
          <w:lang w:val="es-ES" w:eastAsia="es-MX"/>
        </w:rPr>
        <w:t xml:space="preserve"> </w:t>
      </w:r>
      <w:r w:rsidRPr="00C24744">
        <w:rPr>
          <w:rFonts w:ascii="Verdana" w:eastAsia="Calibri" w:hAnsi="Verdana" w:cs="Times New Roman"/>
          <w:b/>
          <w:bCs/>
          <w:lang w:val="es-ES" w:eastAsia="es-MX"/>
        </w:rPr>
        <w:t>– Documentos tipo – Vigentes</w:t>
      </w:r>
    </w:p>
    <w:p w14:paraId="1B086FE5" w14:textId="77777777" w:rsidR="00C24744" w:rsidRPr="00C24744" w:rsidRDefault="00C24744" w:rsidP="00C24744">
      <w:pPr>
        <w:widowControl w:val="0"/>
        <w:autoSpaceDE w:val="0"/>
        <w:autoSpaceDN w:val="0"/>
        <w:spacing w:after="0" w:line="276" w:lineRule="auto"/>
        <w:jc w:val="both"/>
        <w:rPr>
          <w:rFonts w:ascii="Verdana" w:eastAsia="Calibri" w:hAnsi="Verdana" w:cs="Times New Roman"/>
          <w:b/>
          <w:bCs/>
          <w:lang w:val="es-ES" w:eastAsia="es-MX"/>
        </w:rPr>
      </w:pPr>
    </w:p>
    <w:p w14:paraId="2DB9757D" w14:textId="77777777" w:rsidR="00C24744" w:rsidRPr="00C24744" w:rsidRDefault="00C24744" w:rsidP="00C24744">
      <w:pPr>
        <w:widowControl w:val="0"/>
        <w:autoSpaceDE w:val="0"/>
        <w:autoSpaceDN w:val="0"/>
        <w:spacing w:after="0" w:line="240" w:lineRule="auto"/>
        <w:jc w:val="both"/>
        <w:rPr>
          <w:rFonts w:ascii="Verdana" w:eastAsia="Calibri" w:hAnsi="Verdana" w:cs="Times New Roman"/>
          <w:b/>
          <w:bCs/>
          <w:sz w:val="20"/>
          <w:szCs w:val="20"/>
          <w:lang w:val="es-ES" w:eastAsia="es-MX"/>
        </w:rPr>
      </w:pPr>
      <w:r w:rsidRPr="00C24744">
        <w:rPr>
          <w:rFonts w:ascii="Verdana" w:eastAsia="Aptos" w:hAnsi="Verdana" w:cs="Times New Roman"/>
          <w:sz w:val="20"/>
          <w:szCs w:val="20"/>
          <w:lang w:eastAsia="es-MX"/>
        </w:rPr>
        <w:t xml:space="preserve">Las Resoluciones 539, 540 y 541 del 21 de agosto de 2025, así como las Resoluciones 952 y 953 del 15 de diciembre de 2025, adoptadas en el sector de infraestructura social, aplican de forma transversal a las modalidades de selección indicadas y a los proyectos de infraestructura, interventoría y consultoría enmarcados dentro de los sectores educativo, de salud, cultura, recreación y deporte, institucional y vivienda, en los procesos de selección cuyo aviso de convocatoria se publique a partir del 16 de febrero de 2026. </w:t>
      </w:r>
    </w:p>
    <w:p w14:paraId="3EDD1952" w14:textId="77777777" w:rsidR="00C24744" w:rsidRPr="00C24744" w:rsidRDefault="00C24744" w:rsidP="00C24744">
      <w:pPr>
        <w:widowControl w:val="0"/>
        <w:autoSpaceDE w:val="0"/>
        <w:autoSpaceDN w:val="0"/>
        <w:spacing w:after="0" w:line="276" w:lineRule="auto"/>
        <w:jc w:val="both"/>
        <w:rPr>
          <w:rFonts w:ascii="Verdana" w:eastAsia="Calibri" w:hAnsi="Verdana" w:cs="Times New Roman"/>
          <w:lang w:val="es-ES" w:eastAsia="es-MX"/>
        </w:rPr>
      </w:pPr>
    </w:p>
    <w:p w14:paraId="4321419F" w14:textId="77777777" w:rsidR="00C24744" w:rsidRPr="00C24744" w:rsidRDefault="00C24744" w:rsidP="00C24744">
      <w:pPr>
        <w:spacing w:after="0" w:line="276" w:lineRule="auto"/>
        <w:jc w:val="both"/>
        <w:rPr>
          <w:rFonts w:ascii="Verdana" w:eastAsia="Calibri" w:hAnsi="Verdana" w:cs="Times New Roman"/>
          <w:sz w:val="20"/>
          <w:szCs w:val="20"/>
          <w:lang w:val="es-ES" w:eastAsia="es-MX"/>
        </w:rPr>
      </w:pPr>
      <w:r w:rsidRPr="00C24744">
        <w:rPr>
          <w:rFonts w:ascii="Verdana" w:eastAsia="Calibri" w:hAnsi="Verdana" w:cs="Times New Roman"/>
          <w:b/>
          <w:bCs/>
          <w:lang w:val="es-ES" w:eastAsia="es-MX"/>
        </w:rPr>
        <w:t xml:space="preserve">DOCUMENTOS TIPO – Aplicación – Matriz de Experiencia </w:t>
      </w:r>
    </w:p>
    <w:p w14:paraId="6DDF3AA3" w14:textId="77777777" w:rsidR="00C24744" w:rsidRPr="00C24744" w:rsidRDefault="00C24744" w:rsidP="00C24744">
      <w:pPr>
        <w:spacing w:after="0" w:line="240" w:lineRule="auto"/>
        <w:rPr>
          <w:rFonts w:ascii="Verdana" w:eastAsia="Geomanist Light" w:hAnsi="Verdana" w:cs="Arial"/>
          <w:lang w:val="es-MX" w:eastAsia="es-MX"/>
        </w:rPr>
      </w:pPr>
    </w:p>
    <w:p w14:paraId="27D9832A" w14:textId="77777777" w:rsidR="00C24744" w:rsidRPr="00C24744" w:rsidRDefault="00C24744" w:rsidP="00C24744">
      <w:pPr>
        <w:widowControl w:val="0"/>
        <w:autoSpaceDE w:val="0"/>
        <w:autoSpaceDN w:val="0"/>
        <w:spacing w:after="0" w:line="240" w:lineRule="auto"/>
        <w:jc w:val="both"/>
        <w:rPr>
          <w:rFonts w:ascii="Verdana" w:eastAsia="Calibri" w:hAnsi="Verdana" w:cs="Times New Roman"/>
          <w:sz w:val="20"/>
          <w:szCs w:val="20"/>
          <w:lang w:val="es-ES" w:eastAsia="es-MX"/>
        </w:rPr>
      </w:pPr>
      <w:r w:rsidRPr="00C24744">
        <w:rPr>
          <w:rFonts w:ascii="Verdana" w:eastAsia="Calibri" w:hAnsi="Verdana" w:cs="Times New Roman"/>
          <w:sz w:val="20"/>
          <w:szCs w:val="20"/>
          <w:lang w:val="es-ES" w:eastAsia="es-MX"/>
        </w:rPr>
        <w:t>Para establecer si determinado objeto contractual se encuentra cobijado o no por los documentos tipo, es necesario determinar si el mismo se enmarca en los tipos de infraestructura, modalidades de selección y tipos de obra estandarizadas en las respectivas matrices de experiencia. De esta manera, solo resulta obligatoria la aplicación de un documento tipo en particular cuando se ha establecido que el objeto contractual y la modalidad en la que debe contratarse están dentro del ámbito de aplicación de las resoluciones expedidas por esta Agencia mediante las cuales se adoptan documentos tipo.</w:t>
      </w:r>
    </w:p>
    <w:p w14:paraId="5E89B726" w14:textId="77777777" w:rsidR="00C24744" w:rsidRPr="00C24744" w:rsidRDefault="00C24744" w:rsidP="00C24744">
      <w:pPr>
        <w:widowControl w:val="0"/>
        <w:autoSpaceDE w:val="0"/>
        <w:autoSpaceDN w:val="0"/>
        <w:spacing w:after="0" w:line="240" w:lineRule="auto"/>
        <w:jc w:val="both"/>
        <w:rPr>
          <w:rFonts w:ascii="Verdana" w:eastAsia="Calibri" w:hAnsi="Verdana" w:cs="Times New Roman"/>
          <w:sz w:val="20"/>
          <w:szCs w:val="20"/>
          <w:lang w:val="es-ES" w:eastAsia="es-MX"/>
        </w:rPr>
      </w:pPr>
    </w:p>
    <w:p w14:paraId="6444254A" w14:textId="77777777" w:rsidR="00C24744" w:rsidRPr="00C24744" w:rsidRDefault="00C24744" w:rsidP="00C24744">
      <w:pPr>
        <w:widowControl w:val="0"/>
        <w:autoSpaceDE w:val="0"/>
        <w:autoSpaceDN w:val="0"/>
        <w:spacing w:after="0" w:line="240" w:lineRule="auto"/>
        <w:jc w:val="both"/>
        <w:rPr>
          <w:rFonts w:ascii="Verdana" w:eastAsia="Calibri" w:hAnsi="Verdana" w:cs="Times New Roman"/>
          <w:sz w:val="20"/>
          <w:szCs w:val="20"/>
          <w:lang w:val="es-ES" w:eastAsia="es-MX"/>
        </w:rPr>
      </w:pPr>
      <w:r w:rsidRPr="00C24744">
        <w:rPr>
          <w:rFonts w:ascii="Verdana" w:eastAsia="Calibri" w:hAnsi="Verdana" w:cs="Times New Roman"/>
          <w:sz w:val="20"/>
          <w:szCs w:val="20"/>
          <w:lang w:val="es-ES" w:eastAsia="es-MX"/>
        </w:rPr>
        <w:t>Uno de los elementos comunes a los diferentes documentos tipo es la “Matriz – Experiencia”. Esta consta de unas celdas en las que se describe la experiencia requerida en relación con el objeto a contratar, definiendo además qué tipo de actividades relacionadas con cada sector deben acogerse a los pliegos tipo. Por otro lado, encontramos el “Anexo – Glosario”, el cual contiene las definiciones de los términos usados en los documentos del proceso. Utilizando estos dos documentos, la entidad estatal puede definir si el objeto a contratarse debe emplear los documentos tipo adoptados por esta Agencia.</w:t>
      </w:r>
    </w:p>
    <w:p w14:paraId="255764B9" w14:textId="77777777" w:rsidR="00C24744" w:rsidRPr="00C24744" w:rsidRDefault="00C24744" w:rsidP="00C24744">
      <w:pPr>
        <w:widowControl w:val="0"/>
        <w:autoSpaceDE w:val="0"/>
        <w:autoSpaceDN w:val="0"/>
        <w:spacing w:after="0" w:line="240" w:lineRule="auto"/>
        <w:jc w:val="both"/>
        <w:rPr>
          <w:rFonts w:ascii="Verdana" w:eastAsia="Calibri" w:hAnsi="Verdana" w:cs="Times New Roman"/>
          <w:sz w:val="20"/>
          <w:szCs w:val="20"/>
          <w:lang w:val="es-ES" w:eastAsia="es-MX"/>
        </w:rPr>
      </w:pPr>
    </w:p>
    <w:p w14:paraId="24BFC2B5" w14:textId="77777777" w:rsidR="00C24744" w:rsidRPr="00C24744" w:rsidRDefault="00C24744" w:rsidP="00C24744">
      <w:pPr>
        <w:widowControl w:val="0"/>
        <w:autoSpaceDE w:val="0"/>
        <w:autoSpaceDN w:val="0"/>
        <w:spacing w:after="0" w:line="240" w:lineRule="auto"/>
        <w:jc w:val="both"/>
        <w:rPr>
          <w:rFonts w:ascii="Verdana" w:eastAsia="Calibri" w:hAnsi="Verdana" w:cs="Times New Roman"/>
          <w:b/>
          <w:bCs/>
          <w:lang w:val="es-ES" w:eastAsia="es-MX"/>
        </w:rPr>
      </w:pPr>
      <w:r w:rsidRPr="00C24744">
        <w:rPr>
          <w:rFonts w:ascii="Verdana" w:eastAsia="Calibri" w:hAnsi="Verdana" w:cs="Times New Roman"/>
          <w:b/>
          <w:bCs/>
          <w:lang w:val="es-ES" w:eastAsia="es-MX"/>
        </w:rPr>
        <w:t>DOCUMENTOS TIPO – Sector social – Cultura, recreación y deporte – Tipos de infraestructuras – Matriz 1 – Experiencia</w:t>
      </w:r>
    </w:p>
    <w:p w14:paraId="6B9D67C0" w14:textId="77777777" w:rsidR="00C24744" w:rsidRPr="00C24744" w:rsidRDefault="00C24744" w:rsidP="00C24744">
      <w:pPr>
        <w:widowControl w:val="0"/>
        <w:autoSpaceDE w:val="0"/>
        <w:autoSpaceDN w:val="0"/>
        <w:spacing w:after="0" w:line="240" w:lineRule="auto"/>
        <w:jc w:val="both"/>
        <w:rPr>
          <w:rFonts w:ascii="Verdana" w:eastAsia="Calibri" w:hAnsi="Verdana" w:cs="Times New Roman"/>
          <w:b/>
          <w:bCs/>
          <w:lang w:val="es-ES" w:eastAsia="es-MX"/>
        </w:rPr>
      </w:pPr>
    </w:p>
    <w:p w14:paraId="10A23454" w14:textId="77777777" w:rsidR="00C24744" w:rsidRPr="00C24744" w:rsidRDefault="00C24744" w:rsidP="00C24744">
      <w:pPr>
        <w:spacing w:after="0" w:line="240" w:lineRule="auto"/>
        <w:jc w:val="both"/>
        <w:rPr>
          <w:rFonts w:ascii="Verdana" w:eastAsia="Aptos" w:hAnsi="Verdana" w:cs="Times New Roman"/>
          <w:kern w:val="2"/>
          <w:sz w:val="20"/>
          <w:szCs w:val="20"/>
          <w14:ligatures w14:val="standardContextual"/>
        </w:rPr>
      </w:pPr>
      <w:r w:rsidRPr="00C24744">
        <w:rPr>
          <w:rFonts w:ascii="Verdana" w:eastAsia="Calibri" w:hAnsi="Verdana" w:cs="Times New Roman"/>
          <w:kern w:val="2"/>
          <w:sz w:val="20"/>
          <w:szCs w:val="20"/>
          <w:lang w:val="es-ES" w:eastAsia="es-MX"/>
          <w14:ligatures w14:val="standardContextual"/>
        </w:rPr>
        <w:t xml:space="preserve">La Matriz 1 – Experiencia del Sector Cultura, recreación y deporte, </w:t>
      </w:r>
      <w:r w:rsidRPr="00C24744">
        <w:rPr>
          <w:rFonts w:ascii="Verdana" w:eastAsia="Times New Roman" w:hAnsi="Verdana" w:cs="Times New Roman"/>
          <w:color w:val="000000"/>
          <w:kern w:val="2"/>
          <w:sz w:val="20"/>
          <w:szCs w:val="20"/>
          <w:lang w:eastAsia="es-CO"/>
          <w14:ligatures w14:val="standardContextual"/>
        </w:rPr>
        <w:t xml:space="preserve">en la modalidad de licitación pública, selección abreviada de menor cuantía y mínima cuantía dispone de los siguientes cinco (5) tipos de infraestructura: </w:t>
      </w:r>
      <w:r w:rsidRPr="00C24744">
        <w:rPr>
          <w:rFonts w:ascii="Verdana" w:eastAsia="Arial" w:hAnsi="Verdana" w:cs="Aptos"/>
          <w:kern w:val="2"/>
          <w:sz w:val="20"/>
          <w:szCs w:val="20"/>
          <w:lang w:eastAsia="es-ES"/>
          <w14:ligatures w14:val="standardContextual"/>
        </w:rPr>
        <w:t xml:space="preserve">“1. OBRAS EN INFRAESTRUCTURA </w:t>
      </w:r>
      <w:r w:rsidRPr="00C24744">
        <w:rPr>
          <w:rFonts w:ascii="Verdana" w:eastAsia="Arial" w:hAnsi="Verdana" w:cs="Aptos"/>
          <w:kern w:val="2"/>
          <w:sz w:val="20"/>
          <w:szCs w:val="20"/>
          <w:lang w:eastAsia="es-ES"/>
          <w14:ligatures w14:val="standardContextual"/>
        </w:rPr>
        <w:lastRenderedPageBreak/>
        <w:t>CULTURAL; 2. OBRAS EN INFRAESTRUCTURA RECREO DEPORTIVA; 3. OBRAS EN INFRAESTRUCTURA DEL SECTOR DE CULTURA, RECREACIÓN Y DEPORTE; 4. OBRAS EN BIBLIOTECAS PÚBLICAS; y 5. OBRAS PARA ATENCIÓN, PREVENCIÓN O MITIGACIÓN DE EMERGENCIAS DIFERENTES A CONTRATACIÓN DIRECTA PARA EL SECTOR CULTURA, RECREACIÓN Y DEPORTE”</w:t>
      </w:r>
      <w:r w:rsidRPr="00C24744">
        <w:rPr>
          <w:rFonts w:ascii="Verdana" w:eastAsia="Aptos" w:hAnsi="Verdana" w:cs="Times New Roman"/>
          <w:kern w:val="2"/>
          <w:sz w:val="20"/>
          <w:szCs w:val="20"/>
          <w14:ligatures w14:val="standardContextual"/>
        </w:rPr>
        <w:t>.</w:t>
      </w:r>
    </w:p>
    <w:p w14:paraId="39BE2C7E" w14:textId="77777777" w:rsidR="00C24744" w:rsidRPr="00C24744" w:rsidRDefault="00C24744" w:rsidP="00C24744">
      <w:pPr>
        <w:spacing w:after="0" w:line="240" w:lineRule="auto"/>
        <w:jc w:val="both"/>
        <w:rPr>
          <w:rFonts w:ascii="Arial" w:eastAsia="Calibri" w:hAnsi="Arial" w:cs="Arial"/>
          <w:b/>
          <w:bCs/>
          <w:color w:val="000000"/>
          <w:sz w:val="24"/>
          <w:szCs w:val="24"/>
          <w:lang w:eastAsia="es-MX"/>
        </w:rPr>
      </w:pPr>
    </w:p>
    <w:p w14:paraId="4FBDBD88" w14:textId="77777777" w:rsidR="00C24744" w:rsidRPr="00C24744" w:rsidRDefault="00C24744" w:rsidP="00C24744">
      <w:pPr>
        <w:spacing w:after="0" w:line="240" w:lineRule="auto"/>
        <w:jc w:val="both"/>
        <w:rPr>
          <w:rFonts w:ascii="Verdana" w:eastAsia="Calibri" w:hAnsi="Verdana" w:cs="Arial"/>
          <w:b/>
          <w:bCs/>
          <w:color w:val="000000"/>
          <w:lang w:eastAsia="es-MX"/>
        </w:rPr>
      </w:pPr>
      <w:r w:rsidRPr="00C24744">
        <w:rPr>
          <w:rFonts w:ascii="Verdana" w:eastAsia="Calibri" w:hAnsi="Verdana" w:cs="Arial"/>
          <w:b/>
          <w:bCs/>
          <w:color w:val="000000"/>
          <w:lang w:eastAsia="es-MX"/>
        </w:rPr>
        <w:t>MATRIZ 1 – Experiencia – Experiencia general – Actividad 2.2 – Documentos tipo – Cultura, recreación y deporte – Espacio pública – Parques</w:t>
      </w:r>
    </w:p>
    <w:p w14:paraId="3D1CE97E" w14:textId="77777777" w:rsidR="00C24744" w:rsidRPr="00C24744" w:rsidRDefault="00C24744" w:rsidP="00C24744">
      <w:pPr>
        <w:spacing w:after="0" w:line="240" w:lineRule="auto"/>
        <w:ind w:right="709"/>
        <w:jc w:val="both"/>
        <w:rPr>
          <w:rFonts w:ascii="Verdana" w:eastAsia="Times New Roman" w:hAnsi="Verdana" w:cs="Times New Roman"/>
          <w:color w:val="000000"/>
          <w:sz w:val="20"/>
          <w:szCs w:val="20"/>
          <w:lang w:eastAsia="es-CO"/>
        </w:rPr>
      </w:pPr>
    </w:p>
    <w:p w14:paraId="19364D82" w14:textId="77777777" w:rsidR="00C24744" w:rsidRPr="00C24744" w:rsidRDefault="00C24744" w:rsidP="00C24744">
      <w:pPr>
        <w:spacing w:after="0" w:line="240" w:lineRule="auto"/>
        <w:jc w:val="both"/>
        <w:rPr>
          <w:rFonts w:ascii="Verdana" w:eastAsia="Arial" w:hAnsi="Verdana" w:cs="Arial"/>
          <w:sz w:val="20"/>
          <w:szCs w:val="20"/>
          <w:lang w:eastAsia="es-MX"/>
        </w:rPr>
      </w:pPr>
      <w:r w:rsidRPr="00C24744">
        <w:rPr>
          <w:rFonts w:ascii="Verdana" w:eastAsia="Arial" w:hAnsi="Verdana" w:cs="Arial"/>
          <w:sz w:val="20"/>
          <w:szCs w:val="20"/>
          <w:lang w:eastAsia="es-MX"/>
        </w:rPr>
        <w:t>Como se aprecia, la experiencia general de la actividad 2.2 se acredita mediante contratos que contengan proyectos que correspondan y/o hayan contenido una y/o algunas de las actividades de construcción, ampliación, reconstrucción, adecuación, conservación, intervención, instalación, mantenimiento, mejoramiento, modificación u optimización, rehabilitación, remodelación, reposición, reparación locativa, restauración, restitución y/o terminación, cualquiera de estas sobre parques y/o espacio público.</w:t>
      </w:r>
    </w:p>
    <w:p w14:paraId="534839AF" w14:textId="77777777" w:rsidR="00C24744" w:rsidRPr="00C24744" w:rsidRDefault="00C24744" w:rsidP="00C24744">
      <w:pPr>
        <w:spacing w:after="0" w:line="240" w:lineRule="auto"/>
        <w:jc w:val="both"/>
        <w:rPr>
          <w:rFonts w:ascii="Verdana" w:eastAsia="Arial" w:hAnsi="Verdana" w:cs="Arial"/>
          <w:sz w:val="20"/>
          <w:szCs w:val="20"/>
          <w:lang w:eastAsia="es-MX"/>
        </w:rPr>
      </w:pPr>
    </w:p>
    <w:p w14:paraId="14D9D707" w14:textId="77777777" w:rsidR="00C24744" w:rsidRPr="00C24744" w:rsidRDefault="00C24744" w:rsidP="00C24744">
      <w:pPr>
        <w:spacing w:after="0" w:line="240" w:lineRule="auto"/>
        <w:jc w:val="both"/>
        <w:rPr>
          <w:rFonts w:ascii="Verdana" w:eastAsia="Arial" w:hAnsi="Verdana" w:cs="Arial"/>
          <w:sz w:val="20"/>
          <w:szCs w:val="20"/>
          <w:lang w:eastAsia="es-MX"/>
        </w:rPr>
      </w:pPr>
      <w:r w:rsidRPr="00C24744">
        <w:rPr>
          <w:rFonts w:ascii="Verdana" w:eastAsia="Arial" w:hAnsi="Verdana" w:cs="Arial"/>
          <w:sz w:val="20"/>
          <w:szCs w:val="20"/>
          <w:lang w:eastAsia="es-MX"/>
        </w:rPr>
        <w:t>(…)</w:t>
      </w:r>
    </w:p>
    <w:p w14:paraId="041AE2F7" w14:textId="77777777" w:rsidR="00C24744" w:rsidRPr="00C24744" w:rsidRDefault="00C24744" w:rsidP="00C24744">
      <w:pPr>
        <w:spacing w:after="0" w:line="240" w:lineRule="auto"/>
        <w:jc w:val="both"/>
        <w:rPr>
          <w:rFonts w:ascii="Verdana" w:eastAsia="Arial" w:hAnsi="Verdana" w:cs="Arial"/>
          <w:sz w:val="20"/>
          <w:szCs w:val="20"/>
          <w:lang w:eastAsia="es-MX"/>
        </w:rPr>
      </w:pPr>
    </w:p>
    <w:p w14:paraId="1681D2C8" w14:textId="77777777" w:rsidR="00C24744" w:rsidRPr="00C24744" w:rsidRDefault="00C24744" w:rsidP="00C24744">
      <w:pPr>
        <w:spacing w:after="0" w:line="240" w:lineRule="auto"/>
        <w:jc w:val="both"/>
        <w:rPr>
          <w:rFonts w:ascii="Verdana" w:eastAsia="Arial" w:hAnsi="Verdana" w:cs="Arial"/>
          <w:sz w:val="20"/>
          <w:szCs w:val="20"/>
          <w:lang w:eastAsia="es-MX"/>
        </w:rPr>
      </w:pPr>
      <w:r w:rsidRPr="00C24744">
        <w:rPr>
          <w:rFonts w:ascii="Verdana" w:eastAsia="Arial" w:hAnsi="Verdana" w:cs="Arial"/>
          <w:sz w:val="20"/>
          <w:szCs w:val="20"/>
          <w:lang w:eastAsia="es-MX"/>
        </w:rPr>
        <w:t>Ahora bien, para interpretar el alcance del tipo de infraestructura sobre el que deben recaer las actividades señaladas, esto es, “parques y/o espacio público”, debe tenerse en cuenta la nota general 1 de la Matriz 1 – Experiencia de los documentos tipo complementarios del sector cultura, recreación y deporte, en las distintas modalidades de selección adoptadas por esta Agencia. En ella se indica que “(l)as definiciones contenidas en esta Matriz deben enmarcarse en la normativa vigente en la materia, así como en la NSR 10 o aquellas que los modifiquen, adicionen o sustituyan, así como a las definiciones contenidas en el “Anexo - Glosario del Sector Social””.</w:t>
      </w:r>
    </w:p>
    <w:p w14:paraId="0D800D37" w14:textId="77777777" w:rsidR="00C24744" w:rsidRPr="00C24744" w:rsidRDefault="00C24744" w:rsidP="00C24744">
      <w:pPr>
        <w:spacing w:after="0" w:line="240" w:lineRule="auto"/>
        <w:jc w:val="both"/>
        <w:rPr>
          <w:rFonts w:ascii="Verdana" w:eastAsia="Arial" w:hAnsi="Verdana" w:cs="Arial"/>
          <w:sz w:val="20"/>
          <w:szCs w:val="20"/>
          <w:lang w:eastAsia="es-MX"/>
        </w:rPr>
      </w:pPr>
    </w:p>
    <w:p w14:paraId="0487A032" w14:textId="77777777" w:rsidR="00C24744" w:rsidRPr="00C24744" w:rsidRDefault="00C24744" w:rsidP="00C24744">
      <w:pPr>
        <w:spacing w:after="0" w:line="240" w:lineRule="auto"/>
        <w:jc w:val="both"/>
        <w:rPr>
          <w:rFonts w:ascii="Verdana" w:eastAsia="Arial" w:hAnsi="Verdana" w:cs="Arial"/>
          <w:sz w:val="20"/>
          <w:szCs w:val="20"/>
          <w:lang w:eastAsia="es-MX"/>
        </w:rPr>
      </w:pPr>
      <w:r w:rsidRPr="00C24744">
        <w:rPr>
          <w:rFonts w:ascii="Verdana" w:eastAsia="Arial" w:hAnsi="Verdana" w:cs="Arial"/>
          <w:sz w:val="20"/>
          <w:szCs w:val="20"/>
          <w:lang w:eastAsia="es-MX"/>
        </w:rPr>
        <w:t>En este sentido, el Anexo 5 – Glosario de los documentos tipo de licitación de obra pública de infraestructura social – versión 2, en su numeral 2.87, define el espacio público en los siguientes términos:</w:t>
      </w:r>
    </w:p>
    <w:p w14:paraId="62194DE4" w14:textId="77777777" w:rsidR="00C24744" w:rsidRPr="00C24744" w:rsidRDefault="00C24744" w:rsidP="00C24744">
      <w:pPr>
        <w:spacing w:after="0" w:line="240" w:lineRule="auto"/>
        <w:jc w:val="both"/>
        <w:rPr>
          <w:rFonts w:ascii="Verdana" w:eastAsia="Arial" w:hAnsi="Verdana" w:cs="Arial"/>
          <w:sz w:val="20"/>
          <w:szCs w:val="20"/>
          <w:lang w:eastAsia="es-MX"/>
        </w:rPr>
      </w:pPr>
    </w:p>
    <w:p w14:paraId="7FCE18B6" w14:textId="77777777" w:rsidR="00C24744" w:rsidRPr="00C24744" w:rsidRDefault="00C24744" w:rsidP="00C24744">
      <w:pPr>
        <w:spacing w:after="0" w:line="240" w:lineRule="auto"/>
        <w:jc w:val="both"/>
        <w:rPr>
          <w:rFonts w:ascii="Verdana" w:eastAsia="Arial" w:hAnsi="Verdana" w:cs="Arial"/>
          <w:sz w:val="20"/>
          <w:szCs w:val="20"/>
          <w:lang w:eastAsia="es-MX"/>
        </w:rPr>
      </w:pPr>
      <w:r w:rsidRPr="00C24744">
        <w:rPr>
          <w:rFonts w:ascii="Verdana" w:eastAsia="Arial" w:hAnsi="Verdana" w:cs="Arial"/>
          <w:sz w:val="20"/>
          <w:szCs w:val="20"/>
          <w:lang w:eastAsia="es-MX"/>
        </w:rPr>
        <w:t>(…)</w:t>
      </w:r>
    </w:p>
    <w:p w14:paraId="20970C1C" w14:textId="77777777" w:rsidR="00C24744" w:rsidRPr="00C24744" w:rsidRDefault="00C24744" w:rsidP="00C24744">
      <w:pPr>
        <w:spacing w:after="0" w:line="240" w:lineRule="auto"/>
        <w:jc w:val="both"/>
        <w:rPr>
          <w:rFonts w:ascii="Verdana" w:eastAsia="Arial" w:hAnsi="Verdana" w:cs="Arial"/>
          <w:sz w:val="20"/>
          <w:szCs w:val="20"/>
          <w:lang w:eastAsia="es-MX"/>
        </w:rPr>
      </w:pPr>
    </w:p>
    <w:p w14:paraId="5DB849BD" w14:textId="77777777" w:rsidR="00C24744" w:rsidRPr="00C24744" w:rsidRDefault="00C24744" w:rsidP="00C24744">
      <w:pPr>
        <w:spacing w:after="0" w:line="240" w:lineRule="auto"/>
        <w:jc w:val="both"/>
        <w:rPr>
          <w:rFonts w:ascii="Verdana" w:eastAsia="Arial" w:hAnsi="Verdana" w:cs="Arial"/>
          <w:sz w:val="20"/>
          <w:szCs w:val="20"/>
          <w:lang w:eastAsia="es-MX"/>
        </w:rPr>
      </w:pPr>
      <w:r w:rsidRPr="00C24744">
        <w:rPr>
          <w:rFonts w:ascii="Verdana" w:eastAsia="Arial" w:hAnsi="Verdana" w:cs="Arial"/>
          <w:sz w:val="20"/>
          <w:szCs w:val="20"/>
          <w:lang w:eastAsia="es-MX"/>
        </w:rPr>
        <w:t>Por su parte, los numerales 3.84 a 3.87 del Anexo 5 – Glosario definen la noción de parques en los siguientes términos:</w:t>
      </w:r>
    </w:p>
    <w:p w14:paraId="01F1C103" w14:textId="77777777" w:rsidR="00C24744" w:rsidRPr="00C24744" w:rsidRDefault="00C24744" w:rsidP="00C24744">
      <w:pPr>
        <w:spacing w:after="0" w:line="240" w:lineRule="auto"/>
        <w:jc w:val="both"/>
        <w:rPr>
          <w:rFonts w:ascii="Verdana" w:eastAsia="Arial" w:hAnsi="Verdana" w:cs="Arial"/>
          <w:sz w:val="20"/>
          <w:szCs w:val="20"/>
          <w:lang w:eastAsia="es-MX"/>
        </w:rPr>
      </w:pPr>
    </w:p>
    <w:p w14:paraId="32865267" w14:textId="77777777" w:rsidR="00C24744" w:rsidRPr="00C24744" w:rsidRDefault="00C24744" w:rsidP="00C24744">
      <w:pPr>
        <w:spacing w:after="0" w:line="240" w:lineRule="auto"/>
        <w:ind w:right="851"/>
        <w:jc w:val="both"/>
        <w:rPr>
          <w:rFonts w:ascii="Verdana" w:eastAsia="Arial" w:hAnsi="Verdana" w:cs="Arial"/>
          <w:sz w:val="20"/>
          <w:szCs w:val="20"/>
          <w:lang w:eastAsia="es-MX"/>
        </w:rPr>
      </w:pPr>
      <w:r w:rsidRPr="00C24744">
        <w:rPr>
          <w:rFonts w:ascii="Verdana" w:eastAsia="Arial" w:hAnsi="Verdana" w:cs="Arial"/>
          <w:sz w:val="20"/>
          <w:szCs w:val="20"/>
          <w:lang w:eastAsia="es-MX"/>
        </w:rPr>
        <w:t>(…)</w:t>
      </w:r>
    </w:p>
    <w:p w14:paraId="661409BE" w14:textId="77777777" w:rsidR="00C24744" w:rsidRPr="00C24744" w:rsidRDefault="00C24744" w:rsidP="00C24744">
      <w:pPr>
        <w:spacing w:after="0" w:line="240" w:lineRule="auto"/>
        <w:jc w:val="both"/>
        <w:rPr>
          <w:rFonts w:ascii="Verdana" w:eastAsia="Arial" w:hAnsi="Verdana" w:cs="Arial"/>
          <w:sz w:val="20"/>
          <w:szCs w:val="20"/>
          <w:lang w:eastAsia="es-MX"/>
        </w:rPr>
      </w:pPr>
    </w:p>
    <w:p w14:paraId="29C6A414" w14:textId="77777777" w:rsidR="00C24744" w:rsidRPr="00C24744" w:rsidRDefault="00C24744" w:rsidP="00C24744">
      <w:pPr>
        <w:spacing w:after="0" w:line="240" w:lineRule="auto"/>
        <w:jc w:val="both"/>
        <w:rPr>
          <w:rFonts w:ascii="Verdana" w:eastAsia="Arial" w:hAnsi="Verdana" w:cs="Arial"/>
          <w:sz w:val="20"/>
          <w:szCs w:val="20"/>
          <w:lang w:eastAsia="es-MX"/>
        </w:rPr>
      </w:pPr>
      <w:r w:rsidRPr="00C24744">
        <w:rPr>
          <w:rFonts w:ascii="Verdana" w:eastAsia="Arial" w:hAnsi="Verdana" w:cs="Arial"/>
          <w:sz w:val="20"/>
          <w:szCs w:val="20"/>
          <w:lang w:eastAsia="es-MX"/>
        </w:rPr>
        <w:t xml:space="preserve">De las definiciones transcritas se desprenden varias consecuencias relevantes para la verificación de la experiencia. En primer lugar, el parque es una especie dentro del género del espacio público: el numeral 3.84 lo define como un conjunto de “(á)reas libres públicas” destinadas “a la recreación, esparcimiento y el ocio”, lo que reproduce los mismos elementos de la definición del numeral 2.87, esto es, el carácter público del área y su destinación al disfrute colectivo. En segundo lugar, el glosario no reduce el </w:t>
      </w:r>
      <w:r w:rsidRPr="00C24744">
        <w:rPr>
          <w:rFonts w:ascii="Verdana" w:eastAsia="Arial" w:hAnsi="Verdana" w:cs="Arial"/>
          <w:sz w:val="20"/>
          <w:szCs w:val="20"/>
          <w:lang w:eastAsia="es-MX"/>
        </w:rPr>
        <w:lastRenderedPageBreak/>
        <w:t>parque a las zonas verdes o arborizadas, pues el numeral 3.85 reconoce expresamente los “Parques de Recreación Activa”, en los que “el área destinada a la recreación activa es superior al 30%” y en los cuales “la cantidad de áreas verdes es reducida”. Desde el punto de vista técnico, la recreación activa comprende las áreas dotadas para la práctica deportiva y la actividad física, como canchas múltiples, placas polideportivas, pistas, graderías y zonas de juego, de manera que un área libre pública conformada predominantemente por este tipo de infraestructura también es, a la luz del documento tipo, un parque. En tercer lugar, el numeral 3.87 admite los parques con vocación mixta, en los que conviven áreas de recreación activa y pasiva, lo que confirma que la presencia de escenarios deportivos o de áreas duras no desnaturaliza la condición de parque.</w:t>
      </w:r>
    </w:p>
    <w:p w14:paraId="449155E0" w14:textId="77777777" w:rsidR="00C24744" w:rsidRPr="00C24744" w:rsidRDefault="00C24744" w:rsidP="00C24744">
      <w:pPr>
        <w:spacing w:after="0" w:line="276" w:lineRule="auto"/>
        <w:jc w:val="both"/>
        <w:rPr>
          <w:rFonts w:ascii="Verdana" w:eastAsia="Calibri" w:hAnsi="Verdana" w:cs="Arial"/>
          <w:b/>
          <w:bCs/>
          <w:lang w:val="es-ES_tradnl" w:eastAsia="es-MX"/>
        </w:rPr>
      </w:pPr>
    </w:p>
    <w:p w14:paraId="16985E93" w14:textId="77777777" w:rsidR="00C24744" w:rsidRPr="00C24744" w:rsidRDefault="00C24744" w:rsidP="00C24744">
      <w:pPr>
        <w:spacing w:after="120" w:line="276" w:lineRule="auto"/>
        <w:jc w:val="both"/>
        <w:rPr>
          <w:rFonts w:ascii="Verdana" w:eastAsia="Arial" w:hAnsi="Verdana" w:cs="Arial"/>
          <w:lang w:eastAsia="es-ES_tradnl"/>
        </w:rPr>
      </w:pPr>
    </w:p>
    <w:p w14:paraId="6E70EBF7" w14:textId="77777777" w:rsidR="00C24744" w:rsidRPr="00C24744" w:rsidRDefault="00C24744" w:rsidP="00C24744">
      <w:pPr>
        <w:spacing w:after="0" w:line="276" w:lineRule="auto"/>
        <w:ind w:firstLine="708"/>
        <w:jc w:val="both"/>
        <w:rPr>
          <w:rFonts w:ascii="Verdana" w:eastAsia="Arial" w:hAnsi="Verdana" w:cs="Arial"/>
          <w:lang w:val="es-ES" w:eastAsia="es-ES_tradnl"/>
        </w:rPr>
      </w:pPr>
    </w:p>
    <w:p w14:paraId="7D195644" w14:textId="77777777" w:rsidR="00C24744" w:rsidRPr="00C24744" w:rsidRDefault="00C24744" w:rsidP="00C24744">
      <w:pPr>
        <w:spacing w:after="0" w:line="240" w:lineRule="auto"/>
        <w:jc w:val="both"/>
        <w:rPr>
          <w:rFonts w:ascii="Verdana" w:eastAsia="Calibri" w:hAnsi="Verdana" w:cs="Arial"/>
          <w:sz w:val="20"/>
          <w:szCs w:val="20"/>
          <w:lang w:eastAsia="es-MX"/>
        </w:rPr>
      </w:pPr>
    </w:p>
    <w:p w14:paraId="500F725A" w14:textId="77777777" w:rsidR="00C24744" w:rsidRPr="00C24744" w:rsidRDefault="00C24744" w:rsidP="00C24744">
      <w:pPr>
        <w:spacing w:after="0" w:line="240" w:lineRule="auto"/>
        <w:jc w:val="both"/>
        <w:rPr>
          <w:rFonts w:ascii="Verdana" w:eastAsia="Calibri" w:hAnsi="Verdana" w:cs="Arial"/>
          <w:sz w:val="20"/>
          <w:szCs w:val="20"/>
          <w:lang w:val="es-ES" w:eastAsia="es-MX"/>
        </w:rPr>
      </w:pPr>
    </w:p>
    <w:p w14:paraId="7BA2C613" w14:textId="77777777" w:rsidR="00C24744" w:rsidRPr="00C24744" w:rsidRDefault="00C24744" w:rsidP="00C24744">
      <w:pPr>
        <w:spacing w:after="0" w:line="240" w:lineRule="auto"/>
        <w:jc w:val="both"/>
        <w:rPr>
          <w:rFonts w:ascii="Verdana" w:eastAsia="Calibri" w:hAnsi="Verdana" w:cs="Arial"/>
          <w:sz w:val="20"/>
          <w:szCs w:val="20"/>
          <w:lang w:val="es-ES" w:eastAsia="es-MX"/>
        </w:rPr>
      </w:pPr>
    </w:p>
    <w:p w14:paraId="2E95CFDF" w14:textId="77777777" w:rsidR="00C24744" w:rsidRPr="00C24744" w:rsidRDefault="00C24744" w:rsidP="00C24744">
      <w:pPr>
        <w:spacing w:after="0" w:line="240" w:lineRule="auto"/>
        <w:jc w:val="both"/>
        <w:rPr>
          <w:rFonts w:ascii="Verdana" w:eastAsia="Calibri" w:hAnsi="Verdana" w:cs="Arial"/>
          <w:sz w:val="20"/>
          <w:szCs w:val="20"/>
          <w:lang w:val="es-ES" w:eastAsia="es-MX"/>
        </w:rPr>
      </w:pPr>
    </w:p>
    <w:p w14:paraId="44547959" w14:textId="77777777" w:rsidR="00C24744" w:rsidRPr="00C24744" w:rsidRDefault="00C24744" w:rsidP="00C24744">
      <w:pPr>
        <w:spacing w:after="0" w:line="240" w:lineRule="auto"/>
        <w:jc w:val="both"/>
        <w:rPr>
          <w:rFonts w:ascii="Verdana" w:eastAsia="Calibri" w:hAnsi="Verdana" w:cs="Arial"/>
          <w:sz w:val="20"/>
          <w:szCs w:val="20"/>
          <w:lang w:val="es-ES" w:eastAsia="es-MX"/>
        </w:rPr>
      </w:pPr>
    </w:p>
    <w:p w14:paraId="77C03547" w14:textId="77777777" w:rsidR="00C24744" w:rsidRPr="00C24744" w:rsidRDefault="00C24744" w:rsidP="00C24744">
      <w:pPr>
        <w:spacing w:after="0" w:line="240" w:lineRule="auto"/>
        <w:jc w:val="both"/>
        <w:rPr>
          <w:rFonts w:ascii="Verdana" w:eastAsia="Calibri" w:hAnsi="Verdana" w:cs="Arial"/>
          <w:sz w:val="20"/>
          <w:szCs w:val="20"/>
          <w:lang w:val="es-ES" w:eastAsia="es-MX"/>
        </w:rPr>
      </w:pPr>
    </w:p>
    <w:p w14:paraId="23C8DEDA" w14:textId="77777777" w:rsidR="00C24744" w:rsidRPr="00C24744" w:rsidRDefault="00C24744" w:rsidP="00C24744">
      <w:pPr>
        <w:spacing w:after="0" w:line="240" w:lineRule="auto"/>
        <w:jc w:val="both"/>
        <w:rPr>
          <w:rFonts w:ascii="Verdana" w:eastAsia="Calibri" w:hAnsi="Verdana" w:cs="Arial"/>
          <w:sz w:val="20"/>
          <w:szCs w:val="20"/>
          <w:lang w:val="es-ES" w:eastAsia="es-MX"/>
        </w:rPr>
      </w:pPr>
    </w:p>
    <w:p w14:paraId="6C1A26FC" w14:textId="77777777" w:rsidR="00C24744" w:rsidRPr="00C24744" w:rsidRDefault="00C24744" w:rsidP="00C24744">
      <w:pPr>
        <w:spacing w:after="0" w:line="240" w:lineRule="auto"/>
        <w:jc w:val="both"/>
        <w:rPr>
          <w:rFonts w:ascii="Verdana" w:eastAsia="Calibri" w:hAnsi="Verdana" w:cs="Arial"/>
          <w:sz w:val="20"/>
          <w:szCs w:val="20"/>
          <w:lang w:val="es-ES" w:eastAsia="es-MX"/>
        </w:rPr>
      </w:pPr>
    </w:p>
    <w:p w14:paraId="425690ED" w14:textId="77777777" w:rsidR="00C24744" w:rsidRPr="00C24744" w:rsidRDefault="00C24744" w:rsidP="00C24744">
      <w:pPr>
        <w:spacing w:after="0" w:line="240" w:lineRule="auto"/>
        <w:jc w:val="both"/>
        <w:rPr>
          <w:rFonts w:ascii="Verdana" w:eastAsia="Calibri" w:hAnsi="Verdana" w:cs="Arial"/>
          <w:sz w:val="20"/>
          <w:szCs w:val="20"/>
          <w:lang w:val="es-ES" w:eastAsia="es-MX"/>
        </w:rPr>
      </w:pPr>
    </w:p>
    <w:p w14:paraId="0E02A5D9" w14:textId="77777777" w:rsidR="00C24744" w:rsidRPr="00C24744" w:rsidRDefault="00C24744" w:rsidP="00C24744">
      <w:pPr>
        <w:spacing w:after="0" w:line="240" w:lineRule="auto"/>
        <w:jc w:val="both"/>
        <w:rPr>
          <w:rFonts w:ascii="Verdana" w:eastAsia="Calibri" w:hAnsi="Verdana" w:cs="Arial"/>
          <w:sz w:val="20"/>
          <w:szCs w:val="20"/>
          <w:lang w:val="es-ES" w:eastAsia="es-MX"/>
        </w:rPr>
      </w:pPr>
    </w:p>
    <w:p w14:paraId="16A12FD4" w14:textId="77777777" w:rsidR="00C24744" w:rsidRPr="00C24744" w:rsidRDefault="00C24744" w:rsidP="00C24744">
      <w:pPr>
        <w:spacing w:after="0" w:line="240" w:lineRule="auto"/>
        <w:jc w:val="both"/>
        <w:rPr>
          <w:rFonts w:ascii="Verdana" w:eastAsia="Calibri" w:hAnsi="Verdana" w:cs="Arial"/>
          <w:sz w:val="20"/>
          <w:szCs w:val="20"/>
          <w:lang w:val="es-ES" w:eastAsia="es-MX"/>
        </w:rPr>
      </w:pPr>
    </w:p>
    <w:p w14:paraId="40B4A21F" w14:textId="77777777" w:rsidR="00C24744" w:rsidRPr="00C24744" w:rsidRDefault="00C24744" w:rsidP="00C24744">
      <w:pPr>
        <w:spacing w:after="0" w:line="240" w:lineRule="auto"/>
        <w:jc w:val="both"/>
        <w:rPr>
          <w:rFonts w:ascii="Verdana" w:eastAsia="Calibri" w:hAnsi="Verdana" w:cs="Arial"/>
          <w:sz w:val="20"/>
          <w:szCs w:val="20"/>
          <w:lang w:val="es-ES" w:eastAsia="es-MX"/>
        </w:rPr>
      </w:pPr>
    </w:p>
    <w:p w14:paraId="6CBC4B63" w14:textId="77777777" w:rsidR="00C24744" w:rsidRPr="00C24744" w:rsidRDefault="00C24744" w:rsidP="00C24744">
      <w:pPr>
        <w:spacing w:after="0" w:line="240" w:lineRule="auto"/>
        <w:jc w:val="both"/>
        <w:rPr>
          <w:rFonts w:ascii="Verdana" w:eastAsia="Calibri" w:hAnsi="Verdana" w:cs="Arial"/>
          <w:sz w:val="20"/>
          <w:szCs w:val="20"/>
          <w:lang w:val="es-ES" w:eastAsia="es-MX"/>
        </w:rPr>
      </w:pPr>
    </w:p>
    <w:p w14:paraId="0EA503CA" w14:textId="77777777" w:rsidR="00C24744" w:rsidRPr="00C24744" w:rsidRDefault="00C24744" w:rsidP="00C24744">
      <w:pPr>
        <w:spacing w:after="0" w:line="240" w:lineRule="auto"/>
        <w:jc w:val="both"/>
        <w:rPr>
          <w:rFonts w:ascii="Verdana" w:eastAsia="Calibri" w:hAnsi="Verdana" w:cs="Arial"/>
          <w:sz w:val="20"/>
          <w:szCs w:val="20"/>
          <w:lang w:val="es-ES" w:eastAsia="es-MX"/>
        </w:rPr>
      </w:pPr>
    </w:p>
    <w:p w14:paraId="6B8F025E" w14:textId="77777777" w:rsidR="00C24744" w:rsidRPr="00C24744" w:rsidRDefault="00C24744" w:rsidP="00C24744">
      <w:pPr>
        <w:spacing w:after="0" w:line="240" w:lineRule="auto"/>
        <w:jc w:val="both"/>
        <w:rPr>
          <w:rFonts w:ascii="Verdana" w:eastAsia="Calibri" w:hAnsi="Verdana" w:cs="Arial"/>
          <w:sz w:val="20"/>
          <w:szCs w:val="20"/>
          <w:lang w:val="es-ES" w:eastAsia="es-MX"/>
        </w:rPr>
      </w:pPr>
    </w:p>
    <w:p w14:paraId="685AD3DF" w14:textId="77777777" w:rsidR="00C24744" w:rsidRPr="00C24744" w:rsidRDefault="00C24744" w:rsidP="00C24744">
      <w:pPr>
        <w:spacing w:after="0" w:line="240" w:lineRule="auto"/>
        <w:jc w:val="both"/>
        <w:rPr>
          <w:rFonts w:ascii="Verdana" w:eastAsia="Calibri" w:hAnsi="Verdana" w:cs="Arial"/>
          <w:sz w:val="20"/>
          <w:szCs w:val="20"/>
          <w:lang w:val="es-ES" w:eastAsia="es-MX"/>
        </w:rPr>
      </w:pPr>
    </w:p>
    <w:p w14:paraId="7F7EF849" w14:textId="77777777" w:rsidR="00C24744" w:rsidRPr="00C24744" w:rsidRDefault="00C24744" w:rsidP="00C24744">
      <w:pPr>
        <w:spacing w:after="0" w:line="240" w:lineRule="auto"/>
        <w:jc w:val="both"/>
        <w:rPr>
          <w:rFonts w:ascii="Verdana" w:eastAsia="Calibri" w:hAnsi="Verdana" w:cs="Arial"/>
          <w:sz w:val="20"/>
          <w:szCs w:val="20"/>
          <w:lang w:val="es-ES" w:eastAsia="es-MX"/>
        </w:rPr>
      </w:pPr>
    </w:p>
    <w:p w14:paraId="45080666" w14:textId="77777777" w:rsidR="00C24744" w:rsidRPr="00C24744" w:rsidRDefault="00C24744" w:rsidP="00C24744">
      <w:pPr>
        <w:spacing w:after="0" w:line="240" w:lineRule="auto"/>
        <w:jc w:val="both"/>
        <w:rPr>
          <w:rFonts w:ascii="Verdana" w:eastAsia="Calibri" w:hAnsi="Verdana" w:cs="Arial"/>
          <w:sz w:val="20"/>
          <w:szCs w:val="20"/>
          <w:lang w:val="es-ES" w:eastAsia="es-MX"/>
        </w:rPr>
      </w:pPr>
    </w:p>
    <w:p w14:paraId="5FEA56E3" w14:textId="77777777" w:rsidR="00C24744" w:rsidRPr="00C24744" w:rsidRDefault="00C24744" w:rsidP="00C24744">
      <w:pPr>
        <w:spacing w:after="0" w:line="240" w:lineRule="auto"/>
        <w:jc w:val="both"/>
        <w:rPr>
          <w:rFonts w:ascii="Verdana" w:eastAsia="Calibri" w:hAnsi="Verdana" w:cs="Arial"/>
          <w:sz w:val="20"/>
          <w:szCs w:val="20"/>
          <w:lang w:val="es-ES" w:eastAsia="es-MX"/>
        </w:rPr>
      </w:pPr>
    </w:p>
    <w:p w14:paraId="3C142885" w14:textId="77777777" w:rsidR="00C24744" w:rsidRPr="00C24744" w:rsidRDefault="00C24744" w:rsidP="00C24744">
      <w:pPr>
        <w:spacing w:after="0" w:line="240" w:lineRule="auto"/>
        <w:jc w:val="both"/>
        <w:rPr>
          <w:rFonts w:ascii="Verdana" w:eastAsia="Calibri" w:hAnsi="Verdana" w:cs="Arial"/>
          <w:sz w:val="20"/>
          <w:szCs w:val="20"/>
          <w:lang w:val="es-ES" w:eastAsia="es-MX"/>
        </w:rPr>
      </w:pPr>
    </w:p>
    <w:p w14:paraId="6C6338ED" w14:textId="77777777" w:rsidR="00C24744" w:rsidRPr="00C24744" w:rsidRDefault="00C24744" w:rsidP="00C24744">
      <w:pPr>
        <w:spacing w:after="0" w:line="240" w:lineRule="auto"/>
        <w:jc w:val="both"/>
        <w:rPr>
          <w:rFonts w:ascii="Verdana" w:eastAsia="Calibri" w:hAnsi="Verdana" w:cs="Arial"/>
          <w:sz w:val="20"/>
          <w:szCs w:val="20"/>
          <w:lang w:val="es-ES" w:eastAsia="es-MX"/>
        </w:rPr>
      </w:pPr>
    </w:p>
    <w:p w14:paraId="358BC84C" w14:textId="77777777" w:rsidR="00C24744" w:rsidRPr="00C24744" w:rsidRDefault="00C24744" w:rsidP="00C24744">
      <w:pPr>
        <w:spacing w:after="0" w:line="240" w:lineRule="auto"/>
        <w:jc w:val="both"/>
        <w:rPr>
          <w:rFonts w:ascii="Verdana" w:eastAsia="Calibri" w:hAnsi="Verdana" w:cs="Arial"/>
          <w:sz w:val="20"/>
          <w:szCs w:val="20"/>
          <w:lang w:val="es-ES" w:eastAsia="es-MX"/>
        </w:rPr>
      </w:pPr>
    </w:p>
    <w:p w14:paraId="4E8FCA2D" w14:textId="77777777" w:rsidR="00C24744" w:rsidRPr="00C24744" w:rsidRDefault="00C24744" w:rsidP="00C24744">
      <w:pPr>
        <w:spacing w:after="0" w:line="240" w:lineRule="auto"/>
        <w:jc w:val="both"/>
        <w:rPr>
          <w:rFonts w:ascii="Verdana" w:eastAsia="Calibri" w:hAnsi="Verdana" w:cs="Arial"/>
          <w:sz w:val="20"/>
          <w:szCs w:val="20"/>
          <w:lang w:val="es-ES" w:eastAsia="es-MX"/>
        </w:rPr>
      </w:pPr>
    </w:p>
    <w:p w14:paraId="7D4BED85" w14:textId="77777777" w:rsidR="00C24744" w:rsidRPr="00C24744" w:rsidRDefault="00C24744" w:rsidP="00C24744">
      <w:pPr>
        <w:spacing w:after="0" w:line="240" w:lineRule="auto"/>
        <w:jc w:val="both"/>
        <w:rPr>
          <w:rFonts w:ascii="Verdana" w:eastAsia="Calibri" w:hAnsi="Verdana" w:cs="Arial"/>
          <w:sz w:val="20"/>
          <w:szCs w:val="20"/>
          <w:lang w:val="es-ES" w:eastAsia="es-MX"/>
        </w:rPr>
      </w:pPr>
    </w:p>
    <w:p w14:paraId="64E40AF7" w14:textId="77777777" w:rsidR="00C24744" w:rsidRPr="00C24744" w:rsidRDefault="00C24744" w:rsidP="00C24744">
      <w:pPr>
        <w:spacing w:after="0" w:line="240" w:lineRule="auto"/>
        <w:jc w:val="both"/>
        <w:rPr>
          <w:rFonts w:ascii="Verdana" w:eastAsia="Calibri" w:hAnsi="Verdana" w:cs="Arial"/>
          <w:sz w:val="20"/>
          <w:szCs w:val="20"/>
          <w:lang w:val="es-ES" w:eastAsia="es-MX"/>
        </w:rPr>
      </w:pPr>
    </w:p>
    <w:p w14:paraId="1B85851E" w14:textId="77777777" w:rsidR="00C24744" w:rsidRPr="00C24744" w:rsidRDefault="00C24744" w:rsidP="00C24744">
      <w:pPr>
        <w:spacing w:after="0" w:line="240" w:lineRule="auto"/>
        <w:jc w:val="both"/>
        <w:rPr>
          <w:rFonts w:ascii="Verdana" w:eastAsia="Calibri" w:hAnsi="Verdana" w:cs="Arial"/>
          <w:sz w:val="20"/>
          <w:szCs w:val="20"/>
          <w:lang w:val="es-ES" w:eastAsia="es-MX"/>
        </w:rPr>
      </w:pPr>
    </w:p>
    <w:p w14:paraId="6C508C23" w14:textId="77777777" w:rsidR="00C24744" w:rsidRPr="00C24744" w:rsidRDefault="00C24744" w:rsidP="00C24744">
      <w:pPr>
        <w:spacing w:after="0" w:line="240" w:lineRule="auto"/>
        <w:jc w:val="both"/>
        <w:rPr>
          <w:rFonts w:ascii="Verdana" w:eastAsia="Calibri" w:hAnsi="Verdana" w:cs="Arial"/>
          <w:sz w:val="20"/>
          <w:szCs w:val="20"/>
          <w:lang w:val="es-ES" w:eastAsia="es-MX"/>
        </w:rPr>
      </w:pPr>
    </w:p>
    <w:p w14:paraId="691D1C6A" w14:textId="77777777" w:rsidR="00C24744" w:rsidRPr="00C24744" w:rsidRDefault="00C24744" w:rsidP="00C24744">
      <w:pPr>
        <w:spacing w:after="0" w:line="240" w:lineRule="auto"/>
        <w:jc w:val="both"/>
        <w:rPr>
          <w:rFonts w:ascii="Verdana" w:eastAsia="Calibri" w:hAnsi="Verdana" w:cs="Arial"/>
          <w:sz w:val="20"/>
          <w:szCs w:val="20"/>
          <w:lang w:val="es-ES" w:eastAsia="es-MX"/>
        </w:rPr>
      </w:pPr>
    </w:p>
    <w:p w14:paraId="1CD7F889" w14:textId="77777777" w:rsidR="00C24744" w:rsidRPr="00C24744" w:rsidRDefault="00C24744" w:rsidP="00C24744">
      <w:pPr>
        <w:spacing w:after="0" w:line="240" w:lineRule="auto"/>
        <w:jc w:val="both"/>
        <w:rPr>
          <w:rFonts w:ascii="Verdana" w:eastAsia="Calibri" w:hAnsi="Verdana" w:cs="Arial"/>
          <w:sz w:val="20"/>
          <w:szCs w:val="20"/>
          <w:lang w:val="es-ES" w:eastAsia="es-MX"/>
        </w:rPr>
      </w:pPr>
    </w:p>
    <w:p w14:paraId="24665412" w14:textId="77777777" w:rsidR="00C24744" w:rsidRPr="00C24744" w:rsidRDefault="00C24744" w:rsidP="00C24744">
      <w:pPr>
        <w:spacing w:after="0" w:line="240" w:lineRule="auto"/>
        <w:jc w:val="both"/>
        <w:rPr>
          <w:rFonts w:ascii="Verdana" w:eastAsia="Calibri" w:hAnsi="Verdana" w:cs="Arial"/>
          <w:sz w:val="20"/>
          <w:szCs w:val="20"/>
          <w:lang w:val="es-ES" w:eastAsia="es-MX"/>
        </w:rPr>
      </w:pPr>
    </w:p>
    <w:p w14:paraId="56CD8BF6" w14:textId="77777777" w:rsidR="00D44737" w:rsidRDefault="00D44737" w:rsidP="00C24744">
      <w:pPr>
        <w:spacing w:after="0" w:line="240" w:lineRule="auto"/>
        <w:rPr>
          <w:rFonts w:ascii="Verdana" w:eastAsia="Verdana" w:hAnsi="Verdana" w:cs="Verdana"/>
          <w:kern w:val="2"/>
          <w14:ligatures w14:val="standardContextual"/>
        </w:rPr>
      </w:pPr>
    </w:p>
    <w:p w14:paraId="5C3BE031" w14:textId="705A647A" w:rsidR="006373AB" w:rsidRDefault="00C24744" w:rsidP="00C24744">
      <w:pPr>
        <w:spacing w:after="0" w:line="240" w:lineRule="auto"/>
        <w:rPr>
          <w:rFonts w:ascii="Verdana" w:eastAsia="Verdana" w:hAnsi="Verdana" w:cs="Verdana"/>
          <w:kern w:val="2"/>
          <w14:ligatures w14:val="standardContextual"/>
        </w:rPr>
      </w:pPr>
      <w:r w:rsidRPr="00C24744">
        <w:rPr>
          <w:rFonts w:ascii="Verdana" w:eastAsia="Verdana" w:hAnsi="Verdana" w:cs="Verdana"/>
          <w:kern w:val="2"/>
          <w14:ligatures w14:val="standardContextual"/>
        </w:rPr>
        <w:lastRenderedPageBreak/>
        <w:t xml:space="preserve">Bogotá D.C., </w:t>
      </w:r>
      <w:r w:rsidR="006373AB">
        <w:rPr>
          <w:rFonts w:ascii="Verdana" w:eastAsia="Verdana" w:hAnsi="Verdana" w:cs="Verdana"/>
          <w:kern w:val="2"/>
          <w14:ligatures w14:val="standardContextual"/>
        </w:rPr>
        <w:t>25 de septiembre de 2026</w:t>
      </w:r>
    </w:p>
    <w:p w14:paraId="31888237" w14:textId="6D7C39D9" w:rsidR="006373AB" w:rsidRDefault="006373AB" w:rsidP="00C24744">
      <w:pPr>
        <w:spacing w:after="0" w:line="240" w:lineRule="auto"/>
        <w:rPr>
          <w:rFonts w:ascii="Verdana" w:eastAsia="Verdana" w:hAnsi="Verdana" w:cs="Verdana"/>
          <w:kern w:val="2"/>
          <w14:ligatures w14:val="standardContextual"/>
        </w:rPr>
      </w:pPr>
    </w:p>
    <w:p w14:paraId="04B40824" w14:textId="51C43D1B" w:rsidR="00C24744" w:rsidRPr="00C24744" w:rsidRDefault="00D44737" w:rsidP="006373AB">
      <w:pPr>
        <w:spacing w:after="0" w:line="240" w:lineRule="auto"/>
        <w:jc w:val="right"/>
        <w:rPr>
          <w:rFonts w:ascii="Aptos" w:eastAsia="Aptos" w:hAnsi="Aptos" w:cs="Times New Roman"/>
          <w:kern w:val="2"/>
          <w:sz w:val="24"/>
          <w:szCs w:val="24"/>
          <w14:ligatures w14:val="standardContextual"/>
        </w:rPr>
      </w:pPr>
      <w:r w:rsidRPr="006373AB">
        <w:rPr>
          <w:rFonts w:ascii="Aptos" w:eastAsia="Aptos" w:hAnsi="Aptos" w:cs="Times New Roman"/>
          <w:noProof/>
          <w:kern w:val="2"/>
          <w:sz w:val="24"/>
          <w:szCs w:val="24"/>
          <w14:ligatures w14:val="standardContextual"/>
        </w:rPr>
        <w:drawing>
          <wp:anchor distT="0" distB="0" distL="114300" distR="114300" simplePos="0" relativeHeight="251658240" behindDoc="0" locked="0" layoutInCell="1" allowOverlap="1" wp14:anchorId="19939C78" wp14:editId="7069232D">
            <wp:simplePos x="0" y="0"/>
            <wp:positionH relativeFrom="margin">
              <wp:align>right</wp:align>
            </wp:positionH>
            <wp:positionV relativeFrom="paragraph">
              <wp:posOffset>11761</wp:posOffset>
            </wp:positionV>
            <wp:extent cx="2781300" cy="1176655"/>
            <wp:effectExtent l="0" t="0" r="0" b="4445"/>
            <wp:wrapSquare wrapText="bothSides"/>
            <wp:docPr id="67364308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3643086" name=""/>
                    <pic:cNvPicPr/>
                  </pic:nvPicPr>
                  <pic:blipFill>
                    <a:blip r:embed="rId10">
                      <a:extLst>
                        <a:ext uri="{28A0092B-C50C-407E-A947-70E740481C1C}">
                          <a14:useLocalDpi xmlns:a14="http://schemas.microsoft.com/office/drawing/2010/main" val="0"/>
                        </a:ext>
                      </a:extLst>
                    </a:blip>
                    <a:stretch>
                      <a:fillRect/>
                    </a:stretch>
                  </pic:blipFill>
                  <pic:spPr>
                    <a:xfrm>
                      <a:off x="0" y="0"/>
                      <a:ext cx="2781300" cy="1176655"/>
                    </a:xfrm>
                    <a:prstGeom prst="rect">
                      <a:avLst/>
                    </a:prstGeom>
                  </pic:spPr>
                </pic:pic>
              </a:graphicData>
            </a:graphic>
            <wp14:sizeRelH relativeFrom="margin">
              <wp14:pctWidth>0</wp14:pctWidth>
            </wp14:sizeRelH>
            <wp14:sizeRelV relativeFrom="margin">
              <wp14:pctHeight>0</wp14:pctHeight>
            </wp14:sizeRelV>
          </wp:anchor>
        </w:drawing>
      </w:r>
      <w:r w:rsidR="00C24744" w:rsidRPr="00C24744">
        <w:rPr>
          <w:rFonts w:ascii="Aptos" w:eastAsia="Aptos" w:hAnsi="Aptos" w:cs="Times New Roman"/>
          <w:kern w:val="2"/>
          <w:sz w:val="24"/>
          <w:szCs w:val="24"/>
          <w14:ligatures w14:val="standardContextual"/>
        </w:rPr>
        <w:tab/>
      </w:r>
    </w:p>
    <w:p w14:paraId="09A8F924" w14:textId="77777777" w:rsidR="00C24744" w:rsidRPr="00C24744" w:rsidRDefault="00C24744" w:rsidP="00C24744">
      <w:pPr>
        <w:spacing w:after="0" w:line="240" w:lineRule="auto"/>
        <w:rPr>
          <w:rFonts w:ascii="Verdana" w:eastAsia="Aptos" w:hAnsi="Verdana" w:cs="Times New Roman"/>
          <w:sz w:val="24"/>
          <w:szCs w:val="24"/>
          <w:lang w:eastAsia="es-MX"/>
        </w:rPr>
      </w:pPr>
    </w:p>
    <w:p w14:paraId="326A8610" w14:textId="77777777" w:rsidR="00C24744" w:rsidRPr="00C24744" w:rsidRDefault="00C24744" w:rsidP="00C24744">
      <w:pPr>
        <w:spacing w:after="0" w:line="240" w:lineRule="auto"/>
        <w:rPr>
          <w:rFonts w:ascii="Verdana" w:eastAsia="Calibri" w:hAnsi="Verdana" w:cs="Arial"/>
          <w:lang w:val="es-ES" w:eastAsia="es-ES"/>
        </w:rPr>
      </w:pPr>
      <w:r w:rsidRPr="00C24744">
        <w:rPr>
          <w:rFonts w:ascii="Verdana" w:eastAsia="Calibri" w:hAnsi="Verdana" w:cs="Arial"/>
          <w:lang w:val="es-ES" w:eastAsia="es-ES"/>
        </w:rPr>
        <w:t>Señor</w:t>
      </w:r>
    </w:p>
    <w:p w14:paraId="3BA5DF31" w14:textId="77777777" w:rsidR="00C24744" w:rsidRPr="00C24744" w:rsidRDefault="00C24744" w:rsidP="00C24744">
      <w:pPr>
        <w:spacing w:after="0" w:line="240" w:lineRule="auto"/>
        <w:rPr>
          <w:rFonts w:ascii="Verdana" w:eastAsia="Aptos" w:hAnsi="Verdana" w:cs="Times New Roman"/>
          <w:b/>
          <w:bCs/>
          <w:lang w:eastAsia="es-MX"/>
        </w:rPr>
      </w:pPr>
      <w:r w:rsidRPr="00C24744">
        <w:rPr>
          <w:rFonts w:ascii="Verdana" w:eastAsia="Aptos" w:hAnsi="Verdana" w:cs="Times New Roman"/>
          <w:b/>
          <w:bCs/>
          <w:lang w:eastAsia="es-MX"/>
        </w:rPr>
        <w:t>Alejandro Muñoz Sandoval</w:t>
      </w:r>
    </w:p>
    <w:p w14:paraId="65702A4C" w14:textId="77777777" w:rsidR="00C24744" w:rsidRPr="00C24744" w:rsidRDefault="00C24744" w:rsidP="00C24744">
      <w:pPr>
        <w:spacing w:after="0" w:line="240" w:lineRule="auto"/>
        <w:rPr>
          <w:rFonts w:ascii="Verdana" w:eastAsia="Aptos" w:hAnsi="Verdana" w:cs="Times New Roman"/>
          <w:lang w:eastAsia="es-MX"/>
        </w:rPr>
      </w:pPr>
      <w:r w:rsidRPr="00C24744">
        <w:rPr>
          <w:rFonts w:ascii="Verdana" w:eastAsia="Aptos" w:hAnsi="Verdana" w:cs="Times New Roman"/>
          <w:lang w:eastAsia="es-MX"/>
        </w:rPr>
        <w:t>Alcalde Municipal</w:t>
      </w:r>
    </w:p>
    <w:p w14:paraId="1B139B19" w14:textId="77777777" w:rsidR="00C24744" w:rsidRPr="00C24744" w:rsidRDefault="00C24744" w:rsidP="00C24744">
      <w:pPr>
        <w:spacing w:after="0" w:line="240" w:lineRule="auto"/>
        <w:rPr>
          <w:rFonts w:ascii="Verdana" w:eastAsia="Aptos" w:hAnsi="Verdana" w:cs="Times New Roman"/>
          <w:lang w:eastAsia="es-MX"/>
        </w:rPr>
      </w:pPr>
      <w:r w:rsidRPr="00C24744">
        <w:rPr>
          <w:rFonts w:ascii="Verdana" w:eastAsia="Aptos" w:hAnsi="Verdana" w:cs="Times New Roman"/>
          <w:lang w:eastAsia="es-MX"/>
        </w:rPr>
        <w:t>Municipio del el Cocuy, Boyacá</w:t>
      </w:r>
    </w:p>
    <w:p w14:paraId="5A31E0BA" w14:textId="77777777" w:rsidR="00C24744" w:rsidRPr="00C24744" w:rsidRDefault="00C24744" w:rsidP="00C24744">
      <w:pPr>
        <w:spacing w:after="0" w:line="240" w:lineRule="auto"/>
        <w:rPr>
          <w:rFonts w:ascii="Verdana" w:eastAsia="Aptos" w:hAnsi="Verdana" w:cs="Times New Roman"/>
          <w:lang w:eastAsia="es-MX"/>
        </w:rPr>
      </w:pPr>
      <w:r w:rsidRPr="00C24744">
        <w:rPr>
          <w:rFonts w:ascii="Verdana" w:eastAsia="Aptos" w:hAnsi="Verdana" w:cs="Times New Roman"/>
          <w:lang w:eastAsia="es-MX"/>
        </w:rPr>
        <w:t>El Cocuy, Boyacá</w:t>
      </w:r>
    </w:p>
    <w:p w14:paraId="468726D2" w14:textId="77777777" w:rsidR="00C24744" w:rsidRPr="00C24744" w:rsidRDefault="00C24744" w:rsidP="00C24744">
      <w:pPr>
        <w:spacing w:after="0" w:line="240" w:lineRule="auto"/>
        <w:rPr>
          <w:rFonts w:ascii="Verdana" w:eastAsia="Calibri" w:hAnsi="Verdana" w:cs="Arial"/>
          <w:b/>
          <w:bCs/>
          <w:lang w:eastAsia="es-ES_tradnl"/>
        </w:rPr>
      </w:pPr>
    </w:p>
    <w:tbl>
      <w:tblPr>
        <w:tblStyle w:val="Tablaconcuadrcula"/>
        <w:tblW w:w="83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268"/>
        <w:gridCol w:w="6100"/>
      </w:tblGrid>
      <w:tr w:rsidR="00C24744" w:rsidRPr="00C24744" w14:paraId="6BEFE378" w14:textId="77777777" w:rsidTr="009E3879">
        <w:trPr>
          <w:trHeight w:val="229"/>
        </w:trPr>
        <w:tc>
          <w:tcPr>
            <w:tcW w:w="2268" w:type="dxa"/>
          </w:tcPr>
          <w:p w14:paraId="49E92BAB" w14:textId="77777777" w:rsidR="00C24744" w:rsidRPr="00C24744" w:rsidRDefault="00C24744" w:rsidP="00C24744">
            <w:pPr>
              <w:jc w:val="both"/>
              <w:rPr>
                <w:rFonts w:ascii="Verdana" w:eastAsia="Calibri" w:hAnsi="Verdana" w:cs="Arial"/>
                <w:b/>
                <w:bCs/>
                <w:lang w:val="es-ES_tradnl" w:eastAsia="es-ES_tradnl"/>
              </w:rPr>
            </w:pPr>
          </w:p>
        </w:tc>
        <w:tc>
          <w:tcPr>
            <w:tcW w:w="6100" w:type="dxa"/>
          </w:tcPr>
          <w:p w14:paraId="113D0FBF" w14:textId="77777777" w:rsidR="00C24744" w:rsidRPr="00C24744" w:rsidRDefault="00C24744" w:rsidP="00C24744">
            <w:pPr>
              <w:jc w:val="both"/>
              <w:rPr>
                <w:rFonts w:ascii="Verdana" w:eastAsia="Calibri" w:hAnsi="Verdana" w:cs="Arial"/>
                <w:b/>
                <w:bCs/>
                <w:lang w:val="es-ES" w:eastAsia="es-ES"/>
              </w:rPr>
            </w:pPr>
            <w:r w:rsidRPr="00C24744">
              <w:rPr>
                <w:rFonts w:ascii="Verdana" w:eastAsia="Calibri" w:hAnsi="Verdana" w:cs="Arial"/>
                <w:b/>
                <w:bCs/>
                <w:lang w:val="es-ES" w:eastAsia="es-ES"/>
              </w:rPr>
              <w:t xml:space="preserve">Concepto </w:t>
            </w:r>
            <w:bookmarkStart w:id="1" w:name="OLE_LINK1"/>
            <w:r w:rsidRPr="00C24744">
              <w:rPr>
                <w:rFonts w:ascii="Verdana" w:eastAsia="Calibri" w:hAnsi="Verdana" w:cs="Arial"/>
                <w:b/>
                <w:bCs/>
                <w:lang w:val="es-ES" w:eastAsia="es-ES"/>
              </w:rPr>
              <w:t>C-1318 de 2026</w:t>
            </w:r>
            <w:bookmarkEnd w:id="1"/>
          </w:p>
          <w:p w14:paraId="6E91D6F2" w14:textId="77777777" w:rsidR="00C24744" w:rsidRPr="00C24744" w:rsidRDefault="00C24744" w:rsidP="00C24744">
            <w:pPr>
              <w:jc w:val="both"/>
              <w:rPr>
                <w:rFonts w:ascii="Verdana" w:eastAsia="Calibri" w:hAnsi="Verdana" w:cs="Arial"/>
                <w:b/>
                <w:bCs/>
                <w:lang w:val="es-ES" w:eastAsia="es-ES"/>
              </w:rPr>
            </w:pPr>
          </w:p>
        </w:tc>
      </w:tr>
      <w:tr w:rsidR="00C24744" w:rsidRPr="00C24744" w14:paraId="4A314F08" w14:textId="77777777" w:rsidTr="009E3879">
        <w:trPr>
          <w:trHeight w:val="884"/>
        </w:trPr>
        <w:tc>
          <w:tcPr>
            <w:tcW w:w="2268" w:type="dxa"/>
          </w:tcPr>
          <w:p w14:paraId="6CF65F76" w14:textId="77777777" w:rsidR="00C24744" w:rsidRPr="00C24744" w:rsidRDefault="00C24744" w:rsidP="00C24744">
            <w:pPr>
              <w:jc w:val="both"/>
              <w:rPr>
                <w:rFonts w:ascii="Verdana" w:eastAsia="Calibri" w:hAnsi="Verdana" w:cs="Arial"/>
                <w:lang w:val="es-ES_tradnl" w:eastAsia="es-ES_tradnl"/>
              </w:rPr>
            </w:pPr>
            <w:r w:rsidRPr="00C24744">
              <w:rPr>
                <w:rFonts w:ascii="Verdana" w:eastAsia="Calibri" w:hAnsi="Verdana" w:cs="Arial"/>
                <w:b/>
                <w:lang w:val="es-ES_tradnl" w:eastAsia="es-ES_tradnl"/>
              </w:rPr>
              <w:t>Temas:</w:t>
            </w:r>
            <w:r w:rsidRPr="00C24744">
              <w:rPr>
                <w:rFonts w:ascii="Verdana" w:eastAsia="Calibri" w:hAnsi="Verdana" w:cs="Arial"/>
                <w:lang w:val="es-ES_tradnl" w:eastAsia="es-ES_tradnl"/>
              </w:rPr>
              <w:t xml:space="preserve">                   </w:t>
            </w:r>
          </w:p>
        </w:tc>
        <w:tc>
          <w:tcPr>
            <w:tcW w:w="6100" w:type="dxa"/>
          </w:tcPr>
          <w:p w14:paraId="42B92F39" w14:textId="77777777" w:rsidR="00C24744" w:rsidRPr="00C24744" w:rsidRDefault="00C24744" w:rsidP="00C24744">
            <w:pPr>
              <w:jc w:val="both"/>
              <w:rPr>
                <w:rFonts w:ascii="Verdana" w:eastAsia="Calibri" w:hAnsi="Verdana" w:cs="Arial"/>
                <w:color w:val="000000"/>
                <w:lang w:eastAsia="es-MX"/>
              </w:rPr>
            </w:pPr>
            <w:r w:rsidRPr="00C24744">
              <w:rPr>
                <w:rFonts w:ascii="Verdana" w:eastAsia="Calibri" w:hAnsi="Verdana" w:cs="Arial"/>
                <w:lang w:val="es-ES_tradnl" w:eastAsia="es-MX"/>
              </w:rPr>
              <w:t>DOCUMENTOS TIPO – Fundamento normativo – Obligatoriedad / SECTOR SOCIAL</w:t>
            </w:r>
            <w:r w:rsidRPr="00C24744">
              <w:rPr>
                <w:rFonts w:ascii="Verdana" w:eastAsia="Calibri" w:hAnsi="Verdana" w:cs="Times New Roman"/>
                <w:lang w:val="es-ES" w:eastAsia="es-MX"/>
              </w:rPr>
              <w:t xml:space="preserve"> – Documentos tipo – Vigentes / DOCUMENTOS TIPO – Aplicación – Matriz de Experiencia / DOCUMENTOS TIPO – Sector social – Cultura, recreación y deporte – Tipos de infraestructuras – Matriz 1 – Experiencia / </w:t>
            </w:r>
            <w:r w:rsidRPr="00C24744">
              <w:rPr>
                <w:rFonts w:ascii="Verdana" w:eastAsia="Calibri" w:hAnsi="Verdana" w:cs="Arial"/>
                <w:color w:val="000000"/>
                <w:lang w:eastAsia="es-MX"/>
              </w:rPr>
              <w:t>MATRIZ 1 – Experiencia – Experiencia general – Actividad 2.2 – Documentos tipo – Cultura, recreación y deporte – Espacio pública – Parques</w:t>
            </w:r>
          </w:p>
          <w:p w14:paraId="55557333" w14:textId="77777777" w:rsidR="00C24744" w:rsidRPr="00C24744" w:rsidRDefault="00C24744" w:rsidP="00C24744">
            <w:pPr>
              <w:jc w:val="both"/>
              <w:rPr>
                <w:rFonts w:ascii="Verdana" w:eastAsia="Calibri" w:hAnsi="Verdana" w:cs="Arial"/>
                <w:bCs/>
                <w:lang w:eastAsia="es-ES"/>
              </w:rPr>
            </w:pPr>
          </w:p>
        </w:tc>
      </w:tr>
      <w:tr w:rsidR="00C24744" w:rsidRPr="00C24744" w14:paraId="05437099" w14:textId="77777777" w:rsidTr="009E3879">
        <w:tc>
          <w:tcPr>
            <w:tcW w:w="2268" w:type="dxa"/>
          </w:tcPr>
          <w:p w14:paraId="60B1C823" w14:textId="77777777" w:rsidR="00C24744" w:rsidRPr="00C24744" w:rsidRDefault="00C24744" w:rsidP="00C24744">
            <w:pPr>
              <w:jc w:val="both"/>
              <w:rPr>
                <w:rFonts w:ascii="Verdana" w:eastAsia="Calibri" w:hAnsi="Verdana" w:cs="Arial"/>
                <w:b/>
                <w:lang w:val="es-ES_tradnl" w:eastAsia="es-ES_tradnl"/>
              </w:rPr>
            </w:pPr>
            <w:r w:rsidRPr="00C24744">
              <w:rPr>
                <w:rFonts w:ascii="Verdana" w:eastAsia="Calibri" w:hAnsi="Verdana" w:cs="Arial"/>
                <w:b/>
                <w:lang w:val="es-ES_tradnl" w:eastAsia="es-ES_tradnl"/>
              </w:rPr>
              <w:t>Radicación:</w:t>
            </w:r>
            <w:r w:rsidRPr="00C24744">
              <w:rPr>
                <w:rFonts w:ascii="Verdana" w:eastAsia="Calibri" w:hAnsi="Verdana" w:cs="Arial"/>
                <w:lang w:val="es-ES_tradnl" w:eastAsia="es-ES_tradnl"/>
              </w:rPr>
              <w:t xml:space="preserve">               </w:t>
            </w:r>
          </w:p>
        </w:tc>
        <w:tc>
          <w:tcPr>
            <w:tcW w:w="6100" w:type="dxa"/>
          </w:tcPr>
          <w:p w14:paraId="1F57C594" w14:textId="77777777" w:rsidR="00C24744" w:rsidRPr="00C24744" w:rsidRDefault="00C24744" w:rsidP="00C24744">
            <w:pPr>
              <w:ind w:left="3" w:hanging="3"/>
              <w:jc w:val="both"/>
              <w:rPr>
                <w:rFonts w:ascii="Verdana" w:eastAsia="Calibri" w:hAnsi="Verdana" w:cs="Arial"/>
                <w:lang w:val="es-ES_tradnl" w:eastAsia="es-ES_tradnl"/>
              </w:rPr>
            </w:pPr>
            <w:r w:rsidRPr="00C24744">
              <w:rPr>
                <w:rFonts w:ascii="Verdana" w:eastAsia="Calibri" w:hAnsi="Verdana" w:cs="Arial"/>
                <w:lang w:val="es-ES_tradnl" w:eastAsia="es-ES_tradnl"/>
              </w:rPr>
              <w:t>Respuesta a consultas con radicados Nos. 1_2026_08_20_011080 y 1_2026_08_21_011142</w:t>
            </w:r>
          </w:p>
        </w:tc>
      </w:tr>
    </w:tbl>
    <w:p w14:paraId="0743490B" w14:textId="77777777" w:rsidR="00C24744" w:rsidRPr="00C24744" w:rsidRDefault="00C24744" w:rsidP="00C24744">
      <w:pPr>
        <w:spacing w:after="0" w:line="240" w:lineRule="auto"/>
        <w:jc w:val="both"/>
        <w:rPr>
          <w:rFonts w:ascii="Verdana" w:eastAsia="Calibri" w:hAnsi="Verdana" w:cs="Arial"/>
          <w:lang w:val="es-ES_tradnl" w:eastAsia="es-ES_tradnl"/>
        </w:rPr>
      </w:pPr>
    </w:p>
    <w:p w14:paraId="3B55EBF6" w14:textId="77777777" w:rsidR="00C24744" w:rsidRPr="00C24744" w:rsidRDefault="00C24744" w:rsidP="00C24744">
      <w:pPr>
        <w:spacing w:after="0" w:line="276" w:lineRule="auto"/>
        <w:jc w:val="both"/>
        <w:rPr>
          <w:rFonts w:ascii="Verdana" w:eastAsia="Calibri" w:hAnsi="Verdana" w:cs="Arial"/>
          <w:lang w:val="es-ES" w:eastAsia="es-ES"/>
        </w:rPr>
      </w:pPr>
      <w:r w:rsidRPr="00C24744">
        <w:rPr>
          <w:rFonts w:ascii="Verdana" w:eastAsia="Calibri" w:hAnsi="Verdana" w:cs="Arial"/>
          <w:lang w:val="es-ES" w:eastAsia="es-ES"/>
        </w:rPr>
        <w:t>Estimado señor</w:t>
      </w:r>
      <w:r w:rsidRPr="00C24744">
        <w:rPr>
          <w:rFonts w:ascii="Verdana" w:eastAsia="Aptos" w:hAnsi="Verdana" w:cs="Times New Roman"/>
          <w:lang w:eastAsia="es-MX"/>
        </w:rPr>
        <w:t xml:space="preserve"> Muñoz Sandoval</w:t>
      </w:r>
      <w:r w:rsidRPr="00C24744">
        <w:rPr>
          <w:rFonts w:ascii="Verdana" w:eastAsia="Calibri" w:hAnsi="Verdana" w:cs="Arial"/>
          <w:lang w:val="es-ES" w:eastAsia="es-ES"/>
        </w:rPr>
        <w:t xml:space="preserve">: </w:t>
      </w:r>
    </w:p>
    <w:p w14:paraId="6A4A0259" w14:textId="77777777" w:rsidR="00C24744" w:rsidRPr="00C24744" w:rsidRDefault="00C24744" w:rsidP="00C24744">
      <w:pPr>
        <w:tabs>
          <w:tab w:val="left" w:pos="3768"/>
        </w:tabs>
        <w:spacing w:after="0" w:line="276" w:lineRule="auto"/>
        <w:jc w:val="both"/>
        <w:rPr>
          <w:rFonts w:ascii="Verdana" w:eastAsia="Calibri" w:hAnsi="Verdana" w:cs="Arial"/>
          <w:lang w:val="es-ES" w:eastAsia="es-ES"/>
        </w:rPr>
      </w:pPr>
      <w:r w:rsidRPr="00C24744">
        <w:rPr>
          <w:rFonts w:ascii="Verdana" w:eastAsia="Calibri" w:hAnsi="Verdana" w:cs="Arial"/>
          <w:lang w:val="es-ES" w:eastAsia="es-ES"/>
        </w:rPr>
        <w:tab/>
      </w:r>
    </w:p>
    <w:p w14:paraId="34490333" w14:textId="77777777" w:rsidR="00C24744" w:rsidRPr="00C24744" w:rsidRDefault="00C24744" w:rsidP="00C24744">
      <w:pPr>
        <w:spacing w:after="0" w:line="276" w:lineRule="auto"/>
        <w:jc w:val="both"/>
        <w:rPr>
          <w:rFonts w:ascii="Verdana" w:eastAsia="Calibri" w:hAnsi="Verdana" w:cs="Arial"/>
          <w:lang w:val="es-ES" w:eastAsia="es-ES"/>
        </w:rPr>
      </w:pPr>
      <w:r w:rsidRPr="00C24744">
        <w:rPr>
          <w:rFonts w:ascii="Verdana" w:eastAsia="Calibri" w:hAnsi="Verdana" w:cs="Arial"/>
          <w:lang w:val="es-ES" w:eastAsia="es-ES"/>
        </w:rPr>
        <w:t>En ejercicio de la competencia otorgada por los artículos 3, numeral 5º, y 11, numeral 8º, del Decreto Ley 4170 de 2011,</w:t>
      </w:r>
      <w:r w:rsidRPr="00C24744">
        <w:rPr>
          <w:rFonts w:ascii="Verdana" w:eastAsia="Arial MT" w:hAnsi="Verdana" w:cs="Arial MT"/>
          <w:lang w:val="es-ES" w:eastAsia="es-ES"/>
        </w:rPr>
        <w:t xml:space="preserve"> </w:t>
      </w:r>
      <w:r w:rsidRPr="00C24744">
        <w:rPr>
          <w:rFonts w:ascii="Verdana" w:eastAsia="Calibri" w:hAnsi="Verdana" w:cs="Arial"/>
          <w:lang w:eastAsia="es-MX"/>
        </w:rPr>
        <w:t xml:space="preserve">así como lo establecido por la </w:t>
      </w:r>
      <w:r w:rsidRPr="00C24744">
        <w:rPr>
          <w:rFonts w:ascii="Verdana" w:eastAsia="Aptos" w:hAnsi="Verdana" w:cs="Arial"/>
          <w:bCs/>
          <w:lang w:eastAsia="es-ES" w:bidi="es-ES"/>
        </w:rPr>
        <w:t>Resolución 469 de 2025 expedida por esta Entidad</w:t>
      </w:r>
      <w:r w:rsidRPr="00C24744">
        <w:rPr>
          <w:rFonts w:ascii="Verdana" w:eastAsia="Calibri" w:hAnsi="Verdana" w:cs="Arial"/>
          <w:lang w:eastAsia="es-MX"/>
        </w:rPr>
        <w:t xml:space="preserve">, </w:t>
      </w:r>
      <w:r w:rsidRPr="00C24744">
        <w:rPr>
          <w:rFonts w:ascii="Verdana" w:eastAsia="Calibri" w:hAnsi="Verdana" w:cs="Arial"/>
          <w:lang w:val="es-ES" w:eastAsia="es-ES"/>
        </w:rPr>
        <w:t xml:space="preserve">la Agencia Nacional de Contratación Pública – Colombia Compra Eficiente– responde sus solicitudes de consulta del 20 y 21 de agosto de 2026, en las cuales manifiesta lo siguiente: </w:t>
      </w:r>
    </w:p>
    <w:p w14:paraId="700C8075" w14:textId="77777777" w:rsidR="00C24744" w:rsidRPr="00C24744" w:rsidRDefault="00C24744" w:rsidP="00C24744">
      <w:pPr>
        <w:tabs>
          <w:tab w:val="left" w:pos="142"/>
          <w:tab w:val="left" w:pos="284"/>
        </w:tabs>
        <w:spacing w:after="0" w:line="276" w:lineRule="auto"/>
        <w:ind w:left="709" w:right="709"/>
        <w:jc w:val="both"/>
        <w:rPr>
          <w:rFonts w:ascii="Verdana" w:eastAsia="Century Gothic" w:hAnsi="Verdana" w:cs="Century Gothic"/>
          <w:b/>
          <w:bCs/>
          <w:lang w:val="es-ES" w:eastAsia="es-MX"/>
        </w:rPr>
      </w:pPr>
    </w:p>
    <w:p w14:paraId="2AA90CE7" w14:textId="77777777" w:rsidR="00C24744" w:rsidRPr="00C24744" w:rsidRDefault="00C24744" w:rsidP="00C24744">
      <w:pPr>
        <w:spacing w:line="240" w:lineRule="auto"/>
        <w:ind w:left="709" w:right="709"/>
        <w:jc w:val="both"/>
        <w:rPr>
          <w:rFonts w:ascii="Verdana" w:eastAsia="Aptos" w:hAnsi="Verdana" w:cs="Times New Roman"/>
          <w:kern w:val="2"/>
          <w:sz w:val="20"/>
          <w:szCs w:val="20"/>
          <w14:ligatures w14:val="standardContextual"/>
        </w:rPr>
      </w:pPr>
      <w:r w:rsidRPr="00C24744">
        <w:rPr>
          <w:rFonts w:ascii="Verdana" w:eastAsia="Aptos" w:hAnsi="Verdana" w:cs="Times New Roman"/>
          <w:i/>
          <w:iCs/>
          <w:kern w:val="2"/>
          <w:sz w:val="20"/>
          <w:szCs w:val="20"/>
          <w14:ligatures w14:val="standardContextual"/>
        </w:rPr>
        <w:t>“</w:t>
      </w:r>
      <w:r w:rsidRPr="00C24744">
        <w:rPr>
          <w:rFonts w:ascii="Verdana" w:eastAsia="Aptos" w:hAnsi="Verdana" w:cs="Times New Roman"/>
          <w:kern w:val="2"/>
          <w:sz w:val="20"/>
          <w:szCs w:val="20"/>
          <w14:ligatures w14:val="standardContextual"/>
        </w:rPr>
        <w:t xml:space="preserve">De manera respetuosa, El Municipio de El Cocuy en ejercicio de sus competencias y con el propósito de garantizar la correcta aplicación de los Documentos Tipo adoptados por la Agencia Nacional de Contratación Pública – Colombia Compra Eficiente, así como los principios de transparencia, selección objetiva, igualdad y pluralidad de oferentes, se permite solicitar concepto respecto de la interpretación y aplicación del requisito de experiencia general exigido dentro del proceso de selección LP-O-001-2026, cuyo objeto es: “MEJORAMIENTO Y RESTAURACIÓN DEL </w:t>
      </w:r>
      <w:r w:rsidRPr="00C24744">
        <w:rPr>
          <w:rFonts w:ascii="Verdana" w:eastAsia="Aptos" w:hAnsi="Verdana" w:cs="Times New Roman"/>
          <w:kern w:val="2"/>
          <w:sz w:val="20"/>
          <w:szCs w:val="20"/>
          <w14:ligatures w14:val="standardContextual"/>
        </w:rPr>
        <w:lastRenderedPageBreak/>
        <w:t>PARQUE PRINCIPAL DEL MUNICIPIO DE OLIMPO GALLO DEL MUNICIPIO DE EL COCUY DEPARTAMENTO DE BOYACÁ”.</w:t>
      </w:r>
    </w:p>
    <w:p w14:paraId="3260D242" w14:textId="77777777" w:rsidR="00C24744" w:rsidRPr="00C24744" w:rsidRDefault="00C24744" w:rsidP="00C24744">
      <w:pPr>
        <w:spacing w:line="240" w:lineRule="auto"/>
        <w:ind w:left="709" w:right="709"/>
        <w:jc w:val="both"/>
        <w:rPr>
          <w:rFonts w:ascii="Verdana" w:eastAsia="Aptos" w:hAnsi="Verdana" w:cs="Times New Roman"/>
          <w:kern w:val="2"/>
          <w:sz w:val="20"/>
          <w:szCs w:val="20"/>
          <w14:ligatures w14:val="standardContextual"/>
        </w:rPr>
      </w:pPr>
      <w:r w:rsidRPr="00C24744">
        <w:rPr>
          <w:rFonts w:ascii="Verdana" w:eastAsia="Aptos" w:hAnsi="Verdana" w:cs="Times New Roman"/>
          <w:kern w:val="2"/>
          <w:sz w:val="20"/>
          <w:szCs w:val="20"/>
          <w14:ligatures w14:val="standardContextual"/>
        </w:rPr>
        <w:t>1. ANTECEDENTES</w:t>
      </w:r>
    </w:p>
    <w:p w14:paraId="476F0DBC" w14:textId="77777777" w:rsidR="00C24744" w:rsidRPr="00C24744" w:rsidRDefault="00C24744" w:rsidP="00C24744">
      <w:pPr>
        <w:spacing w:line="240" w:lineRule="auto"/>
        <w:ind w:left="709" w:right="709"/>
        <w:jc w:val="both"/>
        <w:rPr>
          <w:rFonts w:ascii="Verdana" w:eastAsia="Aptos" w:hAnsi="Verdana" w:cs="Times New Roman"/>
          <w:kern w:val="2"/>
          <w:sz w:val="20"/>
          <w:szCs w:val="20"/>
          <w14:ligatures w14:val="standardContextual"/>
        </w:rPr>
      </w:pPr>
      <w:r w:rsidRPr="00C24744">
        <w:rPr>
          <w:rFonts w:ascii="Verdana" w:eastAsia="Aptos" w:hAnsi="Verdana" w:cs="Times New Roman"/>
          <w:kern w:val="2"/>
          <w:sz w:val="20"/>
          <w:szCs w:val="20"/>
          <w14:ligatures w14:val="standardContextual"/>
        </w:rPr>
        <w:t>La Entidad adelanta un proceso de contratación sometido a los Documentos Tipo aplicables a proyectos de infraestructura social.</w:t>
      </w:r>
    </w:p>
    <w:p w14:paraId="0A6EC462" w14:textId="77777777" w:rsidR="00C24744" w:rsidRPr="00C24744" w:rsidRDefault="00C24744" w:rsidP="00C24744">
      <w:pPr>
        <w:spacing w:line="240" w:lineRule="auto"/>
        <w:ind w:left="709" w:right="709"/>
        <w:jc w:val="both"/>
        <w:rPr>
          <w:rFonts w:ascii="Verdana" w:eastAsia="Aptos" w:hAnsi="Verdana" w:cs="Times New Roman"/>
          <w:kern w:val="2"/>
          <w:sz w:val="20"/>
          <w:szCs w:val="20"/>
          <w14:ligatures w14:val="standardContextual"/>
        </w:rPr>
      </w:pPr>
      <w:r w:rsidRPr="00C24744">
        <w:rPr>
          <w:rFonts w:ascii="Verdana" w:eastAsia="Aptos" w:hAnsi="Verdana" w:cs="Times New Roman"/>
          <w:kern w:val="2"/>
          <w:sz w:val="20"/>
          <w:szCs w:val="20"/>
          <w14:ligatures w14:val="standardContextual"/>
        </w:rPr>
        <w:t>Para efectos de acreditar la experiencia general, la Entidad estableció permitente solicitar la siguiente experiencia en aplicación de la Matriz No. 1</w:t>
      </w:r>
    </w:p>
    <w:p w14:paraId="5670AA55" w14:textId="77777777" w:rsidR="00C24744" w:rsidRPr="00C24744" w:rsidRDefault="00C24744" w:rsidP="00C24744">
      <w:pPr>
        <w:spacing w:line="240" w:lineRule="auto"/>
        <w:ind w:left="709" w:right="709"/>
        <w:jc w:val="center"/>
        <w:rPr>
          <w:rFonts w:ascii="Verdana" w:eastAsia="Aptos" w:hAnsi="Verdana" w:cs="Times New Roman"/>
          <w:kern w:val="2"/>
          <w:sz w:val="20"/>
          <w:szCs w:val="20"/>
          <w14:ligatures w14:val="standardContextual"/>
        </w:rPr>
      </w:pPr>
      <w:r w:rsidRPr="00C24744">
        <w:rPr>
          <w:rFonts w:ascii="Verdana" w:eastAsia="Aptos" w:hAnsi="Verdana" w:cs="Times New Roman"/>
          <w:noProof/>
          <w:kern w:val="2"/>
          <w:sz w:val="20"/>
          <w:szCs w:val="20"/>
          <w14:ligatures w14:val="standardContextual"/>
        </w:rPr>
        <w:drawing>
          <wp:inline distT="0" distB="0" distL="0" distR="0" wp14:anchorId="12035790" wp14:editId="2542DBE6">
            <wp:extent cx="3302000" cy="3358701"/>
            <wp:effectExtent l="0" t="0" r="0" b="0"/>
            <wp:docPr id="29273829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2738299" name=""/>
                    <pic:cNvPicPr/>
                  </pic:nvPicPr>
                  <pic:blipFill>
                    <a:blip r:embed="rId11"/>
                    <a:stretch>
                      <a:fillRect/>
                    </a:stretch>
                  </pic:blipFill>
                  <pic:spPr>
                    <a:xfrm>
                      <a:off x="0" y="0"/>
                      <a:ext cx="3319802" cy="3376809"/>
                    </a:xfrm>
                    <a:prstGeom prst="rect">
                      <a:avLst/>
                    </a:prstGeom>
                  </pic:spPr>
                </pic:pic>
              </a:graphicData>
            </a:graphic>
          </wp:inline>
        </w:drawing>
      </w:r>
    </w:p>
    <w:p w14:paraId="3B436AB4" w14:textId="77777777" w:rsidR="00C24744" w:rsidRPr="00C24744" w:rsidRDefault="00C24744" w:rsidP="00C24744">
      <w:pPr>
        <w:spacing w:line="240" w:lineRule="auto"/>
        <w:ind w:left="709" w:right="709"/>
        <w:jc w:val="both"/>
        <w:rPr>
          <w:rFonts w:ascii="Verdana" w:eastAsia="Aptos" w:hAnsi="Verdana" w:cs="Times New Roman"/>
          <w:kern w:val="2"/>
          <w:sz w:val="20"/>
          <w:szCs w:val="20"/>
          <w14:ligatures w14:val="standardContextual"/>
        </w:rPr>
      </w:pPr>
      <w:r w:rsidRPr="00C24744">
        <w:rPr>
          <w:rFonts w:ascii="Verdana" w:eastAsia="Aptos" w:hAnsi="Verdana" w:cs="Times New Roman"/>
          <w:kern w:val="2"/>
          <w:sz w:val="20"/>
          <w:szCs w:val="20"/>
          <w14:ligatures w14:val="standardContextual"/>
        </w:rPr>
        <w:t>En desarrollo del proceso de selección, algunos oferentes han presentado contratos que, según su consideración, permiten acreditar la experiencia requerida.</w:t>
      </w:r>
    </w:p>
    <w:p w14:paraId="24613D7B" w14:textId="77777777" w:rsidR="00C24744" w:rsidRPr="00C24744" w:rsidRDefault="00C24744" w:rsidP="00C24744">
      <w:pPr>
        <w:spacing w:line="240" w:lineRule="auto"/>
        <w:ind w:left="709" w:right="709"/>
        <w:jc w:val="both"/>
        <w:rPr>
          <w:rFonts w:ascii="Verdana" w:eastAsia="Aptos" w:hAnsi="Verdana" w:cs="Times New Roman"/>
          <w:kern w:val="2"/>
          <w:sz w:val="20"/>
          <w:szCs w:val="20"/>
          <w14:ligatures w14:val="standardContextual"/>
        </w:rPr>
      </w:pPr>
      <w:r w:rsidRPr="00C24744">
        <w:rPr>
          <w:rFonts w:ascii="Verdana" w:eastAsia="Aptos" w:hAnsi="Verdana" w:cs="Times New Roman"/>
          <w:kern w:val="2"/>
          <w:sz w:val="20"/>
          <w:szCs w:val="20"/>
          <w14:ligatures w14:val="standardContextual"/>
        </w:rPr>
        <w:t>Entre las experiencias aportadas se encuentran, particularmente las siguientes:</w:t>
      </w:r>
    </w:p>
    <w:p w14:paraId="4180531A" w14:textId="77777777" w:rsidR="00C24744" w:rsidRPr="00C24744" w:rsidRDefault="00C24744" w:rsidP="00C24744">
      <w:pPr>
        <w:spacing w:line="240" w:lineRule="auto"/>
        <w:ind w:left="709" w:right="709"/>
        <w:jc w:val="both"/>
        <w:rPr>
          <w:rFonts w:ascii="Verdana" w:eastAsia="Aptos" w:hAnsi="Verdana" w:cs="Times New Roman"/>
          <w:kern w:val="2"/>
          <w:sz w:val="20"/>
          <w:szCs w:val="20"/>
          <w14:ligatures w14:val="standardContextual"/>
        </w:rPr>
      </w:pPr>
      <w:r w:rsidRPr="00C24744">
        <w:rPr>
          <w:rFonts w:ascii="Verdana" w:eastAsia="Aptos" w:hAnsi="Verdana" w:cs="Times New Roman"/>
          <w:kern w:val="2"/>
          <w:sz w:val="20"/>
          <w:szCs w:val="20"/>
          <w14:ligatures w14:val="standardContextual"/>
        </w:rPr>
        <w:t>1. “CONSTRUCCIÓN CENTRO DE INTEGRACIÓN CIUDADANA – CIC – DEL MUNICIPIO DE PACHAVITA”.</w:t>
      </w:r>
    </w:p>
    <w:p w14:paraId="7300E7DB" w14:textId="77777777" w:rsidR="00C24744" w:rsidRPr="00C24744" w:rsidRDefault="00C24744" w:rsidP="00C24744">
      <w:pPr>
        <w:spacing w:line="240" w:lineRule="auto"/>
        <w:ind w:left="709" w:right="709"/>
        <w:jc w:val="both"/>
        <w:rPr>
          <w:rFonts w:ascii="Verdana" w:eastAsia="Aptos" w:hAnsi="Verdana" w:cs="Times New Roman"/>
          <w:kern w:val="2"/>
          <w:sz w:val="20"/>
          <w:szCs w:val="20"/>
          <w14:ligatures w14:val="standardContextual"/>
        </w:rPr>
      </w:pPr>
      <w:r w:rsidRPr="00C24744">
        <w:rPr>
          <w:rFonts w:ascii="Verdana" w:eastAsia="Aptos" w:hAnsi="Verdana" w:cs="Times New Roman"/>
          <w:kern w:val="2"/>
          <w:sz w:val="20"/>
          <w:szCs w:val="20"/>
          <w14:ligatures w14:val="standardContextual"/>
        </w:rPr>
        <w:t>2. “MEJORAMIENTO ESCENARIO DEPORTIVO DE LA INSTITUCIÓN EDUCATIVA SUSANA GUILLEMIN DEL MUNICIPIO DE BELEN DEPARTAMENTO DE BOYACA”.</w:t>
      </w:r>
    </w:p>
    <w:p w14:paraId="04CBAD7B" w14:textId="77777777" w:rsidR="00C24744" w:rsidRPr="00C24744" w:rsidRDefault="00C24744" w:rsidP="00C24744">
      <w:pPr>
        <w:spacing w:line="240" w:lineRule="auto"/>
        <w:ind w:left="709" w:right="709"/>
        <w:jc w:val="both"/>
        <w:rPr>
          <w:rFonts w:ascii="Verdana" w:eastAsia="Aptos" w:hAnsi="Verdana" w:cs="Times New Roman"/>
          <w:kern w:val="2"/>
          <w:sz w:val="20"/>
          <w:szCs w:val="20"/>
          <w14:ligatures w14:val="standardContextual"/>
        </w:rPr>
      </w:pPr>
      <w:r w:rsidRPr="00C24744">
        <w:rPr>
          <w:rFonts w:ascii="Verdana" w:eastAsia="Aptos" w:hAnsi="Verdana" w:cs="Times New Roman"/>
          <w:kern w:val="2"/>
          <w:sz w:val="20"/>
          <w:szCs w:val="20"/>
          <w14:ligatures w14:val="standardContextual"/>
        </w:rPr>
        <w:lastRenderedPageBreak/>
        <w:t>Ante esta situación, surge para la Entidad la necesidad de establecer el alcance que debe darse a la expresión “PROYECTOS QUE CORRESPONDAN Y/O HAYAN CONTENIDO UNA Y/O ALGUNAS DE LAS SIGUIENTES ACTIVIDADES: - CONSTRUCCIÓN Y/O AMPLIACIÓN Y/O RECONSTRUCCIÓN Y/O ADECUACIÓN Y/O CONSERVACIÓN Y/O INTERVENCIÓN Y/O INSTALACIÓN Y/O MANTENIMIENTO Y/O MEJORAMIENTO Y/O MODIFICACIÓN U OPTIMIZACIÓN Y/O REHABILITACIÓN Y/O REMODELACIÓN Y/O REPOSICIÓN Y/O REPARACIÓN LOCATIVA Y/O RESTAURACIÓN Y/O RESTITUCIÓN Y/O TERMINACIÓN DE PARQUES Y/O DE ESPACIO PÚBLICO”, contenida en la Matriz de Experiencia.</w:t>
      </w:r>
    </w:p>
    <w:p w14:paraId="14CAF0F9" w14:textId="77777777" w:rsidR="00C24744" w:rsidRPr="00C24744" w:rsidRDefault="00C24744" w:rsidP="00C24744">
      <w:pPr>
        <w:spacing w:line="240" w:lineRule="auto"/>
        <w:ind w:left="709" w:right="709"/>
        <w:jc w:val="both"/>
        <w:rPr>
          <w:rFonts w:ascii="Verdana" w:eastAsia="Aptos" w:hAnsi="Verdana" w:cs="Times New Roman"/>
          <w:kern w:val="2"/>
          <w:sz w:val="20"/>
          <w:szCs w:val="20"/>
          <w14:ligatures w14:val="standardContextual"/>
        </w:rPr>
      </w:pPr>
      <w:r w:rsidRPr="00C24744">
        <w:rPr>
          <w:rFonts w:ascii="Verdana" w:eastAsia="Aptos" w:hAnsi="Verdana" w:cs="Times New Roman"/>
          <w:kern w:val="2"/>
          <w:sz w:val="20"/>
          <w:szCs w:val="20"/>
          <w14:ligatures w14:val="standardContextual"/>
        </w:rPr>
        <w:t>2. SITUACIÓN OBJETO DE CONSULTA</w:t>
      </w:r>
    </w:p>
    <w:p w14:paraId="488B3728" w14:textId="77777777" w:rsidR="00C24744" w:rsidRPr="00C24744" w:rsidRDefault="00C24744" w:rsidP="00C24744">
      <w:pPr>
        <w:spacing w:line="240" w:lineRule="auto"/>
        <w:ind w:left="709" w:right="709"/>
        <w:jc w:val="both"/>
        <w:rPr>
          <w:rFonts w:ascii="Verdana" w:eastAsia="Aptos" w:hAnsi="Verdana" w:cs="Times New Roman"/>
          <w:kern w:val="2"/>
          <w:sz w:val="20"/>
          <w:szCs w:val="20"/>
          <w14:ligatures w14:val="standardContextual"/>
        </w:rPr>
      </w:pPr>
      <w:r w:rsidRPr="00C24744">
        <w:rPr>
          <w:rFonts w:ascii="Verdana" w:eastAsia="Aptos" w:hAnsi="Verdana" w:cs="Times New Roman"/>
          <w:kern w:val="2"/>
          <w:sz w:val="20"/>
          <w:szCs w:val="20"/>
          <w14:ligatures w14:val="standardContextual"/>
        </w:rPr>
        <w:t xml:space="preserve">La inquietud de la Entidad se origina en que los contratos anteriormente señalados se enmarcan dentro de la Matriz No.1 de forma específica en: - Actividad a contratar: 2.2. PROYECTOS DE ADECUACIÓN Y/O CONSERVACIÓN Y/O INTERVENCIÓN Y/O INSTALACIÓN Y/O MANTENIMIENTO Y/O MEJORAMIENTO Y/O MODIFICACIÓN U OPTIMIZACIÓN Y/O REHABILITACIÓN Y/O REMODELACIÓN Y/O REPOSICIÓN Y/O REPARACIÓN LOCATIVA Y/O RESTAURACIÓN Y/O RESTITUCIÓN Y/O TERMINACIÓN DE PARQUES Y/O ESPACIO </w:t>
      </w:r>
    </w:p>
    <w:p w14:paraId="1FCFC3F0" w14:textId="77777777" w:rsidR="00C24744" w:rsidRPr="00C24744" w:rsidRDefault="00C24744" w:rsidP="00C24744">
      <w:pPr>
        <w:spacing w:line="240" w:lineRule="auto"/>
        <w:ind w:left="709" w:right="709"/>
        <w:jc w:val="both"/>
        <w:rPr>
          <w:rFonts w:ascii="Verdana" w:eastAsia="Aptos" w:hAnsi="Verdana" w:cs="Times New Roman"/>
          <w:kern w:val="2"/>
          <w:sz w:val="20"/>
          <w:szCs w:val="20"/>
          <w14:ligatures w14:val="standardContextual"/>
        </w:rPr>
      </w:pPr>
      <w:r w:rsidRPr="00C24744">
        <w:rPr>
          <w:rFonts w:ascii="Verdana" w:eastAsia="Aptos" w:hAnsi="Verdana" w:cs="Times New Roman"/>
          <w:kern w:val="2"/>
          <w:sz w:val="20"/>
          <w:szCs w:val="20"/>
          <w14:ligatures w14:val="standardContextual"/>
        </w:rPr>
        <w:t xml:space="preserve">PUBLICO Y/O ALAMEDAS - - Experiencia General: PROYECTOS QUE CORRESPONDAN Y/O HAYAN CONTENIDO UNA Y/O ALGUNAS DE LAS SIGUIENTES ACTIVIDADES: </w:t>
      </w:r>
    </w:p>
    <w:p w14:paraId="009C8FD4" w14:textId="77777777" w:rsidR="00C24744" w:rsidRPr="00C24744" w:rsidRDefault="00C24744" w:rsidP="00C24744">
      <w:pPr>
        <w:spacing w:line="240" w:lineRule="auto"/>
        <w:ind w:left="709" w:right="709"/>
        <w:jc w:val="both"/>
        <w:rPr>
          <w:rFonts w:ascii="Verdana" w:eastAsia="Aptos" w:hAnsi="Verdana" w:cs="Times New Roman"/>
          <w:kern w:val="2"/>
          <w:sz w:val="20"/>
          <w:szCs w:val="20"/>
          <w14:ligatures w14:val="standardContextual"/>
        </w:rPr>
      </w:pPr>
      <w:r w:rsidRPr="00C24744">
        <w:rPr>
          <w:rFonts w:ascii="Verdana" w:eastAsia="Aptos" w:hAnsi="Verdana" w:cs="Times New Roman"/>
          <w:kern w:val="2"/>
          <w:sz w:val="20"/>
          <w:szCs w:val="20"/>
          <w14:ligatures w14:val="standardContextual"/>
        </w:rPr>
        <w:t>- CONSTRUCCIÓN Y/O AMPLIACIÓN Y/O RECONSTRUCCIÓN Y/O ADECUACIÓN Y/O CONSERVACIÓN Y/O INTERVENCIÓN Y/O INSTALACIÓN Y/O MANTENIMIENTO Y/O MEJORAMIENTO Y/O MODIFICACIÓN U OPTIMIZACIÓN Y/O REHABILITACIÓN Y/O REMODELACIÓN Y/O REPOSICIÓN Y/O REPARACIÓN LOCATIVA Y/O RESTAURACIÓN Y/O RESTITUCIÓN Y/O TERMINACIÓN DE PARQUES Y/O DE ESPACIO PÚBLICO</w:t>
      </w:r>
    </w:p>
    <w:p w14:paraId="11466FFE" w14:textId="77777777" w:rsidR="00C24744" w:rsidRPr="00C24744" w:rsidRDefault="00C24744" w:rsidP="00C24744">
      <w:pPr>
        <w:spacing w:line="240" w:lineRule="auto"/>
        <w:ind w:left="709" w:right="709"/>
        <w:jc w:val="both"/>
        <w:rPr>
          <w:rFonts w:ascii="Verdana" w:eastAsia="Aptos" w:hAnsi="Verdana" w:cs="Times New Roman"/>
          <w:kern w:val="2"/>
          <w:sz w:val="20"/>
          <w:szCs w:val="20"/>
          <w14:ligatures w14:val="standardContextual"/>
        </w:rPr>
      </w:pPr>
      <w:r w:rsidRPr="00C24744">
        <w:rPr>
          <w:rFonts w:ascii="Verdana" w:eastAsia="Aptos" w:hAnsi="Verdana" w:cs="Times New Roman"/>
          <w:kern w:val="2"/>
          <w:sz w:val="20"/>
          <w:szCs w:val="20"/>
          <w14:ligatures w14:val="standardContextual"/>
        </w:rPr>
        <w:t>3. PRIMERA EXPERIENCIA: CENTRO DE INTEGRACIÓN CIUDADANA – CIC</w:t>
      </w:r>
    </w:p>
    <w:p w14:paraId="56430AB0" w14:textId="77777777" w:rsidR="00C24744" w:rsidRPr="00C24744" w:rsidRDefault="00C24744" w:rsidP="00C24744">
      <w:pPr>
        <w:spacing w:line="240" w:lineRule="auto"/>
        <w:ind w:left="709" w:right="709"/>
        <w:jc w:val="both"/>
        <w:rPr>
          <w:rFonts w:ascii="Verdana" w:eastAsia="Aptos" w:hAnsi="Verdana" w:cs="Times New Roman"/>
          <w:kern w:val="2"/>
          <w:sz w:val="20"/>
          <w:szCs w:val="20"/>
          <w14:ligatures w14:val="standardContextual"/>
        </w:rPr>
      </w:pPr>
      <w:r w:rsidRPr="00C24744">
        <w:rPr>
          <w:rFonts w:ascii="Verdana" w:eastAsia="Aptos" w:hAnsi="Verdana" w:cs="Times New Roman"/>
          <w:kern w:val="2"/>
          <w:sz w:val="20"/>
          <w:szCs w:val="20"/>
          <w14:ligatures w14:val="standardContextual"/>
        </w:rPr>
        <w:t>Uno de los oferentes aporta como experiencia un contrato cuyo objeto corresponde a:</w:t>
      </w:r>
    </w:p>
    <w:p w14:paraId="64FDD5BE" w14:textId="77777777" w:rsidR="00C24744" w:rsidRPr="00C24744" w:rsidRDefault="00C24744" w:rsidP="00C24744">
      <w:pPr>
        <w:spacing w:line="240" w:lineRule="auto"/>
        <w:ind w:left="709" w:right="709"/>
        <w:jc w:val="both"/>
        <w:rPr>
          <w:rFonts w:ascii="Verdana" w:eastAsia="Aptos" w:hAnsi="Verdana" w:cs="Times New Roman"/>
          <w:kern w:val="2"/>
          <w:sz w:val="20"/>
          <w:szCs w:val="20"/>
          <w14:ligatures w14:val="standardContextual"/>
        </w:rPr>
      </w:pPr>
      <w:r w:rsidRPr="00C24744">
        <w:rPr>
          <w:rFonts w:ascii="Verdana" w:eastAsia="Aptos" w:hAnsi="Verdana" w:cs="Times New Roman"/>
          <w:kern w:val="2"/>
          <w:sz w:val="20"/>
          <w:szCs w:val="20"/>
          <w14:ligatures w14:val="standardContextual"/>
        </w:rPr>
        <w:t>“CONSTRUCCIÓN CENTRO DE INTEGRACIÓN CIUDADANA – CIC – DEL MUNICIPIO”.</w:t>
      </w:r>
    </w:p>
    <w:p w14:paraId="78FDCD69" w14:textId="77777777" w:rsidR="00C24744" w:rsidRPr="00C24744" w:rsidRDefault="00C24744" w:rsidP="00C24744">
      <w:pPr>
        <w:spacing w:line="240" w:lineRule="auto"/>
        <w:ind w:left="709" w:right="709"/>
        <w:jc w:val="both"/>
        <w:rPr>
          <w:rFonts w:ascii="Verdana" w:eastAsia="Aptos" w:hAnsi="Verdana" w:cs="Times New Roman"/>
          <w:kern w:val="2"/>
          <w:sz w:val="20"/>
          <w:szCs w:val="20"/>
          <w14:ligatures w14:val="standardContextual"/>
        </w:rPr>
      </w:pPr>
      <w:r w:rsidRPr="00C24744">
        <w:rPr>
          <w:rFonts w:ascii="Verdana" w:eastAsia="Aptos" w:hAnsi="Verdana" w:cs="Times New Roman"/>
          <w:kern w:val="2"/>
          <w:sz w:val="20"/>
          <w:szCs w:val="20"/>
          <w14:ligatures w14:val="standardContextual"/>
        </w:rPr>
        <w:t>La Entidad solicita conceptuar si este contrato puede ser tenido en cuenta para acreditar el requisito de experiencia establecido en el numeral 2.2 de la Matriz, teniendo en cuenta que:</w:t>
      </w:r>
    </w:p>
    <w:p w14:paraId="3BBE2ADC" w14:textId="77777777" w:rsidR="00C24744" w:rsidRPr="00C24744" w:rsidRDefault="00C24744" w:rsidP="00C24744">
      <w:pPr>
        <w:spacing w:line="240" w:lineRule="auto"/>
        <w:ind w:left="709" w:right="709"/>
        <w:jc w:val="both"/>
        <w:rPr>
          <w:rFonts w:ascii="Verdana" w:eastAsia="Aptos" w:hAnsi="Verdana" w:cs="Times New Roman"/>
          <w:kern w:val="2"/>
          <w:sz w:val="20"/>
          <w:szCs w:val="20"/>
          <w14:ligatures w14:val="standardContextual"/>
        </w:rPr>
      </w:pPr>
      <w:r w:rsidRPr="00C24744">
        <w:rPr>
          <w:rFonts w:ascii="Verdana" w:eastAsia="Aptos" w:hAnsi="Verdana" w:cs="Times New Roman"/>
          <w:kern w:val="2"/>
          <w:sz w:val="20"/>
          <w:szCs w:val="20"/>
          <w14:ligatures w14:val="standardContextual"/>
        </w:rPr>
        <w:t>a. El objeto principal corresponde a la construcción de un Centro de Integración Ciudadana – CIC. (Tipología Ministerio del Interior).</w:t>
      </w:r>
    </w:p>
    <w:p w14:paraId="097EFB30" w14:textId="77777777" w:rsidR="00C24744" w:rsidRPr="00C24744" w:rsidRDefault="00C24744" w:rsidP="00C24744">
      <w:pPr>
        <w:spacing w:line="240" w:lineRule="auto"/>
        <w:ind w:left="709" w:right="709"/>
        <w:jc w:val="both"/>
        <w:rPr>
          <w:rFonts w:ascii="Verdana" w:eastAsia="Aptos" w:hAnsi="Verdana" w:cs="Times New Roman"/>
          <w:kern w:val="2"/>
          <w:sz w:val="20"/>
          <w:szCs w:val="20"/>
          <w14:ligatures w14:val="standardContextual"/>
        </w:rPr>
      </w:pPr>
      <w:r w:rsidRPr="00C24744">
        <w:rPr>
          <w:rFonts w:ascii="Verdana" w:eastAsia="Aptos" w:hAnsi="Verdana" w:cs="Times New Roman"/>
          <w:kern w:val="2"/>
          <w:sz w:val="20"/>
          <w:szCs w:val="20"/>
          <w14:ligatures w14:val="standardContextual"/>
        </w:rPr>
        <w:lastRenderedPageBreak/>
        <w:t>b. Puede establecerse que la construcción de un Centro de Integración Ciudadana – CIC corresponde con intervención de parques y/o espacio público?</w:t>
      </w:r>
    </w:p>
    <w:p w14:paraId="67771BEE" w14:textId="77777777" w:rsidR="00C24744" w:rsidRPr="00C24744" w:rsidRDefault="00C24744" w:rsidP="00C24744">
      <w:pPr>
        <w:spacing w:line="240" w:lineRule="auto"/>
        <w:ind w:left="709" w:right="709"/>
        <w:jc w:val="both"/>
        <w:rPr>
          <w:rFonts w:ascii="Verdana" w:eastAsia="Aptos" w:hAnsi="Verdana" w:cs="Times New Roman"/>
          <w:kern w:val="2"/>
          <w:sz w:val="20"/>
          <w:szCs w:val="20"/>
          <w14:ligatures w14:val="standardContextual"/>
        </w:rPr>
      </w:pPr>
      <w:r w:rsidRPr="00C24744">
        <w:rPr>
          <w:rFonts w:ascii="Verdana" w:eastAsia="Aptos" w:hAnsi="Verdana" w:cs="Times New Roman"/>
          <w:kern w:val="2"/>
          <w:sz w:val="20"/>
          <w:szCs w:val="20"/>
          <w14:ligatures w14:val="standardContextual"/>
        </w:rPr>
        <w:t xml:space="preserve">Por lo anterior, se solicita establecer si, dicho contrato se enmarca dentro del alcance de la experiencia establecida en la matriz de experiencia No. 1 de los pliegos tipo de infraestructura social, Actividad 2.2. para acreditar la experiencia exigida. </w:t>
      </w:r>
    </w:p>
    <w:p w14:paraId="5F775BD7" w14:textId="77777777" w:rsidR="00C24744" w:rsidRPr="00C24744" w:rsidRDefault="00C24744" w:rsidP="00C24744">
      <w:pPr>
        <w:spacing w:line="240" w:lineRule="auto"/>
        <w:ind w:left="709" w:right="709"/>
        <w:jc w:val="both"/>
        <w:rPr>
          <w:rFonts w:ascii="Verdana" w:eastAsia="Aptos" w:hAnsi="Verdana" w:cs="Times New Roman"/>
          <w:kern w:val="2"/>
          <w:sz w:val="20"/>
          <w:szCs w:val="20"/>
          <w14:ligatures w14:val="standardContextual"/>
        </w:rPr>
      </w:pPr>
      <w:r w:rsidRPr="00C24744">
        <w:rPr>
          <w:rFonts w:ascii="Verdana" w:eastAsia="Aptos" w:hAnsi="Verdana" w:cs="Times New Roman"/>
          <w:kern w:val="2"/>
          <w:sz w:val="20"/>
          <w:szCs w:val="20"/>
          <w14:ligatures w14:val="standardContextual"/>
        </w:rPr>
        <w:t>4. SEGUNDA EXPERIENCIA: MEJORAMIENTO DE ESCENARIO DEPORTIVO EN INSTITUCIÓN EDUCATIVA</w:t>
      </w:r>
    </w:p>
    <w:p w14:paraId="010B33E8" w14:textId="77777777" w:rsidR="00C24744" w:rsidRPr="00C24744" w:rsidRDefault="00C24744" w:rsidP="00C24744">
      <w:pPr>
        <w:spacing w:line="240" w:lineRule="auto"/>
        <w:ind w:left="709" w:right="709"/>
        <w:jc w:val="both"/>
        <w:rPr>
          <w:rFonts w:ascii="Verdana" w:eastAsia="Aptos" w:hAnsi="Verdana" w:cs="Times New Roman"/>
          <w:kern w:val="2"/>
          <w:sz w:val="20"/>
          <w:szCs w:val="20"/>
          <w14:ligatures w14:val="standardContextual"/>
        </w:rPr>
      </w:pPr>
      <w:r w:rsidRPr="00C24744">
        <w:rPr>
          <w:rFonts w:ascii="Verdana" w:eastAsia="Aptos" w:hAnsi="Verdana" w:cs="Times New Roman"/>
          <w:kern w:val="2"/>
          <w:sz w:val="20"/>
          <w:szCs w:val="20"/>
          <w14:ligatures w14:val="standardContextual"/>
        </w:rPr>
        <w:t>Un segundo oferente aporta como experiencia un contrato cuyo objeto corresponde a:</w:t>
      </w:r>
    </w:p>
    <w:p w14:paraId="25D2F4DE" w14:textId="77777777" w:rsidR="00C24744" w:rsidRPr="00C24744" w:rsidRDefault="00C24744" w:rsidP="00C24744">
      <w:pPr>
        <w:spacing w:line="240" w:lineRule="auto"/>
        <w:ind w:left="709" w:right="709"/>
        <w:jc w:val="both"/>
        <w:rPr>
          <w:rFonts w:ascii="Verdana" w:eastAsia="Aptos" w:hAnsi="Verdana" w:cs="Times New Roman"/>
          <w:kern w:val="2"/>
          <w:sz w:val="20"/>
          <w:szCs w:val="20"/>
          <w14:ligatures w14:val="standardContextual"/>
        </w:rPr>
      </w:pPr>
      <w:r w:rsidRPr="00C24744">
        <w:rPr>
          <w:rFonts w:ascii="Verdana" w:eastAsia="Aptos" w:hAnsi="Verdana" w:cs="Times New Roman"/>
          <w:kern w:val="2"/>
          <w:sz w:val="20"/>
          <w:szCs w:val="20"/>
          <w14:ligatures w14:val="standardContextual"/>
        </w:rPr>
        <w:t>“MEJORAMIENTO ESCENARIO DEPORTIVO DE LA INSTITUCIÓN EDUCATIVA SUSANA GUILLEMIN DEL MUNICIPIO DE BELEN DEPARTAMENTO DE BOYACA”</w:t>
      </w:r>
    </w:p>
    <w:p w14:paraId="2908BB39" w14:textId="77777777" w:rsidR="00C24744" w:rsidRPr="00C24744" w:rsidRDefault="00C24744" w:rsidP="00C24744">
      <w:pPr>
        <w:spacing w:line="240" w:lineRule="auto"/>
        <w:ind w:left="709" w:right="709"/>
        <w:jc w:val="both"/>
        <w:rPr>
          <w:rFonts w:ascii="Verdana" w:eastAsia="Aptos" w:hAnsi="Verdana" w:cs="Times New Roman"/>
          <w:kern w:val="2"/>
          <w:sz w:val="20"/>
          <w:szCs w:val="20"/>
          <w14:ligatures w14:val="standardContextual"/>
        </w:rPr>
      </w:pPr>
      <w:r w:rsidRPr="00C24744">
        <w:rPr>
          <w:rFonts w:ascii="Verdana" w:eastAsia="Aptos" w:hAnsi="Verdana" w:cs="Times New Roman"/>
          <w:kern w:val="2"/>
          <w:sz w:val="20"/>
          <w:szCs w:val="20"/>
          <w14:ligatures w14:val="standardContextual"/>
        </w:rPr>
        <w:t>Frente a esta experiencia, se presenta una situación similar, toda vez que el objeto contractual corresponde al mejoramiento de un escenario deportivo ubicado dentro de una institución educativa.</w:t>
      </w:r>
    </w:p>
    <w:p w14:paraId="4F033F21" w14:textId="77777777" w:rsidR="00C24744" w:rsidRPr="00C24744" w:rsidRDefault="00C24744" w:rsidP="00C24744">
      <w:pPr>
        <w:spacing w:line="240" w:lineRule="auto"/>
        <w:ind w:left="709" w:right="709"/>
        <w:jc w:val="both"/>
        <w:rPr>
          <w:rFonts w:ascii="Verdana" w:eastAsia="Aptos" w:hAnsi="Verdana" w:cs="Times New Roman"/>
          <w:kern w:val="2"/>
          <w:sz w:val="20"/>
          <w:szCs w:val="20"/>
          <w14:ligatures w14:val="standardContextual"/>
        </w:rPr>
      </w:pPr>
      <w:r w:rsidRPr="00C24744">
        <w:rPr>
          <w:rFonts w:ascii="Verdana" w:eastAsia="Aptos" w:hAnsi="Verdana" w:cs="Times New Roman"/>
          <w:kern w:val="2"/>
          <w:sz w:val="20"/>
          <w:szCs w:val="20"/>
          <w14:ligatures w14:val="standardContextual"/>
        </w:rPr>
        <w:t>Por lo anterior, se requiere determinar si la Entidad puede considerar dicha experiencia cuando, de acuerdo con los documentos del pliego tipo de infraestructura social indica expresamente “parques y/o espacio público”.</w:t>
      </w:r>
    </w:p>
    <w:p w14:paraId="4A99A6C6" w14:textId="77777777" w:rsidR="00C24744" w:rsidRPr="00C24744" w:rsidRDefault="00C24744" w:rsidP="00C24744">
      <w:pPr>
        <w:spacing w:line="240" w:lineRule="auto"/>
        <w:ind w:left="709" w:right="709"/>
        <w:jc w:val="both"/>
        <w:rPr>
          <w:rFonts w:ascii="Verdana" w:eastAsia="Aptos" w:hAnsi="Verdana" w:cs="Times New Roman"/>
          <w:kern w:val="2"/>
          <w:sz w:val="20"/>
          <w:szCs w:val="20"/>
          <w14:ligatures w14:val="standardContextual"/>
        </w:rPr>
      </w:pPr>
      <w:r w:rsidRPr="00C24744">
        <w:rPr>
          <w:rFonts w:ascii="Verdana" w:eastAsia="Aptos" w:hAnsi="Verdana" w:cs="Times New Roman"/>
          <w:kern w:val="2"/>
          <w:sz w:val="20"/>
          <w:szCs w:val="20"/>
          <w14:ligatures w14:val="standardContextual"/>
        </w:rPr>
        <w:t>5. CONSULTAS A COLOMBIA COMPRA EFICIENTE</w:t>
      </w:r>
    </w:p>
    <w:p w14:paraId="039FCAA2" w14:textId="77777777" w:rsidR="00C24744" w:rsidRPr="00C24744" w:rsidRDefault="00C24744" w:rsidP="00C24744">
      <w:pPr>
        <w:spacing w:line="240" w:lineRule="auto"/>
        <w:ind w:left="709" w:right="709"/>
        <w:jc w:val="both"/>
        <w:rPr>
          <w:rFonts w:ascii="Verdana" w:eastAsia="Aptos" w:hAnsi="Verdana" w:cs="Times New Roman"/>
          <w:kern w:val="2"/>
          <w:sz w:val="20"/>
          <w:szCs w:val="20"/>
          <w14:ligatures w14:val="standardContextual"/>
        </w:rPr>
      </w:pPr>
      <w:r w:rsidRPr="00C24744">
        <w:rPr>
          <w:rFonts w:ascii="Verdana" w:eastAsia="Aptos" w:hAnsi="Verdana" w:cs="Times New Roman"/>
          <w:kern w:val="2"/>
          <w:sz w:val="20"/>
          <w:szCs w:val="20"/>
          <w14:ligatures w14:val="standardContextual"/>
        </w:rPr>
        <w:t>Con fundamento en los antecedentes expuestos, respetuosamente solicitamos a la Agencia Nacional de Contratación Pública – Colombia Compra Eficiente conceptuar sobre los siguientes interrogantes:</w:t>
      </w:r>
    </w:p>
    <w:p w14:paraId="242D4E05" w14:textId="77777777" w:rsidR="00C24744" w:rsidRPr="00C24744" w:rsidRDefault="00C24744" w:rsidP="00C24744">
      <w:pPr>
        <w:spacing w:line="240" w:lineRule="auto"/>
        <w:ind w:left="709" w:right="709"/>
        <w:jc w:val="both"/>
        <w:rPr>
          <w:rFonts w:ascii="Verdana" w:eastAsia="Aptos" w:hAnsi="Verdana" w:cs="Times New Roman"/>
          <w:kern w:val="2"/>
          <w:sz w:val="20"/>
          <w:szCs w:val="20"/>
          <w14:ligatures w14:val="standardContextual"/>
        </w:rPr>
      </w:pPr>
      <w:r w:rsidRPr="00C24744">
        <w:rPr>
          <w:rFonts w:ascii="Verdana" w:eastAsia="Aptos" w:hAnsi="Verdana" w:cs="Times New Roman"/>
          <w:kern w:val="2"/>
          <w:sz w:val="20"/>
          <w:szCs w:val="20"/>
          <w14:ligatures w14:val="standardContextual"/>
        </w:rPr>
        <w:t>a) Para efectos de acreditar el requisito establecido en el numeral 2.2. “Proyectos de adecuación y/o conservación y/o intervención y/o instalación y/o mantenimiento y/o mejoramiento y/o modificación u optimización y/o rehabilitación y/o remodelación y/o reposición y/o reparación locativa y/o restauración y/o restitución y/o terminación de parques y/o espacio público y/o alamedas”, ¿la Entidad debe verificar exclusivamente que el objeto principal del contrato aportado corresponda a parques y/o espacio público?</w:t>
      </w:r>
    </w:p>
    <w:p w14:paraId="7916CCE3" w14:textId="77777777" w:rsidR="00C24744" w:rsidRPr="00C24744" w:rsidRDefault="00C24744" w:rsidP="00C24744">
      <w:pPr>
        <w:spacing w:line="240" w:lineRule="auto"/>
        <w:ind w:left="709" w:right="709"/>
        <w:jc w:val="both"/>
        <w:rPr>
          <w:rFonts w:ascii="Verdana" w:eastAsia="Aptos" w:hAnsi="Verdana" w:cs="Times New Roman"/>
          <w:kern w:val="2"/>
          <w:sz w:val="20"/>
          <w:szCs w:val="20"/>
          <w14:ligatures w14:val="standardContextual"/>
        </w:rPr>
      </w:pPr>
      <w:r w:rsidRPr="00C24744">
        <w:rPr>
          <w:rFonts w:ascii="Verdana" w:eastAsia="Aptos" w:hAnsi="Verdana" w:cs="Times New Roman"/>
          <w:kern w:val="2"/>
          <w:sz w:val="20"/>
          <w:szCs w:val="20"/>
          <w14:ligatures w14:val="standardContextual"/>
        </w:rPr>
        <w:t xml:space="preserve">b) ¿Puede considerarse que la experiencia relacionada con la construcción de un Centro de Integración Ciudadana – CIC, cumple con los requisitos de: ¿Experiencia General enmarcada en “Matriz Numeral 2.2” que solicita: “CONSTRUCCIÓN Y/O AMPLIACIÓN Y/O RECONSTRUCCIÓN Y/O ADECUACIÓN Y/O CONSERVACIÓN Y/O INTERVENCIÓN Y/O INSTALACIÓN Y/O MANTENIMIENTO Y/O MEJORAMIENTO Y/O MODIFICACIÓN U OPTIMIZACIÓN Y/O REHABILITACIÓN Y/O REMODELACIÓN Y/O </w:t>
      </w:r>
      <w:r w:rsidRPr="00C24744">
        <w:rPr>
          <w:rFonts w:ascii="Verdana" w:eastAsia="Aptos" w:hAnsi="Verdana" w:cs="Times New Roman"/>
          <w:kern w:val="2"/>
          <w:sz w:val="20"/>
          <w:szCs w:val="20"/>
          <w14:ligatures w14:val="standardContextual"/>
        </w:rPr>
        <w:lastRenderedPageBreak/>
        <w:t xml:space="preserve">REPOSICIÓN Y/O REPARACIÓN LOCATIVA Y/O RESTAURACIÓN Y/O RESTITUCIÓN Y/O TERMINACIÓN DE PARQUES Y/O DE ESPACIO PÚBLICO” y por ello ser </w:t>
      </w:r>
      <w:proofErr w:type="spellStart"/>
      <w:r w:rsidRPr="00C24744">
        <w:rPr>
          <w:rFonts w:ascii="Verdana" w:eastAsia="Aptos" w:hAnsi="Verdana" w:cs="Times New Roman"/>
          <w:kern w:val="2"/>
          <w:sz w:val="20"/>
          <w:szCs w:val="20"/>
          <w14:ligatures w14:val="standardContextual"/>
        </w:rPr>
        <w:t>valida</w:t>
      </w:r>
      <w:proofErr w:type="spellEnd"/>
      <w:r w:rsidRPr="00C24744">
        <w:rPr>
          <w:rFonts w:ascii="Verdana" w:eastAsia="Aptos" w:hAnsi="Verdana" w:cs="Times New Roman"/>
          <w:kern w:val="2"/>
          <w:sz w:val="20"/>
          <w:szCs w:val="20"/>
          <w14:ligatures w14:val="standardContextual"/>
        </w:rPr>
        <w:t xml:space="preserve"> para habilitar al oferente? </w:t>
      </w:r>
    </w:p>
    <w:p w14:paraId="7ABF0DB5" w14:textId="77777777" w:rsidR="00C24744" w:rsidRPr="00C24744" w:rsidRDefault="00C24744" w:rsidP="00C24744">
      <w:pPr>
        <w:spacing w:line="240" w:lineRule="auto"/>
        <w:ind w:left="709" w:right="709"/>
        <w:jc w:val="both"/>
        <w:rPr>
          <w:rFonts w:ascii="Verdana" w:eastAsia="Aptos" w:hAnsi="Verdana" w:cs="Times New Roman"/>
          <w:kern w:val="2"/>
          <w:sz w:val="20"/>
          <w:szCs w:val="20"/>
          <w14:ligatures w14:val="standardContextual"/>
        </w:rPr>
      </w:pPr>
      <w:r w:rsidRPr="00C24744">
        <w:rPr>
          <w:rFonts w:ascii="Verdana" w:eastAsia="Aptos" w:hAnsi="Verdana" w:cs="Times New Roman"/>
          <w:kern w:val="2"/>
          <w:sz w:val="20"/>
          <w:szCs w:val="20"/>
          <w14:ligatures w14:val="standardContextual"/>
        </w:rPr>
        <w:t xml:space="preserve">c) ¿Puede considerarse que la experiencia relacionada con el mejoramiento de un escenario deportivo de una Institución Educativa, cumple con los requisitos de: Experiencia General enmarcada en “Matriz Numeral 2.2” que solicita: “CONSTRUCCIÓN Y/O AMPLIACIÓN Y/O RECONSTRUCCIÓN Y/O ADECUACIÓN Y/O CONSERVACIÓN Y/O INTERVENCIÓN Y/O INSTALACIÓN Y/O MANTENIMIENTO Y/O MEJORAMIENTO Y/O MODIFICACIÓN U OPTIMIZACIÓN Y/O REHABILITACIÓN Y/O REMODELACIÓN Y/O REPOSICIÓN Y/O REPARACIÓN LOCATIVA Y/O RESTAURACIÓN Y/O RESTITUCIÓN Y/O TERMINACIÓN DE PARQUES Y/O DE ESPACIO PÚBLICO” y por ello ser válida para habilitar al oferente? </w:t>
      </w:r>
    </w:p>
    <w:p w14:paraId="0E7DD284" w14:textId="77777777" w:rsidR="00C24744" w:rsidRPr="00C24744" w:rsidRDefault="00C24744" w:rsidP="00C24744">
      <w:pPr>
        <w:spacing w:line="240" w:lineRule="auto"/>
        <w:ind w:left="709" w:right="709"/>
        <w:jc w:val="both"/>
        <w:rPr>
          <w:rFonts w:ascii="Verdana" w:eastAsia="Aptos" w:hAnsi="Verdana" w:cs="Times New Roman"/>
          <w:kern w:val="2"/>
          <w:sz w:val="20"/>
          <w:szCs w:val="20"/>
          <w14:ligatures w14:val="standardContextual"/>
        </w:rPr>
      </w:pPr>
      <w:r w:rsidRPr="00C24744">
        <w:rPr>
          <w:rFonts w:ascii="Verdana" w:eastAsia="Aptos" w:hAnsi="Verdana" w:cs="Times New Roman"/>
          <w:kern w:val="2"/>
          <w:sz w:val="20"/>
          <w:szCs w:val="20"/>
          <w14:ligatures w14:val="standardContextual"/>
        </w:rPr>
        <w:t>d) ¿puede la Entidad aceptar dichos contratos sin que ello implique modificar o ampliar el requisito de experiencia establecido en el Documento Tipo?</w:t>
      </w:r>
    </w:p>
    <w:p w14:paraId="0C01CBE0" w14:textId="77777777" w:rsidR="00C24744" w:rsidRPr="00C24744" w:rsidRDefault="00C24744" w:rsidP="00C24744">
      <w:pPr>
        <w:spacing w:line="240" w:lineRule="auto"/>
        <w:ind w:left="709" w:right="709"/>
        <w:jc w:val="both"/>
        <w:rPr>
          <w:rFonts w:ascii="Verdana" w:eastAsia="Aptos" w:hAnsi="Verdana" w:cs="Times New Roman"/>
          <w:kern w:val="2"/>
          <w:sz w:val="20"/>
          <w:szCs w:val="20"/>
          <w14:ligatures w14:val="standardContextual"/>
        </w:rPr>
      </w:pPr>
      <w:r w:rsidRPr="00C24744">
        <w:rPr>
          <w:rFonts w:ascii="Verdana" w:eastAsia="Aptos" w:hAnsi="Verdana" w:cs="Times New Roman"/>
          <w:kern w:val="2"/>
          <w:sz w:val="20"/>
          <w:szCs w:val="20"/>
          <w14:ligatures w14:val="standardContextual"/>
        </w:rPr>
        <w:t>e) ¿Cuál sería el criterio correcto para diferenciar entre una experiencia que puede ser aceptada y una experiencia que debe ser rechazada por no guardar correspondencia suficiente con la actividad de parques y/o espacio público?</w:t>
      </w:r>
    </w:p>
    <w:p w14:paraId="3BF71383" w14:textId="77777777" w:rsidR="00C24744" w:rsidRPr="00C24744" w:rsidRDefault="00C24744" w:rsidP="00C24744">
      <w:pPr>
        <w:spacing w:line="240" w:lineRule="auto"/>
        <w:ind w:left="709" w:right="709"/>
        <w:jc w:val="both"/>
        <w:rPr>
          <w:rFonts w:ascii="Verdana" w:eastAsia="Aptos" w:hAnsi="Verdana" w:cs="Times New Roman"/>
          <w:kern w:val="2"/>
          <w:sz w:val="20"/>
          <w:szCs w:val="20"/>
          <w14:ligatures w14:val="standardContextual"/>
        </w:rPr>
      </w:pPr>
      <w:r w:rsidRPr="00C24744">
        <w:rPr>
          <w:rFonts w:ascii="Verdana" w:eastAsia="Aptos" w:hAnsi="Verdana" w:cs="Times New Roman"/>
          <w:kern w:val="2"/>
          <w:sz w:val="20"/>
          <w:szCs w:val="20"/>
          <w14:ligatures w14:val="standardContextual"/>
        </w:rPr>
        <w:t>f) Finalmente, ¿la aceptación de cualquiera de las experiencias anteriormente señaladas podría constituir una interpretación extensiva o modificación de las condiciones establecidas en los Documentos Tipo, o, por el contrario, se encuentra dentro de la facultad de la Entidad de verificar la correspondencia material de la experiencia acreditada con la actividad establecida en la Matriz?</w:t>
      </w:r>
    </w:p>
    <w:p w14:paraId="10B458D7" w14:textId="77777777" w:rsidR="00C24744" w:rsidRPr="00C24744" w:rsidRDefault="00C24744" w:rsidP="00C24744">
      <w:pPr>
        <w:spacing w:line="240" w:lineRule="auto"/>
        <w:ind w:left="709" w:right="709"/>
        <w:jc w:val="both"/>
        <w:rPr>
          <w:rFonts w:ascii="Verdana" w:eastAsia="Aptos" w:hAnsi="Verdana" w:cs="Times New Roman"/>
          <w:kern w:val="2"/>
          <w:sz w:val="20"/>
          <w:szCs w:val="20"/>
          <w14:ligatures w14:val="standardContextual"/>
        </w:rPr>
      </w:pPr>
      <w:r w:rsidRPr="00C24744">
        <w:rPr>
          <w:rFonts w:ascii="Verdana" w:eastAsia="Aptos" w:hAnsi="Verdana" w:cs="Times New Roman"/>
          <w:kern w:val="2"/>
          <w:sz w:val="20"/>
          <w:szCs w:val="20"/>
          <w14:ligatures w14:val="standardContextual"/>
        </w:rPr>
        <w:t>g) En caso de existir duda razonable respecto de la correspondencia de la experiencia aportada, ¿qué criterios objetivos recomienda aplicar la Agencia para garantizar simultáneamente los principios de selección objetiva, igualdad, transparencia y pluralidad de oferentes, sin desconocer el carácter obligatorio de los Documentos Tipo?”.</w:t>
      </w:r>
    </w:p>
    <w:p w14:paraId="71C0F82F" w14:textId="77777777" w:rsidR="00C24744" w:rsidRPr="00C24744" w:rsidRDefault="00C24744" w:rsidP="00C24744">
      <w:pPr>
        <w:spacing w:after="0" w:line="240" w:lineRule="auto"/>
        <w:ind w:left="709" w:right="709"/>
        <w:jc w:val="both"/>
        <w:rPr>
          <w:rFonts w:ascii="Arial" w:eastAsia="Aptos" w:hAnsi="Arial" w:cs="Arial"/>
          <w:sz w:val="21"/>
          <w:szCs w:val="21"/>
          <w:lang w:eastAsia="es-MX"/>
        </w:rPr>
      </w:pPr>
    </w:p>
    <w:p w14:paraId="12FE193D" w14:textId="77777777" w:rsidR="00C24744" w:rsidRPr="00C24744" w:rsidRDefault="00C24744" w:rsidP="00C24744">
      <w:pPr>
        <w:spacing w:after="120" w:line="276" w:lineRule="auto"/>
        <w:ind w:firstLine="709"/>
        <w:jc w:val="both"/>
        <w:rPr>
          <w:rFonts w:ascii="Verdana" w:eastAsia="Calibri" w:hAnsi="Verdana" w:cs="Arial"/>
          <w:color w:val="000000"/>
          <w:lang w:val="es-ES" w:eastAsia="es-ES"/>
        </w:rPr>
      </w:pPr>
      <w:r w:rsidRPr="00C24744">
        <w:rPr>
          <w:rFonts w:ascii="Verdana" w:eastAsia="Calibri" w:hAnsi="Verdana" w:cs="Arial"/>
          <w:color w:val="000000"/>
          <w:lang w:val="es-ES" w:eastAsia="es-ES"/>
        </w:rPr>
        <w:t xml:space="preserve">De manera preliminar, resulta necesario acotar que esta entidad sólo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w:t>
      </w:r>
      <w:r w:rsidRPr="00C24744">
        <w:rPr>
          <w:rFonts w:ascii="Verdana" w:eastAsia="Calibri" w:hAnsi="Verdana" w:cs="Arial"/>
          <w:color w:val="000000"/>
          <w:lang w:val="es-ES" w:eastAsia="es-ES"/>
        </w:rPr>
        <w:lastRenderedPageBreak/>
        <w:t xml:space="preserve">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C24744">
        <w:rPr>
          <w:rFonts w:ascii="Verdana" w:eastAsia="Calibri" w:hAnsi="Verdana" w:cs="Arial"/>
          <w:color w:val="000000"/>
          <w:lang w:val="es-ES_tradnl" w:eastAsia="es-ES_tradnl"/>
        </w:rPr>
        <w:tab/>
      </w:r>
    </w:p>
    <w:p w14:paraId="391AFDDF" w14:textId="77777777" w:rsidR="00C24744" w:rsidRPr="00C24744" w:rsidRDefault="00C24744" w:rsidP="00C24744">
      <w:pPr>
        <w:spacing w:after="0" w:line="276" w:lineRule="auto"/>
        <w:ind w:firstLine="709"/>
        <w:jc w:val="both"/>
        <w:rPr>
          <w:rFonts w:ascii="Verdana" w:eastAsia="Calibri" w:hAnsi="Verdana" w:cs="Arial"/>
          <w:color w:val="000000"/>
          <w:lang w:val="es-ES" w:eastAsia="es-ES"/>
        </w:rPr>
      </w:pPr>
      <w:r w:rsidRPr="00C24744">
        <w:rPr>
          <w:rFonts w:ascii="Verdana" w:eastAsia="Calibri" w:hAnsi="Verdana" w:cs="Arial"/>
          <w:color w:val="000000"/>
          <w:lang w:val="es-ES" w:eastAsia="es-ES"/>
        </w:rPr>
        <w:t>Conforme lo expuesto, en aras de satisfacer el derecho fundamental de petición se resolverá su consulta dentro de los límites de la referida competencia consultiva, esto es, haciendo abstracción de las circunstancias particulares y concretas que menciona en las preguntas de la solicitud, pero haciendo unas consideraciones sobre las normas generales relacionadas con el</w:t>
      </w:r>
      <w:r w:rsidRPr="00C24744">
        <w:rPr>
          <w:rFonts w:ascii="Verdana" w:eastAsia="Calibri" w:hAnsi="Verdana" w:cs="Arial"/>
          <w:color w:val="7030A0"/>
          <w:lang w:val="es-ES" w:eastAsia="es-ES"/>
        </w:rPr>
        <w:t xml:space="preserve"> </w:t>
      </w:r>
      <w:r w:rsidRPr="00C24744">
        <w:rPr>
          <w:rFonts w:ascii="Verdana" w:eastAsia="Calibri" w:hAnsi="Verdana" w:cs="Arial"/>
          <w:color w:val="000000"/>
          <w:lang w:val="es-ES" w:eastAsia="es-ES"/>
        </w:rPr>
        <w:t>problema</w:t>
      </w:r>
      <w:r w:rsidRPr="00C24744">
        <w:rPr>
          <w:rFonts w:ascii="Verdana" w:eastAsia="Calibri" w:hAnsi="Verdana" w:cs="Arial"/>
          <w:color w:val="7030A0"/>
          <w:lang w:val="es-ES" w:eastAsia="es-ES"/>
        </w:rPr>
        <w:t xml:space="preserve"> </w:t>
      </w:r>
      <w:r w:rsidRPr="00C24744">
        <w:rPr>
          <w:rFonts w:ascii="Verdana" w:eastAsia="Calibri" w:hAnsi="Verdana" w:cs="Arial"/>
          <w:color w:val="000000"/>
          <w:lang w:val="es-ES" w:eastAsia="es-ES"/>
        </w:rPr>
        <w:t>jurídico</w:t>
      </w:r>
      <w:r w:rsidRPr="00C24744">
        <w:rPr>
          <w:rFonts w:ascii="Verdana" w:eastAsia="Calibri" w:hAnsi="Verdana" w:cs="Arial"/>
          <w:color w:val="7030A0"/>
          <w:lang w:val="es-ES" w:eastAsia="es-ES"/>
        </w:rPr>
        <w:t xml:space="preserve"> </w:t>
      </w:r>
      <w:r w:rsidRPr="00C24744">
        <w:rPr>
          <w:rFonts w:ascii="Verdana" w:eastAsia="Calibri" w:hAnsi="Verdana" w:cs="Arial"/>
          <w:color w:val="000000"/>
          <w:lang w:val="es-ES" w:eastAsia="es-ES"/>
        </w:rPr>
        <w:t xml:space="preserve">de su consulta. </w:t>
      </w:r>
    </w:p>
    <w:p w14:paraId="5B8A1D24" w14:textId="77777777" w:rsidR="00C24744" w:rsidRPr="00C24744" w:rsidRDefault="00C24744" w:rsidP="00C24744">
      <w:pPr>
        <w:spacing w:after="0" w:line="276" w:lineRule="auto"/>
        <w:jc w:val="both"/>
        <w:rPr>
          <w:rFonts w:ascii="Verdana" w:eastAsia="Calibri" w:hAnsi="Verdana" w:cs="Arial"/>
          <w:lang w:val="es-ES" w:eastAsia="es-ES"/>
        </w:rPr>
      </w:pPr>
    </w:p>
    <w:p w14:paraId="5C8CD2B5" w14:textId="77777777" w:rsidR="00C24744" w:rsidRPr="00C24744" w:rsidRDefault="00C24744" w:rsidP="00C24744">
      <w:pPr>
        <w:numPr>
          <w:ilvl w:val="0"/>
          <w:numId w:val="17"/>
        </w:numPr>
        <w:tabs>
          <w:tab w:val="left" w:pos="142"/>
          <w:tab w:val="left" w:pos="284"/>
        </w:tabs>
        <w:spacing w:after="0" w:line="276" w:lineRule="auto"/>
        <w:jc w:val="both"/>
        <w:rPr>
          <w:rFonts w:ascii="Verdana" w:eastAsia="Century Gothic" w:hAnsi="Verdana" w:cs="Century Gothic"/>
          <w:b/>
          <w:bCs/>
          <w:lang w:eastAsia="es-MX"/>
        </w:rPr>
      </w:pPr>
      <w:r w:rsidRPr="00C24744">
        <w:rPr>
          <w:rFonts w:ascii="Verdana" w:eastAsia="Century Gothic" w:hAnsi="Verdana" w:cs="Century Gothic"/>
          <w:b/>
          <w:bCs/>
          <w:lang w:eastAsia="es-MX"/>
        </w:rPr>
        <w:t>Problema planteado:</w:t>
      </w:r>
    </w:p>
    <w:p w14:paraId="217C416C" w14:textId="77777777" w:rsidR="00C24744" w:rsidRPr="00C24744" w:rsidRDefault="00C24744" w:rsidP="00C24744">
      <w:pPr>
        <w:tabs>
          <w:tab w:val="left" w:pos="426"/>
        </w:tabs>
        <w:spacing w:after="0" w:line="276" w:lineRule="auto"/>
        <w:jc w:val="both"/>
        <w:rPr>
          <w:rFonts w:ascii="Verdana" w:eastAsia="Century Gothic" w:hAnsi="Verdana" w:cs="Century Gothic"/>
          <w:lang w:val="es-ES" w:eastAsia="es-MX"/>
        </w:rPr>
      </w:pPr>
    </w:p>
    <w:p w14:paraId="36E693A4" w14:textId="77777777" w:rsidR="00C24744" w:rsidRPr="00C24744" w:rsidRDefault="00C24744" w:rsidP="00C24744">
      <w:pPr>
        <w:spacing w:after="0" w:line="276" w:lineRule="auto"/>
        <w:jc w:val="both"/>
        <w:rPr>
          <w:rFonts w:ascii="Verdana" w:eastAsia="Calibri" w:hAnsi="Verdana" w:cs="Arial"/>
          <w:bCs/>
          <w:lang w:val="es-ES_tradnl" w:eastAsia="es-ES_tradnl"/>
        </w:rPr>
      </w:pPr>
      <w:r w:rsidRPr="00C24744">
        <w:rPr>
          <w:rFonts w:ascii="Verdana" w:eastAsia="Aptos" w:hAnsi="Verdana" w:cs="Times New Roman"/>
          <w:kern w:val="2"/>
          <w14:ligatures w14:val="standardContextual"/>
        </w:rPr>
        <w:t xml:space="preserve">De acuerdo con el contenido de su solicitud, relacionada con los documentos tipo del sector de infraestructura social, concretamente los adicionales del sector cultura, recreación y deporte – versión 2, esta Agencia resolverá los siguientes problemas jurídicos: i) ¿Cuál es el alcance de la experiencia general solicitada para la actividad 2.2 de la Matriz 1 – Experiencia?; </w:t>
      </w:r>
      <w:proofErr w:type="spellStart"/>
      <w:r w:rsidRPr="00C24744">
        <w:rPr>
          <w:rFonts w:ascii="Verdana" w:eastAsia="Aptos" w:hAnsi="Verdana" w:cs="Times New Roman"/>
          <w:kern w:val="2"/>
          <w14:ligatures w14:val="standardContextual"/>
        </w:rPr>
        <w:t>ii</w:t>
      </w:r>
      <w:proofErr w:type="spellEnd"/>
      <w:r w:rsidRPr="00C24744">
        <w:rPr>
          <w:rFonts w:ascii="Verdana" w:eastAsia="Aptos" w:hAnsi="Verdana" w:cs="Times New Roman"/>
          <w:kern w:val="2"/>
          <w14:ligatures w14:val="standardContextual"/>
        </w:rPr>
        <w:t xml:space="preserve">) ¿Puede considerarse que la experiencia relacionada con la construcción de un Centro de Integración Ciudadana – CIC cumple con los requisitos de experiencia general exigidos para la actividad 2.2 de la Matriz 1 – Experiencia?, y </w:t>
      </w:r>
      <w:proofErr w:type="spellStart"/>
      <w:r w:rsidRPr="00C24744">
        <w:rPr>
          <w:rFonts w:ascii="Verdana" w:eastAsia="Aptos" w:hAnsi="Verdana" w:cs="Times New Roman"/>
          <w:kern w:val="2"/>
          <w14:ligatures w14:val="standardContextual"/>
        </w:rPr>
        <w:t>iii</w:t>
      </w:r>
      <w:proofErr w:type="spellEnd"/>
      <w:r w:rsidRPr="00C24744">
        <w:rPr>
          <w:rFonts w:ascii="Verdana" w:eastAsia="Aptos" w:hAnsi="Verdana" w:cs="Times New Roman"/>
          <w:kern w:val="2"/>
          <w14:ligatures w14:val="standardContextual"/>
        </w:rPr>
        <w:t>) ¿Puede considerarse que la experiencia relacionada con el mejoramiento de un escenario deportivo de una institución educativa cumple con los requisitos de experiencia general exigidos para la actividad 2.2 de la Matriz 1 – Experiencia?</w:t>
      </w:r>
    </w:p>
    <w:p w14:paraId="46BAD863" w14:textId="77777777" w:rsidR="00C24744" w:rsidRPr="00C24744" w:rsidRDefault="00C24744" w:rsidP="00C24744">
      <w:pPr>
        <w:spacing w:after="0" w:line="276" w:lineRule="auto"/>
        <w:jc w:val="both"/>
        <w:rPr>
          <w:rFonts w:ascii="Verdana" w:eastAsia="Century Gothic" w:hAnsi="Verdana" w:cs="Century Gothic"/>
          <w:lang w:val="es-ES_tradnl" w:eastAsia="es-MX"/>
        </w:rPr>
      </w:pPr>
    </w:p>
    <w:p w14:paraId="090C37B1" w14:textId="77777777" w:rsidR="00C24744" w:rsidRPr="00C24744" w:rsidRDefault="00C24744" w:rsidP="00C24744">
      <w:pPr>
        <w:tabs>
          <w:tab w:val="left" w:pos="142"/>
          <w:tab w:val="left" w:pos="284"/>
        </w:tabs>
        <w:spacing w:after="0" w:line="276" w:lineRule="auto"/>
        <w:contextualSpacing/>
        <w:jc w:val="both"/>
        <w:rPr>
          <w:rFonts w:ascii="Verdana" w:eastAsia="Century Gothic" w:hAnsi="Verdana" w:cs="Century Gothic"/>
          <w:b/>
          <w:bCs/>
          <w:lang w:val="es-ES" w:eastAsia="es-MX"/>
        </w:rPr>
      </w:pPr>
      <w:r w:rsidRPr="00C24744">
        <w:rPr>
          <w:rFonts w:ascii="Verdana" w:eastAsia="Century Gothic" w:hAnsi="Verdana" w:cs="Century Gothic"/>
          <w:b/>
          <w:bCs/>
          <w:lang w:val="es-ES" w:eastAsia="es-MX"/>
        </w:rPr>
        <w:t>2. Respuestas:</w:t>
      </w:r>
    </w:p>
    <w:p w14:paraId="34C14017" w14:textId="77777777" w:rsidR="00C24744" w:rsidRPr="00C24744" w:rsidRDefault="00C24744" w:rsidP="00C24744">
      <w:pPr>
        <w:tabs>
          <w:tab w:val="left" w:pos="142"/>
          <w:tab w:val="left" w:pos="284"/>
        </w:tabs>
        <w:spacing w:after="0" w:line="276" w:lineRule="auto"/>
        <w:contextualSpacing/>
        <w:jc w:val="both"/>
        <w:rPr>
          <w:rFonts w:ascii="Verdana" w:eastAsia="Century Gothic" w:hAnsi="Verdana" w:cs="Century Gothic"/>
          <w:b/>
          <w:bCs/>
          <w:lang w:val="es-ES" w:eastAsia="es-MX"/>
        </w:rPr>
      </w:pPr>
    </w:p>
    <w:tbl>
      <w:tblPr>
        <w:tblStyle w:val="Tablaconcuadrcula1"/>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C24744" w:rsidRPr="00C24744" w14:paraId="0C260D7E" w14:textId="77777777" w:rsidTr="009E3879">
        <w:trPr>
          <w:trHeight w:val="40"/>
        </w:trPr>
        <w:tc>
          <w:tcPr>
            <w:tcW w:w="8828" w:type="dxa"/>
            <w:tcBorders>
              <w:top w:val="dotted" w:sz="4" w:space="0" w:color="auto"/>
              <w:left w:val="dotted" w:sz="4" w:space="0" w:color="auto"/>
              <w:bottom w:val="dotted" w:sz="4" w:space="0" w:color="auto"/>
              <w:right w:val="dotted" w:sz="4" w:space="0" w:color="auto"/>
            </w:tcBorders>
          </w:tcPr>
          <w:p w14:paraId="74C4946F" w14:textId="77777777" w:rsidR="00C24744" w:rsidRPr="00C24744" w:rsidRDefault="00C24744" w:rsidP="00C24744">
            <w:pPr>
              <w:spacing w:after="120"/>
              <w:jc w:val="both"/>
              <w:rPr>
                <w:rFonts w:ascii="Verdana" w:eastAsia="Calibri" w:hAnsi="Verdana" w:cs="Times New Roman"/>
              </w:rPr>
            </w:pPr>
            <w:r w:rsidRPr="00C24744">
              <w:rPr>
                <w:rFonts w:ascii="Verdana" w:eastAsia="Calibri" w:hAnsi="Verdana" w:cs="Times New Roman"/>
              </w:rPr>
              <w:t>Por unidad de materia, los problemas jurídicos uno (i), dos (</w:t>
            </w:r>
            <w:proofErr w:type="spellStart"/>
            <w:r w:rsidRPr="00C24744">
              <w:rPr>
                <w:rFonts w:ascii="Verdana" w:eastAsia="Calibri" w:hAnsi="Verdana" w:cs="Times New Roman"/>
              </w:rPr>
              <w:t>ii</w:t>
            </w:r>
            <w:proofErr w:type="spellEnd"/>
            <w:r w:rsidRPr="00C24744">
              <w:rPr>
                <w:rFonts w:ascii="Verdana" w:eastAsia="Calibri" w:hAnsi="Verdana" w:cs="Times New Roman"/>
              </w:rPr>
              <w:t>) y tres (</w:t>
            </w:r>
            <w:proofErr w:type="spellStart"/>
            <w:r w:rsidRPr="00C24744">
              <w:rPr>
                <w:rFonts w:ascii="Verdana" w:eastAsia="Calibri" w:hAnsi="Verdana" w:cs="Times New Roman"/>
              </w:rPr>
              <w:t>iii</w:t>
            </w:r>
            <w:proofErr w:type="spellEnd"/>
            <w:r w:rsidRPr="00C24744">
              <w:rPr>
                <w:rFonts w:ascii="Verdana" w:eastAsia="Calibri" w:hAnsi="Verdana" w:cs="Times New Roman"/>
              </w:rPr>
              <w:t>) se resolverán de forma conjunta en los siguientes términos:</w:t>
            </w:r>
          </w:p>
          <w:p w14:paraId="347F5D9C" w14:textId="77777777" w:rsidR="00C24744" w:rsidRPr="00C24744" w:rsidRDefault="00C24744" w:rsidP="00C24744">
            <w:pPr>
              <w:jc w:val="both"/>
              <w:rPr>
                <w:rFonts w:ascii="Verdana" w:eastAsia="Calibri" w:hAnsi="Verdana" w:cs="Times New Roman"/>
              </w:rPr>
            </w:pPr>
            <w:r w:rsidRPr="00C24744">
              <w:rPr>
                <w:rFonts w:ascii="Verdana" w:eastAsia="Calibri" w:hAnsi="Verdana" w:cs="Times New Roman"/>
              </w:rPr>
              <w:t xml:space="preserve">Para la actividad “2.2 PROYECTOS DE ADECUACIÓN Y/O CONSERVACIÓN Y/O INTERVENCIÓN Y/O INSTALACIÓN Y/O MANTENIMIENTO Y/O MEJORAMIENTO Y/O MODIFICACIÓN U OPTIMIZACIÓN Y/O REHABILITACIÓN Y/O REMODELACIÓN Y/O REPOSICIÓN Y/O REPARACIÓN LOCATIVA Y/O RESTAURACIÓN Y/O RESTITUCIÓN Y/O TERMINACIÓN DE PARQUES Y/O ESPACIO PUBLICO Y/O ALAMEDAS” contenida en la Matriz 1 – Experiencia para </w:t>
            </w:r>
            <w:r w:rsidRPr="00C24744">
              <w:rPr>
                <w:rFonts w:ascii="Verdana" w:eastAsia="Calibri" w:hAnsi="Verdana" w:cs="Times New Roman"/>
              </w:rPr>
              <w:lastRenderedPageBreak/>
              <w:t>de los documentos tipo complementarios del Sector Cultura, recreación y deporte, se solicita la siguiente experiencia general:</w:t>
            </w:r>
          </w:p>
          <w:p w14:paraId="15370A1C" w14:textId="77777777" w:rsidR="00C24744" w:rsidRPr="00C24744" w:rsidRDefault="00C24744" w:rsidP="00C24744">
            <w:pPr>
              <w:jc w:val="both"/>
              <w:rPr>
                <w:rFonts w:ascii="Verdana" w:eastAsia="Calibri" w:hAnsi="Verdana" w:cs="Times New Roman"/>
              </w:rPr>
            </w:pPr>
          </w:p>
          <w:p w14:paraId="7B8B7EE1" w14:textId="77777777" w:rsidR="00C24744" w:rsidRPr="00C24744" w:rsidRDefault="00C24744" w:rsidP="00C24744">
            <w:pPr>
              <w:ind w:left="709" w:right="709"/>
              <w:jc w:val="both"/>
              <w:rPr>
                <w:rFonts w:ascii="Verdana" w:eastAsia="Calibri" w:hAnsi="Verdana" w:cs="Times New Roman"/>
              </w:rPr>
            </w:pPr>
            <w:r w:rsidRPr="00C24744">
              <w:rPr>
                <w:rFonts w:ascii="Verdana" w:eastAsia="Calibri" w:hAnsi="Verdana" w:cs="Times New Roman"/>
              </w:rPr>
              <w:t xml:space="preserve">"PROYECTOS QUE CORRESPONDAN Y/O HAYAN CONTENIDO UNA Y/O ALGUNAS DE LAS SIGUIENTES ACTIVIDADES: </w:t>
            </w:r>
          </w:p>
          <w:p w14:paraId="318F6C1C" w14:textId="77777777" w:rsidR="00C24744" w:rsidRPr="00C24744" w:rsidRDefault="00C24744" w:rsidP="00C24744">
            <w:pPr>
              <w:ind w:left="709" w:right="709"/>
              <w:jc w:val="both"/>
              <w:rPr>
                <w:rFonts w:ascii="Verdana" w:eastAsia="Calibri" w:hAnsi="Verdana" w:cs="Times New Roman"/>
              </w:rPr>
            </w:pPr>
            <w:r w:rsidRPr="00C24744">
              <w:rPr>
                <w:rFonts w:ascii="Verdana" w:eastAsia="Calibri" w:hAnsi="Verdana" w:cs="Times New Roman"/>
              </w:rPr>
              <w:t>-  CONSTRUCCIÓN Y/O AMPLIACIÓN Y/O RECONSTRUCCIÓN Y/O ADECUACIÓN Y/O CONSERVACIÓN Y/O INTERVENCIÓN Y/O INSTALACIÓN Y/O MANTENIMIENTO Y/O MEJORAMIENTO Y/O MODIFICACIÓN U OPTIMIZACIÓN Y/O REHABILITACIÓN Y/O REMODELACIÓN Y/O REPOSICIÓN Y/O REPARACIÓN LOCATIVA Y/O RESTAURACIÓN Y/O RESTITUCIÓN Y/O TERMINACIÓN DE PARQUES Y/O DE ESPACIO PÚBLICO "</w:t>
            </w:r>
            <w:r w:rsidRPr="00C24744">
              <w:rPr>
                <w:rFonts w:ascii="Verdana" w:eastAsia="Calibri" w:hAnsi="Verdana" w:cs="Times New Roman"/>
              </w:rPr>
              <w:tab/>
            </w:r>
            <w:r w:rsidRPr="00C24744">
              <w:rPr>
                <w:rFonts w:ascii="Verdana" w:eastAsia="Calibri" w:hAnsi="Verdana" w:cs="Times New Roman"/>
              </w:rPr>
              <w:tab/>
            </w:r>
            <w:r w:rsidRPr="00C24744">
              <w:rPr>
                <w:rFonts w:ascii="Verdana" w:eastAsia="Calibri" w:hAnsi="Verdana" w:cs="Times New Roman"/>
              </w:rPr>
              <w:tab/>
            </w:r>
            <w:r w:rsidRPr="00C24744">
              <w:rPr>
                <w:rFonts w:ascii="Verdana" w:eastAsia="Calibri" w:hAnsi="Verdana" w:cs="Times New Roman"/>
              </w:rPr>
              <w:tab/>
            </w:r>
            <w:r w:rsidRPr="00C24744">
              <w:rPr>
                <w:rFonts w:ascii="Verdana" w:eastAsia="Calibri" w:hAnsi="Verdana" w:cs="Times New Roman"/>
              </w:rPr>
              <w:tab/>
            </w:r>
          </w:p>
          <w:p w14:paraId="66333713" w14:textId="77777777" w:rsidR="00C24744" w:rsidRPr="00C24744" w:rsidRDefault="00C24744" w:rsidP="00C24744">
            <w:pPr>
              <w:jc w:val="both"/>
              <w:rPr>
                <w:rFonts w:ascii="Verdana" w:eastAsia="Calibri" w:hAnsi="Verdana" w:cs="Times New Roman"/>
              </w:rPr>
            </w:pPr>
          </w:p>
          <w:p w14:paraId="55D4C9FD" w14:textId="77777777" w:rsidR="00C24744" w:rsidRPr="00C24744" w:rsidRDefault="00C24744" w:rsidP="00C24744">
            <w:pPr>
              <w:spacing w:after="120"/>
              <w:jc w:val="both"/>
              <w:rPr>
                <w:rFonts w:ascii="Verdana" w:eastAsia="Calibri" w:hAnsi="Verdana" w:cs="Times New Roman"/>
              </w:rPr>
            </w:pPr>
            <w:r w:rsidRPr="00C24744">
              <w:rPr>
                <w:rFonts w:ascii="Verdana" w:eastAsia="Calibri" w:hAnsi="Verdana" w:cs="Times New Roman"/>
              </w:rPr>
              <w:tab/>
              <w:t>Como se aprecia, la experiencia general de la actividad 2.2 se acredita mediante contratos que contengan proyectos que correspondan y/o hayan contenido una y/o algunas de las actividades de construcción, ampliación, reconstrucción, adecuación, conservación, intervención, instalación, mantenimiento, mejoramiento, modificación u optimización, rehabilitación, remodelación, reposición, reparación locativa, restauración, restitución y/o terminación, cualquiera de estas sobre parques y/o espacio público.</w:t>
            </w:r>
          </w:p>
          <w:p w14:paraId="5F55D2F0" w14:textId="77777777" w:rsidR="00C24744" w:rsidRPr="00C24744" w:rsidRDefault="00C24744" w:rsidP="00C24744">
            <w:pPr>
              <w:spacing w:after="120"/>
              <w:ind w:firstLine="709"/>
              <w:jc w:val="both"/>
              <w:rPr>
                <w:rFonts w:ascii="Verdana" w:eastAsia="Calibri" w:hAnsi="Verdana" w:cs="Times New Roman"/>
              </w:rPr>
            </w:pPr>
            <w:r w:rsidRPr="00C24744">
              <w:rPr>
                <w:rFonts w:ascii="Verdana" w:eastAsia="Calibri" w:hAnsi="Verdana" w:cs="Times New Roman"/>
              </w:rPr>
              <w:t xml:space="preserve">De la estructura del requisito se desprenden tres consecuencias relevantes para la consulta. En primer lugar, la expresión “correspondan y/o hayan contenido” evidencia que el documento tipo no exige que el objeto principal del contrato aportado se refiera, de manera exclusiva o literal, a un parque o al espacio público; basta con que el proyecto haya contenido alguna de las actividades enlistadas sobre ese tipo de bienes. En segundo lugar, el uso reiterado de la conjunción “y/o” confiere al listado de actividades un carácter alternativo, de modo que cualquiera de ellas, aisladamente considerada, es suficiente. En tercer lugar, la expresión “parques y/o de espacio público” también es disyuntiva, de manera que la experiencia puede recaer sobre un parque o sobre cualquier otro bien que tenga la condición de espacio público, siendo el parque una especie dentro del género más amplio del espacio público. Por su parte, la Nota 1 establece un límite expreso: se excluye el espacio público asociado a la infraestructura de transporte, con las salvedades allí previstas. </w:t>
            </w:r>
          </w:p>
          <w:p w14:paraId="7A8A2DD5" w14:textId="77777777" w:rsidR="00C24744" w:rsidRPr="00C24744" w:rsidRDefault="00C24744" w:rsidP="00C24744">
            <w:pPr>
              <w:spacing w:after="120"/>
              <w:ind w:firstLine="709"/>
              <w:jc w:val="both"/>
              <w:rPr>
                <w:rFonts w:ascii="Verdana" w:eastAsia="Calibri" w:hAnsi="Verdana" w:cs="Times New Roman"/>
              </w:rPr>
            </w:pPr>
            <w:r w:rsidRPr="00C24744">
              <w:rPr>
                <w:rFonts w:ascii="Verdana" w:eastAsia="Calibri" w:hAnsi="Verdana" w:cs="Times New Roman"/>
              </w:rPr>
              <w:t xml:space="preserve">Ahora bien, para interpretar el alcance del tipo de infraestructura sobre el que deben recaer las actividades señaladas, esto es, “parques y/o espacio público”, debe tenerse en cuenta la nota general 1 de la Matriz 1 – Experiencia de los documentos tipo complementarios del sector cultura, recreación y deporte, en las distintas modalidades de selección adoptadas por esta Agencia. En ella se indica que “(l)as definiciones contenidas en esta Matriz deben </w:t>
            </w:r>
            <w:r w:rsidRPr="00C24744">
              <w:rPr>
                <w:rFonts w:ascii="Verdana" w:eastAsia="Calibri" w:hAnsi="Verdana" w:cs="Times New Roman"/>
              </w:rPr>
              <w:lastRenderedPageBreak/>
              <w:t>enmarcarse en la normativa vigente en la materia, así como en la NSR 10 o aquellas que los modifiquen, adicionen o sustituyan, así como a las definiciones contenidas en el “Anexo - Glosario del Sector Social””.</w:t>
            </w:r>
          </w:p>
          <w:p w14:paraId="220D2CC2" w14:textId="77777777" w:rsidR="00C24744" w:rsidRPr="00C24744" w:rsidRDefault="00C24744" w:rsidP="00C24744">
            <w:pPr>
              <w:spacing w:after="120"/>
              <w:ind w:firstLine="709"/>
              <w:jc w:val="both"/>
              <w:rPr>
                <w:rFonts w:ascii="Verdana" w:eastAsia="Calibri" w:hAnsi="Verdana" w:cs="Times New Roman"/>
              </w:rPr>
            </w:pPr>
            <w:r w:rsidRPr="00C24744">
              <w:rPr>
                <w:rFonts w:ascii="Verdana" w:eastAsia="Calibri" w:hAnsi="Verdana" w:cs="Times New Roman"/>
              </w:rPr>
              <w:t xml:space="preserve">La nota general 1 es congruente con el numeral 1.10 del documento base, que dispone que “[p]ara los fines de este Pliego de Condiciones, a menos que expresamente se estipule de otra manera, los términos deben entenderse de acuerdo con la definición contenida en el artículo 2.2.1.1.1.3.1 del Decreto 1082 de 2015, el glosario aplicable a la obra pública de infraestructura social y demás normas, decretos reglamentarios y legislación aplicable en la materia”. </w:t>
            </w:r>
          </w:p>
          <w:p w14:paraId="6E7AC300" w14:textId="77777777" w:rsidR="00C24744" w:rsidRPr="00C24744" w:rsidRDefault="00C24744" w:rsidP="00C24744">
            <w:pPr>
              <w:spacing w:after="120"/>
              <w:ind w:firstLine="709"/>
              <w:jc w:val="both"/>
              <w:rPr>
                <w:rFonts w:ascii="Verdana" w:eastAsia="Calibri" w:hAnsi="Verdana" w:cs="Times New Roman"/>
              </w:rPr>
            </w:pPr>
            <w:r w:rsidRPr="00C24744">
              <w:rPr>
                <w:rFonts w:ascii="Verdana" w:eastAsia="Calibri" w:hAnsi="Verdana" w:cs="Times New Roman"/>
              </w:rPr>
              <w:t>En este sentido, el Anexo 5 – Glosario de los documentos tipo de licitación de obra pública de infraestructura social – versión 2, en su numeral 2.87, define el espacio público en los siguientes términos:</w:t>
            </w:r>
          </w:p>
          <w:p w14:paraId="7697BD80" w14:textId="77777777" w:rsidR="00C24744" w:rsidRPr="00C24744" w:rsidRDefault="00C24744" w:rsidP="00C24744">
            <w:pPr>
              <w:spacing w:after="120"/>
              <w:jc w:val="both"/>
              <w:rPr>
                <w:rFonts w:ascii="Verdana" w:eastAsia="Calibri" w:hAnsi="Verdana" w:cs="Times New Roman"/>
              </w:rPr>
            </w:pPr>
          </w:p>
          <w:p w14:paraId="364DC3EC" w14:textId="77777777" w:rsidR="00C24744" w:rsidRPr="00C24744" w:rsidRDefault="00C24744" w:rsidP="00C24744">
            <w:pPr>
              <w:spacing w:after="120"/>
              <w:ind w:left="709" w:right="709"/>
              <w:jc w:val="both"/>
              <w:rPr>
                <w:rFonts w:ascii="Verdana" w:eastAsia="Calibri" w:hAnsi="Verdana" w:cs="Times New Roman"/>
              </w:rPr>
            </w:pPr>
            <w:r w:rsidRPr="00C24744">
              <w:rPr>
                <w:rFonts w:ascii="Verdana" w:eastAsia="Calibri" w:hAnsi="Verdana" w:cs="Times New Roman"/>
              </w:rPr>
              <w:t>“2.87. Espacio Público: Conjunto de inmuebles públicos y los elementos arquitectónicos y naturales de los inmuebles privados destinados por naturaleza, usos o afectación a la satisfacción de necesidades urbanas colectivas que transcienden los límites de los intereses individuales de los habitantes.</w:t>
            </w:r>
          </w:p>
          <w:p w14:paraId="60620847" w14:textId="77777777" w:rsidR="00C24744" w:rsidRPr="00C24744" w:rsidRDefault="00C24744" w:rsidP="00C24744">
            <w:pPr>
              <w:spacing w:after="120"/>
              <w:ind w:left="709" w:right="709"/>
              <w:jc w:val="both"/>
              <w:rPr>
                <w:rFonts w:ascii="Verdana" w:eastAsia="Calibri" w:hAnsi="Verdana" w:cs="Times New Roman"/>
              </w:rPr>
            </w:pPr>
            <w:r w:rsidRPr="00C24744">
              <w:rPr>
                <w:rFonts w:ascii="Verdana" w:eastAsia="Calibri" w:hAnsi="Verdana" w:cs="Times New Roman"/>
              </w:rPr>
              <w:t>El espacio público comprende, entre otros, los siguientes aspectos:</w:t>
            </w:r>
          </w:p>
          <w:p w14:paraId="2BE479F0" w14:textId="77777777" w:rsidR="00C24744" w:rsidRPr="00C24744" w:rsidRDefault="00C24744" w:rsidP="00C24744">
            <w:pPr>
              <w:spacing w:after="120"/>
              <w:ind w:left="709" w:right="709"/>
              <w:jc w:val="both"/>
              <w:rPr>
                <w:rFonts w:ascii="Verdana" w:eastAsia="Calibri" w:hAnsi="Verdana" w:cs="Times New Roman"/>
              </w:rPr>
            </w:pPr>
            <w:r w:rsidRPr="00C24744">
              <w:rPr>
                <w:rFonts w:ascii="Verdana" w:eastAsia="Calibri" w:hAnsi="Verdana" w:cs="Times New Roman"/>
              </w:rPr>
              <w:t>a. Los bienes de uso público, es decir, aquellos inmuebles de dominio público cuyo uso pertenece a todos los habitantes del territorio nacional, destinados al uso o disfrute colectivo;</w:t>
            </w:r>
          </w:p>
          <w:p w14:paraId="7726C679" w14:textId="77777777" w:rsidR="00C24744" w:rsidRPr="00C24744" w:rsidRDefault="00C24744" w:rsidP="00C24744">
            <w:pPr>
              <w:spacing w:after="120"/>
              <w:ind w:left="709" w:right="709"/>
              <w:jc w:val="both"/>
              <w:rPr>
                <w:rFonts w:ascii="Verdana" w:eastAsia="Calibri" w:hAnsi="Verdana" w:cs="Times New Roman"/>
              </w:rPr>
            </w:pPr>
            <w:r w:rsidRPr="00C24744">
              <w:rPr>
                <w:rFonts w:ascii="Verdana" w:eastAsia="Calibri" w:hAnsi="Verdana" w:cs="Times New Roman"/>
              </w:rPr>
              <w:t>b. Los elementos arquitectónicos, espaciales y naturales de los inmuebles de propiedad privada que por su naturaleza, uso o afectación satisfacen necesidades de uso público;</w:t>
            </w:r>
          </w:p>
          <w:p w14:paraId="25990B71" w14:textId="77777777" w:rsidR="00C24744" w:rsidRPr="00C24744" w:rsidRDefault="00C24744" w:rsidP="00C24744">
            <w:pPr>
              <w:ind w:left="709" w:right="709"/>
              <w:jc w:val="both"/>
              <w:rPr>
                <w:rFonts w:ascii="Verdana" w:eastAsia="Calibri" w:hAnsi="Verdana" w:cs="Times New Roman"/>
              </w:rPr>
            </w:pPr>
            <w:r w:rsidRPr="00C24744">
              <w:rPr>
                <w:rFonts w:ascii="Verdana" w:eastAsia="Calibri" w:hAnsi="Verdana" w:cs="Times New Roman"/>
              </w:rPr>
              <w:t xml:space="preserve">c. Las áreas requeridas para la conformación del sistema de espacio público en los términos establecidos en el Decreto 1504 de 1998 compilado en el Decreto 1077 de 2015 o la norma que la reemplace, complemente o modifique”. </w:t>
            </w:r>
          </w:p>
          <w:p w14:paraId="7B58AEB6" w14:textId="77777777" w:rsidR="00C24744" w:rsidRPr="00C24744" w:rsidRDefault="00C24744" w:rsidP="00C24744">
            <w:pPr>
              <w:jc w:val="both"/>
              <w:rPr>
                <w:rFonts w:ascii="Verdana" w:eastAsia="Calibri" w:hAnsi="Verdana" w:cs="Times New Roman"/>
              </w:rPr>
            </w:pPr>
          </w:p>
          <w:p w14:paraId="143372F5" w14:textId="77777777" w:rsidR="00C24744" w:rsidRPr="00C24744" w:rsidRDefault="00C24744" w:rsidP="00C24744">
            <w:pPr>
              <w:ind w:firstLine="709"/>
              <w:jc w:val="both"/>
              <w:rPr>
                <w:rFonts w:ascii="Verdana" w:eastAsia="Calibri" w:hAnsi="Verdana" w:cs="Times New Roman"/>
              </w:rPr>
            </w:pPr>
            <w:r w:rsidRPr="00C24744">
              <w:rPr>
                <w:rFonts w:ascii="Verdana" w:eastAsia="Calibri" w:hAnsi="Verdana" w:cs="Times New Roman"/>
              </w:rPr>
              <w:t>Por su parte, los numerales 3.84 a 3.87 del Anexo 5 – Glosario definen la noción de parques en los siguientes términos:</w:t>
            </w:r>
          </w:p>
          <w:p w14:paraId="14CDD7A1" w14:textId="77777777" w:rsidR="00C24744" w:rsidRPr="00C24744" w:rsidRDefault="00C24744" w:rsidP="00C24744">
            <w:pPr>
              <w:ind w:left="709" w:right="709"/>
              <w:jc w:val="both"/>
              <w:rPr>
                <w:rFonts w:ascii="Verdana" w:eastAsia="Calibri" w:hAnsi="Verdana" w:cs="Times New Roman"/>
              </w:rPr>
            </w:pPr>
          </w:p>
          <w:p w14:paraId="37D5FEED" w14:textId="77777777" w:rsidR="00C24744" w:rsidRPr="00C24744" w:rsidRDefault="00C24744" w:rsidP="00C24744">
            <w:pPr>
              <w:spacing w:after="120"/>
              <w:ind w:left="709" w:right="709"/>
              <w:jc w:val="both"/>
              <w:rPr>
                <w:rFonts w:ascii="Verdana" w:eastAsia="Calibri" w:hAnsi="Verdana" w:cs="Times New Roman"/>
              </w:rPr>
            </w:pPr>
            <w:r w:rsidRPr="00C24744">
              <w:rPr>
                <w:rFonts w:ascii="Verdana" w:eastAsia="Calibri" w:hAnsi="Verdana" w:cs="Times New Roman"/>
              </w:rPr>
              <w:t xml:space="preserve">“3.84. Parques: Áreas libres públicas, predominantemente arborizadas y/o ajardinadas que se encuentran localizadas en suelo urbano, y se haya destinada a la recreación, esparcimiento </w:t>
            </w:r>
            <w:r w:rsidRPr="00C24744">
              <w:rPr>
                <w:rFonts w:ascii="Verdana" w:eastAsia="Calibri" w:hAnsi="Verdana" w:cs="Times New Roman"/>
              </w:rPr>
              <w:lastRenderedPageBreak/>
              <w:t>y el ocio, así como a la generación y preservación de los valores paisajísticos ambientales.</w:t>
            </w:r>
          </w:p>
          <w:p w14:paraId="27A18FDC" w14:textId="77777777" w:rsidR="00C24744" w:rsidRPr="00C24744" w:rsidRDefault="00C24744" w:rsidP="00C24744">
            <w:pPr>
              <w:spacing w:after="120"/>
              <w:ind w:left="709" w:right="709"/>
              <w:jc w:val="both"/>
              <w:rPr>
                <w:rFonts w:ascii="Verdana" w:eastAsia="Calibri" w:hAnsi="Verdana" w:cs="Times New Roman"/>
              </w:rPr>
            </w:pPr>
            <w:r w:rsidRPr="00C24744">
              <w:rPr>
                <w:rFonts w:ascii="Verdana" w:eastAsia="Calibri" w:hAnsi="Verdana" w:cs="Times New Roman"/>
              </w:rPr>
              <w:t>3.85. Parques de Recreación Activa: Parques en donde el área destinada a la recreación activa es superior al 30%, o en los que, por sus condiciones topográficas, el área libre no es apta para la recreación pasiva. Son, por lo general, parques con un índice de ocupación alto y en los cuales la cantidad de áreas verdes es reducida.</w:t>
            </w:r>
          </w:p>
          <w:p w14:paraId="7C18A284" w14:textId="77777777" w:rsidR="00C24744" w:rsidRPr="00C24744" w:rsidRDefault="00C24744" w:rsidP="00C24744">
            <w:pPr>
              <w:spacing w:after="120"/>
              <w:ind w:left="709" w:right="709"/>
              <w:jc w:val="both"/>
              <w:rPr>
                <w:rFonts w:ascii="Verdana" w:eastAsia="Calibri" w:hAnsi="Verdana" w:cs="Times New Roman"/>
              </w:rPr>
            </w:pPr>
            <w:r w:rsidRPr="00C24744">
              <w:rPr>
                <w:rFonts w:ascii="Verdana" w:eastAsia="Calibri" w:hAnsi="Verdana" w:cs="Times New Roman"/>
              </w:rPr>
              <w:t>3.86. Parques de Recreación Pasiva: Parques destinados en su totalidad a la recreación pasiva y contemplativa, adecuados como áreas verdes, áreas de tratamiento paisajístico o áreas duras arborizadas, son espacios vitales pues contribuyen con el equilibrio ambiental. Pueden contener zonas de juegos infantiles.</w:t>
            </w:r>
          </w:p>
          <w:p w14:paraId="581F999D" w14:textId="77777777" w:rsidR="00C24744" w:rsidRPr="00C24744" w:rsidRDefault="00C24744" w:rsidP="00C24744">
            <w:pPr>
              <w:ind w:left="709" w:right="709"/>
              <w:jc w:val="both"/>
              <w:rPr>
                <w:rFonts w:ascii="Verdana" w:eastAsia="Calibri" w:hAnsi="Verdana" w:cs="Times New Roman"/>
              </w:rPr>
            </w:pPr>
            <w:r w:rsidRPr="00C24744">
              <w:rPr>
                <w:rFonts w:ascii="Verdana" w:eastAsia="Calibri" w:hAnsi="Verdana" w:cs="Times New Roman"/>
              </w:rPr>
              <w:t>3.87. Parques con vocación mixta o combinada: Parques en los que entre el 1% y el 30% de área está destinada a la recreación activa, permitiendo la especialización de usos y configurando áreas verdes o áreas duras arborizadas aptas para el desarrollo de la recreación pasiva. Estos parques ejemplifican la proporción óptima entre las áreas destinadas a la recreación activa y pasiva, permitiendo la especialización de usos”.</w:t>
            </w:r>
          </w:p>
          <w:p w14:paraId="4F54F905" w14:textId="77777777" w:rsidR="00C24744" w:rsidRPr="00C24744" w:rsidRDefault="00C24744" w:rsidP="00C24744">
            <w:pPr>
              <w:jc w:val="both"/>
              <w:rPr>
                <w:rFonts w:ascii="Verdana" w:eastAsia="Calibri" w:hAnsi="Verdana" w:cs="Times New Roman"/>
              </w:rPr>
            </w:pPr>
          </w:p>
          <w:p w14:paraId="09E21E9E" w14:textId="77777777" w:rsidR="00C24744" w:rsidRPr="00C24744" w:rsidRDefault="00C24744" w:rsidP="00C24744">
            <w:pPr>
              <w:spacing w:after="120"/>
              <w:ind w:firstLine="709"/>
              <w:jc w:val="both"/>
              <w:rPr>
                <w:rFonts w:ascii="Verdana" w:eastAsia="Calibri" w:hAnsi="Verdana" w:cs="Times New Roman"/>
              </w:rPr>
            </w:pPr>
            <w:r w:rsidRPr="00C24744">
              <w:rPr>
                <w:rFonts w:ascii="Verdana" w:eastAsia="Calibri" w:hAnsi="Verdana" w:cs="Times New Roman"/>
              </w:rPr>
              <w:t>De las definiciones transcritas se desprenden varias consecuencias relevantes para la verificación de la experiencia. En primer lugar, el parque es una especie dentro del género del espacio público: el numeral 3.84 lo define como un conjunto de “(á)reas libres públicas” destinadas “a la recreación, esparcimiento y el ocio”, lo que reproduce los mismos elementos de la definición del numeral 2.87, esto es, el carácter público del área y su destinación al disfrute colectivo. En segundo lugar, el glosario no reduce el parque a las zonas verdes o arborizadas, pues el numeral 3.85 reconoce expresamente los “Parques de Recreación Activa”, en los que “el área destinada a la recreación activa es superior al 30%” y en los cuales “la cantidad de áreas verdes es reducida”. Desde el punto de vista técnico, la recreación activa comprende las áreas dotadas para la práctica deportiva y la actividad física, como canchas múltiples, placas polideportivas, pistas, graderías y zonas de juego, de manera que un área libre pública conformada predominantemente por este tipo de infraestructura también es, a la luz del documento tipo, un parque. En tercer lugar, el numeral 3.87 admite los parques con vocación mixta, en los que conviven áreas de recreación activa y pasiva, lo que confirma que la presencia de escenarios deportivos o de áreas duras no desnaturaliza la condición de parque.</w:t>
            </w:r>
          </w:p>
          <w:p w14:paraId="42BD5928" w14:textId="77777777" w:rsidR="00C24744" w:rsidRPr="00C24744" w:rsidRDefault="00C24744" w:rsidP="00C24744">
            <w:pPr>
              <w:spacing w:after="120"/>
              <w:ind w:firstLine="709"/>
              <w:jc w:val="both"/>
              <w:rPr>
                <w:rFonts w:ascii="Verdana" w:eastAsia="Calibri" w:hAnsi="Verdana" w:cs="Times New Roman"/>
              </w:rPr>
            </w:pPr>
            <w:r w:rsidRPr="00C24744">
              <w:rPr>
                <w:rFonts w:ascii="Verdana" w:eastAsia="Calibri" w:hAnsi="Verdana" w:cs="Times New Roman"/>
              </w:rPr>
              <w:lastRenderedPageBreak/>
              <w:t>En consecuencia, para efectos de la actividad 2.2 de la Matriz 1 – Experiencia, la entidad debe tener en cuenta que tanto las áreas libres públicas destinadas a la recreación activa –escenarios deportivos, canchas y placas polideportivas de uso público– como las destinadas a la recreación pasiva y contemplativa pueden constituir parques, y que, en todo caso, cuando un área no encaje en la noción de parque –por ejemplo, por su localización o por su configuración–, deberá analizarse si reúne los elementos de la noción más amplia de espacio público del numeral 2.87.</w:t>
            </w:r>
          </w:p>
          <w:p w14:paraId="7512317D" w14:textId="77777777" w:rsidR="00C24744" w:rsidRPr="00C24744" w:rsidRDefault="00C24744" w:rsidP="00C24744">
            <w:pPr>
              <w:ind w:firstLine="709"/>
              <w:jc w:val="both"/>
              <w:rPr>
                <w:rFonts w:ascii="Verdana" w:eastAsia="Calibri" w:hAnsi="Verdana" w:cs="Times New Roman"/>
              </w:rPr>
            </w:pPr>
            <w:r w:rsidRPr="00C24744">
              <w:rPr>
                <w:rFonts w:ascii="Verdana" w:eastAsia="Calibri" w:hAnsi="Verdana" w:cs="Times New Roman"/>
              </w:rPr>
              <w:t>Por su parte, la definición de espacio público del numeral 2.87 del glosario reproduce el contenido de las normas que integran el régimen jurídico del espacio público en Colombia. El artículo 82 de la Constitución Política dispone que “(e)s deber del Estado velar por la protección de la integridad del espacio público y por su destinación al uso común, el cual prevalece sobre el interés particular”</w:t>
            </w:r>
            <w:r w:rsidRPr="00C24744">
              <w:rPr>
                <w:rFonts w:ascii="Verdana" w:eastAsia="Calibri" w:hAnsi="Verdana" w:cs="Times New Roman"/>
                <w:vertAlign w:val="superscript"/>
              </w:rPr>
              <w:footnoteReference w:id="1"/>
            </w:r>
            <w:r w:rsidRPr="00C24744">
              <w:rPr>
                <w:rFonts w:ascii="Verdana" w:eastAsia="Calibri" w:hAnsi="Verdana" w:cs="Times New Roman"/>
              </w:rPr>
              <w:t>. La Constitución, por tanto, vincula el concepto de espacio público con su “destinación al uso común”, lo que anticipa el carácter funcional de la definición. En desarrollo de lo anterior, el artículo 5 de la Ley 9 de 1989 establece:</w:t>
            </w:r>
          </w:p>
          <w:p w14:paraId="56018012" w14:textId="77777777" w:rsidR="00C24744" w:rsidRPr="00C24744" w:rsidRDefault="00C24744" w:rsidP="00C24744">
            <w:pPr>
              <w:ind w:left="709" w:right="709"/>
              <w:jc w:val="both"/>
              <w:rPr>
                <w:rFonts w:ascii="Verdana" w:eastAsia="Calibri" w:hAnsi="Verdana" w:cs="Times New Roman"/>
              </w:rPr>
            </w:pPr>
          </w:p>
          <w:p w14:paraId="129B0F87" w14:textId="77777777" w:rsidR="00C24744" w:rsidRPr="00C24744" w:rsidRDefault="00C24744" w:rsidP="00C24744">
            <w:pPr>
              <w:ind w:left="709" w:right="709"/>
              <w:jc w:val="both"/>
              <w:rPr>
                <w:rFonts w:ascii="Verdana" w:eastAsia="Calibri" w:hAnsi="Verdana" w:cs="Times New Roman"/>
              </w:rPr>
            </w:pPr>
            <w:r w:rsidRPr="00C24744">
              <w:rPr>
                <w:rFonts w:ascii="Verdana" w:eastAsia="Calibri" w:hAnsi="Verdana" w:cs="Times New Roman"/>
              </w:rPr>
              <w:t>“Entiéndese por espacio público el conjunto de inmuebles públicos y los elementos arquitectónicos y naturales de los inmuebles privados, destinados por su naturaleza, por su uso o afectación, a la satisfacción de necesidades urbanas colectivas que trascienden, por tanto, los límites de los intereses individuales de los habitantes. Así, constituyen el espacio público de la ciudad las áreas requeridas para la circulación, tanto peatonal como vehicular, las áreas para la recreación pública, activa o pasiva, para la seguridad y tranquilidad ciudadana, (…) parques, plazas, zonas verdes y similares, (…) para la preservación de las obras de interés público y de los elementos históricos, culturales, religiosos, recreativos y artísticos, (…)  y, en general, por todas las zonas existentes o debidamente proyectadas en las que el interés colectivo sea manifiesto y conspicuo en la utilización, uso o disfrute colectivo”.</w:t>
            </w:r>
          </w:p>
          <w:p w14:paraId="61AF717A" w14:textId="77777777" w:rsidR="00C24744" w:rsidRPr="00C24744" w:rsidRDefault="00C24744" w:rsidP="00C24744">
            <w:pPr>
              <w:ind w:firstLine="709"/>
              <w:jc w:val="both"/>
              <w:rPr>
                <w:rFonts w:ascii="Verdana" w:eastAsia="Calibri" w:hAnsi="Verdana" w:cs="Times New Roman"/>
              </w:rPr>
            </w:pPr>
          </w:p>
          <w:p w14:paraId="22A14172" w14:textId="77777777" w:rsidR="00C24744" w:rsidRPr="00C24744" w:rsidRDefault="00C24744" w:rsidP="00C24744">
            <w:pPr>
              <w:ind w:firstLine="709"/>
              <w:jc w:val="both"/>
              <w:rPr>
                <w:rFonts w:ascii="Verdana" w:eastAsia="Calibri" w:hAnsi="Verdana" w:cs="Times New Roman"/>
              </w:rPr>
            </w:pPr>
            <w:r w:rsidRPr="00C24744">
              <w:rPr>
                <w:rFonts w:ascii="Verdana" w:eastAsia="Calibri" w:hAnsi="Verdana" w:cs="Times New Roman"/>
              </w:rPr>
              <w:t>A su vez, el Decreto 1077 de 2015, que compila el Decreto 1504 de 1998, desarrolla la definición, los componentes y los elementos del espacio público. El artículo 2.2.3.1.2 de ese decreto, sobre la definición de espacio público, señala:</w:t>
            </w:r>
          </w:p>
          <w:p w14:paraId="1F586A03" w14:textId="77777777" w:rsidR="00C24744" w:rsidRPr="00C24744" w:rsidRDefault="00C24744" w:rsidP="00C24744">
            <w:pPr>
              <w:spacing w:after="120"/>
              <w:ind w:left="709" w:right="709"/>
              <w:jc w:val="both"/>
              <w:rPr>
                <w:rFonts w:ascii="Verdana" w:eastAsia="Calibri" w:hAnsi="Verdana" w:cs="Times New Roman"/>
              </w:rPr>
            </w:pPr>
          </w:p>
          <w:p w14:paraId="1DE7C664" w14:textId="77777777" w:rsidR="00C24744" w:rsidRPr="00C24744" w:rsidRDefault="00C24744" w:rsidP="00C24744">
            <w:pPr>
              <w:ind w:left="709" w:right="709"/>
              <w:jc w:val="both"/>
              <w:rPr>
                <w:rFonts w:ascii="Verdana" w:eastAsia="Calibri" w:hAnsi="Verdana" w:cs="Times New Roman"/>
                <w:sz w:val="21"/>
                <w:szCs w:val="21"/>
              </w:rPr>
            </w:pPr>
            <w:r w:rsidRPr="00C24744">
              <w:rPr>
                <w:rFonts w:ascii="Verdana" w:eastAsia="Calibri" w:hAnsi="Verdana" w:cs="Times New Roman"/>
                <w:sz w:val="21"/>
                <w:szCs w:val="21"/>
              </w:rPr>
              <w:t>“El espacio público es el conjunto de inmuebles públicos y los elementos arquitectónicos y naturales de los inmuebles privados destinados por su naturaleza, usos o afectación a la satisfacción de necesidades urbanas colectivas que trascienden los límites de los intereses individuales de los habitantes”.</w:t>
            </w:r>
          </w:p>
          <w:p w14:paraId="5FB2A0E0" w14:textId="77777777" w:rsidR="00C24744" w:rsidRPr="00C24744" w:rsidRDefault="00C24744" w:rsidP="00C24744">
            <w:pPr>
              <w:jc w:val="both"/>
              <w:rPr>
                <w:rFonts w:ascii="Verdana" w:eastAsia="Calibri" w:hAnsi="Verdana" w:cs="Times New Roman"/>
              </w:rPr>
            </w:pPr>
          </w:p>
          <w:p w14:paraId="62D29434" w14:textId="77777777" w:rsidR="00C24744" w:rsidRPr="00C24744" w:rsidRDefault="00C24744" w:rsidP="00C24744">
            <w:pPr>
              <w:ind w:firstLine="709"/>
              <w:jc w:val="both"/>
              <w:rPr>
                <w:rFonts w:ascii="Verdana" w:eastAsia="Calibri" w:hAnsi="Verdana" w:cs="Times New Roman"/>
              </w:rPr>
            </w:pPr>
            <w:r w:rsidRPr="00C24744">
              <w:rPr>
                <w:rFonts w:ascii="Verdana" w:eastAsia="Calibri" w:hAnsi="Verdana" w:cs="Times New Roman"/>
              </w:rPr>
              <w:t>Por su parte, el artículo 2.2.3.1.3 ibidem, relativo a los componentes del espacio público, dispone:</w:t>
            </w:r>
          </w:p>
          <w:p w14:paraId="438C7F22" w14:textId="77777777" w:rsidR="00C24744" w:rsidRPr="00C24744" w:rsidRDefault="00C24744" w:rsidP="00C24744">
            <w:pPr>
              <w:ind w:left="709" w:right="709"/>
              <w:jc w:val="both"/>
              <w:rPr>
                <w:rFonts w:ascii="Verdana" w:eastAsia="Calibri" w:hAnsi="Verdana" w:cs="Times New Roman"/>
                <w:sz w:val="21"/>
                <w:szCs w:val="21"/>
              </w:rPr>
            </w:pPr>
          </w:p>
          <w:p w14:paraId="7FF618EF" w14:textId="77777777" w:rsidR="00C24744" w:rsidRPr="00C24744" w:rsidRDefault="00C24744" w:rsidP="00C24744">
            <w:pPr>
              <w:ind w:left="709" w:right="709"/>
              <w:jc w:val="both"/>
              <w:rPr>
                <w:rFonts w:ascii="Verdana" w:eastAsia="Calibri" w:hAnsi="Verdana" w:cs="Times New Roman"/>
                <w:sz w:val="21"/>
                <w:szCs w:val="21"/>
              </w:rPr>
            </w:pPr>
            <w:r w:rsidRPr="00C24744">
              <w:rPr>
                <w:rFonts w:ascii="Verdana" w:eastAsia="Calibri" w:hAnsi="Verdana" w:cs="Times New Roman"/>
                <w:sz w:val="21"/>
                <w:szCs w:val="21"/>
              </w:rPr>
              <w:t>“El espacio público comprende, entre otros, los siguientes aspectos:</w:t>
            </w:r>
          </w:p>
          <w:p w14:paraId="1F278402" w14:textId="77777777" w:rsidR="00C24744" w:rsidRPr="00C24744" w:rsidRDefault="00C24744" w:rsidP="00C24744">
            <w:pPr>
              <w:spacing w:after="120"/>
              <w:ind w:left="709" w:right="709"/>
              <w:jc w:val="both"/>
              <w:rPr>
                <w:rFonts w:ascii="Verdana" w:eastAsia="Calibri" w:hAnsi="Verdana" w:cs="Times New Roman"/>
                <w:sz w:val="21"/>
                <w:szCs w:val="21"/>
              </w:rPr>
            </w:pPr>
            <w:r w:rsidRPr="00C24744">
              <w:rPr>
                <w:rFonts w:ascii="Verdana" w:eastAsia="Calibri" w:hAnsi="Verdana" w:cs="Times New Roman"/>
                <w:sz w:val="21"/>
                <w:szCs w:val="21"/>
              </w:rPr>
              <w:t>1. Los bienes de uso público, es decir aquellos inmuebles de dominio público cuyo uso pertenece a todos los habitantes del territorio nacional, destinados al uso o disfrute colectivo;</w:t>
            </w:r>
          </w:p>
          <w:p w14:paraId="4A000BE1" w14:textId="77777777" w:rsidR="00C24744" w:rsidRPr="00C24744" w:rsidRDefault="00C24744" w:rsidP="00C24744">
            <w:pPr>
              <w:spacing w:after="120"/>
              <w:ind w:left="709" w:right="709"/>
              <w:jc w:val="both"/>
              <w:rPr>
                <w:rFonts w:ascii="Verdana" w:eastAsia="Calibri" w:hAnsi="Verdana" w:cs="Times New Roman"/>
                <w:sz w:val="21"/>
                <w:szCs w:val="21"/>
              </w:rPr>
            </w:pPr>
            <w:r w:rsidRPr="00C24744">
              <w:rPr>
                <w:rFonts w:ascii="Verdana" w:eastAsia="Calibri" w:hAnsi="Verdana" w:cs="Times New Roman"/>
                <w:sz w:val="21"/>
                <w:szCs w:val="21"/>
              </w:rPr>
              <w:t>2. Los elementos arquitectónicos, espaciales y naturales de los inmuebles de propiedad privada que por su naturaleza, uso o afectación satisfacen necesidades de uso público;</w:t>
            </w:r>
          </w:p>
          <w:p w14:paraId="7ED497B1" w14:textId="77777777" w:rsidR="00C24744" w:rsidRPr="00C24744" w:rsidRDefault="00C24744" w:rsidP="00C24744">
            <w:pPr>
              <w:ind w:left="709" w:right="709"/>
              <w:jc w:val="both"/>
              <w:rPr>
                <w:rFonts w:ascii="Verdana" w:eastAsia="Calibri" w:hAnsi="Verdana" w:cs="Times New Roman"/>
                <w:sz w:val="21"/>
                <w:szCs w:val="21"/>
              </w:rPr>
            </w:pPr>
            <w:r w:rsidRPr="00C24744">
              <w:rPr>
                <w:rFonts w:ascii="Verdana" w:eastAsia="Calibri" w:hAnsi="Verdana" w:cs="Times New Roman"/>
                <w:sz w:val="21"/>
                <w:szCs w:val="21"/>
              </w:rPr>
              <w:t>3. Las áreas requeridas para la conformación del sistema de espacio público en los términos establecidos en el presente decreto”.</w:t>
            </w:r>
          </w:p>
          <w:p w14:paraId="3CCC6327" w14:textId="77777777" w:rsidR="00C24744" w:rsidRPr="00C24744" w:rsidRDefault="00C24744" w:rsidP="00C24744">
            <w:pPr>
              <w:jc w:val="both"/>
              <w:rPr>
                <w:rFonts w:ascii="Verdana" w:eastAsia="Calibri" w:hAnsi="Verdana" w:cs="Times New Roman"/>
              </w:rPr>
            </w:pPr>
          </w:p>
          <w:p w14:paraId="0804A0C5" w14:textId="77777777" w:rsidR="00C24744" w:rsidRPr="00C24744" w:rsidRDefault="00C24744" w:rsidP="00C24744">
            <w:pPr>
              <w:ind w:firstLine="709"/>
              <w:jc w:val="both"/>
              <w:rPr>
                <w:rFonts w:ascii="Verdana" w:eastAsia="Calibri" w:hAnsi="Verdana" w:cs="Times New Roman"/>
              </w:rPr>
            </w:pPr>
            <w:r w:rsidRPr="00C24744">
              <w:rPr>
                <w:rFonts w:ascii="Verdana" w:eastAsia="Calibri" w:hAnsi="Verdana" w:cs="Times New Roman"/>
              </w:rPr>
              <w:t>Adicionalmente, el artículo 2.2.3.1.5 del mismo decreto distingue entre elementos constitutivos –naturales y artificiales o construidos– y elementos complementarios del espacio público. Dentro de los elementos constitutivos artificiales o construidos, la norma diferencia, por un lado, las “(á)reas integrantes de los perfiles viales peatonal y vehicular” –numeral 1.2.1– y, por otro, las áreas del numeral 1.2.2, que dispone:</w:t>
            </w:r>
          </w:p>
          <w:p w14:paraId="349851A0" w14:textId="77777777" w:rsidR="00C24744" w:rsidRPr="00C24744" w:rsidRDefault="00C24744" w:rsidP="00C24744">
            <w:pPr>
              <w:jc w:val="both"/>
              <w:rPr>
                <w:rFonts w:ascii="Verdana" w:eastAsia="Calibri" w:hAnsi="Verdana" w:cs="Times New Roman"/>
              </w:rPr>
            </w:pPr>
          </w:p>
          <w:p w14:paraId="52803978" w14:textId="77777777" w:rsidR="00C24744" w:rsidRPr="00C24744" w:rsidRDefault="00C24744" w:rsidP="00C24744">
            <w:pPr>
              <w:ind w:left="709" w:right="709"/>
              <w:jc w:val="both"/>
              <w:rPr>
                <w:rFonts w:ascii="Verdana" w:eastAsia="Calibri" w:hAnsi="Verdana" w:cs="Times New Roman"/>
                <w:sz w:val="21"/>
                <w:szCs w:val="21"/>
              </w:rPr>
            </w:pPr>
            <w:r w:rsidRPr="00C24744">
              <w:rPr>
                <w:rFonts w:ascii="Verdana" w:eastAsia="Calibri" w:hAnsi="Verdana" w:cs="Times New Roman"/>
                <w:sz w:val="21"/>
                <w:szCs w:val="21"/>
              </w:rPr>
              <w:t>“1.2.2. Áreas articuladoras de espacio público y de encuentro, tales como: parques urbanos, zonas de cesión gratuita al municipio o distrito, plazas, plazoletas, escenarios deportivos, escenarios culturales y de espectáculos al aire libre”.</w:t>
            </w:r>
          </w:p>
          <w:p w14:paraId="1C29A256" w14:textId="77777777" w:rsidR="00C24744" w:rsidRPr="00C24744" w:rsidRDefault="00C24744" w:rsidP="00C24744">
            <w:pPr>
              <w:jc w:val="both"/>
              <w:rPr>
                <w:rFonts w:ascii="Verdana" w:eastAsia="Calibri" w:hAnsi="Verdana" w:cs="Times New Roman"/>
              </w:rPr>
            </w:pPr>
          </w:p>
          <w:p w14:paraId="04458CBF" w14:textId="77777777" w:rsidR="00C24744" w:rsidRPr="00C24744" w:rsidRDefault="00C24744" w:rsidP="00C24744">
            <w:pPr>
              <w:spacing w:after="120"/>
              <w:ind w:firstLine="709"/>
              <w:jc w:val="both"/>
              <w:rPr>
                <w:rFonts w:ascii="Verdana" w:eastAsia="Calibri" w:hAnsi="Verdana" w:cs="Times New Roman"/>
              </w:rPr>
            </w:pPr>
            <w:r w:rsidRPr="00C24744">
              <w:rPr>
                <w:rFonts w:ascii="Verdana" w:eastAsia="Calibri" w:hAnsi="Verdana" w:cs="Times New Roman"/>
              </w:rPr>
              <w:t>Entre los elementos complementarios, por su parte, se encuentran el mobiliario urbano y la señalización. Esta distinción entre las áreas de circulación y las áreas articuladoras y de encuentro resulta relevante para la consulta, pues, como se verá, es la que explica el alcance de la Nota 1 de la actividad 2.2 y permite ubicar a los escenarios deportivos y culturales de uso público dentro del espacio público al que se refiere dicha actividad.</w:t>
            </w:r>
          </w:p>
          <w:p w14:paraId="7B352425" w14:textId="77777777" w:rsidR="00C24744" w:rsidRPr="00C24744" w:rsidRDefault="00C24744" w:rsidP="00C24744">
            <w:pPr>
              <w:spacing w:after="120"/>
              <w:ind w:firstLine="709"/>
              <w:jc w:val="both"/>
              <w:rPr>
                <w:rFonts w:ascii="Verdana" w:eastAsia="Calibri" w:hAnsi="Verdana" w:cs="Times New Roman"/>
              </w:rPr>
            </w:pPr>
            <w:r w:rsidRPr="00C24744">
              <w:rPr>
                <w:rFonts w:ascii="Verdana" w:eastAsia="Calibri" w:hAnsi="Verdana" w:cs="Times New Roman"/>
              </w:rPr>
              <w:t xml:space="preserve">Conforme con lo anterior, del análisis sistemático de estas disposiciones, se desprende que la noción de espacio público se integra por los siguientes tres (3) elementos: i) un elemento material u objetivo, consistente en la </w:t>
            </w:r>
            <w:r w:rsidRPr="00C24744">
              <w:rPr>
                <w:rFonts w:ascii="Verdana" w:eastAsia="Calibri" w:hAnsi="Verdana" w:cs="Times New Roman"/>
              </w:rPr>
              <w:lastRenderedPageBreak/>
              <w:t xml:space="preserve">existencia de inmuebles públicos, o de elementos arquitectónicos, espaciales y naturales de inmuebles privados; </w:t>
            </w:r>
            <w:proofErr w:type="spellStart"/>
            <w:r w:rsidRPr="00C24744">
              <w:rPr>
                <w:rFonts w:ascii="Verdana" w:eastAsia="Calibri" w:hAnsi="Verdana" w:cs="Times New Roman"/>
              </w:rPr>
              <w:t>ii</w:t>
            </w:r>
            <w:proofErr w:type="spellEnd"/>
            <w:r w:rsidRPr="00C24744">
              <w:rPr>
                <w:rFonts w:ascii="Verdana" w:eastAsia="Calibri" w:hAnsi="Verdana" w:cs="Times New Roman"/>
              </w:rPr>
              <w:t xml:space="preserve">) un elemento de destinación, según el cual tales bienes deben estar destinados al uso colectivo por su naturaleza, por su uso o por su afectación; y </w:t>
            </w:r>
            <w:proofErr w:type="spellStart"/>
            <w:r w:rsidRPr="00C24744">
              <w:rPr>
                <w:rFonts w:ascii="Verdana" w:eastAsia="Calibri" w:hAnsi="Verdana" w:cs="Times New Roman"/>
              </w:rPr>
              <w:t>iii</w:t>
            </w:r>
            <w:proofErr w:type="spellEnd"/>
            <w:r w:rsidRPr="00C24744">
              <w:rPr>
                <w:rFonts w:ascii="Verdana" w:eastAsia="Calibri" w:hAnsi="Verdana" w:cs="Times New Roman"/>
              </w:rPr>
              <w:t>) un elemento teleológico, conforme al cual esa destinación debe orientarse a la satisfacción de necesidades colectivas que trascienden los límites de los intereses individuales de los habitantes. Estos elementos son los que al Criterio de la Subdirección de Gestión Contractual la entidad que adelanta el proceso de selección con los documentos tipo de cultura, recreación y deporte debe constatar para determinar si un bien intervenido constituye o no espacio público.</w:t>
            </w:r>
          </w:p>
          <w:p w14:paraId="40B89873" w14:textId="77777777" w:rsidR="00C24744" w:rsidRPr="00C24744" w:rsidRDefault="00C24744" w:rsidP="00C24744">
            <w:pPr>
              <w:spacing w:after="120"/>
              <w:ind w:firstLine="709"/>
              <w:jc w:val="both"/>
              <w:rPr>
                <w:rFonts w:ascii="Verdana" w:eastAsia="Calibri" w:hAnsi="Verdana" w:cs="Times New Roman"/>
              </w:rPr>
            </w:pPr>
            <w:r w:rsidRPr="00C24744">
              <w:rPr>
                <w:rFonts w:ascii="Verdana" w:eastAsia="Calibri" w:hAnsi="Verdana" w:cs="Times New Roman"/>
              </w:rPr>
              <w:t>En este sentido, el elemento determinante no es la titularidad pública del inmueble, sino su destinación al uso y disfrute colectivo. Así lo confirma el artículo 674 del Código Civil, que distingue entre los bienes de uso público, cuyo “uso pertenece a todos los habitantes de un territorio, como el de calles, plazas, puentes y caminos”, y los bienes fiscales, que son aquellos bienes del Estado “cuyo uso no pertenece generalmente a los habitantes”. Por ello, un bien de propiedad estatal puede no ser espacio público cuando está afecto a un servicio público específico y su acceso está restringido, como ocurre con los bienes fiscales o con las edificaciones de equipamiento colectivo destinadas a una función institucional. Correlativamente, el espacio público no se limita a los bienes de dominio público, pues el numeral 2 del artículo 2.2.3.1.3 del Decreto 1077 de 2015 incorpora incluso elementos de inmuebles privados cuando, por su naturaleza, uso o afectación, satisfacen necesidades de uso público.</w:t>
            </w:r>
          </w:p>
          <w:p w14:paraId="04BD5B1B" w14:textId="77777777" w:rsidR="00C24744" w:rsidRPr="00C24744" w:rsidRDefault="00C24744" w:rsidP="00C24744">
            <w:pPr>
              <w:spacing w:after="120"/>
              <w:ind w:firstLine="709"/>
              <w:jc w:val="both"/>
              <w:rPr>
                <w:rFonts w:ascii="Verdana" w:eastAsia="Calibri" w:hAnsi="Verdana" w:cs="Times New Roman"/>
              </w:rPr>
            </w:pPr>
            <w:r w:rsidRPr="00C24744">
              <w:rPr>
                <w:rFonts w:ascii="Verdana" w:eastAsia="Calibri" w:hAnsi="Verdana" w:cs="Times New Roman"/>
              </w:rPr>
              <w:t>Debe resaltarse, además, que tanto el glosario como el artículo 2.2.3.1.3 del Decreto 1077 de 2015 utilizan la expresión “entre otros” al enunciar los componentes del espacio público, y el artículo 2.2.3.1.5 emplea la expresión “tales como” al enunciar las áreas articuladoras. Se trata, por tanto, de enumeraciones enunciativas y no taxativas, lo que confirma que la calificación de un bien como espacio público depende de la verificación de los elementos de la definición, y no de su coincidencia literal con alguno de los ejemplos que las normas mencionan.</w:t>
            </w:r>
          </w:p>
          <w:p w14:paraId="6F5CE0CA" w14:textId="77777777" w:rsidR="00C24744" w:rsidRPr="00C24744" w:rsidRDefault="00C24744" w:rsidP="00C24744">
            <w:pPr>
              <w:ind w:firstLine="709"/>
              <w:jc w:val="both"/>
              <w:rPr>
                <w:rFonts w:ascii="Verdana" w:eastAsia="Calibri" w:hAnsi="Verdana" w:cs="Times New Roman"/>
              </w:rPr>
            </w:pPr>
            <w:r w:rsidRPr="00C24744">
              <w:rPr>
                <w:rFonts w:ascii="Verdana" w:eastAsia="Calibri" w:hAnsi="Verdana" w:cs="Times New Roman"/>
              </w:rPr>
              <w:t xml:space="preserve">En el mismo sentido, esta Agencia en el concepto C-469 de 2026, al analizar precisamente la actividad 2.2 de la Matriz 1 – Experiencia del sector cultura, recreación y deporte, precisó que en ella “se hace referencia al “espacio público” cuya finalidad principal es la permanencia y el disfrute, es decir, aquel relacionado con parques, plazas, plazoletas, alamedas, malecones y zonas verdes urbanas, entre otros”. En el mismo pronunciamiento, la Agencia señaló que la diferencia entre el espacio público excluido por la Nota 1 y el espacio público de la actividad 2.2 “no obedece a una divergencia </w:t>
            </w:r>
            <w:r w:rsidRPr="00C24744">
              <w:rPr>
                <w:rFonts w:ascii="Verdana" w:eastAsia="Calibri" w:hAnsi="Verdana" w:cs="Times New Roman"/>
              </w:rPr>
              <w:lastRenderedPageBreak/>
              <w:t>conceptual del “espacio público” –el cual, conforme al Decreto 1077 de 2015, mantiene una definición unitaria e integral–, sino a una distinción funcional dentro de la estructura urbana”, y agregó:</w:t>
            </w:r>
          </w:p>
          <w:p w14:paraId="5928983F" w14:textId="77777777" w:rsidR="00C24744" w:rsidRPr="00C24744" w:rsidRDefault="00C24744" w:rsidP="00C24744">
            <w:pPr>
              <w:jc w:val="both"/>
              <w:rPr>
                <w:rFonts w:ascii="Verdana" w:eastAsia="Calibri" w:hAnsi="Verdana" w:cs="Times New Roman"/>
              </w:rPr>
            </w:pPr>
          </w:p>
          <w:p w14:paraId="05659443" w14:textId="77777777" w:rsidR="00C24744" w:rsidRPr="00C24744" w:rsidRDefault="00C24744" w:rsidP="00C24744">
            <w:pPr>
              <w:ind w:left="709" w:right="709"/>
              <w:jc w:val="both"/>
              <w:rPr>
                <w:rFonts w:ascii="Verdana" w:eastAsia="Calibri" w:hAnsi="Verdana" w:cs="Times New Roman"/>
                <w:sz w:val="21"/>
                <w:szCs w:val="21"/>
              </w:rPr>
            </w:pPr>
            <w:r w:rsidRPr="00C24744">
              <w:rPr>
                <w:rFonts w:ascii="Verdana" w:eastAsia="Calibri" w:hAnsi="Verdana" w:cs="Times New Roman"/>
                <w:sz w:val="21"/>
                <w:szCs w:val="21"/>
              </w:rPr>
              <w:t>“Por su parte, el “espacio público” al que se refiere la actividad 2.2. se enmarca en una lógica urbana distinta, centrada en la permanencia, el encuentro y el disfrute colectivo, como ocurre en espacio tales como parques, plazas, plazoletas y demás áreas articuladoras. Ahora bien, aunque estos también forman parte de los elementos constitutivos del espacio público definidos normativamente, su finalidad está asociada a la calidad de vida, la integración social y el uso recreativo y cultural en el territorio”.</w:t>
            </w:r>
          </w:p>
          <w:p w14:paraId="24F58CFB" w14:textId="77777777" w:rsidR="00C24744" w:rsidRPr="00C24744" w:rsidRDefault="00C24744" w:rsidP="00C24744">
            <w:pPr>
              <w:jc w:val="both"/>
              <w:rPr>
                <w:rFonts w:ascii="Verdana" w:eastAsia="Calibri" w:hAnsi="Verdana" w:cs="Times New Roman"/>
              </w:rPr>
            </w:pPr>
          </w:p>
          <w:p w14:paraId="7B2E4D53" w14:textId="77777777" w:rsidR="00C24744" w:rsidRPr="00C24744" w:rsidRDefault="00C24744" w:rsidP="00C24744">
            <w:pPr>
              <w:spacing w:after="120"/>
              <w:ind w:firstLine="709"/>
              <w:jc w:val="both"/>
              <w:rPr>
                <w:rFonts w:ascii="Verdana" w:eastAsia="Calibri" w:hAnsi="Verdana" w:cs="Times New Roman"/>
              </w:rPr>
            </w:pPr>
            <w:r w:rsidRPr="00C24744">
              <w:rPr>
                <w:rFonts w:ascii="Verdana" w:eastAsia="Calibri" w:hAnsi="Verdana" w:cs="Times New Roman"/>
              </w:rPr>
              <w:t>De este pronunciamiento se desprenden dos criterios de especial relevancia para la presente consulta. El primero, que la enumeración de bienes contenida en el concepto es enunciativa, pues la Agencia empleó la expresión “entre otros” y se refirió a las “demás áreas articuladoras”, lo que remite directamente al numeral 1.2.2 del artículo 2.2.3.1.5 del Decreto 1077 de 2015, en el que se encuentran los “escenarios deportivos, escenarios culturales y de espectáculos al aire libre”. El segundo, que el espacio público de la actividad 2.2 se identifica por su función –la permanencia, el encuentro y el disfrute colectivo– y por su finalidad –“la calidad de vida, la integración social y el uso recreativo y cultural en el territorio”–, y no por la denominación del bien intervenido.</w:t>
            </w:r>
          </w:p>
          <w:p w14:paraId="3A5968AE" w14:textId="77777777" w:rsidR="00C24744" w:rsidRPr="00C24744" w:rsidRDefault="00C24744" w:rsidP="00C24744">
            <w:pPr>
              <w:ind w:firstLine="709"/>
              <w:jc w:val="both"/>
              <w:rPr>
                <w:rFonts w:ascii="Verdana" w:eastAsia="Calibri" w:hAnsi="Verdana" w:cs="Times New Roman"/>
              </w:rPr>
            </w:pPr>
            <w:r w:rsidRPr="00C24744">
              <w:rPr>
                <w:rFonts w:ascii="Verdana" w:eastAsia="Calibri" w:hAnsi="Verdana" w:cs="Times New Roman"/>
              </w:rPr>
              <w:t>Por su parte, en el concepto C-692 de 2026</w:t>
            </w:r>
            <w:r w:rsidRPr="00C24744">
              <w:rPr>
                <w:rFonts w:ascii="Verdana" w:eastAsia="Calibri" w:hAnsi="Verdana" w:cs="Times New Roman"/>
                <w:vertAlign w:val="superscript"/>
              </w:rPr>
              <w:footnoteReference w:id="2"/>
            </w:r>
            <w:r w:rsidRPr="00C24744">
              <w:rPr>
                <w:rFonts w:ascii="Verdana" w:eastAsia="Calibri" w:hAnsi="Verdana" w:cs="Times New Roman"/>
              </w:rPr>
              <w:t>, esta Agencia, al analizar la experiencia en parques y espacio público de la Matriz – Experiencia del sector cultura, recreación y deporte, señaló, a partir de la definición de espacio público del glosario, que “las obras de espacio público pueden recaer sobre una amplia variedad de elementos destinados al uso y disfrute colectivo”. Así mismo, al referirse a la noción de parque, precisó:</w:t>
            </w:r>
          </w:p>
          <w:p w14:paraId="1311BAE6" w14:textId="77777777" w:rsidR="00C24744" w:rsidRPr="00C24744" w:rsidRDefault="00C24744" w:rsidP="00C24744">
            <w:pPr>
              <w:jc w:val="both"/>
              <w:rPr>
                <w:rFonts w:ascii="Verdana" w:eastAsia="Calibri" w:hAnsi="Verdana" w:cs="Times New Roman"/>
              </w:rPr>
            </w:pPr>
          </w:p>
          <w:p w14:paraId="2A3BBB4F" w14:textId="77777777" w:rsidR="00C24744" w:rsidRPr="00C24744" w:rsidRDefault="00C24744" w:rsidP="00C24744">
            <w:pPr>
              <w:ind w:left="709" w:right="709"/>
              <w:jc w:val="both"/>
              <w:rPr>
                <w:rFonts w:ascii="Verdana" w:eastAsia="Calibri" w:hAnsi="Verdana" w:cs="Times New Roman"/>
                <w:sz w:val="21"/>
                <w:szCs w:val="21"/>
              </w:rPr>
            </w:pPr>
            <w:r w:rsidRPr="00C24744">
              <w:rPr>
                <w:rFonts w:ascii="Verdana" w:eastAsia="Calibri" w:hAnsi="Verdana" w:cs="Times New Roman"/>
                <w:sz w:val="21"/>
                <w:szCs w:val="21"/>
              </w:rPr>
              <w:t xml:space="preserve">“(…) es importante precisar que la sola denominación de “parque” no resulta suficiente para efectos de determinar la aplicación del literal L del numeral 3.5.1, en la medida en que pueden existir proyectos identificados como parques que incorporen infraestructuras de naturaleza edificada o con características propias de una edificación vertical, como ocurre, por ejemplo, en el Centro Felicidad CEFE de la localidad de Chapinero Bogotá. En ese sentido, </w:t>
            </w:r>
            <w:r w:rsidRPr="00C24744">
              <w:rPr>
                <w:rFonts w:ascii="Verdana" w:eastAsia="Calibri" w:hAnsi="Verdana" w:cs="Times New Roman"/>
                <w:sz w:val="21"/>
                <w:szCs w:val="21"/>
              </w:rPr>
              <w:lastRenderedPageBreak/>
              <w:t>lo determinante no es la denominación del proyecto como parque, sino su naturaleza constructiva y funcional (…)”.</w:t>
            </w:r>
          </w:p>
          <w:p w14:paraId="508D908D" w14:textId="77777777" w:rsidR="00C24744" w:rsidRPr="00C24744" w:rsidRDefault="00C24744" w:rsidP="00C24744">
            <w:pPr>
              <w:jc w:val="both"/>
              <w:rPr>
                <w:rFonts w:ascii="Verdana" w:eastAsia="Calibri" w:hAnsi="Verdana" w:cs="Times New Roman"/>
              </w:rPr>
            </w:pPr>
          </w:p>
          <w:p w14:paraId="61EF5CAB" w14:textId="77777777" w:rsidR="00C24744" w:rsidRPr="00C24744" w:rsidRDefault="00C24744" w:rsidP="00C24744">
            <w:pPr>
              <w:spacing w:after="120"/>
              <w:ind w:firstLine="709"/>
              <w:jc w:val="both"/>
              <w:rPr>
                <w:rFonts w:ascii="Verdana" w:eastAsia="Calibri" w:hAnsi="Verdana" w:cs="Times New Roman"/>
              </w:rPr>
            </w:pPr>
            <w:r w:rsidRPr="00C24744">
              <w:rPr>
                <w:rFonts w:ascii="Verdana" w:eastAsia="Calibri" w:hAnsi="Verdana" w:cs="Times New Roman"/>
              </w:rPr>
              <w:t xml:space="preserve">Si bien el concepto C-692 de 2026 se profirió con fundamento en la versión 1 de los documentos tipo de infraestructura social, el criterio que allí se fija resulta plenamente aplicable a la versión 2, pues las definiciones de espacio público y de parque se mantienen en términos sustancialmente idénticos en el Anexo 5 – Glosario vigente. De este pronunciamiento se extraen dos reglas de interpretación: i) la experiencia en espacio público comprende una amplia variedad de elementos, siempre que estén destinados al uso y disfrute colectivo; y </w:t>
            </w:r>
            <w:proofErr w:type="spellStart"/>
            <w:r w:rsidRPr="00C24744">
              <w:rPr>
                <w:rFonts w:ascii="Verdana" w:eastAsia="Calibri" w:hAnsi="Verdana" w:cs="Times New Roman"/>
              </w:rPr>
              <w:t>ii</w:t>
            </w:r>
            <w:proofErr w:type="spellEnd"/>
            <w:r w:rsidRPr="00C24744">
              <w:rPr>
                <w:rFonts w:ascii="Verdana" w:eastAsia="Calibri" w:hAnsi="Verdana" w:cs="Times New Roman"/>
              </w:rPr>
              <w:t>) para calificar un proyecto como parque o como espacio público, lo determinante no es su denominación, sino su naturaleza constructiva y funcional, de manera que un proyecto puede constituir parque o espacio público aun cuando incorpore infraestructuras de naturaleza edificada. Ambas reglas confirman que la verificación que corresponde a la entidad es de carácter material y funcional.</w:t>
            </w:r>
          </w:p>
          <w:p w14:paraId="36C2F818" w14:textId="77777777" w:rsidR="00C24744" w:rsidRPr="00C24744" w:rsidRDefault="00C24744" w:rsidP="00C24744">
            <w:pPr>
              <w:spacing w:after="120"/>
              <w:ind w:firstLine="709"/>
              <w:jc w:val="both"/>
              <w:rPr>
                <w:rFonts w:ascii="Verdana" w:eastAsia="Calibri" w:hAnsi="Verdana" w:cs="Times New Roman"/>
              </w:rPr>
            </w:pPr>
            <w:r w:rsidRPr="00C24744">
              <w:rPr>
                <w:rFonts w:ascii="Verdana" w:eastAsia="Calibri" w:hAnsi="Verdana" w:cs="Times New Roman"/>
              </w:rPr>
              <w:t>De acuerdo con lo anterior, el espacio público comprende un conjunto amplio de bienes y áreas destinados a satisfacer necesidades colectivas que trascienden los intereses individuales, dentro del cual los escenarios deportivos, culturales y de encuentro de uso público ocupan un lugar expreso como elementos constitutivos artificiales o construidos. Esta conclusión tiene especial relevancia para los documentos tipo del sector cultura, recreación y deporte, cuya Matriz 1 – Experiencia agrupa, precisamente, la infraestructura destinada a la recreación, el deporte y la cultura de la comunidad.</w:t>
            </w:r>
          </w:p>
          <w:p w14:paraId="70B480BD" w14:textId="77777777" w:rsidR="00C24744" w:rsidRPr="00C24744" w:rsidRDefault="00C24744" w:rsidP="00C24744">
            <w:pPr>
              <w:spacing w:after="120"/>
              <w:ind w:firstLine="709"/>
              <w:jc w:val="both"/>
              <w:rPr>
                <w:rFonts w:ascii="Verdana" w:eastAsia="Calibri" w:hAnsi="Verdana" w:cs="Times New Roman"/>
              </w:rPr>
            </w:pPr>
            <w:r w:rsidRPr="00C24744">
              <w:rPr>
                <w:rFonts w:ascii="Verdana" w:eastAsia="Calibri" w:hAnsi="Verdana" w:cs="Times New Roman"/>
              </w:rPr>
              <w:t>Establecido el alcance de la noción de espacio público, y dado que la experiencia de la actividad 2.2 puede acreditarse con proyectos que “correspondan y/o hayan contenido” actividades sobre parques o espacio público, la verificación que corresponde a la entidad no puede agotarse en la lectura del objeto contractual consignado en la certificación o en el contrato aportado. La denominación del objeto es un indicio, pero no el único elemento de juicio: la entidad debe revisar, con los documentos que el pliego de condiciones admite para acreditar la experiencia, el alcance del contrato, las actividades y cantidades de obra ejecutadas y la naturaleza del bien intervenido.</w:t>
            </w:r>
          </w:p>
          <w:p w14:paraId="57BBD290" w14:textId="77777777" w:rsidR="00C24744" w:rsidRPr="00C24744" w:rsidRDefault="00C24744" w:rsidP="00C24744">
            <w:pPr>
              <w:spacing w:after="120"/>
              <w:ind w:firstLine="709"/>
              <w:jc w:val="both"/>
              <w:rPr>
                <w:rFonts w:ascii="Verdana" w:eastAsia="Calibri" w:hAnsi="Verdana" w:cs="Times New Roman"/>
              </w:rPr>
            </w:pPr>
            <w:r w:rsidRPr="00C24744">
              <w:rPr>
                <w:rFonts w:ascii="Verdana" w:eastAsia="Calibri" w:hAnsi="Verdana" w:cs="Times New Roman"/>
              </w:rPr>
              <w:t xml:space="preserve">Esta labor de verificación debe realizarse con estricta sujeción al principio de selección objetiva, según el cual “(e)s objetiva la selección en la cual la escogencia se haga al ofrecimiento más favorable a la entidad y a los fines que ella busca, sin tener en consideración factores de afecto o de interés y, en general, cualquier clase de motivación subjetiva”. En el mismo sentido, el artículo 2.2.1.1.2.2.3 del Decreto 1082 de 2015 prevé que el comité </w:t>
            </w:r>
            <w:r w:rsidRPr="00C24744">
              <w:rPr>
                <w:rFonts w:ascii="Verdana" w:eastAsia="Calibri" w:hAnsi="Verdana" w:cs="Times New Roman"/>
              </w:rPr>
              <w:lastRenderedPageBreak/>
              <w:t xml:space="preserve">evaluador “debe realizar su labor de manera objetiva, ciñéndose exclusivamente a las reglas contenidas en los pliegos de condiciones”. Por ello, la calificación de un bien como espacio público no puede obedecer a apreciaciones subjetivas del evaluador, sino a la constatación de los elementos de la definición normativa con base en los documentos soporte. Cuando los documentos aportados no permitan establecer con claridad la naturaleza del bien intervenido o las actividades ejecutadas, la entidad debe solicitar las aclaraciones correspondientes. </w:t>
            </w:r>
          </w:p>
          <w:p w14:paraId="5B89BA8C" w14:textId="77777777" w:rsidR="00C24744" w:rsidRPr="00C24744" w:rsidRDefault="00C24744" w:rsidP="00C24744">
            <w:pPr>
              <w:ind w:firstLine="709"/>
              <w:jc w:val="both"/>
              <w:rPr>
                <w:rFonts w:ascii="Verdana" w:eastAsia="Calibri" w:hAnsi="Verdana" w:cs="Times New Roman"/>
              </w:rPr>
            </w:pPr>
            <w:r w:rsidRPr="00C24744">
              <w:rPr>
                <w:rFonts w:ascii="Verdana" w:eastAsia="Calibri" w:hAnsi="Verdana" w:cs="Times New Roman"/>
              </w:rPr>
              <w:t>Con fundamento en lo expuesto, y en relación con la primera experiencia objeto de consulta, se advierte que los Centros de Integración Ciudadana – CIC corresponden a una tipología de proyecto promovida por el Ministerio del Interior, con cargo al Fondo Nacional de Seguridad y Convivencia Ciudadana – FONSECON, cuyo propósito es la ocupación física del territorio mediante escenarios destinados a la convivencia, la cultura ciudadana, la recreación, el deporte y la cultura. Desde su concepción, el programa se definió como un modelo de intervención territorial mediante un “escenario de articulación e integración social de actores locales”, lo que pone de presente que la destinación de estos escenarios es la satisfacción de necesidades colectivas de la comunidad, y no la prestación de un servicio institucional de acceso restringido. Esta destinación no es una apreciación de esta Agencia, sino que se encuentra expresamente reconocida por los propios documentos tipo, pues el numeral 3.16 del Anexo 5 – Glosario define los Centros de Integración Ciudadana en los siguientes términos:</w:t>
            </w:r>
          </w:p>
          <w:p w14:paraId="4DC67DB3" w14:textId="77777777" w:rsidR="00C24744" w:rsidRPr="00C24744" w:rsidRDefault="00C24744" w:rsidP="00C24744">
            <w:pPr>
              <w:ind w:left="709" w:right="709"/>
              <w:jc w:val="both"/>
              <w:rPr>
                <w:rFonts w:ascii="Verdana" w:eastAsia="Calibri" w:hAnsi="Verdana" w:cs="Times New Roman"/>
                <w:sz w:val="21"/>
                <w:szCs w:val="21"/>
              </w:rPr>
            </w:pPr>
          </w:p>
          <w:p w14:paraId="52D12AFF" w14:textId="77777777" w:rsidR="00C24744" w:rsidRPr="00C24744" w:rsidRDefault="00C24744" w:rsidP="00C24744">
            <w:pPr>
              <w:ind w:left="709" w:right="709"/>
              <w:jc w:val="both"/>
              <w:rPr>
                <w:rFonts w:ascii="Verdana" w:eastAsia="Calibri" w:hAnsi="Verdana" w:cs="Times New Roman"/>
                <w:sz w:val="21"/>
                <w:szCs w:val="21"/>
              </w:rPr>
            </w:pPr>
            <w:r w:rsidRPr="00C24744">
              <w:rPr>
                <w:rFonts w:ascii="Verdana" w:eastAsia="Calibri" w:hAnsi="Verdana" w:cs="Times New Roman"/>
                <w:sz w:val="21"/>
                <w:szCs w:val="21"/>
              </w:rPr>
              <w:t>“3.16. Centros de integración ciudadana: Escenarios de uso público y gratuito destinados no solo a la práctica del deporte, recreación y actividad física, si no también, todas las expresiones artísticas y culturales para el sano esparcimiento de la comunidad.”</w:t>
            </w:r>
          </w:p>
          <w:p w14:paraId="3D6B52DA" w14:textId="77777777" w:rsidR="00C24744" w:rsidRPr="00C24744" w:rsidRDefault="00C24744" w:rsidP="00C24744">
            <w:pPr>
              <w:jc w:val="both"/>
              <w:rPr>
                <w:rFonts w:ascii="Verdana" w:eastAsia="Calibri" w:hAnsi="Verdana" w:cs="Times New Roman"/>
              </w:rPr>
            </w:pPr>
          </w:p>
          <w:p w14:paraId="59564358" w14:textId="77777777" w:rsidR="00C24744" w:rsidRPr="00C24744" w:rsidRDefault="00C24744" w:rsidP="00AD7A7B">
            <w:pPr>
              <w:snapToGrid w:val="0"/>
              <w:spacing w:after="120"/>
              <w:ind w:firstLine="709"/>
              <w:jc w:val="both"/>
              <w:rPr>
                <w:rFonts w:ascii="Verdana" w:eastAsia="Calibri" w:hAnsi="Verdana" w:cs="Times New Roman"/>
              </w:rPr>
            </w:pPr>
            <w:r w:rsidRPr="00C24744">
              <w:rPr>
                <w:rFonts w:ascii="Verdana" w:eastAsia="Calibri" w:hAnsi="Verdana" w:cs="Times New Roman"/>
              </w:rPr>
              <w:t>La definición transcrita resulta determinante para resolver la consulta, pues contiene, en su propio texto, los elementos que la normativa exige para calificar un bien como espacio público. En efecto: i) el glosario califica a los Centros de Integración Ciudadana – CIC como “(e)</w:t>
            </w:r>
            <w:proofErr w:type="spellStart"/>
            <w:r w:rsidRPr="00C24744">
              <w:rPr>
                <w:rFonts w:ascii="Verdana" w:eastAsia="Calibri" w:hAnsi="Verdana" w:cs="Times New Roman"/>
              </w:rPr>
              <w:t>scenarios</w:t>
            </w:r>
            <w:proofErr w:type="spellEnd"/>
            <w:r w:rsidRPr="00C24744">
              <w:rPr>
                <w:rFonts w:ascii="Verdana" w:eastAsia="Calibri" w:hAnsi="Verdana" w:cs="Times New Roman"/>
              </w:rPr>
              <w:t xml:space="preserve"> de uso público”, expresión que coincide con los “bienes de uso público” del literal a) del numeral 2.87 del glosario y del numeral 1 del artículo 2.2.3.1.3 del Decreto 1077 de 2015, esto es, aquellos cuyo uso pertenece a todos los habitantes y están “destinados al uso o disfrute colectivo”; </w:t>
            </w:r>
            <w:proofErr w:type="spellStart"/>
            <w:r w:rsidRPr="00C24744">
              <w:rPr>
                <w:rFonts w:ascii="Verdana" w:eastAsia="Calibri" w:hAnsi="Verdana" w:cs="Times New Roman"/>
              </w:rPr>
              <w:t>ii</w:t>
            </w:r>
            <w:proofErr w:type="spellEnd"/>
            <w:r w:rsidRPr="00C24744">
              <w:rPr>
                <w:rFonts w:ascii="Verdana" w:eastAsia="Calibri" w:hAnsi="Verdana" w:cs="Times New Roman"/>
              </w:rPr>
              <w:t xml:space="preserve">) les atribuye carácter “gratuito”, lo que descarta que su acceso esté restringido o condicionado a una contraprestación, como ocurre con los bienes fiscales o con los equipamientos afectos a un servicio institucional; </w:t>
            </w:r>
            <w:proofErr w:type="spellStart"/>
            <w:r w:rsidRPr="00C24744">
              <w:rPr>
                <w:rFonts w:ascii="Verdana" w:eastAsia="Calibri" w:hAnsi="Verdana" w:cs="Times New Roman"/>
              </w:rPr>
              <w:t>iii</w:t>
            </w:r>
            <w:proofErr w:type="spellEnd"/>
            <w:r w:rsidRPr="00C24744">
              <w:rPr>
                <w:rFonts w:ascii="Verdana" w:eastAsia="Calibri" w:hAnsi="Verdana" w:cs="Times New Roman"/>
              </w:rPr>
              <w:t xml:space="preserve">) los destina a “la práctica del deporte, recreación y actividad física” y a “todas las expresiones artísticas y culturales”, </w:t>
            </w:r>
            <w:r w:rsidRPr="00C24744">
              <w:rPr>
                <w:rFonts w:ascii="Verdana" w:eastAsia="Calibri" w:hAnsi="Verdana" w:cs="Times New Roman"/>
              </w:rPr>
              <w:lastRenderedPageBreak/>
              <w:t xml:space="preserve">finalidades que corresponden a las “áreas para la recreación pública, activa o pasiva” del artículo 5 de la Ley 9 de 1989 y a los “escenarios deportivos, escenarios culturales y de espectáculos al aire libre” que el artículo 2.2.3.1.5 del Decreto 1077 de 2015 enuncia como elementos constitutivos del espacio público; y </w:t>
            </w:r>
            <w:proofErr w:type="spellStart"/>
            <w:r w:rsidRPr="00C24744">
              <w:rPr>
                <w:rFonts w:ascii="Verdana" w:eastAsia="Calibri" w:hAnsi="Verdana" w:cs="Times New Roman"/>
              </w:rPr>
              <w:t>iv</w:t>
            </w:r>
            <w:proofErr w:type="spellEnd"/>
            <w:r w:rsidRPr="00C24744">
              <w:rPr>
                <w:rFonts w:ascii="Verdana" w:eastAsia="Calibri" w:hAnsi="Verdana" w:cs="Times New Roman"/>
              </w:rPr>
              <w:t>) señala que su propósito es “el sano esparcimiento de la comunidad”, lo que corresponde exactamente a la satisfacción de “necesidades urbanas colectivas que trascienden los límites de los intereses individuales de los habitantes” a que se refieren el numeral 2.87 del glosario y el artículo 2.2.3.1.2 del Decreto 1077 de 2015.</w:t>
            </w:r>
          </w:p>
          <w:p w14:paraId="5D62721D" w14:textId="77777777" w:rsidR="00C24744" w:rsidRPr="00C24744" w:rsidRDefault="00C24744" w:rsidP="00AD7A7B">
            <w:pPr>
              <w:snapToGrid w:val="0"/>
              <w:spacing w:after="120"/>
              <w:ind w:firstLine="709"/>
              <w:jc w:val="both"/>
              <w:rPr>
                <w:rFonts w:ascii="Verdana" w:eastAsia="Calibri" w:hAnsi="Verdana" w:cs="Times New Roman"/>
              </w:rPr>
            </w:pPr>
            <w:r w:rsidRPr="00C24744">
              <w:rPr>
                <w:rFonts w:ascii="Verdana" w:eastAsia="Calibri" w:hAnsi="Verdana" w:cs="Times New Roman"/>
              </w:rPr>
              <w:t>Así las cosas, el propio documento tipo, reconoce que el CIC es un escenario de uso público, gratuito y destinado al esparcimiento colectivo, características que coinciden plenamente con los elementos material, de destinación y teleológico de la noción de espacio público. Por consiguiente, la calificación del Centros de Integración Ciudadana – CIC como espacio público no constituye una interpretación extensiva del requisito de experiencia, sino la aplicación armónica de dos definiciones contenidas en el mismo Anexo 5 – Glosario, esto es, la del numeral 3.16, relativa a los Centros de Integración Ciudadana – CIC, y la del numeral 2.87, relativa al espacio público.</w:t>
            </w:r>
          </w:p>
          <w:p w14:paraId="24C0B900" w14:textId="77777777" w:rsidR="00C24744" w:rsidRPr="00C24744" w:rsidRDefault="00C24744" w:rsidP="00AD7A7B">
            <w:pPr>
              <w:snapToGrid w:val="0"/>
              <w:spacing w:after="120"/>
              <w:ind w:firstLine="709"/>
              <w:jc w:val="both"/>
              <w:rPr>
                <w:rFonts w:ascii="Verdana" w:eastAsia="Calibri" w:hAnsi="Verdana" w:cs="Times New Roman"/>
              </w:rPr>
            </w:pPr>
            <w:r w:rsidRPr="00C24744">
              <w:rPr>
                <w:rFonts w:ascii="Verdana" w:eastAsia="Calibri" w:hAnsi="Verdana" w:cs="Times New Roman"/>
              </w:rPr>
              <w:t>Desde el punto de vista técnico, las tipologías de Centros de Integración Ciudadana – CIC suelen integrar componentes como canchas múltiples o placas polideportivas, graderías, zonas de encuentro y de permanencia, espacios para actividades culturales, obras de urbanismo exterior, zonas verdes y, en algunos casos, cubiertas o áreas complementarias como baterías sanitarias. Se trata, entonces, de un escenario polifuncional de encuentro comunitario que coincide con las “(á)reas articuladoras de espacio público y de encuentro” del artículo 2.2.3.1.5 del Decreto 1077 de 2015, entre las que la norma enuncia expresamente los “escenarios deportivos, escenarios culturales y de espectáculos al aire libre”, así como con las “áreas para la recreación pública, activa o pasiva” y las zonas “en las que el interés colectivo sea manifiesto y conspicuo en la utilización, uso o disfrute colectivo” a que se refiere el artículo 5 de la Ley 9 de 1989.</w:t>
            </w:r>
          </w:p>
          <w:p w14:paraId="1085EF26" w14:textId="77777777" w:rsidR="00C24744" w:rsidRPr="00C24744" w:rsidRDefault="00C24744" w:rsidP="00AD7A7B">
            <w:pPr>
              <w:snapToGrid w:val="0"/>
              <w:spacing w:after="120"/>
              <w:ind w:firstLine="709"/>
              <w:jc w:val="both"/>
              <w:rPr>
                <w:rFonts w:ascii="Verdana" w:eastAsia="Calibri" w:hAnsi="Verdana" w:cs="Times New Roman"/>
              </w:rPr>
            </w:pPr>
            <w:r w:rsidRPr="00C24744">
              <w:rPr>
                <w:rFonts w:ascii="Verdana" w:eastAsia="Calibri" w:hAnsi="Verdana" w:cs="Times New Roman"/>
              </w:rPr>
              <w:t xml:space="preserve">Si se contrastan estas características por parte de la entidad que adelanta el proceso de selección con los documentos tipo expedidos por la Agencia Nacional de Contratación Pública – Colombia Compra Eficiente, con los elementos de la definición de espacio público, y si se concluye que el Centro de Integración Ciudadana – CIC reúne, el elemento material, pues se trata de un inmueble público; el elemento de destinación, pues su uso pertenece a la comunidad y se encuentra afectado al uso y disfrute colectivo; y el elemento teleológico, pues satisface necesidades colectivas de convivencia, recreación, deporte y cultura que trascienden los intereses individuales de los habitantes, </w:t>
            </w:r>
            <w:r w:rsidRPr="00C24744">
              <w:rPr>
                <w:rFonts w:ascii="Verdana" w:eastAsia="Calibri" w:hAnsi="Verdana" w:cs="Times New Roman"/>
              </w:rPr>
              <w:lastRenderedPageBreak/>
              <w:t>podría tomarse que las intervenciones relacionadas sobre los Centros de Integración Ciudadana – CIC podrían considerarse para acreditar la experiencia general para la actividad 2.2 contenida en la Matriz 1 – Experiencia. Esto considerando que, esta conclusión coincidiría con la definición del numeral 3.16 del glosario, en esa medida que, el Centro de Integración Ciudadana–  CIC se ajusta a la noción de “bienes de uso público” prevista en el literal a) del numeral 2.87 del glosario y en el numeral 1 del artículo 2.2.3.1.3 del Decreto 1077 de 2015, esto es, “aquellos inmuebles de dominio público cuyo uso pertenece a todos los habitantes del territorio nacional, destinados al uso o disfrute colectivo”.</w:t>
            </w:r>
          </w:p>
          <w:p w14:paraId="7D34367B" w14:textId="77777777" w:rsidR="00C24744" w:rsidRPr="00C24744" w:rsidRDefault="00C24744" w:rsidP="00AD7A7B">
            <w:pPr>
              <w:snapToGrid w:val="0"/>
              <w:spacing w:after="120"/>
              <w:ind w:firstLine="709"/>
              <w:jc w:val="both"/>
              <w:rPr>
                <w:rFonts w:ascii="Verdana" w:eastAsia="Calibri" w:hAnsi="Verdana" w:cs="Times New Roman"/>
              </w:rPr>
            </w:pPr>
            <w:r w:rsidRPr="00C24744">
              <w:rPr>
                <w:rFonts w:ascii="Verdana" w:eastAsia="Calibri" w:hAnsi="Verdana" w:cs="Times New Roman"/>
              </w:rPr>
              <w:t xml:space="preserve">Esta conclusión se refuerza con lo señalado por esta Agencia en el concepto C-469 de 2026, según el cual el espacio público de la actividad 2.2 es aquel cuya finalidad está asociada a “la calidad de vida, la integración social y el uso recreativo y cultural en el territorio”. Nótese que estas tres finalidades coinciden con la función que el numeral 3.16 del glosario asigna a los Centros de Integración Ciudadana – CIC: se trata de escenarios concebidos para la integración ciudadana –lo que su propia denominación pone de presente–, destinados a la recreación, el deporte y la actividad física, y a “todas las expresiones artísticas y culturales”. </w:t>
            </w:r>
          </w:p>
          <w:p w14:paraId="571AF6EE" w14:textId="77777777" w:rsidR="00C24744" w:rsidRPr="00C24744" w:rsidRDefault="00C24744" w:rsidP="00AD7A7B">
            <w:pPr>
              <w:snapToGrid w:val="0"/>
              <w:spacing w:after="120"/>
              <w:ind w:firstLine="709"/>
              <w:jc w:val="both"/>
              <w:rPr>
                <w:rFonts w:ascii="Verdana" w:eastAsia="Calibri" w:hAnsi="Verdana" w:cs="Times New Roman"/>
              </w:rPr>
            </w:pPr>
            <w:r w:rsidRPr="00C24744">
              <w:rPr>
                <w:rFonts w:ascii="Verdana" w:eastAsia="Calibri" w:hAnsi="Verdana" w:cs="Times New Roman"/>
              </w:rPr>
              <w:tab/>
              <w:t xml:space="preserve">En consecuencia, esta Agencia considera que la construcción de un Centro de Integración Ciudadana – CIC eventualmente puede ser considerada como intervención de espacio público y, por lo tanto, puede enmarcarse en la experiencia general de la actividad 2.2 de la Matriz 1 – Experiencia del sector cultura, recreación y deporte, toda vez que la actividad de “construcción” se encuentra expresamente enlistada y el bien construido corresponde, por su naturaleza, uso y afectación, a un escenario destinado al uso y disfrute colectivo. </w:t>
            </w:r>
          </w:p>
          <w:p w14:paraId="407FF808" w14:textId="77777777" w:rsidR="00C24744" w:rsidRPr="00C24744" w:rsidRDefault="00C24744" w:rsidP="00AD7A7B">
            <w:pPr>
              <w:snapToGrid w:val="0"/>
              <w:spacing w:after="120"/>
              <w:ind w:firstLine="709"/>
              <w:jc w:val="both"/>
              <w:rPr>
                <w:rFonts w:ascii="Verdana" w:eastAsia="Calibri" w:hAnsi="Verdana" w:cs="Times New Roman"/>
              </w:rPr>
            </w:pPr>
            <w:r w:rsidRPr="00C24744">
              <w:rPr>
                <w:rFonts w:ascii="Verdana" w:eastAsia="Calibri" w:hAnsi="Verdana" w:cs="Times New Roman"/>
              </w:rPr>
              <w:t xml:space="preserve">Lo anterior, sin perjuicio de que la entidad verifique, con los documentos soporte, que el Centro de Integración Ciudadana – efectivamente tiene una destinación de uso público y de acceso colectivo, y que las actividades acreditadas recayeron sobre sus áreas. Esta verificación resulta pertinente porque, en la práctica, algunos proyectos denominados de manera similar pueden corresponder a edificaciones cerradas afectas a un servicio institucional específico –por ejemplo, oficinas administrativas o sedes de atención de acceso restringido–, caso en el cual se trataría de un equipamiento colectivo y no de espacio público. </w:t>
            </w:r>
          </w:p>
          <w:p w14:paraId="085B1025" w14:textId="77777777" w:rsidR="00C24744" w:rsidRPr="00C24744" w:rsidRDefault="00C24744" w:rsidP="00AD7A7B">
            <w:pPr>
              <w:snapToGrid w:val="0"/>
              <w:spacing w:after="120"/>
              <w:ind w:firstLine="709"/>
              <w:jc w:val="both"/>
              <w:rPr>
                <w:rFonts w:ascii="Verdana" w:eastAsia="Calibri" w:hAnsi="Verdana" w:cs="Times New Roman"/>
              </w:rPr>
            </w:pPr>
            <w:r w:rsidRPr="00C24744">
              <w:rPr>
                <w:rFonts w:ascii="Verdana" w:eastAsia="Calibri" w:hAnsi="Verdana" w:cs="Times New Roman"/>
              </w:rPr>
              <w:t xml:space="preserve">En relación con la segunda experiencia objeto de consulta, debe señalarse que los escenarios deportivos se encuentran expresamente enunciados en el artículo 2.2.3.1.5 del Decreto 1077 de 2015 como elementos constitutivos artificiales o construidos del espacio público, dentro de las “(á) </w:t>
            </w:r>
            <w:r w:rsidRPr="00C24744">
              <w:rPr>
                <w:rFonts w:ascii="Verdana" w:eastAsia="Calibri" w:hAnsi="Verdana" w:cs="Times New Roman"/>
              </w:rPr>
              <w:lastRenderedPageBreak/>
              <w:t>reas articuladoras de espacio público y de encuentro”. Por su parte, el artículo 5 de la Ley 9 de 1989 incluye en el espacio público las “áreas para la recreación pública, activa o pasiva”. De esta manera, la actividad de mejoramiento de un escenario deportivo puede, en principio, enmarcarse en la actividad 2.2 de la Matriz 1 – Experiencia, pues el “mejoramiento” está expresamente enlistado y el escenario deportivo es una de las categorías que la norma reconoce como integrante del espacio público.</w:t>
            </w:r>
          </w:p>
          <w:p w14:paraId="288708A0" w14:textId="77777777" w:rsidR="00C24744" w:rsidRPr="00C24744" w:rsidRDefault="00C24744" w:rsidP="00AD7A7B">
            <w:pPr>
              <w:snapToGrid w:val="0"/>
              <w:spacing w:after="120"/>
              <w:ind w:firstLine="709"/>
              <w:jc w:val="both"/>
              <w:rPr>
                <w:rFonts w:ascii="Verdana" w:eastAsia="Calibri" w:hAnsi="Verdana" w:cs="Times New Roman"/>
              </w:rPr>
            </w:pPr>
            <w:r w:rsidRPr="00C24744">
              <w:rPr>
                <w:rFonts w:ascii="Verdana" w:eastAsia="Calibri" w:hAnsi="Verdana" w:cs="Times New Roman"/>
              </w:rPr>
              <w:t>No obstante, a diferencia del Centro de Integración Ciudadana – CIC, el escenario deportivo consultado se encuentra ubicado dentro de una institución educativa, esto es, dentro de un equipamiento colectivo afecto a la prestación del servicio público de educación. Por regla general, los inmuebles de las instituciones educativas oficiales tienen la condición de bienes fiscales afectos a un servicio público específico, cuyo uso no pertenece a todos los habitantes sino a la comunidad educativa, y cuyo acceso suele estar restringido por razones de seguridad y de organización del servicio. En esa hipótesis, el escenario deportivo satisface una necesidad institucional, pero no reúne el elemento de destinación al uso colectivo general que exige la definición de espacio público.</w:t>
            </w:r>
          </w:p>
          <w:p w14:paraId="5F62A9E8" w14:textId="77777777" w:rsidR="00C24744" w:rsidRPr="00C24744" w:rsidRDefault="00C24744" w:rsidP="00AD7A7B">
            <w:pPr>
              <w:snapToGrid w:val="0"/>
              <w:spacing w:after="120"/>
              <w:ind w:firstLine="709"/>
              <w:jc w:val="both"/>
              <w:rPr>
                <w:rFonts w:ascii="Verdana" w:eastAsia="Calibri" w:hAnsi="Verdana" w:cs="Times New Roman"/>
              </w:rPr>
            </w:pPr>
            <w:r w:rsidRPr="00C24744">
              <w:rPr>
                <w:rFonts w:ascii="Verdana" w:eastAsia="Calibri" w:hAnsi="Verdana" w:cs="Times New Roman"/>
              </w:rPr>
              <w:t>Por ello, la intervención de un escenario deportivo de una institución educativa podría ser considerada como intervención de espacio público siempre y cuando se cumplan los elementos de la definición normativa, es decir, cuando el escenario esté destinado, por su naturaleza, uso o afectación, al uso y disfrute colectivo de la comunidad en general, trascendiendo los intereses de la comunidad educativa. Así ocurriría, a título de ejemplo, cuando el escenario sea de libre acceso a la comunidad, cuando exista un acto administrativo, convenio o reglamento que lo afecte al uso comunitario, o cuando el instrumento de ordenamiento territorial lo incorpore al sistema de espacio público del municipio. Esta interpretación es consistente con el numeral 2 del artículo 2.2.3.1.3 del Decreto 1077 de 2015 y con el literal b) del numeral 2.87 del glosario, que admiten como espacio público, incluso, elementos de inmuebles privados que “por su naturaleza, uso o afectación satisfacen necesidades de uso público”; con mayor razón puede serlo un elemento de un inmueble público que efectivamente cumpla esa destinación.</w:t>
            </w:r>
          </w:p>
          <w:p w14:paraId="671D0391" w14:textId="77777777" w:rsidR="00C24744" w:rsidRPr="00C24744" w:rsidRDefault="00C24744" w:rsidP="00AD7A7B">
            <w:pPr>
              <w:snapToGrid w:val="0"/>
              <w:spacing w:after="120"/>
              <w:ind w:firstLine="709"/>
              <w:jc w:val="both"/>
              <w:rPr>
                <w:rFonts w:ascii="Verdana" w:eastAsia="Calibri" w:hAnsi="Verdana" w:cs="Times New Roman"/>
              </w:rPr>
            </w:pPr>
            <w:r w:rsidRPr="00C24744">
              <w:rPr>
                <w:rFonts w:ascii="Verdana" w:eastAsia="Calibri" w:hAnsi="Verdana" w:cs="Times New Roman"/>
              </w:rPr>
              <w:t xml:space="preserve">Este análisis es consistente con el criterio fijado por esta Agencia en el concepto C-692 de 2026, según el cual “lo determinante no es la denominación del proyecto (…) sino su naturaleza constructiva y funcional”. Aplicado a este caso, ello significa que la ubicación del escenario en una institución educativa no excluye por sí sola la experiencia, pero tampoco la valida automáticamente: la entidad debe establecer si, por su función, el escenario hace parte del espacio público “centrado en la permanencia, el encuentro y el disfrute </w:t>
            </w:r>
            <w:r w:rsidRPr="00C24744">
              <w:rPr>
                <w:rFonts w:ascii="Verdana" w:eastAsia="Calibri" w:hAnsi="Verdana" w:cs="Times New Roman"/>
              </w:rPr>
              <w:lastRenderedPageBreak/>
              <w:t>colectivo” al que se refiere la actividad 2.2, según el concepto C-469 de 2026, o si, por el contrario, es un componente interno del equipamiento educativo destinado exclusivamente a la prestación del servicio.</w:t>
            </w:r>
          </w:p>
          <w:p w14:paraId="5F1ECD28" w14:textId="77777777" w:rsidR="00C24744" w:rsidRPr="00C24744" w:rsidRDefault="00C24744" w:rsidP="00AD7A7B">
            <w:pPr>
              <w:snapToGrid w:val="0"/>
              <w:spacing w:after="120"/>
              <w:ind w:firstLine="709"/>
              <w:jc w:val="both"/>
              <w:rPr>
                <w:rFonts w:ascii="Verdana" w:eastAsia="Calibri" w:hAnsi="Verdana" w:cs="Times New Roman"/>
              </w:rPr>
            </w:pPr>
            <w:r w:rsidRPr="00C24744">
              <w:rPr>
                <w:rFonts w:ascii="Verdana" w:eastAsia="Calibri" w:hAnsi="Verdana" w:cs="Times New Roman"/>
              </w:rPr>
              <w:t>Esta conclusión se refuerza con la definición de parques del Anexo 5 – Glosario. Un escenario deportivo que se encuentre en un área libre pública, destinada a la recreación y el esparcimiento de la comunidad, puede corresponder a un “Parque de Recreación Activa” en los términos del numeral 3.85, en el que “el área destinada a la recreación activa es superior al 30%”. Sin embargo, el numeral 3.84 exige que se trate de “(á)reas libres públicas”, condición que no se cumple cuando el escenario se encuentra al interior de un equipamiento cerrado, cuyo acceso está reservado a la comunidad educativa. Por ello, también bajo la noción de parque, la verificación de la entidad debe centrarse en el carácter libre y público del área y en su destinación efectiva a la recreación de la comunidad en general.</w:t>
            </w:r>
          </w:p>
          <w:p w14:paraId="3BB15E8F" w14:textId="77777777" w:rsidR="00C24744" w:rsidRPr="00C24744" w:rsidRDefault="00C24744" w:rsidP="00AD7A7B">
            <w:pPr>
              <w:snapToGrid w:val="0"/>
              <w:spacing w:after="120"/>
              <w:ind w:firstLine="709"/>
              <w:jc w:val="both"/>
              <w:rPr>
                <w:rFonts w:ascii="Verdana" w:eastAsia="Calibri" w:hAnsi="Verdana" w:cs="Times New Roman"/>
              </w:rPr>
            </w:pPr>
            <w:r w:rsidRPr="00C24744">
              <w:rPr>
                <w:rFonts w:ascii="Verdana" w:eastAsia="Calibri" w:hAnsi="Verdana" w:cs="Times New Roman"/>
              </w:rPr>
              <w:t xml:space="preserve">En cambio, si de los documentos soporte se desprende que el escenario deportivo está reservado de manera exclusiva al uso de los estudiantes y del personal de la institución educativa, la experiencia corresponderá a una intervención en infraestructura educativa y no en espacio público, y no podrá acreditar la experiencia general de la actividad 2.2. </w:t>
            </w:r>
          </w:p>
          <w:p w14:paraId="1E85646D" w14:textId="77777777" w:rsidR="00C24744" w:rsidRPr="00C24744" w:rsidRDefault="00C24744" w:rsidP="00AD7A7B">
            <w:pPr>
              <w:snapToGrid w:val="0"/>
              <w:spacing w:after="120"/>
              <w:ind w:firstLine="709"/>
              <w:jc w:val="both"/>
              <w:rPr>
                <w:rFonts w:ascii="Verdana" w:eastAsia="Calibri" w:hAnsi="Verdana" w:cs="Times New Roman"/>
              </w:rPr>
            </w:pPr>
            <w:r w:rsidRPr="00C24744">
              <w:rPr>
                <w:rFonts w:ascii="Verdana" w:eastAsia="Calibri" w:hAnsi="Verdana" w:cs="Times New Roman"/>
              </w:rPr>
              <w:t>Finalmente, es necesario precisar que los documentos tipo fijan de manera obligatoria el requisito de experiencia, pero su aplicación a cada oferta concreta corresponde a la entidad estatal que adelanta el proceso. Esta Agencia establece el marco general de interpretación, mientras que la entidad, a través de su comité evaluador, es la que debe definir, en últimas, si la experiencia aportada por cada proponente cumple con el requisito, a partir de la valoración de los documentos soporte y con sujeción al pliego de condiciones. Esta competencia no supone una facultad para modificar el documento tipo, sino el deber de aplicarlo correctamente.</w:t>
            </w:r>
          </w:p>
          <w:p w14:paraId="7E6A6038" w14:textId="77777777" w:rsidR="00C24744" w:rsidRPr="00C24744" w:rsidRDefault="00C24744" w:rsidP="00C24744">
            <w:pPr>
              <w:spacing w:after="120"/>
              <w:jc w:val="both"/>
              <w:rPr>
                <w:rFonts w:ascii="Verdana" w:eastAsia="Calibri" w:hAnsi="Verdana" w:cs="Times New Roman"/>
              </w:rPr>
            </w:pPr>
          </w:p>
          <w:p w14:paraId="51FA2E24" w14:textId="77777777" w:rsidR="00C24744" w:rsidRPr="00C24744" w:rsidRDefault="00C24744" w:rsidP="00C24744">
            <w:pPr>
              <w:spacing w:after="120"/>
              <w:jc w:val="both"/>
              <w:rPr>
                <w:rFonts w:ascii="Verdana" w:eastAsia="Calibri" w:hAnsi="Verdana" w:cs="Times New Roman"/>
              </w:rPr>
            </w:pPr>
            <w:r w:rsidRPr="00C24744">
              <w:rPr>
                <w:rFonts w:ascii="Verdana" w:eastAsia="Calibri" w:hAnsi="Verdana" w:cs="Times New Roman"/>
                <w:lang w:val="es-ES_tradnl"/>
              </w:rPr>
              <w:t xml:space="preserve">Sin perjuicio de las consideraciones desarrolladas en este concepto, </w:t>
            </w:r>
            <w:r w:rsidRPr="00C24744">
              <w:rPr>
                <w:rFonts w:ascii="Verdana" w:eastAsia="Calibri" w:hAnsi="Verdana" w:cs="Times New Roman"/>
                <w:lang w:val="es-ES"/>
              </w:rPr>
              <w:t>debe advertirse que, el análisis requerido para resolver problemas específicos en torno a la contratación de las entidades estatales debe ser realizado por quienes tengan interés en ello.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adoptar la decisión correspondiente y, en caso de conflicto, a las autoridades judiciales, fiscales y disciplinarias.</w:t>
            </w:r>
          </w:p>
          <w:p w14:paraId="05C90734" w14:textId="77777777" w:rsidR="00C24744" w:rsidRPr="00C24744" w:rsidRDefault="00C24744" w:rsidP="00C24744">
            <w:pPr>
              <w:spacing w:after="120"/>
              <w:jc w:val="both"/>
              <w:rPr>
                <w:rFonts w:ascii="Verdana" w:eastAsia="Calibri" w:hAnsi="Verdana" w:cs="Times New Roman"/>
                <w:lang w:val="es-ES"/>
              </w:rPr>
            </w:pPr>
            <w:r w:rsidRPr="00C24744">
              <w:rPr>
                <w:rFonts w:ascii="Verdana" w:eastAsia="Calibri" w:hAnsi="Verdana" w:cs="Times New Roman"/>
                <w:lang w:val="es-ES"/>
              </w:rPr>
              <w:lastRenderedPageBreak/>
              <w:t>Dentro de este marco, la entidad contratante definirá en cada caso concreto lo relacionado con el tema objeto de consulta.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w:t>
            </w:r>
          </w:p>
        </w:tc>
      </w:tr>
    </w:tbl>
    <w:p w14:paraId="2AE045B5" w14:textId="77777777" w:rsidR="00C24744" w:rsidRPr="00C24744" w:rsidRDefault="00C24744" w:rsidP="00C24744">
      <w:pPr>
        <w:tabs>
          <w:tab w:val="left" w:pos="142"/>
          <w:tab w:val="left" w:pos="284"/>
        </w:tabs>
        <w:spacing w:after="0" w:line="276" w:lineRule="auto"/>
        <w:jc w:val="both"/>
        <w:rPr>
          <w:rFonts w:ascii="Verdana" w:eastAsia="Century Gothic" w:hAnsi="Verdana" w:cs="Century Gothic"/>
          <w:b/>
          <w:bCs/>
          <w:lang w:val="es-ES" w:eastAsia="es-MX"/>
        </w:rPr>
      </w:pPr>
    </w:p>
    <w:p w14:paraId="78DF0DA9" w14:textId="77777777" w:rsidR="00C24744" w:rsidRPr="00C24744" w:rsidRDefault="00C24744" w:rsidP="00C24744">
      <w:pPr>
        <w:tabs>
          <w:tab w:val="left" w:pos="142"/>
          <w:tab w:val="left" w:pos="284"/>
        </w:tabs>
        <w:spacing w:after="0" w:line="276" w:lineRule="auto"/>
        <w:jc w:val="both"/>
        <w:rPr>
          <w:rFonts w:ascii="Verdana" w:eastAsia="Century Gothic" w:hAnsi="Verdana" w:cs="Century Gothic"/>
          <w:b/>
          <w:bCs/>
          <w:lang w:val="es-ES" w:eastAsia="es-MX"/>
        </w:rPr>
      </w:pPr>
      <w:r w:rsidRPr="00C24744">
        <w:rPr>
          <w:rFonts w:ascii="Verdana" w:eastAsia="Century Gothic" w:hAnsi="Verdana" w:cs="Century Gothic"/>
          <w:b/>
          <w:bCs/>
          <w:lang w:val="es-ES" w:eastAsia="es-MX"/>
        </w:rPr>
        <w:t>3. Razones de la respuesta:</w:t>
      </w:r>
    </w:p>
    <w:p w14:paraId="201C1597" w14:textId="77777777" w:rsidR="00C24744" w:rsidRPr="00C24744" w:rsidRDefault="00C24744" w:rsidP="00C24744">
      <w:pPr>
        <w:spacing w:after="0" w:line="276" w:lineRule="auto"/>
        <w:jc w:val="both"/>
        <w:rPr>
          <w:rFonts w:ascii="Verdana" w:eastAsia="Calibri" w:hAnsi="Verdana" w:cs="Arial"/>
          <w:lang w:val="es-ES" w:eastAsia="es-MX"/>
        </w:rPr>
      </w:pPr>
    </w:p>
    <w:p w14:paraId="70750BCF" w14:textId="77777777" w:rsidR="00C24744" w:rsidRPr="00C24744" w:rsidRDefault="00C24744" w:rsidP="00C24744">
      <w:pPr>
        <w:spacing w:after="0" w:line="276" w:lineRule="auto"/>
        <w:jc w:val="both"/>
        <w:rPr>
          <w:rFonts w:ascii="Verdana" w:eastAsia="Calibri" w:hAnsi="Verdana" w:cs="Arial"/>
          <w:lang w:val="es-ES" w:eastAsia="es-MX"/>
        </w:rPr>
      </w:pPr>
      <w:r w:rsidRPr="00C24744">
        <w:rPr>
          <w:rFonts w:ascii="Verdana" w:eastAsia="Calibri" w:hAnsi="Verdana" w:cs="Arial"/>
          <w:lang w:val="es-ES" w:eastAsia="es-MX"/>
        </w:rPr>
        <w:t xml:space="preserve">Lo anterior se sustenta en las siguientes consideraciones: </w:t>
      </w:r>
    </w:p>
    <w:p w14:paraId="5552E8C1" w14:textId="77777777" w:rsidR="00C24744" w:rsidRPr="00C24744" w:rsidRDefault="00C24744" w:rsidP="00C24744">
      <w:pPr>
        <w:spacing w:after="0" w:line="276" w:lineRule="auto"/>
        <w:jc w:val="both"/>
        <w:rPr>
          <w:rFonts w:ascii="Verdana" w:eastAsia="Calibri" w:hAnsi="Verdana" w:cs="Arial"/>
          <w:lang w:val="es-ES" w:eastAsia="es-MX"/>
        </w:rPr>
      </w:pPr>
    </w:p>
    <w:p w14:paraId="68B804CF" w14:textId="77777777" w:rsidR="00C24744" w:rsidRPr="00C24744" w:rsidRDefault="00C24744" w:rsidP="00C24744">
      <w:pPr>
        <w:spacing w:after="120" w:line="276" w:lineRule="auto"/>
        <w:jc w:val="both"/>
        <w:rPr>
          <w:rFonts w:ascii="Verdana" w:eastAsia="Aptos" w:hAnsi="Verdana" w:cs="Arial"/>
          <w:lang w:eastAsia="es-MX"/>
        </w:rPr>
      </w:pPr>
      <w:r w:rsidRPr="00C24744">
        <w:rPr>
          <w:rFonts w:ascii="Verdana" w:eastAsia="Aptos" w:hAnsi="Verdana" w:cs="Arial"/>
          <w:lang w:eastAsia="es-MX"/>
        </w:rPr>
        <w:t>i. El artículo 1 de la Ley 2022 de 2020 “Por la cual modifica el artículo 4 de la Ley 1882 de 2018 y se dictan otras disposiciones” otorga a la Agencia Nacional de Contratación Pública – Colombia Compra Eficiente la competencia para adoptar los documentos tipo que serán de obligatorio cumplimiento en la actividad contractual de todas las entidades sometidas al Estatuto General de la Administración Pública.</w:t>
      </w:r>
    </w:p>
    <w:p w14:paraId="769D6B16" w14:textId="77777777" w:rsidR="00C24744" w:rsidRPr="00C24744" w:rsidRDefault="00C24744" w:rsidP="00C24744">
      <w:pPr>
        <w:spacing w:after="120" w:line="276" w:lineRule="auto"/>
        <w:ind w:firstLine="708"/>
        <w:jc w:val="both"/>
        <w:rPr>
          <w:rFonts w:ascii="Verdana" w:eastAsia="Aptos" w:hAnsi="Verdana" w:cs="Arial"/>
          <w:lang w:eastAsia="es-MX"/>
        </w:rPr>
      </w:pPr>
      <w:r w:rsidRPr="00C24744">
        <w:rPr>
          <w:rFonts w:ascii="Verdana" w:eastAsia="Aptos" w:hAnsi="Verdana" w:cs="Arial"/>
          <w:lang w:val="es-ES" w:eastAsia="es-MX"/>
        </w:rPr>
        <w:t>Con sustento en esta competencia, esta Agencia expidió diversos grupos de documentos tipo aplicables principalmente a la contratación de obras públicas de infraestructura de transporte, de agua potable y saneamiento básico y social, para interventoría y consultoría de estudios de ingeniería, pero también, para la celebración de convenios solidarios con Juntas de Acción Comunal y para los procesos de gestión catastral con enfoque multipropósito. De conformidad con las modalidades de selección establecidas en el artículo 2 de la Ley 1150 de 2007, estos documentos tipo se han expedido para las modalidades de selección de licitación pública, selección abreviada de menor cuantía, mínima cuantía, concurso de méritos y contratación directa.</w:t>
      </w:r>
    </w:p>
    <w:p w14:paraId="10222ECB" w14:textId="77777777" w:rsidR="00C24744" w:rsidRPr="00C24744" w:rsidRDefault="00C24744" w:rsidP="00C24744">
      <w:pPr>
        <w:spacing w:after="120" w:line="276" w:lineRule="auto"/>
        <w:ind w:firstLine="708"/>
        <w:jc w:val="both"/>
        <w:rPr>
          <w:rFonts w:ascii="Verdana" w:eastAsia="Times New Roman" w:hAnsi="Verdana" w:cs="Times New Roman"/>
          <w:color w:val="000000"/>
          <w:lang w:eastAsia="es-CO"/>
        </w:rPr>
      </w:pPr>
      <w:r w:rsidRPr="00C24744">
        <w:rPr>
          <w:rFonts w:ascii="Verdana" w:eastAsia="Aptos" w:hAnsi="Verdana" w:cs="Arial"/>
          <w:lang w:eastAsia="es-MX"/>
        </w:rPr>
        <w:t xml:space="preserve">En el sector social, </w:t>
      </w:r>
      <w:r w:rsidRPr="00C24744">
        <w:rPr>
          <w:rFonts w:ascii="Verdana" w:eastAsia="Calibri" w:hAnsi="Verdana" w:cs="Arial"/>
          <w:lang w:val="es-MX" w:eastAsia="es-MX"/>
        </w:rPr>
        <w:t xml:space="preserve">la Agencia Nacional de Contratación Pública – Colombia Compra </w:t>
      </w:r>
      <w:r w:rsidRPr="00C24744">
        <w:rPr>
          <w:rFonts w:ascii="Verdana" w:eastAsia="Calibri" w:hAnsi="Verdana" w:cs="Arial"/>
          <w:lang w:eastAsia="es-MX"/>
        </w:rPr>
        <w:t xml:space="preserve">Eficiente </w:t>
      </w:r>
      <w:r w:rsidRPr="00C24744">
        <w:rPr>
          <w:rFonts w:ascii="Verdana" w:eastAsia="Times New Roman" w:hAnsi="Verdana" w:cs="Times New Roman"/>
          <w:color w:val="000000"/>
          <w:lang w:eastAsia="es-CO"/>
        </w:rPr>
        <w:t>en el segundo semestre del año 2025 adoptó las siguientes Resoluciones para contratar obra pública y concurso de méritos:</w:t>
      </w:r>
    </w:p>
    <w:p w14:paraId="0A69E8B5" w14:textId="77777777" w:rsidR="00C24744" w:rsidRPr="00C24744" w:rsidRDefault="00C24744" w:rsidP="00C24744">
      <w:pPr>
        <w:spacing w:after="120" w:line="276" w:lineRule="auto"/>
        <w:ind w:firstLine="708"/>
        <w:jc w:val="both"/>
        <w:rPr>
          <w:rFonts w:ascii="Verdana" w:eastAsia="Times New Roman" w:hAnsi="Verdana" w:cs="Times New Roman"/>
          <w:color w:val="000000"/>
          <w:lang w:eastAsia="es-CO"/>
        </w:rPr>
      </w:pPr>
      <w:r w:rsidRPr="00C24744">
        <w:rPr>
          <w:rFonts w:ascii="Verdana" w:eastAsia="Times New Roman" w:hAnsi="Verdana" w:cs="Times New Roman"/>
          <w:color w:val="000000"/>
          <w:lang w:eastAsia="es-CO"/>
        </w:rPr>
        <w:t xml:space="preserve">i) Resolución 539 del 21 de agosto de 2015 "Por la cual se adopta la versión -2- de los documentos tipo para los procesos de selección de licitación de obra pública del sector de infraestructura social y se deroga la Resolución 219 </w:t>
      </w:r>
      <w:r w:rsidRPr="00C24744">
        <w:rPr>
          <w:rFonts w:ascii="Verdana" w:eastAsia="Times New Roman" w:hAnsi="Verdana" w:cs="Times New Roman"/>
          <w:color w:val="000000"/>
          <w:lang w:eastAsia="es-CO"/>
        </w:rPr>
        <w:lastRenderedPageBreak/>
        <w:t>de 2021; se adoptan los documentos tipo complementarios para los procesos de licitación de obra pública de infraestructura social relacionados con los sectores de educación, salud, cultura, recreación y deporte - versión 2 y se derogan las Resoluciones 220, 392 у 454 de 2021; y se adoptan los documentos tipo complementarios para los procesos de licitación de obra pública de infraestructura social relacionados con los sectores institucional y vivienda".</w:t>
      </w:r>
    </w:p>
    <w:p w14:paraId="1C111BC2" w14:textId="77777777" w:rsidR="00C24744" w:rsidRPr="00C24744" w:rsidRDefault="00C24744" w:rsidP="00C24744">
      <w:pPr>
        <w:spacing w:after="120" w:line="276" w:lineRule="auto"/>
        <w:ind w:firstLine="708"/>
        <w:jc w:val="both"/>
        <w:rPr>
          <w:rFonts w:ascii="Verdana" w:eastAsia="Times New Roman" w:hAnsi="Verdana" w:cs="Times New Roman"/>
          <w:color w:val="000000"/>
          <w:lang w:eastAsia="es-CO"/>
        </w:rPr>
      </w:pPr>
      <w:r w:rsidRPr="00C24744">
        <w:rPr>
          <w:rFonts w:ascii="Verdana" w:eastAsia="Times New Roman" w:hAnsi="Verdana" w:cs="Times New Roman"/>
          <w:color w:val="000000"/>
          <w:lang w:eastAsia="es-CO"/>
        </w:rPr>
        <w:t xml:space="preserve"> </w:t>
      </w:r>
      <w:proofErr w:type="spellStart"/>
      <w:r w:rsidRPr="00C24744">
        <w:rPr>
          <w:rFonts w:ascii="Verdana" w:eastAsia="Times New Roman" w:hAnsi="Verdana" w:cs="Times New Roman"/>
          <w:color w:val="000000"/>
          <w:lang w:eastAsia="es-CO"/>
        </w:rPr>
        <w:t>ii</w:t>
      </w:r>
      <w:proofErr w:type="spellEnd"/>
      <w:r w:rsidRPr="00C24744">
        <w:rPr>
          <w:rFonts w:ascii="Verdana" w:eastAsia="Times New Roman" w:hAnsi="Verdana" w:cs="Times New Roman"/>
          <w:color w:val="000000"/>
          <w:lang w:eastAsia="es-CO"/>
        </w:rPr>
        <w:t>) Resolución 540 del 21 de agosto de 2025 "Por la cual se adoptan los documentos tipo para los procesos de selección abreviada de menor cuantía de obra pública de infraestructura social; y los documentos tipo complementarios para los procesos de selección abreviada de menor cuantía de obra pública de infraestructura social relacionados con los sectores educación, salud, cultura, recreación y deporte, institucional y vivienda".</w:t>
      </w:r>
    </w:p>
    <w:p w14:paraId="57629733" w14:textId="77777777" w:rsidR="00C24744" w:rsidRPr="00C24744" w:rsidRDefault="00C24744" w:rsidP="00C24744">
      <w:pPr>
        <w:spacing w:after="120" w:line="276" w:lineRule="auto"/>
        <w:ind w:firstLine="708"/>
        <w:jc w:val="both"/>
        <w:rPr>
          <w:rFonts w:ascii="Verdana" w:eastAsia="Times New Roman" w:hAnsi="Verdana" w:cs="Times New Roman"/>
          <w:color w:val="000000"/>
          <w:lang w:eastAsia="es-CO"/>
        </w:rPr>
      </w:pPr>
      <w:proofErr w:type="spellStart"/>
      <w:r w:rsidRPr="00C24744">
        <w:rPr>
          <w:rFonts w:ascii="Verdana" w:eastAsia="Times New Roman" w:hAnsi="Verdana" w:cs="Times New Roman"/>
          <w:color w:val="000000"/>
          <w:lang w:eastAsia="es-CO"/>
        </w:rPr>
        <w:t>iii</w:t>
      </w:r>
      <w:proofErr w:type="spellEnd"/>
      <w:r w:rsidRPr="00C24744">
        <w:rPr>
          <w:rFonts w:ascii="Verdana" w:eastAsia="Times New Roman" w:hAnsi="Verdana" w:cs="Times New Roman"/>
          <w:color w:val="000000"/>
          <w:lang w:eastAsia="es-CO"/>
        </w:rPr>
        <w:t xml:space="preserve">) Resolución 541 del 21 de agosto de 2025 “Por la cual se adoptan los documentos tipo para los procesos de mínima cuantía de obra pública de infraestructura social; y los documentos tipo complementarios para los procesos de mínima cuantía de obra pública de infraestructura social relacionados con los sectores educación, salud, cultura, recreación y deporte, institucional y vivienda”. </w:t>
      </w:r>
    </w:p>
    <w:p w14:paraId="7C4F626E" w14:textId="77777777" w:rsidR="00C24744" w:rsidRPr="00C24744" w:rsidRDefault="00C24744" w:rsidP="00C24744">
      <w:pPr>
        <w:spacing w:after="120" w:line="276" w:lineRule="auto"/>
        <w:ind w:firstLine="708"/>
        <w:jc w:val="both"/>
        <w:rPr>
          <w:rFonts w:ascii="Verdana" w:eastAsia="Times New Roman" w:hAnsi="Verdana" w:cs="Times New Roman"/>
          <w:color w:val="000000"/>
          <w:lang w:eastAsia="es-CO"/>
        </w:rPr>
      </w:pPr>
      <w:proofErr w:type="spellStart"/>
      <w:r w:rsidRPr="00C24744">
        <w:rPr>
          <w:rFonts w:ascii="Verdana" w:eastAsia="Times New Roman" w:hAnsi="Verdana" w:cs="Times New Roman"/>
          <w:color w:val="000000"/>
          <w:lang w:eastAsia="es-CO"/>
        </w:rPr>
        <w:t>iv</w:t>
      </w:r>
      <w:proofErr w:type="spellEnd"/>
      <w:r w:rsidRPr="00C24744">
        <w:rPr>
          <w:rFonts w:ascii="Verdana" w:eastAsia="Times New Roman" w:hAnsi="Verdana" w:cs="Times New Roman"/>
          <w:color w:val="000000"/>
          <w:lang w:eastAsia="es-CO"/>
        </w:rPr>
        <w:t>) Resolución 952 del 15 de diciembre de 2025 “Por la cual se adoptan los documentos tipo para los procesos de selección de concurso de méritos, para contratar la consultoría de estudios de ingeniería de infraestructura social; que agrupa los sectores de educación, salud, cultura, recreación y deporte, institucional y vivienda”.</w:t>
      </w:r>
    </w:p>
    <w:p w14:paraId="0C800D2D" w14:textId="77777777" w:rsidR="00C24744" w:rsidRPr="00C24744" w:rsidRDefault="00C24744" w:rsidP="00C24744">
      <w:pPr>
        <w:spacing w:after="120" w:line="276" w:lineRule="auto"/>
        <w:ind w:firstLine="708"/>
        <w:jc w:val="both"/>
        <w:rPr>
          <w:rFonts w:ascii="Verdana" w:eastAsia="Times New Roman" w:hAnsi="Verdana" w:cs="Times New Roman"/>
          <w:color w:val="000000"/>
          <w:lang w:eastAsia="es-CO"/>
        </w:rPr>
      </w:pPr>
      <w:r w:rsidRPr="00C24744">
        <w:rPr>
          <w:rFonts w:ascii="Verdana" w:eastAsia="Times New Roman" w:hAnsi="Verdana" w:cs="Times New Roman"/>
          <w:color w:val="000000"/>
          <w:lang w:eastAsia="es-CO"/>
        </w:rPr>
        <w:t>v) Resolución 953 del 15 de diciembre de 2025 “Por la cual se adopta la versión - 2 de los documentos tipo transversales para los procesos de concurso de méritos para contratar la interventoría de obras públicas de infraestructura social, los documentos tipo complementarios para los procesos de concurso de méritos para contratar la interventoría de obras públicas de infraestructura social relacionados con el sector educación, salud, cultura, recreación y deporte, institucional y vivienda y se deroga la Resolución 798 del 29 de diciembre de 2023".</w:t>
      </w:r>
      <w:r w:rsidRPr="00C24744">
        <w:rPr>
          <w:rFonts w:ascii="Verdana" w:eastAsia="Aptos" w:hAnsi="Verdana" w:cs="Times New Roman"/>
          <w:lang w:eastAsia="es-MX"/>
        </w:rPr>
        <w:t xml:space="preserve"> </w:t>
      </w:r>
    </w:p>
    <w:p w14:paraId="27862A87" w14:textId="77777777" w:rsidR="00C24744" w:rsidRPr="00C24744" w:rsidRDefault="00C24744" w:rsidP="00C24744">
      <w:pPr>
        <w:spacing w:after="120" w:line="276" w:lineRule="auto"/>
        <w:ind w:firstLine="708"/>
        <w:jc w:val="both"/>
        <w:textAlignment w:val="baseline"/>
        <w:rPr>
          <w:rFonts w:ascii="Verdana" w:eastAsia="Calibri" w:hAnsi="Verdana" w:cs="Arial"/>
          <w:lang w:eastAsia="es-MX"/>
        </w:rPr>
      </w:pPr>
      <w:r w:rsidRPr="00C24744">
        <w:rPr>
          <w:rFonts w:ascii="Verdana" w:eastAsia="Aptos" w:hAnsi="Verdana" w:cs="Times New Roman"/>
          <w:lang w:eastAsia="es-MX"/>
        </w:rPr>
        <w:t xml:space="preserve">Las Resoluciones 539, 540 y 541 del 21 de agosto de 2025, así como las Resoluciones 952 y 953 del 15 de diciembre de 2025, adoptadas en el sector de infraestructura social, aplican de forma transversal a las modalidades de </w:t>
      </w:r>
      <w:r w:rsidRPr="00C24744">
        <w:rPr>
          <w:rFonts w:ascii="Verdana" w:eastAsia="Aptos" w:hAnsi="Verdana" w:cs="Times New Roman"/>
          <w:lang w:eastAsia="es-MX"/>
        </w:rPr>
        <w:lastRenderedPageBreak/>
        <w:t>selección indicadas y a los proyectos de infraestructura, interventoría y consultoría enmarcados dentro de los sectores educativo, salud, cultura, recreación y deporte, institucional y vivienda, en los procesos de selección cuyo aviso de convocatoria se publique a partir del 16 de febrero de 2026</w:t>
      </w:r>
      <w:r w:rsidRPr="00C24744">
        <w:rPr>
          <w:rFonts w:ascii="Verdana" w:eastAsia="Calibri" w:hAnsi="Verdana" w:cs="Arial"/>
          <w:vertAlign w:val="superscript"/>
          <w:lang w:eastAsia="es-MX"/>
        </w:rPr>
        <w:footnoteReference w:id="3"/>
      </w:r>
      <w:r w:rsidRPr="00C24744">
        <w:rPr>
          <w:rFonts w:ascii="Verdana" w:eastAsia="Calibri" w:hAnsi="Verdana" w:cs="Arial"/>
          <w:lang w:eastAsia="es-MX"/>
        </w:rPr>
        <w:t>.</w:t>
      </w:r>
    </w:p>
    <w:p w14:paraId="611A32D7" w14:textId="77777777" w:rsidR="00C24744" w:rsidRPr="00C24744" w:rsidRDefault="00C24744" w:rsidP="00C24744">
      <w:pPr>
        <w:widowControl w:val="0"/>
        <w:autoSpaceDE w:val="0"/>
        <w:autoSpaceDN w:val="0"/>
        <w:spacing w:after="120" w:line="276" w:lineRule="auto"/>
        <w:ind w:firstLine="708"/>
        <w:jc w:val="both"/>
        <w:rPr>
          <w:rFonts w:ascii="Verdana" w:eastAsia="Calibri" w:hAnsi="Verdana" w:cs="Times New Roman"/>
          <w:lang w:val="es-ES" w:eastAsia="es-MX"/>
        </w:rPr>
      </w:pPr>
      <w:r w:rsidRPr="00C24744">
        <w:rPr>
          <w:rFonts w:ascii="Verdana" w:eastAsia="Calibri" w:hAnsi="Verdana" w:cs="Times New Roman"/>
          <w:lang w:val="es-ES" w:eastAsia="es-MX"/>
        </w:rPr>
        <w:t xml:space="preserve">Es importante resaltar que, en virtud de la regla de inalterabilidad, los documentos tipo solo pueden ser modificados en los aspectos en que estos lo permitan. Esto corresponde a aquellos aspectos que se encuentran entre corchetes y resaltados en gris </w:t>
      </w:r>
      <w:r w:rsidRPr="00C24744">
        <w:rPr>
          <w:rFonts w:ascii="Verdana" w:eastAsia="Calibri" w:hAnsi="Verdana" w:cs="Times New Roman"/>
          <w:shd w:val="clear" w:color="auto" w:fill="E8E8E8"/>
          <w:lang w:val="es-ES" w:eastAsia="es-MX"/>
        </w:rPr>
        <w:t>–[texto]–,</w:t>
      </w:r>
      <w:r w:rsidRPr="00C24744">
        <w:rPr>
          <w:rFonts w:ascii="Verdana" w:eastAsia="Calibri" w:hAnsi="Verdana" w:cs="Times New Roman"/>
          <w:lang w:val="es-ES" w:eastAsia="es-MX"/>
        </w:rPr>
        <w:t xml:space="preserve"> para lo cual deberán observarse las instrucciones contenidas en los mismos para su diligenciamiento.</w:t>
      </w:r>
    </w:p>
    <w:p w14:paraId="451D4BFB" w14:textId="77777777" w:rsidR="00C24744" w:rsidRPr="00C24744" w:rsidRDefault="00C24744" w:rsidP="00C24744">
      <w:pPr>
        <w:widowControl w:val="0"/>
        <w:autoSpaceDE w:val="0"/>
        <w:autoSpaceDN w:val="0"/>
        <w:spacing w:after="120" w:line="276" w:lineRule="auto"/>
        <w:ind w:firstLine="708"/>
        <w:jc w:val="both"/>
        <w:rPr>
          <w:rFonts w:ascii="Verdana" w:eastAsia="Calibri" w:hAnsi="Verdana" w:cs="Times New Roman"/>
          <w:lang w:val="es-ES" w:eastAsia="es-MX"/>
        </w:rPr>
      </w:pPr>
      <w:r w:rsidRPr="00C24744">
        <w:rPr>
          <w:rFonts w:ascii="Verdana" w:eastAsia="Calibri" w:hAnsi="Verdana" w:cs="Times New Roman"/>
          <w:lang w:val="es-ES" w:eastAsia="es-MX"/>
        </w:rPr>
        <w:t xml:space="preserve">Por lo tanto, la entidad solo podrá modificar aspectos de los documentos tipo cuando así esté permitido, en los términos expuestos. Lo anterior implica que, en los apartes en que los documentos tipo no lo permitan, la entidad deberá integrar el contenido de estos a su proceso de contratación sin ningún tipo de </w:t>
      </w:r>
      <w:r w:rsidRPr="00C24744">
        <w:rPr>
          <w:rFonts w:ascii="Verdana" w:eastAsia="Calibri" w:hAnsi="Verdana" w:cs="Times New Roman"/>
          <w:lang w:val="es-ES" w:eastAsia="es-MX"/>
        </w:rPr>
        <w:lastRenderedPageBreak/>
        <w:t xml:space="preserve">alteración. </w:t>
      </w:r>
    </w:p>
    <w:p w14:paraId="0FF8A8EA" w14:textId="77777777" w:rsidR="00C24744" w:rsidRPr="00C24744" w:rsidRDefault="00C24744" w:rsidP="00C24744">
      <w:pPr>
        <w:widowControl w:val="0"/>
        <w:autoSpaceDE w:val="0"/>
        <w:autoSpaceDN w:val="0"/>
        <w:spacing w:after="120" w:line="276" w:lineRule="auto"/>
        <w:ind w:firstLine="708"/>
        <w:jc w:val="both"/>
        <w:rPr>
          <w:rFonts w:ascii="Verdana" w:eastAsia="Calibri" w:hAnsi="Verdana" w:cs="Times New Roman"/>
          <w:lang w:val="es-ES" w:eastAsia="es-MX"/>
        </w:rPr>
      </w:pPr>
      <w:r w:rsidRPr="00C24744">
        <w:rPr>
          <w:rFonts w:ascii="Verdana" w:eastAsia="Calibri" w:hAnsi="Verdana" w:cs="Times New Roman"/>
          <w:lang w:val="es-ES" w:eastAsia="es-MX"/>
        </w:rPr>
        <w:t>Para establecer si determinado objeto contractual se encuentra cobijado o no por los documentos tipo, es necesario determinar si el mismo se enmarca en los tipos de infraestructura, modalidades de selección y tipos de obra estandarizadas en las respectivas matrices de experiencia. De esta manera, solo resulta obligatoria la aplicación de un documento tipo en particular cuando se ha establecido que el objeto contractual y la modalidad en la que debe contratarse están dentro del ámbito de aplicación de las resoluciones expedidas por esta Agencia mediante las cuales se adoptan documentos tipo.</w:t>
      </w:r>
    </w:p>
    <w:p w14:paraId="5174CC7C" w14:textId="77777777" w:rsidR="00C24744" w:rsidRPr="00C24744" w:rsidRDefault="00C24744" w:rsidP="00C24744">
      <w:pPr>
        <w:widowControl w:val="0"/>
        <w:autoSpaceDE w:val="0"/>
        <w:autoSpaceDN w:val="0"/>
        <w:spacing w:after="120" w:line="276" w:lineRule="auto"/>
        <w:ind w:firstLine="708"/>
        <w:jc w:val="both"/>
        <w:rPr>
          <w:rFonts w:ascii="Verdana" w:eastAsia="Calibri" w:hAnsi="Verdana" w:cs="Times New Roman"/>
          <w:lang w:val="es-ES" w:eastAsia="es-MX"/>
        </w:rPr>
      </w:pPr>
      <w:r w:rsidRPr="00C24744">
        <w:rPr>
          <w:rFonts w:ascii="Verdana" w:eastAsia="Calibri" w:hAnsi="Verdana" w:cs="Times New Roman"/>
          <w:lang w:val="es-ES" w:eastAsia="es-MX"/>
        </w:rPr>
        <w:t>Uno de los elementos comunes a los diferentes documentos tipo es la “Matriz – Experiencia”. Esta consta de unas celdas en las que se describe la experiencia requerida en relación con el objeto a contratar, definiendo además qué tipo de actividades relacionadas con cada sector deben acogerse a los pliegos tipo. Por otro lado, encontramos el “Anexo – Glosario”, el cual contiene las definiciones de los términos usados en los documentos del proceso. Utilizando estos dos documentos, la entidad estatal puede definir si el objeto a contratarse debe emplear los documentos tipo adoptados por esta Agencia.</w:t>
      </w:r>
    </w:p>
    <w:p w14:paraId="08D582B9" w14:textId="77777777" w:rsidR="00C24744" w:rsidRPr="00C24744" w:rsidRDefault="00C24744" w:rsidP="00C24744">
      <w:pPr>
        <w:widowControl w:val="0"/>
        <w:autoSpaceDE w:val="0"/>
        <w:autoSpaceDN w:val="0"/>
        <w:spacing w:after="120" w:line="276" w:lineRule="auto"/>
        <w:ind w:firstLine="708"/>
        <w:jc w:val="both"/>
        <w:rPr>
          <w:rFonts w:ascii="Verdana" w:eastAsia="Calibri" w:hAnsi="Verdana" w:cs="Times New Roman"/>
          <w:lang w:val="es-ES" w:eastAsia="es-MX"/>
        </w:rPr>
      </w:pPr>
      <w:r w:rsidRPr="00C24744">
        <w:rPr>
          <w:rFonts w:ascii="Verdana" w:eastAsia="Calibri" w:hAnsi="Verdana" w:cs="Times New Roman"/>
          <w:lang w:val="es-ES" w:eastAsia="es-MX"/>
        </w:rPr>
        <w:t>La Matriz – Experiencia, cumple una doble función: Por un lado, sirve para estandarizar las condiciones de experiencia, conforme al parágrafo 7 del artículo 2 de la Ley 1150 de 2007. De otro lado, dicha matriz permite determinar el ámbito de aplicación de los documentos tipo respecto de objetos contractuales asociados, ya que son las actividades descritas en esta las que, obligatoriamente, deben contratarse aplicando documentos tipo.</w:t>
      </w:r>
    </w:p>
    <w:p w14:paraId="0204A63D" w14:textId="77777777" w:rsidR="00C24744" w:rsidRPr="00C24744" w:rsidRDefault="00C24744" w:rsidP="00C24744">
      <w:pPr>
        <w:widowControl w:val="0"/>
        <w:autoSpaceDE w:val="0"/>
        <w:autoSpaceDN w:val="0"/>
        <w:spacing w:after="0" w:line="276" w:lineRule="auto"/>
        <w:ind w:firstLine="708"/>
        <w:jc w:val="both"/>
        <w:rPr>
          <w:rFonts w:ascii="Verdana" w:eastAsia="Calibri" w:hAnsi="Verdana" w:cs="Times New Roman"/>
          <w:lang w:val="es-ES" w:eastAsia="es-MX"/>
        </w:rPr>
      </w:pPr>
      <w:r w:rsidRPr="00C24744">
        <w:rPr>
          <w:rFonts w:ascii="Verdana" w:eastAsia="Calibri" w:hAnsi="Verdana" w:cs="Times New Roman"/>
          <w:lang w:val="es-ES" w:eastAsia="es-MX"/>
        </w:rPr>
        <w:t>De esta manera, para saber a qué actividades deben aplicarse los documentos tipo de licitación de obra pública de infraestructura social expedidos por esta Agencia, la entidad debe verificar que estos apliquen para la modalidad de selección en la que debe celebrarse el proceso, subsumiendo el objeto a contratar en los tipos de proyectos de infraestructura a contratarse. Por tanto, si el objeto contractual a ejecutar se encuadra materialmente dentro de alguno de los tipos actividades concretas señaladas en cada una de las matrices de experiencia, se tendrán que aplicar estos documentos tipo para los mencionados sectores −según corresponda−, mientras que en el caso contrario no será forzosa su aplicación.</w:t>
      </w:r>
    </w:p>
    <w:p w14:paraId="076A1A07" w14:textId="77777777" w:rsidR="00C24744" w:rsidRPr="00C24744" w:rsidRDefault="00C24744" w:rsidP="00C24744">
      <w:pPr>
        <w:spacing w:after="0" w:line="276" w:lineRule="auto"/>
        <w:jc w:val="both"/>
        <w:rPr>
          <w:rFonts w:ascii="Verdana" w:eastAsia="Calibri" w:hAnsi="Verdana" w:cs="Times New Roman"/>
          <w:lang w:val="es-ES" w:eastAsia="es-MX"/>
        </w:rPr>
      </w:pPr>
    </w:p>
    <w:p w14:paraId="0C7523F0" w14:textId="77777777" w:rsidR="00C24744" w:rsidRPr="00C24744" w:rsidRDefault="00C24744" w:rsidP="00C24744">
      <w:pPr>
        <w:spacing w:after="120" w:line="276" w:lineRule="auto"/>
        <w:jc w:val="both"/>
        <w:rPr>
          <w:rFonts w:ascii="Verdana" w:eastAsia="Calibri" w:hAnsi="Verdana" w:cs="Times New Roman"/>
          <w:kern w:val="2"/>
          <w:lang w:val="es-ES" w:eastAsia="es-MX"/>
          <w14:ligatures w14:val="standardContextual"/>
        </w:rPr>
      </w:pPr>
      <w:proofErr w:type="spellStart"/>
      <w:r w:rsidRPr="00C24744">
        <w:rPr>
          <w:rFonts w:ascii="Verdana" w:eastAsia="Calibri" w:hAnsi="Verdana" w:cs="Times New Roman"/>
          <w:kern w:val="2"/>
          <w:lang w:val="es-ES"/>
          <w14:ligatures w14:val="standardContextual"/>
        </w:rPr>
        <w:lastRenderedPageBreak/>
        <w:t>ii</w:t>
      </w:r>
      <w:proofErr w:type="spellEnd"/>
      <w:r w:rsidRPr="00C24744">
        <w:rPr>
          <w:rFonts w:ascii="Verdana" w:eastAsia="Calibri" w:hAnsi="Verdana" w:cs="Times New Roman"/>
          <w:kern w:val="2"/>
          <w:lang w:val="es-ES"/>
          <w14:ligatures w14:val="standardContextual"/>
        </w:rPr>
        <w:t xml:space="preserve">. </w:t>
      </w:r>
      <w:r w:rsidRPr="00C24744">
        <w:rPr>
          <w:rFonts w:ascii="Verdana" w:eastAsia="Calibri" w:hAnsi="Verdana" w:cs="Times New Roman"/>
          <w:kern w:val="2"/>
          <w:lang w:val="es-ES" w:eastAsia="es-MX"/>
          <w14:ligatures w14:val="standardContextual"/>
        </w:rPr>
        <w:t xml:space="preserve">El artículo 14 de la Resolución 539 del 21 de agosto de 2025, y el artículo 13 de las Resoluciones 540 y 541 del 21 de agosto de 2025, adoptan los Documentos Tipo complementarios para los procesos de infraestructura social relacionados con el Sector Cultura, recreación y deporte –según la modalidad que corresponda–. De acuerdo con el parágrafo segundo de los artículos 15 y 14 de las citadas resoluciones, estos documentos aplican a los procesos contractuales que correspondan a las actividades definidas en la Matriz 1 – Experiencia del Sector Cultura, recreación y deporte. </w:t>
      </w:r>
    </w:p>
    <w:p w14:paraId="04F06ACD" w14:textId="77777777" w:rsidR="00C24744" w:rsidRPr="00C24744" w:rsidRDefault="00C24744" w:rsidP="00C24744">
      <w:pPr>
        <w:spacing w:after="120" w:line="276" w:lineRule="auto"/>
        <w:jc w:val="both"/>
        <w:rPr>
          <w:rFonts w:ascii="Verdana" w:eastAsia="Arial" w:hAnsi="Verdana" w:cs="Aptos"/>
          <w:kern w:val="2"/>
          <w:lang w:eastAsia="es-ES"/>
          <w14:ligatures w14:val="standardContextual"/>
        </w:rPr>
      </w:pPr>
      <w:r w:rsidRPr="00C24744">
        <w:rPr>
          <w:rFonts w:ascii="Aptos" w:eastAsia="Calibri" w:hAnsi="Aptos" w:cs="Times New Roman"/>
          <w:kern w:val="2"/>
          <w:sz w:val="24"/>
          <w:szCs w:val="24"/>
          <w:lang w:val="es-ES" w:eastAsia="es-MX"/>
          <w14:ligatures w14:val="standardContextual"/>
        </w:rPr>
        <w:tab/>
      </w:r>
      <w:r w:rsidRPr="00C24744">
        <w:rPr>
          <w:rFonts w:ascii="Verdana" w:eastAsia="Calibri" w:hAnsi="Verdana" w:cs="Times New Roman"/>
          <w:kern w:val="2"/>
          <w:lang w:val="es-ES" w:eastAsia="es-MX"/>
          <w14:ligatures w14:val="standardContextual"/>
        </w:rPr>
        <w:t xml:space="preserve">La Matriz 1 – Experiencia del Sector Cultura, recreación y deporte, </w:t>
      </w:r>
      <w:r w:rsidRPr="00C24744">
        <w:rPr>
          <w:rFonts w:ascii="Verdana" w:eastAsia="Times New Roman" w:hAnsi="Verdana" w:cs="Times New Roman"/>
          <w:color w:val="000000"/>
          <w:kern w:val="2"/>
          <w:lang w:eastAsia="es-CO"/>
          <w14:ligatures w14:val="standardContextual"/>
        </w:rPr>
        <w:t xml:space="preserve">en la modalidad de licitación pública, selección abreviada de menor cuantía y mínima cuantía dispone de los siguientes cinco (5) tipos de infraestructura: </w:t>
      </w:r>
      <w:r w:rsidRPr="00C24744">
        <w:rPr>
          <w:rFonts w:ascii="Verdana" w:eastAsia="Arial" w:hAnsi="Verdana" w:cs="Aptos"/>
          <w:kern w:val="2"/>
          <w:lang w:eastAsia="es-ES"/>
          <w14:ligatures w14:val="standardContextual"/>
        </w:rPr>
        <w:t>“1. OBRAS EN INFRAESTRUCTURA CULTURAL; 2. OBRAS EN INFRAESTRUCTURA RECREO DEPORTIVA; 3. OBRAS EN INFRAESTRUCTURA DEL SECTOR DE CULTURA, RECREACIÓN Y DEPORTE; 4. OBRAS EN BIBLIOTECAS PÚBLICAS; y 5. OBRAS PARA ATENCIÓN, PREVENCIÓN O MITIGACIÓN DE EMERGENCIAS DIFERENTES A CONTRATACIÓN DIRECTA PARA EL SECTOR CULTURA, RECREACIÓN Y DEPORTE”</w:t>
      </w:r>
      <w:r w:rsidRPr="00C24744">
        <w:rPr>
          <w:rFonts w:ascii="Verdana" w:eastAsia="Aptos" w:hAnsi="Verdana" w:cs="Times New Roman"/>
          <w:kern w:val="2"/>
          <w14:ligatures w14:val="standardContextual"/>
        </w:rPr>
        <w:t xml:space="preserve">. </w:t>
      </w:r>
      <w:r w:rsidRPr="00C24744">
        <w:rPr>
          <w:rFonts w:ascii="Verdana" w:eastAsia="Arial" w:hAnsi="Verdana" w:cs="Aptos"/>
          <w:kern w:val="2"/>
          <w:lang w:eastAsia="es-ES"/>
          <w14:ligatures w14:val="standardContextual"/>
        </w:rPr>
        <w:t xml:space="preserve">Sobre los tipos de obras señaladas, la Matriz 1 – Experiencia contiene una serie de actividades donde la entidad debe encuadrar el objeto del proceso que pretende ejecutar. </w:t>
      </w:r>
      <w:r w:rsidRPr="00C24744">
        <w:rPr>
          <w:rFonts w:ascii="Verdana" w:eastAsia="Aptos" w:hAnsi="Verdana" w:cs="Times New Roman"/>
          <w:kern w:val="2"/>
          <w14:ligatures w14:val="standardContextual"/>
        </w:rPr>
        <w:t xml:space="preserve">Estas actividades se relacionan con proyectos de construcción, ampliación, reconstrucción, adecuación, conservación, intervención, remodelación, mantenimiento, mejoramiento, modificación, optimización, rehabilitación, remodelación, reposición y/o reparación y/o suministro, entre otras actividades, sobre infraestructura del sector cultura, recreación y deporte. </w:t>
      </w:r>
    </w:p>
    <w:p w14:paraId="163DDCAC" w14:textId="77777777" w:rsidR="00C24744" w:rsidRPr="00C24744" w:rsidRDefault="00C24744" w:rsidP="00C24744">
      <w:pPr>
        <w:spacing w:after="120" w:line="276" w:lineRule="auto"/>
        <w:jc w:val="both"/>
        <w:rPr>
          <w:rFonts w:ascii="Verdana" w:eastAsia="Times New Roman" w:hAnsi="Verdana" w:cs="Times New Roman"/>
          <w:color w:val="000000"/>
          <w:kern w:val="2"/>
          <w:lang w:eastAsia="es-CO"/>
          <w14:ligatures w14:val="standardContextual"/>
        </w:rPr>
      </w:pPr>
      <w:r w:rsidRPr="00C24744">
        <w:rPr>
          <w:rFonts w:ascii="Verdana" w:eastAsia="Arial" w:hAnsi="Verdana" w:cs="Aptos"/>
          <w:kern w:val="2"/>
          <w:sz w:val="24"/>
          <w:szCs w:val="24"/>
          <w:lang w:eastAsia="es-ES"/>
          <w14:ligatures w14:val="standardContextual"/>
        </w:rPr>
        <w:tab/>
      </w:r>
      <w:r w:rsidRPr="00C24744">
        <w:rPr>
          <w:rFonts w:ascii="Verdana" w:eastAsia="Arial" w:hAnsi="Verdana" w:cs="Aptos"/>
          <w:kern w:val="2"/>
          <w:lang w:eastAsia="es-ES"/>
          <w14:ligatures w14:val="standardContextual"/>
        </w:rPr>
        <w:t>De esta forma, los tipos de obras señaladas y las actividades previstas en la Matriz 1</w:t>
      </w:r>
      <w:r w:rsidRPr="00C24744">
        <w:rPr>
          <w:rFonts w:ascii="Verdana" w:eastAsia="Calibri" w:hAnsi="Verdana" w:cs="Times New Roman"/>
          <w:kern w:val="2"/>
          <w:lang w:val="es-ES" w:eastAsia="es-MX"/>
          <w14:ligatures w14:val="standardContextual"/>
        </w:rPr>
        <w:t xml:space="preserve">– Experiencia del Sector Cultura, recreación y deporte, </w:t>
      </w:r>
      <w:r w:rsidRPr="00C24744">
        <w:rPr>
          <w:rFonts w:ascii="Verdana" w:eastAsia="Times New Roman" w:hAnsi="Verdana" w:cs="Times New Roman"/>
          <w:color w:val="000000"/>
          <w:kern w:val="2"/>
          <w:lang w:eastAsia="es-CO"/>
          <w14:ligatures w14:val="standardContextual"/>
        </w:rPr>
        <w:t>en la modalidad de licitación pública, selección abreviada de menor cuantía y mínima cuantía, recaen sobre infraestructura cultural, recreo deportiva, cultura, recreación y deporte y bibliotecas. Esto es importante para precisar el ámbito de aplicación de los Documentos Tipo de este sector adoptados en de las Resoluciones 539, 540 y 541 de 2025.</w:t>
      </w:r>
    </w:p>
    <w:p w14:paraId="5E4766C6" w14:textId="77777777" w:rsidR="00C24744" w:rsidRPr="00C24744" w:rsidRDefault="00C24744" w:rsidP="00C24744">
      <w:pPr>
        <w:spacing w:after="120" w:line="276" w:lineRule="auto"/>
        <w:jc w:val="both"/>
        <w:rPr>
          <w:rFonts w:ascii="Verdana" w:eastAsia="Times New Roman" w:hAnsi="Verdana" w:cs="Times New Roman"/>
          <w:color w:val="000000"/>
          <w:lang w:eastAsia="es-CO"/>
        </w:rPr>
      </w:pPr>
      <w:r w:rsidRPr="00C24744">
        <w:rPr>
          <w:rFonts w:ascii="Verdana" w:eastAsia="Times New Roman" w:hAnsi="Verdana" w:cs="Times New Roman"/>
          <w:color w:val="000000"/>
          <w:kern w:val="2"/>
          <w:lang w:eastAsia="es-CO"/>
          <w14:ligatures w14:val="standardContextual"/>
        </w:rPr>
        <w:tab/>
      </w:r>
      <w:r w:rsidRPr="00C24744">
        <w:rPr>
          <w:rFonts w:ascii="Verdana" w:eastAsia="Times New Roman" w:hAnsi="Verdana" w:cs="Times New Roman"/>
          <w:color w:val="000000"/>
          <w:lang w:eastAsia="es-CO"/>
        </w:rPr>
        <w:t xml:space="preserve">Concretamente, en su solicitud usted indaga sobre el alcance de la experiencia general dispuesta para la actividad “2.2 PROYECTOS DE ADECUACIÓN Y/O CONSERVACIÓN Y/O INTERVENCIÓN Y/O INSTALACIÓN Y/O MANTENIMIENTO Y/O MEJORAMIENTO Y/O MODIFICACIÓN U OPTIMIZACIÓN </w:t>
      </w:r>
      <w:r w:rsidRPr="00C24744">
        <w:rPr>
          <w:rFonts w:ascii="Verdana" w:eastAsia="Times New Roman" w:hAnsi="Verdana" w:cs="Times New Roman"/>
          <w:color w:val="000000"/>
          <w:lang w:eastAsia="es-CO"/>
        </w:rPr>
        <w:lastRenderedPageBreak/>
        <w:t xml:space="preserve">Y/O REHABILITACIÓN Y/O REMODELACIÓN Y/O REPOSICIÓN Y/O REPARACIÓN LOCATIVA Y/O RESTAURACIÓN Y/O RESTITUCIÓN Y/O TERMINACIÓN DE PARQUES Y/O ESPACIO PUBLICO Y/O ALAMEDAS” contenida en la Matriz 1 – Experiencia para de los documentos tipo complementarios del Sector Cultura, recreación y deporte. </w:t>
      </w:r>
    </w:p>
    <w:p w14:paraId="743EA2A4" w14:textId="77777777" w:rsidR="00C24744" w:rsidRPr="00C24744" w:rsidRDefault="00C24744" w:rsidP="00C24744">
      <w:pPr>
        <w:spacing w:after="120" w:line="276" w:lineRule="auto"/>
        <w:jc w:val="both"/>
        <w:rPr>
          <w:rFonts w:ascii="Verdana" w:eastAsia="Times New Roman" w:hAnsi="Verdana" w:cs="Times New Roman"/>
          <w:color w:val="000000"/>
          <w:lang w:eastAsia="es-CO"/>
        </w:rPr>
      </w:pPr>
      <w:r w:rsidRPr="00C24744">
        <w:rPr>
          <w:rFonts w:ascii="Verdana" w:eastAsia="Times New Roman" w:hAnsi="Verdana" w:cs="Times New Roman"/>
          <w:color w:val="000000"/>
          <w:lang w:eastAsia="es-CO"/>
        </w:rPr>
        <w:tab/>
        <w:t>Sobre el particular, debe indicarse que la Matriz 1 – Experiencia solicita la siguiente experiencia general:</w:t>
      </w:r>
    </w:p>
    <w:p w14:paraId="21F2549B" w14:textId="77777777" w:rsidR="00C24744" w:rsidRPr="00C24744" w:rsidRDefault="00C24744" w:rsidP="00C24744">
      <w:pPr>
        <w:spacing w:after="120" w:line="240" w:lineRule="auto"/>
        <w:ind w:left="709" w:right="709"/>
        <w:jc w:val="both"/>
        <w:rPr>
          <w:rFonts w:ascii="Verdana" w:eastAsia="Times New Roman" w:hAnsi="Verdana" w:cs="Times New Roman"/>
          <w:color w:val="000000"/>
          <w:lang w:eastAsia="es-CO"/>
        </w:rPr>
      </w:pPr>
      <w:r w:rsidRPr="00C24744">
        <w:rPr>
          <w:rFonts w:ascii="Verdana" w:eastAsia="Times New Roman" w:hAnsi="Verdana" w:cs="Times New Roman"/>
          <w:color w:val="000000"/>
          <w:lang w:eastAsia="es-CO"/>
        </w:rPr>
        <w:t xml:space="preserve">"PROYECTOS QUE CORRESPONDAN Y/O HAYAN CONTENIDO UNA Y/O ALGUNAS DE LAS SIGUIENTES ACTIVIDADES: </w:t>
      </w:r>
    </w:p>
    <w:p w14:paraId="68A48EDB" w14:textId="77777777" w:rsidR="00C24744" w:rsidRPr="00C24744" w:rsidRDefault="00C24744" w:rsidP="00C24744">
      <w:pPr>
        <w:spacing w:after="120" w:line="240" w:lineRule="auto"/>
        <w:ind w:left="709" w:right="709"/>
        <w:jc w:val="both"/>
        <w:rPr>
          <w:rFonts w:ascii="Verdana" w:eastAsia="Times New Roman" w:hAnsi="Verdana" w:cs="Times New Roman"/>
          <w:color w:val="000000"/>
          <w:lang w:eastAsia="es-CO"/>
        </w:rPr>
      </w:pPr>
      <w:r w:rsidRPr="00C24744">
        <w:rPr>
          <w:rFonts w:ascii="Verdana" w:eastAsia="Times New Roman" w:hAnsi="Verdana" w:cs="Times New Roman"/>
          <w:color w:val="000000"/>
          <w:lang w:eastAsia="es-CO"/>
        </w:rPr>
        <w:t>-  CONSTRUCCIÓN Y/O AMPLIACIÓN Y/O RECONSTRUCCIÓN Y/O ADECUACIÓN Y/O CONSERVACIÓN Y/O INTERVENCIÓN Y/O INSTALACIÓN Y/O MANTENIMIENTO Y/O MEJORAMIENTO Y/O MODIFICACIÓN U OPTIMIZACIÓN Y/O REHABILITACIÓN Y/O REMODELACIÓN Y/O REPOSICIÓN Y/O REPARACIÓN LOCATIVA Y/O RESTAURACIÓN Y/O RESTITUCIÓN Y/O TERMINACIÓN DE PARQUES Y/O DE ESPACIO PÚBLICO "</w:t>
      </w:r>
      <w:r w:rsidRPr="00C24744">
        <w:rPr>
          <w:rFonts w:ascii="Verdana" w:eastAsia="Times New Roman" w:hAnsi="Verdana" w:cs="Times New Roman"/>
          <w:color w:val="000000"/>
          <w:lang w:eastAsia="es-CO"/>
        </w:rPr>
        <w:tab/>
      </w:r>
      <w:r w:rsidRPr="00C24744">
        <w:rPr>
          <w:rFonts w:ascii="Verdana" w:eastAsia="Times New Roman" w:hAnsi="Verdana" w:cs="Times New Roman"/>
          <w:color w:val="000000"/>
          <w:lang w:eastAsia="es-CO"/>
        </w:rPr>
        <w:tab/>
      </w:r>
      <w:r w:rsidRPr="00C24744">
        <w:rPr>
          <w:rFonts w:ascii="Verdana" w:eastAsia="Times New Roman" w:hAnsi="Verdana" w:cs="Times New Roman"/>
          <w:color w:val="000000"/>
          <w:lang w:eastAsia="es-CO"/>
        </w:rPr>
        <w:tab/>
      </w:r>
      <w:r w:rsidRPr="00C24744">
        <w:rPr>
          <w:rFonts w:ascii="Verdana" w:eastAsia="Times New Roman" w:hAnsi="Verdana" w:cs="Times New Roman"/>
          <w:color w:val="000000"/>
          <w:lang w:eastAsia="es-CO"/>
        </w:rPr>
        <w:tab/>
      </w:r>
      <w:r w:rsidRPr="00C24744">
        <w:rPr>
          <w:rFonts w:ascii="Verdana" w:eastAsia="Times New Roman" w:hAnsi="Verdana" w:cs="Times New Roman"/>
          <w:color w:val="000000"/>
          <w:lang w:eastAsia="es-CO"/>
        </w:rPr>
        <w:tab/>
      </w:r>
    </w:p>
    <w:p w14:paraId="0C094B84" w14:textId="77777777" w:rsidR="00C24744" w:rsidRPr="00C24744" w:rsidRDefault="00C24744" w:rsidP="00C24744">
      <w:pPr>
        <w:spacing w:after="120" w:line="240" w:lineRule="auto"/>
        <w:ind w:left="709" w:right="709"/>
        <w:jc w:val="both"/>
        <w:rPr>
          <w:rFonts w:ascii="Verdana" w:eastAsia="Times New Roman" w:hAnsi="Verdana" w:cs="Times New Roman"/>
          <w:color w:val="000000"/>
          <w:lang w:eastAsia="es-CO"/>
        </w:rPr>
      </w:pPr>
      <w:r w:rsidRPr="00C24744">
        <w:rPr>
          <w:rFonts w:ascii="Verdana" w:eastAsia="Times New Roman" w:hAnsi="Verdana" w:cs="Times New Roman"/>
          <w:color w:val="000000"/>
          <w:lang w:eastAsia="es-CO"/>
        </w:rPr>
        <w:t>Sobre la experiencia general se establecen las siguientes dos (2) notas:</w:t>
      </w:r>
      <w:r w:rsidRPr="00C24744">
        <w:rPr>
          <w:rFonts w:ascii="Verdana" w:eastAsia="Times New Roman" w:hAnsi="Verdana" w:cs="Times New Roman"/>
          <w:color w:val="000000"/>
          <w:lang w:eastAsia="es-CO"/>
        </w:rPr>
        <w:tab/>
      </w:r>
      <w:r w:rsidRPr="00C24744">
        <w:rPr>
          <w:rFonts w:ascii="Verdana" w:eastAsia="Times New Roman" w:hAnsi="Verdana" w:cs="Times New Roman"/>
          <w:color w:val="000000"/>
          <w:lang w:eastAsia="es-CO"/>
        </w:rPr>
        <w:tab/>
      </w:r>
      <w:r w:rsidRPr="00C24744">
        <w:rPr>
          <w:rFonts w:ascii="Verdana" w:eastAsia="Times New Roman" w:hAnsi="Verdana" w:cs="Times New Roman"/>
          <w:color w:val="000000"/>
          <w:lang w:eastAsia="es-CO"/>
        </w:rPr>
        <w:tab/>
      </w:r>
    </w:p>
    <w:p w14:paraId="5BA2C644" w14:textId="77777777" w:rsidR="00C24744" w:rsidRPr="00C24744" w:rsidRDefault="00C24744" w:rsidP="00C24744">
      <w:pPr>
        <w:snapToGrid w:val="0"/>
        <w:spacing w:after="120" w:line="240" w:lineRule="auto"/>
        <w:ind w:left="709" w:right="709"/>
        <w:jc w:val="both"/>
        <w:rPr>
          <w:rFonts w:ascii="Verdana" w:eastAsia="Times New Roman" w:hAnsi="Verdana" w:cs="Times New Roman"/>
          <w:color w:val="000000"/>
          <w:lang w:eastAsia="es-CO"/>
        </w:rPr>
      </w:pPr>
      <w:r w:rsidRPr="00C24744">
        <w:rPr>
          <w:rFonts w:ascii="Verdana" w:eastAsia="Times New Roman" w:hAnsi="Verdana" w:cs="Times New Roman"/>
          <w:color w:val="000000"/>
          <w:lang w:eastAsia="es-CO"/>
        </w:rPr>
        <w:t>“Nota 1: Para el caso de experiencia de ESPACIO PÚBLICO se excluyen de estos el espacio público Asociado a la Infraestructura de Transporte, salvo que el Proceso de Contratación implique el mantenimiento de vías de circulación internas, así como la conservación y/o preservación de playas marítimas.</w:t>
      </w:r>
      <w:r w:rsidRPr="00C24744">
        <w:rPr>
          <w:rFonts w:ascii="Verdana" w:eastAsia="Times New Roman" w:hAnsi="Verdana" w:cs="Times New Roman"/>
          <w:color w:val="000000"/>
          <w:lang w:eastAsia="es-CO"/>
        </w:rPr>
        <w:tab/>
      </w:r>
    </w:p>
    <w:p w14:paraId="0E9D0B34" w14:textId="77777777" w:rsidR="00C24744" w:rsidRPr="00C24744" w:rsidRDefault="00C24744" w:rsidP="00C24744">
      <w:pPr>
        <w:snapToGrid w:val="0"/>
        <w:spacing w:after="0" w:line="240" w:lineRule="auto"/>
        <w:ind w:left="709" w:right="709"/>
        <w:jc w:val="both"/>
        <w:rPr>
          <w:rFonts w:ascii="Verdana" w:eastAsia="Times New Roman" w:hAnsi="Verdana" w:cs="Times New Roman"/>
          <w:color w:val="000000"/>
          <w:lang w:eastAsia="es-CO"/>
        </w:rPr>
      </w:pPr>
      <w:r w:rsidRPr="00C24744">
        <w:rPr>
          <w:rFonts w:ascii="Verdana" w:eastAsia="Times New Roman" w:hAnsi="Verdana" w:cs="Times New Roman"/>
          <w:color w:val="000000"/>
          <w:lang w:eastAsia="es-CO"/>
        </w:rPr>
        <w:t xml:space="preserve">Nota 2: En el caso en el cual el proceso de selección contemple actividades de dotación de mobiliario, la experiencia válida aportada deberá acreditar en por lo menos uno (1) de los contratos actividades de suministro e instalación de mobiliario”. </w:t>
      </w:r>
      <w:r w:rsidRPr="00C24744">
        <w:rPr>
          <w:rFonts w:ascii="Verdana" w:eastAsia="Times New Roman" w:hAnsi="Verdana" w:cs="Times New Roman"/>
          <w:color w:val="000000"/>
          <w:lang w:eastAsia="es-CO"/>
        </w:rPr>
        <w:tab/>
      </w:r>
      <w:r w:rsidRPr="00C24744">
        <w:rPr>
          <w:rFonts w:ascii="Verdana" w:eastAsia="Times New Roman" w:hAnsi="Verdana" w:cs="Times New Roman"/>
          <w:color w:val="000000"/>
          <w:lang w:eastAsia="es-CO"/>
        </w:rPr>
        <w:tab/>
      </w:r>
    </w:p>
    <w:p w14:paraId="39C37DF7" w14:textId="77777777" w:rsidR="00C24744" w:rsidRPr="00C24744" w:rsidRDefault="00C24744" w:rsidP="00C24744">
      <w:pPr>
        <w:spacing w:after="120" w:line="240" w:lineRule="auto"/>
        <w:ind w:right="709"/>
        <w:jc w:val="both"/>
        <w:rPr>
          <w:rFonts w:ascii="Verdana" w:eastAsia="Times New Roman" w:hAnsi="Verdana" w:cs="Times New Roman"/>
          <w:color w:val="000000"/>
          <w:lang w:eastAsia="es-CO"/>
        </w:rPr>
      </w:pPr>
    </w:p>
    <w:p w14:paraId="1BC44FCA" w14:textId="77777777" w:rsidR="00C24744" w:rsidRPr="00C24744" w:rsidRDefault="00C24744" w:rsidP="00C24744">
      <w:pPr>
        <w:spacing w:after="120" w:line="276" w:lineRule="auto"/>
        <w:jc w:val="both"/>
        <w:rPr>
          <w:rFonts w:ascii="Verdana" w:eastAsia="Arial" w:hAnsi="Verdana" w:cs="Arial"/>
          <w:lang w:eastAsia="es-MX"/>
        </w:rPr>
      </w:pPr>
      <w:r w:rsidRPr="00C24744">
        <w:rPr>
          <w:rFonts w:ascii="Verdana" w:eastAsia="Times New Roman" w:hAnsi="Verdana" w:cs="Times New Roman"/>
          <w:color w:val="000000"/>
          <w:lang w:eastAsia="es-CO"/>
        </w:rPr>
        <w:tab/>
      </w:r>
      <w:r w:rsidRPr="00C24744">
        <w:rPr>
          <w:rFonts w:ascii="Verdana" w:eastAsia="Arial" w:hAnsi="Verdana" w:cs="Arial"/>
          <w:lang w:eastAsia="es-MX"/>
        </w:rPr>
        <w:t>Como se aprecia, la experiencia general de la actividad 2.2 se acredita mediante contratos que contengan proyectos que correspondan y/o hayan contenido una y/o algunas de las actividades de construcción, ampliación, reconstrucción, adecuación, conservación, intervención, instalación, mantenimiento, mejoramiento, modificación u optimización, rehabilitación, remodelación, reposición, reparación locativa, restauración, restitución y/o terminación, cualquiera de estas sobre parques y/o espacio público.</w:t>
      </w:r>
    </w:p>
    <w:p w14:paraId="5535B0CE" w14:textId="77777777" w:rsidR="00C24744" w:rsidRPr="00C24744" w:rsidRDefault="00C24744" w:rsidP="00C24744">
      <w:pPr>
        <w:spacing w:after="120" w:line="276" w:lineRule="auto"/>
        <w:ind w:firstLine="708"/>
        <w:jc w:val="both"/>
        <w:rPr>
          <w:rFonts w:ascii="Verdana" w:eastAsia="Arial" w:hAnsi="Verdana" w:cs="Arial"/>
          <w:lang w:eastAsia="es-MX"/>
        </w:rPr>
      </w:pPr>
      <w:r w:rsidRPr="00C24744">
        <w:rPr>
          <w:rFonts w:ascii="Verdana" w:eastAsia="Arial" w:hAnsi="Verdana" w:cs="Arial"/>
          <w:lang w:eastAsia="es-MX"/>
        </w:rPr>
        <w:lastRenderedPageBreak/>
        <w:t xml:space="preserve">De la estructura del requisito se desprenden tres consecuencias relevantes para la consulta. En primer lugar, la expresión “correspondan y/o hayan contenido” evidencia que el documento tipo no exige que el objeto principal del contrato aportado se refiera, de manera exclusiva o literal, a un parque o al espacio público; basta con que el proyecto haya contenido alguna de las actividades enlistadas sobre ese tipo de bienes. En segundo lugar, el uso reiterado de la conjunción “y/o” confiere al listado de actividades un carácter alternativo, de modo que cualquiera de ellas, aisladamente considerada, es suficiente. En tercer lugar, la expresión “parques y/o de espacio público” también es disyuntiva, de manera que la experiencia puede recaer sobre un parque o sobre cualquier otro bien que tenga la condición de espacio público, siendo el parque una especie dentro del género más amplio del espacio público. Por su parte, la Nota 1 establece un límite expreso: se excluye el espacio público asociado a la infraestructura de transporte, con las salvedades allí previstas. </w:t>
      </w:r>
    </w:p>
    <w:p w14:paraId="07CCA010" w14:textId="77777777" w:rsidR="00C24744" w:rsidRPr="00C24744" w:rsidRDefault="00C24744" w:rsidP="00C24744">
      <w:pPr>
        <w:spacing w:after="120" w:line="276" w:lineRule="auto"/>
        <w:ind w:firstLine="708"/>
        <w:jc w:val="both"/>
        <w:rPr>
          <w:rFonts w:ascii="Verdana" w:eastAsia="Arial" w:hAnsi="Verdana" w:cs="Arial"/>
          <w:lang w:eastAsia="es-MX"/>
        </w:rPr>
      </w:pPr>
      <w:r w:rsidRPr="00C24744">
        <w:rPr>
          <w:rFonts w:ascii="Verdana" w:eastAsia="Arial" w:hAnsi="Verdana" w:cs="Arial"/>
          <w:lang w:eastAsia="es-MX"/>
        </w:rPr>
        <w:t>Ahora bien, para interpretar el alcance del tipo de infraestructura sobre el que deben recaer las actividades señaladas, esto es, “parques y/o espacio público”, debe tenerse en cuenta la nota general 1 de la Matriz 1 – Experiencia de los documentos tipo complementarios del sector cultura, recreación y deporte, en las distintas modalidades de selección adoptadas por esta Agencia. En ella se indica que “(l)as definiciones contenidas en esta Matriz deben enmarcarse en la normativa vigente en la materia, así como en la NSR 10 o aquellas que los modifiquen, adicionen o sustituyan, así como a las definiciones contenidas en el “Anexo - Glosario del Sector Social””.</w:t>
      </w:r>
    </w:p>
    <w:p w14:paraId="50253564" w14:textId="77777777" w:rsidR="00C24744" w:rsidRPr="00C24744" w:rsidRDefault="00C24744" w:rsidP="00C24744">
      <w:pPr>
        <w:spacing w:after="120" w:line="276" w:lineRule="auto"/>
        <w:ind w:firstLine="708"/>
        <w:jc w:val="both"/>
        <w:rPr>
          <w:rFonts w:ascii="Verdana" w:eastAsia="Arial" w:hAnsi="Verdana" w:cs="Arial"/>
          <w:lang w:eastAsia="es-MX"/>
        </w:rPr>
      </w:pPr>
      <w:r w:rsidRPr="00C24744">
        <w:rPr>
          <w:rFonts w:ascii="Verdana" w:eastAsia="Arial" w:hAnsi="Verdana" w:cs="Arial"/>
          <w:lang w:eastAsia="es-MX"/>
        </w:rPr>
        <w:t xml:space="preserve">La nota general 1 es congruente con el numeral 1.10 del documento base, que dispone que “[p]ara los fines de este Pliego de Condiciones, a menos que expresamente se estipule de otra manera, los términos deben entenderse de acuerdo con la definición contenida en el artículo 2.2.1.1.1.3.1 del Decreto 1082 de 2015, el glosario aplicable a la obra pública de infraestructura social y demás normas, decretos reglamentarios y legislación aplicable en la materia”. </w:t>
      </w:r>
    </w:p>
    <w:p w14:paraId="3E7E2448" w14:textId="77777777" w:rsidR="00C24744" w:rsidRPr="00C24744" w:rsidRDefault="00C24744" w:rsidP="00C24744">
      <w:pPr>
        <w:spacing w:after="0" w:line="276" w:lineRule="auto"/>
        <w:ind w:firstLine="708"/>
        <w:jc w:val="both"/>
        <w:rPr>
          <w:rFonts w:ascii="Verdana" w:eastAsia="Arial" w:hAnsi="Verdana" w:cs="Arial"/>
          <w:lang w:eastAsia="es-MX"/>
        </w:rPr>
      </w:pPr>
      <w:r w:rsidRPr="00C24744">
        <w:rPr>
          <w:rFonts w:ascii="Verdana" w:eastAsia="Arial" w:hAnsi="Verdana" w:cs="Arial"/>
          <w:lang w:eastAsia="es-MX"/>
        </w:rPr>
        <w:t>En este sentido, el Anexo 5 – Glosario de los documentos tipo de licitación de obra pública de infraestructura social – versión 2, en su numeral 2.87, define el espacio público en los siguientes términos:</w:t>
      </w:r>
    </w:p>
    <w:p w14:paraId="0842A7AA" w14:textId="77777777" w:rsidR="00C24744" w:rsidRPr="00C24744" w:rsidRDefault="00C24744" w:rsidP="00C24744">
      <w:pPr>
        <w:spacing w:after="0" w:line="276" w:lineRule="auto"/>
        <w:ind w:firstLine="708"/>
        <w:jc w:val="both"/>
        <w:rPr>
          <w:rFonts w:ascii="Verdana" w:eastAsia="Arial" w:hAnsi="Verdana" w:cs="Arial"/>
          <w:lang w:eastAsia="es-MX"/>
        </w:rPr>
      </w:pPr>
    </w:p>
    <w:p w14:paraId="0026DF81" w14:textId="77777777" w:rsidR="00C24744" w:rsidRPr="00C24744" w:rsidRDefault="00C24744" w:rsidP="00C24744">
      <w:pPr>
        <w:spacing w:line="240" w:lineRule="auto"/>
        <w:ind w:left="851" w:right="851"/>
        <w:jc w:val="both"/>
        <w:rPr>
          <w:rFonts w:ascii="Verdana" w:eastAsia="Arial" w:hAnsi="Verdana" w:cs="Arial"/>
          <w:sz w:val="21"/>
          <w:szCs w:val="21"/>
          <w:lang w:eastAsia="es-MX"/>
        </w:rPr>
      </w:pPr>
      <w:r w:rsidRPr="00C24744">
        <w:rPr>
          <w:rFonts w:ascii="Verdana" w:eastAsia="Arial" w:hAnsi="Verdana" w:cs="Arial"/>
          <w:sz w:val="21"/>
          <w:szCs w:val="21"/>
          <w:lang w:eastAsia="es-MX"/>
        </w:rPr>
        <w:t xml:space="preserve">“2.87. Espacio Público: Conjunto de inmuebles públicos y los elementos arquitectónicos y naturales de los inmuebles privados destinados por naturaleza, usos o afectación a la satisfacción de </w:t>
      </w:r>
      <w:r w:rsidRPr="00C24744">
        <w:rPr>
          <w:rFonts w:ascii="Verdana" w:eastAsia="Arial" w:hAnsi="Verdana" w:cs="Arial"/>
          <w:sz w:val="21"/>
          <w:szCs w:val="21"/>
          <w:lang w:eastAsia="es-MX"/>
        </w:rPr>
        <w:lastRenderedPageBreak/>
        <w:t>necesidades urbanas colectivas que transcienden los límites de los intereses individuales de los habitantes.</w:t>
      </w:r>
    </w:p>
    <w:p w14:paraId="6E591AEC" w14:textId="77777777" w:rsidR="00C24744" w:rsidRPr="00C24744" w:rsidRDefault="00C24744" w:rsidP="00C24744">
      <w:pPr>
        <w:spacing w:line="240" w:lineRule="auto"/>
        <w:ind w:left="851" w:right="851"/>
        <w:jc w:val="both"/>
        <w:rPr>
          <w:rFonts w:ascii="Verdana" w:eastAsia="Arial" w:hAnsi="Verdana" w:cs="Arial"/>
          <w:sz w:val="21"/>
          <w:szCs w:val="21"/>
          <w:lang w:eastAsia="es-MX"/>
        </w:rPr>
      </w:pPr>
      <w:r w:rsidRPr="00C24744">
        <w:rPr>
          <w:rFonts w:ascii="Verdana" w:eastAsia="Arial" w:hAnsi="Verdana" w:cs="Arial"/>
          <w:sz w:val="21"/>
          <w:szCs w:val="21"/>
          <w:lang w:eastAsia="es-MX"/>
        </w:rPr>
        <w:t>El espacio público comprende, entre otros, los siguientes aspectos:</w:t>
      </w:r>
    </w:p>
    <w:p w14:paraId="6B6ABF60" w14:textId="77777777" w:rsidR="00C24744" w:rsidRPr="00C24744" w:rsidRDefault="00C24744" w:rsidP="00C24744">
      <w:pPr>
        <w:spacing w:line="240" w:lineRule="auto"/>
        <w:ind w:left="851" w:right="851"/>
        <w:jc w:val="both"/>
        <w:rPr>
          <w:rFonts w:ascii="Verdana" w:eastAsia="Arial" w:hAnsi="Verdana" w:cs="Arial"/>
          <w:sz w:val="21"/>
          <w:szCs w:val="21"/>
          <w:lang w:eastAsia="es-MX"/>
        </w:rPr>
      </w:pPr>
      <w:r w:rsidRPr="00C24744">
        <w:rPr>
          <w:rFonts w:ascii="Verdana" w:eastAsia="Arial" w:hAnsi="Verdana" w:cs="Arial"/>
          <w:sz w:val="21"/>
          <w:szCs w:val="21"/>
          <w:lang w:eastAsia="es-MX"/>
        </w:rPr>
        <w:t>a. Los bienes de uso público, es decir, aquellos inmuebles de dominio público cuyo uso pertenece a todos los habitantes del territorio nacional, destinados al uso o disfrute colectivo;</w:t>
      </w:r>
    </w:p>
    <w:p w14:paraId="793CC6D3" w14:textId="77777777" w:rsidR="00C24744" w:rsidRPr="00C24744" w:rsidRDefault="00C24744" w:rsidP="00C24744">
      <w:pPr>
        <w:spacing w:line="240" w:lineRule="auto"/>
        <w:ind w:left="851" w:right="851"/>
        <w:jc w:val="both"/>
        <w:rPr>
          <w:rFonts w:ascii="Verdana" w:eastAsia="Arial" w:hAnsi="Verdana" w:cs="Arial"/>
          <w:sz w:val="21"/>
          <w:szCs w:val="21"/>
          <w:lang w:eastAsia="es-MX"/>
        </w:rPr>
      </w:pPr>
      <w:r w:rsidRPr="00C24744">
        <w:rPr>
          <w:rFonts w:ascii="Verdana" w:eastAsia="Arial" w:hAnsi="Verdana" w:cs="Arial"/>
          <w:sz w:val="21"/>
          <w:szCs w:val="21"/>
          <w:lang w:eastAsia="es-MX"/>
        </w:rPr>
        <w:t>b. Los elementos arquitectónicos, espaciales y naturales de los inmuebles de propiedad privada que por su naturaleza, uso o afectación satisfacen necesidades de uso público;</w:t>
      </w:r>
    </w:p>
    <w:p w14:paraId="2BA47DB9" w14:textId="77777777" w:rsidR="00C24744" w:rsidRPr="00C24744" w:rsidRDefault="00C24744" w:rsidP="00C24744">
      <w:pPr>
        <w:spacing w:after="0" w:line="240" w:lineRule="auto"/>
        <w:ind w:left="851" w:right="851"/>
        <w:jc w:val="both"/>
        <w:rPr>
          <w:rFonts w:ascii="Verdana" w:eastAsia="Arial" w:hAnsi="Verdana" w:cs="Arial"/>
          <w:sz w:val="21"/>
          <w:szCs w:val="21"/>
          <w:lang w:eastAsia="es-MX"/>
        </w:rPr>
      </w:pPr>
      <w:r w:rsidRPr="00C24744">
        <w:rPr>
          <w:rFonts w:ascii="Verdana" w:eastAsia="Arial" w:hAnsi="Verdana" w:cs="Arial"/>
          <w:sz w:val="21"/>
          <w:szCs w:val="21"/>
          <w:lang w:eastAsia="es-MX"/>
        </w:rPr>
        <w:t xml:space="preserve">c. Las áreas requeridas para la conformación del sistema de espacio público en los términos establecidos en el Decreto 1504 de 1998 compilado en el Decreto 1077 de 2015 o la norma que la reemplace, complemente o modifique”. </w:t>
      </w:r>
    </w:p>
    <w:p w14:paraId="6077D96D" w14:textId="77777777" w:rsidR="00C24744" w:rsidRPr="00C24744" w:rsidRDefault="00C24744" w:rsidP="00C24744">
      <w:pPr>
        <w:spacing w:after="0" w:line="240" w:lineRule="auto"/>
        <w:ind w:left="851" w:right="851"/>
        <w:jc w:val="both"/>
        <w:rPr>
          <w:rFonts w:ascii="Verdana" w:eastAsia="Arial" w:hAnsi="Verdana" w:cs="Arial"/>
          <w:sz w:val="21"/>
          <w:szCs w:val="21"/>
          <w:lang w:eastAsia="es-MX"/>
        </w:rPr>
      </w:pPr>
    </w:p>
    <w:p w14:paraId="70DD25C7" w14:textId="77777777" w:rsidR="00C24744" w:rsidRPr="00C24744" w:rsidRDefault="00C24744" w:rsidP="00C24744">
      <w:pPr>
        <w:spacing w:after="0" w:line="276" w:lineRule="auto"/>
        <w:ind w:firstLine="708"/>
        <w:jc w:val="both"/>
        <w:rPr>
          <w:rFonts w:ascii="Verdana" w:eastAsia="Arial" w:hAnsi="Verdana" w:cs="Arial"/>
          <w:lang w:eastAsia="es-MX"/>
        </w:rPr>
      </w:pPr>
      <w:r w:rsidRPr="00C24744">
        <w:rPr>
          <w:rFonts w:ascii="Verdana" w:eastAsia="Arial" w:hAnsi="Verdana" w:cs="Arial"/>
          <w:lang w:eastAsia="es-MX"/>
        </w:rPr>
        <w:t>Por su parte, los numerales 3.84 a 3.87 del Anexo 5 – Glosario definen la noción de parques en los siguientes términos:</w:t>
      </w:r>
    </w:p>
    <w:p w14:paraId="6EFF34CF" w14:textId="77777777" w:rsidR="00C24744" w:rsidRPr="00C24744" w:rsidRDefault="00C24744" w:rsidP="00C24744">
      <w:pPr>
        <w:spacing w:after="0" w:line="276" w:lineRule="auto"/>
        <w:jc w:val="both"/>
        <w:rPr>
          <w:rFonts w:ascii="Verdana" w:eastAsia="Arial" w:hAnsi="Verdana" w:cs="Arial"/>
          <w:lang w:eastAsia="es-MX"/>
        </w:rPr>
      </w:pPr>
    </w:p>
    <w:p w14:paraId="4F99CA3B" w14:textId="77777777" w:rsidR="00C24744" w:rsidRPr="00C24744" w:rsidRDefault="00C24744" w:rsidP="00C24744">
      <w:pPr>
        <w:spacing w:after="0" w:line="240" w:lineRule="auto"/>
        <w:ind w:left="851" w:right="851"/>
        <w:jc w:val="both"/>
        <w:rPr>
          <w:rFonts w:ascii="Verdana" w:eastAsia="Arial" w:hAnsi="Verdana" w:cs="Arial"/>
          <w:sz w:val="21"/>
          <w:szCs w:val="21"/>
          <w:lang w:eastAsia="es-MX"/>
        </w:rPr>
      </w:pPr>
      <w:r w:rsidRPr="00C24744">
        <w:rPr>
          <w:rFonts w:ascii="Verdana" w:eastAsia="Arial" w:hAnsi="Verdana" w:cs="Arial"/>
          <w:sz w:val="21"/>
          <w:szCs w:val="21"/>
          <w:lang w:eastAsia="es-MX"/>
        </w:rPr>
        <w:t>“3.84. Parques: Áreas libres públicas, predominantemente arborizadas y/o ajardinadas que se encuentran localizadas en suelo urbano, y se haya destinada a la recreación, esparcimiento y el ocio, así como a la generación y preservación de los valores paisajísticos ambientales.</w:t>
      </w:r>
    </w:p>
    <w:p w14:paraId="59F01BF7" w14:textId="77777777" w:rsidR="00C24744" w:rsidRPr="00C24744" w:rsidRDefault="00C24744" w:rsidP="00C24744">
      <w:pPr>
        <w:spacing w:line="240" w:lineRule="auto"/>
        <w:ind w:left="851" w:right="851"/>
        <w:jc w:val="both"/>
        <w:rPr>
          <w:rFonts w:ascii="Verdana" w:eastAsia="Arial" w:hAnsi="Verdana" w:cs="Arial"/>
          <w:sz w:val="21"/>
          <w:szCs w:val="21"/>
          <w:lang w:eastAsia="es-MX"/>
        </w:rPr>
      </w:pPr>
      <w:r w:rsidRPr="00C24744">
        <w:rPr>
          <w:rFonts w:ascii="Verdana" w:eastAsia="Arial" w:hAnsi="Verdana" w:cs="Arial"/>
          <w:sz w:val="21"/>
          <w:szCs w:val="21"/>
          <w:lang w:eastAsia="es-MX"/>
        </w:rPr>
        <w:t>3.85. Parques de Recreación Activa: Parques en donde el área destinada a la recreación activa es superior al 30%, o en los que, por sus condiciones topográficas, el área libre no es apta para la recreación pasiva. Son, por lo general, parques con un índice de ocupación alto y en los cuales la cantidad de áreas verdes es reducida.</w:t>
      </w:r>
    </w:p>
    <w:p w14:paraId="6B6DA719" w14:textId="77777777" w:rsidR="00C24744" w:rsidRPr="00C24744" w:rsidRDefault="00C24744" w:rsidP="00C24744">
      <w:pPr>
        <w:spacing w:line="240" w:lineRule="auto"/>
        <w:ind w:left="851" w:right="851"/>
        <w:jc w:val="both"/>
        <w:rPr>
          <w:rFonts w:ascii="Verdana" w:eastAsia="Arial" w:hAnsi="Verdana" w:cs="Arial"/>
          <w:sz w:val="21"/>
          <w:szCs w:val="21"/>
          <w:lang w:eastAsia="es-MX"/>
        </w:rPr>
      </w:pPr>
      <w:r w:rsidRPr="00C24744">
        <w:rPr>
          <w:rFonts w:ascii="Verdana" w:eastAsia="Arial" w:hAnsi="Verdana" w:cs="Arial"/>
          <w:sz w:val="21"/>
          <w:szCs w:val="21"/>
          <w:lang w:eastAsia="es-MX"/>
        </w:rPr>
        <w:t>3.86. Parques de Recreación Pasiva: Parques destinados en su totalidad a la recreación pasiva y contemplativa, adecuados como áreas verdes, áreas de tratamiento paisajístico o áreas duras arborizadas, son espacios vitales pues contribuyen con el equilibrio ambiental. Pueden contener zonas de juegos infantiles.</w:t>
      </w:r>
    </w:p>
    <w:p w14:paraId="68B05826" w14:textId="77777777" w:rsidR="00C24744" w:rsidRPr="00C24744" w:rsidRDefault="00C24744" w:rsidP="00C24744">
      <w:pPr>
        <w:spacing w:after="0" w:line="240" w:lineRule="auto"/>
        <w:ind w:left="851" w:right="851"/>
        <w:jc w:val="both"/>
        <w:rPr>
          <w:rFonts w:ascii="Verdana" w:eastAsia="Arial" w:hAnsi="Verdana" w:cs="Arial"/>
          <w:sz w:val="21"/>
          <w:szCs w:val="21"/>
          <w:lang w:eastAsia="es-MX"/>
        </w:rPr>
      </w:pPr>
      <w:r w:rsidRPr="00C24744">
        <w:rPr>
          <w:rFonts w:ascii="Verdana" w:eastAsia="Arial" w:hAnsi="Verdana" w:cs="Arial"/>
          <w:sz w:val="21"/>
          <w:szCs w:val="21"/>
          <w:lang w:eastAsia="es-MX"/>
        </w:rPr>
        <w:t xml:space="preserve">3.87. Parques con vocación mixta o combinada: Parques en los que entre el 1% y el 30% de área está destinada a la recreación activa, permitiendo la especialización de usos y configurando áreas verdes o áreas duras arborizadas aptas para el desarrollo de la recreación pasiva. Estos parques ejemplifican la proporción óptima entre las </w:t>
      </w:r>
      <w:r w:rsidRPr="00C24744">
        <w:rPr>
          <w:rFonts w:ascii="Verdana" w:eastAsia="Arial" w:hAnsi="Verdana" w:cs="Arial"/>
          <w:sz w:val="21"/>
          <w:szCs w:val="21"/>
          <w:lang w:eastAsia="es-MX"/>
        </w:rPr>
        <w:lastRenderedPageBreak/>
        <w:t>áreas destinadas a la recreación activa y pasiva, permitiendo la especialización de usos”.</w:t>
      </w:r>
    </w:p>
    <w:p w14:paraId="5032A390" w14:textId="77777777" w:rsidR="00C24744" w:rsidRPr="00C24744" w:rsidRDefault="00C24744" w:rsidP="00C24744">
      <w:pPr>
        <w:spacing w:after="0" w:line="240" w:lineRule="auto"/>
        <w:ind w:left="851" w:right="851"/>
        <w:jc w:val="both"/>
        <w:rPr>
          <w:rFonts w:ascii="Verdana" w:eastAsia="Arial" w:hAnsi="Verdana" w:cs="Arial"/>
          <w:sz w:val="21"/>
          <w:szCs w:val="21"/>
          <w:lang w:eastAsia="es-MX"/>
        </w:rPr>
      </w:pPr>
    </w:p>
    <w:p w14:paraId="41B9AB85" w14:textId="77777777" w:rsidR="00C24744" w:rsidRPr="00C24744" w:rsidRDefault="00C24744" w:rsidP="00C24744">
      <w:pPr>
        <w:spacing w:after="120" w:line="276" w:lineRule="auto"/>
        <w:ind w:firstLine="708"/>
        <w:jc w:val="both"/>
        <w:rPr>
          <w:rFonts w:ascii="Verdana" w:eastAsia="Arial" w:hAnsi="Verdana" w:cs="Arial"/>
          <w:lang w:eastAsia="es-MX"/>
        </w:rPr>
      </w:pPr>
      <w:r w:rsidRPr="00C24744">
        <w:rPr>
          <w:rFonts w:ascii="Verdana" w:eastAsia="Arial" w:hAnsi="Verdana" w:cs="Arial"/>
          <w:lang w:eastAsia="es-MX"/>
        </w:rPr>
        <w:t>De las definiciones transcritas se desprenden varias consecuencias relevantes para la verificación de la experiencia. En primer lugar, el parque es una especie dentro del género del espacio público: el numeral 3.84 lo define como un conjunto de “(á)reas libres públicas” destinadas “a la recreación, esparcimiento y el ocio”, lo que reproduce los mismos elementos de la definición del numeral 2.87, esto es, el carácter público del área y su destinación al disfrute colectivo. En segundo lugar, el glosario no reduce el parque a las zonas verdes o arborizadas, pues el numeral 3.85 reconoce expresamente los “Parques de Recreación Activa”, en los que “el área destinada a la recreación activa es superior al 30%” y en los cuales “la cantidad de áreas verdes es reducida”. Desde el punto de vista técnico, la recreación activa comprende las áreas dotadas para la práctica deportiva y la actividad física, como canchas múltiples, placas polideportivas, pistas, graderías y zonas de juego, de manera que un área libre pública conformada predominantemente por este tipo de infraestructura también es, a la luz del documento tipo, un parque. En tercer lugar, el numeral 3.87 admite los parques con vocación mixta, en los que conviven áreas de recreación activa y pasiva, lo que confirma que la presencia de escenarios deportivos o de áreas duras no desnaturaliza la condición de parque.</w:t>
      </w:r>
    </w:p>
    <w:p w14:paraId="0AF5EFDA" w14:textId="77777777" w:rsidR="00C24744" w:rsidRPr="00C24744" w:rsidRDefault="00C24744" w:rsidP="00C24744">
      <w:pPr>
        <w:spacing w:after="120" w:line="276" w:lineRule="auto"/>
        <w:ind w:firstLine="708"/>
        <w:jc w:val="both"/>
        <w:rPr>
          <w:rFonts w:ascii="Verdana" w:eastAsia="Arial" w:hAnsi="Verdana" w:cs="Arial"/>
          <w:lang w:eastAsia="es-MX"/>
        </w:rPr>
      </w:pPr>
      <w:r w:rsidRPr="00C24744">
        <w:rPr>
          <w:rFonts w:ascii="Verdana" w:eastAsia="Arial" w:hAnsi="Verdana" w:cs="Arial"/>
          <w:lang w:eastAsia="es-MX"/>
        </w:rPr>
        <w:t>En consecuencia, para efectos de la actividad 2.2 de la Matriz 1 – Experiencia, la entidad debe tener en cuenta que tanto las áreas libres públicas destinadas a la recreación activa –escenarios deportivos, canchas y placas polideportivas de uso público– como las destinadas a la recreación pasiva y contemplativa pueden constituir parques, y que, en todo caso, cuando un área no encaje en la noción de parque –por ejemplo, por su localización o por su configuración–, deberá analizarse si reúne los elementos de la noción más amplia de espacio público del numeral 2.87.</w:t>
      </w:r>
    </w:p>
    <w:p w14:paraId="17FF2C34" w14:textId="77777777" w:rsidR="00C24744" w:rsidRPr="00C24744" w:rsidRDefault="00C24744" w:rsidP="00C24744">
      <w:pPr>
        <w:spacing w:after="0" w:line="276" w:lineRule="auto"/>
        <w:ind w:firstLine="708"/>
        <w:jc w:val="both"/>
        <w:rPr>
          <w:rFonts w:ascii="Verdana" w:eastAsia="Arial" w:hAnsi="Verdana" w:cs="Arial"/>
          <w:lang w:eastAsia="es-MX"/>
        </w:rPr>
      </w:pPr>
      <w:r w:rsidRPr="00C24744">
        <w:rPr>
          <w:rFonts w:ascii="Verdana" w:eastAsia="Arial" w:hAnsi="Verdana" w:cs="Arial"/>
          <w:lang w:eastAsia="es-MX"/>
        </w:rPr>
        <w:t xml:space="preserve">Por su parte, la definición de espacio público del numeral 2.87 del glosario reproduce el contenido de las normas que integran el régimen jurídico del espacio público en Colombia. El artículo 82 de la Constitución Política dispone que “(e)s deber del Estado velar por la protección de la integridad del espacio público y por su destinación al uso común, el cual prevalece sobre el interés </w:t>
      </w:r>
      <w:r w:rsidRPr="00C24744">
        <w:rPr>
          <w:rFonts w:ascii="Verdana" w:eastAsia="Arial" w:hAnsi="Verdana" w:cs="Arial"/>
          <w:lang w:eastAsia="es-MX"/>
        </w:rPr>
        <w:lastRenderedPageBreak/>
        <w:t>particular”</w:t>
      </w:r>
      <w:r w:rsidRPr="00C24744">
        <w:rPr>
          <w:rFonts w:ascii="Verdana" w:eastAsia="Arial" w:hAnsi="Verdana" w:cs="Arial"/>
          <w:vertAlign w:val="superscript"/>
          <w:lang w:eastAsia="es-MX"/>
        </w:rPr>
        <w:footnoteReference w:id="4"/>
      </w:r>
      <w:r w:rsidRPr="00C24744">
        <w:rPr>
          <w:rFonts w:ascii="Verdana" w:eastAsia="Arial" w:hAnsi="Verdana" w:cs="Arial"/>
          <w:lang w:eastAsia="es-MX"/>
        </w:rPr>
        <w:t>. La Constitución, por tanto, vincula el concepto de espacio público con su “destinación al uso común”, lo que anticipa el carácter funcional de la definición. En desarrollo de lo anterior, el artículo 5 de la Ley 9 de 1989 establece:</w:t>
      </w:r>
    </w:p>
    <w:p w14:paraId="334F8E99" w14:textId="77777777" w:rsidR="00C24744" w:rsidRPr="00C24744" w:rsidRDefault="00C24744" w:rsidP="00C24744">
      <w:pPr>
        <w:spacing w:after="0" w:line="276" w:lineRule="auto"/>
        <w:ind w:firstLine="708"/>
        <w:jc w:val="both"/>
        <w:rPr>
          <w:rFonts w:ascii="Verdana" w:eastAsia="Arial" w:hAnsi="Verdana" w:cs="Arial"/>
          <w:lang w:eastAsia="es-MX"/>
        </w:rPr>
      </w:pPr>
    </w:p>
    <w:p w14:paraId="0E1E56E8" w14:textId="77777777" w:rsidR="00C24744" w:rsidRPr="00C24744" w:rsidRDefault="00C24744" w:rsidP="00C24744">
      <w:pPr>
        <w:spacing w:after="0" w:line="240" w:lineRule="auto"/>
        <w:ind w:left="709" w:right="709"/>
        <w:jc w:val="both"/>
        <w:rPr>
          <w:rFonts w:ascii="Verdana" w:eastAsia="Arial" w:hAnsi="Verdana" w:cs="Arial"/>
          <w:sz w:val="21"/>
          <w:szCs w:val="21"/>
          <w:lang w:eastAsia="es-MX"/>
        </w:rPr>
      </w:pPr>
      <w:r w:rsidRPr="00C24744">
        <w:rPr>
          <w:rFonts w:ascii="Verdana" w:eastAsia="Arial" w:hAnsi="Verdana" w:cs="Arial"/>
          <w:sz w:val="21"/>
          <w:szCs w:val="21"/>
          <w:lang w:eastAsia="es-MX"/>
        </w:rPr>
        <w:t>“Entiéndese por espacio público el conjunto de inmuebles públicos y los elementos arquitectónicos y naturales de los inmuebles privados, destinados por su naturaleza, por su uso o afectación, a la satisfacción de necesidades urbanas colectivas que trascienden, por tanto, los límites de los intereses individuales de los habitantes. Así, constituyen el espacio público de la ciudad las áreas requeridas para la circulación, tanto peatonal como vehicular, las áreas para la recreación pública, activa o pasiva, para la seguridad y tranquilidad ciudadana, (…) parques, plazas, zonas verdes y similares, (…) para la preservación de las obras de interés público y de los elementos históricos, culturales, religiosos, recreativos y artísticos, (…)  y, en general, por todas las zonas existentes o debidamente proyectadas en las que el interés colectivo sea manifiesto y conspicuo en la utilización, uso o disfrute colectivo”</w:t>
      </w:r>
      <w:r w:rsidRPr="00C24744">
        <w:rPr>
          <w:rFonts w:ascii="Verdana" w:eastAsia="Arial" w:hAnsi="Verdana" w:cs="Arial"/>
          <w:sz w:val="21"/>
          <w:szCs w:val="21"/>
          <w:vertAlign w:val="superscript"/>
          <w:lang w:eastAsia="es-MX"/>
        </w:rPr>
        <w:footnoteReference w:id="5"/>
      </w:r>
      <w:r w:rsidRPr="00C24744">
        <w:rPr>
          <w:rFonts w:ascii="Verdana" w:eastAsia="Arial" w:hAnsi="Verdana" w:cs="Arial"/>
          <w:sz w:val="21"/>
          <w:szCs w:val="21"/>
          <w:lang w:eastAsia="es-MX"/>
        </w:rPr>
        <w:t>.</w:t>
      </w:r>
    </w:p>
    <w:p w14:paraId="3CF8B528" w14:textId="77777777" w:rsidR="00C24744" w:rsidRPr="00C24744" w:rsidRDefault="00C24744" w:rsidP="00C24744">
      <w:pPr>
        <w:spacing w:after="0" w:line="240" w:lineRule="auto"/>
        <w:ind w:left="851" w:right="851"/>
        <w:jc w:val="both"/>
        <w:rPr>
          <w:rFonts w:ascii="Verdana" w:eastAsia="Arial" w:hAnsi="Verdana" w:cs="Arial"/>
          <w:sz w:val="21"/>
          <w:szCs w:val="21"/>
          <w:lang w:eastAsia="es-MX"/>
        </w:rPr>
      </w:pPr>
    </w:p>
    <w:p w14:paraId="2C4AA62F" w14:textId="77777777" w:rsidR="00C24744" w:rsidRPr="00C24744" w:rsidRDefault="00C24744" w:rsidP="00C24744">
      <w:pPr>
        <w:spacing w:after="0" w:line="276" w:lineRule="auto"/>
        <w:ind w:firstLine="708"/>
        <w:jc w:val="both"/>
        <w:rPr>
          <w:rFonts w:ascii="Verdana" w:eastAsia="Arial" w:hAnsi="Verdana" w:cs="Arial"/>
          <w:lang w:eastAsia="es-MX"/>
        </w:rPr>
      </w:pPr>
      <w:r w:rsidRPr="00C24744">
        <w:rPr>
          <w:rFonts w:ascii="Verdana" w:eastAsia="Arial" w:hAnsi="Verdana" w:cs="Arial"/>
          <w:lang w:eastAsia="es-MX"/>
        </w:rPr>
        <w:t>A su vez, el Decreto 1077 de 2015, que compila el Decreto 1504 de 1998, desarrolla la definición, los componentes y los elementos del espacio público. El artículo 2.2.3.1.2 de ese decreto, sobre la definición de espacio público, señala:</w:t>
      </w:r>
    </w:p>
    <w:p w14:paraId="46D62D12" w14:textId="77777777" w:rsidR="00C24744" w:rsidRPr="00C24744" w:rsidRDefault="00C24744" w:rsidP="00C24744">
      <w:pPr>
        <w:spacing w:after="0" w:line="276" w:lineRule="auto"/>
        <w:ind w:firstLine="708"/>
        <w:jc w:val="both"/>
        <w:rPr>
          <w:rFonts w:ascii="Verdana" w:eastAsia="Arial" w:hAnsi="Verdana" w:cs="Arial"/>
          <w:lang w:eastAsia="es-MX"/>
        </w:rPr>
      </w:pPr>
    </w:p>
    <w:p w14:paraId="218BD6C5" w14:textId="77777777" w:rsidR="00C24744" w:rsidRPr="00C24744" w:rsidRDefault="00C24744" w:rsidP="00C24744">
      <w:pPr>
        <w:spacing w:after="0" w:line="240" w:lineRule="auto"/>
        <w:ind w:left="709" w:right="709"/>
        <w:jc w:val="both"/>
        <w:rPr>
          <w:rFonts w:ascii="Verdana" w:eastAsia="Arial" w:hAnsi="Verdana" w:cs="Arial"/>
          <w:sz w:val="21"/>
          <w:szCs w:val="21"/>
          <w:lang w:eastAsia="es-MX"/>
        </w:rPr>
      </w:pPr>
      <w:r w:rsidRPr="00C24744">
        <w:rPr>
          <w:rFonts w:ascii="Verdana" w:eastAsia="Arial" w:hAnsi="Verdana" w:cs="Arial"/>
          <w:sz w:val="21"/>
          <w:szCs w:val="21"/>
          <w:lang w:eastAsia="es-MX"/>
        </w:rPr>
        <w:t>“El espacio público es el conjunto de inmuebles públicos y los elementos arquitectónicos y naturales de los inmuebles privados destinados por su naturaleza, usos o afectación a la satisfacción de necesidades urbanas colectivas que trascienden los límites de los intereses individuales de los habitantes”</w:t>
      </w:r>
      <w:r w:rsidRPr="00C24744">
        <w:rPr>
          <w:rFonts w:ascii="Verdana" w:eastAsia="Arial" w:hAnsi="Verdana" w:cs="Arial"/>
          <w:sz w:val="21"/>
          <w:szCs w:val="21"/>
          <w:vertAlign w:val="superscript"/>
          <w:lang w:eastAsia="es-MX"/>
        </w:rPr>
        <w:footnoteReference w:id="6"/>
      </w:r>
      <w:r w:rsidRPr="00C24744">
        <w:rPr>
          <w:rFonts w:ascii="Verdana" w:eastAsia="Arial" w:hAnsi="Verdana" w:cs="Arial"/>
          <w:sz w:val="21"/>
          <w:szCs w:val="21"/>
          <w:lang w:eastAsia="es-MX"/>
        </w:rPr>
        <w:t>.</w:t>
      </w:r>
    </w:p>
    <w:p w14:paraId="0CBB0522" w14:textId="77777777" w:rsidR="00C24744" w:rsidRPr="00C24744" w:rsidRDefault="00C24744" w:rsidP="00C24744">
      <w:pPr>
        <w:spacing w:after="0" w:line="276" w:lineRule="auto"/>
        <w:ind w:left="851" w:right="851"/>
        <w:jc w:val="both"/>
        <w:rPr>
          <w:rFonts w:ascii="Verdana" w:eastAsia="Arial" w:hAnsi="Verdana" w:cs="Arial"/>
          <w:lang w:eastAsia="es-MX"/>
        </w:rPr>
      </w:pPr>
    </w:p>
    <w:p w14:paraId="7DC09A5A" w14:textId="77777777" w:rsidR="00C24744" w:rsidRPr="00C24744" w:rsidRDefault="00C24744" w:rsidP="00C24744">
      <w:pPr>
        <w:spacing w:after="0" w:line="276" w:lineRule="auto"/>
        <w:ind w:firstLine="708"/>
        <w:jc w:val="both"/>
        <w:rPr>
          <w:rFonts w:ascii="Verdana" w:eastAsia="Arial" w:hAnsi="Verdana" w:cs="Arial"/>
          <w:lang w:eastAsia="es-MX"/>
        </w:rPr>
      </w:pPr>
      <w:r w:rsidRPr="00C24744">
        <w:rPr>
          <w:rFonts w:ascii="Verdana" w:eastAsia="Arial" w:hAnsi="Verdana" w:cs="Arial"/>
          <w:lang w:eastAsia="es-MX"/>
        </w:rPr>
        <w:t>Por su parte, el artículo 2.2.3.1.3 ibidem, relativo a los componentes del espacio público, dispone:</w:t>
      </w:r>
    </w:p>
    <w:p w14:paraId="60EE66F4" w14:textId="77777777" w:rsidR="00C24744" w:rsidRPr="00C24744" w:rsidRDefault="00C24744" w:rsidP="00C24744">
      <w:pPr>
        <w:spacing w:after="0" w:line="276" w:lineRule="auto"/>
        <w:jc w:val="both"/>
        <w:rPr>
          <w:rFonts w:ascii="Verdana" w:eastAsia="Arial" w:hAnsi="Verdana" w:cs="Arial"/>
          <w:lang w:eastAsia="es-MX"/>
        </w:rPr>
      </w:pPr>
    </w:p>
    <w:p w14:paraId="34F08D03" w14:textId="77777777" w:rsidR="00C24744" w:rsidRPr="00C24744" w:rsidRDefault="00C24744" w:rsidP="00C24744">
      <w:pPr>
        <w:spacing w:after="120" w:line="240" w:lineRule="auto"/>
        <w:ind w:left="851" w:right="851"/>
        <w:jc w:val="both"/>
        <w:rPr>
          <w:rFonts w:ascii="Verdana" w:eastAsia="Arial" w:hAnsi="Verdana" w:cs="Arial"/>
          <w:sz w:val="21"/>
          <w:szCs w:val="21"/>
          <w:lang w:eastAsia="es-MX"/>
        </w:rPr>
      </w:pPr>
      <w:r w:rsidRPr="00C24744">
        <w:rPr>
          <w:rFonts w:ascii="Verdana" w:eastAsia="Arial" w:hAnsi="Verdana" w:cs="Arial"/>
          <w:sz w:val="21"/>
          <w:szCs w:val="21"/>
          <w:lang w:eastAsia="es-MX"/>
        </w:rPr>
        <w:t>“El espacio público comprende, entre otros, los siguientes aspectos:</w:t>
      </w:r>
    </w:p>
    <w:p w14:paraId="0B5E74EC" w14:textId="77777777" w:rsidR="00C24744" w:rsidRPr="00C24744" w:rsidRDefault="00C24744" w:rsidP="00C24744">
      <w:pPr>
        <w:spacing w:after="120" w:line="240" w:lineRule="auto"/>
        <w:ind w:left="851" w:right="851"/>
        <w:jc w:val="both"/>
        <w:rPr>
          <w:rFonts w:ascii="Verdana" w:eastAsia="Arial" w:hAnsi="Verdana" w:cs="Arial"/>
          <w:sz w:val="21"/>
          <w:szCs w:val="21"/>
          <w:lang w:eastAsia="es-MX"/>
        </w:rPr>
      </w:pPr>
      <w:r w:rsidRPr="00C24744">
        <w:rPr>
          <w:rFonts w:ascii="Verdana" w:eastAsia="Arial" w:hAnsi="Verdana" w:cs="Arial"/>
          <w:sz w:val="21"/>
          <w:szCs w:val="21"/>
          <w:lang w:eastAsia="es-MX"/>
        </w:rPr>
        <w:t>1. Los bienes de uso público, es decir aquellos inmuebles de dominio público cuyo uso pertenece a todos los habitantes del territorio nacional, destinados al uso o disfrute colectivo;</w:t>
      </w:r>
    </w:p>
    <w:p w14:paraId="41B84A7D" w14:textId="77777777" w:rsidR="00C24744" w:rsidRPr="00C24744" w:rsidRDefault="00C24744" w:rsidP="00C24744">
      <w:pPr>
        <w:spacing w:after="120" w:line="240" w:lineRule="auto"/>
        <w:ind w:left="851" w:right="851"/>
        <w:jc w:val="both"/>
        <w:rPr>
          <w:rFonts w:ascii="Verdana" w:eastAsia="Arial" w:hAnsi="Verdana" w:cs="Arial"/>
          <w:sz w:val="21"/>
          <w:szCs w:val="21"/>
          <w:lang w:eastAsia="es-MX"/>
        </w:rPr>
      </w:pPr>
      <w:r w:rsidRPr="00C24744">
        <w:rPr>
          <w:rFonts w:ascii="Verdana" w:eastAsia="Arial" w:hAnsi="Verdana" w:cs="Arial"/>
          <w:sz w:val="21"/>
          <w:szCs w:val="21"/>
          <w:lang w:eastAsia="es-MX"/>
        </w:rPr>
        <w:t>2. Los elementos arquitectónicos, espaciales y naturales de los inmuebles de propiedad privada que por su naturaleza, uso o afectación satisfacen necesidades de uso público;</w:t>
      </w:r>
    </w:p>
    <w:p w14:paraId="560E858F" w14:textId="77777777" w:rsidR="00C24744" w:rsidRPr="00C24744" w:rsidRDefault="00C24744" w:rsidP="00C24744">
      <w:pPr>
        <w:spacing w:after="120" w:line="240" w:lineRule="auto"/>
        <w:ind w:left="851" w:right="851"/>
        <w:jc w:val="both"/>
        <w:rPr>
          <w:rFonts w:ascii="Verdana" w:eastAsia="Arial" w:hAnsi="Verdana" w:cs="Arial"/>
          <w:sz w:val="21"/>
          <w:szCs w:val="21"/>
          <w:lang w:eastAsia="es-MX"/>
        </w:rPr>
      </w:pPr>
      <w:r w:rsidRPr="00C24744">
        <w:rPr>
          <w:rFonts w:ascii="Verdana" w:eastAsia="Arial" w:hAnsi="Verdana" w:cs="Arial"/>
          <w:sz w:val="21"/>
          <w:szCs w:val="21"/>
          <w:lang w:eastAsia="es-MX"/>
        </w:rPr>
        <w:t>3. Las áreas requeridas para la conformación del sistema de espacio público en los términos establecidos en el presente decreto”</w:t>
      </w:r>
      <w:r w:rsidRPr="00C24744">
        <w:rPr>
          <w:rFonts w:ascii="Verdana" w:eastAsia="Arial" w:hAnsi="Verdana" w:cs="Arial"/>
          <w:sz w:val="21"/>
          <w:szCs w:val="21"/>
          <w:vertAlign w:val="superscript"/>
          <w:lang w:eastAsia="es-MX"/>
        </w:rPr>
        <w:footnoteReference w:id="7"/>
      </w:r>
      <w:r w:rsidRPr="00C24744">
        <w:rPr>
          <w:rFonts w:ascii="Verdana" w:eastAsia="Arial" w:hAnsi="Verdana" w:cs="Arial"/>
          <w:sz w:val="21"/>
          <w:szCs w:val="21"/>
          <w:lang w:eastAsia="es-MX"/>
        </w:rPr>
        <w:t>.</w:t>
      </w:r>
    </w:p>
    <w:p w14:paraId="0626AB39" w14:textId="77777777" w:rsidR="00C24744" w:rsidRPr="00C24744" w:rsidRDefault="00C24744" w:rsidP="00C24744">
      <w:pPr>
        <w:spacing w:after="0" w:line="276" w:lineRule="auto"/>
        <w:ind w:left="851" w:right="851"/>
        <w:jc w:val="both"/>
        <w:rPr>
          <w:rFonts w:ascii="Verdana" w:eastAsia="Arial" w:hAnsi="Verdana" w:cs="Arial"/>
          <w:sz w:val="21"/>
          <w:szCs w:val="21"/>
          <w:lang w:eastAsia="es-MX"/>
        </w:rPr>
      </w:pPr>
    </w:p>
    <w:p w14:paraId="14836F3E" w14:textId="77777777" w:rsidR="00C24744" w:rsidRPr="00C24744" w:rsidRDefault="00C24744" w:rsidP="00C24744">
      <w:pPr>
        <w:spacing w:after="0" w:line="276" w:lineRule="auto"/>
        <w:ind w:firstLine="708"/>
        <w:jc w:val="both"/>
        <w:rPr>
          <w:rFonts w:ascii="Verdana" w:eastAsia="Arial" w:hAnsi="Verdana" w:cs="Arial"/>
          <w:lang w:eastAsia="es-MX"/>
        </w:rPr>
      </w:pPr>
      <w:r w:rsidRPr="00C24744">
        <w:rPr>
          <w:rFonts w:ascii="Verdana" w:eastAsia="Arial" w:hAnsi="Verdana" w:cs="Arial"/>
          <w:lang w:eastAsia="es-MX"/>
        </w:rPr>
        <w:t>Adicionalmente, el artículo 2.2.3.1.5 del mismo decreto distingue entre elementos constitutivos –naturales y artificiales o construidos– y elementos complementarios del espacio público</w:t>
      </w:r>
      <w:r w:rsidRPr="00C24744">
        <w:rPr>
          <w:rFonts w:ascii="Verdana" w:eastAsia="Arial" w:hAnsi="Verdana" w:cs="Arial"/>
          <w:vertAlign w:val="superscript"/>
          <w:lang w:eastAsia="es-MX"/>
        </w:rPr>
        <w:footnoteReference w:id="8"/>
      </w:r>
      <w:r w:rsidRPr="00C24744">
        <w:rPr>
          <w:rFonts w:ascii="Verdana" w:eastAsia="Arial" w:hAnsi="Verdana" w:cs="Arial"/>
          <w:lang w:eastAsia="es-MX"/>
        </w:rPr>
        <w:t>. Dentro de los elementos constitutivos artificiales o construidos, la norma diferencia, por un lado, las “(á)reas integrantes de los perfiles viales peatonal y vehicular” –numeral 1.2.1– y, por otro, las áreas del numeral 1.2.2, que dispone:</w:t>
      </w:r>
    </w:p>
    <w:p w14:paraId="114F6695" w14:textId="77777777" w:rsidR="00C24744" w:rsidRPr="00C24744" w:rsidRDefault="00C24744" w:rsidP="00C24744">
      <w:pPr>
        <w:spacing w:after="0" w:line="276" w:lineRule="auto"/>
        <w:ind w:firstLine="708"/>
        <w:jc w:val="both"/>
        <w:rPr>
          <w:rFonts w:ascii="Verdana" w:eastAsia="Arial" w:hAnsi="Verdana" w:cs="Arial"/>
          <w:lang w:eastAsia="es-MX"/>
        </w:rPr>
      </w:pPr>
    </w:p>
    <w:p w14:paraId="2E1F196D" w14:textId="77777777" w:rsidR="00C24744" w:rsidRPr="00C24744" w:rsidRDefault="00C24744" w:rsidP="00C24744">
      <w:pPr>
        <w:spacing w:after="0" w:line="240" w:lineRule="auto"/>
        <w:ind w:left="709" w:right="709"/>
        <w:jc w:val="both"/>
        <w:rPr>
          <w:rFonts w:ascii="Verdana" w:eastAsia="Arial" w:hAnsi="Verdana" w:cs="Arial"/>
          <w:sz w:val="21"/>
          <w:szCs w:val="21"/>
          <w:lang w:eastAsia="es-MX"/>
        </w:rPr>
      </w:pPr>
      <w:r w:rsidRPr="00C24744">
        <w:rPr>
          <w:rFonts w:ascii="Verdana" w:eastAsia="Arial" w:hAnsi="Verdana" w:cs="Arial"/>
          <w:sz w:val="21"/>
          <w:szCs w:val="21"/>
          <w:lang w:eastAsia="es-MX"/>
        </w:rPr>
        <w:t>“1.2.2. Áreas articuladoras de espacio público y de encuentro, tales como: parques urbanos, zonas de cesión gratuita al municipio o distrito, plazas, plazoletas, escenarios deportivos, escenarios culturales y de espectáculos al aire libre”.</w:t>
      </w:r>
    </w:p>
    <w:p w14:paraId="7A1F4662" w14:textId="77777777" w:rsidR="00C24744" w:rsidRPr="00C24744" w:rsidRDefault="00C24744" w:rsidP="00C24744">
      <w:pPr>
        <w:spacing w:after="0" w:line="240" w:lineRule="auto"/>
        <w:ind w:left="709" w:right="709"/>
        <w:jc w:val="both"/>
        <w:rPr>
          <w:rFonts w:ascii="Verdana" w:eastAsia="Arial" w:hAnsi="Verdana" w:cs="Arial"/>
          <w:sz w:val="21"/>
          <w:szCs w:val="21"/>
          <w:lang w:eastAsia="es-MX"/>
        </w:rPr>
      </w:pPr>
    </w:p>
    <w:p w14:paraId="1CDC0B00" w14:textId="77777777" w:rsidR="00C24744" w:rsidRPr="00C24744" w:rsidRDefault="00C24744" w:rsidP="00C24744">
      <w:pPr>
        <w:spacing w:after="120" w:line="276" w:lineRule="auto"/>
        <w:ind w:firstLine="708"/>
        <w:jc w:val="both"/>
        <w:rPr>
          <w:rFonts w:ascii="Verdana" w:eastAsia="Arial" w:hAnsi="Verdana" w:cs="Arial"/>
          <w:lang w:eastAsia="es-MX"/>
        </w:rPr>
      </w:pPr>
      <w:r w:rsidRPr="00C24744">
        <w:rPr>
          <w:rFonts w:ascii="Verdana" w:eastAsia="Arial" w:hAnsi="Verdana" w:cs="Arial"/>
          <w:lang w:eastAsia="es-MX"/>
        </w:rPr>
        <w:t>Entre los elementos complementarios, por su parte, se encuentran el mobiliario urbano y la señalización. Esta distinción entre las áreas de circulación y las áreas articuladoras y de encuentro resulta relevante para la consulta, pues, como se verá, es la que explica el alcance de la Nota 1 de la actividad 2.2 y permite ubicar a los escenarios deportivos y culturales de uso público dentro del espacio público al que se refiere dicha actividad.</w:t>
      </w:r>
    </w:p>
    <w:p w14:paraId="409EB9F8" w14:textId="77777777" w:rsidR="00C24744" w:rsidRPr="00C24744" w:rsidRDefault="00C24744" w:rsidP="00C24744">
      <w:pPr>
        <w:spacing w:after="120" w:line="276" w:lineRule="auto"/>
        <w:ind w:firstLine="708"/>
        <w:jc w:val="both"/>
        <w:rPr>
          <w:rFonts w:ascii="Verdana" w:eastAsia="Arial" w:hAnsi="Verdana" w:cs="Arial"/>
          <w:lang w:eastAsia="es-MX"/>
        </w:rPr>
      </w:pPr>
      <w:r w:rsidRPr="00C24744">
        <w:rPr>
          <w:rFonts w:ascii="Verdana" w:eastAsia="Arial" w:hAnsi="Verdana" w:cs="Arial"/>
          <w:lang w:eastAsia="es-MX"/>
        </w:rPr>
        <w:t xml:space="preserve">Conforme con lo anterior, del análisis sistemático de estas disposiciones, se desprende que la noción de espacio público se integra por los siguientes tres (3) elementos: i) un elemento material u objetivo, consistente en la existencia </w:t>
      </w:r>
      <w:r w:rsidRPr="00C24744">
        <w:rPr>
          <w:rFonts w:ascii="Verdana" w:eastAsia="Arial" w:hAnsi="Verdana" w:cs="Arial"/>
          <w:lang w:eastAsia="es-MX"/>
        </w:rPr>
        <w:lastRenderedPageBreak/>
        <w:t xml:space="preserve">de inmuebles públicos, o de elementos arquitectónicos, espaciales y naturales de inmuebles privados; </w:t>
      </w:r>
      <w:proofErr w:type="spellStart"/>
      <w:r w:rsidRPr="00C24744">
        <w:rPr>
          <w:rFonts w:ascii="Verdana" w:eastAsia="Arial" w:hAnsi="Verdana" w:cs="Arial"/>
          <w:lang w:eastAsia="es-MX"/>
        </w:rPr>
        <w:t>ii</w:t>
      </w:r>
      <w:proofErr w:type="spellEnd"/>
      <w:r w:rsidRPr="00C24744">
        <w:rPr>
          <w:rFonts w:ascii="Verdana" w:eastAsia="Arial" w:hAnsi="Verdana" w:cs="Arial"/>
          <w:lang w:eastAsia="es-MX"/>
        </w:rPr>
        <w:t xml:space="preserve">) un elemento de destinación, según el cual tales bienes deben estar destinados al uso colectivo por su naturaleza, por su uso o por su afectación; y </w:t>
      </w:r>
      <w:proofErr w:type="spellStart"/>
      <w:r w:rsidRPr="00C24744">
        <w:rPr>
          <w:rFonts w:ascii="Verdana" w:eastAsia="Arial" w:hAnsi="Verdana" w:cs="Arial"/>
          <w:lang w:eastAsia="es-MX"/>
        </w:rPr>
        <w:t>iii</w:t>
      </w:r>
      <w:proofErr w:type="spellEnd"/>
      <w:r w:rsidRPr="00C24744">
        <w:rPr>
          <w:rFonts w:ascii="Verdana" w:eastAsia="Arial" w:hAnsi="Verdana" w:cs="Arial"/>
          <w:lang w:eastAsia="es-MX"/>
        </w:rPr>
        <w:t>) un elemento teleológico, conforme al cual esa destinación debe orientarse a la satisfacción de necesidades colectivas que trascienden los límites de los intereses individuales de los habitantes. Estos elementos son los que al Criterio de la Subdirección de Gestión Contractual la entidad que adelanta el proceso de selección con los documentos tipo de cultura, recreación y deporte debe constatar para determinar si un bien intervenido constituye o no espacio público.</w:t>
      </w:r>
    </w:p>
    <w:p w14:paraId="24513710" w14:textId="77777777" w:rsidR="00C24744" w:rsidRPr="00C24744" w:rsidRDefault="00C24744" w:rsidP="00C24744">
      <w:pPr>
        <w:spacing w:after="120" w:line="276" w:lineRule="auto"/>
        <w:ind w:firstLine="708"/>
        <w:jc w:val="both"/>
        <w:rPr>
          <w:rFonts w:ascii="Verdana" w:eastAsia="Arial" w:hAnsi="Verdana" w:cs="Arial"/>
          <w:lang w:eastAsia="es-MX"/>
        </w:rPr>
      </w:pPr>
      <w:r w:rsidRPr="00C24744">
        <w:rPr>
          <w:rFonts w:ascii="Verdana" w:eastAsia="Arial" w:hAnsi="Verdana" w:cs="Arial"/>
          <w:lang w:eastAsia="es-MX"/>
        </w:rPr>
        <w:t>En este sentido, el elemento determinante no es la titularidad pública del inmueble, sino su destinación al uso y disfrute colectivo. Así lo confirma el artículo 674 del Código Civil, que distingue entre los bienes de uso público, cuyo “uso pertenece a todos los habitantes de un territorio, como el de calles, plazas, puentes y caminos”, y los bienes fiscales, que son aquellos bienes del Estado “cuyo uso no pertenece generalmente a los habitantes”</w:t>
      </w:r>
      <w:r w:rsidRPr="00C24744">
        <w:rPr>
          <w:rFonts w:ascii="Verdana" w:eastAsia="Arial" w:hAnsi="Verdana" w:cs="Arial"/>
          <w:vertAlign w:val="superscript"/>
          <w:lang w:eastAsia="es-MX"/>
        </w:rPr>
        <w:footnoteReference w:id="9"/>
      </w:r>
      <w:r w:rsidRPr="00C24744">
        <w:rPr>
          <w:rFonts w:ascii="Verdana" w:eastAsia="Arial" w:hAnsi="Verdana" w:cs="Arial"/>
          <w:lang w:eastAsia="es-MX"/>
        </w:rPr>
        <w:t>. Por ello, un bien de propiedad estatal puede no ser espacio público cuando está afecto a un servicio público específico y su acceso está restringido, como ocurre con los bienes fiscales o con las edificaciones de equipamiento colectivo destinadas a una función institucional. Correlativamente, el espacio público no se limita a los bienes de dominio público, pues el numeral 2 del artículo 2.2.3.1.3 del Decreto 1077 de 2015 incorpora incluso elementos de inmuebles privados cuando, por su naturaleza, uso o afectación, satisfacen necesidades de uso público.</w:t>
      </w:r>
    </w:p>
    <w:p w14:paraId="5ABA1DBA" w14:textId="77777777" w:rsidR="00C24744" w:rsidRPr="00C24744" w:rsidRDefault="00C24744" w:rsidP="00C24744">
      <w:pPr>
        <w:spacing w:after="120" w:line="276" w:lineRule="auto"/>
        <w:ind w:firstLine="708"/>
        <w:jc w:val="both"/>
        <w:rPr>
          <w:rFonts w:ascii="Verdana" w:eastAsia="Arial" w:hAnsi="Verdana" w:cs="Arial"/>
          <w:lang w:eastAsia="es-MX"/>
        </w:rPr>
      </w:pPr>
      <w:r w:rsidRPr="00C24744">
        <w:rPr>
          <w:rFonts w:ascii="Verdana" w:eastAsia="Arial" w:hAnsi="Verdana" w:cs="Arial"/>
          <w:lang w:eastAsia="es-MX"/>
        </w:rPr>
        <w:t>Debe resaltarse, además, que tanto el glosario como el artículo 2.2.3.1.3 del Decreto 1077 de 2015 utilizan la expresión “entre otros” al enunciar los componentes del espacio público, y el artículo 2.2.3.1.5 emplea la expresión “tales como” al enunciar las áreas articuladoras. Se trata, por tanto, de enumeraciones enunciativas y no taxativas, lo que confirma que la calificación de un bien como espacio público depende de la verificación de los elementos de la definición, y no de su coincidencia literal con alguno de los ejemplos que las normas mencionan.</w:t>
      </w:r>
    </w:p>
    <w:p w14:paraId="31135C43" w14:textId="77777777" w:rsidR="00C24744" w:rsidRPr="00C24744" w:rsidRDefault="00C24744" w:rsidP="00C24744">
      <w:pPr>
        <w:spacing w:after="0" w:line="276" w:lineRule="auto"/>
        <w:ind w:firstLine="708"/>
        <w:jc w:val="both"/>
        <w:rPr>
          <w:rFonts w:ascii="Verdana" w:eastAsia="Arial" w:hAnsi="Verdana" w:cs="Arial"/>
          <w:lang w:eastAsia="es-MX"/>
        </w:rPr>
      </w:pPr>
      <w:r w:rsidRPr="00C24744">
        <w:rPr>
          <w:rFonts w:ascii="Verdana" w:eastAsia="Arial" w:hAnsi="Verdana" w:cs="Arial"/>
          <w:lang w:eastAsia="es-MX"/>
        </w:rPr>
        <w:t xml:space="preserve">En el mismo sentido, esta Agencia en el concepto C-469 de 2026, al analizar precisamente la actividad 2.2 de la Matriz 1 – Experiencia del sector </w:t>
      </w:r>
      <w:r w:rsidRPr="00C24744">
        <w:rPr>
          <w:rFonts w:ascii="Verdana" w:eastAsia="Arial" w:hAnsi="Verdana" w:cs="Arial"/>
          <w:lang w:eastAsia="es-MX"/>
        </w:rPr>
        <w:lastRenderedPageBreak/>
        <w:t>cultura, recreación y deporte, precisó que en ella “se hace referencia al “espacio público” cuya finalidad principal es la permanencia y el disfrute, es decir, aquel relacionado con parques, plazas, plazoletas, alamedas, malecones y zonas verdes urbanas, entre otros”</w:t>
      </w:r>
      <w:r w:rsidRPr="00C24744">
        <w:rPr>
          <w:rFonts w:ascii="Verdana" w:eastAsia="Arial" w:hAnsi="Verdana" w:cs="Arial"/>
          <w:vertAlign w:val="superscript"/>
          <w:lang w:eastAsia="es-MX"/>
        </w:rPr>
        <w:t xml:space="preserve"> </w:t>
      </w:r>
      <w:r w:rsidRPr="00C24744">
        <w:rPr>
          <w:rFonts w:ascii="Verdana" w:eastAsia="Arial" w:hAnsi="Verdana" w:cs="Arial"/>
          <w:vertAlign w:val="superscript"/>
          <w:lang w:eastAsia="es-MX"/>
        </w:rPr>
        <w:footnoteReference w:id="10"/>
      </w:r>
      <w:r w:rsidRPr="00C24744">
        <w:rPr>
          <w:rFonts w:ascii="Verdana" w:eastAsia="Arial" w:hAnsi="Verdana" w:cs="Arial"/>
          <w:lang w:eastAsia="es-MX"/>
        </w:rPr>
        <w:t>. En el mismo pronunciamiento, la Agencia señaló que la diferencia entre el espacio público excluido por la Nota 1 y el espacio público de la actividad 2.2 “no obedece a una divergencia conceptual del “espacio público” –el cual, conforme al Decreto 1077 de 2015, mantiene una definición unitaria e integral–, sino a una distinción funcional dentro de la estructura urbana”, y agregó:</w:t>
      </w:r>
    </w:p>
    <w:p w14:paraId="4EC73B33" w14:textId="77777777" w:rsidR="00C24744" w:rsidRPr="00C24744" w:rsidRDefault="00C24744" w:rsidP="00C24744">
      <w:pPr>
        <w:spacing w:after="0" w:line="276" w:lineRule="auto"/>
        <w:ind w:firstLine="708"/>
        <w:jc w:val="both"/>
        <w:rPr>
          <w:rFonts w:ascii="Verdana" w:eastAsia="Arial" w:hAnsi="Verdana" w:cs="Arial"/>
          <w:lang w:eastAsia="es-MX"/>
        </w:rPr>
      </w:pPr>
    </w:p>
    <w:p w14:paraId="4C36EA98" w14:textId="77777777" w:rsidR="00C24744" w:rsidRPr="00C24744" w:rsidRDefault="00C24744" w:rsidP="00C24744">
      <w:pPr>
        <w:spacing w:after="0" w:line="240" w:lineRule="auto"/>
        <w:ind w:left="709" w:right="709"/>
        <w:jc w:val="both"/>
        <w:rPr>
          <w:rFonts w:ascii="Verdana" w:eastAsia="Arial" w:hAnsi="Verdana" w:cs="Arial"/>
          <w:sz w:val="21"/>
          <w:szCs w:val="21"/>
          <w:lang w:eastAsia="es-MX"/>
        </w:rPr>
      </w:pPr>
      <w:r w:rsidRPr="00C24744">
        <w:rPr>
          <w:rFonts w:ascii="Verdana" w:eastAsia="Arial" w:hAnsi="Verdana" w:cs="Arial"/>
          <w:sz w:val="21"/>
          <w:szCs w:val="21"/>
          <w:lang w:eastAsia="es-MX"/>
        </w:rPr>
        <w:t>“Por su parte, el “espacio público” al que se refiere la actividad 2.2. se enmarca en una lógica urbana distinta, centrada en la permanencia, el encuentro y el disfrute colectivo, como ocurre en espacio tales como parques, plazas, plazoletas y demás áreas articuladoras. Ahora bien, aunque estos también forman parte de los elementos constitutivos del espacio público definidos normativamente, su finalidad está asociada a la calidad de vida, la integración social y el uso recreativo y cultural en el territorio”.</w:t>
      </w:r>
    </w:p>
    <w:p w14:paraId="71D2A59A" w14:textId="77777777" w:rsidR="00C24744" w:rsidRPr="00C24744" w:rsidRDefault="00C24744" w:rsidP="00C24744">
      <w:pPr>
        <w:spacing w:after="0" w:line="276" w:lineRule="auto"/>
        <w:ind w:left="709" w:right="709"/>
        <w:jc w:val="both"/>
        <w:rPr>
          <w:rFonts w:ascii="Verdana" w:eastAsia="Arial" w:hAnsi="Verdana" w:cs="Arial"/>
          <w:lang w:eastAsia="es-MX"/>
        </w:rPr>
      </w:pPr>
    </w:p>
    <w:p w14:paraId="392803BA" w14:textId="77777777" w:rsidR="00C24744" w:rsidRPr="00C24744" w:rsidRDefault="00C24744" w:rsidP="00C24744">
      <w:pPr>
        <w:spacing w:after="120" w:line="276" w:lineRule="auto"/>
        <w:ind w:firstLine="708"/>
        <w:jc w:val="both"/>
        <w:rPr>
          <w:rFonts w:ascii="Verdana" w:eastAsia="Arial" w:hAnsi="Verdana" w:cs="Arial"/>
          <w:lang w:eastAsia="es-MX"/>
        </w:rPr>
      </w:pPr>
      <w:r w:rsidRPr="00C24744">
        <w:rPr>
          <w:rFonts w:ascii="Verdana" w:eastAsia="Arial" w:hAnsi="Verdana" w:cs="Arial"/>
          <w:lang w:eastAsia="es-MX"/>
        </w:rPr>
        <w:t>De este pronunciamiento se desprenden dos criterios de especial relevancia para la presente consulta. El primero, que la enumeración de bienes contenida en el concepto es enunciativa, pues la Agencia empleó la expresión “entre otros” y se refirió a las “demás áreas articuladoras”, lo que remite directamente al numeral 1.2.2 del artículo 2.2.3.1.5 del Decreto 1077 de 2015, en el que se encuentran los “escenarios deportivos, escenarios culturales y de espectáculos al aire libre”. El segundo, que el espacio público de la actividad 2.2 se identifica por su función –la permanencia, el encuentro y el disfrute colectivo– y por su finalidad –“la calidad de vida, la integración social y el uso recreativo y cultural en el territorio”–, y no por la denominación del bien intervenido.</w:t>
      </w:r>
    </w:p>
    <w:p w14:paraId="4F23B6EF" w14:textId="77777777" w:rsidR="00C24744" w:rsidRPr="00C24744" w:rsidRDefault="00C24744" w:rsidP="00C24744">
      <w:pPr>
        <w:spacing w:after="0" w:line="276" w:lineRule="auto"/>
        <w:ind w:firstLine="708"/>
        <w:jc w:val="both"/>
        <w:rPr>
          <w:rFonts w:ascii="Verdana" w:eastAsia="Arial" w:hAnsi="Verdana" w:cs="Arial"/>
          <w:lang w:eastAsia="es-MX"/>
        </w:rPr>
      </w:pPr>
      <w:r w:rsidRPr="00C24744">
        <w:rPr>
          <w:rFonts w:ascii="Verdana" w:eastAsia="Arial" w:hAnsi="Verdana" w:cs="Arial"/>
          <w:lang w:eastAsia="es-MX"/>
        </w:rPr>
        <w:t>Por su parte, en el concepto C-692 de 2026</w:t>
      </w:r>
      <w:r w:rsidRPr="00C24744">
        <w:rPr>
          <w:rFonts w:ascii="Verdana" w:eastAsia="Arial" w:hAnsi="Verdana" w:cs="Arial"/>
          <w:vertAlign w:val="superscript"/>
          <w:lang w:eastAsia="es-MX"/>
        </w:rPr>
        <w:footnoteReference w:id="11"/>
      </w:r>
      <w:r w:rsidRPr="00C24744">
        <w:rPr>
          <w:rFonts w:ascii="Verdana" w:eastAsia="Arial" w:hAnsi="Verdana" w:cs="Arial"/>
          <w:lang w:eastAsia="es-MX"/>
        </w:rPr>
        <w:t xml:space="preserve">, esta Agencia, al analizar la experiencia en parques y espacio público de la Matriz – Experiencia del sector </w:t>
      </w:r>
      <w:r w:rsidRPr="00C24744">
        <w:rPr>
          <w:rFonts w:ascii="Verdana" w:eastAsia="Arial" w:hAnsi="Verdana" w:cs="Arial"/>
          <w:lang w:eastAsia="es-MX"/>
        </w:rPr>
        <w:lastRenderedPageBreak/>
        <w:t>cultura, recreación y deporte, señaló, a partir de la definición de espacio público del glosario, que “las obras de espacio público pueden recaer sobre una amplia variedad de elementos destinados al uso y disfrute colectivo”. Así mismo, al referirse a la noción de parque, precisó:</w:t>
      </w:r>
    </w:p>
    <w:p w14:paraId="282DC9CA" w14:textId="77777777" w:rsidR="00C24744" w:rsidRPr="00C24744" w:rsidRDefault="00C24744" w:rsidP="00C24744">
      <w:pPr>
        <w:spacing w:after="0" w:line="276" w:lineRule="auto"/>
        <w:ind w:firstLine="708"/>
        <w:jc w:val="both"/>
        <w:rPr>
          <w:rFonts w:ascii="Verdana" w:eastAsia="Arial" w:hAnsi="Verdana" w:cs="Arial"/>
          <w:lang w:eastAsia="es-MX"/>
        </w:rPr>
      </w:pPr>
    </w:p>
    <w:p w14:paraId="7FA3117C" w14:textId="77777777" w:rsidR="00C24744" w:rsidRPr="00C24744" w:rsidRDefault="00C24744" w:rsidP="00C24744">
      <w:pPr>
        <w:spacing w:after="0" w:line="240" w:lineRule="auto"/>
        <w:ind w:left="851" w:right="851"/>
        <w:jc w:val="both"/>
        <w:rPr>
          <w:rFonts w:ascii="Verdana" w:eastAsia="Arial" w:hAnsi="Verdana" w:cs="Arial"/>
          <w:sz w:val="21"/>
          <w:szCs w:val="21"/>
          <w:lang w:eastAsia="es-MX"/>
        </w:rPr>
      </w:pPr>
      <w:r w:rsidRPr="00C24744">
        <w:rPr>
          <w:rFonts w:ascii="Verdana" w:eastAsia="Arial" w:hAnsi="Verdana" w:cs="Arial"/>
          <w:sz w:val="21"/>
          <w:szCs w:val="21"/>
          <w:lang w:eastAsia="es-MX"/>
        </w:rPr>
        <w:t>“(…) es importante precisar que la sola denominación de “parque” no resulta suficiente para efectos de determinar la aplicación del literal L del numeral 3.5.1, en la medida en que pueden existir proyectos identificados como parques que incorporen infraestructuras de naturaleza edificada o con características propias de una edificación vertical, como ocurre, por ejemplo, en el Centro Felicidad CEFE de la localidad de Chapinero Bogotá. En ese sentido, lo determinante no es la denominación del proyecto como parque, sino su naturaleza constructiva y funcional (…)”.</w:t>
      </w:r>
    </w:p>
    <w:p w14:paraId="2DE2D0B6" w14:textId="77777777" w:rsidR="00C24744" w:rsidRPr="00C24744" w:rsidRDefault="00C24744" w:rsidP="00C24744">
      <w:pPr>
        <w:spacing w:after="0" w:line="276" w:lineRule="auto"/>
        <w:ind w:left="851" w:right="851"/>
        <w:jc w:val="both"/>
        <w:rPr>
          <w:rFonts w:ascii="Verdana" w:eastAsia="Arial" w:hAnsi="Verdana" w:cs="Arial"/>
          <w:lang w:eastAsia="es-MX"/>
        </w:rPr>
      </w:pPr>
    </w:p>
    <w:p w14:paraId="716DA9F6" w14:textId="77777777" w:rsidR="00C24744" w:rsidRPr="00C24744" w:rsidRDefault="00C24744" w:rsidP="00C24744">
      <w:pPr>
        <w:spacing w:after="120" w:line="276" w:lineRule="auto"/>
        <w:ind w:firstLine="708"/>
        <w:jc w:val="both"/>
        <w:rPr>
          <w:rFonts w:ascii="Verdana" w:eastAsia="Arial" w:hAnsi="Verdana" w:cs="Arial"/>
          <w:lang w:eastAsia="es-MX"/>
        </w:rPr>
      </w:pPr>
      <w:r w:rsidRPr="00C24744">
        <w:rPr>
          <w:rFonts w:ascii="Verdana" w:eastAsia="Arial" w:hAnsi="Verdana" w:cs="Arial"/>
          <w:lang w:eastAsia="es-MX"/>
        </w:rPr>
        <w:t xml:space="preserve">Si bien el concepto C-692 de 2026 se profirió con fundamento en la versión 1 de los documentos tipo de infraestructura social, el criterio que allí se fija resulta plenamente aplicable a la versión 2, pues las definiciones de espacio público y de parque se mantienen en términos sustancialmente idénticos en el Anexo 5 – Glosario vigente. De este pronunciamiento se extraen dos reglas de interpretación: i) la experiencia en espacio público comprende una amplia variedad de elementos, siempre que estén destinados al uso y disfrute colectivo; y </w:t>
      </w:r>
      <w:proofErr w:type="spellStart"/>
      <w:r w:rsidRPr="00C24744">
        <w:rPr>
          <w:rFonts w:ascii="Verdana" w:eastAsia="Arial" w:hAnsi="Verdana" w:cs="Arial"/>
          <w:lang w:eastAsia="es-MX"/>
        </w:rPr>
        <w:t>ii</w:t>
      </w:r>
      <w:proofErr w:type="spellEnd"/>
      <w:r w:rsidRPr="00C24744">
        <w:rPr>
          <w:rFonts w:ascii="Verdana" w:eastAsia="Arial" w:hAnsi="Verdana" w:cs="Arial"/>
          <w:lang w:eastAsia="es-MX"/>
        </w:rPr>
        <w:t>) para calificar un proyecto como parque o como espacio público, lo determinante no es su denominación, sino su naturaleza constructiva y funcional, de manera que un proyecto puede constituir parque o espacio público aun cuando incorpore infraestructuras de naturaleza edificada. Ambas reglas confirman que la verificación que corresponde a la entidad es de carácter material y funcional.</w:t>
      </w:r>
    </w:p>
    <w:p w14:paraId="171E2606" w14:textId="77777777" w:rsidR="00C24744" w:rsidRPr="00C24744" w:rsidRDefault="00C24744" w:rsidP="00C24744">
      <w:pPr>
        <w:spacing w:after="120" w:line="276" w:lineRule="auto"/>
        <w:ind w:firstLine="708"/>
        <w:jc w:val="both"/>
        <w:rPr>
          <w:rFonts w:ascii="Verdana" w:eastAsia="Arial" w:hAnsi="Verdana" w:cs="Arial"/>
          <w:lang w:eastAsia="es-MX"/>
        </w:rPr>
      </w:pPr>
      <w:r w:rsidRPr="00C24744">
        <w:rPr>
          <w:rFonts w:ascii="Verdana" w:eastAsia="Arial" w:hAnsi="Verdana" w:cs="Arial"/>
          <w:lang w:eastAsia="es-MX"/>
        </w:rPr>
        <w:t>De acuerdo con lo anterior, el espacio público comprende un conjunto amplio de bienes y áreas destinados a satisfacer necesidades colectivas que trascienden los intereses individuales, dentro del cual los escenarios deportivos, culturales y de encuentro de uso público ocupan un lugar expreso como elementos constitutivos artificiales o construidos. Esta conclusión tiene especial relevancia para los documentos tipo del sector cultura, recreación y deporte, cuya Matriz 1 – Experiencia agrupa, precisamente, la infraestructura destinada a la recreación, el deporte y la cultura de la comunidad.</w:t>
      </w:r>
    </w:p>
    <w:p w14:paraId="7AA57DFB" w14:textId="77777777" w:rsidR="00C24744" w:rsidRPr="00C24744" w:rsidRDefault="00C24744" w:rsidP="00C24744">
      <w:pPr>
        <w:spacing w:after="120" w:line="276" w:lineRule="auto"/>
        <w:ind w:firstLine="708"/>
        <w:jc w:val="both"/>
        <w:rPr>
          <w:rFonts w:ascii="Verdana" w:eastAsia="Arial" w:hAnsi="Verdana" w:cs="Arial"/>
          <w:lang w:eastAsia="es-MX"/>
        </w:rPr>
      </w:pPr>
      <w:r w:rsidRPr="00C24744">
        <w:rPr>
          <w:rFonts w:ascii="Verdana" w:eastAsia="Arial" w:hAnsi="Verdana" w:cs="Arial"/>
          <w:lang w:eastAsia="es-MX"/>
        </w:rPr>
        <w:lastRenderedPageBreak/>
        <w:t>Establecido el alcance de la noción de espacio público, y dado que la experiencia de la actividad 2.2 puede acreditarse con proyectos que “correspondan y/o hayan contenido” actividades sobre parques o espacio público, la verificación que corresponde a la entidad no puede agotarse en la lectura del objeto contractual consignado en la certificación o en el contrato aportado. La denominación del objeto es un indicio, pero no el único elemento de juicio: la entidad debe revisar, con los documentos que el pliego de condiciones admite para acreditar la experiencia, el alcance del contrato, las actividades y cantidades de obra ejecutadas y la naturaleza del bien intervenido.</w:t>
      </w:r>
    </w:p>
    <w:p w14:paraId="39DF032A" w14:textId="77777777" w:rsidR="00C24744" w:rsidRPr="00C24744" w:rsidRDefault="00C24744" w:rsidP="00C24744">
      <w:pPr>
        <w:spacing w:after="120" w:line="276" w:lineRule="auto"/>
        <w:ind w:firstLine="708"/>
        <w:jc w:val="both"/>
        <w:rPr>
          <w:rFonts w:ascii="Verdana" w:eastAsia="Arial" w:hAnsi="Verdana" w:cs="Arial"/>
          <w:lang w:eastAsia="es-MX"/>
        </w:rPr>
      </w:pPr>
      <w:r w:rsidRPr="00C24744">
        <w:rPr>
          <w:rFonts w:ascii="Verdana" w:eastAsia="Arial" w:hAnsi="Verdana" w:cs="Arial"/>
          <w:lang w:eastAsia="es-MX"/>
        </w:rPr>
        <w:t>Esta labor de verificación debe realizarse con estricta sujeción al principio de selección objetiva, según el cual “(e)s objetiva la selección en la cual la escogencia se haga al ofrecimiento más favorable a la entidad y a los fines que ella busca, sin tener en consideración factores de afecto o de interés y, en general, cualquier clase de motivación subjetiva”</w:t>
      </w:r>
      <w:r w:rsidRPr="00C24744">
        <w:rPr>
          <w:rFonts w:ascii="Verdana" w:eastAsia="Arial" w:hAnsi="Verdana" w:cs="Arial"/>
          <w:vertAlign w:val="superscript"/>
          <w:lang w:eastAsia="es-MX"/>
        </w:rPr>
        <w:footnoteReference w:id="12"/>
      </w:r>
      <w:r w:rsidRPr="00C24744">
        <w:rPr>
          <w:rFonts w:ascii="Verdana" w:eastAsia="Arial" w:hAnsi="Verdana" w:cs="Arial"/>
          <w:lang w:eastAsia="es-MX"/>
        </w:rPr>
        <w:t>. En el mismo sentido, el artículo 2.2.1.1.2.2.3 del Decreto 1082 de 2015 prevé que el comité evaluador “debe realizar su labor de manera objetiva, ciñéndose exclusivamente a las reglas contenidas en los pliegos de condiciones”</w:t>
      </w:r>
      <w:r w:rsidRPr="00C24744">
        <w:rPr>
          <w:rFonts w:ascii="Verdana" w:eastAsia="Arial" w:hAnsi="Verdana" w:cs="Arial"/>
          <w:vertAlign w:val="superscript"/>
          <w:lang w:eastAsia="es-MX"/>
        </w:rPr>
        <w:footnoteReference w:id="13"/>
      </w:r>
      <w:r w:rsidRPr="00C24744">
        <w:rPr>
          <w:rFonts w:ascii="Verdana" w:eastAsia="Arial" w:hAnsi="Verdana" w:cs="Arial"/>
          <w:lang w:eastAsia="es-MX"/>
        </w:rPr>
        <w:t xml:space="preserve">. Por ello, la calificación de un bien como espacio público no puede obedecer a apreciaciones subjetivas del evaluador, sino a la constatación de los elementos de la definición normativa con base en los documentos soporte. Cuando los documentos aportados no permitan establecer con claridad la naturaleza del bien intervenido o las actividades ejecutadas, la entidad debe solicitar las aclaraciones correspondientes. </w:t>
      </w:r>
    </w:p>
    <w:p w14:paraId="3B893B33" w14:textId="77777777" w:rsidR="00C24744" w:rsidRPr="00C24744" w:rsidRDefault="00C24744" w:rsidP="00C24744">
      <w:pPr>
        <w:spacing w:after="0" w:line="276" w:lineRule="auto"/>
        <w:ind w:firstLine="708"/>
        <w:jc w:val="both"/>
        <w:rPr>
          <w:rFonts w:ascii="Verdana" w:eastAsia="Arial" w:hAnsi="Verdana" w:cs="Arial"/>
          <w:lang w:eastAsia="es-MX"/>
        </w:rPr>
      </w:pPr>
      <w:r w:rsidRPr="00C24744">
        <w:rPr>
          <w:rFonts w:ascii="Verdana" w:eastAsia="Arial" w:hAnsi="Verdana" w:cs="Arial"/>
          <w:lang w:eastAsia="es-MX"/>
        </w:rPr>
        <w:t xml:space="preserve">Con fundamento en lo expuesto, y en relación con la primera experiencia objeto de consulta, se advierte que los Centros de Integración Ciudadana – CIC corresponden a una tipología de proyecto promovida por el Ministerio del Interior, con cargo al Fondo Nacional de Seguridad y Convivencia Ciudadana – FONSECON, cuyo propósito es la ocupación física del territorio mediante escenarios destinados a la convivencia, la cultura ciudadana, la recreación, el deporte y la cultura. Desde su concepción, el programa se definió como un modelo de intervención territorial mediante un “escenario de articulación e </w:t>
      </w:r>
      <w:r w:rsidRPr="00C24744">
        <w:rPr>
          <w:rFonts w:ascii="Verdana" w:eastAsia="Arial" w:hAnsi="Verdana" w:cs="Arial"/>
          <w:lang w:eastAsia="es-MX"/>
        </w:rPr>
        <w:lastRenderedPageBreak/>
        <w:t>integración social de actores locales”</w:t>
      </w:r>
      <w:r w:rsidRPr="00C24744">
        <w:rPr>
          <w:rFonts w:ascii="Verdana" w:eastAsia="Arial" w:hAnsi="Verdana" w:cs="Arial"/>
          <w:vertAlign w:val="superscript"/>
          <w:lang w:eastAsia="es-MX"/>
        </w:rPr>
        <w:footnoteReference w:id="14"/>
      </w:r>
      <w:r w:rsidRPr="00C24744">
        <w:rPr>
          <w:rFonts w:ascii="Verdana" w:eastAsia="Arial" w:hAnsi="Verdana" w:cs="Arial"/>
          <w:lang w:eastAsia="es-MX"/>
        </w:rPr>
        <w:t>, lo que pone de presente que la destinación de estos escenarios es la satisfacción de necesidades colectivas de la comunidad, y no la prestación de un servicio institucional de acceso restringido. Esta destinación no es una apreciación de esta Agencia, sino que se encuentra expresamente reconocida por los propios documentos tipo, pues el numeral 3.16 del Anexo 5 – Glosario define los Centros de Integración Ciudadana en los siguientes términos:</w:t>
      </w:r>
    </w:p>
    <w:p w14:paraId="1AB0DE4F" w14:textId="77777777" w:rsidR="00C24744" w:rsidRPr="00C24744" w:rsidRDefault="00C24744" w:rsidP="00C24744">
      <w:pPr>
        <w:spacing w:after="0" w:line="276" w:lineRule="auto"/>
        <w:ind w:firstLine="708"/>
        <w:jc w:val="both"/>
        <w:rPr>
          <w:rFonts w:ascii="Verdana" w:eastAsia="Arial" w:hAnsi="Verdana" w:cs="Arial"/>
          <w:lang w:eastAsia="es-MX"/>
        </w:rPr>
      </w:pPr>
    </w:p>
    <w:p w14:paraId="0E4D3AD1" w14:textId="77777777" w:rsidR="00C24744" w:rsidRPr="00C24744" w:rsidRDefault="00C24744" w:rsidP="00C24744">
      <w:pPr>
        <w:spacing w:after="0" w:line="240" w:lineRule="auto"/>
        <w:ind w:left="709" w:right="709"/>
        <w:jc w:val="both"/>
        <w:rPr>
          <w:rFonts w:ascii="Verdana" w:eastAsia="Arial" w:hAnsi="Verdana" w:cs="Arial"/>
          <w:sz w:val="21"/>
          <w:szCs w:val="21"/>
          <w:lang w:eastAsia="es-MX"/>
        </w:rPr>
      </w:pPr>
      <w:r w:rsidRPr="00C24744">
        <w:rPr>
          <w:rFonts w:ascii="Verdana" w:eastAsia="Arial" w:hAnsi="Verdana" w:cs="Arial"/>
          <w:sz w:val="21"/>
          <w:szCs w:val="21"/>
          <w:lang w:eastAsia="es-MX"/>
        </w:rPr>
        <w:t>“3.16. Centros de integración ciudadana: Escenarios de uso público y gratuito destinados no solo a la práctica del deporte, recreación y actividad física, si no también, todas las expresiones artísticas y culturales para el sano esparcimiento de la comunidad.”</w:t>
      </w:r>
    </w:p>
    <w:p w14:paraId="43D62DA8" w14:textId="77777777" w:rsidR="00C24744" w:rsidRPr="00C24744" w:rsidRDefault="00C24744" w:rsidP="00C24744">
      <w:pPr>
        <w:spacing w:after="0" w:line="276" w:lineRule="auto"/>
        <w:ind w:left="851" w:right="851"/>
        <w:jc w:val="both"/>
        <w:rPr>
          <w:rFonts w:ascii="Verdana" w:eastAsia="Arial" w:hAnsi="Verdana" w:cs="Arial"/>
          <w:lang w:eastAsia="es-MX"/>
        </w:rPr>
      </w:pPr>
    </w:p>
    <w:p w14:paraId="0AA255AF" w14:textId="77777777" w:rsidR="00C24744" w:rsidRPr="00C24744" w:rsidRDefault="00C24744" w:rsidP="00C24744">
      <w:pPr>
        <w:spacing w:after="120" w:line="276" w:lineRule="auto"/>
        <w:ind w:firstLine="708"/>
        <w:jc w:val="both"/>
        <w:rPr>
          <w:rFonts w:ascii="Verdana" w:eastAsia="Arial" w:hAnsi="Verdana" w:cs="Arial"/>
          <w:lang w:eastAsia="es-MX"/>
        </w:rPr>
      </w:pPr>
      <w:r w:rsidRPr="00C24744">
        <w:rPr>
          <w:rFonts w:ascii="Verdana" w:eastAsia="Arial" w:hAnsi="Verdana" w:cs="Arial"/>
          <w:lang w:eastAsia="es-MX"/>
        </w:rPr>
        <w:t>La definición transcrita resulta determinante para resolver la consulta, pues contiene, en su propio texto, los elementos que la normativa exige para calificar un bien como espacio público. En efecto: i) el glosario califica a los Centros de Integración Ciudadana – CIC como “(e)</w:t>
      </w:r>
      <w:proofErr w:type="spellStart"/>
      <w:r w:rsidRPr="00C24744">
        <w:rPr>
          <w:rFonts w:ascii="Verdana" w:eastAsia="Arial" w:hAnsi="Verdana" w:cs="Arial"/>
          <w:lang w:eastAsia="es-MX"/>
        </w:rPr>
        <w:t>scenarios</w:t>
      </w:r>
      <w:proofErr w:type="spellEnd"/>
      <w:r w:rsidRPr="00C24744">
        <w:rPr>
          <w:rFonts w:ascii="Verdana" w:eastAsia="Arial" w:hAnsi="Verdana" w:cs="Arial"/>
          <w:lang w:eastAsia="es-MX"/>
        </w:rPr>
        <w:t xml:space="preserve"> de uso público”, expresión que coincide con los “bienes de uso público” del literal a) del numeral 2.87 del glosario y del numeral 1 del artículo 2.2.3.1.3 del Decreto 1077 de 2015, esto es, aquellos cuyo uso pertenece a todos los habitantes y están “destinados al uso o disfrute colectivo”; </w:t>
      </w:r>
      <w:proofErr w:type="spellStart"/>
      <w:r w:rsidRPr="00C24744">
        <w:rPr>
          <w:rFonts w:ascii="Verdana" w:eastAsia="Arial" w:hAnsi="Verdana" w:cs="Arial"/>
          <w:lang w:eastAsia="es-MX"/>
        </w:rPr>
        <w:t>ii</w:t>
      </w:r>
      <w:proofErr w:type="spellEnd"/>
      <w:r w:rsidRPr="00C24744">
        <w:rPr>
          <w:rFonts w:ascii="Verdana" w:eastAsia="Arial" w:hAnsi="Verdana" w:cs="Arial"/>
          <w:lang w:eastAsia="es-MX"/>
        </w:rPr>
        <w:t xml:space="preserve">) les atribuye carácter “gratuito”, lo que descarta que su acceso esté restringido o condicionado a una contraprestación, como ocurre con los bienes fiscales o con los equipamientos afectos a un servicio institucional; </w:t>
      </w:r>
      <w:proofErr w:type="spellStart"/>
      <w:r w:rsidRPr="00C24744">
        <w:rPr>
          <w:rFonts w:ascii="Verdana" w:eastAsia="Arial" w:hAnsi="Verdana" w:cs="Arial"/>
          <w:lang w:eastAsia="es-MX"/>
        </w:rPr>
        <w:t>iii</w:t>
      </w:r>
      <w:proofErr w:type="spellEnd"/>
      <w:r w:rsidRPr="00C24744">
        <w:rPr>
          <w:rFonts w:ascii="Verdana" w:eastAsia="Arial" w:hAnsi="Verdana" w:cs="Arial"/>
          <w:lang w:eastAsia="es-MX"/>
        </w:rPr>
        <w:t xml:space="preserve">) los destina a “la práctica del deporte, recreación y actividad física” y a “todas las expresiones artísticas y culturales”, finalidades que corresponden a las “áreas para la recreación pública, activa o pasiva” del artículo 5 de la Ley 9 de 1989 y a los “escenarios deportivos, escenarios culturales y de espectáculos al aire libre” que el artículo 2.2.3.1.5 del Decreto 1077 de 2015 enuncia como elementos constitutivos del espacio público; y </w:t>
      </w:r>
      <w:proofErr w:type="spellStart"/>
      <w:r w:rsidRPr="00C24744">
        <w:rPr>
          <w:rFonts w:ascii="Verdana" w:eastAsia="Arial" w:hAnsi="Verdana" w:cs="Arial"/>
          <w:lang w:eastAsia="es-MX"/>
        </w:rPr>
        <w:t>iv</w:t>
      </w:r>
      <w:proofErr w:type="spellEnd"/>
      <w:r w:rsidRPr="00C24744">
        <w:rPr>
          <w:rFonts w:ascii="Verdana" w:eastAsia="Arial" w:hAnsi="Verdana" w:cs="Arial"/>
          <w:lang w:eastAsia="es-MX"/>
        </w:rPr>
        <w:t xml:space="preserve">) señala que su propósito es “el sano esparcimiento de la comunidad”, lo que corresponde exactamente a la satisfacción de “necesidades urbanas colectivas que trascienden los límites de los intereses individuales de </w:t>
      </w:r>
      <w:r w:rsidRPr="00C24744">
        <w:rPr>
          <w:rFonts w:ascii="Verdana" w:eastAsia="Arial" w:hAnsi="Verdana" w:cs="Arial"/>
          <w:lang w:eastAsia="es-MX"/>
        </w:rPr>
        <w:lastRenderedPageBreak/>
        <w:t>los habitantes” a que se refieren el numeral 2.87 del glosario y el artículo 2.2.3.1.2 del Decreto 1077 de 2015.</w:t>
      </w:r>
    </w:p>
    <w:p w14:paraId="10BDD146" w14:textId="77777777" w:rsidR="00C24744" w:rsidRPr="00C24744" w:rsidRDefault="00C24744" w:rsidP="00C24744">
      <w:pPr>
        <w:spacing w:after="120" w:line="276" w:lineRule="auto"/>
        <w:ind w:firstLine="708"/>
        <w:jc w:val="both"/>
        <w:rPr>
          <w:rFonts w:ascii="Verdana" w:eastAsia="Arial" w:hAnsi="Verdana" w:cs="Arial"/>
          <w:lang w:eastAsia="es-MX"/>
        </w:rPr>
      </w:pPr>
      <w:r w:rsidRPr="00C24744">
        <w:rPr>
          <w:rFonts w:ascii="Verdana" w:eastAsia="Arial" w:hAnsi="Verdana" w:cs="Arial"/>
          <w:lang w:eastAsia="es-MX"/>
        </w:rPr>
        <w:t>Así las cosas, el propio documento tipo, reconoce que el CIC es un escenario de uso público, gratuito y destinado al esparcimiento colectivo, características que coinciden plenamente con los elementos material, de destinación y teleológico de la noción de espacio público. Por consiguiente, la calificación del Centros de Integración Ciudadana – CIC como espacio público no constituye una interpretación extensiva del requisito de experiencia, sino la aplicación armónica de dos definiciones contenidas en el mismo Anexo 5 – Glosario, esto es, la del numeral 3.16, relativa a los Centros de Integración Ciudadana – CIC, y la del numeral 2.87, relativa al espacio público.</w:t>
      </w:r>
    </w:p>
    <w:p w14:paraId="5D1234D5" w14:textId="77777777" w:rsidR="00C24744" w:rsidRPr="00C24744" w:rsidRDefault="00C24744" w:rsidP="00C24744">
      <w:pPr>
        <w:spacing w:after="120" w:line="276" w:lineRule="auto"/>
        <w:ind w:firstLine="708"/>
        <w:jc w:val="both"/>
        <w:rPr>
          <w:rFonts w:ascii="Verdana" w:eastAsia="Arial" w:hAnsi="Verdana" w:cs="Arial"/>
          <w:lang w:eastAsia="es-MX"/>
        </w:rPr>
      </w:pPr>
      <w:r w:rsidRPr="00C24744">
        <w:rPr>
          <w:rFonts w:ascii="Verdana" w:eastAsia="Arial" w:hAnsi="Verdana" w:cs="Arial"/>
          <w:lang w:eastAsia="es-MX"/>
        </w:rPr>
        <w:t>Desde el punto de vista técnico, las tipologías de Centros de Integración Ciudadana – CIC suelen integrar componentes como canchas múltiples o placas polideportivas, graderías, zonas de encuentro y de permanencia, espacios para actividades culturales, obras de urbanismo exterior, zonas verdes y, en algunos casos, cubiertas o áreas complementarias como baterías sanitarias. Se trata, entonces, de un escenario polifuncional de encuentro comunitario que coincide con las “(á)reas articuladoras de espacio público y de encuentro” del artículo 2.2.3.1.5 del Decreto 1077 de 2015, entre las que la norma enuncia expresamente los “escenarios deportivos, escenarios culturales y de espectáculos al aire libre”, así como con las “áreas para la recreación pública, activa o pasiva” y las zonas “en las que el interés colectivo sea manifiesto y conspicuo en la utilización, uso o disfrute colectivo” a que se refiere el artículo 5 de la Ley 9 de 1989.</w:t>
      </w:r>
    </w:p>
    <w:p w14:paraId="1E81B762" w14:textId="77777777" w:rsidR="00C24744" w:rsidRPr="00C24744" w:rsidRDefault="00C24744" w:rsidP="00C24744">
      <w:pPr>
        <w:spacing w:after="120" w:line="276" w:lineRule="auto"/>
        <w:ind w:firstLine="708"/>
        <w:jc w:val="both"/>
        <w:rPr>
          <w:rFonts w:ascii="Verdana" w:eastAsia="Arial" w:hAnsi="Verdana" w:cs="Arial"/>
          <w:lang w:eastAsia="es-MX"/>
        </w:rPr>
      </w:pPr>
      <w:r w:rsidRPr="00C24744">
        <w:rPr>
          <w:rFonts w:ascii="Verdana" w:eastAsia="Arial" w:hAnsi="Verdana" w:cs="Arial"/>
          <w:lang w:eastAsia="es-MX"/>
        </w:rPr>
        <w:t xml:space="preserve">Si se contrastan estas características por parte de la entidad que adelanta el proceso de selección con los documentos tipo expedidos por la Agencia Nacional de Contratación Pública – Colombia Compra Eficiente, con los elementos de la definición de espacio público, y si se concluye que el Centro de Integración Ciudadana – CIC reúne, el elemento material, pues se trata de un inmueble público; el elemento de destinación, pues su uso pertenece a la comunidad y se encuentra afectado al uso y disfrute colectivo; y el elemento teleológico, pues satisface necesidades colectivas de convivencia, recreación, deporte y cultura que trascienden los intereses individuales de los habitantes, podría tomarse que las intervenciones relacionadas sobre los Centros de Integración Ciudadana – CIC podrían considerarse para acreditar la experiencia </w:t>
      </w:r>
      <w:r w:rsidRPr="00C24744">
        <w:rPr>
          <w:rFonts w:ascii="Verdana" w:eastAsia="Arial" w:hAnsi="Verdana" w:cs="Arial"/>
          <w:lang w:eastAsia="es-MX"/>
        </w:rPr>
        <w:lastRenderedPageBreak/>
        <w:t>general para la actividad 2.2 contenida en la Matriz 1 – Experiencia. Esto considerando que, esta conclusión coincidiría con la definición del numeral 3.16 del glosario, en esa medida que, el Centro de Integración Ciudadana–  CIC se ajusta a la noción de “bienes de uso público” prevista en el literal a) del numeral 2.87 del glosario y en el numeral 1 del artículo 2.2.3.1.3 del Decreto 1077 de 2015, esto es, “aquellos inmuebles de dominio público cuyo uso pertenece a todos los habitantes del territorio nacional, destinados al uso o disfrute colectivo”.</w:t>
      </w:r>
    </w:p>
    <w:p w14:paraId="7164E292" w14:textId="77777777" w:rsidR="00C24744" w:rsidRPr="00C24744" w:rsidRDefault="00C24744" w:rsidP="00C24744">
      <w:pPr>
        <w:spacing w:after="120" w:line="276" w:lineRule="auto"/>
        <w:ind w:firstLine="708"/>
        <w:jc w:val="both"/>
        <w:rPr>
          <w:rFonts w:ascii="Verdana" w:eastAsia="Arial" w:hAnsi="Verdana" w:cs="Arial"/>
          <w:lang w:eastAsia="es-MX"/>
        </w:rPr>
      </w:pPr>
      <w:r w:rsidRPr="00C24744">
        <w:rPr>
          <w:rFonts w:ascii="Verdana" w:eastAsia="Arial" w:hAnsi="Verdana" w:cs="Arial"/>
          <w:lang w:eastAsia="es-MX"/>
        </w:rPr>
        <w:t xml:space="preserve">Esta conclusión se refuerza con lo señalado por esta Agencia en el concepto C-469 de 2026, según el cual el espacio público de la actividad 2.2 es aquel cuya finalidad está asociada a “la calidad de vida, la integración social y el uso recreativo y cultural en el territorio”. Nótese que estas tres finalidades coinciden con la función que el numeral 3.16 del glosario asigna a los Centros de Integración Ciudadana – CIC: se trata de escenarios concebidos para la integración ciudadana –lo que su propia denominación pone de presente–, destinados a la recreación, el deporte y la actividad física, y a “todas las expresiones artísticas y culturales”. </w:t>
      </w:r>
    </w:p>
    <w:p w14:paraId="4654EF2E" w14:textId="77777777" w:rsidR="00C24744" w:rsidRPr="00C24744" w:rsidRDefault="00C24744" w:rsidP="00C24744">
      <w:pPr>
        <w:spacing w:after="120" w:line="276" w:lineRule="auto"/>
        <w:jc w:val="both"/>
        <w:rPr>
          <w:rFonts w:ascii="Verdana" w:eastAsia="Arial" w:hAnsi="Verdana" w:cs="Arial"/>
          <w:lang w:eastAsia="es-MX"/>
        </w:rPr>
      </w:pPr>
      <w:r w:rsidRPr="00C24744">
        <w:rPr>
          <w:rFonts w:ascii="Verdana" w:eastAsia="Arial" w:hAnsi="Verdana" w:cs="Arial"/>
          <w:lang w:eastAsia="es-MX"/>
        </w:rPr>
        <w:tab/>
        <w:t xml:space="preserve">En consecuencia, esta Agencia considera que la construcción de un Centro de Integración Ciudadana – CIC eventualmente puede ser considerada como intervención de espacio público y, por lo tanto, puede enmarcarse en la experiencia general de la actividad 2.2 de la Matriz 1 – Experiencia del sector cultura, recreación y deporte, toda vez que la actividad de “construcción” se encuentra expresamente enlistada y el bien construido corresponde, por su naturaleza, uso y afectación, a un escenario destinado al uso y disfrute colectivo. </w:t>
      </w:r>
    </w:p>
    <w:p w14:paraId="43688004" w14:textId="77777777" w:rsidR="00C24744" w:rsidRPr="00C24744" w:rsidRDefault="00C24744" w:rsidP="00C24744">
      <w:pPr>
        <w:spacing w:after="120" w:line="276" w:lineRule="auto"/>
        <w:ind w:firstLine="708"/>
        <w:jc w:val="both"/>
        <w:rPr>
          <w:rFonts w:ascii="Verdana" w:eastAsia="Arial" w:hAnsi="Verdana" w:cs="Arial"/>
          <w:lang w:eastAsia="es-MX"/>
        </w:rPr>
      </w:pPr>
      <w:r w:rsidRPr="00C24744">
        <w:rPr>
          <w:rFonts w:ascii="Verdana" w:eastAsia="Arial" w:hAnsi="Verdana" w:cs="Arial"/>
          <w:lang w:eastAsia="es-MX"/>
        </w:rPr>
        <w:t xml:space="preserve">Lo anterior, sin perjuicio de que la entidad verifique, con los documentos soporte, que el Centro de Integración Ciudadana – efectivamente tiene una destinación de uso público y de acceso colectivo, y que las actividades acreditadas recayeron sobre sus áreas. Esta verificación resulta pertinente porque, en la práctica, algunos proyectos denominados de manera similar pueden corresponder a edificaciones cerradas afectas a un servicio institucional específico –por ejemplo, oficinas administrativas o sedes de atención de acceso restringido–, caso en el cual se trataría de un equipamiento colectivo y no de espacio público. </w:t>
      </w:r>
    </w:p>
    <w:p w14:paraId="1B03FE29" w14:textId="77777777" w:rsidR="00C24744" w:rsidRPr="00C24744" w:rsidRDefault="00C24744" w:rsidP="00C24744">
      <w:pPr>
        <w:spacing w:after="120" w:line="276" w:lineRule="auto"/>
        <w:ind w:firstLine="708"/>
        <w:jc w:val="both"/>
        <w:rPr>
          <w:rFonts w:ascii="Verdana" w:eastAsia="Arial" w:hAnsi="Verdana" w:cs="Arial"/>
          <w:lang w:eastAsia="es-MX"/>
        </w:rPr>
      </w:pPr>
      <w:r w:rsidRPr="00C24744">
        <w:rPr>
          <w:rFonts w:ascii="Verdana" w:eastAsia="Arial" w:hAnsi="Verdana" w:cs="Arial"/>
          <w:lang w:eastAsia="es-MX"/>
        </w:rPr>
        <w:t xml:space="preserve">En relación con la segunda experiencia objeto de consulta, debe señalarse que los escenarios deportivos se encuentran expresamente enunciados en el </w:t>
      </w:r>
      <w:r w:rsidRPr="00C24744">
        <w:rPr>
          <w:rFonts w:ascii="Verdana" w:eastAsia="Arial" w:hAnsi="Verdana" w:cs="Arial"/>
          <w:lang w:eastAsia="es-MX"/>
        </w:rPr>
        <w:lastRenderedPageBreak/>
        <w:t>artículo 2.2.3.1.5 del Decreto 1077 de 2015 como elementos constitutivos artificiales o construidos del espacio público, dentro de las “(á) reas articuladoras de espacio público y de encuentro”. Por su parte, el artículo 5 de la Ley 9 de 1989 incluye en el espacio público las “áreas para la recreación pública, activa o pasiva”. De esta manera, la actividad de mejoramiento de un escenario deportivo puede, en principio, enmarcarse en la actividad 2.2 de la Matriz 1 – Experiencia, pues el “mejoramiento” está expresamente enlistado y el escenario deportivo es una de las categorías que la norma reconoce como integrante del espacio público.</w:t>
      </w:r>
    </w:p>
    <w:p w14:paraId="033A232B" w14:textId="77777777" w:rsidR="00C24744" w:rsidRPr="00C24744" w:rsidRDefault="00C24744" w:rsidP="00C24744">
      <w:pPr>
        <w:spacing w:after="120" w:line="276" w:lineRule="auto"/>
        <w:ind w:firstLine="708"/>
        <w:jc w:val="both"/>
        <w:rPr>
          <w:rFonts w:ascii="Verdana" w:eastAsia="Arial" w:hAnsi="Verdana" w:cs="Arial"/>
          <w:lang w:eastAsia="es-MX"/>
        </w:rPr>
      </w:pPr>
      <w:r w:rsidRPr="00C24744">
        <w:rPr>
          <w:rFonts w:ascii="Verdana" w:eastAsia="Arial" w:hAnsi="Verdana" w:cs="Arial"/>
          <w:lang w:eastAsia="es-MX"/>
        </w:rPr>
        <w:t>No obstante, a diferencia del Centro de Integración Ciudadana – CIC, el escenario deportivo consultado se encuentra ubicado dentro de una institución educativa, esto es, dentro de un equipamiento colectivo afecto a la prestación del servicio público de educación. Por regla general, los inmuebles de las instituciones educativas oficiales tienen la condición de bienes fiscales afectos a un servicio público específico, cuyo uso no pertenece a todos los habitantes sino a la comunidad educativa, y cuyo acceso suele estar restringido por razones de seguridad y de organización del servicio. En esa hipótesis, el escenario deportivo satisface una necesidad institucional, pero no reúne el elemento de destinación al uso colectivo general que exige la definición de espacio público.</w:t>
      </w:r>
    </w:p>
    <w:p w14:paraId="6863EBE8" w14:textId="77777777" w:rsidR="00C24744" w:rsidRPr="00C24744" w:rsidRDefault="00C24744" w:rsidP="00C24744">
      <w:pPr>
        <w:spacing w:after="120" w:line="276" w:lineRule="auto"/>
        <w:ind w:firstLine="708"/>
        <w:jc w:val="both"/>
        <w:rPr>
          <w:rFonts w:ascii="Verdana" w:eastAsia="Arial" w:hAnsi="Verdana" w:cs="Arial"/>
          <w:lang w:eastAsia="es-MX"/>
        </w:rPr>
      </w:pPr>
      <w:r w:rsidRPr="00C24744">
        <w:rPr>
          <w:rFonts w:ascii="Verdana" w:eastAsia="Arial" w:hAnsi="Verdana" w:cs="Arial"/>
          <w:lang w:eastAsia="es-MX"/>
        </w:rPr>
        <w:t>Por ello, la intervención de un escenario deportivo de una institución educativa podría ser considerada como intervención de espacio público siempre y cuando se cumplan los elementos de la definición normativa, es decir, cuando el escenario esté destinado, por su naturaleza, uso o afectación, al uso y disfrute colectivo de la comunidad en general, trascendiendo los intereses de la comunidad educativa. Así ocurriría, a título de ejemplo, cuando el escenario sea de libre acceso a la comunidad, cuando exista un acto administrativo, convenio o reglamento que lo afecte al uso comunitario, o cuando el instrumento de ordenamiento territorial lo incorpore al sistema de espacio público del municipio. Esta interpretación es consistente con el numeral 2 del artículo 2.2.3.1.3 del Decreto 1077 de 2015 y con el literal b) del numeral 2.87 del glosario, que admiten como espacio público, incluso, elementos de inmuebles privados que “por su naturaleza, uso o afectación satisfacen necesidades de uso público”; con mayor razón puede serlo un elemento de un inmueble público que efectivamente cumpla esa destinación.</w:t>
      </w:r>
    </w:p>
    <w:p w14:paraId="5C5E0178" w14:textId="77777777" w:rsidR="00C24744" w:rsidRPr="00C24744" w:rsidRDefault="00C24744" w:rsidP="00C24744">
      <w:pPr>
        <w:spacing w:after="120" w:line="276" w:lineRule="auto"/>
        <w:ind w:firstLine="708"/>
        <w:jc w:val="both"/>
        <w:rPr>
          <w:rFonts w:ascii="Verdana" w:eastAsia="Arial" w:hAnsi="Verdana" w:cs="Arial"/>
          <w:lang w:eastAsia="es-MX"/>
        </w:rPr>
      </w:pPr>
      <w:r w:rsidRPr="00C24744">
        <w:rPr>
          <w:rFonts w:ascii="Verdana" w:eastAsia="Arial" w:hAnsi="Verdana" w:cs="Arial"/>
          <w:lang w:eastAsia="es-MX"/>
        </w:rPr>
        <w:lastRenderedPageBreak/>
        <w:t>Este análisis es consistente con el criterio fijado por esta Agencia en el concepto C-692 de 2026, según el cual “lo determinante no es la denominación del proyecto (…) sino su naturaleza constructiva y funcional”. Aplicado a este caso, ello significa que la ubicación del escenario en una institución educativa no excluye por sí sola la experiencia, pero tampoco la valida automáticamente: la entidad debe establecer si, por su función, el escenario hace parte del espacio público “centrado en la permanencia, el encuentro y el disfrute colectivo” al que se refiere la actividad 2.2, según el concepto C-469 de 2026, o si, por el contrario, es un componente interno del equipamiento educativo destinado exclusivamente a la prestación del servicio.</w:t>
      </w:r>
    </w:p>
    <w:p w14:paraId="1D6B2F70" w14:textId="77777777" w:rsidR="00C24744" w:rsidRPr="00C24744" w:rsidRDefault="00C24744" w:rsidP="00C24744">
      <w:pPr>
        <w:spacing w:after="120" w:line="276" w:lineRule="auto"/>
        <w:ind w:firstLine="708"/>
        <w:jc w:val="both"/>
        <w:rPr>
          <w:rFonts w:ascii="Verdana" w:eastAsia="Arial" w:hAnsi="Verdana" w:cs="Arial"/>
          <w:lang w:eastAsia="es-MX"/>
        </w:rPr>
      </w:pPr>
      <w:r w:rsidRPr="00C24744">
        <w:rPr>
          <w:rFonts w:ascii="Verdana" w:eastAsia="Arial" w:hAnsi="Verdana" w:cs="Arial"/>
          <w:lang w:eastAsia="es-MX"/>
        </w:rPr>
        <w:t>Esta conclusión se refuerza con la definición de parques del Anexo 5 – Glosario. Un escenario deportivo que se encuentre en un área libre pública, destinada a la recreación y el esparcimiento de la comunidad, puede corresponder a un “Parque de Recreación Activa” en los términos del numeral 3.85, en el que “el área destinada a la recreación activa es superior al 30%”. Sin embargo, el numeral 3.84 exige que se trate de “(á)reas libres públicas”, condición que no se cumple cuando el escenario se encuentra al interior de un equipamiento cerrado, cuyo acceso está reservado a la comunidad educativa. Por ello, también bajo la noción de parque, la verificación de la entidad debe centrarse en el carácter libre y público del área y en su destinación efectiva a la recreación de la comunidad en general.</w:t>
      </w:r>
    </w:p>
    <w:p w14:paraId="3407A32C" w14:textId="77777777" w:rsidR="00C24744" w:rsidRPr="00C24744" w:rsidRDefault="00C24744" w:rsidP="00C24744">
      <w:pPr>
        <w:spacing w:after="120" w:line="276" w:lineRule="auto"/>
        <w:ind w:firstLine="708"/>
        <w:jc w:val="both"/>
        <w:rPr>
          <w:rFonts w:ascii="Verdana" w:eastAsia="Arial" w:hAnsi="Verdana" w:cs="Arial"/>
          <w:lang w:eastAsia="es-MX"/>
        </w:rPr>
      </w:pPr>
      <w:r w:rsidRPr="00C24744">
        <w:rPr>
          <w:rFonts w:ascii="Verdana" w:eastAsia="Arial" w:hAnsi="Verdana" w:cs="Arial"/>
          <w:lang w:eastAsia="es-MX"/>
        </w:rPr>
        <w:t xml:space="preserve">En cambio, si de los documentos soporte se desprende que el escenario deportivo está reservado de manera exclusiva al uso de los estudiantes y del personal de la institución educativa, la experiencia corresponderá a una intervención en infraestructura educativa y no en espacio público, y no podrá acreditar la experiencia general de la actividad 2.2. </w:t>
      </w:r>
    </w:p>
    <w:p w14:paraId="240B8D67" w14:textId="77777777" w:rsidR="00C24744" w:rsidRPr="00C24744" w:rsidRDefault="00C24744" w:rsidP="00C24744">
      <w:pPr>
        <w:spacing w:after="0" w:line="276" w:lineRule="auto"/>
        <w:ind w:firstLine="708"/>
        <w:jc w:val="both"/>
        <w:rPr>
          <w:rFonts w:ascii="Verdana" w:eastAsia="Arial" w:hAnsi="Verdana" w:cs="Arial"/>
          <w:lang w:eastAsia="es-MX"/>
        </w:rPr>
      </w:pPr>
      <w:r w:rsidRPr="00C24744">
        <w:rPr>
          <w:rFonts w:ascii="Verdana" w:eastAsia="Arial" w:hAnsi="Verdana" w:cs="Arial"/>
          <w:lang w:eastAsia="es-MX"/>
        </w:rPr>
        <w:t>Finalmente, es necesario precisar que los documentos tipo fijan de manera obligatoria el requisito de experiencia, pero su aplicación a cada oferta concreta corresponde a la entidad estatal que adelanta el proceso. Esta Agencia establece el marco general de interpretación, mientras que la entidad, a través de su comité evaluador, es la que debe definir, en últimas, si la experiencia aportada por cada proponente cumple con el requisito, a partir de la valoración de los documentos soporte y con sujeción al pliego de condiciones. Esta competencia no supone una facultad para modificar el documento tipo, sino el deber de aplicarlo correctamente.</w:t>
      </w:r>
    </w:p>
    <w:p w14:paraId="6A3C67A8" w14:textId="77777777" w:rsidR="00C24744" w:rsidRPr="00C24744" w:rsidRDefault="00C24744" w:rsidP="00C24744">
      <w:pPr>
        <w:spacing w:after="0" w:line="276" w:lineRule="auto"/>
        <w:ind w:firstLine="708"/>
        <w:jc w:val="both"/>
        <w:rPr>
          <w:rFonts w:ascii="Aptos" w:eastAsia="Aptos" w:hAnsi="Aptos" w:cs="Times New Roman"/>
          <w:kern w:val="2"/>
          <w:sz w:val="24"/>
          <w:szCs w:val="24"/>
          <w14:ligatures w14:val="standardContextual"/>
        </w:rPr>
      </w:pPr>
    </w:p>
    <w:p w14:paraId="2A617D90" w14:textId="77777777" w:rsidR="00C24744" w:rsidRPr="00C24744" w:rsidRDefault="00C24744" w:rsidP="00C24744">
      <w:pPr>
        <w:spacing w:after="120" w:line="276" w:lineRule="auto"/>
        <w:jc w:val="both"/>
        <w:rPr>
          <w:rFonts w:ascii="Verdana" w:eastAsia="Aptos" w:hAnsi="Verdana" w:cs="Times New Roman"/>
        </w:rPr>
      </w:pPr>
      <w:proofErr w:type="spellStart"/>
      <w:r w:rsidRPr="00C24744">
        <w:rPr>
          <w:rFonts w:ascii="Verdana" w:eastAsia="Calibri" w:hAnsi="Verdana" w:cs="Arial"/>
          <w:lang w:val="es-ES_tradnl" w:eastAsia="es-MX"/>
        </w:rPr>
        <w:t>iii</w:t>
      </w:r>
      <w:proofErr w:type="spellEnd"/>
      <w:r w:rsidRPr="00C24744">
        <w:rPr>
          <w:rFonts w:ascii="Verdana" w:eastAsia="Calibri" w:hAnsi="Verdana" w:cs="Arial"/>
          <w:lang w:val="es-ES_tradnl" w:eastAsia="es-MX"/>
        </w:rPr>
        <w:t xml:space="preserve">) Sin perjuicio de las consideraciones desarrolladas en este concepto, </w:t>
      </w:r>
      <w:r w:rsidRPr="00C24744">
        <w:rPr>
          <w:rFonts w:ascii="Verdana" w:eastAsia="Calibri" w:hAnsi="Verdana" w:cs="Times New Roman"/>
          <w:lang w:val="es-ES"/>
        </w:rPr>
        <w:t>debe advertirse que, el análisis requerido para resolver problemas específicos en torno a la contratación de las entidades estatales debe ser realizado por quienes tengan interés en ello.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adoptar la decisión correspondiente y, en caso de conflicto, a las autoridades judiciales, fiscales y disciplinarias.</w:t>
      </w:r>
    </w:p>
    <w:p w14:paraId="791AB581" w14:textId="77777777" w:rsidR="00C24744" w:rsidRPr="00C24744" w:rsidRDefault="00C24744" w:rsidP="00C24744">
      <w:pPr>
        <w:spacing w:after="0" w:line="278" w:lineRule="auto"/>
        <w:ind w:firstLine="709"/>
        <w:jc w:val="both"/>
        <w:rPr>
          <w:rFonts w:ascii="Verdana" w:eastAsia="Calibri" w:hAnsi="Verdana" w:cs="Times New Roman"/>
          <w:lang w:val="es-ES"/>
        </w:rPr>
      </w:pPr>
      <w:r w:rsidRPr="00C24744">
        <w:rPr>
          <w:rFonts w:ascii="Verdana" w:eastAsia="Calibri" w:hAnsi="Verdana" w:cs="Times New Roman"/>
          <w:lang w:val="es-ES"/>
        </w:rPr>
        <w:t>Dentro de este marco, la entidad contratante definirá en cada caso concreto lo relacionado con el tema objeto de consulta.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w:t>
      </w:r>
    </w:p>
    <w:p w14:paraId="10B21EE9" w14:textId="77777777" w:rsidR="00C24744" w:rsidRPr="00C24744" w:rsidRDefault="00C24744" w:rsidP="00C24744">
      <w:pPr>
        <w:spacing w:after="0" w:line="276" w:lineRule="auto"/>
        <w:jc w:val="both"/>
        <w:rPr>
          <w:rFonts w:ascii="Verdana" w:eastAsia="Calibri" w:hAnsi="Verdana" w:cs="Times New Roman"/>
          <w:lang w:eastAsia="es-MX"/>
        </w:rPr>
      </w:pPr>
    </w:p>
    <w:p w14:paraId="1C588CAA" w14:textId="77777777" w:rsidR="00C24744" w:rsidRPr="00C24744" w:rsidRDefault="00C24744" w:rsidP="00C24744">
      <w:pPr>
        <w:tabs>
          <w:tab w:val="left" w:pos="142"/>
          <w:tab w:val="left" w:pos="284"/>
        </w:tabs>
        <w:spacing w:after="0" w:line="276" w:lineRule="auto"/>
        <w:jc w:val="both"/>
        <w:rPr>
          <w:rFonts w:ascii="Verdana" w:eastAsia="Century Gothic" w:hAnsi="Verdana" w:cs="Century Gothic"/>
          <w:b/>
          <w:bCs/>
          <w:lang w:val="es-ES_tradnl" w:eastAsia="es-MX"/>
        </w:rPr>
      </w:pPr>
      <w:r w:rsidRPr="00C24744">
        <w:rPr>
          <w:rFonts w:ascii="Verdana" w:eastAsia="Century Gothic" w:hAnsi="Verdana" w:cs="Century Gothic"/>
          <w:b/>
          <w:bCs/>
          <w:lang w:val="es-ES_tradnl" w:eastAsia="es-MX"/>
        </w:rPr>
        <w:t>4. Referencias normativas, jurisprudenciales y otras fuentes:</w:t>
      </w:r>
    </w:p>
    <w:p w14:paraId="0C191C32" w14:textId="77777777" w:rsidR="00C24744" w:rsidRPr="00C24744" w:rsidRDefault="00C24744" w:rsidP="00C24744">
      <w:pPr>
        <w:spacing w:after="0"/>
        <w:ind w:left="-15840"/>
        <w:jc w:val="both"/>
        <w:rPr>
          <w:rFonts w:ascii="Verdana" w:eastAsia="Calibri" w:hAnsi="Verdana" w:cs="Arial"/>
          <w:b/>
          <w:bCs/>
          <w:lang w:eastAsia="es-MX"/>
        </w:rPr>
      </w:pPr>
      <w:r w:rsidRPr="00C24744">
        <w:rPr>
          <w:rFonts w:ascii="Verdana" w:eastAsia="Calibri" w:hAnsi="Verdana" w:cs="Arial"/>
          <w:b/>
          <w:bCs/>
          <w:lang w:eastAsia="es-MX"/>
        </w:rPr>
        <w:t>4. Referencias normativas, jurisprudenciales y otras fuentes:</w:t>
      </w:r>
    </w:p>
    <w:tbl>
      <w:tblPr>
        <w:tblStyle w:val="Tablaconcuadrcula1"/>
        <w:tblW w:w="8640"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0"/>
      </w:tblGrid>
      <w:tr w:rsidR="00C24744" w:rsidRPr="00C24744" w14:paraId="0329B0E3" w14:textId="77777777" w:rsidTr="009E3879">
        <w:trPr>
          <w:trHeight w:val="870"/>
        </w:trPr>
        <w:tc>
          <w:tcPr>
            <w:tcW w:w="8647" w:type="dxa"/>
            <w:tcBorders>
              <w:top w:val="dotted" w:sz="4" w:space="0" w:color="auto"/>
              <w:left w:val="dotted" w:sz="4" w:space="0" w:color="auto"/>
              <w:bottom w:val="dotted" w:sz="4" w:space="0" w:color="auto"/>
              <w:right w:val="dotted" w:sz="4" w:space="0" w:color="auto"/>
            </w:tcBorders>
          </w:tcPr>
          <w:p w14:paraId="3A5B53C0" w14:textId="77777777" w:rsidR="00C24744" w:rsidRPr="00C24744" w:rsidRDefault="00C24744" w:rsidP="00C24744">
            <w:pPr>
              <w:contextualSpacing/>
              <w:jc w:val="both"/>
              <w:rPr>
                <w:rFonts w:ascii="Verdana" w:eastAsia="Calibri" w:hAnsi="Verdana" w:cs="Arial"/>
                <w:bCs/>
                <w:lang w:eastAsia="es-MX"/>
              </w:rPr>
            </w:pPr>
          </w:p>
          <w:p w14:paraId="5CA8BF52" w14:textId="77777777" w:rsidR="00C24744" w:rsidRPr="00C24744" w:rsidRDefault="00C24744" w:rsidP="00C24744">
            <w:pPr>
              <w:widowControl w:val="0"/>
              <w:numPr>
                <w:ilvl w:val="0"/>
                <w:numId w:val="16"/>
              </w:numPr>
              <w:autoSpaceDE w:val="0"/>
              <w:autoSpaceDN w:val="0"/>
              <w:spacing w:line="276" w:lineRule="auto"/>
              <w:ind w:left="714" w:hanging="357"/>
              <w:jc w:val="both"/>
              <w:rPr>
                <w:rFonts w:ascii="Verdana" w:eastAsia="Calibri" w:hAnsi="Verdana" w:cs="Arial"/>
                <w:lang w:val="es-ES_tradnl" w:eastAsia="es-MX"/>
              </w:rPr>
            </w:pPr>
            <w:r w:rsidRPr="00C24744">
              <w:rPr>
                <w:rFonts w:ascii="Verdana" w:eastAsia="Calibri" w:hAnsi="Verdana" w:cs="Arial"/>
                <w:lang w:val="es-ES_tradnl" w:eastAsia="es-MX"/>
              </w:rPr>
              <w:t xml:space="preserve">Ley 2022 de 2020, artículo 1. </w:t>
            </w:r>
          </w:p>
          <w:p w14:paraId="50C08D12" w14:textId="77777777" w:rsidR="00C24744" w:rsidRPr="00C24744" w:rsidRDefault="00C24744" w:rsidP="00C24744">
            <w:pPr>
              <w:widowControl w:val="0"/>
              <w:numPr>
                <w:ilvl w:val="0"/>
                <w:numId w:val="16"/>
              </w:numPr>
              <w:autoSpaceDE w:val="0"/>
              <w:autoSpaceDN w:val="0"/>
              <w:spacing w:line="276" w:lineRule="auto"/>
              <w:jc w:val="both"/>
              <w:rPr>
                <w:rFonts w:ascii="Verdana" w:eastAsia="Calibri" w:hAnsi="Verdana" w:cs="Arial"/>
                <w:lang w:eastAsia="es-MX"/>
              </w:rPr>
            </w:pPr>
            <w:r w:rsidRPr="00C24744">
              <w:rPr>
                <w:rFonts w:ascii="Verdana" w:eastAsia="Calibri" w:hAnsi="Verdana" w:cs="Arial"/>
                <w:lang w:eastAsia="es-MX"/>
              </w:rPr>
              <w:t>Ley 1150 de 2007, artículo 2.</w:t>
            </w:r>
          </w:p>
          <w:p w14:paraId="05F0D50B" w14:textId="77777777" w:rsidR="00C24744" w:rsidRPr="00C24744" w:rsidRDefault="00C24744" w:rsidP="00C24744">
            <w:pPr>
              <w:widowControl w:val="0"/>
              <w:numPr>
                <w:ilvl w:val="0"/>
                <w:numId w:val="16"/>
              </w:numPr>
              <w:autoSpaceDE w:val="0"/>
              <w:autoSpaceDN w:val="0"/>
              <w:spacing w:line="276" w:lineRule="auto"/>
              <w:contextualSpacing/>
              <w:jc w:val="both"/>
              <w:rPr>
                <w:rFonts w:ascii="Verdana" w:eastAsia="Calibri" w:hAnsi="Verdana" w:cs="Arial"/>
                <w:lang w:eastAsia="es-MX"/>
              </w:rPr>
            </w:pPr>
            <w:r w:rsidRPr="00C24744">
              <w:rPr>
                <w:rFonts w:ascii="Verdana" w:eastAsia="Calibri" w:hAnsi="Verdana" w:cs="Arial"/>
                <w:lang w:val="es-ES_tradnl" w:eastAsia="es-MX"/>
              </w:rPr>
              <w:t xml:space="preserve">Documentos Tipo. Disponibles en: </w:t>
            </w:r>
            <w:hyperlink r:id="rId12" w:history="1">
              <w:r w:rsidRPr="00C24744">
                <w:rPr>
                  <w:rFonts w:ascii="Verdana" w:eastAsia="Calibri" w:hAnsi="Verdana" w:cs="Arial"/>
                  <w:color w:val="0000FF"/>
                  <w:u w:val="single"/>
                  <w:lang w:val="es-ES_tradnl" w:eastAsia="es-MX"/>
                </w:rPr>
                <w:t>https://www.colombiacompra.gov.co/documentos-tipo/documentos-tipo</w:t>
              </w:r>
            </w:hyperlink>
            <w:r w:rsidRPr="00C24744">
              <w:rPr>
                <w:rFonts w:ascii="Verdana" w:eastAsia="Calibri" w:hAnsi="Verdana" w:cs="Arial"/>
                <w:lang w:val="es-ES_tradnl" w:eastAsia="es-MX"/>
              </w:rPr>
              <w:t>.</w:t>
            </w:r>
          </w:p>
        </w:tc>
      </w:tr>
    </w:tbl>
    <w:p w14:paraId="7173962E" w14:textId="77777777" w:rsidR="00C24744" w:rsidRPr="00C24744" w:rsidRDefault="00C24744" w:rsidP="00C24744">
      <w:pPr>
        <w:tabs>
          <w:tab w:val="left" w:pos="142"/>
          <w:tab w:val="left" w:pos="284"/>
        </w:tabs>
        <w:spacing w:after="0" w:line="276" w:lineRule="auto"/>
        <w:jc w:val="both"/>
        <w:rPr>
          <w:rFonts w:ascii="Verdana" w:eastAsia="Calibri" w:hAnsi="Verdana" w:cs="Arial"/>
          <w:lang w:eastAsia="es-MX"/>
        </w:rPr>
      </w:pPr>
    </w:p>
    <w:p w14:paraId="7A5558DF" w14:textId="77777777" w:rsidR="00C24744" w:rsidRPr="00C24744" w:rsidRDefault="00C24744" w:rsidP="00C24744">
      <w:pPr>
        <w:tabs>
          <w:tab w:val="left" w:pos="142"/>
          <w:tab w:val="left" w:pos="284"/>
        </w:tabs>
        <w:spacing w:after="0" w:line="276" w:lineRule="auto"/>
        <w:jc w:val="both"/>
        <w:rPr>
          <w:rFonts w:ascii="Verdana" w:eastAsia="Century Gothic" w:hAnsi="Verdana" w:cs="Century Gothic"/>
          <w:b/>
          <w:bCs/>
          <w:lang w:val="es-ES" w:eastAsia="es-MX"/>
        </w:rPr>
      </w:pPr>
      <w:r w:rsidRPr="00C24744">
        <w:rPr>
          <w:rFonts w:ascii="Verdana" w:eastAsia="Calibri" w:hAnsi="Verdana" w:cs="Arial"/>
          <w:b/>
          <w:bCs/>
          <w:lang w:eastAsia="es-MX"/>
        </w:rPr>
        <w:t>5</w:t>
      </w:r>
      <w:r w:rsidRPr="00C24744">
        <w:rPr>
          <w:rFonts w:ascii="Verdana" w:eastAsia="Calibri" w:hAnsi="Verdana" w:cs="Arial"/>
          <w:lang w:eastAsia="es-MX"/>
        </w:rPr>
        <w:t>.</w:t>
      </w:r>
      <w:r w:rsidRPr="00C24744">
        <w:rPr>
          <w:rFonts w:ascii="Verdana" w:eastAsia="Century Gothic" w:hAnsi="Verdana" w:cs="Century Gothic"/>
          <w:b/>
          <w:bCs/>
          <w:lang w:val="es-ES" w:eastAsia="es-MX"/>
        </w:rPr>
        <w:t>Doctrina de la Agencia Nacional de Contratación Pública:</w:t>
      </w:r>
    </w:p>
    <w:p w14:paraId="373F6503" w14:textId="77777777" w:rsidR="00C24744" w:rsidRPr="00C24744" w:rsidRDefault="00C24744" w:rsidP="00C24744">
      <w:pPr>
        <w:widowControl w:val="0"/>
        <w:autoSpaceDE w:val="0"/>
        <w:autoSpaceDN w:val="0"/>
        <w:spacing w:after="0" w:line="276" w:lineRule="auto"/>
        <w:jc w:val="both"/>
        <w:rPr>
          <w:rFonts w:ascii="Verdana" w:eastAsia="Calibri" w:hAnsi="Verdana" w:cs="Arial"/>
          <w:lang w:eastAsia="es-MX"/>
        </w:rPr>
      </w:pPr>
    </w:p>
    <w:p w14:paraId="161303A0" w14:textId="77777777" w:rsidR="00C24744" w:rsidRPr="00C24744" w:rsidRDefault="00C24744" w:rsidP="00C24744">
      <w:pPr>
        <w:spacing w:after="0" w:line="276" w:lineRule="auto"/>
        <w:jc w:val="both"/>
        <w:rPr>
          <w:rFonts w:ascii="Verdana" w:eastAsia="Calibri" w:hAnsi="Verdana" w:cs="Arial"/>
          <w:kern w:val="2"/>
          <w:shd w:val="clear" w:color="auto" w:fill="FFFFFF"/>
          <w:lang w:val="es-ES" w:eastAsia="es-MX"/>
          <w14:ligatures w14:val="standardContextual"/>
        </w:rPr>
      </w:pPr>
      <w:r w:rsidRPr="00C24744">
        <w:rPr>
          <w:rFonts w:ascii="Verdana" w:eastAsia="Calibri" w:hAnsi="Verdana" w:cs="Arial"/>
          <w:kern w:val="2"/>
          <w:shd w:val="clear" w:color="auto" w:fill="FFFFFF"/>
          <w:lang w:val="es-ES" w:eastAsia="es-MX"/>
          <w14:ligatures w14:val="standardContextual"/>
        </w:rPr>
        <w:t>La Agencia Nacional de Contratación Pública – Colombia Compra Eficiente se pronunció</w:t>
      </w:r>
      <w:r w:rsidRPr="00C24744">
        <w:rPr>
          <w:rFonts w:ascii="Verdana" w:eastAsia="Calibri" w:hAnsi="Verdana" w:cs="Times New Roman"/>
          <w:kern w:val="2"/>
          <w:lang w:eastAsia="es-MX"/>
          <w14:ligatures w14:val="standardContextual"/>
        </w:rPr>
        <w:t xml:space="preserve"> </w:t>
      </w:r>
      <w:r w:rsidRPr="00C24744">
        <w:rPr>
          <w:rFonts w:ascii="Verdana" w:eastAsia="Calibri" w:hAnsi="Verdana" w:cs="Arial"/>
          <w:kern w:val="2"/>
          <w:shd w:val="clear" w:color="auto" w:fill="FFFFFF"/>
          <w:lang w:val="es-ES" w:eastAsia="es-MX"/>
          <w14:ligatures w14:val="standardContextual"/>
        </w:rPr>
        <w:t xml:space="preserve">sobre el ámbito de aplicación de los documentos tipo de infraestructura social, en los conceptos C-375 del 27 de septiembre de 2021, C-536 del 29 de septiembre de 2021, P20210826007696 del 6 de octubre de 2021, C-729 del 24 de enero de 2022, C-090 del 16 de marzo de 2022, C-287 del 11 </w:t>
      </w:r>
      <w:r w:rsidRPr="00C24744">
        <w:rPr>
          <w:rFonts w:ascii="Verdana" w:eastAsia="Calibri" w:hAnsi="Verdana" w:cs="Arial"/>
          <w:kern w:val="2"/>
          <w:shd w:val="clear" w:color="auto" w:fill="FFFFFF"/>
          <w:lang w:val="es-ES" w:eastAsia="es-MX"/>
          <w14:ligatures w14:val="standardContextual"/>
        </w:rPr>
        <w:lastRenderedPageBreak/>
        <w:t>de mayo de 2022, C-334 del 25 de mayo de 2022, C-344 del 9 de junio de 2022, C-436 del 6 de julio de 2022, C-951 del 18 enero de 2023,C-231 del 30 de junio de 2023, C-587 del 23 de octubre de 2024,</w:t>
      </w:r>
      <w:r w:rsidRPr="00C24744">
        <w:rPr>
          <w:rFonts w:ascii="Verdana" w:eastAsia="Calibri" w:hAnsi="Verdana" w:cs="Arial"/>
          <w:kern w:val="2"/>
          <w:shd w:val="clear" w:color="auto" w:fill="FFFFFF"/>
          <w:lang w:val="es-ES" w:eastAsia="es-MX"/>
          <w14:ligatures w14:val="standardContextual"/>
        </w:rPr>
        <w:tab/>
        <w:t xml:space="preserve">C-636 del 1 de noviembre de 2024, C-777 del 9 de diciembre de 2024, C-971 del 21 de enero de 2025 y C-1813 del 31 de diciembre de 2025, entre otros. Concretamente, sobre los documentos tipo </w:t>
      </w:r>
      <w:r w:rsidRPr="00C24744">
        <w:rPr>
          <w:rFonts w:ascii="Verdana" w:eastAsia="Times New Roman" w:hAnsi="Verdana" w:cs="Times New Roman"/>
          <w:color w:val="000000"/>
          <w:kern w:val="2"/>
          <w:lang w:eastAsia="es-CO"/>
          <w14:ligatures w14:val="standardContextual"/>
        </w:rPr>
        <w:t xml:space="preserve">complementarios del Sector Cultura, recreación y deporte – versión 2, esta Agencia se pronunció en los siguientes conceptos: C-182 del 19 de marzo de 2026, C-386 del 23 de abril de 2026, C-469 del 6 de mayo de 2026, C-692 del 8 de julio de 2026 y C-790 del 1 de junio de 2026. </w:t>
      </w:r>
    </w:p>
    <w:p w14:paraId="727EDB4D" w14:textId="77777777" w:rsidR="00C24744" w:rsidRPr="00C24744" w:rsidRDefault="00C24744" w:rsidP="00C24744">
      <w:pPr>
        <w:spacing w:after="0" w:line="240" w:lineRule="auto"/>
        <w:jc w:val="both"/>
        <w:rPr>
          <w:rFonts w:ascii="Verdana" w:eastAsia="Calibri" w:hAnsi="Verdana" w:cs="Arial"/>
          <w:color w:val="000000"/>
          <w:kern w:val="2"/>
          <w:shd w:val="clear" w:color="auto" w:fill="FFFFFF"/>
          <w:lang w:val="es-ES" w:eastAsia="es-MX"/>
          <w14:ligatures w14:val="standardContextual"/>
        </w:rPr>
      </w:pPr>
    </w:p>
    <w:p w14:paraId="07B0126F" w14:textId="77777777" w:rsidR="00C24744" w:rsidRPr="00C24744" w:rsidRDefault="00C24744" w:rsidP="00C24744">
      <w:pPr>
        <w:widowControl w:val="0"/>
        <w:autoSpaceDE w:val="0"/>
        <w:autoSpaceDN w:val="0"/>
        <w:spacing w:after="0" w:line="276" w:lineRule="auto"/>
        <w:jc w:val="both"/>
        <w:rPr>
          <w:rFonts w:ascii="Verdana" w:eastAsia="Calibri" w:hAnsi="Verdana" w:cs="Arial"/>
          <w:color w:val="0000FF"/>
          <w:kern w:val="2"/>
          <w:u w:val="single"/>
          <w:shd w:val="clear" w:color="auto" w:fill="FFFFFF"/>
          <w:lang w:eastAsia="es-MX"/>
          <w14:ligatures w14:val="standardContextual"/>
        </w:rPr>
      </w:pPr>
      <w:r w:rsidRPr="00C24744">
        <w:rPr>
          <w:rFonts w:ascii="Verdana" w:eastAsia="Calibri" w:hAnsi="Verdana" w:cs="Arial"/>
          <w:color w:val="000000"/>
          <w:kern w:val="2"/>
          <w:shd w:val="clear" w:color="auto" w:fill="FFFFFF"/>
          <w:lang w:eastAsia="es-MX"/>
          <w14:ligatures w14:val="standardContextual"/>
        </w:rPr>
        <w:t>Estos y otros conceptos 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 Accede a través del siguiente enlace: </w:t>
      </w:r>
      <w:hyperlink r:id="rId13" w:tgtFrame="_blank" w:tooltip="Dirección URL original: https://relatoria.colombiacompra.gov.co/. Haga clic o pulse si confía en este vínculo." w:history="1">
        <w:r w:rsidRPr="00C24744">
          <w:rPr>
            <w:rFonts w:ascii="Verdana" w:eastAsia="Calibri" w:hAnsi="Verdana" w:cs="Arial"/>
            <w:color w:val="0000FF"/>
            <w:kern w:val="2"/>
            <w:u w:val="single"/>
            <w:shd w:val="clear" w:color="auto" w:fill="FFFFFF"/>
            <w:lang w:eastAsia="es-MX"/>
            <w14:ligatures w14:val="standardContextual"/>
          </w:rPr>
          <w:t>https://relatoria.colombiacompra.gov.co/</w:t>
        </w:r>
      </w:hyperlink>
      <w:r w:rsidRPr="00C24744">
        <w:rPr>
          <w:rFonts w:ascii="Verdana" w:eastAsia="Calibri" w:hAnsi="Verdana" w:cs="Arial"/>
          <w:color w:val="0000FF"/>
          <w:kern w:val="2"/>
          <w:u w:val="single"/>
          <w:shd w:val="clear" w:color="auto" w:fill="FFFFFF"/>
          <w:lang w:eastAsia="es-MX"/>
          <w14:ligatures w14:val="standardContextual"/>
        </w:rPr>
        <w:t> .</w:t>
      </w:r>
    </w:p>
    <w:p w14:paraId="08BFF0BD" w14:textId="77777777" w:rsidR="00C24744" w:rsidRPr="00C24744" w:rsidRDefault="00C24744" w:rsidP="00C24744">
      <w:pPr>
        <w:widowControl w:val="0"/>
        <w:autoSpaceDE w:val="0"/>
        <w:autoSpaceDN w:val="0"/>
        <w:spacing w:after="0" w:line="276" w:lineRule="auto"/>
        <w:jc w:val="both"/>
        <w:rPr>
          <w:rFonts w:ascii="Verdana" w:eastAsia="Calibri" w:hAnsi="Verdana" w:cs="Arial"/>
          <w:color w:val="0000FF"/>
          <w:kern w:val="2"/>
          <w:u w:val="single"/>
          <w:shd w:val="clear" w:color="auto" w:fill="FFFFFF"/>
          <w:lang w:eastAsia="es-MX"/>
          <w14:ligatures w14:val="standardContextual"/>
        </w:rPr>
      </w:pPr>
    </w:p>
    <w:p w14:paraId="46832FEB" w14:textId="77777777" w:rsidR="00C24744" w:rsidRPr="00C24744" w:rsidRDefault="00C24744" w:rsidP="00C24744">
      <w:pPr>
        <w:spacing w:after="0" w:line="276" w:lineRule="auto"/>
        <w:jc w:val="both"/>
        <w:rPr>
          <w:rFonts w:ascii="Verdana" w:eastAsia="Aptos" w:hAnsi="Verdana" w:cs="Times New Roman"/>
          <w:kern w:val="2"/>
          <w14:ligatures w14:val="standardContextual"/>
        </w:rPr>
      </w:pPr>
      <w:r w:rsidRPr="00C24744">
        <w:rPr>
          <w:rFonts w:ascii="Verdana" w:eastAsia="Aptos" w:hAnsi="Verdana" w:cs="Times New Roman"/>
          <w:color w:val="000000"/>
          <w:kern w:val="2"/>
          <w14:ligatures w14:val="standardContextual"/>
        </w:rPr>
        <w:t>Las garantías no son un requisito formal: son el instrumento con el que se protege el patrimonio público frente a los riesgos del contrato. Por ello, la Agencia Nacional de Contratación Pública –Colombia Compra Eficiente– te invita a consultar la nueva versión de la </w:t>
      </w:r>
      <w:r w:rsidRPr="00C24744">
        <w:rPr>
          <w:rFonts w:ascii="Verdana" w:eastAsia="Aptos" w:hAnsi="Verdana" w:cs="Times New Roman"/>
          <w:b/>
          <w:bCs/>
          <w:color w:val="000000"/>
          <w:kern w:val="2"/>
          <w14:ligatures w14:val="standardContextual"/>
        </w:rPr>
        <w:t>Guía para la Exigencia y Constitución de Garantías en los Procesos de Contratación</w:t>
      </w:r>
      <w:r w:rsidRPr="00C24744">
        <w:rPr>
          <w:rFonts w:ascii="Verdana" w:eastAsia="Aptos" w:hAnsi="Verdana" w:cs="Times New Roman"/>
          <w:color w:val="000000"/>
          <w:kern w:val="2"/>
          <w14:ligatures w14:val="standardContextual"/>
        </w:rPr>
        <w:t>, dirigida a las entidades sometidas al EGCAP y a las de regímenes exceptuados, así como a proveedores y órganos de control. Encontrarás orientaciones sobre las clases de garantías admisibles, la correspondencia entre riesgos asignados y amparos exigidos, su suficiencia y vigencia, y el procedimiento para hacerlas efectivas. Consúltala aquí: </w:t>
      </w:r>
      <w:hyperlink r:id="rId14" w:tooltip="https://nam02.safelinks.protection.outlook.com/?url=https%3A%2F%2Fwww.colombiacompra.gov.co%2Farchivos%2Fmanual%2Fguia-de-garantias-en-procesos-de-contratacion&amp;data=05%7C02%7Ccarlos.castrillon%40colombiacompra.gov.co%7C7128555136e04fa6887d08dee99e1b50%7C7b0904" w:history="1">
        <w:r w:rsidRPr="00C24744">
          <w:rPr>
            <w:rFonts w:ascii="Verdana" w:eastAsia="Aptos" w:hAnsi="Verdana" w:cs="Times New Roman"/>
            <w:color w:val="0078D7"/>
            <w:kern w:val="2"/>
            <w:u w:val="single"/>
            <w14:ligatures w14:val="standardContextual"/>
          </w:rPr>
          <w:t>https://www.colombiacompra.gov.co/archivos/manual/guia-de-garantias-en-procesos-de-contratacion</w:t>
        </w:r>
      </w:hyperlink>
    </w:p>
    <w:p w14:paraId="31D2191F" w14:textId="77777777" w:rsidR="00C24744" w:rsidRPr="00C24744" w:rsidRDefault="00C24744" w:rsidP="00C24744">
      <w:pPr>
        <w:spacing w:after="0" w:line="276" w:lineRule="auto"/>
        <w:jc w:val="both"/>
        <w:rPr>
          <w:rFonts w:ascii="Verdana" w:eastAsia="Aptos" w:hAnsi="Verdana" w:cs="Times New Roman"/>
          <w:kern w:val="2"/>
          <w14:ligatures w14:val="standardContextual"/>
        </w:rPr>
      </w:pPr>
    </w:p>
    <w:p w14:paraId="641A906D" w14:textId="77777777" w:rsidR="00C24744" w:rsidRPr="00C24744" w:rsidRDefault="00C24744" w:rsidP="00C24744">
      <w:pPr>
        <w:spacing w:after="0" w:line="276" w:lineRule="auto"/>
        <w:jc w:val="both"/>
        <w:rPr>
          <w:rFonts w:ascii="Verdana" w:eastAsia="Aptos" w:hAnsi="Verdana" w:cs="Times New Roman"/>
          <w:kern w:val="2"/>
          <w14:ligatures w14:val="standardContextual"/>
        </w:rPr>
      </w:pPr>
      <w:r w:rsidRPr="00C24744">
        <w:rPr>
          <w:rFonts w:ascii="Verdana" w:eastAsia="Aptos" w:hAnsi="Verdana" w:cs="Times New Roman"/>
          <w:color w:val="000000"/>
          <w:kern w:val="2"/>
          <w14:ligatures w14:val="standardContextual"/>
        </w:rPr>
        <w:t>De otro lado, te contamos que el Decreto 287 del 19 de marzo de 2026 sustituyó los artículos 2.2.1.2.4.2.6., 2.2.1.2.4.2.7. y 2.2.1.2.4.2.8. del Decreto 1082 de 2015 y estructuró el </w:t>
      </w:r>
      <w:r w:rsidRPr="00C24744">
        <w:rPr>
          <w:rFonts w:ascii="Verdana" w:eastAsia="Aptos" w:hAnsi="Verdana" w:cs="Times New Roman"/>
          <w:b/>
          <w:bCs/>
          <w:color w:val="000000"/>
          <w:kern w:val="2"/>
          <w14:ligatures w14:val="standardContextual"/>
        </w:rPr>
        <w:t>Sistema Integral de Preferencias en favor de las personas con discapacidad</w:t>
      </w:r>
      <w:r w:rsidRPr="00C24744">
        <w:rPr>
          <w:rFonts w:ascii="Verdana" w:eastAsia="Aptos" w:hAnsi="Verdana" w:cs="Times New Roman"/>
          <w:color w:val="000000"/>
          <w:kern w:val="2"/>
          <w14:ligatures w14:val="standardContextual"/>
        </w:rPr>
        <w:t>, en cumplimiento del artículo 13 de la Ley Estatutaria 1618 de 2013. Para orientar su aplicación, esta Agencia expidió la </w:t>
      </w:r>
      <w:r w:rsidRPr="00C24744">
        <w:rPr>
          <w:rFonts w:ascii="Verdana" w:eastAsia="Aptos" w:hAnsi="Verdana" w:cs="Times New Roman"/>
          <w:b/>
          <w:bCs/>
          <w:color w:val="000000"/>
          <w:kern w:val="2"/>
          <w14:ligatures w14:val="standardContextual"/>
        </w:rPr>
        <w:t>Circular Externa 003 del 12 de mayo de 2026, </w:t>
      </w:r>
      <w:r w:rsidRPr="00C24744">
        <w:rPr>
          <w:rFonts w:ascii="Verdana" w:eastAsia="Aptos" w:hAnsi="Verdana" w:cs="Times New Roman"/>
          <w:color w:val="000000"/>
          <w:kern w:val="2"/>
          <w14:ligatures w14:val="standardContextual"/>
        </w:rPr>
        <w:t xml:space="preserve">en la que precisa quiénes son los beneficiarios, las cinco medidas que integran el sistema y su obligatoriedad según la modalidad de selección, y el régimen de transición </w:t>
      </w:r>
      <w:r w:rsidRPr="00C24744">
        <w:rPr>
          <w:rFonts w:ascii="Verdana" w:eastAsia="Aptos" w:hAnsi="Verdana" w:cs="Times New Roman"/>
          <w:color w:val="000000"/>
          <w:kern w:val="2"/>
          <w14:ligatures w14:val="standardContextual"/>
        </w:rPr>
        <w:lastRenderedPageBreak/>
        <w:t>aplicable a los procesos en curso. Consúltala aquí: </w:t>
      </w:r>
      <w:hyperlink r:id="rId15" w:tooltip="https://nam02.safelinks.protection.outlook.com/?url=https%3A%2F%2Fwww.colombiacompra.gov.co%2Farchivos%2Fcircular%2Fcircular-externa-003-de-2026&amp;data=05%7C02%7Ccarlos.castrillon%40colombiacompra.gov.co%7C7128555136e04fa6887d08dee99e1b50%7C7b09041e245149d08cb17" w:history="1">
        <w:r w:rsidRPr="00C24744">
          <w:rPr>
            <w:rFonts w:ascii="Verdana" w:eastAsia="Aptos" w:hAnsi="Verdana" w:cs="Times New Roman"/>
            <w:color w:val="0078D7"/>
            <w:kern w:val="2"/>
            <w:u w:val="single"/>
            <w14:ligatures w14:val="standardContextual"/>
          </w:rPr>
          <w:t>https://www.colombiacompra.gov.co/archivos/circular/circular-externa-003-de-2026</w:t>
        </w:r>
      </w:hyperlink>
    </w:p>
    <w:p w14:paraId="6A23A174" w14:textId="77777777" w:rsidR="00C24744" w:rsidRPr="00C24744" w:rsidRDefault="00C24744" w:rsidP="00C24744">
      <w:pPr>
        <w:spacing w:after="0" w:line="276" w:lineRule="auto"/>
        <w:jc w:val="both"/>
        <w:rPr>
          <w:rFonts w:ascii="Verdana" w:eastAsia="Aptos" w:hAnsi="Verdana" w:cs="Times New Roman"/>
          <w:color w:val="000000"/>
          <w:kern w:val="2"/>
          <w14:ligatures w14:val="standardContextual"/>
        </w:rPr>
      </w:pPr>
    </w:p>
    <w:p w14:paraId="73F5C2A4" w14:textId="77777777" w:rsidR="00C24744" w:rsidRPr="00C24744" w:rsidRDefault="00C24744" w:rsidP="00C24744">
      <w:pPr>
        <w:spacing w:after="0" w:line="276" w:lineRule="auto"/>
        <w:jc w:val="both"/>
        <w:rPr>
          <w:rFonts w:ascii="Verdana" w:eastAsia="Aptos" w:hAnsi="Verdana" w:cs="Times New Roman"/>
          <w:kern w:val="2"/>
          <w14:ligatures w14:val="standardContextual"/>
        </w:rPr>
      </w:pPr>
      <w:r w:rsidRPr="00C24744">
        <w:rPr>
          <w:rFonts w:ascii="Verdana" w:eastAsia="Aptos" w:hAnsi="Verdana" w:cs="Times New Roman"/>
          <w:color w:val="000000"/>
          <w:kern w:val="2"/>
          <w14:ligatures w14:val="standardContextual"/>
        </w:rPr>
        <w:t>Recuerda también que la</w:t>
      </w:r>
      <w:r w:rsidRPr="00C24744">
        <w:rPr>
          <w:rFonts w:ascii="Verdana" w:eastAsia="Aptos" w:hAnsi="Verdana" w:cs="Times New Roman"/>
          <w:b/>
          <w:bCs/>
          <w:color w:val="000000"/>
          <w:kern w:val="2"/>
          <w14:ligatures w14:val="standardContextual"/>
        </w:rPr>
        <w:t> información sobre sanciones e inhabilidades </w:t>
      </w:r>
      <w:r w:rsidRPr="00C24744">
        <w:rPr>
          <w:rFonts w:ascii="Verdana" w:eastAsia="Aptos" w:hAnsi="Verdana" w:cs="Times New Roman"/>
          <w:color w:val="000000"/>
          <w:kern w:val="2"/>
          <w14:ligatures w14:val="standardContextual"/>
        </w:rPr>
        <w:t>solo cumple su función preventiva si llega oportunamente a los registros públicos. Sobre este deber, esta Agencia expidió la </w:t>
      </w:r>
      <w:r w:rsidRPr="00C24744">
        <w:rPr>
          <w:rFonts w:ascii="Verdana" w:eastAsia="Aptos" w:hAnsi="Verdana" w:cs="Times New Roman"/>
          <w:b/>
          <w:bCs/>
          <w:color w:val="000000"/>
          <w:kern w:val="2"/>
          <w14:ligatures w14:val="standardContextual"/>
        </w:rPr>
        <w:t>Circular Externa 002 del 5 de mayo de 2026,</w:t>
      </w:r>
      <w:r w:rsidRPr="00C24744">
        <w:rPr>
          <w:rFonts w:ascii="Verdana" w:eastAsia="Aptos" w:hAnsi="Verdana" w:cs="Times New Roman"/>
          <w:color w:val="000000"/>
          <w:kern w:val="2"/>
          <w14:ligatures w14:val="standardContextual"/>
        </w:rPr>
        <w:t> dirigida a todas las entidades del Estado sin distinción de su régimen contractual, en la que reitera la obligatoriedad de reportar caducidades, multas, sanciones, declaratorias de incumplimiento e inhabilidades ante las Cámaras de Comercio, la Procuraduría General de la Nación y el SECOP, e indica los responsables, los portales dispuestos para el efecto y las consecuencias disciplinarias de omitir este deber. Consúltala aquí: </w:t>
      </w:r>
      <w:hyperlink r:id="rId16" w:tooltip="https://nam02.safelinks.protection.outlook.com/?url=https%3A%2F%2Fwww.colombiacompra.gov.co%2Farchivos%2Fcircular%2Fcircular-externa-002-de-2026&amp;data=05%7C02%7Ccarlos.castrillon%40colombiacompra.gov.co%7C7128555136e04fa6887d08dee99e1b50%7C7b09041e245149d08cb17" w:history="1">
        <w:r w:rsidRPr="00C24744">
          <w:rPr>
            <w:rFonts w:ascii="Verdana" w:eastAsia="Aptos" w:hAnsi="Verdana" w:cs="Times New Roman"/>
            <w:color w:val="0078D7"/>
            <w:kern w:val="2"/>
            <w:u w:val="single"/>
            <w14:ligatures w14:val="standardContextual"/>
          </w:rPr>
          <w:t>https://www.colombiacompra.gov.co/archivos/circular/circular-externa-002-de-2026</w:t>
        </w:r>
      </w:hyperlink>
    </w:p>
    <w:p w14:paraId="3639162C" w14:textId="77777777" w:rsidR="00C24744" w:rsidRPr="00C24744" w:rsidRDefault="00C24744" w:rsidP="00C24744">
      <w:pPr>
        <w:spacing w:after="0" w:line="276" w:lineRule="auto"/>
        <w:jc w:val="both"/>
        <w:rPr>
          <w:rFonts w:ascii="Verdana" w:eastAsia="Aptos" w:hAnsi="Verdana" w:cs="Times New Roman"/>
          <w:color w:val="000000"/>
          <w:kern w:val="2"/>
          <w14:ligatures w14:val="standardContextual"/>
        </w:rPr>
      </w:pPr>
    </w:p>
    <w:p w14:paraId="471474EB" w14:textId="77777777" w:rsidR="00C24744" w:rsidRPr="00C24744" w:rsidRDefault="00C24744" w:rsidP="00C24744">
      <w:pPr>
        <w:spacing w:after="0" w:line="276" w:lineRule="auto"/>
        <w:jc w:val="both"/>
        <w:rPr>
          <w:rFonts w:ascii="Verdana" w:eastAsia="Aptos" w:hAnsi="Verdana" w:cs="Times New Roman"/>
          <w:color w:val="000000"/>
          <w:kern w:val="2"/>
          <w14:ligatures w14:val="standardContextual"/>
        </w:rPr>
      </w:pPr>
      <w:r w:rsidRPr="00C24744">
        <w:rPr>
          <w:rFonts w:ascii="Verdana" w:eastAsia="Aptos" w:hAnsi="Verdana" w:cs="Times New Roman"/>
          <w:color w:val="000000"/>
          <w:kern w:val="2"/>
          <w14:ligatures w14:val="standardContextual"/>
        </w:rPr>
        <w:t>Finalmente, si quieres seguir de cerca la actividad de la Agencia, la tercera edición de 2026 del</w:t>
      </w:r>
      <w:r w:rsidRPr="00C24744">
        <w:rPr>
          <w:rFonts w:ascii="Verdana" w:eastAsia="Aptos" w:hAnsi="Verdana" w:cs="Times New Roman"/>
          <w:b/>
          <w:bCs/>
          <w:color w:val="000000"/>
          <w:kern w:val="2"/>
          <w14:ligatures w14:val="standardContextual"/>
        </w:rPr>
        <w:t> Radar de la Compra Pública</w:t>
      </w:r>
      <w:r w:rsidRPr="00C24744">
        <w:rPr>
          <w:rFonts w:ascii="Verdana" w:eastAsia="Aptos" w:hAnsi="Verdana" w:cs="Times New Roman"/>
          <w:color w:val="000000"/>
          <w:kern w:val="2"/>
          <w14:ligatures w14:val="standardContextual"/>
        </w:rPr>
        <w:t> reúne, entre otros contenidos, la Circular Externa 003 de 2026, el Decreto 552 de 2026, un estudio sobre inteligencia artificial en la compra pública, los avances de la Relatoría, análisis jurisprudencial, conceptos jurídicos destacados y la oferta de la Escuela Virtual ANCP-CCE. Descárgalo aquí: </w:t>
      </w:r>
      <w:hyperlink r:id="rId17" w:tooltip="https://nam02.safelinks.protection.outlook.com/?url=https%3A%2F%2Fwww.colombiacompra.gov.co%2Farchivos%2Fboletin%2Fboletin-edicion-n-3-de-2026-radar-de-la-compra-publica&amp;data=05%7C02%7Ccarlos.castrillon%40colombiacompra.gov.co%7C7128555136e04fa6887d08dee99e1b5" w:history="1">
        <w:r w:rsidRPr="00C24744">
          <w:rPr>
            <w:rFonts w:ascii="Verdana" w:eastAsia="Aptos" w:hAnsi="Verdana" w:cs="Times New Roman"/>
            <w:color w:val="0078D7"/>
            <w:kern w:val="2"/>
            <w:u w:val="single"/>
            <w14:ligatures w14:val="standardContextual"/>
          </w:rPr>
          <w:t>https://www.colombiacompra.gov.co/archivos/boletin/boletin-edicion-n-3-de-2026-radar-de-la-compra-publica</w:t>
        </w:r>
      </w:hyperlink>
      <w:r w:rsidRPr="00C24744">
        <w:rPr>
          <w:rFonts w:ascii="Verdana" w:eastAsia="Aptos" w:hAnsi="Verdana" w:cs="Times New Roman"/>
          <w:color w:val="000000"/>
          <w:kern w:val="2"/>
          <w14:ligatures w14:val="standardContextual"/>
        </w:rPr>
        <w:t>"</w:t>
      </w:r>
    </w:p>
    <w:p w14:paraId="76D63A87" w14:textId="77777777" w:rsidR="00C24744" w:rsidRPr="00C24744" w:rsidRDefault="00C24744" w:rsidP="00C24744">
      <w:pPr>
        <w:spacing w:after="0" w:line="276" w:lineRule="auto"/>
        <w:jc w:val="both"/>
        <w:rPr>
          <w:rFonts w:ascii="Verdana" w:eastAsia="Aptos" w:hAnsi="Verdana" w:cs="Times New Roman"/>
          <w:color w:val="000000"/>
          <w:kern w:val="2"/>
          <w14:ligatures w14:val="standardContextual"/>
        </w:rPr>
      </w:pPr>
    </w:p>
    <w:p w14:paraId="1390411C" w14:textId="77777777" w:rsidR="00C24744" w:rsidRPr="00C24744" w:rsidRDefault="00C24744" w:rsidP="00C24744">
      <w:pPr>
        <w:spacing w:after="0" w:line="276" w:lineRule="auto"/>
        <w:jc w:val="both"/>
        <w:rPr>
          <w:rFonts w:ascii="Verdana" w:eastAsia="Aptos" w:hAnsi="Verdana" w:cs="Times New Roman"/>
          <w:kern w:val="2"/>
          <w:lang w:eastAsia="es-MX"/>
          <w14:ligatures w14:val="standardContextual"/>
        </w:rPr>
      </w:pPr>
      <w:r w:rsidRPr="00C24744">
        <w:rPr>
          <w:rFonts w:ascii="Verdana" w:eastAsia="Aptos" w:hAnsi="Verdana" w:cs="Times New Roman"/>
          <w:kern w:val="2"/>
          <w:lang w:eastAsia="es-MX"/>
          <w14:ligatures w14:val="standardContextual"/>
        </w:rPr>
        <w:t xml:space="preserve">Por último, lo invitamos a seguirnos en las redes sociales en las cuales se difunde información institucional: </w:t>
      </w:r>
    </w:p>
    <w:p w14:paraId="201E9096" w14:textId="77777777" w:rsidR="00C24744" w:rsidRPr="00C24744" w:rsidRDefault="00C24744" w:rsidP="00C24744">
      <w:pPr>
        <w:spacing w:after="0" w:line="276" w:lineRule="auto"/>
        <w:jc w:val="both"/>
        <w:rPr>
          <w:rFonts w:ascii="Verdana" w:eastAsia="Calibri" w:hAnsi="Verdana" w:cs="Times New Roman"/>
          <w:kern w:val="2"/>
          <w:lang w:eastAsia="es-MX"/>
          <w14:ligatures w14:val="standardContextual"/>
        </w:rPr>
      </w:pPr>
    </w:p>
    <w:p w14:paraId="4F9D93EC" w14:textId="77777777" w:rsidR="00C24744" w:rsidRPr="00C24744" w:rsidRDefault="00C24744" w:rsidP="00C24744">
      <w:pPr>
        <w:spacing w:after="0" w:line="276" w:lineRule="auto"/>
        <w:jc w:val="both"/>
        <w:rPr>
          <w:rFonts w:ascii="Verdana" w:eastAsia="Aptos" w:hAnsi="Verdana" w:cs="Times New Roman"/>
          <w:kern w:val="2"/>
          <w:lang w:eastAsia="es-MX"/>
          <w14:ligatures w14:val="standardContextual"/>
        </w:rPr>
      </w:pPr>
      <w:r w:rsidRPr="00C24744">
        <w:rPr>
          <w:rFonts w:ascii="Verdana" w:eastAsia="Aptos" w:hAnsi="Verdana" w:cs="Times New Roman"/>
          <w:kern w:val="2"/>
          <w:lang w:eastAsia="es-MX"/>
          <w14:ligatures w14:val="standardContextual"/>
        </w:rPr>
        <w:t xml:space="preserve">Twitter: </w:t>
      </w:r>
      <w:r w:rsidRPr="00C24744">
        <w:rPr>
          <w:rFonts w:ascii="Verdana" w:eastAsia="Calibri" w:hAnsi="Verdana" w:cs="Times New Roman"/>
          <w:color w:val="156082"/>
          <w:kern w:val="2"/>
          <w:u w:val="single"/>
          <w:lang w:eastAsia="es-MX"/>
          <w14:ligatures w14:val="standardContextual"/>
        </w:rPr>
        <w:t>@colombiacompra</w:t>
      </w:r>
      <w:r w:rsidRPr="00C24744">
        <w:rPr>
          <w:rFonts w:ascii="Verdana" w:eastAsia="Calibri" w:hAnsi="Verdana" w:cs="Times New Roman"/>
          <w:color w:val="156082"/>
          <w:kern w:val="2"/>
          <w:lang w:eastAsia="es-MX"/>
          <w14:ligatures w14:val="standardContextual"/>
        </w:rPr>
        <w:t xml:space="preserve"> </w:t>
      </w:r>
    </w:p>
    <w:p w14:paraId="6B409EDF" w14:textId="77777777" w:rsidR="00C24744" w:rsidRPr="00C24744" w:rsidRDefault="00C24744" w:rsidP="00C24744">
      <w:pPr>
        <w:spacing w:after="0" w:line="276" w:lineRule="auto"/>
        <w:jc w:val="both"/>
        <w:rPr>
          <w:rFonts w:ascii="Verdana" w:eastAsia="Aptos" w:hAnsi="Verdana" w:cs="Times New Roman"/>
          <w:kern w:val="2"/>
          <w:lang w:eastAsia="es-MX"/>
          <w14:ligatures w14:val="standardContextual"/>
        </w:rPr>
      </w:pPr>
      <w:r w:rsidRPr="00C24744">
        <w:rPr>
          <w:rFonts w:ascii="Verdana" w:eastAsia="Aptos" w:hAnsi="Verdana" w:cs="Times New Roman"/>
          <w:kern w:val="2"/>
          <w:lang w:eastAsia="es-MX"/>
          <w14:ligatures w14:val="standardContextual"/>
        </w:rPr>
        <w:t xml:space="preserve">Facebook: </w:t>
      </w:r>
      <w:proofErr w:type="spellStart"/>
      <w:r w:rsidRPr="00C24744">
        <w:rPr>
          <w:rFonts w:ascii="Verdana" w:eastAsia="Calibri" w:hAnsi="Verdana" w:cs="Times New Roman"/>
          <w:color w:val="156082"/>
          <w:kern w:val="2"/>
          <w:u w:val="single"/>
          <w:lang w:eastAsia="es-MX"/>
          <w14:ligatures w14:val="standardContextual"/>
        </w:rPr>
        <w:t>ColombiaCompraEficiente</w:t>
      </w:r>
      <w:proofErr w:type="spellEnd"/>
    </w:p>
    <w:p w14:paraId="291BBE8F" w14:textId="77777777" w:rsidR="00C24744" w:rsidRPr="00C24744" w:rsidRDefault="00C24744" w:rsidP="00C24744">
      <w:pPr>
        <w:spacing w:after="0" w:line="276" w:lineRule="auto"/>
        <w:jc w:val="both"/>
        <w:rPr>
          <w:rFonts w:ascii="Verdana" w:eastAsia="Aptos" w:hAnsi="Verdana" w:cs="Times New Roman"/>
          <w:kern w:val="2"/>
          <w:lang w:eastAsia="es-MX"/>
          <w14:ligatures w14:val="standardContextual"/>
        </w:rPr>
      </w:pPr>
      <w:r w:rsidRPr="00C24744">
        <w:rPr>
          <w:rFonts w:ascii="Verdana" w:eastAsia="Aptos" w:hAnsi="Verdana" w:cs="Times New Roman"/>
          <w:kern w:val="2"/>
          <w:lang w:eastAsia="es-MX"/>
          <w14:ligatures w14:val="standardContextual"/>
        </w:rPr>
        <w:t xml:space="preserve">LinkedIn: </w:t>
      </w:r>
      <w:r w:rsidRPr="00C24744">
        <w:rPr>
          <w:rFonts w:ascii="Verdana" w:eastAsia="Calibri" w:hAnsi="Verdana" w:cs="Times New Roman"/>
          <w:color w:val="156082"/>
          <w:kern w:val="2"/>
          <w:u w:val="single"/>
          <w:lang w:eastAsia="es-MX"/>
          <w14:ligatures w14:val="standardContextual"/>
        </w:rPr>
        <w:t>Agencia Nacional de Contratación Pública - Colombia Compra Eficiente</w:t>
      </w:r>
      <w:r w:rsidRPr="00C24744">
        <w:rPr>
          <w:rFonts w:ascii="Verdana" w:eastAsia="Calibri" w:hAnsi="Verdana" w:cs="Times New Roman"/>
          <w:color w:val="156082"/>
          <w:kern w:val="2"/>
          <w:lang w:eastAsia="es-MX"/>
          <w14:ligatures w14:val="standardContextual"/>
        </w:rPr>
        <w:t xml:space="preserve"> </w:t>
      </w:r>
      <w:r w:rsidRPr="00C24744">
        <w:rPr>
          <w:rFonts w:ascii="Verdana" w:eastAsia="Aptos" w:hAnsi="Verdana" w:cs="Times New Roman"/>
          <w:kern w:val="2"/>
          <w:lang w:eastAsia="es-MX"/>
          <w14:ligatures w14:val="standardContextual"/>
        </w:rPr>
        <w:t xml:space="preserve">Instagram: </w:t>
      </w:r>
      <w:r w:rsidRPr="00C24744">
        <w:rPr>
          <w:rFonts w:ascii="Verdana" w:eastAsia="Calibri" w:hAnsi="Verdana" w:cs="Times New Roman"/>
          <w:color w:val="156082"/>
          <w:kern w:val="2"/>
          <w:u w:val="single"/>
          <w:lang w:eastAsia="es-MX"/>
          <w14:ligatures w14:val="standardContextual"/>
        </w:rPr>
        <w:t>@colombiacompraeficiente_cce</w:t>
      </w:r>
    </w:p>
    <w:p w14:paraId="286A3CDB" w14:textId="77777777" w:rsidR="00C24744" w:rsidRPr="00C24744" w:rsidRDefault="00C24744" w:rsidP="00C24744">
      <w:pPr>
        <w:spacing w:after="0" w:line="276" w:lineRule="auto"/>
        <w:jc w:val="both"/>
        <w:rPr>
          <w:rFonts w:ascii="Verdana" w:eastAsia="Aptos" w:hAnsi="Verdana" w:cs="Times New Roman"/>
          <w:kern w:val="2"/>
          <w:lang w:eastAsia="es-MX"/>
          <w14:ligatures w14:val="standardContextual"/>
        </w:rPr>
      </w:pPr>
    </w:p>
    <w:p w14:paraId="0EAD6D49" w14:textId="77777777" w:rsidR="00C24744" w:rsidRPr="00C24744" w:rsidRDefault="00C24744" w:rsidP="00C24744">
      <w:pPr>
        <w:spacing w:after="0" w:line="276" w:lineRule="auto"/>
        <w:jc w:val="both"/>
        <w:rPr>
          <w:rFonts w:ascii="Verdana" w:eastAsia="Calibri" w:hAnsi="Verdana" w:cs="Times New Roman"/>
          <w:bCs/>
          <w:kern w:val="2"/>
          <w:lang w:val="es-ES_tradnl" w:eastAsia="es-MX"/>
          <w14:ligatures w14:val="standardContextual"/>
        </w:rPr>
      </w:pPr>
      <w:r w:rsidRPr="00C24744">
        <w:rPr>
          <w:rFonts w:ascii="Verdana" w:eastAsia="Calibri" w:hAnsi="Verdana" w:cs="Times New Roman"/>
          <w:kern w:val="2"/>
          <w:lang w:val="es-ES_tradnl" w:eastAsia="es-MX"/>
          <w14:ligatures w14:val="standardContextual"/>
        </w:rPr>
        <w:t xml:space="preserve">Este concepto tiene el alcance previsto en el artículo 28 del Código de Procedimiento Administrativo y de lo Contencioso Administrativo y las </w:t>
      </w:r>
      <w:r w:rsidRPr="00C24744">
        <w:rPr>
          <w:rFonts w:ascii="Verdana" w:eastAsia="Calibri" w:hAnsi="Verdana" w:cs="Times New Roman"/>
          <w:kern w:val="2"/>
          <w:lang w:val="es-ES_tradnl" w:eastAsia="es-MX"/>
          <w14:ligatures w14:val="standardContextual"/>
        </w:rPr>
        <w:lastRenderedPageBreak/>
        <w:t>expresiones utilizadas con mayúscula inicial deben ser entendidas con el significado que les otorga el artículo 2.2.1.1.1.3.1 del Decreto 1082 de 2015.</w:t>
      </w:r>
    </w:p>
    <w:p w14:paraId="2E464730" w14:textId="77777777" w:rsidR="00C24744" w:rsidRPr="00C24744" w:rsidRDefault="00C24744" w:rsidP="00C24744">
      <w:pPr>
        <w:spacing w:after="0" w:line="276" w:lineRule="auto"/>
        <w:jc w:val="both"/>
        <w:rPr>
          <w:rFonts w:ascii="Verdana" w:eastAsia="Calibri" w:hAnsi="Verdana" w:cs="Times New Roman"/>
          <w:kern w:val="2"/>
          <w:lang w:eastAsia="es-MX"/>
          <w14:ligatures w14:val="standardContextual"/>
        </w:rPr>
      </w:pPr>
    </w:p>
    <w:p w14:paraId="5925C2B8" w14:textId="77777777" w:rsidR="00C24744" w:rsidRPr="00C24744" w:rsidRDefault="00C24744" w:rsidP="00C24744">
      <w:pPr>
        <w:spacing w:after="0" w:line="276" w:lineRule="auto"/>
        <w:jc w:val="both"/>
        <w:rPr>
          <w:rFonts w:ascii="Verdana" w:eastAsia="Calibri" w:hAnsi="Verdana" w:cs="Times New Roman"/>
          <w:kern w:val="2"/>
          <w:lang w:eastAsia="es-MX"/>
          <w14:ligatures w14:val="standardContextual"/>
        </w:rPr>
      </w:pPr>
      <w:r w:rsidRPr="00C24744">
        <w:rPr>
          <w:rFonts w:ascii="Verdana" w:eastAsia="Calibri" w:hAnsi="Verdana" w:cs="Times New Roman"/>
          <w:kern w:val="2"/>
          <w:lang w:eastAsia="es-MX"/>
          <w14:ligatures w14:val="standardContextual"/>
        </w:rPr>
        <w:t>Atentamente,</w:t>
      </w:r>
    </w:p>
    <w:p w14:paraId="18ABF539" w14:textId="1EF8BE89" w:rsidR="00C24744" w:rsidRPr="00C24744" w:rsidRDefault="008F149C" w:rsidP="00C24744">
      <w:pPr>
        <w:tabs>
          <w:tab w:val="left" w:pos="1320"/>
        </w:tabs>
        <w:spacing w:after="0" w:line="278" w:lineRule="auto"/>
        <w:jc w:val="center"/>
        <w:rPr>
          <w:rFonts w:ascii="Century Gothic" w:eastAsia="Calibri" w:hAnsi="Century Gothic" w:cs="Times New Roman"/>
          <w:kern w:val="2"/>
          <w:sz w:val="24"/>
          <w:szCs w:val="24"/>
          <w:lang w:eastAsia="es-MX"/>
          <w14:ligatures w14:val="standardContextual"/>
        </w:rPr>
      </w:pPr>
      <w:r>
        <w:rPr>
          <w:rFonts w:ascii="Century Gothic" w:eastAsia="Calibri" w:hAnsi="Century Gothic" w:cs="Times New Roman"/>
          <w:noProof/>
          <w:kern w:val="2"/>
          <w:sz w:val="24"/>
          <w:szCs w:val="24"/>
          <w:lang w:eastAsia="es-MX"/>
        </w:rPr>
        <w:drawing>
          <wp:inline distT="0" distB="0" distL="0" distR="0" wp14:anchorId="47B24CA2" wp14:editId="2FDE58A7">
            <wp:extent cx="3771900" cy="1400175"/>
            <wp:effectExtent l="0" t="0" r="0" b="9525"/>
            <wp:docPr id="114104483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1044837" name="Imagen 1141044837"/>
                    <pic:cNvPicPr/>
                  </pic:nvPicPr>
                  <pic:blipFill>
                    <a:blip r:embed="rId18">
                      <a:extLst>
                        <a:ext uri="{28A0092B-C50C-407E-A947-70E740481C1C}">
                          <a14:useLocalDpi xmlns:a14="http://schemas.microsoft.com/office/drawing/2010/main" val="0"/>
                        </a:ext>
                      </a:extLst>
                    </a:blip>
                    <a:stretch>
                      <a:fillRect/>
                    </a:stretch>
                  </pic:blipFill>
                  <pic:spPr>
                    <a:xfrm>
                      <a:off x="0" y="0"/>
                      <a:ext cx="3771900" cy="1400175"/>
                    </a:xfrm>
                    <a:prstGeom prst="rect">
                      <a:avLst/>
                    </a:prstGeom>
                  </pic:spPr>
                </pic:pic>
              </a:graphicData>
            </a:graphic>
          </wp:inline>
        </w:drawing>
      </w:r>
    </w:p>
    <w:p w14:paraId="17EB4029" w14:textId="77777777" w:rsidR="00C24744" w:rsidRPr="00C24744" w:rsidRDefault="00C24744" w:rsidP="00C24744">
      <w:pPr>
        <w:tabs>
          <w:tab w:val="left" w:pos="1320"/>
        </w:tabs>
        <w:spacing w:after="0"/>
        <w:rPr>
          <w:rFonts w:ascii="Century Gothic" w:eastAsia="Calibri" w:hAnsi="Century Gothic" w:cs="Times New Roman"/>
          <w:lang w:eastAsia="es-MX"/>
        </w:rPr>
      </w:pPr>
    </w:p>
    <w:tbl>
      <w:tblPr>
        <w:tblStyle w:val="Tablaconcuadrcula"/>
        <w:tblW w:w="760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41"/>
        <w:gridCol w:w="6561"/>
      </w:tblGrid>
      <w:tr w:rsidR="00C24744" w:rsidRPr="00C24744" w14:paraId="52B23D2C" w14:textId="77777777" w:rsidTr="009E3879">
        <w:trPr>
          <w:trHeight w:val="323"/>
        </w:trPr>
        <w:tc>
          <w:tcPr>
            <w:tcW w:w="1041" w:type="dxa"/>
            <w:vAlign w:val="center"/>
            <w:hideMark/>
          </w:tcPr>
          <w:p w14:paraId="37091E11" w14:textId="77777777" w:rsidR="00C24744" w:rsidRPr="00C24744" w:rsidRDefault="00C24744" w:rsidP="00C24744">
            <w:pPr>
              <w:rPr>
                <w:rFonts w:ascii="Verdana" w:eastAsia="Calibri" w:hAnsi="Verdana" w:cs="Arial"/>
                <w:sz w:val="16"/>
                <w:szCs w:val="16"/>
                <w:lang w:val="es-ES_tradnl" w:eastAsia="es-ES"/>
              </w:rPr>
            </w:pPr>
            <w:r w:rsidRPr="00C24744">
              <w:rPr>
                <w:rFonts w:ascii="Verdana" w:eastAsia="Calibri" w:hAnsi="Verdana" w:cs="Arial"/>
                <w:sz w:val="16"/>
                <w:szCs w:val="16"/>
                <w:lang w:val="es-ES_tradnl" w:eastAsia="es-ES"/>
              </w:rPr>
              <w:t>Elaboró:</w:t>
            </w:r>
          </w:p>
        </w:tc>
        <w:tc>
          <w:tcPr>
            <w:tcW w:w="6561" w:type="dxa"/>
            <w:tcBorders>
              <w:top w:val="nil"/>
              <w:left w:val="nil"/>
              <w:bottom w:val="dotted" w:sz="4" w:space="0" w:color="7F7F7F"/>
              <w:right w:val="nil"/>
            </w:tcBorders>
            <w:vAlign w:val="center"/>
            <w:hideMark/>
          </w:tcPr>
          <w:p w14:paraId="73D33C5A" w14:textId="77777777" w:rsidR="00C24744" w:rsidRPr="00C24744" w:rsidRDefault="00C24744" w:rsidP="00C24744">
            <w:pPr>
              <w:rPr>
                <w:rFonts w:ascii="Verdana" w:eastAsia="Arial" w:hAnsi="Verdana" w:cs="Arial"/>
                <w:sz w:val="16"/>
                <w:szCs w:val="16"/>
                <w:lang w:val="es-ES" w:eastAsia="es-MX"/>
              </w:rPr>
            </w:pPr>
            <w:r w:rsidRPr="00C24744">
              <w:rPr>
                <w:rFonts w:ascii="Verdana" w:eastAsia="Arial" w:hAnsi="Verdana" w:cs="Arial"/>
                <w:sz w:val="16"/>
                <w:szCs w:val="16"/>
                <w:lang w:val="es-ES" w:eastAsia="es-MX"/>
              </w:rPr>
              <w:t xml:space="preserve">Carlos Mario Castrillón Endo </w:t>
            </w:r>
          </w:p>
          <w:p w14:paraId="09BF4228" w14:textId="77777777" w:rsidR="00C24744" w:rsidRPr="00C24744" w:rsidRDefault="00C24744" w:rsidP="00C24744">
            <w:pPr>
              <w:rPr>
                <w:rFonts w:ascii="Verdana" w:eastAsia="Arial" w:hAnsi="Verdana" w:cs="Arial"/>
                <w:sz w:val="16"/>
                <w:szCs w:val="16"/>
                <w:lang w:val="es-ES_tradnl" w:eastAsia="es-MX"/>
              </w:rPr>
            </w:pPr>
            <w:r w:rsidRPr="00C24744">
              <w:rPr>
                <w:rFonts w:ascii="Verdana" w:eastAsia="Arial" w:hAnsi="Verdana" w:cs="Arial"/>
                <w:sz w:val="16"/>
                <w:szCs w:val="16"/>
                <w:lang w:val="es-ES_tradnl" w:eastAsia="es-MX"/>
              </w:rPr>
              <w:t>Contratista de la Subdirección de Gestión Contractual</w:t>
            </w:r>
          </w:p>
          <w:p w14:paraId="0959BCF2" w14:textId="77777777" w:rsidR="00C24744" w:rsidRPr="00C24744" w:rsidRDefault="00C24744" w:rsidP="00C24744">
            <w:pPr>
              <w:rPr>
                <w:rFonts w:ascii="Verdana" w:eastAsia="Arial" w:hAnsi="Verdana" w:cs="Arial"/>
                <w:sz w:val="16"/>
                <w:szCs w:val="16"/>
                <w:lang w:val="es-ES_tradnl" w:eastAsia="es-MX"/>
              </w:rPr>
            </w:pPr>
          </w:p>
        </w:tc>
      </w:tr>
      <w:tr w:rsidR="00C24744" w:rsidRPr="00C24744" w14:paraId="61369031" w14:textId="77777777" w:rsidTr="009E3879">
        <w:trPr>
          <w:trHeight w:val="338"/>
        </w:trPr>
        <w:tc>
          <w:tcPr>
            <w:tcW w:w="1041" w:type="dxa"/>
            <w:vAlign w:val="center"/>
            <w:hideMark/>
          </w:tcPr>
          <w:p w14:paraId="1AE18FBD" w14:textId="77777777" w:rsidR="00C24744" w:rsidRPr="00C24744" w:rsidRDefault="00C24744" w:rsidP="00C24744">
            <w:pPr>
              <w:rPr>
                <w:rFonts w:ascii="Verdana" w:eastAsia="Calibri" w:hAnsi="Verdana" w:cs="Arial"/>
                <w:sz w:val="16"/>
                <w:szCs w:val="16"/>
                <w:lang w:val="es-ES_tradnl" w:eastAsia="es-ES"/>
              </w:rPr>
            </w:pPr>
            <w:r w:rsidRPr="00C24744">
              <w:rPr>
                <w:rFonts w:ascii="Verdana" w:eastAsia="Calibri" w:hAnsi="Verdana" w:cs="Arial"/>
                <w:sz w:val="16"/>
                <w:szCs w:val="16"/>
                <w:lang w:val="es-ES_tradnl" w:eastAsia="es-ES"/>
              </w:rPr>
              <w:t>Revisó:</w:t>
            </w:r>
          </w:p>
        </w:tc>
        <w:tc>
          <w:tcPr>
            <w:tcW w:w="6561" w:type="dxa"/>
            <w:tcBorders>
              <w:top w:val="dotted" w:sz="4" w:space="0" w:color="7F7F7F"/>
              <w:left w:val="nil"/>
              <w:bottom w:val="dotted" w:sz="4" w:space="0" w:color="7F7F7F"/>
              <w:right w:val="nil"/>
            </w:tcBorders>
            <w:vAlign w:val="center"/>
            <w:hideMark/>
          </w:tcPr>
          <w:p w14:paraId="5A53F577" w14:textId="77777777" w:rsidR="00C24744" w:rsidRPr="00C24744" w:rsidRDefault="00C24744" w:rsidP="00C24744">
            <w:pPr>
              <w:rPr>
                <w:rFonts w:ascii="Verdana" w:eastAsia="Arial" w:hAnsi="Verdana" w:cs="Arial"/>
                <w:sz w:val="16"/>
                <w:szCs w:val="16"/>
                <w:lang w:val="es-ES" w:eastAsia="es-MX"/>
              </w:rPr>
            </w:pPr>
            <w:r w:rsidRPr="00C24744">
              <w:rPr>
                <w:rFonts w:ascii="Verdana" w:eastAsia="Arial" w:hAnsi="Verdana" w:cs="Arial"/>
                <w:sz w:val="16"/>
                <w:szCs w:val="16"/>
                <w:lang w:val="es-ES" w:eastAsia="es-MX"/>
              </w:rPr>
              <w:t>Alexandra Rodríguez Motta</w:t>
            </w:r>
          </w:p>
          <w:p w14:paraId="61FCABB9" w14:textId="77777777" w:rsidR="00C24744" w:rsidRPr="00C24744" w:rsidRDefault="00C24744" w:rsidP="00C24744">
            <w:pPr>
              <w:rPr>
                <w:rFonts w:ascii="Verdana" w:eastAsia="Arial" w:hAnsi="Verdana" w:cs="Arial"/>
                <w:sz w:val="16"/>
                <w:szCs w:val="16"/>
                <w:lang w:val="es-ES" w:eastAsia="es-MX"/>
              </w:rPr>
            </w:pPr>
            <w:r w:rsidRPr="00C24744">
              <w:rPr>
                <w:rFonts w:ascii="Verdana" w:eastAsia="Arial" w:hAnsi="Verdana" w:cs="Arial"/>
                <w:sz w:val="16"/>
                <w:szCs w:val="16"/>
                <w:lang w:val="es-ES_tradnl" w:eastAsia="es-MX"/>
              </w:rPr>
              <w:t>Contratista de la Subdirección de Gestión Contractual</w:t>
            </w:r>
          </w:p>
          <w:p w14:paraId="3554BBB6" w14:textId="77777777" w:rsidR="00C24744" w:rsidRPr="00C24744" w:rsidRDefault="00C24744" w:rsidP="00C24744">
            <w:pPr>
              <w:rPr>
                <w:rFonts w:ascii="Verdana" w:eastAsia="Arial" w:hAnsi="Verdana" w:cs="Arial"/>
                <w:sz w:val="16"/>
                <w:szCs w:val="16"/>
                <w:lang w:val="es-ES_tradnl" w:eastAsia="es-MX"/>
              </w:rPr>
            </w:pPr>
            <w:r w:rsidRPr="00C24744">
              <w:rPr>
                <w:rFonts w:ascii="Verdana" w:eastAsia="Arial" w:hAnsi="Verdana" w:cs="Arial"/>
                <w:sz w:val="16"/>
                <w:szCs w:val="16"/>
                <w:lang w:val="es-ES_tradnl" w:eastAsia="es-MX"/>
              </w:rPr>
              <w:t xml:space="preserve">Juan David Cárdenas Cabezas </w:t>
            </w:r>
          </w:p>
          <w:p w14:paraId="0EB2175A" w14:textId="77777777" w:rsidR="00C24744" w:rsidRPr="00C24744" w:rsidRDefault="00C24744" w:rsidP="00C24744">
            <w:pPr>
              <w:rPr>
                <w:rFonts w:ascii="Verdana" w:eastAsia="Arial" w:hAnsi="Verdana" w:cs="Arial"/>
                <w:sz w:val="16"/>
                <w:szCs w:val="16"/>
                <w:lang w:val="es-ES" w:eastAsia="es-MX"/>
              </w:rPr>
            </w:pPr>
            <w:r w:rsidRPr="00C24744">
              <w:rPr>
                <w:rFonts w:ascii="Verdana" w:eastAsia="Arial" w:hAnsi="Verdana" w:cs="Arial"/>
                <w:sz w:val="16"/>
                <w:szCs w:val="16"/>
                <w:lang w:val="es-ES_tradnl" w:eastAsia="es-MX"/>
              </w:rPr>
              <w:t>Contratista de la Subdirección de Gestión Contractual</w:t>
            </w:r>
          </w:p>
        </w:tc>
      </w:tr>
      <w:tr w:rsidR="00C24744" w:rsidRPr="00C24744" w14:paraId="4772FF6B" w14:textId="77777777" w:rsidTr="009E3879">
        <w:trPr>
          <w:trHeight w:val="308"/>
        </w:trPr>
        <w:tc>
          <w:tcPr>
            <w:tcW w:w="1041" w:type="dxa"/>
            <w:vAlign w:val="center"/>
          </w:tcPr>
          <w:p w14:paraId="05467FFF" w14:textId="77777777" w:rsidR="00C24744" w:rsidRPr="00C24744" w:rsidRDefault="00C24744" w:rsidP="00C24744">
            <w:pPr>
              <w:rPr>
                <w:rFonts w:ascii="Verdana" w:eastAsia="Calibri" w:hAnsi="Verdana" w:cs="Arial"/>
                <w:sz w:val="16"/>
                <w:szCs w:val="16"/>
                <w:lang w:val="es-ES_tradnl" w:eastAsia="es-ES"/>
              </w:rPr>
            </w:pPr>
            <w:r w:rsidRPr="00C24744">
              <w:rPr>
                <w:rFonts w:ascii="Verdana" w:eastAsia="Calibri" w:hAnsi="Verdana" w:cs="Arial"/>
                <w:sz w:val="16"/>
                <w:szCs w:val="16"/>
                <w:lang w:val="es-ES_tradnl" w:eastAsia="es-ES"/>
              </w:rPr>
              <w:t>Aprobó:</w:t>
            </w:r>
          </w:p>
        </w:tc>
        <w:tc>
          <w:tcPr>
            <w:tcW w:w="6561" w:type="dxa"/>
            <w:tcBorders>
              <w:top w:val="dotted" w:sz="4" w:space="0" w:color="7F7F7F"/>
              <w:left w:val="nil"/>
              <w:bottom w:val="dotted" w:sz="4" w:space="0" w:color="7F7F7F"/>
              <w:right w:val="nil"/>
            </w:tcBorders>
            <w:vAlign w:val="center"/>
          </w:tcPr>
          <w:p w14:paraId="7CA90517" w14:textId="77777777" w:rsidR="00C24744" w:rsidRPr="00C24744" w:rsidRDefault="00C24744" w:rsidP="00C24744">
            <w:pPr>
              <w:rPr>
                <w:rFonts w:ascii="Verdana" w:eastAsia="Calibri" w:hAnsi="Verdana" w:cs="Arial"/>
                <w:sz w:val="16"/>
                <w:szCs w:val="16"/>
                <w:lang w:val="es-ES" w:eastAsia="es-ES"/>
              </w:rPr>
            </w:pPr>
            <w:r w:rsidRPr="00C24744">
              <w:rPr>
                <w:rFonts w:ascii="Verdana" w:eastAsia="Calibri" w:hAnsi="Verdana" w:cs="Arial"/>
                <w:sz w:val="16"/>
                <w:szCs w:val="16"/>
                <w:lang w:val="es-ES" w:eastAsia="es-ES"/>
              </w:rPr>
              <w:t>Carolina Quintero Gacharná</w:t>
            </w:r>
          </w:p>
          <w:p w14:paraId="7B35510B" w14:textId="77777777" w:rsidR="00C24744" w:rsidRPr="00C24744" w:rsidRDefault="00C24744" w:rsidP="00C24744">
            <w:pPr>
              <w:rPr>
                <w:rFonts w:ascii="Verdana" w:eastAsia="Calibri" w:hAnsi="Verdana" w:cs="Arial"/>
                <w:sz w:val="16"/>
                <w:szCs w:val="16"/>
                <w:lang w:val="es-ES_tradnl" w:eastAsia="es-ES"/>
              </w:rPr>
            </w:pPr>
            <w:r w:rsidRPr="00C24744">
              <w:rPr>
                <w:rFonts w:ascii="Verdana" w:eastAsia="Calibri" w:hAnsi="Verdana" w:cs="Arial"/>
                <w:sz w:val="16"/>
                <w:szCs w:val="16"/>
                <w:lang w:val="es-ES_tradnl" w:eastAsia="es-ES"/>
              </w:rPr>
              <w:t>Subdirectora de Gestión Contractual ANCP – CCE</w:t>
            </w:r>
          </w:p>
        </w:tc>
      </w:tr>
    </w:tbl>
    <w:p w14:paraId="7C9026E2" w14:textId="55C8C9F9" w:rsidR="002A0DD0" w:rsidRPr="00E02524" w:rsidRDefault="002A0DD0" w:rsidP="00C24744">
      <w:pPr>
        <w:spacing w:after="0" w:line="240" w:lineRule="auto"/>
        <w:textAlignment w:val="baseline"/>
        <w:rPr>
          <w:rFonts w:ascii="Verdana" w:eastAsia="Verdana" w:hAnsi="Verdana" w:cs="Verdana"/>
          <w:b/>
          <w:bCs/>
          <w:lang w:val="es-MX"/>
        </w:rPr>
      </w:pPr>
    </w:p>
    <w:p w14:paraId="1006A388" w14:textId="77777777" w:rsidR="00C15139" w:rsidRPr="000E2B93" w:rsidRDefault="00C15139" w:rsidP="30821638">
      <w:pPr>
        <w:spacing w:after="0" w:line="240" w:lineRule="auto"/>
        <w:jc w:val="both"/>
        <w:textAlignment w:val="baseline"/>
        <w:rPr>
          <w:rFonts w:ascii="Verdana" w:eastAsia="Verdana" w:hAnsi="Verdana" w:cs="Verdana"/>
          <w:lang w:eastAsia="es-CO"/>
        </w:rPr>
      </w:pPr>
    </w:p>
    <w:p w14:paraId="69BC4D14" w14:textId="5ECCA0FF" w:rsidR="00C15139" w:rsidRPr="000E2B93" w:rsidRDefault="00C15139" w:rsidP="30821638">
      <w:pPr>
        <w:spacing w:after="0" w:line="240" w:lineRule="auto"/>
        <w:textAlignment w:val="baseline"/>
        <w:rPr>
          <w:rFonts w:ascii="Verdana" w:eastAsia="Verdana" w:hAnsi="Verdana" w:cs="Verdana"/>
          <w:lang w:eastAsia="es-CO"/>
        </w:rPr>
      </w:pPr>
      <w:r w:rsidRPr="30821638">
        <w:rPr>
          <w:rFonts w:ascii="Verdana" w:eastAsia="Verdana" w:hAnsi="Verdana" w:cs="Verdana"/>
          <w:lang w:eastAsia="es-CO"/>
        </w:rPr>
        <w:t> </w:t>
      </w:r>
    </w:p>
    <w:bookmarkEnd w:id="0"/>
    <w:p w14:paraId="0F293BF4" w14:textId="1B0CB55E" w:rsidR="00127233" w:rsidRPr="0015699B" w:rsidRDefault="00127233" w:rsidP="002B21BB">
      <w:pPr>
        <w:spacing w:after="0" w:line="240" w:lineRule="auto"/>
        <w:textAlignment w:val="baseline"/>
        <w:rPr>
          <w:rFonts w:ascii="Verdana" w:eastAsia="Verdana" w:hAnsi="Verdana" w:cs="Verdana"/>
          <w:lang w:eastAsia="es-CO"/>
        </w:rPr>
      </w:pPr>
    </w:p>
    <w:sectPr w:rsidR="00127233" w:rsidRPr="0015699B" w:rsidSect="007C0C0F">
      <w:headerReference w:type="default" r:id="rId19"/>
      <w:footerReference w:type="default" r:id="rId20"/>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33407A" w14:textId="77777777" w:rsidR="00D4028F" w:rsidRDefault="00D4028F" w:rsidP="004A1847">
      <w:pPr>
        <w:spacing w:after="0" w:line="240" w:lineRule="auto"/>
      </w:pPr>
      <w:r>
        <w:separator/>
      </w:r>
    </w:p>
  </w:endnote>
  <w:endnote w:type="continuationSeparator" w:id="0">
    <w:p w14:paraId="6CACECF1" w14:textId="77777777" w:rsidR="00D4028F" w:rsidRDefault="00D4028F"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Arial MT">
    <w:altName w:val="Arial"/>
    <w:charset w:val="01"/>
    <w:family w:val="swiss"/>
    <w:pitch w:val="variable"/>
  </w:font>
  <w:font w:name="Century Gothic">
    <w:altName w:val="Century Gothic"/>
    <w:panose1 w:val="020B0502020202020204"/>
    <w:charset w:val="00"/>
    <w:family w:val="swiss"/>
    <w:pitch w:val="variable"/>
    <w:sig w:usb0="00000287" w:usb1="00000000" w:usb2="00000000" w:usb3="00000000" w:csb0="000000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7C73DD1" w:rsidP="07C73DD1">
    <w:pPr>
      <w:pBdr>
        <w:top w:val="single" w:sz="4" w:space="1" w:color="000000"/>
      </w:pBdr>
      <w:spacing w:after="0"/>
      <w:rPr>
        <w:rFonts w:ascii="Verdana" w:eastAsia="Verdana" w:hAnsi="Verdana" w:cs="Verdana"/>
        <w:b/>
        <w:bCs/>
        <w:sz w:val="18"/>
        <w:szCs w:val="18"/>
      </w:rPr>
    </w:pPr>
    <w:r w:rsidRPr="07C73DD1">
      <w:rPr>
        <w:rFonts w:ascii="Verdana" w:eastAsia="Verdana" w:hAnsi="Verdana" w:cs="Verdana"/>
        <w:b/>
        <w:bCs/>
        <w:sz w:val="18"/>
        <w:szCs w:val="18"/>
      </w:rPr>
      <w:t xml:space="preserve">Agencia Nacional de Contratación Pública                                              </w:t>
    </w:r>
    <w:r w:rsidRPr="07C73DD1">
      <w:rPr>
        <w:rFonts w:ascii="Verdana" w:eastAsia="Verdana" w:hAnsi="Verdana" w:cs="Verdana"/>
        <w:b/>
        <w:bCs/>
        <w:sz w:val="18"/>
        <w:szCs w:val="18"/>
        <w:lang w:val="es-ES"/>
      </w:rPr>
      <w:t xml:space="preserve">pág. </w:t>
    </w:r>
    <w:r w:rsidR="00D520D8" w:rsidRPr="07C73DD1">
      <w:rPr>
        <w:rFonts w:ascii="Verdana" w:eastAsia="Verdana" w:hAnsi="Verdana" w:cs="Verdana"/>
        <w:b/>
        <w:bCs/>
        <w:sz w:val="18"/>
        <w:szCs w:val="18"/>
      </w:rPr>
      <w:fldChar w:fldCharType="begin"/>
    </w:r>
    <w:r w:rsidR="00D520D8" w:rsidRPr="07C73DD1">
      <w:rPr>
        <w:rFonts w:ascii="Verdana" w:hAnsi="Verdana"/>
        <w:b/>
        <w:bCs/>
        <w:sz w:val="16"/>
        <w:szCs w:val="16"/>
      </w:rPr>
      <w:instrText>PAGE    \* MERGEFORMAT</w:instrText>
    </w:r>
    <w:r w:rsidR="00D520D8" w:rsidRPr="07C73DD1">
      <w:rPr>
        <w:rFonts w:ascii="Verdana" w:eastAsiaTheme="minorEastAsia" w:hAnsi="Verdana"/>
        <w:b/>
        <w:bCs/>
        <w:sz w:val="16"/>
        <w:szCs w:val="16"/>
      </w:rPr>
      <w:fldChar w:fldCharType="separate"/>
    </w:r>
    <w:r w:rsidRPr="07C73DD1">
      <w:rPr>
        <w:rFonts w:ascii="Verdana" w:eastAsia="Verdana" w:hAnsi="Verdana" w:cs="Verdana"/>
        <w:b/>
        <w:bCs/>
        <w:sz w:val="18"/>
        <w:szCs w:val="18"/>
      </w:rPr>
      <w:t>1</w:t>
    </w:r>
    <w:r w:rsidR="00D520D8" w:rsidRPr="07C73DD1">
      <w:rPr>
        <w:rFonts w:ascii="Verdana" w:eastAsia="Verdana" w:hAnsi="Verdana" w:cs="Verdana"/>
        <w:b/>
        <w:bCs/>
        <w:sz w:val="18"/>
        <w:szCs w:val="18"/>
      </w:rPr>
      <w:fldChar w:fldCharType="end"/>
    </w:r>
    <w:r w:rsidRPr="07C73DD1">
      <w:rPr>
        <w:rFonts w:ascii="Verdana" w:eastAsia="Verdana" w:hAnsi="Verdana" w:cs="Verdana"/>
        <w:b/>
        <w:bCs/>
        <w:sz w:val="18"/>
        <w:szCs w:val="18"/>
      </w:rPr>
      <w:t xml:space="preserve">              Colombia Compra Eficiente         </w:t>
    </w:r>
    <w:r w:rsidRPr="07C73DD1">
      <w:rPr>
        <w:rFonts w:ascii="Verdana" w:eastAsia="Verdana" w:hAnsi="Verdana" w:cs="Verdana"/>
        <w:b/>
        <w:bCs/>
        <w:sz w:val="18"/>
        <w:szCs w:val="18"/>
        <w:lang w:val="es-ES"/>
      </w:rPr>
      <w:t xml:space="preserve"> </w:t>
    </w:r>
    <w:r w:rsidRPr="07C73DD1">
      <w:rPr>
        <w:rFonts w:ascii="Verdana" w:eastAsia="Verdana" w:hAnsi="Verdana" w:cs="Verdana"/>
        <w:b/>
        <w:bCs/>
        <w:sz w:val="18"/>
        <w:szCs w:val="18"/>
      </w:rPr>
      <w:t xml:space="preserve">                                                  </w:t>
    </w:r>
  </w:p>
  <w:p w14:paraId="0A735DD5" w14:textId="77777777" w:rsidR="00D520D8"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Dirección: Carrera 7 # 26 – 20 - Bogotá, Colombia</w:t>
    </w:r>
  </w:p>
  <w:p w14:paraId="06E36B88" w14:textId="77777777" w:rsidR="00D520D8" w:rsidRPr="00E41027"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Mesa de servicio: (+57) 601 7456788</w:t>
    </w:r>
  </w:p>
  <w:p w14:paraId="744661F5" w14:textId="22B9E88F" w:rsidR="006219F8" w:rsidRDefault="07C73DD1" w:rsidP="07C73DD1">
    <w:pPr>
      <w:pBdr>
        <w:top w:val="nil"/>
        <w:left w:val="nil"/>
        <w:bottom w:val="nil"/>
        <w:right w:val="nil"/>
        <w:between w:val="nil"/>
      </w:pBdr>
      <w:tabs>
        <w:tab w:val="center" w:pos="4419"/>
        <w:tab w:val="right" w:pos="8838"/>
        <w:tab w:val="center" w:pos="5400"/>
      </w:tabs>
      <w:spacing w:after="0"/>
      <w:jc w:val="right"/>
      <w:rPr>
        <w:rFonts w:ascii="Verdana" w:eastAsia="Verdana" w:hAnsi="Verdana" w:cs="Verdana"/>
        <w:sz w:val="18"/>
        <w:szCs w:val="18"/>
        <w:lang w:eastAsia="es-CO"/>
      </w:rPr>
    </w:pPr>
    <w:r w:rsidRPr="07C73DD1">
      <w:rPr>
        <w:rFonts w:ascii="Verdana" w:eastAsia="Verdana" w:hAnsi="Verdana" w:cs="Verdana"/>
        <w:b/>
        <w:bCs/>
        <w:color w:val="000000" w:themeColor="text1"/>
        <w:sz w:val="18"/>
        <w:szCs w:val="18"/>
        <w:lang w:eastAsia="es-CO"/>
      </w:rPr>
      <w:t xml:space="preserve">Código: </w:t>
    </w:r>
    <w:r w:rsidRPr="07C73DD1">
      <w:rPr>
        <w:rFonts w:ascii="Verdana" w:eastAsia="Verdana" w:hAnsi="Verdana" w:cs="Verdana"/>
        <w:color w:val="000000" w:themeColor="text1"/>
        <w:sz w:val="18"/>
        <w:szCs w:val="18"/>
        <w:lang w:eastAsia="es-CO"/>
      </w:rPr>
      <w:t xml:space="preserve">CCE-REC-FM-17 </w:t>
    </w:r>
    <w:r w:rsidRPr="07C73DD1">
      <w:rPr>
        <w:rFonts w:ascii="Verdana" w:eastAsia="Verdana" w:hAnsi="Verdana" w:cs="Verdana"/>
        <w:b/>
        <w:bCs/>
        <w:color w:val="000000" w:themeColor="text1"/>
        <w:sz w:val="18"/>
        <w:szCs w:val="18"/>
        <w:lang w:eastAsia="es-CO"/>
      </w:rPr>
      <w:t xml:space="preserve">V: </w:t>
    </w:r>
    <w:r w:rsidRPr="07C73DD1">
      <w:rPr>
        <w:rFonts w:ascii="Verdana" w:eastAsia="Verdana" w:hAnsi="Verdana" w:cs="Verdana"/>
        <w:sz w:val="18"/>
        <w:szCs w:val="18"/>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6F3381" w14:textId="77777777" w:rsidR="00D4028F" w:rsidRDefault="00D4028F" w:rsidP="004A1847">
      <w:pPr>
        <w:spacing w:after="0" w:line="240" w:lineRule="auto"/>
      </w:pPr>
      <w:r>
        <w:separator/>
      </w:r>
    </w:p>
  </w:footnote>
  <w:footnote w:type="continuationSeparator" w:id="0">
    <w:p w14:paraId="6590E14F" w14:textId="77777777" w:rsidR="00D4028F" w:rsidRDefault="00D4028F" w:rsidP="004A1847">
      <w:pPr>
        <w:spacing w:after="0" w:line="240" w:lineRule="auto"/>
      </w:pPr>
      <w:r>
        <w:continuationSeparator/>
      </w:r>
    </w:p>
  </w:footnote>
  <w:footnote w:id="1">
    <w:p w14:paraId="06BAA6E5" w14:textId="77777777" w:rsidR="00C24744" w:rsidRPr="009E3879" w:rsidRDefault="00C24744" w:rsidP="00C24744">
      <w:pPr>
        <w:ind w:firstLine="708"/>
        <w:jc w:val="both"/>
        <w:rPr>
          <w:rFonts w:ascii="Verdana" w:hAnsi="Verdana"/>
          <w:sz w:val="18"/>
          <w:szCs w:val="18"/>
        </w:rPr>
      </w:pPr>
      <w:r w:rsidRPr="009E3879">
        <w:rPr>
          <w:rStyle w:val="Refdenotaalpie"/>
          <w:rFonts w:ascii="Verdana" w:hAnsi="Verdana"/>
          <w:sz w:val="18"/>
          <w:szCs w:val="18"/>
        </w:rPr>
        <w:footnoteRef/>
      </w:r>
      <w:r w:rsidRPr="009E3879">
        <w:rPr>
          <w:rFonts w:ascii="Verdana" w:eastAsia="Arial" w:hAnsi="Verdana" w:cs="Arial"/>
          <w:sz w:val="18"/>
          <w:szCs w:val="18"/>
        </w:rPr>
        <w:t>Constitución Política de Colombia, artículo 82.</w:t>
      </w:r>
    </w:p>
  </w:footnote>
  <w:footnote w:id="2">
    <w:p w14:paraId="41A155AA" w14:textId="77777777" w:rsidR="00C24744" w:rsidRPr="009E3879" w:rsidRDefault="00C24744" w:rsidP="00C24744">
      <w:pPr>
        <w:ind w:firstLine="708"/>
        <w:jc w:val="both"/>
        <w:rPr>
          <w:rFonts w:ascii="Verdana" w:hAnsi="Verdana"/>
          <w:sz w:val="18"/>
          <w:szCs w:val="18"/>
        </w:rPr>
      </w:pPr>
      <w:r w:rsidRPr="009E3879">
        <w:rPr>
          <w:rStyle w:val="Refdenotaalpie"/>
          <w:rFonts w:ascii="Verdana" w:hAnsi="Verdana"/>
          <w:sz w:val="18"/>
          <w:szCs w:val="18"/>
        </w:rPr>
        <w:footnoteRef/>
      </w:r>
      <w:r w:rsidRPr="009E3879">
        <w:rPr>
          <w:rFonts w:ascii="Verdana" w:eastAsia="Arial" w:hAnsi="Verdana" w:cs="Arial"/>
          <w:sz w:val="18"/>
          <w:szCs w:val="18"/>
        </w:rPr>
        <w:t>Agencia Nacional de Contratación Pública – Colombia Compra Eficiente. Concepto C-692 del 8 de julio de 2026, respuesta a consulta con radicado No. 1_2026_05_26_007036.</w:t>
      </w:r>
    </w:p>
  </w:footnote>
  <w:footnote w:id="3">
    <w:p w14:paraId="6560369E" w14:textId="77777777" w:rsidR="00C24744" w:rsidRPr="00744100" w:rsidRDefault="00C24744" w:rsidP="00C24744">
      <w:pPr>
        <w:pStyle w:val="Textonotapie"/>
        <w:ind w:firstLine="708"/>
        <w:jc w:val="both"/>
        <w:rPr>
          <w:rFonts w:ascii="Verdana" w:hAnsi="Verdana"/>
          <w:sz w:val="18"/>
          <w:szCs w:val="18"/>
        </w:rPr>
      </w:pPr>
      <w:r w:rsidRPr="00744100">
        <w:rPr>
          <w:rStyle w:val="Refdenotaalpie"/>
          <w:rFonts w:ascii="Verdana" w:eastAsia="Times New Roman" w:hAnsi="Verdana"/>
          <w:sz w:val="18"/>
          <w:szCs w:val="18"/>
        </w:rPr>
        <w:footnoteRef/>
      </w:r>
      <w:r w:rsidRPr="00744100">
        <w:rPr>
          <w:rFonts w:ascii="Verdana" w:hAnsi="Verdana"/>
          <w:sz w:val="18"/>
          <w:szCs w:val="18"/>
        </w:rPr>
        <w:t xml:space="preserve"> Resolución 539 del 21 de agosto de 2025, artículo 23. “Vigencia. La presente resolución rige a partir de su publicación y aplicará a los procedimientos de selección de licitación de obra pública de infraestructura social en los sectores educación, salud, cultura, recreación y deporte, institucional y vivienda, cuyo aviso de convocatoria sea publicado a partir del 16 de febrero de 2026”.</w:t>
      </w:r>
    </w:p>
    <w:p w14:paraId="371C3FC3" w14:textId="77777777" w:rsidR="00C24744" w:rsidRPr="00744100" w:rsidRDefault="00C24744" w:rsidP="00C24744">
      <w:pPr>
        <w:pStyle w:val="Textonotapie"/>
        <w:ind w:firstLine="708"/>
        <w:jc w:val="both"/>
        <w:rPr>
          <w:rFonts w:ascii="Verdana" w:hAnsi="Verdana"/>
          <w:sz w:val="18"/>
          <w:szCs w:val="18"/>
        </w:rPr>
      </w:pPr>
    </w:p>
    <w:p w14:paraId="51C6F90D" w14:textId="77777777" w:rsidR="00C24744" w:rsidRPr="00744100" w:rsidRDefault="00C24744" w:rsidP="00C24744">
      <w:pPr>
        <w:pStyle w:val="Textonotapie"/>
        <w:ind w:firstLine="708"/>
        <w:jc w:val="both"/>
        <w:rPr>
          <w:rFonts w:ascii="Verdana" w:hAnsi="Verdana"/>
          <w:sz w:val="18"/>
          <w:szCs w:val="18"/>
        </w:rPr>
      </w:pPr>
      <w:r w:rsidRPr="00744100">
        <w:rPr>
          <w:rFonts w:ascii="Verdana" w:hAnsi="Verdana"/>
          <w:sz w:val="18"/>
          <w:szCs w:val="18"/>
        </w:rPr>
        <w:t>Resolución 540 del 21 de agosto de 2025, artículo 22. Vigencia. La presente resolución rige a partir de su publicación y aplicará a los procedimientos de selección abreviada de menor cuantía de obra pública de infraestructura social de los sectores educación, salud, cultura, recreación y deporte, institucional y vivienda, cuyo aviso de convocatoria sea publicado a partir del 16 de febrero de 2026.</w:t>
      </w:r>
    </w:p>
    <w:p w14:paraId="594D4010" w14:textId="77777777" w:rsidR="00C24744" w:rsidRPr="00744100" w:rsidRDefault="00C24744" w:rsidP="00C24744">
      <w:pPr>
        <w:pStyle w:val="Textonotapie"/>
        <w:ind w:firstLine="708"/>
        <w:jc w:val="both"/>
        <w:rPr>
          <w:rFonts w:ascii="Verdana" w:hAnsi="Verdana"/>
          <w:sz w:val="18"/>
          <w:szCs w:val="18"/>
        </w:rPr>
      </w:pPr>
    </w:p>
    <w:p w14:paraId="039F8593" w14:textId="77777777" w:rsidR="00C24744" w:rsidRPr="00744100" w:rsidRDefault="00C24744" w:rsidP="00C24744">
      <w:pPr>
        <w:pStyle w:val="Textonotapie"/>
        <w:ind w:firstLine="708"/>
        <w:jc w:val="both"/>
        <w:rPr>
          <w:rFonts w:ascii="Verdana" w:hAnsi="Verdana"/>
          <w:sz w:val="18"/>
          <w:szCs w:val="18"/>
        </w:rPr>
      </w:pPr>
      <w:r w:rsidRPr="00744100">
        <w:rPr>
          <w:rFonts w:ascii="Verdana" w:hAnsi="Verdana"/>
          <w:sz w:val="18"/>
          <w:szCs w:val="18"/>
        </w:rPr>
        <w:t>Resolución 541 del 21 de agosto de 2025, artículo 22. Vigencia. La presente resolución rige a partir de su publicación y aplicará a los procedimientos de mínima cuantía de obra pública de infraestructura de los sectores educación, salud, cultura, recreación y deporte, institucional y vivienda, cuyo aviso de convocatoria sea publicado a partir del 16 de febrero de 2026.</w:t>
      </w:r>
    </w:p>
    <w:p w14:paraId="19D41120" w14:textId="77777777" w:rsidR="00C24744" w:rsidRPr="00744100" w:rsidRDefault="00C24744" w:rsidP="00C24744">
      <w:pPr>
        <w:pStyle w:val="Textonotapie"/>
        <w:ind w:firstLine="708"/>
        <w:jc w:val="both"/>
        <w:rPr>
          <w:rFonts w:ascii="Verdana" w:hAnsi="Verdana"/>
          <w:sz w:val="18"/>
          <w:szCs w:val="18"/>
        </w:rPr>
      </w:pPr>
    </w:p>
    <w:p w14:paraId="77A1BF5B" w14:textId="77777777" w:rsidR="00C24744" w:rsidRPr="00744100" w:rsidRDefault="00C24744" w:rsidP="00C24744">
      <w:pPr>
        <w:pStyle w:val="Textonotapie"/>
        <w:ind w:firstLine="708"/>
        <w:jc w:val="both"/>
        <w:rPr>
          <w:rFonts w:ascii="Verdana" w:hAnsi="Verdana"/>
          <w:sz w:val="18"/>
          <w:szCs w:val="18"/>
        </w:rPr>
      </w:pPr>
      <w:r w:rsidRPr="00744100">
        <w:rPr>
          <w:rFonts w:ascii="Verdana" w:hAnsi="Verdana"/>
          <w:sz w:val="18"/>
          <w:szCs w:val="18"/>
        </w:rPr>
        <w:t>Resolución 952 del 15 de diciembre de 2025, artículo 22. Vigencia. La presente resolución rige a partir de su publicación, y aplicará para los procesos de selección de concurso de méritos para contratar la consultoría de estudios de ingeniería de infraestructura social en los sectores educación, salud, cultura, recreación y deporte, institucional y vivienda, cuyo aviso de convocatoria se publique a partir del 16 de febrero de 2026.</w:t>
      </w:r>
    </w:p>
    <w:p w14:paraId="1336F1E2" w14:textId="77777777" w:rsidR="00C24744" w:rsidRPr="00744100" w:rsidRDefault="00C24744" w:rsidP="00C24744">
      <w:pPr>
        <w:pStyle w:val="Textonotapie"/>
        <w:ind w:firstLine="708"/>
        <w:jc w:val="both"/>
        <w:rPr>
          <w:rFonts w:ascii="Verdana" w:hAnsi="Verdana"/>
          <w:sz w:val="18"/>
          <w:szCs w:val="18"/>
        </w:rPr>
      </w:pPr>
    </w:p>
    <w:p w14:paraId="3DEA2D44" w14:textId="77777777" w:rsidR="00C24744" w:rsidRPr="00744100" w:rsidRDefault="00C24744" w:rsidP="00C24744">
      <w:pPr>
        <w:pStyle w:val="Textonotapie"/>
        <w:ind w:firstLine="708"/>
        <w:jc w:val="both"/>
        <w:rPr>
          <w:rFonts w:ascii="Verdana" w:hAnsi="Verdana"/>
          <w:sz w:val="18"/>
          <w:szCs w:val="18"/>
        </w:rPr>
      </w:pPr>
      <w:r w:rsidRPr="00744100">
        <w:rPr>
          <w:rFonts w:ascii="Verdana" w:hAnsi="Verdana"/>
          <w:sz w:val="18"/>
          <w:szCs w:val="18"/>
        </w:rPr>
        <w:t>Resolución 953 del 15 de diciembre de 2025, artículo 22. Vigencia y derogatorias. La presente resolución rige a partir de su publicación, deroga la Resolución 798 del 29 de diciembre de 2023 y sus modificaciones posteriores, y aplicará para los procesos de selección de concurso de méritos para contratar la interventoría de obras públicas de infraestructura social en los sectores educación, salud, cultura, recreación y deporte, institucional y vivienda, cuyo aviso de convocatoria se publique a partir del 16 de febrero de 2026.</w:t>
      </w:r>
    </w:p>
  </w:footnote>
  <w:footnote w:id="4">
    <w:p w14:paraId="5BD74C17" w14:textId="77777777" w:rsidR="00C24744" w:rsidRPr="004B6687" w:rsidRDefault="00C24744" w:rsidP="00C24744">
      <w:pPr>
        <w:ind w:firstLine="708"/>
        <w:jc w:val="both"/>
        <w:rPr>
          <w:rFonts w:ascii="Verdana" w:hAnsi="Verdana"/>
          <w:sz w:val="18"/>
          <w:szCs w:val="18"/>
        </w:rPr>
      </w:pPr>
      <w:r w:rsidRPr="004B6687">
        <w:rPr>
          <w:rStyle w:val="Refdenotaalpie"/>
          <w:rFonts w:ascii="Verdana" w:hAnsi="Verdana"/>
          <w:sz w:val="18"/>
          <w:szCs w:val="18"/>
        </w:rPr>
        <w:footnoteRef/>
      </w:r>
      <w:r w:rsidRPr="004B6687">
        <w:rPr>
          <w:rFonts w:ascii="Verdana" w:eastAsia="Arial" w:hAnsi="Verdana" w:cs="Arial"/>
          <w:sz w:val="18"/>
          <w:szCs w:val="18"/>
        </w:rPr>
        <w:t>Constitución Política de Colombia, artículo 82.</w:t>
      </w:r>
    </w:p>
  </w:footnote>
  <w:footnote w:id="5">
    <w:p w14:paraId="6D8EE5A5" w14:textId="77777777" w:rsidR="00C24744" w:rsidRPr="004B6687" w:rsidRDefault="00C24744" w:rsidP="00C24744">
      <w:pPr>
        <w:ind w:firstLine="708"/>
        <w:jc w:val="both"/>
        <w:rPr>
          <w:rFonts w:ascii="Verdana" w:hAnsi="Verdana"/>
          <w:sz w:val="18"/>
          <w:szCs w:val="18"/>
        </w:rPr>
      </w:pPr>
      <w:r w:rsidRPr="004B6687">
        <w:rPr>
          <w:rStyle w:val="Refdenotaalpie"/>
          <w:rFonts w:ascii="Verdana" w:hAnsi="Verdana"/>
          <w:sz w:val="18"/>
          <w:szCs w:val="18"/>
        </w:rPr>
        <w:footnoteRef/>
      </w:r>
      <w:r w:rsidRPr="004B6687">
        <w:rPr>
          <w:rFonts w:ascii="Verdana" w:eastAsia="Arial" w:hAnsi="Verdana" w:cs="Arial"/>
          <w:sz w:val="18"/>
          <w:szCs w:val="18"/>
        </w:rPr>
        <w:t>Congreso de la República. Ley 9 de 1989, “Por la cual se dictan normas sobre planes de desarrollo municipal, compraventa y expropiación de bienes y se dictan otras disposiciones”, artículo 5.</w:t>
      </w:r>
    </w:p>
  </w:footnote>
  <w:footnote w:id="6">
    <w:p w14:paraId="1E0CDC3C" w14:textId="77777777" w:rsidR="00C24744" w:rsidRPr="004B6687" w:rsidRDefault="00C24744" w:rsidP="00C24744">
      <w:pPr>
        <w:ind w:firstLine="708"/>
        <w:jc w:val="both"/>
        <w:rPr>
          <w:rFonts w:ascii="Verdana" w:hAnsi="Verdana"/>
          <w:sz w:val="18"/>
          <w:szCs w:val="18"/>
        </w:rPr>
      </w:pPr>
      <w:r w:rsidRPr="004B6687">
        <w:rPr>
          <w:rStyle w:val="Refdenotaalpie"/>
          <w:rFonts w:ascii="Verdana" w:hAnsi="Verdana"/>
          <w:sz w:val="18"/>
          <w:szCs w:val="18"/>
        </w:rPr>
        <w:footnoteRef/>
      </w:r>
      <w:r w:rsidRPr="004B6687">
        <w:rPr>
          <w:rFonts w:ascii="Verdana" w:eastAsia="Arial" w:hAnsi="Verdana" w:cs="Arial"/>
          <w:sz w:val="18"/>
          <w:szCs w:val="18"/>
        </w:rPr>
        <w:t>Presidencia de la República. Decreto 1077 de 2015, “Por medio del cual se expide el Decreto Único Reglamentario del Sector Vivienda, Ciudad y Territorio”, artículo 2.2.3.1.2, que compila el artículo 2 del Decreto 1504 de 1998.</w:t>
      </w:r>
    </w:p>
  </w:footnote>
  <w:footnote w:id="7">
    <w:p w14:paraId="6E69B5D9" w14:textId="77777777" w:rsidR="00C24744" w:rsidRPr="004B6687" w:rsidRDefault="00C24744" w:rsidP="00C24744">
      <w:pPr>
        <w:ind w:firstLine="708"/>
        <w:jc w:val="both"/>
        <w:rPr>
          <w:rFonts w:ascii="Verdana" w:hAnsi="Verdana"/>
          <w:sz w:val="18"/>
          <w:szCs w:val="18"/>
        </w:rPr>
      </w:pPr>
      <w:r w:rsidRPr="004B6687">
        <w:rPr>
          <w:rStyle w:val="Refdenotaalpie"/>
          <w:rFonts w:ascii="Verdana" w:hAnsi="Verdana"/>
          <w:sz w:val="18"/>
          <w:szCs w:val="18"/>
        </w:rPr>
        <w:footnoteRef/>
      </w:r>
      <w:r w:rsidRPr="004B6687">
        <w:rPr>
          <w:rFonts w:ascii="Verdana" w:eastAsia="Arial" w:hAnsi="Verdana" w:cs="Arial"/>
          <w:sz w:val="18"/>
          <w:szCs w:val="18"/>
        </w:rPr>
        <w:t>Decreto 1077 de 2015, artículo 2.2.3.1.3, que compila el artículo 3 del Decreto 1504 de 1998.</w:t>
      </w:r>
    </w:p>
  </w:footnote>
  <w:footnote w:id="8">
    <w:p w14:paraId="68722DAE" w14:textId="77777777" w:rsidR="00C24744" w:rsidRPr="004B6687" w:rsidRDefault="00C24744" w:rsidP="00C24744">
      <w:pPr>
        <w:ind w:firstLine="708"/>
        <w:jc w:val="both"/>
        <w:rPr>
          <w:rFonts w:ascii="Verdana" w:hAnsi="Verdana"/>
          <w:sz w:val="18"/>
          <w:szCs w:val="18"/>
        </w:rPr>
      </w:pPr>
      <w:r w:rsidRPr="004B6687">
        <w:rPr>
          <w:rStyle w:val="Refdenotaalpie"/>
          <w:rFonts w:ascii="Verdana" w:hAnsi="Verdana"/>
          <w:sz w:val="18"/>
          <w:szCs w:val="18"/>
        </w:rPr>
        <w:footnoteRef/>
      </w:r>
      <w:r w:rsidRPr="004B6687">
        <w:rPr>
          <w:rFonts w:ascii="Verdana" w:eastAsia="Arial" w:hAnsi="Verdana" w:cs="Arial"/>
          <w:sz w:val="18"/>
          <w:szCs w:val="18"/>
        </w:rPr>
        <w:t>Decreto 1077 de 2015, artículo 2.2.3.1.5, que compila el artículo 5 del Decreto 1504 de 1998.</w:t>
      </w:r>
    </w:p>
  </w:footnote>
  <w:footnote w:id="9">
    <w:p w14:paraId="7F4F62F8" w14:textId="77777777" w:rsidR="00C24744" w:rsidRPr="004B6687" w:rsidRDefault="00C24744" w:rsidP="00C24744">
      <w:pPr>
        <w:ind w:firstLine="708"/>
        <w:jc w:val="both"/>
        <w:rPr>
          <w:rFonts w:ascii="Verdana" w:hAnsi="Verdana"/>
          <w:sz w:val="18"/>
          <w:szCs w:val="18"/>
        </w:rPr>
      </w:pPr>
      <w:r w:rsidRPr="004B6687">
        <w:rPr>
          <w:rStyle w:val="Refdenotaalpie"/>
          <w:rFonts w:ascii="Verdana" w:hAnsi="Verdana"/>
          <w:sz w:val="18"/>
          <w:szCs w:val="18"/>
        </w:rPr>
        <w:footnoteRef/>
      </w:r>
      <w:r w:rsidRPr="004B6687">
        <w:rPr>
          <w:rFonts w:ascii="Verdana" w:eastAsia="Arial" w:hAnsi="Verdana" w:cs="Arial"/>
          <w:sz w:val="18"/>
          <w:szCs w:val="18"/>
        </w:rPr>
        <w:t>Código Civil, artículo 674.</w:t>
      </w:r>
    </w:p>
  </w:footnote>
  <w:footnote w:id="10">
    <w:p w14:paraId="2394C07A" w14:textId="77777777" w:rsidR="00C24744" w:rsidRPr="009E3879" w:rsidRDefault="00C24744" w:rsidP="00C24744">
      <w:pPr>
        <w:ind w:firstLine="708"/>
        <w:jc w:val="both"/>
        <w:rPr>
          <w:rFonts w:ascii="Verdana" w:hAnsi="Verdana"/>
          <w:sz w:val="18"/>
          <w:szCs w:val="18"/>
        </w:rPr>
      </w:pPr>
      <w:r w:rsidRPr="009E3879">
        <w:rPr>
          <w:rStyle w:val="Refdenotaalpie"/>
          <w:rFonts w:ascii="Verdana" w:hAnsi="Verdana"/>
          <w:sz w:val="18"/>
          <w:szCs w:val="18"/>
        </w:rPr>
        <w:footnoteRef/>
      </w:r>
      <w:r w:rsidRPr="009E3879">
        <w:rPr>
          <w:rFonts w:ascii="Verdana" w:eastAsia="Arial" w:hAnsi="Verdana" w:cs="Arial"/>
          <w:sz w:val="18"/>
          <w:szCs w:val="18"/>
        </w:rPr>
        <w:t>Agencia Nacional de Contratación Pública – Colombia Compra Eficiente. Concepto C-469 de 2026, respuesta a consultas con radicados Nos. 1_2026_03_24_003985 y 1_2026_03_24_004034.</w:t>
      </w:r>
    </w:p>
  </w:footnote>
  <w:footnote w:id="11">
    <w:p w14:paraId="1CA8CFE1" w14:textId="77777777" w:rsidR="00C24744" w:rsidRPr="004B6687" w:rsidRDefault="00C24744" w:rsidP="00C24744">
      <w:pPr>
        <w:ind w:firstLine="708"/>
        <w:jc w:val="both"/>
        <w:rPr>
          <w:rFonts w:ascii="Verdana" w:hAnsi="Verdana"/>
          <w:sz w:val="18"/>
          <w:szCs w:val="18"/>
        </w:rPr>
      </w:pPr>
      <w:r w:rsidRPr="004B6687">
        <w:rPr>
          <w:rStyle w:val="Refdenotaalpie"/>
          <w:rFonts w:ascii="Verdana" w:hAnsi="Verdana"/>
          <w:sz w:val="18"/>
          <w:szCs w:val="18"/>
        </w:rPr>
        <w:footnoteRef/>
      </w:r>
      <w:r w:rsidRPr="004B6687">
        <w:rPr>
          <w:rFonts w:ascii="Verdana" w:eastAsia="Arial" w:hAnsi="Verdana" w:cs="Arial"/>
          <w:sz w:val="18"/>
          <w:szCs w:val="18"/>
        </w:rPr>
        <w:t>Agencia Nacional de Contratación Pública – Colombia Compra Eficiente. Concepto C-692 del 8 de julio de 2026, respuesta a consulta con radicado No. 1_2026_05_26_007036.</w:t>
      </w:r>
    </w:p>
  </w:footnote>
  <w:footnote w:id="12">
    <w:p w14:paraId="133BB020" w14:textId="77777777" w:rsidR="00C24744" w:rsidRPr="004B6687" w:rsidRDefault="00C24744" w:rsidP="00C24744">
      <w:pPr>
        <w:ind w:firstLine="708"/>
        <w:jc w:val="both"/>
        <w:rPr>
          <w:rFonts w:ascii="Verdana" w:hAnsi="Verdana"/>
          <w:sz w:val="18"/>
          <w:szCs w:val="18"/>
        </w:rPr>
      </w:pPr>
      <w:r w:rsidRPr="004B6687">
        <w:rPr>
          <w:rStyle w:val="Refdenotaalpie"/>
          <w:rFonts w:ascii="Verdana" w:hAnsi="Verdana"/>
          <w:sz w:val="18"/>
          <w:szCs w:val="18"/>
        </w:rPr>
        <w:footnoteRef/>
      </w:r>
      <w:r w:rsidRPr="004B6687">
        <w:rPr>
          <w:rFonts w:ascii="Verdana" w:eastAsia="Arial" w:hAnsi="Verdana" w:cs="Arial"/>
          <w:sz w:val="18"/>
          <w:szCs w:val="18"/>
        </w:rPr>
        <w:t>Ley 1150 de 2007, artículo 5, inciso primero.</w:t>
      </w:r>
    </w:p>
  </w:footnote>
  <w:footnote w:id="13">
    <w:p w14:paraId="73E076BE" w14:textId="77777777" w:rsidR="00C24744" w:rsidRPr="004B6687" w:rsidRDefault="00C24744" w:rsidP="00C24744">
      <w:pPr>
        <w:ind w:firstLine="708"/>
        <w:jc w:val="both"/>
        <w:rPr>
          <w:rFonts w:ascii="Verdana" w:hAnsi="Verdana"/>
          <w:sz w:val="18"/>
          <w:szCs w:val="18"/>
        </w:rPr>
      </w:pPr>
      <w:r w:rsidRPr="004B6687">
        <w:rPr>
          <w:rStyle w:val="Refdenotaalpie"/>
          <w:rFonts w:ascii="Verdana" w:hAnsi="Verdana"/>
          <w:sz w:val="18"/>
          <w:szCs w:val="18"/>
        </w:rPr>
        <w:footnoteRef/>
      </w:r>
      <w:r w:rsidRPr="004B6687">
        <w:rPr>
          <w:rFonts w:ascii="Verdana" w:eastAsia="Arial" w:hAnsi="Verdana" w:cs="Arial"/>
          <w:sz w:val="18"/>
          <w:szCs w:val="18"/>
        </w:rPr>
        <w:t>Presidencia de la República. Decreto 1082 de 2015, artículo 2.2.1.1.2.2.3.</w:t>
      </w:r>
    </w:p>
  </w:footnote>
  <w:footnote w:id="14">
    <w:p w14:paraId="05383CEE" w14:textId="77777777" w:rsidR="00C24744" w:rsidRPr="004B6687" w:rsidRDefault="00C24744" w:rsidP="00AD7A7B">
      <w:pPr>
        <w:pStyle w:val="Textonotapie"/>
        <w:ind w:firstLine="708"/>
        <w:jc w:val="both"/>
        <w:rPr>
          <w:lang w:val="es-ES_tradnl"/>
        </w:rPr>
      </w:pPr>
      <w:r w:rsidRPr="004B6687">
        <w:rPr>
          <w:rFonts w:ascii="Verdana" w:eastAsia="Arial" w:hAnsi="Verdana" w:cs="Arial"/>
          <w:sz w:val="18"/>
          <w:szCs w:val="18"/>
          <w:lang w:val="es-CO"/>
        </w:rPr>
        <w:footnoteRef/>
      </w:r>
      <w:r w:rsidRPr="004B6687">
        <w:rPr>
          <w:rFonts w:ascii="Verdana" w:eastAsia="Arial" w:hAnsi="Verdana" w:cs="Arial"/>
          <w:sz w:val="18"/>
          <w:szCs w:val="18"/>
          <w:lang w:val="es-CO"/>
        </w:rPr>
        <w:t xml:space="preserve"> Ministerio del Interior. Comité Evaluador del Fondo Nacional de Seguridad y Convivencia Ciudadana – FONSECON. Acta de la sesión del 24 de octubre de 2013, en la que se presentó el proyecto Centros de Integración Ciudadana – CIC.</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65408"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6336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5pt;height:12.5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360" w:hanging="360"/>
      </w:pPr>
      <w:rPr>
        <w:b/>
        <w:color w:val="000000" w:themeColor="text1"/>
      </w:rPr>
    </w:lvl>
    <w:lvl w:ilvl="1">
      <w:start w:val="2"/>
      <w:numFmt w:val="decimal"/>
      <w:isLgl/>
      <w:lvlText w:val="%1.%2"/>
      <w:lvlJc w:val="left"/>
      <w:pPr>
        <w:ind w:left="0" w:hanging="360"/>
      </w:p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726F5"/>
    <w:multiLevelType w:val="hybridMultilevel"/>
    <w:tmpl w:val="C9903574"/>
    <w:lvl w:ilvl="0" w:tplc="040A0001">
      <w:start w:val="1"/>
      <w:numFmt w:val="bullet"/>
      <w:lvlText w:val=""/>
      <w:lvlJc w:val="left"/>
      <w:pPr>
        <w:ind w:left="720" w:hanging="360"/>
      </w:pPr>
      <w:rPr>
        <w:rFonts w:ascii="Symbol" w:hAnsi="Symbol" w:hint="default"/>
      </w:rPr>
    </w:lvl>
    <w:lvl w:ilvl="1" w:tplc="040A0003">
      <w:start w:val="1"/>
      <w:numFmt w:val="bullet"/>
      <w:lvlText w:val="o"/>
      <w:lvlJc w:val="left"/>
      <w:pPr>
        <w:ind w:left="1440" w:hanging="360"/>
      </w:pPr>
      <w:rPr>
        <w:rFonts w:ascii="Courier New" w:hAnsi="Courier New" w:cs="Courier New" w:hint="default"/>
      </w:rPr>
    </w:lvl>
    <w:lvl w:ilvl="2" w:tplc="040A0005">
      <w:start w:val="1"/>
      <w:numFmt w:val="bullet"/>
      <w:lvlText w:val=""/>
      <w:lvlJc w:val="left"/>
      <w:pPr>
        <w:ind w:left="2160" w:hanging="360"/>
      </w:pPr>
      <w:rPr>
        <w:rFonts w:ascii="Wingdings" w:hAnsi="Wingdings" w:hint="default"/>
      </w:rPr>
    </w:lvl>
    <w:lvl w:ilvl="3" w:tplc="040A0001">
      <w:start w:val="1"/>
      <w:numFmt w:val="bullet"/>
      <w:lvlText w:val=""/>
      <w:lvlJc w:val="left"/>
      <w:pPr>
        <w:ind w:left="2880" w:hanging="360"/>
      </w:pPr>
      <w:rPr>
        <w:rFonts w:ascii="Symbol" w:hAnsi="Symbol" w:hint="default"/>
      </w:rPr>
    </w:lvl>
    <w:lvl w:ilvl="4" w:tplc="040A0003">
      <w:start w:val="1"/>
      <w:numFmt w:val="bullet"/>
      <w:lvlText w:val="o"/>
      <w:lvlJc w:val="left"/>
      <w:pPr>
        <w:ind w:left="3600" w:hanging="360"/>
      </w:pPr>
      <w:rPr>
        <w:rFonts w:ascii="Courier New" w:hAnsi="Courier New" w:cs="Courier New" w:hint="default"/>
      </w:rPr>
    </w:lvl>
    <w:lvl w:ilvl="5" w:tplc="040A0005">
      <w:start w:val="1"/>
      <w:numFmt w:val="bullet"/>
      <w:lvlText w:val=""/>
      <w:lvlJc w:val="left"/>
      <w:pPr>
        <w:ind w:left="4320" w:hanging="360"/>
      </w:pPr>
      <w:rPr>
        <w:rFonts w:ascii="Wingdings" w:hAnsi="Wingdings" w:hint="default"/>
      </w:rPr>
    </w:lvl>
    <w:lvl w:ilvl="6" w:tplc="040A0001">
      <w:start w:val="1"/>
      <w:numFmt w:val="bullet"/>
      <w:lvlText w:val=""/>
      <w:lvlJc w:val="left"/>
      <w:pPr>
        <w:ind w:left="5040" w:hanging="360"/>
      </w:pPr>
      <w:rPr>
        <w:rFonts w:ascii="Symbol" w:hAnsi="Symbol" w:hint="default"/>
      </w:rPr>
    </w:lvl>
    <w:lvl w:ilvl="7" w:tplc="040A0003">
      <w:start w:val="1"/>
      <w:numFmt w:val="bullet"/>
      <w:lvlText w:val="o"/>
      <w:lvlJc w:val="left"/>
      <w:pPr>
        <w:ind w:left="5760" w:hanging="360"/>
      </w:pPr>
      <w:rPr>
        <w:rFonts w:ascii="Courier New" w:hAnsi="Courier New" w:cs="Courier New" w:hint="default"/>
      </w:rPr>
    </w:lvl>
    <w:lvl w:ilvl="8" w:tplc="040A0005">
      <w:start w:val="1"/>
      <w:numFmt w:val="bullet"/>
      <w:lvlText w:val=""/>
      <w:lvlJc w:val="left"/>
      <w:pPr>
        <w:ind w:left="6480" w:hanging="360"/>
      </w:pPr>
      <w:rPr>
        <w:rFonts w:ascii="Wingdings" w:hAnsi="Wingdings" w:hint="default"/>
      </w:rPr>
    </w:lvl>
  </w:abstractNum>
  <w:abstractNum w:abstractNumId="10"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3"/>
  </w:num>
  <w:num w:numId="7" w16cid:durableId="1946422806">
    <w:abstractNumId w:val="5"/>
  </w:num>
  <w:num w:numId="8" w16cid:durableId="152644682">
    <w:abstractNumId w:val="12"/>
  </w:num>
  <w:num w:numId="9" w16cid:durableId="1317221377">
    <w:abstractNumId w:val="7"/>
  </w:num>
  <w:num w:numId="10" w16cid:durableId="1471245386">
    <w:abstractNumId w:val="11"/>
  </w:num>
  <w:num w:numId="11" w16cid:durableId="289172385">
    <w:abstractNumId w:val="8"/>
  </w:num>
  <w:num w:numId="12" w16cid:durableId="1470781324">
    <w:abstractNumId w:val="1"/>
  </w:num>
  <w:num w:numId="13" w16cid:durableId="1512908409">
    <w:abstractNumId w:val="3"/>
  </w:num>
  <w:num w:numId="14" w16cid:durableId="895897244">
    <w:abstractNumId w:val="14"/>
  </w:num>
  <w:num w:numId="15" w16cid:durableId="390349800">
    <w:abstractNumId w:val="10"/>
  </w:num>
  <w:num w:numId="16" w16cid:durableId="1988700460">
    <w:abstractNumId w:val="9"/>
  </w:num>
  <w:num w:numId="17" w16cid:durableId="120744769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61B2A"/>
    <w:rsid w:val="00082362"/>
    <w:rsid w:val="000A683E"/>
    <w:rsid w:val="000B19B9"/>
    <w:rsid w:val="000D0334"/>
    <w:rsid w:val="000D5DA7"/>
    <w:rsid w:val="000F6486"/>
    <w:rsid w:val="00116940"/>
    <w:rsid w:val="00125105"/>
    <w:rsid w:val="00127233"/>
    <w:rsid w:val="0015699B"/>
    <w:rsid w:val="001A33BF"/>
    <w:rsid w:val="001E4177"/>
    <w:rsid w:val="001F0B24"/>
    <w:rsid w:val="001F7DC6"/>
    <w:rsid w:val="0022148E"/>
    <w:rsid w:val="0022400B"/>
    <w:rsid w:val="002421BB"/>
    <w:rsid w:val="0025796E"/>
    <w:rsid w:val="002707A2"/>
    <w:rsid w:val="002951A0"/>
    <w:rsid w:val="002962BC"/>
    <w:rsid w:val="002A093D"/>
    <w:rsid w:val="002A0DD0"/>
    <w:rsid w:val="002A49AC"/>
    <w:rsid w:val="002A64FD"/>
    <w:rsid w:val="002B21BB"/>
    <w:rsid w:val="002C7A84"/>
    <w:rsid w:val="002E2BF8"/>
    <w:rsid w:val="002E4FD9"/>
    <w:rsid w:val="0030657A"/>
    <w:rsid w:val="00322A85"/>
    <w:rsid w:val="00324168"/>
    <w:rsid w:val="00330834"/>
    <w:rsid w:val="003448F4"/>
    <w:rsid w:val="00374F5E"/>
    <w:rsid w:val="00377E3E"/>
    <w:rsid w:val="003A779E"/>
    <w:rsid w:val="003D0F4D"/>
    <w:rsid w:val="003D5B0D"/>
    <w:rsid w:val="003E0499"/>
    <w:rsid w:val="003E4F80"/>
    <w:rsid w:val="003E6439"/>
    <w:rsid w:val="003F3941"/>
    <w:rsid w:val="00406575"/>
    <w:rsid w:val="00414C74"/>
    <w:rsid w:val="0042722E"/>
    <w:rsid w:val="0044528D"/>
    <w:rsid w:val="00460F57"/>
    <w:rsid w:val="00466E39"/>
    <w:rsid w:val="004A1847"/>
    <w:rsid w:val="004A305D"/>
    <w:rsid w:val="004F21C4"/>
    <w:rsid w:val="004F685F"/>
    <w:rsid w:val="005566E8"/>
    <w:rsid w:val="00574867"/>
    <w:rsid w:val="00591460"/>
    <w:rsid w:val="005A65E0"/>
    <w:rsid w:val="005C3777"/>
    <w:rsid w:val="005C5CDC"/>
    <w:rsid w:val="005D476C"/>
    <w:rsid w:val="006200BF"/>
    <w:rsid w:val="006219F8"/>
    <w:rsid w:val="006302F7"/>
    <w:rsid w:val="00634FF4"/>
    <w:rsid w:val="006373AB"/>
    <w:rsid w:val="00646B9F"/>
    <w:rsid w:val="00665D70"/>
    <w:rsid w:val="006900D9"/>
    <w:rsid w:val="00706C16"/>
    <w:rsid w:val="007340C3"/>
    <w:rsid w:val="0075235A"/>
    <w:rsid w:val="00756841"/>
    <w:rsid w:val="007649AB"/>
    <w:rsid w:val="00771D0C"/>
    <w:rsid w:val="007833AC"/>
    <w:rsid w:val="007B268C"/>
    <w:rsid w:val="007B7171"/>
    <w:rsid w:val="007B741B"/>
    <w:rsid w:val="007C0C0F"/>
    <w:rsid w:val="007C3DC2"/>
    <w:rsid w:val="007E5497"/>
    <w:rsid w:val="00806F5F"/>
    <w:rsid w:val="00820278"/>
    <w:rsid w:val="008258C9"/>
    <w:rsid w:val="00844AE9"/>
    <w:rsid w:val="00867F95"/>
    <w:rsid w:val="008843B6"/>
    <w:rsid w:val="00891928"/>
    <w:rsid w:val="008A446D"/>
    <w:rsid w:val="008B25F1"/>
    <w:rsid w:val="008B71A5"/>
    <w:rsid w:val="008D180B"/>
    <w:rsid w:val="008F0EA7"/>
    <w:rsid w:val="008F149C"/>
    <w:rsid w:val="00923EEF"/>
    <w:rsid w:val="009419F9"/>
    <w:rsid w:val="0095685E"/>
    <w:rsid w:val="00961B09"/>
    <w:rsid w:val="00965334"/>
    <w:rsid w:val="0097093E"/>
    <w:rsid w:val="009A0DFA"/>
    <w:rsid w:val="009A1C6F"/>
    <w:rsid w:val="009B2D26"/>
    <w:rsid w:val="009C71FA"/>
    <w:rsid w:val="009C72E7"/>
    <w:rsid w:val="009C7F7E"/>
    <w:rsid w:val="009D3058"/>
    <w:rsid w:val="009F3A13"/>
    <w:rsid w:val="00A122D3"/>
    <w:rsid w:val="00A14468"/>
    <w:rsid w:val="00A17F13"/>
    <w:rsid w:val="00A20739"/>
    <w:rsid w:val="00A23AF9"/>
    <w:rsid w:val="00A33C78"/>
    <w:rsid w:val="00AB0ADB"/>
    <w:rsid w:val="00AD7A7B"/>
    <w:rsid w:val="00B00C0E"/>
    <w:rsid w:val="00B01B1A"/>
    <w:rsid w:val="00B0381D"/>
    <w:rsid w:val="00B44A47"/>
    <w:rsid w:val="00B72CD3"/>
    <w:rsid w:val="00B72FFF"/>
    <w:rsid w:val="00BC3D36"/>
    <w:rsid w:val="00BD54A6"/>
    <w:rsid w:val="00BD7F72"/>
    <w:rsid w:val="00BF7425"/>
    <w:rsid w:val="00C04FB3"/>
    <w:rsid w:val="00C11D8B"/>
    <w:rsid w:val="00C15139"/>
    <w:rsid w:val="00C24744"/>
    <w:rsid w:val="00C330EB"/>
    <w:rsid w:val="00C50D69"/>
    <w:rsid w:val="00C5365C"/>
    <w:rsid w:val="00C754BE"/>
    <w:rsid w:val="00C76B1C"/>
    <w:rsid w:val="00C925AC"/>
    <w:rsid w:val="00CB6357"/>
    <w:rsid w:val="00CC1B26"/>
    <w:rsid w:val="00CD1BC5"/>
    <w:rsid w:val="00D361FD"/>
    <w:rsid w:val="00D4028F"/>
    <w:rsid w:val="00D423A2"/>
    <w:rsid w:val="00D44737"/>
    <w:rsid w:val="00D44E26"/>
    <w:rsid w:val="00D520D8"/>
    <w:rsid w:val="00D63AC2"/>
    <w:rsid w:val="00D7383B"/>
    <w:rsid w:val="00D7788A"/>
    <w:rsid w:val="00DA231B"/>
    <w:rsid w:val="00DC39FC"/>
    <w:rsid w:val="00DF5254"/>
    <w:rsid w:val="00E02524"/>
    <w:rsid w:val="00E05780"/>
    <w:rsid w:val="00E16408"/>
    <w:rsid w:val="00E20894"/>
    <w:rsid w:val="00E245AB"/>
    <w:rsid w:val="00E2764C"/>
    <w:rsid w:val="00E27F2E"/>
    <w:rsid w:val="00E50AFE"/>
    <w:rsid w:val="00E75C92"/>
    <w:rsid w:val="00E771DC"/>
    <w:rsid w:val="00E8772A"/>
    <w:rsid w:val="00E90F6B"/>
    <w:rsid w:val="00E92C27"/>
    <w:rsid w:val="00EA0E3D"/>
    <w:rsid w:val="00EC38A7"/>
    <w:rsid w:val="00EE1AA8"/>
    <w:rsid w:val="00F23FEA"/>
    <w:rsid w:val="00F31EDC"/>
    <w:rsid w:val="00F462B3"/>
    <w:rsid w:val="00F5664F"/>
    <w:rsid w:val="00F666C4"/>
    <w:rsid w:val="00F76AFC"/>
    <w:rsid w:val="00FA47C0"/>
    <w:rsid w:val="00FB5DD1"/>
    <w:rsid w:val="00FC2B5D"/>
    <w:rsid w:val="00FF1449"/>
    <w:rsid w:val="00FF7963"/>
    <w:rsid w:val="071B8F93"/>
    <w:rsid w:val="07C73DD1"/>
    <w:rsid w:val="09908A09"/>
    <w:rsid w:val="0E0AF0F4"/>
    <w:rsid w:val="0EFE6349"/>
    <w:rsid w:val="0FF4CCA8"/>
    <w:rsid w:val="13CFC91B"/>
    <w:rsid w:val="19A2EC2C"/>
    <w:rsid w:val="21779BE6"/>
    <w:rsid w:val="2859CA1B"/>
    <w:rsid w:val="2C4D2425"/>
    <w:rsid w:val="2EE1E026"/>
    <w:rsid w:val="2F44F38F"/>
    <w:rsid w:val="30821638"/>
    <w:rsid w:val="32A4F9CF"/>
    <w:rsid w:val="33A1FF93"/>
    <w:rsid w:val="356CEDFD"/>
    <w:rsid w:val="3C591AFD"/>
    <w:rsid w:val="42183F0A"/>
    <w:rsid w:val="545B112A"/>
    <w:rsid w:val="5BEB1497"/>
    <w:rsid w:val="69614A15"/>
    <w:rsid w:val="74BA017B"/>
    <w:rsid w:val="7677286E"/>
    <w:rsid w:val="79A64A20"/>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F"/>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table" w:customStyle="1" w:styleId="Tablaconcuadrcula1">
    <w:name w:val="Tabla con cuadrícula1"/>
    <w:basedOn w:val="Tablanormal"/>
    <w:next w:val="Tablaconcuadrcula"/>
    <w:uiPriority w:val="39"/>
    <w:qFormat/>
    <w:rsid w:val="00C2474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elnotedebasde">
    <w:name w:val="Appel note de bas de..."/>
    <w:basedOn w:val="Normal"/>
    <w:link w:val="Refdenotaalpie"/>
    <w:uiPriority w:val="99"/>
    <w:rsid w:val="00C24744"/>
    <w:pPr>
      <w:spacing w:after="0" w:line="240" w:lineRule="exact"/>
    </w:pPr>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nam02.safelinks.protection.outlook.com/?url=https%3A%2F%2Frelatoria.colombiacompra.gov.co%2F&amp;data=05%7C02%7Cjuan.avendano%40colombiacompra.gov.co%7C5aad36a736844ec87b2108dcc1fa4639%7C7b09041e245149d08cb179d5e3d8c1be%7C0%7C0%7C638598527916578281%7CUnknown%7CTWFpbGZsb3d8eyJWIjoiMC4wLjAwMDAiLCJQIjoiV2luMzIiLCJBTiI6Ik1haWwiLCJXVCI6Mn0%3D%7C0%7C%7C%7C&amp;sdata=ULogXxqZhlbRGnXip3V5oi2tcjWOQqeurmNDisBXQv0%3D&amp;reserved=0" TargetMode="External"/><Relationship Id="rId18" Type="http://schemas.openxmlformats.org/officeDocument/2006/relationships/image" Target="media/image4.png"/><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hyperlink" Target="https://www.colombiacompra.gov.co/documentos-tipo/documentos-tipo" TargetMode="External"/><Relationship Id="rId17" Type="http://schemas.openxmlformats.org/officeDocument/2006/relationships/hyperlink" Target="https://nam02.safelinks.protection.outlook.com/?url=https%3A%2F%2Fwww.colombiacompra.gov.co%2Farchivos%2Fboletin%2Fboletin-edicion-n-3-de-2026-radar-de-la-compra-publica&amp;data=05%7C02%7Ccarlos.castrillon%40colombiacompra.gov.co%7C7128555136e04fa6887d08dee99e1b50%7C7b09041e245149d08cb179d5e3d8c1be%7C0%7C0%7C639205062460570094%7CUnknown%7CTWFpbGZsb3d8eyJFbXB0eU1hcGkiOnRydWUsIlYiOiIwLjAuMDAwMCIsIlAiOiJXaW4zMiIsIkFOIjoiTWFpbCIsIldUIjoyfQ%3D%3D%7C0%7C%7C%7C&amp;sdata=kZv4Nh2z5OSpo4UBkV63XVE9d%2FJHjs3Ap9eCTYmcn3o%3D&amp;reserved=0" TargetMode="External"/><Relationship Id="rId2" Type="http://schemas.openxmlformats.org/officeDocument/2006/relationships/customXml" Target="../customXml/item2.xml"/><Relationship Id="rId16" Type="http://schemas.openxmlformats.org/officeDocument/2006/relationships/hyperlink" Target="https://nam02.safelinks.protection.outlook.com/?url=https%3A%2F%2Fwww.colombiacompra.gov.co%2Farchivos%2Fcircular%2Fcircular-externa-002-de-2026&amp;data=05%7C02%7Ccarlos.castrillon%40colombiacompra.gov.co%7C7128555136e04fa6887d08dee99e1b50%7C7b09041e245149d08cb179d5e3d8c1be%7C0%7C0%7C639205062460546272%7CUnknown%7CTWFpbGZsb3d8eyJFbXB0eU1hcGkiOnRydWUsIlYiOiIwLjAuMDAwMCIsIlAiOiJXaW4zMiIsIkFOIjoiTWFpbCIsIldUIjoyfQ%3D%3D%7C0%7C%7C%7C&amp;sdata=Tm99siSemhcsM9EWNgsmV8A0Zx%2FKwyZO2QYBBlaAAFU%3D&amp;reserved=0"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3.png"/><Relationship Id="rId5" Type="http://schemas.openxmlformats.org/officeDocument/2006/relationships/styles" Target="styles.xml"/><Relationship Id="rId15" Type="http://schemas.openxmlformats.org/officeDocument/2006/relationships/hyperlink" Target="https://nam02.safelinks.protection.outlook.com/?url=https%3A%2F%2Fwww.colombiacompra.gov.co%2Farchivos%2Fcircular%2Fcircular-externa-003-de-2026&amp;data=05%7C02%7Ccarlos.castrillon%40colombiacompra.gov.co%7C7128555136e04fa6887d08dee99e1b50%7C7b09041e245149d08cb179d5e3d8c1be%7C0%7C0%7C639205062460521959%7CUnknown%7CTWFpbGZsb3d8eyJFbXB0eU1hcGkiOnRydWUsIlYiOiIwLjAuMDAwMCIsIlAiOiJXaW4zMiIsIkFOIjoiTWFpbCIsIldUIjoyfQ%3D%3D%7C0%7C%7C%7C&amp;sdata=o8s%2BpWDv9aJuyyezu%2Bo7L1tMx0nIz73vR%2FGlLdtKa4E%3D&amp;reserved=0" TargetMode="External"/><Relationship Id="rId10" Type="http://schemas.openxmlformats.org/officeDocument/2006/relationships/image" Target="media/image2.png"/><Relationship Id="rId19"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nam02.safelinks.protection.outlook.com/?url=https%3A%2F%2Fwww.colombiacompra.gov.co%2Farchivos%2Fmanual%2Fguia-de-garantias-en-procesos-de-contratacion&amp;data=05%7C02%7Ccarlos.castrillon%40colombiacompra.gov.co%7C7128555136e04fa6887d08dee99e1b50%7C7b09041e245149d08cb179d5e3d8c1be%7C0%7C0%7C639205062460492157%7CUnknown%7CTWFpbGZsb3d8eyJFbXB0eU1hcGkiOnRydWUsIlYiOiIwLjAuMDAwMCIsIlAiOiJXaW4zMiIsIkFOIjoiTWFpbCIsIldUIjoyfQ%3D%3D%7C0%7C%7C%7C&amp;sdata=3IOO%2FtzL7CYs7GSQWx3lEd8WXdinAX2M%2F8tHjq7gp4M%3D&amp;reserved=0"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5.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9956A40E-A462-4C0A-A6A9-7311B91ED14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10</TotalTime>
  <Pages>46</Pages>
  <Words>16549</Words>
  <Characters>91021</Characters>
  <Application>Microsoft Office Word</Application>
  <DocSecurity>0</DocSecurity>
  <Lines>758</Lines>
  <Paragraphs>214</Paragraphs>
  <ScaleCrop>false</ScaleCrop>
  <Company/>
  <LinksUpToDate>false</LinksUpToDate>
  <CharactersWithSpaces>107356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Sergio Andrés Rivera Cano</cp:lastModifiedBy>
  <cp:revision>6</cp:revision>
  <cp:lastPrinted>2023-01-10T21:18:00Z</cp:lastPrinted>
  <dcterms:created xsi:type="dcterms:W3CDTF">2026-09-25T19:17:00Z</dcterms:created>
  <dcterms:modified xsi:type="dcterms:W3CDTF">2026-09-29T15:17:00Z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