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2223" w14:textId="77777777" w:rsidR="00A61000" w:rsidRDefault="00A61000" w:rsidP="00A61000">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PUNTAJE ADICIONAL ‒ Empleadores de personas con discapacidad ‒ Término mínimo de vinculación ‒ Últimos tres (3) meses ‒ Referente temporal</w:t>
      </w:r>
    </w:p>
    <w:p w14:paraId="2F538849" w14:textId="77777777" w:rsidR="00A61000" w:rsidRDefault="00A61000" w:rsidP="00A61000">
      <w:pPr>
        <w:spacing w:after="0" w:line="240" w:lineRule="auto"/>
        <w:contextualSpacing/>
        <w:jc w:val="both"/>
        <w:rPr>
          <w:rFonts w:ascii="Verdana" w:eastAsia="Calibri" w:hAnsi="Verdana" w:cs="Arial"/>
          <w:b/>
          <w:bCs/>
          <w:lang w:eastAsia="es-ES"/>
        </w:rPr>
      </w:pPr>
    </w:p>
    <w:p w14:paraId="32A01DC1"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artículo 2.2.1.2.4.2.7.4 del Decreto 1082 de 2015 y a la Circular Externa No. 003 de 2026, el tiempo mínimo durante el cual las personas con discapacidad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debieron estar vinculadas a la planta de personal para acceder al puntaje es el de los últimos tres (3) meses previos al cierre del proceso de contratación. La expresión alude, entonces, a un periodo continuo de vinculación inmediatamente anterior al cierre, que se demuestra con el contrato o la certificación laboral y con los aportes a seguridad social correspondientes a ese periodo, exigibles conforme al calendario legal de pago a la fecha respectiva.</w:t>
      </w:r>
    </w:p>
    <w:p w14:paraId="43A248A9" w14:textId="77777777" w:rsidR="00A61000" w:rsidRDefault="00A61000" w:rsidP="00A61000">
      <w:pPr>
        <w:spacing w:after="0" w:line="240" w:lineRule="auto"/>
        <w:contextualSpacing/>
        <w:jc w:val="both"/>
        <w:rPr>
          <w:rFonts w:ascii="Verdana" w:eastAsia="Calibri" w:hAnsi="Verdana" w:cs="Arial"/>
          <w:b/>
          <w:bCs/>
          <w:lang w:eastAsia="es-ES"/>
        </w:rPr>
      </w:pPr>
    </w:p>
    <w:p w14:paraId="43CA432D"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APORTES A SEGURIDAD SOCIAL ‒ Planilla Integrada de Liquidación de Aportes ‒ Periodos de cotización ‒ Verificación documental ‒ Competencia</w:t>
      </w:r>
    </w:p>
    <w:p w14:paraId="417FEFA3" w14:textId="77777777" w:rsidR="00A61000" w:rsidRDefault="00A61000" w:rsidP="00A61000">
      <w:pPr>
        <w:spacing w:after="0" w:line="240" w:lineRule="auto"/>
        <w:contextualSpacing/>
        <w:jc w:val="both"/>
        <w:rPr>
          <w:rFonts w:ascii="Verdana" w:eastAsia="Calibri" w:hAnsi="Verdana" w:cs="Arial"/>
          <w:b/>
          <w:bCs/>
          <w:lang w:eastAsia="es-ES"/>
        </w:rPr>
      </w:pPr>
    </w:p>
    <w:p w14:paraId="64191555"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Lo que la norma exige demostrar es el pago de los aportes que corresponden a la vinculación laboral de la </w:t>
      </w:r>
      <w:proofErr w:type="spellStart"/>
      <w:r>
        <w:rPr>
          <w:rFonts w:ascii="Verdana" w:eastAsia="Calibri" w:hAnsi="Verdana" w:cs="Arial"/>
          <w:sz w:val="20"/>
          <w:szCs w:val="20"/>
          <w:lang w:eastAsia="es-ES"/>
        </w:rPr>
        <w:t>PcD</w:t>
      </w:r>
      <w:proofErr w:type="spellEnd"/>
      <w:r>
        <w:rPr>
          <w:rFonts w:ascii="Verdana" w:eastAsia="Calibri" w:hAnsi="Verdana" w:cs="Arial"/>
          <w:sz w:val="20"/>
          <w:szCs w:val="20"/>
          <w:lang w:eastAsia="es-ES"/>
        </w:rPr>
        <w:t xml:space="preserve"> durante los tres (3) meses anteriores al cierre. Los documentos deben valorarse conforme a lo que ellos mismos certifican, de modo que la entidad no puede presumir cubierto un periodo cuando el propio soporte identifica uno distinto. La estructura de la Planilla Integrada de Liquidación de Aportes, los periodos que en ella se reportan por subsistema y el calendario legal de pago se rigen por la normativa del Sistema de Seguridad Social Integral, cuya interpretación corresponde a las autoridades competentes en esa materia.</w:t>
      </w:r>
    </w:p>
    <w:p w14:paraId="315444E8" w14:textId="77777777" w:rsidR="00A61000" w:rsidRDefault="00A61000" w:rsidP="00A61000">
      <w:pPr>
        <w:spacing w:after="0" w:line="240" w:lineRule="auto"/>
        <w:contextualSpacing/>
        <w:jc w:val="both"/>
        <w:rPr>
          <w:rFonts w:ascii="Verdana" w:eastAsia="Calibri" w:hAnsi="Verdana" w:cs="Arial"/>
          <w:b/>
          <w:bCs/>
          <w:lang w:eastAsia="es-ES"/>
        </w:rPr>
      </w:pPr>
    </w:p>
    <w:p w14:paraId="08E448C2"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TARIFA LEGAL PROBATORIA ‒ Contrato o certificación laboral ‒ Aportes a seguridad social ‒ Funciones probatorias diferenciadas ‒ Concurrencia documental</w:t>
      </w:r>
    </w:p>
    <w:p w14:paraId="38C7F11A" w14:textId="77777777" w:rsidR="00A61000" w:rsidRDefault="00A61000" w:rsidP="00A61000">
      <w:pPr>
        <w:spacing w:after="0" w:line="240" w:lineRule="auto"/>
        <w:contextualSpacing/>
        <w:jc w:val="both"/>
        <w:rPr>
          <w:rFonts w:ascii="Verdana" w:eastAsia="Calibri" w:hAnsi="Verdana" w:cs="Arial"/>
          <w:b/>
          <w:bCs/>
          <w:lang w:eastAsia="es-ES"/>
        </w:rPr>
      </w:pPr>
    </w:p>
    <w:p w14:paraId="697935E1"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documentos previstos en el artículo 2.2.1.2.4.2.7.4 son concurrentes y cumplen funciones probatorias propias que no son intercambiables: el contrato o la certificación laboral acredita la existencia de la vinculación, su naturaleza laboral regida por el Código Sustantivo del Trabajo y la dedicación exclusiva; los aportes a seguridad social acreditan la permanencia efectiva de esa vinculación durante los tres (3) meses anteriores al cierre. En consecuencia, la antigüedad histórica del contrato no sustituye la acreditación de los aportes del periodo exigido.</w:t>
      </w:r>
    </w:p>
    <w:p w14:paraId="6A14E4DC" w14:textId="77777777" w:rsidR="00A61000" w:rsidRDefault="00A61000" w:rsidP="00A61000">
      <w:pPr>
        <w:spacing w:after="0" w:line="240" w:lineRule="auto"/>
        <w:contextualSpacing/>
        <w:jc w:val="both"/>
        <w:rPr>
          <w:rFonts w:ascii="Verdana" w:eastAsia="Calibri" w:hAnsi="Verdana" w:cs="Arial"/>
          <w:b/>
          <w:bCs/>
          <w:lang w:eastAsia="es-ES"/>
        </w:rPr>
      </w:pPr>
    </w:p>
    <w:p w14:paraId="3E9CA9E2"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 xml:space="preserve">FACTORES DE PONDERACIÓN ‒ Documentos aportados junto con la oferta ‒ </w:t>
      </w:r>
      <w:proofErr w:type="spellStart"/>
      <w:r>
        <w:rPr>
          <w:rFonts w:ascii="Verdana" w:eastAsia="Calibri" w:hAnsi="Verdana" w:cs="Arial"/>
          <w:b/>
          <w:bCs/>
          <w:lang w:eastAsia="es-ES"/>
        </w:rPr>
        <w:t>Subsanabilidad</w:t>
      </w:r>
      <w:proofErr w:type="spellEnd"/>
      <w:r>
        <w:rPr>
          <w:rFonts w:ascii="Verdana" w:eastAsia="Calibri" w:hAnsi="Verdana" w:cs="Arial"/>
          <w:b/>
          <w:bCs/>
          <w:lang w:eastAsia="es-ES"/>
        </w:rPr>
        <w:t xml:space="preserve"> ‒ Parágrafo 1 del artículo 5 de la Ley 1150 de 2007 ‒ Verificación</w:t>
      </w:r>
    </w:p>
    <w:p w14:paraId="1B2E1467" w14:textId="77777777" w:rsidR="00A61000" w:rsidRDefault="00A61000" w:rsidP="00A61000">
      <w:pPr>
        <w:spacing w:after="0" w:line="240" w:lineRule="auto"/>
        <w:contextualSpacing/>
        <w:jc w:val="both"/>
        <w:rPr>
          <w:rFonts w:ascii="Verdana" w:eastAsia="Calibri" w:hAnsi="Verdana" w:cs="Arial"/>
          <w:b/>
          <w:bCs/>
          <w:lang w:eastAsia="es-ES"/>
        </w:rPr>
      </w:pPr>
    </w:p>
    <w:p w14:paraId="51D169F7"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Los documentos que acreditan un factor de asignación de puntaje deben aportarse junto con la oferta y no son subsanables con posterioridad al cierre, pues el parágrafo 1 del </w:t>
      </w:r>
      <w:r>
        <w:rPr>
          <w:rFonts w:ascii="Verdana" w:eastAsia="Calibri" w:hAnsi="Verdana" w:cs="Arial"/>
          <w:sz w:val="20"/>
          <w:szCs w:val="20"/>
          <w:lang w:eastAsia="es-ES"/>
        </w:rPr>
        <w:lastRenderedPageBreak/>
        <w:t>artículo 5 de la Ley 1150 de 2007 circunscribe la subsanación a los requisitos que no afectan la asignación de puntaje. La existencia material del hecho acreditable con anterioridad al cierre no suple la carga de su acreditación documental oportuna. Cosa distinta es la verificación de la autenticidad, la vigencia o el contenido de un documento efectivamente aportado, que no equivale a incorporar uno nuevo.</w:t>
      </w:r>
    </w:p>
    <w:p w14:paraId="69DB0B8F" w14:textId="77777777" w:rsidR="00A61000" w:rsidRDefault="00A61000" w:rsidP="00A61000">
      <w:pPr>
        <w:spacing w:after="0" w:line="240" w:lineRule="auto"/>
        <w:contextualSpacing/>
        <w:jc w:val="both"/>
        <w:rPr>
          <w:rFonts w:ascii="Verdana" w:eastAsia="Calibri" w:hAnsi="Verdana" w:cs="Arial"/>
          <w:b/>
          <w:bCs/>
          <w:lang w:eastAsia="es-ES"/>
        </w:rPr>
      </w:pPr>
    </w:p>
    <w:p w14:paraId="13575D32"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DISCAPACIDAD ‒ Naturaleza declarativa ‒ Fecha de expedición ‒ Distinción frente al término mínimo de vinculación</w:t>
      </w:r>
    </w:p>
    <w:p w14:paraId="199EFE64" w14:textId="77777777" w:rsidR="00A61000" w:rsidRDefault="00A61000" w:rsidP="00A61000">
      <w:pPr>
        <w:spacing w:after="0" w:line="240" w:lineRule="auto"/>
        <w:contextualSpacing/>
        <w:jc w:val="both"/>
        <w:rPr>
          <w:rFonts w:ascii="Verdana" w:eastAsia="Calibri" w:hAnsi="Verdana" w:cs="Arial"/>
          <w:b/>
          <w:bCs/>
          <w:lang w:eastAsia="es-ES"/>
        </w:rPr>
      </w:pPr>
    </w:p>
    <w:p w14:paraId="0391F0CA"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condición de persona con discapacidad no se adquiere con la expedición del certificado, sino que deriva de la situación descrita en el numeral 1 del artículo 2 de la Ley Estatutaria 1618 de 2013; el certificado expedido conforme a la normativa del Ministerio de Salud y Protección Social verifica y documenta esa condición, por lo que su naturaleza es declarativa y probatoria. El término de tres (3) meses previsto en el Decreto 0287 de 2026 recae sobre la vinculación laboral y sus aportes, y no sobre la antigüedad del certificado, sin que la norma exija que este se hubiere expedido con determinada antelación.</w:t>
      </w:r>
    </w:p>
    <w:p w14:paraId="10CF1A2D" w14:textId="77777777" w:rsidR="00A61000" w:rsidRDefault="00A61000" w:rsidP="00A61000">
      <w:pPr>
        <w:spacing w:after="0" w:line="240" w:lineRule="auto"/>
        <w:contextualSpacing/>
        <w:jc w:val="both"/>
        <w:rPr>
          <w:rFonts w:ascii="Verdana" w:eastAsia="Calibri" w:hAnsi="Verdana" w:cs="Arial"/>
          <w:b/>
          <w:bCs/>
          <w:lang w:eastAsia="es-ES"/>
        </w:rPr>
      </w:pPr>
    </w:p>
    <w:p w14:paraId="742BEAF0"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DEL MINISTERIO DEL TRABAJO ‒ Vigencia ‒ Antigüedad ‒ Número de trabajadores de la planta de personal</w:t>
      </w:r>
    </w:p>
    <w:p w14:paraId="53E0FB0A" w14:textId="77777777" w:rsidR="00A61000" w:rsidRDefault="00A61000" w:rsidP="00A61000">
      <w:pPr>
        <w:spacing w:after="0" w:line="240" w:lineRule="auto"/>
        <w:contextualSpacing/>
        <w:jc w:val="both"/>
        <w:rPr>
          <w:rFonts w:ascii="Verdana" w:eastAsia="Calibri" w:hAnsi="Verdana" w:cs="Arial"/>
          <w:b/>
          <w:bCs/>
          <w:lang w:eastAsia="es-ES"/>
        </w:rPr>
      </w:pPr>
    </w:p>
    <w:p w14:paraId="790B803A"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Respecto del certificado que expide el Ministerio del Trabajo, la exigencia normativa se refiere a la verificación de su vigencia y no a que cuente con una antigüedad mínima de tres (3) meses, pues el término trimestral está referido a la vinculación laboral y a los aportes a seguridad social. El número total de trabajadores que determina el rango aplicable de la tabla se verifica con referencia a la fecha de cierre del proceso, conforme a los documentos que para ese momento acrediten la composición de la planta de personal.</w:t>
      </w:r>
    </w:p>
    <w:p w14:paraId="494329DB" w14:textId="77777777" w:rsidR="00A61000" w:rsidRDefault="00A61000" w:rsidP="00A61000">
      <w:pPr>
        <w:spacing w:after="0" w:line="240" w:lineRule="auto"/>
        <w:contextualSpacing/>
        <w:jc w:val="both"/>
        <w:rPr>
          <w:rFonts w:ascii="Verdana" w:eastAsia="Calibri" w:hAnsi="Verdana" w:cs="Arial"/>
          <w:b/>
          <w:bCs/>
          <w:lang w:eastAsia="es-ES"/>
        </w:rPr>
      </w:pPr>
    </w:p>
    <w:p w14:paraId="30A988E8" w14:textId="77777777" w:rsidR="00A61000" w:rsidRDefault="00A61000" w:rsidP="00A61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Asuntos técnicos de seguridad social ‒ Traslado por competencia</w:t>
      </w:r>
    </w:p>
    <w:p w14:paraId="72F5F7A8" w14:textId="77777777" w:rsidR="00A61000" w:rsidRDefault="00A61000" w:rsidP="00A61000">
      <w:pPr>
        <w:spacing w:after="0" w:line="240" w:lineRule="auto"/>
        <w:contextualSpacing/>
        <w:jc w:val="both"/>
        <w:rPr>
          <w:rFonts w:ascii="Verdana" w:eastAsia="Calibri" w:hAnsi="Verdana" w:cs="Arial"/>
          <w:b/>
          <w:bCs/>
          <w:lang w:eastAsia="es-ES"/>
        </w:rPr>
      </w:pPr>
    </w:p>
    <w:p w14:paraId="612ADDE4" w14:textId="77777777" w:rsidR="00A61000" w:rsidRDefault="00A61000" w:rsidP="00A61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sin extenderse a la valoración de casos particulares ni a la interpretación de la normativa del Sistema de Seguridad Social Integral, de la certificación de discapacidad o de las funciones a cargo del Ministerio del Trabajo, materias respecto de las cuales procede el traslado a las autoridades competentes en los términos del artículo 21 del Código de Procedimiento Administrativo y de lo Contencioso Administrativo.</w:t>
      </w:r>
    </w:p>
    <w:p w14:paraId="448F6964" w14:textId="77777777" w:rsidR="00A61000" w:rsidRDefault="00A61000" w:rsidP="00A61000">
      <w:pPr>
        <w:spacing w:after="0" w:line="240" w:lineRule="auto"/>
        <w:contextualSpacing/>
        <w:jc w:val="both"/>
        <w:rPr>
          <w:rFonts w:ascii="Verdana" w:eastAsia="Calibri" w:hAnsi="Verdana" w:cs="Arial"/>
          <w:sz w:val="20"/>
          <w:szCs w:val="20"/>
          <w:lang w:eastAsia="es-ES"/>
        </w:rPr>
      </w:pPr>
    </w:p>
    <w:p w14:paraId="4CCAFAF1" w14:textId="77777777" w:rsidR="00A61000" w:rsidRPr="005544FB" w:rsidRDefault="00A61000" w:rsidP="00A61000">
      <w:pPr>
        <w:spacing w:after="0" w:line="240" w:lineRule="auto"/>
        <w:contextualSpacing/>
        <w:jc w:val="both"/>
        <w:rPr>
          <w:rFonts w:ascii="Verdana" w:eastAsia="Calibri" w:hAnsi="Verdana" w:cs="Arial"/>
          <w:sz w:val="20"/>
          <w:szCs w:val="20"/>
          <w:lang w:eastAsia="es-ES"/>
        </w:rPr>
      </w:pPr>
    </w:p>
    <w:p w14:paraId="2209D2AF" w14:textId="77777777" w:rsidR="00A61000" w:rsidRDefault="00A61000" w:rsidP="00A61000">
      <w:pPr>
        <w:spacing w:after="0" w:line="240" w:lineRule="auto"/>
        <w:contextualSpacing/>
        <w:jc w:val="both"/>
        <w:rPr>
          <w:rFonts w:ascii="Verdana" w:eastAsia="Calibri" w:hAnsi="Verdana" w:cs="Arial"/>
          <w:sz w:val="20"/>
          <w:szCs w:val="20"/>
          <w:lang w:eastAsia="es-ES"/>
        </w:rPr>
      </w:pPr>
    </w:p>
    <w:p w14:paraId="6DE442F6" w14:textId="77777777" w:rsidR="00A61000" w:rsidRDefault="00A61000" w:rsidP="00A61000">
      <w:pPr>
        <w:spacing w:after="0" w:line="240" w:lineRule="auto"/>
        <w:contextualSpacing/>
        <w:jc w:val="both"/>
        <w:rPr>
          <w:rFonts w:ascii="Verdana" w:eastAsia="Calibri" w:hAnsi="Verdana" w:cs="Arial"/>
          <w:sz w:val="20"/>
          <w:szCs w:val="20"/>
          <w:lang w:eastAsia="es-ES"/>
        </w:rPr>
      </w:pPr>
    </w:p>
    <w:p w14:paraId="68E9CAD4" w14:textId="77777777" w:rsidR="00A61000" w:rsidRDefault="00A61000" w:rsidP="00A61000">
      <w:pPr>
        <w:spacing w:after="0" w:line="240" w:lineRule="auto"/>
        <w:contextualSpacing/>
        <w:jc w:val="both"/>
        <w:rPr>
          <w:rFonts w:ascii="Verdana" w:eastAsia="Calibri" w:hAnsi="Verdana" w:cs="Arial"/>
          <w:sz w:val="20"/>
          <w:szCs w:val="20"/>
          <w:lang w:eastAsia="es-ES"/>
        </w:rPr>
      </w:pPr>
    </w:p>
    <w:p w14:paraId="6C1723C5" w14:textId="77777777" w:rsidR="00A61000" w:rsidRDefault="00A61000" w:rsidP="00A61000">
      <w:pPr>
        <w:spacing w:after="0" w:line="240" w:lineRule="auto"/>
        <w:contextualSpacing/>
        <w:jc w:val="both"/>
        <w:rPr>
          <w:rFonts w:ascii="Verdana" w:eastAsia="Calibri" w:hAnsi="Verdana" w:cs="Arial"/>
          <w:sz w:val="20"/>
          <w:szCs w:val="20"/>
          <w:lang w:eastAsia="es-ES"/>
        </w:rPr>
      </w:pPr>
    </w:p>
    <w:p w14:paraId="4EC426F7" w14:textId="7BE29BC9" w:rsidR="00A61000" w:rsidRPr="00FF232F" w:rsidRDefault="00A0653D" w:rsidP="00A61000">
      <w:pPr>
        <w:spacing w:after="0" w:line="240" w:lineRule="auto"/>
        <w:rPr>
          <w:rFonts w:ascii="Verdana" w:eastAsia="Calibri" w:hAnsi="Verdana" w:cs="Arial"/>
          <w:bCs/>
          <w:lang w:eastAsia="es-ES_tradnl"/>
        </w:rPr>
      </w:pPr>
      <w:r w:rsidRPr="00FF232F">
        <w:rPr>
          <w:rFonts w:ascii="Verdana" w:eastAsia="Calibri" w:hAnsi="Verdana" w:cs="Arial"/>
          <w:bCs/>
          <w:lang w:eastAsia="es-ES_tradnl"/>
        </w:rPr>
        <w:lastRenderedPageBreak/>
        <w:t>Bogotá D.C., 29 de</w:t>
      </w:r>
      <w:r w:rsidR="00FF232F" w:rsidRPr="00FF232F">
        <w:rPr>
          <w:rFonts w:ascii="Verdana" w:eastAsia="Calibri" w:hAnsi="Verdana" w:cs="Arial"/>
          <w:bCs/>
          <w:lang w:eastAsia="es-ES_tradnl"/>
        </w:rPr>
        <w:t xml:space="preserve"> septiembre</w:t>
      </w:r>
      <w:r w:rsidRPr="00FF232F">
        <w:rPr>
          <w:rFonts w:ascii="Verdana" w:eastAsia="Calibri" w:hAnsi="Verdana" w:cs="Arial"/>
          <w:bCs/>
          <w:lang w:eastAsia="es-ES_tradnl"/>
        </w:rPr>
        <w:t xml:space="preserve"> de 2026</w:t>
      </w:r>
    </w:p>
    <w:p w14:paraId="5617A8DF" w14:textId="4A371464" w:rsidR="00A61000" w:rsidRDefault="00A0653D" w:rsidP="00A61000">
      <w:pPr>
        <w:spacing w:after="0" w:line="240" w:lineRule="auto"/>
        <w:rPr>
          <w:rFonts w:ascii="Verdana" w:hAnsi="Verdana"/>
        </w:rPr>
      </w:pPr>
      <w:r w:rsidRPr="00A0653D">
        <w:rPr>
          <w:rFonts w:ascii="Verdana" w:eastAsia="Calibri" w:hAnsi="Verdana" w:cs="Arial"/>
          <w:noProof/>
          <w:lang w:val="es-ES" w:eastAsia="es-ES"/>
        </w:rPr>
        <w:drawing>
          <wp:anchor distT="0" distB="0" distL="114300" distR="114300" simplePos="0" relativeHeight="251658240" behindDoc="1" locked="0" layoutInCell="1" allowOverlap="1" wp14:anchorId="1128005A" wp14:editId="44195AB2">
            <wp:simplePos x="0" y="0"/>
            <wp:positionH relativeFrom="column">
              <wp:posOffset>3270885</wp:posOffset>
            </wp:positionH>
            <wp:positionV relativeFrom="paragraph">
              <wp:posOffset>88900</wp:posOffset>
            </wp:positionV>
            <wp:extent cx="2400300" cy="811530"/>
            <wp:effectExtent l="0" t="0" r="0" b="7620"/>
            <wp:wrapTight wrapText="bothSides">
              <wp:wrapPolygon edited="0">
                <wp:start x="0" y="0"/>
                <wp:lineTo x="0" y="21296"/>
                <wp:lineTo x="21429" y="21296"/>
                <wp:lineTo x="21429" y="0"/>
                <wp:lineTo x="0" y="0"/>
              </wp:wrapPolygon>
            </wp:wrapTight>
            <wp:docPr id="6668178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1780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300" cy="811530"/>
                    </a:xfrm>
                    <a:prstGeom prst="rect">
                      <a:avLst/>
                    </a:prstGeom>
                  </pic:spPr>
                </pic:pic>
              </a:graphicData>
            </a:graphic>
            <wp14:sizeRelH relativeFrom="page">
              <wp14:pctWidth>0</wp14:pctWidth>
            </wp14:sizeRelH>
            <wp14:sizeRelV relativeFrom="page">
              <wp14:pctHeight>0</wp14:pctHeight>
            </wp14:sizeRelV>
          </wp:anchor>
        </w:drawing>
      </w:r>
    </w:p>
    <w:p w14:paraId="64B6565D" w14:textId="10D15859" w:rsidR="00A61000" w:rsidRPr="00777292" w:rsidRDefault="00A61000" w:rsidP="00A61000">
      <w:pPr>
        <w:spacing w:after="0" w:line="240" w:lineRule="auto"/>
        <w:rPr>
          <w:rFonts w:ascii="Verdana" w:hAnsi="Verdana"/>
          <w:lang w:val="es-ES_tradnl"/>
        </w:rPr>
      </w:pPr>
    </w:p>
    <w:p w14:paraId="421C2871" w14:textId="6B42D8E1" w:rsidR="00A61000" w:rsidRDefault="00A61000" w:rsidP="00A61000">
      <w:pPr>
        <w:spacing w:after="0" w:line="240" w:lineRule="auto"/>
        <w:rPr>
          <w:rFonts w:ascii="Verdana" w:hAnsi="Verdana"/>
          <w:lang w:val="es-ES"/>
        </w:rPr>
      </w:pPr>
      <w:r>
        <w:rPr>
          <w:rFonts w:ascii="Verdana" w:eastAsia="Calibri" w:hAnsi="Verdana" w:cs="Arial"/>
          <w:lang w:val="es-ES" w:eastAsia="es-ES"/>
        </w:rPr>
        <w:t>Señor</w:t>
      </w:r>
    </w:p>
    <w:p w14:paraId="4D485E27" w14:textId="77777777" w:rsidR="00A61000" w:rsidRPr="00A24482" w:rsidRDefault="00A61000" w:rsidP="00A61000">
      <w:pPr>
        <w:spacing w:after="0" w:line="240" w:lineRule="auto"/>
        <w:rPr>
          <w:rFonts w:ascii="Verdana" w:hAnsi="Verdana"/>
          <w:b/>
          <w:bCs/>
          <w:lang w:val="es-ES"/>
        </w:rPr>
      </w:pPr>
      <w:r w:rsidRPr="00A24482">
        <w:rPr>
          <w:rFonts w:ascii="Verdana" w:eastAsia="Calibri" w:hAnsi="Verdana" w:cs="Arial"/>
          <w:b/>
          <w:bCs/>
          <w:lang w:val="es-ES" w:eastAsia="es-ES"/>
        </w:rPr>
        <w:t>Miguel Antonio Murillo Lozano</w:t>
      </w:r>
    </w:p>
    <w:p w14:paraId="6C50D59B" w14:textId="77777777" w:rsidR="00A61000" w:rsidRDefault="00A61000" w:rsidP="00A61000">
      <w:pPr>
        <w:spacing w:after="0" w:line="240" w:lineRule="auto"/>
        <w:rPr>
          <w:rFonts w:ascii="Verdana" w:hAnsi="Verdana"/>
          <w:lang w:val="es-ES"/>
        </w:rPr>
      </w:pPr>
      <w:r>
        <w:rPr>
          <w:rFonts w:ascii="Verdana" w:hAnsi="Verdana"/>
          <w:lang w:val="es-ES"/>
        </w:rPr>
        <w:t>Miguelantonio46@gmail.com</w:t>
      </w:r>
    </w:p>
    <w:p w14:paraId="741F9A89" w14:textId="4714AE54" w:rsidR="00A61000" w:rsidRDefault="00A61000" w:rsidP="00A61000">
      <w:pPr>
        <w:spacing w:after="0" w:line="240" w:lineRule="auto"/>
        <w:rPr>
          <w:rFonts w:ascii="Verdana" w:hAnsi="Verdana"/>
          <w:lang w:val="es-ES"/>
        </w:rPr>
      </w:pPr>
      <w:r>
        <w:rPr>
          <w:rFonts w:ascii="Verdana" w:eastAsia="Calibri" w:hAnsi="Verdana" w:cs="Arial"/>
          <w:lang w:val="es-ES" w:eastAsia="es-ES"/>
        </w:rPr>
        <w:t>Medellín, Antioquia</w:t>
      </w:r>
    </w:p>
    <w:p w14:paraId="7B786417" w14:textId="77777777" w:rsidR="00A61000" w:rsidRPr="00966744" w:rsidRDefault="00A61000" w:rsidP="00A61000">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1000" w:rsidRPr="00777292" w14:paraId="3AFE936A" w14:textId="77777777" w:rsidTr="009D2F8A">
        <w:trPr>
          <w:trHeight w:val="190"/>
        </w:trPr>
        <w:tc>
          <w:tcPr>
            <w:tcW w:w="2689" w:type="dxa"/>
          </w:tcPr>
          <w:p w14:paraId="54A4BCF7" w14:textId="77777777" w:rsidR="00A61000" w:rsidRDefault="00A61000" w:rsidP="009D2F8A">
            <w:pPr>
              <w:jc w:val="both"/>
              <w:rPr>
                <w:rFonts w:ascii="Verdana" w:eastAsia="Calibri" w:hAnsi="Verdana" w:cs="Arial"/>
                <w:b/>
                <w:bCs/>
                <w:lang w:eastAsia="es-ES_tradnl"/>
              </w:rPr>
            </w:pPr>
          </w:p>
          <w:p w14:paraId="4EF23E40" w14:textId="77777777" w:rsidR="00A61000" w:rsidRPr="00777292" w:rsidRDefault="00A61000" w:rsidP="009D2F8A">
            <w:pPr>
              <w:jc w:val="both"/>
              <w:rPr>
                <w:rFonts w:ascii="Verdana" w:eastAsia="Calibri" w:hAnsi="Verdana" w:cs="Arial"/>
                <w:b/>
                <w:bCs/>
                <w:lang w:eastAsia="es-ES_tradnl"/>
              </w:rPr>
            </w:pPr>
          </w:p>
        </w:tc>
        <w:tc>
          <w:tcPr>
            <w:tcW w:w="6100" w:type="dxa"/>
          </w:tcPr>
          <w:p w14:paraId="3E4AF404" w14:textId="77777777" w:rsidR="00A61000" w:rsidRPr="00777292" w:rsidRDefault="00A61000" w:rsidP="009D2F8A">
            <w:pPr>
              <w:jc w:val="both"/>
              <w:rPr>
                <w:rFonts w:ascii="Verdana" w:eastAsia="Calibri" w:hAnsi="Verdana" w:cs="Arial"/>
                <w:b/>
                <w:bCs/>
                <w:lang w:eastAsia="es-ES"/>
              </w:rPr>
            </w:pPr>
            <w:r>
              <w:rPr>
                <w:rFonts w:ascii="Verdana" w:eastAsia="Calibri" w:hAnsi="Verdana" w:cs="Arial"/>
                <w:b/>
                <w:bCs/>
                <w:lang w:eastAsia="es-ES"/>
              </w:rPr>
              <w:t>Concepto C- 1320 de 2026</w:t>
            </w:r>
          </w:p>
          <w:p w14:paraId="5C802454" w14:textId="77777777" w:rsidR="00A61000" w:rsidRPr="00777292" w:rsidRDefault="00A61000" w:rsidP="009D2F8A">
            <w:pPr>
              <w:jc w:val="both"/>
              <w:rPr>
                <w:rFonts w:ascii="Verdana" w:eastAsia="Calibri" w:hAnsi="Verdana" w:cs="Arial"/>
                <w:b/>
                <w:bCs/>
                <w:lang w:eastAsia="es-ES"/>
              </w:rPr>
            </w:pPr>
          </w:p>
        </w:tc>
      </w:tr>
      <w:tr w:rsidR="00A61000" w:rsidRPr="00777292" w14:paraId="26881329" w14:textId="77777777" w:rsidTr="009D2F8A">
        <w:trPr>
          <w:trHeight w:val="884"/>
        </w:trPr>
        <w:tc>
          <w:tcPr>
            <w:tcW w:w="2689" w:type="dxa"/>
          </w:tcPr>
          <w:p w14:paraId="536A2EBC" w14:textId="77777777" w:rsidR="00A61000" w:rsidRPr="00777292" w:rsidRDefault="00A61000" w:rsidP="009D2F8A">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B8FCB59" w14:textId="77777777" w:rsidR="00A61000" w:rsidRDefault="00A61000" w:rsidP="009D2F8A">
            <w:pPr>
              <w:contextualSpacing/>
              <w:jc w:val="both"/>
              <w:rPr>
                <w:rFonts w:ascii="Verdana" w:eastAsia="Calibri" w:hAnsi="Verdana" w:cs="Arial"/>
                <w:lang w:eastAsia="es-ES"/>
              </w:rPr>
            </w:pPr>
            <w:r>
              <w:rPr>
                <w:rFonts w:ascii="Verdana" w:eastAsia="Calibri" w:hAnsi="Verdana" w:cs="Arial"/>
                <w:lang w:eastAsia="es-ES"/>
              </w:rPr>
              <w:t xml:space="preserve">PUNTAJE ADICIONAL ‒ Empleadores de personas con discapacidad ‒ Término mínimo de vinculación ‒ Últimos tres (3) meses ‒ Referente temporal / APORTES A SEGURIDAD SOCIAL ‒ Planilla Integrada de Liquidación de Aportes ‒ Periodos de cotización ‒ Verificación documental ‒ Competencia / TARIFA LEGAL PROBATORIA ‒ Contrato o certificación laboral ‒ Aportes a seguridad social ‒ Funciones probatorias diferenciadas ‒ Concurrencia documental / FACTORES DE PONDERACIÓN ‒ Documentos aportados junto con la oferta ‒ </w:t>
            </w:r>
            <w:proofErr w:type="spellStart"/>
            <w:r>
              <w:rPr>
                <w:rFonts w:ascii="Verdana" w:eastAsia="Calibri" w:hAnsi="Verdana" w:cs="Arial"/>
                <w:lang w:eastAsia="es-ES"/>
              </w:rPr>
              <w:t>Subsanabilidad</w:t>
            </w:r>
            <w:proofErr w:type="spellEnd"/>
            <w:r>
              <w:rPr>
                <w:rFonts w:ascii="Verdana" w:eastAsia="Calibri" w:hAnsi="Verdana" w:cs="Arial"/>
                <w:lang w:eastAsia="es-ES"/>
              </w:rPr>
              <w:t xml:space="preserve"> ‒ Parágrafo 1 del artículo 5 de la Ley 1150 de 2007 ‒ Verificación / CERTIFICADO DE DISCAPACIDAD ‒ Naturaleza declarativa ‒ Fecha de expedición ‒ Distinción frente al término mínimo de vinculación / CERTIFICADO DEL MINISTERIO DEL TRABAJO ‒ Vigencia ‒ Antigüedad ‒ Número de trabajadores de la planta de personal / COMPETENCIA CONSULTIVA ‒ Interpretación de normas generales ‒ Asuntos técnicos de seguridad social ‒ Traslado por competencia</w:t>
            </w:r>
          </w:p>
          <w:p w14:paraId="4678E222" w14:textId="77777777" w:rsidR="00A61000" w:rsidRPr="00777292" w:rsidRDefault="00A61000" w:rsidP="009D2F8A">
            <w:pPr>
              <w:contextualSpacing/>
              <w:jc w:val="both"/>
              <w:rPr>
                <w:rFonts w:ascii="Verdana" w:eastAsia="Calibri" w:hAnsi="Verdana" w:cs="Arial"/>
                <w:lang w:eastAsia="es-ES"/>
              </w:rPr>
            </w:pPr>
          </w:p>
        </w:tc>
      </w:tr>
      <w:tr w:rsidR="00A61000" w:rsidRPr="00777292" w14:paraId="6B77E36A" w14:textId="77777777" w:rsidTr="009D2F8A">
        <w:tc>
          <w:tcPr>
            <w:tcW w:w="2689" w:type="dxa"/>
          </w:tcPr>
          <w:p w14:paraId="4D53D972" w14:textId="77777777" w:rsidR="00A61000" w:rsidRPr="00777292" w:rsidRDefault="00A61000" w:rsidP="009D2F8A">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24C9C42E" w14:textId="77777777" w:rsidR="00A61000" w:rsidRPr="00777292" w:rsidRDefault="00A61000" w:rsidP="009D2F8A">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1_2026_08_21_011127</w:t>
            </w:r>
          </w:p>
        </w:tc>
      </w:tr>
    </w:tbl>
    <w:p w14:paraId="715C3704" w14:textId="77777777" w:rsidR="00A61000" w:rsidRPr="00206556" w:rsidRDefault="00A61000" w:rsidP="00A61000">
      <w:pPr>
        <w:tabs>
          <w:tab w:val="left" w:pos="1520"/>
        </w:tabs>
        <w:spacing w:after="0" w:line="276" w:lineRule="auto"/>
        <w:jc w:val="both"/>
        <w:rPr>
          <w:rFonts w:ascii="Verdana" w:eastAsia="Calibri" w:hAnsi="Verdana" w:cs="Arial"/>
          <w:color w:val="ED7D31" w:themeColor="accent2"/>
          <w:sz w:val="20"/>
          <w:szCs w:val="20"/>
          <w:lang w:val="es-ES" w:eastAsia="es-ES"/>
        </w:rPr>
      </w:pPr>
    </w:p>
    <w:p w14:paraId="79B788AA" w14:textId="77777777" w:rsidR="00A61000" w:rsidRPr="00206556" w:rsidRDefault="00A61000" w:rsidP="00A61000">
      <w:pPr>
        <w:spacing w:after="0" w:line="276" w:lineRule="auto"/>
        <w:jc w:val="both"/>
        <w:rPr>
          <w:rFonts w:ascii="Verdana" w:eastAsia="Calibri" w:hAnsi="Verdana" w:cs="Arial"/>
          <w:color w:val="ED7D31" w:themeColor="accent2"/>
          <w:lang w:val="es-ES" w:eastAsia="es-ES"/>
        </w:rPr>
      </w:pPr>
    </w:p>
    <w:p w14:paraId="1102D779" w14:textId="77777777" w:rsidR="00A61000" w:rsidRPr="00206556" w:rsidRDefault="00A61000" w:rsidP="00A61000">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Murillo:</w:t>
      </w:r>
    </w:p>
    <w:p w14:paraId="3510FE38" w14:textId="77777777" w:rsidR="00A61000" w:rsidRPr="00206556" w:rsidRDefault="00A61000" w:rsidP="00A61000">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67F58C33" w14:textId="77777777" w:rsidR="00A61000" w:rsidRPr="00206556" w:rsidRDefault="00A61000" w:rsidP="00A61000">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w:t>
      </w:r>
      <w:r>
        <w:rPr>
          <w:rFonts w:ascii="Verdana" w:eastAsia="Calibri" w:hAnsi="Verdana" w:cs="Arial"/>
          <w:lang w:val="es-ES" w:eastAsia="es-ES"/>
        </w:rPr>
        <w:lastRenderedPageBreak/>
        <w:t xml:space="preserve">Contratación Pública – Colombia Compra Eficiente– responde su solicitud de consulta del 20 de agosto de 2026, en la cual manifiesta lo siguiente: </w:t>
      </w:r>
    </w:p>
    <w:p w14:paraId="521062E8" w14:textId="77777777" w:rsidR="00A61000" w:rsidRPr="006A0794" w:rsidRDefault="00A61000" w:rsidP="00A61000">
      <w:pPr>
        <w:spacing w:after="0" w:line="276" w:lineRule="auto"/>
        <w:ind w:right="709"/>
        <w:jc w:val="both"/>
        <w:rPr>
          <w:rFonts w:ascii="Verdana" w:eastAsia="Century Gothic" w:hAnsi="Verdana" w:cs="Century Gothic"/>
          <w:i/>
          <w:iCs/>
          <w:sz w:val="20"/>
          <w:szCs w:val="20"/>
          <w:lang w:val="es-ES"/>
        </w:rPr>
      </w:pPr>
    </w:p>
    <w:p w14:paraId="59AF4B13" w14:textId="77777777" w:rsidR="00A61000" w:rsidRDefault="00A61000" w:rsidP="00A61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 respetuosamente solicita a la Agencia Nacional de Contratación Pública – Colombia Compra Eficiente emitir concepto jurídico de carácter general respecto de la interpretación y aplicación del artículo 2.2.1.2.4.2.7.4 del Decreto 1082 de 2015, modificado por el Decreto 287 de 2026, relacionado con el puntaje adicional en favor de los empleadores de personas con discapacidad. </w:t>
      </w:r>
    </w:p>
    <w:p w14:paraId="34E00E37"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p>
    <w:p w14:paraId="128E268E"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…2.1. ¿La expresión “últimos tres (3) meses” debe entenderse como los tres períodos de cotización más recientes que, conforme al calendario legal de pago de aportes, ya resultaban exigibles y acreditables a la fecha de presentación de la oferta?</w:t>
      </w:r>
    </w:p>
    <w:p w14:paraId="7269CF81"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2.2. ¿Es jurídicamente equivalente la expresión normativa “últimos tres (3) meses” a la expresión “los tres meses anteriores al mes en que se presenta la oferta”, o pueden dichas expresiones conducir a períodos de acreditación diferentes?</w:t>
      </w:r>
    </w:p>
    <w:p w14:paraId="604A715C"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2.3. Cuando la oferta se presenta durante los últimos días de un mes y el plazo legal para pagar determinados aportes correspondientes al mes inmediatamente anterior ya venció, ¿debe incluirse dicho período dentro de los “últimos tres meses”?</w:t>
      </w:r>
    </w:p>
    <w:p w14:paraId="22EBCD09"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…3.1. Para efectos del artículo 2.2.1.2.4.2.7.4, ¿debe la entidad contratante examinar separadamente el período que la planilla identifica para salud y el período correspondiente a los demás subsistemas?</w:t>
      </w:r>
    </w:p>
    <w:p w14:paraId="4B259A5A"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3.2. Si el requisito exige demostrar los aportes de los últimos tres meses, ¿resultaría suficiente aportar tres planillas cuyos períodos para “otros subsistemas” correspondan a marzo, abril y mayo, cuando al cierre ya existía y era exigible la planilla correspondiente a junio?</w:t>
      </w:r>
    </w:p>
    <w:p w14:paraId="7C9F3E7E"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3.3. ¿Puede considerarse acreditado el período junio para todos los componentes del Sistema de Seguridad Social simplemente porque una planilla indica “SALUD: junio”, aun cuando esa misma planilla identifique expresamente “OTROS SUBSISTEMAS: mayo”?</w:t>
      </w:r>
    </w:p>
    <w:p w14:paraId="042D52C6"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3.4. ¿La expresión general de un reporte de operador PILA, por ejemplo, “desde enero de 2026 hasta junio de 2026”, puede sustituir la verificación individual del campo específico “PERÍODO COTIZACIÓN OTROS SUBSISTEMAS”?</w:t>
      </w:r>
    </w:p>
    <w:p w14:paraId="59CD3817"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…4.1. ¿La existencia de un contrato laboral cuya antigüedad sea superior a tres meses resulta suficiente, por sí sola, para tener por cumplido el requisito temporal?</w:t>
      </w:r>
    </w:p>
    <w:p w14:paraId="30EDB31B"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4.2. O, por el contrario, ¿además de la antigüedad contractual resulta indispensable acreditar mediante los correspondientes aportes a seguridad social que la vinculación se mantuvo durante, como mínimo, los últimos tres meses?</w:t>
      </w:r>
    </w:p>
    <w:p w14:paraId="29FCEA1A"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lastRenderedPageBreak/>
        <w:t>4.3. Si una persona lleva diez (10) años vinculada laboralmente con una empresa, pero el proponente no acredita mediante los documentos exigidos los aportes correspondientes a uno de los últimos tres meses, ¿puede considerarse cumplido el requisito únicamente por la antigüedad histórica del contrato laboral?</w:t>
      </w:r>
    </w:p>
    <w:p w14:paraId="66ADB25F"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4.4. ¿Cuál es la función probatoria diferenciada del contrato laboral y cuál es la función probatoria de las planillas PILA dentro del esquema de acreditación establecido por el Decreto 287 de 2026?</w:t>
      </w:r>
    </w:p>
    <w:p w14:paraId="30A0D8EE"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…5.1. ¿Debe diferenciarse entre la existencia material del pago antes del cierre y la acreditación documental oportuna del requisito dentro de la oferta?</w:t>
      </w:r>
    </w:p>
    <w:p w14:paraId="25AEE3F3"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5.2. Si la norma establece que los documentos deben ser aportados “junto con su oferta”, ¿puede la entidad contratante tener por acreditado el requisito con base en un documento que existía antes del cierre pero que no fue presentado con la oferta?</w:t>
      </w:r>
    </w:p>
    <w:p w14:paraId="416BB1AD"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5.3. Tratándose de documentación necesaria para acceder a un factor que otorga puntaje, ¿puede el proponente aportar posteriormente la planilla omitida bajo la figura de aclaración o subsanación?</w:t>
      </w:r>
    </w:p>
    <w:p w14:paraId="5B8C0FDD"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5.4. ¿Cambia la respuesta anterior por el hecho de que el pago efectivamente hubiese ocurrido antes del cierre?</w:t>
      </w:r>
    </w:p>
    <w:p w14:paraId="27497F35"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5.5. ¿La existencia previa del hecho sustancial permite subsanar posteriormente el documento cuando este resulta necesario para la asignación de puntaje, o debe diferenciarse entre requisitos habilitantes subsanables y documentos constitutivos de un criterio ponderable?</w:t>
      </w:r>
    </w:p>
    <w:p w14:paraId="49A1D9A3"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5.6. En caso de que la entidad solicite posteriormente la planilla exclusivamente para verificar la fecha en que fue pagada, ¿puede dicho documento ser utilizado únicamente como elemento de verificación sin incorporarlo retroactivamente como soporte para asignar el puntaje?</w:t>
      </w:r>
    </w:p>
    <w:p w14:paraId="612723B2"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…6.1. ¿Los contratos o certificaciones laborales, las planillas de seguridad social, los certificados de discapacidad y el certificado expedido por el Ministerio del Trabajo constituyen documentos concurrentes, de manera que cada uno cumple una finalidad probatoria propia?</w:t>
      </w:r>
    </w:p>
    <w:p w14:paraId="35914991"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6.2. ¿Puede alguno de dichos documentos sustituir completamente a otro?</w:t>
      </w:r>
    </w:p>
    <w:p w14:paraId="21C01AB7"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 xml:space="preserve">6.3. Si respecto de una de las </w:t>
      </w:r>
      <w:proofErr w:type="spellStart"/>
      <w:r w:rsidRPr="002E60C0">
        <w:rPr>
          <w:rFonts w:ascii="Verdana" w:eastAsia="Century Gothic" w:hAnsi="Verdana" w:cs="Century Gothic"/>
          <w:sz w:val="20"/>
          <w:szCs w:val="20"/>
        </w:rPr>
        <w:t>PcD</w:t>
      </w:r>
      <w:proofErr w:type="spellEnd"/>
      <w:r w:rsidRPr="002E60C0">
        <w:rPr>
          <w:rFonts w:ascii="Verdana" w:eastAsia="Century Gothic" w:hAnsi="Verdana" w:cs="Century Gothic"/>
          <w:sz w:val="20"/>
          <w:szCs w:val="20"/>
        </w:rPr>
        <w:t xml:space="preserve"> utilizadas para alcanzar el número mínimo exigido falta uno de los documentos obligatorios, ¿puede esa persona ser computada para acceder al puntaje?</w:t>
      </w:r>
    </w:p>
    <w:p w14:paraId="61CDAC8E"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 xml:space="preserve">6.4. Si como consecuencia de dicha exclusión el empleador queda por debajo del número mínimo de </w:t>
      </w:r>
      <w:proofErr w:type="spellStart"/>
      <w:r w:rsidRPr="002E60C0">
        <w:rPr>
          <w:rFonts w:ascii="Verdana" w:eastAsia="Century Gothic" w:hAnsi="Verdana" w:cs="Century Gothic"/>
          <w:sz w:val="20"/>
          <w:szCs w:val="20"/>
        </w:rPr>
        <w:t>PcD</w:t>
      </w:r>
      <w:proofErr w:type="spellEnd"/>
      <w:r w:rsidRPr="002E60C0">
        <w:rPr>
          <w:rFonts w:ascii="Verdana" w:eastAsia="Century Gothic" w:hAnsi="Verdana" w:cs="Century Gothic"/>
          <w:sz w:val="20"/>
          <w:szCs w:val="20"/>
        </w:rPr>
        <w:t xml:space="preserve"> establecido en la tabla, ¿la consecuencia jurídica es la no asignación del puntaje adicional?</w:t>
      </w:r>
    </w:p>
    <w:p w14:paraId="2A61A7C4"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 xml:space="preserve">…7.1. ¿El requisito de permanencia mínima de tres meses previsto en el Decreto 287 de 2026 recae exclusivamente sobre la vinculación laboral, o exige además que la condición de </w:t>
      </w:r>
      <w:proofErr w:type="spellStart"/>
      <w:r w:rsidRPr="00A24482">
        <w:rPr>
          <w:rFonts w:ascii="Verdana" w:eastAsia="Century Gothic" w:hAnsi="Verdana" w:cs="Century Gothic"/>
          <w:sz w:val="20"/>
          <w:szCs w:val="20"/>
        </w:rPr>
        <w:t>PcD</w:t>
      </w:r>
      <w:proofErr w:type="spellEnd"/>
      <w:r w:rsidRPr="00A24482">
        <w:rPr>
          <w:rFonts w:ascii="Verdana" w:eastAsia="Century Gothic" w:hAnsi="Verdana" w:cs="Century Gothic"/>
          <w:sz w:val="20"/>
          <w:szCs w:val="20"/>
        </w:rPr>
        <w:t xml:space="preserve"> haya estado documentalmente certificada durante todo ese mismo período?</w:t>
      </w:r>
    </w:p>
    <w:p w14:paraId="7F6DDE6B"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p>
    <w:p w14:paraId="34FAB55E"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lastRenderedPageBreak/>
        <w:t xml:space="preserve">7.2. ¿La fecha de expedición del certificado de discapacidad tiene efectos únicamente probatorios respecto de una condición que puede ser preexistente, o constituye el momento a partir del cual dicha persona puede ser computada como </w:t>
      </w:r>
      <w:proofErr w:type="spellStart"/>
      <w:r w:rsidRPr="00A24482">
        <w:rPr>
          <w:rFonts w:ascii="Verdana" w:eastAsia="Century Gothic" w:hAnsi="Verdana" w:cs="Century Gothic"/>
          <w:sz w:val="20"/>
          <w:szCs w:val="20"/>
        </w:rPr>
        <w:t>PcD</w:t>
      </w:r>
      <w:proofErr w:type="spellEnd"/>
      <w:r w:rsidRPr="00A24482">
        <w:rPr>
          <w:rFonts w:ascii="Verdana" w:eastAsia="Century Gothic" w:hAnsi="Verdana" w:cs="Century Gothic"/>
          <w:sz w:val="20"/>
          <w:szCs w:val="20"/>
        </w:rPr>
        <w:t xml:space="preserve"> para efectos del incentivo contractual?</w:t>
      </w:r>
    </w:p>
    <w:p w14:paraId="110CB2CA"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 xml:space="preserve">7.3. Si el certificado de discapacidad no indica expresamente que la condición existía desde una fecha anterior, ¿con qué documento puede la entidad contratante verificar que durante la totalidad de los tres meses anteriores el trabajador reunía la condición de </w:t>
      </w:r>
      <w:proofErr w:type="spellStart"/>
      <w:r w:rsidRPr="00A24482">
        <w:rPr>
          <w:rFonts w:ascii="Verdana" w:eastAsia="Century Gothic" w:hAnsi="Verdana" w:cs="Century Gothic"/>
          <w:sz w:val="20"/>
          <w:szCs w:val="20"/>
        </w:rPr>
        <w:t>PcD</w:t>
      </w:r>
      <w:proofErr w:type="spellEnd"/>
      <w:r w:rsidRPr="00A24482">
        <w:rPr>
          <w:rFonts w:ascii="Verdana" w:eastAsia="Century Gothic" w:hAnsi="Verdana" w:cs="Century Gothic"/>
          <w:sz w:val="20"/>
          <w:szCs w:val="20"/>
        </w:rPr>
        <w:t>?</w:t>
      </w:r>
    </w:p>
    <w:p w14:paraId="2F33A87B"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7.4. ¿Es suficiente demostrar que el trabajador estaba vinculado laboralmente durante los tres meses, aunque la certificación formal de discapacidad haya sido expedida después de iniciado ese período?</w:t>
      </w:r>
    </w:p>
    <w:p w14:paraId="6BD339E4"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7.5. ¿Debe distinguirse, para efectos de este incentivo, entre:</w:t>
      </w:r>
    </w:p>
    <w:p w14:paraId="2160DD69"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antigüedad del trabajador en la empresa;</w:t>
      </w:r>
    </w:p>
    <w:p w14:paraId="1C1AC91B"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antigüedad de la condición de discapacidad; y</w:t>
      </w:r>
    </w:p>
    <w:p w14:paraId="4AA1E0FB"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fecha en que dicha condición fue formalmente certificada?</w:t>
      </w:r>
    </w:p>
    <w:p w14:paraId="3F40E4A9"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w:t>
      </w:r>
      <w:r w:rsidRPr="002E60C0">
        <w:rPr>
          <w:rFonts w:ascii="Verdana" w:eastAsia="Century Gothic" w:hAnsi="Verdana" w:cs="Century Gothic"/>
          <w:sz w:val="20"/>
          <w:szCs w:val="20"/>
        </w:rPr>
        <w:t>8.1. ¿El certificado expedido por el Ministerio del Trabajo debe tener una antigüedad mínima de tres meses respecto de la fecha de cierre del proceso?</w:t>
      </w:r>
    </w:p>
    <w:p w14:paraId="3790FB51"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8.2. ¿O el requisito de tres meses se refiere exclusivamente al período de vinculación laboral y a los aportes de seguridad social, siendo suficiente que el certificado del Ministerio del Trabajo se encuentre vigente al momento correspondiente?</w:t>
      </w:r>
    </w:p>
    <w:p w14:paraId="500616AF"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 xml:space="preserve">8.3. Si el certificado del Ministerio del Trabajo fue expedido menos de tres meses antes del cierre, pero se encuentra vigente, ¿pueden las </w:t>
      </w:r>
      <w:proofErr w:type="spellStart"/>
      <w:r w:rsidRPr="002E60C0">
        <w:rPr>
          <w:rFonts w:ascii="Verdana" w:eastAsia="Century Gothic" w:hAnsi="Verdana" w:cs="Century Gothic"/>
          <w:sz w:val="20"/>
          <w:szCs w:val="20"/>
        </w:rPr>
        <w:t>PcD</w:t>
      </w:r>
      <w:proofErr w:type="spellEnd"/>
      <w:r w:rsidRPr="002E60C0">
        <w:rPr>
          <w:rFonts w:ascii="Verdana" w:eastAsia="Century Gothic" w:hAnsi="Verdana" w:cs="Century Gothic"/>
          <w:sz w:val="20"/>
          <w:szCs w:val="20"/>
        </w:rPr>
        <w:t xml:space="preserve"> allí acreditadas ser computadas siempre que los demás documentos demuestren el período mínimo de vinculación?</w:t>
      </w:r>
    </w:p>
    <w:p w14:paraId="14A123A0"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8.4. En caso de existir diferencias entre el número total de trabajadores reflejado en el certificado del Ministerio del Trabajo y el número certificado por representante legal y revisor fiscal a la fecha de cierre, debido a que ambos documentos corresponden a momentos distintos, ¿cuál fecha o documento debe utilizarse para determinar el rango de trabajadores aplicable a la tabla del artículo 2.2.1.2.4.2.7.4?</w:t>
      </w:r>
    </w:p>
    <w:p w14:paraId="04E061C2" w14:textId="77777777" w:rsidR="00A61000" w:rsidRPr="00A24482" w:rsidRDefault="00A61000" w:rsidP="00A61000">
      <w:pPr>
        <w:spacing w:after="0"/>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t>…9.1. ¿Esta expresión establece una carga temporal de presentación documental al momento del cierre para quienes pretendan acceder al puntaje?</w:t>
      </w:r>
    </w:p>
    <w:p w14:paraId="2F12FE88"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9.2. Tratándose de un criterio ponderable, ¿puede la entidad reconstruir de oficio después del cierre la acreditación documental mediante consultas externas, bases de datos o documentos que no fueron aportados originalmente?</w:t>
      </w:r>
    </w:p>
    <w:p w14:paraId="06BB83F2"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9.3. ¿Cuál es la diferencia entre:</w:t>
      </w:r>
    </w:p>
    <w:p w14:paraId="62C19AE7" w14:textId="77777777" w:rsidR="00A61000" w:rsidRPr="002E60C0" w:rsidRDefault="00A61000" w:rsidP="00A61000">
      <w:pPr>
        <w:numPr>
          <w:ilvl w:val="0"/>
          <w:numId w:val="17"/>
        </w:numPr>
        <w:spacing w:after="0" w:line="240" w:lineRule="auto"/>
        <w:ind w:right="709"/>
        <w:jc w:val="both"/>
        <w:rPr>
          <w:rFonts w:ascii="Verdana" w:eastAsia="Century Gothic" w:hAnsi="Verdana" w:cs="Century Gothic"/>
          <w:sz w:val="20"/>
          <w:szCs w:val="20"/>
        </w:rPr>
      </w:pPr>
      <w:r>
        <w:rPr>
          <w:rFonts w:ascii="Verdana" w:eastAsia="Century Gothic" w:hAnsi="Verdana" w:cs="Century Gothic"/>
          <w:sz w:val="20"/>
          <w:szCs w:val="20"/>
        </w:rPr>
        <w:t>&lt;</w:t>
      </w:r>
      <w:r w:rsidRPr="002E60C0">
        <w:rPr>
          <w:rFonts w:ascii="Verdana" w:eastAsia="Century Gothic" w:hAnsi="Verdana" w:cs="Century Gothic"/>
          <w:sz w:val="20"/>
          <w:szCs w:val="20"/>
        </w:rPr>
        <w:t>verificar la autenticidad o vigencia de un documento aportado con la oferta; y</w:t>
      </w:r>
    </w:p>
    <w:p w14:paraId="38606E67" w14:textId="77777777" w:rsidR="00A61000" w:rsidRPr="002E60C0" w:rsidRDefault="00A61000" w:rsidP="00A61000">
      <w:pPr>
        <w:numPr>
          <w:ilvl w:val="0"/>
          <w:numId w:val="17"/>
        </w:numPr>
        <w:spacing w:after="0" w:line="240" w:lineRule="auto"/>
        <w:ind w:right="709"/>
        <w:jc w:val="both"/>
        <w:rPr>
          <w:rFonts w:ascii="Verdana" w:eastAsia="Century Gothic" w:hAnsi="Verdana" w:cs="Century Gothic"/>
          <w:sz w:val="20"/>
          <w:szCs w:val="20"/>
        </w:rPr>
      </w:pPr>
      <w:r w:rsidRPr="002E60C0">
        <w:rPr>
          <w:rFonts w:ascii="Verdana" w:eastAsia="Century Gothic" w:hAnsi="Verdana" w:cs="Century Gothic"/>
          <w:sz w:val="20"/>
          <w:szCs w:val="20"/>
        </w:rPr>
        <w:t>incorporar después del cierre un documento que no hizo parte de ella y que resulta necesario para completar el factor de ponderación?</w:t>
      </w:r>
    </w:p>
    <w:p w14:paraId="66784121"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p>
    <w:p w14:paraId="2E67756B" w14:textId="77777777" w:rsidR="00A61000" w:rsidRPr="00A24482" w:rsidRDefault="00A61000" w:rsidP="00A61000">
      <w:pPr>
        <w:spacing w:after="0" w:line="240" w:lineRule="auto"/>
        <w:ind w:left="708" w:right="709"/>
        <w:jc w:val="both"/>
        <w:rPr>
          <w:rFonts w:ascii="Verdana" w:eastAsia="Century Gothic" w:hAnsi="Verdana" w:cs="Century Gothic"/>
          <w:sz w:val="20"/>
          <w:szCs w:val="20"/>
        </w:rPr>
      </w:pPr>
    </w:p>
    <w:p w14:paraId="521048F6" w14:textId="77777777" w:rsidR="00A61000" w:rsidRPr="00A24482" w:rsidRDefault="00A61000" w:rsidP="00A61000">
      <w:pPr>
        <w:spacing w:line="240" w:lineRule="auto"/>
        <w:ind w:left="708" w:right="709"/>
        <w:jc w:val="both"/>
        <w:rPr>
          <w:rFonts w:ascii="Verdana" w:eastAsia="Century Gothic" w:hAnsi="Verdana" w:cs="Century Gothic"/>
          <w:sz w:val="20"/>
          <w:szCs w:val="20"/>
        </w:rPr>
      </w:pPr>
      <w:r w:rsidRPr="00A24482">
        <w:rPr>
          <w:rFonts w:ascii="Verdana" w:eastAsia="Century Gothic" w:hAnsi="Verdana" w:cs="Century Gothic"/>
          <w:sz w:val="20"/>
          <w:szCs w:val="20"/>
        </w:rPr>
        <w:lastRenderedPageBreak/>
        <w:t>…10. SOLICITUDES</w:t>
      </w:r>
    </w:p>
    <w:p w14:paraId="55CBDCF5"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Con fundamento en lo anterior, respetuosamente solicito a la Agencia Nacional de Contratación Pública – Colombia Compra Eficiente:</w:t>
      </w:r>
    </w:p>
    <w:p w14:paraId="08E889CF"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PRIMERO. Emitir concepto jurídico de carácter general respecto de cada uno de los problemas jurídicos anteriormente formulados, con fundamento en el artículo 2.2.1.2.4.2.7.4 del Decreto 1082 de 2015, modificado por el Decreto 287 de 2026, la Circular Externa No. 003 de 2026 y la doctrina expedida por esa Agencia.</w:t>
      </w:r>
    </w:p>
    <w:p w14:paraId="5BFB85C4"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SEGUNDO. Precisar expresamente el alcance temporal de la expresión “últimos tres (3) meses” utilizada para los aportes a seguridad social.</w:t>
      </w:r>
    </w:p>
    <w:p w14:paraId="5B47998D"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TERCERO. Indicar, utilizando el supuesto hipotético de un proceso cuya oferta se presenta el 31 de julio de 2026, cuáles períodos deben considerarse para efectos de cumplir dicha exigencia, diferenciando, si resulta jurídicamente necesario, entre período de cotización de salud y período de cotización de los demás subsistemas.</w:t>
      </w:r>
    </w:p>
    <w:p w14:paraId="64DA9EE5"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CUARTO. Precisar si una planilla correspondiente al último período exigible, pagada antes del cierre pero omitida de la oferta, puede ser aportada posteriormente para completar la acreditación de un criterio que otorga puntaje.</w:t>
      </w:r>
    </w:p>
    <w:p w14:paraId="320EADE1"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QUINTO. Precisar si la antigüedad del contrato laboral sustituye o no la obligación de demostrar mediante los aportes a seguridad social la permanencia durante los últimos tres meses.</w:t>
      </w:r>
    </w:p>
    <w:p w14:paraId="78315FC9"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SEXTO. Precisar el efecto jurídico que tiene, para efectos del puntaje, que el certificado de discapacidad haya sido expedido con menos de tres meses de anterioridad al cierre, cuando el contrato laboral y los aportes son anteriores.</w:t>
      </w:r>
    </w:p>
    <w:p w14:paraId="19349410"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SÉPTIMO. Precisar si el certificado expedido por el Ministerio del Trabajo debe contar con una antigüedad mínima de tres meses o si la exigencia aplicable se limita a que dicho documento se encuentre vigente.</w:t>
      </w:r>
    </w:p>
    <w:p w14:paraId="1120EEF9"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 xml:space="preserve">OCTAVO. Indicar si los documentos establecidos por el Decreto 287 de 2026 para acreditar la condición de empleador de </w:t>
      </w:r>
      <w:proofErr w:type="spellStart"/>
      <w:r w:rsidRPr="002E60C0">
        <w:rPr>
          <w:rFonts w:ascii="Verdana" w:eastAsia="Century Gothic" w:hAnsi="Verdana" w:cs="Century Gothic"/>
          <w:sz w:val="20"/>
          <w:szCs w:val="20"/>
        </w:rPr>
        <w:t>PcD</w:t>
      </w:r>
      <w:proofErr w:type="spellEnd"/>
      <w:r w:rsidRPr="002E60C0">
        <w:rPr>
          <w:rFonts w:ascii="Verdana" w:eastAsia="Century Gothic" w:hAnsi="Verdana" w:cs="Century Gothic"/>
          <w:sz w:val="20"/>
          <w:szCs w:val="20"/>
        </w:rPr>
        <w:t xml:space="preserve"> son concurrentes y cuál es la consecuencia cuando falta uno de ellos respecto de una persona necesaria para alcanzar el número mínimo establecido en la tabla.</w:t>
      </w:r>
    </w:p>
    <w:p w14:paraId="377C9309"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r w:rsidRPr="002E60C0">
        <w:rPr>
          <w:rFonts w:ascii="Verdana" w:eastAsia="Century Gothic" w:hAnsi="Verdana" w:cs="Century Gothic"/>
          <w:sz w:val="20"/>
          <w:szCs w:val="20"/>
        </w:rPr>
        <w:t>NOVENO. En caso de considerar que alguna de las preguntas formuladas corresponde total o parcialmente a la competencia de otra autoridad administrativa, solicito realizar el traslado correspondiente conforme a las normas que regulan el derecho de petición e informar de dicha actuación al peticionario.</w:t>
      </w:r>
    </w:p>
    <w:p w14:paraId="41218C2C"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p>
    <w:p w14:paraId="3F0B4DE6" w14:textId="77777777" w:rsidR="00A61000" w:rsidRPr="002E60C0" w:rsidRDefault="00A61000" w:rsidP="00A61000">
      <w:pPr>
        <w:spacing w:after="0" w:line="240" w:lineRule="auto"/>
        <w:ind w:left="708" w:right="709"/>
        <w:jc w:val="both"/>
        <w:rPr>
          <w:rFonts w:ascii="Verdana" w:eastAsia="Century Gothic" w:hAnsi="Verdana" w:cs="Century Gothic"/>
          <w:sz w:val="20"/>
          <w:szCs w:val="20"/>
        </w:rPr>
      </w:pPr>
    </w:p>
    <w:p w14:paraId="2FB84932" w14:textId="77777777" w:rsidR="00A61000" w:rsidRPr="00206556" w:rsidRDefault="00A61000" w:rsidP="00A61000">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Pr>
          <w:rFonts w:ascii="Verdana" w:eastAsia="Calibri" w:hAnsi="Verdana" w:cs="Arial"/>
          <w:lang w:val="es-ES" w:eastAsia="es-ES"/>
        </w:rPr>
        <w:lastRenderedPageBreak/>
        <w:t xml:space="preserve">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4BDCD86F" w14:textId="77777777" w:rsidR="00A61000" w:rsidRPr="00206556" w:rsidRDefault="00A61000" w:rsidP="00A61000">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267E8EC" w14:textId="77777777" w:rsidR="00A61000" w:rsidRPr="00206556" w:rsidRDefault="00A61000" w:rsidP="008F78F6">
      <w:pPr>
        <w:spacing w:after="0" w:line="276" w:lineRule="auto"/>
        <w:ind w:firstLine="709"/>
        <w:jc w:val="both"/>
        <w:rPr>
          <w:rFonts w:ascii="Verdana" w:eastAsia="Calibri" w:hAnsi="Verdana" w:cs="Arial"/>
          <w:lang w:val="es-ES" w:eastAsia="es-ES"/>
        </w:rPr>
      </w:pPr>
    </w:p>
    <w:p w14:paraId="175F9455" w14:textId="77777777" w:rsidR="00A61000" w:rsidRPr="00206556" w:rsidRDefault="00A61000" w:rsidP="008F78F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67F03B45" w14:textId="77777777" w:rsidR="008F78F6" w:rsidRDefault="008F78F6" w:rsidP="00772F1E">
      <w:pPr>
        <w:widowControl w:val="0"/>
        <w:autoSpaceDE w:val="0"/>
        <w:autoSpaceDN w:val="0"/>
        <w:spacing w:after="0" w:line="276" w:lineRule="auto"/>
        <w:jc w:val="both"/>
        <w:rPr>
          <w:rFonts w:ascii="Verdana" w:eastAsia="Times New Roman" w:hAnsi="Verdana" w:cs="Times New Roman"/>
        </w:rPr>
      </w:pPr>
    </w:p>
    <w:p w14:paraId="48CA3840" w14:textId="49AF5F85" w:rsidR="00A61000" w:rsidRDefault="00A61000" w:rsidP="00772F1E">
      <w:pPr>
        <w:widowControl w:val="0"/>
        <w:autoSpaceDE w:val="0"/>
        <w:autoSpaceDN w:val="0"/>
        <w:spacing w:after="0" w:line="276" w:lineRule="auto"/>
        <w:jc w:val="both"/>
        <w:rPr>
          <w:rFonts w:ascii="Verdana" w:hAnsi="Verdana"/>
        </w:rPr>
      </w:pPr>
      <w:r>
        <w:rPr>
          <w:rFonts w:ascii="Verdana" w:eastAsia="Times New Roman" w:hAnsi="Verdana" w:cs="Times New Roman"/>
        </w:rPr>
        <w:t>De acuerdo con el contenido de su solicitud, esta Agencia resolverá los siguientes problemas jurídicos: (i) ¿Sobre qué elementos recae la exigencia temporal de tres (3) meses prevista para el puntaje adicional en favor de los empleadores de personas con discapacidad y cómo se determinan los periodos que deben acreditarse, aun cuando el certificado de discapacidad o el certificado expedido por el Ministerio del Trabajo se hayan expedido con posterioridad al inicio de ese lapso? (</w:t>
      </w:r>
      <w:proofErr w:type="spellStart"/>
      <w:r>
        <w:rPr>
          <w:rFonts w:ascii="Verdana" w:eastAsia="Times New Roman" w:hAnsi="Verdana" w:cs="Times New Roman"/>
        </w:rPr>
        <w:t>ii</w:t>
      </w:r>
      <w:proofErr w:type="spellEnd"/>
      <w:r>
        <w:rPr>
          <w:rFonts w:ascii="Verdana" w:eastAsia="Times New Roman" w:hAnsi="Verdana" w:cs="Times New Roman"/>
        </w:rPr>
        <w:t>) ¿Qué función probatoria cumple cada uno de los documentos exigidos para acreditar esa condición y cómo deben valorarse cuando reportan periodos de cotización diferenciados, o puede alguno sustituir a otro, de modo que la sola antigüedad de la vinculación baste para tener por cumplido el requisito y qué consecuencia produce la falta de alguno de ellos respecto de una persona computada? y (</w:t>
      </w:r>
      <w:proofErr w:type="spellStart"/>
      <w:r>
        <w:rPr>
          <w:rFonts w:ascii="Verdana" w:eastAsia="Times New Roman" w:hAnsi="Verdana" w:cs="Times New Roman"/>
        </w:rPr>
        <w:t>iii</w:t>
      </w:r>
      <w:proofErr w:type="spellEnd"/>
      <w:r>
        <w:rPr>
          <w:rFonts w:ascii="Verdana" w:eastAsia="Times New Roman" w:hAnsi="Verdana" w:cs="Times New Roman"/>
        </w:rPr>
        <w:t>) ¿En qué oportunidad deben aportarse los documentos que sustentan el puntaje y resulta procedente completarlos con posterioridad al cierre, aunque el hecho que acreditan hubiere ocurrido antes de este? Para resolverlos se seguirá el orden de los interrogantes formulados en la consulta.</w:t>
      </w:r>
    </w:p>
    <w:p w14:paraId="10DCD202" w14:textId="77777777" w:rsidR="00A61000" w:rsidRPr="007741C2" w:rsidRDefault="00A61000" w:rsidP="008F78F6">
      <w:pPr>
        <w:spacing w:after="0" w:line="276" w:lineRule="auto"/>
        <w:jc w:val="both"/>
        <w:rPr>
          <w:rFonts w:ascii="Verdana" w:eastAsia="Century Gothic" w:hAnsi="Verdana" w:cs="Century Gothic"/>
          <w:lang w:val="es-ES"/>
        </w:rPr>
      </w:pPr>
    </w:p>
    <w:p w14:paraId="027159A4" w14:textId="77777777" w:rsidR="00A61000" w:rsidRDefault="00A61000" w:rsidP="0065223A">
      <w:pPr>
        <w:spacing w:after="0" w:line="276" w:lineRule="auto"/>
        <w:jc w:val="both"/>
        <w:rPr>
          <w:rFonts w:ascii="Verdana" w:eastAsia="Century Gothic" w:hAnsi="Verdana" w:cs="Century Gothic"/>
          <w:color w:val="ED7D31" w:themeColor="accent2"/>
        </w:rPr>
      </w:pPr>
    </w:p>
    <w:p w14:paraId="5188A3EC" w14:textId="77777777" w:rsidR="00A61000" w:rsidRPr="00206556" w:rsidRDefault="00A61000">
      <w:pPr>
        <w:spacing w:after="0" w:line="276" w:lineRule="auto"/>
        <w:jc w:val="both"/>
        <w:rPr>
          <w:rFonts w:ascii="Verdana" w:eastAsia="Century Gothic" w:hAnsi="Verdana" w:cs="Century Gothic"/>
          <w:color w:val="ED7D31" w:themeColor="accent2"/>
        </w:rPr>
      </w:pPr>
    </w:p>
    <w:p w14:paraId="0205692F" w14:textId="77777777" w:rsidR="00A61000" w:rsidRDefault="00A6100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lastRenderedPageBreak/>
        <w:t>2. Respuesta:</w:t>
      </w:r>
    </w:p>
    <w:p w14:paraId="24A0EF64" w14:textId="77777777" w:rsidR="00A61000" w:rsidRPr="00A4789E" w:rsidRDefault="00A61000">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1000" w:rsidRPr="00206556" w14:paraId="0BE4FEA3" w14:textId="77777777" w:rsidTr="009D2F8A">
        <w:tc>
          <w:tcPr>
            <w:tcW w:w="8828" w:type="dxa"/>
          </w:tcPr>
          <w:p w14:paraId="76CEC14E" w14:textId="375BA680" w:rsidR="00A61000" w:rsidRDefault="00A61000" w:rsidP="00772F1E">
            <w:pPr>
              <w:spacing w:after="120" w:line="276" w:lineRule="auto"/>
              <w:jc w:val="both"/>
              <w:rPr>
                <w:rFonts w:ascii="Verdana" w:eastAsia="Calibri" w:hAnsi="Verdana" w:cs="Arial"/>
              </w:rPr>
            </w:pPr>
            <w:r>
              <w:rPr>
                <w:rFonts w:ascii="Verdana" w:eastAsia="Calibri" w:hAnsi="Verdana" w:cs="Arial"/>
              </w:rPr>
              <w:t xml:space="preserve">En atención a los problemas jurídicos planteados, es necesario precisar que el artículo 2.2.1.2.4.2.7.4 del Decreto 1082 de 2015, modificado por el Decreto 0287 de 2026, prevé el puntaje adicional del dos por ciento (2%) en las modalidades de licitación pública y concurso de méritos de las entidades regidas por la Ley 80 de 1993, para dos situaciones: ser emprendimiento o empresa de </w:t>
            </w:r>
            <w:proofErr w:type="spellStart"/>
            <w:r>
              <w:rPr>
                <w:rFonts w:ascii="Verdana" w:eastAsia="Calibri" w:hAnsi="Verdana" w:cs="Arial"/>
              </w:rPr>
              <w:t>PcD</w:t>
            </w:r>
            <w:proofErr w:type="spellEnd"/>
            <w:r>
              <w:rPr>
                <w:rFonts w:ascii="Verdana" w:eastAsia="Calibri" w:hAnsi="Verdana" w:cs="Arial"/>
              </w:rPr>
              <w:t xml:space="preserve">, o ser empleador de </w:t>
            </w:r>
            <w:proofErr w:type="spellStart"/>
            <w:r>
              <w:rPr>
                <w:rFonts w:ascii="Verdana" w:eastAsia="Calibri" w:hAnsi="Verdana" w:cs="Arial"/>
              </w:rPr>
              <w:t>PcD</w:t>
            </w:r>
            <w:proofErr w:type="spellEnd"/>
            <w:r>
              <w:rPr>
                <w:rFonts w:ascii="Verdana" w:eastAsia="Calibri" w:hAnsi="Verdana" w:cs="Arial"/>
              </w:rPr>
              <w:t>. La consulta se refiere a esta última, cuya acreditación se sujeta a la documentación que la propia norma establece como tarifa legal probatoria. Sobre los interrogantes formulados, se precisa:</w:t>
            </w:r>
          </w:p>
          <w:p w14:paraId="08E9AE32" w14:textId="77777777" w:rsidR="0065223A" w:rsidRDefault="00A61000" w:rsidP="008F78F6">
            <w:pPr>
              <w:spacing w:after="120" w:line="276" w:lineRule="auto"/>
              <w:ind w:firstLine="709"/>
              <w:jc w:val="both"/>
              <w:rPr>
                <w:rFonts w:ascii="Verdana" w:eastAsia="Calibri" w:hAnsi="Verdana" w:cs="Arial"/>
              </w:rPr>
            </w:pPr>
            <w:r>
              <w:rPr>
                <w:rFonts w:ascii="Verdana" w:eastAsia="Calibri" w:hAnsi="Verdana" w:cs="Arial"/>
              </w:rPr>
              <w:t xml:space="preserve">(i) La expresión “últimos tres (3) meses” alude a un periodo continuo de vinculación laboral inmediatamente anterior al cierre del proceso de contratación. Conforme a la Circular Externa No. 003 de 2026, la entidad contratante verificará que la </w:t>
            </w:r>
            <w:proofErr w:type="spellStart"/>
            <w:r>
              <w:rPr>
                <w:rFonts w:ascii="Verdana" w:eastAsia="Calibri" w:hAnsi="Verdana" w:cs="Arial"/>
              </w:rPr>
              <w:t>PcD</w:t>
            </w:r>
            <w:proofErr w:type="spellEnd"/>
            <w:r>
              <w:rPr>
                <w:rFonts w:ascii="Verdana" w:eastAsia="Calibri" w:hAnsi="Verdana" w:cs="Arial"/>
              </w:rPr>
              <w:t xml:space="preserve"> haya estado vinculada a la empresa como mínimo durante los últimos tres (3) meses previos al cierre, y ello se demuestra con el contrato o la certificación laboral y con los aportes a seguridad social, junto con los demás documentos exigidos por el decreto. En consecuencia, los aportes que deben acreditarse son los correspondientes a los tres</w:t>
            </w:r>
            <w:r w:rsidR="0065223A">
              <w:rPr>
                <w:rFonts w:ascii="Verdana" w:eastAsia="Calibri" w:hAnsi="Verdana" w:cs="Arial"/>
              </w:rPr>
              <w:t xml:space="preserve"> (3)</w:t>
            </w:r>
            <w:r>
              <w:rPr>
                <w:rFonts w:ascii="Verdana" w:eastAsia="Calibri" w:hAnsi="Verdana" w:cs="Arial"/>
              </w:rPr>
              <w:t xml:space="preserve"> periodos mensuales de cotización causados por esa vinculación en el lapso inmediatamente anterior al cierre y cuyo pago resultaba exigible, conforme al calendario legal aplicable, a la fecha de presentación de la oferta. </w:t>
            </w:r>
          </w:p>
          <w:p w14:paraId="42B0366F" w14:textId="71CB5931" w:rsidR="00622FB0" w:rsidRDefault="00A61000" w:rsidP="00772F1E">
            <w:pPr>
              <w:spacing w:after="120" w:line="276" w:lineRule="auto"/>
              <w:ind w:firstLine="709"/>
              <w:jc w:val="both"/>
              <w:rPr>
                <w:rFonts w:ascii="Verdana" w:eastAsia="Calibri" w:hAnsi="Verdana" w:cs="Arial"/>
              </w:rPr>
            </w:pPr>
            <w:r>
              <w:rPr>
                <w:rFonts w:ascii="Verdana" w:eastAsia="Calibri" w:hAnsi="Verdana" w:cs="Arial"/>
              </w:rPr>
              <w:t xml:space="preserve">Bajo ese criterio, y a título meramente ilustrativo del supuesto hipotético que usted plantea, en un proceso cuyo cierre ocurra el 31 de julio los periodos a acreditar serían los de los tres </w:t>
            </w:r>
            <w:r w:rsidR="00622FB0">
              <w:rPr>
                <w:rFonts w:ascii="Verdana" w:eastAsia="Calibri" w:hAnsi="Verdana" w:cs="Arial"/>
              </w:rPr>
              <w:t xml:space="preserve">(3) </w:t>
            </w:r>
            <w:r>
              <w:rPr>
                <w:rFonts w:ascii="Verdana" w:eastAsia="Calibri" w:hAnsi="Verdana" w:cs="Arial"/>
              </w:rPr>
              <w:t xml:space="preserve">meses inmediatamente anteriores, abril, mayo y junio, siempre que a esa fecha el pago del último de ellos fuera legalmente exigible; si por el contrario el plazo de pago de ese periodo aún no hubiere vencido al momento del cierre, el cómputo se desplazará al trimestre inmediatamente anterior que sí resultaba exigible. Lo determinante, en todo caso, es que los documentos demuestren la continuidad de la vinculación durante los tres </w:t>
            </w:r>
            <w:r w:rsidR="00622FB0">
              <w:rPr>
                <w:rFonts w:ascii="Verdana" w:eastAsia="Calibri" w:hAnsi="Verdana" w:cs="Arial"/>
              </w:rPr>
              <w:t xml:space="preserve">(3) </w:t>
            </w:r>
            <w:r>
              <w:rPr>
                <w:rFonts w:ascii="Verdana" w:eastAsia="Calibri" w:hAnsi="Verdana" w:cs="Arial"/>
              </w:rPr>
              <w:t>meses previos al cierre, sin interrupciones no justificadas; por ello no bastaría acreditar un trimestre anterior cuando, al momento del cierre, ya era exigible el periodo más reciente.</w:t>
            </w:r>
          </w:p>
          <w:p w14:paraId="0911B8A0" w14:textId="315DFA7A" w:rsidR="00A61000" w:rsidRDefault="00622FB0" w:rsidP="00772F1E">
            <w:pPr>
              <w:spacing w:after="120" w:line="276" w:lineRule="auto"/>
              <w:ind w:firstLine="709"/>
              <w:jc w:val="both"/>
              <w:rPr>
                <w:rFonts w:ascii="Verdana" w:eastAsia="Calibri" w:hAnsi="Verdana" w:cs="Arial"/>
              </w:rPr>
            </w:pPr>
            <w:r>
              <w:rPr>
                <w:rFonts w:ascii="Verdana" w:eastAsia="Calibri" w:hAnsi="Verdana" w:cs="Arial"/>
              </w:rPr>
              <w:t xml:space="preserve">Ahora bien, dado que el requisito de permanencia mínima de tres (3) meses exigido para el otorgamiento del puntaje adicional a los empleadores de personas con discapacidad recae sobre la vinculación laboral de la persona </w:t>
            </w:r>
            <w:r>
              <w:rPr>
                <w:rFonts w:ascii="Verdana" w:eastAsia="Calibri" w:hAnsi="Verdana" w:cs="Arial"/>
              </w:rPr>
              <w:lastRenderedPageBreak/>
              <w:t xml:space="preserve">en condición de discapacidad y no sobre la fecha de expedición del certificado de discapacidad ni de la certificación expedida por el Ministerio de Trabajo. En consecuencia, la circunstancia de que dichos documentos hayan sido emitidos con posterioridad al inicio del periodo objeto de acreditación </w:t>
            </w:r>
            <w:r w:rsidR="00933D0D">
              <w:rPr>
                <w:rFonts w:ascii="Verdana" w:eastAsia="Calibri" w:hAnsi="Verdana" w:cs="Arial"/>
              </w:rPr>
              <w:t xml:space="preserve">no impide reconocer el tiempo de vinculación exigido, siempre que permitan acreditar que, durante el lapso correspondiente, la persona ostentaba la condición de discapacidad y mantenía un </w:t>
            </w:r>
            <w:proofErr w:type="spellStart"/>
            <w:r w:rsidR="00933D0D">
              <w:rPr>
                <w:rFonts w:ascii="Verdana" w:eastAsia="Calibri" w:hAnsi="Verdana" w:cs="Arial"/>
              </w:rPr>
              <w:t>vinculo</w:t>
            </w:r>
            <w:proofErr w:type="spellEnd"/>
            <w:r w:rsidR="00933D0D">
              <w:rPr>
                <w:rFonts w:ascii="Verdana" w:eastAsia="Calibri" w:hAnsi="Verdana" w:cs="Arial"/>
              </w:rPr>
              <w:t xml:space="preserve"> laboral con el proponente. Por tanto, la verificación del requisito debe realizarse a partir de la concurrencia de los elementos materiales que acreditan la condición de discapacidad y la relación laboral durante los tres (3) meses exigidos, sin que la fecha de expedición de los documentos constituya, por si sola, el punto de partida para contabilizar dicho término.    </w:t>
            </w:r>
            <w:r>
              <w:rPr>
                <w:rFonts w:ascii="Verdana" w:eastAsia="Calibri" w:hAnsi="Verdana" w:cs="Arial"/>
              </w:rPr>
              <w:t xml:space="preserve">  </w:t>
            </w:r>
          </w:p>
          <w:p w14:paraId="64A6F976" w14:textId="37928D8D"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Cuando los soportes de aportes discriminan periodos de cotización distintos según el subsistema, la entidad debe valorarlos conforme a lo que cada documento certifica, sin presumir que un periodo se encuentra cubierto para todos los componentes del Sistema de Seguridad Social Integral cuando el propio documento identifica uno diferente; del mismo modo, un reporte que exprese un rango general no releva de constatar que los periodos exigidos estén efectivamente acreditados. Ahora bien, la estructura de la Planilla Integrada de Liquidación de Aportes, la forma de liquidación de cada subsistema y el calendario legal de pago se rigen por la normativa del Sistema de Seguridad Social Integral, cuya interpretación no corresponde a esta Agencia sino a las autoridades competentes en la materia, en los términos que más adelante se indican.</w:t>
            </w:r>
          </w:p>
          <w:p w14:paraId="2352866C" w14:textId="3B3A7E91" w:rsidR="00826D70" w:rsidRDefault="00A61000" w:rsidP="008F78F6">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xml:space="preserve">) La antigüedad del contrato laboral no es suficiente, por sí sola, para tener por cumplido el requisito temporal. La Circular Externa No. 003 de 2026 es expresa en señalar que la vinculación durante los últimos tres (3) meses se demuestra con el contrato o la certificación laboral “y” con los aportes a </w:t>
            </w:r>
            <w:r w:rsidR="00B74816">
              <w:rPr>
                <w:rFonts w:ascii="Verdana" w:eastAsia="Calibri" w:hAnsi="Verdana" w:cs="Arial"/>
              </w:rPr>
              <w:t>S</w:t>
            </w:r>
            <w:r>
              <w:rPr>
                <w:rFonts w:ascii="Verdana" w:eastAsia="Calibri" w:hAnsi="Verdana" w:cs="Arial"/>
              </w:rPr>
              <w:t xml:space="preserve">eguridad </w:t>
            </w:r>
            <w:r w:rsidR="00B74816">
              <w:rPr>
                <w:rFonts w:ascii="Verdana" w:eastAsia="Calibri" w:hAnsi="Verdana" w:cs="Arial"/>
              </w:rPr>
              <w:t>S</w:t>
            </w:r>
            <w:r>
              <w:rPr>
                <w:rFonts w:ascii="Verdana" w:eastAsia="Calibri" w:hAnsi="Verdana" w:cs="Arial"/>
              </w:rPr>
              <w:t xml:space="preserve">ocial, de modo que ambos documentos son concurrentes y cumplen funciones probatorias diferenciadas: </w:t>
            </w:r>
            <w:r w:rsidR="00D52EDA">
              <w:rPr>
                <w:rFonts w:ascii="Verdana" w:eastAsia="Calibri" w:hAnsi="Verdana" w:cs="Arial"/>
              </w:rPr>
              <w:t xml:space="preserve">por un lado, </w:t>
            </w:r>
            <w:r>
              <w:rPr>
                <w:rFonts w:ascii="Verdana" w:eastAsia="Calibri" w:hAnsi="Verdana" w:cs="Arial"/>
              </w:rPr>
              <w:t>el contrato o la certificación acredita la existencia de la relación, su carácter laboral regido por el Código Sustantivo del Trabajo y la dedicación exclusiva, entendida como la relación laboral con un único empleador</w:t>
            </w:r>
            <w:r w:rsidR="00826D70">
              <w:rPr>
                <w:rFonts w:ascii="Verdana" w:eastAsia="Calibri" w:hAnsi="Verdana" w:cs="Arial"/>
              </w:rPr>
              <w:t xml:space="preserve">; </w:t>
            </w:r>
            <w:r>
              <w:rPr>
                <w:rFonts w:ascii="Verdana" w:eastAsia="Calibri" w:hAnsi="Verdana" w:cs="Arial"/>
              </w:rPr>
              <w:t xml:space="preserve">mientras que los aportes acreditan la permanencia efectiva de esa vinculación durante el periodo exigido. Por ello, </w:t>
            </w:r>
            <w:r>
              <w:rPr>
                <w:rFonts w:ascii="Verdana" w:eastAsia="Calibri" w:hAnsi="Verdana" w:cs="Arial"/>
              </w:rPr>
              <w:lastRenderedPageBreak/>
              <w:t>una vinculación de larga data no suple la acreditación de los aportes del trimestre requerido.</w:t>
            </w:r>
            <w:r w:rsidR="00826D70">
              <w:rPr>
                <w:rFonts w:ascii="Verdana" w:eastAsia="Calibri" w:hAnsi="Verdana" w:cs="Arial"/>
              </w:rPr>
              <w:t xml:space="preserve"> </w:t>
            </w:r>
          </w:p>
          <w:p w14:paraId="13634326" w14:textId="5C447317" w:rsidR="00A61000" w:rsidRDefault="00826D70" w:rsidP="00772F1E">
            <w:pPr>
              <w:spacing w:after="120" w:line="276" w:lineRule="auto"/>
              <w:ind w:firstLine="709"/>
              <w:jc w:val="both"/>
              <w:rPr>
                <w:rFonts w:ascii="Verdana" w:eastAsia="Calibri" w:hAnsi="Verdana" w:cs="Arial"/>
              </w:rPr>
            </w:pPr>
            <w:r>
              <w:rPr>
                <w:rFonts w:ascii="Verdana" w:eastAsia="Calibri" w:hAnsi="Verdana" w:cs="Arial"/>
              </w:rPr>
              <w:t xml:space="preserve">Adicionalmente, la regulación establece una tarifa legal probatoria al determinar de forma expresa los documentos idóneos </w:t>
            </w:r>
            <w:r w:rsidR="0033758A">
              <w:rPr>
                <w:rFonts w:ascii="Verdana" w:eastAsia="Calibri" w:hAnsi="Verdana" w:cs="Arial"/>
              </w:rPr>
              <w:t>para acreditar de las condiciones que dan lugar al otorgamiento del puntaje adicional</w:t>
            </w:r>
            <w:r>
              <w:rPr>
                <w:rFonts w:ascii="Verdana" w:eastAsia="Calibri" w:hAnsi="Verdana" w:cs="Arial"/>
              </w:rPr>
              <w:t xml:space="preserve">. En </w:t>
            </w:r>
            <w:r w:rsidR="0033758A">
              <w:rPr>
                <w:rFonts w:ascii="Verdana" w:eastAsia="Calibri" w:hAnsi="Verdana" w:cs="Arial"/>
              </w:rPr>
              <w:t>consecuencia</w:t>
            </w:r>
            <w:r>
              <w:rPr>
                <w:rFonts w:ascii="Verdana" w:eastAsia="Calibri" w:hAnsi="Verdana" w:cs="Arial"/>
              </w:rPr>
              <w:t>, la Entidad</w:t>
            </w:r>
            <w:r w:rsidR="0033758A">
              <w:rPr>
                <w:rFonts w:ascii="Verdana" w:eastAsia="Calibri" w:hAnsi="Verdana" w:cs="Arial"/>
              </w:rPr>
              <w:t xml:space="preserve"> Estatal</w:t>
            </w:r>
            <w:r>
              <w:rPr>
                <w:rFonts w:ascii="Verdana" w:eastAsia="Calibri" w:hAnsi="Verdana" w:cs="Arial"/>
              </w:rPr>
              <w:t xml:space="preserve"> debe verificar la </w:t>
            </w:r>
            <w:r w:rsidR="0033758A">
              <w:rPr>
                <w:rFonts w:ascii="Verdana" w:eastAsia="Calibri" w:hAnsi="Verdana" w:cs="Arial"/>
              </w:rPr>
              <w:t>concurrencia</w:t>
            </w:r>
            <w:r>
              <w:rPr>
                <w:rFonts w:ascii="Verdana" w:eastAsia="Calibri" w:hAnsi="Verdana" w:cs="Arial"/>
              </w:rPr>
              <w:t xml:space="preserve"> de l</w:t>
            </w:r>
            <w:r w:rsidR="0033758A">
              <w:rPr>
                <w:rFonts w:ascii="Verdana" w:eastAsia="Calibri" w:hAnsi="Verdana" w:cs="Arial"/>
              </w:rPr>
              <w:t xml:space="preserve">os requisitos exigidos para acceder al criterio diferencial con fundamento en los medios de prueba señalados por la norma aplicable, sin que resulte procedente sustituir alguno de ellos o tener por acreditada la condición mediante documentos distintos a los expresamente previstos.  </w:t>
            </w:r>
          </w:p>
          <w:p w14:paraId="2DF0BC60" w14:textId="497016FE"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iv</w:t>
            </w:r>
            <w:proofErr w:type="spellEnd"/>
            <w:r>
              <w:rPr>
                <w:rFonts w:ascii="Verdana" w:eastAsia="Calibri" w:hAnsi="Verdana" w:cs="Arial"/>
              </w:rPr>
              <w:t>) Debe distinguirse entre la existencia material del hecho, el pago oportuno de los aportes, y la carga de su acreditación documental dentro de la oferta. Como el puntaje adicional es un factor de asignación de puntaje, los documentos que lo sustentan deben aportarse junto con la oferta y no son subsanables con posterioridad al cierre, pues el parágrafo 1 del artículo 5 de la Ley 1150 de 2007 circunscribe la subsanación a los requisitos que no afectan la asignación de puntaje. Que el hecho hubiere ocurrido antes del cierre no altera esa conclusión, porque lo que se echa de menos no es el hecho sino su acreditación oportuna. Por ello debe distinguirse entre los requisitos habilitantes, que pueden aportarse hasta el término de traslado del informe de evaluación, y los documentos constitutivos de un criterio ponderable, que deben obrar en la oferta desde el cierre. Cuestión distinta es la verificación de la autenticidad, la vigencia o el contenido de un documento efectivamente aportado con la oferta, actuación que no equivale a incorporar un documento nuevo ni puede emplearse para completar el factor de ponderación.</w:t>
            </w:r>
          </w:p>
          <w:p w14:paraId="0F296D24" w14:textId="1714BCE4"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 xml:space="preserve">(v) Los documentos previstos en el artículo 2.2.1.2.4.2.7.4 son concurrentes y ninguno sustituye a otro, pues cada uno cumple una finalidad probatoria propia. Si respecto de una </w:t>
            </w:r>
            <w:proofErr w:type="spellStart"/>
            <w:r>
              <w:rPr>
                <w:rFonts w:ascii="Verdana" w:eastAsia="Calibri" w:hAnsi="Verdana" w:cs="Arial"/>
              </w:rPr>
              <w:t>PcD</w:t>
            </w:r>
            <w:proofErr w:type="spellEnd"/>
            <w:r>
              <w:rPr>
                <w:rFonts w:ascii="Verdana" w:eastAsia="Calibri" w:hAnsi="Verdana" w:cs="Arial"/>
              </w:rPr>
              <w:t xml:space="preserve"> computada falta alguno de los documentos exigidos, esa persona no podrá ser tenida en cuenta para efectos del puntaje; y si como consecuencia de ello el proponente no alcanza el número mínimo previsto en la tabla del mismo artículo, la consecuencia es la no asignación del puntaje adicional, sin que se configure causal de rechazo de la oferta, ya que se trata de un factor de evaluación y no de un requisito habilitante.</w:t>
            </w:r>
          </w:p>
          <w:p w14:paraId="6F0DF439" w14:textId="4E1A25C1"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lastRenderedPageBreak/>
              <w:t xml:space="preserve">(vi) La condición de </w:t>
            </w:r>
            <w:proofErr w:type="spellStart"/>
            <w:r>
              <w:rPr>
                <w:rFonts w:ascii="Verdana" w:eastAsia="Calibri" w:hAnsi="Verdana" w:cs="Arial"/>
              </w:rPr>
              <w:t>PcD</w:t>
            </w:r>
            <w:proofErr w:type="spellEnd"/>
            <w:r>
              <w:rPr>
                <w:rFonts w:ascii="Verdana" w:eastAsia="Calibri" w:hAnsi="Verdana" w:cs="Arial"/>
              </w:rPr>
              <w:t xml:space="preserve"> no se adquiere con la expedición del certificado. Conforme al numeral 1 del artículo 2 de la Ley Estatutaria 1618 de 2013, es una situación derivada de deficiencias a mediano y largo plazo que, al interactuar con barreras, pueden impedir la participación plena y efectiva en la sociedad; el certificado expedido conforme a la normativa del Ministerio de Salud y Protección Social verifica y documenta esa condición, por lo que su naturaleza es declarativa y probatoria. Además, el término de tres (3) meses previsto en la norma está referido a la vinculación laboral y a los aportes, sin que el decreto ni la Circular Externa No. 003 de 2026 exijan que el certificado se hubiere expedido con determinada antelación. De ahí que deban distinguirse tres cuestiones diferentes: la antigüedad de la vinculación laboral, sobre la que recae el término mínimo, la existencia de la condición de discapacidad y la fecha en que esta fue formalmente certificada. Por lo mismo, la entidad no debe exigir un documento adicional dirigido a demostrar que la condición existía durante todo el trimestre anterior, pues la norma no la somete a un término de antigüedad ni prevé soporte alguno para ese efecto.</w:t>
            </w:r>
          </w:p>
          <w:p w14:paraId="055F1F2E" w14:textId="77777777"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vii</w:t>
            </w:r>
            <w:proofErr w:type="spellEnd"/>
            <w:r>
              <w:rPr>
                <w:rFonts w:ascii="Verdana" w:eastAsia="Calibri" w:hAnsi="Verdana" w:cs="Arial"/>
              </w:rPr>
              <w:t>) En cuanto al certificado que expide el Ministerio del Trabajo, la exigencia normativa se refiere a que la entidad contratante verifique su vigencia, y no a que cuente con una antigüedad mínima de tres (3) meses, pues el término trimestral se predica de la vinculación laboral y de los aportes a seguridad social. Por su parte, el número total de trabajadores que determina el rango aplicable de la tabla debe verificarse con referencia a la fecha de cierre del proceso, momento en el cual se consolidan las condiciones de la oferta, conforme a los documentos que para ese momento acrediten la composición de la planta de personal y a las reglas del pliego. Debe advertirse, en todo caso, que el contenido, la expedición y la vigencia de ese certificado, así como la definición de dedicación exclusiva, corresponden al Ministerio del Trabajo.</w:t>
            </w:r>
          </w:p>
          <w:p w14:paraId="6A4969A5" w14:textId="61CD7B9E"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viii</w:t>
            </w:r>
            <w:proofErr w:type="spellEnd"/>
            <w:r>
              <w:rPr>
                <w:rFonts w:ascii="Verdana" w:eastAsia="Calibri" w:hAnsi="Verdana" w:cs="Arial"/>
              </w:rPr>
              <w:t xml:space="preserve">) La expresión “junto con su oferta” establece una carga de presentación documental a cargo de quien pretenda acceder al puntaje, que debe satisfacerse a más tardar al cierre. Por tanto, la entidad no puede reconstruir de oficio, con posterioridad al cierre, la acreditación documental de un factor de ponderación mediante consultas externas o documentos no aportados. Sobre este punto, la propia Circular Externa No. 003 de 2026 advierte que, en materia de interoperabilidad, no puede garantizarse que las </w:t>
            </w:r>
            <w:r>
              <w:rPr>
                <w:rFonts w:ascii="Verdana" w:eastAsia="Calibri" w:hAnsi="Verdana" w:cs="Arial"/>
              </w:rPr>
              <w:lastRenderedPageBreak/>
              <w:t>entidades consulten la documentación y eviten solicitarla al proponente. La diferencia, entonces, es nítida: verificar la autenticidad o la vigencia de un documento aportado es una actuación de comprobación sobre lo que ya obra en la oferta, mientras que incorporar después del cierre un documento ausente equivale a completar el factor de ponderación, lo que no resulta procedente.</w:t>
            </w:r>
          </w:p>
          <w:p w14:paraId="1D66CD77" w14:textId="77777777" w:rsidR="00A61000" w:rsidRDefault="00A61000" w:rsidP="00772F1E">
            <w:pPr>
              <w:spacing w:after="120" w:line="276" w:lineRule="auto"/>
              <w:ind w:firstLine="709"/>
              <w:jc w:val="both"/>
              <w:rPr>
                <w:rFonts w:ascii="Verdana" w:eastAsia="Calibri" w:hAnsi="Verdana" w:cs="Arial"/>
              </w:rPr>
            </w:pPr>
            <w:r>
              <w:rPr>
                <w:rFonts w:ascii="Verdana" w:eastAsia="Calibri" w:hAnsi="Verdana" w:cs="Arial"/>
              </w:rPr>
              <w:t>Finalmente, en cuanto a la solicitud de traslado, los interrogantes que involucran la estructura y los periodos de la Planilla Integrada de Liquidación de Aportes y el calendario legal de pago corresponden a las autoridades del Sistema de Seguridad Social Integral, y los relativos al certificado del Ministerio del Trabajo y a la definición de dedicación exclusiva, a esa cartera; en lo pertinente se dará traslado conforme al artículo 21 del Código de Procedimiento Administrativo y de lo Contencioso Administrativo. En todo caso, corresponde a cada entidad estatal, en ejercicio de su competencia y previa valoración de los elementos fácticos y jurídicos de su proceso, definir la forma de adelantar su gestión contractual y valorar los documentos aportados, sin que sea atribución de Colombia Compra Eficiente validar sus actuaciones ni pronunciarse sobre casos particulares.</w:t>
            </w:r>
          </w:p>
        </w:tc>
      </w:tr>
    </w:tbl>
    <w:p w14:paraId="6B0973BA" w14:textId="77777777" w:rsidR="00A61000" w:rsidRPr="00206556" w:rsidRDefault="00A61000" w:rsidP="00A61000">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64A98F78" w14:textId="77777777" w:rsidR="00A61000" w:rsidRPr="00206556" w:rsidRDefault="00A61000" w:rsidP="00A6100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57F1D3D2" w14:textId="77777777" w:rsidR="00A61000" w:rsidRPr="00206556" w:rsidRDefault="00A61000" w:rsidP="00A61000">
      <w:pPr>
        <w:tabs>
          <w:tab w:val="left" w:pos="142"/>
          <w:tab w:val="left" w:pos="284"/>
        </w:tabs>
        <w:spacing w:after="0" w:line="276" w:lineRule="auto"/>
        <w:jc w:val="both"/>
        <w:rPr>
          <w:rFonts w:ascii="Verdana" w:eastAsia="Century Gothic" w:hAnsi="Verdana" w:cs="Century Gothic"/>
          <w:b/>
          <w:color w:val="ED7D31" w:themeColor="accent2"/>
          <w:lang w:val="es-ES"/>
        </w:rPr>
      </w:pPr>
    </w:p>
    <w:p w14:paraId="73580856" w14:textId="77777777" w:rsidR="00A61000" w:rsidRPr="00206556" w:rsidRDefault="00A61000" w:rsidP="00A61000">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344BE69" w14:textId="77777777" w:rsidR="00A61000" w:rsidRPr="00206556" w:rsidRDefault="00A61000" w:rsidP="00A61000">
      <w:pPr>
        <w:spacing w:after="0" w:line="276" w:lineRule="auto"/>
        <w:jc w:val="both"/>
        <w:rPr>
          <w:rFonts w:ascii="Verdana" w:eastAsia="Calibri" w:hAnsi="Verdana" w:cs="Arial"/>
          <w:lang w:val="es-ES"/>
        </w:rPr>
      </w:pPr>
    </w:p>
    <w:p w14:paraId="4F497CAA" w14:textId="77777777" w:rsidR="00A61000" w:rsidRDefault="00A61000" w:rsidP="00A61000">
      <w:pPr>
        <w:spacing w:after="120" w:line="276" w:lineRule="auto"/>
        <w:jc w:val="both"/>
        <w:rPr>
          <w:rFonts w:ascii="Verdana" w:eastAsia="Calibri" w:hAnsi="Verdana" w:cs="Arial"/>
        </w:rPr>
      </w:pPr>
      <w:r>
        <w:rPr>
          <w:rFonts w:ascii="Verdana" w:eastAsia="Calibri" w:hAnsi="Verdana" w:cs="Arial"/>
          <w:lang w:val="es-ES"/>
        </w:rPr>
        <w:t xml:space="preserve">(i) </w:t>
      </w:r>
      <w:r>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p>
    <w:p w14:paraId="51405A47" w14:textId="77777777" w:rsidR="00A61000" w:rsidRPr="00206556" w:rsidRDefault="00A61000" w:rsidP="00A61000">
      <w:pPr>
        <w:spacing w:after="120" w:line="276" w:lineRule="auto"/>
        <w:ind w:firstLine="708"/>
        <w:jc w:val="both"/>
        <w:rPr>
          <w:rFonts w:ascii="Verdana" w:hAnsi="Verdana"/>
        </w:rPr>
      </w:pPr>
      <w:r>
        <w:rPr>
          <w:rFonts w:ascii="Verdana" w:eastAsia="Times New Roman" w:hAnsi="Verdana" w:cs="Times New Roman"/>
        </w:rPr>
        <w:t>El fundamento del Sistema de Preferencias para Personas con Discapacidad (</w:t>
      </w:r>
      <w:proofErr w:type="spellStart"/>
      <w:r>
        <w:rPr>
          <w:rFonts w:ascii="Verdana" w:eastAsia="Times New Roman" w:hAnsi="Verdana" w:cs="Times New Roman"/>
        </w:rPr>
        <w:t>PcD</w:t>
      </w:r>
      <w:proofErr w:type="spellEnd"/>
      <w:r>
        <w:rPr>
          <w:rFonts w:ascii="Verdana" w:eastAsia="Times New Roman" w:hAnsi="Verdana" w:cs="Times New Roman"/>
        </w:rPr>
        <w:t>) en la contratación pública es el principio de igualdad real y efectiva consagrado en el artículo 13 de la Constitución Política de 1991</w:t>
      </w:r>
      <w:r>
        <w:rPr>
          <w:rStyle w:val="Refdenotaalpie"/>
          <w:rFonts w:ascii="Verdana" w:eastAsia="Times New Roman" w:hAnsi="Verdana" w:cs="Times New Roman"/>
        </w:rPr>
        <w:footnoteReference w:id="1"/>
      </w:r>
      <w:r>
        <w:rPr>
          <w:rFonts w:ascii="Verdana" w:eastAsia="Times New Roman" w:hAnsi="Verdana" w:cs="Times New Roman"/>
        </w:rPr>
        <w:t xml:space="preserve">, que impone al Estado el deber positivo de adoptar </w:t>
      </w:r>
      <w:r>
        <w:rPr>
          <w:rFonts w:ascii="Verdana" w:eastAsia="Times New Roman" w:hAnsi="Verdana" w:cs="Times New Roman"/>
          <w:i/>
          <w:iCs/>
        </w:rPr>
        <w:t>acciones afirmativas</w:t>
      </w:r>
      <w:r>
        <w:rPr>
          <w:rFonts w:ascii="Verdana" w:eastAsia="Times New Roman" w:hAnsi="Verdana" w:cs="Times New Roman"/>
        </w:rPr>
        <w:t xml:space="preserve"> en favor de grupos históricamente excluidos. La Corte Constitucional ha sostenido que tales </w:t>
      </w:r>
      <w:r>
        <w:rPr>
          <w:rFonts w:ascii="Verdana" w:eastAsia="Times New Roman" w:hAnsi="Verdana" w:cs="Times New Roman"/>
        </w:rPr>
        <w:lastRenderedPageBreak/>
        <w:t xml:space="preserve">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2"/>
      </w:r>
      <w:r>
        <w:rPr>
          <w:rFonts w:ascii="Verdana" w:eastAsia="Times New Roman" w:hAnsi="Verdana" w:cs="Times New Roman"/>
        </w:rPr>
        <w:t>.</w:t>
      </w:r>
    </w:p>
    <w:p w14:paraId="2CD42B70" w14:textId="77777777" w:rsidR="00A61000" w:rsidRPr="00206556" w:rsidRDefault="00A61000" w:rsidP="00A61000">
      <w:pPr>
        <w:spacing w:after="120" w:line="276" w:lineRule="auto"/>
        <w:ind w:firstLine="708"/>
        <w:jc w:val="both"/>
        <w:rPr>
          <w:rFonts w:ascii="Verdana" w:hAnsi="Verdana"/>
        </w:rPr>
      </w:pPr>
      <w:r>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Pr>
          <w:rStyle w:val="Refdenotaalpie"/>
          <w:rFonts w:ascii="Verdana" w:eastAsia="Times New Roman" w:hAnsi="Verdana" w:cs="Times New Roman"/>
        </w:rPr>
        <w:footnoteReference w:id="3"/>
      </w:r>
      <w:r>
        <w:rPr>
          <w:rFonts w:ascii="Verdana" w:eastAsia="Times New Roman" w:hAnsi="Verdana" w:cs="Times New Roman"/>
        </w:rPr>
        <w:t xml:space="preserve"> reconoce el derecho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Pr>
          <w:rStyle w:val="Refdenotaalpie"/>
          <w:rFonts w:ascii="Verdana" w:eastAsia="Times New Roman" w:hAnsi="Verdana" w:cs="Times New Roman"/>
        </w:rPr>
        <w:footnoteReference w:id="4"/>
      </w:r>
      <w:r>
        <w:rPr>
          <w:rFonts w:ascii="Verdana" w:eastAsia="Times New Roman" w:hAnsi="Verdana" w:cs="Times New Roman"/>
        </w:rPr>
        <w:t xml:space="preserve"> ordena eliminar progresivamente la discriminación en la prestación de servicios, incluido el empleo. El Convenio 159 de la OIT</w:t>
      </w:r>
      <w:r>
        <w:rPr>
          <w:rStyle w:val="Refdenotaalpie"/>
          <w:rFonts w:ascii="Verdana" w:eastAsia="Times New Roman" w:hAnsi="Verdana" w:cs="Times New Roman"/>
        </w:rPr>
        <w:footnoteReference w:id="5"/>
      </w:r>
      <w:r>
        <w:rPr>
          <w:rFonts w:ascii="Verdana" w:eastAsia="Times New Roman" w:hAnsi="Verdana" w:cs="Times New Roman"/>
        </w:rPr>
        <w:t xml:space="preserve"> exige medidas orientadas a garantizar la igualdad de oportunidades de todas las categorías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materia de empleo.</w:t>
      </w:r>
    </w:p>
    <w:p w14:paraId="629332C4" w14:textId="77777777" w:rsidR="00A61000" w:rsidRPr="00206556" w:rsidRDefault="00A61000" w:rsidP="00A61000">
      <w:pPr>
        <w:spacing w:after="120" w:line="276" w:lineRule="auto"/>
        <w:jc w:val="both"/>
        <w:rPr>
          <w:rFonts w:ascii="Verdana" w:hAnsi="Verdana"/>
        </w:rPr>
      </w:pPr>
      <w:r>
        <w:rPr>
          <w:rFonts w:ascii="Verdana" w:eastAsia="Times New Roman" w:hAnsi="Verdana" w:cs="Times New Roman"/>
        </w:rPr>
        <w:t xml:space="preserve">        En el ámbito nacional, la Ley 361 de 1997 estableció los primeros mecanismos de integración social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Su artículo 24 introdujo una preferencia en igualdad de condiciones en licitaciones y adjudicaciones de contratos para los empleadores que tuvieran al menos el diez por ciento (10%) de su nómina compuesta por </w:t>
      </w:r>
      <w:proofErr w:type="spellStart"/>
      <w:r>
        <w:rPr>
          <w:rFonts w:ascii="Verdana" w:eastAsia="Times New Roman" w:hAnsi="Verdana" w:cs="Times New Roman"/>
        </w:rPr>
        <w:t>PcD</w:t>
      </w:r>
      <w:proofErr w:type="spellEnd"/>
      <w:r>
        <w:rPr>
          <w:rStyle w:val="Refdenotaalpie"/>
          <w:rFonts w:ascii="Verdana" w:eastAsia="Times New Roman" w:hAnsi="Verdana" w:cs="Times New Roman"/>
        </w:rPr>
        <w:footnoteReference w:id="6"/>
      </w:r>
      <w:r>
        <w:rPr>
          <w:rFonts w:ascii="Verdana" w:eastAsia="Times New Roman" w:hAnsi="Verdana" w:cs="Times New Roman"/>
        </w:rPr>
        <w:t xml:space="preserve">. Esta norma vinculó por primera vez la contratación pública con la inclusión laboral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pero su alcance era limitado: una preferencia residual aplicable solo en caso de empate, que </w:t>
      </w:r>
      <w:r>
        <w:rPr>
          <w:rFonts w:ascii="Verdana" w:eastAsia="Times New Roman" w:hAnsi="Verdana" w:cs="Times New Roman"/>
        </w:rPr>
        <w:lastRenderedPageBreak/>
        <w:t xml:space="preserve">beneficiaba únicamente a los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sin considerar a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proponentes directos.</w:t>
      </w:r>
    </w:p>
    <w:p w14:paraId="440F6331" w14:textId="77777777" w:rsidR="00A61000" w:rsidRPr="00206556" w:rsidRDefault="00A61000" w:rsidP="00A61000">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Estatutaria 1618 de 2013 representó un salto cualitativo en el marco jurídico de protección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al definir a estas como </w:t>
      </w:r>
      <w:r>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i/>
          <w:iCs/>
        </w:rPr>
        <w:footnoteReference w:id="7"/>
      </w:r>
      <w:r>
        <w:rPr>
          <w:rFonts w:ascii="Verdana" w:eastAsia="Times New Roman" w:hAnsi="Verdana" w:cs="Times New Roman"/>
          <w:i/>
          <w:iCs/>
        </w:rPr>
        <w:t>.</w:t>
      </w:r>
      <w:r>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Pr>
          <w:rFonts w:ascii="Verdana" w:eastAsia="Times New Roman" w:hAnsi="Verdana" w:cs="Times New Roman"/>
        </w:rPr>
        <w:t>PcD</w:t>
      </w:r>
      <w:proofErr w:type="spellEnd"/>
      <w:r>
        <w:rPr>
          <w:rFonts w:ascii="Verdana" w:eastAsia="Times New Roman" w:hAnsi="Verdana" w:cs="Times New Roman"/>
        </w:rPr>
        <w:t xml:space="preserve"> y para empresas de </w:t>
      </w:r>
      <w:proofErr w:type="spellStart"/>
      <w:r>
        <w:rPr>
          <w:rFonts w:ascii="Verdana" w:eastAsia="Times New Roman" w:hAnsi="Verdana" w:cs="Times New Roman"/>
        </w:rPr>
        <w:t>PcD</w:t>
      </w:r>
      <w:proofErr w:type="spellEnd"/>
      <w:r>
        <w:rPr>
          <w:rFonts w:ascii="Verdana" w:eastAsia="Times New Roman" w:hAnsi="Verdana" w:cs="Times New Roman"/>
        </w:rPr>
        <w:t xml:space="preserve">; un sistema de preferencias para empleadores de </w:t>
      </w:r>
      <w:proofErr w:type="spellStart"/>
      <w:r>
        <w:rPr>
          <w:rFonts w:ascii="Verdana" w:eastAsia="Times New Roman" w:hAnsi="Verdana" w:cs="Times New Roman"/>
        </w:rPr>
        <w:t>PcD</w:t>
      </w:r>
      <w:proofErr w:type="spellEnd"/>
      <w:r>
        <w:rPr>
          <w:rFonts w:ascii="Verdana" w:eastAsia="Times New Roman" w:hAnsi="Verdana" w:cs="Times New Roman"/>
        </w:rPr>
        <w:t xml:space="preserve"> en la adjudicación; y un sistema de preferencias en favor de las propias </w:t>
      </w:r>
      <w:proofErr w:type="spellStart"/>
      <w:r>
        <w:rPr>
          <w:rFonts w:ascii="Verdana" w:eastAsia="Times New Roman" w:hAnsi="Verdana" w:cs="Times New Roman"/>
        </w:rPr>
        <w:t>PcD</w:t>
      </w:r>
      <w:proofErr w:type="spellEnd"/>
      <w:r>
        <w:rPr>
          <w:rFonts w:ascii="Verdana" w:eastAsia="Times New Roman" w:hAnsi="Verdana" w:cs="Times New Roman"/>
        </w:rPr>
        <w:t xml:space="preserve"> como contratistas</w:t>
      </w:r>
      <w:r>
        <w:rPr>
          <w:rStyle w:val="Refdenotaalpie"/>
          <w:rFonts w:ascii="Verdana" w:eastAsia="Times New Roman" w:hAnsi="Verdana" w:cs="Times New Roman"/>
        </w:rPr>
        <w:footnoteReference w:id="8"/>
      </w:r>
      <w:r>
        <w:rPr>
          <w:rFonts w:ascii="Verdana" w:eastAsia="Times New Roman" w:hAnsi="Verdana" w:cs="Times New Roman"/>
        </w:rPr>
        <w:t xml:space="preserve">. Este último mandato fue especialmente significativo porque introdujo el concepto de </w:t>
      </w:r>
      <w:r>
        <w:rPr>
          <w:rFonts w:ascii="Verdana" w:eastAsia="Times New Roman" w:hAnsi="Verdana" w:cs="Times New Roman"/>
          <w:i/>
          <w:iCs/>
        </w:rPr>
        <w:t>"sistema de preferencias"</w:t>
      </w:r>
      <w:r>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1D5D2E69" w14:textId="77777777" w:rsidR="00A61000" w:rsidRPr="00A420A9" w:rsidRDefault="00A61000" w:rsidP="00A61000">
      <w:pPr>
        <w:spacing w:after="120" w:line="276" w:lineRule="auto"/>
        <w:ind w:firstLine="709"/>
        <w:jc w:val="both"/>
        <w:rPr>
          <w:rFonts w:ascii="Verdana" w:hAnsi="Verdana"/>
        </w:rPr>
      </w:pPr>
      <w:r>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uno por ciento (1%) de puntaje para empleadores de </w:t>
      </w:r>
      <w:proofErr w:type="spellStart"/>
      <w:r>
        <w:rPr>
          <w:rFonts w:ascii="Verdana" w:hAnsi="Verdana"/>
        </w:rPr>
        <w:t>PcD</w:t>
      </w:r>
      <w:proofErr w:type="spellEnd"/>
      <w:r>
        <w:rPr>
          <w:rFonts w:ascii="Verdana" w:hAnsi="Verdana"/>
        </w:rPr>
        <w:t xml:space="preserve">, sin incluir a las empresas de </w:t>
      </w:r>
      <w:proofErr w:type="spellStart"/>
      <w:r>
        <w:rPr>
          <w:rFonts w:ascii="Verdana" w:hAnsi="Verdana"/>
        </w:rPr>
        <w:t>PcD</w:t>
      </w:r>
      <w:proofErr w:type="spellEnd"/>
      <w:r>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Pr>
          <w:rFonts w:ascii="Verdana" w:hAnsi="Verdana"/>
        </w:rPr>
        <w:t>PcD</w:t>
      </w:r>
      <w:proofErr w:type="spellEnd"/>
      <w:r>
        <w:rPr>
          <w:rFonts w:ascii="Verdana" w:hAnsi="Verdana"/>
        </w:rPr>
        <w:t xml:space="preserve"> como contratistas.</w:t>
      </w:r>
    </w:p>
    <w:p w14:paraId="1ACA434B" w14:textId="77777777" w:rsidR="00A61000" w:rsidRDefault="00A61000" w:rsidP="00A61000">
      <w:pPr>
        <w:spacing w:after="120" w:line="276" w:lineRule="auto"/>
        <w:ind w:firstLine="709"/>
        <w:jc w:val="both"/>
        <w:rPr>
          <w:rFonts w:ascii="Verdana" w:hAnsi="Verdana"/>
        </w:rPr>
      </w:pPr>
      <w:r>
        <w:rPr>
          <w:rFonts w:ascii="Verdana" w:hAnsi="Verdana"/>
        </w:rPr>
        <w:lastRenderedPageBreak/>
        <w:t xml:space="preserve">La insuficiencia del Decreto 392 de 2018 fue constatada judicialmente. La Sección Quinta del Consejo de Estado, mediante sentencia de acción de cumplimiento del 12 de diciembre de 2024, radicación </w:t>
      </w:r>
      <w:proofErr w:type="spellStart"/>
      <w:r>
        <w:rPr>
          <w:rFonts w:ascii="Verdana" w:hAnsi="Verdana"/>
        </w:rPr>
        <w:t>n.°</w:t>
      </w:r>
      <w:proofErr w:type="spellEnd"/>
      <w:r>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5C846338" w14:textId="77777777" w:rsidR="00A61000" w:rsidRDefault="00A61000" w:rsidP="00A61000">
      <w:pPr>
        <w:spacing w:after="120" w:line="276" w:lineRule="auto"/>
        <w:ind w:firstLine="709"/>
        <w:jc w:val="both"/>
        <w:rPr>
          <w:rFonts w:ascii="Verdana" w:hAnsi="Verdana"/>
        </w:rPr>
      </w:pPr>
      <w:r>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Pr>
          <w:rFonts w:ascii="Verdana" w:hAnsi="Verdana"/>
        </w:rPr>
        <w:t>PcD</w:t>
      </w:r>
      <w:proofErr w:type="spellEnd"/>
      <w:r>
        <w:rPr>
          <w:rFonts w:ascii="Verdana" w:hAnsi="Verdana"/>
        </w:rPr>
        <w:t xml:space="preserve"> y los empleadores de </w:t>
      </w:r>
      <w:proofErr w:type="spellStart"/>
      <w:r>
        <w:rPr>
          <w:rFonts w:ascii="Verdana" w:hAnsi="Verdana"/>
        </w:rPr>
        <w:t>PcD</w:t>
      </w:r>
      <w:proofErr w:type="spellEnd"/>
      <w:r>
        <w:rPr>
          <w:rFonts w:ascii="Verdana" w:hAnsi="Verdana"/>
        </w:rPr>
        <w:t xml:space="preserve">. </w:t>
      </w:r>
      <w:r>
        <w:rPr>
          <w:rFonts w:ascii="Verdana" w:eastAsia="Aptos" w:hAnsi="Verdana" w:cs="Times New Roman"/>
          <w:kern w:val="2"/>
          <w14:ligatures w14:val="standardContextual"/>
        </w:rPr>
        <w:t xml:space="preserve">Mediante la expedición del mencionado decreto, se modificaron los artículos 2.2.1.2.4.2.6, 2.2.1.2.4.2.7. y 2.2.1.2.4.2.8. del Decreto 1082 de 2015 y se adicionan otras normas, cuyos aspectos más relevantes se resaltan a continuación: </w:t>
      </w:r>
    </w:p>
    <w:p w14:paraId="5DDF466A"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i) Se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599D4000"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ii</w:t>
      </w:r>
      <w:proofErr w:type="spellEnd"/>
      <w:r>
        <w:rPr>
          <w:rFonts w:ascii="Verdana" w:eastAsia="Aptos" w:hAnsi="Verdana" w:cs="Times New Roman"/>
          <w:kern w:val="2"/>
          <w14:ligatures w14:val="standardContextual"/>
        </w:rPr>
        <w:t xml:space="preserve">) Se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00AD24A2"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iii</w:t>
      </w:r>
      <w:proofErr w:type="spellEnd"/>
      <w:r>
        <w:rPr>
          <w:rFonts w:ascii="Verdana" w:eastAsia="Aptos" w:hAnsi="Verdana" w:cs="Times New Roman"/>
          <w:kern w:val="2"/>
          <w14:ligatures w14:val="standardContextual"/>
        </w:rPr>
        <w:t xml:space="preserve">) Se incluye el artículo 2.2.1.2.4.2.7.1. del Decreto 1082 de 2015, disponiendo que todas las entidades que manejen recursos públicos están obligadas a garantizar la accesibilidad para personas con discapacidad en sus </w:t>
      </w:r>
      <w:r>
        <w:rPr>
          <w:rFonts w:ascii="Verdana" w:eastAsia="Aptos" w:hAnsi="Verdana" w:cs="Times New Roman"/>
          <w:kern w:val="2"/>
          <w14:ligatures w14:val="standardContextual"/>
        </w:rPr>
        <w:lastRenderedPageBreak/>
        <w:t xml:space="preserve">procesos de contratación. </w:t>
      </w:r>
    </w:p>
    <w:p w14:paraId="0D630C28"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Aptos" w:eastAsia="Aptos" w:hAnsi="Aptos" w:cs="Times New Roman"/>
          <w:kern w:val="2"/>
          <w:sz w:val="24"/>
          <w:szCs w:val="24"/>
          <w14:ligatures w14:val="standardContextual"/>
        </w:rPr>
        <w:t>iv</w:t>
      </w:r>
      <w:proofErr w:type="spellEnd"/>
      <w:r>
        <w:rPr>
          <w:rFonts w:ascii="Aptos" w:eastAsia="Aptos" w:hAnsi="Aptos" w:cs="Times New Roman"/>
          <w:kern w:val="2"/>
          <w:sz w:val="24"/>
          <w:szCs w:val="24"/>
          <w14:ligatures w14:val="standardContextual"/>
        </w:rPr>
        <w:t xml:space="preserve">) </w:t>
      </w:r>
      <w:r>
        <w:rPr>
          <w:rFonts w:ascii="Verdana" w:eastAsia="Aptos" w:hAnsi="Verdana" w:cs="Times New Roman"/>
          <w:kern w:val="2"/>
          <w14:ligatures w14:val="standardContextual"/>
        </w:rPr>
        <w:t>Se incluye el artículo 2.2.1.2.4.2.7.2. del Decreto 1082 de 2015, en el cual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2BD621F1"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v) Se incluye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Pr>
          <w:rFonts w:ascii="Verdana" w:eastAsia="Aptos" w:hAnsi="Verdana" w:cs="Times New Roman"/>
          <w:kern w:val="2"/>
          <w:vertAlign w:val="superscript"/>
          <w14:ligatures w14:val="standardContextual"/>
        </w:rPr>
        <w:footnoteReference w:id="9"/>
      </w:r>
      <w:r>
        <w:rPr>
          <w:rFonts w:ascii="Verdana" w:eastAsia="Aptos" w:hAnsi="Verdana" w:cs="Times New Roman"/>
          <w:kern w:val="2"/>
          <w14:ligatures w14:val="standardContextual"/>
        </w:rPr>
        <w:t xml:space="preserve">. </w:t>
      </w:r>
    </w:p>
    <w:p w14:paraId="50E0DD80"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vi) Se incluye el artículo 2.1.2.4.2.7.4 que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5D9E4982"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vii</w:t>
      </w:r>
      <w:proofErr w:type="spellEnd"/>
      <w:r>
        <w:rPr>
          <w:rFonts w:ascii="Verdana" w:eastAsia="Aptos" w:hAnsi="Verdana" w:cs="Times New Roman"/>
          <w:kern w:val="2"/>
          <w14:ligatures w14:val="standardContextual"/>
        </w:rPr>
        <w:t xml:space="preserve">) Se incluye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1C76E5D5" w14:textId="77777777" w:rsidR="00A61000" w:rsidRPr="001B3C5D"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lastRenderedPageBreak/>
        <w:t>viii</w:t>
      </w:r>
      <w:proofErr w:type="spellEnd"/>
      <w:r>
        <w:rPr>
          <w:rFonts w:ascii="Verdana" w:eastAsia="Aptos" w:hAnsi="Verdana" w:cs="Times New Roman"/>
          <w:kern w:val="2"/>
          <w14:ligatures w14:val="standardContextual"/>
        </w:rPr>
        <w:t>) Se incluye el artículo 2.2.1.2.4.2.7.6. del Decreto 1082 de 2015, contemplando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185BDB8C" w14:textId="77777777" w:rsidR="00A61000"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Pr>
          <w:rFonts w:ascii="Verdana" w:eastAsia="Aptos" w:hAnsi="Verdana" w:cs="Times New Roman"/>
          <w:kern w:val="2"/>
          <w14:ligatures w14:val="standardContextual"/>
        </w:rPr>
        <w:t>ix</w:t>
      </w:r>
      <w:proofErr w:type="spellEnd"/>
      <w:r>
        <w:rPr>
          <w:rFonts w:ascii="Verdana" w:eastAsia="Aptos" w:hAnsi="Verdana" w:cs="Times New Roman"/>
          <w:kern w:val="2"/>
          <w14:ligatures w14:val="standardContextual"/>
        </w:rPr>
        <w:t>) Se incluye el artículo 2.2.1.2.4.2.7.7. del Decreto 1082 de 2015, que incorpora el</w:t>
      </w:r>
      <w:r>
        <w:t xml:space="preserve"> </w:t>
      </w:r>
      <w:r>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1702420F" w14:textId="77777777" w:rsidR="00A61000" w:rsidRDefault="00A61000" w:rsidP="00A61000">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 Se modifica el artículo 2.2.1.2.4.2.7.8 del Decreto 1082 de 2015 y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4CACF5C4" w14:textId="77777777" w:rsidR="00A61000" w:rsidRDefault="00A61000" w:rsidP="00A61000">
      <w:pPr>
        <w:widowControl w:val="0"/>
        <w:autoSpaceDE w:val="0"/>
        <w:autoSpaceDN w:val="0"/>
        <w:spacing w:after="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xi) </w:t>
      </w:r>
      <w:r>
        <w:rPr>
          <w:rFonts w:ascii="Verdana" w:eastAsia="Aptos" w:hAnsi="Verdana" w:cs="Times New Roman"/>
          <w:color w:val="000000" w:themeColor="text1"/>
          <w:kern w:val="2"/>
          <w14:ligatures w14:val="standardContextual"/>
        </w:rPr>
        <w:t>Se incluye el artículo 2.2.1.2.4.2.7.9 del Decreto 1082 de 2015</w:t>
      </w:r>
      <w:r>
        <w:rPr>
          <w:rFonts w:ascii="Work Sans" w:hAnsi="Work Sans"/>
          <w:b/>
          <w:bCs/>
          <w:color w:val="000000" w:themeColor="text1"/>
          <w:sz w:val="25"/>
          <w:szCs w:val="25"/>
          <w:shd w:val="clear" w:color="auto" w:fill="FFFFFF"/>
        </w:rPr>
        <w:t xml:space="preserve"> </w:t>
      </w:r>
      <w:r>
        <w:rPr>
          <w:rFonts w:ascii="Verdana" w:hAnsi="Verdana"/>
          <w:color w:val="000000" w:themeColor="text1"/>
          <w:shd w:val="clear" w:color="auto" w:fill="FFFFFF"/>
        </w:rPr>
        <w:t>que establece lo referente al</w:t>
      </w:r>
      <w:r>
        <w:rPr>
          <w:rFonts w:ascii="Work Sans" w:hAnsi="Work Sans"/>
          <w:b/>
          <w:bCs/>
          <w:color w:val="000000" w:themeColor="text1"/>
          <w:sz w:val="25"/>
          <w:szCs w:val="25"/>
          <w:shd w:val="clear" w:color="auto" w:fill="FFFFFF"/>
        </w:rPr>
        <w:t xml:space="preserve"> </w:t>
      </w:r>
      <w:r>
        <w:rPr>
          <w:rFonts w:ascii="Verdana" w:eastAsia="Aptos" w:hAnsi="Verdana" w:cs="Times New Roman"/>
          <w:color w:val="000000" w:themeColor="text1"/>
          <w:kern w:val="2"/>
          <w14:ligatures w14:val="standardContextual"/>
        </w:rPr>
        <w:t>acceso y accesibilidad del sistema electrónico de contratación pública - SECOP. </w:t>
      </w:r>
    </w:p>
    <w:p w14:paraId="225D4283" w14:textId="77777777" w:rsidR="00A61000" w:rsidRDefault="00A61000" w:rsidP="00A61000">
      <w:pPr>
        <w:spacing w:after="0" w:line="276" w:lineRule="auto"/>
        <w:jc w:val="both"/>
        <w:rPr>
          <w:rFonts w:ascii="Verdana" w:hAnsi="Verdana"/>
        </w:rPr>
      </w:pPr>
    </w:p>
    <w:p w14:paraId="6ECD5B0D"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xml:space="preserve">) Precisado el marco general del sistema, corresponde examinar el primer interrogante, relativo al alcance de la expresión “últimos tres (3) meses”. El artículo 2.2.1.2.4.2.7.4 del Decreto 1082 de 2015 exige, para la condición de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los certificados de aportes a seguridad social de los tres (3) meses anteriores respecto de cada </w:t>
      </w:r>
      <w:proofErr w:type="spellStart"/>
      <w:r>
        <w:rPr>
          <w:rFonts w:ascii="Verdana" w:eastAsia="Times New Roman" w:hAnsi="Verdana" w:cs="Times New Roman"/>
        </w:rPr>
        <w:t>PcD</w:t>
      </w:r>
      <w:proofErr w:type="spellEnd"/>
      <w:r>
        <w:rPr>
          <w:rFonts w:ascii="Verdana" w:eastAsia="Times New Roman" w:hAnsi="Verdana" w:cs="Times New Roman"/>
        </w:rPr>
        <w:t xml:space="preserve"> incluida en el cómputo. Sobre el sentido de esa exigencia, la Circular Externa No. 003 de 2026 precisó que “el tiempo mínimo en el cual las </w:t>
      </w:r>
      <w:proofErr w:type="spellStart"/>
      <w:r>
        <w:rPr>
          <w:rFonts w:ascii="Verdana" w:eastAsia="Times New Roman" w:hAnsi="Verdana" w:cs="Times New Roman"/>
        </w:rPr>
        <w:t>PcD</w:t>
      </w:r>
      <w:proofErr w:type="spellEnd"/>
      <w:r>
        <w:rPr>
          <w:rFonts w:ascii="Verdana" w:eastAsia="Times New Roman" w:hAnsi="Verdana" w:cs="Times New Roman"/>
        </w:rPr>
        <w:t xml:space="preserve"> debieron estar vinculadas en la planta de personal de la empresa para acceder al puntaje es durante los últimos tres (3) meses”, y que la entidad contratante verificará que la </w:t>
      </w:r>
      <w:proofErr w:type="spellStart"/>
      <w:r>
        <w:rPr>
          <w:rFonts w:ascii="Verdana" w:eastAsia="Times New Roman" w:hAnsi="Verdana" w:cs="Times New Roman"/>
        </w:rPr>
        <w:t>PcD</w:t>
      </w:r>
      <w:proofErr w:type="spellEnd"/>
      <w:r>
        <w:rPr>
          <w:rFonts w:ascii="Verdana" w:eastAsia="Times New Roman" w:hAnsi="Verdana" w:cs="Times New Roman"/>
        </w:rPr>
        <w:t xml:space="preserve"> “haya estado vinculada a la empresa que desee obtener el puntaje, como mínimo durante los últimos tres (3) meses previo al cierre del proceso de contratación”, lo cual “se demostrará con el contrato o certificación laboral y con los aportes a seguridad social, y los demás documentos exigidos en el decreto 287 de 2026”</w:t>
      </w:r>
      <w:r>
        <w:rPr>
          <w:rStyle w:val="Refdenotaalpie"/>
          <w:rFonts w:ascii="Verdana" w:eastAsia="Times New Roman" w:hAnsi="Verdana" w:cs="Times New Roman"/>
        </w:rPr>
        <w:footnoteReference w:id="10"/>
      </w:r>
      <w:r>
        <w:rPr>
          <w:rFonts w:ascii="Verdana" w:eastAsia="Times New Roman" w:hAnsi="Verdana" w:cs="Times New Roman"/>
        </w:rPr>
        <w:t>.</w:t>
      </w:r>
    </w:p>
    <w:p w14:paraId="572AFC28"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De lo anterior se desprende que el requisito no consiste en la simple presentación de tres soportes cualesquiera, sino en la demostración de un periodo continuo de vinculación laboral de tres (3) meses inmediatamente anterior al cierre del proceso. El referente temporal es, por tanto, la fecha de cierre —momento en que se presentan las ofertas y se consolidan las condiciones de estas—, y hacia atrás se cuentan los tres meses de vinculación que deben estar respaldados por los aportes correspondientes. En consecuencia, los periodos que deben acreditarse son los tres periodos mensuales de cotización causados por esa vinculación en el lapso inmediatamente anterior al cierre y cuyo pago resultaba legalmente exigible a esa fecha, pues mal podría exigirse la acreditación del pago de un periodo cuyo plazo aún no ha vencido.</w:t>
      </w:r>
    </w:p>
    <w:p w14:paraId="27185CE1"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Bajo ese criterio, y con el carácter meramente ilustrativo con que el peticionario formula sus supuestos, en un proceso cuyo cierre ocurra el 31 de julio los periodos a acreditar corresponderán, en principio, a los tres meses inmediatamente anteriores —abril, mayo y junio—, siempre que a la fecha de cierre el pago del último de ellos fuera legalmente exigible conforme al calendario de aportes aplicable al empleador; si el plazo de pago de ese periodo no hubiere vencido al momento del cierre, el cómputo se desplazará al trimestre inmediatamente anterior que sí resultaba exigible. En ese sentido, las expresiones “últimos tres (3) meses” y “los tres meses anteriores al mes en que se presenta la oferta” suelen conducir al mismo resultado, pero no son necesariamente equivalentes: la primera atiende a la continuidad de la vinculación y a la exigibilidad del aporte, de modo que es este criterio funcional —y no una fórmula de calendario— el que debe orientar la verificación. Se reitera que la aplicación de estos criterios a un proceso determinado corresponde a la entidad contratante.</w:t>
      </w:r>
    </w:p>
    <w:p w14:paraId="6CAFEF1D"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Conforme a lo expuesto, y respondiendo puntualmente los </w:t>
      </w:r>
      <w:proofErr w:type="spellStart"/>
      <w:r>
        <w:rPr>
          <w:rFonts w:ascii="Verdana" w:eastAsia="Times New Roman" w:hAnsi="Verdana" w:cs="Times New Roman"/>
        </w:rPr>
        <w:t>subinterrogantes</w:t>
      </w:r>
      <w:proofErr w:type="spellEnd"/>
      <w:r>
        <w:rPr>
          <w:rFonts w:ascii="Verdana" w:eastAsia="Times New Roman" w:hAnsi="Verdana" w:cs="Times New Roman"/>
        </w:rPr>
        <w:t xml:space="preserve"> planteados: (a) sí, la expresión alude a los tres periodos de cotización más recientes que, conforme al calendario legal de pago, ya resultaban exigibles y acreditables a la fecha de presentación de la oferta, siempre que correspondan a la vinculación laboral de la </w:t>
      </w:r>
      <w:proofErr w:type="spellStart"/>
      <w:r>
        <w:rPr>
          <w:rFonts w:ascii="Verdana" w:eastAsia="Times New Roman" w:hAnsi="Verdana" w:cs="Times New Roman"/>
        </w:rPr>
        <w:t>PcD</w:t>
      </w:r>
      <w:proofErr w:type="spellEnd"/>
      <w:r>
        <w:rPr>
          <w:rFonts w:ascii="Verdana" w:eastAsia="Times New Roman" w:hAnsi="Verdana" w:cs="Times New Roman"/>
        </w:rPr>
        <w:t xml:space="preserve"> computada; (b) esa expresión y la de “los tres meses anteriores al mes en que se presenta la oferta” coinciden en la generalidad de los casos, pero no son necesariamente equivalentes, pues la primera atiende a la exigibilidad del aporte y puede conducir a un trimestre distinto cuando el plazo de pago del periodo más reciente aún no ha vencido; y (c) cuando la oferta se presenta en los últimos días de un </w:t>
      </w:r>
      <w:r>
        <w:rPr>
          <w:rFonts w:ascii="Verdana" w:eastAsia="Times New Roman" w:hAnsi="Verdana" w:cs="Times New Roman"/>
        </w:rPr>
        <w:lastRenderedPageBreak/>
        <w:t>mes y el plazo legal para pagar los aportes del mes inmediatamente anterior ya venció, ese periodo es el más reciente exigible y, por tanto, integra los “últimos tres (3) meses” que deben acreditarse.</w:t>
      </w:r>
    </w:p>
    <w:p w14:paraId="34752166"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En cuanto al segundo interrogante, referido a los documentos que reportan periodos de cotización diferenciados por subsistema, debe partirse de que lo que la norma ordena demostrar es el pago de los aportes que corresponden a la vinculación laboral de la </w:t>
      </w:r>
      <w:proofErr w:type="spellStart"/>
      <w:r>
        <w:rPr>
          <w:rFonts w:ascii="Verdana" w:eastAsia="Times New Roman" w:hAnsi="Verdana" w:cs="Times New Roman"/>
        </w:rPr>
        <w:t>PcD</w:t>
      </w:r>
      <w:proofErr w:type="spellEnd"/>
      <w:r>
        <w:rPr>
          <w:rFonts w:ascii="Verdana" w:eastAsia="Times New Roman" w:hAnsi="Verdana" w:cs="Times New Roman"/>
        </w:rPr>
        <w:t xml:space="preserve"> durante el periodo exigido. Siendo ello así, los documentos deben valorarse conforme a lo que ellos mismos certifican: si un soporte identifica expresamente periodos distintos según el componente del Sistema de Seguridad Social Integral, la entidad no puede presumir que un periodo se encuentra cubierto para todos los componentes con fundamento en el que aparece respecto de uno solo de ellos, pues tal conclusión contradiría el propio contenido del documento. Del mismo modo, un reporte que exprese un rango general no exime de constatar que los periodos exigidos se encuentren efectivamente acreditados, aunque puede ser valorado en conjunto con los demás soportes.</w:t>
      </w:r>
    </w:p>
    <w:p w14:paraId="0C8F1542"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En ese orden, y en cuanto a los </w:t>
      </w:r>
      <w:proofErr w:type="spellStart"/>
      <w:r>
        <w:rPr>
          <w:rFonts w:ascii="Verdana" w:eastAsia="Times New Roman" w:hAnsi="Verdana" w:cs="Times New Roman"/>
        </w:rPr>
        <w:t>subinterrogantes</w:t>
      </w:r>
      <w:proofErr w:type="spellEnd"/>
      <w:r>
        <w:rPr>
          <w:rFonts w:ascii="Verdana" w:eastAsia="Times New Roman" w:hAnsi="Verdana" w:cs="Times New Roman"/>
        </w:rPr>
        <w:t xml:space="preserve"> formulados: (a) cuando el soporte discrimina el periodo correspondiente a salud y el de los demás subsistemas, la entidad debe examinar el que resulte pertinente para constatar la cobertura del lapso exigido, sin limitarse a uno solo de los campos; (b) no resultaría suficiente aportar soportes cuyos periodos correspondan a un trimestre anterior cuando, a la fecha de cierre, ya era exigible el del periodo más reciente, pues en tal caso no se estarían acreditando los tres periodos más próximos al cierre ni la continuidad de la vinculación hasta ese momento; (c) no puede tenerse por acreditado un periodo respecto de todos los componentes del Sistema de Seguridad Social Integral con fundamento en el que el documento reporta únicamente para uno de ellos, cuando el propio soporte identifica expresamente un periodo distinto para los demás; y (d) un reporte que exprese un rango general no sustituye la verificación de los periodos concretos que el documento identifica, aunque puede valorarse en conjunto con los demás soportes. Se insiste en que la determinación técnica de a qué periodo corresponde cada aporte y de cuándo resulta exigible su pago escapa a la competencia de esta Agencia.</w:t>
      </w:r>
    </w:p>
    <w:p w14:paraId="682F383A"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No obstante, es preciso delimitar el alcance de este pronunciamiento. La estructura de la Planilla Integrada de Liquidación de Aportes, la forma en que </w:t>
      </w:r>
      <w:r>
        <w:rPr>
          <w:rFonts w:ascii="Verdana" w:eastAsia="Times New Roman" w:hAnsi="Verdana" w:cs="Times New Roman"/>
        </w:rPr>
        <w:lastRenderedPageBreak/>
        <w:t>cada subsistema liquida sus periodos —anticipado o vencido— y el calendario legal de pago de los aportes se rigen por la normativa del Sistema de Seguridad Social Integral, cuya interpretación no corresponde a esta Agencia, cuya competencia consultiva se circunscribe a las normas del sistema de compras y contratación pública. Por tal razón, y atendiendo la solicitud novena de su petición, en lo pertinente se dará traslado a las autoridades competentes en la materia, conforme al artículo 21 del Código de Procedimiento Administrativo y de lo Contencioso Administrativo</w:t>
      </w:r>
      <w:r>
        <w:rPr>
          <w:rStyle w:val="Refdenotaalpie"/>
          <w:rFonts w:ascii="Verdana" w:eastAsia="Times New Roman" w:hAnsi="Verdana" w:cs="Times New Roman"/>
        </w:rPr>
        <w:footnoteReference w:id="11"/>
      </w:r>
      <w:r>
        <w:rPr>
          <w:rFonts w:ascii="Verdana" w:eastAsia="Times New Roman" w:hAnsi="Verdana" w:cs="Times New Roman"/>
        </w:rPr>
        <w:t>.</w:t>
      </w:r>
    </w:p>
    <w:p w14:paraId="768CEC33"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El tercer interrogante indaga si la antigüedad del contrato laboral resulta suficiente, por sí sola, para tener por cumplido el requisito temporal. La respuesta es negativa, y ello se desprende del propio texto de la Circular Externa No. 003 de 2026, que al señalar cómo se demuestra la vinculación durante los últimos tres (3) meses emplea una conjunción copulativa: “se demostrará con el contrato o certificación laboral y con los aportes a seguridad social, y los demás documentos exigidos”. Se trata, pues, de documentos concurrentes con funciones probatorias diferenciadas. El contrato o la certificación laboral acredita la existencia de la relación, su naturaleza laboral —regida por el Código Sustantivo del Trabajo, según condiciona el artículo 2.2.1.2.4.2.7.4— y la dedicación exclusiva, entendida como la relación laboral con un único empleador; los aportes a seguridad social, por su parte, acreditan la permanencia efectiva de esa vinculación durante el periodo exigido y el cumplimiento de las obligaciones del empleador en ese lapso. Por consiguiente, que una persona lleve varios años vinculada no releva de acreditar los aportes del trimestre requerido, pues cada documento prueba un hecho distinto y ninguno suple al otro.</w:t>
      </w:r>
    </w:p>
    <w:p w14:paraId="174E4648"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lo anterior se sigue que, si el proponente no acredita los aportes correspondientes a alguno de los tres meses exigidos, el requisito temporal no puede tenerse por cumplido con fundamento únicamente en la antigüedad histórica del contrato laboral, por prolongada que esta sea, pues lo que la norma exige demostrar es la permanencia de la vinculación en el periodo inmediatamente anterior al cierre y el respaldo de los aportes en ese lapso. En síntesis, la función probatoria del contrato o de la certificación laboral es acreditar la existencia, la naturaleza y las condiciones de la vinculación —incluida </w:t>
      </w:r>
      <w:r>
        <w:rPr>
          <w:rFonts w:ascii="Verdana" w:eastAsia="Times New Roman" w:hAnsi="Verdana" w:cs="Times New Roman"/>
        </w:rPr>
        <w:lastRenderedPageBreak/>
        <w:t>la dedicación exclusiva—, mientras que la de los soportes de aportes es acreditar la permanencia efectiva de esa vinculación y el cumplimiento de las obligaciones del empleador durante el periodo exigido; se trata de funciones complementarias que la norma articula de manera concurrente.</w:t>
      </w:r>
    </w:p>
    <w:p w14:paraId="30EB0569"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 El cuarto interrogante plantea la distinción entre la existencia material del pago con anterioridad al cierre y su acreditación documental oportuna dentro de la oferta. Esa distinción es jurídicamente relevante y determina la respuesta. El puntaje adicional constituye un factor de asignación de puntaje y, respecto de esta clase de documentos, el parágrafo 1 del artículo 5 de la Ley 1150 de 2007 circunscribe la posibilidad de subsanación a los requisitos que no afectan la asignación de puntaje, previendo además que durante el término otorgado para subsanar los proponentes no podrán acreditar circunstancias ocurridas con posterioridad al cierre del proceso</w:t>
      </w:r>
      <w:r>
        <w:rPr>
          <w:rStyle w:val="Refdenotaalpie"/>
          <w:rFonts w:ascii="Verdana" w:eastAsia="Times New Roman" w:hAnsi="Verdana" w:cs="Times New Roman"/>
        </w:rPr>
        <w:footnoteReference w:id="12"/>
      </w:r>
      <w:r>
        <w:rPr>
          <w:rFonts w:ascii="Verdana" w:eastAsia="Times New Roman" w:hAnsi="Verdana" w:cs="Times New Roman"/>
        </w:rPr>
        <w:t>. De ello se sigue que los documentos necesarios para obtener el puntaje deben aportarse junto con la oferta y que su omisión no es subsanable con posterioridad al cierre.</w:t>
      </w:r>
    </w:p>
    <w:p w14:paraId="433B4B09"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hecho de que el pago se hubiere efectuado antes del cierre no modifica esa conclusión, porque lo que la norma exige no es únicamente que el hecho exista, sino que se acredite oportunamente en la forma prevista; de admitirse lo contrario, se desconocería la igualdad entre los proponentes y se permitiría mejorar la oferta con posterioridad al cierre. Cuestión distinta, y admisible, es que la entidad verifique la autenticidad, la vigencia, la integridad o el contenido de un documento efectivamente aportado con la oferta, e incluso que solicite información para constatar un dato que ya consta en ella; tal actuación es de comprobación y no de incorporación, de manera que su resultado no puede servir para completar un factor de ponderación que no fue acreditado en la oportunidad debida.</w:t>
      </w:r>
    </w:p>
    <w:p w14:paraId="54BA7375"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Precisado lo anterior, y respondiendo los </w:t>
      </w:r>
      <w:proofErr w:type="spellStart"/>
      <w:r>
        <w:rPr>
          <w:rFonts w:ascii="Verdana" w:eastAsia="Times New Roman" w:hAnsi="Verdana" w:cs="Times New Roman"/>
        </w:rPr>
        <w:t>subinterrogantes</w:t>
      </w:r>
      <w:proofErr w:type="spellEnd"/>
      <w:r>
        <w:rPr>
          <w:rFonts w:ascii="Verdana" w:eastAsia="Times New Roman" w:hAnsi="Verdana" w:cs="Times New Roman"/>
        </w:rPr>
        <w:t xml:space="preserve">: (a) el documento omitido no puede aportarse con posterioridad al cierre bajo la figura de la aclaración o de la subsanación, pues la aclaración recae sobre lo que ya obra en la oferta y la subsanación está reservada a los requisitos que no otorgan puntaje; (b) por ello debe distinguirse entre los requisitos habilitantes y aquellos documentos que resultan constitutivos de un criterio ponderable: los primeros admiten ser aportados hasta el término de traslado del informe de evaluación, </w:t>
      </w:r>
      <w:r>
        <w:rPr>
          <w:rFonts w:ascii="Verdana" w:eastAsia="Times New Roman" w:hAnsi="Verdana" w:cs="Times New Roman"/>
        </w:rPr>
        <w:lastRenderedPageBreak/>
        <w:t>mientras que los segundos deben obrar en la oferta desde el cierre; y (c) si la entidad, en ejercicio de sus facultades de verificación, solicita un documento con el único propósito de constatar un dato —por ejemplo, la fecha en que se realizó un pago que ya aparece acreditado en la oferta—, ese documento cumple una función de comprobación y no puede incorporarse retroactivamente como soporte para asignar el puntaje.</w:t>
      </w:r>
    </w:p>
    <w:p w14:paraId="0FEC2B85"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Respecto del quinto interrogante, sobre la concurrencia de los documentos exigidos, la Circular Externa No. 003 de 2026 precisa que la documentación para acreditar la condición de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es la del artículo 2.2.1.2.4.2.6, mientras que la del empleador de </w:t>
      </w:r>
      <w:proofErr w:type="spellStart"/>
      <w:r>
        <w:rPr>
          <w:rFonts w:ascii="Verdana" w:eastAsia="Times New Roman" w:hAnsi="Verdana" w:cs="Times New Roman"/>
        </w:rPr>
        <w:t>PcD</w:t>
      </w:r>
      <w:proofErr w:type="spellEnd"/>
      <w:r>
        <w:rPr>
          <w:rFonts w:ascii="Verdana" w:eastAsia="Times New Roman" w:hAnsi="Verdana" w:cs="Times New Roman"/>
        </w:rPr>
        <w:t xml:space="preserve"> es la del artículo 2.2.1.2.4.2.7.4, y que las entidades no deben exigir ambas documentaciones para acreditar una sola de las situaciones, sino solicitar la que corresponda según la condición que pretenda acreditar el oferente. Dentro del listado aplicable a cada condición, sin embargo, los documentos son concurrentes: cada uno cumple una finalidad probatoria propia —la identidad de la persona, la condición de discapacidad, la existencia y naturaleza de la vinculación, su permanencia y el cumplimiento de los aportes—, de modo que ninguno sustituye a otro. En consecuencia, si respecto de una </w:t>
      </w:r>
      <w:proofErr w:type="spellStart"/>
      <w:r>
        <w:rPr>
          <w:rFonts w:ascii="Verdana" w:eastAsia="Times New Roman" w:hAnsi="Verdana" w:cs="Times New Roman"/>
        </w:rPr>
        <w:t>PcD</w:t>
      </w:r>
      <w:proofErr w:type="spellEnd"/>
      <w:r>
        <w:rPr>
          <w:rFonts w:ascii="Verdana" w:eastAsia="Times New Roman" w:hAnsi="Verdana" w:cs="Times New Roman"/>
        </w:rPr>
        <w:t xml:space="preserve"> falta alguno de los documentos exigidos, esa persona no podrá computarse para efectos del puntaje; y si por ello el proponente no alcanza el número mínimo de la tabla del artículo 2.2.1.2.4.2.7.4, no habrá lugar a la asignación del puntaje adicional, sin que ello constituya causal de rechazo, pues se trata de un factor de evaluación y no de un requisito habilitante.</w:t>
      </w:r>
    </w:p>
    <w:p w14:paraId="724E42E3"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vii</w:t>
      </w:r>
      <w:proofErr w:type="spellEnd"/>
      <w:r>
        <w:rPr>
          <w:rFonts w:ascii="Verdana" w:eastAsia="Times New Roman" w:hAnsi="Verdana" w:cs="Times New Roman"/>
        </w:rPr>
        <w:t xml:space="preserve">) El sexto interrogante se refiere a la incidencia de la fecha de expedición del certificado de discapacidad. Sobre el particular, la condición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no se adquiere con la expedición del certificado: el numeral 1 del artículo 2 de la Ley Estatutaria 1618 de 2013 define a las personas con discapacidad como aquellas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rPr>
        <w:footnoteReference w:id="13"/>
      </w:r>
      <w:r>
        <w:rPr>
          <w:rFonts w:ascii="Verdana" w:eastAsia="Times New Roman" w:hAnsi="Verdana" w:cs="Times New Roman"/>
        </w:rPr>
        <w:t xml:space="preserve">. El certificado expedido conforme a la normativa del Ministerio de Salud y Protección Social es el resultado de una </w:t>
      </w:r>
      <w:r>
        <w:rPr>
          <w:rFonts w:ascii="Verdana" w:eastAsia="Times New Roman" w:hAnsi="Verdana" w:cs="Times New Roman"/>
        </w:rPr>
        <w:lastRenderedPageBreak/>
        <w:t>valoración multidisciplinaria que verifica y documenta esa condición, y permite su registro en el Registro de Localización y Caracterización de Personas con Discapacidad; su naturaleza es, por tanto, declarativa y probatoria, y no constitutiva.</w:t>
      </w:r>
    </w:p>
    <w:p w14:paraId="3F68F9CC"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 ello se agrega que el término de tres (3) meses está referido, tanto en el decreto como en la Circular Externa No. 003 de 2026, al tiempo de vinculación de la </w:t>
      </w:r>
      <w:proofErr w:type="spellStart"/>
      <w:r>
        <w:rPr>
          <w:rFonts w:ascii="Verdana" w:eastAsia="Times New Roman" w:hAnsi="Verdana" w:cs="Times New Roman"/>
        </w:rPr>
        <w:t>PcD</w:t>
      </w:r>
      <w:proofErr w:type="spellEnd"/>
      <w:r>
        <w:rPr>
          <w:rFonts w:ascii="Verdana" w:eastAsia="Times New Roman" w:hAnsi="Verdana" w:cs="Times New Roman"/>
        </w:rPr>
        <w:t xml:space="preserve"> en la planta de personal y a los aportes que lo respaldan, sin que ninguna de esas disposiciones exija que el certificado de discapacidad se hubiere expedido con determinada antelación al cierre ni con anterioridad al inicio de la vinculación. Exigirlo equivaldría a añadir un requisito no previsto, en contra del carácter de tarifa legal probatoria de la documentación y del principio de economía del numeral 2 del artículo 25 de la Ley 80 de 1993. De ahí que, para efectos de este incentivo, deban distinguirse tres cuestiones: la antigüedad de la vinculación laboral, única sobre la que la norma fija un término mínimo; la existencia de la condición de discapacidad, que es una situación de la persona; y la fecha en que dicha condición fue formalmente certificada, que documenta la anterior. Lo que la entidad debe verificar es que el certificado corresponda a la persona computada, haya sido expedido conforme a la normativa aplicable y se encuentre vigente, y que los documentos laborales y los aportes acrediten el periodo mínimo exigido.</w:t>
      </w:r>
    </w:p>
    <w:p w14:paraId="3943E05A"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Por lo mismo, si el certificado de discapacidad no indica que la condición existía desde una fecha anterior, la entidad no debe exigir un documento adicional dirigido a demostrar que durante la totalidad de los tres meses previos la persona reúne esa condición, pues la norma no somete la condición de discapacidad a un término de antigüedad ni prevé documento alguno para ese efecto; la tarifa legal se satisface con el certificado expedido conforme a la normativa del Ministerio de Salud y Protección Social. En consecuencia, resulta suficiente demostrar que la persona estuvo vinculada laboralmente durante los tres (3) meses exigidos, con los aportes que respaldan ese lapso, aunque la certificación de la discapacidad se hubiere expedido después de iniciado ese periodo.</w:t>
      </w:r>
    </w:p>
    <w:p w14:paraId="7C029CFB"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viii</w:t>
      </w:r>
      <w:proofErr w:type="spellEnd"/>
      <w:r>
        <w:rPr>
          <w:rFonts w:ascii="Verdana" w:eastAsia="Times New Roman" w:hAnsi="Verdana" w:cs="Times New Roman"/>
        </w:rPr>
        <w:t xml:space="preserve">) El séptimo interrogante indaga por el certificado que expide el Ministerio del Trabajo. Al respecto, la exigencia que la norma impone a la entidad contratante es la de verificar su vigencia, sin que se contemple una antigüedad mínima de tres (3) meses respecto de la fecha de cierre; como se explicó, el </w:t>
      </w:r>
      <w:r>
        <w:rPr>
          <w:rFonts w:ascii="Verdana" w:eastAsia="Times New Roman" w:hAnsi="Verdana" w:cs="Times New Roman"/>
        </w:rPr>
        <w:lastRenderedPageBreak/>
        <w:t xml:space="preserve">término trimestral se predica de la vinculación laboral y de los aportes a seguridad social. Por consiguiente, que el certificado se hubiere expedido dentro de los tres meses anteriores al cierre no impide, por esa sola circunstancia, el cómputo de las </w:t>
      </w:r>
      <w:proofErr w:type="spellStart"/>
      <w:r>
        <w:rPr>
          <w:rFonts w:ascii="Verdana" w:eastAsia="Times New Roman" w:hAnsi="Verdana" w:cs="Times New Roman"/>
        </w:rPr>
        <w:t>PcD</w:t>
      </w:r>
      <w:proofErr w:type="spellEnd"/>
      <w:r>
        <w:rPr>
          <w:rFonts w:ascii="Verdana" w:eastAsia="Times New Roman" w:hAnsi="Verdana" w:cs="Times New Roman"/>
        </w:rPr>
        <w:t xml:space="preserve"> allí relacionadas, siempre que los demás documentos acrediten el periodo mínimo de vinculación y el certificado se encuentre vigente. En cuanto a la eventual diferencia entre el número de trabajadores que refleja ese certificado y el que certifican el representante legal y el revisor fiscal, debe tenerse en cuenta que el rango aplicable de la tabla se determina por el número total de trabajadores de la planta de personal y que las condiciones de la oferta se consolidan a la fecha de cierre; será entonces la información referida a ese momento la que permita establecer el rango, conforme a los documentos exigidos y a las reglas del pliego de condiciones. Se advierte, en todo caso, que lo relativo al contenido, expedición y vigencia del certificado del Ministerio del Trabajo, así como la definición de la dedicación exclusiva, corresponde a esa cartera ministerial.</w:t>
      </w:r>
    </w:p>
    <w:p w14:paraId="0B4D438C"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ix</w:t>
      </w:r>
      <w:proofErr w:type="spellEnd"/>
      <w:r>
        <w:rPr>
          <w:rFonts w:ascii="Verdana" w:eastAsia="Times New Roman" w:hAnsi="Verdana" w:cs="Times New Roman"/>
        </w:rPr>
        <w:t xml:space="preserve">) Finalmente, el octavo interrogante se refiere al alcance de la expresión “junto con su oferta”. Dicha expresión establece una carga de presentación documental en cabeza de quien pretende acceder al puntaje, que debe satisfacerse a más tardar en la oportunidad del cierre, en concordancia con lo expuesto sobre la no </w:t>
      </w:r>
      <w:proofErr w:type="spellStart"/>
      <w:r>
        <w:rPr>
          <w:rFonts w:ascii="Verdana" w:eastAsia="Times New Roman" w:hAnsi="Verdana" w:cs="Times New Roman"/>
        </w:rPr>
        <w:t>subsanabilidad</w:t>
      </w:r>
      <w:proofErr w:type="spellEnd"/>
      <w:r>
        <w:rPr>
          <w:rFonts w:ascii="Verdana" w:eastAsia="Times New Roman" w:hAnsi="Verdana" w:cs="Times New Roman"/>
        </w:rPr>
        <w:t xml:space="preserve"> de los documentos que acreditan factores de ponderación. De ello se sigue que la entidad no puede reconstruir de oficio, con posterioridad al cierre, la acreditación de un factor de puntaje mediante consultas a bases de datos externas o mediante documentos que no hicieron parte de la oferta. Sobre este punto conviene recordar que la propia Circular Externa No. 003 de 2026, al referirse a las labores de interoperabilidad del SECOP, advirtió que no puede garantizarse que las entidades puedan consultar la documentación y evitar solicitarla al proponente. La distinción, entonces, es la siguiente: verificar la autenticidad o la vigencia de un documento aportado con la oferta constituye una actuación de comprobación sobre lo que ya obra en ella y resulta admisible; incorporar después del cierre un documento ausente, necesario para completar el factor de ponderación, equivale a una subsanación improcedente y afecta la igualdad entre los proponentes.</w:t>
      </w:r>
    </w:p>
    <w:p w14:paraId="2E24F6CD" w14:textId="77777777" w:rsidR="00A61000" w:rsidRDefault="00A61000" w:rsidP="00A61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w:t>
      </w:r>
      <w:r>
        <w:rPr>
          <w:rFonts w:ascii="Verdana" w:eastAsia="Times New Roman" w:hAnsi="Verdana" w:cs="Times New Roman"/>
        </w:rPr>
        <w:lastRenderedPageBreak/>
        <w:t>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5B1CDF00" w14:textId="77777777" w:rsidR="00A61000" w:rsidRPr="00EE1130" w:rsidRDefault="00A61000" w:rsidP="00A61000">
      <w:pPr>
        <w:spacing w:after="0" w:line="276" w:lineRule="auto"/>
        <w:jc w:val="both"/>
        <w:rPr>
          <w:rFonts w:ascii="Verdana" w:eastAsia="Calibri" w:hAnsi="Verdana" w:cs="Arial"/>
        </w:rPr>
      </w:pPr>
    </w:p>
    <w:p w14:paraId="7DA3FC9B" w14:textId="77777777" w:rsidR="00A61000" w:rsidRDefault="00A61000" w:rsidP="00A6100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171EBEF2" w14:textId="77777777" w:rsidR="00A61000" w:rsidRPr="00EE1130" w:rsidRDefault="00A61000" w:rsidP="00A61000">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1000" w:rsidRPr="00EE1130" w14:paraId="2C2C96D1" w14:textId="77777777" w:rsidTr="009D2F8A">
        <w:trPr>
          <w:trHeight w:val="297"/>
        </w:trPr>
        <w:tc>
          <w:tcPr>
            <w:tcW w:w="8647" w:type="dxa"/>
          </w:tcPr>
          <w:p w14:paraId="11900E7A"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13, 23, 47 y 54.</w:t>
            </w:r>
          </w:p>
          <w:p w14:paraId="5E881983"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5, 24, 25 y 29.</w:t>
            </w:r>
          </w:p>
          <w:p w14:paraId="2647A376"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 5, parágrafo 1.</w:t>
            </w:r>
          </w:p>
          <w:p w14:paraId="2556BCC9"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Artículos 14 y 21.</w:t>
            </w:r>
          </w:p>
          <w:p w14:paraId="0B953979"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1618 de 2013. Artículo 2, numeral 1, y artículo 13, numerales 1, 7 y 8.</w:t>
            </w:r>
          </w:p>
          <w:p w14:paraId="76CA9140"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1755 de 2015. Artículo 1.</w:t>
            </w:r>
          </w:p>
          <w:p w14:paraId="54332A3A"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1882 de 2018. Artículo 5.</w:t>
            </w:r>
          </w:p>
          <w:p w14:paraId="49E7D527"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1996 de 2019. Artículo 62.</w:t>
            </w:r>
          </w:p>
          <w:p w14:paraId="5DE90A17"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2466 de 2025.</w:t>
            </w:r>
          </w:p>
          <w:p w14:paraId="5034F4CA"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numerales 2 y 5, y artículo 11, numeral 8.</w:t>
            </w:r>
          </w:p>
          <w:p w14:paraId="1A9FBA75"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392 de 2018.</w:t>
            </w:r>
          </w:p>
          <w:p w14:paraId="7CC0E282"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2.2.1.2.4.2.6, 2.2.1.2.4.2.7, 2.2.1.2.4.2.7.4 y 2.2.1.2.4.2.8.</w:t>
            </w:r>
          </w:p>
          <w:p w14:paraId="0EBE846C"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0287 de 2026.</w:t>
            </w:r>
          </w:p>
          <w:p w14:paraId="3DEAEBFD"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786C310F"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Quinta. Sentencia del 12 de diciembre de 2024. Rad. 05001-23-33-000-2024-00847-01. M.P. Omar Joaquín Barreto Suárez.</w:t>
            </w:r>
          </w:p>
          <w:p w14:paraId="69A2F8B8" w14:textId="77777777" w:rsidR="00A61000" w:rsidRDefault="00A61000" w:rsidP="00A61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No. 003 del 12 de mayo de 2026.</w:t>
            </w:r>
          </w:p>
        </w:tc>
      </w:tr>
    </w:tbl>
    <w:p w14:paraId="45A29FF3" w14:textId="77777777" w:rsidR="00A61000" w:rsidRPr="00EE1130" w:rsidRDefault="00A61000" w:rsidP="00A61000">
      <w:pPr>
        <w:widowControl w:val="0"/>
        <w:autoSpaceDE w:val="0"/>
        <w:autoSpaceDN w:val="0"/>
        <w:spacing w:after="0" w:line="276" w:lineRule="auto"/>
        <w:jc w:val="both"/>
        <w:rPr>
          <w:rFonts w:ascii="Verdana" w:hAnsi="Verdana" w:cs="Arial"/>
          <w:color w:val="ED7D31" w:themeColor="accent2"/>
          <w:lang w:val="es-ES"/>
        </w:rPr>
      </w:pPr>
    </w:p>
    <w:p w14:paraId="0ADF06D2" w14:textId="77777777" w:rsidR="00A61000" w:rsidRPr="00EE1130" w:rsidRDefault="00A61000" w:rsidP="00A6100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lastRenderedPageBreak/>
        <w:t>5. Doctrina de la Agencia Nacional de Contratación Pública:</w:t>
      </w:r>
    </w:p>
    <w:p w14:paraId="29155C17" w14:textId="77777777" w:rsidR="00A61000" w:rsidRPr="001B3CBA" w:rsidRDefault="00A61000" w:rsidP="00A61000">
      <w:pPr>
        <w:tabs>
          <w:tab w:val="left" w:pos="142"/>
          <w:tab w:val="left" w:pos="284"/>
        </w:tabs>
        <w:spacing w:after="0" w:line="276" w:lineRule="auto"/>
        <w:jc w:val="both"/>
        <w:rPr>
          <w:rFonts w:ascii="Verdana" w:eastAsia="Century Gothic" w:hAnsi="Verdana" w:cs="Century Gothic"/>
          <w:b/>
          <w:lang w:val="es-ES"/>
        </w:rPr>
      </w:pPr>
    </w:p>
    <w:p w14:paraId="337AA1DE" w14:textId="77777777" w:rsidR="00A61000" w:rsidRPr="00EE1130" w:rsidRDefault="00A61000" w:rsidP="00A61000">
      <w:pPr>
        <w:spacing w:after="0" w:line="276" w:lineRule="auto"/>
        <w:jc w:val="both"/>
        <w:rPr>
          <w:rFonts w:ascii="Verdana" w:hAnsi="Verdana"/>
          <w:color w:val="ED7D31" w:themeColor="accent2"/>
          <w:lang w:val="es-ES"/>
        </w:rPr>
      </w:pPr>
      <w:r>
        <w:rPr>
          <w:rFonts w:ascii="Verdana" w:eastAsia="Calibri" w:hAnsi="Verdana" w:cs="Arial"/>
          <w:lang w:val="es-ES"/>
        </w:rPr>
        <w:t xml:space="preserve">La Agencia Nacional de Contratación Pública – Colombia Compra Eficiente se ha referido </w:t>
      </w:r>
      <w:r>
        <w:rPr>
          <w:rFonts w:ascii="Verdana" w:hAnsi="Verdana" w:cs="Arial"/>
          <w:shd w:val="clear" w:color="auto" w:fill="FFFFFF"/>
          <w:lang w:val="es-ES"/>
        </w:rPr>
        <w:t>sobre el alcance del Decreto 0287 de 2026 en este concepto</w:t>
      </w:r>
      <w:r>
        <w:rPr>
          <w:rFonts w:ascii="Verdana" w:eastAsia="Calibri" w:hAnsi="Verdana" w:cs="Arial"/>
          <w:lang w:val="es-ES_tradnl" w:eastAsia="es-ES"/>
        </w:rPr>
        <w:t>.</w:t>
      </w:r>
      <w:r>
        <w:rPr>
          <w:rFonts w:ascii="Verdana" w:hAnsi="Verdana" w:cs="Arial"/>
          <w:shd w:val="clear" w:color="auto" w:fill="FFFFFF"/>
          <w:lang w:val="es-ES"/>
        </w:rPr>
        <w:t xml:space="preserve"> Este</w:t>
      </w:r>
      <w:r>
        <w:rPr>
          <w:rFonts w:ascii="Verdana" w:hAnsi="Verdana"/>
          <w:lang w:val="es-ES"/>
        </w:rPr>
        <w:t xml:space="preserve"> y otros se encuentran disponibles para consulta en el Sistema de relatoría de la Agencia, al cual se puede acceder a través del siguiente enlace:</w:t>
      </w:r>
      <w:r>
        <w:rPr>
          <w:rFonts w:ascii="Verdana" w:hAnsi="Verdana" w:cs="Arial"/>
          <w:shd w:val="clear" w:color="auto" w:fill="FFFFFF"/>
          <w:lang w:val="es-ES"/>
        </w:rPr>
        <w:t xml:space="preserve"> </w:t>
      </w:r>
      <w:hyperlink r:id="rId11" w:history="1">
        <w:r>
          <w:rPr>
            <w:rStyle w:val="Hipervnculo"/>
            <w:rFonts w:ascii="Verdana" w:hAnsi="Verdana" w:cs="Arial"/>
            <w:shd w:val="clear" w:color="auto" w:fill="FFFFFF"/>
            <w:lang w:val="es-ES"/>
          </w:rPr>
          <w:t>https://relatoria.colombiacompra.gov.co/busqueda/conceptos</w:t>
        </w:r>
      </w:hyperlink>
    </w:p>
    <w:p w14:paraId="02A08E61" w14:textId="77777777" w:rsidR="00A61000" w:rsidRPr="00EE1130" w:rsidRDefault="00A61000" w:rsidP="00A61000">
      <w:pPr>
        <w:spacing w:after="0" w:line="276" w:lineRule="auto"/>
        <w:jc w:val="both"/>
        <w:rPr>
          <w:rFonts w:ascii="Verdana" w:hAnsi="Verdana" w:cs="Arial"/>
          <w:color w:val="ED7D31" w:themeColor="accent2"/>
          <w:shd w:val="clear" w:color="auto" w:fill="FFFFFF"/>
          <w:lang w:val="es-ES"/>
        </w:rPr>
      </w:pPr>
    </w:p>
    <w:p w14:paraId="6482D2B6"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09DA8829" w14:textId="77777777" w:rsidR="00A61000" w:rsidRPr="001B3CBA" w:rsidRDefault="00A61000" w:rsidP="00A61000">
      <w:pPr>
        <w:spacing w:after="0" w:line="276" w:lineRule="auto"/>
        <w:jc w:val="both"/>
        <w:rPr>
          <w:rFonts w:ascii="Verdana" w:hAnsi="Verdana" w:cs="Arial"/>
          <w:shd w:val="clear" w:color="auto" w:fill="FFFFFF"/>
        </w:rPr>
      </w:pPr>
    </w:p>
    <w:p w14:paraId="1FA63090"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Pr>
            <w:rStyle w:val="Hipervnculo"/>
            <w:rFonts w:ascii="Verdana" w:hAnsi="Verdana" w:cs="Arial"/>
            <w:shd w:val="clear" w:color="auto" w:fill="FFFFFF"/>
          </w:rPr>
          <w:t>https://www.colombiacompra.gov.co/normativa-y-relatoria/documentos-tipo</w:t>
        </w:r>
      </w:hyperlink>
    </w:p>
    <w:p w14:paraId="45A1C979" w14:textId="77777777" w:rsidR="00A61000" w:rsidRPr="00EE1130" w:rsidRDefault="00A61000" w:rsidP="00A61000">
      <w:pPr>
        <w:spacing w:after="0" w:line="276" w:lineRule="auto"/>
        <w:jc w:val="both"/>
        <w:rPr>
          <w:rFonts w:ascii="Verdana" w:hAnsi="Verdana" w:cs="Arial"/>
          <w:shd w:val="clear" w:color="auto" w:fill="FFFFFF"/>
        </w:rPr>
      </w:pPr>
    </w:p>
    <w:p w14:paraId="6ABAF388"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Pr>
          <w:rFonts w:ascii="Verdana" w:hAnsi="Verdana" w:cs="Arial"/>
          <w:shd w:val="clear" w:color="auto" w:fill="FFFFFF"/>
        </w:rPr>
        <w:lastRenderedPageBreak/>
        <w:t>documentos tipo: Consulta la guía aquí: https://www.colombiacompra.gov.co/archivos/manual/guia-para-la-comprension-e-implementacion-de-los-documentos-tipo-de-obra-publica-de-infraestructura-de-transporte-bajo-las-diferentes-modalidades-de-contratacion-vigentes</w:t>
      </w:r>
    </w:p>
    <w:p w14:paraId="211D9AAD" w14:textId="77777777" w:rsidR="00A61000" w:rsidRPr="00EE1130" w:rsidRDefault="00A61000" w:rsidP="00A61000">
      <w:pPr>
        <w:spacing w:after="0" w:line="276" w:lineRule="auto"/>
        <w:jc w:val="both"/>
        <w:rPr>
          <w:rFonts w:ascii="Verdana" w:hAnsi="Verdana" w:cs="Arial"/>
          <w:color w:val="ED7D31" w:themeColor="accent2"/>
          <w:shd w:val="clear" w:color="auto" w:fill="FFFFFF"/>
        </w:rPr>
      </w:pPr>
    </w:p>
    <w:p w14:paraId="07C39267"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74D42BB1" w14:textId="77777777" w:rsidR="00A61000" w:rsidRPr="00EE1130" w:rsidRDefault="00A61000" w:rsidP="00A61000">
      <w:pPr>
        <w:spacing w:after="0" w:line="276" w:lineRule="auto"/>
        <w:jc w:val="both"/>
        <w:rPr>
          <w:rFonts w:ascii="Verdana" w:hAnsi="Verdana" w:cs="Arial"/>
          <w:shd w:val="clear" w:color="auto" w:fill="FFFFFF"/>
        </w:rPr>
      </w:pPr>
    </w:p>
    <w:p w14:paraId="0A9D20F0"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49053F93"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6964C091"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93C7688" w14:textId="77777777" w:rsidR="00A61000" w:rsidRPr="00EE1130" w:rsidRDefault="00A61000" w:rsidP="00A61000">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7F9C22E8" w14:textId="77777777" w:rsidR="00A61000" w:rsidRPr="00EE1130" w:rsidRDefault="00A61000" w:rsidP="00A61000">
      <w:pPr>
        <w:widowControl w:val="0"/>
        <w:autoSpaceDE w:val="0"/>
        <w:autoSpaceDN w:val="0"/>
        <w:spacing w:after="0" w:line="276" w:lineRule="auto"/>
        <w:jc w:val="both"/>
        <w:rPr>
          <w:rFonts w:ascii="Verdana" w:hAnsi="Verdana" w:cs="Arial"/>
          <w:color w:val="ED7D31" w:themeColor="accent2"/>
          <w:lang w:val="es-ES"/>
        </w:rPr>
      </w:pPr>
    </w:p>
    <w:p w14:paraId="23F426E1" w14:textId="77777777" w:rsidR="00A61000" w:rsidRPr="00EE1130" w:rsidRDefault="00A61000" w:rsidP="00A61000">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8843E4F" w14:textId="77777777" w:rsidR="00A61000" w:rsidRPr="00EE1130" w:rsidRDefault="00A61000" w:rsidP="00A61000">
      <w:pPr>
        <w:widowControl w:val="0"/>
        <w:autoSpaceDE w:val="0"/>
        <w:autoSpaceDN w:val="0"/>
        <w:spacing w:after="0" w:line="276" w:lineRule="auto"/>
        <w:jc w:val="both"/>
        <w:rPr>
          <w:rFonts w:ascii="Verdana" w:hAnsi="Verdana" w:cs="Arial"/>
          <w:lang w:val="es-ES"/>
        </w:rPr>
      </w:pPr>
    </w:p>
    <w:p w14:paraId="34573BDC" w14:textId="77777777" w:rsidR="00A61000" w:rsidRPr="00EE1130" w:rsidRDefault="00A61000" w:rsidP="00A61000">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1A034A0" w14:textId="1BB27C19" w:rsidR="00A61000" w:rsidRPr="00206556" w:rsidRDefault="0074454C" w:rsidP="00A61000">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94F91E4" wp14:editId="166040C9">
            <wp:extent cx="3771900" cy="1400175"/>
            <wp:effectExtent l="0" t="0" r="0" b="9525"/>
            <wp:docPr id="1174047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47368" name="Imagen 1174047368"/>
                    <pic:cNvPicPr/>
                  </pic:nvPicPr>
                  <pic:blipFill>
                    <a:blip r:embed="rId14">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p w14:paraId="4A0F9F76" w14:textId="77777777" w:rsidR="00A61000" w:rsidRPr="00206556" w:rsidRDefault="00A61000" w:rsidP="00A61000">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61000" w:rsidRPr="00206556" w14:paraId="151AC6B1" w14:textId="77777777" w:rsidTr="009D2F8A">
        <w:trPr>
          <w:trHeight w:val="322"/>
        </w:trPr>
        <w:tc>
          <w:tcPr>
            <w:tcW w:w="733" w:type="dxa"/>
            <w:tcBorders>
              <w:top w:val="nil"/>
              <w:left w:val="nil"/>
              <w:bottom w:val="nil"/>
              <w:right w:val="nil"/>
            </w:tcBorders>
            <w:vAlign w:val="center"/>
            <w:hideMark/>
          </w:tcPr>
          <w:p w14:paraId="54655AB1" w14:textId="77777777" w:rsidR="00A61000" w:rsidRPr="00206556" w:rsidRDefault="00A61000" w:rsidP="009D2F8A">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F55168F" w14:textId="77777777" w:rsidR="00A61000" w:rsidRPr="00206556" w:rsidRDefault="00A61000" w:rsidP="009D2F8A">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0E4F5920" w14:textId="77777777" w:rsidR="00A61000" w:rsidRPr="00206556" w:rsidRDefault="00A61000" w:rsidP="009D2F8A">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A61000" w:rsidRPr="00206556" w14:paraId="045B56E1" w14:textId="77777777" w:rsidTr="009D2F8A">
        <w:trPr>
          <w:trHeight w:val="322"/>
        </w:trPr>
        <w:tc>
          <w:tcPr>
            <w:tcW w:w="733" w:type="dxa"/>
            <w:tcBorders>
              <w:top w:val="nil"/>
              <w:left w:val="nil"/>
              <w:bottom w:val="nil"/>
              <w:right w:val="nil"/>
            </w:tcBorders>
            <w:vAlign w:val="center"/>
            <w:hideMark/>
          </w:tcPr>
          <w:p w14:paraId="3F453244" w14:textId="77777777" w:rsidR="00A61000" w:rsidRPr="00206556" w:rsidRDefault="00A61000" w:rsidP="009D2F8A">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CA63CDC" w14:textId="77777777" w:rsidR="00A61000" w:rsidRPr="00206556" w:rsidRDefault="00A61000" w:rsidP="009D2F8A">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70799BCF" w14:textId="77777777" w:rsidR="00A61000" w:rsidRPr="00206556" w:rsidRDefault="00A61000" w:rsidP="009D2F8A">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A61000" w:rsidRPr="00206556" w14:paraId="30F56AF7" w14:textId="77777777" w:rsidTr="009D2F8A">
        <w:trPr>
          <w:trHeight w:val="307"/>
        </w:trPr>
        <w:tc>
          <w:tcPr>
            <w:tcW w:w="733" w:type="dxa"/>
            <w:tcBorders>
              <w:top w:val="nil"/>
              <w:left w:val="nil"/>
              <w:bottom w:val="nil"/>
              <w:right w:val="nil"/>
            </w:tcBorders>
            <w:vAlign w:val="center"/>
            <w:hideMark/>
          </w:tcPr>
          <w:p w14:paraId="3F20A0D3" w14:textId="77777777" w:rsidR="00A61000" w:rsidRPr="00206556" w:rsidRDefault="00A61000" w:rsidP="009D2F8A">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1C68323" w14:textId="77777777" w:rsidR="00A61000" w:rsidRPr="00206556" w:rsidRDefault="00A61000" w:rsidP="009D2F8A">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17A1B04E" w14:textId="77777777" w:rsidR="00A61000" w:rsidRPr="00206556" w:rsidRDefault="00A61000" w:rsidP="009D2F8A">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2F7A6088" w14:textId="77777777" w:rsidR="00A61000" w:rsidRPr="007871E6" w:rsidRDefault="00A61000" w:rsidP="00A61000">
      <w:pPr>
        <w:spacing w:after="0" w:line="240" w:lineRule="auto"/>
        <w:jc w:val="both"/>
        <w:rPr>
          <w:rFonts w:ascii="Verdana" w:eastAsia="Verdana" w:hAnsi="Verdana" w:cs="Verdana"/>
          <w:b/>
          <w:bCs/>
        </w:rPr>
      </w:pPr>
    </w:p>
    <w:p w14:paraId="04D60EA9" w14:textId="2D3D32A5" w:rsidR="00A61000" w:rsidRPr="000E2B93" w:rsidRDefault="00A61000" w:rsidP="00A61000">
      <w:pPr>
        <w:spacing w:after="0" w:line="240" w:lineRule="auto"/>
        <w:jc w:val="both"/>
        <w:textAlignment w:val="baseline"/>
        <w:rPr>
          <w:rFonts w:ascii="Verdana" w:eastAsia="Verdana" w:hAnsi="Verdana" w:cs="Verdana"/>
          <w:lang w:eastAsia="es-CO"/>
        </w:rPr>
      </w:pPr>
    </w:p>
    <w:p w14:paraId="22FD274A" w14:textId="77777777" w:rsidR="00A61000" w:rsidRPr="000E2B93" w:rsidRDefault="00A61000" w:rsidP="00A61000">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64D8F6B5" w14:textId="77777777" w:rsidR="00A61000" w:rsidRPr="00206556" w:rsidRDefault="00A61000" w:rsidP="00A61000">
      <w:pPr>
        <w:tabs>
          <w:tab w:val="left" w:pos="426"/>
        </w:tabs>
        <w:spacing w:after="0" w:line="276" w:lineRule="auto"/>
        <w:jc w:val="both"/>
        <w:rPr>
          <w:rFonts w:ascii="Verdana" w:eastAsia="Century Gothic" w:hAnsi="Verdana" w:cs="Century Gothic"/>
          <w:color w:val="ED7D31" w:themeColor="accent2"/>
          <w:lang w:val="es-ES"/>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bookmarkEnd w:id="0"/>
    <w:p w14:paraId="69BC4D14" w14:textId="3DF06754"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BD51" w14:textId="77777777" w:rsidR="00252E43" w:rsidRDefault="00252E43" w:rsidP="004A1847">
      <w:pPr>
        <w:spacing w:after="0" w:line="240" w:lineRule="auto"/>
      </w:pPr>
      <w:r>
        <w:separator/>
      </w:r>
    </w:p>
  </w:endnote>
  <w:endnote w:type="continuationSeparator" w:id="0">
    <w:p w14:paraId="1C7559B0" w14:textId="77777777" w:rsidR="00252E43" w:rsidRDefault="00252E4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DA00" w14:textId="77777777" w:rsidR="00252E43" w:rsidRDefault="00252E43" w:rsidP="004A1847">
      <w:pPr>
        <w:spacing w:after="0" w:line="240" w:lineRule="auto"/>
      </w:pPr>
      <w:r>
        <w:separator/>
      </w:r>
    </w:p>
  </w:footnote>
  <w:footnote w:type="continuationSeparator" w:id="0">
    <w:p w14:paraId="0E59EEBF" w14:textId="77777777" w:rsidR="00252E43" w:rsidRDefault="00252E43" w:rsidP="004A1847">
      <w:pPr>
        <w:spacing w:after="0" w:line="240" w:lineRule="auto"/>
      </w:pPr>
      <w:r>
        <w:continuationSeparator/>
      </w:r>
    </w:p>
  </w:footnote>
  <w:footnote w:id="1">
    <w:p w14:paraId="144B8A20" w14:textId="77777777" w:rsidR="00A61000" w:rsidRDefault="00A61000" w:rsidP="00A61000">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30FEA752" w14:textId="77777777" w:rsidR="00A61000" w:rsidRPr="00FD2507" w:rsidRDefault="00A61000" w:rsidP="00A61000">
      <w:pPr>
        <w:spacing w:after="0" w:line="240" w:lineRule="auto"/>
        <w:ind w:firstLine="709"/>
        <w:jc w:val="both"/>
        <w:rPr>
          <w:rFonts w:ascii="Verdana" w:eastAsia="Times New Roman" w:hAnsi="Verdana" w:cs="Times New Roman"/>
          <w:sz w:val="16"/>
          <w:szCs w:val="16"/>
        </w:rPr>
      </w:pPr>
    </w:p>
  </w:footnote>
  <w:footnote w:id="2">
    <w:p w14:paraId="3465C962" w14:textId="77777777" w:rsidR="00A61000" w:rsidRPr="00206556" w:rsidRDefault="00A61000" w:rsidP="00A61000">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FEB9137" w14:textId="77777777" w:rsidR="00A61000" w:rsidRPr="00206556" w:rsidRDefault="00A61000" w:rsidP="00A61000">
      <w:pPr>
        <w:pStyle w:val="Textonotapie"/>
        <w:ind w:firstLine="709"/>
        <w:jc w:val="both"/>
        <w:rPr>
          <w:rFonts w:ascii="Verdana" w:hAnsi="Verdana"/>
          <w:sz w:val="16"/>
          <w:szCs w:val="16"/>
          <w:lang w:val="es-ES"/>
        </w:rPr>
      </w:pPr>
    </w:p>
  </w:footnote>
  <w:footnote w:id="3">
    <w:p w14:paraId="4B2EB1F0" w14:textId="77777777" w:rsidR="00A61000" w:rsidRPr="00206556" w:rsidRDefault="00A61000" w:rsidP="00A61000">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596D1E8D" w14:textId="77777777" w:rsidR="00A61000" w:rsidRPr="00206556" w:rsidRDefault="00A61000" w:rsidP="00A61000">
      <w:pPr>
        <w:spacing w:after="0" w:line="240" w:lineRule="auto"/>
        <w:ind w:firstLine="709"/>
        <w:jc w:val="both"/>
        <w:rPr>
          <w:rFonts w:ascii="Verdana" w:hAnsi="Verdana"/>
          <w:sz w:val="16"/>
          <w:szCs w:val="16"/>
        </w:rPr>
      </w:pPr>
    </w:p>
  </w:footnote>
  <w:footnote w:id="4">
    <w:p w14:paraId="4A39E34F" w14:textId="77777777" w:rsidR="00A61000" w:rsidRPr="00206556" w:rsidRDefault="00A61000" w:rsidP="00A61000">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29D2309B" w14:textId="77777777" w:rsidR="00A61000" w:rsidRPr="00206556" w:rsidRDefault="00A61000" w:rsidP="00A61000">
      <w:pPr>
        <w:pStyle w:val="Textonotapie"/>
        <w:ind w:firstLine="709"/>
        <w:jc w:val="both"/>
        <w:rPr>
          <w:rFonts w:ascii="Verdana" w:hAnsi="Verdana"/>
          <w:sz w:val="16"/>
          <w:szCs w:val="16"/>
          <w:lang w:val="es-ES"/>
        </w:rPr>
      </w:pPr>
    </w:p>
  </w:footnote>
  <w:footnote w:id="5">
    <w:p w14:paraId="7F9F7B27" w14:textId="77777777" w:rsidR="00A61000" w:rsidRPr="00206556" w:rsidRDefault="00A61000" w:rsidP="00A61000">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244486FF" w14:textId="77777777" w:rsidR="00A61000" w:rsidRPr="00206556" w:rsidRDefault="00A61000" w:rsidP="00A61000">
      <w:pPr>
        <w:pStyle w:val="Textonotapie"/>
        <w:ind w:firstLine="709"/>
        <w:jc w:val="both"/>
        <w:rPr>
          <w:rFonts w:ascii="Verdana" w:hAnsi="Verdana"/>
          <w:sz w:val="16"/>
          <w:szCs w:val="16"/>
          <w:lang w:val="es-ES"/>
        </w:rPr>
      </w:pPr>
    </w:p>
  </w:footnote>
  <w:footnote w:id="6">
    <w:p w14:paraId="73FBB9FA" w14:textId="77777777" w:rsidR="00A61000" w:rsidRPr="00206556" w:rsidRDefault="00A61000" w:rsidP="00A61000">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1B1AA7C1" w14:textId="77777777" w:rsidR="00A61000" w:rsidRPr="00206556" w:rsidRDefault="00A61000" w:rsidP="00A61000">
      <w:pPr>
        <w:pStyle w:val="Textonotapie"/>
        <w:ind w:firstLine="709"/>
        <w:rPr>
          <w:rFonts w:ascii="Verdana" w:hAnsi="Verdana"/>
          <w:sz w:val="16"/>
          <w:szCs w:val="16"/>
          <w:lang w:val="es-ES"/>
        </w:rPr>
      </w:pPr>
    </w:p>
  </w:footnote>
  <w:footnote w:id="7">
    <w:p w14:paraId="68A25B5F" w14:textId="77777777" w:rsidR="00A61000" w:rsidRPr="00206556" w:rsidRDefault="00A61000" w:rsidP="00A61000">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3798378F" w14:textId="77777777" w:rsidR="00A61000" w:rsidRPr="00206556" w:rsidRDefault="00A61000" w:rsidP="00A61000">
      <w:pPr>
        <w:pStyle w:val="Textonotapie"/>
        <w:ind w:firstLine="709"/>
        <w:rPr>
          <w:rFonts w:ascii="Verdana" w:hAnsi="Verdana"/>
          <w:sz w:val="16"/>
          <w:szCs w:val="16"/>
          <w:lang w:val="es-ES"/>
        </w:rPr>
      </w:pPr>
    </w:p>
  </w:footnote>
  <w:footnote w:id="8">
    <w:p w14:paraId="65983FF0" w14:textId="77777777" w:rsidR="00A61000" w:rsidRPr="00206556" w:rsidRDefault="00A61000" w:rsidP="00A61000">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1CD9D5F9" w14:textId="77777777" w:rsidR="00A61000" w:rsidRPr="00662625" w:rsidRDefault="00A61000" w:rsidP="00A61000">
      <w:pPr>
        <w:pStyle w:val="Textonotapie"/>
        <w:ind w:firstLine="709"/>
        <w:jc w:val="both"/>
        <w:rPr>
          <w:rFonts w:ascii="Verdana" w:hAnsi="Verdana"/>
          <w:sz w:val="16"/>
          <w:szCs w:val="16"/>
          <w:lang w:val="es-ES_tradnl"/>
        </w:rPr>
      </w:pPr>
      <w:r w:rsidRPr="00662625">
        <w:rPr>
          <w:rStyle w:val="Refdenotaalpie"/>
          <w:rFonts w:ascii="Verdana" w:hAnsi="Verdana"/>
          <w:sz w:val="16"/>
          <w:szCs w:val="16"/>
        </w:rPr>
        <w:footnoteRef/>
      </w:r>
      <w:r w:rsidRPr="00662625">
        <w:rPr>
          <w:rFonts w:ascii="Verdana" w:hAnsi="Verdana"/>
          <w:sz w:val="16"/>
          <w:szCs w:val="16"/>
        </w:rPr>
        <w:t xml:space="preserve"> Parte considerativa del Decreto 287 de 2026.</w:t>
      </w:r>
    </w:p>
  </w:footnote>
  <w:footnote w:id="10">
    <w:p w14:paraId="6BF267A1" w14:textId="77777777" w:rsidR="00A61000" w:rsidRDefault="00A61000" w:rsidP="00A61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(12 de mayo de 2026). Circular Externa No. 003 de 2026. Orientaciones para la aplicación del Decreto 287 del 19 de marzo de 2026 – Sistema Integral de Preferencias en la contratación pública en favor de personas con discapacidad. Bogotá: ANCP-CCE.</w:t>
      </w:r>
    </w:p>
  </w:footnote>
  <w:footnote w:id="11">
    <w:p w14:paraId="4D7E71D7" w14:textId="77777777" w:rsidR="00A61000" w:rsidRDefault="00A61000" w:rsidP="00A61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1437 de 2011, artículo 21, sustituido por el artículo 1 de la Ley 1755 de 2015, sobre el deber de remitir la petición a la autoridad competente cuando la que la recibe no lo fuere, informando de ello al interesado.</w:t>
      </w:r>
    </w:p>
  </w:footnote>
  <w:footnote w:id="12">
    <w:p w14:paraId="06E223BE" w14:textId="77777777" w:rsidR="00A61000" w:rsidRDefault="00A61000" w:rsidP="00A61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5, parágrafo 1, modificado por el artículo 5 de la Ley 1882 de 2018. [VERIFICAR e incorporar la transcripción literal del texto vigente]</w:t>
      </w:r>
    </w:p>
  </w:footnote>
  <w:footnote w:id="13">
    <w:p w14:paraId="2C81F350" w14:textId="77777777" w:rsidR="00A61000" w:rsidRDefault="00A61000" w:rsidP="00A61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Estatutaria 1618 de 2013, artículo 2, numeral 1: “Personas con y/o en situación de discapacidad: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BF280B"/>
    <w:multiLevelType w:val="multilevel"/>
    <w:tmpl w:val="D2B4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2611303">
    <w:abstractNumId w:val="7"/>
  </w:num>
  <w:num w:numId="2" w16cid:durableId="2080056062">
    <w:abstractNumId w:val="2"/>
  </w:num>
  <w:num w:numId="3" w16cid:durableId="1932541598">
    <w:abstractNumId w:val="5"/>
  </w:num>
  <w:num w:numId="4" w16cid:durableId="1362323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0838226">
    <w:abstractNumId w:val="2"/>
  </w:num>
  <w:num w:numId="6" w16cid:durableId="618027889">
    <w:abstractNumId w:val="13"/>
  </w:num>
  <w:num w:numId="7" w16cid:durableId="2027173691">
    <w:abstractNumId w:val="6"/>
  </w:num>
  <w:num w:numId="8" w16cid:durableId="1479112282">
    <w:abstractNumId w:val="12"/>
  </w:num>
  <w:num w:numId="9" w16cid:durableId="2145465170">
    <w:abstractNumId w:val="8"/>
  </w:num>
  <w:num w:numId="10" w16cid:durableId="1989674507">
    <w:abstractNumId w:val="11"/>
  </w:num>
  <w:num w:numId="11" w16cid:durableId="1426148061">
    <w:abstractNumId w:val="9"/>
  </w:num>
  <w:num w:numId="12" w16cid:durableId="93215032">
    <w:abstractNumId w:val="0"/>
  </w:num>
  <w:num w:numId="13" w16cid:durableId="1465193032">
    <w:abstractNumId w:val="4"/>
  </w:num>
  <w:num w:numId="14" w16cid:durableId="1222860384">
    <w:abstractNumId w:val="14"/>
  </w:num>
  <w:num w:numId="15" w16cid:durableId="1388917956">
    <w:abstractNumId w:val="10"/>
  </w:num>
  <w:num w:numId="16" w16cid:durableId="1046180064">
    <w:abstractNumId w:val="1"/>
  </w:num>
  <w:num w:numId="17" w16cid:durableId="973677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C8B"/>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2E43"/>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3758A"/>
    <w:rsid w:val="003448F4"/>
    <w:rsid w:val="00374F5E"/>
    <w:rsid w:val="00377E3E"/>
    <w:rsid w:val="003A779E"/>
    <w:rsid w:val="003B429F"/>
    <w:rsid w:val="003D0F4D"/>
    <w:rsid w:val="003D5B0D"/>
    <w:rsid w:val="003E0499"/>
    <w:rsid w:val="003E4F80"/>
    <w:rsid w:val="003E6439"/>
    <w:rsid w:val="003F3941"/>
    <w:rsid w:val="00406575"/>
    <w:rsid w:val="00414C74"/>
    <w:rsid w:val="0042722E"/>
    <w:rsid w:val="0044528D"/>
    <w:rsid w:val="004555CD"/>
    <w:rsid w:val="00466E39"/>
    <w:rsid w:val="004A1847"/>
    <w:rsid w:val="004A305D"/>
    <w:rsid w:val="004A5012"/>
    <w:rsid w:val="004F21C4"/>
    <w:rsid w:val="004F685F"/>
    <w:rsid w:val="005566E8"/>
    <w:rsid w:val="00574867"/>
    <w:rsid w:val="00591460"/>
    <w:rsid w:val="005A65E0"/>
    <w:rsid w:val="005C3777"/>
    <w:rsid w:val="005C5CDC"/>
    <w:rsid w:val="005D476C"/>
    <w:rsid w:val="00600A8D"/>
    <w:rsid w:val="006200BF"/>
    <w:rsid w:val="006219F8"/>
    <w:rsid w:val="00622FB0"/>
    <w:rsid w:val="006302F7"/>
    <w:rsid w:val="00646B9F"/>
    <w:rsid w:val="0065223A"/>
    <w:rsid w:val="00665D70"/>
    <w:rsid w:val="006900D9"/>
    <w:rsid w:val="00706C16"/>
    <w:rsid w:val="007340C3"/>
    <w:rsid w:val="0074454C"/>
    <w:rsid w:val="0075235A"/>
    <w:rsid w:val="00756841"/>
    <w:rsid w:val="007649AB"/>
    <w:rsid w:val="00771D0C"/>
    <w:rsid w:val="00772F1E"/>
    <w:rsid w:val="007833AC"/>
    <w:rsid w:val="007B268C"/>
    <w:rsid w:val="007B7171"/>
    <w:rsid w:val="007C0C0F"/>
    <w:rsid w:val="007C3DC2"/>
    <w:rsid w:val="007E5497"/>
    <w:rsid w:val="00806F5F"/>
    <w:rsid w:val="00820278"/>
    <w:rsid w:val="008258C9"/>
    <w:rsid w:val="00826D70"/>
    <w:rsid w:val="00844AE9"/>
    <w:rsid w:val="00867F95"/>
    <w:rsid w:val="008843B6"/>
    <w:rsid w:val="00891928"/>
    <w:rsid w:val="008A446D"/>
    <w:rsid w:val="008B25F1"/>
    <w:rsid w:val="008D180B"/>
    <w:rsid w:val="008F0EA7"/>
    <w:rsid w:val="008F78F6"/>
    <w:rsid w:val="00923EEF"/>
    <w:rsid w:val="00933D0D"/>
    <w:rsid w:val="009419F9"/>
    <w:rsid w:val="0095685E"/>
    <w:rsid w:val="00961B09"/>
    <w:rsid w:val="00965334"/>
    <w:rsid w:val="0097093E"/>
    <w:rsid w:val="009A0DFA"/>
    <w:rsid w:val="009A1C6F"/>
    <w:rsid w:val="009B2D26"/>
    <w:rsid w:val="009C71FA"/>
    <w:rsid w:val="009C72E7"/>
    <w:rsid w:val="009C7F7E"/>
    <w:rsid w:val="009D3058"/>
    <w:rsid w:val="009F3A13"/>
    <w:rsid w:val="00A0653D"/>
    <w:rsid w:val="00A122D3"/>
    <w:rsid w:val="00A14468"/>
    <w:rsid w:val="00A17AD1"/>
    <w:rsid w:val="00A17F13"/>
    <w:rsid w:val="00A20739"/>
    <w:rsid w:val="00A23AF9"/>
    <w:rsid w:val="00A33C78"/>
    <w:rsid w:val="00A61000"/>
    <w:rsid w:val="00AB0ADB"/>
    <w:rsid w:val="00B00C0E"/>
    <w:rsid w:val="00B01B1A"/>
    <w:rsid w:val="00B0381D"/>
    <w:rsid w:val="00B44A47"/>
    <w:rsid w:val="00B72CD3"/>
    <w:rsid w:val="00B72FFF"/>
    <w:rsid w:val="00B74816"/>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52EDA"/>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190"/>
    <w:rsid w:val="00F5664F"/>
    <w:rsid w:val="00F666C4"/>
    <w:rsid w:val="00F76AFC"/>
    <w:rsid w:val="00F87FB1"/>
    <w:rsid w:val="00FA47C0"/>
    <w:rsid w:val="00FB5DD1"/>
    <w:rsid w:val="00FC2B5D"/>
    <w:rsid w:val="00FF1449"/>
    <w:rsid w:val="00FF232F"/>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6100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233422-6EEB-4E1E-8C7D-944EF8C5E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29</Pages>
  <Words>10060</Words>
  <Characters>55332</Characters>
  <Application>Microsoft Office Word</Application>
  <DocSecurity>0</DocSecurity>
  <Lines>461</Lines>
  <Paragraphs>130</Paragraphs>
  <ScaleCrop>false</ScaleCrop>
  <Company/>
  <LinksUpToDate>false</LinksUpToDate>
  <CharactersWithSpaces>65262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2026-09-29T16:22:00Z</dcterms:created>
  <dcterms:modified xsi:type="dcterms:W3CDTF">2026-09-30T16:19:00Z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