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C0CFB" w14:textId="43421D17" w:rsidR="00815A2C" w:rsidRPr="00AC7039" w:rsidRDefault="00815A2C" w:rsidP="00815A2C">
      <w:pPr>
        <w:spacing w:after="0" w:line="240" w:lineRule="auto"/>
        <w:jc w:val="both"/>
        <w:rPr>
          <w:rFonts w:ascii="Verdana" w:eastAsia="Times New Roman" w:hAnsi="Verdana" w:cs="Arial"/>
          <w:b/>
          <w:lang w:val="es-ES" w:eastAsia="es-ES_tradnl"/>
        </w:rPr>
      </w:pPr>
      <w:bookmarkStart w:id="0" w:name="_Hlk186494164"/>
      <w:bookmarkStart w:id="1" w:name="_Hlk143780582"/>
      <w:r w:rsidRPr="00AC7039">
        <w:rPr>
          <w:rFonts w:ascii="Verdana" w:eastAsia="Calibri" w:hAnsi="Verdana" w:cs="Arial"/>
          <w:b/>
          <w:lang w:val="es-MX" w:eastAsia="es-ES_tradnl"/>
        </w:rPr>
        <w:t xml:space="preserve">AUTORIDADES TRADICIONALES INDÍGENAS – </w:t>
      </w:r>
      <w:r w:rsidR="004E2216">
        <w:rPr>
          <w:rFonts w:ascii="Verdana" w:eastAsia="Calibri" w:hAnsi="Verdana" w:cs="Arial"/>
          <w:b/>
          <w:lang w:val="es-MX" w:eastAsia="es-ES_tradnl"/>
        </w:rPr>
        <w:t>A</w:t>
      </w:r>
      <w:r w:rsidR="004E2216" w:rsidRPr="00AC7039">
        <w:rPr>
          <w:rFonts w:ascii="Verdana" w:eastAsia="Calibri" w:hAnsi="Verdana" w:cs="Arial"/>
          <w:b/>
          <w:lang w:val="es-MX" w:eastAsia="es-ES_tradnl"/>
        </w:rPr>
        <w:t>sociaciones de cabildos indígenas y/o autoridades tradicionales indígenas</w:t>
      </w:r>
      <w:r w:rsidRPr="00AC7039">
        <w:rPr>
          <w:rFonts w:ascii="Verdana" w:eastAsia="Calibri" w:hAnsi="Verdana" w:cs="Arial"/>
          <w:b/>
          <w:lang w:val="es-MX" w:eastAsia="es-ES_tradnl"/>
        </w:rPr>
        <w:t xml:space="preserve"> – Noción – </w:t>
      </w:r>
      <w:r w:rsidRPr="00AC7039">
        <w:rPr>
          <w:rFonts w:ascii="Verdana" w:eastAsia="Times New Roman" w:hAnsi="Verdana" w:cs="Arial"/>
          <w:b/>
          <w:lang w:val="es-ES" w:eastAsia="es-ES_tradnl"/>
        </w:rPr>
        <w:t xml:space="preserve">Régimen de contratación – Decreto 1088 de 1993 – Decreto 252 de 2020 </w:t>
      </w:r>
    </w:p>
    <w:p w14:paraId="5A8ADD49" w14:textId="77777777" w:rsidR="00815A2C" w:rsidRPr="00AC7039" w:rsidRDefault="00815A2C" w:rsidP="00815A2C">
      <w:pPr>
        <w:spacing w:after="0" w:line="240" w:lineRule="auto"/>
        <w:jc w:val="both"/>
        <w:rPr>
          <w:rFonts w:ascii="Verdana" w:eastAsia="Times New Roman" w:hAnsi="Verdana" w:cs="Arial"/>
          <w:b/>
          <w:sz w:val="20"/>
          <w:szCs w:val="20"/>
          <w:lang w:val="es-ES" w:eastAsia="es-ES_tradnl"/>
        </w:rPr>
      </w:pPr>
    </w:p>
    <w:p w14:paraId="1C582D23" w14:textId="77777777" w:rsidR="00815A2C" w:rsidRPr="00AC7039" w:rsidRDefault="00815A2C" w:rsidP="00815A2C">
      <w:pPr>
        <w:spacing w:after="0" w:line="240" w:lineRule="auto"/>
        <w:jc w:val="both"/>
        <w:rPr>
          <w:rFonts w:ascii="Verdana" w:eastAsia="Calibri" w:hAnsi="Verdana" w:cs="Times New Roman"/>
          <w:sz w:val="20"/>
          <w:szCs w:val="20"/>
          <w:lang w:val="es-ES"/>
        </w:rPr>
      </w:pPr>
      <w:r w:rsidRPr="00AC7039">
        <w:rPr>
          <w:rFonts w:ascii="Verdana" w:eastAsia="Century Gothic" w:hAnsi="Verdana" w:cs="Century Gothic"/>
          <w:sz w:val="20"/>
          <w:szCs w:val="20"/>
          <w:lang w:val="es-ES"/>
        </w:rPr>
        <w:t xml:space="preserve">“[…] </w:t>
      </w:r>
      <w:r w:rsidRPr="00AC7039">
        <w:rPr>
          <w:rFonts w:ascii="Verdana" w:eastAsia="Calibri" w:hAnsi="Verdana" w:cs="Times New Roman"/>
          <w:sz w:val="20"/>
          <w:szCs w:val="20"/>
          <w:lang w:val="es-ES"/>
        </w:rPr>
        <w:t>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7DC8559A" w14:textId="77777777" w:rsidR="00815A2C" w:rsidRPr="00AC7039" w:rsidRDefault="00815A2C" w:rsidP="00815A2C">
      <w:pPr>
        <w:spacing w:after="0" w:line="240" w:lineRule="auto"/>
        <w:jc w:val="both"/>
        <w:rPr>
          <w:rFonts w:ascii="Verdana" w:eastAsia="Calibri" w:hAnsi="Verdana" w:cs="Times New Roman"/>
          <w:sz w:val="20"/>
          <w:szCs w:val="20"/>
          <w:lang w:val="es-ES"/>
        </w:rPr>
      </w:pPr>
    </w:p>
    <w:p w14:paraId="0988F680" w14:textId="77777777" w:rsidR="00815A2C" w:rsidRPr="00AC7039" w:rsidRDefault="00815A2C" w:rsidP="00815A2C">
      <w:pPr>
        <w:spacing w:after="0" w:line="240" w:lineRule="auto"/>
        <w:jc w:val="both"/>
        <w:rPr>
          <w:rFonts w:ascii="Verdana" w:eastAsia="Century Gothic" w:hAnsi="Verdana" w:cs="Century Gothic"/>
          <w:sz w:val="20"/>
          <w:szCs w:val="20"/>
          <w:lang w:val="es-ES"/>
        </w:rPr>
      </w:pPr>
      <w:r w:rsidRPr="00AC7039">
        <w:rPr>
          <w:rFonts w:ascii="Verdana" w:eastAsia="Century Gothic" w:hAnsi="Verdana" w:cs="Century Gothic"/>
          <w:sz w:val="20"/>
          <w:szCs w:val="20"/>
          <w:lang w:val="es-ES"/>
        </w:rPr>
        <w:t>En relación con la naturaleza de los actos y contratos celebrados por estas asociaciones, el artículo 10 señala específicamente que “Los actos y contratos de naturaleza industrial o comercial de las asociaciones de que trata el presente Decreto, se regirán por el derecho privado. En los demás casos se sujetarán a las normas sobre asociaciones de entidades públicas conforme al Decreto 130 de 1976 y normas concordantes”. […]”</w:t>
      </w:r>
    </w:p>
    <w:p w14:paraId="66654239" w14:textId="77777777" w:rsidR="00815A2C" w:rsidRPr="00AC7039" w:rsidRDefault="00815A2C" w:rsidP="00815A2C">
      <w:pPr>
        <w:spacing w:after="0" w:line="240" w:lineRule="auto"/>
        <w:jc w:val="both"/>
        <w:rPr>
          <w:rFonts w:ascii="Verdana" w:eastAsia="Century Gothic" w:hAnsi="Verdana" w:cs="Century Gothic"/>
          <w:sz w:val="20"/>
          <w:szCs w:val="20"/>
          <w:lang w:val="es-ES"/>
        </w:rPr>
      </w:pPr>
    </w:p>
    <w:p w14:paraId="55AA679D" w14:textId="77777777" w:rsidR="00815A2C" w:rsidRDefault="00815A2C" w:rsidP="00815A2C">
      <w:pPr>
        <w:spacing w:after="0" w:line="240" w:lineRule="auto"/>
        <w:jc w:val="both"/>
        <w:rPr>
          <w:rFonts w:ascii="Verdana" w:eastAsia="Century Gothic" w:hAnsi="Verdana" w:cs="Century Gothic"/>
          <w:sz w:val="20"/>
          <w:szCs w:val="20"/>
          <w:lang w:val="es-ES"/>
        </w:rPr>
      </w:pPr>
      <w:r w:rsidRPr="00AC7039">
        <w:rPr>
          <w:rFonts w:ascii="Verdana" w:eastAsia="Century Gothic" w:hAnsi="Verdana" w:cs="Century Gothic"/>
          <w:sz w:val="20"/>
          <w:szCs w:val="20"/>
          <w:lang w:val="es-ES"/>
        </w:rPr>
        <w:t xml:space="preserve">[…] </w:t>
      </w:r>
      <w:r w:rsidRPr="00AC7039">
        <w:rPr>
          <w:rFonts w:ascii="Verdana" w:eastAsia="Geomanist Light" w:hAnsi="Verdana" w:cs="Arial"/>
          <w:color w:val="000000" w:themeColor="text1"/>
          <w:sz w:val="20"/>
          <w:szCs w:val="20"/>
          <w:lang w:val="es-ES"/>
        </w:rPr>
        <w:t>La celebración de contratos o convenios de manera directa entre entidades estatales y Asociaciones de Cabildos y Autoridades Tradicionales, al igual que con organizaciones indígenas, es un asunto regulado por el Decreto 1088 de 1993, adicionado por el Decreto 252 de 2020. Además, estableció la naturaleza de los actos y contratos de estas asociaciones y organizaciones indígenas y, señaló que los contratos industriales y comerciales se regirán por las reglas de derecho privado.</w:t>
      </w:r>
      <w:r w:rsidRPr="00AC7039">
        <w:rPr>
          <w:rFonts w:ascii="Verdana" w:eastAsia="Century Gothic" w:hAnsi="Verdana" w:cs="Century Gothic"/>
          <w:sz w:val="20"/>
          <w:szCs w:val="20"/>
          <w:lang w:val="es-ES"/>
        </w:rPr>
        <w:t xml:space="preserve"> […]”</w:t>
      </w:r>
    </w:p>
    <w:p w14:paraId="0555C2E3" w14:textId="77777777" w:rsidR="00815A2C" w:rsidRPr="00AC7039" w:rsidRDefault="00815A2C" w:rsidP="00815A2C">
      <w:pPr>
        <w:spacing w:after="0" w:line="256" w:lineRule="auto"/>
        <w:jc w:val="both"/>
        <w:rPr>
          <w:rFonts w:ascii="Verdana" w:eastAsia="Century Gothic" w:hAnsi="Verdana" w:cs="Century Gothic"/>
          <w:sz w:val="20"/>
          <w:szCs w:val="20"/>
          <w:lang w:val="es-ES"/>
        </w:rPr>
      </w:pPr>
    </w:p>
    <w:p w14:paraId="46223191" w14:textId="55D3A959" w:rsidR="00815A2C" w:rsidRPr="004E2216" w:rsidRDefault="00815A2C" w:rsidP="00815A2C">
      <w:pPr>
        <w:spacing w:after="0" w:line="240" w:lineRule="auto"/>
        <w:rPr>
          <w:rFonts w:ascii="Verdana" w:eastAsia="Calibri" w:hAnsi="Verdana" w:cs="Arial"/>
          <w:b/>
          <w:bCs/>
          <w:lang w:val="es-ES" w:eastAsia="es-ES"/>
        </w:rPr>
      </w:pPr>
      <w:r w:rsidRPr="004E2216">
        <w:rPr>
          <w:rFonts w:ascii="Verdana" w:eastAsia="Calibri" w:hAnsi="Verdana" w:cs="Arial"/>
          <w:b/>
          <w:bCs/>
          <w:lang w:val="es-ES" w:eastAsia="es-ES"/>
        </w:rPr>
        <w:t xml:space="preserve">SISTEMA GENERAL DE REGALÍAS – Ley 2056 de 2020 – </w:t>
      </w:r>
      <w:r w:rsidR="004E2216">
        <w:rPr>
          <w:rFonts w:ascii="Verdana" w:eastAsia="Calibri" w:hAnsi="Verdana" w:cs="Arial"/>
          <w:b/>
          <w:bCs/>
          <w:lang w:val="es-ES" w:eastAsia="es-ES"/>
        </w:rPr>
        <w:t>A</w:t>
      </w:r>
      <w:r w:rsidRPr="004E2216">
        <w:rPr>
          <w:rFonts w:ascii="Verdana" w:eastAsia="Calibri" w:hAnsi="Verdana" w:cs="Arial"/>
          <w:b/>
          <w:bCs/>
          <w:lang w:val="es-ES" w:eastAsia="es-ES"/>
        </w:rPr>
        <w:t xml:space="preserve">rtículo 37 </w:t>
      </w:r>
    </w:p>
    <w:p w14:paraId="28D45CDF" w14:textId="77777777" w:rsidR="00815A2C" w:rsidRPr="00FB6807" w:rsidRDefault="00815A2C" w:rsidP="00815A2C">
      <w:pPr>
        <w:spacing w:after="0" w:line="240" w:lineRule="auto"/>
        <w:jc w:val="both"/>
        <w:rPr>
          <w:rFonts w:ascii="Verdana" w:hAnsi="Verdana" w:cs="Arial"/>
          <w:noProof/>
          <w:sz w:val="20"/>
          <w:szCs w:val="20"/>
          <w:lang w:val="es-ES_tradnl"/>
        </w:rPr>
      </w:pPr>
    </w:p>
    <w:p w14:paraId="75FB9EA4" w14:textId="1BB795CA" w:rsidR="00815A2C" w:rsidRDefault="007E6491" w:rsidP="00815A2C">
      <w:pPr>
        <w:spacing w:after="0" w:line="240" w:lineRule="auto"/>
        <w:jc w:val="both"/>
        <w:rPr>
          <w:rFonts w:ascii="Verdana" w:hAnsi="Verdana" w:cs="Arial"/>
          <w:noProof/>
          <w:sz w:val="20"/>
          <w:szCs w:val="20"/>
          <w:lang w:val="es-ES_tradnl"/>
        </w:rPr>
      </w:pPr>
      <w:r>
        <w:rPr>
          <w:rFonts w:ascii="Verdana" w:hAnsi="Verdana" w:cs="Arial"/>
          <w:noProof/>
          <w:sz w:val="20"/>
          <w:szCs w:val="20"/>
          <w:lang w:val="es-ES_tradnl"/>
        </w:rPr>
        <w:t>E</w:t>
      </w:r>
      <w:r w:rsidR="00815A2C" w:rsidRPr="00EF4B5A">
        <w:rPr>
          <w:rFonts w:ascii="Verdana" w:hAnsi="Verdana" w:cs="Arial"/>
          <w:noProof/>
          <w:sz w:val="20"/>
          <w:szCs w:val="20"/>
          <w:lang w:val="es-ES_tradnl"/>
        </w:rPr>
        <w:t xml:space="preserve">l artículo 37 de la Ley 2056 de 2020 dispone que los proyectos de inversión que se financien con cargo al Sistema General de Regalías serán ejecutados por quien designe las entidades u órganos de que tratan los artículos 35 y 36 ibidem.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5101EC4B" w14:textId="77777777" w:rsidR="00815A2C" w:rsidRPr="00EF4B5A" w:rsidRDefault="00815A2C" w:rsidP="00815A2C">
      <w:pPr>
        <w:spacing w:after="0" w:line="240" w:lineRule="auto"/>
        <w:jc w:val="both"/>
        <w:rPr>
          <w:rFonts w:ascii="Verdana" w:hAnsi="Verdana" w:cs="Arial"/>
          <w:noProof/>
          <w:sz w:val="20"/>
          <w:szCs w:val="20"/>
          <w:lang w:val="es-ES_tradnl"/>
        </w:rPr>
      </w:pPr>
    </w:p>
    <w:p w14:paraId="51D2D6AE" w14:textId="77777777" w:rsidR="00815A2C" w:rsidRPr="00EF4B5A" w:rsidRDefault="00815A2C" w:rsidP="00815A2C">
      <w:pPr>
        <w:spacing w:after="0" w:line="240" w:lineRule="auto"/>
        <w:jc w:val="both"/>
        <w:rPr>
          <w:rFonts w:ascii="Verdana" w:hAnsi="Verdana" w:cs="Arial"/>
          <w:noProof/>
          <w:sz w:val="20"/>
          <w:szCs w:val="20"/>
          <w:lang w:val="es-ES_tradnl"/>
        </w:rPr>
      </w:pPr>
      <w:r w:rsidRPr="00EF4B5A">
        <w:rPr>
          <w:rFonts w:ascii="Verdana" w:hAnsi="Verdana" w:cs="Arial"/>
          <w:noProof/>
          <w:sz w:val="20"/>
          <w:szCs w:val="20"/>
          <w:lang w:val="es-ES_tradnl"/>
        </w:rPr>
        <w:t xml:space="preserve">El parágrafo primero del artículo 37 ibidem dispone lo siguiente: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 . 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w:t>
      </w:r>
      <w:r w:rsidRPr="00EF4B5A">
        <w:rPr>
          <w:rFonts w:ascii="Verdana" w:hAnsi="Verdana" w:cs="Arial"/>
          <w:noProof/>
          <w:sz w:val="20"/>
          <w:szCs w:val="20"/>
          <w:lang w:val="es-ES_tradnl"/>
        </w:rPr>
        <w:lastRenderedPageBreak/>
        <w:t xml:space="preserve">ejecutor debe someterse a las reglas generales de la contratación pública cuando desarrolle proyectos en el marco del Sistema General de Regalías. </w:t>
      </w:r>
    </w:p>
    <w:p w14:paraId="2082BE75" w14:textId="77777777" w:rsidR="00815A2C" w:rsidRDefault="00815A2C" w:rsidP="00815A2C">
      <w:pPr>
        <w:spacing w:after="0" w:line="240" w:lineRule="auto"/>
        <w:jc w:val="both"/>
        <w:rPr>
          <w:rFonts w:ascii="Verdana" w:hAnsi="Verdana" w:cs="Arial"/>
          <w:sz w:val="20"/>
          <w:szCs w:val="20"/>
        </w:rPr>
      </w:pPr>
    </w:p>
    <w:p w14:paraId="52D161E6" w14:textId="1EBAB56B" w:rsidR="00815A2C" w:rsidRPr="003E3009" w:rsidRDefault="00815A2C" w:rsidP="00815A2C">
      <w:pPr>
        <w:jc w:val="both"/>
        <w:rPr>
          <w:rFonts w:ascii="Verdana" w:eastAsia="Calibri" w:hAnsi="Verdana" w:cs="Arial"/>
          <w:b/>
          <w:bCs/>
          <w:lang w:val="es-ES" w:eastAsia="es-ES"/>
        </w:rPr>
      </w:pPr>
      <w:r w:rsidRPr="003E3009">
        <w:rPr>
          <w:rFonts w:ascii="Verdana" w:eastAsia="Calibri" w:hAnsi="Verdana" w:cs="Arial"/>
          <w:b/>
          <w:bCs/>
          <w:lang w:val="es-ES" w:eastAsia="es-ES"/>
        </w:rPr>
        <w:t>RÉGIMEN CONTRACTUAL – Entidades ejecutoras – Aplicación del Estatuto General de Contratación de la Administración Pública</w:t>
      </w:r>
      <w:r>
        <w:rPr>
          <w:rFonts w:ascii="Verdana" w:eastAsia="Calibri" w:hAnsi="Verdana" w:cs="Arial"/>
          <w:b/>
          <w:bCs/>
          <w:lang w:val="es-ES" w:eastAsia="es-ES"/>
        </w:rPr>
        <w:t xml:space="preserve"> </w:t>
      </w:r>
      <w:r w:rsidRPr="00C728C6">
        <w:rPr>
          <w:rFonts w:ascii="Verdana" w:eastAsia="Calibri" w:hAnsi="Verdana" w:cs="Arial"/>
          <w:b/>
          <w:bCs/>
          <w:lang w:val="es-ES" w:eastAsia="es-ES"/>
        </w:rPr>
        <w:t xml:space="preserve">– Postura Consejo de Estado – Cambio de posición ANCP </w:t>
      </w:r>
      <w:r w:rsidR="004E2216" w:rsidRPr="004E2216">
        <w:rPr>
          <w:rFonts w:ascii="Verdana" w:eastAsia="Calibri" w:hAnsi="Verdana" w:cs="Arial"/>
          <w:b/>
          <w:bCs/>
          <w:lang w:val="es-ES" w:eastAsia="es-ES"/>
        </w:rPr>
        <w:t>–</w:t>
      </w:r>
      <w:r w:rsidRPr="00C728C6">
        <w:rPr>
          <w:rFonts w:ascii="Verdana" w:eastAsia="Calibri" w:hAnsi="Verdana" w:cs="Arial"/>
          <w:b/>
          <w:bCs/>
          <w:lang w:val="es-ES" w:eastAsia="es-ES"/>
        </w:rPr>
        <w:t xml:space="preserve"> CCE</w:t>
      </w:r>
      <w:r w:rsidRPr="003E3009">
        <w:rPr>
          <w:rFonts w:ascii="Verdana" w:eastAsia="Calibri" w:hAnsi="Verdana" w:cs="Arial"/>
          <w:b/>
          <w:bCs/>
          <w:lang w:val="es-ES" w:eastAsia="es-ES"/>
        </w:rPr>
        <w:t xml:space="preserve">     </w:t>
      </w:r>
    </w:p>
    <w:p w14:paraId="45A594C3" w14:textId="77777777" w:rsidR="00815A2C" w:rsidRDefault="00815A2C" w:rsidP="00815A2C">
      <w:pPr>
        <w:spacing w:after="0" w:line="240" w:lineRule="auto"/>
        <w:jc w:val="both"/>
        <w:rPr>
          <w:rFonts w:ascii="Verdana" w:hAnsi="Verdana" w:cs="Arial"/>
          <w:sz w:val="20"/>
          <w:szCs w:val="20"/>
        </w:rPr>
      </w:pPr>
      <w:r w:rsidRPr="00941C01">
        <w:rPr>
          <w:rFonts w:ascii="Verdana" w:hAnsi="Verdana" w:cs="Arial"/>
          <w:sz w:val="20"/>
          <w:szCs w:val="20"/>
        </w:rPr>
        <w:t>En el Concepto 2563 del 25 de junio de 2026, la Sala de Consulta y Servicio Civil del Consejo de Estado concluyó que, Cuando una entidad con régimen contractual especial es designada ejecutora de un proyecto financiado con recursos del Sistema General de Regalías, el régimen aplicable no se determina por su régimen contractual ordinario ni por la identidad del beneficiario final del bien, obra o servicio, sino por la fuente de financiación y por la regla especial que gobierna la ejecución de esos recursos, esto es el régimen de contratación pública. Lo anterior obedece a que el régimen aplicable a la ejecución de los recursos del SGR está determinado por su fuente de financiación y por las reglas especiales que gobiernan dicha ejecución, de manera que la sujeción al EGCAP constituye un mandato especial y no una remisión subsidiaria al régimen interno de la entidad ejecutora.</w:t>
      </w:r>
    </w:p>
    <w:p w14:paraId="7C48DF5E" w14:textId="77777777" w:rsidR="00815A2C" w:rsidRDefault="00815A2C" w:rsidP="00815A2C">
      <w:pPr>
        <w:spacing w:after="0" w:line="240" w:lineRule="auto"/>
        <w:jc w:val="both"/>
        <w:rPr>
          <w:rFonts w:ascii="Verdana" w:hAnsi="Verdana" w:cs="Arial"/>
          <w:sz w:val="20"/>
          <w:szCs w:val="20"/>
        </w:rPr>
      </w:pPr>
    </w:p>
    <w:p w14:paraId="12AE13E2" w14:textId="77777777" w:rsidR="00815A2C" w:rsidRDefault="00815A2C" w:rsidP="00815A2C">
      <w:pPr>
        <w:spacing w:after="0" w:line="240" w:lineRule="auto"/>
        <w:jc w:val="both"/>
        <w:rPr>
          <w:rFonts w:ascii="Verdana" w:hAnsi="Verdana" w:cs="Arial"/>
          <w:sz w:val="20"/>
          <w:szCs w:val="20"/>
        </w:rPr>
      </w:pPr>
      <w:r w:rsidRPr="00AC7039">
        <w:rPr>
          <w:rFonts w:ascii="Verdana" w:eastAsia="Century Gothic" w:hAnsi="Verdana" w:cs="Century Gothic"/>
          <w:sz w:val="20"/>
          <w:szCs w:val="20"/>
          <w:lang w:val="es-ES"/>
        </w:rPr>
        <w:t>[…]</w:t>
      </w:r>
    </w:p>
    <w:p w14:paraId="3B3D8CF5" w14:textId="77777777" w:rsidR="00815A2C" w:rsidRPr="00941C01" w:rsidRDefault="00815A2C" w:rsidP="00815A2C">
      <w:pPr>
        <w:spacing w:after="0" w:line="240" w:lineRule="auto"/>
        <w:jc w:val="both"/>
        <w:rPr>
          <w:rFonts w:ascii="Verdana" w:hAnsi="Verdana" w:cs="Arial"/>
          <w:sz w:val="20"/>
          <w:szCs w:val="20"/>
        </w:rPr>
      </w:pPr>
    </w:p>
    <w:p w14:paraId="43557443" w14:textId="77777777" w:rsidR="00815A2C" w:rsidRDefault="00815A2C" w:rsidP="00815A2C">
      <w:pPr>
        <w:spacing w:after="0" w:line="240" w:lineRule="auto"/>
        <w:jc w:val="both"/>
        <w:rPr>
          <w:rFonts w:ascii="Verdana" w:hAnsi="Verdana" w:cs="Arial"/>
          <w:sz w:val="20"/>
          <w:szCs w:val="20"/>
        </w:rPr>
      </w:pPr>
      <w:r w:rsidRPr="00941C01">
        <w:rPr>
          <w:rFonts w:ascii="Verdana" w:hAnsi="Verdana" w:cs="Arial"/>
          <w:sz w:val="20"/>
          <w:szCs w:val="20"/>
        </w:rPr>
        <w:t>Asimismo, la Sala de Consulta y Servicio Civil identificó únicamente hipótesis expresamente previstas en la Ley 2056 de 2020 o en su reglamentación que permiten acudir a una regla contractual distinta. Entre ellas se encuentran la ejecución directa mediante acto administrativo unilateral que decrete el gasto, cuando la entidad ejecutora produce directamente el bien o presta el servicio aprobado en el proyecto, y el régimen especial previsto para los proyectos de ciencia, tecnología e innovación. En consecuencia, dentro de las excepciones señaladas por el Consejo de Estado no se encuentran los recursos de inversión asignados a los pueblos y comunidades indígenas, respecto de los cuales se mantiene la regla general de sujeción al EGCAP.</w:t>
      </w:r>
    </w:p>
    <w:p w14:paraId="4059FF56" w14:textId="77777777" w:rsidR="00815A2C" w:rsidRPr="00941C01" w:rsidRDefault="00815A2C" w:rsidP="00815A2C">
      <w:pPr>
        <w:spacing w:after="0" w:line="240" w:lineRule="auto"/>
        <w:jc w:val="both"/>
        <w:rPr>
          <w:rFonts w:ascii="Verdana" w:hAnsi="Verdana" w:cs="Arial"/>
          <w:sz w:val="20"/>
          <w:szCs w:val="20"/>
        </w:rPr>
      </w:pPr>
    </w:p>
    <w:p w14:paraId="57A56DA4" w14:textId="77777777" w:rsidR="00815A2C" w:rsidRDefault="00815A2C" w:rsidP="00815A2C">
      <w:pPr>
        <w:spacing w:after="0" w:line="240" w:lineRule="auto"/>
        <w:jc w:val="both"/>
        <w:rPr>
          <w:rFonts w:ascii="Verdana" w:hAnsi="Verdana" w:cs="Arial"/>
          <w:sz w:val="20"/>
          <w:szCs w:val="20"/>
        </w:rPr>
      </w:pPr>
      <w:r w:rsidRPr="00941C01">
        <w:rPr>
          <w:rFonts w:ascii="Verdana" w:hAnsi="Verdana" w:cs="Arial"/>
          <w:sz w:val="20"/>
          <w:szCs w:val="20"/>
        </w:rPr>
        <w:t>En atención a estas consideraciones, la Agencia replantea la postura sostenida en los conceptos C-891 de 2024, C-844 de 2025, C-1257 de 2025 y C-1585 de 2025, con el fin de armonizarla con el criterio expuesto por el Consejo de Estado. En consecuencia, cuando los resguardos y asociaciones de resguardos, las asociaciones de cabildos y de autoridades tradicionales indígenas, las demás formas de organización indígena debidamente inscritas en el Registro Único del Ministerio del Interior y las organizaciones indígenas a que se refiere el Decreto 252 de 2020 sean ejecutoras de recursos del SGR, deberán sujetarse al EGCAP para la contratación necesaria para desarrollar los proyectos, sin perjuicio de que en sus demás actividades continúen aplicando el régimen especial que les corresponda.</w:t>
      </w:r>
    </w:p>
    <w:p w14:paraId="006C1FE6" w14:textId="77777777" w:rsidR="00815A2C" w:rsidRDefault="00815A2C" w:rsidP="00815A2C">
      <w:pPr>
        <w:spacing w:after="0" w:line="240" w:lineRule="auto"/>
        <w:jc w:val="both"/>
        <w:rPr>
          <w:rFonts w:ascii="Verdana" w:hAnsi="Verdana" w:cs="Arial"/>
          <w:sz w:val="20"/>
          <w:szCs w:val="20"/>
        </w:rPr>
      </w:pPr>
    </w:p>
    <w:p w14:paraId="4F105C92" w14:textId="77777777" w:rsidR="00815A2C" w:rsidRDefault="00815A2C" w:rsidP="00815A2C">
      <w:pPr>
        <w:spacing w:after="0" w:line="240" w:lineRule="auto"/>
        <w:jc w:val="both"/>
        <w:rPr>
          <w:rFonts w:ascii="Verdana" w:hAnsi="Verdana" w:cs="Arial"/>
          <w:sz w:val="20"/>
          <w:szCs w:val="20"/>
        </w:rPr>
      </w:pPr>
    </w:p>
    <w:p w14:paraId="41BC38B6" w14:textId="77777777" w:rsidR="00815A2C" w:rsidRDefault="00815A2C" w:rsidP="00815A2C">
      <w:pPr>
        <w:spacing w:after="0" w:line="240" w:lineRule="auto"/>
        <w:jc w:val="both"/>
        <w:rPr>
          <w:rFonts w:ascii="Verdana" w:hAnsi="Verdana" w:cs="Arial"/>
          <w:sz w:val="20"/>
          <w:szCs w:val="20"/>
        </w:rPr>
      </w:pPr>
    </w:p>
    <w:p w14:paraId="6CD88418" w14:textId="77777777" w:rsidR="00815A2C" w:rsidRPr="003E3009" w:rsidRDefault="00815A2C" w:rsidP="00815A2C">
      <w:pPr>
        <w:spacing w:after="0" w:line="240" w:lineRule="auto"/>
        <w:rPr>
          <w:rFonts w:ascii="Verdana" w:eastAsia="Geomanist Light" w:hAnsi="Verdana" w:cs="Arial"/>
          <w:b/>
          <w:bCs/>
          <w:color w:val="000000" w:themeColor="text1"/>
        </w:rPr>
      </w:pPr>
    </w:p>
    <w:p w14:paraId="49506EBA" w14:textId="5D1D3D8A" w:rsidR="00815A2C" w:rsidRPr="003E3009" w:rsidRDefault="00815A2C" w:rsidP="00815A2C">
      <w:pPr>
        <w:spacing w:after="0" w:line="240" w:lineRule="auto"/>
        <w:rPr>
          <w:rFonts w:ascii="Verdana" w:eastAsia="Geomanist Light" w:hAnsi="Verdana" w:cs="Arial"/>
          <w:color w:val="201F1E"/>
        </w:rPr>
      </w:pPr>
      <w:r w:rsidRPr="003E3009">
        <w:rPr>
          <w:rFonts w:ascii="Verdana" w:eastAsia="Geomanist Light" w:hAnsi="Verdana" w:cs="Arial"/>
          <w:color w:val="000000" w:themeColor="text1"/>
        </w:rPr>
        <w:lastRenderedPageBreak/>
        <w:t>Bogotá D.C., </w:t>
      </w:r>
      <w:r w:rsidR="00874930">
        <w:rPr>
          <w:rFonts w:ascii="Verdana" w:eastAsia="Geomanist Light" w:hAnsi="Verdana" w:cs="Arial"/>
          <w:color w:val="000000" w:themeColor="text1"/>
        </w:rPr>
        <w:t>16 de septiembre de 2026</w:t>
      </w:r>
    </w:p>
    <w:p w14:paraId="2DB49F87" w14:textId="036F7025" w:rsidR="00815A2C" w:rsidRPr="003E3009" w:rsidRDefault="00874930" w:rsidP="00874930">
      <w:pPr>
        <w:spacing w:after="0" w:line="240" w:lineRule="auto"/>
        <w:jc w:val="right"/>
        <w:rPr>
          <w:rFonts w:ascii="Verdana" w:eastAsia="Calibri" w:hAnsi="Verdana" w:cs="Arial"/>
          <w:color w:val="000000"/>
        </w:rPr>
      </w:pPr>
      <w:r w:rsidRPr="00874930">
        <w:rPr>
          <w:rFonts w:ascii="Verdana" w:eastAsia="Calibri" w:hAnsi="Verdana" w:cs="Arial"/>
          <w:noProof/>
          <w:color w:val="000000"/>
        </w:rPr>
        <w:drawing>
          <wp:anchor distT="0" distB="0" distL="114300" distR="114300" simplePos="0" relativeHeight="251658240" behindDoc="0" locked="0" layoutInCell="1" allowOverlap="1" wp14:anchorId="067950D3" wp14:editId="490A3EAD">
            <wp:simplePos x="0" y="0"/>
            <wp:positionH relativeFrom="column">
              <wp:posOffset>3324225</wp:posOffset>
            </wp:positionH>
            <wp:positionV relativeFrom="paragraph">
              <wp:posOffset>-2540</wp:posOffset>
            </wp:positionV>
            <wp:extent cx="2286000" cy="960120"/>
            <wp:effectExtent l="0" t="0" r="0" b="0"/>
            <wp:wrapSquare wrapText="bothSides"/>
            <wp:docPr id="11352144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960120"/>
                    </a:xfrm>
                    <a:prstGeom prst="rect">
                      <a:avLst/>
                    </a:prstGeom>
                    <a:noFill/>
                    <a:ln>
                      <a:noFill/>
                    </a:ln>
                  </pic:spPr>
                </pic:pic>
              </a:graphicData>
            </a:graphic>
          </wp:anchor>
        </w:drawing>
      </w:r>
    </w:p>
    <w:p w14:paraId="0558BC3D" w14:textId="77777777" w:rsidR="00815A2C" w:rsidRPr="003E3009" w:rsidRDefault="00815A2C" w:rsidP="00815A2C">
      <w:pPr>
        <w:spacing w:after="0" w:line="240" w:lineRule="auto"/>
        <w:jc w:val="both"/>
        <w:rPr>
          <w:rFonts w:ascii="Verdana" w:eastAsia="Calibri" w:hAnsi="Verdana" w:cs="Arial"/>
          <w:color w:val="000000"/>
        </w:rPr>
      </w:pPr>
    </w:p>
    <w:p w14:paraId="383A1A7F" w14:textId="77777777" w:rsidR="00815A2C" w:rsidRDefault="00815A2C" w:rsidP="00815A2C">
      <w:pPr>
        <w:spacing w:after="0" w:line="240" w:lineRule="auto"/>
        <w:jc w:val="both"/>
        <w:rPr>
          <w:rFonts w:ascii="Verdana" w:eastAsia="Calibri" w:hAnsi="Verdana" w:cs="Arial"/>
          <w:lang w:eastAsia="es-ES"/>
        </w:rPr>
      </w:pPr>
      <w:r w:rsidRPr="003E3009">
        <w:rPr>
          <w:rFonts w:ascii="Verdana" w:eastAsia="Calibri" w:hAnsi="Verdana" w:cs="Arial"/>
          <w:lang w:eastAsia="es-ES"/>
        </w:rPr>
        <w:t>Señor</w:t>
      </w:r>
      <w:r>
        <w:rPr>
          <w:rFonts w:ascii="Verdana" w:eastAsia="Calibri" w:hAnsi="Verdana" w:cs="Arial"/>
          <w:lang w:eastAsia="es-ES"/>
        </w:rPr>
        <w:t>a</w:t>
      </w:r>
    </w:p>
    <w:p w14:paraId="281745AB" w14:textId="77777777" w:rsidR="00815A2C" w:rsidRPr="003E3009" w:rsidRDefault="00815A2C" w:rsidP="00815A2C">
      <w:pPr>
        <w:spacing w:after="0" w:line="240" w:lineRule="auto"/>
        <w:jc w:val="both"/>
        <w:rPr>
          <w:rFonts w:ascii="Verdana" w:eastAsia="Calibri" w:hAnsi="Verdana" w:cs="Arial"/>
          <w:b/>
          <w:bCs/>
          <w:lang w:eastAsia="es-ES"/>
        </w:rPr>
      </w:pPr>
      <w:r w:rsidRPr="002A6D77">
        <w:rPr>
          <w:rFonts w:ascii="Verdana" w:eastAsia="Calibri" w:hAnsi="Verdana" w:cs="Arial"/>
          <w:b/>
          <w:bCs/>
          <w:lang w:eastAsia="es-ES"/>
        </w:rPr>
        <w:t>Lady Johanna Agreda Chasoy</w:t>
      </w:r>
      <w:r>
        <w:rPr>
          <w:rFonts w:ascii="Verdana" w:eastAsia="Calibri" w:hAnsi="Verdana" w:cs="Arial"/>
          <w:b/>
          <w:bCs/>
          <w:lang w:eastAsia="es-ES"/>
        </w:rPr>
        <w:t xml:space="preserve"> </w:t>
      </w:r>
    </w:p>
    <w:p w14:paraId="1FD86832" w14:textId="77777777" w:rsidR="00815A2C" w:rsidRDefault="00815A2C" w:rsidP="00815A2C">
      <w:pPr>
        <w:spacing w:after="0" w:line="240" w:lineRule="auto"/>
        <w:jc w:val="both"/>
        <w:rPr>
          <w:rFonts w:ascii="Verdana" w:eastAsia="Calibri" w:hAnsi="Verdana" w:cs="Arial"/>
          <w:lang w:eastAsia="es-ES"/>
        </w:rPr>
      </w:pPr>
      <w:r w:rsidRPr="003E3009">
        <w:rPr>
          <w:rFonts w:ascii="Verdana" w:eastAsia="Calibri" w:hAnsi="Verdana" w:cs="Arial"/>
          <w:lang w:eastAsia="es-ES"/>
        </w:rPr>
        <w:t xml:space="preserve">Representante Legal </w:t>
      </w:r>
    </w:p>
    <w:p w14:paraId="4C220D0C" w14:textId="77777777" w:rsidR="00815A2C" w:rsidRPr="003E3009" w:rsidRDefault="00815A2C" w:rsidP="00815A2C">
      <w:pPr>
        <w:spacing w:after="0" w:line="240" w:lineRule="auto"/>
        <w:jc w:val="both"/>
        <w:rPr>
          <w:rFonts w:ascii="Verdana" w:eastAsia="Calibri" w:hAnsi="Verdana" w:cs="Arial"/>
          <w:lang w:eastAsia="es-ES"/>
        </w:rPr>
      </w:pPr>
      <w:r w:rsidRPr="003E3009">
        <w:rPr>
          <w:rFonts w:ascii="Verdana" w:eastAsia="Calibri" w:hAnsi="Verdana" w:cs="Arial"/>
          <w:lang w:eastAsia="es-ES"/>
        </w:rPr>
        <w:t>C</w:t>
      </w:r>
      <w:r>
        <w:rPr>
          <w:rFonts w:ascii="Verdana" w:eastAsia="Calibri" w:hAnsi="Verdana" w:cs="Arial"/>
          <w:lang w:eastAsia="es-ES"/>
        </w:rPr>
        <w:t xml:space="preserve">omunidad indígena Inga Bogotá </w:t>
      </w:r>
    </w:p>
    <w:p w14:paraId="515B58C1" w14:textId="77777777" w:rsidR="00815A2C" w:rsidRPr="00C94E41" w:rsidRDefault="00815A2C" w:rsidP="00815A2C">
      <w:pPr>
        <w:spacing w:after="0" w:line="240" w:lineRule="auto"/>
        <w:rPr>
          <w:rFonts w:ascii="Verdana" w:hAnsi="Verdana" w:cs="Arial"/>
        </w:rPr>
      </w:pPr>
      <w:hyperlink r:id="rId12" w:history="1">
        <w:r w:rsidRPr="00C94E41">
          <w:rPr>
            <w:rStyle w:val="Hipervnculo"/>
            <w:rFonts w:ascii="Verdana" w:hAnsi="Verdana"/>
          </w:rPr>
          <w:t>cabildoindigenaingabogota@gmail.com</w:t>
        </w:r>
      </w:hyperlink>
      <w:r w:rsidRPr="00C94E41">
        <w:rPr>
          <w:rFonts w:ascii="Verdana" w:hAnsi="Verdana"/>
        </w:rPr>
        <w:t xml:space="preserve"> </w:t>
      </w:r>
    </w:p>
    <w:p w14:paraId="3868C452" w14:textId="77777777" w:rsidR="00815A2C" w:rsidRPr="003E3009" w:rsidRDefault="00815A2C" w:rsidP="00815A2C">
      <w:pPr>
        <w:spacing w:after="0" w:line="240" w:lineRule="auto"/>
        <w:rPr>
          <w:rFonts w:ascii="Verdana" w:hAnsi="Verdana"/>
          <w:lang w:val="pt-BR"/>
        </w:rPr>
      </w:pPr>
      <w:r w:rsidRPr="003E3009">
        <w:rPr>
          <w:rFonts w:ascii="Verdana" w:hAnsi="Verdana"/>
          <w:lang w:val="pt-BR"/>
        </w:rPr>
        <w:t xml:space="preserve">Bogotá D.C  </w:t>
      </w:r>
    </w:p>
    <w:p w14:paraId="26406052" w14:textId="77777777" w:rsidR="00815A2C" w:rsidRPr="003E3009" w:rsidRDefault="00815A2C" w:rsidP="00815A2C">
      <w:pPr>
        <w:spacing w:after="0" w:line="240" w:lineRule="auto"/>
        <w:rPr>
          <w:rFonts w:ascii="Verdana" w:eastAsia="Calibri" w:hAnsi="Verdana" w:cs="Arial"/>
          <w:lang w:val="pt-BR" w:eastAsia="es-ES"/>
        </w:rPr>
      </w:pPr>
    </w:p>
    <w:p w14:paraId="0EBBFE29" w14:textId="77777777" w:rsidR="00815A2C" w:rsidRPr="003E3009" w:rsidRDefault="00815A2C" w:rsidP="00815A2C">
      <w:pPr>
        <w:spacing w:after="0" w:line="240" w:lineRule="auto"/>
        <w:rPr>
          <w:rFonts w:ascii="Verdana" w:eastAsia="Calibri" w:hAnsi="Verdana" w:cs="Arial"/>
          <w:b/>
          <w:color w:val="000000"/>
          <w:lang w:val="pt-BR" w:eastAsia="es-ES_tradnl"/>
        </w:rPr>
      </w:pPr>
    </w:p>
    <w:p w14:paraId="5D123299" w14:textId="13F8B037" w:rsidR="00815A2C" w:rsidRPr="003E3009" w:rsidRDefault="00815A2C" w:rsidP="00815A2C">
      <w:pPr>
        <w:spacing w:after="0" w:line="240" w:lineRule="auto"/>
        <w:jc w:val="center"/>
        <w:rPr>
          <w:rFonts w:ascii="Verdana" w:eastAsia="Calibri" w:hAnsi="Verdana" w:cs="Arial"/>
          <w:b/>
          <w:lang w:val="pt-BR" w:eastAsia="es-ES"/>
        </w:rPr>
      </w:pPr>
      <w:r w:rsidRPr="003E3009">
        <w:rPr>
          <w:rFonts w:ascii="Verdana" w:eastAsia="Calibri" w:hAnsi="Verdana" w:cs="Arial"/>
          <w:b/>
          <w:lang w:val="pt-BR" w:eastAsia="es-ES"/>
        </w:rPr>
        <w:t>Concepto C</w:t>
      </w:r>
      <w:r w:rsidR="004E2216">
        <w:rPr>
          <w:rFonts w:ascii="Verdana" w:eastAsia="Calibri" w:hAnsi="Verdana" w:cs="Arial"/>
          <w:b/>
          <w:lang w:val="pt-BR" w:eastAsia="es-ES"/>
        </w:rPr>
        <w:t>-</w:t>
      </w:r>
      <w:r>
        <w:rPr>
          <w:rFonts w:ascii="Verdana" w:eastAsia="Calibri" w:hAnsi="Verdana" w:cs="Arial"/>
          <w:b/>
          <w:lang w:val="pt-BR" w:eastAsia="es-ES"/>
        </w:rPr>
        <w:t>1326</w:t>
      </w:r>
      <w:r w:rsidRPr="003E3009">
        <w:rPr>
          <w:rFonts w:ascii="Verdana" w:eastAsia="Calibri" w:hAnsi="Verdana" w:cs="Arial"/>
          <w:b/>
          <w:lang w:val="pt-BR" w:eastAsia="es-ES"/>
        </w:rPr>
        <w:t xml:space="preserve"> de 2026</w:t>
      </w:r>
    </w:p>
    <w:p w14:paraId="1E2C1145" w14:textId="77777777" w:rsidR="00815A2C" w:rsidRPr="003E3009" w:rsidRDefault="00815A2C" w:rsidP="00815A2C">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15A2C" w:rsidRPr="003E3009" w14:paraId="74DC67B1" w14:textId="77777777" w:rsidTr="009A4F88">
        <w:trPr>
          <w:trHeight w:val="884"/>
        </w:trPr>
        <w:tc>
          <w:tcPr>
            <w:tcW w:w="2689" w:type="dxa"/>
          </w:tcPr>
          <w:p w14:paraId="1B9F36F2" w14:textId="77777777" w:rsidR="00815A2C" w:rsidRPr="003E3009" w:rsidRDefault="00815A2C" w:rsidP="009A4F88">
            <w:pPr>
              <w:jc w:val="both"/>
              <w:rPr>
                <w:rFonts w:ascii="Verdana" w:eastAsia="Calibri" w:hAnsi="Verdana" w:cs="Arial"/>
                <w:color w:val="000000"/>
                <w:lang w:eastAsia="es-ES_tradnl"/>
              </w:rPr>
            </w:pPr>
            <w:r w:rsidRPr="003E3009">
              <w:rPr>
                <w:rFonts w:ascii="Verdana" w:eastAsia="Calibri" w:hAnsi="Verdana" w:cs="Arial"/>
                <w:b/>
                <w:color w:val="000000"/>
                <w:lang w:eastAsia="es-ES_tradnl"/>
              </w:rPr>
              <w:t>Temas:</w:t>
            </w:r>
            <w:r w:rsidRPr="003E3009">
              <w:rPr>
                <w:rFonts w:ascii="Verdana" w:eastAsia="Calibri" w:hAnsi="Verdana" w:cs="Arial"/>
                <w:color w:val="000000"/>
                <w:lang w:eastAsia="es-ES_tradnl"/>
              </w:rPr>
              <w:t xml:space="preserve">                   </w:t>
            </w:r>
          </w:p>
        </w:tc>
        <w:tc>
          <w:tcPr>
            <w:tcW w:w="6100" w:type="dxa"/>
          </w:tcPr>
          <w:p w14:paraId="460BA234" w14:textId="77777777" w:rsidR="00815A2C" w:rsidRPr="003E3009" w:rsidRDefault="00815A2C" w:rsidP="009A4F88">
            <w:pPr>
              <w:spacing w:line="276" w:lineRule="auto"/>
              <w:jc w:val="both"/>
              <w:rPr>
                <w:rFonts w:ascii="Verdana" w:eastAsia="Calibri" w:hAnsi="Verdana" w:cs="Arial"/>
                <w:lang w:val="es-ES" w:eastAsia="es-ES"/>
              </w:rPr>
            </w:pPr>
            <w:r w:rsidRPr="00AC7039">
              <w:rPr>
                <w:rFonts w:ascii="Verdana" w:eastAsia="Calibri" w:hAnsi="Verdana" w:cs="Arial"/>
                <w:bCs/>
                <w:lang w:val="es-MX" w:eastAsia="es-ES_tradnl"/>
              </w:rPr>
              <w:t>AUTORIDADES TRADICIONALES INDÍGENAS</w:t>
            </w:r>
            <w:r>
              <w:rPr>
                <w:rFonts w:ascii="Verdana" w:eastAsia="Calibri" w:hAnsi="Verdana" w:cs="Arial"/>
                <w:bCs/>
                <w:lang w:val="es-MX" w:eastAsia="es-ES_tradnl"/>
              </w:rPr>
              <w:t xml:space="preserve"> </w:t>
            </w:r>
            <w:r w:rsidRPr="00AC7039">
              <w:rPr>
                <w:rFonts w:ascii="Verdana" w:eastAsia="Calibri" w:hAnsi="Verdana" w:cs="Arial"/>
                <w:bCs/>
                <w:lang w:val="es-MX" w:eastAsia="es-ES_tradnl"/>
              </w:rPr>
              <w:t>–ASOCIACIONES DE CABILDOS INDÍGENAS Y/O AUTORIDADES TRADICIONALES INDÍGENAS</w:t>
            </w:r>
            <w:r>
              <w:rPr>
                <w:rFonts w:ascii="Verdana" w:eastAsia="Calibri" w:hAnsi="Verdana" w:cs="Arial"/>
                <w:bCs/>
                <w:lang w:val="es-MX" w:eastAsia="es-ES_tradnl"/>
              </w:rPr>
              <w:t xml:space="preserve"> </w:t>
            </w:r>
            <w:r w:rsidRPr="00AC7039">
              <w:rPr>
                <w:rFonts w:ascii="Verdana" w:eastAsia="Calibri" w:hAnsi="Verdana" w:cs="Arial"/>
                <w:bCs/>
                <w:lang w:val="es-MX" w:eastAsia="es-ES_tradnl"/>
              </w:rPr>
              <w:t xml:space="preserve">– Noción – </w:t>
            </w:r>
            <w:r w:rsidRPr="00AC7039">
              <w:rPr>
                <w:rFonts w:ascii="Verdana" w:eastAsia="Times New Roman" w:hAnsi="Verdana" w:cs="Arial"/>
                <w:bCs/>
                <w:lang w:val="es-ES" w:eastAsia="es-ES_tradnl"/>
              </w:rPr>
              <w:t xml:space="preserve">Régimen de contratación – Decreto 1088 de 1993 – Decreto 252 de 2020 </w:t>
            </w:r>
            <w:r>
              <w:rPr>
                <w:rFonts w:ascii="Verdana" w:eastAsia="Calibri" w:hAnsi="Verdana" w:cs="Arial"/>
                <w:lang w:val="es-ES" w:eastAsia="es-ES"/>
              </w:rPr>
              <w:t xml:space="preserve">/ </w:t>
            </w:r>
            <w:r w:rsidRPr="003E3009">
              <w:rPr>
                <w:rFonts w:ascii="Verdana" w:eastAsia="Calibri" w:hAnsi="Verdana" w:cs="Arial"/>
                <w:lang w:val="es-ES" w:eastAsia="es-ES"/>
              </w:rPr>
              <w:t>SISTEMA GENERAL DE REGALÍAS – Ley 2056 de 2020 –</w:t>
            </w:r>
            <w:r>
              <w:rPr>
                <w:rFonts w:ascii="Verdana" w:eastAsia="Calibri" w:hAnsi="Verdana" w:cs="Arial"/>
                <w:lang w:val="es-ES" w:eastAsia="es-ES"/>
              </w:rPr>
              <w:t xml:space="preserve"> Artículo 37 </w:t>
            </w:r>
            <w:r w:rsidRPr="003E3009">
              <w:rPr>
                <w:rFonts w:ascii="Verdana" w:eastAsia="Calibri" w:hAnsi="Verdana" w:cs="Arial"/>
                <w:lang w:val="es-ES" w:eastAsia="es-ES"/>
              </w:rPr>
              <w:t>/ RÉGIMEN CONTRACTUAL – Entidades ejecutoras – Aplicación del Estatuto General de Contratación de la Administración Pública –</w:t>
            </w:r>
            <w:r>
              <w:rPr>
                <w:rFonts w:ascii="Verdana" w:eastAsia="Calibri" w:hAnsi="Verdana" w:cs="Arial"/>
                <w:lang w:val="es-ES" w:eastAsia="es-ES"/>
              </w:rPr>
              <w:t xml:space="preserve"> Postura Consejo de Estado </w:t>
            </w:r>
            <w:r w:rsidRPr="003E3009">
              <w:rPr>
                <w:rFonts w:ascii="Verdana" w:eastAsia="Calibri" w:hAnsi="Verdana" w:cs="Arial"/>
                <w:lang w:val="es-ES" w:eastAsia="es-ES"/>
              </w:rPr>
              <w:t>–</w:t>
            </w:r>
            <w:r>
              <w:rPr>
                <w:rFonts w:ascii="Verdana" w:eastAsia="Calibri" w:hAnsi="Verdana" w:cs="Arial"/>
                <w:lang w:val="es-ES" w:eastAsia="es-ES"/>
              </w:rPr>
              <w:t xml:space="preserve"> Cambio de posición ANCP - CCE</w:t>
            </w:r>
          </w:p>
          <w:p w14:paraId="475A78E3" w14:textId="77777777" w:rsidR="00815A2C" w:rsidRPr="003E3009" w:rsidRDefault="00815A2C" w:rsidP="009A4F88">
            <w:pPr>
              <w:jc w:val="both"/>
              <w:rPr>
                <w:rFonts w:ascii="Verdana" w:eastAsia="Calibri" w:hAnsi="Verdana" w:cs="Arial"/>
                <w:lang w:eastAsia="es-ES"/>
              </w:rPr>
            </w:pPr>
          </w:p>
        </w:tc>
      </w:tr>
      <w:tr w:rsidR="00815A2C" w:rsidRPr="003E3009" w14:paraId="02144375" w14:textId="77777777" w:rsidTr="009A4F88">
        <w:tc>
          <w:tcPr>
            <w:tcW w:w="2689" w:type="dxa"/>
          </w:tcPr>
          <w:p w14:paraId="4682D93A" w14:textId="77777777" w:rsidR="00815A2C" w:rsidRPr="003E3009" w:rsidRDefault="00815A2C" w:rsidP="009A4F88">
            <w:pPr>
              <w:jc w:val="both"/>
              <w:rPr>
                <w:rFonts w:ascii="Verdana" w:eastAsia="Calibri" w:hAnsi="Verdana" w:cs="Arial"/>
                <w:b/>
                <w:lang w:eastAsia="es-ES_tradnl"/>
              </w:rPr>
            </w:pPr>
            <w:r w:rsidRPr="003E3009">
              <w:rPr>
                <w:rFonts w:ascii="Verdana" w:eastAsia="Calibri" w:hAnsi="Verdana" w:cs="Arial"/>
                <w:b/>
                <w:lang w:eastAsia="es-ES_tradnl"/>
              </w:rPr>
              <w:t>Radicación:</w:t>
            </w:r>
            <w:r w:rsidRPr="003E3009">
              <w:rPr>
                <w:rFonts w:ascii="Verdana" w:eastAsia="Calibri" w:hAnsi="Verdana" w:cs="Arial"/>
                <w:lang w:eastAsia="es-ES_tradnl"/>
              </w:rPr>
              <w:t xml:space="preserve">               </w:t>
            </w:r>
          </w:p>
        </w:tc>
        <w:tc>
          <w:tcPr>
            <w:tcW w:w="6100" w:type="dxa"/>
          </w:tcPr>
          <w:p w14:paraId="24D45D83" w14:textId="77777777" w:rsidR="00815A2C" w:rsidRPr="003E3009" w:rsidRDefault="00815A2C" w:rsidP="009A4F88">
            <w:pPr>
              <w:jc w:val="both"/>
              <w:rPr>
                <w:rFonts w:ascii="Verdana" w:eastAsia="Calibri" w:hAnsi="Verdana" w:cs="Arial"/>
                <w:lang w:eastAsia="es-ES_tradnl"/>
              </w:rPr>
            </w:pPr>
            <w:r w:rsidRPr="003E3009">
              <w:rPr>
                <w:rFonts w:ascii="Verdana" w:eastAsia="Calibri" w:hAnsi="Verdana" w:cs="Arial"/>
                <w:lang w:eastAsia="es-ES_tradnl"/>
              </w:rPr>
              <w:t>Respuesta a la consulta con radicado No.</w:t>
            </w:r>
            <w:r w:rsidRPr="003E3009">
              <w:rPr>
                <w:rFonts w:ascii="Verdana" w:hAnsi="Verdana"/>
              </w:rPr>
              <w:t xml:space="preserve"> </w:t>
            </w:r>
            <w:r w:rsidRPr="009172C8">
              <w:rPr>
                <w:rFonts w:ascii="Verdana" w:hAnsi="Verdana"/>
              </w:rPr>
              <w:t>1_2026_08_20_011045</w:t>
            </w:r>
          </w:p>
        </w:tc>
      </w:tr>
    </w:tbl>
    <w:p w14:paraId="5E6CA350" w14:textId="77777777" w:rsidR="00815A2C" w:rsidRPr="003E3009" w:rsidRDefault="00815A2C" w:rsidP="00815A2C">
      <w:pPr>
        <w:spacing w:after="0" w:line="240" w:lineRule="auto"/>
        <w:jc w:val="both"/>
        <w:rPr>
          <w:rFonts w:ascii="Verdana" w:eastAsia="Calibri" w:hAnsi="Verdana" w:cs="Arial"/>
          <w:color w:val="000000"/>
          <w:lang w:eastAsia="es-ES_tradnl"/>
        </w:rPr>
      </w:pPr>
    </w:p>
    <w:p w14:paraId="08C21CAB" w14:textId="77777777" w:rsidR="00815A2C" w:rsidRPr="003E3009" w:rsidRDefault="00815A2C" w:rsidP="00815A2C">
      <w:pPr>
        <w:spacing w:after="0" w:line="240" w:lineRule="auto"/>
        <w:jc w:val="both"/>
        <w:rPr>
          <w:rFonts w:ascii="Verdana" w:eastAsia="Calibri" w:hAnsi="Verdana" w:cs="Arial"/>
          <w:color w:val="000000"/>
          <w:lang w:eastAsia="es-ES_tradnl"/>
        </w:rPr>
      </w:pPr>
    </w:p>
    <w:p w14:paraId="19D2861E" w14:textId="77777777" w:rsidR="00815A2C" w:rsidRPr="003E3009" w:rsidRDefault="00815A2C" w:rsidP="00815A2C">
      <w:pPr>
        <w:spacing w:after="0" w:line="276" w:lineRule="auto"/>
        <w:jc w:val="both"/>
        <w:rPr>
          <w:rFonts w:ascii="Verdana" w:eastAsia="Calibri" w:hAnsi="Verdana" w:cs="Arial"/>
          <w:lang w:eastAsia="es-ES"/>
        </w:rPr>
      </w:pPr>
      <w:r w:rsidRPr="003E3009">
        <w:rPr>
          <w:rFonts w:ascii="Verdana" w:eastAsia="Calibri" w:hAnsi="Verdana" w:cs="Arial"/>
          <w:lang w:eastAsia="es-ES"/>
        </w:rPr>
        <w:t xml:space="preserve">Estimada señora </w:t>
      </w:r>
      <w:r>
        <w:rPr>
          <w:rFonts w:ascii="Verdana" w:eastAsia="Calibri" w:hAnsi="Verdana" w:cs="Arial"/>
          <w:lang w:eastAsia="es-ES"/>
        </w:rPr>
        <w:t>Agreda</w:t>
      </w:r>
      <w:r w:rsidRPr="003E3009">
        <w:rPr>
          <w:rFonts w:ascii="Verdana" w:eastAsia="Calibri" w:hAnsi="Verdana" w:cs="Arial"/>
          <w:lang w:eastAsia="es-ES"/>
        </w:rPr>
        <w:t xml:space="preserve">: </w:t>
      </w:r>
    </w:p>
    <w:p w14:paraId="3C6FF701" w14:textId="77777777" w:rsidR="00815A2C" w:rsidRPr="003E3009" w:rsidRDefault="00815A2C" w:rsidP="00815A2C">
      <w:pPr>
        <w:tabs>
          <w:tab w:val="left" w:pos="3768"/>
        </w:tabs>
        <w:spacing w:after="0" w:line="276" w:lineRule="auto"/>
        <w:jc w:val="both"/>
        <w:rPr>
          <w:rFonts w:ascii="Verdana" w:eastAsia="Calibri" w:hAnsi="Verdana" w:cs="Arial"/>
          <w:color w:val="000000" w:themeColor="text1"/>
          <w:lang w:eastAsia="es-ES"/>
        </w:rPr>
      </w:pPr>
      <w:r w:rsidRPr="003E3009">
        <w:rPr>
          <w:rFonts w:ascii="Verdana" w:eastAsia="Calibri" w:hAnsi="Verdana" w:cs="Arial"/>
          <w:color w:val="000000" w:themeColor="text1"/>
          <w:lang w:eastAsia="es-ES"/>
        </w:rPr>
        <w:tab/>
      </w:r>
    </w:p>
    <w:p w14:paraId="2E63AD7E" w14:textId="77777777" w:rsidR="00815A2C" w:rsidRPr="003E3009" w:rsidRDefault="00815A2C" w:rsidP="00815A2C">
      <w:pPr>
        <w:spacing w:after="0" w:line="276" w:lineRule="auto"/>
        <w:jc w:val="both"/>
        <w:rPr>
          <w:rFonts w:ascii="Verdana" w:eastAsia="Calibri" w:hAnsi="Verdana" w:cs="Arial"/>
          <w:i/>
          <w:iCs/>
          <w:lang w:eastAsia="es-ES"/>
        </w:rPr>
      </w:pPr>
      <w:r w:rsidRPr="003E3009">
        <w:rPr>
          <w:rFonts w:ascii="Verdana" w:eastAsia="Calibri" w:hAnsi="Verdana" w:cs="Arial"/>
          <w:color w:val="000000" w:themeColor="text1"/>
          <w:lang w:eastAsia="es-ES"/>
        </w:rPr>
        <w:t>En ejercicio de la competencia otorgada por los artículos 3, numeral 5º, y 11, numeral 8º, del Decreto Ley 4170 de 2011,</w:t>
      </w:r>
      <w:r w:rsidRPr="003E3009">
        <w:rPr>
          <w:rFonts w:ascii="Verdana" w:eastAsia="Arial MT" w:hAnsi="Verdana" w:cs="Arial MT"/>
          <w:lang w:eastAsia="es-ES"/>
        </w:rPr>
        <w:t xml:space="preserve"> </w:t>
      </w:r>
      <w:r w:rsidRPr="003E3009">
        <w:rPr>
          <w:rFonts w:ascii="Verdana" w:hAnsi="Verdana" w:cs="Arial"/>
        </w:rPr>
        <w:t xml:space="preserve">así como lo establecido en la Resolución 469 de 2025 expedida por esta Entidad, </w:t>
      </w:r>
      <w:r w:rsidRPr="003E3009">
        <w:rPr>
          <w:rFonts w:ascii="Verdana" w:eastAsia="Calibri" w:hAnsi="Verdana" w:cs="Arial"/>
          <w:color w:val="000000" w:themeColor="text1"/>
          <w:lang w:eastAsia="es-ES"/>
        </w:rPr>
        <w:t xml:space="preserve">la Agencia Nacional de Contratación Pública – Colombia Compra Eficiente responde </w:t>
      </w:r>
      <w:r>
        <w:rPr>
          <w:rFonts w:ascii="Verdana" w:eastAsia="Calibri" w:hAnsi="Verdana" w:cs="Arial"/>
          <w:color w:val="000000" w:themeColor="text1"/>
          <w:lang w:eastAsia="es-ES"/>
        </w:rPr>
        <w:t>las preguntas 2 a 7 de la consulta del 20</w:t>
      </w:r>
      <w:r w:rsidRPr="003E3009">
        <w:rPr>
          <w:rFonts w:ascii="Verdana" w:eastAsia="Calibri" w:hAnsi="Verdana" w:cs="Arial"/>
          <w:color w:val="000000" w:themeColor="text1"/>
          <w:lang w:eastAsia="es-ES"/>
        </w:rPr>
        <w:t xml:space="preserve"> de </w:t>
      </w:r>
      <w:r>
        <w:rPr>
          <w:rFonts w:ascii="Verdana" w:eastAsia="Calibri" w:hAnsi="Verdana" w:cs="Arial"/>
          <w:color w:val="000000" w:themeColor="text1"/>
          <w:lang w:eastAsia="es-ES"/>
        </w:rPr>
        <w:t>agosto</w:t>
      </w:r>
      <w:r w:rsidRPr="003E3009">
        <w:rPr>
          <w:rFonts w:ascii="Verdana" w:eastAsia="Calibri" w:hAnsi="Verdana" w:cs="Arial"/>
          <w:color w:val="000000" w:themeColor="text1"/>
          <w:lang w:eastAsia="es-ES"/>
        </w:rPr>
        <w:t xml:space="preserve"> de 2026,</w:t>
      </w:r>
      <w:r w:rsidRPr="003E3009">
        <w:rPr>
          <w:rFonts w:ascii="Verdana" w:eastAsia="Calibri" w:hAnsi="Verdana" w:cs="Arial"/>
          <w:lang w:eastAsia="es-ES"/>
        </w:rPr>
        <w:t xml:space="preserve"> en la cual </w:t>
      </w:r>
      <w:r>
        <w:rPr>
          <w:rFonts w:ascii="Verdana" w:eastAsia="Calibri" w:hAnsi="Verdana" w:cs="Arial"/>
          <w:lang w:eastAsia="es-ES"/>
        </w:rPr>
        <w:t xml:space="preserve">pregunta </w:t>
      </w:r>
      <w:r w:rsidRPr="003E3009">
        <w:rPr>
          <w:rFonts w:ascii="Verdana" w:eastAsia="Calibri" w:hAnsi="Verdana" w:cs="Arial"/>
          <w:lang w:eastAsia="es-ES"/>
        </w:rPr>
        <w:t>sobre lo siguiente:</w:t>
      </w:r>
      <w:r w:rsidRPr="003E3009">
        <w:rPr>
          <w:rFonts w:ascii="Verdana" w:eastAsia="Calibri" w:hAnsi="Verdana" w:cs="Arial"/>
          <w:i/>
          <w:iCs/>
          <w:lang w:eastAsia="es-ES"/>
        </w:rPr>
        <w:t xml:space="preserve"> </w:t>
      </w:r>
      <w:bookmarkStart w:id="2" w:name="_Hlk95313578"/>
    </w:p>
    <w:p w14:paraId="4103833B" w14:textId="77777777" w:rsidR="00815A2C" w:rsidRPr="003E3009" w:rsidRDefault="00815A2C" w:rsidP="00815A2C">
      <w:pPr>
        <w:spacing w:after="0" w:line="276" w:lineRule="auto"/>
        <w:jc w:val="both"/>
        <w:rPr>
          <w:rFonts w:ascii="Verdana" w:eastAsia="Calibri" w:hAnsi="Verdana" w:cs="Arial"/>
          <w:i/>
          <w:iCs/>
          <w:lang w:eastAsia="es-ES"/>
        </w:rPr>
      </w:pPr>
    </w:p>
    <w:p w14:paraId="3ECE3AB6" w14:textId="77777777" w:rsidR="00815A2C" w:rsidRDefault="00815A2C" w:rsidP="00815A2C">
      <w:pPr>
        <w:spacing w:after="0" w:line="240" w:lineRule="auto"/>
        <w:ind w:left="709" w:right="709"/>
        <w:jc w:val="both"/>
        <w:rPr>
          <w:rFonts w:ascii="Verdana" w:hAnsi="Verdana"/>
          <w:sz w:val="20"/>
          <w:szCs w:val="20"/>
        </w:rPr>
      </w:pPr>
      <w:r w:rsidRPr="00AF45A0">
        <w:rPr>
          <w:rFonts w:ascii="Verdana" w:eastAsia="Arial" w:hAnsi="Verdana" w:cs="Arial"/>
          <w:iCs/>
          <w:color w:val="000000"/>
          <w:sz w:val="20"/>
          <w:szCs w:val="20"/>
        </w:rPr>
        <w:t>“</w:t>
      </w:r>
      <w:bookmarkEnd w:id="2"/>
      <w:r>
        <w:rPr>
          <w:rFonts w:ascii="Verdana" w:eastAsia="Arial" w:hAnsi="Verdana" w:cs="Arial"/>
          <w:iCs/>
          <w:color w:val="000000"/>
          <w:sz w:val="20"/>
          <w:szCs w:val="20"/>
        </w:rPr>
        <w:t xml:space="preserve">1. </w:t>
      </w:r>
      <w:r w:rsidRPr="00AF45A0">
        <w:rPr>
          <w:rFonts w:ascii="Verdana" w:hAnsi="Verdana"/>
          <w:sz w:val="20"/>
          <w:szCs w:val="20"/>
        </w:rPr>
        <w:t xml:space="preserve">Un cabildo indígena solo, sin asociarse, puede ser designado ejecutor de recursos de la Asignación para la Inversión Local de Pueblos Indígenas </w:t>
      </w:r>
      <w:r w:rsidRPr="00AF45A0">
        <w:rPr>
          <w:rFonts w:ascii="Verdana" w:hAnsi="Verdana"/>
          <w:sz w:val="20"/>
          <w:szCs w:val="20"/>
        </w:rPr>
        <w:lastRenderedPageBreak/>
        <w:t xml:space="preserve">(art. 84, parágrafo, Ley 2056/2020)? ¿O eso es solo para asociaciones u organizaciones indígenas? </w:t>
      </w:r>
    </w:p>
    <w:p w14:paraId="08AF2E83" w14:textId="77777777" w:rsidR="00815A2C" w:rsidRDefault="00815A2C" w:rsidP="00815A2C">
      <w:pPr>
        <w:spacing w:after="0" w:line="240" w:lineRule="auto"/>
        <w:ind w:left="709" w:right="709"/>
        <w:jc w:val="both"/>
        <w:rPr>
          <w:rFonts w:ascii="Verdana" w:hAnsi="Verdana"/>
          <w:sz w:val="20"/>
          <w:szCs w:val="20"/>
        </w:rPr>
      </w:pPr>
    </w:p>
    <w:p w14:paraId="43981BA0" w14:textId="77777777" w:rsidR="00815A2C" w:rsidRDefault="00815A2C" w:rsidP="00815A2C">
      <w:pPr>
        <w:spacing w:after="0" w:line="240" w:lineRule="auto"/>
        <w:ind w:left="709" w:right="709"/>
        <w:jc w:val="both"/>
        <w:rPr>
          <w:rFonts w:ascii="Verdana" w:hAnsi="Verdana"/>
          <w:sz w:val="20"/>
          <w:szCs w:val="20"/>
        </w:rPr>
      </w:pPr>
      <w:r>
        <w:rPr>
          <w:rFonts w:ascii="Verdana" w:hAnsi="Verdana"/>
          <w:sz w:val="20"/>
          <w:szCs w:val="20"/>
        </w:rPr>
        <w:t xml:space="preserve">2. </w:t>
      </w:r>
      <w:r w:rsidRPr="00AF45A0">
        <w:rPr>
          <w:rFonts w:ascii="Verdana" w:hAnsi="Verdana"/>
          <w:sz w:val="20"/>
          <w:szCs w:val="20"/>
        </w:rPr>
        <w:t>E</w:t>
      </w:r>
      <w:r>
        <w:rPr>
          <w:rFonts w:ascii="Verdana" w:hAnsi="Verdana"/>
          <w:sz w:val="20"/>
          <w:szCs w:val="20"/>
        </w:rPr>
        <w:t>l</w:t>
      </w:r>
      <w:r w:rsidRPr="00AF45A0">
        <w:rPr>
          <w:rFonts w:ascii="Verdana" w:hAnsi="Verdana"/>
          <w:sz w:val="20"/>
          <w:szCs w:val="20"/>
        </w:rPr>
        <w:t xml:space="preserve"> Concepto 2563/2026 del Consejo de Estado dice que ejecutar SGR obliga a aplicar el Estatuto General de Contratación. EI C-844/2025 de esta Agencia dice que los contratos industriales o comerciales de asociaciones indígenas ejecutoras de SGR van por derecho privado (Decreto 1088/1993, art. 10). ¿Cómo se concilian estas dos posturas? </w:t>
      </w:r>
    </w:p>
    <w:p w14:paraId="3D68A044" w14:textId="77777777" w:rsidR="00815A2C" w:rsidRDefault="00815A2C" w:rsidP="00815A2C">
      <w:pPr>
        <w:spacing w:after="0" w:line="240" w:lineRule="auto"/>
        <w:ind w:left="709" w:right="709"/>
        <w:jc w:val="both"/>
        <w:rPr>
          <w:rFonts w:ascii="Verdana" w:hAnsi="Verdana"/>
          <w:sz w:val="20"/>
          <w:szCs w:val="20"/>
        </w:rPr>
      </w:pPr>
    </w:p>
    <w:p w14:paraId="71D9340E" w14:textId="77777777" w:rsidR="00815A2C" w:rsidRDefault="00815A2C" w:rsidP="00815A2C">
      <w:pPr>
        <w:spacing w:after="0" w:line="240" w:lineRule="auto"/>
        <w:ind w:left="709" w:right="709"/>
        <w:jc w:val="both"/>
        <w:rPr>
          <w:rFonts w:ascii="Verdana" w:hAnsi="Verdana"/>
          <w:sz w:val="20"/>
          <w:szCs w:val="20"/>
        </w:rPr>
      </w:pPr>
      <w:r>
        <w:rPr>
          <w:rFonts w:ascii="Verdana" w:hAnsi="Verdana"/>
          <w:sz w:val="20"/>
          <w:szCs w:val="20"/>
        </w:rPr>
        <w:t xml:space="preserve">3. </w:t>
      </w:r>
      <w:r w:rsidRPr="00AF45A0">
        <w:rPr>
          <w:rFonts w:ascii="Verdana" w:hAnsi="Verdana"/>
          <w:sz w:val="20"/>
          <w:szCs w:val="20"/>
        </w:rPr>
        <w:t xml:space="preserve">¿Puede una entidad indígena ejecutora de SGR dejar en manos de un tercero incluida una entidad de economía mixta el manejo real de los recursos, quedándose ella solo con el rótulo de ejecutora? </w:t>
      </w:r>
    </w:p>
    <w:p w14:paraId="34AEF7BF" w14:textId="77777777" w:rsidR="00815A2C" w:rsidRDefault="00815A2C" w:rsidP="00815A2C">
      <w:pPr>
        <w:spacing w:after="0" w:line="240" w:lineRule="auto"/>
        <w:ind w:left="709" w:right="709"/>
        <w:jc w:val="both"/>
        <w:rPr>
          <w:rFonts w:ascii="Verdana" w:hAnsi="Verdana"/>
          <w:sz w:val="20"/>
          <w:szCs w:val="20"/>
        </w:rPr>
      </w:pPr>
    </w:p>
    <w:p w14:paraId="37631B33" w14:textId="77777777" w:rsidR="00815A2C" w:rsidRDefault="00815A2C" w:rsidP="00815A2C">
      <w:pPr>
        <w:spacing w:after="0" w:line="240" w:lineRule="auto"/>
        <w:ind w:left="709" w:right="709"/>
        <w:jc w:val="both"/>
        <w:rPr>
          <w:rFonts w:ascii="Verdana" w:hAnsi="Verdana"/>
          <w:sz w:val="20"/>
          <w:szCs w:val="20"/>
        </w:rPr>
      </w:pPr>
      <w:r>
        <w:rPr>
          <w:rFonts w:ascii="Verdana" w:hAnsi="Verdana"/>
          <w:sz w:val="20"/>
          <w:szCs w:val="20"/>
        </w:rPr>
        <w:t xml:space="preserve">4. </w:t>
      </w:r>
      <w:r w:rsidRPr="00AF45A0">
        <w:rPr>
          <w:rFonts w:ascii="Verdana" w:hAnsi="Verdana"/>
          <w:sz w:val="20"/>
          <w:szCs w:val="20"/>
        </w:rPr>
        <w:t xml:space="preserve">Para construir una obra con estos recursos, ¿toca contrato de obra bajo el Estatuto General, o cabe un convenio interadministrativo, aunque haya pago de por medio? </w:t>
      </w:r>
    </w:p>
    <w:p w14:paraId="701751EF" w14:textId="77777777" w:rsidR="00815A2C" w:rsidRDefault="00815A2C" w:rsidP="00815A2C">
      <w:pPr>
        <w:spacing w:after="0" w:line="240" w:lineRule="auto"/>
        <w:ind w:left="709" w:right="709"/>
        <w:jc w:val="both"/>
        <w:rPr>
          <w:rFonts w:ascii="Verdana" w:hAnsi="Verdana"/>
          <w:sz w:val="20"/>
          <w:szCs w:val="20"/>
        </w:rPr>
      </w:pPr>
    </w:p>
    <w:p w14:paraId="49AF38EE" w14:textId="77777777" w:rsidR="00815A2C" w:rsidRDefault="00815A2C" w:rsidP="00815A2C">
      <w:pPr>
        <w:spacing w:after="0" w:line="240" w:lineRule="auto"/>
        <w:ind w:left="709" w:right="709"/>
        <w:jc w:val="both"/>
        <w:rPr>
          <w:rFonts w:ascii="Verdana" w:hAnsi="Verdana"/>
          <w:sz w:val="20"/>
          <w:szCs w:val="20"/>
        </w:rPr>
      </w:pPr>
      <w:r>
        <w:rPr>
          <w:rFonts w:ascii="Verdana" w:hAnsi="Verdana"/>
          <w:sz w:val="20"/>
          <w:szCs w:val="20"/>
        </w:rPr>
        <w:t xml:space="preserve">5. </w:t>
      </w:r>
      <w:r w:rsidRPr="00AF45A0">
        <w:rPr>
          <w:rFonts w:ascii="Verdana" w:hAnsi="Verdana"/>
          <w:sz w:val="20"/>
          <w:szCs w:val="20"/>
        </w:rPr>
        <w:t xml:space="preserve">¿Les aplican a los ejecutores indígenas de SGR los criterios de nulidad que fijó el Consejo de Estado en la sentencia del 20 de abril de 2026 (rad? 72477), sobre falta de correspondencia entre el objeto contratado y el objeto de la entidad ejecutora? </w:t>
      </w:r>
    </w:p>
    <w:p w14:paraId="6227ED15" w14:textId="77777777" w:rsidR="00815A2C" w:rsidRDefault="00815A2C" w:rsidP="00815A2C">
      <w:pPr>
        <w:spacing w:after="0" w:line="240" w:lineRule="auto"/>
        <w:ind w:left="709" w:right="709"/>
        <w:jc w:val="both"/>
        <w:rPr>
          <w:rFonts w:ascii="Verdana" w:hAnsi="Verdana"/>
          <w:sz w:val="20"/>
          <w:szCs w:val="20"/>
        </w:rPr>
      </w:pPr>
    </w:p>
    <w:p w14:paraId="30BF2AAD" w14:textId="77777777" w:rsidR="00815A2C" w:rsidRDefault="00815A2C" w:rsidP="00815A2C">
      <w:pPr>
        <w:spacing w:after="0" w:line="240" w:lineRule="auto"/>
        <w:ind w:left="709" w:right="709"/>
        <w:jc w:val="both"/>
        <w:rPr>
          <w:rFonts w:ascii="Verdana" w:hAnsi="Verdana"/>
          <w:sz w:val="20"/>
          <w:szCs w:val="20"/>
        </w:rPr>
      </w:pPr>
      <w:r>
        <w:rPr>
          <w:rFonts w:ascii="Verdana" w:hAnsi="Verdana"/>
          <w:sz w:val="20"/>
          <w:szCs w:val="20"/>
        </w:rPr>
        <w:t xml:space="preserve">6. </w:t>
      </w:r>
      <w:r w:rsidRPr="00AF45A0">
        <w:rPr>
          <w:rFonts w:ascii="Verdana" w:hAnsi="Verdana"/>
          <w:sz w:val="20"/>
          <w:szCs w:val="20"/>
        </w:rPr>
        <w:t xml:space="preserve">Cuando una entidad indígena ejecuta SGR, ¿aplicar el Estatuto General es solo usar la causal de contratación directa (art. 2, </w:t>
      </w:r>
      <w:proofErr w:type="spellStart"/>
      <w:r w:rsidRPr="00AF45A0">
        <w:rPr>
          <w:rFonts w:ascii="Verdana" w:hAnsi="Verdana"/>
          <w:sz w:val="20"/>
          <w:szCs w:val="20"/>
        </w:rPr>
        <w:t>num</w:t>
      </w:r>
      <w:proofErr w:type="spellEnd"/>
      <w:r w:rsidRPr="00AF45A0">
        <w:rPr>
          <w:rFonts w:ascii="Verdana" w:hAnsi="Verdana"/>
          <w:sz w:val="20"/>
          <w:szCs w:val="20"/>
        </w:rPr>
        <w:t xml:space="preserve">. 4, </w:t>
      </w:r>
      <w:proofErr w:type="spellStart"/>
      <w:r w:rsidRPr="00AF45A0">
        <w:rPr>
          <w:rFonts w:ascii="Verdana" w:hAnsi="Verdana"/>
          <w:sz w:val="20"/>
          <w:szCs w:val="20"/>
        </w:rPr>
        <w:t>lit.</w:t>
      </w:r>
      <w:proofErr w:type="spellEnd"/>
      <w:r w:rsidRPr="00AF45A0">
        <w:rPr>
          <w:rFonts w:ascii="Verdana" w:hAnsi="Verdana"/>
          <w:sz w:val="20"/>
          <w:szCs w:val="20"/>
        </w:rPr>
        <w:t xml:space="preserve"> l, Ley 1150/2007), o implica también estudios previos, garantía única, RUP, SECOP e interventoría, así el Decreto 1088/1993 remita sus actos comerciales al derecho privado? </w:t>
      </w:r>
    </w:p>
    <w:p w14:paraId="30D505D7" w14:textId="77777777" w:rsidR="00815A2C" w:rsidRDefault="00815A2C" w:rsidP="00815A2C">
      <w:pPr>
        <w:spacing w:after="0" w:line="240" w:lineRule="auto"/>
        <w:ind w:left="709" w:right="709"/>
        <w:jc w:val="both"/>
        <w:rPr>
          <w:rFonts w:ascii="Verdana" w:hAnsi="Verdana"/>
          <w:sz w:val="20"/>
          <w:szCs w:val="20"/>
        </w:rPr>
      </w:pPr>
    </w:p>
    <w:p w14:paraId="774DDE85" w14:textId="77777777" w:rsidR="00815A2C" w:rsidRPr="00AF45A0" w:rsidRDefault="00815A2C" w:rsidP="00815A2C">
      <w:pPr>
        <w:spacing w:after="0" w:line="240" w:lineRule="auto"/>
        <w:ind w:left="709" w:right="709"/>
        <w:jc w:val="both"/>
        <w:rPr>
          <w:rFonts w:ascii="Verdana" w:hAnsi="Verdana"/>
          <w:sz w:val="20"/>
          <w:szCs w:val="20"/>
        </w:rPr>
      </w:pPr>
      <w:r>
        <w:rPr>
          <w:rFonts w:ascii="Verdana" w:hAnsi="Verdana"/>
          <w:sz w:val="20"/>
          <w:szCs w:val="20"/>
        </w:rPr>
        <w:t xml:space="preserve">7. </w:t>
      </w:r>
      <w:r w:rsidRPr="00AF45A0">
        <w:rPr>
          <w:rFonts w:ascii="Verdana" w:hAnsi="Verdana"/>
          <w:sz w:val="20"/>
          <w:szCs w:val="20"/>
        </w:rPr>
        <w:t>E</w:t>
      </w:r>
      <w:r>
        <w:rPr>
          <w:rFonts w:ascii="Verdana" w:hAnsi="Verdana"/>
          <w:sz w:val="20"/>
          <w:szCs w:val="20"/>
        </w:rPr>
        <w:t>l</w:t>
      </w:r>
      <w:r w:rsidRPr="00AF45A0">
        <w:rPr>
          <w:rFonts w:ascii="Verdana" w:hAnsi="Verdana"/>
          <w:sz w:val="20"/>
          <w:szCs w:val="20"/>
        </w:rPr>
        <w:t xml:space="preserve"> artículo 2 de la Ley 80 no menciona a los cabildos, asociaciones de cabildos ni organizaciones indígenas como entidades estatales. ¿Se vuelven entidad estatal plena al ser designados ejecutores de SGR, o solo les aplica la Ley 80 en 10 que remite puntualmente el artículo 85 de la Ley 2056</w:t>
      </w:r>
    </w:p>
    <w:p w14:paraId="015E9738" w14:textId="77777777" w:rsidR="00815A2C" w:rsidRPr="003E3009" w:rsidRDefault="00815A2C" w:rsidP="00815A2C">
      <w:pPr>
        <w:spacing w:after="0" w:line="240" w:lineRule="auto"/>
        <w:ind w:left="709" w:right="709"/>
        <w:jc w:val="both"/>
        <w:rPr>
          <w:rFonts w:ascii="Verdana" w:hAnsi="Verdana"/>
          <w:sz w:val="20"/>
          <w:szCs w:val="20"/>
        </w:rPr>
      </w:pPr>
    </w:p>
    <w:p w14:paraId="24DBFF69" w14:textId="77777777" w:rsidR="00815A2C" w:rsidRPr="003E3009" w:rsidRDefault="00815A2C" w:rsidP="00815A2C">
      <w:pPr>
        <w:spacing w:after="120" w:line="276" w:lineRule="auto"/>
        <w:ind w:firstLine="709"/>
        <w:jc w:val="both"/>
        <w:rPr>
          <w:rFonts w:ascii="Verdana" w:eastAsia="Calibri" w:hAnsi="Verdana" w:cs="Arial"/>
          <w:color w:val="000000"/>
          <w:lang w:eastAsia="es-ES"/>
        </w:rPr>
      </w:pPr>
      <w:r w:rsidRPr="003E3009">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3E3009">
        <w:rPr>
          <w:rFonts w:ascii="Verdana" w:eastAsia="Calibri" w:hAnsi="Verdana" w:cs="Arial"/>
          <w:color w:val="000000"/>
          <w:lang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3E3009">
        <w:rPr>
          <w:rFonts w:ascii="Verdana" w:eastAsia="Calibri" w:hAnsi="Verdana" w:cs="Arial"/>
          <w:color w:val="000000"/>
          <w:szCs w:val="24"/>
          <w:lang w:eastAsia="es-ES_tradnl"/>
        </w:rPr>
        <w:tab/>
      </w:r>
    </w:p>
    <w:p w14:paraId="26E21E3D" w14:textId="77777777" w:rsidR="00815A2C" w:rsidRPr="003E3009" w:rsidRDefault="00815A2C" w:rsidP="00815A2C">
      <w:pPr>
        <w:spacing w:after="0" w:line="276" w:lineRule="auto"/>
        <w:ind w:firstLine="709"/>
        <w:jc w:val="both"/>
        <w:rPr>
          <w:rFonts w:ascii="Verdana" w:eastAsia="Calibri" w:hAnsi="Verdana" w:cs="Arial"/>
          <w:color w:val="000000"/>
          <w:lang w:eastAsia="es-ES"/>
        </w:rPr>
      </w:pPr>
      <w:r w:rsidRPr="003E3009">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3E3009">
        <w:rPr>
          <w:rFonts w:ascii="Verdana" w:eastAsia="Calibri" w:hAnsi="Verdana" w:cs="Arial"/>
          <w:color w:val="7030A0"/>
          <w:lang w:eastAsia="es-ES"/>
        </w:rPr>
        <w:t xml:space="preserve"> </w:t>
      </w:r>
      <w:r w:rsidRPr="003E3009">
        <w:rPr>
          <w:rFonts w:ascii="Verdana" w:eastAsia="Calibri" w:hAnsi="Verdana" w:cs="Arial"/>
          <w:color w:val="000000"/>
          <w:lang w:eastAsia="es-ES"/>
        </w:rPr>
        <w:t>problemas</w:t>
      </w:r>
      <w:r w:rsidRPr="003E3009">
        <w:rPr>
          <w:rFonts w:ascii="Verdana" w:eastAsia="Calibri" w:hAnsi="Verdana" w:cs="Arial"/>
          <w:color w:val="7030A0"/>
          <w:lang w:eastAsia="es-ES"/>
        </w:rPr>
        <w:t xml:space="preserve"> </w:t>
      </w:r>
      <w:r w:rsidRPr="003E3009">
        <w:rPr>
          <w:rFonts w:ascii="Verdana" w:eastAsia="Calibri" w:hAnsi="Verdana" w:cs="Arial"/>
          <w:color w:val="000000"/>
          <w:lang w:eastAsia="es-ES"/>
        </w:rPr>
        <w:t>jurídicos</w:t>
      </w:r>
      <w:r w:rsidRPr="003E3009">
        <w:rPr>
          <w:rFonts w:ascii="Verdana" w:eastAsia="Calibri" w:hAnsi="Verdana" w:cs="Arial"/>
          <w:color w:val="7030A0"/>
          <w:lang w:eastAsia="es-ES"/>
        </w:rPr>
        <w:t xml:space="preserve"> </w:t>
      </w:r>
      <w:r w:rsidRPr="003E3009">
        <w:rPr>
          <w:rFonts w:ascii="Verdana" w:eastAsia="Calibri" w:hAnsi="Verdana" w:cs="Arial"/>
          <w:color w:val="000000"/>
          <w:lang w:eastAsia="es-ES"/>
        </w:rPr>
        <w:t xml:space="preserve">de su consulta. </w:t>
      </w:r>
    </w:p>
    <w:p w14:paraId="4BAEC6E4" w14:textId="77777777" w:rsidR="00815A2C" w:rsidRPr="003E3009" w:rsidRDefault="00815A2C" w:rsidP="00815A2C">
      <w:pPr>
        <w:spacing w:after="0" w:line="276" w:lineRule="auto"/>
        <w:ind w:firstLine="709"/>
        <w:jc w:val="both"/>
        <w:rPr>
          <w:rFonts w:ascii="Verdana" w:eastAsia="Calibri" w:hAnsi="Verdana" w:cs="Arial"/>
          <w:color w:val="000000"/>
          <w:lang w:eastAsia="es-ES"/>
        </w:rPr>
      </w:pPr>
    </w:p>
    <w:p w14:paraId="0B10E7EB" w14:textId="77777777" w:rsidR="00815A2C" w:rsidRPr="003E3009" w:rsidRDefault="00815A2C" w:rsidP="00815A2C">
      <w:pPr>
        <w:numPr>
          <w:ilvl w:val="0"/>
          <w:numId w:val="18"/>
        </w:numPr>
        <w:tabs>
          <w:tab w:val="left" w:pos="142"/>
          <w:tab w:val="left" w:pos="284"/>
        </w:tabs>
        <w:spacing w:after="0" w:line="276" w:lineRule="auto"/>
        <w:jc w:val="both"/>
        <w:rPr>
          <w:rFonts w:ascii="Verdana" w:eastAsia="Century Gothic" w:hAnsi="Verdana" w:cs="Century Gothic"/>
          <w:b/>
          <w:bCs/>
        </w:rPr>
      </w:pPr>
      <w:r w:rsidRPr="003E3009">
        <w:rPr>
          <w:rFonts w:ascii="Verdana" w:eastAsia="Century Gothic" w:hAnsi="Verdana" w:cs="Century Gothic"/>
          <w:b/>
          <w:bCs/>
        </w:rPr>
        <w:t>Problemas planteados:</w:t>
      </w:r>
    </w:p>
    <w:p w14:paraId="229DDE51" w14:textId="77777777" w:rsidR="00815A2C" w:rsidRPr="003E3009" w:rsidRDefault="00815A2C" w:rsidP="00815A2C">
      <w:pPr>
        <w:tabs>
          <w:tab w:val="left" w:pos="426"/>
        </w:tabs>
        <w:spacing w:after="0" w:line="276" w:lineRule="auto"/>
        <w:jc w:val="both"/>
        <w:rPr>
          <w:rFonts w:ascii="Verdana" w:eastAsia="Century Gothic" w:hAnsi="Verdana" w:cs="Century Gothic"/>
        </w:rPr>
      </w:pPr>
    </w:p>
    <w:p w14:paraId="1D6688E4" w14:textId="77777777" w:rsidR="00815A2C" w:rsidRPr="00FB6807" w:rsidRDefault="00815A2C" w:rsidP="00815A2C">
      <w:pPr>
        <w:spacing w:after="0" w:line="276" w:lineRule="auto"/>
        <w:jc w:val="both"/>
        <w:rPr>
          <w:rFonts w:ascii="Verdana" w:eastAsia="Century Gothic" w:hAnsi="Verdana" w:cs="Century Gothic"/>
        </w:rPr>
      </w:pPr>
      <w:r>
        <w:rPr>
          <w:rFonts w:ascii="Verdana" w:eastAsia="Century Gothic" w:hAnsi="Verdana" w:cs="Century Gothic"/>
        </w:rPr>
        <w:t>De acuerdo con el contenido de su solicitud, esta Agencia resolverá los siguientes problemas jurídicos</w:t>
      </w:r>
      <w:r w:rsidRPr="007E6491">
        <w:rPr>
          <w:rFonts w:ascii="Verdana" w:eastAsia="Century Gothic" w:hAnsi="Verdana" w:cs="Century Gothic"/>
        </w:rPr>
        <w:t>: i) ¿Cuál</w:t>
      </w:r>
      <w:r>
        <w:rPr>
          <w:rFonts w:ascii="Verdana" w:eastAsia="Century Gothic" w:hAnsi="Verdana" w:cs="Century Gothic"/>
        </w:rPr>
        <w:t xml:space="preserve"> es el régimen de los contratos celebrados por las </w:t>
      </w:r>
      <w:r w:rsidRPr="00627594">
        <w:rPr>
          <w:rFonts w:ascii="Verdana" w:eastAsia="Century Gothic" w:hAnsi="Verdana" w:cs="Century Gothic"/>
        </w:rPr>
        <w:t xml:space="preserve">asociaciones de Cabildos y/o autoridades tradicionales Indígenas y organizaciones indígenas en el marco del Sistema General de Regalías?, y </w:t>
      </w:r>
      <w:proofErr w:type="spellStart"/>
      <w:r w:rsidRPr="00627594">
        <w:rPr>
          <w:rFonts w:ascii="Verdana" w:eastAsia="Century Gothic" w:hAnsi="Verdana" w:cs="Century Gothic"/>
        </w:rPr>
        <w:t>ii</w:t>
      </w:r>
      <w:proofErr w:type="spellEnd"/>
      <w:r w:rsidRPr="00627594">
        <w:rPr>
          <w:rFonts w:ascii="Verdana" w:eastAsia="Century Gothic" w:hAnsi="Verdana" w:cs="Century Gothic"/>
        </w:rPr>
        <w:t xml:space="preserve">) </w:t>
      </w:r>
      <w:r w:rsidRPr="00627594">
        <w:rPr>
          <w:rFonts w:ascii="Verdana" w:hAnsi="Verdana"/>
        </w:rPr>
        <w:t>¿En qué eventos las entidades ejecutoras de proyectos financiados con recursos del SGR deben sujetarse al EGCAP para la ejecución de dichos proyectos?</w:t>
      </w:r>
      <w:r w:rsidRPr="00627594">
        <w:rPr>
          <w:rFonts w:ascii="Verdana" w:eastAsia="Calibri" w:hAnsi="Verdana" w:cs="Arial"/>
          <w:color w:val="000000" w:themeColor="text1"/>
          <w:lang w:eastAsia="es-ES"/>
        </w:rPr>
        <w:t xml:space="preserve"> Asimismo, con el propósito de atender integralmente la consulta, se abordarán los siguientes problemas jurídicos: </w:t>
      </w:r>
      <w:proofErr w:type="spellStart"/>
      <w:r w:rsidRPr="00627594">
        <w:rPr>
          <w:rFonts w:ascii="Verdana" w:eastAsia="Calibri" w:hAnsi="Verdana" w:cs="Arial"/>
          <w:color w:val="000000" w:themeColor="text1"/>
          <w:lang w:eastAsia="es-ES"/>
        </w:rPr>
        <w:t>iii</w:t>
      </w:r>
      <w:proofErr w:type="spellEnd"/>
      <w:r w:rsidRPr="00627594">
        <w:rPr>
          <w:rFonts w:ascii="Verdana" w:eastAsia="Calibri" w:hAnsi="Verdana" w:cs="Arial"/>
          <w:color w:val="000000" w:themeColor="text1"/>
          <w:lang w:eastAsia="es-ES"/>
        </w:rPr>
        <w:t xml:space="preserve">) ¿La designación como ejecutoras de recursos del Sistema General de Regalías transforma la naturaleza jurídica de las asociaciones de cabildos y/o autoridades tradicionales indígenas y de las organizaciones indígenas en entidad estatal en los términos del artículo 2 de la Ley 80 de 1993?; </w:t>
      </w:r>
      <w:proofErr w:type="spellStart"/>
      <w:r w:rsidRPr="00627594">
        <w:rPr>
          <w:rFonts w:ascii="Verdana" w:eastAsia="Calibri" w:hAnsi="Verdana" w:cs="Arial"/>
          <w:color w:val="000000" w:themeColor="text1"/>
          <w:lang w:eastAsia="es-ES"/>
        </w:rPr>
        <w:t>iv</w:t>
      </w:r>
      <w:proofErr w:type="spellEnd"/>
      <w:r w:rsidRPr="00627594">
        <w:rPr>
          <w:rFonts w:ascii="Verdana" w:eastAsia="Calibri" w:hAnsi="Verdana" w:cs="Arial"/>
          <w:color w:val="000000" w:themeColor="text1"/>
          <w:lang w:eastAsia="es-ES"/>
        </w:rPr>
        <w:t>) ¿Puede la entidad ejecutora trasladar a un tercero el manejo material de los recursos conservando únicamente su condición formal de ejecutora, y bajo qué figura contractual puede vincular a terceros para la ejecución del proyecto?; y v) ¿Resultan aplicables a estos ejecutores los criterios de nulidad por falta de correspondencia entre el objeto contratado y el objeto e idoneidad de la entidad ejecutora fijados por la jurisprudencia del Consejo de Estado?</w:t>
      </w:r>
    </w:p>
    <w:p w14:paraId="019E66E7" w14:textId="77777777" w:rsidR="00815A2C" w:rsidRPr="003E3009" w:rsidRDefault="00815A2C" w:rsidP="00815A2C">
      <w:pPr>
        <w:spacing w:after="0" w:line="276" w:lineRule="auto"/>
        <w:jc w:val="both"/>
        <w:rPr>
          <w:rFonts w:ascii="Verdana" w:eastAsia="Century Gothic" w:hAnsi="Verdana" w:cs="Century Gothic"/>
        </w:rPr>
      </w:pPr>
    </w:p>
    <w:p w14:paraId="34DE57C1" w14:textId="77777777" w:rsidR="00815A2C" w:rsidRPr="003E3009" w:rsidRDefault="00815A2C" w:rsidP="00815A2C">
      <w:pPr>
        <w:numPr>
          <w:ilvl w:val="0"/>
          <w:numId w:val="18"/>
        </w:numPr>
        <w:tabs>
          <w:tab w:val="left" w:pos="142"/>
          <w:tab w:val="left" w:pos="284"/>
        </w:tabs>
        <w:spacing w:after="0" w:line="276" w:lineRule="auto"/>
        <w:jc w:val="both"/>
        <w:rPr>
          <w:rFonts w:ascii="Verdana" w:eastAsia="Century Gothic" w:hAnsi="Verdana" w:cs="Century Gothic"/>
          <w:b/>
          <w:bCs/>
        </w:rPr>
      </w:pPr>
      <w:r w:rsidRPr="003E3009">
        <w:rPr>
          <w:rFonts w:ascii="Verdana" w:eastAsia="Century Gothic" w:hAnsi="Verdana" w:cs="Century Gothic"/>
          <w:b/>
          <w:bCs/>
        </w:rPr>
        <w:t>Respuestas:</w:t>
      </w:r>
    </w:p>
    <w:p w14:paraId="50D9448E" w14:textId="77777777" w:rsidR="00815A2C" w:rsidRPr="003E3009" w:rsidRDefault="00815A2C" w:rsidP="00815A2C">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15A2C" w:rsidRPr="003E3009" w14:paraId="15575DE6" w14:textId="77777777" w:rsidTr="009A4F88">
        <w:trPr>
          <w:trHeight w:val="58"/>
          <w:jc w:val="center"/>
        </w:trPr>
        <w:tc>
          <w:tcPr>
            <w:tcW w:w="8828" w:type="dxa"/>
          </w:tcPr>
          <w:p w14:paraId="3A27DED4" w14:textId="77777777" w:rsidR="00815A2C" w:rsidRDefault="00815A2C" w:rsidP="009A4F88">
            <w:pPr>
              <w:spacing w:before="120" w:line="276" w:lineRule="auto"/>
              <w:jc w:val="both"/>
              <w:rPr>
                <w:rFonts w:ascii="Verdana" w:eastAsia="Calibri" w:hAnsi="Verdana" w:cs="Arial"/>
                <w:color w:val="000000"/>
                <w:lang w:val="es-ES" w:eastAsia="es-ES"/>
              </w:rPr>
            </w:pPr>
            <w:bookmarkStart w:id="3" w:name="_Hlk171694685"/>
            <w:r>
              <w:rPr>
                <w:rFonts w:ascii="Verdana" w:eastAsia="Calibri" w:hAnsi="Verdana" w:cs="Arial"/>
                <w:color w:val="000000"/>
                <w:lang w:val="es-ES" w:eastAsia="es-ES"/>
              </w:rPr>
              <w:t xml:space="preserve">i. </w:t>
            </w:r>
            <w:r w:rsidRPr="003253B3">
              <w:rPr>
                <w:rFonts w:ascii="Verdana" w:eastAsia="Calibri" w:hAnsi="Verdana" w:cs="Arial"/>
                <w:color w:val="000000"/>
                <w:lang w:val="es-ES" w:eastAsia="es-ES"/>
              </w:rPr>
              <w:t xml:space="preserve">En el Concepto 2563 del 25 de junio de 2026, la Sala de Consulta y Servicio Civil del Consejo de Estado concluyó que, </w:t>
            </w:r>
            <w:r>
              <w:rPr>
                <w:rFonts w:ascii="Verdana" w:eastAsia="Calibri" w:hAnsi="Verdana" w:cs="Arial"/>
                <w:color w:val="000000"/>
                <w:lang w:val="es-ES" w:eastAsia="es-ES"/>
              </w:rPr>
              <w:t>c</w:t>
            </w:r>
            <w:r w:rsidRPr="003253B3">
              <w:rPr>
                <w:rFonts w:ascii="Verdana" w:eastAsia="Calibri" w:hAnsi="Verdana" w:cs="Arial"/>
                <w:color w:val="000000"/>
                <w:lang w:val="es-ES" w:eastAsia="es-ES"/>
              </w:rPr>
              <w:t xml:space="preserve">uando una </w:t>
            </w:r>
            <w:r>
              <w:rPr>
                <w:rFonts w:ascii="Verdana" w:eastAsia="Calibri" w:hAnsi="Verdana" w:cs="Arial"/>
                <w:color w:val="000000"/>
                <w:lang w:val="es-ES" w:eastAsia="es-ES"/>
              </w:rPr>
              <w:t xml:space="preserve">entidad </w:t>
            </w:r>
            <w:r w:rsidRPr="003253B3">
              <w:rPr>
                <w:rFonts w:ascii="Verdana" w:eastAsia="Calibri" w:hAnsi="Verdana" w:cs="Arial"/>
                <w:color w:val="000000"/>
                <w:lang w:val="es-ES" w:eastAsia="es-ES"/>
              </w:rPr>
              <w:t xml:space="preserve">con régimen </w:t>
            </w:r>
            <w:r w:rsidRPr="003253B3">
              <w:rPr>
                <w:rFonts w:ascii="Verdana" w:eastAsia="Calibri" w:hAnsi="Verdana" w:cs="Arial"/>
                <w:color w:val="000000"/>
                <w:lang w:val="es-ES" w:eastAsia="es-ES"/>
              </w:rPr>
              <w:lastRenderedPageBreak/>
              <w:t>contractual especial es designada ejecutora de un proyecto financiado con recursos del Sistema General de Regalías, el régimen aplicable no se determina por su régimen contractual ordinario ni por la identidad del beneficiario final del bien, obra o servicio, sino por la fuente de financiación y por la regla especial que gobierna la ejecución de esos recursos, esto es el régimen de contratación pública. Lo anterior obedece a que el régimen aplicable a la ejecución de los recursos del SGR está determinado por su fuente de financiación y por las reglas especiales que gobiernan dicha ejecución, de manera que la sujeción al EGCAP constituye un mandato especial y no una remisión subsidiaria al régimen interno de la entidad ejecutora.</w:t>
            </w:r>
          </w:p>
          <w:p w14:paraId="269C4814" w14:textId="77777777" w:rsidR="00815A2C" w:rsidRPr="003253B3" w:rsidRDefault="00815A2C" w:rsidP="009A4F88">
            <w:pPr>
              <w:spacing w:before="120" w:line="276" w:lineRule="auto"/>
              <w:ind w:firstLine="743"/>
              <w:jc w:val="both"/>
              <w:rPr>
                <w:rFonts w:ascii="Verdana" w:eastAsia="Calibri" w:hAnsi="Verdana" w:cs="Arial"/>
                <w:color w:val="000000"/>
                <w:lang w:val="es-ES" w:eastAsia="es-ES"/>
              </w:rPr>
            </w:pPr>
            <w:r w:rsidRPr="003253B3">
              <w:rPr>
                <w:rFonts w:ascii="Verdana" w:eastAsia="Calibri" w:hAnsi="Verdana" w:cs="Arial"/>
                <w:color w:val="000000"/>
                <w:lang w:val="es-ES" w:eastAsia="es-ES"/>
              </w:rPr>
              <w:t>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w:t>
            </w:r>
          </w:p>
          <w:p w14:paraId="5485F1AB" w14:textId="77777777" w:rsidR="00815A2C" w:rsidRDefault="00815A2C" w:rsidP="009A4F88">
            <w:pPr>
              <w:spacing w:before="120" w:line="276" w:lineRule="auto"/>
              <w:ind w:firstLine="743"/>
              <w:jc w:val="both"/>
              <w:rPr>
                <w:rFonts w:ascii="Verdana" w:eastAsia="Calibri" w:hAnsi="Verdana" w:cs="Arial"/>
                <w:color w:val="000000"/>
                <w:lang w:val="es-ES" w:eastAsia="es-ES"/>
              </w:rPr>
            </w:pPr>
            <w:r w:rsidRPr="003253B3">
              <w:rPr>
                <w:rFonts w:ascii="Verdana" w:eastAsia="Calibri" w:hAnsi="Verdana" w:cs="Arial"/>
                <w:color w:val="000000"/>
                <w:lang w:val="es-ES" w:eastAsia="es-ES"/>
              </w:rPr>
              <w:t>Lo anterior adquiere especial relevancia para el asunto objeto de análisis, toda vez que el Consejo de Estado circunscribe expresamente las excepciones a la aplicación del EGCAP a los recursos destinados a ciencia, tecnología e innovación, sin incluir dentro de estas, de manera particular, los recursos de inversión asignados a los pueblos indígenas</w:t>
            </w:r>
            <w:r>
              <w:rPr>
                <w:rFonts w:ascii="Verdana" w:eastAsia="Calibri" w:hAnsi="Verdana" w:cs="Arial"/>
                <w:color w:val="000000"/>
                <w:lang w:val="es-ES" w:eastAsia="es-ES"/>
              </w:rPr>
              <w:t xml:space="preserve">. Al respecto, </w:t>
            </w:r>
            <w:r w:rsidRPr="00C54818">
              <w:rPr>
                <w:rFonts w:ascii="Verdana" w:eastAsia="Calibri" w:hAnsi="Verdana" w:cs="Arial"/>
                <w:color w:val="000000"/>
                <w:lang w:val="es-ES" w:eastAsia="es-ES"/>
              </w:rPr>
              <w:t>destac</w:t>
            </w:r>
            <w:r>
              <w:rPr>
                <w:rFonts w:ascii="Verdana" w:eastAsia="Calibri" w:hAnsi="Verdana" w:cs="Arial"/>
                <w:color w:val="000000"/>
                <w:lang w:val="es-ES" w:eastAsia="es-ES"/>
              </w:rPr>
              <w:t>ó</w:t>
            </w:r>
            <w:r w:rsidRPr="00C54818">
              <w:rPr>
                <w:rFonts w:ascii="Verdana" w:eastAsia="Calibri" w:hAnsi="Verdana" w:cs="Arial"/>
                <w:color w:val="000000"/>
                <w:lang w:val="es-ES" w:eastAsia="es-ES"/>
              </w:rPr>
              <w:t xml:space="preserve"> que el Título V de la Ley 2056 de 2020 reitera, respecto de los pueblos y comunidades indígenas, las comunidades Negras, Afrocolombianas, Raizales y Palenqueras y el pueblo </w:t>
            </w:r>
            <w:proofErr w:type="spellStart"/>
            <w:r w:rsidRPr="00C54818">
              <w:rPr>
                <w:rFonts w:ascii="Verdana" w:eastAsia="Calibri" w:hAnsi="Verdana" w:cs="Arial"/>
                <w:color w:val="000000"/>
                <w:lang w:val="es-ES" w:eastAsia="es-ES"/>
              </w:rPr>
              <w:t>Rrom</w:t>
            </w:r>
            <w:proofErr w:type="spellEnd"/>
            <w:r w:rsidRPr="00C54818">
              <w:rPr>
                <w:rFonts w:ascii="Verdana" w:eastAsia="Calibri" w:hAnsi="Verdana" w:cs="Arial"/>
                <w:color w:val="000000"/>
                <w:lang w:val="es-ES" w:eastAsia="es-ES"/>
              </w:rPr>
              <w:t xml:space="preserve"> o Gitano, la responsabilidad del ejecutor y su sujeción al régimen presupuestal y de </w:t>
            </w:r>
            <w:r w:rsidRPr="008E5A24">
              <w:rPr>
                <w:rFonts w:ascii="Verdana" w:eastAsia="Calibri" w:hAnsi="Verdana" w:cs="Arial"/>
                <w:i/>
                <w:iCs/>
                <w:color w:val="000000"/>
                <w:lang w:val="es-ES" w:eastAsia="es-ES"/>
              </w:rPr>
              <w:t>contratación estatal</w:t>
            </w:r>
            <w:r w:rsidRPr="00C54818">
              <w:rPr>
                <w:rFonts w:ascii="Verdana" w:eastAsia="Calibri" w:hAnsi="Verdana" w:cs="Arial"/>
                <w:color w:val="000000"/>
                <w:lang w:val="es-ES" w:eastAsia="es-ES"/>
              </w:rPr>
              <w:t>.</w:t>
            </w:r>
            <w:r>
              <w:rPr>
                <w:rFonts w:ascii="Verdana" w:eastAsia="Calibri" w:hAnsi="Verdana" w:cs="Arial"/>
                <w:color w:val="000000"/>
                <w:lang w:val="es-ES" w:eastAsia="es-ES"/>
              </w:rPr>
              <w:t xml:space="preserve"> </w:t>
            </w:r>
          </w:p>
          <w:p w14:paraId="3195151F" w14:textId="77777777" w:rsidR="00815A2C" w:rsidRDefault="00815A2C" w:rsidP="009A4F88">
            <w:pPr>
              <w:spacing w:before="120" w:line="276" w:lineRule="auto"/>
              <w:ind w:firstLine="743"/>
              <w:jc w:val="both"/>
              <w:rPr>
                <w:rFonts w:ascii="Verdana" w:eastAsia="Calibri" w:hAnsi="Verdana" w:cs="Arial"/>
                <w:color w:val="000000"/>
                <w:lang w:val="es-ES" w:eastAsia="es-ES"/>
              </w:rPr>
            </w:pPr>
            <w:r w:rsidRPr="00C54818">
              <w:rPr>
                <w:rFonts w:ascii="Verdana" w:eastAsia="Calibri" w:hAnsi="Verdana" w:cs="Arial"/>
                <w:color w:val="000000"/>
                <w:lang w:val="es-ES" w:eastAsia="es-ES"/>
              </w:rPr>
              <w:t xml:space="preserve">Asimismo, </w:t>
            </w:r>
            <w:r w:rsidRPr="003253B3">
              <w:rPr>
                <w:rFonts w:ascii="Verdana" w:eastAsia="Calibri" w:hAnsi="Verdana" w:cs="Arial"/>
                <w:color w:val="000000"/>
                <w:lang w:val="es-ES" w:eastAsia="es-ES"/>
              </w:rPr>
              <w:t xml:space="preserve">la Sala de Consulta y Servicio Civil identificó únicamente hipótesis expresamente previstas en la Ley 2056 de 2020 o en su reglamentación que permiten acudir a una regla contractual distinta. Entre ellas se encuentran la ejecución directa mediante acto administrativo unilateral que decrete el gasto, cuando la entidad ejecutora produce </w:t>
            </w:r>
            <w:r w:rsidRPr="003253B3">
              <w:rPr>
                <w:rFonts w:ascii="Verdana" w:eastAsia="Calibri" w:hAnsi="Verdana" w:cs="Arial"/>
                <w:color w:val="000000"/>
                <w:lang w:val="es-ES" w:eastAsia="es-ES"/>
              </w:rPr>
              <w:lastRenderedPageBreak/>
              <w:t>directamente el bien o presta el servicio aprobado en el proyecto, y el régimen especial previsto para los proyectos de ciencia, tecnología e innovación. En consecuencia, dentro de las excepciones señaladas por el Consejo de Estado no se encuentran los recursos de inversión asignados a los pueblos y comunidades indígenas, respecto de los cuales se mantiene la regla general de sujeción al EGCAP.</w:t>
            </w:r>
          </w:p>
          <w:p w14:paraId="3F582499" w14:textId="77777777" w:rsidR="00815A2C" w:rsidRDefault="00815A2C" w:rsidP="009A4F88">
            <w:pPr>
              <w:spacing w:before="120" w:line="276" w:lineRule="auto"/>
              <w:ind w:firstLine="743"/>
              <w:jc w:val="both"/>
              <w:rPr>
                <w:rFonts w:ascii="Verdana" w:eastAsia="Calibri" w:hAnsi="Verdana" w:cs="Arial"/>
                <w:color w:val="000000"/>
                <w:lang w:val="es-ES" w:eastAsia="es-ES"/>
              </w:rPr>
            </w:pPr>
            <w:r w:rsidRPr="003253B3">
              <w:rPr>
                <w:rFonts w:ascii="Verdana" w:eastAsia="Calibri" w:hAnsi="Verdana" w:cs="Arial"/>
                <w:color w:val="000000"/>
                <w:lang w:val="es-ES" w:eastAsia="es-ES"/>
              </w:rPr>
              <w:t>En atención a estas consideraciones, la Agencia replantea la postura sostenida en los conceptos C-891 de 2024, C-844 de 2025, C-1257 de 2025 y C-1585 de 2025, con el fin de armonizarla con el criterio expuesto por el Consejo de Estado. En consecuencia, cuando los resguardos y asociaciones de resguardos, las asociaciones de cabildos y de autoridades tradicionales indígenas, las demás formas de organización indígena debidamente inscritas en el Registro Único del Ministerio del Interior y las organizaciones indígenas a que se refiere el Decreto 252 de 2020 sean ejecutoras de recursos del SGR, deberán sujetarse al EGCAP para la contratación necesaria para desarrollar los proyectos, sin perjuicio de que en sus demás actividades continúen aplicando el régimen especial que les corresponda.</w:t>
            </w:r>
          </w:p>
          <w:p w14:paraId="3380CF5C" w14:textId="77777777" w:rsidR="00815A2C" w:rsidRDefault="00815A2C" w:rsidP="009A4F88">
            <w:pPr>
              <w:spacing w:before="120" w:line="276" w:lineRule="auto"/>
              <w:jc w:val="both"/>
              <w:rPr>
                <w:rFonts w:ascii="Verdana" w:eastAsia="Calibri" w:hAnsi="Verdana" w:cs="Arial"/>
              </w:rPr>
            </w:pPr>
            <w:proofErr w:type="spellStart"/>
            <w:r>
              <w:rPr>
                <w:rFonts w:ascii="Verdana" w:eastAsia="Calibri" w:hAnsi="Verdana" w:cs="Arial"/>
                <w:color w:val="000000"/>
                <w:lang w:val="es-ES" w:eastAsia="es-ES"/>
              </w:rPr>
              <w:t>ii</w:t>
            </w:r>
            <w:proofErr w:type="spellEnd"/>
            <w:r>
              <w:rPr>
                <w:rFonts w:ascii="Verdana" w:eastAsia="Calibri" w:hAnsi="Verdana" w:cs="Arial"/>
                <w:color w:val="000000"/>
                <w:lang w:val="es-ES" w:eastAsia="es-ES"/>
              </w:rPr>
              <w:t xml:space="preserve">. </w:t>
            </w:r>
            <w:r w:rsidRPr="00FB6807">
              <w:rPr>
                <w:rFonts w:ascii="Verdana" w:eastAsia="Calibri" w:hAnsi="Verdana" w:cs="Arial"/>
              </w:rPr>
              <w:t>El Decreto 1821 de 2020 contempla reglas específicas tanto para los eventos en que la entidad contrata a una persona natural o jurídica para suministrar los bienes o servicios requeridos, como para aquellos en los que la propia entidad ejecutora cuenta con la capacidad técnica, legal, administrativa y financiera para producirlos o proveerlos directamente.</w:t>
            </w:r>
          </w:p>
          <w:p w14:paraId="6F9FC4BA" w14:textId="77777777" w:rsidR="00815A2C" w:rsidRDefault="00815A2C" w:rsidP="009A4F88">
            <w:pPr>
              <w:spacing w:before="120" w:line="276" w:lineRule="auto"/>
              <w:ind w:firstLine="743"/>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De esta manera, el Decreto 1821 de 2020 distingue dos formas de iniciar la ejecución del proyecto: “la primera, cuando se requiere seleccionar un contratista a través de un proceso de selección; y la segunda, cuando la propia entidad ejecutora cuenta con capacidad técnica, legal, administrativa y financiera, y produce directamente el bien o servicio aprobado en el proyecto, caso en el cual el inicio de la ejecución se formaliza mediante un acto unilateral de ordenación del gasto. Ambas hipótesis responden a la finalidad de asegurar la correcta ejecución de los recursos públicos del Sistema General de Regalías bien sea a través del procedimiento contractual o mediante una decisión presupuestal directa de la entidad ejecutora.”</w:t>
            </w:r>
          </w:p>
          <w:p w14:paraId="5F4AF846" w14:textId="77777777" w:rsidR="00815A2C" w:rsidRDefault="00815A2C" w:rsidP="009A4F88">
            <w:pPr>
              <w:spacing w:before="120" w:line="276" w:lineRule="auto"/>
              <w:ind w:firstLine="743"/>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Bajo esta premisa, si la entidad ejecutora cuenta con la capacidad técnica, administrativa y operativa necesaria para ejecutar las actividades previstas podrá adelantar directamente las actividades que se encuentren </w:t>
            </w:r>
            <w:r w:rsidRPr="00FB6807">
              <w:rPr>
                <w:rFonts w:ascii="Verdana" w:eastAsia="Calibri" w:hAnsi="Verdana" w:cs="Arial"/>
                <w:color w:val="000000" w:themeColor="text1"/>
                <w:lang w:eastAsia="es-ES"/>
              </w:rPr>
              <w:lastRenderedPageBreak/>
              <w:t>dentro de sus capacidades de ejecución y expedirá el respectivo acto que decreta el gasto. Por el contrario, si resulta necesario acudir a terceros para la provisión de determinados bienes o servicios, deberá contratarlos con sujeción a las reglas del EGCAP y a las disposiciones presupuestales y demás normas especiales que regulan la gestión y ejecución de los recursos del SGR.</w:t>
            </w:r>
          </w:p>
          <w:p w14:paraId="5A237410" w14:textId="77777777" w:rsidR="00815A2C" w:rsidRPr="00627594" w:rsidRDefault="00815A2C" w:rsidP="009A4F88">
            <w:pPr>
              <w:spacing w:before="120" w:line="276" w:lineRule="auto"/>
              <w:ind w:firstLine="743"/>
              <w:jc w:val="both"/>
              <w:rPr>
                <w:rFonts w:ascii="Verdana" w:eastAsia="Calibri" w:hAnsi="Verdana" w:cs="Arial"/>
                <w:color w:val="000000" w:themeColor="text1"/>
                <w:lang w:eastAsia="es-ES"/>
              </w:rPr>
            </w:pPr>
            <w:r w:rsidRPr="00627594">
              <w:rPr>
                <w:rFonts w:ascii="Verdana" w:eastAsia="Calibri" w:hAnsi="Verdana" w:cs="Arial"/>
                <w:color w:val="000000" w:themeColor="text1"/>
                <w:lang w:eastAsia="es-ES"/>
              </w:rPr>
              <w:t>En atención a lo anterior, cuando dichas asociaciones carezcan de capacidad técnica, administrativa u operativa para desarrollar directamente las actividades del proyecto —según el deber de autoevaluación del artículo 2.1.1.3.18 del Decreto 1821 de 2020—, podrá vincular a otra entidad idónea, pública o privada, a través de la modalidad de selección que corresponda conforme al EGCAP, atendiendo al objeto contractual.  Ahora bien, esa vinculación no puede instrumentarse mediante contrato o convenio interadministrativo (literal c del numeral 4 del artículo 2 de la Ley 1150 de 2007), por el criterio orgánico respecto de aquellas organizaciones que no tengan el carácter de entidad estatal pues esta es una figura reservada para esta categoría, por lo que es necesario revisar su naturaleza jurídica para establecer su procedencia. En todo caso, la vinculación de un tercero para la ejecución técnica no traslada la condición de ejecutor: por expreso mandato del parágrafo 1.º del artículo 84 de la Ley 2056 de 2020, el ejecutor es el ordenador del gasto y garantiza la correcta ejecución de los recursos, responsabilidad que resulta indelegable.</w:t>
            </w:r>
          </w:p>
          <w:p w14:paraId="1D287377" w14:textId="77777777" w:rsidR="00815A2C" w:rsidRPr="00627594" w:rsidRDefault="00815A2C" w:rsidP="009A4F88">
            <w:pPr>
              <w:spacing w:before="120" w:line="276" w:lineRule="auto"/>
              <w:jc w:val="both"/>
              <w:rPr>
                <w:rFonts w:ascii="Verdana" w:eastAsia="Calibri" w:hAnsi="Verdana" w:cs="Arial"/>
                <w:lang w:eastAsia="es-ES"/>
              </w:rPr>
            </w:pPr>
            <w:proofErr w:type="spellStart"/>
            <w:r w:rsidRPr="00627594">
              <w:rPr>
                <w:rFonts w:ascii="Verdana" w:eastAsia="Calibri" w:hAnsi="Verdana" w:cs="Arial"/>
                <w:color w:val="000000" w:themeColor="text1"/>
                <w:lang w:eastAsia="es-ES"/>
              </w:rPr>
              <w:t>iii</w:t>
            </w:r>
            <w:proofErr w:type="spellEnd"/>
            <w:r w:rsidRPr="00627594">
              <w:rPr>
                <w:rFonts w:ascii="Verdana" w:eastAsia="Calibri" w:hAnsi="Verdana" w:cs="Arial"/>
                <w:color w:val="000000" w:themeColor="text1"/>
                <w:lang w:eastAsia="es-ES"/>
              </w:rPr>
              <w:t>. La designación como ejecutoras de recursos del Sistema General de Regalías no transforma la naturaleza jurídica de estas organizaciones ni les atribuye la condición de entidad estatal en los términos del artículo 2 de la Ley 80 de 1993. La sujeción al EGCAP opera únicamente respecto de la contratación necesaria para ejecutar los proyectos financiados con dichos recursos, sin sustituir el régimen especial que les corresponde para las demás actividades de su objeto.</w:t>
            </w:r>
          </w:p>
          <w:p w14:paraId="33E2540E" w14:textId="77777777" w:rsidR="00815A2C" w:rsidRPr="00627594" w:rsidRDefault="00815A2C" w:rsidP="009A4F88">
            <w:pPr>
              <w:spacing w:before="120" w:line="276" w:lineRule="auto"/>
              <w:jc w:val="both"/>
              <w:rPr>
                <w:rFonts w:ascii="Verdana" w:eastAsia="Calibri" w:hAnsi="Verdana" w:cs="Arial"/>
                <w:lang w:eastAsia="es-ES"/>
              </w:rPr>
            </w:pPr>
            <w:proofErr w:type="spellStart"/>
            <w:r w:rsidRPr="00627594">
              <w:rPr>
                <w:rFonts w:ascii="Verdana" w:eastAsia="Calibri" w:hAnsi="Verdana" w:cs="Arial"/>
                <w:color w:val="000000" w:themeColor="text1"/>
                <w:lang w:eastAsia="es-ES"/>
              </w:rPr>
              <w:t>iv</w:t>
            </w:r>
            <w:proofErr w:type="spellEnd"/>
            <w:r w:rsidRPr="00627594">
              <w:rPr>
                <w:rFonts w:ascii="Verdana" w:eastAsia="Calibri" w:hAnsi="Verdana" w:cs="Arial"/>
                <w:color w:val="000000" w:themeColor="text1"/>
                <w:lang w:eastAsia="es-ES"/>
              </w:rPr>
              <w:t>. La entidad ejecutora puede subcontratar legítimamente las actividades y celebrar los contratos que resulten necesarios para ejecutar la asignación que administra, conforme a las decisiones de la instancia de decisión competente. No obstante, no puede trasladar</w:t>
            </w:r>
            <w:r>
              <w:rPr>
                <w:rFonts w:ascii="Verdana" w:eastAsia="Calibri" w:hAnsi="Verdana" w:cs="Arial"/>
                <w:color w:val="000000" w:themeColor="text1"/>
                <w:lang w:eastAsia="es-ES"/>
              </w:rPr>
              <w:t xml:space="preserve"> </w:t>
            </w:r>
            <w:r w:rsidRPr="00627594">
              <w:rPr>
                <w:rFonts w:ascii="Verdana" w:eastAsia="Calibri" w:hAnsi="Verdana" w:cs="Arial"/>
                <w:color w:val="000000" w:themeColor="text1"/>
                <w:lang w:eastAsia="es-ES"/>
              </w:rPr>
              <w:t xml:space="preserve">a un tercero —incluida una sociedad de economía mixta— el manejo material de los recursos ni su responsabilidad como ejecutora, pues por mandato del parágrafo 1.º del artículo 84 de la Ley 2056 de 2020 la entidad ejecutora y su representante legal responden por la </w:t>
            </w:r>
            <w:r w:rsidRPr="00627594">
              <w:rPr>
                <w:rFonts w:ascii="Verdana" w:eastAsia="Calibri" w:hAnsi="Verdana" w:cs="Arial"/>
                <w:color w:val="000000" w:themeColor="text1"/>
                <w:lang w:eastAsia="es-ES"/>
              </w:rPr>
              <w:lastRenderedPageBreak/>
              <w:t>correcta ejecución del proyecto y por la ordenación del gasto, condición indelegable: el subcontrato no es un medio para delegar el rol de ejecutor en el marco del SGR. El traslado íntegro de la ejecución genera, además, riesgo de nulidad del contrato y de detrimento patrimonial por los sobrecostos propios de la intermediación. Tratándose de contratos sometidos al EGCAP, estos deben celebrarse conforme a dicho régimen, lo que implica, entre otros, garantizar la selección objetiva del contratista y respetar el régimen de inhabilidades e incompatibilidades. En todo caso, no procede el contrato o convenio interadministrativo (literal c del numeral 4 del artículo 2 de la Ley 1150 de 2007) cuando la ejecutora o el tercero carezcan de la condición de entidad estatal, por el criterio orgánico que gobierna esa figura.</w:t>
            </w:r>
          </w:p>
          <w:p w14:paraId="0CBF5CEE" w14:textId="77777777" w:rsidR="00815A2C" w:rsidRDefault="00815A2C" w:rsidP="009A4F88">
            <w:pPr>
              <w:spacing w:before="120" w:line="276" w:lineRule="auto"/>
              <w:jc w:val="both"/>
              <w:rPr>
                <w:rFonts w:ascii="Verdana" w:eastAsia="Calibri" w:hAnsi="Verdana" w:cs="Arial"/>
                <w:lang w:eastAsia="es-ES"/>
              </w:rPr>
            </w:pPr>
            <w:r w:rsidRPr="00627594">
              <w:rPr>
                <w:rFonts w:ascii="Verdana" w:eastAsia="Calibri" w:hAnsi="Verdana" w:cs="Arial"/>
                <w:color w:val="000000" w:themeColor="text1"/>
                <w:lang w:eastAsia="es-ES"/>
              </w:rPr>
              <w:t>v. Los criterios de nulidad por falta de correspondencia entre el objeto contratado y el objeto e idoneidad de la entidad ejecutora, fijados por el Consejo de Estado, Sala de lo Contencioso Administrativo, Sección Tercera, Subsección A, en la sentencia del 20 de abril de 2026 (</w:t>
            </w:r>
            <w:proofErr w:type="spellStart"/>
            <w:r w:rsidRPr="00627594">
              <w:rPr>
                <w:rFonts w:ascii="Verdana" w:eastAsia="Calibri" w:hAnsi="Verdana" w:cs="Arial"/>
                <w:color w:val="000000" w:themeColor="text1"/>
                <w:lang w:eastAsia="es-ES"/>
              </w:rPr>
              <w:t>Exp</w:t>
            </w:r>
            <w:proofErr w:type="spellEnd"/>
            <w:r w:rsidRPr="00627594">
              <w:rPr>
                <w:rFonts w:ascii="Verdana" w:eastAsia="Calibri" w:hAnsi="Verdana" w:cs="Arial"/>
                <w:color w:val="000000" w:themeColor="text1"/>
                <w:lang w:eastAsia="es-ES"/>
              </w:rPr>
              <w:t>. 72.477; C.P. Fernando Alexei Pardo Flórez), resultan aplicables a la contratación que se adelante con recursos del Sistema General de Regalías. En esa providencia el Consejo de Estado confirmó la nulidad absoluta, por objeto ilícito, de un contrato interadministrativo de obra celebrado con una entidad cuyo objeto no comprendía la obra contratada y que trasladó a terceros la totalidad de la ejecución material, al advertir que el objeto del contrato debe guardar correspondencia con el objeto y la idoneidad de la ejecutora. En consecuencia, emplear una figura contractual para eludir la selección objetiva, para contratar con quien carece de idoneidad o para encubrir la ejecución material por un tercero puede configurar objeto ilícito y derivar en la nulidad absoluta del contrato, sin perjuicio de las responsabilidades fiscales, disciplinarias y penales a que haya lugar.</w:t>
            </w:r>
          </w:p>
          <w:p w14:paraId="245CC0A6" w14:textId="77777777" w:rsidR="00815A2C" w:rsidRPr="00D4075E" w:rsidRDefault="00815A2C" w:rsidP="009A4F88">
            <w:pPr>
              <w:spacing w:before="120" w:line="276" w:lineRule="auto"/>
              <w:ind w:firstLine="743"/>
              <w:jc w:val="both"/>
              <w:rPr>
                <w:rFonts w:ascii="Verdana" w:eastAsia="Calibri" w:hAnsi="Verdana" w:cs="Arial"/>
                <w:color w:val="000000" w:themeColor="text1"/>
                <w:lang w:eastAsia="es-ES"/>
              </w:rPr>
            </w:pPr>
            <w:r w:rsidRPr="00FB6807">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sidRPr="00FB6807">
              <w:rPr>
                <w:rFonts w:ascii="Verdana" w:hAnsi="Verdana"/>
              </w:rPr>
              <w:lastRenderedPageBreak/>
              <w:t>Así, cada Entidad definirá la forma de adelantar su gestión contractual, sin que sea atribución de Colombia Compra Eficiente validar sus actuaciones ni determinar si estas constituyen una infracción a la Ley.</w:t>
            </w:r>
          </w:p>
        </w:tc>
      </w:tr>
    </w:tbl>
    <w:p w14:paraId="53B9FFDE" w14:textId="77777777" w:rsidR="00815A2C" w:rsidRPr="003E3009" w:rsidRDefault="00815A2C" w:rsidP="00815A2C">
      <w:pPr>
        <w:tabs>
          <w:tab w:val="left" w:pos="142"/>
          <w:tab w:val="left" w:pos="284"/>
        </w:tabs>
        <w:spacing w:after="0" w:line="276" w:lineRule="auto"/>
        <w:jc w:val="both"/>
        <w:rPr>
          <w:rFonts w:ascii="Verdana" w:eastAsia="Century Gothic" w:hAnsi="Verdana" w:cs="Century Gothic"/>
          <w:b/>
          <w:bCs/>
        </w:rPr>
      </w:pPr>
    </w:p>
    <w:bookmarkEnd w:id="3"/>
    <w:p w14:paraId="2199D426" w14:textId="77777777" w:rsidR="00815A2C" w:rsidRPr="003E3009" w:rsidRDefault="00815A2C" w:rsidP="00815A2C">
      <w:pPr>
        <w:numPr>
          <w:ilvl w:val="0"/>
          <w:numId w:val="18"/>
        </w:numPr>
        <w:tabs>
          <w:tab w:val="left" w:pos="142"/>
          <w:tab w:val="left" w:pos="284"/>
        </w:tabs>
        <w:spacing w:after="0" w:line="276" w:lineRule="auto"/>
        <w:jc w:val="both"/>
        <w:rPr>
          <w:rFonts w:ascii="Verdana" w:eastAsia="Century Gothic" w:hAnsi="Verdana" w:cs="Century Gothic"/>
          <w:b/>
          <w:bCs/>
        </w:rPr>
      </w:pPr>
      <w:r w:rsidRPr="003E3009">
        <w:rPr>
          <w:rFonts w:ascii="Verdana" w:eastAsia="Century Gothic" w:hAnsi="Verdana" w:cs="Century Gothic"/>
          <w:b/>
          <w:bCs/>
        </w:rPr>
        <w:t>Razones de las respuestas:</w:t>
      </w:r>
    </w:p>
    <w:p w14:paraId="256C69E2" w14:textId="77777777" w:rsidR="00815A2C" w:rsidRPr="003E3009" w:rsidRDefault="00815A2C" w:rsidP="00815A2C">
      <w:pPr>
        <w:spacing w:after="0" w:line="276" w:lineRule="auto"/>
        <w:jc w:val="both"/>
        <w:rPr>
          <w:rFonts w:ascii="Verdana" w:eastAsia="Calibri" w:hAnsi="Verdana" w:cs="Arial"/>
          <w:color w:val="7030A0"/>
        </w:rPr>
      </w:pPr>
    </w:p>
    <w:p w14:paraId="4B26BFCB" w14:textId="77777777" w:rsidR="00815A2C" w:rsidRPr="003E3009" w:rsidRDefault="00815A2C" w:rsidP="00815A2C">
      <w:pPr>
        <w:spacing w:after="0" w:line="276" w:lineRule="auto"/>
        <w:jc w:val="both"/>
        <w:rPr>
          <w:rFonts w:ascii="Verdana" w:eastAsia="Calibri" w:hAnsi="Verdana" w:cs="Arial"/>
        </w:rPr>
      </w:pPr>
      <w:r w:rsidRPr="003E3009">
        <w:rPr>
          <w:rFonts w:ascii="Verdana" w:eastAsia="Calibri" w:hAnsi="Verdana" w:cs="Arial"/>
        </w:rPr>
        <w:t>Lo anterior se sustenta en las siguientes consideraciones:</w:t>
      </w:r>
    </w:p>
    <w:p w14:paraId="2898AD88" w14:textId="77777777" w:rsidR="00815A2C" w:rsidRPr="003E3009" w:rsidRDefault="00815A2C" w:rsidP="00815A2C">
      <w:pPr>
        <w:spacing w:after="0" w:line="276" w:lineRule="auto"/>
        <w:jc w:val="both"/>
        <w:rPr>
          <w:rFonts w:ascii="Verdana" w:eastAsia="Calibri" w:hAnsi="Verdana" w:cs="Arial"/>
        </w:rPr>
      </w:pPr>
    </w:p>
    <w:p w14:paraId="04460BA2" w14:textId="77777777" w:rsidR="00815A2C" w:rsidRPr="00AC7039" w:rsidRDefault="00815A2C" w:rsidP="00815A2C">
      <w:pPr>
        <w:spacing w:after="120" w:line="276" w:lineRule="auto"/>
        <w:jc w:val="both"/>
        <w:rPr>
          <w:rFonts w:ascii="Verdana" w:eastAsia="Calibri" w:hAnsi="Verdana" w:cs="Arial"/>
        </w:rPr>
      </w:pPr>
      <w:r w:rsidRPr="003E3009">
        <w:rPr>
          <w:rFonts w:ascii="Verdana" w:eastAsia="Calibri" w:hAnsi="Verdana" w:cs="Arial"/>
          <w:color w:val="000000"/>
          <w:lang w:val="es-ES" w:eastAsia="es-ES"/>
        </w:rPr>
        <w:t>i.</w:t>
      </w:r>
      <w:r>
        <w:rPr>
          <w:rFonts w:ascii="Verdana" w:eastAsia="Calibri" w:hAnsi="Verdana" w:cs="Arial"/>
          <w:color w:val="000000"/>
          <w:lang w:val="es-ES" w:eastAsia="es-ES"/>
        </w:rPr>
        <w:t xml:space="preserve"> </w:t>
      </w:r>
      <w:r w:rsidRPr="003E3009">
        <w:rPr>
          <w:rFonts w:ascii="Verdana" w:eastAsia="Calibri" w:hAnsi="Verdana" w:cs="Arial"/>
          <w:color w:val="000000"/>
          <w:lang w:val="es-ES" w:eastAsia="es-ES"/>
        </w:rPr>
        <w:t xml:space="preserve">Como punto de partida es importante </w:t>
      </w:r>
      <w:r>
        <w:rPr>
          <w:rFonts w:ascii="Verdana" w:eastAsia="Calibri" w:hAnsi="Verdana" w:cs="Arial"/>
          <w:color w:val="000000"/>
          <w:lang w:val="es-ES" w:eastAsia="es-ES"/>
        </w:rPr>
        <w:t xml:space="preserve">precisar que </w:t>
      </w:r>
      <w:r w:rsidRPr="00AC7039">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Pr="00AC7039">
        <w:rPr>
          <w:rFonts w:ascii="Verdana" w:hAnsi="Verdana"/>
          <w:vertAlign w:val="superscript"/>
        </w:rPr>
        <w:footnoteReference w:id="2"/>
      </w:r>
      <w:r w:rsidRPr="00AC7039">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0E38F56F" w14:textId="77777777" w:rsidR="00815A2C" w:rsidRPr="00AC7039" w:rsidRDefault="00815A2C" w:rsidP="00815A2C">
      <w:pPr>
        <w:spacing w:after="120" w:line="276" w:lineRule="auto"/>
        <w:ind w:firstLine="708"/>
        <w:jc w:val="both"/>
        <w:rPr>
          <w:rFonts w:ascii="Verdana" w:eastAsia="Calibri" w:hAnsi="Verdana" w:cs="Arial"/>
        </w:rPr>
      </w:pPr>
      <w:r w:rsidRPr="00AC7039">
        <w:rPr>
          <w:rFonts w:ascii="Verdana" w:eastAsia="Calibri" w:hAnsi="Verdana" w:cs="Arial"/>
        </w:rPr>
        <w:t xml:space="preserve">En virtud de lo anterior, el Estado colombiano se obligó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Así, el cumplimiento de este compromiso ha requerido la creación de un marco jurídico legal y reglamentario que permita desarrollar las acciones pertinentes para alcanzar dicha finalidad.  </w:t>
      </w:r>
    </w:p>
    <w:p w14:paraId="3A2C63EA" w14:textId="77777777" w:rsidR="00815A2C" w:rsidRPr="00AC7039" w:rsidRDefault="00815A2C" w:rsidP="00815A2C">
      <w:pPr>
        <w:spacing w:after="120" w:line="276" w:lineRule="auto"/>
        <w:ind w:firstLine="708"/>
        <w:jc w:val="both"/>
        <w:rPr>
          <w:rFonts w:ascii="Verdana" w:eastAsia="Calibri" w:hAnsi="Verdana" w:cs="Arial"/>
        </w:rPr>
      </w:pPr>
      <w:r w:rsidRPr="00AC7039">
        <w:rPr>
          <w:rFonts w:ascii="Verdana" w:eastAsia="Calibri" w:hAnsi="Verdana" w:cs="Arial"/>
        </w:rPr>
        <w:t xml:space="preserve">Esta es la razón por la que, en el ordenamiento jurídico colombiano existen múltiples preceptos dirigidos a promover en diferentes contextos los derechos de los pueblos indígenas. Dentro de los ámbitos en los que han incidido estas disposiciones se encuentra el de la contratación pública, en la medida en que las actuaciones orientadas a la satisfacción de derechos de los Pueblos indígenas en situaciones concretas requieren de la concertación entre estos y las Entidades </w:t>
      </w:r>
      <w:r w:rsidRPr="00AC7039">
        <w:rPr>
          <w:rFonts w:ascii="Verdana" w:eastAsia="Calibri" w:hAnsi="Verdana" w:cs="Arial"/>
        </w:rPr>
        <w:lastRenderedPageBreak/>
        <w:t>Estatales, lo que ha suscitado la necesidad de un tratamiento jurídico particular para tales acuerdos.</w:t>
      </w:r>
    </w:p>
    <w:p w14:paraId="5401D183" w14:textId="77777777" w:rsidR="00815A2C" w:rsidRPr="00AC7039" w:rsidRDefault="00815A2C" w:rsidP="00815A2C">
      <w:pPr>
        <w:spacing w:after="120" w:line="276" w:lineRule="auto"/>
        <w:ind w:firstLine="708"/>
        <w:jc w:val="both"/>
        <w:rPr>
          <w:rFonts w:ascii="Verdana" w:eastAsia="Calibri" w:hAnsi="Verdana" w:cs="Arial"/>
        </w:rPr>
      </w:pPr>
      <w:r w:rsidRPr="00AC7039">
        <w:rPr>
          <w:rFonts w:ascii="Verdana" w:eastAsia="Calibri" w:hAnsi="Verdana" w:cs="Arial"/>
        </w:rPr>
        <w:t xml:space="preserve">Debido a lo anterior, en varias disposiciones dirigidas a garantizar la igualdad material, procurar la satisfacción de derechos sociales, económicos y culturales de las comunidades, así como a la preservación de la identidad social y cultural de los pueblos indígenas, se han regulado algunos aspectos contractuales en relación con sus órganos representativos. Sin embargo, está regulación se torna dispersa dado que el grueso de las disposiciones en las que se sustentan las modalidades contractuales y la capacidad para celebrarlas se encuentra en varios cuerpos normativos que aplican a distintos entes estatales, obedecen a contextos disímiles y tienen naturaleza normativa diferente. </w:t>
      </w:r>
    </w:p>
    <w:p w14:paraId="64CF6FB2" w14:textId="77777777" w:rsidR="00815A2C" w:rsidRPr="00AC7039" w:rsidRDefault="00815A2C" w:rsidP="00815A2C">
      <w:pPr>
        <w:spacing w:after="120" w:line="276" w:lineRule="auto"/>
        <w:ind w:firstLine="708"/>
        <w:jc w:val="both"/>
        <w:rPr>
          <w:rFonts w:ascii="Verdana" w:eastAsia="Calibri" w:hAnsi="Verdana" w:cs="Arial"/>
        </w:rPr>
      </w:pPr>
      <w:r w:rsidRPr="00AC7039">
        <w:rPr>
          <w:rFonts w:ascii="Verdana" w:eastAsia="Calibri" w:hAnsi="Verdana" w:cs="Arial"/>
        </w:rPr>
        <w:t xml:space="preserve">De este marco jurídico hacen parte normas relevantes como el artículo 329 constitucional, las Leyes 80 de 1993, 136 de 1994– modificada por la Ley 1551 de 2012– los Decretos 1088 de 1993, 1953 de 2014, 252 de 2020, la Ley 2160 de 2021 y recientemente se les ha añadido las modificaciones de la Ley 2294 de 2023. Ahora, para efectos del presente concepto, y con el propósito de dar respuesta al problema jurídico planteado, se estima necesario hacer énfasis en el alcance de los Decretos 1088 de 1993 y 252 de 2020 y las leyes </w:t>
      </w:r>
      <w:r w:rsidRPr="00AC7039">
        <w:rPr>
          <w:rFonts w:ascii="Verdana" w:hAnsi="Verdana" w:cs="Arial"/>
          <w:noProof/>
          <w:lang w:val="es-ES_tradnl"/>
        </w:rPr>
        <w:t xml:space="preserve">1530 de 2012 y </w:t>
      </w:r>
      <w:r w:rsidRPr="00AC7039">
        <w:rPr>
          <w:rFonts w:ascii="Verdana" w:hAnsi="Verdana" w:cs="Arial"/>
          <w:noProof/>
        </w:rPr>
        <w:t>2056 del 2020.</w:t>
      </w:r>
    </w:p>
    <w:p w14:paraId="04FCE918" w14:textId="77777777" w:rsidR="00815A2C" w:rsidRPr="00AC7039" w:rsidRDefault="00815A2C" w:rsidP="00815A2C">
      <w:pPr>
        <w:spacing w:after="120" w:line="276" w:lineRule="auto"/>
        <w:ind w:firstLine="708"/>
        <w:jc w:val="both"/>
        <w:rPr>
          <w:rFonts w:ascii="Verdana" w:eastAsia="Calibri" w:hAnsi="Verdana" w:cs="Arial"/>
        </w:rPr>
      </w:pPr>
      <w:r w:rsidRPr="00AC7039">
        <w:rPr>
          <w:rFonts w:ascii="Verdana" w:eastAsia="Calibri" w:hAnsi="Verdana" w:cs="Arial"/>
        </w:rPr>
        <w:t>Sobre el particular, debe iniciarse por señalar que, en relación con las formas de organización indígena, la Constitución Política de 1991 dispuso que la conformación de las entidades territoriales indígenas se realizaría conforme a lo dispuesto en la Ley de Ordenamiento Territorial – LOT. El artículo 329 de la Constitución</w:t>
      </w:r>
      <w:r w:rsidRPr="00AC7039">
        <w:rPr>
          <w:rStyle w:val="Refdenotaalpie"/>
          <w:rFonts w:ascii="Verdana" w:eastAsia="Calibri" w:hAnsi="Verdana" w:cs="Arial"/>
        </w:rPr>
        <w:footnoteReference w:id="3"/>
      </w:r>
      <w:r w:rsidRPr="00AC7039">
        <w:rPr>
          <w:rFonts w:ascii="Verdana" w:eastAsia="Calibri" w:hAnsi="Verdana" w:cs="Arial"/>
        </w:rPr>
        <w:t xml:space="preserve">. 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w:t>
      </w:r>
      <w:r w:rsidRPr="00AC7039">
        <w:rPr>
          <w:rFonts w:ascii="Verdana" w:eastAsia="Calibri" w:hAnsi="Verdana" w:cs="Arial"/>
        </w:rPr>
        <w:lastRenderedPageBreak/>
        <w:t>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r w:rsidRPr="00AC7039">
        <w:rPr>
          <w:rFonts w:ascii="Verdana" w:eastAsia="Calibri" w:hAnsi="Verdana" w:cs="Arial"/>
          <w:sz w:val="21"/>
          <w:szCs w:val="21"/>
        </w:rPr>
        <w:t>.</w:t>
      </w:r>
      <w:bookmarkStart w:id="4" w:name="_Hlk34989337"/>
    </w:p>
    <w:p w14:paraId="7586E0A2" w14:textId="77777777" w:rsidR="00815A2C" w:rsidRPr="00AC7039" w:rsidRDefault="00815A2C" w:rsidP="00815A2C">
      <w:pPr>
        <w:spacing w:after="120" w:line="276" w:lineRule="auto"/>
        <w:ind w:firstLine="708"/>
        <w:jc w:val="both"/>
        <w:rPr>
          <w:rFonts w:ascii="Verdana" w:eastAsia="Calibri" w:hAnsi="Verdana" w:cs="Arial"/>
        </w:rPr>
      </w:pPr>
      <w:r w:rsidRPr="00AC7039">
        <w:rPr>
          <w:rFonts w:ascii="Verdana" w:eastAsia="Calibri" w:hAnsi="Verdana" w:cs="Arial"/>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 </w:t>
      </w:r>
      <w:bookmarkEnd w:id="4"/>
    </w:p>
    <w:p w14:paraId="5264996B" w14:textId="77777777" w:rsidR="00815A2C" w:rsidRPr="00AC7039" w:rsidRDefault="00815A2C" w:rsidP="00815A2C">
      <w:pPr>
        <w:spacing w:after="120" w:line="276" w:lineRule="auto"/>
        <w:ind w:firstLine="708"/>
        <w:jc w:val="both"/>
        <w:rPr>
          <w:rFonts w:ascii="Verdana" w:eastAsia="Calibri" w:hAnsi="Verdana" w:cs="Arial"/>
        </w:rPr>
      </w:pPr>
      <w:r w:rsidRPr="00AC7039">
        <w:rPr>
          <w:rFonts w:ascii="Verdana" w:eastAsia="Calibri" w:hAnsi="Verdana" w:cs="Arial"/>
          <w:lang w:val="es-ES"/>
        </w:rPr>
        <w:t>Particularmente, sobre el Decreto 1088 de 1993 debe precisarse que según su ámbito de aplicación los Cabildos y/o Autoridades Tradicionales Indígenas, en representación de sus respectivos territorios indígenas,</w:t>
      </w:r>
      <w:r w:rsidRPr="00AC7039">
        <w:rPr>
          <w:rFonts w:ascii="Verdana" w:hAnsi="Verdana"/>
        </w:rPr>
        <w:t xml:space="preserve"> </w:t>
      </w:r>
      <w:r w:rsidRPr="00AC7039">
        <w:rPr>
          <w:rFonts w:ascii="Verdana" w:eastAsia="Calibri" w:hAnsi="Verdana" w:cs="Arial"/>
          <w:lang w:val="es-ES"/>
        </w:rPr>
        <w:t xml:space="preserve">podrán conformar asociaciones y la naturaleza jurídica de estas corresponde a </w:t>
      </w:r>
      <w:r w:rsidRPr="00AC7039">
        <w:rPr>
          <w:rFonts w:ascii="Verdana" w:hAnsi="Verdana" w:cs="Arial"/>
          <w:color w:val="333333"/>
          <w:shd w:val="clear" w:color="auto" w:fill="FFFFFF"/>
        </w:rPr>
        <w:t>entidades de Derecho Público de carácter especial, con personería jurídica, patrimonio propio y autonomía administrativa</w:t>
      </w:r>
      <w:r w:rsidRPr="00AC7039">
        <w:rPr>
          <w:rFonts w:ascii="Verdana" w:eastAsia="Calibri" w:hAnsi="Verdana" w:cs="Arial"/>
          <w:lang w:val="es-ES"/>
        </w:rPr>
        <w:t xml:space="preserve">. De acuerdo con el artículo tercero </w:t>
      </w:r>
      <w:r w:rsidRPr="00AC7039">
        <w:rPr>
          <w:rFonts w:ascii="Verdana" w:eastAsia="Calibri" w:hAnsi="Verdana" w:cs="Arial"/>
          <w:i/>
          <w:iCs/>
          <w:lang w:val="es-ES"/>
        </w:rPr>
        <w:t>ibidem</w:t>
      </w:r>
      <w:r w:rsidRPr="00AC7039">
        <w:rPr>
          <w:rFonts w:ascii="Verdana" w:eastAsia="Calibri" w:hAnsi="Verdana" w:cs="Arial"/>
          <w:lang w:val="es-ES"/>
        </w:rPr>
        <w:t xml:space="preserve"> estas asociaciones tienen por objeto, el desarrollo integral de las Comunidades Indígenas, para lo cual podrán adelantar las siguientes acciones: i) actividades de carácter industrial y comercial, bien sea en forma directa, o mediante convenios celebrados con personas naturales o jurídicas y </w:t>
      </w:r>
      <w:proofErr w:type="spellStart"/>
      <w:r w:rsidRPr="00AC7039">
        <w:rPr>
          <w:rFonts w:ascii="Verdana" w:eastAsia="Calibri" w:hAnsi="Verdana" w:cs="Arial"/>
          <w:lang w:val="es-ES"/>
        </w:rPr>
        <w:t>ii</w:t>
      </w:r>
      <w:proofErr w:type="spellEnd"/>
      <w:r w:rsidRPr="00AC7039">
        <w:rPr>
          <w:rFonts w:ascii="Verdana" w:eastAsia="Calibri" w:hAnsi="Verdana" w:cs="Arial"/>
          <w:lang w:val="es-ES"/>
        </w:rPr>
        <w:t>) fomentar en sus comunidades proyectos de salud, educación y vivienda en coordinación con las respectivas autoridades nacionales, regionales o locales y con sujeción a las normas legales pertinentes.</w:t>
      </w:r>
    </w:p>
    <w:p w14:paraId="785E6D5E" w14:textId="77777777" w:rsidR="00815A2C" w:rsidRPr="00AC7039" w:rsidRDefault="00815A2C" w:rsidP="00815A2C">
      <w:pPr>
        <w:spacing w:after="120" w:line="276" w:lineRule="auto"/>
        <w:ind w:firstLine="709"/>
        <w:jc w:val="both"/>
        <w:rPr>
          <w:rFonts w:ascii="Verdana" w:eastAsia="Calibri" w:hAnsi="Verdana" w:cs="Arial"/>
          <w:lang w:val="es-ES"/>
        </w:rPr>
      </w:pPr>
      <w:r w:rsidRPr="00AC7039">
        <w:rPr>
          <w:rFonts w:ascii="Verdana" w:eastAsia="Calibri" w:hAnsi="Verdana" w:cs="Arial"/>
        </w:rPr>
        <w:t xml:space="preserve">El artículo 7 señala que el patrimonio y recursos financieros de la asociación sólo podrán ser destinados para el cumplimiento de los objetivos de esta. </w:t>
      </w:r>
      <w:r w:rsidRPr="00AC7039">
        <w:rPr>
          <w:rFonts w:ascii="Verdana" w:eastAsia="Calibri" w:hAnsi="Verdana" w:cs="Arial"/>
          <w:lang w:val="es-ES"/>
        </w:rPr>
        <w:t xml:space="preserve">En relación con la naturaleza de los actos y contratos celebrados por estas asociaciones, el artículo 10 señala específicamente que “Los actos y contratos de naturaleza industrial o comercial de las asociaciones de que trata el presente Decreto, </w:t>
      </w:r>
      <w:r w:rsidRPr="00AC7039">
        <w:rPr>
          <w:rFonts w:ascii="Verdana" w:eastAsia="Calibri" w:hAnsi="Verdana" w:cs="Arial"/>
          <w:i/>
          <w:iCs/>
          <w:lang w:val="es-ES"/>
        </w:rPr>
        <w:t>se regirán por el derecho privado</w:t>
      </w:r>
      <w:r w:rsidRPr="00AC7039">
        <w:rPr>
          <w:rFonts w:ascii="Verdana" w:eastAsia="Calibri" w:hAnsi="Verdana" w:cs="Arial"/>
          <w:lang w:val="es-ES"/>
        </w:rPr>
        <w:t>. En los demás casos se sujetarán a las normas sobre asociaciones de entidades públicas conforme al Decreto 130 de 1976 y normas concordantes”. (Énfasis por fuera de texto)</w:t>
      </w:r>
    </w:p>
    <w:p w14:paraId="5996A4A2" w14:textId="77777777" w:rsidR="00815A2C" w:rsidRPr="00AC7039" w:rsidRDefault="00815A2C" w:rsidP="00815A2C">
      <w:pPr>
        <w:spacing w:after="120" w:line="276" w:lineRule="auto"/>
        <w:ind w:firstLine="709"/>
        <w:jc w:val="both"/>
        <w:rPr>
          <w:rFonts w:ascii="Verdana" w:eastAsia="Calibri" w:hAnsi="Verdana" w:cs="Arial"/>
          <w:lang w:val="es-ES"/>
        </w:rPr>
      </w:pPr>
      <w:r w:rsidRPr="00AC7039">
        <w:rPr>
          <w:rFonts w:ascii="Verdana" w:eastAsia="Calibri" w:hAnsi="Verdana" w:cs="Arial"/>
          <w:lang w:val="es-ES"/>
        </w:rPr>
        <w:t xml:space="preserve">Al respecto, la Corte Constitucional señaló que “con este Decreto se reconocieron “las aspiraciones de los Pueblos a asumir el control de sus propias instituciones y formas de vida y de su desarrollo económico y a mantener y </w:t>
      </w:r>
      <w:r w:rsidRPr="00AC7039">
        <w:rPr>
          <w:rFonts w:ascii="Verdana" w:eastAsia="Calibri" w:hAnsi="Verdana" w:cs="Arial"/>
          <w:lang w:val="es-ES"/>
        </w:rPr>
        <w:lastRenderedPageBreak/>
        <w:t>fortalecer sus identidades, lenguas, religiones, dentro del marco de los Estados en que viven”</w:t>
      </w:r>
      <w:r w:rsidRPr="00AC7039">
        <w:rPr>
          <w:rFonts w:ascii="Verdana" w:hAnsi="Verdana"/>
          <w:vertAlign w:val="superscript"/>
        </w:rPr>
        <w:footnoteReference w:id="4"/>
      </w:r>
      <w:r w:rsidRPr="00AC7039">
        <w:rPr>
          <w:rFonts w:ascii="Verdana" w:eastAsia="Calibri" w:hAnsi="Verdana" w:cs="Arial"/>
          <w:lang w:val="es-ES"/>
        </w:rPr>
        <w:t>. De esta manera, el Decreto 1088 de 1993 regula la asociación de Cabildos y/o autoridades tradicionales Indígenas para que estas realicen acciones tendientes al desarrollo integral de las comunidades indígenas, para lo cual determina unas reglas específicas para su funcionamiento, entre ellas, que los actos y contratos de naturaleza industrial o comercial celebrados por estas asociaciones se realicen con aplicación del derecho privado.</w:t>
      </w:r>
    </w:p>
    <w:p w14:paraId="0336D3DD" w14:textId="77777777" w:rsidR="00815A2C" w:rsidRPr="00AC7039" w:rsidRDefault="00815A2C" w:rsidP="00815A2C">
      <w:pPr>
        <w:spacing w:after="120" w:line="276" w:lineRule="auto"/>
        <w:ind w:firstLine="709"/>
        <w:jc w:val="both"/>
        <w:rPr>
          <w:rStyle w:val="normaltextrun"/>
          <w:rFonts w:ascii="Verdana" w:eastAsia="Calibri" w:hAnsi="Verdana" w:cs="Arial"/>
          <w:lang w:val="es-ES"/>
        </w:rPr>
      </w:pPr>
      <w:r w:rsidRPr="00AC7039">
        <w:rPr>
          <w:rFonts w:ascii="Verdana" w:eastAsia="Calibri" w:hAnsi="Verdana" w:cs="Arial"/>
          <w:lang w:val="es-ES"/>
        </w:rPr>
        <w:t xml:space="preserve">Por su parte, el Decreto 252 de 2020 adiciona al artículo 10 del Decreto 1088 de 1993 un parágrafo, asignándole a las “organizaciones indígenas” capacidad para contratar, sin limitaciones en cuanto al objeto del contrato o por la fuente de los recursos. </w:t>
      </w:r>
      <w:r w:rsidRPr="00AC7039">
        <w:rPr>
          <w:rFonts w:ascii="Verdana" w:hAnsi="Verdana"/>
        </w:rPr>
        <w:t>En este aspecto, es necesario señalar que las “organizaciones</w:t>
      </w:r>
      <w:r w:rsidRPr="00AC7039">
        <w:rPr>
          <w:rStyle w:val="normaltextrun"/>
          <w:rFonts w:ascii="Verdana" w:eastAsia="Calibri" w:hAnsi="Verdana" w:cs="Arial"/>
          <w:lang w:val="es-ES"/>
        </w:rPr>
        <w:t xml:space="preserve"> indígenas” se mencionaron en el artículo 6 de la Ley 1551 de 2012 que, entre otros grupos,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 ni capacidad jurídica general a estas formas de organización indígena, sino que se les asignó la capacidad jurídica contractual concreta para un negocio jurídico específico, celebrado con entidades de derecho público que tienen capacidad para contratar, esto, de conformidad con el artículo 2 de la Ley 80 de 1993.</w:t>
      </w:r>
    </w:p>
    <w:p w14:paraId="696A862C" w14:textId="77777777" w:rsidR="00815A2C" w:rsidRPr="00AC7039" w:rsidRDefault="00815A2C" w:rsidP="00815A2C">
      <w:pPr>
        <w:spacing w:after="120" w:line="276" w:lineRule="auto"/>
        <w:ind w:firstLine="709"/>
        <w:jc w:val="both"/>
        <w:rPr>
          <w:rFonts w:ascii="Verdana" w:eastAsia="Calibri" w:hAnsi="Verdana" w:cs="Arial"/>
          <w:lang w:val="es-ES" w:eastAsia="es-ES_tradnl"/>
        </w:rPr>
      </w:pPr>
      <w:r w:rsidRPr="00AC7039">
        <w:rPr>
          <w:rStyle w:val="normaltextrun"/>
          <w:rFonts w:ascii="Verdana" w:eastAsia="Calibri" w:hAnsi="Verdana" w:cs="Arial"/>
          <w:lang w:val="es-ES"/>
        </w:rPr>
        <w:t xml:space="preserve">El artículo 1 del Decreto 252 de 2020 permite que las asociaciones de cabildos o asociaciones de autoridades tradicionales indígenas y las “organizaciones indígenas” contraten con las Entidades Estatales definidas en el artículo 2 de la Ley 80 de 1993, y además pueden hacerlo de manera directa –sin necesidad de participar en licitaciones u otro proceso de selección–, pero condicionando a la composición de estas organizaciones, cuyos miembros deben ser, exclusivamente: </w:t>
      </w:r>
      <w:r w:rsidRPr="00AC7039">
        <w:rPr>
          <w:rFonts w:ascii="Verdana" w:eastAsia="Calibri" w:hAnsi="Verdana" w:cs="Arial"/>
          <w:i/>
          <w:iCs/>
          <w:lang w:val="es-ES" w:eastAsia="es-ES_tradnl"/>
        </w:rPr>
        <w:t>i)</w:t>
      </w:r>
      <w:r w:rsidRPr="00AC7039">
        <w:rPr>
          <w:rFonts w:ascii="Verdana" w:eastAsia="Calibri" w:hAnsi="Verdana" w:cs="Arial"/>
          <w:lang w:val="es-ES" w:eastAsia="es-ES_tradnl"/>
        </w:rPr>
        <w:t xml:space="preserve"> cabildos indígenas,</w:t>
      </w:r>
      <w:r w:rsidRPr="00AC7039">
        <w:rPr>
          <w:rFonts w:ascii="Verdana" w:eastAsia="Calibri" w:hAnsi="Verdana" w:cs="Arial"/>
          <w:i/>
          <w:iCs/>
          <w:lang w:val="es-ES" w:eastAsia="es-ES_tradnl"/>
        </w:rPr>
        <w:t xml:space="preserve"> </w:t>
      </w:r>
      <w:proofErr w:type="spellStart"/>
      <w:r w:rsidRPr="00AC7039">
        <w:rPr>
          <w:rFonts w:ascii="Verdana" w:eastAsia="Calibri" w:hAnsi="Verdana" w:cs="Arial"/>
          <w:i/>
          <w:iCs/>
          <w:lang w:val="es-ES" w:eastAsia="es-ES_tradnl"/>
        </w:rPr>
        <w:t>ii</w:t>
      </w:r>
      <w:proofErr w:type="spellEnd"/>
      <w:r w:rsidRPr="00AC7039">
        <w:rPr>
          <w:rFonts w:ascii="Verdana" w:eastAsia="Calibri" w:hAnsi="Verdana" w:cs="Arial"/>
          <w:i/>
          <w:iCs/>
          <w:lang w:val="es-ES" w:eastAsia="es-ES_tradnl"/>
        </w:rPr>
        <w:t xml:space="preserve">) </w:t>
      </w:r>
      <w:r w:rsidRPr="00AC7039">
        <w:rPr>
          <w:rFonts w:ascii="Verdana" w:eastAsia="Calibri" w:hAnsi="Verdana" w:cs="Arial"/>
          <w:lang w:val="es-ES" w:eastAsia="es-ES_tradnl"/>
        </w:rPr>
        <w:t xml:space="preserve">resguardos indígenas, </w:t>
      </w:r>
      <w:proofErr w:type="spellStart"/>
      <w:r w:rsidRPr="00AC7039">
        <w:rPr>
          <w:rFonts w:ascii="Verdana" w:eastAsia="Calibri" w:hAnsi="Verdana" w:cs="Arial"/>
          <w:i/>
          <w:iCs/>
          <w:lang w:val="es-ES" w:eastAsia="es-ES_tradnl"/>
        </w:rPr>
        <w:t>iii</w:t>
      </w:r>
      <w:proofErr w:type="spellEnd"/>
      <w:r w:rsidRPr="00AC7039">
        <w:rPr>
          <w:rFonts w:ascii="Verdana" w:eastAsia="Calibri" w:hAnsi="Verdana" w:cs="Arial"/>
          <w:i/>
          <w:iCs/>
          <w:lang w:val="es-ES" w:eastAsia="es-ES_tradnl"/>
        </w:rPr>
        <w:t>)</w:t>
      </w:r>
      <w:r w:rsidRPr="00AC7039">
        <w:rPr>
          <w:rFonts w:ascii="Verdana" w:eastAsia="Calibri" w:hAnsi="Verdana" w:cs="Arial"/>
          <w:lang w:val="es-ES" w:eastAsia="es-ES_tradnl"/>
        </w:rPr>
        <w:t xml:space="preserve"> asociaciones de cabildos indígenas, </w:t>
      </w:r>
      <w:proofErr w:type="spellStart"/>
      <w:r w:rsidRPr="00AC7039">
        <w:rPr>
          <w:rFonts w:ascii="Verdana" w:eastAsia="Calibri" w:hAnsi="Verdana" w:cs="Arial"/>
          <w:i/>
          <w:iCs/>
          <w:lang w:val="es-ES" w:eastAsia="es-ES_tradnl"/>
        </w:rPr>
        <w:t>iv</w:t>
      </w:r>
      <w:proofErr w:type="spellEnd"/>
      <w:r w:rsidRPr="00AC7039">
        <w:rPr>
          <w:rFonts w:ascii="Verdana" w:eastAsia="Calibri" w:hAnsi="Verdana" w:cs="Arial"/>
          <w:i/>
          <w:iCs/>
          <w:lang w:val="es-ES" w:eastAsia="es-ES_tradnl"/>
        </w:rPr>
        <w:t xml:space="preserve">) </w:t>
      </w:r>
      <w:r w:rsidRPr="00AC7039">
        <w:rPr>
          <w:rFonts w:ascii="Verdana" w:eastAsia="Calibri" w:hAnsi="Verdana" w:cs="Arial"/>
          <w:lang w:val="es-ES" w:eastAsia="es-ES_tradnl"/>
        </w:rPr>
        <w:t xml:space="preserve">asociaciones de autoridades indígenas, y </w:t>
      </w:r>
      <w:r w:rsidRPr="00AC7039">
        <w:rPr>
          <w:rFonts w:ascii="Verdana" w:eastAsia="Calibri" w:hAnsi="Verdana" w:cs="Arial"/>
          <w:i/>
          <w:iCs/>
          <w:lang w:val="es-ES" w:eastAsia="es-ES_tradnl"/>
        </w:rPr>
        <w:t>v)</w:t>
      </w:r>
      <w:r w:rsidRPr="00AC7039">
        <w:rPr>
          <w:rFonts w:ascii="Verdana" w:eastAsia="Calibri" w:hAnsi="Verdana" w:cs="Arial"/>
          <w:lang w:val="es-ES" w:eastAsia="es-ES_tradnl"/>
        </w:rPr>
        <w:t xml:space="preserve"> otras formas de autoridad indígena.</w:t>
      </w:r>
      <w:r w:rsidRPr="00AC7039">
        <w:rPr>
          <w:rFonts w:ascii="Verdana" w:hAnsi="Verdana"/>
          <w:vertAlign w:val="superscript"/>
        </w:rPr>
        <w:footnoteReference w:id="5"/>
      </w:r>
    </w:p>
    <w:p w14:paraId="36AA2B5E" w14:textId="77777777" w:rsidR="00815A2C" w:rsidRPr="00AC7039" w:rsidRDefault="00815A2C" w:rsidP="00815A2C">
      <w:pPr>
        <w:spacing w:after="120" w:line="276" w:lineRule="auto"/>
        <w:ind w:firstLine="709"/>
        <w:jc w:val="both"/>
        <w:rPr>
          <w:rFonts w:ascii="Verdana" w:eastAsia="Calibri" w:hAnsi="Verdana" w:cs="Arial"/>
          <w:lang w:val="es-ES" w:eastAsia="es-ES_tradnl"/>
        </w:rPr>
      </w:pPr>
      <w:r w:rsidRPr="00AC7039">
        <w:rPr>
          <w:rFonts w:ascii="Verdana" w:eastAsia="Calibri" w:hAnsi="Verdana" w:cs="Arial"/>
          <w:lang w:val="es-ES" w:eastAsia="es-ES_tradnl"/>
        </w:rPr>
        <w:lastRenderedPageBreak/>
        <w:t xml:space="preserve">En ese sentido, la norma le confirió a las “organizaciones indígenas”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no regula su naturaleza o régimen legal, sino que establece la regulación indicada en materia contractual. </w:t>
      </w:r>
    </w:p>
    <w:p w14:paraId="394E7669" w14:textId="77777777" w:rsidR="00815A2C" w:rsidRPr="00AC7039" w:rsidRDefault="00815A2C" w:rsidP="00815A2C">
      <w:pPr>
        <w:spacing w:after="120" w:line="276" w:lineRule="auto"/>
        <w:ind w:firstLine="709"/>
        <w:jc w:val="both"/>
        <w:rPr>
          <w:rFonts w:ascii="Verdana" w:eastAsia="Calibri" w:hAnsi="Verdana" w:cs="Arial"/>
          <w:lang w:val="es-ES" w:eastAsia="es-ES_tradnl"/>
        </w:rPr>
      </w:pPr>
      <w:r w:rsidRPr="00AC7039">
        <w:rPr>
          <w:rFonts w:ascii="Verdana" w:eastAsia="Calibri" w:hAnsi="Verdana" w:cs="Arial"/>
          <w:lang w:val="es-ES" w:eastAsia="es-ES_tradnl"/>
        </w:rPr>
        <w:t xml:space="preserve">De acuerdo con lo hasta aquí expuesto, es claro que la celebración de contratos o convenios de manera directa entre entidades estatales y Asociaciones de Cabildos y Autoridades Tradicionales, al igual que con organizaciones indígenas, es un asunto regulado por el Decreto 1088 de 1993, adicionado por el Decreto 252 de 2020. Además, estableció </w:t>
      </w:r>
      <w:r w:rsidRPr="00AC7039">
        <w:rPr>
          <w:rFonts w:ascii="Verdana" w:eastAsia="Calibri" w:hAnsi="Verdana" w:cs="Arial"/>
          <w:lang w:eastAsia="es-ES_tradnl"/>
        </w:rPr>
        <w:t xml:space="preserve">la naturaleza de los actos y contratos de estas asociaciones y organizaciones indígenas y, señaló que los contratos industriales y comerciales se regirán por las reglas de derecho privado. </w:t>
      </w:r>
    </w:p>
    <w:p w14:paraId="12217C01" w14:textId="77777777" w:rsidR="00815A2C" w:rsidRDefault="00815A2C" w:rsidP="00815A2C">
      <w:pPr>
        <w:spacing w:after="120" w:line="276" w:lineRule="auto"/>
        <w:jc w:val="both"/>
        <w:rPr>
          <w:rFonts w:ascii="Verdana" w:eastAsia="Calibri" w:hAnsi="Verdana" w:cs="Arial"/>
          <w:color w:val="000000"/>
          <w:lang w:val="es-ES" w:eastAsia="es-ES"/>
        </w:rPr>
      </w:pPr>
      <w:proofErr w:type="spellStart"/>
      <w:r>
        <w:rPr>
          <w:rFonts w:ascii="Verdana" w:eastAsia="Calibri" w:hAnsi="Verdana" w:cs="Arial"/>
          <w:color w:val="000000"/>
          <w:lang w:val="es-ES" w:eastAsia="es-ES"/>
        </w:rPr>
        <w:t>ii</w:t>
      </w:r>
      <w:proofErr w:type="spellEnd"/>
      <w:r>
        <w:rPr>
          <w:rFonts w:ascii="Verdana" w:eastAsia="Calibri" w:hAnsi="Verdana" w:cs="Arial"/>
          <w:color w:val="000000"/>
          <w:lang w:val="es-ES" w:eastAsia="es-ES"/>
        </w:rPr>
        <w:t xml:space="preserve">. Ahora bien, en atención a las consultas planteadas sobre los recursos del Sistema General de Regalías, es necesario hacer algunas precisiones </w:t>
      </w:r>
      <w:r w:rsidRPr="00F775CF">
        <w:rPr>
          <w:rFonts w:ascii="Verdana" w:eastAsia="Calibri" w:hAnsi="Verdana" w:cs="Arial"/>
          <w:color w:val="000000"/>
          <w:lang w:val="es-ES" w:eastAsia="es-ES"/>
        </w:rPr>
        <w:t>sobre la posición que ha sostenido la Subdirección de Gestión Contractual de la ANCP – CCE en ejercicio de su función consultiva, en relación con el régimen de contratación aplicable a la ejecución de proyectos financiados con recursos del Sistema General de Regalías -SGR-, cuando las entidades ejecutoras de recursos de regalías cuentan con un régimen especial de contratación</w:t>
      </w:r>
      <w:r>
        <w:rPr>
          <w:rFonts w:ascii="Verdana" w:eastAsia="Calibri" w:hAnsi="Verdana" w:cs="Arial"/>
          <w:color w:val="000000"/>
          <w:lang w:val="es-ES" w:eastAsia="es-ES"/>
        </w:rPr>
        <w:t xml:space="preserve">. </w:t>
      </w:r>
    </w:p>
    <w:p w14:paraId="299EEE62" w14:textId="77777777" w:rsidR="00815A2C" w:rsidRPr="00FB6807" w:rsidRDefault="00815A2C" w:rsidP="00815A2C">
      <w:pPr>
        <w:spacing w:after="120" w:line="276" w:lineRule="auto"/>
        <w:ind w:firstLine="709"/>
        <w:jc w:val="both"/>
        <w:rPr>
          <w:rFonts w:ascii="Verdana" w:hAnsi="Verdana"/>
          <w:shd w:val="clear" w:color="auto" w:fill="FFFFFF"/>
        </w:rPr>
      </w:pPr>
      <w:r w:rsidRPr="00FB6807">
        <w:rPr>
          <w:rFonts w:ascii="Verdana" w:hAnsi="Verdana"/>
          <w:lang w:val="es-ES" w:eastAsia="es-ES"/>
        </w:rPr>
        <w:t xml:space="preserve">Así, conforme a la interpretación general de las normas del sistema de compras públicas, esta Subdirección en </w:t>
      </w:r>
      <w:r w:rsidRPr="00FB6807">
        <w:rPr>
          <w:rFonts w:ascii="Verdana" w:hAnsi="Verdana"/>
        </w:rPr>
        <w:t>los conceptos C-370 del 2021,</w:t>
      </w:r>
      <w:r w:rsidRPr="00FB6807">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FB6807">
        <w:rPr>
          <w:rFonts w:ascii="Verdana" w:hAnsi="Verdana" w:cs="Arial"/>
        </w:rPr>
        <w:t xml:space="preserve"> C-764 del 29 de mayo de 2026</w:t>
      </w:r>
      <w:r w:rsidRPr="00FB6807">
        <w:rPr>
          <w:rFonts w:ascii="Verdana" w:hAnsi="Verdana"/>
          <w:shd w:val="clear" w:color="auto" w:fill="FFFFFF"/>
        </w:rPr>
        <w:t xml:space="preserve">, </w:t>
      </w:r>
      <w:r w:rsidRPr="00FB6807">
        <w:rPr>
          <w:rFonts w:ascii="Verdana" w:hAnsi="Verdana"/>
          <w:shd w:val="clear" w:color="auto" w:fill="FFFFFF"/>
        </w:rPr>
        <w:lastRenderedPageBreak/>
        <w:t xml:space="preserve">C-1050 del 21 de julio de 2026, C-1151, C-1152 del 12 de agosto, C-1249 del 27 de agosto de 2026, ha mantenido la postura en virtud de la cual </w:t>
      </w:r>
      <w:r w:rsidRPr="00FB6807">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512BEC09" w14:textId="77777777" w:rsidR="00815A2C" w:rsidRPr="00FB6807" w:rsidRDefault="00815A2C" w:rsidP="00815A2C">
      <w:pPr>
        <w:spacing w:after="120" w:line="276" w:lineRule="auto"/>
        <w:ind w:firstLine="709"/>
        <w:jc w:val="both"/>
        <w:rPr>
          <w:rFonts w:ascii="Verdana" w:hAnsi="Verdana" w:cs="Arial"/>
          <w:noProof/>
        </w:rPr>
      </w:pPr>
      <w:r w:rsidRPr="00FB6807">
        <w:rPr>
          <w:rFonts w:ascii="Verdana" w:eastAsia="Calibri" w:hAnsi="Verdana" w:cs="Arial"/>
          <w:color w:val="000000"/>
          <w:lang w:val="es-ES" w:eastAsia="es-ES"/>
        </w:rPr>
        <w:t xml:space="preserve">En efecto, conforme se ha explicado en estos conceptos, </w:t>
      </w:r>
      <w:r w:rsidRPr="00FB6807">
        <w:rPr>
          <w:rFonts w:ascii="Verdana" w:hAnsi="Verdana" w:cs="Arial"/>
          <w:noProof/>
          <w:lang w:val="es-ES_tradnl"/>
        </w:rPr>
        <w:t xml:space="preserve">en </w:t>
      </w:r>
      <w:r w:rsidRPr="00FB6807">
        <w:rPr>
          <w:rFonts w:ascii="Verdana" w:hAnsi="Verdana" w:cs="Arial"/>
          <w:noProof/>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1D0AE538" w14:textId="77777777" w:rsidR="00815A2C" w:rsidRPr="00FB6807" w:rsidRDefault="00815A2C" w:rsidP="00815A2C">
      <w:pPr>
        <w:spacing w:after="120" w:line="276" w:lineRule="auto"/>
        <w:ind w:firstLine="709"/>
        <w:jc w:val="both"/>
        <w:rPr>
          <w:rFonts w:ascii="Verdana" w:hAnsi="Verdana" w:cs="Arial"/>
        </w:rPr>
      </w:pPr>
      <w:r w:rsidRPr="00FB6807">
        <w:rPr>
          <w:rFonts w:ascii="Verdana" w:hAnsi="Verdana" w:cs="Arial"/>
          <w:noProof/>
        </w:rPr>
        <w:t xml:space="preserve">Particularmente, el artículo 37 </w:t>
      </w:r>
      <w:r w:rsidRPr="00FB6807">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FB6807">
        <w:rPr>
          <w:rFonts w:ascii="Verdana" w:hAnsi="Verdana" w:cs="Arial"/>
          <w:i/>
          <w:iCs/>
        </w:rPr>
        <w:t>ibidem</w:t>
      </w:r>
      <w:r w:rsidRPr="00FB6807">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FB6807">
        <w:rPr>
          <w:rFonts w:ascii="Verdana" w:hAnsi="Verdana" w:cs="Arial"/>
        </w:rPr>
        <w:t>los mismos</w:t>
      </w:r>
      <w:proofErr w:type="gramEnd"/>
      <w:r w:rsidRPr="00FB6807">
        <w:rPr>
          <w:rFonts w:ascii="Verdana" w:hAnsi="Verdana" w:cs="Arial"/>
        </w:rPr>
        <w:t xml:space="preserve">, sin perjuicio de las acciones de control a las que haya lugar. </w:t>
      </w:r>
    </w:p>
    <w:p w14:paraId="460867EA" w14:textId="77777777" w:rsidR="00815A2C" w:rsidRPr="00FB6807" w:rsidRDefault="00815A2C" w:rsidP="00815A2C">
      <w:pPr>
        <w:spacing w:after="120" w:line="276" w:lineRule="auto"/>
        <w:ind w:firstLine="709"/>
        <w:jc w:val="both"/>
        <w:rPr>
          <w:rFonts w:ascii="Verdana" w:hAnsi="Verdana" w:cs="Arial"/>
        </w:rPr>
      </w:pPr>
      <w:r>
        <w:rPr>
          <w:rFonts w:ascii="Verdana" w:hAnsi="Verdana" w:cs="Arial"/>
        </w:rPr>
        <w:t xml:space="preserve">El parágrafo primero del artículo 37 </w:t>
      </w:r>
      <w:r>
        <w:rPr>
          <w:rFonts w:ascii="Verdana" w:hAnsi="Verdana" w:cs="Arial"/>
          <w:i/>
          <w:iCs/>
        </w:rPr>
        <w:t>ibidem</w:t>
      </w:r>
      <w:r>
        <w:rPr>
          <w:rFonts w:ascii="Verdana" w:hAnsi="Verdana" w:cs="Arial"/>
        </w:rPr>
        <w:t xml:space="preserve"> dispone lo siguiente: “La ejecución de proyectos de que trata este artículo, se adelantará, con estricta sujeción al régimen presupuestal definido en esta ley, </w:t>
      </w:r>
      <w:r>
        <w:rPr>
          <w:rFonts w:ascii="Verdana" w:hAnsi="Verdana" w:cs="Arial"/>
          <w:i/>
          <w:iCs/>
          <w:u w:val="single"/>
        </w:rPr>
        <w:t>al de contratación pública</w:t>
      </w:r>
      <w:r>
        <w:rPr>
          <w:rFonts w:ascii="Verdana" w:hAnsi="Verdana" w:cs="Arial"/>
        </w:rPr>
        <w:t xml:space="preserve"> y las demás normas legales vigentes. El ejecutor garantizará la correcta </w:t>
      </w:r>
      <w:r>
        <w:rPr>
          <w:rFonts w:ascii="Verdana" w:hAnsi="Verdana" w:cs="Arial"/>
        </w:rPr>
        <w:lastRenderedPageBreak/>
        <w:t>ejecución de los recursos asignados al proyecto de inversión, así como el suministro y registro de la información requerida por el sistema de seguimiento, evaluación y control”</w:t>
      </w:r>
      <w:r>
        <w:rPr>
          <w:rFonts w:ascii="Verdana" w:hAnsi="Verdana" w:cs="Arial"/>
          <w:vertAlign w:val="superscript"/>
        </w:rPr>
        <w:footnoteReference w:id="6"/>
      </w:r>
      <w:r>
        <w:rPr>
          <w:rFonts w:ascii="Verdana" w:hAnsi="Verdana" w:cs="Arial"/>
        </w:rPr>
        <w:t>.</w:t>
      </w:r>
      <w:r>
        <w:rPr>
          <w:rFonts w:ascii="Verdana" w:hAnsi="Verdana" w:cs="Arial"/>
          <w:noProof/>
        </w:rPr>
        <w:t xml:space="preserve"> A partir de esta norma, el ejecutor de los proyectos de inversión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4B875C4A" w14:textId="77777777" w:rsidR="00815A2C" w:rsidRPr="00FB6807" w:rsidRDefault="00815A2C" w:rsidP="00815A2C">
      <w:pPr>
        <w:spacing w:after="120" w:line="276" w:lineRule="auto"/>
        <w:ind w:firstLine="709"/>
        <w:jc w:val="both"/>
        <w:rPr>
          <w:rFonts w:ascii="Verdana" w:hAnsi="Verdana" w:cs="Arial"/>
          <w:bdr w:val="none" w:sz="0" w:space="0" w:color="auto" w:frame="1"/>
        </w:rPr>
      </w:pPr>
      <w:r w:rsidRPr="00FB6807">
        <w:rPr>
          <w:rFonts w:ascii="Verdana" w:hAnsi="Verdana" w:cs="Arial"/>
        </w:rPr>
        <w:t xml:space="preserve">Por tanto, en caso de que se realicen proyectos de inversión en el marco del Sistema General de Regalías, como también aquellos proyectos especiales referenciados </w:t>
      </w:r>
      <w:r w:rsidRPr="00FB6807">
        <w:rPr>
          <w:rFonts w:ascii="Verdana" w:hAnsi="Verdana" w:cs="Arial"/>
          <w:i/>
          <w:iCs/>
        </w:rPr>
        <w:t>ut supra</w:t>
      </w:r>
      <w:r w:rsidRPr="00FB6807">
        <w:rPr>
          <w:rFonts w:ascii="Verdana" w:hAnsi="Verdana" w:cs="Arial"/>
        </w:rPr>
        <w:t>, los ejecutores designados para desarrollarlos deben sujetarse al Estatuto General de Contratación de la Administración Pública</w:t>
      </w:r>
      <w:r w:rsidRPr="00FB6807">
        <w:rPr>
          <w:rFonts w:ascii="Verdana" w:eastAsia="Calibri" w:hAnsi="Verdana" w:cs="Arial"/>
        </w:rPr>
        <w:t>.</w:t>
      </w:r>
      <w:r w:rsidRPr="00FB6807">
        <w:rPr>
          <w:rFonts w:ascii="Verdana" w:hAnsi="Verdana" w:cs="Arial"/>
        </w:rPr>
        <w:t xml:space="preserve"> </w:t>
      </w:r>
      <w:r w:rsidRPr="00FB6807">
        <w:rPr>
          <w:rFonts w:ascii="Verdana" w:hAnsi="Verdana" w:cs="Arial"/>
          <w:bdr w:val="none" w:sz="0" w:space="0" w:color="auto" w:frame="1"/>
        </w:rPr>
        <w:t xml:space="preserve">En el evento en que determinados asuntos estén sometidos por norma especial al </w:t>
      </w:r>
      <w:r w:rsidRPr="00FB6807">
        <w:rPr>
          <w:rFonts w:ascii="Verdana" w:hAnsi="Verdana" w:cs="Arial"/>
          <w:bdr w:val="none" w:sz="0" w:space="0" w:color="auto" w:frame="1"/>
        </w:rPr>
        <w:lastRenderedPageBreak/>
        <w:t xml:space="preserve">Estatuto General de Contratación Pública, la ejecución de los contratos deberá realizarse conforme a este régimen. </w:t>
      </w:r>
    </w:p>
    <w:p w14:paraId="22EC6C62" w14:textId="77777777" w:rsidR="00815A2C" w:rsidRDefault="00815A2C" w:rsidP="00815A2C">
      <w:pPr>
        <w:spacing w:after="120" w:line="276" w:lineRule="auto"/>
        <w:ind w:firstLine="709"/>
        <w:jc w:val="both"/>
        <w:rPr>
          <w:rFonts w:ascii="Verdana" w:eastAsia="Calibri" w:hAnsi="Verdana" w:cs="Arial"/>
          <w:color w:val="000000"/>
          <w:lang w:val="es-ES" w:eastAsia="es-ES"/>
        </w:rPr>
      </w:pPr>
      <w:r w:rsidRPr="00FB6807">
        <w:rPr>
          <w:rFonts w:ascii="Verdana" w:eastAsia="Calibri" w:hAnsi="Verdana" w:cs="Arial"/>
          <w:color w:val="00000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6306BBD9" w14:textId="77777777" w:rsidR="00815A2C" w:rsidRPr="00917B65" w:rsidRDefault="00815A2C" w:rsidP="00815A2C">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lang w:val="es-ES" w:eastAsia="es-ES"/>
        </w:rPr>
        <w:t>Sobre</w:t>
      </w:r>
      <w:r w:rsidRPr="003979DB">
        <w:rPr>
          <w:rFonts w:ascii="Verdana" w:eastAsia="Calibri" w:hAnsi="Verdana" w:cs="Arial"/>
          <w:lang w:val="es-ES_tradnl"/>
        </w:rPr>
        <w:t xml:space="preserve"> </w:t>
      </w:r>
      <w:r w:rsidRPr="00AC7039">
        <w:rPr>
          <w:rFonts w:ascii="Verdana" w:eastAsia="Calibri" w:hAnsi="Verdana" w:cs="Arial"/>
          <w:lang w:val="es-ES_tradnl"/>
        </w:rPr>
        <w:t xml:space="preserve">la </w:t>
      </w:r>
      <w:r w:rsidRPr="00AC7039">
        <w:rPr>
          <w:rFonts w:ascii="Verdana" w:eastAsia="Calibri" w:hAnsi="Verdana" w:cs="Arial"/>
        </w:rPr>
        <w:t>inversión de los recursos del Sistema General de Regalías para pueblos y comunidades indígenas</w:t>
      </w:r>
      <w:r>
        <w:rPr>
          <w:rFonts w:ascii="Verdana" w:eastAsia="Calibri" w:hAnsi="Verdana" w:cs="Arial"/>
        </w:rPr>
        <w:t xml:space="preserve">, esta Agencia en los conceptos </w:t>
      </w:r>
      <w:r w:rsidRPr="00AC7039">
        <w:rPr>
          <w:rFonts w:ascii="Verdana" w:hAnsi="Verdana" w:cs="Arial"/>
          <w:shd w:val="clear" w:color="auto" w:fill="FFFFFF"/>
          <w:lang w:val="es-ES"/>
        </w:rPr>
        <w:t>C-891 del 20 de diciembre del 2024, C-844 del 06 de agosto del 2025</w:t>
      </w:r>
      <w:r>
        <w:rPr>
          <w:rFonts w:ascii="Verdana" w:hAnsi="Verdana" w:cs="Arial"/>
          <w:shd w:val="clear" w:color="auto" w:fill="FFFFFF"/>
          <w:lang w:val="es-ES"/>
        </w:rPr>
        <w:t>,</w:t>
      </w:r>
      <w:r w:rsidRPr="00917B65">
        <w:rPr>
          <w:rFonts w:ascii="Verdana" w:eastAsia="Calibri" w:hAnsi="Verdana" w:cs="Arial"/>
          <w:color w:val="000000" w:themeColor="text1"/>
          <w:lang w:eastAsia="es-ES"/>
        </w:rPr>
        <w:t xml:space="preserve"> </w:t>
      </w:r>
      <w:r>
        <w:rPr>
          <w:rFonts w:ascii="Verdana" w:eastAsia="Calibri" w:hAnsi="Verdana" w:cs="Arial"/>
          <w:color w:val="000000" w:themeColor="text1"/>
          <w:lang w:eastAsia="es-ES"/>
        </w:rPr>
        <w:t>C-1257 del 19 de septiembre de 2025 y</w:t>
      </w:r>
      <w:r>
        <w:rPr>
          <w:rFonts w:ascii="Verdana" w:hAnsi="Verdana" w:cs="Arial"/>
          <w:shd w:val="clear" w:color="auto" w:fill="FFFFFF"/>
          <w:lang w:val="es-ES"/>
        </w:rPr>
        <w:t xml:space="preserve"> C-1585 de 2025, señaló que </w:t>
      </w:r>
      <w:r>
        <w:rPr>
          <w:rFonts w:ascii="Verdana" w:eastAsia="Calibri" w:hAnsi="Verdana" w:cs="Arial"/>
        </w:rPr>
        <w:t>d</w:t>
      </w:r>
      <w:r w:rsidRPr="00AC7039">
        <w:rPr>
          <w:rFonts w:ascii="Verdana" w:eastAsia="Calibri" w:hAnsi="Verdana" w:cs="Arial"/>
        </w:rPr>
        <w:t>e conformidad con el parágrafo del artículo 84</w:t>
      </w:r>
      <w:r>
        <w:rPr>
          <w:rStyle w:val="Refdenotaalpie"/>
          <w:rFonts w:ascii="Verdana" w:eastAsia="Calibri" w:hAnsi="Verdana" w:cs="Arial"/>
        </w:rPr>
        <w:footnoteReference w:id="7"/>
      </w:r>
      <w:r>
        <w:rPr>
          <w:rFonts w:ascii="Verdana" w:eastAsia="Calibri" w:hAnsi="Verdana" w:cs="Arial"/>
        </w:rPr>
        <w:t xml:space="preserve"> y el artículo 85 de la Ley 2056 de 2020</w:t>
      </w:r>
      <w:r w:rsidRPr="00F51EB6">
        <w:rPr>
          <w:rFonts w:ascii="Verdana" w:eastAsia="Calibri" w:hAnsi="Verdana" w:cs="Arial"/>
        </w:rPr>
        <w:t xml:space="preserve"> </w:t>
      </w:r>
      <w:r w:rsidRPr="00AC7039">
        <w:rPr>
          <w:rFonts w:ascii="Verdana" w:eastAsia="Calibri" w:hAnsi="Verdana" w:cs="Arial"/>
        </w:rPr>
        <w:t>se conclu</w:t>
      </w:r>
      <w:r>
        <w:rPr>
          <w:rFonts w:ascii="Verdana" w:eastAsia="Calibri" w:hAnsi="Verdana" w:cs="Arial"/>
        </w:rPr>
        <w:t>ían</w:t>
      </w:r>
      <w:r w:rsidRPr="00AC7039">
        <w:rPr>
          <w:rFonts w:ascii="Verdana" w:eastAsia="Calibri" w:hAnsi="Verdana" w:cs="Arial"/>
        </w:rPr>
        <w:t xml:space="preserve"> dos aspectos fundamentales: i) los proyectos de inversión con Recursos del SGR podrán ser ejecutados, entre otros sujetos, por las asociaciones de cabildos, las asociaciones tradicionales indígenas, otras formas de asociación y las organizaciones indígenas a las que se refiere el Decreto 252 de 2020 y, </w:t>
      </w:r>
      <w:proofErr w:type="spellStart"/>
      <w:r w:rsidRPr="00AC7039">
        <w:rPr>
          <w:rFonts w:ascii="Verdana" w:eastAsia="Calibri" w:hAnsi="Verdana" w:cs="Arial"/>
        </w:rPr>
        <w:t>ii</w:t>
      </w:r>
      <w:proofErr w:type="spellEnd"/>
      <w:r w:rsidRPr="00AC7039">
        <w:rPr>
          <w:rFonts w:ascii="Verdana" w:eastAsia="Calibri" w:hAnsi="Verdana" w:cs="Arial"/>
        </w:rPr>
        <w:t>) los actos o contratos que expidan o celebren las asociaciones de cabildos, las asociaciones tradicionales indígenas y las organizaciones indígenas como entidades ejecutoras se regirán por los Decretos 1088 de 1993 y 252 de 2020.</w:t>
      </w:r>
    </w:p>
    <w:p w14:paraId="14616248" w14:textId="77777777" w:rsidR="00815A2C" w:rsidRPr="00AC7039" w:rsidRDefault="00815A2C" w:rsidP="00815A2C">
      <w:pPr>
        <w:spacing w:after="120" w:line="276" w:lineRule="auto"/>
        <w:ind w:firstLine="709"/>
        <w:jc w:val="both"/>
        <w:rPr>
          <w:rFonts w:ascii="Verdana" w:eastAsia="Calibri" w:hAnsi="Verdana" w:cs="Arial"/>
        </w:rPr>
      </w:pPr>
      <w:r w:rsidRPr="00AC7039">
        <w:rPr>
          <w:rFonts w:ascii="Verdana" w:eastAsia="Calibri" w:hAnsi="Verdana" w:cs="Arial"/>
        </w:rPr>
        <w:t xml:space="preserve">En efecto, según </w:t>
      </w:r>
      <w:r>
        <w:rPr>
          <w:rFonts w:ascii="Verdana" w:eastAsia="Calibri" w:hAnsi="Verdana" w:cs="Arial"/>
        </w:rPr>
        <w:t xml:space="preserve">lo explicado en estos conceptos, </w:t>
      </w:r>
      <w:r w:rsidRPr="00AC7039">
        <w:rPr>
          <w:rFonts w:ascii="Verdana" w:eastAsia="Calibri" w:hAnsi="Verdana" w:cs="Arial"/>
        </w:rPr>
        <w:t xml:space="preserve">el artículo 85 de la Ley 2056 de 2020 expresamente remite a los Decretos 1088 de 1993 y 252 de 2020 para establecer las normas que regirán los actos o contratos que expidan o celebren los ejecutores. Esta normativa regula específicamente las asociaciones de cabildos y/o autoridades tradicionales Indígenas y organizaciones indígenas, y establece unas reglas particulares en cuanto a su creación, naturaleza de actos </w:t>
      </w:r>
      <w:r w:rsidRPr="00AC7039">
        <w:rPr>
          <w:rFonts w:ascii="Verdana" w:eastAsia="Calibri" w:hAnsi="Verdana" w:cs="Arial"/>
        </w:rPr>
        <w:lastRenderedPageBreak/>
        <w:t>y contratos, constitución, estatutos, bienes y control fiscal, etc. De esta manera, teniendo en cuenta que</w:t>
      </w:r>
      <w:r>
        <w:rPr>
          <w:rFonts w:ascii="Verdana" w:eastAsia="Calibri" w:hAnsi="Verdana" w:cs="Arial"/>
        </w:rPr>
        <w:t xml:space="preserve"> dichas normas </w:t>
      </w:r>
      <w:r w:rsidRPr="00AC7039">
        <w:rPr>
          <w:rFonts w:ascii="Verdana" w:eastAsia="Calibri" w:hAnsi="Verdana" w:cs="Arial"/>
        </w:rPr>
        <w:t>regula</w:t>
      </w:r>
      <w:r>
        <w:rPr>
          <w:rFonts w:ascii="Verdana" w:eastAsia="Calibri" w:hAnsi="Verdana" w:cs="Arial"/>
        </w:rPr>
        <w:t>n</w:t>
      </w:r>
      <w:r w:rsidRPr="00AC7039">
        <w:rPr>
          <w:rFonts w:ascii="Verdana" w:eastAsia="Calibri" w:hAnsi="Verdana" w:cs="Arial"/>
        </w:rPr>
        <w:t xml:space="preserve"> de forma más precisa y detallada aspectos de estas asociaciones, </w:t>
      </w:r>
      <w:r>
        <w:rPr>
          <w:rFonts w:ascii="Verdana" w:eastAsia="Calibri" w:hAnsi="Verdana" w:cs="Arial"/>
        </w:rPr>
        <w:t xml:space="preserve">se </w:t>
      </w:r>
      <w:r w:rsidRPr="00AC7039">
        <w:rPr>
          <w:rFonts w:ascii="Verdana" w:eastAsia="Calibri" w:hAnsi="Verdana" w:cs="Arial"/>
        </w:rPr>
        <w:t>concluí</w:t>
      </w:r>
      <w:r>
        <w:rPr>
          <w:rFonts w:ascii="Verdana" w:eastAsia="Calibri" w:hAnsi="Verdana" w:cs="Arial"/>
        </w:rPr>
        <w:t>a</w:t>
      </w:r>
      <w:r w:rsidRPr="00AC7039">
        <w:rPr>
          <w:rFonts w:ascii="Verdana" w:eastAsia="Calibri" w:hAnsi="Verdana" w:cs="Arial"/>
        </w:rPr>
        <w:t xml:space="preserve"> que esta normativa debe ser la que se aplique respecto del régimen de los contratos. </w:t>
      </w:r>
    </w:p>
    <w:p w14:paraId="77040D97" w14:textId="77777777" w:rsidR="00815A2C" w:rsidRDefault="00815A2C" w:rsidP="00815A2C">
      <w:pPr>
        <w:spacing w:after="120" w:line="276" w:lineRule="auto"/>
        <w:ind w:firstLine="709"/>
        <w:jc w:val="both"/>
        <w:rPr>
          <w:rFonts w:ascii="Verdana" w:eastAsia="Calibri" w:hAnsi="Verdana" w:cs="Arial"/>
        </w:rPr>
      </w:pPr>
      <w:r w:rsidRPr="00AC7039">
        <w:rPr>
          <w:rFonts w:ascii="Verdana" w:hAnsi="Verdana" w:cs="Arial"/>
          <w:lang w:eastAsia="es-CO"/>
        </w:rPr>
        <w:t>Adicionalmente,</w:t>
      </w:r>
      <w:r>
        <w:rPr>
          <w:rFonts w:ascii="Verdana" w:hAnsi="Verdana" w:cs="Arial"/>
          <w:lang w:eastAsia="es-CO"/>
        </w:rPr>
        <w:t xml:space="preserve"> se indicó que</w:t>
      </w:r>
      <w:r w:rsidRPr="00AC7039">
        <w:rPr>
          <w:rFonts w:ascii="Verdana" w:hAnsi="Verdana" w:cs="Arial"/>
          <w:lang w:eastAsia="es-CO"/>
        </w:rPr>
        <w:t xml:space="preserve"> </w:t>
      </w:r>
      <w:r w:rsidRPr="00AC7039">
        <w:rPr>
          <w:rStyle w:val="eop"/>
          <w:rFonts w:ascii="Verdana" w:hAnsi="Verdana" w:cs="Arial"/>
        </w:rPr>
        <w:t>“aunque el Decreto Ley 1088 de 1993 no precisó las fuentes de financiación de las asociaciones, lo cierto es que el régimen descrito permite establecer que, con el propósito de desarrollar su objeto social, estas organizaciones pueden celebrar contratos con particulares, es decir, obtener fuentes de financiación privada. Asimismo, como entidades de derecho público, pueden manejar fondos y recursos tanto de la Nación como de las entidades territoriales”</w:t>
      </w:r>
      <w:r w:rsidRPr="00AC7039">
        <w:rPr>
          <w:rStyle w:val="Refdenotaalpie"/>
          <w:rFonts w:ascii="Verdana" w:hAnsi="Verdana" w:cs="Arial"/>
        </w:rPr>
        <w:footnoteReference w:id="8"/>
      </w:r>
      <w:r w:rsidRPr="00AC7039">
        <w:rPr>
          <w:rStyle w:val="eop"/>
          <w:rFonts w:ascii="Verdana" w:hAnsi="Verdana" w:cs="Arial"/>
        </w:rPr>
        <w:t>.</w:t>
      </w:r>
      <w:r w:rsidRPr="00AC7039">
        <w:rPr>
          <w:rFonts w:ascii="Verdana" w:eastAsia="Calibri" w:hAnsi="Verdana" w:cs="Arial"/>
        </w:rPr>
        <w:t xml:space="preserve"> De este modo, comoquiera que el Decreto 1088 de 1993 no realizó distinción sobre las fuentes de financiación, una interpretación integral con las normas del SGR descritas, permit</w:t>
      </w:r>
      <w:r>
        <w:rPr>
          <w:rFonts w:ascii="Verdana" w:eastAsia="Calibri" w:hAnsi="Verdana" w:cs="Arial"/>
        </w:rPr>
        <w:t>ía</w:t>
      </w:r>
      <w:r w:rsidRPr="00AC7039">
        <w:rPr>
          <w:rFonts w:ascii="Verdana" w:eastAsia="Calibri" w:hAnsi="Verdana" w:cs="Arial"/>
        </w:rPr>
        <w:t xml:space="preserve"> colegir que su aplicación se realiza también en el marco de la ejecución de dichos recursos conforme lo señala el artículo 85 la Ley 2056 de 2020. </w:t>
      </w:r>
    </w:p>
    <w:p w14:paraId="718A44DA" w14:textId="77777777" w:rsidR="00815A2C" w:rsidRDefault="00815A2C" w:rsidP="00815A2C">
      <w:pPr>
        <w:spacing w:after="120" w:line="276" w:lineRule="auto"/>
        <w:ind w:firstLine="709"/>
        <w:jc w:val="both"/>
        <w:rPr>
          <w:rFonts w:ascii="Verdana" w:eastAsia="Calibri" w:hAnsi="Verdana" w:cs="Arial"/>
        </w:rPr>
      </w:pPr>
      <w:r>
        <w:rPr>
          <w:rFonts w:ascii="Verdana" w:eastAsia="Calibri" w:hAnsi="Verdana" w:cs="Arial"/>
        </w:rPr>
        <w:t>En consecuencia</w:t>
      </w:r>
      <w:r w:rsidRPr="00AC7039">
        <w:rPr>
          <w:rFonts w:ascii="Verdana" w:eastAsia="Calibri" w:hAnsi="Verdana" w:cs="Arial"/>
        </w:rPr>
        <w:t>,</w:t>
      </w:r>
      <w:r>
        <w:rPr>
          <w:rFonts w:ascii="Verdana" w:eastAsia="Calibri" w:hAnsi="Verdana" w:cs="Arial"/>
        </w:rPr>
        <w:t xml:space="preserve"> se afirmaba que</w:t>
      </w:r>
      <w:r w:rsidRPr="00AC7039">
        <w:rPr>
          <w:rFonts w:ascii="Verdana" w:eastAsia="Calibri" w:hAnsi="Verdana" w:cs="Arial"/>
        </w:rPr>
        <w:t xml:space="preserve"> cuando el ejecutor de los recursos del SGR sean las asociaciones de cabildos, las asociaciones de autoridades tradicionales indígenas y las organizaciones indígenas a que se refiere el Decreto 252 de 2020, los contratos de naturaleza industrial o comercial que celebren estas asociaciones con cargo a dichos recursos se regirán por el derecho privado. Sin embargo, el ejecutor deberá cumplir con las obligaciones inherentes al SGR como el suministro y registro de la información requerida por el sistema de seguimiento, evaluación y control y demás actividades de seguimiento propias de la ejecución de dichos recursos. </w:t>
      </w:r>
    </w:p>
    <w:p w14:paraId="608047B8" w14:textId="77777777" w:rsidR="00815A2C" w:rsidRPr="00FB6807" w:rsidRDefault="00815A2C" w:rsidP="00815A2C">
      <w:pPr>
        <w:spacing w:after="120" w:line="276" w:lineRule="auto"/>
        <w:ind w:firstLine="709"/>
        <w:jc w:val="both"/>
        <w:rPr>
          <w:rFonts w:ascii="Verdana" w:eastAsia="Calibri" w:hAnsi="Verdana" w:cs="Arial"/>
          <w:color w:val="000000" w:themeColor="text1"/>
          <w:lang w:eastAsia="es-ES"/>
        </w:rPr>
      </w:pPr>
      <w:r w:rsidRPr="00043C27">
        <w:rPr>
          <w:rFonts w:ascii="Verdana" w:eastAsia="Calibri" w:hAnsi="Verdana" w:cs="Arial"/>
          <w:color w:val="000000" w:themeColor="text1"/>
          <w:lang w:eastAsia="es-ES"/>
        </w:rPr>
        <w:t>No obstante lo anterior, atendiendo a la reciente posición adoptada por la Sala de Consulta y Servicio Civil del Consejo de Estado en el Concepto 2563 del 25 de junio de 2026, respecto de la ejecución de los recursos del SGR, resulta necesario revisar y ajustar la postura previamente señalada, con el propósito de armonizarla con los argumentos y criterios jurídicos expuestos por dicha Corporación</w:t>
      </w:r>
      <w:r>
        <w:rPr>
          <w:rFonts w:ascii="Verdana" w:eastAsia="Calibri" w:hAnsi="Verdana" w:cs="Arial"/>
          <w:color w:val="000000" w:themeColor="text1"/>
          <w:lang w:eastAsia="es-ES"/>
        </w:rPr>
        <w:t xml:space="preserve">. En efecto, la Sala de Consulta y Servicio Civil </w:t>
      </w:r>
      <w:r w:rsidRPr="00FB6807">
        <w:rPr>
          <w:rFonts w:ascii="Verdana" w:eastAsia="Calibri" w:hAnsi="Verdana" w:cs="Arial"/>
          <w:color w:val="000000" w:themeColor="text1"/>
          <w:lang w:eastAsia="es-ES"/>
        </w:rPr>
        <w:t>estima que:</w:t>
      </w:r>
    </w:p>
    <w:p w14:paraId="344C46AB" w14:textId="77777777" w:rsidR="00815A2C" w:rsidRPr="00FB6807" w:rsidRDefault="00815A2C" w:rsidP="00815A2C">
      <w:pPr>
        <w:spacing w:after="0" w:line="276" w:lineRule="auto"/>
        <w:jc w:val="both"/>
        <w:rPr>
          <w:rFonts w:ascii="Verdana" w:eastAsia="Calibri" w:hAnsi="Verdana" w:cs="Arial"/>
          <w:color w:val="000000" w:themeColor="text1"/>
          <w:lang w:eastAsia="es-ES"/>
        </w:rPr>
      </w:pPr>
    </w:p>
    <w:p w14:paraId="6D3FEC61" w14:textId="77777777" w:rsidR="00815A2C" w:rsidRPr="00FB6807" w:rsidRDefault="00815A2C" w:rsidP="00815A2C">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“El Sistema General de Regalías constituye un régimen constitucional, legal y presupuestal especial. Sus recursos tienen destinación específica a proyectos de inversión y están sometidos a un ciclo reglado de </w:t>
      </w:r>
      <w:r w:rsidRPr="00FB6807">
        <w:rPr>
          <w:rFonts w:ascii="Verdana" w:eastAsia="Calibri" w:hAnsi="Verdana" w:cs="Arial"/>
          <w:color w:val="000000" w:themeColor="text1"/>
          <w:sz w:val="20"/>
          <w:szCs w:val="20"/>
          <w:lang w:eastAsia="es-ES"/>
        </w:rPr>
        <w:lastRenderedPageBreak/>
        <w:t xml:space="preserve">formulación, viabilidad, registro, priorización, aprobación, ejecución, seguimiento, evaluación y control. </w:t>
      </w:r>
    </w:p>
    <w:p w14:paraId="485C3269" w14:textId="77777777" w:rsidR="00815A2C" w:rsidRPr="00FB6807" w:rsidRDefault="00815A2C" w:rsidP="00815A2C">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En esa estructura, el artículo 37 de la Ley 2056 de 2020 regula la etapa de ejecución y asigna a la entidad ejecutora deberes cualificados de correcta ejecución, contratación de la interventoría, suministro y registro de información, verificación de requisitos legales y sujeción al Sistema de Seguimiento, Evaluación y Control. </w:t>
      </w:r>
    </w:p>
    <w:p w14:paraId="1406B2A6" w14:textId="77777777" w:rsidR="00815A2C" w:rsidRPr="00FB6807" w:rsidRDefault="00815A2C" w:rsidP="00815A2C">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Cuando una universidad pública con régimen contractual especial […] es designada ejecutora de un proyecto financiado con recursos del Sistema General de Regalías, el régimen aplicable no se determina por su régimen contractual ordinario ni por la identidad del beneficiario final del bien, obra o servicio, sino por la fuente de financiación y por la regla especial que gobierna la ejecución de esos recursos, esto es el régimen de contratación pública. </w:t>
      </w:r>
    </w:p>
    <w:p w14:paraId="60004F3D" w14:textId="77777777" w:rsidR="00815A2C" w:rsidRPr="00FB6807" w:rsidRDefault="00815A2C" w:rsidP="00815A2C">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La designación del ejecutor es un acto administrativo unilateral expedido por la instancia competente del SGR, cuya finalidad no es celebrar un negocio jurídico con la entidad designada, sino asignarle la responsabilidad pública de ejecutar un proyecto previamente aprobado. De allí que la entidad ejecutora no administre recursos ordinarios propios ni pueda redefinir discrecionalmente el objeto del gasto, pues este ya se encuentra determinado por el proyecto aprobado, su presupuesto, sus actividades, productos, indicadores y soportes. </w:t>
      </w:r>
    </w:p>
    <w:p w14:paraId="06ECB533" w14:textId="77777777" w:rsidR="00815A2C" w:rsidRPr="00FB6807" w:rsidRDefault="00815A2C" w:rsidP="00815A2C">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A partir de esa premisa, la expresión ‘estricta sujeción’ contenida en el parágrafo 1º del artículo 37 de la Ley 2056 de 2020 tiene un alcance normativo reforzado. La ejecución del proyecto debe adelantarse conforme al régimen presupuestal del SGR, al régimen de contratación pública y a las demás normas legales vigentes. Esa regla no opera como una remisión subsidiaria al régimen interno de la entidad ejecutora, sino como un mandato especial de sometimiento al régimen público que gobierna la ejecución de los recursos de regalías dada su especialidad. </w:t>
      </w:r>
    </w:p>
    <w:p w14:paraId="41F0176E" w14:textId="77777777" w:rsidR="00815A2C" w:rsidRPr="00FB6807" w:rsidRDefault="00815A2C" w:rsidP="00815A2C">
      <w:pPr>
        <w:spacing w:after="0" w:line="240" w:lineRule="auto"/>
        <w:ind w:left="709" w:right="709"/>
        <w:jc w:val="both"/>
        <w:rPr>
          <w:rFonts w:ascii="Verdana" w:eastAsia="Calibri" w:hAnsi="Verdana" w:cs="Arial"/>
          <w:color w:val="000000" w:themeColor="text1"/>
          <w:lang w:eastAsia="es-ES"/>
        </w:rPr>
      </w:pPr>
      <w:r w:rsidRPr="00FB6807">
        <w:rPr>
          <w:rFonts w:ascii="Verdana" w:eastAsia="Calibri" w:hAnsi="Verdana" w:cs="Arial"/>
          <w:color w:val="000000" w:themeColor="text1"/>
          <w:sz w:val="20"/>
          <w:szCs w:val="20"/>
          <w:lang w:eastAsia="es-ES"/>
        </w:rPr>
        <w:t>La interpretación gramatical, sistemática, histórica, teleológica y de efecto útil desarrollada en el concepto permite concluir que, cuando el artículo 37 se refiere al régimen de contratación pública, remite al Estatuto General de Contratación de la Administración Pública y a sus normas reglamentarias y complementarias, especialmente cuando la ejecución del proyecto exige contratar con terceros”.</w:t>
      </w:r>
    </w:p>
    <w:p w14:paraId="32BFAFC1" w14:textId="77777777" w:rsidR="00815A2C" w:rsidRPr="00FB6807" w:rsidRDefault="00815A2C" w:rsidP="00815A2C">
      <w:pPr>
        <w:spacing w:after="120" w:line="276" w:lineRule="auto"/>
        <w:jc w:val="both"/>
        <w:rPr>
          <w:rFonts w:ascii="Verdana" w:eastAsia="Calibri" w:hAnsi="Verdana" w:cs="Arial"/>
          <w:color w:val="000000" w:themeColor="text1"/>
          <w:lang w:eastAsia="es-ES"/>
        </w:rPr>
      </w:pPr>
    </w:p>
    <w:p w14:paraId="7EC63BF4" w14:textId="77777777" w:rsidR="00815A2C" w:rsidRDefault="00815A2C" w:rsidP="00815A2C">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w:t>
      </w:r>
      <w:r w:rsidRPr="00FB6807">
        <w:rPr>
          <w:rFonts w:ascii="Verdana" w:eastAsia="Calibri" w:hAnsi="Verdana" w:cs="Arial"/>
          <w:color w:val="000000" w:themeColor="text1"/>
          <w:lang w:eastAsia="es-ES"/>
        </w:rPr>
        <w:lastRenderedPageBreak/>
        <w:t>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w:t>
      </w:r>
      <w:r>
        <w:rPr>
          <w:rFonts w:ascii="Verdana" w:eastAsia="Calibri" w:hAnsi="Verdana" w:cs="Arial"/>
          <w:color w:val="000000" w:themeColor="text1"/>
          <w:lang w:eastAsia="es-ES"/>
        </w:rPr>
        <w:t>.</w:t>
      </w:r>
    </w:p>
    <w:p w14:paraId="15F6EC5D" w14:textId="77777777" w:rsidR="00815A2C" w:rsidRDefault="00815A2C" w:rsidP="00815A2C">
      <w:pPr>
        <w:spacing w:after="120" w:line="276" w:lineRule="auto"/>
        <w:ind w:firstLine="709"/>
        <w:jc w:val="both"/>
        <w:rPr>
          <w:rFonts w:ascii="Verdana" w:eastAsia="Calibri" w:hAnsi="Verdana" w:cs="Arial"/>
          <w:color w:val="000000" w:themeColor="text1"/>
          <w:lang w:eastAsia="es-ES"/>
        </w:rPr>
      </w:pPr>
      <w:r w:rsidRPr="00DB5CDD">
        <w:rPr>
          <w:rFonts w:ascii="Verdana" w:eastAsia="Calibri" w:hAnsi="Verdana" w:cs="Arial"/>
          <w:color w:val="000000" w:themeColor="text1"/>
          <w:lang w:eastAsia="es-ES"/>
        </w:rPr>
        <w:t>Lo anterior adquiere especial relevancia para el asunto objeto de análisis, toda vez que el Consejo de Estado circunscribe expresamente las excepciones a la aplicación del EGCAP a los recursos destinados a ciencia, tecnología e innovación, sin incluir dentro de estas, de manera particular, los recursos de inversión asignados a los pueblos indígenas</w:t>
      </w:r>
      <w:r>
        <w:rPr>
          <w:rFonts w:ascii="Verdana" w:eastAsia="Calibri" w:hAnsi="Verdana" w:cs="Arial"/>
          <w:color w:val="000000" w:themeColor="text1"/>
          <w:lang w:eastAsia="es-ES"/>
        </w:rPr>
        <w:t xml:space="preserve">: </w:t>
      </w:r>
    </w:p>
    <w:p w14:paraId="3CD674D7" w14:textId="77777777" w:rsidR="00815A2C" w:rsidRDefault="00815A2C" w:rsidP="00815A2C">
      <w:pPr>
        <w:spacing w:after="0" w:line="240" w:lineRule="auto"/>
        <w:ind w:firstLine="709"/>
        <w:jc w:val="both"/>
        <w:rPr>
          <w:rFonts w:ascii="Verdana" w:eastAsia="Calibri" w:hAnsi="Verdana" w:cs="Arial"/>
          <w:color w:val="000000" w:themeColor="text1"/>
          <w:lang w:eastAsia="es-ES"/>
        </w:rPr>
      </w:pPr>
    </w:p>
    <w:p w14:paraId="0A4D39C5" w14:textId="77777777" w:rsidR="00815A2C" w:rsidRPr="00D97406" w:rsidRDefault="00815A2C" w:rsidP="00815A2C">
      <w:pPr>
        <w:spacing w:after="120" w:line="240" w:lineRule="auto"/>
        <w:ind w:left="709" w:right="709"/>
        <w:jc w:val="both"/>
        <w:rPr>
          <w:rFonts w:ascii="Verdana" w:eastAsia="Calibri" w:hAnsi="Verdana" w:cs="Arial"/>
          <w:color w:val="000000" w:themeColor="text1"/>
          <w:sz w:val="20"/>
          <w:szCs w:val="20"/>
          <w:lang w:eastAsia="es-ES"/>
        </w:rPr>
      </w:pPr>
      <w:r>
        <w:rPr>
          <w:rFonts w:ascii="Verdana" w:eastAsia="Calibri" w:hAnsi="Verdana" w:cs="Arial"/>
          <w:color w:val="000000" w:themeColor="text1"/>
          <w:sz w:val="20"/>
          <w:szCs w:val="20"/>
          <w:lang w:eastAsia="es-ES"/>
        </w:rPr>
        <w:t>“</w:t>
      </w:r>
      <w:r w:rsidRPr="00D97406">
        <w:rPr>
          <w:rFonts w:ascii="Verdana" w:eastAsia="Calibri" w:hAnsi="Verdana" w:cs="Arial"/>
          <w:color w:val="000000" w:themeColor="text1"/>
          <w:sz w:val="20"/>
          <w:szCs w:val="20"/>
          <w:lang w:eastAsia="es-ES"/>
        </w:rPr>
        <w:t xml:space="preserve">Por último, se destaca que el Título V de la Ley 2056 de 2020, reitera la responsabilidad del ejecutor y la sujeción al régimen presupuestal y de contratación estatal, en los artículos 84 y 85 para los pueblos y comunidades indígenas, en los artículos 99 y 101 para las comunidades Negras, Afrocolombianas Raizales y Palenqueras y en los artículos 108 y 109 para el pueblo </w:t>
      </w:r>
      <w:proofErr w:type="spellStart"/>
      <w:r w:rsidRPr="00D97406">
        <w:rPr>
          <w:rFonts w:ascii="Verdana" w:eastAsia="Calibri" w:hAnsi="Verdana" w:cs="Arial"/>
          <w:color w:val="000000" w:themeColor="text1"/>
          <w:sz w:val="20"/>
          <w:szCs w:val="20"/>
          <w:lang w:eastAsia="es-ES"/>
        </w:rPr>
        <w:t>Rrom</w:t>
      </w:r>
      <w:proofErr w:type="spellEnd"/>
      <w:r w:rsidRPr="00D97406">
        <w:rPr>
          <w:rFonts w:ascii="Verdana" w:eastAsia="Calibri" w:hAnsi="Verdana" w:cs="Arial"/>
          <w:color w:val="000000" w:themeColor="text1"/>
          <w:sz w:val="20"/>
          <w:szCs w:val="20"/>
          <w:lang w:eastAsia="es-ES"/>
        </w:rPr>
        <w:t xml:space="preserve"> o Gitano.</w:t>
      </w:r>
    </w:p>
    <w:p w14:paraId="4FADEFFD" w14:textId="77777777" w:rsidR="00815A2C" w:rsidRPr="00D97406" w:rsidRDefault="00815A2C" w:rsidP="00815A2C">
      <w:pPr>
        <w:spacing w:after="120" w:line="240" w:lineRule="auto"/>
        <w:ind w:left="709" w:right="709"/>
        <w:jc w:val="both"/>
        <w:rPr>
          <w:rFonts w:ascii="Verdana" w:eastAsia="Calibri" w:hAnsi="Verdana" w:cs="Arial"/>
          <w:color w:val="000000" w:themeColor="text1"/>
          <w:sz w:val="20"/>
          <w:szCs w:val="20"/>
          <w:lang w:eastAsia="es-ES"/>
        </w:rPr>
      </w:pPr>
      <w:r w:rsidRPr="00D97406">
        <w:rPr>
          <w:rFonts w:ascii="Verdana" w:eastAsia="Calibri" w:hAnsi="Verdana" w:cs="Arial"/>
          <w:color w:val="000000" w:themeColor="text1"/>
          <w:sz w:val="20"/>
          <w:szCs w:val="20"/>
          <w:lang w:eastAsia="es-ES"/>
        </w:rPr>
        <w:t xml:space="preserve">La Ley 2056 de 2020 </w:t>
      </w:r>
      <w:r w:rsidRPr="00104C44">
        <w:rPr>
          <w:rFonts w:ascii="Verdana" w:eastAsia="Calibri" w:hAnsi="Verdana" w:cs="Arial"/>
          <w:i/>
          <w:iCs/>
          <w:color w:val="000000" w:themeColor="text1"/>
          <w:sz w:val="20"/>
          <w:szCs w:val="20"/>
          <w:lang w:eastAsia="es-ES"/>
        </w:rPr>
        <w:t>sólo introdujo una regla contractual especial y distinta al régimen de contratación pública,</w:t>
      </w:r>
      <w:r w:rsidRPr="00D97406">
        <w:rPr>
          <w:rFonts w:ascii="Verdana" w:eastAsia="Calibri" w:hAnsi="Verdana" w:cs="Arial"/>
          <w:color w:val="000000" w:themeColor="text1"/>
          <w:sz w:val="20"/>
          <w:szCs w:val="20"/>
          <w:lang w:eastAsia="es-ES"/>
        </w:rPr>
        <w:t xml:space="preserve"> cuando en el inciso cuarto de su artículo 54, dispone que los proyectos financiados con recursos de la Asignación para la Ciencia, Tecnología e Innovación deberán ejecutarse con estricta sujeción no solo al régimen presupuestal definido en dicha ley, sino también a las normas contractuales previstas en la Ley de Ciencia y Tecnología correspondiente a la Ley 1286 de 2009 o en las disposiciones que la modifiquen o sustituyan.</w:t>
      </w:r>
    </w:p>
    <w:p w14:paraId="5EDCAA4E" w14:textId="77777777" w:rsidR="00815A2C" w:rsidRPr="00D97406" w:rsidRDefault="00815A2C" w:rsidP="00815A2C">
      <w:pPr>
        <w:spacing w:after="120" w:line="240" w:lineRule="auto"/>
        <w:ind w:left="709" w:right="709"/>
        <w:jc w:val="both"/>
        <w:rPr>
          <w:rFonts w:ascii="Verdana" w:eastAsia="Calibri" w:hAnsi="Verdana" w:cs="Arial"/>
          <w:color w:val="000000" w:themeColor="text1"/>
          <w:sz w:val="20"/>
          <w:szCs w:val="20"/>
          <w:lang w:eastAsia="es-ES"/>
        </w:rPr>
      </w:pPr>
      <w:r w:rsidRPr="00D97406">
        <w:rPr>
          <w:rFonts w:ascii="Verdana" w:eastAsia="Calibri" w:hAnsi="Verdana" w:cs="Arial"/>
          <w:color w:val="000000" w:themeColor="text1"/>
          <w:sz w:val="20"/>
          <w:szCs w:val="20"/>
          <w:lang w:eastAsia="es-ES"/>
        </w:rPr>
        <w:t>En este sentido, a diferencia de la regla general de sujeción al Estatuto General de Contratación, el legislador consagró un régimen contractual especial y expreso para este tipo de proyectos, atendiendo a la naturaleza particular de las actividades de ciencia, tecnología e innovación</w:t>
      </w:r>
      <w:r>
        <w:rPr>
          <w:rFonts w:ascii="Verdana" w:eastAsia="Calibri" w:hAnsi="Verdana" w:cs="Arial"/>
          <w:color w:val="000000" w:themeColor="text1"/>
          <w:sz w:val="20"/>
          <w:szCs w:val="20"/>
          <w:lang w:eastAsia="es-ES"/>
        </w:rPr>
        <w:t>”. (Énfasis por fuera de texto).</w:t>
      </w:r>
    </w:p>
    <w:p w14:paraId="527E53AB" w14:textId="77777777" w:rsidR="00815A2C" w:rsidRDefault="00815A2C" w:rsidP="00815A2C">
      <w:pPr>
        <w:spacing w:after="0" w:line="240" w:lineRule="auto"/>
        <w:jc w:val="both"/>
        <w:rPr>
          <w:rFonts w:ascii="Verdana" w:eastAsia="Calibri" w:hAnsi="Verdana" w:cs="Arial"/>
          <w:color w:val="000000" w:themeColor="text1"/>
          <w:lang w:eastAsia="es-ES"/>
        </w:rPr>
      </w:pPr>
    </w:p>
    <w:p w14:paraId="535C9F16" w14:textId="77777777" w:rsidR="00815A2C" w:rsidRDefault="00815A2C" w:rsidP="00815A2C">
      <w:pPr>
        <w:spacing w:after="120" w:line="276" w:lineRule="auto"/>
        <w:ind w:firstLine="709"/>
        <w:jc w:val="both"/>
        <w:rPr>
          <w:rFonts w:ascii="Verdana" w:eastAsia="Calibri" w:hAnsi="Verdana" w:cs="Arial"/>
          <w:color w:val="000000" w:themeColor="text1"/>
          <w:lang w:eastAsia="es-ES"/>
        </w:rPr>
      </w:pPr>
      <w:r w:rsidRPr="002F71A5">
        <w:rPr>
          <w:rFonts w:ascii="Verdana" w:eastAsia="Calibri" w:hAnsi="Verdana" w:cs="Arial"/>
          <w:color w:val="000000" w:themeColor="text1"/>
          <w:lang w:eastAsia="es-ES"/>
        </w:rPr>
        <w:t xml:space="preserve">De acuerdo con lo señalado por el Consejo de Estado, los artículos 84 y 85 de la Ley 2056 de 2020, relativos a los pueblos y comunidades indígenas, reafirman la responsabilidad del ejecutor de someterse a las disposiciones que regulan el régimen presupuestal y </w:t>
      </w:r>
      <w:r w:rsidRPr="00FC70B6">
        <w:rPr>
          <w:rFonts w:ascii="Verdana" w:eastAsia="Calibri" w:hAnsi="Verdana" w:cs="Arial"/>
          <w:i/>
          <w:iCs/>
          <w:color w:val="000000" w:themeColor="text1"/>
          <w:lang w:eastAsia="es-ES"/>
        </w:rPr>
        <w:t>la contratación estatal</w:t>
      </w:r>
      <w:r w:rsidRPr="002F71A5">
        <w:rPr>
          <w:rFonts w:ascii="Verdana" w:eastAsia="Calibri" w:hAnsi="Verdana" w:cs="Arial"/>
          <w:color w:val="000000" w:themeColor="text1"/>
          <w:lang w:eastAsia="es-ES"/>
        </w:rPr>
        <w:t>. Esta conclusión es reiterada en otros apartes del concepto, en los que la Corporación precisa lo siguiente:</w:t>
      </w:r>
    </w:p>
    <w:p w14:paraId="234FF246" w14:textId="77777777" w:rsidR="00815A2C" w:rsidRPr="00FB6807" w:rsidRDefault="00815A2C" w:rsidP="00815A2C">
      <w:pPr>
        <w:spacing w:after="0" w:line="240" w:lineRule="auto"/>
        <w:ind w:firstLine="709"/>
        <w:jc w:val="both"/>
        <w:rPr>
          <w:rFonts w:ascii="Verdana" w:eastAsia="Calibri" w:hAnsi="Verdana" w:cs="Arial"/>
          <w:color w:val="000000" w:themeColor="text1"/>
          <w:lang w:eastAsia="es-ES"/>
        </w:rPr>
      </w:pPr>
    </w:p>
    <w:p w14:paraId="4D0E34C1" w14:textId="77777777" w:rsidR="00815A2C" w:rsidRPr="00FB6807" w:rsidRDefault="00815A2C" w:rsidP="00815A2C">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lang w:eastAsia="es-ES"/>
        </w:rPr>
        <w:lastRenderedPageBreak/>
        <w:t>“</w:t>
      </w:r>
      <w:r w:rsidRPr="00FB6807">
        <w:rPr>
          <w:rFonts w:ascii="Verdana" w:eastAsia="Calibri" w:hAnsi="Verdana" w:cs="Arial"/>
          <w:color w:val="000000" w:themeColor="text1"/>
          <w:sz w:val="20"/>
          <w:szCs w:val="20"/>
          <w:lang w:eastAsia="es-ES"/>
        </w:rPr>
        <w:t xml:space="preserve">Una vez aprobado el proyecto de inversión y designada la entidad ejecutora, esta debe actuar dentro de un régimen funcional especial de ejecución de regalías, </w:t>
      </w:r>
      <w:r w:rsidRPr="00FB6807">
        <w:rPr>
          <w:rFonts w:ascii="Verdana" w:eastAsia="Calibri" w:hAnsi="Verdana" w:cs="Arial"/>
          <w:i/>
          <w:iCs/>
          <w:color w:val="000000" w:themeColor="text1"/>
          <w:sz w:val="20"/>
          <w:szCs w:val="20"/>
          <w:lang w:eastAsia="es-ES"/>
        </w:rPr>
        <w:t>en el cual la contratación de bienes, obras, servicios, consultorías e interventorías requerida para materializar el proyecto debe adelantarse con sujeción al Estatuto General de Contratación de la Administración Pública,</w:t>
      </w:r>
      <w:r w:rsidRPr="00FB6807">
        <w:rPr>
          <w:rFonts w:ascii="Verdana" w:eastAsia="Calibri" w:hAnsi="Verdana" w:cs="Arial"/>
          <w:color w:val="000000" w:themeColor="text1"/>
          <w:sz w:val="20"/>
          <w:szCs w:val="20"/>
          <w:lang w:eastAsia="es-ES"/>
        </w:rPr>
        <w:t xml:space="preserve"> sus modalidades de selección, sus reglas de publicidad, planeación, selección objetiva, documentos tipo cuando correspondan, supervisión, interventoría y control.</w:t>
      </w:r>
    </w:p>
    <w:p w14:paraId="350ABB56" w14:textId="77777777" w:rsidR="00815A2C" w:rsidRPr="00FB6807" w:rsidRDefault="00815A2C" w:rsidP="00815A2C">
      <w:pPr>
        <w:spacing w:after="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i/>
          <w:iCs/>
          <w:color w:val="000000" w:themeColor="text1"/>
          <w:sz w:val="20"/>
          <w:szCs w:val="20"/>
          <w:lang w:eastAsia="es-ES"/>
        </w:rPr>
        <w:t>Solo cuando la propia Ley 2056 de 2020 o su reglamentación prevean expresamente una hipótesis distinta —como la ejecución directa mediante acto administrativo unilateral que decreta el gasto, o el régimen especial previsto para proyectos de ciencia, tecnología e innovación— podrá acudirse a esa regla particular</w:t>
      </w:r>
      <w:r w:rsidRPr="00FB6807">
        <w:rPr>
          <w:rFonts w:ascii="Verdana" w:eastAsia="Calibri" w:hAnsi="Verdana" w:cs="Arial"/>
          <w:color w:val="000000" w:themeColor="text1"/>
          <w:sz w:val="20"/>
          <w:szCs w:val="20"/>
          <w:lang w:eastAsia="es-ES"/>
        </w:rPr>
        <w:t>. Esta interpretación es la que armoniza el tenor literal del parágrafo 1º del artículo 37 de la Ley 2056 de 2020, su desarrollo reglamentario en el Decreto 1821 de 2020, la finalidad constitucional de protección de las regalías y el principio de efecto útil de la norma, evitando que la fuente SGR se convierta en un mecanismo para desplazar los estándares de transparencia, concurrencia, control y responsabilidad propios de la contratación estatal.</w:t>
      </w:r>
      <w:r w:rsidRPr="00FB6807">
        <w:rPr>
          <w:rFonts w:ascii="Verdana" w:eastAsia="Calibri" w:hAnsi="Verdana" w:cs="Arial"/>
          <w:color w:val="000000" w:themeColor="text1"/>
          <w:sz w:val="20"/>
          <w:szCs w:val="20"/>
          <w:vertAlign w:val="superscript"/>
          <w:lang w:eastAsia="es-ES"/>
        </w:rPr>
        <w:footnoteReference w:id="9"/>
      </w:r>
      <w:r w:rsidRPr="00FB6807">
        <w:rPr>
          <w:rFonts w:ascii="Verdana" w:eastAsia="Calibri" w:hAnsi="Verdana" w:cs="Arial"/>
          <w:color w:val="000000" w:themeColor="text1"/>
          <w:sz w:val="20"/>
          <w:szCs w:val="20"/>
          <w:lang w:eastAsia="es-ES"/>
        </w:rPr>
        <w:t>” (Énfasis por fuera de texto).</w:t>
      </w:r>
    </w:p>
    <w:p w14:paraId="77C1A94E" w14:textId="77777777" w:rsidR="00815A2C" w:rsidRPr="00FB6807" w:rsidRDefault="00815A2C" w:rsidP="00815A2C">
      <w:pPr>
        <w:spacing w:after="120" w:line="276" w:lineRule="auto"/>
        <w:ind w:firstLine="709"/>
        <w:jc w:val="both"/>
        <w:rPr>
          <w:rFonts w:ascii="Verdana" w:eastAsia="Calibri" w:hAnsi="Verdana" w:cs="Arial"/>
          <w:color w:val="000000" w:themeColor="text1"/>
          <w:lang w:eastAsia="es-ES"/>
        </w:rPr>
      </w:pPr>
    </w:p>
    <w:p w14:paraId="5B891816" w14:textId="77777777" w:rsidR="00815A2C" w:rsidRDefault="00815A2C" w:rsidP="00815A2C">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En este sentido, conforme lo explica el Consejo de Estado, la entidad deberá sujetarse a las disposiciones del EGCAP para la adquisición de los bienes, obras y servicios requeridos para su ejecución, salvo en los siguientes casos:  i) eventos de ejecución directa mediante acto administrativo unilateral que decrete el gasto, cuando la entidad ejecutora produce directamente el bien o presta el servicio aprobado en el proyecto, y </w:t>
      </w:r>
      <w:proofErr w:type="spellStart"/>
      <w:r w:rsidRPr="00FB6807">
        <w:rPr>
          <w:rFonts w:ascii="Verdana" w:eastAsia="Calibri" w:hAnsi="Verdana" w:cs="Arial"/>
          <w:color w:val="000000" w:themeColor="text1"/>
          <w:lang w:eastAsia="es-ES"/>
        </w:rPr>
        <w:t>ii</w:t>
      </w:r>
      <w:proofErr w:type="spellEnd"/>
      <w:r w:rsidRPr="00FB6807">
        <w:rPr>
          <w:rFonts w:ascii="Verdana" w:eastAsia="Calibri" w:hAnsi="Verdana" w:cs="Arial"/>
          <w:color w:val="000000" w:themeColor="text1"/>
          <w:lang w:eastAsia="es-ES"/>
        </w:rPr>
        <w:t>) cuando el régimen especial aplicable sea el de los proyectos de ciencia, tecnología e innovación</w:t>
      </w:r>
      <w:r w:rsidRPr="00FB6807">
        <w:rPr>
          <w:rFonts w:ascii="Verdana" w:eastAsia="Calibri" w:hAnsi="Verdana" w:cs="Arial"/>
          <w:color w:val="000000" w:themeColor="text1"/>
          <w:vertAlign w:val="superscript"/>
          <w:lang w:eastAsia="es-ES"/>
        </w:rPr>
        <w:footnoteReference w:id="10"/>
      </w:r>
      <w:r w:rsidRPr="00FB6807">
        <w:rPr>
          <w:rFonts w:ascii="Verdana" w:eastAsia="Calibri" w:hAnsi="Verdana" w:cs="Arial"/>
          <w:color w:val="000000" w:themeColor="text1"/>
          <w:lang w:eastAsia="es-ES"/>
        </w:rPr>
        <w:t>.</w:t>
      </w:r>
    </w:p>
    <w:p w14:paraId="356DDC7C" w14:textId="77777777" w:rsidR="00815A2C" w:rsidRDefault="00815A2C" w:rsidP="00815A2C">
      <w:pPr>
        <w:shd w:val="clear" w:color="auto" w:fill="FFFFFF"/>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Por consiguiente, esta Agencia replantea la postura expuesta en los conceptos </w:t>
      </w:r>
      <w:r w:rsidRPr="00AC7039">
        <w:rPr>
          <w:rFonts w:ascii="Verdana" w:hAnsi="Verdana" w:cs="Arial"/>
          <w:shd w:val="clear" w:color="auto" w:fill="FFFFFF"/>
          <w:lang w:val="es-ES"/>
        </w:rPr>
        <w:t>C-891 del 20 de diciembre del 2024, C-844 del 06 de agosto del 2025</w:t>
      </w:r>
      <w:r>
        <w:rPr>
          <w:rFonts w:ascii="Verdana" w:hAnsi="Verdana" w:cs="Arial"/>
          <w:shd w:val="clear" w:color="auto" w:fill="FFFFFF"/>
          <w:lang w:val="es-ES"/>
        </w:rPr>
        <w:t>,</w:t>
      </w:r>
      <w:r w:rsidRPr="00917B65">
        <w:rPr>
          <w:rFonts w:ascii="Verdana" w:eastAsia="Calibri" w:hAnsi="Verdana" w:cs="Arial"/>
          <w:color w:val="000000" w:themeColor="text1"/>
          <w:lang w:eastAsia="es-ES"/>
        </w:rPr>
        <w:t xml:space="preserve"> </w:t>
      </w:r>
      <w:r>
        <w:rPr>
          <w:rFonts w:ascii="Verdana" w:eastAsia="Calibri" w:hAnsi="Verdana" w:cs="Arial"/>
          <w:color w:val="000000" w:themeColor="text1"/>
          <w:lang w:eastAsia="es-ES"/>
        </w:rPr>
        <w:t>C-1257 del 19 de septiembre de 2025 y</w:t>
      </w:r>
      <w:r>
        <w:rPr>
          <w:rFonts w:ascii="Verdana" w:hAnsi="Verdana" w:cs="Arial"/>
          <w:shd w:val="clear" w:color="auto" w:fill="FFFFFF"/>
          <w:lang w:val="es-ES"/>
        </w:rPr>
        <w:t xml:space="preserve"> C-1585 de 2025,</w:t>
      </w:r>
      <w:r>
        <w:rPr>
          <w:rFonts w:ascii="Verdana" w:eastAsia="Calibri" w:hAnsi="Verdana" w:cs="Arial"/>
          <w:color w:val="000000" w:themeColor="text1"/>
          <w:lang w:eastAsia="es-ES"/>
        </w:rPr>
        <w:t xml:space="preserve"> con el propósito de armonizarla con lo señalado por el concepto </w:t>
      </w:r>
      <w:r w:rsidRPr="00043C27">
        <w:rPr>
          <w:rFonts w:ascii="Verdana" w:eastAsia="Calibri" w:hAnsi="Verdana" w:cs="Arial"/>
          <w:color w:val="000000" w:themeColor="text1"/>
          <w:lang w:eastAsia="es-ES"/>
        </w:rPr>
        <w:t>2563 del 25 de junio de 2026</w:t>
      </w:r>
      <w:r>
        <w:rPr>
          <w:rFonts w:ascii="Verdana" w:eastAsia="Calibri" w:hAnsi="Verdana" w:cs="Arial"/>
          <w:color w:val="000000" w:themeColor="text1"/>
          <w:lang w:eastAsia="es-ES"/>
        </w:rPr>
        <w:t xml:space="preserve"> de la Sala de Consulta y Servicio Civil del Consejo de Estado,</w:t>
      </w:r>
      <w:r>
        <w:rPr>
          <w:rFonts w:ascii="Verdana" w:hAnsi="Verdana" w:cs="Arial"/>
          <w:shd w:val="clear" w:color="auto" w:fill="FFFFFF"/>
          <w:lang w:val="es-ES"/>
        </w:rPr>
        <w:t xml:space="preserve"> en el sentido de indicar </w:t>
      </w:r>
      <w:r>
        <w:rPr>
          <w:rFonts w:ascii="Verdana" w:hAnsi="Verdana" w:cs="Arial"/>
          <w:shd w:val="clear" w:color="auto" w:fill="FFFFFF"/>
          <w:lang w:val="es-ES"/>
        </w:rPr>
        <w:lastRenderedPageBreak/>
        <w:t xml:space="preserve">que </w:t>
      </w:r>
      <w:r w:rsidRPr="00A76E93">
        <w:rPr>
          <w:rFonts w:ascii="Verdana" w:hAnsi="Verdana" w:cs="Arial"/>
          <w:shd w:val="clear" w:color="auto" w:fill="FFFFFF"/>
          <w:lang w:val="es-ES"/>
        </w:rPr>
        <w:t xml:space="preserve">cuando </w:t>
      </w:r>
      <w:r>
        <w:rPr>
          <w:rFonts w:ascii="Verdana" w:hAnsi="Verdana" w:cs="Arial"/>
          <w:shd w:val="clear" w:color="auto" w:fill="FFFFFF"/>
          <w:lang w:val="es-ES"/>
        </w:rPr>
        <w:t>las entidades a las que se refiere el parágrafo primero del artículo 84 de la Ley 2056 de 2020, esto es, l</w:t>
      </w:r>
      <w:r w:rsidRPr="004A579E">
        <w:rPr>
          <w:rFonts w:ascii="Verdana" w:hAnsi="Verdana" w:cs="Arial"/>
          <w:shd w:val="clear" w:color="auto" w:fill="FFFFFF"/>
        </w:rPr>
        <w:t>os resguardos y asociaciones de resguardos, las asociaciones de cabildos y las asociaciones de autoridades tradicionales indígenas u otras formas de organización debidamente inscritas en el Registro Único del Ministerio del Interior y las organizaciones indígenas a que se refiere el Decreto </w:t>
      </w:r>
      <w:hyperlink r:id="rId13" w:anchor="INICIO" w:history="1">
        <w:r w:rsidRPr="004A579E">
          <w:rPr>
            <w:rStyle w:val="Hipervnculo"/>
            <w:rFonts w:ascii="Verdana" w:hAnsi="Verdana" w:cs="Arial"/>
            <w:color w:val="000000" w:themeColor="text1"/>
            <w:u w:val="none"/>
            <w:shd w:val="clear" w:color="auto" w:fill="FFFFFF"/>
          </w:rPr>
          <w:t>252</w:t>
        </w:r>
      </w:hyperlink>
      <w:r w:rsidRPr="004A579E">
        <w:rPr>
          <w:rFonts w:ascii="Verdana" w:hAnsi="Verdana" w:cs="Arial"/>
          <w:shd w:val="clear" w:color="auto" w:fill="FFFFFF"/>
        </w:rPr>
        <w:t> de 2020</w:t>
      </w:r>
      <w:r>
        <w:rPr>
          <w:rFonts w:ascii="Verdana" w:hAnsi="Verdana" w:cs="Arial"/>
          <w:shd w:val="clear" w:color="auto" w:fill="FFFFFF"/>
        </w:rPr>
        <w:t xml:space="preserve"> </w:t>
      </w:r>
      <w:r>
        <w:rPr>
          <w:rFonts w:ascii="Verdana" w:eastAsia="Calibri" w:hAnsi="Verdana" w:cs="Arial"/>
        </w:rPr>
        <w:t xml:space="preserve">sean ejecutoras de recursos del SGR, </w:t>
      </w:r>
      <w:r w:rsidRPr="00495E44">
        <w:rPr>
          <w:rFonts w:ascii="Verdana" w:hAnsi="Verdana" w:cs="Arial"/>
        </w:rPr>
        <w:t>para desarrollarlos deben sujetarse al Estatuto General de Contratación de la Administración Pública</w:t>
      </w:r>
      <w:r>
        <w:rPr>
          <w:rFonts w:ascii="Verdana" w:eastAsia="Calibri" w:hAnsi="Verdana" w:cs="Arial"/>
          <w:lang w:val="es-MX"/>
        </w:rPr>
        <w:t xml:space="preserve">, </w:t>
      </w:r>
      <w:r w:rsidRPr="003E3009">
        <w:rPr>
          <w:rFonts w:ascii="Verdana" w:eastAsia="Calibri" w:hAnsi="Verdana" w:cs="Arial"/>
          <w:color w:val="000000"/>
          <w:lang w:val="es-ES" w:eastAsia="es-ES"/>
        </w:rPr>
        <w:t>sin perjuicio de que en sus demás actividades apliquen el régimen especial que les corresponda</w:t>
      </w:r>
      <w:r w:rsidRPr="003E3009">
        <w:rPr>
          <w:rFonts w:ascii="Verdana" w:eastAsia="Calibri" w:hAnsi="Verdana" w:cs="Arial"/>
          <w:color w:val="000000" w:themeColor="text1"/>
          <w:lang w:eastAsia="es-ES"/>
        </w:rPr>
        <w:t xml:space="preserve">. </w:t>
      </w:r>
    </w:p>
    <w:p w14:paraId="52B04861" w14:textId="77777777" w:rsidR="00815A2C" w:rsidRPr="00E57AB0" w:rsidRDefault="00815A2C" w:rsidP="00815A2C">
      <w:pPr>
        <w:shd w:val="clear" w:color="auto" w:fill="FFFFFF"/>
        <w:spacing w:after="120" w:line="276" w:lineRule="auto"/>
        <w:ind w:firstLine="709"/>
        <w:jc w:val="both"/>
        <w:rPr>
          <w:rFonts w:ascii="Verdana" w:eastAsia="Calibri" w:hAnsi="Verdana" w:cs="Arial"/>
          <w:color w:val="000000" w:themeColor="text1"/>
          <w:lang w:eastAsia="es-ES"/>
        </w:rPr>
      </w:pPr>
      <w:r w:rsidRPr="003E3009">
        <w:rPr>
          <w:rFonts w:ascii="Verdana" w:eastAsia="Calibri" w:hAnsi="Verdana" w:cs="Arial"/>
          <w:color w:val="000000" w:themeColor="text1"/>
          <w:lang w:eastAsia="es-ES"/>
        </w:rPr>
        <w:t xml:space="preserve">Esto significa que la contratación de los bienes, obras o servicios que se adelante con fundamento en dicha normativa, deberá sujetarse a las disposiciones del EGCAP y en consecuencia, los procesos de contratación deberán desarrollarse observando las etapas, términos, procedimientos y demás reglas previstas en dicho estatuto, </w:t>
      </w:r>
      <w:r>
        <w:rPr>
          <w:rFonts w:ascii="Verdana" w:hAnsi="Verdana" w:cs="Arial"/>
        </w:rPr>
        <w:t>acudiendo a las modalidades de selección establecidas por el artículo 2 de la Ley 1150 de 2007.</w:t>
      </w:r>
    </w:p>
    <w:p w14:paraId="4FD58814" w14:textId="77777777" w:rsidR="00815A2C" w:rsidRDefault="00815A2C" w:rsidP="00815A2C">
      <w:pPr>
        <w:spacing w:after="120" w:line="276" w:lineRule="auto"/>
        <w:ind w:firstLine="709"/>
        <w:jc w:val="both"/>
        <w:rPr>
          <w:rFonts w:ascii="Verdana" w:eastAsia="Calibri" w:hAnsi="Verdana" w:cs="Arial"/>
          <w:color w:val="000000" w:themeColor="text1"/>
          <w:lang w:eastAsia="es-ES"/>
        </w:rPr>
      </w:pPr>
      <w:r w:rsidRPr="00FE77D0">
        <w:rPr>
          <w:rFonts w:ascii="Verdana" w:eastAsia="Calibri" w:hAnsi="Verdana" w:cs="Arial"/>
          <w:color w:val="000000" w:themeColor="text1"/>
          <w:lang w:eastAsia="es-ES"/>
        </w:rPr>
        <w:t xml:space="preserve">En este contexto, cuando </w:t>
      </w:r>
      <w:r>
        <w:rPr>
          <w:rFonts w:ascii="Verdana" w:eastAsia="Calibri" w:hAnsi="Verdana" w:cs="Arial"/>
          <w:color w:val="000000" w:themeColor="text1"/>
          <w:lang w:eastAsia="es-ES"/>
        </w:rPr>
        <w:t xml:space="preserve">estas asociaciones </w:t>
      </w:r>
      <w:r w:rsidRPr="00FE77D0">
        <w:rPr>
          <w:rFonts w:ascii="Verdana" w:eastAsia="Calibri" w:hAnsi="Verdana" w:cs="Arial"/>
          <w:color w:val="000000" w:themeColor="text1"/>
          <w:lang w:eastAsia="es-ES"/>
        </w:rPr>
        <w:t>sean designadas como entidades ejecutoras, serán responsables de la correcta ejecución de los proyectos de inversión</w:t>
      </w:r>
      <w:r>
        <w:rPr>
          <w:rFonts w:ascii="Verdana" w:eastAsia="Calibri" w:hAnsi="Verdana" w:cs="Arial"/>
          <w:color w:val="000000" w:themeColor="text1"/>
          <w:lang w:eastAsia="es-ES"/>
        </w:rPr>
        <w:t xml:space="preserve"> y en</w:t>
      </w:r>
      <w:r w:rsidRPr="00FE77D0">
        <w:rPr>
          <w:rFonts w:ascii="Verdana" w:eastAsia="Calibri" w:hAnsi="Verdana" w:cs="Arial"/>
          <w:color w:val="000000" w:themeColor="text1"/>
          <w:lang w:eastAsia="es-ES"/>
        </w:rPr>
        <w:t xml:space="preserve"> tal condición, les corresponde adelantar las actuaciones contractuales necesarias para materializar los proyectos aprobados y celebrar los negocios jurídicos requeridos para su ejecución, de conformidad con el régimen jurídico aplicable. En consecuencia, </w:t>
      </w:r>
      <w:r>
        <w:rPr>
          <w:rFonts w:ascii="Verdana" w:eastAsia="Calibri" w:hAnsi="Verdana" w:cs="Arial"/>
          <w:color w:val="000000" w:themeColor="text1"/>
          <w:lang w:eastAsia="es-ES"/>
        </w:rPr>
        <w:t xml:space="preserve">en el marco de la autonomía de la voluntad, </w:t>
      </w:r>
      <w:r w:rsidRPr="00FE77D0">
        <w:rPr>
          <w:rFonts w:ascii="Verdana" w:eastAsia="Calibri" w:hAnsi="Verdana" w:cs="Arial"/>
          <w:color w:val="000000" w:themeColor="text1"/>
          <w:lang w:eastAsia="es-ES"/>
        </w:rPr>
        <w:t xml:space="preserve">deberán determinar la modalidad de selección y las demás reglas </w:t>
      </w:r>
      <w:r>
        <w:rPr>
          <w:rFonts w:ascii="Verdana" w:eastAsia="Calibri" w:hAnsi="Verdana" w:cs="Arial"/>
          <w:color w:val="000000" w:themeColor="text1"/>
          <w:lang w:eastAsia="es-ES"/>
        </w:rPr>
        <w:t xml:space="preserve">que resulten </w:t>
      </w:r>
      <w:r w:rsidRPr="00FE77D0">
        <w:rPr>
          <w:rFonts w:ascii="Verdana" w:eastAsia="Calibri" w:hAnsi="Verdana" w:cs="Arial"/>
          <w:color w:val="000000" w:themeColor="text1"/>
          <w:lang w:eastAsia="es-ES"/>
        </w:rPr>
        <w:t>aplicables a la contratación que requieran adelantar, atendiendo a la naturaleza, objeto y cuantía de los contratos, de conformidad con las disposiciones del EGCAP que resulten aplicables.</w:t>
      </w:r>
      <w:r>
        <w:rPr>
          <w:rFonts w:ascii="Verdana" w:eastAsia="Calibri" w:hAnsi="Verdana" w:cs="Arial"/>
          <w:color w:val="000000" w:themeColor="text1"/>
          <w:lang w:eastAsia="es-ES"/>
        </w:rPr>
        <w:t xml:space="preserve"> </w:t>
      </w:r>
    </w:p>
    <w:p w14:paraId="4DD2551C" w14:textId="77777777" w:rsidR="00815A2C" w:rsidRDefault="00815A2C" w:rsidP="00815A2C">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Asimismo, para la gestión de los recursos del SGR las entidades ejecutoras deberán aplicar las normas especiales establecidas en el Decreto 1821 de 2020 </w:t>
      </w:r>
      <w:r w:rsidRPr="002F6A7A">
        <w:rPr>
          <w:rFonts w:ascii="Verdana" w:eastAsia="Calibri" w:hAnsi="Verdana" w:cs="Arial"/>
          <w:color w:val="000000" w:themeColor="text1"/>
          <w:lang w:eastAsia="es-ES"/>
        </w:rPr>
        <w:t>“Por el cual se expide el Decreto Único Reglamentario del Sistema General de Regalías”</w:t>
      </w:r>
      <w:r>
        <w:rPr>
          <w:rFonts w:ascii="Verdana" w:eastAsia="Calibri" w:hAnsi="Verdana" w:cs="Arial"/>
          <w:color w:val="000000" w:themeColor="text1"/>
          <w:lang w:eastAsia="es-ES"/>
        </w:rPr>
        <w:t xml:space="preserve">, que establecen reglas precisas sobre dichos recursos cuando </w:t>
      </w:r>
      <w:r w:rsidRPr="002F6A7A">
        <w:rPr>
          <w:rFonts w:ascii="Verdana" w:eastAsia="Calibri" w:hAnsi="Verdana" w:cs="Arial"/>
          <w:color w:val="000000" w:themeColor="text1"/>
          <w:lang w:eastAsia="es-ES"/>
        </w:rPr>
        <w:t>los órganos y demás entidades designadas como ejecutoras,</w:t>
      </w:r>
      <w:r>
        <w:rPr>
          <w:rFonts w:ascii="Verdana" w:eastAsia="Calibri" w:hAnsi="Verdana" w:cs="Arial"/>
          <w:color w:val="000000" w:themeColor="text1"/>
          <w:lang w:eastAsia="es-ES"/>
        </w:rPr>
        <w:t xml:space="preserve"> contraten a una</w:t>
      </w:r>
      <w:r w:rsidRPr="002F6A7A">
        <w:rPr>
          <w:rFonts w:ascii="Verdana" w:eastAsia="Calibri" w:hAnsi="Verdana" w:cs="Arial"/>
          <w:color w:val="000000" w:themeColor="text1"/>
          <w:lang w:eastAsia="es-ES"/>
        </w:rPr>
        <w:t xml:space="preserve"> persona natural o jurídica</w:t>
      </w:r>
      <w:r>
        <w:rPr>
          <w:rFonts w:ascii="Verdana" w:eastAsia="Calibri" w:hAnsi="Verdana" w:cs="Arial"/>
          <w:color w:val="000000" w:themeColor="text1"/>
          <w:lang w:eastAsia="es-ES"/>
        </w:rPr>
        <w:t xml:space="preserve"> que se </w:t>
      </w:r>
      <w:r w:rsidRPr="002F6A7A">
        <w:rPr>
          <w:rFonts w:ascii="Verdana" w:eastAsia="Calibri" w:hAnsi="Verdana" w:cs="Arial"/>
          <w:color w:val="000000" w:themeColor="text1"/>
          <w:lang w:eastAsia="es-ES"/>
        </w:rPr>
        <w:t>encarg</w:t>
      </w:r>
      <w:r>
        <w:rPr>
          <w:rFonts w:ascii="Verdana" w:eastAsia="Calibri" w:hAnsi="Verdana" w:cs="Arial"/>
          <w:color w:val="000000" w:themeColor="text1"/>
          <w:lang w:eastAsia="es-ES"/>
        </w:rPr>
        <w:t>ue</w:t>
      </w:r>
      <w:r w:rsidRPr="002F6A7A">
        <w:rPr>
          <w:rFonts w:ascii="Verdana" w:eastAsia="Calibri" w:hAnsi="Verdana" w:cs="Arial"/>
          <w:color w:val="000000" w:themeColor="text1"/>
          <w:lang w:eastAsia="es-ES"/>
        </w:rPr>
        <w:t xml:space="preserve"> de suministrar los bienes y/o servicios</w:t>
      </w:r>
      <w:r>
        <w:rPr>
          <w:rStyle w:val="Refdenotaalpie"/>
          <w:rFonts w:ascii="Verdana" w:eastAsia="Calibri" w:hAnsi="Verdana" w:cs="Arial"/>
          <w:color w:val="000000" w:themeColor="text1"/>
          <w:lang w:eastAsia="es-ES"/>
        </w:rPr>
        <w:footnoteReference w:id="11"/>
      </w:r>
      <w:r>
        <w:rPr>
          <w:rFonts w:ascii="Verdana" w:eastAsia="Calibri" w:hAnsi="Verdana" w:cs="Arial"/>
          <w:color w:val="000000" w:themeColor="text1"/>
          <w:lang w:eastAsia="es-ES"/>
        </w:rPr>
        <w:t>, así como cuando l</w:t>
      </w:r>
      <w:r w:rsidRPr="002F6A7A">
        <w:rPr>
          <w:rFonts w:ascii="Verdana" w:eastAsia="Calibri" w:hAnsi="Verdana" w:cs="Arial"/>
          <w:color w:val="000000" w:themeColor="text1"/>
          <w:lang w:eastAsia="es-ES"/>
        </w:rPr>
        <w:t xml:space="preserve">a entidad ejecutora sea la responsable de producir </w:t>
      </w:r>
      <w:r w:rsidRPr="002F6A7A">
        <w:rPr>
          <w:rFonts w:ascii="Verdana" w:eastAsia="Calibri" w:hAnsi="Verdana" w:cs="Arial"/>
          <w:color w:val="000000" w:themeColor="text1"/>
          <w:lang w:eastAsia="es-ES"/>
        </w:rPr>
        <w:lastRenderedPageBreak/>
        <w:t>o proveer directamente bienes o servicios contemplados dentro de las actividades del proyecto de inversión financiado con recursos del Sistema General de Regalías</w:t>
      </w:r>
      <w:r>
        <w:rPr>
          <w:rFonts w:ascii="Verdana" w:eastAsia="Calibri" w:hAnsi="Verdana" w:cs="Arial"/>
          <w:color w:val="000000" w:themeColor="text1"/>
          <w:lang w:eastAsia="es-ES"/>
        </w:rPr>
        <w:t xml:space="preserve">. En este último caso, el artículo </w:t>
      </w:r>
      <w:r w:rsidRPr="00E90112">
        <w:rPr>
          <w:rFonts w:ascii="Verdana" w:eastAsia="Calibri" w:hAnsi="Verdana" w:cs="Arial"/>
          <w:color w:val="000000" w:themeColor="text1"/>
          <w:lang w:eastAsia="es-ES"/>
        </w:rPr>
        <w:t xml:space="preserve">2.1.1.3.18. </w:t>
      </w:r>
      <w:r w:rsidRPr="005B7FE8">
        <w:rPr>
          <w:rFonts w:ascii="Verdana" w:eastAsia="Calibri" w:hAnsi="Verdana" w:cs="Arial"/>
          <w:i/>
          <w:iCs/>
          <w:color w:val="000000" w:themeColor="text1"/>
          <w:lang w:eastAsia="es-ES"/>
        </w:rPr>
        <w:t xml:space="preserve">ibidem </w:t>
      </w:r>
      <w:r w:rsidRPr="00E90112">
        <w:rPr>
          <w:rFonts w:ascii="Verdana" w:eastAsia="Calibri" w:hAnsi="Verdana" w:cs="Arial"/>
          <w:color w:val="000000" w:themeColor="text1"/>
          <w:lang w:eastAsia="es-ES"/>
        </w:rPr>
        <w:t xml:space="preserve">señala que </w:t>
      </w:r>
      <w:r>
        <w:rPr>
          <w:rFonts w:ascii="Verdana" w:eastAsia="Calibri" w:hAnsi="Verdana" w:cs="Arial"/>
          <w:color w:val="000000" w:themeColor="text1"/>
          <w:lang w:eastAsia="es-ES"/>
        </w:rPr>
        <w:t>“</w:t>
      </w:r>
      <w:r w:rsidRPr="00E90112">
        <w:rPr>
          <w:rFonts w:ascii="Verdana" w:eastAsia="Calibri" w:hAnsi="Verdana" w:cs="Arial"/>
          <w:color w:val="000000" w:themeColor="text1"/>
          <w:lang w:eastAsia="es-ES"/>
        </w:rPr>
        <w:t>Será responsabilidad de la entidad ejecutora contar con la capacidad técnica, legal, administrativa y financiera de producir o proveer directamente los bienes o servicios contemplados dentro de las actividades del proyecto de inversión</w:t>
      </w:r>
      <w:r>
        <w:rPr>
          <w:rStyle w:val="Refdenotaalpie"/>
          <w:rFonts w:ascii="Verdana" w:eastAsia="Calibri" w:hAnsi="Verdana" w:cs="Arial"/>
          <w:color w:val="000000" w:themeColor="text1"/>
          <w:lang w:eastAsia="es-ES"/>
        </w:rPr>
        <w:footnoteReference w:id="12"/>
      </w:r>
      <w:r>
        <w:rPr>
          <w:rFonts w:ascii="Verdana" w:eastAsia="Calibri" w:hAnsi="Verdana" w:cs="Arial"/>
          <w:color w:val="000000" w:themeColor="text1"/>
          <w:lang w:eastAsia="es-ES"/>
        </w:rPr>
        <w:t>”</w:t>
      </w:r>
      <w:r w:rsidRPr="00E90112">
        <w:rPr>
          <w:rFonts w:ascii="Verdana" w:eastAsia="Calibri" w:hAnsi="Verdana" w:cs="Arial"/>
          <w:color w:val="000000" w:themeColor="text1"/>
          <w:lang w:eastAsia="es-ES"/>
        </w:rPr>
        <w:t>.</w:t>
      </w:r>
    </w:p>
    <w:p w14:paraId="1917F7F4" w14:textId="77777777" w:rsidR="00815A2C" w:rsidRPr="00FB6807" w:rsidRDefault="00815A2C" w:rsidP="00815A2C">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De esta manera, según se evidencia el Decreto 1821 de 2020 distingue dos formas de iniciar la ejecución del proyecto: “la primera, cuando se requiere seleccionar un contratista a través de un proceso de selección; y la segunda, cuando la propia entidad ejecutora cuenta con capacidad técnica, legal, administrativa y financiera, y produce directamente el bien o servicio aprobado en el proyecto, caso en el cual el inicio de la ejecución se formaliza mediante un acto unilateral de ordenación del gasto. Ambas hipótesis responden a la finalidad de asegurar la correcta ejecución de los recursos públicos del Sistema General </w:t>
      </w:r>
      <w:r w:rsidRPr="00FB6807">
        <w:rPr>
          <w:rFonts w:ascii="Verdana" w:eastAsia="Calibri" w:hAnsi="Verdana" w:cs="Arial"/>
          <w:color w:val="000000" w:themeColor="text1"/>
          <w:lang w:eastAsia="es-ES"/>
        </w:rPr>
        <w:lastRenderedPageBreak/>
        <w:t>de Regalías bien sea a través del procedimiento contractual o mediante una decisión presupuestal directa de la entidad ejecutora</w:t>
      </w:r>
      <w:r w:rsidRPr="00FB6807">
        <w:rPr>
          <w:rFonts w:ascii="Verdana" w:eastAsia="Calibri" w:hAnsi="Verdana" w:cs="Arial"/>
          <w:color w:val="000000" w:themeColor="text1"/>
          <w:vertAlign w:val="superscript"/>
          <w:lang w:eastAsia="es-ES"/>
        </w:rPr>
        <w:footnoteReference w:id="13"/>
      </w:r>
      <w:r w:rsidRPr="00FB6807">
        <w:rPr>
          <w:rFonts w:ascii="Verdana" w:eastAsia="Calibri" w:hAnsi="Verdana" w:cs="Arial"/>
          <w:color w:val="000000" w:themeColor="text1"/>
          <w:lang w:eastAsia="es-ES"/>
        </w:rPr>
        <w:t>.”</w:t>
      </w:r>
    </w:p>
    <w:p w14:paraId="47900AE1" w14:textId="77777777" w:rsidR="00815A2C" w:rsidRPr="00FB6807" w:rsidRDefault="00815A2C" w:rsidP="00815A2C">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Bajo esta premisa, si la entidad ejecutora cuenta con la capacidad técnica, administrativa y operativa necesaria para ejecutar las actividades previstas podrá adelantar directamente las actividades que se encuentren dentro de sus capacidades de ejecución y expedirá el respectivo acto que decreta el gasto. Por el contrario, si resulta necesario acudir a terceros para la provisión de determinados bienes o servicios, deberá contratarlos con sujeción a las reglas del EGCAP y a las disposiciones presupuestales y demás normas especiales que regulan la gestión y ejecución de los recursos del SGR.</w:t>
      </w:r>
    </w:p>
    <w:p w14:paraId="7BFE3F43" w14:textId="77777777" w:rsidR="00815A2C" w:rsidRPr="00674FE5" w:rsidRDefault="00815A2C" w:rsidP="00815A2C">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En atención a lo anterior, cuando dichas asociaciones carezcan de capacidad técnica, administrativa u operativa para desarrollar directamente las actividades del proyecto —según el deber de autoevaluación del artículo 2.1.1.3.18 del Decreto 1821 de 2020—, podrá vincular a otra entidad idónea, </w:t>
      </w:r>
      <w:r w:rsidRPr="00674FE5">
        <w:rPr>
          <w:rFonts w:ascii="Verdana" w:eastAsia="Calibri" w:hAnsi="Verdana" w:cs="Arial"/>
          <w:color w:val="000000" w:themeColor="text1"/>
          <w:lang w:eastAsia="es-ES"/>
        </w:rPr>
        <w:t>pública o privada, a través de la modalidad de selección que corresponda conforme al EGCAP, atendiendo al objeto contractual.  Ahora bien, esa vinculación no puede instrumentarse mediante contrato o convenio interadministrativo (literal c del numeral 4 del artículo 2 de la Ley 1150 de 2007), por el criterio orgánico respecto de aquellas organizaciones que no tengan el carácter de entidad estatal pues esta es una figura reservada para esta categoría, por lo que es necesario revisar su naturaleza jurídica para establecer su procedencia. En todo caso, la vinculación de un tercero para la ejecución técnica no traslada la condición de ejecutor: por expreso mandato del parágrafo 1.º del artículo 84 de la Ley 2056 de 2020, el ejecutor es el ordenador del gasto y garantiza la correcta ejecución de los recursos, responsabilidad que resulta indelegable.</w:t>
      </w:r>
    </w:p>
    <w:p w14:paraId="63CDF243" w14:textId="77777777" w:rsidR="00815A2C" w:rsidRPr="00674FE5" w:rsidRDefault="00815A2C" w:rsidP="00815A2C">
      <w:pPr>
        <w:spacing w:after="120" w:line="276" w:lineRule="auto"/>
        <w:ind w:firstLine="709"/>
        <w:jc w:val="both"/>
        <w:rPr>
          <w:rFonts w:ascii="Verdana" w:eastAsia="Calibri" w:hAnsi="Verdana" w:cs="Arial"/>
          <w:lang w:eastAsia="es-ES"/>
        </w:rPr>
      </w:pPr>
      <w:r w:rsidRPr="00674FE5">
        <w:rPr>
          <w:rFonts w:ascii="Verdana" w:eastAsia="Calibri" w:hAnsi="Verdana" w:cs="Arial"/>
          <w:color w:val="000000" w:themeColor="text1"/>
          <w:lang w:eastAsia="es-ES"/>
        </w:rPr>
        <w:t xml:space="preserve">Conviene precisar el alcance de esta sujeción, pues no se reduce a invocar una causal de contratación directa. La contratación directa con los cabildos indígenas y las asociaciones de autoridades tradicionales indígenas prevista en el literal l) del numeral 4 del artículo 2 de la Ley 1150 de 2007, adicionado por la Ley 2160 de 2021, así como la habilitación del Decreto 252 de 2020, operan cuando una Entidad Estatal contrata con la organización indígena en calidad de contratista, para objetos vinculados al fortalecimiento del gobierno propio, la </w:t>
      </w:r>
      <w:r w:rsidRPr="00674FE5">
        <w:rPr>
          <w:rFonts w:ascii="Verdana" w:eastAsia="Calibri" w:hAnsi="Verdana" w:cs="Arial"/>
          <w:color w:val="000000" w:themeColor="text1"/>
          <w:lang w:eastAsia="es-ES"/>
        </w:rPr>
        <w:lastRenderedPageBreak/>
        <w:t>identidad cultural, la autonomía o la garantía de los derechos de los pueblos indígenas. No constituyen, en cambio, el título bajo el cual la organización indígena, en su condición de ejecutora, selecciona a los terceros que ejecutarán el proyecto. En esta última hipótesis la ejecutora debe determinar la modalidad de selección según el objeto y la cuantía —licitación pública, selección abreviada, concurso de méritos, mínima cuantía o contratación directa cuando concurra una causal— y observar íntegramente el estatuto, esto es, los estudios previos y el análisis del sector, los requisitos habilitantes y su verificación en el RUP cuando resulte exigible, la exigencia de garantía única, la publicidad de la actuación en el SECOP II, el deber de selección objetiva, la supervisión e interventoría y los documentos tipo cuando el objeto corresponda a uno de los sectores para los que han sido expedidos.</w:t>
      </w:r>
      <w:r w:rsidRPr="00674FE5">
        <w:rPr>
          <w:rFonts w:ascii="Verdana" w:eastAsia="Calibri" w:hAnsi="Verdana" w:cs="Arial"/>
          <w:color w:val="000000" w:themeColor="text1"/>
          <w:vertAlign w:val="superscript"/>
          <w:lang w:eastAsia="es-ES"/>
        </w:rPr>
        <w:footnoteReference w:id="14"/>
      </w:r>
    </w:p>
    <w:p w14:paraId="6ED3D72B" w14:textId="77777777" w:rsidR="00815A2C" w:rsidRPr="00674FE5" w:rsidRDefault="00815A2C" w:rsidP="00815A2C">
      <w:pPr>
        <w:spacing w:after="120" w:line="276" w:lineRule="auto"/>
        <w:ind w:firstLine="709"/>
        <w:jc w:val="both"/>
        <w:rPr>
          <w:rFonts w:ascii="Verdana" w:eastAsia="Calibri" w:hAnsi="Verdana" w:cs="Arial"/>
          <w:lang w:eastAsia="es-ES"/>
        </w:rPr>
      </w:pPr>
      <w:r w:rsidRPr="00674FE5">
        <w:rPr>
          <w:rFonts w:ascii="Verdana" w:eastAsia="Calibri" w:hAnsi="Verdana" w:cs="Arial"/>
          <w:color w:val="000000" w:themeColor="text1"/>
          <w:lang w:eastAsia="es-ES"/>
        </w:rPr>
        <w:t>Por último, la sujeción al EGCAP comporta que el objeto de los contratos que celebre la ejecutora guarde correspondencia con su objeto e idoneidad. El Consejo de Estado, al confirmar la nulidad absoluta por objeto ilícito de un contrato interadministrativo de obra cuya ejecución material fue trasladada en su integridad a un tercero por una entidad cuyo objeto no comprendía la obra contratada, precisó que el objeto del contrato «no guardó correspondencia directa» con el de la entidad ejecutora y que a esta le era exigible «contar con habilitación jurídica» e idoneidad técnica para ejecutarlo. Este criterio resulta aplicable a los proyectos financiados con recursos del Sistema General de Regalías: la organización indígena designada ejecutora no puede limitarse a prestar su condición formal para que un tercero —incluida una sociedad de economía mixta— maneje realmente los recursos, pues tal proceder desnaturaliza la designación, contraviene el carácter indelegable de la responsabilidad del ejecutor y puede configurar una desviación de las reglas de selección con la consecuente nulidad absoluta del contrato.</w:t>
      </w:r>
      <w:r w:rsidRPr="00674FE5">
        <w:rPr>
          <w:rFonts w:ascii="Verdana" w:eastAsia="Calibri" w:hAnsi="Verdana" w:cs="Arial"/>
          <w:color w:val="000000" w:themeColor="text1"/>
          <w:vertAlign w:val="superscript"/>
          <w:lang w:eastAsia="es-ES"/>
        </w:rPr>
        <w:footnoteReference w:id="15"/>
      </w:r>
    </w:p>
    <w:p w14:paraId="4FF27CDD" w14:textId="77777777" w:rsidR="00815A2C" w:rsidRDefault="00815A2C" w:rsidP="00815A2C">
      <w:pPr>
        <w:spacing w:after="120" w:line="276" w:lineRule="auto"/>
        <w:ind w:firstLine="709"/>
        <w:jc w:val="both"/>
        <w:rPr>
          <w:rFonts w:ascii="Verdana" w:eastAsia="Calibri" w:hAnsi="Verdana" w:cs="Arial"/>
          <w:lang w:eastAsia="es-ES"/>
        </w:rPr>
      </w:pPr>
      <w:r w:rsidRPr="00674FE5">
        <w:rPr>
          <w:rFonts w:ascii="Verdana" w:eastAsia="Calibri" w:hAnsi="Verdana" w:cs="Arial"/>
          <w:color w:val="000000" w:themeColor="text1"/>
          <w:lang w:eastAsia="es-ES"/>
        </w:rPr>
        <w:lastRenderedPageBreak/>
        <w:t>En este contexto conviene precisar el alcance del deber de ejecución. La entidad ejecutora puede subcontratar legítimamente las actividades que requiera y celebrar los contratos necesarios para materializar la asignación que administra, conforme a las decisiones de la instancia de decisión competente. Lo que no puede es trasladar a un tercero su condición de ejecutora ni la responsabilidad que de ella se deriva, pues el subcontrato no constituye un mecanismo para delegar dicho rol en el marco del SGR. Ese traslado íntegro no solo compromete la validez del contrato, por las razones expuestas, sino que puede generar detrimento patrimonial por los sobrecostos propios de la intermediación. Por ello, cuando la ejecución exija contratar con terceros bajo el EGCAP, la ejecutora debe garantizar la selección objetiva del contratista y el respeto del régimen de inhabilidades e incompatibilidades, además de las demás reglas y principios del estatuto.</w:t>
      </w:r>
    </w:p>
    <w:p w14:paraId="24AD0806" w14:textId="77777777" w:rsidR="00815A2C" w:rsidRDefault="00815A2C" w:rsidP="00815A2C">
      <w:pPr>
        <w:spacing w:after="120" w:line="276" w:lineRule="auto"/>
        <w:ind w:firstLine="709"/>
        <w:jc w:val="both"/>
        <w:rPr>
          <w:rFonts w:ascii="Verdana" w:eastAsia="Calibri" w:hAnsi="Verdana" w:cs="Arial"/>
          <w:color w:val="000000" w:themeColor="text1"/>
          <w:lang w:eastAsia="es-ES"/>
        </w:rPr>
      </w:pPr>
      <w:r w:rsidRPr="009D4B49">
        <w:rPr>
          <w:rFonts w:ascii="Verdana" w:eastAsia="Calibri" w:hAnsi="Verdana" w:cs="Arial"/>
          <w:color w:val="000000" w:themeColor="text1"/>
          <w:lang w:eastAsia="es-ES"/>
        </w:rPr>
        <w:t xml:space="preserve">Al respecto, es pertinente </w:t>
      </w:r>
      <w:r>
        <w:rPr>
          <w:rFonts w:ascii="Verdana" w:eastAsia="Calibri" w:hAnsi="Verdana" w:cs="Arial"/>
          <w:color w:val="000000" w:themeColor="text1"/>
          <w:lang w:eastAsia="es-ES"/>
        </w:rPr>
        <w:t xml:space="preserve">reiterar </w:t>
      </w:r>
      <w:r w:rsidRPr="009D4B49">
        <w:rPr>
          <w:rFonts w:ascii="Verdana" w:eastAsia="Calibri" w:hAnsi="Verdana" w:cs="Arial"/>
          <w:color w:val="000000" w:themeColor="text1"/>
          <w:lang w:eastAsia="es-ES"/>
        </w:rPr>
        <w:t>que</w:t>
      </w:r>
      <w:r>
        <w:rPr>
          <w:rFonts w:ascii="Verdana" w:eastAsia="Calibri" w:hAnsi="Verdana" w:cs="Arial"/>
          <w:color w:val="000000" w:themeColor="text1"/>
          <w:lang w:eastAsia="es-ES"/>
        </w:rPr>
        <w:t xml:space="preserve"> </w:t>
      </w:r>
      <w:r w:rsidRPr="009D4B49">
        <w:rPr>
          <w:rFonts w:ascii="Verdana" w:eastAsia="Calibri" w:hAnsi="Verdana" w:cs="Arial"/>
          <w:color w:val="000000" w:themeColor="text1"/>
          <w:lang w:eastAsia="es-ES"/>
        </w:rPr>
        <w:t xml:space="preserve">la sujeción al </w:t>
      </w:r>
      <w:r>
        <w:rPr>
          <w:rFonts w:ascii="Verdana" w:eastAsia="Calibri" w:hAnsi="Verdana" w:cs="Arial"/>
          <w:color w:val="000000" w:themeColor="text1"/>
          <w:lang w:eastAsia="es-ES"/>
        </w:rPr>
        <w:t xml:space="preserve">EGCAP </w:t>
      </w:r>
      <w:r w:rsidRPr="009D4B49">
        <w:rPr>
          <w:rFonts w:ascii="Verdana" w:eastAsia="Calibri" w:hAnsi="Verdana" w:cs="Arial"/>
          <w:color w:val="000000" w:themeColor="text1"/>
          <w:lang w:eastAsia="es-ES"/>
        </w:rPr>
        <w:t xml:space="preserve">que se deriva de la ejecución de proyectos de inversión financiados con recursos del </w:t>
      </w:r>
      <w:r>
        <w:rPr>
          <w:rFonts w:ascii="Verdana" w:eastAsia="Calibri" w:hAnsi="Verdana" w:cs="Arial"/>
          <w:color w:val="000000" w:themeColor="text1"/>
          <w:lang w:eastAsia="es-ES"/>
        </w:rPr>
        <w:t xml:space="preserve">SGR </w:t>
      </w:r>
      <w:r w:rsidRPr="009D4B49">
        <w:rPr>
          <w:rFonts w:ascii="Verdana" w:eastAsia="Calibri" w:hAnsi="Verdana" w:cs="Arial"/>
          <w:color w:val="000000" w:themeColor="text1"/>
          <w:lang w:eastAsia="es-ES"/>
        </w:rPr>
        <w:t xml:space="preserve">no supone una modificación general ni permanente del régimen jurídico contractual de los sujetos </w:t>
      </w:r>
      <w:r>
        <w:rPr>
          <w:rFonts w:ascii="Verdana" w:eastAsia="Calibri" w:hAnsi="Verdana" w:cs="Arial"/>
          <w:color w:val="000000" w:themeColor="text1"/>
          <w:lang w:eastAsia="es-ES"/>
        </w:rPr>
        <w:t>designados como</w:t>
      </w:r>
      <w:r w:rsidRPr="009D4B49">
        <w:rPr>
          <w:rFonts w:ascii="Verdana" w:eastAsia="Calibri" w:hAnsi="Verdana" w:cs="Arial"/>
          <w:color w:val="000000" w:themeColor="text1"/>
          <w:lang w:eastAsia="es-ES"/>
        </w:rPr>
        <w:t xml:space="preserve"> ejecutores. En particular, cuando se trata de entidades sometidas a regímenes especiales de contratación, dicha sujeción opera exclusivamente respecto de la contratación necesaria para la ejecución de los proyectos a los que se refiere la Ley 2056 de 2020, sin que implique la sustitución de los regímenes especiales que les sean propios para el desarrollo de las demás actividades comprendidas dentro de su objeto y funciones. </w:t>
      </w:r>
      <w:r>
        <w:rPr>
          <w:rFonts w:ascii="Verdana" w:eastAsia="Calibri" w:hAnsi="Verdana" w:cs="Arial"/>
          <w:color w:val="000000" w:themeColor="text1"/>
          <w:lang w:eastAsia="es-ES"/>
        </w:rPr>
        <w:t>De la misma manera</w:t>
      </w:r>
      <w:r w:rsidRPr="009D4B49">
        <w:rPr>
          <w:rFonts w:ascii="Verdana" w:eastAsia="Calibri" w:hAnsi="Verdana" w:cs="Arial"/>
          <w:color w:val="000000" w:themeColor="text1"/>
          <w:lang w:eastAsia="es-ES"/>
        </w:rPr>
        <w:t>, la aplicación del EGCAP para una actividad específica no modifica la naturaleza jurídica del ejecutor ni lo convierte, por ese solo hecho, en una entidad estatal sometida integralmente a la Ley 80 de 1993.</w:t>
      </w:r>
    </w:p>
    <w:p w14:paraId="1D198A93" w14:textId="77777777" w:rsidR="00815A2C" w:rsidRPr="009D4B49" w:rsidRDefault="00815A2C" w:rsidP="00815A2C">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De esta forma, </w:t>
      </w:r>
      <w:r w:rsidRPr="009D4B49">
        <w:rPr>
          <w:rFonts w:ascii="Verdana" w:eastAsia="Calibri" w:hAnsi="Verdana" w:cs="Arial"/>
          <w:color w:val="000000" w:themeColor="text1"/>
          <w:lang w:eastAsia="es-ES"/>
        </w:rPr>
        <w:t xml:space="preserve">tratándose de </w:t>
      </w:r>
      <w:r>
        <w:rPr>
          <w:rFonts w:ascii="Verdana" w:eastAsia="Calibri" w:hAnsi="Verdana" w:cs="Arial"/>
          <w:color w:val="000000" w:themeColor="text1"/>
          <w:lang w:eastAsia="es-ES"/>
        </w:rPr>
        <w:t xml:space="preserve">las asociaciones a las que se refiere el parágrafo 1 del artículo 84 de la Ley 2056 de 2020, la </w:t>
      </w:r>
      <w:r w:rsidRPr="009D4B49">
        <w:rPr>
          <w:rFonts w:ascii="Verdana" w:eastAsia="Calibri" w:hAnsi="Verdana" w:cs="Arial"/>
          <w:color w:val="000000" w:themeColor="text1"/>
          <w:lang w:eastAsia="es-ES"/>
        </w:rPr>
        <w:t>designa</w:t>
      </w:r>
      <w:r>
        <w:rPr>
          <w:rFonts w:ascii="Verdana" w:eastAsia="Calibri" w:hAnsi="Verdana" w:cs="Arial"/>
          <w:color w:val="000000" w:themeColor="text1"/>
          <w:lang w:eastAsia="es-ES"/>
        </w:rPr>
        <w:t>ción</w:t>
      </w:r>
      <w:r w:rsidRPr="009D4B49">
        <w:rPr>
          <w:rFonts w:ascii="Verdana" w:eastAsia="Calibri" w:hAnsi="Verdana" w:cs="Arial"/>
          <w:color w:val="000000" w:themeColor="text1"/>
          <w:lang w:eastAsia="es-ES"/>
        </w:rPr>
        <w:t xml:space="preserve"> como entidades ejecutoras </w:t>
      </w:r>
      <w:r>
        <w:rPr>
          <w:rFonts w:ascii="Verdana" w:eastAsia="Calibri" w:hAnsi="Verdana" w:cs="Arial"/>
          <w:color w:val="000000" w:themeColor="text1"/>
          <w:lang w:eastAsia="es-ES"/>
        </w:rPr>
        <w:t xml:space="preserve">y </w:t>
      </w:r>
      <w:r w:rsidRPr="009D4B49">
        <w:rPr>
          <w:rFonts w:ascii="Verdana" w:eastAsia="Calibri" w:hAnsi="Verdana" w:cs="Arial"/>
          <w:color w:val="000000" w:themeColor="text1"/>
          <w:lang w:eastAsia="es-ES"/>
        </w:rPr>
        <w:t xml:space="preserve">la circunstancia de que </w:t>
      </w:r>
      <w:r>
        <w:rPr>
          <w:rFonts w:ascii="Verdana" w:eastAsia="Calibri" w:hAnsi="Verdana" w:cs="Arial"/>
          <w:color w:val="000000" w:themeColor="text1"/>
          <w:lang w:eastAsia="es-ES"/>
        </w:rPr>
        <w:t xml:space="preserve">los </w:t>
      </w:r>
      <w:r w:rsidRPr="009D4B49">
        <w:rPr>
          <w:rFonts w:ascii="Verdana" w:eastAsia="Calibri" w:hAnsi="Verdana" w:cs="Arial"/>
          <w:color w:val="000000" w:themeColor="text1"/>
          <w:lang w:eastAsia="es-ES"/>
        </w:rPr>
        <w:t>artículo</w:t>
      </w:r>
      <w:r>
        <w:rPr>
          <w:rFonts w:ascii="Verdana" w:eastAsia="Calibri" w:hAnsi="Verdana" w:cs="Arial"/>
          <w:color w:val="000000" w:themeColor="text1"/>
          <w:lang w:eastAsia="es-ES"/>
        </w:rPr>
        <w:t>s</w:t>
      </w:r>
      <w:r w:rsidRPr="009D4B49">
        <w:rPr>
          <w:rFonts w:ascii="Verdana" w:eastAsia="Calibri" w:hAnsi="Verdana" w:cs="Arial"/>
          <w:color w:val="000000" w:themeColor="text1"/>
          <w:lang w:eastAsia="es-ES"/>
        </w:rPr>
        <w:t xml:space="preserve"> </w:t>
      </w:r>
      <w:r>
        <w:rPr>
          <w:rFonts w:ascii="Verdana" w:eastAsia="Calibri" w:hAnsi="Verdana" w:cs="Arial"/>
          <w:color w:val="000000" w:themeColor="text1"/>
          <w:lang w:eastAsia="es-ES"/>
        </w:rPr>
        <w:t>84</w:t>
      </w:r>
      <w:r w:rsidRPr="009D4B49">
        <w:rPr>
          <w:rFonts w:ascii="Verdana" w:eastAsia="Calibri" w:hAnsi="Verdana" w:cs="Arial"/>
          <w:color w:val="000000" w:themeColor="text1"/>
          <w:lang w:eastAsia="es-ES"/>
        </w:rPr>
        <w:t xml:space="preserve"> </w:t>
      </w:r>
      <w:r>
        <w:rPr>
          <w:rFonts w:ascii="Verdana" w:eastAsia="Calibri" w:hAnsi="Verdana" w:cs="Arial"/>
          <w:color w:val="000000" w:themeColor="text1"/>
          <w:lang w:eastAsia="es-ES"/>
        </w:rPr>
        <w:t xml:space="preserve">y 85 </w:t>
      </w:r>
      <w:r w:rsidRPr="009D4B49">
        <w:rPr>
          <w:rFonts w:ascii="Verdana" w:eastAsia="Calibri" w:hAnsi="Verdana" w:cs="Arial"/>
          <w:color w:val="000000" w:themeColor="text1"/>
          <w:lang w:eastAsia="es-ES"/>
        </w:rPr>
        <w:t>de la Ley 2056 de 2020 disponga que la ejecución de estos proyectos debe adelantarse con sujeción al régimen de contratación pública</w:t>
      </w:r>
      <w:r>
        <w:rPr>
          <w:rFonts w:ascii="Verdana" w:eastAsia="Calibri" w:hAnsi="Verdana" w:cs="Arial"/>
          <w:color w:val="000000" w:themeColor="text1"/>
          <w:lang w:eastAsia="es-ES"/>
        </w:rPr>
        <w:t>,</w:t>
      </w:r>
      <w:r w:rsidRPr="009D4B49">
        <w:rPr>
          <w:rFonts w:ascii="Verdana" w:eastAsia="Calibri" w:hAnsi="Verdana" w:cs="Arial"/>
          <w:color w:val="000000" w:themeColor="text1"/>
          <w:lang w:eastAsia="es-ES"/>
        </w:rPr>
        <w:t xml:space="preserve"> no altera su naturaleza jurídica ni les atribuye la condición de entidad estatal en los términos del artículo 2 de la Ley 80 de 1993. </w:t>
      </w:r>
    </w:p>
    <w:p w14:paraId="77E5EC4F" w14:textId="77777777" w:rsidR="00815A2C" w:rsidRDefault="00815A2C" w:rsidP="00815A2C">
      <w:pPr>
        <w:spacing w:after="120" w:line="276" w:lineRule="auto"/>
        <w:ind w:firstLine="708"/>
        <w:jc w:val="both"/>
        <w:rPr>
          <w:rFonts w:ascii="Verdana" w:eastAsia="Calibri" w:hAnsi="Verdana" w:cs="Arial"/>
          <w:color w:val="000000" w:themeColor="text1"/>
          <w:lang w:eastAsia="es-ES"/>
        </w:rPr>
      </w:pPr>
      <w:r w:rsidRPr="003E3009">
        <w:rPr>
          <w:rFonts w:ascii="Verdana" w:eastAsia="Calibri" w:hAnsi="Verdana" w:cs="Arial"/>
          <w:lang w:val="es-ES"/>
        </w:rPr>
        <w:t xml:space="preserve">En este orden de ideas, si bien en principio las entidades con régimen de contratación especial no están obligadas a aplicar los documentos tipo, la remisión efectuada por el parágrafo primero del artículo 37 de la Ley 2056 de </w:t>
      </w:r>
      <w:r w:rsidRPr="003E3009">
        <w:rPr>
          <w:rFonts w:ascii="Verdana" w:eastAsia="Calibri" w:hAnsi="Verdana" w:cs="Arial"/>
          <w:lang w:val="es-ES"/>
        </w:rPr>
        <w:lastRenderedPageBreak/>
        <w:t>2020 al EGCAP,</w:t>
      </w:r>
      <w:r w:rsidRPr="00D52DE7">
        <w:rPr>
          <w:rFonts w:ascii="Verdana" w:eastAsia="Calibri" w:hAnsi="Verdana" w:cs="Arial"/>
          <w:lang w:val="es-ES"/>
        </w:rPr>
        <w:t xml:space="preserve"> </w:t>
      </w:r>
      <w:r>
        <w:rPr>
          <w:rFonts w:ascii="Verdana" w:eastAsia="Calibri" w:hAnsi="Verdana" w:cs="Arial"/>
          <w:lang w:val="es-ES"/>
        </w:rPr>
        <w:t>y en este caso por los artículos 84 y 85</w:t>
      </w:r>
      <w:r w:rsidRPr="005A2C2B">
        <w:rPr>
          <w:rFonts w:ascii="Verdana" w:eastAsia="Calibri" w:hAnsi="Verdana" w:cs="Arial"/>
          <w:i/>
          <w:iCs/>
          <w:lang w:val="es-ES"/>
        </w:rPr>
        <w:t xml:space="preserve"> ibidem</w:t>
      </w:r>
      <w:r>
        <w:rPr>
          <w:rFonts w:ascii="Verdana" w:eastAsia="Calibri" w:hAnsi="Verdana" w:cs="Arial"/>
          <w:lang w:val="es-ES"/>
        </w:rPr>
        <w:t>,</w:t>
      </w:r>
      <w:r w:rsidRPr="003E3009">
        <w:rPr>
          <w:rFonts w:ascii="Verdana" w:eastAsia="Calibri" w:hAnsi="Verdana" w:cs="Arial"/>
          <w:lang w:val="es-ES"/>
        </w:rPr>
        <w:t xml:space="preserve"> conlleva a que las </w:t>
      </w:r>
      <w:r w:rsidRPr="003E3009">
        <w:rPr>
          <w:rFonts w:ascii="Verdana" w:eastAsia="Calibri" w:hAnsi="Verdana" w:cs="Arial"/>
          <w:color w:val="000000" w:themeColor="text1"/>
          <w:lang w:eastAsia="es-ES"/>
        </w:rPr>
        <w:t xml:space="preserve">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4AA79AC5" w14:textId="77777777" w:rsidR="00815A2C" w:rsidRPr="00FB6807" w:rsidRDefault="00815A2C" w:rsidP="00815A2C">
      <w:pPr>
        <w:spacing w:after="120" w:line="276" w:lineRule="auto"/>
        <w:ind w:firstLine="708"/>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Lo expuesto ha sido también señalado en </w:t>
      </w:r>
      <w:r w:rsidRPr="00FB6807">
        <w:rPr>
          <w:rFonts w:ascii="Verdana" w:hAnsi="Verdana"/>
        </w:rPr>
        <w:t xml:space="preserve">la Circular Conjunta No. 001 de 2026 expedida por la Procuraduría General de la Nación y la Contraloría General de la República, en la cual se indica que, entre otros aspectos, que “La Ley 2056 de 2020 y el Decreto 1821 de 2020 señalan que las entidades ejecutoras de proyectos financiados con recursos del Sistema General de Regalías. son responsables de garantizar su correcta ejecución, teniendo en cuenta que se trata de preservar la adecuada destinación de los recursos públicos” y que “El Estatuto General de Contratación de la Administración Pública, obliga a quienes deben someterse a su regulación, a adoptar el uso de los documentos tipo para la selección de contratistas en procesos de obras públicas e interventoría, interventoría para consultoría de estudios y diseños para obras públicas, consultoría en ingeniería para obras, en las modalidades de licitación pública, concursos de mérito, procesos de mínima cuantía y selección abreviada”. </w:t>
      </w:r>
    </w:p>
    <w:p w14:paraId="1AE94C03" w14:textId="77777777" w:rsidR="00815A2C" w:rsidRPr="00FB6807" w:rsidRDefault="00815A2C" w:rsidP="00815A2C">
      <w:pPr>
        <w:spacing w:after="120" w:line="276" w:lineRule="auto"/>
        <w:ind w:firstLine="709"/>
        <w:jc w:val="both"/>
        <w:rPr>
          <w:rFonts w:ascii="Verdana" w:eastAsia="Calibri" w:hAnsi="Verdana" w:cs="Arial"/>
          <w:lang w:val="es-ES"/>
        </w:rPr>
      </w:pPr>
      <w:r w:rsidRPr="00FB6807">
        <w:rPr>
          <w:rFonts w:ascii="Verdana" w:eastAsia="Calibri" w:hAnsi="Verdana" w:cs="Arial"/>
          <w:color w:val="000000" w:themeColor="text1"/>
          <w:lang w:eastAsia="es-ES"/>
        </w:rPr>
        <w:t xml:space="preserve">En este sentido, cuando el objeto contractual a ejecutar en el marco de los proyectos financiados con recursos del SGR corresponda a alguno de los sectores respecto de los cuales se han emitido los Documentos Tipo estos deberán aplicarse por la entidad ejecutora. </w:t>
      </w:r>
      <w:r w:rsidRPr="00FB6807">
        <w:rPr>
          <w:rFonts w:ascii="Verdana" w:eastAsia="Calibri" w:hAnsi="Verdana"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estos documentos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r w:rsidRPr="00FB6807">
        <w:rPr>
          <w:rFonts w:ascii="Verdana" w:eastAsia="Calibri" w:hAnsi="Verdana" w:cs="Arial"/>
          <w:lang w:val="es-ES"/>
        </w:rPr>
        <w:t xml:space="preserve">Sin embargo, si el objeto contractual no se relaciona con actividades u objetos contractuales descritos en los Documentos Tipo que han sido expedidos por Colombia Compra Eficiente, o </w:t>
      </w:r>
      <w:r w:rsidRPr="00FB6807">
        <w:rPr>
          <w:rFonts w:ascii="Verdana" w:eastAsia="Calibri" w:hAnsi="Verdana" w:cs="Arial"/>
          <w:lang w:val="es-ES"/>
        </w:rPr>
        <w:lastRenderedPageBreak/>
        <w:t xml:space="preserve">estos no aplican a la modalidad de escogencia aplicable, no será obligatorio aplicar los Pliegos Tipo. </w:t>
      </w:r>
    </w:p>
    <w:p w14:paraId="0315DDC5" w14:textId="77777777" w:rsidR="00815A2C" w:rsidRPr="00FB6807" w:rsidRDefault="00815A2C" w:rsidP="00815A2C">
      <w:pPr>
        <w:spacing w:after="120" w:line="276" w:lineRule="auto"/>
        <w:jc w:val="both"/>
        <w:rPr>
          <w:rFonts w:ascii="Verdana" w:eastAsia="Calibri" w:hAnsi="Verdana" w:cs="Arial"/>
          <w:color w:val="000000"/>
          <w:lang w:val="es-ES" w:eastAsia="es-ES"/>
        </w:rPr>
      </w:pPr>
      <w:proofErr w:type="spellStart"/>
      <w:r>
        <w:rPr>
          <w:rFonts w:ascii="Verdana" w:eastAsia="Calibri" w:hAnsi="Verdana" w:cs="Arial"/>
          <w:lang w:val="es-ES"/>
        </w:rPr>
        <w:t>iii</w:t>
      </w:r>
      <w:proofErr w:type="spellEnd"/>
      <w:r w:rsidRPr="003E3009">
        <w:rPr>
          <w:rFonts w:ascii="Verdana" w:eastAsia="Calibri" w:hAnsi="Verdana" w:cs="Arial"/>
          <w:lang w:val="es-ES"/>
        </w:rPr>
        <w:t xml:space="preserve">. </w:t>
      </w:r>
      <w:r w:rsidRPr="00FB6807">
        <w:rPr>
          <w:rFonts w:ascii="Verdana" w:hAnsi="Verdana" w:cs="Arial"/>
          <w:lang w:eastAsia="es-ES"/>
        </w:rPr>
        <w:t xml:space="preserve">Al margen de la postura de la ANCP – CCE, </w:t>
      </w:r>
      <w:r w:rsidRPr="00FB6807">
        <w:rPr>
          <w:rFonts w:ascii="Verdana" w:eastAsia="Calibri" w:hAnsi="Verdana" w:cs="Arial"/>
          <w:color w:val="000000"/>
          <w:lang w:val="es-ES" w:eastAsia="es-ES"/>
        </w:rPr>
        <w:t>es importante señalar que los conceptos emitidos por las entidades estatales en virtud del artículo 28 de la Ley 1437 de 2011</w:t>
      </w:r>
      <w:r w:rsidRPr="00FB6807">
        <w:rPr>
          <w:rFonts w:ascii="Verdana" w:eastAsia="Calibri" w:hAnsi="Verdana" w:cs="Arial"/>
          <w:bCs/>
          <w:lang w:val="es-ES_tradnl"/>
        </w:rPr>
        <w:t xml:space="preserve">, sustituido por el artículo 1 de la Ley 1755, </w:t>
      </w:r>
      <w:bookmarkStart w:id="5" w:name="_Hlk200718672"/>
      <w:r w:rsidRPr="00FB6807">
        <w:rPr>
          <w:rFonts w:ascii="Verdana" w:eastAsia="Calibri" w:hAnsi="Verdana" w:cs="Arial"/>
          <w:color w:val="000000"/>
          <w:lang w:val="es-ES" w:eastAsia="es-ES"/>
        </w:rPr>
        <w:t>representan</w:t>
      </w:r>
      <w:r w:rsidRPr="00FB6807">
        <w:rPr>
          <w:rFonts w:ascii="Verdana" w:hAnsi="Verdana" w:cs="Arial"/>
          <w:lang w:eastAsia="es-ES"/>
        </w:rPr>
        <w:t xml:space="preserve"> una </w:t>
      </w:r>
      <w:r w:rsidRPr="00FB6807">
        <w:rPr>
          <w:rFonts w:ascii="Verdana" w:eastAsia="Calibri" w:hAnsi="Verdana" w:cs="Arial"/>
          <w:bCs/>
          <w:lang w:val="es-ES_tradnl"/>
        </w:rPr>
        <w:t>posición hermenéutica</w:t>
      </w:r>
      <w:r w:rsidRPr="00FB6807">
        <w:rPr>
          <w:rFonts w:ascii="Verdana" w:hAnsi="Verdana" w:cs="Arial"/>
          <w:lang w:eastAsia="es-ES"/>
        </w:rPr>
        <w:t xml:space="preserve"> </w:t>
      </w:r>
      <w:bookmarkStart w:id="6" w:name="_Hlk42100007"/>
      <w:r w:rsidRPr="00FB6807">
        <w:rPr>
          <w:rFonts w:ascii="Verdana" w:hAnsi="Verdana" w:cs="Arial"/>
          <w:lang w:eastAsia="es-ES"/>
        </w:rPr>
        <w:t xml:space="preserve">que </w:t>
      </w:r>
      <w:r w:rsidRPr="00FB6807">
        <w:rPr>
          <w:rFonts w:ascii="Verdana" w:eastAsia="Calibri" w:hAnsi="Verdana" w:cs="Arial"/>
          <w:bCs/>
          <w:lang w:val="es-ES_tradnl"/>
        </w:rPr>
        <w:t xml:space="preserve">no tienen efectos vinculantes </w:t>
      </w:r>
      <w:bookmarkEnd w:id="5"/>
      <w:r w:rsidRPr="00FB6807">
        <w:rPr>
          <w:rFonts w:ascii="Verdana" w:eastAsia="Calibri" w:hAnsi="Verdana" w:cs="Arial"/>
          <w:bCs/>
          <w:lang w:val="es-ES_tradnl"/>
        </w:rPr>
        <w:t>en relación con una situación jurídica particular y concreta, y exponen un criterio que, aunque jurídicamente fundamentado, no representan la única interpretación posible del ordenamiento jurídico.</w:t>
      </w:r>
      <w:bookmarkEnd w:id="6"/>
      <w:r w:rsidRPr="00FB6807">
        <w:rPr>
          <w:rFonts w:ascii="Verdana" w:eastAsiaTheme="minorEastAsia" w:hAnsi="Verdana" w:cs="Arial"/>
          <w:szCs w:val="24"/>
          <w:lang w:eastAsia="es-CO"/>
        </w:rPr>
        <w:t xml:space="preserve"> De este modo, las autoridades que ejercen funciones consultivas pueden expresar su</w:t>
      </w:r>
      <w:r w:rsidRPr="00FB6807">
        <w:rPr>
          <w:rFonts w:ascii="Verdana" w:eastAsiaTheme="minorEastAsia" w:hAnsi="Verdana" w:cs="Arial"/>
          <w:spacing w:val="1"/>
          <w:szCs w:val="24"/>
          <w:lang w:eastAsia="es-CO"/>
        </w:rPr>
        <w:t xml:space="preserve"> </w:t>
      </w:r>
      <w:r w:rsidRPr="00FB6807">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FB6807">
        <w:rPr>
          <w:rFonts w:ascii="Verdana" w:eastAsiaTheme="minorEastAsia" w:hAnsi="Verdana" w:cs="Arial"/>
          <w:spacing w:val="1"/>
          <w:szCs w:val="24"/>
          <w:lang w:eastAsia="es-CO"/>
        </w:rPr>
        <w:t xml:space="preserve"> </w:t>
      </w:r>
      <w:r w:rsidRPr="00FB6807">
        <w:rPr>
          <w:rFonts w:ascii="Verdana" w:eastAsiaTheme="minorEastAsia" w:hAnsi="Verdana" w:cs="Arial"/>
          <w:szCs w:val="24"/>
          <w:lang w:eastAsia="es-CO"/>
        </w:rPr>
        <w:t>virtud</w:t>
      </w:r>
      <w:r w:rsidRPr="00FB6807">
        <w:rPr>
          <w:rFonts w:ascii="Verdana" w:eastAsiaTheme="minorEastAsia" w:hAnsi="Verdana" w:cs="Arial"/>
          <w:spacing w:val="-10"/>
          <w:szCs w:val="24"/>
          <w:lang w:eastAsia="es-CO"/>
        </w:rPr>
        <w:t xml:space="preserve"> </w:t>
      </w:r>
      <w:r w:rsidRPr="00FB6807">
        <w:rPr>
          <w:rFonts w:ascii="Verdana" w:eastAsiaTheme="minorEastAsia" w:hAnsi="Verdana" w:cs="Arial"/>
          <w:szCs w:val="24"/>
          <w:lang w:eastAsia="es-CO"/>
        </w:rPr>
        <w:t>de</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la</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utilización</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de</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conceptos</w:t>
      </w:r>
      <w:r w:rsidRPr="00FB6807">
        <w:rPr>
          <w:rFonts w:ascii="Verdana" w:eastAsiaTheme="minorEastAsia" w:hAnsi="Verdana" w:cs="Arial"/>
          <w:spacing w:val="-10"/>
          <w:szCs w:val="24"/>
          <w:lang w:eastAsia="es-CO"/>
        </w:rPr>
        <w:t xml:space="preserve"> </w:t>
      </w:r>
      <w:r w:rsidRPr="00FB6807">
        <w:rPr>
          <w:rFonts w:ascii="Verdana" w:eastAsiaTheme="minorEastAsia" w:hAnsi="Verdana" w:cs="Arial"/>
          <w:szCs w:val="24"/>
          <w:lang w:eastAsia="es-CO"/>
        </w:rPr>
        <w:t>jurídicos</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indeterminados.</w:t>
      </w:r>
      <w:r w:rsidRPr="00FB6807">
        <w:rPr>
          <w:rFonts w:ascii="Verdana" w:eastAsiaTheme="minorEastAsia" w:hAnsi="Verdana" w:cs="Arial"/>
          <w:spacing w:val="-9"/>
          <w:szCs w:val="24"/>
          <w:lang w:eastAsia="es-CO"/>
        </w:rPr>
        <w:t xml:space="preserve"> </w:t>
      </w:r>
    </w:p>
    <w:p w14:paraId="78E97766" w14:textId="77777777" w:rsidR="00815A2C" w:rsidRPr="00FB6807" w:rsidRDefault="00815A2C" w:rsidP="00815A2C">
      <w:pPr>
        <w:tabs>
          <w:tab w:val="left" w:pos="426"/>
        </w:tabs>
        <w:spacing w:line="276" w:lineRule="auto"/>
        <w:ind w:firstLine="709"/>
        <w:jc w:val="both"/>
        <w:rPr>
          <w:rFonts w:ascii="Verdana" w:eastAsia="Calibri" w:hAnsi="Verdana" w:cs="Arial"/>
          <w:color w:val="000000"/>
          <w:lang w:val="es-ES" w:eastAsia="es-ES"/>
        </w:rPr>
      </w:pPr>
      <w:r w:rsidRPr="00FB6807">
        <w:rPr>
          <w:rFonts w:ascii="Verdana" w:eastAsia="Calibri" w:hAnsi="Verdana" w:cs="Arial"/>
          <w:bCs/>
          <w:lang w:val="es-ES_tradnl"/>
        </w:rPr>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w:t>
      </w:r>
    </w:p>
    <w:p w14:paraId="2F968409" w14:textId="77777777" w:rsidR="00815A2C" w:rsidRPr="00FB6807" w:rsidRDefault="00815A2C" w:rsidP="00815A2C">
      <w:pPr>
        <w:spacing w:after="120" w:line="276" w:lineRule="auto"/>
        <w:ind w:firstLine="709"/>
        <w:jc w:val="both"/>
        <w:rPr>
          <w:rFonts w:ascii="Verdana" w:hAnsi="Verdana" w:cs="Arial"/>
          <w:lang w:eastAsia="es-ES"/>
        </w:rPr>
      </w:pPr>
      <w:r w:rsidRPr="00FB6807">
        <w:rPr>
          <w:rFonts w:ascii="Verdana" w:eastAsia="Calibri" w:hAnsi="Verdana" w:cs="Arial"/>
          <w:color w:val="000000"/>
          <w:lang w:val="es-ES" w:eastAsia="es-ES"/>
        </w:rPr>
        <w:t>En consecuencia, esta Subdirección en el marco de la función consultiva</w:t>
      </w:r>
      <w:r w:rsidRPr="00FB6807">
        <w:rPr>
          <w:rFonts w:ascii="Verdana" w:eastAsia="Calibri" w:hAnsi="Verdana" w:cs="Arial"/>
          <w:color w:val="000000" w:themeColor="text1"/>
          <w:lang w:val="es-ES"/>
        </w:rPr>
        <w:t xml:space="preserve"> emite conceptos que no constituyen lineamientos de obligatorio cumplimiento, sino orientaciones jurídicas que buscan apoyar a las entidades en el entendimiento e interpretación del régimen normativo aplicable,</w:t>
      </w:r>
      <w:r w:rsidRPr="00FB6807">
        <w:rPr>
          <w:rFonts w:ascii="Verdana" w:eastAsiaTheme="minorEastAsia" w:hAnsi="Verdana" w:cs="Arial"/>
          <w:szCs w:val="24"/>
          <w:lang w:eastAsia="es-CO"/>
        </w:rPr>
        <w:t xml:space="preserve"> sin</w:t>
      </w:r>
      <w:r w:rsidRPr="00FB6807">
        <w:rPr>
          <w:rFonts w:ascii="Verdana" w:eastAsiaTheme="minorEastAsia" w:hAnsi="Verdana" w:cs="Arial"/>
          <w:spacing w:val="1"/>
          <w:szCs w:val="24"/>
          <w:lang w:eastAsia="es-CO"/>
        </w:rPr>
        <w:t xml:space="preserve"> </w:t>
      </w:r>
      <w:r w:rsidRPr="00FB6807">
        <w:rPr>
          <w:rFonts w:ascii="Verdana" w:eastAsiaTheme="minorEastAsia" w:hAnsi="Verdana" w:cs="Arial"/>
          <w:szCs w:val="24"/>
          <w:lang w:eastAsia="es-CO"/>
        </w:rPr>
        <w:t>que ello suponga resolver un problema entre partes o asumir la única posible interpretación de</w:t>
      </w:r>
      <w:r w:rsidRPr="00FB6807">
        <w:rPr>
          <w:rFonts w:ascii="Verdana" w:eastAsiaTheme="minorEastAsia" w:hAnsi="Verdana" w:cs="Arial"/>
          <w:spacing w:val="1"/>
          <w:szCs w:val="24"/>
          <w:lang w:eastAsia="es-CO"/>
        </w:rPr>
        <w:t xml:space="preserve"> </w:t>
      </w:r>
      <w:r w:rsidRPr="00FB6807">
        <w:rPr>
          <w:rFonts w:ascii="Verdana" w:eastAsiaTheme="minorEastAsia" w:hAnsi="Verdana" w:cs="Arial"/>
          <w:szCs w:val="24"/>
          <w:lang w:eastAsia="es-CO"/>
        </w:rPr>
        <w:t>una disposición normativa.</w:t>
      </w:r>
    </w:p>
    <w:p w14:paraId="3C54211D" w14:textId="77777777" w:rsidR="00815A2C" w:rsidRPr="00E155D3" w:rsidRDefault="00815A2C" w:rsidP="00815A2C">
      <w:pPr>
        <w:widowControl w:val="0"/>
        <w:autoSpaceDE w:val="0"/>
        <w:autoSpaceDN w:val="0"/>
        <w:spacing w:after="120" w:line="276" w:lineRule="auto"/>
        <w:ind w:right="176" w:firstLine="708"/>
        <w:jc w:val="both"/>
        <w:rPr>
          <w:rFonts w:ascii="Verdana" w:hAnsi="Verdana"/>
        </w:rPr>
      </w:pPr>
      <w:r w:rsidRPr="00FB6807">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w:t>
      </w:r>
      <w:r w:rsidRPr="00FB6807">
        <w:rPr>
          <w:rFonts w:ascii="Verdana" w:hAnsi="Verdana"/>
        </w:rPr>
        <w:lastRenderedPageBreak/>
        <w:t xml:space="preserve">atribución de Colombia Compra Eficiente validar sus actuaciones ni determinar si estas constituyen una infracción a la Ley. </w:t>
      </w:r>
    </w:p>
    <w:p w14:paraId="02873932" w14:textId="77777777" w:rsidR="00815A2C" w:rsidRPr="003E3009" w:rsidRDefault="00815A2C" w:rsidP="00815A2C">
      <w:pPr>
        <w:numPr>
          <w:ilvl w:val="0"/>
          <w:numId w:val="18"/>
        </w:numPr>
        <w:tabs>
          <w:tab w:val="left" w:pos="142"/>
          <w:tab w:val="left" w:pos="284"/>
        </w:tabs>
        <w:spacing w:after="0" w:line="276" w:lineRule="auto"/>
        <w:jc w:val="both"/>
        <w:rPr>
          <w:rFonts w:ascii="Verdana" w:eastAsia="Century Gothic" w:hAnsi="Verdana" w:cs="Century Gothic"/>
          <w:b/>
          <w:bCs/>
        </w:rPr>
      </w:pPr>
      <w:r w:rsidRPr="003E3009">
        <w:rPr>
          <w:rFonts w:ascii="Verdana" w:eastAsia="Century Gothic" w:hAnsi="Verdana" w:cs="Century Gothic"/>
          <w:b/>
          <w:bCs/>
        </w:rPr>
        <w:t>Referencias normativas:</w:t>
      </w:r>
    </w:p>
    <w:p w14:paraId="18A9D69C" w14:textId="77777777" w:rsidR="00815A2C" w:rsidRPr="003E3009" w:rsidRDefault="00815A2C" w:rsidP="00815A2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15A2C" w:rsidRPr="003E3009" w14:paraId="59528A0E" w14:textId="77777777" w:rsidTr="009A4F88">
        <w:trPr>
          <w:trHeight w:val="410"/>
          <w:jc w:val="center"/>
        </w:trPr>
        <w:tc>
          <w:tcPr>
            <w:tcW w:w="8647" w:type="dxa"/>
          </w:tcPr>
          <w:p w14:paraId="469ACEEE" w14:textId="77777777" w:rsidR="00815A2C" w:rsidRPr="003E3009" w:rsidRDefault="00815A2C" w:rsidP="00815A2C">
            <w:pPr>
              <w:widowControl w:val="0"/>
              <w:numPr>
                <w:ilvl w:val="0"/>
                <w:numId w:val="19"/>
              </w:numPr>
              <w:autoSpaceDE w:val="0"/>
              <w:autoSpaceDN w:val="0"/>
              <w:spacing w:after="120" w:line="276" w:lineRule="auto"/>
              <w:ind w:left="317" w:hanging="357"/>
              <w:contextualSpacing/>
              <w:jc w:val="both"/>
              <w:rPr>
                <w:rFonts w:ascii="Verdana" w:hAnsi="Verdana" w:cs="Arial"/>
                <w:lang w:val="es-ES"/>
              </w:rPr>
            </w:pPr>
            <w:r>
              <w:rPr>
                <w:rFonts w:ascii="Verdana" w:hAnsi="Verdana" w:cs="Arial"/>
                <w:lang w:val="es-ES"/>
              </w:rPr>
              <w:t>Ley 1150 de 2007, artículos 2 y 3</w:t>
            </w:r>
          </w:p>
          <w:p w14:paraId="3C014A0B" w14:textId="77777777" w:rsidR="00815A2C" w:rsidRPr="003E3009" w:rsidRDefault="00815A2C" w:rsidP="00815A2C">
            <w:pPr>
              <w:widowControl w:val="0"/>
              <w:numPr>
                <w:ilvl w:val="0"/>
                <w:numId w:val="19"/>
              </w:numPr>
              <w:autoSpaceDE w:val="0"/>
              <w:autoSpaceDN w:val="0"/>
              <w:spacing w:line="276" w:lineRule="auto"/>
              <w:ind w:left="318" w:hanging="284"/>
              <w:contextualSpacing/>
              <w:jc w:val="both"/>
              <w:rPr>
                <w:rFonts w:ascii="Verdana" w:eastAsia="Aptos" w:hAnsi="Verdana" w:cs="Arial"/>
              </w:rPr>
            </w:pPr>
            <w:r w:rsidRPr="003E3009">
              <w:rPr>
                <w:rFonts w:ascii="Verdana" w:hAnsi="Verdana" w:cs="Arial"/>
              </w:rPr>
              <w:t>Ley 2056 de 2020, artículos 28 a 37, 83, 87, 98, 99, 101, 108 y 109</w:t>
            </w:r>
          </w:p>
          <w:p w14:paraId="188249B6" w14:textId="77777777" w:rsidR="00815A2C" w:rsidRPr="003E3009" w:rsidRDefault="00815A2C" w:rsidP="00815A2C">
            <w:pPr>
              <w:widowControl w:val="0"/>
              <w:numPr>
                <w:ilvl w:val="0"/>
                <w:numId w:val="19"/>
              </w:numPr>
              <w:autoSpaceDE w:val="0"/>
              <w:autoSpaceDN w:val="0"/>
              <w:spacing w:line="276" w:lineRule="auto"/>
              <w:ind w:left="318" w:hanging="284"/>
              <w:contextualSpacing/>
              <w:jc w:val="both"/>
              <w:rPr>
                <w:rFonts w:ascii="Verdana" w:eastAsia="Aptos" w:hAnsi="Verdana" w:cs="Arial"/>
              </w:rPr>
            </w:pPr>
            <w:r>
              <w:rPr>
                <w:rFonts w:ascii="Verdana" w:eastAsia="Aptos" w:hAnsi="Verdana" w:cs="Arial"/>
              </w:rPr>
              <w:t xml:space="preserve">Decreto 1821 de 2020, artículos </w:t>
            </w:r>
            <w:r w:rsidRPr="00E90112">
              <w:rPr>
                <w:rFonts w:ascii="Verdana" w:eastAsia="Calibri" w:hAnsi="Verdana" w:cs="Arial"/>
                <w:color w:val="000000" w:themeColor="text1"/>
                <w:lang w:eastAsia="es-ES"/>
              </w:rPr>
              <w:t>2.1.1.3.1</w:t>
            </w:r>
            <w:r>
              <w:rPr>
                <w:rFonts w:ascii="Verdana" w:eastAsia="Calibri" w:hAnsi="Verdana" w:cs="Arial"/>
                <w:color w:val="000000" w:themeColor="text1"/>
                <w:lang w:eastAsia="es-ES"/>
              </w:rPr>
              <w:t xml:space="preserve">7, y </w:t>
            </w:r>
            <w:r w:rsidRPr="00E90112">
              <w:rPr>
                <w:rFonts w:ascii="Verdana" w:eastAsia="Calibri" w:hAnsi="Verdana" w:cs="Arial"/>
                <w:color w:val="000000" w:themeColor="text1"/>
                <w:lang w:eastAsia="es-ES"/>
              </w:rPr>
              <w:t>2.1.1.3.18</w:t>
            </w:r>
          </w:p>
        </w:tc>
      </w:tr>
    </w:tbl>
    <w:p w14:paraId="4E872B1A" w14:textId="77777777" w:rsidR="00815A2C" w:rsidRPr="003E3009" w:rsidRDefault="00815A2C" w:rsidP="00815A2C">
      <w:pPr>
        <w:widowControl w:val="0"/>
        <w:autoSpaceDE w:val="0"/>
        <w:autoSpaceDN w:val="0"/>
        <w:spacing w:after="0" w:line="276" w:lineRule="auto"/>
        <w:jc w:val="both"/>
        <w:rPr>
          <w:rFonts w:ascii="Verdana" w:hAnsi="Verdana" w:cs="Arial"/>
        </w:rPr>
      </w:pPr>
    </w:p>
    <w:p w14:paraId="328D737D" w14:textId="77777777" w:rsidR="00815A2C" w:rsidRPr="003E3009" w:rsidRDefault="00815A2C" w:rsidP="00815A2C">
      <w:pPr>
        <w:numPr>
          <w:ilvl w:val="0"/>
          <w:numId w:val="18"/>
        </w:numPr>
        <w:tabs>
          <w:tab w:val="left" w:pos="142"/>
          <w:tab w:val="left" w:pos="284"/>
        </w:tabs>
        <w:spacing w:after="0" w:line="276" w:lineRule="auto"/>
        <w:jc w:val="both"/>
        <w:rPr>
          <w:rFonts w:ascii="Verdana" w:eastAsia="Century Gothic" w:hAnsi="Verdana" w:cs="Century Gothic"/>
          <w:b/>
          <w:bCs/>
        </w:rPr>
      </w:pPr>
      <w:r w:rsidRPr="003E3009">
        <w:rPr>
          <w:rFonts w:ascii="Verdana" w:eastAsia="Century Gothic" w:hAnsi="Verdana" w:cs="Century Gothic"/>
          <w:b/>
          <w:bCs/>
        </w:rPr>
        <w:t>Doctrina de la Agencia Nacional de Contratación Pública:</w:t>
      </w:r>
    </w:p>
    <w:p w14:paraId="77946397" w14:textId="77777777" w:rsidR="00815A2C" w:rsidRPr="003E3009" w:rsidRDefault="00815A2C" w:rsidP="00815A2C">
      <w:pPr>
        <w:widowControl w:val="0"/>
        <w:autoSpaceDE w:val="0"/>
        <w:autoSpaceDN w:val="0"/>
        <w:spacing w:after="0" w:line="276" w:lineRule="auto"/>
        <w:jc w:val="both"/>
        <w:rPr>
          <w:rFonts w:ascii="Verdana" w:hAnsi="Verdana" w:cs="Arial"/>
        </w:rPr>
      </w:pPr>
    </w:p>
    <w:p w14:paraId="12BD8840" w14:textId="77777777" w:rsidR="00815A2C" w:rsidRPr="001A7B94" w:rsidRDefault="00815A2C" w:rsidP="00815A2C">
      <w:pPr>
        <w:widowControl w:val="0"/>
        <w:autoSpaceDE w:val="0"/>
        <w:autoSpaceDN w:val="0"/>
        <w:spacing w:after="120" w:line="276" w:lineRule="auto"/>
        <w:jc w:val="both"/>
        <w:rPr>
          <w:rFonts w:ascii="Verdana" w:hAnsi="Verdana" w:cs="Arial"/>
          <w:shd w:val="clear" w:color="auto" w:fill="FFFFFF"/>
          <w:lang w:val="es-ES"/>
        </w:rPr>
      </w:pPr>
      <w:r w:rsidRPr="003E3009">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3E3009">
        <w:rPr>
          <w:rFonts w:ascii="Verdana" w:hAnsi="Verdana"/>
        </w:rPr>
        <w:t>C-370 del 2021,</w:t>
      </w:r>
      <w:r w:rsidRPr="003E3009">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w:t>
      </w:r>
      <w:r>
        <w:rPr>
          <w:rFonts w:ascii="Verdana" w:hAnsi="Verdana"/>
          <w:shd w:val="clear" w:color="auto" w:fill="FFFFFF"/>
        </w:rPr>
        <w:t>,</w:t>
      </w:r>
      <w:r w:rsidRPr="003E3009">
        <w:rPr>
          <w:rFonts w:ascii="Verdana" w:hAnsi="Verdana"/>
          <w:shd w:val="clear" w:color="auto" w:fill="FFFFFF"/>
        </w:rPr>
        <w:t xml:space="preserve"> C-417 del 2026</w:t>
      </w:r>
      <w:r>
        <w:rPr>
          <w:rFonts w:ascii="Verdana" w:hAnsi="Verdana" w:cs="Arial"/>
        </w:rPr>
        <w:t>,</w:t>
      </w:r>
      <w:r w:rsidRPr="003E3009">
        <w:rPr>
          <w:rFonts w:ascii="Verdana" w:hAnsi="Verdana" w:cs="Arial"/>
        </w:rPr>
        <w:t xml:space="preserve"> C-764 del 29 de mayo de 2026</w:t>
      </w:r>
      <w:r>
        <w:rPr>
          <w:rFonts w:ascii="Verdana" w:hAnsi="Verdana" w:cs="Arial"/>
        </w:rPr>
        <w:t xml:space="preserve"> </w:t>
      </w:r>
      <w:r>
        <w:rPr>
          <w:rFonts w:ascii="Verdana" w:hAnsi="Verdana" w:cs="Arial"/>
          <w:shd w:val="clear" w:color="auto" w:fill="FFFFFF"/>
        </w:rPr>
        <w:t>y C-1050 del 21 de julio de 2026</w:t>
      </w:r>
      <w:r>
        <w:rPr>
          <w:rStyle w:val="normaltextrun"/>
          <w:rFonts w:ascii="Verdana" w:hAnsi="Verdana" w:cs="Arial"/>
          <w:shd w:val="clear" w:color="auto" w:fill="FFFFFF"/>
          <w:lang w:val="es-ES"/>
        </w:rPr>
        <w:t xml:space="preserve">. </w:t>
      </w:r>
      <w:r w:rsidRPr="003E3009">
        <w:rPr>
          <w:rFonts w:ascii="Verdana" w:hAnsi="Verdana" w:cs="Arial"/>
          <w:shd w:val="clear" w:color="auto" w:fill="FFFFFF"/>
        </w:rPr>
        <w:t>Es</w:t>
      </w:r>
      <w:r w:rsidRPr="003E3009">
        <w:rPr>
          <w:rFonts w:ascii="Verdana" w:hAnsi="Verdana"/>
        </w:rPr>
        <w:t>tos conceptos se encuentran disponibles para consulta en el Sistema de relatoría de la Agencia, al cual se puede acceder a través del siguiente enlace:</w:t>
      </w:r>
      <w:r w:rsidRPr="003E3009">
        <w:rPr>
          <w:rFonts w:ascii="Verdana" w:hAnsi="Verdana" w:cs="Arial"/>
          <w:shd w:val="clear" w:color="auto" w:fill="FFFFFF"/>
        </w:rPr>
        <w:t xml:space="preserve"> </w:t>
      </w:r>
      <w:hyperlink r:id="rId14" w:history="1">
        <w:r w:rsidRPr="003E3009">
          <w:rPr>
            <w:rFonts w:ascii="Verdana" w:hAnsi="Verdana" w:cs="Arial"/>
            <w:color w:val="0563C1" w:themeColor="hyperlink"/>
            <w:u w:val="single"/>
            <w:shd w:val="clear" w:color="auto" w:fill="FFFFFF"/>
          </w:rPr>
          <w:t>https://relatoria.colombiacompra.gov.co/busqueda/conceptos</w:t>
        </w:r>
      </w:hyperlink>
      <w:r w:rsidRPr="003E3009">
        <w:rPr>
          <w:rFonts w:ascii="Verdana" w:hAnsi="Verdana" w:cs="Arial"/>
          <w:shd w:val="clear" w:color="auto" w:fill="FFFFFF"/>
        </w:rPr>
        <w:t>.</w:t>
      </w:r>
      <w:r w:rsidRPr="003E3009">
        <w:rPr>
          <w:rFonts w:ascii="Verdana" w:hAnsi="Verdana" w:cs="Arial"/>
          <w:color w:val="FF0000"/>
          <w:shd w:val="clear" w:color="auto" w:fill="FFFFFF"/>
        </w:rPr>
        <w:t xml:space="preserve"> </w:t>
      </w:r>
      <w:r w:rsidRPr="003E3009">
        <w:rPr>
          <w:rFonts w:ascii="Verdana" w:hAnsi="Verdana" w:cs="Arial"/>
          <w:color w:val="000000" w:themeColor="text1"/>
          <w:shd w:val="clear" w:color="auto" w:fill="FFFFFF"/>
        </w:rPr>
        <w:t> </w:t>
      </w:r>
    </w:p>
    <w:p w14:paraId="0C20C46A" w14:textId="77777777" w:rsidR="00815A2C" w:rsidRPr="00F74645" w:rsidRDefault="00815A2C" w:rsidP="00815A2C">
      <w:pPr>
        <w:widowControl w:val="0"/>
        <w:autoSpaceDE w:val="0"/>
        <w:autoSpaceDN w:val="0"/>
        <w:spacing w:after="120" w:line="276" w:lineRule="auto"/>
        <w:jc w:val="both"/>
        <w:rPr>
          <w:rFonts w:ascii="Verdana" w:hAnsi="Verdana" w:cs="Arial"/>
          <w:color w:val="000000" w:themeColor="text1"/>
          <w:shd w:val="clear" w:color="auto" w:fill="FFFFFF"/>
        </w:rPr>
      </w:pPr>
      <w:r w:rsidRPr="00F74645">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74645">
        <w:rPr>
          <w:rFonts w:ascii="Verdana" w:eastAsia="Times New Roman" w:hAnsi="Verdana" w:cs="Times New Roman"/>
          <w:b/>
          <w:bCs/>
          <w:color w:val="000000"/>
          <w:lang w:eastAsia="es-CO"/>
        </w:rPr>
        <w:t>Guía para la Exigencia y Constitución de Garantías en los Procesos de Contratación</w:t>
      </w:r>
      <w:r w:rsidRPr="00F74645">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gtFrame="_blank" w:tooltip="Dirección URL original: https://www.colombiacompra.gov.co/archivos/manual/guia-de-garantias-en-procesos-de-contratacion.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601BBCB8" w14:textId="77777777" w:rsidR="00815A2C" w:rsidRPr="00F74645" w:rsidRDefault="00815A2C" w:rsidP="00815A2C">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F74645">
        <w:rPr>
          <w:rFonts w:ascii="Verdana" w:eastAsia="Times New Roman" w:hAnsi="Verdana" w:cs="Times New Roman"/>
          <w:b/>
          <w:bCs/>
          <w:color w:val="000000"/>
          <w:lang w:eastAsia="es-CO"/>
        </w:rPr>
        <w:t xml:space="preserve">Sistema Integral de Preferencias en favor de las </w:t>
      </w:r>
      <w:r w:rsidRPr="00F74645">
        <w:rPr>
          <w:rFonts w:ascii="Verdana" w:eastAsia="Times New Roman" w:hAnsi="Verdana" w:cs="Times New Roman"/>
          <w:b/>
          <w:bCs/>
          <w:color w:val="000000"/>
          <w:lang w:eastAsia="es-CO"/>
        </w:rPr>
        <w:lastRenderedPageBreak/>
        <w:t>personas con discapacidad</w:t>
      </w:r>
      <w:r w:rsidRPr="00F74645">
        <w:rPr>
          <w:rFonts w:ascii="Verdana" w:eastAsia="Times New Roman" w:hAnsi="Verdana" w:cs="Times New Roman"/>
          <w:color w:val="000000"/>
          <w:lang w:eastAsia="es-CO"/>
        </w:rPr>
        <w:t>, en cumplimiento del artículo 13 de la Ley Estatutaria 1618 de 2013. Para orientar su aplicación, esta Agencia expidió la </w:t>
      </w:r>
      <w:r w:rsidRPr="00F74645">
        <w:rPr>
          <w:rFonts w:ascii="Verdana" w:eastAsia="Times New Roman" w:hAnsi="Verdana" w:cs="Times New Roman"/>
          <w:b/>
          <w:bCs/>
          <w:color w:val="000000"/>
          <w:lang w:eastAsia="es-CO"/>
        </w:rPr>
        <w:t>Circular Externa 003 del 12 de mayo de 2026, </w:t>
      </w:r>
      <w:r w:rsidRPr="00F74645">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Dirección URL original: https://www.colombiacompra.gov.co/archivos/circular/circular-externa-003-de-2026.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2323D11D" w14:textId="77777777" w:rsidR="00815A2C" w:rsidRPr="00F74645" w:rsidRDefault="00815A2C" w:rsidP="00815A2C">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Recuerda también que la</w:t>
      </w:r>
      <w:r w:rsidRPr="00F74645">
        <w:rPr>
          <w:rFonts w:ascii="Verdana" w:eastAsia="Times New Roman" w:hAnsi="Verdana" w:cs="Times New Roman"/>
          <w:b/>
          <w:bCs/>
          <w:color w:val="000000"/>
          <w:lang w:eastAsia="es-CO"/>
        </w:rPr>
        <w:t> información sobre sanciones e inhabilidades </w:t>
      </w:r>
      <w:r w:rsidRPr="00F74645">
        <w:rPr>
          <w:rFonts w:ascii="Verdana" w:eastAsia="Times New Roman" w:hAnsi="Verdana" w:cs="Times New Roman"/>
          <w:color w:val="000000"/>
          <w:lang w:eastAsia="es-CO"/>
        </w:rPr>
        <w:t>solo cumple su función preventiva si llega oportunamente a los registros públicos. Sobre este deber, esta Agencia expidió la </w:t>
      </w:r>
      <w:r w:rsidRPr="00F74645">
        <w:rPr>
          <w:rFonts w:ascii="Verdana" w:eastAsia="Times New Roman" w:hAnsi="Verdana" w:cs="Times New Roman"/>
          <w:b/>
          <w:bCs/>
          <w:color w:val="000000"/>
          <w:lang w:eastAsia="es-CO"/>
        </w:rPr>
        <w:t>Circular Externa 002 del 5 de mayo de 2026,</w:t>
      </w:r>
      <w:r w:rsidRPr="00F74645">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Dirección URL original: https://www.colombiacompra.gov.co/archivos/circular/circular-externa-002-de-2026.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3019F916" w14:textId="77777777" w:rsidR="00815A2C" w:rsidRPr="00F74645" w:rsidRDefault="00815A2C" w:rsidP="00815A2C">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Finalmente, si quieres seguir de cerca la actividad de la Agencia, la tercera edición de 2026 del</w:t>
      </w:r>
      <w:r w:rsidRPr="00F74645">
        <w:rPr>
          <w:rFonts w:ascii="Verdana" w:eastAsia="Times New Roman" w:hAnsi="Verdana" w:cs="Times New Roman"/>
          <w:b/>
          <w:bCs/>
          <w:color w:val="000000"/>
          <w:lang w:eastAsia="es-CO"/>
        </w:rPr>
        <w:t> Radar de la Compra Pública</w:t>
      </w:r>
      <w:r w:rsidRPr="00F74645">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gtFrame="_blank" w:tooltip="Dirección URL original: https://www.colombiacompra.gov.co/archivos/boletin/boletin-edicion-n-3-de-2026-radar-de-la-compra-publica.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F74645">
        <w:rPr>
          <w:rFonts w:ascii="Verdana" w:eastAsia="Times New Roman" w:hAnsi="Verdana" w:cs="Times New Roman"/>
          <w:color w:val="000000"/>
          <w:lang w:eastAsia="es-CO"/>
        </w:rPr>
        <w:t>"</w:t>
      </w:r>
    </w:p>
    <w:p w14:paraId="6F7599A1" w14:textId="77777777" w:rsidR="00815A2C" w:rsidRPr="00F74645" w:rsidRDefault="00815A2C" w:rsidP="00815A2C">
      <w:pPr>
        <w:spacing w:after="0" w:line="276" w:lineRule="auto"/>
        <w:jc w:val="both"/>
        <w:rPr>
          <w:rFonts w:ascii="Verdana" w:hAnsi="Verdana"/>
          <w:lang w:val="es-ES"/>
        </w:rPr>
      </w:pPr>
      <w:r w:rsidRPr="00F74645">
        <w:rPr>
          <w:rFonts w:ascii="Verdana" w:hAnsi="Verdana"/>
          <w:lang w:val="es-ES"/>
        </w:rPr>
        <w:t xml:space="preserve">Por último, lo invitamos a seguirnos en las redes sociales en las cuales se difunde información institucional: </w:t>
      </w:r>
    </w:p>
    <w:p w14:paraId="0D93B120" w14:textId="77777777" w:rsidR="00815A2C" w:rsidRPr="00F74645" w:rsidRDefault="00815A2C" w:rsidP="00815A2C">
      <w:pPr>
        <w:spacing w:after="0" w:line="276" w:lineRule="auto"/>
        <w:jc w:val="both"/>
        <w:rPr>
          <w:rFonts w:ascii="Verdana" w:hAnsi="Verdana"/>
          <w:lang w:val="es-ES"/>
        </w:rPr>
      </w:pPr>
    </w:p>
    <w:p w14:paraId="75FEC102" w14:textId="77777777" w:rsidR="00815A2C" w:rsidRPr="00F74645" w:rsidRDefault="00815A2C" w:rsidP="00815A2C">
      <w:pPr>
        <w:spacing w:after="0" w:line="276" w:lineRule="auto"/>
        <w:jc w:val="both"/>
        <w:rPr>
          <w:rFonts w:ascii="Verdana" w:hAnsi="Verdana"/>
          <w:lang w:val="es-ES"/>
        </w:rPr>
      </w:pPr>
      <w:r w:rsidRPr="00F74645">
        <w:rPr>
          <w:rFonts w:ascii="Verdana" w:hAnsi="Verdana"/>
          <w:lang w:val="es-ES"/>
        </w:rPr>
        <w:t xml:space="preserve">Twitter: </w:t>
      </w:r>
      <w:r w:rsidRPr="00F74645">
        <w:rPr>
          <w:rFonts w:ascii="Verdana" w:hAnsi="Verdana" w:cs="Arial"/>
          <w:color w:val="0000FF"/>
          <w:u w:val="single"/>
          <w:shd w:val="clear" w:color="auto" w:fill="FFFFFF"/>
          <w:lang w:val="es-ES"/>
        </w:rPr>
        <w:t>@colombiacompra</w:t>
      </w:r>
      <w:r w:rsidRPr="00F74645">
        <w:rPr>
          <w:rFonts w:ascii="Verdana" w:hAnsi="Verdana"/>
          <w:color w:val="4472C4" w:themeColor="accent1"/>
          <w:lang w:val="es-ES"/>
        </w:rPr>
        <w:t xml:space="preserve"> </w:t>
      </w:r>
    </w:p>
    <w:p w14:paraId="493F6642" w14:textId="77777777" w:rsidR="00815A2C" w:rsidRPr="00F74645" w:rsidRDefault="00815A2C" w:rsidP="00815A2C">
      <w:pPr>
        <w:spacing w:after="0" w:line="276" w:lineRule="auto"/>
        <w:jc w:val="both"/>
        <w:rPr>
          <w:rFonts w:ascii="Verdana" w:hAnsi="Verdana"/>
          <w:lang w:val="es-ES"/>
        </w:rPr>
      </w:pPr>
      <w:r w:rsidRPr="00F74645">
        <w:rPr>
          <w:rFonts w:ascii="Verdana" w:hAnsi="Verdana"/>
          <w:lang w:val="es-ES"/>
        </w:rPr>
        <w:t xml:space="preserve">Facebook: </w:t>
      </w:r>
      <w:proofErr w:type="spellStart"/>
      <w:r w:rsidRPr="00F74645">
        <w:rPr>
          <w:rFonts w:ascii="Verdana" w:hAnsi="Verdana" w:cs="Arial"/>
          <w:color w:val="0000FF"/>
          <w:u w:val="single"/>
          <w:shd w:val="clear" w:color="auto" w:fill="FFFFFF"/>
          <w:lang w:val="es-ES"/>
        </w:rPr>
        <w:t>ColombiaCompraEficiente</w:t>
      </w:r>
      <w:proofErr w:type="spellEnd"/>
    </w:p>
    <w:p w14:paraId="2042C79F" w14:textId="77777777" w:rsidR="00815A2C" w:rsidRPr="00F74645" w:rsidRDefault="00815A2C" w:rsidP="00815A2C">
      <w:pPr>
        <w:spacing w:after="0" w:line="276" w:lineRule="auto"/>
        <w:jc w:val="both"/>
        <w:rPr>
          <w:rFonts w:ascii="Verdana" w:hAnsi="Verdana"/>
          <w:lang w:val="es-ES"/>
        </w:rPr>
      </w:pPr>
      <w:r w:rsidRPr="00F74645">
        <w:rPr>
          <w:rFonts w:ascii="Verdana" w:hAnsi="Verdana"/>
          <w:lang w:val="es-ES"/>
        </w:rPr>
        <w:t xml:space="preserve">LinkedIn: </w:t>
      </w:r>
      <w:r w:rsidRPr="00F74645">
        <w:rPr>
          <w:rFonts w:ascii="Verdana" w:hAnsi="Verdana" w:cs="Arial"/>
          <w:color w:val="0000FF"/>
          <w:u w:val="single"/>
          <w:shd w:val="clear" w:color="auto" w:fill="FFFFFF"/>
          <w:lang w:val="es-ES"/>
        </w:rPr>
        <w:t xml:space="preserve">Agencia Nacional de Contratación Pública - Colombia Compra Eficiente </w:t>
      </w:r>
      <w:r w:rsidRPr="00F74645">
        <w:rPr>
          <w:rFonts w:ascii="Verdana" w:hAnsi="Verdana"/>
          <w:lang w:val="es-ES"/>
        </w:rPr>
        <w:t xml:space="preserve">Instagram: </w:t>
      </w:r>
      <w:r w:rsidRPr="00F74645">
        <w:rPr>
          <w:rFonts w:ascii="Verdana" w:hAnsi="Verdana" w:cs="Arial"/>
          <w:color w:val="0000FF"/>
          <w:u w:val="single"/>
          <w:shd w:val="clear" w:color="auto" w:fill="FFFFFF"/>
          <w:lang w:val="es-ES"/>
        </w:rPr>
        <w:t>@colombiacompraeficiente_cce</w:t>
      </w:r>
    </w:p>
    <w:p w14:paraId="3CF0E9D7" w14:textId="77777777" w:rsidR="00815A2C" w:rsidRPr="00F74645" w:rsidRDefault="00815A2C" w:rsidP="00815A2C">
      <w:pPr>
        <w:spacing w:after="0" w:line="276" w:lineRule="auto"/>
        <w:jc w:val="both"/>
        <w:rPr>
          <w:rFonts w:ascii="Verdana" w:hAnsi="Verdana"/>
          <w:lang w:val="es-ES"/>
        </w:rPr>
      </w:pPr>
    </w:p>
    <w:p w14:paraId="0147B719" w14:textId="77777777" w:rsidR="00815A2C" w:rsidRPr="00F74645" w:rsidRDefault="00815A2C" w:rsidP="00815A2C">
      <w:pPr>
        <w:spacing w:before="120" w:after="0" w:line="276" w:lineRule="auto"/>
        <w:jc w:val="both"/>
        <w:rPr>
          <w:rFonts w:ascii="Verdana" w:hAnsi="Verdana"/>
        </w:rPr>
      </w:pPr>
      <w:r w:rsidRPr="00F74645">
        <w:rPr>
          <w:rFonts w:ascii="Verdana" w:hAnsi="Verdana"/>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747F354" w14:textId="77777777" w:rsidR="00815A2C" w:rsidRPr="003E3009" w:rsidRDefault="00815A2C" w:rsidP="00815A2C">
      <w:pPr>
        <w:widowControl w:val="0"/>
        <w:autoSpaceDE w:val="0"/>
        <w:autoSpaceDN w:val="0"/>
        <w:spacing w:after="0" w:line="276" w:lineRule="auto"/>
        <w:jc w:val="both"/>
        <w:rPr>
          <w:rFonts w:ascii="Verdana" w:hAnsi="Verdana" w:cs="Arial"/>
        </w:rPr>
      </w:pPr>
    </w:p>
    <w:p w14:paraId="5E4EAEAA" w14:textId="77777777" w:rsidR="00815A2C" w:rsidRPr="003E3009" w:rsidRDefault="00815A2C" w:rsidP="00815A2C">
      <w:pPr>
        <w:spacing w:after="0" w:line="276" w:lineRule="auto"/>
        <w:rPr>
          <w:rFonts w:ascii="Verdana" w:hAnsi="Verdana" w:cs="Arial"/>
          <w:lang w:eastAsia="es-CO"/>
        </w:rPr>
      </w:pPr>
      <w:r w:rsidRPr="003E3009">
        <w:rPr>
          <w:rFonts w:ascii="Verdana" w:eastAsia="Times New Roman" w:hAnsi="Verdana" w:cs="Arial"/>
          <w:lang w:eastAsia="es-CO"/>
        </w:rPr>
        <w:t>Atentamente,</w:t>
      </w:r>
      <w:r w:rsidRPr="003E3009">
        <w:rPr>
          <w:rFonts w:ascii="Verdana" w:hAnsi="Verdana" w:cs="Arial"/>
          <w:lang w:eastAsia="es-CO"/>
        </w:rPr>
        <w:t xml:space="preserve"> </w:t>
      </w:r>
    </w:p>
    <w:p w14:paraId="0B8F8A33" w14:textId="34CF2E6D" w:rsidR="00815A2C" w:rsidRPr="003E3009" w:rsidRDefault="006D1EAE" w:rsidP="00815A2C">
      <w:pPr>
        <w:spacing w:line="276" w:lineRule="auto"/>
        <w:jc w:val="center"/>
        <w:rPr>
          <w:rFonts w:ascii="Verdana" w:hAnsi="Verdana" w:cs="Arial"/>
          <w:color w:val="000000"/>
          <w:lang w:eastAsia="es-CO"/>
        </w:rPr>
      </w:pPr>
      <w:r>
        <w:rPr>
          <w:noProof/>
        </w:rPr>
        <w:drawing>
          <wp:inline distT="0" distB="0" distL="0" distR="0" wp14:anchorId="0B34EE95" wp14:editId="08B17B96">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15A2C" w:rsidRPr="003E3009" w14:paraId="5D86EE8F" w14:textId="77777777" w:rsidTr="009A4F88">
        <w:trPr>
          <w:trHeight w:val="315"/>
        </w:trPr>
        <w:tc>
          <w:tcPr>
            <w:tcW w:w="893" w:type="dxa"/>
            <w:vAlign w:val="center"/>
            <w:hideMark/>
          </w:tcPr>
          <w:bookmarkEnd w:id="0"/>
          <w:p w14:paraId="1CB58339" w14:textId="77777777" w:rsidR="00815A2C" w:rsidRPr="003E3009" w:rsidRDefault="00815A2C" w:rsidP="009A4F88">
            <w:pPr>
              <w:contextualSpacing/>
              <w:rPr>
                <w:rFonts w:ascii="Verdana" w:hAnsi="Verdana" w:cs="Arial"/>
                <w:sz w:val="16"/>
                <w:szCs w:val="16"/>
                <w:lang w:val="es-ES" w:eastAsia="es-ES"/>
              </w:rPr>
            </w:pPr>
            <w:r w:rsidRPr="003E300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A77DA20" w14:textId="77777777" w:rsidR="00815A2C" w:rsidRPr="003E3009" w:rsidRDefault="00815A2C" w:rsidP="009A4F88">
            <w:pPr>
              <w:contextualSpacing/>
              <w:rPr>
                <w:rFonts w:ascii="Verdana" w:hAnsi="Verdana"/>
                <w:sz w:val="16"/>
                <w:szCs w:val="16"/>
              </w:rPr>
            </w:pPr>
            <w:r w:rsidRPr="003E3009">
              <w:rPr>
                <w:rFonts w:ascii="Verdana" w:hAnsi="Verdana"/>
                <w:sz w:val="16"/>
                <w:szCs w:val="16"/>
              </w:rPr>
              <w:t>Tatiana Baquero Iguarán</w:t>
            </w:r>
          </w:p>
          <w:p w14:paraId="62F7F535" w14:textId="77777777" w:rsidR="00815A2C" w:rsidRPr="003E3009" w:rsidRDefault="00815A2C" w:rsidP="009A4F88">
            <w:pPr>
              <w:contextualSpacing/>
              <w:rPr>
                <w:rFonts w:ascii="Verdana" w:eastAsia="Arial" w:hAnsi="Verdana" w:cs="Arial"/>
                <w:sz w:val="16"/>
                <w:szCs w:val="16"/>
              </w:rPr>
            </w:pPr>
            <w:r w:rsidRPr="003E3009">
              <w:rPr>
                <w:rFonts w:ascii="Verdana" w:hAnsi="Verdana"/>
                <w:sz w:val="16"/>
                <w:szCs w:val="16"/>
              </w:rPr>
              <w:t>Contratista de la Subdirección de Gestión Contractual</w:t>
            </w:r>
          </w:p>
        </w:tc>
      </w:tr>
      <w:tr w:rsidR="00815A2C" w:rsidRPr="003E3009" w14:paraId="6F819407" w14:textId="77777777" w:rsidTr="009A4F88">
        <w:trPr>
          <w:trHeight w:val="330"/>
        </w:trPr>
        <w:tc>
          <w:tcPr>
            <w:tcW w:w="893" w:type="dxa"/>
            <w:vAlign w:val="center"/>
            <w:hideMark/>
          </w:tcPr>
          <w:p w14:paraId="1C7ACAE7" w14:textId="77777777" w:rsidR="00815A2C" w:rsidRPr="003E3009" w:rsidRDefault="00815A2C" w:rsidP="009A4F88">
            <w:pPr>
              <w:contextualSpacing/>
              <w:rPr>
                <w:rFonts w:ascii="Verdana" w:hAnsi="Verdana" w:cs="Arial"/>
                <w:sz w:val="16"/>
                <w:szCs w:val="16"/>
                <w:lang w:val="es-ES" w:eastAsia="es-ES"/>
              </w:rPr>
            </w:pPr>
            <w:r w:rsidRPr="003E300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DC6C96D" w14:textId="77777777" w:rsidR="00815A2C" w:rsidRPr="003E3009" w:rsidRDefault="00815A2C" w:rsidP="009A4F88">
            <w:pPr>
              <w:spacing w:before="100" w:beforeAutospacing="1" w:afterAutospacing="1"/>
              <w:contextualSpacing/>
              <w:textAlignment w:val="baseline"/>
              <w:rPr>
                <w:rFonts w:ascii="Verdana" w:eastAsia="Times New Roman" w:hAnsi="Verdana" w:cs="Arial"/>
                <w:sz w:val="16"/>
                <w:szCs w:val="16"/>
                <w:lang w:val="es-ES" w:eastAsia="es-ES_tradnl"/>
              </w:rPr>
            </w:pPr>
            <w:r w:rsidRPr="003E3009">
              <w:rPr>
                <w:rFonts w:ascii="Verdana" w:eastAsia="Times New Roman" w:hAnsi="Verdana" w:cs="Arial"/>
                <w:sz w:val="16"/>
                <w:szCs w:val="16"/>
                <w:lang w:val="es-ES" w:eastAsia="es-ES_tradnl"/>
              </w:rPr>
              <w:t>Alejandro Sarmiento Cantillo</w:t>
            </w:r>
          </w:p>
          <w:p w14:paraId="3E2A1558" w14:textId="77777777" w:rsidR="00815A2C" w:rsidRPr="003E3009" w:rsidRDefault="00815A2C" w:rsidP="009A4F88">
            <w:pPr>
              <w:contextualSpacing/>
              <w:textAlignment w:val="baseline"/>
              <w:rPr>
                <w:rFonts w:ascii="Verdana" w:eastAsia="Times New Roman" w:hAnsi="Verdana" w:cs="Segoe UI"/>
                <w:sz w:val="16"/>
                <w:szCs w:val="16"/>
                <w:lang w:eastAsia="es-ES_tradnl"/>
              </w:rPr>
            </w:pPr>
            <w:r w:rsidRPr="003E3009">
              <w:rPr>
                <w:rFonts w:ascii="Verdana" w:eastAsia="Times New Roman" w:hAnsi="Verdana" w:cs="Arial"/>
                <w:sz w:val="16"/>
                <w:szCs w:val="16"/>
                <w:lang w:val="es-ES" w:eastAsia="es-ES_tradnl"/>
              </w:rPr>
              <w:t>Gestor T1 ‒ 15 de la Subdirección de Gestión Contractual</w:t>
            </w:r>
            <w:r w:rsidRPr="003E3009">
              <w:rPr>
                <w:rFonts w:ascii="Verdana" w:eastAsia="Times New Roman" w:hAnsi="Verdana" w:cs="Arial"/>
                <w:sz w:val="16"/>
                <w:szCs w:val="16"/>
                <w:lang w:eastAsia="es-ES_tradnl"/>
              </w:rPr>
              <w:t> </w:t>
            </w:r>
          </w:p>
        </w:tc>
      </w:tr>
      <w:tr w:rsidR="00815A2C" w:rsidRPr="003E3009" w14:paraId="7BD71E4C" w14:textId="77777777" w:rsidTr="009A4F88">
        <w:trPr>
          <w:trHeight w:val="300"/>
        </w:trPr>
        <w:tc>
          <w:tcPr>
            <w:tcW w:w="893" w:type="dxa"/>
            <w:vAlign w:val="center"/>
          </w:tcPr>
          <w:p w14:paraId="5918C02F" w14:textId="77777777" w:rsidR="00815A2C" w:rsidRPr="003E3009" w:rsidRDefault="00815A2C" w:rsidP="009A4F88">
            <w:pPr>
              <w:contextualSpacing/>
              <w:rPr>
                <w:rFonts w:ascii="Verdana" w:hAnsi="Verdana" w:cs="Arial"/>
                <w:sz w:val="16"/>
                <w:szCs w:val="16"/>
                <w:lang w:val="es-ES" w:eastAsia="es-ES"/>
              </w:rPr>
            </w:pPr>
            <w:r w:rsidRPr="003E300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591BDCB" w14:textId="77777777" w:rsidR="00815A2C" w:rsidRPr="003E3009" w:rsidRDefault="00815A2C" w:rsidP="009A4F88">
            <w:pPr>
              <w:contextualSpacing/>
              <w:rPr>
                <w:rFonts w:ascii="Verdana" w:eastAsia="Calibri" w:hAnsi="Verdana" w:cs="Arial"/>
                <w:sz w:val="16"/>
                <w:szCs w:val="16"/>
                <w:lang w:val="pt-BR" w:eastAsia="es-ES"/>
              </w:rPr>
            </w:pPr>
            <w:r w:rsidRPr="003E3009">
              <w:rPr>
                <w:rFonts w:ascii="Verdana" w:eastAsia="Calibri" w:hAnsi="Verdana" w:cs="Arial"/>
                <w:sz w:val="16"/>
                <w:szCs w:val="16"/>
                <w:lang w:val="pt-BR" w:eastAsia="es-ES"/>
              </w:rPr>
              <w:t xml:space="preserve">Carolina Quintero </w:t>
            </w:r>
            <w:proofErr w:type="spellStart"/>
            <w:r w:rsidRPr="003E3009">
              <w:rPr>
                <w:rFonts w:ascii="Verdana" w:eastAsia="Calibri" w:hAnsi="Verdana" w:cs="Arial"/>
                <w:sz w:val="16"/>
                <w:szCs w:val="16"/>
                <w:lang w:val="pt-BR" w:eastAsia="es-ES"/>
              </w:rPr>
              <w:t>Gacharná</w:t>
            </w:r>
            <w:proofErr w:type="spellEnd"/>
          </w:p>
          <w:p w14:paraId="632ACBBE" w14:textId="77777777" w:rsidR="00815A2C" w:rsidRPr="003E3009" w:rsidRDefault="00815A2C" w:rsidP="009A4F88">
            <w:pPr>
              <w:contextualSpacing/>
              <w:rPr>
                <w:rFonts w:ascii="Verdana" w:eastAsia="Calibri" w:hAnsi="Verdana" w:cs="Arial"/>
                <w:sz w:val="16"/>
                <w:szCs w:val="16"/>
                <w:lang w:val="pt-BR" w:eastAsia="es-ES"/>
              </w:rPr>
            </w:pPr>
            <w:r w:rsidRPr="003E3009">
              <w:rPr>
                <w:rFonts w:ascii="Verdana" w:eastAsia="Calibri" w:hAnsi="Verdana" w:cs="Arial"/>
                <w:sz w:val="16"/>
                <w:szCs w:val="16"/>
                <w:lang w:eastAsia="es-ES"/>
              </w:rPr>
              <w:t>Subdirectora</w:t>
            </w:r>
            <w:r w:rsidRPr="003E3009">
              <w:rPr>
                <w:rFonts w:ascii="Verdana" w:eastAsia="Calibri" w:hAnsi="Verdana" w:cs="Arial"/>
                <w:sz w:val="16"/>
                <w:szCs w:val="16"/>
                <w:lang w:val="pt-BR" w:eastAsia="es-ES"/>
              </w:rPr>
              <w:t xml:space="preserve"> de Gestión </w:t>
            </w:r>
            <w:proofErr w:type="spellStart"/>
            <w:r w:rsidRPr="003E3009">
              <w:rPr>
                <w:rFonts w:ascii="Verdana" w:eastAsia="Calibri" w:hAnsi="Verdana" w:cs="Arial"/>
                <w:sz w:val="16"/>
                <w:szCs w:val="16"/>
                <w:lang w:val="pt-BR" w:eastAsia="es-ES"/>
              </w:rPr>
              <w:t>Contractual</w:t>
            </w:r>
            <w:proofErr w:type="spellEnd"/>
            <w:r w:rsidRPr="003E3009">
              <w:rPr>
                <w:rFonts w:ascii="Verdana" w:eastAsia="Calibri" w:hAnsi="Verdana" w:cs="Arial"/>
                <w:sz w:val="16"/>
                <w:szCs w:val="16"/>
                <w:lang w:val="pt-BR" w:eastAsia="es-ES"/>
              </w:rPr>
              <w:t xml:space="preserve"> ANCP – CCE</w:t>
            </w:r>
          </w:p>
        </w:tc>
      </w:tr>
    </w:tbl>
    <w:p w14:paraId="06B2477E" w14:textId="77777777" w:rsidR="00815A2C" w:rsidRPr="003E3009" w:rsidRDefault="00815A2C" w:rsidP="00815A2C">
      <w:pPr>
        <w:spacing w:after="0" w:line="240" w:lineRule="auto"/>
        <w:jc w:val="both"/>
        <w:textAlignment w:val="baseline"/>
        <w:rPr>
          <w:rFonts w:ascii="Verdana" w:eastAsia="Verdana" w:hAnsi="Verdana" w:cs="Verdana"/>
          <w:lang w:eastAsia="es-CO"/>
        </w:rPr>
      </w:pPr>
    </w:p>
    <w:p w14:paraId="006D663F" w14:textId="77777777" w:rsidR="00815A2C" w:rsidRPr="003E3009" w:rsidRDefault="00815A2C" w:rsidP="00815A2C">
      <w:pPr>
        <w:spacing w:after="0" w:line="240" w:lineRule="auto"/>
        <w:jc w:val="both"/>
        <w:textAlignment w:val="baseline"/>
        <w:rPr>
          <w:rFonts w:ascii="Verdana" w:eastAsia="Verdana" w:hAnsi="Verdana" w:cs="Verdana"/>
          <w:lang w:eastAsia="es-CO"/>
        </w:rPr>
      </w:pPr>
    </w:p>
    <w:p w14:paraId="7FF83E92" w14:textId="5A62E6E0" w:rsidR="00815A2C" w:rsidRPr="003E3009" w:rsidRDefault="00815A2C" w:rsidP="00815A2C">
      <w:pPr>
        <w:spacing w:after="0" w:line="240" w:lineRule="auto"/>
        <w:textAlignment w:val="baseline"/>
        <w:rPr>
          <w:rFonts w:ascii="Verdana" w:eastAsia="Verdana" w:hAnsi="Verdana" w:cs="Verdana"/>
          <w:lang w:eastAsia="es-CO"/>
        </w:rPr>
      </w:pPr>
      <w:r w:rsidRPr="003E3009">
        <w:rPr>
          <w:rFonts w:ascii="Verdana" w:eastAsia="Verdana" w:hAnsi="Verdana" w:cs="Verdana"/>
          <w:lang w:eastAsia="es-CO"/>
        </w:rPr>
        <w:t> </w:t>
      </w:r>
      <w:bookmarkEnd w:id="1"/>
    </w:p>
    <w:p w14:paraId="71857660" w14:textId="77777777" w:rsidR="00815A2C" w:rsidRPr="003E3009" w:rsidRDefault="00815A2C" w:rsidP="00815A2C"/>
    <w:p w14:paraId="281B38B0" w14:textId="77777777" w:rsidR="00815A2C" w:rsidRPr="003E3009" w:rsidRDefault="00815A2C" w:rsidP="00815A2C"/>
    <w:p w14:paraId="375A7C7F" w14:textId="77777777" w:rsidR="00815A2C" w:rsidRPr="00625956" w:rsidRDefault="00815A2C" w:rsidP="00815A2C"/>
    <w:p w14:paraId="2566F5B2" w14:textId="77777777" w:rsidR="00815A2C" w:rsidRPr="006867B1" w:rsidRDefault="00815A2C" w:rsidP="00815A2C"/>
    <w:p w14:paraId="79EC742B" w14:textId="77777777" w:rsidR="00815A2C" w:rsidRPr="006F6F7B" w:rsidRDefault="00815A2C" w:rsidP="00815A2C"/>
    <w:p w14:paraId="5542018F" w14:textId="77777777" w:rsidR="008D6B17" w:rsidRPr="00815A2C" w:rsidRDefault="008D6B17" w:rsidP="00815A2C"/>
    <w:sectPr w:rsidR="008D6B17" w:rsidRPr="00815A2C"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C3A5D" w14:textId="77777777" w:rsidR="00162639" w:rsidRDefault="00162639" w:rsidP="004A1847">
      <w:pPr>
        <w:spacing w:after="0" w:line="240" w:lineRule="auto"/>
      </w:pPr>
      <w:r>
        <w:separator/>
      </w:r>
    </w:p>
  </w:endnote>
  <w:endnote w:type="continuationSeparator" w:id="0">
    <w:p w14:paraId="5D91FE6F" w14:textId="77777777" w:rsidR="00162639" w:rsidRDefault="00162639" w:rsidP="004A1847">
      <w:pPr>
        <w:spacing w:after="0" w:line="240" w:lineRule="auto"/>
      </w:pPr>
      <w:r>
        <w:continuationSeparator/>
      </w:r>
    </w:p>
  </w:endnote>
  <w:endnote w:type="continuationNotice" w:id="1">
    <w:p w14:paraId="18548B8D" w14:textId="77777777" w:rsidR="00162639" w:rsidRDefault="001626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2AB12" w14:textId="77777777" w:rsidR="00162639" w:rsidRDefault="00162639" w:rsidP="004A1847">
      <w:pPr>
        <w:spacing w:after="0" w:line="240" w:lineRule="auto"/>
      </w:pPr>
      <w:r>
        <w:separator/>
      </w:r>
    </w:p>
  </w:footnote>
  <w:footnote w:type="continuationSeparator" w:id="0">
    <w:p w14:paraId="72E7B4F0" w14:textId="77777777" w:rsidR="00162639" w:rsidRDefault="00162639" w:rsidP="004A1847">
      <w:pPr>
        <w:spacing w:after="0" w:line="240" w:lineRule="auto"/>
      </w:pPr>
      <w:r>
        <w:continuationSeparator/>
      </w:r>
    </w:p>
  </w:footnote>
  <w:footnote w:type="continuationNotice" w:id="1">
    <w:p w14:paraId="5126E21E" w14:textId="77777777" w:rsidR="00162639" w:rsidRDefault="00162639">
      <w:pPr>
        <w:spacing w:after="0" w:line="240" w:lineRule="auto"/>
      </w:pPr>
    </w:p>
  </w:footnote>
  <w:footnote w:id="2">
    <w:p w14:paraId="42BD1F76" w14:textId="77777777" w:rsidR="00815A2C" w:rsidRPr="00F21A14" w:rsidRDefault="00815A2C" w:rsidP="00815A2C">
      <w:pPr>
        <w:pStyle w:val="Textonotapie"/>
        <w:ind w:firstLine="709"/>
        <w:jc w:val="both"/>
        <w:rPr>
          <w:rFonts w:ascii="Verdana" w:eastAsia="Calibri" w:hAnsi="Verdana" w:cs="Arial"/>
          <w:sz w:val="16"/>
          <w:szCs w:val="16"/>
        </w:rPr>
      </w:pPr>
      <w:r w:rsidRPr="00F21A14">
        <w:rPr>
          <w:rStyle w:val="Refdenotaalpie"/>
          <w:rFonts w:ascii="Verdana" w:hAnsi="Verdana" w:cs="Arial"/>
          <w:sz w:val="16"/>
          <w:szCs w:val="16"/>
        </w:rPr>
        <w:footnoteRef/>
      </w:r>
      <w:r w:rsidRPr="00F21A14">
        <w:rPr>
          <w:rFonts w:ascii="Verdana" w:hAnsi="Verdana" w:cs="Arial"/>
          <w:sz w:val="16"/>
          <w:szCs w:val="16"/>
        </w:rPr>
        <w:t xml:space="preserve"> </w:t>
      </w:r>
      <w:r w:rsidRPr="00F21A14">
        <w:rPr>
          <w:rFonts w:ascii="Verdana" w:eastAsia="Calibri" w:hAnsi="Verdana" w:cs="Arial"/>
          <w:sz w:val="16"/>
          <w:szCs w:val="16"/>
        </w:rPr>
        <w:t>Constitución Política: “Artículo 93. Los tratados y convenios internacionales ratificados por el Congreso, que reconocen los derechos humanos y que prohíben su limitación en los estados de excepción, prevalecen en el orden interno.</w:t>
      </w:r>
    </w:p>
    <w:p w14:paraId="6C6CBC45" w14:textId="77777777" w:rsidR="00815A2C" w:rsidRPr="00F21A14" w:rsidRDefault="00815A2C" w:rsidP="00815A2C">
      <w:pPr>
        <w:pStyle w:val="Textonotapie"/>
        <w:ind w:firstLine="709"/>
        <w:jc w:val="both"/>
        <w:rPr>
          <w:rFonts w:ascii="Verdana" w:eastAsia="Calibri" w:hAnsi="Verdana" w:cs="Arial"/>
          <w:sz w:val="16"/>
          <w:szCs w:val="16"/>
        </w:rPr>
      </w:pPr>
    </w:p>
    <w:p w14:paraId="227F8B12" w14:textId="77777777" w:rsidR="00815A2C" w:rsidRPr="00F21A14" w:rsidRDefault="00815A2C" w:rsidP="00815A2C">
      <w:pPr>
        <w:spacing w:after="0" w:line="240" w:lineRule="auto"/>
        <w:ind w:firstLine="708"/>
        <w:jc w:val="both"/>
        <w:rPr>
          <w:rFonts w:ascii="Verdana" w:eastAsia="Times New Roman" w:hAnsi="Verdana" w:cs="Arial"/>
          <w:sz w:val="16"/>
          <w:szCs w:val="16"/>
        </w:rPr>
      </w:pPr>
      <w:r w:rsidRPr="00F21A14">
        <w:rPr>
          <w:rFonts w:ascii="Verdana" w:hAnsi="Verdana" w:cs="Arial"/>
          <w:sz w:val="16"/>
          <w:szCs w:val="16"/>
        </w:rPr>
        <w:t>“Los derechos y deberes consagrados en esta Carta se interpretarán de conformidad con los tratados internacionales sobre derechos humanos ratificados por Colombia [...]”.</w:t>
      </w:r>
    </w:p>
  </w:footnote>
  <w:footnote w:id="3">
    <w:p w14:paraId="1206E983" w14:textId="77777777" w:rsidR="00815A2C" w:rsidRPr="00F21A14" w:rsidRDefault="00815A2C" w:rsidP="00815A2C">
      <w:pPr>
        <w:pStyle w:val="Textonotapie"/>
        <w:ind w:firstLine="708"/>
        <w:jc w:val="both"/>
        <w:rPr>
          <w:rFonts w:ascii="Verdana" w:hAnsi="Verdana"/>
          <w:sz w:val="16"/>
          <w:szCs w:val="16"/>
        </w:rPr>
      </w:pPr>
      <w:r w:rsidRPr="00F21A14">
        <w:rPr>
          <w:rStyle w:val="Refdenotaalpie"/>
          <w:rFonts w:ascii="Verdana" w:hAnsi="Verdana"/>
          <w:sz w:val="16"/>
          <w:szCs w:val="16"/>
        </w:rPr>
        <w:footnoteRef/>
      </w:r>
      <w:r w:rsidRPr="00F21A14">
        <w:rPr>
          <w:rFonts w:ascii="Verdana" w:hAnsi="Verdana"/>
          <w:sz w:val="16"/>
          <w:szCs w:val="16"/>
        </w:rPr>
        <w:t xml:space="preserve">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2E39145E" w14:textId="77777777" w:rsidR="00815A2C" w:rsidRPr="00F21A14" w:rsidRDefault="00815A2C" w:rsidP="00815A2C">
      <w:pPr>
        <w:pStyle w:val="Textonotapie"/>
        <w:ind w:firstLine="708"/>
        <w:jc w:val="both"/>
        <w:rPr>
          <w:rFonts w:ascii="Verdana" w:hAnsi="Verdana"/>
          <w:sz w:val="16"/>
          <w:szCs w:val="16"/>
        </w:rPr>
      </w:pPr>
    </w:p>
    <w:p w14:paraId="5ECF2274" w14:textId="77777777" w:rsidR="00815A2C" w:rsidRPr="00F21A14" w:rsidRDefault="00815A2C" w:rsidP="00815A2C">
      <w:pPr>
        <w:pStyle w:val="Textonotapie"/>
        <w:ind w:firstLine="708"/>
        <w:jc w:val="both"/>
        <w:rPr>
          <w:rFonts w:ascii="Verdana" w:hAnsi="Verdana"/>
          <w:sz w:val="16"/>
          <w:szCs w:val="16"/>
          <w:lang w:val="es-ES"/>
        </w:rPr>
      </w:pPr>
      <w:r w:rsidRPr="00F21A14">
        <w:rPr>
          <w:rFonts w:ascii="Verdana" w:hAnsi="Verdana"/>
          <w:sz w:val="16"/>
          <w:szCs w:val="16"/>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footnote>
  <w:footnote w:id="4">
    <w:p w14:paraId="4B69A0D8" w14:textId="77777777" w:rsidR="00815A2C" w:rsidRPr="00F21A14" w:rsidRDefault="00815A2C" w:rsidP="00815A2C">
      <w:pPr>
        <w:pStyle w:val="Textonotapie"/>
        <w:ind w:firstLine="709"/>
        <w:jc w:val="both"/>
        <w:rPr>
          <w:rFonts w:ascii="Verdana" w:hAnsi="Verdana"/>
          <w:sz w:val="16"/>
          <w:szCs w:val="16"/>
          <w:lang w:val="es-CO"/>
        </w:rPr>
      </w:pPr>
      <w:r w:rsidRPr="00F21A14">
        <w:rPr>
          <w:rStyle w:val="Refdenotaalpie"/>
          <w:rFonts w:ascii="Verdana" w:hAnsi="Verdana"/>
          <w:sz w:val="16"/>
          <w:szCs w:val="16"/>
        </w:rPr>
        <w:footnoteRef/>
      </w:r>
      <w:r w:rsidRPr="00F21A14">
        <w:rPr>
          <w:rStyle w:val="Refdenotaalpie"/>
          <w:rFonts w:ascii="Verdana" w:hAnsi="Verdana"/>
          <w:sz w:val="16"/>
          <w:szCs w:val="16"/>
        </w:rPr>
        <w:footnoteRef/>
      </w:r>
      <w:r w:rsidRPr="00F21A14">
        <w:rPr>
          <w:rFonts w:ascii="Verdana" w:hAnsi="Verdana"/>
          <w:sz w:val="16"/>
          <w:szCs w:val="16"/>
        </w:rPr>
        <w:t>Corte Constitucional. Sala Plena. Sentencia C-362 del 2023. M.P: Diana Fajardo Rivera.</w:t>
      </w:r>
    </w:p>
  </w:footnote>
  <w:footnote w:id="5">
    <w:p w14:paraId="2E4C5D1B" w14:textId="77777777" w:rsidR="00815A2C" w:rsidRPr="00F21A14" w:rsidRDefault="00815A2C" w:rsidP="00815A2C">
      <w:pPr>
        <w:pStyle w:val="Textonotapie"/>
        <w:ind w:firstLine="708"/>
        <w:jc w:val="both"/>
        <w:rPr>
          <w:rFonts w:ascii="Verdana" w:hAnsi="Verdana" w:cs="Arial"/>
          <w:sz w:val="16"/>
          <w:szCs w:val="16"/>
        </w:rPr>
      </w:pPr>
      <w:r w:rsidRPr="00F21A14">
        <w:rPr>
          <w:rStyle w:val="Refdenotaalpie"/>
          <w:rFonts w:ascii="Verdana" w:hAnsi="Verdana" w:cs="Arial"/>
          <w:sz w:val="16"/>
          <w:szCs w:val="16"/>
        </w:rPr>
        <w:footnoteRef/>
      </w:r>
      <w:r w:rsidRPr="00F21A14">
        <w:rPr>
          <w:rFonts w:ascii="Verdana" w:hAnsi="Verdana" w:cs="Arial"/>
          <w:sz w:val="16"/>
          <w:szCs w:val="16"/>
        </w:rPr>
        <w:t xml:space="preserve"> Decreto 252 de 2020: “Articulo 1. Adiciónese al artículo 10 del Decreto 1088 de 1993, el siguiente parágrafo:</w:t>
      </w:r>
    </w:p>
    <w:p w14:paraId="429C9818" w14:textId="77777777" w:rsidR="00815A2C" w:rsidRPr="00F21A14" w:rsidRDefault="00815A2C" w:rsidP="00815A2C">
      <w:pPr>
        <w:pStyle w:val="Textonotapie"/>
        <w:ind w:firstLine="708"/>
        <w:jc w:val="both"/>
        <w:rPr>
          <w:rFonts w:ascii="Verdana" w:hAnsi="Verdana" w:cs="Arial"/>
          <w:sz w:val="16"/>
          <w:szCs w:val="16"/>
        </w:rPr>
      </w:pPr>
      <w:r w:rsidRPr="00F21A14">
        <w:rPr>
          <w:rFonts w:ascii="Verdana" w:hAnsi="Verdana" w:cs="Arial"/>
          <w:sz w:val="16"/>
          <w:szCs w:val="16"/>
        </w:rPr>
        <w:t>Artículo 10. Naturaleza de los actos y contratos.</w:t>
      </w:r>
    </w:p>
    <w:p w14:paraId="0C83AEE8" w14:textId="77777777" w:rsidR="00815A2C" w:rsidRPr="00F21A14" w:rsidRDefault="00815A2C" w:rsidP="00815A2C">
      <w:pPr>
        <w:pStyle w:val="Textonotapie"/>
        <w:ind w:firstLine="708"/>
        <w:jc w:val="both"/>
        <w:rPr>
          <w:rFonts w:ascii="Verdana" w:hAnsi="Verdana" w:cs="Arial"/>
          <w:sz w:val="16"/>
          <w:szCs w:val="16"/>
        </w:rPr>
      </w:pPr>
      <w:r w:rsidRPr="00F21A14">
        <w:rPr>
          <w:rFonts w:ascii="Verdana" w:hAnsi="Verdana" w:cs="Arial"/>
          <w:sz w:val="16"/>
          <w:szCs w:val="16"/>
        </w:rPr>
        <w:t>[...]</w:t>
      </w:r>
    </w:p>
    <w:p w14:paraId="32D9BA1F" w14:textId="77777777" w:rsidR="00815A2C" w:rsidRPr="00F21A14" w:rsidRDefault="00815A2C" w:rsidP="00815A2C">
      <w:pPr>
        <w:pStyle w:val="Textonotapie"/>
        <w:ind w:firstLine="708"/>
        <w:jc w:val="both"/>
        <w:rPr>
          <w:rFonts w:ascii="Verdana" w:hAnsi="Verdana" w:cs="Arial"/>
          <w:sz w:val="16"/>
          <w:szCs w:val="16"/>
        </w:rPr>
      </w:pPr>
      <w:r w:rsidRPr="00F21A14">
        <w:rPr>
          <w:rFonts w:ascii="Verdana" w:hAnsi="Verdana" w:cs="Arial"/>
          <w:sz w:val="16"/>
          <w:szCs w:val="16"/>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65C607CF" w14:textId="77777777" w:rsidR="00815A2C" w:rsidRPr="00F21A14" w:rsidRDefault="00815A2C" w:rsidP="00815A2C">
      <w:pPr>
        <w:pStyle w:val="Textonotapie"/>
        <w:ind w:firstLine="708"/>
        <w:jc w:val="both"/>
        <w:rPr>
          <w:rFonts w:ascii="Verdana" w:hAnsi="Verdana" w:cs="Arial"/>
          <w:sz w:val="16"/>
          <w:szCs w:val="16"/>
        </w:rPr>
      </w:pPr>
      <w:r w:rsidRPr="00F21A14">
        <w:rPr>
          <w:rFonts w:ascii="Verdana" w:hAnsi="Verdana" w:cs="Arial"/>
          <w:sz w:val="16"/>
          <w:szCs w:val="16"/>
        </w:rPr>
        <w:t xml:space="preserve">Para la ejecución contractual, la entidad estatal deberá exigir la constitución de una garantía única que consistirá en una póliza de seguros que cubrirá suficientemente los riesgos del contrato o convenio. </w:t>
      </w:r>
    </w:p>
    <w:p w14:paraId="79267427" w14:textId="77777777" w:rsidR="00815A2C" w:rsidRPr="00F21A14" w:rsidRDefault="00815A2C" w:rsidP="00815A2C">
      <w:pPr>
        <w:pStyle w:val="Textonotapie"/>
        <w:ind w:firstLine="708"/>
        <w:jc w:val="both"/>
        <w:rPr>
          <w:rFonts w:ascii="Verdana" w:hAnsi="Verdana" w:cs="Arial"/>
          <w:sz w:val="16"/>
          <w:szCs w:val="16"/>
        </w:rPr>
      </w:pPr>
      <w:r w:rsidRPr="00F21A14">
        <w:rPr>
          <w:rFonts w:ascii="Verdana" w:hAnsi="Verdana" w:cs="Arial"/>
          <w:sz w:val="16"/>
          <w:szCs w:val="16"/>
        </w:rPr>
        <w:t>La entidad estatal podrá terminar unilateralmente el contrato o convenio en caso de incumplimiento de las obligaciones a cargo de la organización indígena.</w:t>
      </w:r>
    </w:p>
    <w:p w14:paraId="5342E1D8" w14:textId="77777777" w:rsidR="00815A2C" w:rsidRPr="00F21A14" w:rsidRDefault="00815A2C" w:rsidP="00815A2C">
      <w:pPr>
        <w:pStyle w:val="Textonotapie"/>
        <w:ind w:firstLine="708"/>
        <w:jc w:val="both"/>
        <w:rPr>
          <w:rFonts w:ascii="Verdana" w:hAnsi="Verdana" w:cs="Arial"/>
          <w:sz w:val="16"/>
          <w:szCs w:val="16"/>
        </w:rPr>
      </w:pPr>
      <w:r w:rsidRPr="00F21A14">
        <w:rPr>
          <w:rFonts w:ascii="Verdana" w:hAnsi="Verdana" w:cs="Arial"/>
          <w:sz w:val="16"/>
          <w:szCs w:val="16"/>
        </w:rPr>
        <w:t>En estos convenios se tendrá como aporte de las organizaciones indígenas el conocimiento ancestral”.</w:t>
      </w:r>
    </w:p>
  </w:footnote>
  <w:footnote w:id="6">
    <w:p w14:paraId="47DF080A" w14:textId="77777777" w:rsidR="00815A2C" w:rsidRPr="00591347" w:rsidRDefault="00815A2C" w:rsidP="00815A2C">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5244490A" w14:textId="77777777" w:rsidR="00815A2C" w:rsidRPr="00591347" w:rsidRDefault="00815A2C" w:rsidP="00815A2C">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20B2E392" w14:textId="77777777" w:rsidR="00815A2C" w:rsidRPr="00591347" w:rsidRDefault="00815A2C" w:rsidP="00815A2C">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09D110D7" w14:textId="77777777" w:rsidR="00815A2C" w:rsidRPr="00591347" w:rsidRDefault="00815A2C" w:rsidP="00815A2C">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347FAF72" w14:textId="77777777" w:rsidR="00815A2C" w:rsidRPr="00591347" w:rsidRDefault="00815A2C" w:rsidP="00815A2C">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217A69C1" w14:textId="77777777" w:rsidR="00815A2C" w:rsidRPr="00591347" w:rsidRDefault="00815A2C" w:rsidP="00815A2C">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7037D392" w14:textId="77777777" w:rsidR="00815A2C" w:rsidRPr="00591347" w:rsidRDefault="00815A2C" w:rsidP="00815A2C">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7">
    <w:p w14:paraId="28BC8CAA" w14:textId="77777777" w:rsidR="00815A2C" w:rsidRPr="00052ACB" w:rsidRDefault="00815A2C" w:rsidP="00815A2C">
      <w:pPr>
        <w:pStyle w:val="NormalWeb"/>
        <w:spacing w:before="0" w:beforeAutospacing="0" w:after="0" w:afterAutospacing="0"/>
        <w:ind w:firstLine="709"/>
        <w:jc w:val="both"/>
        <w:rPr>
          <w:rFonts w:ascii="Verdana" w:hAnsi="Verdana" w:cs="Open Sans"/>
          <w:color w:val="000000" w:themeColor="text1"/>
          <w:sz w:val="16"/>
          <w:szCs w:val="16"/>
        </w:rPr>
      </w:pPr>
      <w:r>
        <w:rPr>
          <w:rStyle w:val="Refdenotaalpie"/>
        </w:rPr>
        <w:footnoteRef/>
      </w:r>
      <w:r>
        <w:t xml:space="preserve"> “</w:t>
      </w:r>
      <w:r w:rsidRPr="00052ACB">
        <w:rPr>
          <w:rFonts w:ascii="Verdana" w:hAnsi="Verdana" w:cs="Open Sans"/>
          <w:b/>
          <w:bCs/>
          <w:color w:val="000000" w:themeColor="text1"/>
          <w:sz w:val="16"/>
          <w:szCs w:val="16"/>
        </w:rPr>
        <w:t>PARÁGRAFO 1o.</w:t>
      </w:r>
      <w:r w:rsidRPr="00052ACB">
        <w:rPr>
          <w:rFonts w:ascii="Verdana" w:hAnsi="Verdana" w:cs="Open Sans"/>
          <w:color w:val="000000" w:themeColor="text1"/>
          <w:sz w:val="16"/>
          <w:szCs w:val="16"/>
        </w:rPr>
        <w:t> Además de las señaladas en la presente ley, podrán ser designadas como entidad ejecutora los resguardos y asociaciones de resguardos, las asociaciones de cabildos y las asociaciones de autoridades tradicionales indígenas u otras formas de organización debidamente inscritas en el Registro Único del Ministerio del Interior y las organizaciones indígenas a que se refiere el Decreto </w:t>
      </w:r>
      <w:hyperlink r:id="rId5" w:anchor="INICIO" w:history="1">
        <w:r w:rsidRPr="00052ACB">
          <w:rPr>
            <w:rFonts w:ascii="Verdana" w:hAnsi="Verdana" w:cs="Open Sans"/>
            <w:color w:val="000000" w:themeColor="text1"/>
            <w:sz w:val="16"/>
            <w:szCs w:val="16"/>
          </w:rPr>
          <w:t>252</w:t>
        </w:r>
      </w:hyperlink>
      <w:r w:rsidRPr="00052ACB">
        <w:rPr>
          <w:rFonts w:ascii="Verdana" w:hAnsi="Verdana" w:cs="Open Sans"/>
          <w:color w:val="000000" w:themeColor="text1"/>
          <w:sz w:val="16"/>
          <w:szCs w:val="16"/>
        </w:rPr>
        <w:t> de 2020 o el que lo modifique o sustituya.</w:t>
      </w:r>
    </w:p>
    <w:p w14:paraId="646D1CB7" w14:textId="77777777" w:rsidR="00815A2C" w:rsidRPr="00052ACB" w:rsidRDefault="00815A2C" w:rsidP="00815A2C">
      <w:pPr>
        <w:pStyle w:val="NormalWeb"/>
        <w:spacing w:before="0" w:beforeAutospacing="0" w:after="0" w:afterAutospacing="0"/>
        <w:ind w:firstLine="709"/>
        <w:jc w:val="both"/>
        <w:rPr>
          <w:rFonts w:ascii="Verdana" w:hAnsi="Verdana" w:cs="Open Sans"/>
          <w:color w:val="000000" w:themeColor="text1"/>
          <w:sz w:val="16"/>
          <w:szCs w:val="16"/>
        </w:rPr>
      </w:pPr>
    </w:p>
    <w:p w14:paraId="48F372D8" w14:textId="77777777" w:rsidR="00815A2C" w:rsidRPr="00052ACB" w:rsidRDefault="00815A2C" w:rsidP="00815A2C">
      <w:pPr>
        <w:spacing w:after="0" w:line="240" w:lineRule="auto"/>
        <w:ind w:firstLine="709"/>
        <w:jc w:val="both"/>
        <w:rPr>
          <w:rFonts w:ascii="Open Sans" w:eastAsia="Times New Roman" w:hAnsi="Open Sans" w:cs="Open Sans"/>
          <w:color w:val="4B4949"/>
          <w:sz w:val="18"/>
          <w:szCs w:val="18"/>
          <w:lang w:eastAsia="es-CO"/>
        </w:rPr>
      </w:pPr>
      <w:r w:rsidRPr="00052ACB">
        <w:rPr>
          <w:rFonts w:ascii="Verdana" w:eastAsia="Times New Roman" w:hAnsi="Verdana" w:cs="Open Sans"/>
          <w:color w:val="000000" w:themeColor="text1"/>
          <w:sz w:val="16"/>
          <w:szCs w:val="16"/>
          <w:lang w:eastAsia="es-CO"/>
        </w:rPr>
        <w:t>La entidad ejecutora y su representante legal o quien haga sus veces serán responsables por la correcta ejecución del proyecto de inversión y reportará a Sistema de Seguimiento, Evaluación y Control del Sistema General de Regalía los actos, hechos u omisiones que puedan constituir una presunta irregularidad e incumplimiento en la ejecución de los proyectos de inversión</w:t>
      </w:r>
      <w:r>
        <w:rPr>
          <w:rFonts w:ascii="Verdana" w:eastAsia="Times New Roman" w:hAnsi="Verdana" w:cs="Open Sans"/>
          <w:color w:val="000000" w:themeColor="text1"/>
          <w:sz w:val="16"/>
          <w:szCs w:val="16"/>
          <w:lang w:eastAsia="es-CO"/>
        </w:rPr>
        <w:t>”</w:t>
      </w:r>
      <w:r w:rsidRPr="00052ACB">
        <w:rPr>
          <w:rFonts w:ascii="Verdana" w:eastAsia="Times New Roman" w:hAnsi="Verdana" w:cs="Open Sans"/>
          <w:color w:val="000000" w:themeColor="text1"/>
          <w:sz w:val="16"/>
          <w:szCs w:val="16"/>
          <w:lang w:eastAsia="es-CO"/>
        </w:rPr>
        <w:t>.</w:t>
      </w:r>
    </w:p>
  </w:footnote>
  <w:footnote w:id="8">
    <w:p w14:paraId="3E89A48E" w14:textId="77777777" w:rsidR="00815A2C" w:rsidRPr="00F21A14" w:rsidRDefault="00815A2C" w:rsidP="00815A2C">
      <w:pPr>
        <w:pStyle w:val="Textonotapie"/>
        <w:ind w:firstLine="709"/>
        <w:jc w:val="both"/>
        <w:rPr>
          <w:rFonts w:ascii="Verdana" w:hAnsi="Verdana"/>
          <w:sz w:val="16"/>
          <w:szCs w:val="16"/>
          <w:lang w:val="es-CO"/>
        </w:rPr>
      </w:pPr>
      <w:r w:rsidRPr="00F21A14">
        <w:rPr>
          <w:rStyle w:val="Refdenotaalpie"/>
          <w:rFonts w:ascii="Verdana" w:hAnsi="Verdana"/>
          <w:sz w:val="16"/>
          <w:szCs w:val="16"/>
        </w:rPr>
        <w:footnoteRef/>
      </w:r>
      <w:r w:rsidRPr="00F21A14">
        <w:rPr>
          <w:rFonts w:ascii="Verdana" w:hAnsi="Verdana"/>
          <w:sz w:val="16"/>
          <w:szCs w:val="16"/>
        </w:rPr>
        <w:t xml:space="preserve"> Corte Constitucional. Sentencia T- 172 del 2019. M.P: Gloria Stella Ortiz Delgado. </w:t>
      </w:r>
    </w:p>
  </w:footnote>
  <w:footnote w:id="9">
    <w:p w14:paraId="417ABE7E" w14:textId="77777777" w:rsidR="00815A2C" w:rsidRPr="00DD6A5A" w:rsidRDefault="00815A2C" w:rsidP="00815A2C">
      <w:pPr>
        <w:pStyle w:val="Textonotapie"/>
        <w:ind w:firstLine="709"/>
        <w:jc w:val="both"/>
        <w:rPr>
          <w:lang w:val="es-CO"/>
        </w:rPr>
      </w:pPr>
      <w:r>
        <w:rPr>
          <w:rStyle w:val="Refdenotaalpie"/>
        </w:rPr>
        <w:footnoteRef/>
      </w:r>
      <w:r>
        <w:t xml:space="preserve"> </w:t>
      </w:r>
      <w:r>
        <w:rPr>
          <w:rFonts w:ascii="Verdana" w:eastAsia="Calibri" w:hAnsi="Verdana" w:cs="Arial"/>
          <w:color w:val="000000" w:themeColor="text1"/>
          <w:sz w:val="16"/>
          <w:szCs w:val="16"/>
          <w:lang w:eastAsia="es-ES"/>
        </w:rPr>
        <w:t xml:space="preserve">Ibidem </w:t>
      </w:r>
    </w:p>
  </w:footnote>
  <w:footnote w:id="10">
    <w:p w14:paraId="1CEAB8A0" w14:textId="77777777" w:rsidR="00815A2C" w:rsidRPr="001A370E" w:rsidRDefault="00815A2C" w:rsidP="00815A2C">
      <w:pPr>
        <w:pStyle w:val="Textonotapie"/>
        <w:ind w:firstLine="709"/>
        <w:jc w:val="both"/>
        <w:rPr>
          <w:lang w:val="es-CO"/>
        </w:rPr>
      </w:pPr>
      <w:r>
        <w:rPr>
          <w:rStyle w:val="Refdenotaalpie"/>
        </w:rPr>
        <w:footnoteRef/>
      </w:r>
      <w:r>
        <w:t xml:space="preserve"> </w:t>
      </w:r>
      <w:r w:rsidRPr="001A370E">
        <w:rPr>
          <w:rFonts w:ascii="Verdana" w:hAnsi="Verdana"/>
          <w:sz w:val="16"/>
          <w:szCs w:val="16"/>
        </w:rPr>
        <w:t xml:space="preserve">Resta aclarar que, conforme lo indicó el Consejo de Estado, “La Ley 2056 de 2020 </w:t>
      </w:r>
      <w:r w:rsidRPr="00B261E4">
        <w:rPr>
          <w:rFonts w:ascii="Verdana" w:hAnsi="Verdana"/>
          <w:i/>
          <w:iCs/>
          <w:sz w:val="16"/>
          <w:szCs w:val="16"/>
        </w:rPr>
        <w:t xml:space="preserve">solo introdujo una regla contractual especial y distinta al </w:t>
      </w:r>
      <w:r w:rsidRPr="001A370E">
        <w:rPr>
          <w:rFonts w:ascii="Verdana" w:hAnsi="Verdana"/>
          <w:sz w:val="16"/>
          <w:szCs w:val="16"/>
        </w:rPr>
        <w:t>régimen de contratación pública, cuando en el inciso cuarto de su artículo 54, dispone que los proyectos financiados con recursos de la Asignación para la Ciencia, Tecnología e Innovación deberán ejecutarse con estricta sujeción no solo al régimen presupuestal definido en dicha ley, sino también a las normas contractuales previstas en la Ley de Ciencia y Tecnología correspondiente a la Ley 1286 de 2009 o en las disposiciones que la modifiquen o sustituyan”.</w:t>
      </w:r>
      <w:r>
        <w:rPr>
          <w:rFonts w:ascii="Verdana" w:hAnsi="Verdana"/>
          <w:sz w:val="16"/>
          <w:szCs w:val="16"/>
        </w:rPr>
        <w:t xml:space="preserve"> Ibidem </w:t>
      </w:r>
    </w:p>
  </w:footnote>
  <w:footnote w:id="11">
    <w:p w14:paraId="73B98539" w14:textId="77777777" w:rsidR="00815A2C" w:rsidRPr="00EE4BC2" w:rsidRDefault="00815A2C" w:rsidP="00815A2C">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2.1.1.3.17. Destinatario final. El destinatario final al que se refiere el artículo 27 de la Ley 2056 de 2020, corresponde a la persona natural o jurídica que sea contratada por los órganos y demás entidades designadas como ejecutoras de recursos del Sistema General de Regalías, encargada de suministrar los bienes y/o servicios con el fin de desarrollar las actividades del proyecto de inversión financiado con recursos del Sistema General de Regalías, conforme el acto administrativo que decreta el gasto o el que haga sus veces.</w:t>
      </w:r>
    </w:p>
    <w:p w14:paraId="2F38D744" w14:textId="77777777" w:rsidR="00815A2C" w:rsidRPr="0036147A" w:rsidRDefault="00815A2C" w:rsidP="00815A2C">
      <w:pPr>
        <w:pStyle w:val="Textonotapie"/>
        <w:ind w:firstLine="709"/>
        <w:jc w:val="both"/>
        <w:rPr>
          <w:rFonts w:ascii="Verdana" w:hAnsi="Verdana"/>
          <w:sz w:val="16"/>
          <w:szCs w:val="16"/>
          <w:lang w:val="es-CO"/>
        </w:rPr>
      </w:pPr>
      <w:r w:rsidRPr="00EE4BC2">
        <w:rPr>
          <w:rFonts w:ascii="Verdana" w:hAnsi="Verdana"/>
          <w:sz w:val="16"/>
          <w:szCs w:val="16"/>
        </w:rPr>
        <w:t>En todo caso, el destinatario final en el Sistema de Presupuesto y Giro da Regalías deberá corresponder al tercero beneficiario del compromiso presupuestal del gasto”.</w:t>
      </w:r>
    </w:p>
  </w:footnote>
  <w:footnote w:id="12">
    <w:p w14:paraId="32A71369" w14:textId="77777777" w:rsidR="00815A2C" w:rsidRPr="00EE4BC2" w:rsidRDefault="00815A2C" w:rsidP="00815A2C">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2.1.1.3.18. Pagos directos a entidades ejecutoras. De conformidad como establecido en el artículo 27 de la Ley 2050 de 2020 en relación con el pago a destinatario final, cuando la entidad ejecutora sea la responsable de producir o proveer directamente bienes o servicios contemplados dentro de las actividades del proyecto de inversión financiado con recursos del Sistema General de Regalías y por tanto, concurran las calidades de entidad designada ejecutora, proveedor de bienes o servicios y destinatario final, podrá realizar la ordenación del pago a cuentas propias como destinatario final a través del Sistema de Presupuesto y Giro de las Regalías, previa expedición del acto administrativo unilateral que decreta el gasto con cargo a los recursos asignados o el que haga sus veces.</w:t>
      </w:r>
    </w:p>
    <w:p w14:paraId="4EA07677" w14:textId="77777777" w:rsidR="00815A2C" w:rsidRPr="00EE4BC2" w:rsidRDefault="00815A2C" w:rsidP="00815A2C">
      <w:pPr>
        <w:pStyle w:val="Textonotapie"/>
        <w:ind w:firstLine="709"/>
        <w:jc w:val="both"/>
        <w:rPr>
          <w:rFonts w:ascii="Verdana" w:hAnsi="Verdana"/>
          <w:sz w:val="16"/>
          <w:szCs w:val="16"/>
        </w:rPr>
      </w:pPr>
      <w:r w:rsidRPr="00EE4BC2">
        <w:rPr>
          <w:rFonts w:ascii="Verdana" w:hAnsi="Verdana"/>
          <w:sz w:val="16"/>
          <w:szCs w:val="16"/>
        </w:rPr>
        <w:t>Será responsabilidad de la entidad ejecutora contar con la capacidad técnica, legal, administrativa y financiera de producir o proveer directamente los bienes o servicios contemplados dentro de las actividades del proyecto de inversión.</w:t>
      </w:r>
    </w:p>
    <w:p w14:paraId="7CED8C77" w14:textId="77777777" w:rsidR="00815A2C" w:rsidRPr="00EE4BC2" w:rsidRDefault="00815A2C" w:rsidP="00815A2C">
      <w:pPr>
        <w:pStyle w:val="Textonotapie"/>
        <w:ind w:firstLine="709"/>
        <w:jc w:val="both"/>
        <w:rPr>
          <w:rFonts w:ascii="Verdana" w:hAnsi="Verdana"/>
          <w:sz w:val="16"/>
          <w:szCs w:val="16"/>
        </w:rPr>
      </w:pPr>
      <w:r w:rsidRPr="00EE4BC2">
        <w:rPr>
          <w:rFonts w:ascii="Verdana" w:hAnsi="Verdana"/>
          <w:sz w:val="16"/>
          <w:szCs w:val="16"/>
        </w:rPr>
        <w:t>La ordenación del pago a cuentas propias de la entidad ejecutora no es procedente cuando se trate de órganos del Sistema General da Regalías, entidades del orden nacional del nivel central entidades territoriales u otras entidades que no tengan dentro de su misionalidad producir o proveer directamente bienes o servicios que se hayan contemplado dentro de las actividades del proyecto de inversión.</w:t>
      </w:r>
    </w:p>
    <w:p w14:paraId="4032BE3F" w14:textId="77777777" w:rsidR="00815A2C" w:rsidRPr="00EE4BC2" w:rsidRDefault="00815A2C" w:rsidP="00815A2C">
      <w:pPr>
        <w:pStyle w:val="Textonotapie"/>
        <w:ind w:firstLine="709"/>
        <w:jc w:val="both"/>
        <w:rPr>
          <w:rFonts w:ascii="Verdana" w:hAnsi="Verdana"/>
          <w:sz w:val="16"/>
          <w:szCs w:val="16"/>
        </w:rPr>
      </w:pPr>
      <w:r w:rsidRPr="00EE4BC2">
        <w:rPr>
          <w:rFonts w:ascii="Verdana" w:hAnsi="Verdana"/>
          <w:sz w:val="16"/>
          <w:szCs w:val="16"/>
        </w:rPr>
        <w:t>PARÁGRAFO. En todo caso, para realizar la gestión de ejecución de los recursos cuando el ejecutor designado no sea el responsable de producir o proveer directamente los bienes o servicios contemplados dentro de las actividades del proyecto de inversión, deberá expedir el acto administrativo que ordena la apertura del proceso de selección o el acto administrativo unilateral que decreta el gasto o el que haga sus veces, con cargo a los recursos asignados en atención al artículo 37 de la Ley 2056 de 2020, y ordenar el pago de las obligaciones legalmente adquiridas directamente desde la cuenta única del Sistema General de Regalías a las cuentas bancarias de los destinatarios finales a través del Sistema de Presupuesto y Giro de las Regalías, conforme a las disposiciones contenidas en el Libro 2 del presente Decreto”.</w:t>
      </w:r>
    </w:p>
  </w:footnote>
  <w:footnote w:id="13">
    <w:p w14:paraId="75B94B07" w14:textId="77777777" w:rsidR="00815A2C" w:rsidRPr="00CF531C" w:rsidRDefault="00815A2C" w:rsidP="00815A2C">
      <w:pPr>
        <w:pStyle w:val="Textonotapie"/>
        <w:ind w:firstLine="709"/>
        <w:jc w:val="both"/>
        <w:rPr>
          <w:lang w:val="es-CO"/>
        </w:rPr>
      </w:pPr>
      <w:r>
        <w:rPr>
          <w:rStyle w:val="Refdenotaalpie"/>
        </w:rPr>
        <w:footnoteRef/>
      </w:r>
      <w:r>
        <w:t xml:space="preserve"> </w:t>
      </w:r>
      <w:r w:rsidRPr="00DD6A5A">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4">
    <w:p w14:paraId="60804B12" w14:textId="77777777" w:rsidR="00815A2C" w:rsidRDefault="00815A2C" w:rsidP="00815A2C">
      <w:pPr>
        <w:pStyle w:val="Textonotapie"/>
        <w:ind w:firstLine="709"/>
        <w:jc w:val="both"/>
        <w:rPr>
          <w:lang w:val="es-CO"/>
        </w:rPr>
      </w:pPr>
      <w:r>
        <w:rPr>
          <w:rStyle w:val="Refdenotaalpie"/>
        </w:rPr>
        <w:footnoteRef/>
      </w:r>
      <w:r>
        <w:rPr>
          <w:rFonts w:ascii="Verdana" w:eastAsia="Calibri" w:hAnsi="Verdana" w:cs="Arial"/>
          <w:color w:val="000000" w:themeColor="text1"/>
          <w:sz w:val="16"/>
          <w:szCs w:val="16"/>
          <w:lang w:eastAsia="es-ES"/>
        </w:rPr>
        <w:t xml:space="preserve"> Ley 1150 de 2007, artículo 2, numeral 4, literal l), adicionado por la Ley 2160 de 2021: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p>
  </w:footnote>
  <w:footnote w:id="15">
    <w:p w14:paraId="34CCD160" w14:textId="77777777" w:rsidR="00815A2C" w:rsidRDefault="00815A2C" w:rsidP="00815A2C">
      <w:pPr>
        <w:pStyle w:val="Textonotapie"/>
        <w:ind w:firstLine="709"/>
        <w:jc w:val="both"/>
        <w:rPr>
          <w:lang w:val="es-CO"/>
        </w:rPr>
      </w:pPr>
      <w:r>
        <w:rPr>
          <w:rStyle w:val="Refdenotaalpie"/>
        </w:rPr>
        <w:footnoteRef/>
      </w:r>
      <w:r>
        <w:rPr>
          <w:rFonts w:ascii="Verdana" w:eastAsia="Calibri" w:hAnsi="Verdana" w:cs="Arial"/>
          <w:color w:val="000000" w:themeColor="text1"/>
          <w:sz w:val="16"/>
          <w:szCs w:val="16"/>
          <w:lang w:eastAsia="es-ES"/>
        </w:rPr>
        <w:t xml:space="preserve"> Consejo de Estado. Sala de lo Contencioso Administrativo. Sección Tercera, Subsección A. Sentencia del 20 de abril de 2026. Rad. 63001-23-33-000-2022-00058-01 (72477). C.P.: Fernando Alexei Pardo Flórez. La Sala confirmó la nulidad absoluta, por objeto ilícito, de un contrato interadministrativo de obra celebrado con una empresa cuyo objeto social no comprendía la construcción de obras civiles y que trasladó a terceros la ejecución material: “[…] el objeto del contrato […] no guardó correspondencia directa con el de la EDUA […]”; “[…] el objeto social de la demandada no comprendía la construcción de obras civiles, a tal punto, que debió recurrir a terceros para desarrollar la obra contratada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5.05pt" o:bullet="t">
        <v:imagedata r:id="rId1" o:title="mso1B13"/>
      </v:shape>
    </w:pict>
  </w:numPicBullet>
  <w:abstractNum w:abstractNumId="0" w15:restartNumberingAfterBreak="0">
    <w:nsid w:val="01C06310"/>
    <w:multiLevelType w:val="multilevel"/>
    <w:tmpl w:val="04207A36"/>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C0E2B29"/>
    <w:multiLevelType w:val="multilevel"/>
    <w:tmpl w:val="F6B411A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5"/>
  </w:num>
  <w:num w:numId="8" w16cid:durableId="152644682">
    <w:abstractNumId w:val="16"/>
  </w:num>
  <w:num w:numId="9" w16cid:durableId="1317221377">
    <w:abstractNumId w:val="7"/>
  </w:num>
  <w:num w:numId="10" w16cid:durableId="1471245386">
    <w:abstractNumId w:val="15"/>
  </w:num>
  <w:num w:numId="11" w16cid:durableId="289172385">
    <w:abstractNumId w:val="8"/>
  </w:num>
  <w:num w:numId="12" w16cid:durableId="1470781324">
    <w:abstractNumId w:val="1"/>
  </w:num>
  <w:num w:numId="13" w16cid:durableId="1512908409">
    <w:abstractNumId w:val="3"/>
  </w:num>
  <w:num w:numId="14" w16cid:durableId="895897244">
    <w:abstractNumId w:val="18"/>
  </w:num>
  <w:num w:numId="15" w16cid:durableId="390349800">
    <w:abstractNumId w:val="14"/>
  </w:num>
  <w:num w:numId="16" w16cid:durableId="153255849">
    <w:abstractNumId w:val="11"/>
  </w:num>
  <w:num w:numId="17" w16cid:durableId="1337683695">
    <w:abstractNumId w:val="12"/>
  </w:num>
  <w:num w:numId="18" w16cid:durableId="1330140246">
    <w:abstractNumId w:val="0"/>
  </w:num>
  <w:num w:numId="19" w16cid:durableId="679089576">
    <w:abstractNumId w:val="9"/>
  </w:num>
  <w:num w:numId="20" w16cid:durableId="1300108123">
    <w:abstractNumId w:val="13"/>
  </w:num>
  <w:num w:numId="21" w16cid:durableId="9928286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87C"/>
    <w:rsid w:val="00003467"/>
    <w:rsid w:val="0000593C"/>
    <w:rsid w:val="0000795F"/>
    <w:rsid w:val="00013834"/>
    <w:rsid w:val="00015DB2"/>
    <w:rsid w:val="00016F78"/>
    <w:rsid w:val="00023A10"/>
    <w:rsid w:val="00024C1C"/>
    <w:rsid w:val="00025145"/>
    <w:rsid w:val="00027FBA"/>
    <w:rsid w:val="000345C1"/>
    <w:rsid w:val="00036AA7"/>
    <w:rsid w:val="00036B6C"/>
    <w:rsid w:val="00041B3B"/>
    <w:rsid w:val="00043C27"/>
    <w:rsid w:val="00046945"/>
    <w:rsid w:val="0004761A"/>
    <w:rsid w:val="00052857"/>
    <w:rsid w:val="00052ACB"/>
    <w:rsid w:val="000609E7"/>
    <w:rsid w:val="00061B2A"/>
    <w:rsid w:val="00063615"/>
    <w:rsid w:val="000670A6"/>
    <w:rsid w:val="00070063"/>
    <w:rsid w:val="00074C5E"/>
    <w:rsid w:val="00082362"/>
    <w:rsid w:val="00086D8D"/>
    <w:rsid w:val="0009047A"/>
    <w:rsid w:val="0009208D"/>
    <w:rsid w:val="00093270"/>
    <w:rsid w:val="000A0CC2"/>
    <w:rsid w:val="000A28CE"/>
    <w:rsid w:val="000A683E"/>
    <w:rsid w:val="000B19B9"/>
    <w:rsid w:val="000B3855"/>
    <w:rsid w:val="000C531C"/>
    <w:rsid w:val="000C59AE"/>
    <w:rsid w:val="000C658E"/>
    <w:rsid w:val="000D0334"/>
    <w:rsid w:val="000D0AE6"/>
    <w:rsid w:val="000D0FC9"/>
    <w:rsid w:val="000D5483"/>
    <w:rsid w:val="000D5DA7"/>
    <w:rsid w:val="000D6EBE"/>
    <w:rsid w:val="000E568A"/>
    <w:rsid w:val="000E657C"/>
    <w:rsid w:val="000F2EB8"/>
    <w:rsid w:val="000F54E9"/>
    <w:rsid w:val="000F6486"/>
    <w:rsid w:val="000F698C"/>
    <w:rsid w:val="001002AD"/>
    <w:rsid w:val="00104C44"/>
    <w:rsid w:val="00104FA1"/>
    <w:rsid w:val="0010583E"/>
    <w:rsid w:val="0010639C"/>
    <w:rsid w:val="00112840"/>
    <w:rsid w:val="00114637"/>
    <w:rsid w:val="00116940"/>
    <w:rsid w:val="00117864"/>
    <w:rsid w:val="0012230A"/>
    <w:rsid w:val="00125105"/>
    <w:rsid w:val="00125E5D"/>
    <w:rsid w:val="001264CA"/>
    <w:rsid w:val="00127233"/>
    <w:rsid w:val="0012779F"/>
    <w:rsid w:val="00130E4B"/>
    <w:rsid w:val="00133F43"/>
    <w:rsid w:val="00135C72"/>
    <w:rsid w:val="00136711"/>
    <w:rsid w:val="001367AB"/>
    <w:rsid w:val="00136A45"/>
    <w:rsid w:val="00140F1A"/>
    <w:rsid w:val="00142DDD"/>
    <w:rsid w:val="00146030"/>
    <w:rsid w:val="001470A7"/>
    <w:rsid w:val="0014754D"/>
    <w:rsid w:val="00153DCC"/>
    <w:rsid w:val="00155A89"/>
    <w:rsid w:val="0015699B"/>
    <w:rsid w:val="00162582"/>
    <w:rsid w:val="00162639"/>
    <w:rsid w:val="00163105"/>
    <w:rsid w:val="0016317A"/>
    <w:rsid w:val="001651E8"/>
    <w:rsid w:val="00165408"/>
    <w:rsid w:val="0016549D"/>
    <w:rsid w:val="001703E0"/>
    <w:rsid w:val="00172273"/>
    <w:rsid w:val="00173B6F"/>
    <w:rsid w:val="00175FAF"/>
    <w:rsid w:val="00184C33"/>
    <w:rsid w:val="00190628"/>
    <w:rsid w:val="00191F69"/>
    <w:rsid w:val="001936B6"/>
    <w:rsid w:val="00194DC4"/>
    <w:rsid w:val="00196129"/>
    <w:rsid w:val="001A0649"/>
    <w:rsid w:val="001A292F"/>
    <w:rsid w:val="001A33BF"/>
    <w:rsid w:val="001A3A1C"/>
    <w:rsid w:val="001A6E19"/>
    <w:rsid w:val="001A7B94"/>
    <w:rsid w:val="001C05C1"/>
    <w:rsid w:val="001C108D"/>
    <w:rsid w:val="001C1125"/>
    <w:rsid w:val="001C35C1"/>
    <w:rsid w:val="001C4083"/>
    <w:rsid w:val="001C56A6"/>
    <w:rsid w:val="001C5C1A"/>
    <w:rsid w:val="001D015D"/>
    <w:rsid w:val="001D4B82"/>
    <w:rsid w:val="001D5DE8"/>
    <w:rsid w:val="001D7868"/>
    <w:rsid w:val="001E0B4E"/>
    <w:rsid w:val="001E4177"/>
    <w:rsid w:val="001F05BA"/>
    <w:rsid w:val="001F0B24"/>
    <w:rsid w:val="001F30B8"/>
    <w:rsid w:val="001F4B36"/>
    <w:rsid w:val="001F5C8D"/>
    <w:rsid w:val="001F7DC6"/>
    <w:rsid w:val="00203934"/>
    <w:rsid w:val="00203FA0"/>
    <w:rsid w:val="00210865"/>
    <w:rsid w:val="0021327D"/>
    <w:rsid w:val="00215508"/>
    <w:rsid w:val="002171A9"/>
    <w:rsid w:val="002176AB"/>
    <w:rsid w:val="002209E3"/>
    <w:rsid w:val="0022400B"/>
    <w:rsid w:val="002279A2"/>
    <w:rsid w:val="002353DD"/>
    <w:rsid w:val="00237851"/>
    <w:rsid w:val="00241B7F"/>
    <w:rsid w:val="002421BB"/>
    <w:rsid w:val="002443A8"/>
    <w:rsid w:val="00244FF0"/>
    <w:rsid w:val="002462E4"/>
    <w:rsid w:val="00246DE1"/>
    <w:rsid w:val="0025249D"/>
    <w:rsid w:val="00257061"/>
    <w:rsid w:val="0025796E"/>
    <w:rsid w:val="00263FF6"/>
    <w:rsid w:val="00267BE9"/>
    <w:rsid w:val="002707A2"/>
    <w:rsid w:val="002758C3"/>
    <w:rsid w:val="002765B8"/>
    <w:rsid w:val="00277169"/>
    <w:rsid w:val="0028033A"/>
    <w:rsid w:val="002811B8"/>
    <w:rsid w:val="002814A3"/>
    <w:rsid w:val="0028259E"/>
    <w:rsid w:val="0028783B"/>
    <w:rsid w:val="00292BBD"/>
    <w:rsid w:val="002950E4"/>
    <w:rsid w:val="002951A0"/>
    <w:rsid w:val="002962BC"/>
    <w:rsid w:val="00296A2B"/>
    <w:rsid w:val="002A093D"/>
    <w:rsid w:val="002A0DD0"/>
    <w:rsid w:val="002A49AC"/>
    <w:rsid w:val="002A64FD"/>
    <w:rsid w:val="002A6D77"/>
    <w:rsid w:val="002B4931"/>
    <w:rsid w:val="002C3CE9"/>
    <w:rsid w:val="002C43AF"/>
    <w:rsid w:val="002C4BAD"/>
    <w:rsid w:val="002C51D2"/>
    <w:rsid w:val="002C6AD0"/>
    <w:rsid w:val="002C7A84"/>
    <w:rsid w:val="002D4B52"/>
    <w:rsid w:val="002D59FA"/>
    <w:rsid w:val="002D7090"/>
    <w:rsid w:val="002E2BF8"/>
    <w:rsid w:val="002E4FD9"/>
    <w:rsid w:val="002E595A"/>
    <w:rsid w:val="002E641B"/>
    <w:rsid w:val="002E7260"/>
    <w:rsid w:val="002F1697"/>
    <w:rsid w:val="002F4E77"/>
    <w:rsid w:val="002F6A7A"/>
    <w:rsid w:val="002F71A5"/>
    <w:rsid w:val="003021F3"/>
    <w:rsid w:val="0030657A"/>
    <w:rsid w:val="00310BBF"/>
    <w:rsid w:val="00314F44"/>
    <w:rsid w:val="00317BC5"/>
    <w:rsid w:val="00317FD8"/>
    <w:rsid w:val="0032293D"/>
    <w:rsid w:val="00322A85"/>
    <w:rsid w:val="00323C7E"/>
    <w:rsid w:val="00324168"/>
    <w:rsid w:val="003249D1"/>
    <w:rsid w:val="003253B3"/>
    <w:rsid w:val="00325AEC"/>
    <w:rsid w:val="00330834"/>
    <w:rsid w:val="003423EC"/>
    <w:rsid w:val="00343E7F"/>
    <w:rsid w:val="003448F4"/>
    <w:rsid w:val="003513CE"/>
    <w:rsid w:val="00351BF0"/>
    <w:rsid w:val="00353B5E"/>
    <w:rsid w:val="003600B5"/>
    <w:rsid w:val="00374F5E"/>
    <w:rsid w:val="00375128"/>
    <w:rsid w:val="00377292"/>
    <w:rsid w:val="00377E3E"/>
    <w:rsid w:val="00395916"/>
    <w:rsid w:val="0039693E"/>
    <w:rsid w:val="003979DB"/>
    <w:rsid w:val="003A1640"/>
    <w:rsid w:val="003A35E3"/>
    <w:rsid w:val="003A39D6"/>
    <w:rsid w:val="003A439C"/>
    <w:rsid w:val="003A779E"/>
    <w:rsid w:val="003B4CBC"/>
    <w:rsid w:val="003C075E"/>
    <w:rsid w:val="003C0C02"/>
    <w:rsid w:val="003C3993"/>
    <w:rsid w:val="003D0F4D"/>
    <w:rsid w:val="003D5B0D"/>
    <w:rsid w:val="003D622B"/>
    <w:rsid w:val="003D7AA9"/>
    <w:rsid w:val="003E0499"/>
    <w:rsid w:val="003E3009"/>
    <w:rsid w:val="003E4F80"/>
    <w:rsid w:val="003E6269"/>
    <w:rsid w:val="003E6439"/>
    <w:rsid w:val="003E6708"/>
    <w:rsid w:val="003E737F"/>
    <w:rsid w:val="003F2C2E"/>
    <w:rsid w:val="003F3941"/>
    <w:rsid w:val="00403098"/>
    <w:rsid w:val="0040343A"/>
    <w:rsid w:val="00405551"/>
    <w:rsid w:val="00406305"/>
    <w:rsid w:val="00406575"/>
    <w:rsid w:val="00411462"/>
    <w:rsid w:val="00414C74"/>
    <w:rsid w:val="0041563E"/>
    <w:rsid w:val="0041570A"/>
    <w:rsid w:val="004169F9"/>
    <w:rsid w:val="00417CBA"/>
    <w:rsid w:val="00420B40"/>
    <w:rsid w:val="00426675"/>
    <w:rsid w:val="0042722E"/>
    <w:rsid w:val="0043057E"/>
    <w:rsid w:val="00437CBF"/>
    <w:rsid w:val="0044528D"/>
    <w:rsid w:val="00446D00"/>
    <w:rsid w:val="004500A6"/>
    <w:rsid w:val="00455AD9"/>
    <w:rsid w:val="00455B84"/>
    <w:rsid w:val="00461B5C"/>
    <w:rsid w:val="004668C3"/>
    <w:rsid w:val="00466E39"/>
    <w:rsid w:val="00473127"/>
    <w:rsid w:val="00477D74"/>
    <w:rsid w:val="00481670"/>
    <w:rsid w:val="00484955"/>
    <w:rsid w:val="004915F3"/>
    <w:rsid w:val="00495896"/>
    <w:rsid w:val="004958E4"/>
    <w:rsid w:val="004A1440"/>
    <w:rsid w:val="004A1847"/>
    <w:rsid w:val="004A305D"/>
    <w:rsid w:val="004A579E"/>
    <w:rsid w:val="004A7F0E"/>
    <w:rsid w:val="004B18C3"/>
    <w:rsid w:val="004B4114"/>
    <w:rsid w:val="004B4FC5"/>
    <w:rsid w:val="004B56D9"/>
    <w:rsid w:val="004D5C1D"/>
    <w:rsid w:val="004D7901"/>
    <w:rsid w:val="004E2216"/>
    <w:rsid w:val="004F1F44"/>
    <w:rsid w:val="004F21C4"/>
    <w:rsid w:val="004F3368"/>
    <w:rsid w:val="004F685F"/>
    <w:rsid w:val="004F7642"/>
    <w:rsid w:val="005064F3"/>
    <w:rsid w:val="00514CA0"/>
    <w:rsid w:val="00515F5A"/>
    <w:rsid w:val="00523493"/>
    <w:rsid w:val="005305F6"/>
    <w:rsid w:val="005349D4"/>
    <w:rsid w:val="00535061"/>
    <w:rsid w:val="005356A3"/>
    <w:rsid w:val="00540DE8"/>
    <w:rsid w:val="00541E80"/>
    <w:rsid w:val="00541FAB"/>
    <w:rsid w:val="005465C7"/>
    <w:rsid w:val="005566E8"/>
    <w:rsid w:val="00560240"/>
    <w:rsid w:val="00563EA1"/>
    <w:rsid w:val="0056534E"/>
    <w:rsid w:val="0057010E"/>
    <w:rsid w:val="00574867"/>
    <w:rsid w:val="00581226"/>
    <w:rsid w:val="00583C10"/>
    <w:rsid w:val="00584E19"/>
    <w:rsid w:val="00586CF1"/>
    <w:rsid w:val="00591460"/>
    <w:rsid w:val="00591C10"/>
    <w:rsid w:val="00592FAE"/>
    <w:rsid w:val="0059604C"/>
    <w:rsid w:val="005A17CB"/>
    <w:rsid w:val="005A207D"/>
    <w:rsid w:val="005A2C2B"/>
    <w:rsid w:val="005A65E0"/>
    <w:rsid w:val="005A6EAA"/>
    <w:rsid w:val="005B556C"/>
    <w:rsid w:val="005B7FE8"/>
    <w:rsid w:val="005C04C5"/>
    <w:rsid w:val="005C11A4"/>
    <w:rsid w:val="005C3777"/>
    <w:rsid w:val="005C450C"/>
    <w:rsid w:val="005C59FA"/>
    <w:rsid w:val="005C5CDC"/>
    <w:rsid w:val="005D01D1"/>
    <w:rsid w:val="005D3474"/>
    <w:rsid w:val="005D476C"/>
    <w:rsid w:val="005E216E"/>
    <w:rsid w:val="005E3EF6"/>
    <w:rsid w:val="005F2A9F"/>
    <w:rsid w:val="005F6CAA"/>
    <w:rsid w:val="00602DDB"/>
    <w:rsid w:val="006123BB"/>
    <w:rsid w:val="006140E5"/>
    <w:rsid w:val="00615BC9"/>
    <w:rsid w:val="006200BF"/>
    <w:rsid w:val="006219F8"/>
    <w:rsid w:val="00626F2F"/>
    <w:rsid w:val="006302F7"/>
    <w:rsid w:val="006324A6"/>
    <w:rsid w:val="006341AC"/>
    <w:rsid w:val="006415EB"/>
    <w:rsid w:val="006416ED"/>
    <w:rsid w:val="006425F1"/>
    <w:rsid w:val="00645588"/>
    <w:rsid w:val="00646B9F"/>
    <w:rsid w:val="00651A05"/>
    <w:rsid w:val="0065207A"/>
    <w:rsid w:val="00656C5A"/>
    <w:rsid w:val="00660BA9"/>
    <w:rsid w:val="00663ABD"/>
    <w:rsid w:val="00663C1C"/>
    <w:rsid w:val="00663E70"/>
    <w:rsid w:val="00665D70"/>
    <w:rsid w:val="00670958"/>
    <w:rsid w:val="00673A00"/>
    <w:rsid w:val="00675631"/>
    <w:rsid w:val="00680FA2"/>
    <w:rsid w:val="00681EB8"/>
    <w:rsid w:val="006867B1"/>
    <w:rsid w:val="00687B50"/>
    <w:rsid w:val="006900D9"/>
    <w:rsid w:val="00690717"/>
    <w:rsid w:val="00690D32"/>
    <w:rsid w:val="00691737"/>
    <w:rsid w:val="00694FFA"/>
    <w:rsid w:val="0069507B"/>
    <w:rsid w:val="006A39FE"/>
    <w:rsid w:val="006A68AA"/>
    <w:rsid w:val="006A72EA"/>
    <w:rsid w:val="006B002F"/>
    <w:rsid w:val="006C10F6"/>
    <w:rsid w:val="006C518E"/>
    <w:rsid w:val="006C5D07"/>
    <w:rsid w:val="006C635A"/>
    <w:rsid w:val="006C696D"/>
    <w:rsid w:val="006C6D09"/>
    <w:rsid w:val="006C76A4"/>
    <w:rsid w:val="006D032B"/>
    <w:rsid w:val="006D0E8A"/>
    <w:rsid w:val="006D1EAE"/>
    <w:rsid w:val="006D3F0D"/>
    <w:rsid w:val="006D50E2"/>
    <w:rsid w:val="006D7ADD"/>
    <w:rsid w:val="006E1A12"/>
    <w:rsid w:val="006E1EC5"/>
    <w:rsid w:val="006E3472"/>
    <w:rsid w:val="006E4F7E"/>
    <w:rsid w:val="006E6CA1"/>
    <w:rsid w:val="006F1273"/>
    <w:rsid w:val="006F145D"/>
    <w:rsid w:val="007000A5"/>
    <w:rsid w:val="00702552"/>
    <w:rsid w:val="00702DEE"/>
    <w:rsid w:val="00706C16"/>
    <w:rsid w:val="0071081F"/>
    <w:rsid w:val="00710915"/>
    <w:rsid w:val="00717207"/>
    <w:rsid w:val="00721F75"/>
    <w:rsid w:val="00723B06"/>
    <w:rsid w:val="00726A4C"/>
    <w:rsid w:val="00726E1F"/>
    <w:rsid w:val="00731381"/>
    <w:rsid w:val="007340C3"/>
    <w:rsid w:val="007450CF"/>
    <w:rsid w:val="007458E9"/>
    <w:rsid w:val="0075058F"/>
    <w:rsid w:val="00750813"/>
    <w:rsid w:val="00752354"/>
    <w:rsid w:val="0075235A"/>
    <w:rsid w:val="00754FB8"/>
    <w:rsid w:val="00754FEF"/>
    <w:rsid w:val="007555B0"/>
    <w:rsid w:val="00756841"/>
    <w:rsid w:val="00757D6F"/>
    <w:rsid w:val="007604E0"/>
    <w:rsid w:val="00761338"/>
    <w:rsid w:val="0076133E"/>
    <w:rsid w:val="00761B27"/>
    <w:rsid w:val="00762955"/>
    <w:rsid w:val="007630EE"/>
    <w:rsid w:val="007649AB"/>
    <w:rsid w:val="00770354"/>
    <w:rsid w:val="00771D0C"/>
    <w:rsid w:val="00773E1E"/>
    <w:rsid w:val="0077546D"/>
    <w:rsid w:val="00777EFC"/>
    <w:rsid w:val="00780435"/>
    <w:rsid w:val="00780741"/>
    <w:rsid w:val="00780974"/>
    <w:rsid w:val="00782D77"/>
    <w:rsid w:val="007833AC"/>
    <w:rsid w:val="00787494"/>
    <w:rsid w:val="00791B47"/>
    <w:rsid w:val="007951C8"/>
    <w:rsid w:val="007A1324"/>
    <w:rsid w:val="007A15D6"/>
    <w:rsid w:val="007A1892"/>
    <w:rsid w:val="007A2C05"/>
    <w:rsid w:val="007A7747"/>
    <w:rsid w:val="007A7CDF"/>
    <w:rsid w:val="007B083B"/>
    <w:rsid w:val="007B268C"/>
    <w:rsid w:val="007B2A07"/>
    <w:rsid w:val="007B46A0"/>
    <w:rsid w:val="007B4EB5"/>
    <w:rsid w:val="007B5819"/>
    <w:rsid w:val="007B7171"/>
    <w:rsid w:val="007C0A2B"/>
    <w:rsid w:val="007C0C0F"/>
    <w:rsid w:val="007C3DC2"/>
    <w:rsid w:val="007C725D"/>
    <w:rsid w:val="007D25DD"/>
    <w:rsid w:val="007D308D"/>
    <w:rsid w:val="007D4CFA"/>
    <w:rsid w:val="007D535E"/>
    <w:rsid w:val="007D5FE8"/>
    <w:rsid w:val="007E4F1D"/>
    <w:rsid w:val="007E5497"/>
    <w:rsid w:val="007E6491"/>
    <w:rsid w:val="007E655D"/>
    <w:rsid w:val="007E6D80"/>
    <w:rsid w:val="007F3BED"/>
    <w:rsid w:val="007F49A7"/>
    <w:rsid w:val="007F7D8D"/>
    <w:rsid w:val="00801DCF"/>
    <w:rsid w:val="00801ED8"/>
    <w:rsid w:val="00804B8A"/>
    <w:rsid w:val="008053F4"/>
    <w:rsid w:val="0080600A"/>
    <w:rsid w:val="00806C4F"/>
    <w:rsid w:val="00806F5F"/>
    <w:rsid w:val="008140A7"/>
    <w:rsid w:val="00814FC2"/>
    <w:rsid w:val="00815097"/>
    <w:rsid w:val="00815A2C"/>
    <w:rsid w:val="00820278"/>
    <w:rsid w:val="00820DD8"/>
    <w:rsid w:val="008258C9"/>
    <w:rsid w:val="00825B8D"/>
    <w:rsid w:val="00826BEE"/>
    <w:rsid w:val="00827C62"/>
    <w:rsid w:val="00835D30"/>
    <w:rsid w:val="00836CA4"/>
    <w:rsid w:val="00837DBF"/>
    <w:rsid w:val="00844AE9"/>
    <w:rsid w:val="00850DED"/>
    <w:rsid w:val="00852714"/>
    <w:rsid w:val="00853CD8"/>
    <w:rsid w:val="0085648B"/>
    <w:rsid w:val="0086587B"/>
    <w:rsid w:val="00865A1D"/>
    <w:rsid w:val="008663DC"/>
    <w:rsid w:val="00867F95"/>
    <w:rsid w:val="008711E4"/>
    <w:rsid w:val="00871875"/>
    <w:rsid w:val="00872FA1"/>
    <w:rsid w:val="00873CD8"/>
    <w:rsid w:val="00874416"/>
    <w:rsid w:val="00874930"/>
    <w:rsid w:val="00880795"/>
    <w:rsid w:val="008843B6"/>
    <w:rsid w:val="00886318"/>
    <w:rsid w:val="00886C81"/>
    <w:rsid w:val="008878CB"/>
    <w:rsid w:val="00887F5A"/>
    <w:rsid w:val="00891928"/>
    <w:rsid w:val="00896D6B"/>
    <w:rsid w:val="008A0E0E"/>
    <w:rsid w:val="008A446D"/>
    <w:rsid w:val="008A6361"/>
    <w:rsid w:val="008A67EA"/>
    <w:rsid w:val="008B25F1"/>
    <w:rsid w:val="008B2B08"/>
    <w:rsid w:val="008C6D9B"/>
    <w:rsid w:val="008D05BE"/>
    <w:rsid w:val="008D0668"/>
    <w:rsid w:val="008D180B"/>
    <w:rsid w:val="008D3CE9"/>
    <w:rsid w:val="008D5B16"/>
    <w:rsid w:val="008D5B36"/>
    <w:rsid w:val="008D69F8"/>
    <w:rsid w:val="008D6B17"/>
    <w:rsid w:val="008E08C5"/>
    <w:rsid w:val="008E3DBE"/>
    <w:rsid w:val="008E4360"/>
    <w:rsid w:val="008E5A24"/>
    <w:rsid w:val="008E5AAA"/>
    <w:rsid w:val="008F0EA7"/>
    <w:rsid w:val="008F1CE5"/>
    <w:rsid w:val="008F44BE"/>
    <w:rsid w:val="008F4C88"/>
    <w:rsid w:val="009025D4"/>
    <w:rsid w:val="00903122"/>
    <w:rsid w:val="00913A83"/>
    <w:rsid w:val="00914EC6"/>
    <w:rsid w:val="0091710D"/>
    <w:rsid w:val="009172C8"/>
    <w:rsid w:val="00917B65"/>
    <w:rsid w:val="00922442"/>
    <w:rsid w:val="00923EEF"/>
    <w:rsid w:val="00927476"/>
    <w:rsid w:val="00931BDF"/>
    <w:rsid w:val="009359C4"/>
    <w:rsid w:val="00937E90"/>
    <w:rsid w:val="00940C7C"/>
    <w:rsid w:val="009419F9"/>
    <w:rsid w:val="00941C01"/>
    <w:rsid w:val="00947923"/>
    <w:rsid w:val="009548DD"/>
    <w:rsid w:val="00955CBA"/>
    <w:rsid w:val="0095685E"/>
    <w:rsid w:val="009619AC"/>
    <w:rsid w:val="00961B09"/>
    <w:rsid w:val="009637B6"/>
    <w:rsid w:val="00963D22"/>
    <w:rsid w:val="00965334"/>
    <w:rsid w:val="0097093E"/>
    <w:rsid w:val="009735E1"/>
    <w:rsid w:val="009749E9"/>
    <w:rsid w:val="00980A56"/>
    <w:rsid w:val="00981995"/>
    <w:rsid w:val="00991E71"/>
    <w:rsid w:val="009923D5"/>
    <w:rsid w:val="00993A1C"/>
    <w:rsid w:val="009A078B"/>
    <w:rsid w:val="009A0DFA"/>
    <w:rsid w:val="009A1074"/>
    <w:rsid w:val="009A1C6F"/>
    <w:rsid w:val="009A69AD"/>
    <w:rsid w:val="009B1715"/>
    <w:rsid w:val="009B2D26"/>
    <w:rsid w:val="009B6143"/>
    <w:rsid w:val="009B6C08"/>
    <w:rsid w:val="009C0C7A"/>
    <w:rsid w:val="009C1FE1"/>
    <w:rsid w:val="009C4012"/>
    <w:rsid w:val="009C52EA"/>
    <w:rsid w:val="009C531E"/>
    <w:rsid w:val="009C5FC9"/>
    <w:rsid w:val="009C71FA"/>
    <w:rsid w:val="009C72E7"/>
    <w:rsid w:val="009C7F7E"/>
    <w:rsid w:val="009D3058"/>
    <w:rsid w:val="009D4B49"/>
    <w:rsid w:val="009D7052"/>
    <w:rsid w:val="009E27D4"/>
    <w:rsid w:val="009E4AEC"/>
    <w:rsid w:val="009E637B"/>
    <w:rsid w:val="009E66C1"/>
    <w:rsid w:val="009F0E27"/>
    <w:rsid w:val="009F3A13"/>
    <w:rsid w:val="00A00A3A"/>
    <w:rsid w:val="00A00BC3"/>
    <w:rsid w:val="00A024C8"/>
    <w:rsid w:val="00A03198"/>
    <w:rsid w:val="00A03859"/>
    <w:rsid w:val="00A047AA"/>
    <w:rsid w:val="00A05C9C"/>
    <w:rsid w:val="00A05FCC"/>
    <w:rsid w:val="00A07274"/>
    <w:rsid w:val="00A10E21"/>
    <w:rsid w:val="00A113F8"/>
    <w:rsid w:val="00A122D3"/>
    <w:rsid w:val="00A138A0"/>
    <w:rsid w:val="00A14468"/>
    <w:rsid w:val="00A17F13"/>
    <w:rsid w:val="00A20739"/>
    <w:rsid w:val="00A23A49"/>
    <w:rsid w:val="00A23AF9"/>
    <w:rsid w:val="00A262DE"/>
    <w:rsid w:val="00A26F29"/>
    <w:rsid w:val="00A270B0"/>
    <w:rsid w:val="00A30E20"/>
    <w:rsid w:val="00A33522"/>
    <w:rsid w:val="00A33C78"/>
    <w:rsid w:val="00A3590A"/>
    <w:rsid w:val="00A50102"/>
    <w:rsid w:val="00A53E1A"/>
    <w:rsid w:val="00A5471E"/>
    <w:rsid w:val="00A55092"/>
    <w:rsid w:val="00A5679D"/>
    <w:rsid w:val="00A61B1F"/>
    <w:rsid w:val="00A63061"/>
    <w:rsid w:val="00A639C8"/>
    <w:rsid w:val="00A75CE6"/>
    <w:rsid w:val="00A76E93"/>
    <w:rsid w:val="00A81F70"/>
    <w:rsid w:val="00A85412"/>
    <w:rsid w:val="00A85D62"/>
    <w:rsid w:val="00A86538"/>
    <w:rsid w:val="00A87245"/>
    <w:rsid w:val="00A87787"/>
    <w:rsid w:val="00A91FA8"/>
    <w:rsid w:val="00A93BC9"/>
    <w:rsid w:val="00A97092"/>
    <w:rsid w:val="00AA2120"/>
    <w:rsid w:val="00AA2DD0"/>
    <w:rsid w:val="00AA48B9"/>
    <w:rsid w:val="00AA7BB8"/>
    <w:rsid w:val="00AB016F"/>
    <w:rsid w:val="00AB0923"/>
    <w:rsid w:val="00AB0ADB"/>
    <w:rsid w:val="00AB3BC5"/>
    <w:rsid w:val="00AB5338"/>
    <w:rsid w:val="00AC0871"/>
    <w:rsid w:val="00AC13BE"/>
    <w:rsid w:val="00AC3EFB"/>
    <w:rsid w:val="00AC6459"/>
    <w:rsid w:val="00AD37CF"/>
    <w:rsid w:val="00AD3B73"/>
    <w:rsid w:val="00AE0D58"/>
    <w:rsid w:val="00AE2D2C"/>
    <w:rsid w:val="00AE50A5"/>
    <w:rsid w:val="00AE6AB2"/>
    <w:rsid w:val="00AE6E0E"/>
    <w:rsid w:val="00AE7146"/>
    <w:rsid w:val="00AF0008"/>
    <w:rsid w:val="00AF233C"/>
    <w:rsid w:val="00AF426F"/>
    <w:rsid w:val="00AF45A0"/>
    <w:rsid w:val="00AF4881"/>
    <w:rsid w:val="00AF4DB9"/>
    <w:rsid w:val="00AF6CB8"/>
    <w:rsid w:val="00AF744C"/>
    <w:rsid w:val="00B00C0E"/>
    <w:rsid w:val="00B01905"/>
    <w:rsid w:val="00B01B1A"/>
    <w:rsid w:val="00B034F7"/>
    <w:rsid w:val="00B0381D"/>
    <w:rsid w:val="00B15253"/>
    <w:rsid w:val="00B258BA"/>
    <w:rsid w:val="00B31F0A"/>
    <w:rsid w:val="00B338DF"/>
    <w:rsid w:val="00B353C3"/>
    <w:rsid w:val="00B44A47"/>
    <w:rsid w:val="00B452B2"/>
    <w:rsid w:val="00B50C95"/>
    <w:rsid w:val="00B554D3"/>
    <w:rsid w:val="00B61BA1"/>
    <w:rsid w:val="00B7280E"/>
    <w:rsid w:val="00B72CD3"/>
    <w:rsid w:val="00B72FFF"/>
    <w:rsid w:val="00B85924"/>
    <w:rsid w:val="00B869CD"/>
    <w:rsid w:val="00B9394F"/>
    <w:rsid w:val="00B9463F"/>
    <w:rsid w:val="00B97470"/>
    <w:rsid w:val="00B975D0"/>
    <w:rsid w:val="00BA2AE4"/>
    <w:rsid w:val="00BA34DF"/>
    <w:rsid w:val="00BA7E80"/>
    <w:rsid w:val="00BB4273"/>
    <w:rsid w:val="00BC3D36"/>
    <w:rsid w:val="00BD54A6"/>
    <w:rsid w:val="00BD7CB5"/>
    <w:rsid w:val="00BD7F72"/>
    <w:rsid w:val="00BE29FE"/>
    <w:rsid w:val="00BE498D"/>
    <w:rsid w:val="00BF0FA1"/>
    <w:rsid w:val="00BF3A72"/>
    <w:rsid w:val="00BF73A6"/>
    <w:rsid w:val="00BF7425"/>
    <w:rsid w:val="00C00996"/>
    <w:rsid w:val="00C04FB3"/>
    <w:rsid w:val="00C10EED"/>
    <w:rsid w:val="00C11354"/>
    <w:rsid w:val="00C11D8B"/>
    <w:rsid w:val="00C15139"/>
    <w:rsid w:val="00C15BAC"/>
    <w:rsid w:val="00C16BEE"/>
    <w:rsid w:val="00C16CC7"/>
    <w:rsid w:val="00C21ADE"/>
    <w:rsid w:val="00C22B4A"/>
    <w:rsid w:val="00C24B23"/>
    <w:rsid w:val="00C26D9F"/>
    <w:rsid w:val="00C27C70"/>
    <w:rsid w:val="00C330EB"/>
    <w:rsid w:val="00C33B4F"/>
    <w:rsid w:val="00C375E8"/>
    <w:rsid w:val="00C412DC"/>
    <w:rsid w:val="00C41F9F"/>
    <w:rsid w:val="00C42AFF"/>
    <w:rsid w:val="00C43CF9"/>
    <w:rsid w:val="00C465BB"/>
    <w:rsid w:val="00C50D69"/>
    <w:rsid w:val="00C5365C"/>
    <w:rsid w:val="00C5379E"/>
    <w:rsid w:val="00C54759"/>
    <w:rsid w:val="00C54818"/>
    <w:rsid w:val="00C55D75"/>
    <w:rsid w:val="00C56BB6"/>
    <w:rsid w:val="00C578D9"/>
    <w:rsid w:val="00C602B1"/>
    <w:rsid w:val="00C60EED"/>
    <w:rsid w:val="00C6180C"/>
    <w:rsid w:val="00C632DE"/>
    <w:rsid w:val="00C65821"/>
    <w:rsid w:val="00C676F8"/>
    <w:rsid w:val="00C728C6"/>
    <w:rsid w:val="00C73472"/>
    <w:rsid w:val="00C74891"/>
    <w:rsid w:val="00C754BE"/>
    <w:rsid w:val="00C76B1C"/>
    <w:rsid w:val="00C77C34"/>
    <w:rsid w:val="00C831B2"/>
    <w:rsid w:val="00C832A2"/>
    <w:rsid w:val="00C864BD"/>
    <w:rsid w:val="00C92378"/>
    <w:rsid w:val="00C925AC"/>
    <w:rsid w:val="00C9428F"/>
    <w:rsid w:val="00C94E41"/>
    <w:rsid w:val="00CA1DCB"/>
    <w:rsid w:val="00CA2A1D"/>
    <w:rsid w:val="00CA564E"/>
    <w:rsid w:val="00CA6DE6"/>
    <w:rsid w:val="00CB0D8A"/>
    <w:rsid w:val="00CB6357"/>
    <w:rsid w:val="00CB74D4"/>
    <w:rsid w:val="00CB76E7"/>
    <w:rsid w:val="00CB798C"/>
    <w:rsid w:val="00CC1B26"/>
    <w:rsid w:val="00CC3990"/>
    <w:rsid w:val="00CC5569"/>
    <w:rsid w:val="00CC5B4C"/>
    <w:rsid w:val="00CC7966"/>
    <w:rsid w:val="00CD5C26"/>
    <w:rsid w:val="00CD7D63"/>
    <w:rsid w:val="00CE1FEB"/>
    <w:rsid w:val="00CE4322"/>
    <w:rsid w:val="00CF1842"/>
    <w:rsid w:val="00CF5E49"/>
    <w:rsid w:val="00CF78AF"/>
    <w:rsid w:val="00D00D10"/>
    <w:rsid w:val="00D146D4"/>
    <w:rsid w:val="00D17B4F"/>
    <w:rsid w:val="00D22DC0"/>
    <w:rsid w:val="00D25368"/>
    <w:rsid w:val="00D321A6"/>
    <w:rsid w:val="00D33C09"/>
    <w:rsid w:val="00D34958"/>
    <w:rsid w:val="00D35152"/>
    <w:rsid w:val="00D361FD"/>
    <w:rsid w:val="00D36A4E"/>
    <w:rsid w:val="00D4075E"/>
    <w:rsid w:val="00D40A09"/>
    <w:rsid w:val="00D423A2"/>
    <w:rsid w:val="00D4350D"/>
    <w:rsid w:val="00D4355C"/>
    <w:rsid w:val="00D44E26"/>
    <w:rsid w:val="00D513FD"/>
    <w:rsid w:val="00D520D8"/>
    <w:rsid w:val="00D52DE7"/>
    <w:rsid w:val="00D53A3C"/>
    <w:rsid w:val="00D60368"/>
    <w:rsid w:val="00D61165"/>
    <w:rsid w:val="00D61978"/>
    <w:rsid w:val="00D62FCB"/>
    <w:rsid w:val="00D634EE"/>
    <w:rsid w:val="00D63AC2"/>
    <w:rsid w:val="00D63BC5"/>
    <w:rsid w:val="00D64BD9"/>
    <w:rsid w:val="00D65BE8"/>
    <w:rsid w:val="00D7383B"/>
    <w:rsid w:val="00D7473A"/>
    <w:rsid w:val="00D7788A"/>
    <w:rsid w:val="00D808CE"/>
    <w:rsid w:val="00D85788"/>
    <w:rsid w:val="00D91D4F"/>
    <w:rsid w:val="00D92BA6"/>
    <w:rsid w:val="00D97406"/>
    <w:rsid w:val="00DA04F3"/>
    <w:rsid w:val="00DA231B"/>
    <w:rsid w:val="00DA3530"/>
    <w:rsid w:val="00DA5DE4"/>
    <w:rsid w:val="00DB21DD"/>
    <w:rsid w:val="00DB461C"/>
    <w:rsid w:val="00DB4ABE"/>
    <w:rsid w:val="00DB5989"/>
    <w:rsid w:val="00DB5CDD"/>
    <w:rsid w:val="00DC30DD"/>
    <w:rsid w:val="00DC39FC"/>
    <w:rsid w:val="00DC4276"/>
    <w:rsid w:val="00DC7242"/>
    <w:rsid w:val="00DD7048"/>
    <w:rsid w:val="00DE01DC"/>
    <w:rsid w:val="00DE0ED7"/>
    <w:rsid w:val="00DE1BA8"/>
    <w:rsid w:val="00DE1EFF"/>
    <w:rsid w:val="00DE6AAA"/>
    <w:rsid w:val="00DF0FFB"/>
    <w:rsid w:val="00DF3CE1"/>
    <w:rsid w:val="00DF5254"/>
    <w:rsid w:val="00DF7FB0"/>
    <w:rsid w:val="00E02524"/>
    <w:rsid w:val="00E073BC"/>
    <w:rsid w:val="00E11A51"/>
    <w:rsid w:val="00E12A2D"/>
    <w:rsid w:val="00E155D3"/>
    <w:rsid w:val="00E16408"/>
    <w:rsid w:val="00E16E6D"/>
    <w:rsid w:val="00E17EEF"/>
    <w:rsid w:val="00E20894"/>
    <w:rsid w:val="00E20F22"/>
    <w:rsid w:val="00E238B0"/>
    <w:rsid w:val="00E245AB"/>
    <w:rsid w:val="00E25F3A"/>
    <w:rsid w:val="00E2764C"/>
    <w:rsid w:val="00E27F2E"/>
    <w:rsid w:val="00E30CE7"/>
    <w:rsid w:val="00E314D2"/>
    <w:rsid w:val="00E32F7E"/>
    <w:rsid w:val="00E33989"/>
    <w:rsid w:val="00E40E2D"/>
    <w:rsid w:val="00E43AB6"/>
    <w:rsid w:val="00E43D38"/>
    <w:rsid w:val="00E44733"/>
    <w:rsid w:val="00E50AFE"/>
    <w:rsid w:val="00E51DF5"/>
    <w:rsid w:val="00E554A1"/>
    <w:rsid w:val="00E57AB0"/>
    <w:rsid w:val="00E647AF"/>
    <w:rsid w:val="00E65C8F"/>
    <w:rsid w:val="00E67D6D"/>
    <w:rsid w:val="00E75C92"/>
    <w:rsid w:val="00E771DC"/>
    <w:rsid w:val="00E8597A"/>
    <w:rsid w:val="00E8772A"/>
    <w:rsid w:val="00E90112"/>
    <w:rsid w:val="00E905E2"/>
    <w:rsid w:val="00E90F6B"/>
    <w:rsid w:val="00E92C27"/>
    <w:rsid w:val="00EA0DCB"/>
    <w:rsid w:val="00EA0E3D"/>
    <w:rsid w:val="00EA1650"/>
    <w:rsid w:val="00EA2C69"/>
    <w:rsid w:val="00EA4608"/>
    <w:rsid w:val="00EA5D9F"/>
    <w:rsid w:val="00EA65DE"/>
    <w:rsid w:val="00EB044D"/>
    <w:rsid w:val="00EB26A2"/>
    <w:rsid w:val="00EB7605"/>
    <w:rsid w:val="00EC2096"/>
    <w:rsid w:val="00EC38A7"/>
    <w:rsid w:val="00EC79A2"/>
    <w:rsid w:val="00ED2EEB"/>
    <w:rsid w:val="00ED300E"/>
    <w:rsid w:val="00EE1AA8"/>
    <w:rsid w:val="00EE1AE6"/>
    <w:rsid w:val="00EE3E0F"/>
    <w:rsid w:val="00EE40BC"/>
    <w:rsid w:val="00EE4BC2"/>
    <w:rsid w:val="00EF437B"/>
    <w:rsid w:val="00EF4B5A"/>
    <w:rsid w:val="00EF7C3B"/>
    <w:rsid w:val="00F033F3"/>
    <w:rsid w:val="00F03C66"/>
    <w:rsid w:val="00F070D7"/>
    <w:rsid w:val="00F10FAF"/>
    <w:rsid w:val="00F133E0"/>
    <w:rsid w:val="00F15EA5"/>
    <w:rsid w:val="00F17C48"/>
    <w:rsid w:val="00F207E2"/>
    <w:rsid w:val="00F21A9D"/>
    <w:rsid w:val="00F23FEA"/>
    <w:rsid w:val="00F31EDC"/>
    <w:rsid w:val="00F32FEC"/>
    <w:rsid w:val="00F34B7E"/>
    <w:rsid w:val="00F37728"/>
    <w:rsid w:val="00F37ADE"/>
    <w:rsid w:val="00F37F09"/>
    <w:rsid w:val="00F42A4A"/>
    <w:rsid w:val="00F446E3"/>
    <w:rsid w:val="00F44936"/>
    <w:rsid w:val="00F4552F"/>
    <w:rsid w:val="00F462B3"/>
    <w:rsid w:val="00F4700A"/>
    <w:rsid w:val="00F47DC3"/>
    <w:rsid w:val="00F5188A"/>
    <w:rsid w:val="00F51EB6"/>
    <w:rsid w:val="00F52600"/>
    <w:rsid w:val="00F54D53"/>
    <w:rsid w:val="00F5664F"/>
    <w:rsid w:val="00F56851"/>
    <w:rsid w:val="00F578BA"/>
    <w:rsid w:val="00F62223"/>
    <w:rsid w:val="00F63C0D"/>
    <w:rsid w:val="00F64CC4"/>
    <w:rsid w:val="00F666C4"/>
    <w:rsid w:val="00F76AFC"/>
    <w:rsid w:val="00F775CF"/>
    <w:rsid w:val="00F80A26"/>
    <w:rsid w:val="00F82FE3"/>
    <w:rsid w:val="00F87489"/>
    <w:rsid w:val="00F90306"/>
    <w:rsid w:val="00F93473"/>
    <w:rsid w:val="00F97C59"/>
    <w:rsid w:val="00FA337A"/>
    <w:rsid w:val="00FA47C0"/>
    <w:rsid w:val="00FB2EB2"/>
    <w:rsid w:val="00FB560F"/>
    <w:rsid w:val="00FB59D7"/>
    <w:rsid w:val="00FB5DD1"/>
    <w:rsid w:val="00FB7E3A"/>
    <w:rsid w:val="00FC2373"/>
    <w:rsid w:val="00FC2B5D"/>
    <w:rsid w:val="00FC4FF2"/>
    <w:rsid w:val="00FC6DA1"/>
    <w:rsid w:val="00FC7076"/>
    <w:rsid w:val="00FC70B6"/>
    <w:rsid w:val="00FC72E1"/>
    <w:rsid w:val="00FC76C0"/>
    <w:rsid w:val="00FD002B"/>
    <w:rsid w:val="00FD1E41"/>
    <w:rsid w:val="00FD20EF"/>
    <w:rsid w:val="00FD3E16"/>
    <w:rsid w:val="00FD4062"/>
    <w:rsid w:val="00FD6375"/>
    <w:rsid w:val="00FD68F8"/>
    <w:rsid w:val="00FD7BC9"/>
    <w:rsid w:val="00FD7EC9"/>
    <w:rsid w:val="00FE0A8B"/>
    <w:rsid w:val="00FE32E8"/>
    <w:rsid w:val="00FE3E7C"/>
    <w:rsid w:val="00FE5CF8"/>
    <w:rsid w:val="00FE77D0"/>
    <w:rsid w:val="00FF1449"/>
    <w:rsid w:val="00FF2108"/>
    <w:rsid w:val="00FF3652"/>
    <w:rsid w:val="00FF4119"/>
    <w:rsid w:val="00FF745C"/>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2">
    <w:name w:val="heading 2"/>
    <w:basedOn w:val="Normal"/>
    <w:next w:val="Normal"/>
    <w:link w:val="Ttulo2Car"/>
    <w:uiPriority w:val="9"/>
    <w:semiHidden/>
    <w:unhideWhenUsed/>
    <w:qFormat/>
    <w:rsid w:val="001C56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E670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E6708"/>
    <w:rPr>
      <w:rFonts w:ascii="Geomanist Light" w:hAnsi="Geomanist Light"/>
      <w:lang w:val="es-ES"/>
    </w:rPr>
  </w:style>
  <w:style w:type="character" w:customStyle="1" w:styleId="NormalWebCar">
    <w:name w:val="Normal (Web) Car"/>
    <w:link w:val="NormalWeb"/>
    <w:uiPriority w:val="99"/>
    <w:rsid w:val="003E6708"/>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3E6708"/>
    <w:pPr>
      <w:spacing w:after="0" w:line="240" w:lineRule="auto"/>
    </w:pPr>
    <w:rPr>
      <w:sz w:val="24"/>
      <w:lang w:val="es-MX"/>
    </w:rPr>
  </w:style>
  <w:style w:type="character" w:customStyle="1" w:styleId="grame">
    <w:name w:val="grame"/>
    <w:basedOn w:val="Fuentedeprrafopredeter"/>
    <w:rsid w:val="00FF3652"/>
  </w:style>
  <w:style w:type="character" w:customStyle="1" w:styleId="baj">
    <w:name w:val="b_aj"/>
    <w:basedOn w:val="Fuentedeprrafopredeter"/>
    <w:rsid w:val="003E3009"/>
  </w:style>
  <w:style w:type="character" w:customStyle="1" w:styleId="Ttulo2Car">
    <w:name w:val="Título 2 Car"/>
    <w:basedOn w:val="Fuentedeprrafopredeter"/>
    <w:link w:val="Ttulo2"/>
    <w:uiPriority w:val="9"/>
    <w:semiHidden/>
    <w:rsid w:val="001C56A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decreto_0252_2020.html" TargetMode="External"/><Relationship Id="rId18"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abildoindigenaingabogota@gmail.com" TargetMode="External"/><Relationship Id="rId17"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www.secretariasenado.gov.co/senado/basedoc/decreto_0252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8A93531D-73E5-46E8-8A49-6F98E2DD0E9B}">
  <ds:schemaRefs>
    <ds:schemaRef ds:uri="http://schemas.openxmlformats.org/officeDocument/2006/bibliography"/>
  </ds:schemaRefs>
</ds:datastoreItem>
</file>

<file path=customXml/itemProps4.xml><?xml version="1.0" encoding="utf-8"?>
<ds:datastoreItem xmlns:ds="http://schemas.openxmlformats.org/officeDocument/2006/customXml" ds:itemID="{71C54E1D-9FC6-4880-A278-17C823D12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31</Pages>
  <Words>11079</Words>
  <Characters>60937</Characters>
  <Application>Microsoft Office Word</Application>
  <DocSecurity>0</DocSecurity>
  <Lines>507</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71873</CharactersWithSpaces>
  <SharedDoc>false</SharedDoc>
  <HLinks>
    <vt:vector size="6" baseType="variant">
      <vt:variant>
        <vt:i4>7209021</vt:i4>
      </vt:variant>
      <vt:variant>
        <vt:i4>0</vt:i4>
      </vt:variant>
      <vt:variant>
        <vt:i4>0</vt:i4>
      </vt:variant>
      <vt:variant>
        <vt:i4>5</vt:i4>
      </vt:variant>
      <vt:variant>
        <vt:lpwstr>https://relatoria.colombiacompra.gov.co/busqueda/concept 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2026-09-17T13:54:00Z</dcterms:created>
  <dcterms:modified xsi:type="dcterms:W3CDTF">2026-09-17T15:00:00Z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