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B8A5A" w14:textId="77777777" w:rsidR="007F3FF7" w:rsidRPr="0001720C" w:rsidRDefault="007F3FF7" w:rsidP="007F3FF7">
      <w:pPr>
        <w:spacing w:after="0"/>
        <w:jc w:val="both"/>
        <w:rPr>
          <w:rFonts w:ascii="Verdana" w:eastAsia="Verdana" w:hAnsi="Verdana" w:cs="Verdana"/>
        </w:rPr>
      </w:pPr>
      <w:bookmarkStart w:id="0" w:name="_Hlk143780582"/>
      <w:r w:rsidRPr="0001720C">
        <w:rPr>
          <w:rFonts w:ascii="Verdana" w:eastAsia="Calibri" w:hAnsi="Verdana" w:cs="Arial"/>
          <w:b/>
          <w:bCs/>
          <w:lang w:val="es-ES" w:eastAsia="es-ES"/>
        </w:rPr>
        <w:t>DOCUMENTOS TIPO DE INFRAESTRUCTURA SOCIAL – Generalidades – Versión 2</w:t>
      </w:r>
    </w:p>
    <w:p w14:paraId="06C7941D" w14:textId="77777777" w:rsidR="007F3FF7" w:rsidRPr="0001720C" w:rsidRDefault="007F3FF7" w:rsidP="007F3FF7">
      <w:pPr>
        <w:shd w:val="clear" w:color="auto" w:fill="FFFFFF"/>
        <w:spacing w:after="0" w:line="276" w:lineRule="auto"/>
        <w:contextualSpacing/>
        <w:jc w:val="both"/>
        <w:rPr>
          <w:rFonts w:ascii="Verdana" w:eastAsia="Calibri" w:hAnsi="Verdana" w:cs="Arial"/>
          <w:b/>
          <w:bCs/>
          <w:lang w:val="es-ES" w:eastAsia="es-ES"/>
        </w:rPr>
      </w:pPr>
    </w:p>
    <w:p w14:paraId="3189C1DA" w14:textId="77777777" w:rsidR="007F3FF7" w:rsidRPr="0001720C" w:rsidRDefault="007F3FF7" w:rsidP="007F3FF7">
      <w:pPr>
        <w:snapToGrid w:val="0"/>
        <w:spacing w:after="0" w:line="240" w:lineRule="auto"/>
        <w:jc w:val="both"/>
        <w:rPr>
          <w:rFonts w:ascii="Verdana" w:eastAsia="Calibri" w:hAnsi="Verdana" w:cs="Times New Roman"/>
          <w:sz w:val="20"/>
          <w:szCs w:val="20"/>
          <w:lang w:val="es-ES" w:eastAsia="es-MX"/>
        </w:rPr>
      </w:pPr>
      <w:r w:rsidRPr="0001720C">
        <w:rPr>
          <w:rFonts w:ascii="Verdana" w:eastAsia="Calibri" w:hAnsi="Verdana" w:cs="Times New Roman"/>
          <w:sz w:val="20"/>
          <w:szCs w:val="20"/>
          <w:lang w:val="es-ES" w:eastAsia="es-MX"/>
        </w:rPr>
        <w:t>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w:t>
      </w:r>
    </w:p>
    <w:p w14:paraId="0CDE8D35" w14:textId="77777777" w:rsidR="007F3FF7" w:rsidRPr="0001720C" w:rsidRDefault="007F3FF7" w:rsidP="007F3FF7">
      <w:pPr>
        <w:widowControl w:val="0"/>
        <w:autoSpaceDE w:val="0"/>
        <w:autoSpaceDN w:val="0"/>
        <w:spacing w:after="0" w:line="240" w:lineRule="auto"/>
        <w:jc w:val="both"/>
        <w:rPr>
          <w:rFonts w:ascii="Verdana" w:eastAsia="Arial MT" w:hAnsi="Verdana" w:cs="Arial MT"/>
          <w:sz w:val="20"/>
          <w:szCs w:val="20"/>
          <w:lang w:val="es-ES" w:eastAsia="es-MX"/>
        </w:rPr>
      </w:pPr>
      <w:r w:rsidRPr="0001720C">
        <w:rPr>
          <w:rFonts w:ascii="Verdana" w:eastAsia="Arial MT" w:hAnsi="Verdana" w:cs="Arial MT"/>
          <w:sz w:val="20"/>
          <w:szCs w:val="20"/>
          <w:lang w:val="es-ES" w:eastAsia="es-MX"/>
        </w:rPr>
        <w:t>[…]</w:t>
      </w:r>
    </w:p>
    <w:p w14:paraId="50DBE8E5" w14:textId="77777777" w:rsidR="007F3FF7" w:rsidRPr="0001720C" w:rsidRDefault="007F3FF7" w:rsidP="007F3FF7">
      <w:pPr>
        <w:snapToGrid w:val="0"/>
        <w:spacing w:after="0" w:line="240" w:lineRule="auto"/>
        <w:jc w:val="both"/>
        <w:rPr>
          <w:rFonts w:ascii="Verdana" w:eastAsia="Calibri" w:hAnsi="Verdana" w:cs="Times New Roman"/>
          <w:sz w:val="20"/>
          <w:szCs w:val="20"/>
          <w:lang w:val="es-ES" w:eastAsia="es-MX"/>
        </w:rPr>
      </w:pPr>
      <w:r w:rsidRPr="0001720C">
        <w:rPr>
          <w:rFonts w:ascii="Verdana" w:eastAsia="Calibri" w:hAnsi="Verdana" w:cs="Times New Roman"/>
          <w:sz w:val="20"/>
          <w:szCs w:val="20"/>
          <w:lang w:val="es-ES" w:eastAsia="es-MX"/>
        </w:rPr>
        <w:t>Recientemente, los precitados documentos tipo fueron modificados mediante la Resolución No. 539 del 21 de agosto de 2025, “Por la cual se adopta la versión -2- de los documentos tipo para los procesos de selección de licitación de obra pública del sector de infraestructura social y se deroga la Resolución 219 de 2021; se adoptan los documento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 Estos nuevos documentos tipo aplican a los procedimientos de selección de licitación de obra pública de infraestructura social en los sectores de educación, salud, cultura, recreación y deporte, institucional y vivienda, cuyo aviso de convocatoria sea publicado a partir del 16 de febrero de 2026.</w:t>
      </w:r>
    </w:p>
    <w:p w14:paraId="1F826D57" w14:textId="77777777" w:rsidR="007F3FF7" w:rsidRPr="0001720C" w:rsidRDefault="007F3FF7" w:rsidP="007F3FF7">
      <w:pPr>
        <w:shd w:val="clear" w:color="auto" w:fill="FFFFFF"/>
        <w:spacing w:after="0" w:line="276" w:lineRule="auto"/>
        <w:contextualSpacing/>
        <w:jc w:val="both"/>
        <w:rPr>
          <w:rFonts w:ascii="Verdana" w:eastAsia="Calibri" w:hAnsi="Verdana" w:cs="Arial"/>
          <w:b/>
          <w:bCs/>
          <w:lang w:val="es-ES" w:eastAsia="es-ES"/>
        </w:rPr>
      </w:pPr>
    </w:p>
    <w:p w14:paraId="69A95568" w14:textId="77777777" w:rsidR="007F3FF7" w:rsidRPr="0001720C" w:rsidRDefault="007F3FF7" w:rsidP="007F3FF7">
      <w:pPr>
        <w:shd w:val="clear" w:color="auto" w:fill="FFFFFF"/>
        <w:spacing w:after="0" w:line="276" w:lineRule="auto"/>
        <w:contextualSpacing/>
        <w:jc w:val="both"/>
        <w:rPr>
          <w:rFonts w:ascii="Verdana" w:eastAsia="Calibri" w:hAnsi="Verdana" w:cs="Arial"/>
          <w:b/>
          <w:bCs/>
          <w:lang w:val="es-ES" w:eastAsia="es-ES"/>
        </w:rPr>
      </w:pPr>
      <w:r w:rsidRPr="0001720C">
        <w:rPr>
          <w:rFonts w:ascii="Verdana" w:eastAsia="Calibri" w:hAnsi="Verdana" w:cs="Arial"/>
          <w:b/>
          <w:bCs/>
          <w:lang w:val="es-ES" w:eastAsia="es-ES"/>
        </w:rPr>
        <w:t>DOCUMENTOS TIPO DE INFRAESTRUCTURA SOCIAL – Ámbito de aplicación – Obligatoriedad – Actividades definidas en las Matrices de Experiencia</w:t>
      </w:r>
    </w:p>
    <w:p w14:paraId="203E5678" w14:textId="77777777" w:rsidR="007F3FF7" w:rsidRPr="0001720C" w:rsidRDefault="007F3FF7" w:rsidP="007F3FF7">
      <w:pPr>
        <w:shd w:val="clear" w:color="auto" w:fill="FFFFFF"/>
        <w:spacing w:after="0" w:line="276" w:lineRule="auto"/>
        <w:contextualSpacing/>
        <w:jc w:val="both"/>
        <w:rPr>
          <w:rFonts w:ascii="Verdana" w:eastAsia="Calibri" w:hAnsi="Verdana" w:cs="Arial"/>
          <w:b/>
          <w:lang w:val="es-MX" w:eastAsia="es-ES_tradnl"/>
        </w:rPr>
      </w:pPr>
    </w:p>
    <w:p w14:paraId="1287EB59" w14:textId="77777777" w:rsidR="007F3FF7" w:rsidRPr="0001720C" w:rsidRDefault="007F3FF7" w:rsidP="007F3FF7">
      <w:pPr>
        <w:snapToGrid w:val="0"/>
        <w:spacing w:after="0" w:line="240" w:lineRule="auto"/>
        <w:jc w:val="both"/>
        <w:rPr>
          <w:rFonts w:ascii="Verdana" w:eastAsia="Calibri" w:hAnsi="Verdana" w:cs="Times New Roman"/>
          <w:sz w:val="20"/>
          <w:szCs w:val="20"/>
          <w:lang w:eastAsia="es-MX"/>
        </w:rPr>
      </w:pPr>
      <w:r w:rsidRPr="0001720C">
        <w:rPr>
          <w:rFonts w:ascii="Verdana" w:eastAsia="Calibri" w:hAnsi="Verdana" w:cs="Times New Roman"/>
          <w:sz w:val="20"/>
          <w:szCs w:val="20"/>
          <w:lang w:eastAsia="es-MX"/>
        </w:rPr>
        <w:t xml:space="preserve">Para fijar las condiciones que deben cumplir los contratos aportados en términos de actividades ejecutadas, las entidades deben emplear la “Matriz – Experiencia”. Este documento estandariza las condiciones de experiencia general y/o experiencia específica que deben requerir las entidades estatales a los proponentes para acreditar el requisito habilitante de experiencia, de acuerdo con: i) el tipo de obra de infraestructura social, </w:t>
      </w:r>
      <w:proofErr w:type="spellStart"/>
      <w:r w:rsidRPr="0001720C">
        <w:rPr>
          <w:rFonts w:ascii="Verdana" w:eastAsia="Calibri" w:hAnsi="Verdana" w:cs="Times New Roman"/>
          <w:sz w:val="20"/>
          <w:szCs w:val="20"/>
          <w:lang w:eastAsia="es-MX"/>
        </w:rPr>
        <w:t>ii</w:t>
      </w:r>
      <w:proofErr w:type="spellEnd"/>
      <w:r w:rsidRPr="0001720C">
        <w:rPr>
          <w:rFonts w:ascii="Verdana" w:eastAsia="Calibri" w:hAnsi="Verdana" w:cs="Times New Roman"/>
          <w:sz w:val="20"/>
          <w:szCs w:val="20"/>
          <w:lang w:eastAsia="es-MX"/>
        </w:rPr>
        <w:t xml:space="preserve">) la actividad a contratar y </w:t>
      </w:r>
      <w:proofErr w:type="spellStart"/>
      <w:r w:rsidRPr="0001720C">
        <w:rPr>
          <w:rFonts w:ascii="Verdana" w:eastAsia="Calibri" w:hAnsi="Verdana" w:cs="Times New Roman"/>
          <w:sz w:val="20"/>
          <w:szCs w:val="20"/>
          <w:lang w:eastAsia="es-MX"/>
        </w:rPr>
        <w:t>iii</w:t>
      </w:r>
      <w:proofErr w:type="spellEnd"/>
      <w:r w:rsidRPr="0001720C">
        <w:rPr>
          <w:rFonts w:ascii="Verdana" w:eastAsia="Calibri" w:hAnsi="Verdana" w:cs="Times New Roman"/>
          <w:sz w:val="20"/>
          <w:szCs w:val="20"/>
          <w:lang w:eastAsia="es-MX"/>
        </w:rPr>
        <w:t>) la cuantía del proceso de contratación.</w:t>
      </w:r>
    </w:p>
    <w:p w14:paraId="035C8030" w14:textId="77777777" w:rsidR="007F3FF7" w:rsidRPr="0001720C" w:rsidRDefault="007F3FF7" w:rsidP="007F3FF7">
      <w:pPr>
        <w:snapToGrid w:val="0"/>
        <w:spacing w:after="0" w:line="240" w:lineRule="auto"/>
        <w:jc w:val="both"/>
        <w:rPr>
          <w:rFonts w:ascii="Verdana" w:eastAsia="Calibri" w:hAnsi="Verdana" w:cs="Times New Roman"/>
          <w:sz w:val="20"/>
          <w:szCs w:val="20"/>
          <w:lang w:eastAsia="es-MX"/>
        </w:rPr>
      </w:pPr>
    </w:p>
    <w:p w14:paraId="0EAE7686" w14:textId="77777777" w:rsidR="007F3FF7" w:rsidRPr="0001720C" w:rsidRDefault="007F3FF7" w:rsidP="007F3FF7">
      <w:pPr>
        <w:snapToGrid w:val="0"/>
        <w:spacing w:after="0" w:line="240" w:lineRule="auto"/>
        <w:jc w:val="both"/>
        <w:rPr>
          <w:rFonts w:ascii="Verdana" w:eastAsia="Calibri" w:hAnsi="Verdana" w:cs="Times New Roman"/>
          <w:sz w:val="20"/>
          <w:szCs w:val="20"/>
          <w:lang w:eastAsia="es-MX"/>
        </w:rPr>
      </w:pPr>
      <w:r w:rsidRPr="0001720C">
        <w:rPr>
          <w:rFonts w:ascii="Verdana" w:eastAsia="Calibri" w:hAnsi="Verdana" w:cs="Calibri"/>
          <w:kern w:val="2"/>
          <w:sz w:val="20"/>
          <w:szCs w:val="20"/>
          <w14:ligatures w14:val="standardContextual"/>
        </w:rPr>
        <w:t xml:space="preserve">[…] la implementación de los documentos tipo por parte de las entidades estatales sometidas al Estatuto General de Contratación de la Administración Pública –EGCAP–, está determinada por las actividades sobre las cuales se puede enmarcar el proceso de </w:t>
      </w:r>
      <w:r w:rsidRPr="0001720C">
        <w:rPr>
          <w:rFonts w:ascii="Verdana" w:eastAsia="Calibri" w:hAnsi="Verdana" w:cs="Calibri"/>
          <w:kern w:val="2"/>
          <w:sz w:val="20"/>
          <w:szCs w:val="20"/>
          <w14:ligatures w14:val="standardContextual"/>
        </w:rPr>
        <w:lastRenderedPageBreak/>
        <w:t>selección que adelanten. Al respecto, la parte introductoria de los documentos tipo de licitación de obra pública de infraestructura social, dispone:</w:t>
      </w:r>
    </w:p>
    <w:p w14:paraId="5605B849" w14:textId="77777777" w:rsidR="007F3FF7" w:rsidRPr="0001720C" w:rsidRDefault="007F3FF7" w:rsidP="007F3FF7">
      <w:pPr>
        <w:spacing w:after="0" w:line="240" w:lineRule="auto"/>
        <w:jc w:val="both"/>
        <w:rPr>
          <w:rFonts w:ascii="Verdana" w:eastAsia="Arial" w:hAnsi="Verdana" w:cs="Calibri"/>
          <w:sz w:val="20"/>
          <w:szCs w:val="20"/>
          <w:lang w:eastAsia="es-ES"/>
        </w:rPr>
      </w:pPr>
      <w:r w:rsidRPr="0001720C">
        <w:rPr>
          <w:rFonts w:ascii="Verdana" w:eastAsia="Calibri" w:hAnsi="Verdana" w:cs="Calibri"/>
          <w:kern w:val="2"/>
          <w:sz w:val="20"/>
          <w:szCs w:val="20"/>
          <w14:ligatures w14:val="standardContextual"/>
        </w:rPr>
        <w:t>[…]</w:t>
      </w:r>
    </w:p>
    <w:p w14:paraId="347BBEE8" w14:textId="77777777" w:rsidR="007F3FF7" w:rsidRPr="0001720C" w:rsidRDefault="007F3FF7" w:rsidP="007F3FF7">
      <w:pPr>
        <w:snapToGrid w:val="0"/>
        <w:spacing w:after="0" w:line="240" w:lineRule="auto"/>
        <w:jc w:val="both"/>
        <w:rPr>
          <w:rFonts w:ascii="Verdana" w:eastAsia="Aptos" w:hAnsi="Verdana" w:cs="Aptos"/>
          <w:kern w:val="2"/>
          <w:sz w:val="20"/>
          <w:szCs w:val="20"/>
          <w:lang w:val="es-ES_tradnl"/>
          <w14:ligatures w14:val="standardContextual"/>
        </w:rPr>
      </w:pPr>
      <w:r w:rsidRPr="0001720C">
        <w:rPr>
          <w:rFonts w:ascii="Verdana" w:eastAsia="Aptos" w:hAnsi="Verdana" w:cs="Aptos"/>
          <w:kern w:val="2"/>
          <w:sz w:val="20"/>
          <w:szCs w:val="20"/>
          <w:lang w:val="es-ES_tradnl"/>
          <w14:ligatures w14:val="standardContextual"/>
        </w:rPr>
        <w:t xml:space="preserve">De conformidad con lo previsto en el artículo tercero (3) de las Resoluciones No. 539, 540 y 541 del 21 de agosto de 2025, los documentos tipo adoptados son de carácter obligatorio en la actividad contractual de las Entidades Estatales sometidas al Estatuto General de Contratación de la Administración Pública. </w:t>
      </w:r>
    </w:p>
    <w:p w14:paraId="0A57A3D3" w14:textId="77777777" w:rsidR="007F3FF7" w:rsidRPr="0001720C" w:rsidRDefault="007F3FF7" w:rsidP="007F3FF7">
      <w:pPr>
        <w:shd w:val="clear" w:color="auto" w:fill="FFFFFF"/>
        <w:spacing w:after="0" w:line="276" w:lineRule="auto"/>
        <w:contextualSpacing/>
        <w:jc w:val="both"/>
        <w:rPr>
          <w:rFonts w:ascii="Verdana" w:eastAsia="Calibri" w:hAnsi="Verdana" w:cs="Arial"/>
          <w:b/>
          <w:lang w:val="es-MX" w:eastAsia="es-ES_tradnl"/>
        </w:rPr>
      </w:pPr>
    </w:p>
    <w:p w14:paraId="5F348B73" w14:textId="77777777" w:rsidR="007F3FF7" w:rsidRPr="0001720C" w:rsidRDefault="007F3FF7" w:rsidP="007F3FF7">
      <w:pPr>
        <w:spacing w:after="0" w:line="240" w:lineRule="auto"/>
        <w:jc w:val="both"/>
        <w:rPr>
          <w:rFonts w:ascii="Verdana" w:eastAsia="Arial" w:hAnsi="Verdana" w:cs="Calibri"/>
          <w:sz w:val="20"/>
          <w:szCs w:val="20"/>
          <w:lang w:eastAsia="es-ES"/>
        </w:rPr>
      </w:pPr>
    </w:p>
    <w:p w14:paraId="79158A87" w14:textId="77777777" w:rsidR="007F3FF7" w:rsidRDefault="007F3FF7" w:rsidP="0001720C">
      <w:pPr>
        <w:spacing w:after="0" w:line="240" w:lineRule="auto"/>
        <w:jc w:val="both"/>
        <w:rPr>
          <w:rFonts w:ascii="Verdana" w:eastAsia="Verdana" w:hAnsi="Verdana" w:cs="Verdana"/>
        </w:rPr>
      </w:pPr>
    </w:p>
    <w:p w14:paraId="4A31972E" w14:textId="77777777" w:rsidR="00A375F4" w:rsidRDefault="00A375F4" w:rsidP="0001720C">
      <w:pPr>
        <w:spacing w:after="0" w:line="240" w:lineRule="auto"/>
        <w:jc w:val="both"/>
        <w:rPr>
          <w:rFonts w:ascii="Verdana" w:eastAsia="Verdana" w:hAnsi="Verdana" w:cs="Verdana"/>
        </w:rPr>
      </w:pPr>
    </w:p>
    <w:p w14:paraId="63D8BFD1" w14:textId="77777777" w:rsidR="00A375F4" w:rsidRDefault="00A375F4" w:rsidP="0001720C">
      <w:pPr>
        <w:spacing w:after="0" w:line="240" w:lineRule="auto"/>
        <w:jc w:val="both"/>
        <w:rPr>
          <w:rFonts w:ascii="Verdana" w:eastAsia="Verdana" w:hAnsi="Verdana" w:cs="Verdana"/>
        </w:rPr>
      </w:pPr>
    </w:p>
    <w:p w14:paraId="78BF4DB6" w14:textId="77777777" w:rsidR="00A375F4" w:rsidRDefault="00A375F4" w:rsidP="0001720C">
      <w:pPr>
        <w:spacing w:after="0" w:line="240" w:lineRule="auto"/>
        <w:jc w:val="both"/>
        <w:rPr>
          <w:rFonts w:ascii="Verdana" w:eastAsia="Verdana" w:hAnsi="Verdana" w:cs="Verdana"/>
        </w:rPr>
      </w:pPr>
    </w:p>
    <w:p w14:paraId="6D569F20" w14:textId="77777777" w:rsidR="00A375F4" w:rsidRDefault="00A375F4" w:rsidP="0001720C">
      <w:pPr>
        <w:spacing w:after="0" w:line="240" w:lineRule="auto"/>
        <w:jc w:val="both"/>
        <w:rPr>
          <w:rFonts w:ascii="Verdana" w:eastAsia="Verdana" w:hAnsi="Verdana" w:cs="Verdana"/>
        </w:rPr>
      </w:pPr>
    </w:p>
    <w:p w14:paraId="7DCCFF24" w14:textId="77777777" w:rsidR="00A375F4" w:rsidRDefault="00A375F4" w:rsidP="0001720C">
      <w:pPr>
        <w:spacing w:after="0" w:line="240" w:lineRule="auto"/>
        <w:jc w:val="both"/>
        <w:rPr>
          <w:rFonts w:ascii="Verdana" w:eastAsia="Verdana" w:hAnsi="Verdana" w:cs="Verdana"/>
        </w:rPr>
      </w:pPr>
    </w:p>
    <w:p w14:paraId="0BC79ACD" w14:textId="77777777" w:rsidR="00A375F4" w:rsidRDefault="00A375F4" w:rsidP="0001720C">
      <w:pPr>
        <w:spacing w:after="0" w:line="240" w:lineRule="auto"/>
        <w:jc w:val="both"/>
        <w:rPr>
          <w:rFonts w:ascii="Verdana" w:eastAsia="Verdana" w:hAnsi="Verdana" w:cs="Verdana"/>
        </w:rPr>
      </w:pPr>
    </w:p>
    <w:p w14:paraId="6CADB72F" w14:textId="77777777" w:rsidR="00A375F4" w:rsidRDefault="00A375F4" w:rsidP="0001720C">
      <w:pPr>
        <w:spacing w:after="0" w:line="240" w:lineRule="auto"/>
        <w:jc w:val="both"/>
        <w:rPr>
          <w:rFonts w:ascii="Verdana" w:eastAsia="Verdana" w:hAnsi="Verdana" w:cs="Verdana"/>
        </w:rPr>
      </w:pPr>
    </w:p>
    <w:p w14:paraId="0387BCC3" w14:textId="77777777" w:rsidR="00A375F4" w:rsidRDefault="00A375F4" w:rsidP="0001720C">
      <w:pPr>
        <w:spacing w:after="0" w:line="240" w:lineRule="auto"/>
        <w:jc w:val="both"/>
        <w:rPr>
          <w:rFonts w:ascii="Verdana" w:eastAsia="Verdana" w:hAnsi="Verdana" w:cs="Verdana"/>
        </w:rPr>
      </w:pPr>
    </w:p>
    <w:p w14:paraId="6F4A8929" w14:textId="77777777" w:rsidR="00A375F4" w:rsidRDefault="00A375F4" w:rsidP="0001720C">
      <w:pPr>
        <w:spacing w:after="0" w:line="240" w:lineRule="auto"/>
        <w:jc w:val="both"/>
        <w:rPr>
          <w:rFonts w:ascii="Verdana" w:eastAsia="Verdana" w:hAnsi="Verdana" w:cs="Verdana"/>
        </w:rPr>
      </w:pPr>
    </w:p>
    <w:p w14:paraId="6425A12E" w14:textId="77777777" w:rsidR="00A375F4" w:rsidRDefault="00A375F4" w:rsidP="0001720C">
      <w:pPr>
        <w:spacing w:after="0" w:line="240" w:lineRule="auto"/>
        <w:jc w:val="both"/>
        <w:rPr>
          <w:rFonts w:ascii="Verdana" w:eastAsia="Verdana" w:hAnsi="Verdana" w:cs="Verdana"/>
        </w:rPr>
      </w:pPr>
    </w:p>
    <w:p w14:paraId="6B17DD4B" w14:textId="77777777" w:rsidR="00A375F4" w:rsidRDefault="00A375F4" w:rsidP="0001720C">
      <w:pPr>
        <w:spacing w:after="0" w:line="240" w:lineRule="auto"/>
        <w:jc w:val="both"/>
        <w:rPr>
          <w:rFonts w:ascii="Verdana" w:eastAsia="Verdana" w:hAnsi="Verdana" w:cs="Verdana"/>
        </w:rPr>
      </w:pPr>
    </w:p>
    <w:p w14:paraId="208136BD" w14:textId="77777777" w:rsidR="00A375F4" w:rsidRDefault="00A375F4" w:rsidP="0001720C">
      <w:pPr>
        <w:spacing w:after="0" w:line="240" w:lineRule="auto"/>
        <w:jc w:val="both"/>
        <w:rPr>
          <w:rFonts w:ascii="Verdana" w:eastAsia="Verdana" w:hAnsi="Verdana" w:cs="Verdana"/>
        </w:rPr>
      </w:pPr>
    </w:p>
    <w:p w14:paraId="47F19910" w14:textId="77777777" w:rsidR="00A375F4" w:rsidRDefault="00A375F4" w:rsidP="0001720C">
      <w:pPr>
        <w:spacing w:after="0" w:line="240" w:lineRule="auto"/>
        <w:jc w:val="both"/>
        <w:rPr>
          <w:rFonts w:ascii="Verdana" w:eastAsia="Verdana" w:hAnsi="Verdana" w:cs="Verdana"/>
        </w:rPr>
      </w:pPr>
    </w:p>
    <w:p w14:paraId="34B2BC36" w14:textId="77777777" w:rsidR="00A375F4" w:rsidRDefault="00A375F4" w:rsidP="0001720C">
      <w:pPr>
        <w:spacing w:after="0" w:line="240" w:lineRule="auto"/>
        <w:jc w:val="both"/>
        <w:rPr>
          <w:rFonts w:ascii="Verdana" w:eastAsia="Verdana" w:hAnsi="Verdana" w:cs="Verdana"/>
        </w:rPr>
      </w:pPr>
    </w:p>
    <w:p w14:paraId="25F22B11" w14:textId="77777777" w:rsidR="00A375F4" w:rsidRDefault="00A375F4" w:rsidP="0001720C">
      <w:pPr>
        <w:spacing w:after="0" w:line="240" w:lineRule="auto"/>
        <w:jc w:val="both"/>
        <w:rPr>
          <w:rFonts w:ascii="Verdana" w:eastAsia="Verdana" w:hAnsi="Verdana" w:cs="Verdana"/>
        </w:rPr>
      </w:pPr>
    </w:p>
    <w:p w14:paraId="6008BA84" w14:textId="77777777" w:rsidR="00A375F4" w:rsidRDefault="00A375F4" w:rsidP="0001720C">
      <w:pPr>
        <w:spacing w:after="0" w:line="240" w:lineRule="auto"/>
        <w:jc w:val="both"/>
        <w:rPr>
          <w:rFonts w:ascii="Verdana" w:eastAsia="Verdana" w:hAnsi="Verdana" w:cs="Verdana"/>
        </w:rPr>
      </w:pPr>
    </w:p>
    <w:p w14:paraId="6D6DD507" w14:textId="77777777" w:rsidR="00A375F4" w:rsidRDefault="00A375F4" w:rsidP="0001720C">
      <w:pPr>
        <w:spacing w:after="0" w:line="240" w:lineRule="auto"/>
        <w:jc w:val="both"/>
        <w:rPr>
          <w:rFonts w:ascii="Verdana" w:eastAsia="Verdana" w:hAnsi="Verdana" w:cs="Verdana"/>
        </w:rPr>
      </w:pPr>
    </w:p>
    <w:p w14:paraId="6CF71EB1" w14:textId="77777777" w:rsidR="00A375F4" w:rsidRDefault="00A375F4" w:rsidP="0001720C">
      <w:pPr>
        <w:spacing w:after="0" w:line="240" w:lineRule="auto"/>
        <w:jc w:val="both"/>
        <w:rPr>
          <w:rFonts w:ascii="Verdana" w:eastAsia="Verdana" w:hAnsi="Verdana" w:cs="Verdana"/>
        </w:rPr>
      </w:pPr>
    </w:p>
    <w:p w14:paraId="35E015F5" w14:textId="77777777" w:rsidR="00A375F4" w:rsidRDefault="00A375F4" w:rsidP="0001720C">
      <w:pPr>
        <w:spacing w:after="0" w:line="240" w:lineRule="auto"/>
        <w:jc w:val="both"/>
        <w:rPr>
          <w:rFonts w:ascii="Verdana" w:eastAsia="Verdana" w:hAnsi="Verdana" w:cs="Verdana"/>
        </w:rPr>
      </w:pPr>
    </w:p>
    <w:p w14:paraId="3B4E47B0" w14:textId="77777777" w:rsidR="00A375F4" w:rsidRDefault="00A375F4" w:rsidP="0001720C">
      <w:pPr>
        <w:spacing w:after="0" w:line="240" w:lineRule="auto"/>
        <w:jc w:val="both"/>
        <w:rPr>
          <w:rFonts w:ascii="Verdana" w:eastAsia="Verdana" w:hAnsi="Verdana" w:cs="Verdana"/>
        </w:rPr>
      </w:pPr>
    </w:p>
    <w:p w14:paraId="20A9C1FB" w14:textId="77777777" w:rsidR="00A375F4" w:rsidRDefault="00A375F4" w:rsidP="0001720C">
      <w:pPr>
        <w:spacing w:after="0" w:line="240" w:lineRule="auto"/>
        <w:jc w:val="both"/>
        <w:rPr>
          <w:rFonts w:ascii="Verdana" w:eastAsia="Verdana" w:hAnsi="Verdana" w:cs="Verdana"/>
        </w:rPr>
      </w:pPr>
    </w:p>
    <w:p w14:paraId="70400DF4" w14:textId="77777777" w:rsidR="00A375F4" w:rsidRDefault="00A375F4" w:rsidP="0001720C">
      <w:pPr>
        <w:spacing w:after="0" w:line="240" w:lineRule="auto"/>
        <w:jc w:val="both"/>
        <w:rPr>
          <w:rFonts w:ascii="Verdana" w:eastAsia="Verdana" w:hAnsi="Verdana" w:cs="Verdana"/>
        </w:rPr>
      </w:pPr>
    </w:p>
    <w:p w14:paraId="7699F367" w14:textId="77777777" w:rsidR="00A375F4" w:rsidRDefault="00A375F4" w:rsidP="0001720C">
      <w:pPr>
        <w:spacing w:after="0" w:line="240" w:lineRule="auto"/>
        <w:jc w:val="both"/>
        <w:rPr>
          <w:rFonts w:ascii="Verdana" w:eastAsia="Verdana" w:hAnsi="Verdana" w:cs="Verdana"/>
        </w:rPr>
      </w:pPr>
    </w:p>
    <w:p w14:paraId="3F4E398C" w14:textId="77777777" w:rsidR="00A375F4" w:rsidRDefault="00A375F4" w:rsidP="0001720C">
      <w:pPr>
        <w:spacing w:after="0" w:line="240" w:lineRule="auto"/>
        <w:jc w:val="both"/>
        <w:rPr>
          <w:rFonts w:ascii="Verdana" w:eastAsia="Verdana" w:hAnsi="Verdana" w:cs="Verdana"/>
        </w:rPr>
      </w:pPr>
    </w:p>
    <w:p w14:paraId="79777208" w14:textId="77777777" w:rsidR="00A375F4" w:rsidRDefault="00A375F4" w:rsidP="0001720C">
      <w:pPr>
        <w:spacing w:after="0" w:line="240" w:lineRule="auto"/>
        <w:jc w:val="both"/>
        <w:rPr>
          <w:rFonts w:ascii="Verdana" w:eastAsia="Verdana" w:hAnsi="Verdana" w:cs="Verdana"/>
        </w:rPr>
      </w:pPr>
    </w:p>
    <w:p w14:paraId="22E41934" w14:textId="77777777" w:rsidR="00A375F4" w:rsidRDefault="00A375F4" w:rsidP="0001720C">
      <w:pPr>
        <w:spacing w:after="0" w:line="240" w:lineRule="auto"/>
        <w:jc w:val="both"/>
        <w:rPr>
          <w:rFonts w:ascii="Verdana" w:eastAsia="Verdana" w:hAnsi="Verdana" w:cs="Verdana"/>
        </w:rPr>
      </w:pPr>
    </w:p>
    <w:p w14:paraId="739B9777" w14:textId="77777777" w:rsidR="00A375F4" w:rsidRDefault="00A375F4" w:rsidP="0001720C">
      <w:pPr>
        <w:spacing w:after="0" w:line="240" w:lineRule="auto"/>
        <w:jc w:val="both"/>
        <w:rPr>
          <w:rFonts w:ascii="Verdana" w:eastAsia="Verdana" w:hAnsi="Verdana" w:cs="Verdana"/>
        </w:rPr>
      </w:pPr>
    </w:p>
    <w:p w14:paraId="55A4A34B" w14:textId="77777777" w:rsidR="00A375F4" w:rsidRDefault="00A375F4" w:rsidP="0001720C">
      <w:pPr>
        <w:spacing w:after="0" w:line="240" w:lineRule="auto"/>
        <w:jc w:val="both"/>
        <w:rPr>
          <w:rFonts w:ascii="Verdana" w:eastAsia="Verdana" w:hAnsi="Verdana" w:cs="Verdana"/>
        </w:rPr>
      </w:pPr>
    </w:p>
    <w:p w14:paraId="70DAB0DF" w14:textId="77777777" w:rsidR="00A375F4" w:rsidRDefault="00A375F4" w:rsidP="0001720C">
      <w:pPr>
        <w:spacing w:after="0" w:line="240" w:lineRule="auto"/>
        <w:jc w:val="both"/>
        <w:rPr>
          <w:rFonts w:ascii="Verdana" w:eastAsia="Verdana" w:hAnsi="Verdana" w:cs="Verdana"/>
        </w:rPr>
      </w:pPr>
    </w:p>
    <w:p w14:paraId="3EFF38B9" w14:textId="77777777" w:rsidR="00A375F4" w:rsidRDefault="00A375F4" w:rsidP="0001720C">
      <w:pPr>
        <w:spacing w:after="0" w:line="240" w:lineRule="auto"/>
        <w:jc w:val="both"/>
        <w:rPr>
          <w:rFonts w:ascii="Verdana" w:eastAsia="Verdana" w:hAnsi="Verdana" w:cs="Verdana"/>
        </w:rPr>
      </w:pPr>
    </w:p>
    <w:p w14:paraId="2B1688FD" w14:textId="77777777" w:rsidR="00A375F4" w:rsidRDefault="00A375F4" w:rsidP="0001720C">
      <w:pPr>
        <w:spacing w:after="0" w:line="240" w:lineRule="auto"/>
        <w:jc w:val="both"/>
        <w:rPr>
          <w:rFonts w:ascii="Verdana" w:eastAsia="Verdana" w:hAnsi="Verdana" w:cs="Verdana"/>
        </w:rPr>
      </w:pPr>
    </w:p>
    <w:p w14:paraId="5068F1A8" w14:textId="77777777" w:rsidR="007F3FF7" w:rsidRDefault="007F3FF7" w:rsidP="0001720C">
      <w:pPr>
        <w:spacing w:after="0" w:line="240" w:lineRule="auto"/>
        <w:jc w:val="both"/>
        <w:rPr>
          <w:rFonts w:ascii="Verdana" w:eastAsia="Verdana" w:hAnsi="Verdana" w:cs="Verdana"/>
        </w:rPr>
      </w:pPr>
    </w:p>
    <w:p w14:paraId="53B9F506" w14:textId="1B9B99D9" w:rsidR="0001720C" w:rsidRPr="0001720C" w:rsidRDefault="0001720C" w:rsidP="0001720C">
      <w:pPr>
        <w:spacing w:after="0" w:line="240" w:lineRule="auto"/>
        <w:jc w:val="both"/>
        <w:rPr>
          <w:rFonts w:ascii="Calibri" w:eastAsia="Calibri" w:hAnsi="Calibri" w:cs="Times New Roman"/>
        </w:rPr>
      </w:pPr>
      <w:r w:rsidRPr="30821638">
        <w:rPr>
          <w:rFonts w:ascii="Verdana" w:eastAsia="Verdana" w:hAnsi="Verdana" w:cs="Verdana"/>
        </w:rPr>
        <w:lastRenderedPageBreak/>
        <w:t>Bogotá D.</w:t>
      </w:r>
      <w:r w:rsidRPr="00B26307">
        <w:rPr>
          <w:rFonts w:ascii="Verdana" w:eastAsia="Verdana" w:hAnsi="Verdana" w:cs="Verdana"/>
        </w:rPr>
        <w:t>C.,</w:t>
      </w:r>
      <w:r w:rsidRPr="00B26307">
        <w:rPr>
          <w:rFonts w:ascii="Verdana" w:eastAsia="Calibri" w:hAnsi="Verdana" w:cs="Times New Roman"/>
        </w:rPr>
        <w:tab/>
      </w:r>
      <w:r w:rsidR="00B26307" w:rsidRPr="00B26307">
        <w:rPr>
          <w:rFonts w:ascii="Verdana" w:eastAsia="Calibri" w:hAnsi="Verdana" w:cs="Times New Roman"/>
        </w:rPr>
        <w:t xml:space="preserve"> 25 </w:t>
      </w:r>
      <w:proofErr w:type="gramStart"/>
      <w:r w:rsidR="00B26307" w:rsidRPr="00B26307">
        <w:rPr>
          <w:rFonts w:ascii="Verdana" w:eastAsia="Calibri" w:hAnsi="Verdana" w:cs="Times New Roman"/>
        </w:rPr>
        <w:t>Septiembre</w:t>
      </w:r>
      <w:proofErr w:type="gramEnd"/>
      <w:r w:rsidR="00B26307" w:rsidRPr="00B26307">
        <w:rPr>
          <w:rFonts w:ascii="Verdana" w:eastAsia="Calibri" w:hAnsi="Verdana" w:cs="Times New Roman"/>
        </w:rPr>
        <w:t xml:space="preserve"> 2026</w:t>
      </w:r>
    </w:p>
    <w:p w14:paraId="468D3E9F" w14:textId="1A9FE70C" w:rsidR="00751E2A" w:rsidRPr="0001720C" w:rsidRDefault="00B26307" w:rsidP="00B26307">
      <w:pPr>
        <w:spacing w:after="0" w:line="240" w:lineRule="auto"/>
        <w:jc w:val="right"/>
        <w:rPr>
          <w:rFonts w:ascii="Verdana" w:eastAsia="Calibri" w:hAnsi="Verdana" w:cs="Arial"/>
          <w:lang w:val="es-ES" w:eastAsia="es-ES"/>
        </w:rPr>
      </w:pPr>
      <w:r w:rsidRPr="00B26307">
        <w:rPr>
          <w:rFonts w:ascii="Verdana" w:eastAsia="Calibri" w:hAnsi="Verdana" w:cs="Arial"/>
          <w:lang w:val="es-ES" w:eastAsia="es-ES"/>
        </w:rPr>
        <w:drawing>
          <wp:inline distT="0" distB="0" distL="0" distR="0" wp14:anchorId="036F65F8" wp14:editId="434DA5E5">
            <wp:extent cx="2200275" cy="599297"/>
            <wp:effectExtent l="0" t="0" r="0" b="0"/>
            <wp:docPr id="3832143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214313" name=""/>
                    <pic:cNvPicPr/>
                  </pic:nvPicPr>
                  <pic:blipFill>
                    <a:blip r:embed="rId10"/>
                    <a:stretch>
                      <a:fillRect/>
                    </a:stretch>
                  </pic:blipFill>
                  <pic:spPr>
                    <a:xfrm>
                      <a:off x="0" y="0"/>
                      <a:ext cx="2207003" cy="601130"/>
                    </a:xfrm>
                    <a:prstGeom prst="rect">
                      <a:avLst/>
                    </a:prstGeom>
                  </pic:spPr>
                </pic:pic>
              </a:graphicData>
            </a:graphic>
          </wp:inline>
        </w:drawing>
      </w:r>
    </w:p>
    <w:p w14:paraId="05910BEF" w14:textId="77777777" w:rsidR="0001720C" w:rsidRPr="0001720C" w:rsidRDefault="0001720C" w:rsidP="0001720C">
      <w:pPr>
        <w:spacing w:after="0" w:line="240" w:lineRule="auto"/>
        <w:jc w:val="both"/>
        <w:rPr>
          <w:rFonts w:ascii="Verdana" w:eastAsia="Calibri" w:hAnsi="Verdana" w:cs="Arial"/>
          <w:lang w:val="es-ES" w:eastAsia="es-ES"/>
        </w:rPr>
      </w:pPr>
      <w:r w:rsidRPr="0001720C">
        <w:rPr>
          <w:rFonts w:ascii="Verdana" w:eastAsia="Calibri" w:hAnsi="Verdana" w:cs="Arial"/>
          <w:lang w:val="es-ES" w:eastAsia="es-ES"/>
        </w:rPr>
        <w:t>Señora</w:t>
      </w:r>
    </w:p>
    <w:p w14:paraId="28838447" w14:textId="77777777" w:rsidR="0001720C" w:rsidRPr="0001720C" w:rsidRDefault="0001720C" w:rsidP="0001720C">
      <w:pPr>
        <w:spacing w:after="0" w:line="240" w:lineRule="auto"/>
        <w:rPr>
          <w:rFonts w:ascii="Verdana" w:eastAsia="Calibri" w:hAnsi="Verdana" w:cs="Arial"/>
          <w:b/>
          <w:lang w:eastAsia="es-ES_tradnl"/>
        </w:rPr>
      </w:pPr>
      <w:r w:rsidRPr="0001720C">
        <w:rPr>
          <w:rFonts w:ascii="Verdana" w:eastAsia="Calibri" w:hAnsi="Verdana" w:cs="Arial"/>
          <w:b/>
          <w:lang w:eastAsia="es-ES_tradnl"/>
        </w:rPr>
        <w:t>Luz Amanda Durán Espitia</w:t>
      </w:r>
    </w:p>
    <w:p w14:paraId="587650F6" w14:textId="77777777" w:rsidR="0001720C" w:rsidRPr="0001720C" w:rsidRDefault="0001720C" w:rsidP="0001720C">
      <w:pPr>
        <w:spacing w:after="0" w:line="240" w:lineRule="auto"/>
        <w:rPr>
          <w:rFonts w:ascii="Verdana" w:eastAsia="Calibri" w:hAnsi="Verdana" w:cs="Arial"/>
          <w:b/>
          <w:bCs/>
          <w:lang w:val="es-ES" w:eastAsia="es-ES"/>
        </w:rPr>
      </w:pPr>
      <w:r w:rsidRPr="0001720C">
        <w:rPr>
          <w:rFonts w:ascii="Verdana" w:eastAsia="Calibri" w:hAnsi="Verdana" w:cs="Arial"/>
          <w:lang w:val="es-ES" w:eastAsia="es-ES"/>
        </w:rPr>
        <w:t>Bogotá, D.C.</w:t>
      </w:r>
    </w:p>
    <w:p w14:paraId="4E0CDDE9" w14:textId="77777777" w:rsidR="0001720C" w:rsidRPr="0001720C" w:rsidRDefault="0001720C" w:rsidP="0001720C">
      <w:pPr>
        <w:spacing w:after="0" w:line="240" w:lineRule="auto"/>
        <w:rPr>
          <w:rFonts w:ascii="Verdana" w:eastAsia="Calibri" w:hAnsi="Verdana" w:cs="Arial"/>
          <w:b/>
          <w:bCs/>
          <w:lang w:eastAsia="es-ES_tradnl"/>
        </w:rPr>
      </w:pPr>
    </w:p>
    <w:p w14:paraId="5EAA06BD" w14:textId="77777777" w:rsidR="0001720C" w:rsidRPr="0001720C" w:rsidRDefault="0001720C" w:rsidP="0001720C">
      <w:pPr>
        <w:spacing w:after="0" w:line="240" w:lineRule="auto"/>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1720C" w:rsidRPr="0001720C" w14:paraId="4E682CC6" w14:textId="77777777" w:rsidTr="002175C9">
        <w:trPr>
          <w:trHeight w:val="884"/>
        </w:trPr>
        <w:tc>
          <w:tcPr>
            <w:tcW w:w="2689" w:type="dxa"/>
          </w:tcPr>
          <w:p w14:paraId="3BD16B5C" w14:textId="77777777" w:rsidR="0001720C" w:rsidRPr="0001720C" w:rsidRDefault="0001720C" w:rsidP="0001720C">
            <w:pPr>
              <w:jc w:val="both"/>
              <w:rPr>
                <w:rFonts w:ascii="Verdana" w:eastAsia="Calibri" w:hAnsi="Verdana" w:cs="Arial"/>
                <w:b/>
                <w:bCs/>
                <w:lang w:eastAsia="es-ES_tradnl"/>
              </w:rPr>
            </w:pPr>
          </w:p>
        </w:tc>
        <w:tc>
          <w:tcPr>
            <w:tcW w:w="6100" w:type="dxa"/>
          </w:tcPr>
          <w:p w14:paraId="6C107512" w14:textId="77777777" w:rsidR="0001720C" w:rsidRPr="0001720C" w:rsidRDefault="0001720C" w:rsidP="0001720C">
            <w:pPr>
              <w:jc w:val="both"/>
              <w:rPr>
                <w:rFonts w:ascii="Verdana" w:eastAsia="Calibri" w:hAnsi="Verdana" w:cs="Arial"/>
                <w:b/>
                <w:bCs/>
                <w:lang w:val="es-ES" w:eastAsia="es-ES"/>
              </w:rPr>
            </w:pPr>
            <w:r w:rsidRPr="0001720C">
              <w:rPr>
                <w:rFonts w:ascii="Verdana" w:eastAsia="Calibri" w:hAnsi="Verdana" w:cs="Arial"/>
                <w:b/>
                <w:bCs/>
                <w:lang w:val="es-ES" w:eastAsia="es-ES"/>
              </w:rPr>
              <w:t>Concepto C – 1328 de 2026</w:t>
            </w:r>
          </w:p>
        </w:tc>
      </w:tr>
      <w:tr w:rsidR="0001720C" w:rsidRPr="0001720C" w14:paraId="552261E7" w14:textId="77777777" w:rsidTr="002175C9">
        <w:trPr>
          <w:trHeight w:val="884"/>
        </w:trPr>
        <w:tc>
          <w:tcPr>
            <w:tcW w:w="2689" w:type="dxa"/>
          </w:tcPr>
          <w:p w14:paraId="0D8A7DE0" w14:textId="77777777" w:rsidR="0001720C" w:rsidRPr="0001720C" w:rsidRDefault="0001720C" w:rsidP="0001720C">
            <w:pPr>
              <w:jc w:val="both"/>
              <w:rPr>
                <w:rFonts w:ascii="Verdana" w:eastAsia="Calibri" w:hAnsi="Verdana" w:cs="Arial"/>
                <w:lang w:eastAsia="es-ES_tradnl"/>
              </w:rPr>
            </w:pPr>
            <w:r w:rsidRPr="0001720C">
              <w:rPr>
                <w:rFonts w:ascii="Verdana" w:eastAsia="Calibri" w:hAnsi="Verdana" w:cs="Arial"/>
                <w:b/>
                <w:lang w:eastAsia="es-ES_tradnl"/>
              </w:rPr>
              <w:t>Temas:</w:t>
            </w:r>
            <w:r w:rsidRPr="0001720C">
              <w:rPr>
                <w:rFonts w:ascii="Verdana" w:eastAsia="Calibri" w:hAnsi="Verdana" w:cs="Arial"/>
                <w:lang w:eastAsia="es-ES_tradnl"/>
              </w:rPr>
              <w:t xml:space="preserve">                   </w:t>
            </w:r>
          </w:p>
        </w:tc>
        <w:tc>
          <w:tcPr>
            <w:tcW w:w="6100" w:type="dxa"/>
          </w:tcPr>
          <w:p w14:paraId="150BBAF7" w14:textId="77777777" w:rsidR="0001720C" w:rsidRPr="0001720C" w:rsidRDefault="0001720C" w:rsidP="0001720C">
            <w:pPr>
              <w:shd w:val="clear" w:color="auto" w:fill="FFFFFF"/>
              <w:spacing w:line="276" w:lineRule="auto"/>
              <w:contextualSpacing/>
              <w:jc w:val="both"/>
              <w:rPr>
                <w:rFonts w:ascii="Verdana" w:eastAsia="Calibri" w:hAnsi="Verdana" w:cs="Arial"/>
                <w:lang w:val="es-ES" w:eastAsia="es-ES"/>
              </w:rPr>
            </w:pPr>
            <w:r w:rsidRPr="0001720C">
              <w:rPr>
                <w:rFonts w:ascii="Verdana" w:eastAsia="Calibri" w:hAnsi="Verdana" w:cs="Arial"/>
                <w:lang w:val="es-ES" w:eastAsia="es-ES"/>
              </w:rPr>
              <w:t>DOCUMENTOS TIPO DE INFRAESTRUCTURA SOCIAL – Generalidades – Versión 2 / DOCUMENTOS TIPO DE INFRAESTRUCTURA SOCIAL – Ámbito de aplicación – Obligatoriedad – Actividades definidas en las Matrices de Experiencia</w:t>
            </w:r>
          </w:p>
          <w:p w14:paraId="7E105F3B" w14:textId="77777777" w:rsidR="0001720C" w:rsidRPr="0001720C" w:rsidRDefault="0001720C" w:rsidP="0001720C">
            <w:pPr>
              <w:shd w:val="clear" w:color="auto" w:fill="FFFFFF"/>
              <w:spacing w:line="276" w:lineRule="auto"/>
              <w:contextualSpacing/>
              <w:jc w:val="both"/>
              <w:rPr>
                <w:rFonts w:ascii="Verdana" w:eastAsia="Calibri" w:hAnsi="Verdana" w:cs="Arial"/>
                <w:highlight w:val="yellow"/>
                <w:lang w:val="es-ES" w:eastAsia="es-ES"/>
              </w:rPr>
            </w:pPr>
          </w:p>
        </w:tc>
      </w:tr>
      <w:tr w:rsidR="0001720C" w:rsidRPr="0001720C" w14:paraId="6EEBBC73" w14:textId="77777777" w:rsidTr="002175C9">
        <w:tc>
          <w:tcPr>
            <w:tcW w:w="2689" w:type="dxa"/>
          </w:tcPr>
          <w:p w14:paraId="2312C458" w14:textId="77777777" w:rsidR="0001720C" w:rsidRPr="0001720C" w:rsidRDefault="0001720C" w:rsidP="0001720C">
            <w:pPr>
              <w:jc w:val="both"/>
              <w:rPr>
                <w:rFonts w:ascii="Verdana" w:eastAsia="Calibri" w:hAnsi="Verdana" w:cs="Arial"/>
                <w:b/>
                <w:lang w:eastAsia="es-ES_tradnl"/>
              </w:rPr>
            </w:pPr>
            <w:r w:rsidRPr="0001720C">
              <w:rPr>
                <w:rFonts w:ascii="Verdana" w:eastAsia="Calibri" w:hAnsi="Verdana" w:cs="Arial"/>
                <w:b/>
                <w:lang w:eastAsia="es-ES_tradnl"/>
              </w:rPr>
              <w:t>Radicación:</w:t>
            </w:r>
            <w:r w:rsidRPr="0001720C">
              <w:rPr>
                <w:rFonts w:ascii="Verdana" w:eastAsia="Calibri" w:hAnsi="Verdana" w:cs="Arial"/>
                <w:lang w:eastAsia="es-ES_tradnl"/>
              </w:rPr>
              <w:t xml:space="preserve">               </w:t>
            </w:r>
          </w:p>
        </w:tc>
        <w:tc>
          <w:tcPr>
            <w:tcW w:w="6100" w:type="dxa"/>
          </w:tcPr>
          <w:p w14:paraId="22032D40" w14:textId="77777777" w:rsidR="0001720C" w:rsidRPr="0001720C" w:rsidRDefault="0001720C" w:rsidP="0001720C">
            <w:pPr>
              <w:jc w:val="both"/>
              <w:rPr>
                <w:rFonts w:ascii="Verdana" w:eastAsia="Calibri" w:hAnsi="Verdana" w:cs="Arial"/>
                <w:lang w:eastAsia="es-ES_tradnl"/>
              </w:rPr>
            </w:pPr>
            <w:r w:rsidRPr="0001720C">
              <w:rPr>
                <w:rFonts w:ascii="Verdana" w:eastAsia="Calibri" w:hAnsi="Verdana" w:cs="Arial"/>
                <w:lang w:eastAsia="es-ES_tradnl"/>
              </w:rPr>
              <w:t>Respuesta a consulta con radicado No. 1_2026_08_21_011090</w:t>
            </w:r>
          </w:p>
        </w:tc>
      </w:tr>
    </w:tbl>
    <w:p w14:paraId="64A97D90" w14:textId="77777777" w:rsidR="0001720C" w:rsidRPr="0001720C" w:rsidRDefault="0001720C" w:rsidP="0001720C">
      <w:pPr>
        <w:spacing w:after="0" w:line="240" w:lineRule="auto"/>
        <w:jc w:val="both"/>
        <w:rPr>
          <w:rFonts w:ascii="Verdana" w:eastAsia="Calibri" w:hAnsi="Verdana" w:cs="Arial"/>
          <w:lang w:eastAsia="es-ES_tradnl"/>
        </w:rPr>
      </w:pPr>
    </w:p>
    <w:p w14:paraId="5542EBD5" w14:textId="77777777" w:rsidR="0001720C" w:rsidRPr="0001720C" w:rsidRDefault="0001720C" w:rsidP="0001720C">
      <w:pPr>
        <w:spacing w:after="0" w:line="240" w:lineRule="auto"/>
        <w:jc w:val="both"/>
        <w:rPr>
          <w:rFonts w:ascii="Verdana" w:eastAsia="Calibri" w:hAnsi="Verdana" w:cs="Arial"/>
          <w:lang w:eastAsia="es-ES_tradnl"/>
        </w:rPr>
      </w:pPr>
    </w:p>
    <w:p w14:paraId="035E2126" w14:textId="77777777" w:rsidR="0001720C" w:rsidRPr="0001720C" w:rsidRDefault="0001720C" w:rsidP="0001720C">
      <w:pPr>
        <w:spacing w:after="0" w:line="276" w:lineRule="auto"/>
        <w:jc w:val="both"/>
        <w:rPr>
          <w:rFonts w:ascii="Verdana" w:eastAsia="Calibri" w:hAnsi="Verdana" w:cs="Arial"/>
          <w:lang w:val="es-ES" w:eastAsia="es-ES"/>
        </w:rPr>
      </w:pPr>
      <w:r w:rsidRPr="0001720C">
        <w:rPr>
          <w:rFonts w:ascii="Verdana" w:eastAsia="Calibri" w:hAnsi="Verdana" w:cs="Arial"/>
          <w:lang w:val="es-ES" w:eastAsia="es-ES"/>
        </w:rPr>
        <w:t xml:space="preserve">Estimada señora Durán Espitia: </w:t>
      </w:r>
    </w:p>
    <w:p w14:paraId="4D2A6F51" w14:textId="77777777" w:rsidR="0001720C" w:rsidRPr="0001720C" w:rsidRDefault="0001720C" w:rsidP="0001720C">
      <w:pPr>
        <w:tabs>
          <w:tab w:val="left" w:pos="3768"/>
        </w:tabs>
        <w:spacing w:after="0" w:line="276" w:lineRule="auto"/>
        <w:jc w:val="both"/>
        <w:rPr>
          <w:rFonts w:ascii="Verdana" w:eastAsia="Calibri" w:hAnsi="Verdana" w:cs="Arial"/>
          <w:lang w:val="es-ES" w:eastAsia="es-ES"/>
        </w:rPr>
      </w:pPr>
      <w:r w:rsidRPr="0001720C">
        <w:rPr>
          <w:rFonts w:ascii="Verdana" w:eastAsia="Calibri" w:hAnsi="Verdana" w:cs="Arial"/>
          <w:lang w:val="es-ES" w:eastAsia="es-ES"/>
        </w:rPr>
        <w:tab/>
      </w:r>
    </w:p>
    <w:p w14:paraId="6FFD5F53" w14:textId="77777777" w:rsidR="0001720C" w:rsidRPr="0001720C" w:rsidRDefault="0001720C" w:rsidP="0001720C">
      <w:pPr>
        <w:spacing w:after="0" w:line="276" w:lineRule="auto"/>
        <w:jc w:val="both"/>
        <w:rPr>
          <w:rFonts w:ascii="Verdana" w:eastAsia="Calibri" w:hAnsi="Verdana" w:cs="Arial"/>
          <w:lang w:val="es-ES" w:eastAsia="es-ES"/>
        </w:rPr>
      </w:pPr>
      <w:r w:rsidRPr="0001720C">
        <w:rPr>
          <w:rFonts w:ascii="Verdana" w:eastAsia="Calibri" w:hAnsi="Verdana" w:cs="Arial"/>
          <w:lang w:val="es-ES" w:eastAsia="es-ES"/>
        </w:rPr>
        <w:t>En ejercicio de la competencia otorgada por los artículos 3, numeral 5º, y 11, numeral 8º, del Decreto Ley 4170 de 2011,</w:t>
      </w:r>
      <w:r w:rsidRPr="0001720C">
        <w:rPr>
          <w:rFonts w:ascii="Verdana" w:eastAsia="Arial MT" w:hAnsi="Verdana" w:cs="Arial MT"/>
          <w:lang w:val="es-ES" w:eastAsia="es-ES"/>
        </w:rPr>
        <w:t xml:space="preserve"> </w:t>
      </w:r>
      <w:r w:rsidRPr="0001720C">
        <w:rPr>
          <w:rFonts w:ascii="Verdana" w:eastAsia="Calibri" w:hAnsi="Verdana" w:cs="Arial"/>
          <w:lang w:eastAsia="es-MX"/>
        </w:rPr>
        <w:t xml:space="preserve">así como lo establecido en la </w:t>
      </w:r>
      <w:r w:rsidRPr="0001720C">
        <w:rPr>
          <w:rFonts w:ascii="Verdana" w:eastAsia="Calibri" w:hAnsi="Verdana" w:cs="Arial"/>
          <w:kern w:val="2"/>
          <w:lang w:val="es-ES_tradnl" w:eastAsia="es-MX"/>
          <w14:ligatures w14:val="standardContextual"/>
        </w:rPr>
        <w:t xml:space="preserve">Resolución 469 de 2025 </w:t>
      </w:r>
      <w:r w:rsidRPr="0001720C">
        <w:rPr>
          <w:rFonts w:ascii="Verdana" w:eastAsia="Calibri" w:hAnsi="Verdana" w:cs="Arial"/>
          <w:kern w:val="2"/>
          <w:lang w:val="es-ES"/>
          <w14:ligatures w14:val="standardContextual"/>
        </w:rPr>
        <w:t xml:space="preserve">expedida </w:t>
      </w:r>
      <w:r w:rsidRPr="0001720C">
        <w:rPr>
          <w:rFonts w:ascii="Verdana" w:eastAsia="Calibri" w:hAnsi="Verdana" w:cs="Arial"/>
          <w:lang w:eastAsia="es-MX"/>
        </w:rPr>
        <w:t xml:space="preserve">por esta Entidad, </w:t>
      </w:r>
      <w:r w:rsidRPr="0001720C">
        <w:rPr>
          <w:rFonts w:ascii="Verdana" w:eastAsia="Calibri" w:hAnsi="Verdana" w:cs="Arial"/>
          <w:lang w:val="es-ES" w:eastAsia="es-ES"/>
        </w:rPr>
        <w:t>la Agencia Nacional de Contratación Pública – Colombia Compra Eficiente responde su solicitud de consulta de fecha 21 de agosto de 2026, en la que manifiesta lo siguiente:</w:t>
      </w:r>
    </w:p>
    <w:p w14:paraId="663ED861" w14:textId="77777777" w:rsidR="0001720C" w:rsidRPr="0001720C" w:rsidRDefault="0001720C" w:rsidP="0001720C">
      <w:pPr>
        <w:spacing w:after="0" w:line="276" w:lineRule="auto"/>
        <w:jc w:val="both"/>
        <w:rPr>
          <w:rFonts w:ascii="Verdana" w:eastAsia="Calibri" w:hAnsi="Verdana" w:cs="Arial"/>
          <w:lang w:val="es-ES" w:eastAsia="es-ES"/>
        </w:rPr>
      </w:pPr>
    </w:p>
    <w:p w14:paraId="13FFEA5E" w14:textId="77777777" w:rsidR="0001720C" w:rsidRPr="0001720C" w:rsidRDefault="0001720C" w:rsidP="0001720C">
      <w:pPr>
        <w:spacing w:after="0" w:line="240" w:lineRule="auto"/>
        <w:ind w:left="709" w:right="709"/>
        <w:jc w:val="both"/>
        <w:rPr>
          <w:rFonts w:ascii="Verdana" w:eastAsia="Calibri" w:hAnsi="Verdana" w:cs="Arial"/>
          <w:sz w:val="21"/>
          <w:szCs w:val="21"/>
          <w:lang w:val="es-ES" w:eastAsia="es-ES"/>
        </w:rPr>
      </w:pPr>
      <w:proofErr w:type="gramStart"/>
      <w:r w:rsidRPr="0001720C">
        <w:rPr>
          <w:rFonts w:ascii="Verdana" w:eastAsia="Calibri" w:hAnsi="Verdana" w:cs="Arial"/>
          <w:sz w:val="21"/>
          <w:szCs w:val="21"/>
          <w:lang w:val="es-ES" w:eastAsia="es-ES"/>
        </w:rPr>
        <w:t>”Buenos</w:t>
      </w:r>
      <w:proofErr w:type="gramEnd"/>
      <w:r w:rsidRPr="0001720C">
        <w:rPr>
          <w:rFonts w:ascii="Verdana" w:eastAsia="Calibri" w:hAnsi="Verdana" w:cs="Arial"/>
          <w:sz w:val="21"/>
          <w:szCs w:val="21"/>
          <w:lang w:val="es-ES" w:eastAsia="es-ES"/>
        </w:rPr>
        <w:t xml:space="preserve"> días, teniendo en cuenta la aplicación de documentos tipo de infraestructura social vigentes a partir de febrero de este año y siendo que la Agencia Logística de las Fuerzas Militares maneja procesos de mantenimiento de obra con presupuesto pequeño, quisiéramos saber en qué casos no se usan estos documentos tipo, gracias”.</w:t>
      </w:r>
    </w:p>
    <w:p w14:paraId="5BCEC58E" w14:textId="77777777" w:rsidR="0001720C" w:rsidRPr="0001720C" w:rsidRDefault="0001720C" w:rsidP="0001720C">
      <w:pPr>
        <w:spacing w:after="0" w:line="240" w:lineRule="auto"/>
        <w:ind w:left="709" w:right="709"/>
        <w:jc w:val="both"/>
        <w:rPr>
          <w:rFonts w:ascii="Verdana" w:eastAsia="Calibri" w:hAnsi="Verdana" w:cs="Arial"/>
          <w:sz w:val="21"/>
          <w:szCs w:val="21"/>
          <w:lang w:val="es-ES" w:eastAsia="es-ES"/>
        </w:rPr>
      </w:pPr>
    </w:p>
    <w:p w14:paraId="267DB546" w14:textId="77777777" w:rsidR="0001720C" w:rsidRPr="0001720C" w:rsidRDefault="0001720C" w:rsidP="0001720C">
      <w:pPr>
        <w:spacing w:after="120" w:line="276" w:lineRule="auto"/>
        <w:ind w:firstLine="709"/>
        <w:jc w:val="both"/>
        <w:rPr>
          <w:rFonts w:ascii="Verdana" w:eastAsia="Calibri" w:hAnsi="Verdana" w:cs="Arial"/>
          <w:szCs w:val="24"/>
          <w:lang w:eastAsia="es-ES_tradnl"/>
        </w:rPr>
      </w:pPr>
      <w:r w:rsidRPr="0001720C">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01720C">
        <w:rPr>
          <w:rFonts w:ascii="Verdana" w:eastAsia="Calibri" w:hAnsi="Verdana" w:cs="Arial"/>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1720C">
        <w:rPr>
          <w:rFonts w:ascii="Verdana" w:eastAsia="Calibri" w:hAnsi="Verdana" w:cs="Arial"/>
          <w:szCs w:val="24"/>
          <w:lang w:eastAsia="es-ES_tradnl"/>
        </w:rPr>
        <w:tab/>
      </w:r>
    </w:p>
    <w:p w14:paraId="3FA00C5B" w14:textId="77777777" w:rsidR="0001720C" w:rsidRPr="0001720C" w:rsidRDefault="0001720C" w:rsidP="0001720C">
      <w:pPr>
        <w:spacing w:after="0" w:line="276" w:lineRule="auto"/>
        <w:ind w:firstLine="709"/>
        <w:jc w:val="both"/>
        <w:rPr>
          <w:rFonts w:ascii="Verdana" w:eastAsia="Calibri" w:hAnsi="Verdana" w:cs="Arial"/>
          <w:lang w:val="es-ES" w:eastAsia="es-ES"/>
        </w:rPr>
      </w:pPr>
      <w:r w:rsidRPr="0001720C">
        <w:rPr>
          <w:rFonts w:ascii="Verdana" w:eastAsia="Calibri" w:hAnsi="Verdana" w:cs="Arial"/>
          <w:lang w:val="es-ES"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01720C">
        <w:rPr>
          <w:rFonts w:ascii="Verdana" w:eastAsia="Calibri" w:hAnsi="Verdana" w:cs="Arial"/>
          <w:lang w:val="es-ES" w:eastAsia="es-ES"/>
        </w:rPr>
        <w:tab/>
      </w:r>
    </w:p>
    <w:p w14:paraId="7A06D54C" w14:textId="77777777" w:rsidR="0001720C" w:rsidRPr="0001720C" w:rsidRDefault="0001720C" w:rsidP="0001720C">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eastAsia="es-MX"/>
        </w:rPr>
      </w:pPr>
      <w:r w:rsidRPr="0001720C">
        <w:rPr>
          <w:rFonts w:ascii="Verdana" w:eastAsia="Century Gothic" w:hAnsi="Verdana" w:cs="Century Gothic"/>
          <w:b/>
          <w:bCs/>
          <w:lang w:val="es-ES" w:eastAsia="es-MX"/>
        </w:rPr>
        <w:t>Problema planteado:</w:t>
      </w:r>
    </w:p>
    <w:p w14:paraId="7331C76E" w14:textId="77777777" w:rsidR="0001720C" w:rsidRPr="0001720C" w:rsidRDefault="0001720C" w:rsidP="0001720C">
      <w:pPr>
        <w:tabs>
          <w:tab w:val="left" w:pos="426"/>
        </w:tabs>
        <w:spacing w:after="0" w:line="276" w:lineRule="auto"/>
        <w:jc w:val="both"/>
        <w:rPr>
          <w:rFonts w:ascii="Verdana" w:eastAsia="Century Gothic" w:hAnsi="Verdana" w:cs="Century Gothic"/>
          <w:lang w:val="es-ES" w:eastAsia="es-MX"/>
        </w:rPr>
      </w:pPr>
    </w:p>
    <w:p w14:paraId="57BCCCDB" w14:textId="77777777" w:rsidR="0001720C" w:rsidRPr="0001720C" w:rsidRDefault="0001720C" w:rsidP="0001720C">
      <w:pPr>
        <w:snapToGrid w:val="0"/>
        <w:spacing w:after="0" w:line="276" w:lineRule="auto"/>
        <w:jc w:val="both"/>
        <w:rPr>
          <w:rFonts w:ascii="Verdana" w:eastAsia="Century Gothic" w:hAnsi="Verdana" w:cs="Century Gothic"/>
          <w:lang w:eastAsia="es-MX"/>
        </w:rPr>
      </w:pPr>
      <w:r w:rsidRPr="0001720C">
        <w:rPr>
          <w:rFonts w:ascii="Verdana" w:eastAsia="Century Gothic" w:hAnsi="Verdana" w:cs="Century Gothic"/>
          <w:lang w:eastAsia="es-MX"/>
        </w:rPr>
        <w:t>De acuerdo con el contenido de su solicitud, esta Agencia resolverá el siguiente problema jurídico: ¿en qué casos no deben ser utilizados los documentos tipo de infraestructura social?</w:t>
      </w:r>
    </w:p>
    <w:p w14:paraId="010BDE2E" w14:textId="77777777" w:rsidR="0001720C" w:rsidRPr="0001720C" w:rsidRDefault="0001720C" w:rsidP="0001720C">
      <w:pPr>
        <w:snapToGrid w:val="0"/>
        <w:spacing w:after="0" w:line="276" w:lineRule="auto"/>
        <w:jc w:val="both"/>
        <w:rPr>
          <w:rFonts w:ascii="Verdana" w:eastAsia="Calibri" w:hAnsi="Verdana" w:cs="Arial"/>
          <w:lang w:val="es-ES" w:eastAsia="es-MX"/>
        </w:rPr>
      </w:pPr>
    </w:p>
    <w:p w14:paraId="3F573E69" w14:textId="77777777" w:rsidR="0001720C" w:rsidRPr="0001720C" w:rsidRDefault="0001720C" w:rsidP="0001720C">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01720C">
        <w:rPr>
          <w:rFonts w:ascii="Verdana" w:eastAsia="Century Gothic" w:hAnsi="Verdana" w:cs="Century Gothic"/>
          <w:b/>
          <w:bCs/>
          <w:lang w:val="es-ES" w:eastAsia="es-MX"/>
        </w:rPr>
        <w:t>Respuesta:</w:t>
      </w:r>
    </w:p>
    <w:p w14:paraId="110228BA" w14:textId="77777777" w:rsidR="0001720C" w:rsidRPr="0001720C" w:rsidRDefault="0001720C" w:rsidP="0001720C">
      <w:pPr>
        <w:tabs>
          <w:tab w:val="left" w:pos="142"/>
          <w:tab w:val="left" w:pos="284"/>
        </w:tabs>
        <w:snapToGrid w:val="0"/>
        <w:spacing w:after="0" w:line="276" w:lineRule="auto"/>
        <w:jc w:val="both"/>
        <w:rPr>
          <w:rFonts w:ascii="Verdana" w:eastAsia="Century Gothic" w:hAnsi="Verdana" w:cs="Century Gothic"/>
          <w:b/>
          <w:bCs/>
          <w:lang w:val="es-ES" w:eastAsia="es-MX"/>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1720C" w:rsidRPr="0001720C" w14:paraId="11003D39" w14:textId="77777777" w:rsidTr="002175C9">
        <w:tc>
          <w:tcPr>
            <w:tcW w:w="8828" w:type="dxa"/>
          </w:tcPr>
          <w:p w14:paraId="1AE119B3" w14:textId="77777777" w:rsidR="0001720C" w:rsidRPr="0001720C" w:rsidRDefault="0001720C" w:rsidP="0001720C">
            <w:pPr>
              <w:snapToGrid w:val="0"/>
              <w:spacing w:line="276" w:lineRule="auto"/>
              <w:jc w:val="both"/>
              <w:rPr>
                <w:rFonts w:ascii="Verdana" w:eastAsia="Calibri" w:hAnsi="Verdana" w:cs="Times New Roman"/>
                <w:lang w:eastAsia="es-MX"/>
              </w:rPr>
            </w:pPr>
            <w:r w:rsidRPr="0001720C">
              <w:rPr>
                <w:rFonts w:ascii="Verdana" w:eastAsia="Calibri" w:hAnsi="Verdana" w:cs="Calibri"/>
              </w:rPr>
              <w:t>La implementación de los documentos tipo por parte de las entidades estatales sometidas al Estatuto General de Contratación de la Administración Pública –EGCAP–, está determinada por las actividades sobre las cuales se puede enmarcar el proceso de selección que adelanten. Al respecto, la parte introductoria de los documentos tipo de licitación de obra pública de infraestructura social, dispone:</w:t>
            </w:r>
          </w:p>
          <w:p w14:paraId="48A3AF5C" w14:textId="77777777" w:rsidR="0001720C" w:rsidRPr="0001720C" w:rsidRDefault="0001720C" w:rsidP="0001720C">
            <w:pPr>
              <w:spacing w:line="276" w:lineRule="auto"/>
              <w:jc w:val="both"/>
              <w:rPr>
                <w:rFonts w:ascii="Verdana" w:eastAsia="Calibri" w:hAnsi="Verdana" w:cs="Calibri"/>
              </w:rPr>
            </w:pPr>
          </w:p>
          <w:p w14:paraId="4A8B3343" w14:textId="77777777" w:rsidR="0001720C" w:rsidRPr="0001720C" w:rsidRDefault="0001720C" w:rsidP="0001720C">
            <w:pPr>
              <w:ind w:left="709" w:right="709"/>
              <w:jc w:val="both"/>
              <w:rPr>
                <w:rFonts w:ascii="Verdana" w:eastAsia="Calibri" w:hAnsi="Verdana" w:cs="Calibri"/>
                <w:sz w:val="21"/>
                <w:szCs w:val="21"/>
              </w:rPr>
            </w:pPr>
            <w:r w:rsidRPr="0001720C">
              <w:rPr>
                <w:rFonts w:ascii="Verdana" w:eastAsia="Calibri" w:hAnsi="Verdana" w:cs="Calibri"/>
                <w:sz w:val="21"/>
                <w:szCs w:val="21"/>
              </w:rPr>
              <w:t xml:space="preserve">“Este Documento Tipo aplica a los procesos de licitación de obra pública de “Infraestructura Social” (Versión 2) que correspondan a las actividades definidas en la Matriz  1 - Experiencia, En consecuencia, para las actividades de infraestructura de social no contempladas en la Matriz 1 – Experiencia aplicable en el proyecto de infraestructura social bien sea de salud, educación, institucional, vivienda y cultura, recreación y deporte, no tienen que aplicar los </w:t>
            </w:r>
            <w:r w:rsidRPr="0001720C">
              <w:rPr>
                <w:rFonts w:ascii="Verdana" w:eastAsia="Calibri" w:hAnsi="Verdana" w:cs="Calibri"/>
                <w:sz w:val="21"/>
                <w:szCs w:val="21"/>
              </w:rPr>
              <w:lastRenderedPageBreak/>
              <w:t>documentos tipo; sin perjuicio de lo previsto en el artículo 2.2.1.2.6.1.5. del Decreto 1082 de 2015.</w:t>
            </w:r>
          </w:p>
          <w:p w14:paraId="593A7F2F" w14:textId="77777777" w:rsidR="0001720C" w:rsidRPr="0001720C" w:rsidRDefault="0001720C" w:rsidP="0001720C">
            <w:pPr>
              <w:ind w:left="709" w:right="709"/>
              <w:jc w:val="both"/>
              <w:rPr>
                <w:rFonts w:ascii="Verdana" w:eastAsia="Calibri" w:hAnsi="Verdana" w:cs="Calibri"/>
                <w:sz w:val="21"/>
                <w:szCs w:val="21"/>
              </w:rPr>
            </w:pPr>
          </w:p>
          <w:p w14:paraId="342E12DB" w14:textId="77777777" w:rsidR="0001720C" w:rsidRPr="0001720C" w:rsidRDefault="0001720C" w:rsidP="0001720C">
            <w:pPr>
              <w:ind w:left="709" w:right="709"/>
              <w:jc w:val="both"/>
              <w:rPr>
                <w:rFonts w:ascii="Verdana" w:eastAsia="Calibri" w:hAnsi="Verdana" w:cs="Calibri"/>
                <w:sz w:val="21"/>
                <w:szCs w:val="21"/>
              </w:rPr>
            </w:pPr>
            <w:r w:rsidRPr="0001720C">
              <w:rPr>
                <w:rFonts w:ascii="Verdana" w:eastAsia="Calibri" w:hAnsi="Verdana" w:cs="Calibri"/>
                <w:b/>
                <w:bCs/>
                <w:sz w:val="21"/>
                <w:szCs w:val="21"/>
              </w:rPr>
              <w:t>Nota 1:</w:t>
            </w:r>
            <w:r w:rsidRPr="0001720C">
              <w:rPr>
                <w:rFonts w:ascii="Verdana" w:eastAsia="Calibri" w:hAnsi="Verdana" w:cs="Calibri"/>
                <w:sz w:val="21"/>
                <w:szCs w:val="21"/>
              </w:rPr>
              <w:t xml:space="preserve"> En todo caso, lo que refiere a las actividades relacionadas en la Matriz 1 - Experiencia para el Sector institucional que involucren actividades de Defensa, la Entidad podrá apartarse del uso de documentos tipo, previa justificación donde se especifique que las obras, bienes o servicios a adquirir son objeto de reserva de acuerdo con lo descrito en el artículo 2, numeral 4, literal d) de la Ley 1150 de 2007.</w:t>
            </w:r>
          </w:p>
          <w:p w14:paraId="66961ACC" w14:textId="77777777" w:rsidR="0001720C" w:rsidRPr="0001720C" w:rsidRDefault="0001720C" w:rsidP="0001720C">
            <w:pPr>
              <w:ind w:left="709" w:right="709"/>
              <w:jc w:val="both"/>
              <w:rPr>
                <w:rFonts w:ascii="Verdana" w:eastAsia="Calibri" w:hAnsi="Verdana" w:cs="Calibri"/>
                <w:sz w:val="21"/>
                <w:szCs w:val="21"/>
              </w:rPr>
            </w:pPr>
          </w:p>
          <w:p w14:paraId="278EE9A4" w14:textId="77777777" w:rsidR="0001720C" w:rsidRPr="0001720C" w:rsidRDefault="0001720C" w:rsidP="0001720C">
            <w:pPr>
              <w:ind w:left="709" w:right="709"/>
              <w:jc w:val="both"/>
              <w:rPr>
                <w:rFonts w:ascii="Verdana" w:eastAsia="Calibri" w:hAnsi="Verdana" w:cs="Calibri"/>
                <w:sz w:val="21"/>
                <w:szCs w:val="21"/>
              </w:rPr>
            </w:pPr>
            <w:r w:rsidRPr="0001720C">
              <w:rPr>
                <w:rFonts w:ascii="Verdana" w:eastAsia="Calibri" w:hAnsi="Verdana" w:cs="Calibri"/>
                <w:b/>
                <w:bCs/>
                <w:sz w:val="21"/>
                <w:szCs w:val="21"/>
              </w:rPr>
              <w:t>Nota 2:</w:t>
            </w:r>
            <w:r w:rsidRPr="0001720C">
              <w:rPr>
                <w:rFonts w:ascii="Verdana" w:eastAsia="Calibri" w:hAnsi="Verdana" w:cs="Calibri"/>
                <w:sz w:val="21"/>
                <w:szCs w:val="21"/>
              </w:rPr>
              <w:t xml:space="preserve"> El Subsector Institucional de conformidad con la NSR-10 incluye los capítulos de seguridad Pública, servicio público, sitios de reclusión y edificaciones institucionales.”</w:t>
            </w:r>
          </w:p>
          <w:p w14:paraId="30A5F0C7" w14:textId="77777777" w:rsidR="0001720C" w:rsidRPr="0001720C" w:rsidRDefault="0001720C" w:rsidP="0001720C">
            <w:pPr>
              <w:spacing w:line="276" w:lineRule="auto"/>
              <w:jc w:val="both"/>
              <w:rPr>
                <w:rFonts w:ascii="Verdana" w:eastAsia="Arial" w:hAnsi="Verdana" w:cs="Calibri"/>
                <w:lang w:eastAsia="es-ES"/>
              </w:rPr>
            </w:pPr>
          </w:p>
          <w:p w14:paraId="6912BE9C" w14:textId="77777777" w:rsidR="0001720C" w:rsidRPr="0001720C" w:rsidRDefault="0001720C" w:rsidP="0001720C">
            <w:pPr>
              <w:snapToGrid w:val="0"/>
              <w:spacing w:after="120" w:line="276" w:lineRule="auto"/>
              <w:ind w:firstLine="709"/>
              <w:jc w:val="both"/>
              <w:rPr>
                <w:rFonts w:ascii="Verdana" w:eastAsia="Aptos" w:hAnsi="Verdana" w:cs="Aptos"/>
                <w:lang w:val="es-ES_tradnl"/>
              </w:rPr>
            </w:pPr>
            <w:r w:rsidRPr="0001720C">
              <w:rPr>
                <w:rFonts w:ascii="Verdana" w:eastAsia="Aptos" w:hAnsi="Verdana" w:cs="Aptos"/>
                <w:lang w:val="es-ES_tradnl"/>
              </w:rPr>
              <w:t xml:space="preserve">De conformidad con lo previsto en el artículo tercero (3) de las Resoluciones No. 539, 540 y 541 del 21 de agosto de 2025, los documentos tipo adoptados son de carácter obligatorio en la actividad contractual de las Entidades Estatales sometidas al Estatuto General de Contratación de la Administración Pública. </w:t>
            </w:r>
          </w:p>
          <w:p w14:paraId="0F2748FB" w14:textId="77777777" w:rsidR="0001720C" w:rsidRPr="0001720C" w:rsidRDefault="0001720C" w:rsidP="0001720C">
            <w:pPr>
              <w:snapToGrid w:val="0"/>
              <w:spacing w:after="120" w:line="276" w:lineRule="auto"/>
              <w:ind w:firstLine="709"/>
              <w:jc w:val="both"/>
              <w:rPr>
                <w:rFonts w:ascii="Verdana" w:eastAsia="Aptos" w:hAnsi="Verdana" w:cs="Aptos"/>
                <w:lang w:val="es-ES_tradnl"/>
              </w:rPr>
            </w:pPr>
            <w:r w:rsidRPr="0001720C">
              <w:rPr>
                <w:rFonts w:ascii="Verdana" w:eastAsia="Aptos" w:hAnsi="Verdana" w:cs="Aptos"/>
                <w:lang w:val="es-ES_tradnl"/>
              </w:rPr>
              <w:t xml:space="preserve">Por ejemplo, sobre el ámbito de aplicación de los documentos tipo señalados, el parágrafo segundo del artículo 9 de la Resolución No. 539 del 21 de agosto de 2025, indica que estos documentos aplican a los procesos contractuales que correspondan a las actividades definidas en la “Matriz 1 – Experiencia”, en este caso del Sector Institucional. </w:t>
            </w:r>
          </w:p>
          <w:p w14:paraId="712784A5" w14:textId="77777777" w:rsidR="0001720C" w:rsidRPr="0001720C" w:rsidRDefault="0001720C" w:rsidP="0001720C">
            <w:pPr>
              <w:snapToGrid w:val="0"/>
              <w:spacing w:after="120" w:line="276" w:lineRule="auto"/>
              <w:ind w:firstLine="709"/>
              <w:jc w:val="both"/>
              <w:rPr>
                <w:rFonts w:ascii="Verdana" w:eastAsia="Aptos" w:hAnsi="Verdana" w:cs="Aptos"/>
                <w:lang w:val="es-ES_tradnl"/>
              </w:rPr>
            </w:pPr>
            <w:r w:rsidRPr="0001720C">
              <w:rPr>
                <w:rFonts w:ascii="Verdana" w:eastAsia="Aptos" w:hAnsi="Verdana" w:cs="Aptos"/>
                <w:lang w:val="es-ES_tradnl"/>
              </w:rPr>
              <w:t>La “Matriz 1 – Experiencia” del Sector Institucional, en las modalidades de licitación pública, selección abreviada de menor cuantía y mínima cuantía, dispone de unos tipos de obras y actividades que recaen sobre infraestructura institucional. Esto es importante para precisar el ámbito de aplicación de los documentos tipo de este sector adoptados en el capítulo V de las Resoluciones No. 539, 540 y 541 de 2025.</w:t>
            </w:r>
          </w:p>
          <w:p w14:paraId="1418A861" w14:textId="77777777" w:rsidR="0001720C" w:rsidRPr="0001720C" w:rsidRDefault="0001720C" w:rsidP="0001720C">
            <w:pPr>
              <w:snapToGrid w:val="0"/>
              <w:spacing w:line="276" w:lineRule="auto"/>
              <w:ind w:firstLine="709"/>
              <w:jc w:val="both"/>
              <w:rPr>
                <w:rFonts w:ascii="Verdana" w:eastAsia="Aptos" w:hAnsi="Verdana" w:cs="Aptos"/>
                <w:lang w:val="es-ES_tradnl"/>
              </w:rPr>
            </w:pPr>
            <w:r w:rsidRPr="0001720C">
              <w:rPr>
                <w:rFonts w:ascii="Verdana" w:eastAsia="Aptos" w:hAnsi="Verdana" w:cs="Aptos"/>
                <w:lang w:val="es-ES_tradnl"/>
              </w:rPr>
              <w:t xml:space="preserve">Sin embargo, el análisis sobre el deber de aplicar un documento tipo en particular corresponde a las entidades estales, caso a caso, dependiendo de las características del proyecto u obra a contratar. Así, más allá de la cuantía de proceso de contratación, cuando este corresponda con alguna de las actividades definidas en las Matrices de Experiencia de los documentos tipo adoptados por esta Agencia para las diferentes modalidades de selección y </w:t>
            </w:r>
            <w:r w:rsidRPr="0001720C">
              <w:rPr>
                <w:rFonts w:ascii="Verdana" w:eastAsia="Aptos" w:hAnsi="Verdana" w:cs="Aptos"/>
                <w:lang w:val="es-ES_tradnl"/>
              </w:rPr>
              <w:lastRenderedPageBreak/>
              <w:t xml:space="preserve">sectores, la aplicación de aquellos será forzosa en el proceso que se adelante. En caso contrario, los pliegos tipo no resultan obligatorios, a reserva de la posibilidad que tienen las entidades de emplearlos a modo de buena práctica.    </w:t>
            </w:r>
          </w:p>
        </w:tc>
      </w:tr>
    </w:tbl>
    <w:p w14:paraId="51397F16" w14:textId="77777777" w:rsidR="0001720C" w:rsidRPr="0001720C" w:rsidRDefault="0001720C" w:rsidP="0001720C">
      <w:pPr>
        <w:tabs>
          <w:tab w:val="left" w:pos="142"/>
          <w:tab w:val="left" w:pos="284"/>
        </w:tabs>
        <w:snapToGrid w:val="0"/>
        <w:spacing w:after="0" w:line="276" w:lineRule="auto"/>
        <w:jc w:val="both"/>
        <w:rPr>
          <w:rFonts w:ascii="Verdana" w:eastAsia="Century Gothic" w:hAnsi="Verdana" w:cs="Century Gothic"/>
          <w:b/>
          <w:bCs/>
          <w:lang w:val="es-ES" w:eastAsia="es-MX"/>
        </w:rPr>
      </w:pPr>
    </w:p>
    <w:p w14:paraId="25CD3E7E" w14:textId="77777777" w:rsidR="0001720C" w:rsidRPr="0001720C" w:rsidRDefault="0001720C" w:rsidP="0001720C">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01720C">
        <w:rPr>
          <w:rFonts w:ascii="Verdana" w:eastAsia="Century Gothic" w:hAnsi="Verdana" w:cs="Century Gothic"/>
          <w:b/>
          <w:bCs/>
          <w:lang w:val="es-ES" w:eastAsia="es-MX"/>
        </w:rPr>
        <w:t>Razones de la respuesta:</w:t>
      </w:r>
    </w:p>
    <w:p w14:paraId="4DE336E6" w14:textId="77777777" w:rsidR="0001720C" w:rsidRPr="0001720C" w:rsidRDefault="0001720C" w:rsidP="0001720C">
      <w:pPr>
        <w:tabs>
          <w:tab w:val="left" w:pos="142"/>
          <w:tab w:val="left" w:pos="284"/>
        </w:tabs>
        <w:snapToGrid w:val="0"/>
        <w:spacing w:after="0" w:line="276" w:lineRule="auto"/>
        <w:ind w:left="357"/>
        <w:jc w:val="both"/>
        <w:rPr>
          <w:rFonts w:ascii="Verdana" w:eastAsia="Century Gothic" w:hAnsi="Verdana" w:cs="Century Gothic"/>
          <w:b/>
          <w:bCs/>
          <w:lang w:val="es-ES" w:eastAsia="es-MX"/>
        </w:rPr>
      </w:pPr>
    </w:p>
    <w:p w14:paraId="20BDE834" w14:textId="77777777" w:rsidR="0001720C" w:rsidRPr="0001720C" w:rsidRDefault="0001720C" w:rsidP="0001720C">
      <w:pPr>
        <w:snapToGrid w:val="0"/>
        <w:spacing w:after="0" w:line="276" w:lineRule="auto"/>
        <w:jc w:val="both"/>
        <w:rPr>
          <w:rFonts w:ascii="Verdana" w:eastAsia="Calibri" w:hAnsi="Verdana" w:cs="Arial"/>
          <w:lang w:val="es-ES" w:eastAsia="es-MX"/>
        </w:rPr>
      </w:pPr>
      <w:r w:rsidRPr="0001720C">
        <w:rPr>
          <w:rFonts w:ascii="Verdana" w:eastAsia="Calibri" w:hAnsi="Verdana" w:cs="Arial"/>
          <w:lang w:val="es-ES" w:eastAsia="es-MX"/>
        </w:rPr>
        <w:t xml:space="preserve">Lo anterior se sustenta en las siguientes consideraciones: </w:t>
      </w:r>
    </w:p>
    <w:p w14:paraId="3081D3C8" w14:textId="77777777" w:rsidR="0001720C" w:rsidRPr="0001720C" w:rsidRDefault="0001720C" w:rsidP="0001720C">
      <w:pPr>
        <w:spacing w:after="0" w:line="276" w:lineRule="auto"/>
        <w:jc w:val="both"/>
        <w:rPr>
          <w:rFonts w:ascii="Verdana" w:eastAsia="Calibri" w:hAnsi="Verdana" w:cs="Arial"/>
          <w:lang w:val="es-ES" w:eastAsia="es-MX"/>
        </w:rPr>
      </w:pPr>
    </w:p>
    <w:p w14:paraId="7FA65EAB" w14:textId="77777777" w:rsidR="0001720C" w:rsidRPr="0001720C" w:rsidRDefault="0001720C" w:rsidP="0001720C">
      <w:pPr>
        <w:snapToGrid w:val="0"/>
        <w:spacing w:after="120" w:line="276" w:lineRule="auto"/>
        <w:jc w:val="both"/>
        <w:rPr>
          <w:rFonts w:ascii="Verdana" w:eastAsia="Calibri" w:hAnsi="Verdana" w:cs="Times New Roman"/>
          <w:lang w:val="es-ES" w:eastAsia="es-MX"/>
        </w:rPr>
      </w:pPr>
      <w:r w:rsidRPr="0001720C">
        <w:rPr>
          <w:rFonts w:ascii="Verdana" w:eastAsia="Calibri" w:hAnsi="Verdana" w:cs="Times New Roman"/>
          <w:lang w:val="es-ES" w:eastAsia="es-MX"/>
        </w:rPr>
        <w:t xml:space="preserve">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 </w:t>
      </w:r>
      <w:r w:rsidRPr="0001720C">
        <w:rPr>
          <w:rFonts w:ascii="Verdana" w:eastAsia="Calibri" w:hAnsi="Verdana" w:cs="Times New Roman"/>
          <w:lang w:val="es-ES" w:eastAsia="es-MX"/>
        </w:rPr>
        <w:tab/>
      </w:r>
    </w:p>
    <w:p w14:paraId="2C8ABD1C" w14:textId="77777777" w:rsidR="0001720C" w:rsidRPr="0001720C" w:rsidRDefault="0001720C" w:rsidP="0001720C">
      <w:pPr>
        <w:snapToGrid w:val="0"/>
        <w:spacing w:after="120" w:line="276" w:lineRule="auto"/>
        <w:ind w:firstLine="709"/>
        <w:jc w:val="both"/>
        <w:rPr>
          <w:rFonts w:ascii="Verdana" w:eastAsia="Calibri" w:hAnsi="Verdana" w:cs="Times New Roman"/>
          <w:lang w:val="es-ES" w:eastAsia="es-MX"/>
        </w:rPr>
      </w:pPr>
      <w:r w:rsidRPr="0001720C">
        <w:rPr>
          <w:rFonts w:ascii="Verdana" w:eastAsia="Calibri" w:hAnsi="Verdana" w:cs="Times New Roman"/>
          <w:lang w:val="es-ES" w:eastAsia="es-MX"/>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61859FBB" w14:textId="77777777" w:rsidR="0001720C" w:rsidRPr="0001720C" w:rsidRDefault="0001720C" w:rsidP="0001720C">
      <w:pPr>
        <w:snapToGrid w:val="0"/>
        <w:spacing w:after="120" w:line="276" w:lineRule="auto"/>
        <w:ind w:firstLine="709"/>
        <w:jc w:val="both"/>
        <w:rPr>
          <w:rFonts w:ascii="Verdana" w:eastAsia="Calibri" w:hAnsi="Verdana" w:cs="Times New Roman"/>
          <w:lang w:val="es-ES" w:eastAsia="es-MX"/>
        </w:rPr>
      </w:pPr>
      <w:r w:rsidRPr="0001720C">
        <w:rPr>
          <w:rFonts w:ascii="Verdana" w:eastAsia="Calibri" w:hAnsi="Verdana" w:cs="Times New Roman"/>
          <w:bCs/>
          <w:lang w:val="es-ES" w:eastAsia="es-MX"/>
        </w:rPr>
        <w:t xml:space="preserve">El 6 de agosto, 18 de noviembre y 16 de diciembre de 2021, se adoptaron los documentos tipo complementarios para los procesos de licitación de obra pública de infraestructura social relacionados con el </w:t>
      </w:r>
      <w:r w:rsidRPr="0001720C">
        <w:rPr>
          <w:rFonts w:ascii="Verdana" w:eastAsia="Calibri" w:hAnsi="Verdana" w:cs="Times New Roman"/>
          <w:bCs/>
          <w:i/>
          <w:iCs/>
          <w:lang w:val="es-ES" w:eastAsia="es-MX"/>
        </w:rPr>
        <w:t>sector educ</w:t>
      </w:r>
      <w:r w:rsidRPr="0001720C">
        <w:rPr>
          <w:rFonts w:ascii="Verdana" w:eastAsia="Calibri" w:hAnsi="Verdana" w:cs="Times New Roman"/>
          <w:bCs/>
          <w:i/>
          <w:lang w:val="es-ES" w:eastAsia="es-MX"/>
        </w:rPr>
        <w:t xml:space="preserve">ativo, salud, y cultura, recreación y deporte, </w:t>
      </w:r>
      <w:r w:rsidRPr="0001720C">
        <w:rPr>
          <w:rFonts w:ascii="Verdana" w:eastAsia="Calibri" w:hAnsi="Verdana" w:cs="Times New Roman"/>
          <w:bCs/>
          <w:iCs/>
          <w:lang w:val="es-ES" w:eastAsia="es-MX"/>
        </w:rPr>
        <w:t>respectivamente</w:t>
      </w:r>
      <w:r w:rsidRPr="0001720C">
        <w:rPr>
          <w:rFonts w:ascii="Verdana" w:eastAsia="Calibri" w:hAnsi="Verdana" w:cs="Times New Roman"/>
          <w:bCs/>
          <w:i/>
          <w:lang w:val="es-ES" w:eastAsia="es-MX"/>
        </w:rPr>
        <w:t xml:space="preserve">, </w:t>
      </w:r>
      <w:r w:rsidRPr="0001720C">
        <w:rPr>
          <w:rFonts w:ascii="Verdana" w:eastAsia="Calibri" w:hAnsi="Verdana" w:cs="Times New Roman"/>
          <w:bCs/>
          <w:lang w:val="es-ES" w:eastAsia="es-MX"/>
        </w:rPr>
        <w:t xml:space="preserve">mediante las </w:t>
      </w:r>
      <w:r w:rsidRPr="0001720C">
        <w:rPr>
          <w:rFonts w:ascii="Verdana" w:eastAsia="Calibri" w:hAnsi="Verdana" w:cs="Times New Roman"/>
          <w:lang w:val="es-ES" w:eastAsia="es-MX"/>
        </w:rPr>
        <w:t xml:space="preserve">Resoluciones 220, 392 y 454 de 2021. Estas Resoluciones, en el artículo 2, desarrollan el “Anexo – Glosario” y la </w:t>
      </w:r>
      <w:r w:rsidRPr="0001720C">
        <w:rPr>
          <w:rFonts w:ascii="Verdana" w:eastAsia="Calibri" w:hAnsi="Verdana" w:cs="Times New Roman"/>
          <w:lang w:eastAsia="es-MX"/>
        </w:rPr>
        <w:t>“Matriz – Experiencia”</w:t>
      </w:r>
      <w:r w:rsidRPr="0001720C">
        <w:rPr>
          <w:rFonts w:ascii="Verdana" w:eastAsia="Calibri" w:hAnsi="Verdana" w:cs="Times New Roman"/>
          <w:lang w:val="es-ES" w:eastAsia="es-MX"/>
        </w:rPr>
        <w:t xml:space="preserve"> para proyectos de infraestructura social </w:t>
      </w:r>
      <w:r w:rsidRPr="0001720C">
        <w:rPr>
          <w:rFonts w:ascii="Verdana" w:eastAsia="Calibri" w:hAnsi="Verdana" w:cs="Times New Roman"/>
          <w:lang w:val="es-ES" w:eastAsia="es-MX"/>
        </w:rPr>
        <w:lastRenderedPageBreak/>
        <w:t>para cada sector, lo que significa que estos documentos definen el alcance para cada sector de manera específica. Del mismo modo, la Matriz de Experiencia de cada sector, además de estandarizar el requisito habilitante de experiencia, señala los proyectos o contratos concretos a los cuales aplican los documentos tipo, bajo el entendido de que aplicarán a los procesos de contratación cuyo objeto se relacione con alguna de las actividades establecidas de forma detallada en la Matriz de Experiencia respectiva.</w:t>
      </w:r>
    </w:p>
    <w:p w14:paraId="5E4DAA7D" w14:textId="77777777" w:rsidR="0001720C" w:rsidRPr="0001720C" w:rsidRDefault="0001720C" w:rsidP="0001720C">
      <w:pPr>
        <w:snapToGrid w:val="0"/>
        <w:spacing w:after="120" w:line="276" w:lineRule="auto"/>
        <w:ind w:firstLine="709"/>
        <w:jc w:val="both"/>
        <w:rPr>
          <w:rFonts w:ascii="Verdana" w:eastAsia="Calibri" w:hAnsi="Verdana" w:cs="Times New Roman"/>
          <w:lang w:val="es-ES" w:eastAsia="es-MX"/>
        </w:rPr>
      </w:pPr>
      <w:r w:rsidRPr="0001720C">
        <w:rPr>
          <w:rFonts w:ascii="Verdana" w:eastAsia="Calibri" w:hAnsi="Verdana" w:cs="Times New Roman"/>
          <w:lang w:val="es-ES" w:eastAsia="es-MX"/>
        </w:rPr>
        <w:t>Recientemente, los precitados documentos tipo fueron modificados mediante la Resolución No. 539 del 21 de agosto de 2025, “Por la cual se adopta la versión -2- de los documentos tipo para los procesos de selección de licitación de obra pública del sector de infraestructura social y se deroga la Resolución 219 de 2021; se adoptan los documento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 Estos nuevos documentos tipo aplican a los procedimientos de selección de licitación de obra pública de infraestructura social en los sectores de educación, salud, cultura, recreación y deporte, institucional y vivienda, cuyo aviso de convocatoria sea publicado a partir del 16 de febrero de 2026.</w:t>
      </w:r>
    </w:p>
    <w:p w14:paraId="64926A47" w14:textId="77777777" w:rsidR="0001720C" w:rsidRPr="0001720C" w:rsidRDefault="0001720C" w:rsidP="0001720C">
      <w:pPr>
        <w:snapToGrid w:val="0"/>
        <w:spacing w:after="120" w:line="276" w:lineRule="auto"/>
        <w:ind w:firstLine="709"/>
        <w:jc w:val="both"/>
        <w:rPr>
          <w:rFonts w:ascii="Verdana" w:eastAsia="Calibri" w:hAnsi="Verdana" w:cs="Times New Roman"/>
          <w:lang w:val="es-ES" w:eastAsia="es-MX"/>
        </w:rPr>
      </w:pPr>
      <w:r w:rsidRPr="0001720C">
        <w:rPr>
          <w:rFonts w:ascii="Verdana" w:eastAsia="Calibri" w:hAnsi="Verdana" w:cs="Times New Roman"/>
          <w:lang w:val="es-ES" w:eastAsia="es-MX"/>
        </w:rPr>
        <w:t>A su vez, se adoptaron los documentos tipo para contratar obras públicas de infraestructura social adelantados bajo las modalidades de selección abreviada de menor cuantía –mediante la Resolución No. 540 del 21 de agosto de 2025– y mínima cuantía –en virtud de la Resolución No. 541 del 21 de agosto de 2025–. Ambos aplicables, también, a los procedimientos de selección con aviso de convocatoria o invitación publicada a partir del 16 de febrero de 2026.</w:t>
      </w:r>
    </w:p>
    <w:p w14:paraId="60042312" w14:textId="77777777" w:rsidR="0001720C" w:rsidRPr="0001720C" w:rsidRDefault="0001720C" w:rsidP="0001720C">
      <w:pPr>
        <w:snapToGrid w:val="0"/>
        <w:spacing w:after="120" w:line="276" w:lineRule="auto"/>
        <w:ind w:firstLine="709"/>
        <w:jc w:val="both"/>
        <w:rPr>
          <w:rFonts w:ascii="Verdana" w:eastAsia="Calibri" w:hAnsi="Verdana" w:cs="Times New Roman"/>
          <w:lang w:eastAsia="es-MX"/>
        </w:rPr>
      </w:pPr>
      <w:r w:rsidRPr="0001720C">
        <w:rPr>
          <w:rFonts w:ascii="Verdana" w:eastAsia="Calibri" w:hAnsi="Verdana" w:cs="Times New Roman"/>
          <w:lang w:eastAsia="es-MX"/>
        </w:rPr>
        <w:t xml:space="preserve">Para la determinación de los requisitos mínimos de experiencia según la “Matriz – Experiencia”, el numeral 3.5.1 del documento base de los documentos tipo de licitación de obra pública de infraestructura social, prescribe que la entidad debe indicar la forma de análisis y establecimiento de las condiciones de experiencia, tanto general como específica. Además, deberá indicar el número de la actividad a contratar, y transcribir textualmente lo señalado en la “Matriz – Experiencia”. </w:t>
      </w:r>
    </w:p>
    <w:p w14:paraId="19C25E5B" w14:textId="77777777" w:rsidR="0001720C" w:rsidRPr="0001720C" w:rsidRDefault="0001720C" w:rsidP="0001720C">
      <w:pPr>
        <w:snapToGrid w:val="0"/>
        <w:spacing w:after="120" w:line="276" w:lineRule="auto"/>
        <w:ind w:firstLine="709"/>
        <w:jc w:val="both"/>
        <w:rPr>
          <w:rFonts w:ascii="Verdana" w:eastAsia="Calibri" w:hAnsi="Verdana" w:cs="Times New Roman"/>
          <w:lang w:val="es-ES" w:eastAsia="es-MX"/>
        </w:rPr>
      </w:pPr>
      <w:r w:rsidRPr="0001720C">
        <w:rPr>
          <w:rFonts w:ascii="Verdana" w:eastAsia="Calibri" w:hAnsi="Verdana" w:cs="Times New Roman"/>
          <w:lang w:val="es-ES" w:eastAsia="es-MX"/>
        </w:rPr>
        <w:lastRenderedPageBreak/>
        <w:t xml:space="preserve">La Matrices de Experiencia de los documentos tipo de infraestructura social se componen de varios capítulos que contemplan diferentes actividades y obras a contratar por parte de la entidad estatal. A su vez, en estas matrices se establecen las actividades a contratar que hacen parte de un tipo o grupo de infraestructura, las cuales señalan las condiciones y requerimientos de experiencia general y específica. </w:t>
      </w:r>
    </w:p>
    <w:p w14:paraId="50AA835A" w14:textId="77777777" w:rsidR="0001720C" w:rsidRPr="0001720C" w:rsidRDefault="0001720C" w:rsidP="0001720C">
      <w:pPr>
        <w:snapToGrid w:val="0"/>
        <w:spacing w:after="120" w:line="276" w:lineRule="auto"/>
        <w:ind w:firstLine="709"/>
        <w:jc w:val="both"/>
        <w:rPr>
          <w:rFonts w:ascii="Verdana" w:eastAsia="Calibri" w:hAnsi="Verdana" w:cs="Times New Roman"/>
          <w:lang w:val="es-ES" w:eastAsia="es-MX"/>
        </w:rPr>
      </w:pPr>
      <w:r w:rsidRPr="0001720C">
        <w:rPr>
          <w:rFonts w:ascii="Verdana" w:eastAsia="Calibri" w:hAnsi="Verdana" w:cs="Times New Roman"/>
          <w:lang w:val="es-ES" w:eastAsia="es-MX"/>
        </w:rPr>
        <w:t>La experiencia específica, dependiendo del tipo de “actividad a contratar”, puede contener un “% de dimensionamiento” con la implementación de un factor (F%), el cual es definido por el rango de SMMLV en el cual se encuentre el presupuesto oficial del proceso de contratación. Así mismo, en la parte inferior de la matriz se establecen los lineamientos para su aplicación, incluyendo aspectos asociados con la forma en la cual se establecen las reglas de combinaciones entre las diferentes “actividades a contratar” y aspectos generales de la Matriz de Experiencia.</w:t>
      </w:r>
    </w:p>
    <w:p w14:paraId="387DF9AC" w14:textId="77777777" w:rsidR="0001720C" w:rsidRPr="0001720C" w:rsidRDefault="0001720C" w:rsidP="0001720C">
      <w:pPr>
        <w:snapToGrid w:val="0"/>
        <w:spacing w:after="120" w:line="276" w:lineRule="auto"/>
        <w:ind w:firstLine="709"/>
        <w:jc w:val="both"/>
        <w:rPr>
          <w:rFonts w:ascii="Verdana" w:eastAsia="Calibri" w:hAnsi="Verdana" w:cs="Times New Roman"/>
          <w:lang w:eastAsia="es-MX"/>
        </w:rPr>
      </w:pPr>
      <w:r w:rsidRPr="0001720C">
        <w:rPr>
          <w:rFonts w:ascii="Verdana" w:eastAsia="Calibri" w:hAnsi="Verdana" w:cs="Times New Roman"/>
          <w:lang w:eastAsia="es-MX"/>
        </w:rPr>
        <w:t xml:space="preserve">Para fijar las condiciones que deben cumplir los contratos aportados en términos de actividades ejecutadas, las entidades deben emplear la “Matriz – Experiencia”. Este documento estandariza las condiciones de experiencia general y/o experiencia específica que deben requerir las entidades estatales a los proponentes para acreditar el requisito habilitante de experiencia, de acuerdo con: i) el tipo de obra de infraestructura social, </w:t>
      </w:r>
      <w:proofErr w:type="spellStart"/>
      <w:r w:rsidRPr="0001720C">
        <w:rPr>
          <w:rFonts w:ascii="Verdana" w:eastAsia="Calibri" w:hAnsi="Verdana" w:cs="Times New Roman"/>
          <w:lang w:eastAsia="es-MX"/>
        </w:rPr>
        <w:t>ii</w:t>
      </w:r>
      <w:proofErr w:type="spellEnd"/>
      <w:r w:rsidRPr="0001720C">
        <w:rPr>
          <w:rFonts w:ascii="Verdana" w:eastAsia="Calibri" w:hAnsi="Verdana" w:cs="Times New Roman"/>
          <w:lang w:eastAsia="es-MX"/>
        </w:rPr>
        <w:t xml:space="preserve">) la actividad a contratar y </w:t>
      </w:r>
      <w:proofErr w:type="spellStart"/>
      <w:r w:rsidRPr="0001720C">
        <w:rPr>
          <w:rFonts w:ascii="Verdana" w:eastAsia="Calibri" w:hAnsi="Verdana" w:cs="Times New Roman"/>
          <w:lang w:eastAsia="es-MX"/>
        </w:rPr>
        <w:t>iii</w:t>
      </w:r>
      <w:proofErr w:type="spellEnd"/>
      <w:r w:rsidRPr="0001720C">
        <w:rPr>
          <w:rFonts w:ascii="Verdana" w:eastAsia="Calibri" w:hAnsi="Verdana" w:cs="Times New Roman"/>
          <w:lang w:eastAsia="es-MX"/>
        </w:rPr>
        <w:t>) la cuantía del proceso de contratación.</w:t>
      </w:r>
    </w:p>
    <w:p w14:paraId="53E01D7D" w14:textId="77777777" w:rsidR="0001720C" w:rsidRPr="0001720C" w:rsidRDefault="0001720C" w:rsidP="0001720C">
      <w:pPr>
        <w:snapToGrid w:val="0"/>
        <w:spacing w:after="0" w:line="276" w:lineRule="auto"/>
        <w:ind w:firstLine="709"/>
        <w:jc w:val="both"/>
        <w:rPr>
          <w:rFonts w:ascii="Verdana" w:eastAsia="Calibri" w:hAnsi="Verdana" w:cs="Times New Roman"/>
          <w:lang w:eastAsia="es-MX"/>
        </w:rPr>
      </w:pPr>
      <w:r w:rsidRPr="0001720C">
        <w:rPr>
          <w:rFonts w:ascii="Verdana" w:eastAsia="Calibri" w:hAnsi="Verdana" w:cs="Calibri"/>
          <w:kern w:val="2"/>
          <w14:ligatures w14:val="standardContextual"/>
        </w:rPr>
        <w:t>Con el propósito de responder su solicitud, resulta relevante señalar que la implementación de los documentos tipo por parte de las entidades estatales sometidas al Estatuto General de Contratación de la Administración Pública –EGCAP–, está determinada por las actividades sobre las cuales se puede enmarcar el proceso de selección que adelanten. Al respecto, la parte introductoria de los documentos tipo de licitación de obra pública de infraestructura social, dispone:</w:t>
      </w:r>
    </w:p>
    <w:p w14:paraId="57D834BA" w14:textId="77777777" w:rsidR="0001720C" w:rsidRPr="0001720C" w:rsidRDefault="0001720C" w:rsidP="0001720C">
      <w:pPr>
        <w:spacing w:after="0" w:line="276" w:lineRule="auto"/>
        <w:jc w:val="both"/>
        <w:rPr>
          <w:rFonts w:ascii="Verdana" w:eastAsia="Calibri" w:hAnsi="Verdana" w:cs="Calibri"/>
          <w:kern w:val="2"/>
          <w14:ligatures w14:val="standardContextual"/>
        </w:rPr>
      </w:pPr>
    </w:p>
    <w:p w14:paraId="1C6BA820" w14:textId="77777777" w:rsidR="0001720C" w:rsidRPr="0001720C" w:rsidRDefault="0001720C" w:rsidP="0001720C">
      <w:pPr>
        <w:spacing w:after="0" w:line="240" w:lineRule="auto"/>
        <w:ind w:left="709" w:right="709"/>
        <w:jc w:val="both"/>
        <w:rPr>
          <w:rFonts w:ascii="Verdana" w:eastAsia="Calibri" w:hAnsi="Verdana" w:cs="Calibri"/>
          <w:kern w:val="2"/>
          <w:sz w:val="21"/>
          <w:szCs w:val="21"/>
          <w14:ligatures w14:val="standardContextual"/>
        </w:rPr>
      </w:pPr>
      <w:r w:rsidRPr="0001720C">
        <w:rPr>
          <w:rFonts w:ascii="Verdana" w:eastAsia="Calibri" w:hAnsi="Verdana" w:cs="Calibri"/>
          <w:kern w:val="2"/>
          <w:sz w:val="21"/>
          <w:szCs w:val="21"/>
          <w14:ligatures w14:val="standardContextual"/>
        </w:rPr>
        <w:t xml:space="preserve">“Este Documento Tipo aplica a los procesos de licitación de obra pública de “Infraestructura Social” (Versión 2) que correspondan a las actividades definidas en la Matriz  1 - Experiencia, En consecuencia, para las actividades de infraestructura de social no contempladas en la Matriz 1 – Experiencia aplicable en el proyecto de infraestructura social bien sea de salud, educación, institucional, vivienda y cultura, recreación y deporte, no tienen que aplicar los documentos tipo; sin </w:t>
      </w:r>
      <w:r w:rsidRPr="0001720C">
        <w:rPr>
          <w:rFonts w:ascii="Verdana" w:eastAsia="Calibri" w:hAnsi="Verdana" w:cs="Calibri"/>
          <w:kern w:val="2"/>
          <w:sz w:val="21"/>
          <w:szCs w:val="21"/>
          <w14:ligatures w14:val="standardContextual"/>
        </w:rPr>
        <w:lastRenderedPageBreak/>
        <w:t>perjuicio de lo previsto en el artículo 2.2.1.2.6.1.5. del Decreto 1082 de 2015.</w:t>
      </w:r>
    </w:p>
    <w:p w14:paraId="691DA452" w14:textId="77777777" w:rsidR="0001720C" w:rsidRPr="0001720C" w:rsidRDefault="0001720C" w:rsidP="0001720C">
      <w:pPr>
        <w:spacing w:after="0" w:line="240" w:lineRule="auto"/>
        <w:ind w:left="709" w:right="709"/>
        <w:jc w:val="both"/>
        <w:rPr>
          <w:rFonts w:ascii="Verdana" w:eastAsia="Calibri" w:hAnsi="Verdana" w:cs="Calibri"/>
          <w:kern w:val="2"/>
          <w:sz w:val="21"/>
          <w:szCs w:val="21"/>
          <w14:ligatures w14:val="standardContextual"/>
        </w:rPr>
      </w:pPr>
    </w:p>
    <w:p w14:paraId="3135CFAE" w14:textId="77777777" w:rsidR="0001720C" w:rsidRPr="0001720C" w:rsidRDefault="0001720C" w:rsidP="0001720C">
      <w:pPr>
        <w:spacing w:after="0" w:line="240" w:lineRule="auto"/>
        <w:ind w:left="709" w:right="709"/>
        <w:jc w:val="both"/>
        <w:rPr>
          <w:rFonts w:ascii="Verdana" w:eastAsia="Calibri" w:hAnsi="Verdana" w:cs="Calibri"/>
          <w:kern w:val="2"/>
          <w:sz w:val="21"/>
          <w:szCs w:val="21"/>
          <w14:ligatures w14:val="standardContextual"/>
        </w:rPr>
      </w:pPr>
      <w:r w:rsidRPr="0001720C">
        <w:rPr>
          <w:rFonts w:ascii="Verdana" w:eastAsia="Calibri" w:hAnsi="Verdana" w:cs="Calibri"/>
          <w:b/>
          <w:bCs/>
          <w:kern w:val="2"/>
          <w:sz w:val="21"/>
          <w:szCs w:val="21"/>
          <w14:ligatures w14:val="standardContextual"/>
        </w:rPr>
        <w:t>Nota 1:</w:t>
      </w:r>
      <w:r w:rsidRPr="0001720C">
        <w:rPr>
          <w:rFonts w:ascii="Verdana" w:eastAsia="Calibri" w:hAnsi="Verdana" w:cs="Calibri"/>
          <w:kern w:val="2"/>
          <w:sz w:val="21"/>
          <w:szCs w:val="21"/>
          <w14:ligatures w14:val="standardContextual"/>
        </w:rPr>
        <w:t xml:space="preserve"> En todo caso, lo que refiere a las actividades relacionadas en la Matriz 1 - Experiencia para el Sector institucional que involucren actividades de Defensa, la Entidad podrá apartarse del uso de documentos tipo, previa justificación donde se especifique que las obras, bienes o servicios a adquirir son objeto de reserva de acuerdo con lo descrito en el artículo 2, numeral 4, literal d) de la Ley 1150 de 2007.</w:t>
      </w:r>
    </w:p>
    <w:p w14:paraId="786D23A5" w14:textId="77777777" w:rsidR="0001720C" w:rsidRPr="0001720C" w:rsidRDefault="0001720C" w:rsidP="0001720C">
      <w:pPr>
        <w:spacing w:after="0" w:line="240" w:lineRule="auto"/>
        <w:ind w:left="709" w:right="709"/>
        <w:jc w:val="both"/>
        <w:rPr>
          <w:rFonts w:ascii="Verdana" w:eastAsia="Calibri" w:hAnsi="Verdana" w:cs="Calibri"/>
          <w:kern w:val="2"/>
          <w:sz w:val="21"/>
          <w:szCs w:val="21"/>
          <w14:ligatures w14:val="standardContextual"/>
        </w:rPr>
      </w:pPr>
    </w:p>
    <w:p w14:paraId="0DFD5E31" w14:textId="77777777" w:rsidR="0001720C" w:rsidRPr="0001720C" w:rsidRDefault="0001720C" w:rsidP="0001720C">
      <w:pPr>
        <w:spacing w:after="0" w:line="240" w:lineRule="auto"/>
        <w:ind w:left="709" w:right="709"/>
        <w:jc w:val="both"/>
        <w:rPr>
          <w:rFonts w:ascii="Verdana" w:eastAsia="Calibri" w:hAnsi="Verdana" w:cs="Calibri"/>
          <w:kern w:val="2"/>
          <w:sz w:val="21"/>
          <w:szCs w:val="21"/>
          <w14:ligatures w14:val="standardContextual"/>
        </w:rPr>
      </w:pPr>
      <w:r w:rsidRPr="0001720C">
        <w:rPr>
          <w:rFonts w:ascii="Verdana" w:eastAsia="Calibri" w:hAnsi="Verdana" w:cs="Calibri"/>
          <w:b/>
          <w:bCs/>
          <w:kern w:val="2"/>
          <w:sz w:val="21"/>
          <w:szCs w:val="21"/>
          <w14:ligatures w14:val="standardContextual"/>
        </w:rPr>
        <w:t>Nota 2:</w:t>
      </w:r>
      <w:r w:rsidRPr="0001720C">
        <w:rPr>
          <w:rFonts w:ascii="Verdana" w:eastAsia="Calibri" w:hAnsi="Verdana" w:cs="Calibri"/>
          <w:kern w:val="2"/>
          <w:sz w:val="21"/>
          <w:szCs w:val="21"/>
          <w14:ligatures w14:val="standardContextual"/>
        </w:rPr>
        <w:t xml:space="preserve"> El Subsector Institucional de conformidad con la NSR-10 incluye los capítulos de seguridad Pública, servicio público, sitios de reclusión y edificaciones institucionales.”</w:t>
      </w:r>
    </w:p>
    <w:p w14:paraId="4C132AFB" w14:textId="77777777" w:rsidR="0001720C" w:rsidRPr="0001720C" w:rsidRDefault="0001720C" w:rsidP="0001720C">
      <w:pPr>
        <w:spacing w:after="0" w:line="276" w:lineRule="auto"/>
        <w:jc w:val="both"/>
        <w:rPr>
          <w:rFonts w:ascii="Verdana" w:eastAsia="Arial" w:hAnsi="Verdana" w:cs="Calibri"/>
          <w:lang w:eastAsia="es-ES"/>
        </w:rPr>
      </w:pPr>
    </w:p>
    <w:p w14:paraId="1664CD55" w14:textId="77777777" w:rsidR="0001720C" w:rsidRPr="0001720C" w:rsidRDefault="0001720C" w:rsidP="0001720C">
      <w:pPr>
        <w:snapToGrid w:val="0"/>
        <w:spacing w:after="120" w:line="276" w:lineRule="auto"/>
        <w:ind w:firstLine="709"/>
        <w:jc w:val="both"/>
        <w:rPr>
          <w:rFonts w:ascii="Verdana" w:eastAsia="Aptos" w:hAnsi="Verdana" w:cs="Aptos"/>
          <w:kern w:val="2"/>
          <w:lang w:val="es-ES_tradnl"/>
          <w14:ligatures w14:val="standardContextual"/>
        </w:rPr>
      </w:pPr>
      <w:r w:rsidRPr="0001720C">
        <w:rPr>
          <w:rFonts w:ascii="Verdana" w:eastAsia="Aptos" w:hAnsi="Verdana" w:cs="Aptos"/>
          <w:kern w:val="2"/>
          <w:lang w:val="es-ES_tradnl"/>
          <w14:ligatures w14:val="standardContextual"/>
        </w:rPr>
        <w:t xml:space="preserve">De conformidad con lo previsto en el artículo tercero (3) de las Resoluciones No. 539, 540 y 541 del 21 de agosto de 2025, los documentos tipo adoptados son de carácter obligatorio en la actividad contractual de las Entidades Estatales sometidas al Estatuto General de Contratación de la Administración Pública. </w:t>
      </w:r>
    </w:p>
    <w:p w14:paraId="3425E9CE" w14:textId="77777777" w:rsidR="0001720C" w:rsidRPr="0001720C" w:rsidRDefault="0001720C" w:rsidP="0001720C">
      <w:pPr>
        <w:snapToGrid w:val="0"/>
        <w:spacing w:after="120" w:line="276" w:lineRule="auto"/>
        <w:ind w:firstLine="709"/>
        <w:jc w:val="both"/>
        <w:rPr>
          <w:rFonts w:ascii="Verdana" w:eastAsia="Aptos" w:hAnsi="Verdana" w:cs="Aptos"/>
          <w:kern w:val="2"/>
          <w:lang w:val="es-ES_tradnl"/>
          <w14:ligatures w14:val="standardContextual"/>
        </w:rPr>
      </w:pPr>
      <w:r w:rsidRPr="0001720C">
        <w:rPr>
          <w:rFonts w:ascii="Verdana" w:eastAsia="Aptos" w:hAnsi="Verdana" w:cs="Aptos"/>
          <w:kern w:val="2"/>
          <w:lang w:val="es-ES_tradnl"/>
          <w14:ligatures w14:val="standardContextual"/>
        </w:rPr>
        <w:t xml:space="preserve">Por ejemplo, sobre el ámbito de aplicación de los documentos tipo señalados, el parágrafo segundo del artículo 9 de la Resolución No. 539 del 21 de agosto de 2025, indica que estos documentos aplican a los procesos contractuales que correspondan a las actividades definidas en la “Matriz 1 – Experiencia”, en este caso del Sector Institucional. </w:t>
      </w:r>
    </w:p>
    <w:p w14:paraId="2D8758F5" w14:textId="77777777" w:rsidR="0001720C" w:rsidRPr="0001720C" w:rsidRDefault="0001720C" w:rsidP="0001720C">
      <w:pPr>
        <w:snapToGrid w:val="0"/>
        <w:spacing w:after="120" w:line="276" w:lineRule="auto"/>
        <w:ind w:firstLine="709"/>
        <w:jc w:val="both"/>
        <w:rPr>
          <w:rFonts w:ascii="Verdana" w:eastAsia="Aptos" w:hAnsi="Verdana" w:cs="Aptos"/>
          <w:kern w:val="2"/>
          <w:lang w:val="es-ES_tradnl"/>
          <w14:ligatures w14:val="standardContextual"/>
        </w:rPr>
      </w:pPr>
      <w:r w:rsidRPr="0001720C">
        <w:rPr>
          <w:rFonts w:ascii="Verdana" w:eastAsia="Aptos" w:hAnsi="Verdana" w:cs="Aptos"/>
          <w:kern w:val="2"/>
          <w:lang w:val="es-ES_tradnl"/>
          <w14:ligatures w14:val="standardContextual"/>
        </w:rPr>
        <w:t>La “Matriz 1 – Experiencia” del Sector Institucional, en las modalidades de licitación pública, selección abreviada de menor cuantía y mínima cuantía, dispone de unos tipos de obras y actividades que recaen sobre infraestructura institucional. Esto es importante para precisar el ámbito de aplicación de los documentos tipo de este sector adoptados en el capítulo V de las Resoluciones No. 539, 540 y 541 de 2025.</w:t>
      </w:r>
    </w:p>
    <w:p w14:paraId="3C6C6FAB" w14:textId="77777777" w:rsidR="0001720C" w:rsidRPr="0001720C" w:rsidRDefault="0001720C" w:rsidP="0001720C">
      <w:pPr>
        <w:snapToGrid w:val="0"/>
        <w:spacing w:after="0" w:line="276" w:lineRule="auto"/>
        <w:ind w:firstLine="709"/>
        <w:jc w:val="both"/>
        <w:rPr>
          <w:rFonts w:ascii="Verdana" w:eastAsia="Aptos" w:hAnsi="Verdana" w:cs="Aptos"/>
          <w:kern w:val="2"/>
          <w:lang w:val="es-ES_tradnl"/>
          <w14:ligatures w14:val="standardContextual"/>
        </w:rPr>
      </w:pPr>
      <w:r w:rsidRPr="0001720C">
        <w:rPr>
          <w:rFonts w:ascii="Verdana" w:eastAsia="Aptos" w:hAnsi="Verdana" w:cs="Aptos"/>
          <w:kern w:val="2"/>
          <w:lang w:val="es-ES_tradnl"/>
          <w14:ligatures w14:val="standardContextual"/>
        </w:rPr>
        <w:t xml:space="preserve">Sin embargo, el análisis sobre el deber de aplicar un documento tipo en particular corresponde a las entidades estales, caso a caso, dependiendo de las características del proyecto u obra a contratar. Así, más allá de la cuantía de proceso de contratación, cuando este corresponda con alguna de las actividades definidas en las Matrices de Experiencia de los documentos tipo adoptados por esta Agencia para las diferentes modalidades de selección y sectores, la aplicación de aquellos será forzosa en el proceso que se adelante. En caso </w:t>
      </w:r>
      <w:r w:rsidRPr="0001720C">
        <w:rPr>
          <w:rFonts w:ascii="Verdana" w:eastAsia="Aptos" w:hAnsi="Verdana" w:cs="Aptos"/>
          <w:kern w:val="2"/>
          <w:lang w:val="es-ES_tradnl"/>
          <w14:ligatures w14:val="standardContextual"/>
        </w:rPr>
        <w:lastRenderedPageBreak/>
        <w:t xml:space="preserve">contrario, los pliegos tipo no resultan obligatorios, a reserva de la posibilidad que tienen las entidades de emplearlos a modo de buena práctica. </w:t>
      </w:r>
    </w:p>
    <w:p w14:paraId="2704C399" w14:textId="77777777" w:rsidR="0001720C" w:rsidRPr="0001720C" w:rsidRDefault="0001720C" w:rsidP="0001720C">
      <w:pPr>
        <w:widowControl w:val="0"/>
        <w:autoSpaceDE w:val="0"/>
        <w:autoSpaceDN w:val="0"/>
        <w:spacing w:after="0" w:line="276" w:lineRule="auto"/>
        <w:jc w:val="both"/>
        <w:rPr>
          <w:rFonts w:ascii="Verdana" w:eastAsia="Calibri" w:hAnsi="Verdana" w:cs="Arial"/>
          <w:lang w:eastAsia="es-MX"/>
        </w:rPr>
      </w:pPr>
    </w:p>
    <w:p w14:paraId="7CD07B34" w14:textId="77777777" w:rsidR="0001720C" w:rsidRPr="0001720C" w:rsidRDefault="0001720C" w:rsidP="0001720C">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01720C">
        <w:rPr>
          <w:rFonts w:ascii="Verdana" w:eastAsia="Century Gothic" w:hAnsi="Verdana" w:cs="Century Gothic"/>
          <w:b/>
          <w:bCs/>
          <w:lang w:val="es-ES" w:eastAsia="es-MX"/>
        </w:rPr>
        <w:t>Referencias normativas, jurisprudenciales y otras fuentes:</w:t>
      </w:r>
    </w:p>
    <w:p w14:paraId="651363B0" w14:textId="77777777" w:rsidR="0001720C" w:rsidRPr="0001720C" w:rsidRDefault="0001720C" w:rsidP="0001720C">
      <w:pPr>
        <w:widowControl w:val="0"/>
        <w:autoSpaceDE w:val="0"/>
        <w:autoSpaceDN w:val="0"/>
        <w:spacing w:after="0" w:line="276" w:lineRule="auto"/>
        <w:jc w:val="both"/>
        <w:rPr>
          <w:rFonts w:ascii="Verdana" w:eastAsia="Calibri" w:hAnsi="Verdana" w:cs="Arial"/>
          <w:lang w:eastAsia="es-MX"/>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01720C" w:rsidRPr="0001720C" w14:paraId="6E97B170" w14:textId="77777777" w:rsidTr="002175C9">
        <w:trPr>
          <w:trHeight w:val="870"/>
        </w:trPr>
        <w:tc>
          <w:tcPr>
            <w:tcW w:w="8647" w:type="dxa"/>
          </w:tcPr>
          <w:p w14:paraId="33E4430F" w14:textId="77777777" w:rsidR="0001720C" w:rsidRPr="0001720C" w:rsidRDefault="0001720C" w:rsidP="0001720C">
            <w:pPr>
              <w:widowControl w:val="0"/>
              <w:numPr>
                <w:ilvl w:val="0"/>
                <w:numId w:val="17"/>
              </w:numPr>
              <w:autoSpaceDE w:val="0"/>
              <w:autoSpaceDN w:val="0"/>
              <w:spacing w:after="120" w:line="276" w:lineRule="auto"/>
              <w:jc w:val="both"/>
              <w:rPr>
                <w:rFonts w:ascii="Verdana" w:eastAsia="Calibri" w:hAnsi="Verdana" w:cs="Arial"/>
                <w:lang w:eastAsia="es-MX"/>
              </w:rPr>
            </w:pPr>
            <w:r w:rsidRPr="0001720C">
              <w:rPr>
                <w:rFonts w:ascii="Verdana" w:eastAsia="Calibri" w:hAnsi="Verdana" w:cs="Arial"/>
                <w:lang w:eastAsia="es-MX"/>
              </w:rPr>
              <w:t>Ley 2022 de 2020, artículo 1.</w:t>
            </w:r>
          </w:p>
          <w:p w14:paraId="56ED7469" w14:textId="77777777" w:rsidR="0001720C" w:rsidRPr="0001720C" w:rsidRDefault="0001720C" w:rsidP="0001720C">
            <w:pPr>
              <w:widowControl w:val="0"/>
              <w:numPr>
                <w:ilvl w:val="0"/>
                <w:numId w:val="17"/>
              </w:numPr>
              <w:autoSpaceDE w:val="0"/>
              <w:autoSpaceDN w:val="0"/>
              <w:spacing w:after="120" w:line="276" w:lineRule="auto"/>
              <w:jc w:val="both"/>
              <w:rPr>
                <w:rFonts w:ascii="Verdana" w:eastAsia="Calibri" w:hAnsi="Verdana" w:cs="Arial"/>
                <w:lang w:eastAsia="es-MX"/>
              </w:rPr>
            </w:pPr>
            <w:r w:rsidRPr="0001720C">
              <w:rPr>
                <w:rFonts w:ascii="Verdana" w:eastAsia="Calibri" w:hAnsi="Verdana" w:cs="Arial"/>
                <w:lang w:eastAsia="es-MX"/>
              </w:rPr>
              <w:t>Documentos tipo de obra pública de infraestructura social</w:t>
            </w:r>
            <w:r w:rsidRPr="0001720C">
              <w:rPr>
                <w:rFonts w:ascii="Verdana" w:eastAsia="Calibri" w:hAnsi="Verdana" w:cs="Arial"/>
                <w:i/>
                <w:iCs/>
                <w:lang w:eastAsia="es-MX"/>
              </w:rPr>
              <w:t>.</w:t>
            </w:r>
            <w:r w:rsidRPr="0001720C">
              <w:rPr>
                <w:rFonts w:ascii="Verdana" w:eastAsia="Calibri" w:hAnsi="Verdana" w:cs="Arial"/>
                <w:lang w:eastAsia="es-MX"/>
              </w:rPr>
              <w:t xml:space="preserve"> Disponibles en: </w:t>
            </w:r>
            <w:hyperlink r:id="rId11" w:history="1">
              <w:r w:rsidRPr="0001720C">
                <w:rPr>
                  <w:rFonts w:ascii="Verdana" w:eastAsia="Calibri" w:hAnsi="Verdana" w:cs="Arial"/>
                  <w:color w:val="467886"/>
                  <w:u w:val="single"/>
                  <w:lang w:eastAsia="es-MX"/>
                </w:rPr>
                <w:t>https://www.colombiacompra.gov.co/normativa-y-relatoria/documentos-tipo</w:t>
              </w:r>
            </w:hyperlink>
            <w:r w:rsidRPr="0001720C">
              <w:rPr>
                <w:rFonts w:ascii="Verdana" w:eastAsia="Calibri" w:hAnsi="Verdana" w:cs="Arial"/>
                <w:lang w:eastAsia="es-MX"/>
              </w:rPr>
              <w:t xml:space="preserve">. </w:t>
            </w:r>
          </w:p>
        </w:tc>
      </w:tr>
    </w:tbl>
    <w:p w14:paraId="4C7F18F6" w14:textId="77777777" w:rsidR="0001720C" w:rsidRPr="0001720C" w:rsidRDefault="0001720C" w:rsidP="0001720C">
      <w:pPr>
        <w:tabs>
          <w:tab w:val="left" w:pos="142"/>
          <w:tab w:val="left" w:pos="284"/>
        </w:tabs>
        <w:spacing w:after="0" w:line="276" w:lineRule="auto"/>
        <w:jc w:val="both"/>
        <w:rPr>
          <w:rFonts w:ascii="Verdana" w:eastAsia="Calibri" w:hAnsi="Verdana" w:cs="Arial"/>
          <w:lang w:eastAsia="es-MX"/>
        </w:rPr>
      </w:pPr>
    </w:p>
    <w:p w14:paraId="42ED7833" w14:textId="77777777" w:rsidR="0001720C" w:rsidRPr="0001720C" w:rsidRDefault="0001720C" w:rsidP="0001720C">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01720C">
        <w:rPr>
          <w:rFonts w:ascii="Verdana" w:eastAsia="Century Gothic" w:hAnsi="Verdana" w:cs="Century Gothic"/>
          <w:b/>
          <w:bCs/>
          <w:lang w:val="es-ES" w:eastAsia="es-MX"/>
        </w:rPr>
        <w:t>Doctrina de la Agencia Nacional de Contratación Pública:</w:t>
      </w:r>
    </w:p>
    <w:p w14:paraId="2B290669" w14:textId="77777777" w:rsidR="0001720C" w:rsidRPr="0001720C" w:rsidRDefault="0001720C" w:rsidP="0001720C">
      <w:pPr>
        <w:widowControl w:val="0"/>
        <w:autoSpaceDE w:val="0"/>
        <w:autoSpaceDN w:val="0"/>
        <w:spacing w:after="0" w:line="276" w:lineRule="auto"/>
        <w:jc w:val="both"/>
        <w:rPr>
          <w:rFonts w:ascii="Verdana" w:eastAsia="Calibri" w:hAnsi="Verdana" w:cs="Arial"/>
          <w:lang w:eastAsia="es-MX"/>
        </w:rPr>
      </w:pPr>
    </w:p>
    <w:p w14:paraId="5FE7A15D" w14:textId="77777777" w:rsidR="0001720C" w:rsidRPr="0001720C" w:rsidRDefault="0001720C" w:rsidP="0001720C">
      <w:pPr>
        <w:widowControl w:val="0"/>
        <w:autoSpaceDE w:val="0"/>
        <w:autoSpaceDN w:val="0"/>
        <w:spacing w:after="0" w:line="276" w:lineRule="auto"/>
        <w:jc w:val="both"/>
        <w:rPr>
          <w:rFonts w:ascii="Verdana" w:eastAsia="Times New Roman" w:hAnsi="Verdana" w:cs="Arial"/>
          <w:shd w:val="clear" w:color="auto" w:fill="FFFFFF"/>
          <w:lang w:val="es-ES"/>
        </w:rPr>
      </w:pPr>
      <w:r w:rsidRPr="0001720C">
        <w:rPr>
          <w:rFonts w:ascii="Verdana" w:eastAsia="Calibri" w:hAnsi="Verdana" w:cs="Arial"/>
          <w:shd w:val="clear" w:color="auto" w:fill="FFFFFF"/>
          <w:lang w:val="es-ES" w:eastAsia="es-MX"/>
        </w:rPr>
        <w:t>La Agencia Nacional de Contratación Pública – Colombia Compra Eficiente se pronunció</w:t>
      </w:r>
      <w:r w:rsidRPr="0001720C">
        <w:rPr>
          <w:rFonts w:ascii="Aptos" w:eastAsia="Aptos" w:hAnsi="Aptos" w:cs="Times New Roman"/>
          <w:sz w:val="24"/>
          <w:szCs w:val="24"/>
          <w:lang w:eastAsia="es-MX"/>
        </w:rPr>
        <w:t xml:space="preserve"> </w:t>
      </w:r>
      <w:r w:rsidRPr="0001720C">
        <w:rPr>
          <w:rFonts w:ascii="Verdana" w:eastAsia="Calibri" w:hAnsi="Verdana" w:cs="Arial"/>
          <w:shd w:val="clear" w:color="auto" w:fill="FFFFFF"/>
          <w:lang w:val="es-ES" w:eastAsia="es-MX"/>
        </w:rPr>
        <w:t xml:space="preserve">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 C-472 del 24 de septiembre de 2024, C-469 del 23 de mayo de 2025, C-1772 del 22 de diciembre de 2025, C-232 del 11 de marzo de 2026, C-369 del 15 de abril de 2026, entre otros. </w:t>
      </w:r>
      <w:r w:rsidRPr="0001720C">
        <w:rPr>
          <w:rFonts w:ascii="Verdana" w:eastAsia="Calibri" w:hAnsi="Verdana" w:cs="Arial"/>
          <w:color w:val="000000"/>
          <w:shd w:val="clear" w:color="auto" w:fill="FFFFFF"/>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history="1">
        <w:r w:rsidRPr="0001720C">
          <w:rPr>
            <w:rFonts w:ascii="Verdana" w:eastAsia="Aptos" w:hAnsi="Verdana" w:cs="Arial"/>
            <w:color w:val="0000FF"/>
            <w:kern w:val="2"/>
            <w:u w:val="single"/>
            <w:shd w:val="clear" w:color="auto" w:fill="FFFFFF"/>
            <w14:ligatures w14:val="standardContextual"/>
          </w:rPr>
          <w:t>https://relatoria.colombiacompra.gov.co/busqueda/conceptos</w:t>
        </w:r>
      </w:hyperlink>
      <w:r w:rsidRPr="0001720C">
        <w:rPr>
          <w:rFonts w:ascii="Verdana" w:eastAsia="Aptos" w:hAnsi="Verdana" w:cs="Arial"/>
          <w:kern w:val="2"/>
          <w:shd w:val="clear" w:color="auto" w:fill="FFFFFF"/>
          <w14:ligatures w14:val="standardContextual"/>
        </w:rPr>
        <w:t xml:space="preserve">. </w:t>
      </w:r>
      <w:r w:rsidRPr="0001720C">
        <w:rPr>
          <w:rFonts w:ascii="Verdana" w:eastAsia="Aptos" w:hAnsi="Verdana" w:cs="Arial"/>
          <w:color w:val="FF0000"/>
          <w:kern w:val="2"/>
          <w:shd w:val="clear" w:color="auto" w:fill="FFFFFF"/>
          <w:lang w:val="es-ES"/>
          <w14:ligatures w14:val="standardContextual"/>
        </w:rPr>
        <w:t xml:space="preserve">  </w:t>
      </w:r>
    </w:p>
    <w:p w14:paraId="542667F7" w14:textId="77777777" w:rsidR="0001720C" w:rsidRPr="0001720C" w:rsidRDefault="0001720C" w:rsidP="0001720C">
      <w:pPr>
        <w:spacing w:after="0" w:line="240" w:lineRule="auto"/>
        <w:jc w:val="both"/>
        <w:rPr>
          <w:rFonts w:ascii="Verdana" w:eastAsia="Calibri" w:hAnsi="Verdana" w:cs="Arial"/>
          <w:color w:val="000000"/>
          <w:shd w:val="clear" w:color="auto" w:fill="FFFFFF"/>
        </w:rPr>
      </w:pPr>
    </w:p>
    <w:p w14:paraId="606F603F" w14:textId="77777777" w:rsidR="0001720C" w:rsidRPr="0001720C" w:rsidRDefault="0001720C" w:rsidP="0001720C">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01720C">
        <w:rPr>
          <w:rFonts w:ascii="Verdana" w:eastAsia="Calibri" w:hAnsi="Verdana" w:cs="Arial"/>
          <w:kern w:val="2"/>
          <w:shd w:val="clear" w:color="auto" w:fill="FFFFFF"/>
          <w:lang w:val="es-ES_tradnl"/>
          <w14:ligatures w14:val="standardContextual"/>
        </w:rPr>
        <w:t>La</w:t>
      </w:r>
      <w:r w:rsidRPr="0001720C">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01720C">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01720C">
        <w:rPr>
          <w:rFonts w:ascii="Verdana" w:eastAsia="Calibri" w:hAnsi="Verdana" w:cs="Arial"/>
          <w:b/>
          <w:bCs/>
          <w:kern w:val="2"/>
          <w:shd w:val="clear" w:color="auto" w:fill="FFFFFF"/>
          <w:lang w:val="es-ES_tradnl"/>
          <w14:ligatures w14:val="standardContextual"/>
        </w:rPr>
        <w:t>Documentos Tipo</w:t>
      </w:r>
      <w:r w:rsidRPr="0001720C">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01720C">
        <w:rPr>
          <w:rFonts w:ascii="Verdana" w:eastAsia="Calibri" w:hAnsi="Verdana" w:cs="Arial"/>
          <w:b/>
          <w:bCs/>
          <w:kern w:val="2"/>
          <w:shd w:val="clear" w:color="auto" w:fill="FFFFFF"/>
          <w:lang w:val="es-ES_tradnl"/>
          <w14:ligatures w14:val="standardContextual"/>
        </w:rPr>
        <w:t>transparencia</w:t>
      </w:r>
      <w:r w:rsidRPr="0001720C">
        <w:rPr>
          <w:rFonts w:ascii="Verdana" w:eastAsia="Calibri" w:hAnsi="Verdana" w:cs="Arial"/>
          <w:kern w:val="2"/>
          <w:shd w:val="clear" w:color="auto" w:fill="FFFFFF"/>
          <w:lang w:val="es-ES_tradnl"/>
          <w14:ligatures w14:val="standardContextual"/>
        </w:rPr>
        <w:t> y promover un proceso de </w:t>
      </w:r>
      <w:r w:rsidRPr="0001720C">
        <w:rPr>
          <w:rFonts w:ascii="Verdana" w:eastAsia="Calibri" w:hAnsi="Verdana" w:cs="Arial"/>
          <w:b/>
          <w:bCs/>
          <w:kern w:val="2"/>
          <w:shd w:val="clear" w:color="auto" w:fill="FFFFFF"/>
          <w:lang w:val="es-ES_tradnl"/>
          <w14:ligatures w14:val="standardContextual"/>
        </w:rPr>
        <w:t>selección objetiva</w:t>
      </w:r>
      <w:r w:rsidRPr="0001720C">
        <w:rPr>
          <w:rFonts w:ascii="Verdana" w:eastAsia="Calibri" w:hAnsi="Verdana" w:cs="Arial"/>
          <w:kern w:val="2"/>
          <w:shd w:val="clear" w:color="auto" w:fill="FFFFFF"/>
          <w:lang w:val="es-ES_tradnl"/>
          <w14:ligatures w14:val="standardContextual"/>
        </w:rPr>
        <w:t xml:space="preserve"> en la contratación pública, contribuyendo así a mejorar la eficiencia, la competencia y la confianza en el manejo de los recursos </w:t>
      </w:r>
      <w:r w:rsidRPr="0001720C">
        <w:rPr>
          <w:rFonts w:ascii="Verdana" w:eastAsia="Calibri" w:hAnsi="Verdana" w:cs="Arial"/>
          <w:kern w:val="2"/>
          <w:shd w:val="clear" w:color="auto" w:fill="FFFFFF"/>
          <w:lang w:val="es-ES_tradnl"/>
          <w14:ligatures w14:val="standardContextual"/>
        </w:rPr>
        <w:lastRenderedPageBreak/>
        <w:t>del Estado.</w:t>
      </w:r>
    </w:p>
    <w:p w14:paraId="2BCC31D8" w14:textId="77777777" w:rsidR="0001720C" w:rsidRPr="0001720C" w:rsidRDefault="0001720C" w:rsidP="0001720C">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53A106F5" w14:textId="77777777" w:rsidR="0001720C" w:rsidRPr="0001720C" w:rsidRDefault="0001720C" w:rsidP="0001720C">
      <w:pPr>
        <w:spacing w:after="0" w:line="276" w:lineRule="auto"/>
        <w:jc w:val="both"/>
        <w:rPr>
          <w:rFonts w:ascii="Verdana" w:eastAsia="Aptos" w:hAnsi="Verdana" w:cs="Times New Roman"/>
          <w:kern w:val="2"/>
          <w:lang w:val="es-ES_tradnl"/>
          <w14:ligatures w14:val="standardContextual"/>
        </w:rPr>
      </w:pPr>
      <w:r w:rsidRPr="0001720C">
        <w:rPr>
          <w:rFonts w:ascii="Verdana" w:eastAsia="Aptos" w:hAnsi="Verdana" w:cs="Times New Roman"/>
          <w:kern w:val="2"/>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01720C">
        <w:rPr>
          <w:rFonts w:ascii="Verdana" w:eastAsia="Aptos" w:hAnsi="Verdana" w:cs="Times New Roman"/>
          <w:b/>
          <w:bCs/>
          <w:kern w:val="2"/>
          <w14:ligatures w14:val="standardContextual"/>
        </w:rPr>
        <w:t>Guía para la Exigencia y Constitución de Garantías en los Procesos de Contratación</w:t>
      </w:r>
      <w:r w:rsidRPr="0001720C">
        <w:rPr>
          <w:rFonts w:ascii="Verdana" w:eastAsia="Aptos" w:hAnsi="Verdana" w:cs="Times New Roman"/>
          <w:kern w:val="2"/>
          <w14:ligatures w14:val="standardContextual"/>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3" w:tgtFrame="_blank" w:tooltip="Original URL: https://www.colombiacompra.gov.co/archivos/manual/guia-de-garantias-en-procesos-de-contratacion. Click or tap if you trust this link." w:history="1">
        <w:r w:rsidRPr="0001720C">
          <w:rPr>
            <w:rFonts w:ascii="Verdana" w:eastAsia="Aptos" w:hAnsi="Verdana" w:cs="Times New Roman"/>
            <w:color w:val="0000FF"/>
            <w:kern w:val="2"/>
            <w:u w:val="single"/>
            <w14:ligatures w14:val="standardContextual"/>
          </w:rPr>
          <w:t>https://www.colombiacompra.gov.co/archivos/manual/guia-de-garantias-en-procesos-de-contratacion</w:t>
        </w:r>
      </w:hyperlink>
    </w:p>
    <w:p w14:paraId="6394B686" w14:textId="77777777" w:rsidR="0001720C" w:rsidRPr="0001720C" w:rsidRDefault="0001720C" w:rsidP="0001720C">
      <w:pPr>
        <w:spacing w:after="0" w:line="276" w:lineRule="auto"/>
        <w:jc w:val="both"/>
        <w:rPr>
          <w:rFonts w:ascii="Verdana" w:eastAsia="Aptos" w:hAnsi="Verdana" w:cs="Times New Roman"/>
          <w:kern w:val="2"/>
          <w14:ligatures w14:val="standardContextual"/>
        </w:rPr>
      </w:pPr>
    </w:p>
    <w:p w14:paraId="5B2B247F" w14:textId="77777777" w:rsidR="0001720C" w:rsidRPr="0001720C" w:rsidRDefault="0001720C" w:rsidP="0001720C">
      <w:pPr>
        <w:spacing w:after="0" w:line="276" w:lineRule="auto"/>
        <w:jc w:val="both"/>
        <w:rPr>
          <w:rFonts w:ascii="Verdana" w:eastAsia="Aptos" w:hAnsi="Verdana" w:cs="Times New Roman"/>
          <w:kern w:val="2"/>
          <w:lang w:val="es-ES_tradnl"/>
          <w14:ligatures w14:val="standardContextual"/>
        </w:rPr>
      </w:pPr>
      <w:r w:rsidRPr="0001720C">
        <w:rPr>
          <w:rFonts w:ascii="Verdana" w:eastAsia="Aptos" w:hAnsi="Verdana" w:cs="Times New Roman"/>
          <w:kern w:val="2"/>
          <w14:ligatures w14:val="standardContextual"/>
        </w:rPr>
        <w:t>De otro lado, le contamos que el Decreto 287 del 19 de marzo de 2026 sustituyó los artículos 2.2.1.2.4.2.6., 2.2.1.2.4.2.7. y 2.2.1.2.4.2.8. del Decreto 1082 de 2015 y estructuró el </w:t>
      </w:r>
      <w:r w:rsidRPr="0001720C">
        <w:rPr>
          <w:rFonts w:ascii="Verdana" w:eastAsia="Aptos" w:hAnsi="Verdana" w:cs="Times New Roman"/>
          <w:b/>
          <w:bCs/>
          <w:kern w:val="2"/>
          <w14:ligatures w14:val="standardContextual"/>
        </w:rPr>
        <w:t>Sistema Integral de Preferencias en favor de las personas con discapacidad</w:t>
      </w:r>
      <w:r w:rsidRPr="0001720C">
        <w:rPr>
          <w:rFonts w:ascii="Verdana" w:eastAsia="Aptos" w:hAnsi="Verdana" w:cs="Times New Roman"/>
          <w:kern w:val="2"/>
          <w14:ligatures w14:val="standardContextual"/>
        </w:rPr>
        <w:t>, en cumplimiento del artículo 13 de la Ley Estatutaria 1618 de 2013. Para orientar su aplicación, esta Agencia expidió la </w:t>
      </w:r>
      <w:r w:rsidRPr="0001720C">
        <w:rPr>
          <w:rFonts w:ascii="Verdana" w:eastAsia="Aptos" w:hAnsi="Verdana" w:cs="Times New Roman"/>
          <w:b/>
          <w:bCs/>
          <w:kern w:val="2"/>
          <w14:ligatures w14:val="standardContextual"/>
        </w:rPr>
        <w:t>Circular Externa 003 del 12 de mayo de 2026, </w:t>
      </w:r>
      <w:r w:rsidRPr="0001720C">
        <w:rPr>
          <w:rFonts w:ascii="Verdana" w:eastAsia="Aptos" w:hAnsi="Verdana" w:cs="Times New Roman"/>
          <w:kern w:val="2"/>
          <w14:ligatures w14:val="standardContextual"/>
        </w:rPr>
        <w:t>en la que precisa quiénes son los beneficiarios, las cinco medidas que integran el sistema y su obligatoriedad según la modalidad de selección, y el régimen de transición aplicable a los procesos en curso. Consúltela aquí: </w:t>
      </w:r>
      <w:hyperlink r:id="rId14" w:tgtFrame="_blank" w:tooltip="Original URL: https://www.colombiacompra.gov.co/archivos/circular/circular-externa-003-de-2026. Click or tap if you trust this link." w:history="1">
        <w:r w:rsidRPr="0001720C">
          <w:rPr>
            <w:rFonts w:ascii="Verdana" w:eastAsia="Aptos" w:hAnsi="Verdana" w:cs="Times New Roman"/>
            <w:color w:val="0000FF"/>
            <w:kern w:val="2"/>
            <w:u w:val="single"/>
            <w14:ligatures w14:val="standardContextual"/>
          </w:rPr>
          <w:t>https://www.colombiacompra.gov.co/archivos/circular/circular-externa-003-de-2026</w:t>
        </w:r>
      </w:hyperlink>
    </w:p>
    <w:p w14:paraId="2123F29B" w14:textId="77777777" w:rsidR="0001720C" w:rsidRPr="0001720C" w:rsidRDefault="0001720C" w:rsidP="0001720C">
      <w:pPr>
        <w:spacing w:after="0" w:line="276" w:lineRule="auto"/>
        <w:jc w:val="both"/>
        <w:rPr>
          <w:rFonts w:ascii="Verdana" w:eastAsia="Aptos" w:hAnsi="Verdana" w:cs="Times New Roman"/>
          <w:kern w:val="2"/>
          <w14:ligatures w14:val="standardContextual"/>
        </w:rPr>
      </w:pPr>
    </w:p>
    <w:p w14:paraId="7B1EEF4F" w14:textId="77777777" w:rsidR="0001720C" w:rsidRPr="0001720C" w:rsidRDefault="0001720C" w:rsidP="0001720C">
      <w:pPr>
        <w:spacing w:after="0" w:line="276" w:lineRule="auto"/>
        <w:jc w:val="both"/>
        <w:rPr>
          <w:rFonts w:ascii="Verdana" w:eastAsia="Aptos" w:hAnsi="Verdana" w:cs="Times New Roman"/>
          <w:kern w:val="2"/>
          <w:lang w:val="es-ES_tradnl"/>
          <w14:ligatures w14:val="standardContextual"/>
        </w:rPr>
      </w:pPr>
      <w:r w:rsidRPr="0001720C">
        <w:rPr>
          <w:rFonts w:ascii="Verdana" w:eastAsia="Aptos" w:hAnsi="Verdana" w:cs="Times New Roman"/>
          <w:kern w:val="2"/>
          <w14:ligatures w14:val="standardContextual"/>
        </w:rPr>
        <w:t>Recuerde también que la</w:t>
      </w:r>
      <w:r w:rsidRPr="0001720C">
        <w:rPr>
          <w:rFonts w:ascii="Verdana" w:eastAsia="Aptos" w:hAnsi="Verdana" w:cs="Times New Roman"/>
          <w:b/>
          <w:bCs/>
          <w:kern w:val="2"/>
          <w14:ligatures w14:val="standardContextual"/>
        </w:rPr>
        <w:t> información sobre sanciones e inhabilidades </w:t>
      </w:r>
      <w:r w:rsidRPr="0001720C">
        <w:rPr>
          <w:rFonts w:ascii="Verdana" w:eastAsia="Aptos" w:hAnsi="Verdana" w:cs="Times New Roman"/>
          <w:kern w:val="2"/>
          <w14:ligatures w14:val="standardContextual"/>
        </w:rPr>
        <w:t>solo cumple su función preventiva si llega oportunamente a los registros públicos. Sobre este deber, esta Agencia expidió la </w:t>
      </w:r>
      <w:r w:rsidRPr="0001720C">
        <w:rPr>
          <w:rFonts w:ascii="Verdana" w:eastAsia="Aptos" w:hAnsi="Verdana" w:cs="Times New Roman"/>
          <w:b/>
          <w:bCs/>
          <w:kern w:val="2"/>
          <w14:ligatures w14:val="standardContextual"/>
        </w:rPr>
        <w:t>Circular Externa 002 del 5 de mayo de 2026,</w:t>
      </w:r>
      <w:r w:rsidRPr="0001720C">
        <w:rPr>
          <w:rFonts w:ascii="Verdana" w:eastAsia="Aptos" w:hAnsi="Verdana" w:cs="Times New Roman"/>
          <w:kern w:val="2"/>
          <w14:ligatures w14:val="standardContextual"/>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w:t>
      </w:r>
      <w:r w:rsidRPr="0001720C">
        <w:rPr>
          <w:rFonts w:ascii="Verdana" w:eastAsia="Aptos" w:hAnsi="Verdana" w:cs="Times New Roman"/>
          <w:kern w:val="2"/>
          <w14:ligatures w14:val="standardContextual"/>
        </w:rPr>
        <w:lastRenderedPageBreak/>
        <w:t>aquí: </w:t>
      </w:r>
      <w:hyperlink r:id="rId15" w:tgtFrame="_blank" w:tooltip="Original URL: https://www.colombiacompra.gov.co/archivos/circular/circular-externa-002-de-2026. Click or tap if you trust this link." w:history="1">
        <w:r w:rsidRPr="0001720C">
          <w:rPr>
            <w:rFonts w:ascii="Verdana" w:eastAsia="Aptos" w:hAnsi="Verdana" w:cs="Times New Roman"/>
            <w:color w:val="0000FF"/>
            <w:kern w:val="2"/>
            <w:u w:val="single"/>
            <w14:ligatures w14:val="standardContextual"/>
          </w:rPr>
          <w:t>https://www.colombiacompra.gov.co/archivos/circular/circular-externa-002-de-2026</w:t>
        </w:r>
      </w:hyperlink>
    </w:p>
    <w:p w14:paraId="6CCFA315" w14:textId="77777777" w:rsidR="0001720C" w:rsidRPr="0001720C" w:rsidRDefault="0001720C" w:rsidP="0001720C">
      <w:pPr>
        <w:spacing w:after="0" w:line="276" w:lineRule="auto"/>
        <w:jc w:val="both"/>
        <w:rPr>
          <w:rFonts w:ascii="Verdana" w:eastAsia="Aptos" w:hAnsi="Verdana" w:cs="Times New Roman"/>
          <w:kern w:val="2"/>
          <w14:ligatures w14:val="standardContextual"/>
        </w:rPr>
      </w:pPr>
    </w:p>
    <w:p w14:paraId="74B0405B" w14:textId="77777777" w:rsidR="0001720C" w:rsidRPr="0001720C" w:rsidRDefault="0001720C" w:rsidP="0001720C">
      <w:pPr>
        <w:spacing w:after="0" w:line="276" w:lineRule="auto"/>
        <w:jc w:val="both"/>
        <w:rPr>
          <w:rFonts w:ascii="Verdana" w:eastAsia="Aptos" w:hAnsi="Verdana" w:cs="Times New Roman"/>
          <w:kern w:val="2"/>
          <w14:ligatures w14:val="standardContextual"/>
        </w:rPr>
      </w:pPr>
      <w:r w:rsidRPr="0001720C">
        <w:rPr>
          <w:rFonts w:ascii="Verdana" w:eastAsia="Aptos" w:hAnsi="Verdana" w:cs="Times New Roman"/>
          <w:kern w:val="2"/>
          <w14:ligatures w14:val="standardContextual"/>
        </w:rPr>
        <w:t>Finalmente, si quiere seguir de cerca la actividad de la Agencia, la tercera edición de 2026 del</w:t>
      </w:r>
      <w:r w:rsidRPr="0001720C">
        <w:rPr>
          <w:rFonts w:ascii="Verdana" w:eastAsia="Aptos" w:hAnsi="Verdana" w:cs="Times New Roman"/>
          <w:b/>
          <w:bCs/>
          <w:kern w:val="2"/>
          <w14:ligatures w14:val="standardContextual"/>
        </w:rPr>
        <w:t> Radar de la Compra Pública</w:t>
      </w:r>
      <w:r w:rsidRPr="0001720C">
        <w:rPr>
          <w:rFonts w:ascii="Verdana" w:eastAsia="Aptos" w:hAnsi="Verdana" w:cs="Times New Roman"/>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6" w:tgtFrame="_blank" w:tooltip="Original URL: https://www.colombiacompra.gov.co/archivos/boletin/boletin-edicion-n-3-de-2026-radar-de-la-compra-publica. Click or tap if you trust this link." w:history="1">
        <w:r w:rsidRPr="0001720C">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28A1DA45" w14:textId="77777777" w:rsidR="0001720C" w:rsidRPr="0001720C" w:rsidRDefault="0001720C" w:rsidP="0001720C">
      <w:pPr>
        <w:widowControl w:val="0"/>
        <w:autoSpaceDE w:val="0"/>
        <w:autoSpaceDN w:val="0"/>
        <w:spacing w:after="0" w:line="276" w:lineRule="auto"/>
        <w:jc w:val="both"/>
        <w:rPr>
          <w:rFonts w:ascii="Verdana" w:eastAsia="Calibri" w:hAnsi="Verdana" w:cs="Arial"/>
          <w:shd w:val="clear" w:color="auto" w:fill="FFFFFF"/>
          <w:lang w:val="es-ES_tradnl"/>
        </w:rPr>
      </w:pPr>
    </w:p>
    <w:p w14:paraId="643F629B" w14:textId="77777777" w:rsidR="0001720C" w:rsidRPr="0001720C" w:rsidRDefault="0001720C" w:rsidP="0001720C">
      <w:pPr>
        <w:spacing w:after="0" w:line="276" w:lineRule="auto"/>
        <w:jc w:val="both"/>
        <w:rPr>
          <w:rFonts w:ascii="Verdana" w:eastAsia="Calibri" w:hAnsi="Verdana" w:cs="Times New Roman"/>
          <w:lang w:val="es-ES_tradnl"/>
        </w:rPr>
      </w:pPr>
      <w:r w:rsidRPr="0001720C">
        <w:rPr>
          <w:rFonts w:ascii="Verdana" w:eastAsia="Calibri" w:hAnsi="Verdana" w:cs="Times New Roman"/>
          <w:lang w:val="es-ES_tradnl"/>
        </w:rPr>
        <w:t xml:space="preserve">Por último, los invitamos a seguirnos en las redes sociales, en las cuales se difunde información institucional: </w:t>
      </w:r>
    </w:p>
    <w:p w14:paraId="6EB6B078" w14:textId="77777777" w:rsidR="0001720C" w:rsidRPr="0001720C" w:rsidRDefault="0001720C" w:rsidP="0001720C">
      <w:pPr>
        <w:spacing w:after="0" w:line="240" w:lineRule="auto"/>
        <w:jc w:val="both"/>
        <w:rPr>
          <w:rFonts w:ascii="Verdana" w:eastAsia="Calibri" w:hAnsi="Verdana" w:cs="Times New Roman"/>
          <w:kern w:val="2"/>
          <w:lang w:val="es-ES_tradnl" w:eastAsia="es-MX"/>
          <w14:ligatures w14:val="standardContextual"/>
        </w:rPr>
      </w:pPr>
    </w:p>
    <w:p w14:paraId="719CD577" w14:textId="77777777" w:rsidR="0001720C" w:rsidRPr="0001720C" w:rsidRDefault="0001720C" w:rsidP="0001720C">
      <w:pPr>
        <w:spacing w:after="0" w:line="240" w:lineRule="auto"/>
        <w:jc w:val="both"/>
        <w:rPr>
          <w:rFonts w:ascii="Verdana" w:eastAsia="Calibri" w:hAnsi="Verdana" w:cs="Times New Roman"/>
          <w:kern w:val="2"/>
          <w:lang w:val="es-ES_tradnl" w:eastAsia="es-MX"/>
          <w14:ligatures w14:val="standardContextual"/>
        </w:rPr>
      </w:pPr>
      <w:r w:rsidRPr="0001720C">
        <w:rPr>
          <w:rFonts w:ascii="Verdana" w:eastAsia="Calibri" w:hAnsi="Verdana" w:cs="Times New Roman"/>
          <w:kern w:val="2"/>
          <w:lang w:val="es-ES_tradnl" w:eastAsia="es-MX"/>
          <w14:ligatures w14:val="standardContextual"/>
        </w:rPr>
        <w:t xml:space="preserve">X: </w:t>
      </w:r>
      <w:r w:rsidRPr="0001720C">
        <w:rPr>
          <w:rFonts w:ascii="Verdana" w:eastAsia="Calibri" w:hAnsi="Verdana" w:cs="Times New Roman"/>
          <w:kern w:val="2"/>
          <w:u w:val="single"/>
          <w:lang w:val="es-ES_tradnl" w:eastAsia="es-MX"/>
          <w14:ligatures w14:val="standardContextual"/>
        </w:rPr>
        <w:t>@colombiacompra</w:t>
      </w:r>
      <w:r w:rsidRPr="0001720C">
        <w:rPr>
          <w:rFonts w:ascii="Verdana" w:eastAsia="Calibri" w:hAnsi="Verdana" w:cs="Times New Roman"/>
          <w:kern w:val="2"/>
          <w:lang w:val="es-ES_tradnl" w:eastAsia="es-MX"/>
          <w14:ligatures w14:val="standardContextual"/>
        </w:rPr>
        <w:t xml:space="preserve"> </w:t>
      </w:r>
    </w:p>
    <w:p w14:paraId="28B62966" w14:textId="77777777" w:rsidR="0001720C" w:rsidRPr="0001720C" w:rsidRDefault="0001720C" w:rsidP="0001720C">
      <w:pPr>
        <w:spacing w:after="0" w:line="240" w:lineRule="auto"/>
        <w:jc w:val="both"/>
        <w:rPr>
          <w:rFonts w:ascii="Verdana" w:eastAsia="Calibri" w:hAnsi="Verdana" w:cs="Times New Roman"/>
          <w:kern w:val="2"/>
          <w:lang w:val="es-ES" w:eastAsia="es-MX"/>
          <w14:ligatures w14:val="standardContextual"/>
        </w:rPr>
      </w:pPr>
      <w:r w:rsidRPr="0001720C">
        <w:rPr>
          <w:rFonts w:ascii="Verdana" w:eastAsia="Calibri" w:hAnsi="Verdana" w:cs="Times New Roman"/>
          <w:kern w:val="2"/>
          <w:lang w:val="es-ES" w:eastAsia="es-MX"/>
          <w14:ligatures w14:val="standardContextual"/>
        </w:rPr>
        <w:t xml:space="preserve">Facebook: </w:t>
      </w:r>
      <w:proofErr w:type="spellStart"/>
      <w:r w:rsidRPr="0001720C">
        <w:rPr>
          <w:rFonts w:ascii="Verdana" w:eastAsia="Calibri" w:hAnsi="Verdana" w:cs="Times New Roman"/>
          <w:kern w:val="2"/>
          <w:u w:val="single"/>
          <w:lang w:val="es-ES" w:eastAsia="es-MX"/>
          <w14:ligatures w14:val="standardContextual"/>
        </w:rPr>
        <w:t>ColombiaCompraEficiente</w:t>
      </w:r>
      <w:proofErr w:type="spellEnd"/>
    </w:p>
    <w:p w14:paraId="6F5EE892" w14:textId="77777777" w:rsidR="0001720C" w:rsidRPr="0001720C" w:rsidRDefault="0001720C" w:rsidP="0001720C">
      <w:pPr>
        <w:spacing w:after="0" w:line="240" w:lineRule="auto"/>
        <w:jc w:val="both"/>
        <w:rPr>
          <w:rFonts w:ascii="Verdana" w:eastAsia="Calibri" w:hAnsi="Verdana" w:cs="Times New Roman"/>
          <w:kern w:val="2"/>
          <w:lang w:val="es-ES_tradnl" w:eastAsia="es-MX"/>
          <w14:ligatures w14:val="standardContextual"/>
        </w:rPr>
      </w:pPr>
      <w:r w:rsidRPr="0001720C">
        <w:rPr>
          <w:rFonts w:ascii="Verdana" w:eastAsia="Calibri" w:hAnsi="Verdana" w:cs="Times New Roman"/>
          <w:kern w:val="2"/>
          <w:lang w:val="es-ES_tradnl" w:eastAsia="es-MX"/>
          <w14:ligatures w14:val="standardContextual"/>
        </w:rPr>
        <w:t xml:space="preserve">LinkedIn: </w:t>
      </w:r>
      <w:r w:rsidRPr="0001720C">
        <w:rPr>
          <w:rFonts w:ascii="Verdana" w:eastAsia="Calibri" w:hAnsi="Verdana" w:cs="Times New Roman"/>
          <w:kern w:val="2"/>
          <w:u w:val="single"/>
          <w:lang w:val="es-ES_tradnl" w:eastAsia="es-MX"/>
          <w14:ligatures w14:val="standardContextual"/>
        </w:rPr>
        <w:t>Agencia Nacional de Contratación Pública - Colombia Compra Eficiente</w:t>
      </w:r>
      <w:r w:rsidRPr="0001720C">
        <w:rPr>
          <w:rFonts w:ascii="Verdana" w:eastAsia="Calibri" w:hAnsi="Verdana" w:cs="Times New Roman"/>
          <w:kern w:val="2"/>
          <w:lang w:val="es-ES_tradnl" w:eastAsia="es-MX"/>
          <w14:ligatures w14:val="standardContextual"/>
        </w:rPr>
        <w:t xml:space="preserve"> Instagram: </w:t>
      </w:r>
      <w:r w:rsidRPr="0001720C">
        <w:rPr>
          <w:rFonts w:ascii="Verdana" w:eastAsia="Calibri" w:hAnsi="Verdana" w:cs="Times New Roman"/>
          <w:kern w:val="2"/>
          <w:u w:val="single"/>
          <w:lang w:val="es-ES_tradnl" w:eastAsia="es-MX"/>
          <w14:ligatures w14:val="standardContextual"/>
        </w:rPr>
        <w:t>@colombiacompraeficiente_cce</w:t>
      </w:r>
    </w:p>
    <w:p w14:paraId="270D23EC" w14:textId="77777777" w:rsidR="0001720C" w:rsidRDefault="0001720C" w:rsidP="0001720C">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14077031" w14:textId="77777777" w:rsidR="00525F0A" w:rsidRDefault="00525F0A" w:rsidP="0001720C">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34BEAAFD" w14:textId="77777777" w:rsidR="00525F0A" w:rsidRDefault="00525F0A" w:rsidP="0001720C">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07C4F3CE" w14:textId="77777777" w:rsidR="00525F0A" w:rsidRDefault="00525F0A" w:rsidP="0001720C">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422C4682" w14:textId="77777777" w:rsidR="00525F0A" w:rsidRDefault="00525F0A" w:rsidP="0001720C">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1F33C7FD" w14:textId="77777777" w:rsidR="00525F0A" w:rsidRDefault="00525F0A" w:rsidP="0001720C">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3777F4EC" w14:textId="77777777" w:rsidR="00525F0A" w:rsidRDefault="00525F0A" w:rsidP="0001720C">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4D655997" w14:textId="77777777" w:rsidR="00525F0A" w:rsidRDefault="00525F0A" w:rsidP="0001720C">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392F742F" w14:textId="77777777" w:rsidR="00525F0A" w:rsidRDefault="00525F0A" w:rsidP="0001720C">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5C6D759D" w14:textId="77777777" w:rsidR="00525F0A" w:rsidRDefault="00525F0A" w:rsidP="0001720C">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0DBCF499" w14:textId="77777777" w:rsidR="00525F0A" w:rsidRDefault="00525F0A" w:rsidP="0001720C">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15D0A8D9" w14:textId="77777777" w:rsidR="00525F0A" w:rsidRDefault="00525F0A" w:rsidP="0001720C">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38FF025A" w14:textId="77777777" w:rsidR="00525F0A" w:rsidRDefault="00525F0A" w:rsidP="0001720C">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5BBF5C38" w14:textId="77777777" w:rsidR="00525F0A" w:rsidRDefault="00525F0A" w:rsidP="0001720C">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0FABA1E9" w14:textId="77777777" w:rsidR="00525F0A" w:rsidRDefault="00525F0A" w:rsidP="0001720C">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2FA123BD" w14:textId="77777777" w:rsidR="00525F0A" w:rsidRDefault="00525F0A" w:rsidP="0001720C">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0A274EA8" w14:textId="77777777" w:rsidR="00525F0A" w:rsidRDefault="00525F0A" w:rsidP="0001720C">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46FF461D" w14:textId="77777777" w:rsidR="00525F0A" w:rsidRPr="0001720C" w:rsidRDefault="00525F0A" w:rsidP="0001720C">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3E27EA61" w14:textId="77777777" w:rsidR="0001720C" w:rsidRPr="0001720C" w:rsidRDefault="0001720C" w:rsidP="0001720C">
      <w:pPr>
        <w:widowControl w:val="0"/>
        <w:autoSpaceDE w:val="0"/>
        <w:autoSpaceDN w:val="0"/>
        <w:spacing w:after="0" w:line="276" w:lineRule="auto"/>
        <w:jc w:val="both"/>
        <w:rPr>
          <w:rFonts w:ascii="Verdana" w:eastAsia="Calibri" w:hAnsi="Verdana" w:cs="Arial"/>
          <w:lang w:eastAsia="es-MX"/>
        </w:rPr>
      </w:pPr>
      <w:r w:rsidRPr="0001720C">
        <w:rPr>
          <w:rFonts w:ascii="Verdana" w:eastAsia="Calibri" w:hAnsi="Verdana" w:cs="Arial"/>
          <w:kern w:val="2"/>
          <w:lang w:val="es-ES_tradnl" w:eastAsia="es-MX"/>
          <w14:ligatures w14:val="standardContextual"/>
        </w:rPr>
        <w:lastRenderedPageBreak/>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C575652" w14:textId="77777777" w:rsidR="0001720C" w:rsidRPr="0001720C" w:rsidRDefault="0001720C" w:rsidP="0001720C">
      <w:pPr>
        <w:widowControl w:val="0"/>
        <w:autoSpaceDE w:val="0"/>
        <w:autoSpaceDN w:val="0"/>
        <w:spacing w:after="0" w:line="276" w:lineRule="auto"/>
        <w:jc w:val="both"/>
        <w:rPr>
          <w:rFonts w:ascii="Verdana" w:eastAsia="Calibri" w:hAnsi="Verdana" w:cs="Arial"/>
          <w:lang w:eastAsia="es-MX"/>
        </w:rPr>
      </w:pPr>
    </w:p>
    <w:p w14:paraId="5D973B6A" w14:textId="77777777" w:rsidR="0001720C" w:rsidRPr="0001720C" w:rsidRDefault="0001720C" w:rsidP="0001720C">
      <w:pPr>
        <w:spacing w:after="0" w:line="240" w:lineRule="auto"/>
        <w:rPr>
          <w:rFonts w:ascii="Verdana" w:eastAsia="Calibri" w:hAnsi="Verdana" w:cs="Arial"/>
          <w:lang w:eastAsia="es-CO"/>
        </w:rPr>
      </w:pPr>
      <w:r w:rsidRPr="0001720C">
        <w:rPr>
          <w:rFonts w:ascii="Verdana" w:eastAsia="Times New Roman" w:hAnsi="Verdana" w:cs="Arial"/>
          <w:lang w:eastAsia="es-CO"/>
        </w:rPr>
        <w:t>Atentamente,</w:t>
      </w:r>
      <w:r w:rsidRPr="0001720C">
        <w:rPr>
          <w:rFonts w:ascii="Verdana" w:eastAsia="Calibri" w:hAnsi="Verdana" w:cs="Arial"/>
          <w:lang w:eastAsia="es-CO"/>
        </w:rPr>
        <w:t xml:space="preserve"> </w:t>
      </w:r>
    </w:p>
    <w:p w14:paraId="0DCF311F" w14:textId="059395CA" w:rsidR="0001720C" w:rsidRPr="0001720C" w:rsidRDefault="00751E2A" w:rsidP="0001720C">
      <w:pPr>
        <w:tabs>
          <w:tab w:val="left" w:pos="1320"/>
        </w:tabs>
        <w:spacing w:after="0" w:line="240" w:lineRule="auto"/>
        <w:jc w:val="center"/>
        <w:rPr>
          <w:rFonts w:ascii="Verdana" w:eastAsia="Calibri" w:hAnsi="Verdana" w:cs="Times New Roman"/>
          <w:sz w:val="24"/>
          <w:szCs w:val="24"/>
          <w:lang w:eastAsia="es-MX"/>
        </w:rPr>
      </w:pPr>
      <w:r w:rsidRPr="002C3AD6">
        <w:rPr>
          <w:rFonts w:ascii="Century Gothic" w:hAnsi="Century Gothic"/>
          <w:noProof/>
        </w:rPr>
        <w:drawing>
          <wp:inline distT="0" distB="0" distL="0" distR="0" wp14:anchorId="09E62A1F" wp14:editId="5DEAA287">
            <wp:extent cx="3200400" cy="1188026"/>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219498" cy="1195115"/>
                    </a:xfrm>
                    <a:prstGeom prst="rect">
                      <a:avLst/>
                    </a:prstGeom>
                  </pic:spPr>
                </pic:pic>
              </a:graphicData>
            </a:graphic>
          </wp:inline>
        </w:drawing>
      </w:r>
    </w:p>
    <w:tbl>
      <w:tblPr>
        <w:tblStyle w:val="Tablaconcuadrcula"/>
        <w:tblW w:w="6521" w:type="dxa"/>
        <w:tblLook w:val="04A0" w:firstRow="1" w:lastRow="0" w:firstColumn="1" w:lastColumn="0" w:noHBand="0" w:noVBand="1"/>
      </w:tblPr>
      <w:tblGrid>
        <w:gridCol w:w="893"/>
        <w:gridCol w:w="5628"/>
      </w:tblGrid>
      <w:tr w:rsidR="0001720C" w:rsidRPr="0001720C" w14:paraId="203C9233" w14:textId="77777777" w:rsidTr="002175C9">
        <w:trPr>
          <w:trHeight w:val="315"/>
        </w:trPr>
        <w:tc>
          <w:tcPr>
            <w:tcW w:w="893" w:type="dxa"/>
            <w:tcBorders>
              <w:top w:val="nil"/>
              <w:left w:val="nil"/>
              <w:bottom w:val="nil"/>
              <w:right w:val="nil"/>
            </w:tcBorders>
            <w:vAlign w:val="center"/>
            <w:hideMark/>
          </w:tcPr>
          <w:p w14:paraId="609C1D0B" w14:textId="77777777" w:rsidR="0001720C" w:rsidRPr="0001720C" w:rsidRDefault="0001720C" w:rsidP="0001720C">
            <w:pPr>
              <w:rPr>
                <w:rFonts w:ascii="Verdana" w:eastAsia="Calibri" w:hAnsi="Verdana" w:cs="Arial"/>
                <w:sz w:val="16"/>
                <w:szCs w:val="16"/>
                <w:lang w:eastAsia="es-ES"/>
              </w:rPr>
            </w:pPr>
            <w:r w:rsidRPr="0001720C">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60132455" w14:textId="77777777" w:rsidR="0001720C" w:rsidRPr="0001720C" w:rsidRDefault="0001720C" w:rsidP="0001720C">
            <w:pPr>
              <w:rPr>
                <w:rFonts w:ascii="Verdana" w:eastAsia="Arial" w:hAnsi="Verdana" w:cs="Arial"/>
                <w:sz w:val="16"/>
                <w:szCs w:val="16"/>
                <w:lang w:eastAsia="es-MX"/>
              </w:rPr>
            </w:pPr>
            <w:r w:rsidRPr="0001720C">
              <w:rPr>
                <w:rFonts w:ascii="Verdana" w:eastAsia="Arial" w:hAnsi="Verdana" w:cs="Arial"/>
                <w:sz w:val="16"/>
                <w:szCs w:val="16"/>
                <w:lang w:eastAsia="es-MX"/>
              </w:rPr>
              <w:t>Kevin Arlid Herrera Santa</w:t>
            </w:r>
          </w:p>
          <w:p w14:paraId="5965BBF3" w14:textId="77777777" w:rsidR="0001720C" w:rsidRPr="0001720C" w:rsidRDefault="0001720C" w:rsidP="0001720C">
            <w:pPr>
              <w:rPr>
                <w:rFonts w:ascii="Verdana" w:eastAsia="Arial" w:hAnsi="Verdana" w:cs="Arial"/>
                <w:sz w:val="16"/>
                <w:szCs w:val="16"/>
                <w:lang w:eastAsia="es-MX"/>
              </w:rPr>
            </w:pPr>
            <w:r w:rsidRPr="0001720C">
              <w:rPr>
                <w:rFonts w:ascii="Verdana" w:eastAsia="Arial" w:hAnsi="Verdana" w:cs="Arial"/>
                <w:sz w:val="16"/>
                <w:szCs w:val="16"/>
                <w:lang w:eastAsia="es-MX"/>
              </w:rPr>
              <w:t>Contratista de la Subdirección de Gestión Contractual</w:t>
            </w:r>
          </w:p>
          <w:p w14:paraId="2EE848C6" w14:textId="77777777" w:rsidR="0001720C" w:rsidRPr="0001720C" w:rsidRDefault="0001720C" w:rsidP="0001720C">
            <w:pPr>
              <w:rPr>
                <w:rFonts w:ascii="Verdana" w:eastAsia="Arial" w:hAnsi="Verdana" w:cs="Arial"/>
                <w:sz w:val="16"/>
                <w:szCs w:val="16"/>
                <w:lang w:eastAsia="es-MX"/>
              </w:rPr>
            </w:pPr>
          </w:p>
        </w:tc>
      </w:tr>
      <w:tr w:rsidR="0001720C" w:rsidRPr="0001720C" w14:paraId="67B2D7BD" w14:textId="77777777" w:rsidTr="002175C9">
        <w:trPr>
          <w:trHeight w:val="330"/>
        </w:trPr>
        <w:tc>
          <w:tcPr>
            <w:tcW w:w="893" w:type="dxa"/>
            <w:tcBorders>
              <w:top w:val="nil"/>
              <w:left w:val="nil"/>
              <w:bottom w:val="nil"/>
              <w:right w:val="nil"/>
            </w:tcBorders>
            <w:vAlign w:val="center"/>
            <w:hideMark/>
          </w:tcPr>
          <w:p w14:paraId="4EC15FD4" w14:textId="77777777" w:rsidR="0001720C" w:rsidRPr="0001720C" w:rsidRDefault="0001720C" w:rsidP="0001720C">
            <w:pPr>
              <w:rPr>
                <w:rFonts w:ascii="Verdana" w:eastAsia="Calibri" w:hAnsi="Verdana" w:cs="Arial"/>
                <w:sz w:val="16"/>
                <w:szCs w:val="16"/>
                <w:lang w:eastAsia="es-ES"/>
              </w:rPr>
            </w:pPr>
            <w:r w:rsidRPr="0001720C">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6B8635C9" w14:textId="77777777" w:rsidR="0001720C" w:rsidRPr="0001720C" w:rsidRDefault="0001720C" w:rsidP="0001720C">
            <w:pPr>
              <w:textAlignment w:val="baseline"/>
              <w:rPr>
                <w:rFonts w:ascii="Verdana" w:eastAsia="Times New Roman" w:hAnsi="Verdana" w:cs="Segoe UI"/>
                <w:sz w:val="16"/>
                <w:szCs w:val="16"/>
                <w:lang w:val="es-ES" w:eastAsia="es-ES"/>
              </w:rPr>
            </w:pPr>
            <w:r w:rsidRPr="0001720C">
              <w:rPr>
                <w:rFonts w:ascii="Verdana" w:eastAsia="Times New Roman" w:hAnsi="Verdana" w:cs="Segoe UI"/>
                <w:sz w:val="16"/>
                <w:szCs w:val="16"/>
                <w:lang w:val="es-ES" w:eastAsia="es-ES"/>
              </w:rPr>
              <w:t>Juan David Cárdenas Cabeza</w:t>
            </w:r>
          </w:p>
          <w:p w14:paraId="16CA3DD5" w14:textId="77777777" w:rsidR="0001720C" w:rsidRPr="0001720C" w:rsidRDefault="0001720C" w:rsidP="0001720C">
            <w:pPr>
              <w:textAlignment w:val="baseline"/>
              <w:rPr>
                <w:rFonts w:ascii="Verdana" w:eastAsia="Times New Roman" w:hAnsi="Verdana" w:cs="Segoe UI"/>
                <w:sz w:val="16"/>
                <w:szCs w:val="16"/>
                <w:lang w:eastAsia="es-ES_tradnl"/>
              </w:rPr>
            </w:pPr>
            <w:r w:rsidRPr="0001720C">
              <w:rPr>
                <w:rFonts w:ascii="Verdana" w:eastAsia="Times New Roman" w:hAnsi="Verdana" w:cs="Arial"/>
                <w:sz w:val="16"/>
                <w:szCs w:val="16"/>
                <w:lang w:val="es-ES_tradnl" w:eastAsia="es-ES_tradnl"/>
              </w:rPr>
              <w:t>Contratista de la Subdirección de Gestión Contractual </w:t>
            </w:r>
          </w:p>
        </w:tc>
      </w:tr>
      <w:tr w:rsidR="0001720C" w:rsidRPr="0001720C" w14:paraId="25C4EFB8" w14:textId="77777777" w:rsidTr="002175C9">
        <w:trPr>
          <w:trHeight w:val="300"/>
        </w:trPr>
        <w:tc>
          <w:tcPr>
            <w:tcW w:w="893" w:type="dxa"/>
            <w:tcBorders>
              <w:top w:val="nil"/>
              <w:left w:val="nil"/>
              <w:bottom w:val="nil"/>
              <w:right w:val="nil"/>
            </w:tcBorders>
            <w:vAlign w:val="center"/>
          </w:tcPr>
          <w:p w14:paraId="530B52D0" w14:textId="77777777" w:rsidR="0001720C" w:rsidRPr="0001720C" w:rsidRDefault="0001720C" w:rsidP="0001720C">
            <w:pPr>
              <w:rPr>
                <w:rFonts w:ascii="Verdana" w:eastAsia="Calibri" w:hAnsi="Verdana" w:cs="Arial"/>
                <w:sz w:val="16"/>
                <w:szCs w:val="16"/>
                <w:lang w:eastAsia="es-ES"/>
              </w:rPr>
            </w:pPr>
            <w:r w:rsidRPr="0001720C">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7474D7A4" w14:textId="77777777" w:rsidR="0001720C" w:rsidRPr="0001720C" w:rsidRDefault="0001720C" w:rsidP="0001720C">
            <w:pPr>
              <w:rPr>
                <w:rFonts w:ascii="Verdana" w:eastAsia="Calibri" w:hAnsi="Verdana" w:cs="Arial"/>
                <w:sz w:val="16"/>
                <w:szCs w:val="16"/>
                <w:lang w:eastAsia="es-ES"/>
              </w:rPr>
            </w:pPr>
            <w:r w:rsidRPr="0001720C">
              <w:rPr>
                <w:rFonts w:ascii="Verdana" w:eastAsia="Calibri" w:hAnsi="Verdana" w:cs="Arial"/>
                <w:sz w:val="16"/>
                <w:szCs w:val="16"/>
                <w:lang w:eastAsia="es-ES"/>
              </w:rPr>
              <w:t>Carolina Quintero Gacharná</w:t>
            </w:r>
          </w:p>
          <w:p w14:paraId="4181A5DD" w14:textId="77777777" w:rsidR="0001720C" w:rsidRPr="0001720C" w:rsidRDefault="0001720C" w:rsidP="0001720C">
            <w:pPr>
              <w:rPr>
                <w:rFonts w:ascii="Verdana" w:eastAsia="Calibri" w:hAnsi="Verdana" w:cs="Arial"/>
                <w:sz w:val="16"/>
                <w:szCs w:val="16"/>
                <w:lang w:eastAsia="es-ES"/>
              </w:rPr>
            </w:pPr>
            <w:r w:rsidRPr="0001720C">
              <w:rPr>
                <w:rFonts w:ascii="Verdana" w:eastAsia="Calibri" w:hAnsi="Verdana" w:cs="Arial"/>
                <w:sz w:val="16"/>
                <w:szCs w:val="16"/>
                <w:lang w:eastAsia="es-ES"/>
              </w:rPr>
              <w:t>Subdirectora de Gestión Contractual ANCP – CCE</w:t>
            </w:r>
          </w:p>
        </w:tc>
      </w:tr>
    </w:tbl>
    <w:p w14:paraId="12443EE0" w14:textId="5C4FDD25" w:rsidR="00C15139" w:rsidRPr="0024624F" w:rsidRDefault="00C15139" w:rsidP="0001720C">
      <w:pPr>
        <w:spacing w:after="0" w:line="240" w:lineRule="auto"/>
        <w:textAlignment w:val="baseline"/>
        <w:rPr>
          <w:rFonts w:ascii="Verdana" w:eastAsia="Verdana" w:hAnsi="Verdana" w:cs="Verdana"/>
          <w:lang w:eastAsia="es-CO"/>
        </w:rPr>
      </w:pPr>
    </w:p>
    <w:p w14:paraId="69BC4D14" w14:textId="6F612F7B"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0193E" w14:textId="77777777" w:rsidR="009D161A" w:rsidRDefault="009D161A" w:rsidP="004A1847">
      <w:pPr>
        <w:spacing w:after="0" w:line="240" w:lineRule="auto"/>
      </w:pPr>
      <w:r>
        <w:separator/>
      </w:r>
    </w:p>
  </w:endnote>
  <w:endnote w:type="continuationSeparator" w:id="0">
    <w:p w14:paraId="6CAA5FA3" w14:textId="77777777" w:rsidR="009D161A" w:rsidRDefault="009D161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0B5F4" w14:textId="77777777" w:rsidR="009D161A" w:rsidRDefault="009D161A" w:rsidP="004A1847">
      <w:pPr>
        <w:spacing w:after="0" w:line="240" w:lineRule="auto"/>
      </w:pPr>
      <w:r>
        <w:separator/>
      </w:r>
    </w:p>
  </w:footnote>
  <w:footnote w:type="continuationSeparator" w:id="0">
    <w:p w14:paraId="65A26B39" w14:textId="77777777" w:rsidR="009D161A" w:rsidRDefault="009D161A"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1720C"/>
    <w:rsid w:val="00046945"/>
    <w:rsid w:val="00061B2A"/>
    <w:rsid w:val="00082362"/>
    <w:rsid w:val="000A683E"/>
    <w:rsid w:val="000B19B9"/>
    <w:rsid w:val="000D0334"/>
    <w:rsid w:val="000D5DA7"/>
    <w:rsid w:val="000F6486"/>
    <w:rsid w:val="00116940"/>
    <w:rsid w:val="00125105"/>
    <w:rsid w:val="00127233"/>
    <w:rsid w:val="0015699B"/>
    <w:rsid w:val="00171BE6"/>
    <w:rsid w:val="001A33BF"/>
    <w:rsid w:val="001B30AF"/>
    <w:rsid w:val="001E4177"/>
    <w:rsid w:val="001F0B24"/>
    <w:rsid w:val="001F25D1"/>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B0214"/>
    <w:rsid w:val="004F21C4"/>
    <w:rsid w:val="004F685F"/>
    <w:rsid w:val="00507941"/>
    <w:rsid w:val="00525F0A"/>
    <w:rsid w:val="005566E8"/>
    <w:rsid w:val="00574867"/>
    <w:rsid w:val="00590FA7"/>
    <w:rsid w:val="00591460"/>
    <w:rsid w:val="005A65E0"/>
    <w:rsid w:val="005C3777"/>
    <w:rsid w:val="005C5CDC"/>
    <w:rsid w:val="005D476C"/>
    <w:rsid w:val="006200BF"/>
    <w:rsid w:val="006219F8"/>
    <w:rsid w:val="006302F7"/>
    <w:rsid w:val="00646B9F"/>
    <w:rsid w:val="00665D70"/>
    <w:rsid w:val="006900D9"/>
    <w:rsid w:val="00706C16"/>
    <w:rsid w:val="007340C3"/>
    <w:rsid w:val="00751E2A"/>
    <w:rsid w:val="0075235A"/>
    <w:rsid w:val="00756841"/>
    <w:rsid w:val="007649AB"/>
    <w:rsid w:val="00771D0C"/>
    <w:rsid w:val="007725A7"/>
    <w:rsid w:val="007833AC"/>
    <w:rsid w:val="007B268C"/>
    <w:rsid w:val="007B7171"/>
    <w:rsid w:val="007C0C0F"/>
    <w:rsid w:val="007C3DC2"/>
    <w:rsid w:val="007E5497"/>
    <w:rsid w:val="007F3FF7"/>
    <w:rsid w:val="00806F5F"/>
    <w:rsid w:val="00820278"/>
    <w:rsid w:val="008258C9"/>
    <w:rsid w:val="00844AE9"/>
    <w:rsid w:val="008659C6"/>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1EB3"/>
    <w:rsid w:val="009C71FA"/>
    <w:rsid w:val="009C72E7"/>
    <w:rsid w:val="009C7F7E"/>
    <w:rsid w:val="009D161A"/>
    <w:rsid w:val="009D3058"/>
    <w:rsid w:val="009F3A13"/>
    <w:rsid w:val="00A122D3"/>
    <w:rsid w:val="00A14468"/>
    <w:rsid w:val="00A17F13"/>
    <w:rsid w:val="00A20739"/>
    <w:rsid w:val="00A23AF9"/>
    <w:rsid w:val="00A33C78"/>
    <w:rsid w:val="00A375F4"/>
    <w:rsid w:val="00AB0ADB"/>
    <w:rsid w:val="00B00C0E"/>
    <w:rsid w:val="00B01B1A"/>
    <w:rsid w:val="00B0381D"/>
    <w:rsid w:val="00B26307"/>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A9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D0EC3"/>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3FA5B0C-0DAB-4890-95DC-481F8CD703EF}"/>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13</Pages>
  <Words>4243</Words>
  <Characters>23341</Characters>
  <Application>Microsoft Office Word</Application>
  <DocSecurity>0</DocSecurity>
  <Lines>194</Lines>
  <Paragraphs>55</Paragraphs>
  <ScaleCrop>false</ScaleCrop>
  <Company/>
  <LinksUpToDate>false</LinksUpToDate>
  <CharactersWithSpaces>27529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5</cp:revision>
  <cp:lastPrinted>2023-01-10T21:18:00Z</cp:lastPrinted>
  <dcterms:created xsi:type="dcterms:W3CDTF">2026-09-24T15:58:00Z</dcterms:created>
  <dcterms:modified xsi:type="dcterms:W3CDTF">2026-09-29T21:11:00Z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