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BCDC0" w14:textId="77777777" w:rsidR="00E32B88" w:rsidRPr="00E32B88" w:rsidRDefault="00E32B88" w:rsidP="00E32B88">
      <w:pPr>
        <w:spacing w:after="0" w:line="240" w:lineRule="auto"/>
        <w:rPr>
          <w:rFonts w:ascii="Verdana" w:eastAsia="Calibri" w:hAnsi="Verdana" w:cs="Arial"/>
          <w:b/>
          <w:bCs/>
          <w:lang w:val="es-ES" w:eastAsia="es-ES"/>
        </w:rPr>
      </w:pPr>
      <w:r w:rsidRPr="00E32B88">
        <w:rPr>
          <w:rFonts w:ascii="Verdana" w:eastAsia="Calibri" w:hAnsi="Verdana" w:cs="Arial"/>
          <w:b/>
          <w:bCs/>
          <w:lang w:val="es-ES" w:eastAsia="es-ES"/>
        </w:rPr>
        <w:t xml:space="preserve">SISTEMA GENERAL DE REGALÍAS – Ley 2056 de 2020 – artículo 37 </w:t>
      </w:r>
    </w:p>
    <w:p w14:paraId="19B13D28" w14:textId="77777777" w:rsidR="00E32B88" w:rsidRDefault="00E32B88" w:rsidP="00E32B88">
      <w:pPr>
        <w:spacing w:after="0" w:line="240" w:lineRule="auto"/>
        <w:jc w:val="both"/>
        <w:rPr>
          <w:rFonts w:ascii="Verdana" w:hAnsi="Verdana" w:cs="Arial"/>
          <w:noProof/>
          <w:sz w:val="20"/>
          <w:szCs w:val="20"/>
          <w:lang w:val="es-ES_tradnl"/>
        </w:rPr>
      </w:pPr>
    </w:p>
    <w:p w14:paraId="3F83EB6B" w14:textId="77777777" w:rsidR="00E32B88" w:rsidRPr="00112C88" w:rsidRDefault="00E32B88" w:rsidP="00E32B88">
      <w:pPr>
        <w:spacing w:after="0" w:line="240" w:lineRule="auto"/>
        <w:jc w:val="both"/>
        <w:rPr>
          <w:rFonts w:ascii="Verdana" w:hAnsi="Verdana" w:cs="Arial"/>
          <w:noProof/>
          <w:sz w:val="20"/>
          <w:szCs w:val="20"/>
          <w:lang w:val="es-ES_tradnl"/>
        </w:rPr>
      </w:pPr>
      <w:r>
        <w:rPr>
          <w:rFonts w:ascii="Verdana" w:hAnsi="Verdana" w:cs="Arial"/>
          <w:noProof/>
          <w:sz w:val="20"/>
          <w:szCs w:val="20"/>
          <w:lang w:val="es-ES_tradnl"/>
        </w:rPr>
        <w:t>E</w:t>
      </w:r>
      <w:r w:rsidRPr="00112C88">
        <w:rPr>
          <w:rFonts w:ascii="Verdana" w:hAnsi="Verdana" w:cs="Arial"/>
          <w:noProof/>
          <w:sz w:val="20"/>
          <w:szCs w:val="20"/>
          <w:lang w:val="es-ES_tradnl"/>
        </w:rPr>
        <w:t xml:space="preserve">n </w:t>
      </w:r>
      <w:r w:rsidRPr="00112C88">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42EB3114" w14:textId="77777777" w:rsidR="00E32B88" w:rsidRDefault="00E32B88" w:rsidP="00E32B88">
      <w:pPr>
        <w:spacing w:after="0" w:line="240" w:lineRule="auto"/>
        <w:jc w:val="both"/>
        <w:rPr>
          <w:rFonts w:ascii="Verdana" w:hAnsi="Verdana" w:cs="Arial"/>
          <w:noProof/>
          <w:sz w:val="20"/>
          <w:szCs w:val="20"/>
        </w:rPr>
      </w:pPr>
    </w:p>
    <w:p w14:paraId="53C69180" w14:textId="77777777" w:rsidR="00E32B88" w:rsidRPr="00112C88" w:rsidRDefault="00E32B88" w:rsidP="00E32B88">
      <w:pPr>
        <w:spacing w:after="0" w:line="240" w:lineRule="auto"/>
        <w:jc w:val="both"/>
        <w:rPr>
          <w:rFonts w:ascii="Verdana" w:hAnsi="Verdana" w:cs="Arial"/>
          <w:sz w:val="20"/>
          <w:szCs w:val="20"/>
        </w:rPr>
      </w:pPr>
      <w:r w:rsidRPr="00112C88">
        <w:rPr>
          <w:rFonts w:ascii="Verdana" w:hAnsi="Verdana" w:cs="Arial"/>
          <w:noProof/>
          <w:sz w:val="20"/>
          <w:szCs w:val="20"/>
        </w:rPr>
        <w:t xml:space="preserve">Particularmente, el artículo 37 </w:t>
      </w:r>
      <w:r w:rsidRPr="00112C88">
        <w:rPr>
          <w:rFonts w:ascii="Verdana" w:hAnsi="Verdana" w:cs="Arial"/>
          <w:sz w:val="20"/>
          <w:szCs w:val="20"/>
        </w:rPr>
        <w:t xml:space="preserve">de la Ley 2056 de 2020 dispone que los proyectos de inversión que se financien con cargo al Sistema General de Regalías serán ejecutados por quien designe las entidades u órganos de que tratan los artículos 35 y 36 </w:t>
      </w:r>
      <w:r w:rsidRPr="00112C88">
        <w:rPr>
          <w:rFonts w:ascii="Verdana" w:hAnsi="Verdana" w:cs="Arial"/>
          <w:i/>
          <w:iCs/>
          <w:sz w:val="20"/>
          <w:szCs w:val="20"/>
        </w:rPr>
        <w:t>ibidem</w:t>
      </w:r>
      <w:r w:rsidRPr="00112C88">
        <w:rPr>
          <w:rFonts w:ascii="Verdana" w:hAnsi="Verdana" w:cs="Arial"/>
          <w:sz w:val="20"/>
          <w:szCs w:val="20"/>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El parágrafo primero del artículo 37 </w:t>
      </w:r>
      <w:r w:rsidRPr="00112C88">
        <w:rPr>
          <w:rFonts w:ascii="Verdana" w:hAnsi="Verdana" w:cs="Arial"/>
          <w:i/>
          <w:iCs/>
          <w:sz w:val="20"/>
          <w:szCs w:val="20"/>
        </w:rPr>
        <w:t>ibidem</w:t>
      </w:r>
      <w:r w:rsidRPr="00112C88">
        <w:rPr>
          <w:rFonts w:ascii="Verdana" w:hAnsi="Verdana" w:cs="Arial"/>
          <w:sz w:val="20"/>
          <w:szCs w:val="20"/>
        </w:rPr>
        <w:t xml:space="preserve"> dispone lo siguiente: “La ejecución de proyectos de </w:t>
      </w:r>
      <w:proofErr w:type="spellStart"/>
      <w:r w:rsidRPr="00112C88">
        <w:rPr>
          <w:rFonts w:ascii="Verdana" w:hAnsi="Verdana" w:cs="Arial"/>
          <w:sz w:val="20"/>
          <w:szCs w:val="20"/>
        </w:rPr>
        <w:t>que</w:t>
      </w:r>
      <w:proofErr w:type="spellEnd"/>
      <w:r w:rsidRPr="00112C88">
        <w:rPr>
          <w:rFonts w:ascii="Verdana" w:hAnsi="Verdana" w:cs="Arial"/>
          <w:sz w:val="20"/>
          <w:szCs w:val="20"/>
        </w:rPr>
        <w:t xml:space="preserve"> trata este artículo, se adelantará, con estricta sujeción al régimen presupuestal definido en esta ley, </w:t>
      </w:r>
      <w:r w:rsidRPr="00112C88">
        <w:rPr>
          <w:rFonts w:ascii="Verdana" w:hAnsi="Verdana" w:cs="Arial"/>
          <w:i/>
          <w:iCs/>
          <w:sz w:val="20"/>
          <w:szCs w:val="20"/>
          <w:u w:val="single"/>
        </w:rPr>
        <w:t>al de contratación pública</w:t>
      </w:r>
      <w:r w:rsidRPr="00112C88">
        <w:rPr>
          <w:rFonts w:ascii="Verdana" w:hAnsi="Verdana" w:cs="Arial"/>
          <w:sz w:val="20"/>
          <w:szCs w:val="20"/>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p>
    <w:p w14:paraId="03C8AF0D" w14:textId="77777777" w:rsidR="00E32B88" w:rsidRPr="00112C88" w:rsidRDefault="00E32B88" w:rsidP="00E32B88">
      <w:pPr>
        <w:spacing w:after="0"/>
        <w:rPr>
          <w:rFonts w:ascii="Verdana" w:eastAsia="Calibri" w:hAnsi="Verdana" w:cs="Arial"/>
          <w:b/>
          <w:bCs/>
          <w:lang w:val="es-ES" w:eastAsia="es-ES"/>
        </w:rPr>
      </w:pPr>
    </w:p>
    <w:p w14:paraId="44F02724" w14:textId="77777777" w:rsidR="00E32B88" w:rsidRPr="00112C88" w:rsidRDefault="00E32B88" w:rsidP="00E32B88">
      <w:pPr>
        <w:jc w:val="both"/>
        <w:rPr>
          <w:rFonts w:ascii="Verdana" w:eastAsia="Calibri" w:hAnsi="Verdana" w:cs="Arial"/>
          <w:b/>
          <w:bCs/>
          <w:lang w:val="es-ES" w:eastAsia="es-ES"/>
        </w:rPr>
      </w:pPr>
      <w:r w:rsidRPr="00112C88">
        <w:rPr>
          <w:rFonts w:ascii="Verdana" w:eastAsia="Calibri" w:hAnsi="Verdana" w:cs="Arial"/>
          <w:b/>
          <w:bCs/>
          <w:lang w:val="es-ES" w:eastAsia="es-ES"/>
        </w:rPr>
        <w:t xml:space="preserve">RÉGIMEN CONTRACTUAL – Entidades ejecutoras – Aplicación del Estatuto General de Contratación de la Administración Pública         </w:t>
      </w:r>
    </w:p>
    <w:p w14:paraId="4C1A6A5E" w14:textId="77777777" w:rsidR="00E32B88" w:rsidRPr="00112C88" w:rsidRDefault="00E32B88" w:rsidP="00E32B88">
      <w:pPr>
        <w:spacing w:after="0" w:line="240" w:lineRule="auto"/>
        <w:jc w:val="both"/>
        <w:rPr>
          <w:rFonts w:ascii="Verdana" w:hAnsi="Verdana" w:cs="Arial"/>
          <w:sz w:val="20"/>
          <w:szCs w:val="20"/>
          <w:bdr w:val="none" w:sz="0" w:space="0" w:color="auto" w:frame="1"/>
        </w:rPr>
      </w:pPr>
      <w:r w:rsidRPr="00112C88">
        <w:rPr>
          <w:rFonts w:ascii="Verdana" w:hAnsi="Verdana" w:cs="Arial"/>
          <w:sz w:val="20"/>
          <w:szCs w:val="20"/>
        </w:rPr>
        <w:t xml:space="preserve">En caso de que se realicen proyectos de inversión en el marco del Sistema General de Regalías, como también aquellos proyectos especiales referenciados </w:t>
      </w:r>
      <w:r w:rsidRPr="00112C88">
        <w:rPr>
          <w:rFonts w:ascii="Verdana" w:hAnsi="Verdana" w:cs="Arial"/>
          <w:i/>
          <w:iCs/>
          <w:sz w:val="20"/>
          <w:szCs w:val="20"/>
        </w:rPr>
        <w:t>ut supra</w:t>
      </w:r>
      <w:r w:rsidRPr="00112C88">
        <w:rPr>
          <w:rFonts w:ascii="Verdana" w:hAnsi="Verdana" w:cs="Arial"/>
          <w:sz w:val="20"/>
          <w:szCs w:val="20"/>
        </w:rPr>
        <w:t>, los ejecutores designados para desarrollarlos deben sujetarse al Estatuto General de Contratación de la Administración Pública</w:t>
      </w:r>
      <w:r w:rsidRPr="00112C88">
        <w:rPr>
          <w:rFonts w:ascii="Verdana" w:eastAsia="Calibri" w:hAnsi="Verdana" w:cs="Arial"/>
          <w:sz w:val="20"/>
          <w:szCs w:val="20"/>
        </w:rPr>
        <w:t>.</w:t>
      </w:r>
      <w:r w:rsidRPr="00112C88">
        <w:rPr>
          <w:rFonts w:ascii="Verdana" w:hAnsi="Verdana" w:cs="Arial"/>
          <w:sz w:val="20"/>
          <w:szCs w:val="20"/>
        </w:rPr>
        <w:t xml:space="preserve"> </w:t>
      </w:r>
      <w:r w:rsidRPr="00112C88">
        <w:rPr>
          <w:rFonts w:ascii="Verdana" w:hAnsi="Verdana" w:cs="Arial"/>
          <w:sz w:val="20"/>
          <w:szCs w:val="20"/>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2C6F6D45" w14:textId="77777777" w:rsidR="00E32B88" w:rsidRDefault="00E32B88" w:rsidP="00E32B88">
      <w:pPr>
        <w:spacing w:after="0" w:line="240" w:lineRule="auto"/>
        <w:jc w:val="both"/>
        <w:rPr>
          <w:rFonts w:ascii="Verdana" w:eastAsia="Calibri" w:hAnsi="Verdana" w:cs="Arial"/>
          <w:color w:val="000000"/>
          <w:sz w:val="20"/>
          <w:szCs w:val="20"/>
          <w:lang w:val="es-ES" w:eastAsia="es-ES"/>
        </w:rPr>
      </w:pPr>
    </w:p>
    <w:p w14:paraId="49BFB0BB" w14:textId="77777777" w:rsidR="00E32B88" w:rsidRPr="00112C88" w:rsidRDefault="00E32B88" w:rsidP="00E32B88">
      <w:pPr>
        <w:spacing w:after="0" w:line="240" w:lineRule="auto"/>
        <w:jc w:val="both"/>
        <w:rPr>
          <w:rFonts w:ascii="Verdana" w:eastAsia="Calibri" w:hAnsi="Verdana" w:cs="Arial"/>
          <w:color w:val="000000"/>
          <w:sz w:val="20"/>
          <w:szCs w:val="20"/>
          <w:lang w:val="es-ES" w:eastAsia="es-ES"/>
        </w:rPr>
      </w:pPr>
      <w:r w:rsidRPr="00112C88">
        <w:rPr>
          <w:rFonts w:ascii="Verdana" w:eastAsia="Calibri" w:hAnsi="Verdana" w:cs="Arial"/>
          <w:color w:val="000000"/>
          <w:sz w:val="20"/>
          <w:szCs w:val="20"/>
          <w:lang w:val="es-ES" w:eastAsia="es-ES"/>
        </w:rPr>
        <w:t xml:space="preserve">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w:t>
      </w:r>
      <w:r w:rsidRPr="00112C88">
        <w:rPr>
          <w:rFonts w:ascii="Verdana" w:eastAsia="Calibri" w:hAnsi="Verdana" w:cs="Arial"/>
          <w:color w:val="000000"/>
          <w:sz w:val="20"/>
          <w:szCs w:val="20"/>
          <w:lang w:val="es-ES" w:eastAsia="es-ES"/>
        </w:rPr>
        <w:lastRenderedPageBreak/>
        <w:t>prevalece el derecho público, esto es, al EGCAP, sin perjuicio de que en sus demás actividades apliquen el régimen especial que les corresponda.</w:t>
      </w:r>
    </w:p>
    <w:p w14:paraId="3F77704B" w14:textId="77777777" w:rsidR="00E32B88" w:rsidRDefault="00E32B88" w:rsidP="003E071B">
      <w:pPr>
        <w:widowControl w:val="0"/>
        <w:spacing w:after="0" w:line="276" w:lineRule="auto"/>
        <w:jc w:val="both"/>
        <w:rPr>
          <w:rFonts w:ascii="Verdana" w:hAnsi="Verdana"/>
          <w:lang w:val="es-ES"/>
        </w:rPr>
      </w:pPr>
    </w:p>
    <w:p w14:paraId="7CEAC8BD" w14:textId="77777777" w:rsidR="00E32B88" w:rsidRDefault="00E32B88" w:rsidP="003E071B">
      <w:pPr>
        <w:widowControl w:val="0"/>
        <w:spacing w:after="0" w:line="276" w:lineRule="auto"/>
        <w:jc w:val="both"/>
        <w:rPr>
          <w:rFonts w:ascii="Verdana" w:hAnsi="Verdana"/>
          <w:lang w:val="es-ES"/>
        </w:rPr>
      </w:pPr>
    </w:p>
    <w:p w14:paraId="3B451A16" w14:textId="77777777" w:rsidR="00E32B88" w:rsidRDefault="00E32B88" w:rsidP="003E071B">
      <w:pPr>
        <w:widowControl w:val="0"/>
        <w:spacing w:after="0" w:line="276" w:lineRule="auto"/>
        <w:jc w:val="both"/>
        <w:rPr>
          <w:rFonts w:ascii="Verdana" w:hAnsi="Verdana"/>
          <w:lang w:val="es-ES"/>
        </w:rPr>
      </w:pPr>
    </w:p>
    <w:p w14:paraId="49D8EE18" w14:textId="77777777" w:rsidR="00E32B88" w:rsidRDefault="00E32B88" w:rsidP="003E071B">
      <w:pPr>
        <w:widowControl w:val="0"/>
        <w:spacing w:after="0" w:line="276" w:lineRule="auto"/>
        <w:jc w:val="both"/>
        <w:rPr>
          <w:rFonts w:ascii="Verdana" w:hAnsi="Verdana"/>
          <w:lang w:val="es-ES"/>
        </w:rPr>
      </w:pPr>
    </w:p>
    <w:p w14:paraId="146FBA60" w14:textId="77777777" w:rsidR="00E32B88" w:rsidRDefault="00E32B88" w:rsidP="003E071B">
      <w:pPr>
        <w:widowControl w:val="0"/>
        <w:spacing w:after="0" w:line="276" w:lineRule="auto"/>
        <w:jc w:val="both"/>
        <w:rPr>
          <w:rFonts w:ascii="Verdana" w:hAnsi="Verdana"/>
          <w:lang w:val="es-ES"/>
        </w:rPr>
      </w:pPr>
    </w:p>
    <w:p w14:paraId="4A7F10FE" w14:textId="77777777" w:rsidR="00E32B88" w:rsidRDefault="00E32B88" w:rsidP="003E071B">
      <w:pPr>
        <w:widowControl w:val="0"/>
        <w:spacing w:after="0" w:line="276" w:lineRule="auto"/>
        <w:jc w:val="both"/>
        <w:rPr>
          <w:rFonts w:ascii="Verdana" w:hAnsi="Verdana"/>
          <w:lang w:val="es-ES"/>
        </w:rPr>
      </w:pPr>
    </w:p>
    <w:p w14:paraId="478C5FF5" w14:textId="77777777" w:rsidR="00E32B88" w:rsidRDefault="00E32B88" w:rsidP="003E071B">
      <w:pPr>
        <w:widowControl w:val="0"/>
        <w:spacing w:after="0" w:line="276" w:lineRule="auto"/>
        <w:jc w:val="both"/>
        <w:rPr>
          <w:rFonts w:ascii="Verdana" w:hAnsi="Verdana"/>
          <w:lang w:val="es-ES"/>
        </w:rPr>
      </w:pPr>
    </w:p>
    <w:p w14:paraId="0880704A" w14:textId="77777777" w:rsidR="00E32B88" w:rsidRDefault="00E32B88" w:rsidP="003E071B">
      <w:pPr>
        <w:widowControl w:val="0"/>
        <w:spacing w:after="0" w:line="276" w:lineRule="auto"/>
        <w:jc w:val="both"/>
        <w:rPr>
          <w:rFonts w:ascii="Verdana" w:hAnsi="Verdana"/>
          <w:lang w:val="es-ES"/>
        </w:rPr>
      </w:pPr>
    </w:p>
    <w:p w14:paraId="0BF7D971" w14:textId="77777777" w:rsidR="00E32B88" w:rsidRDefault="00E32B88" w:rsidP="003E071B">
      <w:pPr>
        <w:widowControl w:val="0"/>
        <w:spacing w:after="0" w:line="276" w:lineRule="auto"/>
        <w:jc w:val="both"/>
        <w:rPr>
          <w:rFonts w:ascii="Verdana" w:hAnsi="Verdana"/>
          <w:lang w:val="es-ES"/>
        </w:rPr>
      </w:pPr>
    </w:p>
    <w:p w14:paraId="20CB1E38" w14:textId="77777777" w:rsidR="00E32B88" w:rsidRDefault="00E32B88" w:rsidP="003E071B">
      <w:pPr>
        <w:widowControl w:val="0"/>
        <w:spacing w:after="0" w:line="276" w:lineRule="auto"/>
        <w:jc w:val="both"/>
        <w:rPr>
          <w:rFonts w:ascii="Verdana" w:hAnsi="Verdana"/>
          <w:lang w:val="es-ES"/>
        </w:rPr>
      </w:pPr>
    </w:p>
    <w:p w14:paraId="2DC885F5" w14:textId="77777777" w:rsidR="00E32B88" w:rsidRDefault="00E32B88" w:rsidP="003E071B">
      <w:pPr>
        <w:widowControl w:val="0"/>
        <w:spacing w:after="0" w:line="276" w:lineRule="auto"/>
        <w:jc w:val="both"/>
        <w:rPr>
          <w:rFonts w:ascii="Verdana" w:hAnsi="Verdana"/>
          <w:lang w:val="es-ES"/>
        </w:rPr>
      </w:pPr>
    </w:p>
    <w:p w14:paraId="0CEB4745" w14:textId="77777777" w:rsidR="00E32B88" w:rsidRDefault="00E32B88" w:rsidP="003E071B">
      <w:pPr>
        <w:widowControl w:val="0"/>
        <w:spacing w:after="0" w:line="276" w:lineRule="auto"/>
        <w:jc w:val="both"/>
        <w:rPr>
          <w:rFonts w:ascii="Verdana" w:hAnsi="Verdana"/>
          <w:lang w:val="es-ES"/>
        </w:rPr>
      </w:pPr>
    </w:p>
    <w:p w14:paraId="2D56275D" w14:textId="77777777" w:rsidR="00E32B88" w:rsidRDefault="00E32B88" w:rsidP="003E071B">
      <w:pPr>
        <w:widowControl w:val="0"/>
        <w:spacing w:after="0" w:line="276" w:lineRule="auto"/>
        <w:jc w:val="both"/>
        <w:rPr>
          <w:rFonts w:ascii="Verdana" w:hAnsi="Verdana"/>
          <w:lang w:val="es-ES"/>
        </w:rPr>
      </w:pPr>
    </w:p>
    <w:p w14:paraId="3798ED28" w14:textId="77777777" w:rsidR="00E32B88" w:rsidRDefault="00E32B88" w:rsidP="003E071B">
      <w:pPr>
        <w:widowControl w:val="0"/>
        <w:spacing w:after="0" w:line="276" w:lineRule="auto"/>
        <w:jc w:val="both"/>
        <w:rPr>
          <w:rFonts w:ascii="Verdana" w:hAnsi="Verdana"/>
          <w:lang w:val="es-ES"/>
        </w:rPr>
      </w:pPr>
    </w:p>
    <w:p w14:paraId="1A73E4B3" w14:textId="77777777" w:rsidR="00E32B88" w:rsidRDefault="00E32B88" w:rsidP="003E071B">
      <w:pPr>
        <w:widowControl w:val="0"/>
        <w:spacing w:after="0" w:line="276" w:lineRule="auto"/>
        <w:jc w:val="both"/>
        <w:rPr>
          <w:rFonts w:ascii="Verdana" w:hAnsi="Verdana"/>
          <w:lang w:val="es-ES"/>
        </w:rPr>
      </w:pPr>
    </w:p>
    <w:p w14:paraId="4966A4DE" w14:textId="77777777" w:rsidR="00E32B88" w:rsidRDefault="00E32B88" w:rsidP="003E071B">
      <w:pPr>
        <w:widowControl w:val="0"/>
        <w:spacing w:after="0" w:line="276" w:lineRule="auto"/>
        <w:jc w:val="both"/>
        <w:rPr>
          <w:rFonts w:ascii="Verdana" w:hAnsi="Verdana"/>
          <w:lang w:val="es-ES"/>
        </w:rPr>
      </w:pPr>
    </w:p>
    <w:p w14:paraId="1AC81703" w14:textId="77777777" w:rsidR="00E32B88" w:rsidRDefault="00E32B88" w:rsidP="003E071B">
      <w:pPr>
        <w:widowControl w:val="0"/>
        <w:spacing w:after="0" w:line="276" w:lineRule="auto"/>
        <w:jc w:val="both"/>
        <w:rPr>
          <w:rFonts w:ascii="Verdana" w:hAnsi="Verdana"/>
          <w:lang w:val="es-ES"/>
        </w:rPr>
      </w:pPr>
    </w:p>
    <w:p w14:paraId="4DA22955" w14:textId="77777777" w:rsidR="00E32B88" w:rsidRDefault="00E32B88" w:rsidP="003E071B">
      <w:pPr>
        <w:widowControl w:val="0"/>
        <w:spacing w:after="0" w:line="276" w:lineRule="auto"/>
        <w:jc w:val="both"/>
        <w:rPr>
          <w:rFonts w:ascii="Verdana" w:hAnsi="Verdana"/>
          <w:lang w:val="es-ES"/>
        </w:rPr>
      </w:pPr>
    </w:p>
    <w:p w14:paraId="012FCBF6" w14:textId="77777777" w:rsidR="00E32B88" w:rsidRDefault="00E32B88" w:rsidP="003E071B">
      <w:pPr>
        <w:widowControl w:val="0"/>
        <w:spacing w:after="0" w:line="276" w:lineRule="auto"/>
        <w:jc w:val="both"/>
        <w:rPr>
          <w:rFonts w:ascii="Verdana" w:hAnsi="Verdana"/>
          <w:lang w:val="es-ES"/>
        </w:rPr>
      </w:pPr>
    </w:p>
    <w:p w14:paraId="05A02FE0" w14:textId="77777777" w:rsidR="00E32B88" w:rsidRDefault="00E32B88" w:rsidP="003E071B">
      <w:pPr>
        <w:widowControl w:val="0"/>
        <w:spacing w:after="0" w:line="276" w:lineRule="auto"/>
        <w:jc w:val="both"/>
        <w:rPr>
          <w:rFonts w:ascii="Verdana" w:hAnsi="Verdana"/>
          <w:lang w:val="es-ES"/>
        </w:rPr>
      </w:pPr>
    </w:p>
    <w:p w14:paraId="192B752F" w14:textId="77777777" w:rsidR="00E32B88" w:rsidRDefault="00E32B88" w:rsidP="003E071B">
      <w:pPr>
        <w:widowControl w:val="0"/>
        <w:spacing w:after="0" w:line="276" w:lineRule="auto"/>
        <w:jc w:val="both"/>
        <w:rPr>
          <w:rFonts w:ascii="Verdana" w:hAnsi="Verdana"/>
          <w:lang w:val="es-ES"/>
        </w:rPr>
      </w:pPr>
    </w:p>
    <w:p w14:paraId="02D3D7F8" w14:textId="77777777" w:rsidR="00E32B88" w:rsidRDefault="00E32B88" w:rsidP="003E071B">
      <w:pPr>
        <w:widowControl w:val="0"/>
        <w:spacing w:after="0" w:line="276" w:lineRule="auto"/>
        <w:jc w:val="both"/>
        <w:rPr>
          <w:rFonts w:ascii="Verdana" w:hAnsi="Verdana"/>
          <w:lang w:val="es-ES"/>
        </w:rPr>
      </w:pPr>
    </w:p>
    <w:p w14:paraId="686D9E1C" w14:textId="77777777" w:rsidR="00E32B88" w:rsidRDefault="00E32B88" w:rsidP="003E071B">
      <w:pPr>
        <w:widowControl w:val="0"/>
        <w:spacing w:after="0" w:line="276" w:lineRule="auto"/>
        <w:jc w:val="both"/>
        <w:rPr>
          <w:rFonts w:ascii="Verdana" w:hAnsi="Verdana"/>
          <w:lang w:val="es-ES"/>
        </w:rPr>
      </w:pPr>
    </w:p>
    <w:p w14:paraId="49C5A055" w14:textId="77777777" w:rsidR="00E32B88" w:rsidRDefault="00E32B88" w:rsidP="003E071B">
      <w:pPr>
        <w:widowControl w:val="0"/>
        <w:spacing w:after="0" w:line="276" w:lineRule="auto"/>
        <w:jc w:val="both"/>
        <w:rPr>
          <w:rFonts w:ascii="Verdana" w:hAnsi="Verdana"/>
          <w:lang w:val="es-ES"/>
        </w:rPr>
      </w:pPr>
    </w:p>
    <w:p w14:paraId="75724673" w14:textId="77777777" w:rsidR="00E32B88" w:rsidRDefault="00E32B88" w:rsidP="003E071B">
      <w:pPr>
        <w:widowControl w:val="0"/>
        <w:spacing w:after="0" w:line="276" w:lineRule="auto"/>
        <w:jc w:val="both"/>
        <w:rPr>
          <w:rFonts w:ascii="Verdana" w:hAnsi="Verdana"/>
          <w:lang w:val="es-ES"/>
        </w:rPr>
      </w:pPr>
    </w:p>
    <w:p w14:paraId="3E7C8958" w14:textId="77777777" w:rsidR="00E32B88" w:rsidRDefault="00E32B88" w:rsidP="003E071B">
      <w:pPr>
        <w:widowControl w:val="0"/>
        <w:spacing w:after="0" w:line="276" w:lineRule="auto"/>
        <w:jc w:val="both"/>
        <w:rPr>
          <w:rFonts w:ascii="Verdana" w:hAnsi="Verdana"/>
          <w:lang w:val="es-ES"/>
        </w:rPr>
      </w:pPr>
    </w:p>
    <w:p w14:paraId="0953C7D5" w14:textId="77777777" w:rsidR="00E32B88" w:rsidRDefault="00E32B88" w:rsidP="003E071B">
      <w:pPr>
        <w:widowControl w:val="0"/>
        <w:spacing w:after="0" w:line="276" w:lineRule="auto"/>
        <w:jc w:val="both"/>
        <w:rPr>
          <w:rFonts w:ascii="Verdana" w:hAnsi="Verdana"/>
          <w:lang w:val="es-ES"/>
        </w:rPr>
      </w:pPr>
    </w:p>
    <w:p w14:paraId="3E61358D" w14:textId="77777777" w:rsidR="00E32B88" w:rsidRDefault="00E32B88" w:rsidP="003E071B">
      <w:pPr>
        <w:widowControl w:val="0"/>
        <w:spacing w:after="0" w:line="276" w:lineRule="auto"/>
        <w:jc w:val="both"/>
        <w:rPr>
          <w:rFonts w:ascii="Verdana" w:hAnsi="Verdana"/>
          <w:lang w:val="es-ES"/>
        </w:rPr>
      </w:pPr>
    </w:p>
    <w:p w14:paraId="4B6D7FDD" w14:textId="77777777" w:rsidR="00E32B88" w:rsidRDefault="00E32B88" w:rsidP="003E071B">
      <w:pPr>
        <w:widowControl w:val="0"/>
        <w:spacing w:after="0" w:line="276" w:lineRule="auto"/>
        <w:jc w:val="both"/>
        <w:rPr>
          <w:rFonts w:ascii="Verdana" w:hAnsi="Verdana"/>
          <w:lang w:val="es-ES"/>
        </w:rPr>
      </w:pPr>
    </w:p>
    <w:p w14:paraId="1E33AD98" w14:textId="77777777" w:rsidR="00E32B88" w:rsidRDefault="00E32B88" w:rsidP="003E071B">
      <w:pPr>
        <w:widowControl w:val="0"/>
        <w:spacing w:after="0" w:line="276" w:lineRule="auto"/>
        <w:jc w:val="both"/>
        <w:rPr>
          <w:rFonts w:ascii="Verdana" w:hAnsi="Verdana"/>
          <w:lang w:val="es-ES"/>
        </w:rPr>
      </w:pPr>
    </w:p>
    <w:p w14:paraId="2BCEA133" w14:textId="77777777" w:rsidR="00E32B88" w:rsidRDefault="00E32B88" w:rsidP="003E071B">
      <w:pPr>
        <w:widowControl w:val="0"/>
        <w:spacing w:after="0" w:line="276" w:lineRule="auto"/>
        <w:jc w:val="both"/>
        <w:rPr>
          <w:rFonts w:ascii="Verdana" w:hAnsi="Verdana"/>
          <w:lang w:val="es-ES"/>
        </w:rPr>
      </w:pPr>
    </w:p>
    <w:p w14:paraId="0AC4F492" w14:textId="77777777" w:rsidR="00E32B88" w:rsidRDefault="00E32B88" w:rsidP="003E071B">
      <w:pPr>
        <w:widowControl w:val="0"/>
        <w:spacing w:after="0" w:line="276" w:lineRule="auto"/>
        <w:jc w:val="both"/>
        <w:rPr>
          <w:rFonts w:ascii="Verdana" w:hAnsi="Verdana"/>
          <w:lang w:val="es-ES"/>
        </w:rPr>
      </w:pPr>
    </w:p>
    <w:p w14:paraId="7FAF85CC" w14:textId="77777777" w:rsidR="00E32B88" w:rsidRDefault="00E32B88" w:rsidP="003E071B">
      <w:pPr>
        <w:widowControl w:val="0"/>
        <w:spacing w:after="0" w:line="276" w:lineRule="auto"/>
        <w:jc w:val="both"/>
        <w:rPr>
          <w:rFonts w:ascii="Verdana" w:hAnsi="Verdana"/>
          <w:lang w:val="es-ES"/>
        </w:rPr>
      </w:pPr>
    </w:p>
    <w:p w14:paraId="012396A0" w14:textId="77777777" w:rsidR="00E32B88" w:rsidRDefault="00E32B88" w:rsidP="003E071B">
      <w:pPr>
        <w:widowControl w:val="0"/>
        <w:spacing w:after="0" w:line="276" w:lineRule="auto"/>
        <w:jc w:val="both"/>
        <w:rPr>
          <w:rFonts w:ascii="Verdana" w:hAnsi="Verdana"/>
          <w:lang w:val="es-ES"/>
        </w:rPr>
      </w:pPr>
    </w:p>
    <w:p w14:paraId="7E99DBB1" w14:textId="77777777" w:rsidR="00E32B88" w:rsidRDefault="00E32B88" w:rsidP="003E071B">
      <w:pPr>
        <w:widowControl w:val="0"/>
        <w:spacing w:after="0" w:line="276" w:lineRule="auto"/>
        <w:jc w:val="both"/>
        <w:rPr>
          <w:rFonts w:ascii="Verdana" w:hAnsi="Verdana"/>
          <w:lang w:val="es-ES"/>
        </w:rPr>
      </w:pPr>
    </w:p>
    <w:p w14:paraId="30528320" w14:textId="1425E893" w:rsidR="003E071B" w:rsidRPr="0075355B" w:rsidRDefault="00E32B88" w:rsidP="003E071B">
      <w:pPr>
        <w:widowControl w:val="0"/>
        <w:spacing w:after="0" w:line="276" w:lineRule="auto"/>
        <w:jc w:val="both"/>
        <w:rPr>
          <w:rFonts w:ascii="Verdana" w:hAnsi="Verdana"/>
          <w:lang w:val="es-ES"/>
        </w:rPr>
      </w:pPr>
      <w:r>
        <w:rPr>
          <w:rFonts w:ascii="Verdana" w:eastAsia="Calibri" w:hAnsi="Verdana" w:cs="Arial"/>
          <w:noProof/>
          <w:color w:val="000000" w:themeColor="text1"/>
          <w:lang w:val="es-ES" w:eastAsia="es-ES"/>
        </w:rPr>
        <w:lastRenderedPageBreak/>
        <w:drawing>
          <wp:anchor distT="0" distB="0" distL="114300" distR="114300" simplePos="0" relativeHeight="251660288" behindDoc="0" locked="0" layoutInCell="1" allowOverlap="1" wp14:anchorId="0D27C6D1" wp14:editId="3BA0A00D">
            <wp:simplePos x="0" y="0"/>
            <wp:positionH relativeFrom="column">
              <wp:posOffset>3429252</wp:posOffset>
            </wp:positionH>
            <wp:positionV relativeFrom="paragraph">
              <wp:posOffset>52526</wp:posOffset>
            </wp:positionV>
            <wp:extent cx="1748790" cy="498475"/>
            <wp:effectExtent l="0" t="0" r="3810" b="0"/>
            <wp:wrapSquare wrapText="bothSides"/>
            <wp:docPr id="1930767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67539" name="Picture 1930767539"/>
                    <pic:cNvPicPr/>
                  </pic:nvPicPr>
                  <pic:blipFill>
                    <a:blip r:embed="rId11">
                      <a:extLst>
                        <a:ext uri="{28A0092B-C50C-407E-A947-70E740481C1C}">
                          <a14:useLocalDpi xmlns:a14="http://schemas.microsoft.com/office/drawing/2010/main" val="0"/>
                        </a:ext>
                      </a:extLst>
                    </a:blip>
                    <a:stretch>
                      <a:fillRect/>
                    </a:stretch>
                  </pic:blipFill>
                  <pic:spPr>
                    <a:xfrm>
                      <a:off x="0" y="0"/>
                      <a:ext cx="1748790" cy="498475"/>
                    </a:xfrm>
                    <a:prstGeom prst="rect">
                      <a:avLst/>
                    </a:prstGeom>
                  </pic:spPr>
                </pic:pic>
              </a:graphicData>
            </a:graphic>
            <wp14:sizeRelH relativeFrom="page">
              <wp14:pctWidth>0</wp14:pctWidth>
            </wp14:sizeRelH>
            <wp14:sizeRelV relativeFrom="page">
              <wp14:pctHeight>0</wp14:pctHeight>
            </wp14:sizeRelV>
          </wp:anchor>
        </w:drawing>
      </w:r>
      <w:r w:rsidR="003E071B" w:rsidRPr="0075355B">
        <w:rPr>
          <w:rFonts w:ascii="Verdana" w:hAnsi="Verdana"/>
          <w:lang w:val="es-ES"/>
        </w:rPr>
        <w:t xml:space="preserve">Bogotá D.C., </w:t>
      </w:r>
      <w:r>
        <w:rPr>
          <w:rFonts w:ascii="Verdana" w:hAnsi="Verdana"/>
          <w:lang w:val="es-ES"/>
        </w:rPr>
        <w:t>14 de septiembre del 2026</w:t>
      </w:r>
    </w:p>
    <w:p w14:paraId="687D22FC" w14:textId="1F4AD04D" w:rsidR="003E071B" w:rsidRPr="0075355B" w:rsidRDefault="003E071B" w:rsidP="003E071B">
      <w:pPr>
        <w:spacing w:after="0"/>
        <w:rPr>
          <w:rFonts w:ascii="Verdana" w:hAnsi="Verdana"/>
          <w:lang w:val="es-ES"/>
        </w:rPr>
      </w:pPr>
    </w:p>
    <w:p w14:paraId="23B41EE0" w14:textId="14DF7CCB" w:rsidR="003E071B" w:rsidRPr="0075355B" w:rsidRDefault="003E071B" w:rsidP="003E071B">
      <w:pPr>
        <w:spacing w:after="0" w:line="240" w:lineRule="auto"/>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Señor</w:t>
      </w:r>
    </w:p>
    <w:p w14:paraId="50113E7B" w14:textId="4629F2D9" w:rsidR="003E071B" w:rsidRPr="0075355B" w:rsidRDefault="00E32B88" w:rsidP="003E071B">
      <w:pPr>
        <w:spacing w:after="0" w:line="240" w:lineRule="auto"/>
        <w:rPr>
          <w:rFonts w:ascii="Verdana" w:eastAsia="Calibri" w:hAnsi="Verdana" w:cs="Arial"/>
          <w:color w:val="000000" w:themeColor="text1"/>
          <w:lang w:val="es-ES" w:eastAsia="es-ES"/>
        </w:rPr>
      </w:pPr>
      <w:r>
        <w:rPr>
          <w:rFonts w:ascii="Verdana" w:eastAsia="Calibri" w:hAnsi="Verdana" w:cs="Arial"/>
          <w:b/>
          <w:noProof/>
          <w:color w:val="000000" w:themeColor="text1"/>
          <w:lang w:val="es-ES" w:eastAsia="es-ES"/>
        </w:rPr>
        <w:drawing>
          <wp:anchor distT="0" distB="0" distL="114300" distR="114300" simplePos="0" relativeHeight="251661312" behindDoc="0" locked="0" layoutInCell="1" allowOverlap="1" wp14:anchorId="46884064" wp14:editId="324128E9">
            <wp:simplePos x="0" y="0"/>
            <wp:positionH relativeFrom="column">
              <wp:posOffset>3393440</wp:posOffset>
            </wp:positionH>
            <wp:positionV relativeFrom="paragraph">
              <wp:posOffset>55245</wp:posOffset>
            </wp:positionV>
            <wp:extent cx="1784350" cy="488950"/>
            <wp:effectExtent l="0" t="0" r="6350" b="6350"/>
            <wp:wrapSquare wrapText="bothSides"/>
            <wp:docPr id="263431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31313" name="Picture 263431313"/>
                    <pic:cNvPicPr/>
                  </pic:nvPicPr>
                  <pic:blipFill>
                    <a:blip r:embed="rId12">
                      <a:extLst>
                        <a:ext uri="{28A0092B-C50C-407E-A947-70E740481C1C}">
                          <a14:useLocalDpi xmlns:a14="http://schemas.microsoft.com/office/drawing/2010/main" val="0"/>
                        </a:ext>
                      </a:extLst>
                    </a:blip>
                    <a:stretch>
                      <a:fillRect/>
                    </a:stretch>
                  </pic:blipFill>
                  <pic:spPr>
                    <a:xfrm>
                      <a:off x="0" y="0"/>
                      <a:ext cx="1784350" cy="488950"/>
                    </a:xfrm>
                    <a:prstGeom prst="rect">
                      <a:avLst/>
                    </a:prstGeom>
                  </pic:spPr>
                </pic:pic>
              </a:graphicData>
            </a:graphic>
            <wp14:sizeRelH relativeFrom="page">
              <wp14:pctWidth>0</wp14:pctWidth>
            </wp14:sizeRelH>
            <wp14:sizeRelV relativeFrom="page">
              <wp14:pctHeight>0</wp14:pctHeight>
            </wp14:sizeRelV>
          </wp:anchor>
        </w:drawing>
      </w:r>
      <w:r w:rsidR="003E071B" w:rsidRPr="0075355B">
        <w:rPr>
          <w:rFonts w:ascii="Verdana" w:eastAsia="Calibri" w:hAnsi="Verdana" w:cs="Arial"/>
          <w:color w:val="000000" w:themeColor="text1"/>
          <w:lang w:val="es-ES" w:eastAsia="es-ES"/>
        </w:rPr>
        <w:t>Jairo Bacca</w:t>
      </w:r>
    </w:p>
    <w:p w14:paraId="4096DCFC" w14:textId="00A7F335" w:rsidR="003E071B" w:rsidRPr="0075355B" w:rsidRDefault="003E071B" w:rsidP="003E071B">
      <w:pPr>
        <w:spacing w:after="0" w:line="240" w:lineRule="auto"/>
        <w:rPr>
          <w:rFonts w:ascii="Verdana" w:eastAsia="Calibri" w:hAnsi="Verdana" w:cs="Arial"/>
          <w:b/>
          <w:color w:val="000000" w:themeColor="text1"/>
          <w:lang w:val="es-ES" w:eastAsia="es-ES"/>
        </w:rPr>
      </w:pPr>
      <w:r w:rsidRPr="0075355B">
        <w:rPr>
          <w:rFonts w:ascii="Verdana" w:eastAsia="Calibri" w:hAnsi="Verdana" w:cs="Arial"/>
          <w:b/>
          <w:color w:val="000000" w:themeColor="text1"/>
          <w:lang w:val="es-ES" w:eastAsia="es-ES"/>
        </w:rPr>
        <w:t>Gobernación del Casanare</w:t>
      </w:r>
    </w:p>
    <w:p w14:paraId="76A88363" w14:textId="77777777" w:rsidR="003E071B" w:rsidRPr="0075355B" w:rsidRDefault="003E071B" w:rsidP="003E071B">
      <w:pPr>
        <w:spacing w:after="0" w:line="240" w:lineRule="auto"/>
        <w:rPr>
          <w:rFonts w:ascii="Verdana" w:eastAsia="Calibri" w:hAnsi="Verdana" w:cs="Arial"/>
          <w:color w:val="000000" w:themeColor="text1"/>
          <w:lang w:val="es-ES" w:eastAsia="es-ES"/>
        </w:rPr>
      </w:pPr>
      <w:hyperlink r:id="rId13" w:history="1">
        <w:r w:rsidRPr="0075355B">
          <w:rPr>
            <w:rStyle w:val="Hyperlink"/>
            <w:rFonts w:ascii="Verdana" w:eastAsia="Calibri" w:hAnsi="Verdana" w:cs="Arial"/>
            <w:lang w:val="es-ES" w:eastAsia="es-ES"/>
          </w:rPr>
          <w:t>jairo.bacca@casanare.gov.co</w:t>
        </w:r>
      </w:hyperlink>
      <w:r w:rsidRPr="0075355B">
        <w:rPr>
          <w:rFonts w:ascii="Verdana" w:eastAsia="Calibri" w:hAnsi="Verdana" w:cs="Arial"/>
          <w:color w:val="000000" w:themeColor="text1"/>
          <w:lang w:val="es-ES" w:eastAsia="es-ES"/>
        </w:rPr>
        <w:t xml:space="preserve"> </w:t>
      </w:r>
    </w:p>
    <w:p w14:paraId="39C576FC" w14:textId="77777777" w:rsidR="003E071B" w:rsidRPr="0075355B" w:rsidRDefault="003E071B" w:rsidP="003E071B">
      <w:pPr>
        <w:spacing w:after="0" w:line="240" w:lineRule="auto"/>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Bogotá D.C.</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3E071B" w:rsidRPr="0075355B" w14:paraId="0D1D854C" w14:textId="77777777" w:rsidTr="0075355B">
        <w:trPr>
          <w:trHeight w:val="300"/>
        </w:trPr>
        <w:tc>
          <w:tcPr>
            <w:tcW w:w="2410" w:type="dxa"/>
          </w:tcPr>
          <w:p w14:paraId="67726B80" w14:textId="77777777" w:rsidR="003E071B" w:rsidRPr="0075355B" w:rsidRDefault="003E071B" w:rsidP="0075355B">
            <w:pPr>
              <w:ind w:left="-142"/>
              <w:jc w:val="both"/>
              <w:rPr>
                <w:rFonts w:ascii="Verdana" w:eastAsia="Calibri" w:hAnsi="Verdana" w:cs="Arial"/>
                <w:b/>
                <w:bCs/>
                <w:color w:val="000000" w:themeColor="text1"/>
                <w:lang w:val="es-ES" w:eastAsia="es-ES_tradnl"/>
              </w:rPr>
            </w:pPr>
          </w:p>
        </w:tc>
        <w:tc>
          <w:tcPr>
            <w:tcW w:w="6100" w:type="dxa"/>
          </w:tcPr>
          <w:p w14:paraId="2B92F20E" w14:textId="77777777" w:rsidR="003E071B" w:rsidRPr="0075355B" w:rsidRDefault="003E071B" w:rsidP="0075355B">
            <w:pPr>
              <w:ind w:left="3"/>
              <w:jc w:val="both"/>
              <w:rPr>
                <w:rFonts w:ascii="Verdana" w:eastAsia="Calibri" w:hAnsi="Verdana" w:cs="Arial"/>
                <w:b/>
                <w:bCs/>
                <w:color w:val="000000" w:themeColor="text1"/>
                <w:lang w:val="es-ES" w:eastAsia="es-ES"/>
              </w:rPr>
            </w:pPr>
          </w:p>
          <w:p w14:paraId="3F5CD3C9" w14:textId="2C99C2AB" w:rsidR="003E071B" w:rsidRPr="0075355B" w:rsidRDefault="003E071B" w:rsidP="0075355B">
            <w:pPr>
              <w:ind w:left="3"/>
              <w:jc w:val="both"/>
              <w:rPr>
                <w:rFonts w:ascii="Verdana" w:eastAsia="Calibri" w:hAnsi="Verdana" w:cs="Arial"/>
                <w:b/>
                <w:bCs/>
                <w:color w:val="000000" w:themeColor="text1"/>
                <w:lang w:val="es-ES" w:eastAsia="es-ES"/>
              </w:rPr>
            </w:pPr>
            <w:r w:rsidRPr="0075355B">
              <w:rPr>
                <w:rFonts w:ascii="Verdana" w:eastAsia="Calibri" w:hAnsi="Verdana" w:cs="Arial"/>
                <w:b/>
                <w:bCs/>
                <w:color w:val="000000" w:themeColor="text1"/>
                <w:lang w:val="es-ES" w:eastAsia="es-ES"/>
              </w:rPr>
              <w:t>Concepto C-</w:t>
            </w:r>
            <w:r w:rsidR="00571374" w:rsidRPr="0075355B">
              <w:rPr>
                <w:rFonts w:ascii="Verdana" w:eastAsia="Calibri" w:hAnsi="Verdana" w:cs="Arial"/>
                <w:b/>
                <w:bCs/>
                <w:color w:val="000000" w:themeColor="text1"/>
                <w:lang w:val="es-ES" w:eastAsia="es-ES"/>
              </w:rPr>
              <w:t>1331</w:t>
            </w:r>
            <w:r w:rsidRPr="0075355B">
              <w:rPr>
                <w:rFonts w:ascii="Verdana" w:eastAsia="Calibri" w:hAnsi="Verdana" w:cs="Arial"/>
                <w:b/>
                <w:bCs/>
                <w:color w:val="000000" w:themeColor="text1"/>
                <w:lang w:val="es-ES" w:eastAsia="es-ES"/>
              </w:rPr>
              <w:t xml:space="preserve"> de 2026</w:t>
            </w:r>
          </w:p>
          <w:p w14:paraId="6735918C" w14:textId="77777777" w:rsidR="003E071B" w:rsidRPr="0075355B" w:rsidRDefault="003E071B" w:rsidP="0075355B">
            <w:pPr>
              <w:ind w:left="3"/>
              <w:jc w:val="both"/>
              <w:rPr>
                <w:rFonts w:ascii="Verdana" w:eastAsia="Calibri" w:hAnsi="Verdana" w:cs="Arial"/>
                <w:b/>
                <w:bCs/>
                <w:color w:val="000000" w:themeColor="text1"/>
                <w:lang w:val="es-ES" w:eastAsia="es-ES"/>
              </w:rPr>
            </w:pPr>
          </w:p>
        </w:tc>
      </w:tr>
      <w:tr w:rsidR="003E071B" w:rsidRPr="0075355B" w14:paraId="4AA2988C" w14:textId="77777777" w:rsidTr="0075355B">
        <w:trPr>
          <w:trHeight w:val="300"/>
        </w:trPr>
        <w:tc>
          <w:tcPr>
            <w:tcW w:w="2410" w:type="dxa"/>
          </w:tcPr>
          <w:p w14:paraId="408F7B7E" w14:textId="77777777" w:rsidR="003E071B" w:rsidRPr="0075355B" w:rsidRDefault="003E071B" w:rsidP="0075355B">
            <w:pPr>
              <w:ind w:left="424" w:firstLine="142"/>
              <w:jc w:val="both"/>
              <w:rPr>
                <w:rFonts w:ascii="Verdana" w:eastAsia="Calibri" w:hAnsi="Verdana" w:cs="Arial"/>
                <w:color w:val="000000" w:themeColor="text1"/>
                <w:lang w:val="es-ES" w:eastAsia="es-ES_tradnl"/>
              </w:rPr>
            </w:pPr>
            <w:r w:rsidRPr="0075355B">
              <w:rPr>
                <w:rFonts w:ascii="Verdana" w:eastAsia="Calibri" w:hAnsi="Verdana" w:cs="Arial"/>
                <w:b/>
                <w:color w:val="000000" w:themeColor="text1"/>
                <w:lang w:val="es-ES" w:eastAsia="es-ES_tradnl"/>
              </w:rPr>
              <w:t>Temas:</w:t>
            </w:r>
            <w:r w:rsidRPr="0075355B">
              <w:rPr>
                <w:rFonts w:ascii="Verdana" w:eastAsia="Calibri" w:hAnsi="Verdana" w:cs="Arial"/>
                <w:color w:val="000000" w:themeColor="text1"/>
                <w:lang w:val="es-ES" w:eastAsia="es-ES_tradnl"/>
              </w:rPr>
              <w:t xml:space="preserve">                  </w:t>
            </w:r>
          </w:p>
        </w:tc>
        <w:tc>
          <w:tcPr>
            <w:tcW w:w="6100" w:type="dxa"/>
          </w:tcPr>
          <w:p w14:paraId="5B81642B" w14:textId="77777777" w:rsidR="003E071B" w:rsidRPr="0075355B" w:rsidRDefault="003E071B" w:rsidP="0075355B">
            <w:pPr>
              <w:jc w:val="both"/>
              <w:rPr>
                <w:rFonts w:ascii="Verdana" w:eastAsia="Calibri" w:hAnsi="Verdana" w:cs="Arial"/>
                <w:lang w:val="es-ES" w:eastAsia="es-ES"/>
              </w:rPr>
            </w:pPr>
            <w:r w:rsidRPr="0075355B">
              <w:rPr>
                <w:rFonts w:ascii="Verdana" w:eastAsia="Calibri" w:hAnsi="Verdana" w:cs="Arial"/>
                <w:lang w:val="es-ES" w:eastAsia="es-ES"/>
              </w:rPr>
              <w:t xml:space="preserve">SISTEMA GENERAL DE REGALÍAS – Ley 2056 de 2020 – artículo 37 / RÉGIMEN CONTRACTUAL – Entidades ejecutoras – Aplicación del Estatuto General de Contratación de la Administración Pública         </w:t>
            </w:r>
            <w:r w:rsidRPr="0075355B">
              <w:rPr>
                <w:rFonts w:ascii="Verdana" w:eastAsia="Calibri" w:hAnsi="Verdana" w:cs="Arial"/>
                <w:bCs/>
                <w:lang w:val="es-ES"/>
              </w:rPr>
              <w:t xml:space="preserve"> </w:t>
            </w:r>
            <w:r w:rsidRPr="0075355B">
              <w:rPr>
                <w:rFonts w:ascii="Verdana" w:hAnsi="Verdana" w:cs="Arial"/>
                <w:lang w:val="es-ES" w:eastAsia="es-ES"/>
              </w:rPr>
              <w:t xml:space="preserve"> </w:t>
            </w:r>
          </w:p>
          <w:p w14:paraId="0DECA5D5" w14:textId="77777777" w:rsidR="003E071B" w:rsidRPr="0075355B" w:rsidRDefault="003E071B" w:rsidP="0075355B">
            <w:pPr>
              <w:spacing w:line="276" w:lineRule="auto"/>
              <w:jc w:val="both"/>
              <w:rPr>
                <w:rFonts w:ascii="Verdana" w:eastAsia="Calibri" w:hAnsi="Verdana" w:cs="Arial"/>
                <w:color w:val="000000" w:themeColor="text1"/>
                <w:lang w:val="es-ES" w:eastAsia="es-ES"/>
              </w:rPr>
            </w:pPr>
          </w:p>
        </w:tc>
      </w:tr>
      <w:tr w:rsidR="003E071B" w:rsidRPr="0075355B" w14:paraId="1FD27A67" w14:textId="77777777" w:rsidTr="0075355B">
        <w:trPr>
          <w:trHeight w:val="300"/>
        </w:trPr>
        <w:tc>
          <w:tcPr>
            <w:tcW w:w="2410" w:type="dxa"/>
          </w:tcPr>
          <w:p w14:paraId="5AC3073A" w14:textId="77777777" w:rsidR="003E071B" w:rsidRPr="0075355B" w:rsidRDefault="003E071B" w:rsidP="0075355B">
            <w:pPr>
              <w:ind w:left="561"/>
              <w:jc w:val="both"/>
              <w:rPr>
                <w:rFonts w:ascii="Verdana" w:eastAsia="Calibri" w:hAnsi="Verdana" w:cs="Arial"/>
                <w:b/>
                <w:color w:val="000000" w:themeColor="text1"/>
                <w:lang w:val="es-ES" w:eastAsia="es-ES_tradnl"/>
              </w:rPr>
            </w:pPr>
            <w:r w:rsidRPr="0075355B">
              <w:rPr>
                <w:rFonts w:ascii="Verdana" w:eastAsia="Calibri" w:hAnsi="Verdana" w:cs="Arial"/>
                <w:b/>
                <w:color w:val="000000" w:themeColor="text1"/>
                <w:lang w:val="es-ES" w:eastAsia="es-ES_tradnl"/>
              </w:rPr>
              <w:t xml:space="preserve">Radicación:              </w:t>
            </w:r>
          </w:p>
        </w:tc>
        <w:tc>
          <w:tcPr>
            <w:tcW w:w="6100" w:type="dxa"/>
          </w:tcPr>
          <w:p w14:paraId="06F92A25" w14:textId="77777777" w:rsidR="003E071B" w:rsidRPr="0075355B" w:rsidRDefault="003E071B" w:rsidP="0075355B">
            <w:pPr>
              <w:ind w:left="3"/>
              <w:jc w:val="both"/>
              <w:rPr>
                <w:rFonts w:ascii="Verdana" w:hAnsi="Verdana"/>
                <w:bCs/>
                <w:color w:val="000000"/>
                <w:lang w:val="es-ES"/>
              </w:rPr>
            </w:pPr>
            <w:r w:rsidRPr="0075355B">
              <w:rPr>
                <w:rFonts w:ascii="Verdana" w:eastAsia="Calibri" w:hAnsi="Verdana" w:cs="Arial"/>
                <w:bCs/>
                <w:color w:val="000000" w:themeColor="text1"/>
                <w:lang w:val="es-ES" w:eastAsia="es-ES"/>
              </w:rPr>
              <w:t>Respuesta a consultas con radicados No.</w:t>
            </w:r>
            <w:r w:rsidRPr="0075355B">
              <w:rPr>
                <w:rFonts w:ascii="Verdana" w:hAnsi="Verdana" w:cs="Segoe UI"/>
                <w:bCs/>
                <w:color w:val="242424"/>
                <w:shd w:val="clear" w:color="auto" w:fill="FFFFFF"/>
                <w:lang w:val="es-ES"/>
              </w:rPr>
              <w:t xml:space="preserve"> </w:t>
            </w:r>
            <w:r w:rsidRPr="0075355B">
              <w:rPr>
                <w:rFonts w:ascii="Verdana" w:eastAsia="Calibri" w:hAnsi="Verdana" w:cs="Arial"/>
                <w:bCs/>
                <w:color w:val="000000" w:themeColor="text1"/>
                <w:lang w:val="es-ES" w:eastAsia="es-ES"/>
              </w:rPr>
              <w:t xml:space="preserve"> 1_2026_08_24_011223 y 1_2026_08_24_011216 (acumulados) </w:t>
            </w:r>
          </w:p>
        </w:tc>
      </w:tr>
    </w:tbl>
    <w:p w14:paraId="68AE744B" w14:textId="77777777" w:rsidR="003E071B" w:rsidRPr="0075355B" w:rsidRDefault="003E071B" w:rsidP="003E071B">
      <w:pPr>
        <w:spacing w:after="0" w:line="276" w:lineRule="auto"/>
        <w:jc w:val="both"/>
        <w:rPr>
          <w:rFonts w:ascii="Verdana" w:eastAsia="Calibri" w:hAnsi="Verdana" w:cs="Arial"/>
          <w:color w:val="000000" w:themeColor="text1"/>
          <w:lang w:val="es-ES" w:eastAsia="es-ES"/>
        </w:rPr>
      </w:pPr>
    </w:p>
    <w:p w14:paraId="07B047E7" w14:textId="77777777" w:rsidR="003E071B" w:rsidRPr="0075355B" w:rsidRDefault="003E071B" w:rsidP="003E071B">
      <w:pPr>
        <w:spacing w:after="0" w:line="276" w:lineRule="auto"/>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Estimado señor Bacca: </w:t>
      </w:r>
    </w:p>
    <w:p w14:paraId="10C3168D" w14:textId="77777777" w:rsidR="003E071B" w:rsidRPr="0075355B" w:rsidRDefault="003E071B" w:rsidP="003E071B">
      <w:pPr>
        <w:tabs>
          <w:tab w:val="left" w:pos="3768"/>
        </w:tabs>
        <w:spacing w:after="0" w:line="276" w:lineRule="auto"/>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ab/>
      </w:r>
    </w:p>
    <w:p w14:paraId="2744EA74" w14:textId="77777777" w:rsidR="003E071B" w:rsidRPr="0075355B" w:rsidRDefault="003E071B" w:rsidP="003E071B">
      <w:pPr>
        <w:spacing w:after="0" w:line="276" w:lineRule="auto"/>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En ejercicio de la competencia otorgada por los artículos 3, numeral 5º, y 11, numeral 8º, del Decreto Ley 4170 de 2011,</w:t>
      </w:r>
      <w:r w:rsidRPr="0075355B">
        <w:rPr>
          <w:rFonts w:ascii="Verdana" w:eastAsia="Arial MT" w:hAnsi="Verdana" w:cs="Arial MT"/>
          <w:color w:val="000000" w:themeColor="text1"/>
          <w:lang w:val="es-ES" w:eastAsia="es-ES"/>
        </w:rPr>
        <w:t xml:space="preserve"> </w:t>
      </w:r>
      <w:r w:rsidRPr="0075355B">
        <w:rPr>
          <w:rFonts w:ascii="Verdana" w:hAnsi="Verdana" w:cs="Arial"/>
          <w:color w:val="000000" w:themeColor="text1"/>
          <w:lang w:val="es-ES"/>
        </w:rPr>
        <w:t xml:space="preserve">así como lo establecido en el artículo 4 de la Resolución 1707 de 2018 expedida por esta Entidad, </w:t>
      </w:r>
      <w:r w:rsidRPr="0075355B">
        <w:rPr>
          <w:rFonts w:ascii="Verdana" w:eastAsia="Calibri" w:hAnsi="Verdana" w:cs="Arial"/>
          <w:color w:val="000000" w:themeColor="text1"/>
          <w:lang w:val="es-ES" w:eastAsia="es-ES"/>
        </w:rPr>
        <w:t xml:space="preserve">la Agencia Nacional de Contratación Pública – Colombia Compra Eficiente– responde su solicitud de consulta remitida por el Departamento Nacional de Planeación el 24 de agosto de 2026, en la cual manifiesta lo siguiente: </w:t>
      </w:r>
    </w:p>
    <w:p w14:paraId="19E325B5" w14:textId="77777777" w:rsidR="003E071B" w:rsidRPr="0075355B" w:rsidRDefault="003E071B" w:rsidP="003E071B">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3A2A41C2" w14:textId="77777777" w:rsidR="003E071B" w:rsidRPr="0075355B" w:rsidRDefault="003E071B" w:rsidP="003E071B">
      <w:pPr>
        <w:pStyle w:val="ListParagraph"/>
        <w:ind w:left="709" w:right="709"/>
        <w:jc w:val="both"/>
        <w:rPr>
          <w:rFonts w:ascii="Verdana" w:eastAsia="Calibri" w:hAnsi="Verdana" w:cs="Arial"/>
          <w:i/>
          <w:sz w:val="20"/>
          <w:szCs w:val="20"/>
        </w:rPr>
      </w:pPr>
      <w:r w:rsidRPr="0075355B">
        <w:rPr>
          <w:rFonts w:ascii="Verdana" w:eastAsia="Calibri" w:hAnsi="Verdana" w:cs="Arial"/>
          <w:i/>
          <w:sz w:val="20"/>
          <w:szCs w:val="20"/>
        </w:rPr>
        <w:t>”</w:t>
      </w:r>
      <w:r w:rsidRPr="0075355B">
        <w:rPr>
          <w:rFonts w:ascii="Verdana" w:eastAsia="Times New Roman" w:hAnsi="Verdana" w:cs="Times New Roman"/>
          <w:b/>
        </w:rPr>
        <w:t xml:space="preserve"> </w:t>
      </w:r>
      <w:r w:rsidRPr="0075355B">
        <w:rPr>
          <w:rFonts w:ascii="Verdana" w:eastAsia="Times New Roman" w:hAnsi="Verdana" w:cs="Times New Roman"/>
          <w:i/>
        </w:rPr>
        <w:t>[…]</w:t>
      </w:r>
      <w:r w:rsidRPr="0075355B">
        <w:rPr>
          <w:rFonts w:ascii="Verdana" w:eastAsia="Times New Roman" w:hAnsi="Verdana" w:cs="Times New Roman"/>
          <w:b/>
        </w:rPr>
        <w:t xml:space="preserve"> </w:t>
      </w:r>
      <w:r w:rsidRPr="0075355B">
        <w:rPr>
          <w:rFonts w:ascii="Verdana" w:eastAsia="Calibri" w:hAnsi="Verdana" w:cs="Arial"/>
          <w:b/>
          <w:i/>
          <w:sz w:val="20"/>
          <w:szCs w:val="20"/>
        </w:rPr>
        <w:t xml:space="preserve">3. Sobre entidades con régimen especial de contratación </w:t>
      </w:r>
    </w:p>
    <w:p w14:paraId="02298161" w14:textId="77777777" w:rsidR="003E071B" w:rsidRPr="0075355B" w:rsidRDefault="003E071B" w:rsidP="003E071B">
      <w:pPr>
        <w:pStyle w:val="ListParagraph"/>
        <w:ind w:left="709" w:right="709"/>
        <w:jc w:val="both"/>
        <w:rPr>
          <w:rFonts w:ascii="Verdana" w:eastAsia="Calibri" w:hAnsi="Verdana" w:cs="Arial"/>
          <w:i/>
          <w:sz w:val="20"/>
          <w:szCs w:val="20"/>
        </w:rPr>
      </w:pPr>
      <w:r w:rsidRPr="0075355B">
        <w:rPr>
          <w:rFonts w:ascii="Verdana" w:eastAsia="Calibri" w:hAnsi="Verdana" w:cs="Arial"/>
          <w:i/>
          <w:sz w:val="20"/>
          <w:szCs w:val="20"/>
        </w:rPr>
        <w:t xml:space="preserve">Cuando una entidad pública que puede ser designada como ejecutora de un proyecto de </w:t>
      </w:r>
      <w:proofErr w:type="spellStart"/>
      <w:r w:rsidRPr="0075355B">
        <w:rPr>
          <w:rFonts w:ascii="Verdana" w:eastAsia="Calibri" w:hAnsi="Verdana" w:cs="Arial"/>
          <w:i/>
          <w:sz w:val="20"/>
          <w:szCs w:val="20"/>
        </w:rPr>
        <w:t>inversión</w:t>
      </w:r>
      <w:proofErr w:type="spellEnd"/>
      <w:r w:rsidRPr="0075355B">
        <w:rPr>
          <w:rFonts w:ascii="Verdana" w:eastAsia="Calibri" w:hAnsi="Verdana" w:cs="Arial"/>
          <w:i/>
          <w:sz w:val="20"/>
          <w:szCs w:val="20"/>
        </w:rPr>
        <w:t xml:space="preserve"> financiado con recursos del SGR se encuentre sometida, por disposición legal, a un régimen especial o exceptuado de contratación, ¿la sola </w:t>
      </w:r>
      <w:proofErr w:type="spellStart"/>
      <w:r w:rsidRPr="0075355B">
        <w:rPr>
          <w:rFonts w:ascii="Verdana" w:eastAsia="Calibri" w:hAnsi="Verdana" w:cs="Arial"/>
          <w:i/>
          <w:sz w:val="20"/>
          <w:szCs w:val="20"/>
        </w:rPr>
        <w:t>designación</w:t>
      </w:r>
      <w:proofErr w:type="spellEnd"/>
      <w:r w:rsidRPr="0075355B">
        <w:rPr>
          <w:rFonts w:ascii="Verdana" w:eastAsia="Calibri" w:hAnsi="Verdana" w:cs="Arial"/>
          <w:i/>
          <w:sz w:val="20"/>
          <w:szCs w:val="20"/>
        </w:rPr>
        <w:t xml:space="preserve"> como ejecutora implica que, para la ejecución del proyecto financiado con recursos del SGR, deba aplicar el Estatuto General de Contratación de la Administración Pública? </w:t>
      </w:r>
    </w:p>
    <w:p w14:paraId="0D5507CF" w14:textId="77777777" w:rsidR="003E071B" w:rsidRPr="0075355B" w:rsidRDefault="003E071B" w:rsidP="003E071B">
      <w:pPr>
        <w:pStyle w:val="ListParagraph"/>
        <w:ind w:left="709" w:right="709"/>
        <w:jc w:val="both"/>
        <w:rPr>
          <w:rFonts w:ascii="Verdana" w:eastAsia="Calibri" w:hAnsi="Verdana" w:cs="Arial"/>
          <w:i/>
          <w:sz w:val="20"/>
          <w:szCs w:val="20"/>
        </w:rPr>
      </w:pPr>
      <w:r w:rsidRPr="0075355B">
        <w:rPr>
          <w:rFonts w:ascii="Verdana" w:eastAsia="Calibri" w:hAnsi="Verdana" w:cs="Arial"/>
          <w:i/>
          <w:sz w:val="20"/>
          <w:szCs w:val="20"/>
        </w:rPr>
        <w:t xml:space="preserve">En particular, ¿debe entenderse que el artículo 37 de la Ley 2056 de 2020 desplaza temporalmente el régimen contractual especial de la entidad ejecutora durante la ejecución del proyecto financiado con recursos del SGR? </w:t>
      </w:r>
    </w:p>
    <w:p w14:paraId="12195211" w14:textId="77777777" w:rsidR="003E071B" w:rsidRPr="0075355B" w:rsidRDefault="003E071B" w:rsidP="003E071B">
      <w:pPr>
        <w:pStyle w:val="ListParagraph"/>
        <w:ind w:left="709" w:right="709"/>
        <w:jc w:val="both"/>
        <w:rPr>
          <w:rFonts w:ascii="Verdana" w:eastAsia="Calibri" w:hAnsi="Verdana" w:cs="Arial"/>
          <w:i/>
          <w:sz w:val="20"/>
          <w:szCs w:val="20"/>
        </w:rPr>
      </w:pPr>
      <w:r w:rsidRPr="0075355B">
        <w:rPr>
          <w:rFonts w:ascii="Verdana" w:eastAsia="Calibri" w:hAnsi="Verdana" w:cs="Arial"/>
          <w:b/>
          <w:i/>
          <w:sz w:val="20"/>
          <w:szCs w:val="20"/>
        </w:rPr>
        <w:lastRenderedPageBreak/>
        <w:t xml:space="preserve">4. Sobre el alcance del concepto emitido por Colombia Compra Eficiente </w:t>
      </w:r>
    </w:p>
    <w:p w14:paraId="706E13AE" w14:textId="77777777" w:rsidR="003E071B" w:rsidRPr="0075355B" w:rsidRDefault="003E071B" w:rsidP="003E071B">
      <w:pPr>
        <w:pStyle w:val="ListParagraph"/>
        <w:ind w:left="709" w:right="709"/>
        <w:jc w:val="both"/>
        <w:rPr>
          <w:rFonts w:ascii="Verdana" w:eastAsia="Calibri" w:hAnsi="Verdana" w:cs="Arial"/>
          <w:i/>
          <w:sz w:val="20"/>
          <w:szCs w:val="20"/>
        </w:rPr>
      </w:pPr>
      <w:r w:rsidRPr="0075355B">
        <w:rPr>
          <w:rFonts w:ascii="Verdana" w:eastAsia="Calibri" w:hAnsi="Verdana" w:cs="Arial"/>
          <w:i/>
          <w:sz w:val="20"/>
          <w:szCs w:val="20"/>
        </w:rPr>
        <w:t xml:space="preserve">¿La interpretación contenida en el concepto de Colombia Compra Eficiente, según la cual el parágrafo 1 del artículo 37 de la Ley 2056 de 2020 exige que las entidades designadas como ejecutoras apliquen el Estatuto General de Contratación de la Administración Pública, constituye una interpretación jurídicamente compatible con el régimen especial establecido por la Ley 2056 de 2020 y el Decreto 1821 de 2020? </w:t>
      </w:r>
    </w:p>
    <w:p w14:paraId="49F5F009" w14:textId="77777777" w:rsidR="003E071B" w:rsidRPr="0075355B" w:rsidRDefault="003E071B" w:rsidP="003E071B">
      <w:pPr>
        <w:pStyle w:val="ListParagraph"/>
        <w:ind w:left="709" w:right="709"/>
        <w:jc w:val="both"/>
        <w:rPr>
          <w:rFonts w:ascii="Verdana" w:eastAsia="Calibri" w:hAnsi="Verdana" w:cs="Arial"/>
          <w:i/>
          <w:sz w:val="20"/>
          <w:szCs w:val="20"/>
        </w:rPr>
      </w:pPr>
      <w:r w:rsidRPr="0075355B">
        <w:rPr>
          <w:rFonts w:ascii="Verdana" w:eastAsia="Calibri" w:hAnsi="Verdana" w:cs="Arial"/>
          <w:i/>
          <w:sz w:val="20"/>
          <w:szCs w:val="20"/>
        </w:rPr>
        <w:t>En caso afirmativo, ¿dicha interpretación resulta aplicable de manera general a todas las entidades que puedan ser designadas ejecutoras, independientemente de su naturaleza jurídica y del régimen contractual que les sea aplicable para el desarrollo ordinario de sus funciones? […]”</w:t>
      </w:r>
    </w:p>
    <w:p w14:paraId="7B066833" w14:textId="77777777" w:rsidR="003E071B" w:rsidRPr="0075355B" w:rsidRDefault="003E071B" w:rsidP="003E071B">
      <w:pPr>
        <w:pStyle w:val="ListParagraph"/>
        <w:ind w:left="709" w:right="709"/>
        <w:jc w:val="both"/>
        <w:rPr>
          <w:rFonts w:ascii="Verdana" w:eastAsia="Calibri" w:hAnsi="Verdana" w:cs="Arial"/>
          <w:i/>
          <w:sz w:val="20"/>
          <w:szCs w:val="20"/>
        </w:rPr>
      </w:pPr>
      <w:r w:rsidRPr="0075355B">
        <w:rPr>
          <w:rFonts w:ascii="Verdana" w:eastAsia="Calibri" w:hAnsi="Verdana" w:cs="Arial"/>
          <w:i/>
          <w:sz w:val="20"/>
          <w:szCs w:val="20"/>
        </w:rPr>
        <w:t xml:space="preserve"> </w:t>
      </w:r>
    </w:p>
    <w:p w14:paraId="3FD8720D" w14:textId="77777777" w:rsidR="003E071B" w:rsidRPr="0075355B" w:rsidRDefault="003E071B" w:rsidP="003E071B">
      <w:pPr>
        <w:spacing w:after="120" w:line="276" w:lineRule="auto"/>
        <w:ind w:firstLine="708"/>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5355B">
        <w:rPr>
          <w:lang w:val="es-ES"/>
        </w:rPr>
        <w:tab/>
      </w:r>
    </w:p>
    <w:p w14:paraId="6D9C2A92" w14:textId="77777777" w:rsidR="003E071B" w:rsidRPr="0075355B" w:rsidRDefault="003E071B" w:rsidP="003E071B">
      <w:pPr>
        <w:spacing w:after="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B1A18AE" w14:textId="77777777" w:rsidR="003E071B" w:rsidRPr="0075355B" w:rsidRDefault="003E071B" w:rsidP="003E071B">
      <w:pPr>
        <w:spacing w:after="0" w:line="276" w:lineRule="auto"/>
        <w:jc w:val="both"/>
        <w:rPr>
          <w:rFonts w:ascii="Verdana" w:eastAsia="Calibri" w:hAnsi="Verdana" w:cs="Arial"/>
          <w:color w:val="000000" w:themeColor="text1"/>
          <w:lang w:val="es-ES" w:eastAsia="es-ES"/>
        </w:rPr>
      </w:pPr>
    </w:p>
    <w:p w14:paraId="53318594" w14:textId="77777777" w:rsidR="003E071B" w:rsidRPr="0075355B" w:rsidRDefault="003E071B" w:rsidP="003E071B">
      <w:pPr>
        <w:pStyle w:val="ListParagraph"/>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75355B">
        <w:rPr>
          <w:rFonts w:ascii="Verdana" w:eastAsia="Century Gothic" w:hAnsi="Verdana" w:cs="Century Gothic"/>
          <w:b/>
          <w:bCs/>
          <w:color w:val="000000" w:themeColor="text1"/>
        </w:rPr>
        <w:t>Problema planteado:</w:t>
      </w:r>
    </w:p>
    <w:p w14:paraId="2DDE6BB6" w14:textId="77777777" w:rsidR="003E071B" w:rsidRPr="0075355B" w:rsidRDefault="003E071B" w:rsidP="003E071B">
      <w:pPr>
        <w:tabs>
          <w:tab w:val="left" w:pos="426"/>
        </w:tabs>
        <w:spacing w:after="0" w:line="276" w:lineRule="auto"/>
        <w:jc w:val="both"/>
        <w:rPr>
          <w:rFonts w:ascii="Verdana" w:eastAsia="Century Gothic" w:hAnsi="Verdana" w:cs="Century Gothic"/>
          <w:color w:val="000000" w:themeColor="text1"/>
          <w:lang w:val="es-ES"/>
        </w:rPr>
      </w:pPr>
    </w:p>
    <w:p w14:paraId="48D70301" w14:textId="77777777" w:rsidR="003E071B" w:rsidRPr="0075355B" w:rsidRDefault="003E071B" w:rsidP="003E071B">
      <w:pPr>
        <w:spacing w:after="0" w:line="276" w:lineRule="auto"/>
        <w:jc w:val="both"/>
        <w:textAlignment w:val="baseline"/>
        <w:rPr>
          <w:rFonts w:ascii="Verdana" w:eastAsia="Verdana" w:hAnsi="Verdana" w:cs="Verdana"/>
          <w:color w:val="000000" w:themeColor="text1"/>
          <w:lang w:val="es-ES"/>
        </w:rPr>
      </w:pPr>
      <w:r w:rsidRPr="0075355B">
        <w:rPr>
          <w:rFonts w:ascii="Verdana" w:eastAsia="Century Gothic" w:hAnsi="Verdana" w:cs="Century Gothic"/>
          <w:color w:val="000000" w:themeColor="text1"/>
          <w:lang w:val="es-ES"/>
        </w:rPr>
        <w:t xml:space="preserve">De acuerdo con el contenido de su solicitud, esta Agencia resolverá el siguiente problema jurídico: </w:t>
      </w:r>
      <w:r w:rsidRPr="0075355B">
        <w:rPr>
          <w:rFonts w:ascii="Verdana" w:eastAsia="Verdana" w:hAnsi="Verdana" w:cs="Verdana"/>
          <w:color w:val="000000" w:themeColor="text1"/>
          <w:lang w:val="es-ES"/>
        </w:rPr>
        <w:t>¿Cuál es el régimen contractual aplicable en la ejecución de proyectos financiados con recursos del Sistema General de Regalías cuando la entidad ejecutora está sometida a un régimen especial de contratación?</w:t>
      </w:r>
    </w:p>
    <w:p w14:paraId="7B9B07B0" w14:textId="77777777" w:rsidR="003E071B" w:rsidRPr="0075355B" w:rsidRDefault="003E071B" w:rsidP="003E071B">
      <w:pPr>
        <w:spacing w:after="140" w:line="276" w:lineRule="auto"/>
        <w:jc w:val="both"/>
        <w:rPr>
          <w:rFonts w:ascii="Verdana" w:eastAsia="Century Gothic" w:hAnsi="Verdana" w:cs="Century Gothic"/>
          <w:color w:val="000000" w:themeColor="text1"/>
          <w:lang w:val="es-ES"/>
        </w:rPr>
      </w:pPr>
    </w:p>
    <w:p w14:paraId="0582F256" w14:textId="77777777" w:rsidR="003E071B" w:rsidRPr="0075355B" w:rsidRDefault="003E071B" w:rsidP="003E071B">
      <w:pPr>
        <w:pStyle w:val="ListParagraph"/>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75355B">
        <w:rPr>
          <w:rFonts w:ascii="Verdana" w:eastAsia="Century Gothic" w:hAnsi="Verdana" w:cs="Century Gothic"/>
          <w:b/>
          <w:bCs/>
          <w:color w:val="000000" w:themeColor="text1"/>
        </w:rPr>
        <w:t>Respuesta:</w:t>
      </w:r>
    </w:p>
    <w:p w14:paraId="0B97896A" w14:textId="77777777" w:rsidR="003E071B" w:rsidRPr="0075355B" w:rsidRDefault="003E071B" w:rsidP="003E071B">
      <w:pPr>
        <w:spacing w:after="0" w:line="276" w:lineRule="auto"/>
        <w:jc w:val="both"/>
        <w:rPr>
          <w:rFonts w:ascii="Verdana" w:eastAsia="Calibri" w:hAnsi="Verdana" w:cs="Arial"/>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E071B" w:rsidRPr="0075355B" w14:paraId="5E8B907E" w14:textId="77777777" w:rsidTr="0075355B">
        <w:trPr>
          <w:trHeight w:val="300"/>
        </w:trPr>
        <w:tc>
          <w:tcPr>
            <w:tcW w:w="8828" w:type="dxa"/>
          </w:tcPr>
          <w:p w14:paraId="4F7F5583" w14:textId="77777777" w:rsidR="003E071B" w:rsidRPr="0075355B" w:rsidRDefault="003E071B" w:rsidP="0075355B">
            <w:pPr>
              <w:spacing w:before="120" w:after="120" w:line="276" w:lineRule="auto"/>
              <w:jc w:val="both"/>
              <w:rPr>
                <w:rFonts w:ascii="Verdana" w:hAnsi="Verdana" w:cs="Arial"/>
                <w:color w:val="000000" w:themeColor="text1"/>
                <w:lang w:val="es-ES"/>
              </w:rPr>
            </w:pPr>
            <w:r w:rsidRPr="0075355B">
              <w:rPr>
                <w:rFonts w:ascii="Verdana" w:hAnsi="Verdana" w:cs="Arial"/>
                <w:color w:val="000000" w:themeColor="text1"/>
                <w:lang w:val="es-ES"/>
              </w:rPr>
              <w:t xml:space="preserve">Conforme a la interpretación general de las normas del sistema de compras públicas, esta Subdirección ha mantenido de manera reiterada que, de acuerdo con el parágrafo primero del artículo 37 de la Ley 2056 de 2020, el ejecutor de los proyectos de inversión del Sistema General de Regalías, </w:t>
            </w:r>
            <w:r w:rsidRPr="0075355B">
              <w:rPr>
                <w:rFonts w:ascii="Verdana" w:hAnsi="Verdana" w:cs="Arial"/>
                <w:i/>
                <w:iCs/>
                <w:color w:val="000000" w:themeColor="text1"/>
                <w:lang w:val="es-ES"/>
              </w:rPr>
              <w:t>independiente del régimen contractual</w:t>
            </w:r>
            <w:r w:rsidRPr="0075355B">
              <w:rPr>
                <w:rFonts w:ascii="Verdana" w:hAnsi="Verdana" w:cs="Arial"/>
                <w:color w:val="000000" w:themeColor="text1"/>
                <w:lang w:val="es-ES"/>
              </w:rPr>
              <w:t xml:space="preserve"> al cual se encuentre sujeto de manera general, debe aplicar las reglas de contratación pública, esto es, las prescripciones establecidas en el Estatuto General de Contratación de la Administración Pública –en adelante, EGCAP–, así como las normas que lo modifiquen, sustituyan o reglamenten. </w:t>
            </w:r>
          </w:p>
          <w:p w14:paraId="630070A8" w14:textId="77777777" w:rsidR="003E071B" w:rsidRDefault="003E071B" w:rsidP="0075355B">
            <w:pPr>
              <w:spacing w:before="120" w:after="120" w:line="276" w:lineRule="auto"/>
              <w:ind w:firstLine="744"/>
              <w:jc w:val="both"/>
              <w:rPr>
                <w:rFonts w:ascii="Verdana" w:hAnsi="Verdana" w:cs="Arial"/>
                <w:color w:val="000000" w:themeColor="text1"/>
                <w:lang w:val="es-ES"/>
              </w:rPr>
            </w:pPr>
            <w:r w:rsidRPr="0075355B">
              <w:rPr>
                <w:rFonts w:ascii="Verdana" w:hAnsi="Verdana" w:cs="Arial"/>
                <w:color w:val="000000" w:themeColor="text1"/>
                <w:lang w:val="es-ES"/>
              </w:rPr>
              <w:t xml:space="preserve">En consecuencia, la sola designación como ejecutora de un proyecto financiado con recursos del SGR conlleva, para la entidad designada, la obligación de sujetarse al EGCAP durante la ejecución de dicho proyecto, con independencia del régimen contractual especial o exceptuado que le resulte aplicable en el desarrollo ordinario de sus funciones. Dicho de otro modo, el artículo 37 citado no desplaza ni deroga el régimen especial de la entidad ejecutora, pero sí superpone válidamente un conjunto de reglas de contratación pública aplicables de manera </w:t>
            </w:r>
            <w:r w:rsidRPr="0075355B">
              <w:rPr>
                <w:rFonts w:ascii="Verdana" w:hAnsi="Verdana" w:cs="Arial"/>
                <w:i/>
                <w:iCs/>
                <w:color w:val="000000" w:themeColor="text1"/>
                <w:lang w:val="es-ES"/>
              </w:rPr>
              <w:t>preferente</w:t>
            </w:r>
            <w:r w:rsidRPr="0075355B">
              <w:rPr>
                <w:rFonts w:ascii="Verdana" w:hAnsi="Verdana" w:cs="Arial"/>
                <w:color w:val="000000" w:themeColor="text1"/>
                <w:lang w:val="es-ES"/>
              </w:rPr>
              <w:t xml:space="preserve"> y con carácter imperativo respecto de los contratos financiados con recursos de regalías, de modo que la entidad no puede invocar las excepciones a la aplicación de la Ley 80 de 1993 para sustraerse de su cumplimiento en ese ámbito específico. </w:t>
            </w:r>
          </w:p>
          <w:p w14:paraId="784D4745" w14:textId="5682D9FA" w:rsidR="003C7EF4" w:rsidRPr="00751EE6" w:rsidRDefault="003B1773" w:rsidP="00751EE6">
            <w:pPr>
              <w:spacing w:after="120" w:line="276" w:lineRule="auto"/>
              <w:ind w:firstLine="709"/>
              <w:jc w:val="both"/>
              <w:rPr>
                <w:rFonts w:ascii="Verdana" w:eastAsia="Calibri" w:hAnsi="Verdana" w:cs="Arial"/>
                <w:color w:val="000000" w:themeColor="text1"/>
                <w:lang w:eastAsia="es-ES"/>
              </w:rPr>
            </w:pPr>
            <w:r>
              <w:rPr>
                <w:rFonts w:ascii="Verdana" w:eastAsia="Calibri" w:hAnsi="Verdana" w:cs="Arial"/>
                <w:color w:val="000000" w:themeColor="text1"/>
                <w:lang w:eastAsia="es-ES"/>
              </w:rPr>
              <w:t>D</w:t>
            </w:r>
            <w:r w:rsidR="003C7EF4" w:rsidRPr="002F7DE0">
              <w:rPr>
                <w:rFonts w:ascii="Verdana" w:eastAsia="Calibri" w:hAnsi="Verdana" w:cs="Arial"/>
                <w:color w:val="000000" w:themeColor="text1"/>
                <w:lang w:eastAsia="es-ES"/>
              </w:rPr>
              <w:t xml:space="preserve">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w:t>
            </w:r>
            <w:r w:rsidR="003C7EF4" w:rsidRPr="002F7DE0">
              <w:rPr>
                <w:rFonts w:ascii="Verdana" w:eastAsia="Calibri" w:hAnsi="Verdana" w:cs="Arial"/>
                <w:color w:val="000000" w:themeColor="text1"/>
                <w:lang w:eastAsia="es-ES"/>
              </w:rPr>
              <w:lastRenderedPageBreak/>
              <w:t>regímenes especiales</w:t>
            </w:r>
            <w:r w:rsidR="00BC7CA0">
              <w:rPr>
                <w:rFonts w:ascii="Verdana" w:eastAsia="Calibri" w:hAnsi="Verdana" w:cs="Arial"/>
                <w:color w:val="000000" w:themeColor="text1"/>
                <w:lang w:eastAsia="es-ES"/>
              </w:rPr>
              <w:t xml:space="preserve"> </w:t>
            </w:r>
            <w:r w:rsidR="003C7EF4" w:rsidRPr="002F7DE0">
              <w:rPr>
                <w:rFonts w:ascii="Verdana" w:eastAsia="Calibri" w:hAnsi="Verdana" w:cs="Arial"/>
                <w:color w:val="000000" w:themeColor="text1"/>
                <w:lang w:eastAsia="es-ES"/>
              </w:rPr>
              <w:t>cuando estas sean designadas ejecutoras de proyectos financiados con recursos del SGR.</w:t>
            </w:r>
          </w:p>
          <w:p w14:paraId="22EED6B8" w14:textId="11185A9C" w:rsidR="003E071B" w:rsidRPr="0075355B" w:rsidRDefault="003E071B" w:rsidP="0075355B">
            <w:pPr>
              <w:spacing w:before="120" w:after="120" w:line="276" w:lineRule="auto"/>
              <w:ind w:firstLine="744"/>
              <w:jc w:val="both"/>
              <w:rPr>
                <w:rFonts w:ascii="Verdana" w:hAnsi="Verdana" w:cs="Arial"/>
                <w:color w:val="000000" w:themeColor="text1"/>
                <w:lang w:val="es-ES"/>
              </w:rPr>
            </w:pPr>
            <w:r w:rsidRPr="0075355B">
              <w:rPr>
                <w:rFonts w:ascii="Verdana" w:hAnsi="Verdana" w:cs="Arial"/>
                <w:color w:val="000000" w:themeColor="text1"/>
                <w:lang w:val="es-ES"/>
              </w:rPr>
              <w:t>E</w:t>
            </w:r>
            <w:r w:rsidR="003C7EF4">
              <w:rPr>
                <w:rFonts w:ascii="Verdana" w:hAnsi="Verdana" w:cs="Arial"/>
                <w:color w:val="000000" w:themeColor="text1"/>
                <w:lang w:val="es-ES"/>
              </w:rPr>
              <w:t xml:space="preserve">sta interpretación </w:t>
            </w:r>
            <w:r w:rsidRPr="0075355B">
              <w:rPr>
                <w:rFonts w:ascii="Verdana" w:hAnsi="Verdana" w:cs="Arial"/>
                <w:color w:val="000000" w:themeColor="text1"/>
                <w:lang w:val="es-ES"/>
              </w:rPr>
              <w:t xml:space="preserve">es jurídicamente compatible con el régimen especial establecido por la Ley 2056 de 2020 y el Decreto 1821 de 2020, pues, como norma especial y posterior, aquella puede válidamente establecer reglas contractuales diferenciadas para determinados tipos de recursos sin que ello afecte la estructura general del régimen contractual ordinario de las entidades. Finalmente, dicha interpretación resulta aplicable de manera general a </w:t>
            </w:r>
            <w:r w:rsidRPr="0075355B">
              <w:rPr>
                <w:rFonts w:ascii="Verdana" w:hAnsi="Verdana" w:cs="Arial"/>
                <w:i/>
                <w:iCs/>
                <w:color w:val="000000" w:themeColor="text1"/>
                <w:lang w:val="es-ES"/>
              </w:rPr>
              <w:t>todas</w:t>
            </w:r>
            <w:r w:rsidRPr="0075355B">
              <w:rPr>
                <w:rFonts w:ascii="Verdana" w:hAnsi="Verdana" w:cs="Arial"/>
                <w:color w:val="000000" w:themeColor="text1"/>
                <w:lang w:val="es-ES"/>
              </w:rPr>
              <w:t xml:space="preserve"> las entidades que puedan ser designadas ejecutoras, sin distinción de su naturaleza jurídica ni del régimen contractual que les sea aplicable para el desarrollo ordinario de sus funciones, habida cuenta de que el parágrafo 1 del artículo 37 no introduce distinción alguna al respecto y, donde la norma no distingue, no le corresponde distinguir al intérprete.</w:t>
            </w:r>
          </w:p>
          <w:p w14:paraId="3FB003B8" w14:textId="1E1767C6" w:rsidR="003E071B" w:rsidRPr="0075355B" w:rsidRDefault="003E071B" w:rsidP="0075355B">
            <w:pPr>
              <w:spacing w:before="120" w:after="120" w:line="276" w:lineRule="auto"/>
              <w:ind w:firstLine="744"/>
              <w:jc w:val="both"/>
              <w:rPr>
                <w:rFonts w:ascii="Verdana" w:hAnsi="Verdana" w:cs="Arial"/>
                <w:color w:val="000000" w:themeColor="text1"/>
                <w:lang w:val="es-ES"/>
              </w:rPr>
            </w:pPr>
            <w:r w:rsidRPr="0075355B">
              <w:rPr>
                <w:rFonts w:ascii="Verdana" w:hAnsi="Verdana" w:cs="Arial"/>
                <w:color w:val="000000" w:themeColor="text1"/>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2B332C22" w14:textId="77777777" w:rsidR="003E071B" w:rsidRPr="0075355B" w:rsidRDefault="003E071B" w:rsidP="003E071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530DF94" w14:textId="77777777" w:rsidR="003E071B" w:rsidRPr="0075355B" w:rsidRDefault="003E071B" w:rsidP="003E071B">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75355B">
        <w:rPr>
          <w:rFonts w:ascii="Verdana" w:eastAsia="Century Gothic" w:hAnsi="Verdana" w:cs="Century Gothic"/>
          <w:b/>
          <w:color w:val="000000" w:themeColor="text1"/>
        </w:rPr>
        <w:t>Razones de la respuesta:</w:t>
      </w:r>
    </w:p>
    <w:p w14:paraId="1EFE18B2" w14:textId="77777777" w:rsidR="003E071B" w:rsidRPr="0075355B" w:rsidRDefault="003E071B" w:rsidP="003E071B">
      <w:pPr>
        <w:spacing w:after="0" w:line="276" w:lineRule="auto"/>
        <w:jc w:val="both"/>
        <w:rPr>
          <w:rFonts w:ascii="Verdana" w:eastAsia="Calibri" w:hAnsi="Verdana" w:cs="Arial"/>
          <w:color w:val="000000" w:themeColor="text1"/>
          <w:lang w:val="es-ES"/>
        </w:rPr>
      </w:pPr>
    </w:p>
    <w:p w14:paraId="150615AC" w14:textId="36B3F68B" w:rsidR="003E071B" w:rsidRPr="0075355B" w:rsidRDefault="003E071B" w:rsidP="003E071B">
      <w:pPr>
        <w:spacing w:after="120" w:line="276" w:lineRule="auto"/>
        <w:jc w:val="both"/>
        <w:rPr>
          <w:rFonts w:ascii="Verdana" w:eastAsia="Calibri" w:hAnsi="Verdana" w:cs="Arial"/>
          <w:color w:val="000000"/>
          <w:lang w:val="es-ES" w:eastAsia="es-ES"/>
        </w:rPr>
      </w:pPr>
      <w:r w:rsidRPr="0075355B">
        <w:rPr>
          <w:rFonts w:ascii="Verdana" w:eastAsia="Verdana" w:hAnsi="Verdana" w:cs="Verdana"/>
          <w:lang w:val="es-ES"/>
        </w:rPr>
        <w:t xml:space="preserve">i. </w:t>
      </w:r>
      <w:r w:rsidRPr="0075355B">
        <w:rPr>
          <w:rFonts w:ascii="Verdana" w:eastAsia="Calibri" w:hAnsi="Verdana" w:cs="Arial"/>
          <w:color w:val="000000"/>
          <w:lang w:val="es-ES" w:eastAsia="es-ES"/>
        </w:rPr>
        <w:t xml:space="preserve">Conforme a la interpretación general de las normas del sistema de compras públicas, esta Subdirección en </w:t>
      </w:r>
      <w:r w:rsidRPr="0075355B">
        <w:rPr>
          <w:rFonts w:ascii="Verdana" w:hAnsi="Verdana" w:cs="Arial"/>
          <w:lang w:val="es-ES"/>
        </w:rPr>
        <w:t>los conceptos C-370 del 2021,</w:t>
      </w:r>
      <w:r w:rsidRPr="0075355B">
        <w:rPr>
          <w:rFonts w:ascii="Verdana" w:hAnsi="Verdana" w:cs="Arial"/>
          <w:shd w:val="clear" w:color="auto" w:fill="FFFFFF"/>
          <w:lang w:val="es-ES"/>
        </w:rPr>
        <w:t xml:space="preserve"> C-353 del 2 de junio de 2022, C-918 del 9 de diciembre de 2024, C-951 del 16 de diciembre de 2024, C-285 del 14 de abril de 2025, C-348 del 25 de abril de 2025, C-370 del 2 de mayo de 2025, </w:t>
      </w:r>
      <w:r w:rsidRPr="0075355B">
        <w:rPr>
          <w:rFonts w:ascii="Verdana" w:hAnsi="Verdana"/>
          <w:shd w:val="clear" w:color="auto" w:fill="FFFFFF"/>
          <w:lang w:val="es-ES"/>
        </w:rPr>
        <w:t xml:space="preserve">C-680 del 8 de julio de 2025, </w:t>
      </w:r>
      <w:r w:rsidR="00516B72" w:rsidRPr="002F7DE0">
        <w:rPr>
          <w:rFonts w:ascii="Verdana" w:hAnsi="Verdana"/>
          <w:shd w:val="clear" w:color="auto" w:fill="FFFFFF"/>
        </w:rPr>
        <w:t>C-914 del 15 de agosto de 2025, C-1065 del 8 de septiembre de 2025, C-225 del 27 de febrero de 2026, C-417 del 2026,</w:t>
      </w:r>
      <w:r w:rsidR="00516B72" w:rsidRPr="002F7DE0">
        <w:rPr>
          <w:rFonts w:ascii="Verdana" w:hAnsi="Verdana" w:cs="Arial"/>
        </w:rPr>
        <w:t xml:space="preserve"> C-764 del 29 de mayo de 2026</w:t>
      </w:r>
      <w:r w:rsidR="00516B72" w:rsidRPr="002F7DE0">
        <w:rPr>
          <w:rFonts w:ascii="Verdana" w:hAnsi="Verdana"/>
          <w:shd w:val="clear" w:color="auto" w:fill="FFFFFF"/>
        </w:rPr>
        <w:t>, C-1050 del 21 de julio de 2026, C-1151, C-1152 del 12 de agosto, C-1249 del 27 de agosto de 2026, entre otros</w:t>
      </w:r>
      <w:r w:rsidR="00516B72">
        <w:rPr>
          <w:rFonts w:ascii="Verdana" w:hAnsi="Verdana"/>
          <w:shd w:val="clear" w:color="auto" w:fill="FFFFFF"/>
        </w:rPr>
        <w:t xml:space="preserve">, </w:t>
      </w:r>
      <w:r w:rsidRPr="0075355B">
        <w:rPr>
          <w:rFonts w:ascii="Verdana" w:hAnsi="Verdana" w:cs="Arial"/>
          <w:shd w:val="clear" w:color="auto" w:fill="FFFFFF"/>
          <w:lang w:val="es-ES"/>
        </w:rPr>
        <w:t xml:space="preserve">ha mantenido que </w:t>
      </w:r>
      <w:r w:rsidRPr="0075355B">
        <w:rPr>
          <w:rFonts w:ascii="Verdana" w:eastAsia="Calibri" w:hAnsi="Verdana" w:cs="Arial"/>
          <w:color w:val="000000"/>
          <w:lang w:val="es-ES" w:eastAsia="es-ES"/>
        </w:rPr>
        <w:t xml:space="preserve">de acuerdo con el parágrafo primero del artículo 37 de la Ley </w:t>
      </w:r>
      <w:r w:rsidRPr="0075355B">
        <w:rPr>
          <w:rFonts w:ascii="Verdana" w:eastAsia="Calibri" w:hAnsi="Verdana" w:cs="Arial"/>
          <w:color w:val="000000"/>
          <w:lang w:val="es-ES" w:eastAsia="es-ES"/>
        </w:rPr>
        <w:lastRenderedPageBreak/>
        <w:t>2056 de 2020, el ejecutor de los proyectos de inversión del Sistema General de Regalías</w:t>
      </w:r>
      <w:r w:rsidRPr="0075355B">
        <w:rPr>
          <w:rFonts w:ascii="Verdana" w:eastAsia="Calibri" w:hAnsi="Verdana" w:cs="Arial"/>
          <w:i/>
          <w:iCs/>
          <w:color w:val="000000"/>
          <w:lang w:val="es-ES" w:eastAsia="es-ES"/>
        </w:rPr>
        <w:t>, independiente del régimen contractual</w:t>
      </w:r>
      <w:r w:rsidRPr="0075355B">
        <w:rPr>
          <w:rFonts w:ascii="Verdana" w:eastAsia="Calibri" w:hAnsi="Verdana" w:cs="Arial"/>
          <w:color w:val="000000"/>
          <w:lang w:val="es-ES" w:eastAsia="es-ES"/>
        </w:rPr>
        <w:t xml:space="preserve"> al cuál se encuentre sujeto de manera general, debe aplicar las reglas de contratación pública, es decir, las prescripciones establecidas en el Estatuto General de Contratación de la Administración Pública –en adelante, EGCAP–, así como las normas que lo modifiquen, sustituyan o reglamenten.</w:t>
      </w:r>
    </w:p>
    <w:p w14:paraId="257A1305" w14:textId="77777777" w:rsidR="003E071B" w:rsidRPr="0075355B" w:rsidRDefault="003E071B" w:rsidP="003E071B">
      <w:pPr>
        <w:spacing w:after="120" w:line="276" w:lineRule="auto"/>
        <w:ind w:firstLine="709"/>
        <w:jc w:val="both"/>
        <w:rPr>
          <w:rFonts w:ascii="Verdana" w:hAnsi="Verdana" w:cs="Arial"/>
          <w:lang w:val="es-ES"/>
        </w:rPr>
      </w:pPr>
      <w:r w:rsidRPr="0075355B">
        <w:rPr>
          <w:rFonts w:ascii="Verdana" w:eastAsia="Calibri" w:hAnsi="Verdana" w:cs="Arial"/>
          <w:color w:val="000000"/>
          <w:lang w:val="es-ES" w:eastAsia="es-ES"/>
        </w:rPr>
        <w:t xml:space="preserve">En efecto, conforme se ha explicado en estos conceptos, </w:t>
      </w:r>
      <w:r w:rsidRPr="0075355B">
        <w:rPr>
          <w:rFonts w:ascii="Verdana" w:hAnsi="Verdana" w:cs="Arial"/>
          <w:lang w:val="es-ES"/>
        </w:rPr>
        <w:t>en 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la formulación y presentación de los proyectos de inversión –artículo 33–, la viabilidad de los proyectos de inversión–artículo 34–, la priorización y aprobación de los proyectos de inversión de la asignación para la inversión regional –artículo 35–, la priorización y aprobación de proyectos de inversión para las asignaciones directas y la asignación para la inversión local –artículo 36–, así como la ejecución de proyectos de inversión –artículo 37–.</w:t>
      </w:r>
    </w:p>
    <w:p w14:paraId="57386EBF" w14:textId="77777777" w:rsidR="003E071B" w:rsidRPr="0075355B" w:rsidRDefault="003E071B" w:rsidP="003E071B">
      <w:pPr>
        <w:spacing w:after="120" w:line="276" w:lineRule="auto"/>
        <w:ind w:firstLine="709"/>
        <w:jc w:val="both"/>
        <w:rPr>
          <w:rFonts w:ascii="Verdana" w:hAnsi="Verdana" w:cs="Arial"/>
          <w:lang w:val="es-ES"/>
        </w:rPr>
      </w:pPr>
      <w:r w:rsidRPr="0075355B">
        <w:rPr>
          <w:rFonts w:ascii="Verdana" w:hAnsi="Verdana" w:cs="Arial"/>
          <w:lang w:val="es-ES"/>
        </w:rPr>
        <w:t xml:space="preserve">Particularmente, el artículo 37 de la Ley 2056 de 2020 dispone que los proyectos de inversión que se financien con cargo al Sistema General de Regalías serán ejecutados por quien designen las entidades u órganos de que tratan los artículos 35 y 36 </w:t>
      </w:r>
      <w:r w:rsidRPr="0075355B">
        <w:rPr>
          <w:rFonts w:ascii="Verdana" w:hAnsi="Verdana" w:cs="Arial"/>
          <w:i/>
          <w:iCs/>
          <w:lang w:val="es-ES"/>
        </w:rPr>
        <w:t>ibidem</w:t>
      </w:r>
      <w:r w:rsidRPr="0075355B">
        <w:rPr>
          <w:rFonts w:ascii="Verdana" w:hAnsi="Verdana" w:cs="Arial"/>
          <w:lang w:val="es-ES"/>
        </w:rPr>
        <w:t xml:space="preserve">. También agrega que la entidad pública ejecutora tiene el deber de adelantar la contratación de la interventoría, de conformidad con lo previsto en dicha presente ley. Adicionalmente,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2AFD7D9D" w14:textId="41939538" w:rsidR="003E071B" w:rsidRPr="0075355B" w:rsidRDefault="003E071B" w:rsidP="003E071B">
      <w:pPr>
        <w:spacing w:after="120" w:line="276" w:lineRule="auto"/>
        <w:ind w:firstLine="709"/>
        <w:jc w:val="both"/>
        <w:rPr>
          <w:rFonts w:ascii="Verdana" w:hAnsi="Verdana" w:cs="Arial"/>
          <w:lang w:val="es-ES"/>
        </w:rPr>
      </w:pPr>
      <w:r w:rsidRPr="0075355B">
        <w:rPr>
          <w:rFonts w:ascii="Verdana" w:hAnsi="Verdana" w:cs="Arial"/>
          <w:lang w:val="es-ES"/>
        </w:rPr>
        <w:t xml:space="preserve">Por su parte, el parágrafo primero del artículo 37 </w:t>
      </w:r>
      <w:r w:rsidRPr="0075355B">
        <w:rPr>
          <w:rFonts w:ascii="Verdana" w:hAnsi="Verdana" w:cs="Arial"/>
          <w:i/>
          <w:iCs/>
          <w:lang w:val="es-ES"/>
        </w:rPr>
        <w:t>ibidem</w:t>
      </w:r>
      <w:r w:rsidRPr="0075355B">
        <w:rPr>
          <w:rFonts w:ascii="Verdana" w:hAnsi="Verdana" w:cs="Arial"/>
          <w:lang w:val="es-ES"/>
        </w:rPr>
        <w:t xml:space="preserve"> dispone lo siguiente: “La ejecución de proyectos de </w:t>
      </w:r>
      <w:proofErr w:type="spellStart"/>
      <w:r w:rsidRPr="0075355B">
        <w:rPr>
          <w:rFonts w:ascii="Verdana" w:hAnsi="Verdana" w:cs="Arial"/>
          <w:lang w:val="es-ES"/>
        </w:rPr>
        <w:t>que</w:t>
      </w:r>
      <w:proofErr w:type="spellEnd"/>
      <w:r w:rsidRPr="0075355B">
        <w:rPr>
          <w:rFonts w:ascii="Verdana" w:hAnsi="Verdana" w:cs="Arial"/>
          <w:lang w:val="es-ES"/>
        </w:rPr>
        <w:t xml:space="preserve"> trata este artículo, se adelantará, con estricta sujeción al régimen presupuestal definido en esta ley, </w:t>
      </w:r>
      <w:r w:rsidRPr="0075355B">
        <w:rPr>
          <w:rFonts w:ascii="Verdana" w:hAnsi="Verdana" w:cs="Arial"/>
          <w:i/>
          <w:iCs/>
          <w:u w:val="single"/>
          <w:lang w:val="es-ES"/>
        </w:rPr>
        <w:t>al de contratación pública</w:t>
      </w:r>
      <w:r w:rsidRPr="0075355B">
        <w:rPr>
          <w:rFonts w:ascii="Verdana" w:hAnsi="Verdana" w:cs="Arial"/>
          <w:lang w:val="es-ES"/>
        </w:rPr>
        <w:t xml:space="preserve"> y las demás normas legales vigentes. El ejecutor garantizará la correcta ejecución de los recursos asignados al proyecto de </w:t>
      </w:r>
      <w:r w:rsidRPr="0075355B">
        <w:rPr>
          <w:rFonts w:ascii="Verdana" w:hAnsi="Verdana" w:cs="Arial"/>
          <w:lang w:val="es-ES"/>
        </w:rPr>
        <w:lastRenderedPageBreak/>
        <w:t>inversión, así como el suministro y registro de la información requerida por el sistema de seguimiento, evaluación y control”</w:t>
      </w:r>
      <w:r w:rsidRPr="0075355B">
        <w:rPr>
          <w:rFonts w:ascii="Verdana" w:hAnsi="Verdana" w:cs="Arial"/>
          <w:vertAlign w:val="superscript"/>
          <w:lang w:val="es-ES"/>
        </w:rPr>
        <w:footnoteReference w:id="2"/>
      </w:r>
      <w:r w:rsidRPr="0075355B">
        <w:rPr>
          <w:rFonts w:ascii="Verdana" w:hAnsi="Verdana" w:cs="Arial"/>
          <w:lang w:val="es-ES"/>
        </w:rPr>
        <w:t xml:space="preserve"> [énfasis propio]. A partir de esta norma, el </w:t>
      </w:r>
      <w:r w:rsidR="00CD459B" w:rsidRPr="0075355B">
        <w:rPr>
          <w:rFonts w:ascii="Verdana" w:hAnsi="Verdana" w:cs="Arial"/>
          <w:lang w:val="es-ES"/>
        </w:rPr>
        <w:t>ejecutor</w:t>
      </w:r>
      <w:r w:rsidRPr="0075355B">
        <w:rPr>
          <w:rFonts w:ascii="Verdana" w:hAnsi="Verdana" w:cs="Arial"/>
          <w:lang w:val="es-ES"/>
        </w:rPr>
        <w:t xml:space="preserve"> de los proyectos de </w:t>
      </w:r>
      <w:r w:rsidR="00CD459B" w:rsidRPr="0075355B">
        <w:rPr>
          <w:rFonts w:ascii="Verdana" w:hAnsi="Verdana" w:cs="Arial"/>
          <w:lang w:val="es-ES"/>
        </w:rPr>
        <w:t>inversión</w:t>
      </w:r>
      <w:r w:rsidRPr="0075355B">
        <w:rPr>
          <w:rFonts w:ascii="Verdana" w:hAnsi="Verdana" w:cs="Arial"/>
          <w:lang w:val="es-ES"/>
        </w:rPr>
        <w:t xml:space="preserve"> en el SGR debe sujetarse a las reglas de contratación pública, es decir, a las prescripciones establecidas en el Estatuto General de Contratación Pública, así como las normas que lo modifiquen, sustituyan o reglamenten. En efecto, el ejecutor designado, cualquiera sea su régimen contractual, desarrollarlos deben sujetarse a dicho estatuto, cuando realice proyectos de inversión en el marco del Sistema General de Regalías, así como también cuando desarrolle aquellos proyectos especiales referenciados </w:t>
      </w:r>
      <w:r w:rsidRPr="0075355B">
        <w:rPr>
          <w:rFonts w:ascii="Verdana" w:hAnsi="Verdana" w:cs="Arial"/>
          <w:i/>
          <w:iCs/>
          <w:lang w:val="es-ES"/>
        </w:rPr>
        <w:t>ut supra</w:t>
      </w:r>
      <w:r w:rsidRPr="0075355B">
        <w:rPr>
          <w:rFonts w:ascii="Verdana" w:hAnsi="Verdana" w:cs="Arial"/>
          <w:lang w:val="es-ES"/>
        </w:rPr>
        <w:t>, los ejecutores designados para</w:t>
      </w:r>
      <w:r w:rsidRPr="0075355B">
        <w:rPr>
          <w:rFonts w:ascii="Verdana" w:eastAsia="Calibri" w:hAnsi="Verdana" w:cs="Arial"/>
          <w:lang w:val="es-ES"/>
        </w:rPr>
        <w:t>.</w:t>
      </w:r>
      <w:r w:rsidRPr="0075355B">
        <w:rPr>
          <w:rFonts w:ascii="Verdana" w:hAnsi="Verdana" w:cs="Arial"/>
          <w:lang w:val="es-ES"/>
        </w:rPr>
        <w:t xml:space="preserve"> </w:t>
      </w:r>
      <w:r w:rsidRPr="0075355B">
        <w:rPr>
          <w:rFonts w:ascii="Verdana" w:hAnsi="Verdana" w:cs="Arial"/>
          <w:bdr w:val="none" w:sz="0" w:space="0" w:color="auto" w:frame="1"/>
          <w:lang w:val="es-ES"/>
        </w:rPr>
        <w:t xml:space="preserve">Esto se debe a que en el evento en que determinados asuntos estén sometidos por norma especial al EGCAP, como ocurre con el artículo 37 ibidem, la ejecución de los contratos deberá realizarse conforme a este régimen. </w:t>
      </w:r>
    </w:p>
    <w:p w14:paraId="59C8BCE9" w14:textId="77777777" w:rsidR="003E071B" w:rsidRDefault="003E071B" w:rsidP="003E071B">
      <w:pPr>
        <w:spacing w:after="120" w:line="276" w:lineRule="auto"/>
        <w:ind w:firstLine="709"/>
        <w:jc w:val="both"/>
        <w:rPr>
          <w:rFonts w:ascii="Verdana" w:eastAsia="Calibri" w:hAnsi="Verdana" w:cs="Arial"/>
          <w:color w:val="000000"/>
          <w:lang w:val="es-ES" w:eastAsia="es-ES"/>
        </w:rPr>
      </w:pPr>
      <w:r w:rsidRPr="0075355B">
        <w:rPr>
          <w:rFonts w:ascii="Verdana" w:eastAsia="Calibri" w:hAnsi="Verdana" w:cs="Arial"/>
          <w:color w:val="000000"/>
          <w:lang w:val="es-ES" w:eastAsia="es-ES"/>
        </w:rPr>
        <w:lastRenderedPageBreak/>
        <w:t xml:space="preserve">En consecuencia, la entidad ejecutora sometida a un régimen especial de contratación no puede invocar las excepciones a la aplicación de la Ley 80 de 1993 para sustraerse de su cumplimiento en la ejecución de los proyectos financiados con recursos del SGR. El artículo 37 de la Ley 2056 de 2020 excluye, de manera imperativa, que dichos recursos sean administrados bajo la prevalencia del derecho privado, de modo que toda entidad que ostente la calidad de ejecutora en el marco del SGR queda sometida al Estatuto General de Contratación de la Administración Pública, sin que ello afecte el régimen especial que le resulte aplicable </w:t>
      </w:r>
      <w:r w:rsidRPr="0075355B">
        <w:rPr>
          <w:rFonts w:ascii="Verdana" w:eastAsia="Calibri" w:hAnsi="Verdana" w:cs="Arial"/>
          <w:i/>
          <w:iCs/>
          <w:color w:val="000000"/>
          <w:lang w:val="es-ES" w:eastAsia="es-ES"/>
        </w:rPr>
        <w:t>en el desarrollo ordinario de sus demás funciones</w:t>
      </w:r>
      <w:r w:rsidRPr="0075355B">
        <w:rPr>
          <w:rFonts w:ascii="Verdana" w:eastAsia="Calibri" w:hAnsi="Verdana" w:cs="Arial"/>
          <w:color w:val="000000"/>
          <w:lang w:val="es-ES" w:eastAsia="es-ES"/>
        </w:rPr>
        <w:t>.</w:t>
      </w:r>
    </w:p>
    <w:p w14:paraId="767B4891" w14:textId="77777777" w:rsidR="0043658C" w:rsidRPr="002F7DE0" w:rsidRDefault="0043658C" w:rsidP="0043658C">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Incluso, dicha posición es asumida por la Sala de Consulta y Servicio Civil del Consejo de Estado, pues en Concepto 2563 del 25 de junio de 2026 –con ponencia de la Consejera María del Pilar Bahamón Falla– estima que:</w:t>
      </w:r>
    </w:p>
    <w:p w14:paraId="729BE247" w14:textId="77777777" w:rsidR="0043658C" w:rsidRPr="002F7DE0" w:rsidRDefault="0043658C" w:rsidP="0043658C">
      <w:pPr>
        <w:spacing w:after="0" w:line="276" w:lineRule="auto"/>
        <w:jc w:val="both"/>
        <w:rPr>
          <w:rFonts w:ascii="Verdana" w:eastAsia="Calibri" w:hAnsi="Verdana" w:cs="Arial"/>
          <w:color w:val="000000" w:themeColor="text1"/>
          <w:lang w:eastAsia="es-ES"/>
        </w:rPr>
      </w:pPr>
    </w:p>
    <w:p w14:paraId="6144A485" w14:textId="77777777" w:rsidR="0043658C" w:rsidRPr="002F7DE0" w:rsidRDefault="0043658C" w:rsidP="0043658C">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21685D5B" w14:textId="77777777" w:rsidR="0043658C" w:rsidRPr="002F7DE0" w:rsidRDefault="0043658C" w:rsidP="0043658C">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3BD23A22" w14:textId="77777777" w:rsidR="0043658C" w:rsidRPr="002F7DE0" w:rsidRDefault="0043658C" w:rsidP="0043658C">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w:t>
      </w:r>
    </w:p>
    <w:p w14:paraId="0B0D0E89" w14:textId="77777777" w:rsidR="0043658C" w:rsidRPr="002F7DE0" w:rsidRDefault="0043658C" w:rsidP="0043658C">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0EF34BA1" w14:textId="77777777" w:rsidR="0043658C" w:rsidRPr="002F7DE0" w:rsidRDefault="0043658C" w:rsidP="0043658C">
      <w:pPr>
        <w:spacing w:after="120" w:line="240" w:lineRule="auto"/>
        <w:ind w:left="709" w:right="709"/>
        <w:jc w:val="both"/>
        <w:rPr>
          <w:rFonts w:ascii="Verdana" w:eastAsia="Calibri" w:hAnsi="Verdana" w:cs="Arial"/>
          <w:color w:val="000000" w:themeColor="text1"/>
          <w:sz w:val="20"/>
          <w:szCs w:val="20"/>
          <w:lang w:eastAsia="es-ES"/>
        </w:rPr>
      </w:pPr>
      <w:r w:rsidRPr="002F7DE0">
        <w:rPr>
          <w:rFonts w:ascii="Verdana" w:eastAsia="Calibri" w:hAnsi="Verdana" w:cs="Arial"/>
          <w:color w:val="000000" w:themeColor="text1"/>
          <w:sz w:val="20"/>
          <w:szCs w:val="20"/>
          <w:lang w:eastAsia="es-ES"/>
        </w:rPr>
        <w:lastRenderedPageBreak/>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26A91943" w14:textId="77777777" w:rsidR="0043658C" w:rsidRPr="002F7DE0" w:rsidRDefault="0043658C" w:rsidP="0043658C">
      <w:pPr>
        <w:spacing w:after="0" w:line="240" w:lineRule="auto"/>
        <w:ind w:left="709" w:right="709"/>
        <w:jc w:val="both"/>
        <w:rPr>
          <w:rFonts w:ascii="Verdana" w:eastAsia="Calibri" w:hAnsi="Verdana" w:cs="Arial"/>
          <w:color w:val="000000" w:themeColor="text1"/>
          <w:lang w:eastAsia="es-ES"/>
        </w:rPr>
      </w:pPr>
      <w:r w:rsidRPr="002F7DE0">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403AD48A" w14:textId="77777777" w:rsidR="0043658C" w:rsidRPr="002F7DE0" w:rsidRDefault="0043658C" w:rsidP="0043658C">
      <w:pPr>
        <w:spacing w:after="120" w:line="276" w:lineRule="auto"/>
        <w:jc w:val="both"/>
        <w:rPr>
          <w:rFonts w:ascii="Verdana" w:eastAsia="Calibri" w:hAnsi="Verdana" w:cs="Arial"/>
          <w:color w:val="000000" w:themeColor="text1"/>
          <w:lang w:eastAsia="es-ES"/>
        </w:rPr>
      </w:pPr>
    </w:p>
    <w:p w14:paraId="24054E43" w14:textId="0320BFC2" w:rsidR="00840D7F" w:rsidRPr="00751EE6" w:rsidRDefault="0043658C" w:rsidP="0043658C">
      <w:pPr>
        <w:spacing w:after="120" w:line="276" w:lineRule="auto"/>
        <w:ind w:firstLine="709"/>
        <w:jc w:val="both"/>
        <w:rPr>
          <w:rFonts w:ascii="Verdana" w:eastAsia="Calibri" w:hAnsi="Verdana" w:cs="Arial"/>
          <w:color w:val="000000" w:themeColor="text1"/>
          <w:lang w:eastAsia="es-ES"/>
        </w:rPr>
      </w:pPr>
      <w:r w:rsidRPr="002F7DE0">
        <w:rPr>
          <w:rFonts w:ascii="Verdana" w:eastAsia="Calibri" w:hAnsi="Verdana" w:cs="Arial"/>
          <w:color w:val="000000" w:themeColor="text1"/>
          <w:lang w:eastAsia="es-ES"/>
        </w:rPr>
        <w:t>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w:t>
      </w:r>
      <w:r>
        <w:rPr>
          <w:rFonts w:ascii="Verdana" w:eastAsia="Calibri" w:hAnsi="Verdana" w:cs="Arial"/>
          <w:color w:val="000000" w:themeColor="text1"/>
          <w:lang w:eastAsia="es-ES"/>
        </w:rPr>
        <w:t xml:space="preserve">. </w:t>
      </w:r>
      <w:r w:rsidRPr="002F7DE0">
        <w:rPr>
          <w:rFonts w:ascii="Verdana" w:eastAsia="Calibri" w:hAnsi="Verdana" w:cs="Arial"/>
          <w:color w:val="000000" w:themeColor="text1"/>
          <w:lang w:eastAsia="es-ES"/>
        </w:rPr>
        <w:t xml:space="preserve"> </w:t>
      </w:r>
    </w:p>
    <w:p w14:paraId="05041E6D" w14:textId="77777777" w:rsidR="003E071B" w:rsidRPr="0075355B" w:rsidRDefault="003E071B" w:rsidP="003E071B">
      <w:pPr>
        <w:spacing w:after="120" w:line="276" w:lineRule="auto"/>
        <w:ind w:firstLine="709"/>
        <w:jc w:val="both"/>
        <w:rPr>
          <w:rFonts w:ascii="Verdana" w:eastAsia="Calibri" w:hAnsi="Verdana" w:cs="Arial"/>
          <w:lang w:val="es-ES"/>
        </w:rPr>
      </w:pPr>
      <w:r w:rsidRPr="0075355B">
        <w:rPr>
          <w:rFonts w:ascii="Verdana" w:eastAsia="Calibri" w:hAnsi="Verdana" w:cs="Arial"/>
          <w:lang w:val="es-ES"/>
        </w:rPr>
        <w:t xml:space="preserve">En este contexto, la ANCP – CCE si bien reconoce que de conformidad con disposiciones legales específicas el régimen de contratación de una entidad puede estar sometido al derecho privado, lo que implica que son consideradas entidades con régimen especial en materia contractual,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0A0FDEAB"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lang w:val="es-ES"/>
        </w:rPr>
        <w:t xml:space="preserve">De acuerdo con esta interpretación, esta Subdirección considera que el </w:t>
      </w:r>
      <w:r w:rsidRPr="0075355B">
        <w:rPr>
          <w:rFonts w:ascii="Verdana" w:eastAsia="Calibri" w:hAnsi="Verdana" w:cs="Arial"/>
          <w:color w:val="000000" w:themeColor="text1"/>
          <w:lang w:val="es-ES" w:eastAsia="es-ES"/>
        </w:rPr>
        <w:t xml:space="preserve">parágrafo primero del artículo 37 de la Ley 2056 de 2020 incorpora una remisión normativa expresa y categórica al régimen de contratación pública, es decir, a las reglas contenidas principalmente en la Ley 80 de 1993 y sus normas </w:t>
      </w:r>
      <w:r w:rsidRPr="0075355B">
        <w:rPr>
          <w:rFonts w:ascii="Verdana" w:eastAsia="Calibri" w:hAnsi="Verdana" w:cs="Arial"/>
          <w:color w:val="000000" w:themeColor="text1"/>
          <w:lang w:val="es-ES" w:eastAsia="es-ES"/>
        </w:rPr>
        <w:lastRenderedPageBreak/>
        <w:t>complementarias –Ley 1150 de 2007 y el Decreto 1082 de 2015, entre otras–. Además, el uso de la expresión “estricta sujeción” refuerza la intención del legislador de conferir un carácter obligatorio a dicha remisión.</w:t>
      </w:r>
    </w:p>
    <w:p w14:paraId="1DDDF9E6"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aunque cuenten con un régimen especial de contratación regido, en condiciones generales, por el derecho privado.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67C8B3BC"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Así pues, se parte de una </w:t>
      </w:r>
      <w:r w:rsidRPr="0075355B">
        <w:rPr>
          <w:rFonts w:ascii="Verdana" w:eastAsia="Calibri" w:hAnsi="Verdana" w:cs="Arial"/>
          <w:i/>
          <w:iCs/>
          <w:color w:val="000000" w:themeColor="text1"/>
          <w:lang w:val="es-ES" w:eastAsia="es-ES"/>
        </w:rPr>
        <w:t>lectura literal</w:t>
      </w:r>
      <w:r w:rsidRPr="0075355B">
        <w:rPr>
          <w:rFonts w:ascii="Verdana" w:eastAsia="Calibri" w:hAnsi="Verdana" w:cs="Arial"/>
          <w:color w:val="000000" w:themeColor="text1"/>
          <w:lang w:val="es-ES" w:eastAsia="es-ES"/>
        </w:rPr>
        <w:t xml:space="preserve"> del texto normativo, en la que la remisión al EGCAP refleja de manera directa la voluntad del legislador de someter tales asuntos a la Ley 80 de 1993 y sus normas reglamentarias vigentes. De igual forma, esta remisión expresa al EGCAP establecida en el parágrafo 1 del artículo 37 se contempla en diferentes disposiciones de la Ley </w:t>
      </w:r>
      <w:r w:rsidRPr="0075355B">
        <w:rPr>
          <w:rFonts w:ascii="Verdana" w:eastAsia="Calibri" w:hAnsi="Verdana" w:cs="Arial"/>
          <w:color w:val="000000" w:themeColor="text1"/>
          <w:lang w:val="es-ES" w:eastAsia="es-ES"/>
        </w:rPr>
        <w:lastRenderedPageBreak/>
        <w:t>2056 de 2020, como son los artículos 84</w:t>
      </w:r>
      <w:r w:rsidRPr="0075355B">
        <w:rPr>
          <w:rFonts w:ascii="Verdana" w:eastAsia="Calibri" w:hAnsi="Verdana" w:cs="Arial"/>
          <w:color w:val="000000" w:themeColor="text1"/>
          <w:vertAlign w:val="superscript"/>
          <w:lang w:val="es-ES" w:eastAsia="es-ES"/>
        </w:rPr>
        <w:footnoteReference w:id="3"/>
      </w:r>
      <w:r w:rsidRPr="0075355B">
        <w:rPr>
          <w:rFonts w:ascii="Verdana" w:eastAsia="Calibri" w:hAnsi="Verdana" w:cs="Arial"/>
          <w:color w:val="000000" w:themeColor="text1"/>
          <w:lang w:val="es-ES" w:eastAsia="es-ES"/>
        </w:rPr>
        <w:t>, 85</w:t>
      </w:r>
      <w:r w:rsidRPr="0075355B">
        <w:rPr>
          <w:rFonts w:ascii="Verdana" w:eastAsia="Calibri" w:hAnsi="Verdana" w:cs="Arial"/>
          <w:color w:val="000000" w:themeColor="text1"/>
          <w:vertAlign w:val="superscript"/>
          <w:lang w:val="es-ES" w:eastAsia="es-ES"/>
        </w:rPr>
        <w:footnoteReference w:id="4"/>
      </w:r>
      <w:r w:rsidRPr="0075355B">
        <w:rPr>
          <w:rFonts w:ascii="Verdana" w:eastAsia="Calibri" w:hAnsi="Verdana" w:cs="Arial"/>
          <w:color w:val="000000" w:themeColor="text1"/>
          <w:lang w:val="es-ES" w:eastAsia="es-ES"/>
        </w:rPr>
        <w:t>, 98</w:t>
      </w:r>
      <w:r w:rsidRPr="0075355B">
        <w:rPr>
          <w:rFonts w:ascii="Verdana" w:eastAsia="Calibri" w:hAnsi="Verdana" w:cs="Arial"/>
          <w:color w:val="000000" w:themeColor="text1"/>
          <w:vertAlign w:val="superscript"/>
          <w:lang w:val="es-ES" w:eastAsia="es-ES"/>
        </w:rPr>
        <w:footnoteReference w:id="5"/>
      </w:r>
      <w:r w:rsidRPr="0075355B">
        <w:rPr>
          <w:rFonts w:ascii="Verdana" w:eastAsia="Calibri" w:hAnsi="Verdana" w:cs="Arial"/>
          <w:color w:val="000000" w:themeColor="text1"/>
          <w:lang w:val="es-ES" w:eastAsia="es-ES"/>
        </w:rPr>
        <w:t>, 99</w:t>
      </w:r>
      <w:r w:rsidRPr="0075355B">
        <w:rPr>
          <w:rFonts w:ascii="Verdana" w:eastAsia="Calibri" w:hAnsi="Verdana" w:cs="Arial"/>
          <w:color w:val="000000" w:themeColor="text1"/>
          <w:vertAlign w:val="superscript"/>
          <w:lang w:val="es-ES" w:eastAsia="es-ES"/>
        </w:rPr>
        <w:footnoteReference w:id="6"/>
      </w:r>
      <w:r w:rsidRPr="0075355B">
        <w:rPr>
          <w:rFonts w:ascii="Verdana" w:eastAsia="Calibri" w:hAnsi="Verdana" w:cs="Arial"/>
          <w:color w:val="000000" w:themeColor="text1"/>
          <w:lang w:val="es-ES" w:eastAsia="es-ES"/>
        </w:rPr>
        <w:t>, 108</w:t>
      </w:r>
      <w:r w:rsidRPr="0075355B">
        <w:rPr>
          <w:rFonts w:ascii="Verdana" w:eastAsia="Calibri" w:hAnsi="Verdana" w:cs="Arial"/>
          <w:color w:val="000000" w:themeColor="text1"/>
          <w:vertAlign w:val="superscript"/>
          <w:lang w:val="es-ES" w:eastAsia="es-ES"/>
        </w:rPr>
        <w:footnoteReference w:id="7"/>
      </w:r>
      <w:r w:rsidRPr="0075355B">
        <w:rPr>
          <w:rFonts w:ascii="Verdana" w:eastAsia="Calibri" w:hAnsi="Verdana" w:cs="Arial"/>
          <w:color w:val="000000" w:themeColor="text1"/>
          <w:lang w:val="es-ES" w:eastAsia="es-ES"/>
        </w:rPr>
        <w:t xml:space="preserve"> y 109</w:t>
      </w:r>
      <w:r w:rsidRPr="0075355B">
        <w:rPr>
          <w:rFonts w:ascii="Verdana" w:eastAsia="Calibri" w:hAnsi="Verdana" w:cs="Arial"/>
          <w:color w:val="000000" w:themeColor="text1"/>
          <w:vertAlign w:val="superscript"/>
          <w:lang w:val="es-ES" w:eastAsia="es-ES"/>
        </w:rPr>
        <w:footnoteReference w:id="8"/>
      </w:r>
      <w:r w:rsidRPr="0075355B">
        <w:rPr>
          <w:rFonts w:ascii="Verdana" w:eastAsia="Calibri" w:hAnsi="Verdana" w:cs="Arial"/>
          <w:color w:val="000000" w:themeColor="text1"/>
          <w:lang w:val="es-ES" w:eastAsia="es-ES"/>
        </w:rPr>
        <w:t>, lo que evidencia una voluntad legislativa clara y reiterada de aplicar el EGCAP, sin distinción o salvedades sobre el régimen de contratación que tengan las entidades ejecutoras.</w:t>
      </w:r>
    </w:p>
    <w:p w14:paraId="19A42291"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Desde una lectura </w:t>
      </w:r>
      <w:r w:rsidRPr="0075355B">
        <w:rPr>
          <w:rFonts w:ascii="Verdana" w:eastAsia="Calibri" w:hAnsi="Verdana" w:cs="Arial"/>
          <w:i/>
          <w:iCs/>
          <w:color w:val="000000" w:themeColor="text1"/>
          <w:lang w:val="es-ES" w:eastAsia="es-ES"/>
        </w:rPr>
        <w:t>sistemática</w:t>
      </w:r>
      <w:r w:rsidRPr="0075355B">
        <w:rPr>
          <w:rFonts w:ascii="Verdana" w:eastAsia="Calibri" w:hAnsi="Verdana" w:cs="Arial"/>
          <w:color w:val="000000" w:themeColor="text1"/>
          <w:lang w:val="es-ES" w:eastAsia="es-ES"/>
        </w:rPr>
        <w:t xml:space="preserve">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Sistema General de Regalías al EGCAP, sin excepciones.</w:t>
      </w:r>
    </w:p>
    <w:p w14:paraId="48CEE466"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Aunado a lo anterior, se precisa que el parágrafo 1 del artículo 37 de la Ley 2056 de 2020 no distingue el tipo de régimen de contratación aplicable a las entidades ejecutoras de los recursos del SGR; sin embargo, si realiza la remisión </w:t>
      </w:r>
      <w:r w:rsidRPr="0075355B">
        <w:rPr>
          <w:rFonts w:ascii="Verdana" w:eastAsia="Calibri" w:hAnsi="Verdana" w:cs="Arial"/>
          <w:color w:val="000000" w:themeColor="text1"/>
          <w:lang w:val="es-ES" w:eastAsia="es-ES"/>
        </w:rPr>
        <w:lastRenderedPageBreak/>
        <w:t xml:space="preserve">expresa al EGCAP. Por tanto, en desarrollo del principio general de interpretación jurídica según el cual </w:t>
      </w:r>
      <w:r w:rsidRPr="0075355B">
        <w:rPr>
          <w:rFonts w:ascii="Verdana" w:eastAsia="Calibri" w:hAnsi="Verdana" w:cs="Arial"/>
          <w:i/>
          <w:iCs/>
          <w:color w:val="000000" w:themeColor="text1"/>
          <w:lang w:val="es-ES" w:eastAsia="es-ES"/>
        </w:rPr>
        <w:t>donde la norma no distingue, no le corresponde distinguir al intérprete,</w:t>
      </w:r>
      <w:r w:rsidRPr="0075355B">
        <w:rPr>
          <w:rFonts w:ascii="Verdana" w:eastAsia="Calibri" w:hAnsi="Verdana" w:cs="Arial"/>
          <w:color w:val="000000" w:themeColor="text1"/>
          <w:lang w:val="es-ES" w:eastAsia="es-ES"/>
        </w:rPr>
        <w:t xml:space="preserve"> no resulta viable concluir que es posible la aplicación de un régimen distinto al del EGCAP. Esta regla cobra particular relevancia por el carácter público de los recursos, en los que se impone garantizar</w:t>
      </w:r>
      <w:r w:rsidRPr="0075355B">
        <w:rPr>
          <w:lang w:val="es-ES"/>
        </w:rPr>
        <w:t xml:space="preserve"> </w:t>
      </w:r>
      <w:r w:rsidRPr="0075355B">
        <w:rPr>
          <w:rFonts w:ascii="Verdana" w:eastAsia="Calibri" w:hAnsi="Verdana" w:cs="Arial"/>
          <w:color w:val="000000" w:themeColor="text1"/>
          <w:lang w:val="es-ES" w:eastAsia="es-ES"/>
        </w:rPr>
        <w:t xml:space="preserve">la eficiencia, transparencia y responsabilidad en la gestión del gasto público.  </w:t>
      </w:r>
    </w:p>
    <w:p w14:paraId="441D0116"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w:t>
      </w:r>
      <w:r w:rsidRPr="0075355B">
        <w:rPr>
          <w:rFonts w:ascii="Verdana" w:eastAsia="Calibri" w:hAnsi="Verdana" w:cs="Arial"/>
          <w:i/>
          <w:iCs/>
          <w:color w:val="000000" w:themeColor="text1"/>
          <w:lang w:val="es-ES" w:eastAsia="es-ES"/>
        </w:rPr>
        <w:t xml:space="preserve">todas </w:t>
      </w:r>
      <w:r w:rsidRPr="0075355B">
        <w:rPr>
          <w:rFonts w:ascii="Verdana" w:eastAsia="Calibri" w:hAnsi="Verdana" w:cs="Arial"/>
          <w:color w:val="000000" w:themeColor="text1"/>
          <w:lang w:val="es-ES" w:eastAsia="es-ES"/>
        </w:rPr>
        <w:t xml:space="preserve">las entidades ejecutoras, sin distinción de su naturaleza jurídica o régimen de contratación, a la aplicación del EGCAP para la contratación con recursos con cargo al SGR. </w:t>
      </w:r>
    </w:p>
    <w:p w14:paraId="27BF6F47"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Adicionalmente, resulta pertinente indicar que el hecho de que el parágrafo primero del artículo 37 de la Ley 2056 de 2020 haga referencia a “las demás normas legales aplicables” no puede interpretarse como una exclusión de la remisión expresa que realiza al EGCAP. En otras palabras, dicha inclusión no niega que hay una remisión </w:t>
      </w:r>
      <w:r w:rsidRPr="0075355B">
        <w:rPr>
          <w:rFonts w:ascii="Verdana" w:eastAsia="Calibri" w:hAnsi="Verdana" w:cs="Arial"/>
          <w:i/>
          <w:iCs/>
          <w:color w:val="000000" w:themeColor="text1"/>
          <w:lang w:val="es-ES" w:eastAsia="es-ES"/>
        </w:rPr>
        <w:t>expresa y prevalente</w:t>
      </w:r>
      <w:r w:rsidRPr="0075355B">
        <w:rPr>
          <w:rFonts w:ascii="Verdana" w:eastAsia="Calibri" w:hAnsi="Verdana" w:cs="Arial"/>
          <w:color w:val="000000" w:themeColor="text1"/>
          <w:lang w:val="es-ES" w:eastAsia="es-ES"/>
        </w:rPr>
        <w:t xml:space="preserve"> al EGCAP. Por el contrario, debe entenderse como una manifestación clara de la voluntad del legislador de establecer un marco normativo específico para la ejecución de los recursos del SGR, </w:t>
      </w:r>
      <w:r w:rsidRPr="0075355B">
        <w:rPr>
          <w:rFonts w:ascii="Verdana" w:eastAsia="Calibri" w:hAnsi="Verdana" w:cs="Arial"/>
          <w:i/>
          <w:iCs/>
          <w:color w:val="000000" w:themeColor="text1"/>
          <w:lang w:val="es-ES" w:eastAsia="es-ES"/>
        </w:rPr>
        <w:t>sin que ello implique desconocer o derogar de manera general los regímenes de contratación propios de las entidades que tienen regímenes especiales</w:t>
      </w:r>
      <w:r w:rsidRPr="0075355B">
        <w:rPr>
          <w:rFonts w:ascii="Verdana" w:eastAsia="Calibri" w:hAnsi="Verdana" w:cs="Arial"/>
          <w:color w:val="000000" w:themeColor="text1"/>
          <w:lang w:val="es-ES" w:eastAsia="es-ES"/>
        </w:rPr>
        <w:t xml:space="preserve">. Por lo tanto, lejos de generar una contradicción normativa, la remisión al EGCAP debe entenderse como una disposición </w:t>
      </w:r>
      <w:r w:rsidRPr="0075355B">
        <w:rPr>
          <w:rFonts w:ascii="Verdana" w:eastAsia="Calibri" w:hAnsi="Verdana" w:cs="Arial"/>
          <w:i/>
          <w:iCs/>
          <w:color w:val="000000" w:themeColor="text1"/>
          <w:lang w:val="es-ES" w:eastAsia="es-ES"/>
        </w:rPr>
        <w:t>especial y prevalente</w:t>
      </w:r>
      <w:r w:rsidRPr="0075355B">
        <w:rPr>
          <w:rFonts w:ascii="Verdana" w:eastAsia="Calibri" w:hAnsi="Verdana" w:cs="Arial"/>
          <w:color w:val="000000" w:themeColor="text1"/>
          <w:lang w:val="es-ES" w:eastAsia="es-ES"/>
        </w:rPr>
        <w:t xml:space="preserve"> frente a la aplicación de otras normas contractuales, y como un instrumento para garantizar la unidad, el control y la eficiencia en el manejo de los recursos del Sistema General de Regalías.</w:t>
      </w:r>
    </w:p>
    <w:p w14:paraId="761CB8CD"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75355B">
        <w:rPr>
          <w:rFonts w:ascii="Verdana" w:eastAsia="Calibri" w:hAnsi="Verdana" w:cs="Arial"/>
          <w:color w:val="000000" w:themeColor="text1"/>
          <w:vertAlign w:val="superscript"/>
          <w:lang w:val="es-ES" w:eastAsia="es-ES"/>
        </w:rPr>
        <w:footnoteReference w:id="9"/>
      </w:r>
      <w:r w:rsidRPr="0075355B">
        <w:rPr>
          <w:rFonts w:ascii="Verdana" w:eastAsia="Calibri" w:hAnsi="Verdana" w:cs="Arial"/>
          <w:color w:val="000000" w:themeColor="text1"/>
          <w:lang w:val="es-ES" w:eastAsia="es-ES"/>
        </w:rPr>
        <w:t xml:space="preserve">; es decir, que su aplicación y efectividad debe estar ligada al propósito para el cual fueron promulgadas. En este sentido, </w:t>
      </w:r>
      <w:r w:rsidRPr="0075355B">
        <w:rPr>
          <w:rFonts w:ascii="Verdana" w:eastAsia="Calibri" w:hAnsi="Verdana" w:cs="Arial"/>
          <w:color w:val="000000" w:themeColor="text1"/>
          <w:lang w:val="es-ES" w:eastAsia="es-ES"/>
        </w:rPr>
        <w:lastRenderedPageBreak/>
        <w:t>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75355B">
        <w:rPr>
          <w:rFonts w:ascii="Verdana" w:eastAsia="Calibri" w:hAnsi="Verdana" w:cs="Arial"/>
          <w:color w:val="000000" w:themeColor="text1"/>
          <w:vertAlign w:val="superscript"/>
          <w:lang w:val="es-ES" w:eastAsia="es-ES"/>
        </w:rPr>
        <w:footnoteReference w:id="10"/>
      </w:r>
      <w:r w:rsidRPr="0075355B">
        <w:rPr>
          <w:rFonts w:ascii="Verdana" w:eastAsia="Calibri" w:hAnsi="Verdana" w:cs="Arial"/>
          <w:color w:val="000000" w:themeColor="text1"/>
          <w:lang w:val="es-ES" w:eastAsia="es-ES"/>
        </w:rPr>
        <w:t>.</w:t>
      </w:r>
    </w:p>
    <w:p w14:paraId="46EA91A6"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De acuerdo con lo señalado, el legislador optó claramente por un criterio funcional o finalista, según el cual el régimen de contratación aplicable se determina por el origen de los recursos públicos y </w:t>
      </w:r>
      <w:r w:rsidRPr="0075355B">
        <w:rPr>
          <w:rFonts w:ascii="Verdana" w:eastAsia="Calibri" w:hAnsi="Verdana" w:cs="Arial"/>
          <w:i/>
          <w:iCs/>
          <w:color w:val="000000" w:themeColor="text1"/>
          <w:lang w:val="es-ES" w:eastAsia="es-ES"/>
        </w:rPr>
        <w:t>no por la naturaleza orgánica de la entidad ejecutora</w:t>
      </w:r>
      <w:r w:rsidRPr="0075355B">
        <w:rPr>
          <w:rFonts w:ascii="Verdana" w:eastAsia="Calibri" w:hAnsi="Verdana" w:cs="Arial"/>
          <w:color w:val="000000" w:themeColor="text1"/>
          <w:lang w:val="es-ES" w:eastAsia="es-ES"/>
        </w:rPr>
        <w:t xml:space="preserve">.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2FE26CD7"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Finalmente, resulta indispensable precisar que la remisión al EGCAP de la ejecución de los proyectos financiados con recursos de regalías </w:t>
      </w:r>
      <w:r w:rsidRPr="0075355B">
        <w:rPr>
          <w:rFonts w:ascii="Verdana" w:eastAsia="Calibri" w:hAnsi="Verdana" w:cs="Arial"/>
          <w:i/>
          <w:iCs/>
          <w:color w:val="000000" w:themeColor="text1"/>
          <w:lang w:val="es-ES" w:eastAsia="es-ES"/>
        </w:rPr>
        <w:t>no implica una alteración estructural del régimen especial de las entidades ejecutoras ni desconoce las normas que lo regulan</w:t>
      </w:r>
      <w:r w:rsidRPr="0075355B">
        <w:rPr>
          <w:rFonts w:ascii="Verdana" w:eastAsia="Calibri" w:hAnsi="Verdana" w:cs="Arial"/>
          <w:color w:val="000000" w:themeColor="text1"/>
          <w:lang w:val="es-ES" w:eastAsia="es-ES"/>
        </w:rPr>
        <w:t xml:space="preserve">. Tal y como se ha expuesto, la interpretación literal, sistemática y teleológica de la norma, armonizada con el principio general del </w:t>
      </w:r>
      <w:r w:rsidRPr="0075355B">
        <w:rPr>
          <w:rFonts w:ascii="Verdana" w:eastAsia="Calibri" w:hAnsi="Verdana" w:cs="Arial"/>
          <w:i/>
          <w:iCs/>
          <w:color w:val="000000" w:themeColor="text1"/>
          <w:lang w:val="es-ES" w:eastAsia="es-ES"/>
        </w:rPr>
        <w:t>efecto útil</w:t>
      </w:r>
      <w:r w:rsidRPr="0075355B">
        <w:rPr>
          <w:rFonts w:ascii="Verdana" w:eastAsia="Calibri" w:hAnsi="Verdana" w:cs="Arial"/>
          <w:color w:val="000000" w:themeColor="text1"/>
          <w:lang w:val="es-ES" w:eastAsia="es-ES"/>
        </w:rPr>
        <w:t xml:space="preserve">, conduce a concluir que cuando estas entidades actúan en calidad de ejecutoras en el marco de la Ley 2056 de 2020, deben sujetarse al EGCAP. Sin embargo, este régimen particular no sustituye ni deroga el régimen especial de contratación al que está sujeta la entidad ejecutora, pero sí superpone válidamente un conjunto de reglas especiales aplicables de manera </w:t>
      </w:r>
      <w:r w:rsidRPr="0075355B">
        <w:rPr>
          <w:rFonts w:ascii="Verdana" w:eastAsia="Calibri" w:hAnsi="Verdana" w:cs="Arial"/>
          <w:i/>
          <w:iCs/>
          <w:color w:val="000000" w:themeColor="text1"/>
          <w:lang w:val="es-ES" w:eastAsia="es-ES"/>
        </w:rPr>
        <w:t>preferente</w:t>
      </w:r>
      <w:r w:rsidRPr="0075355B">
        <w:rPr>
          <w:rFonts w:ascii="Verdana" w:eastAsia="Calibri" w:hAnsi="Verdana" w:cs="Arial"/>
          <w:color w:val="000000" w:themeColor="text1"/>
          <w:lang w:val="es-ES" w:eastAsia="es-ES"/>
        </w:rPr>
        <w:t xml:space="preserve"> respecto de los contratos financiados con recursos de regalías, porque </w:t>
      </w:r>
      <w:r w:rsidRPr="0075355B">
        <w:rPr>
          <w:rFonts w:ascii="Verdana" w:eastAsia="Calibri" w:hAnsi="Verdana" w:cs="Arial"/>
          <w:color w:val="000000" w:themeColor="text1"/>
          <w:lang w:val="es-ES" w:eastAsia="es-ES"/>
        </w:rPr>
        <w:lastRenderedPageBreak/>
        <w:t>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1C763E49" w14:textId="77777777" w:rsidR="003E071B" w:rsidRPr="0075355B" w:rsidRDefault="003E071B" w:rsidP="003E071B">
      <w:pPr>
        <w:spacing w:after="120" w:line="276" w:lineRule="auto"/>
        <w:ind w:firstLine="709"/>
        <w:jc w:val="both"/>
        <w:rPr>
          <w:rFonts w:ascii="Verdana" w:eastAsia="Calibri" w:hAnsi="Verdana" w:cs="Arial"/>
          <w:color w:val="000000" w:themeColor="text1"/>
          <w:lang w:val="es-ES" w:eastAsia="es-ES"/>
        </w:rPr>
      </w:pPr>
      <w:r w:rsidRPr="0075355B">
        <w:rPr>
          <w:rFonts w:ascii="Verdana" w:eastAsia="Calibri" w:hAnsi="Verdana" w:cs="Arial"/>
          <w:color w:val="000000" w:themeColor="text1"/>
          <w:lang w:val="es-ES" w:eastAsia="es-ES"/>
        </w:rPr>
        <w:t xml:space="preserve">Debido a que esta remisión normativa no es una mera referencia indicativa sino que tiene pleno efectos jurídicos, impone la aplicación de régimen de contratación específico en virtud del principio de especialidad y de legalidad. Es decir, </w:t>
      </w:r>
      <w:r w:rsidRPr="0075355B">
        <w:rPr>
          <w:rFonts w:ascii="Verdana" w:eastAsia="Calibri" w:hAnsi="Verdana" w:cs="Arial"/>
          <w:i/>
          <w:iCs/>
          <w:color w:val="000000" w:themeColor="text1"/>
          <w:lang w:val="es-ES" w:eastAsia="es-ES"/>
        </w:rPr>
        <w:t>mientras actúan como ejecutoras del SGR</w:t>
      </w:r>
      <w:r w:rsidRPr="0075355B">
        <w:rPr>
          <w:rFonts w:ascii="Verdana" w:eastAsia="Calibri" w:hAnsi="Verdana" w:cs="Arial"/>
          <w:color w:val="000000" w:themeColor="text1"/>
          <w:lang w:val="es-ES" w:eastAsia="es-ES"/>
        </w:rPr>
        <w:t>, dichas entidades deben sujetarse al régimen previsto en la Ley 2056, incluyendo su remisión expresa al EGCAP, sin que ello implique una derogatoria general de su régimen contractual ordinario.</w:t>
      </w:r>
    </w:p>
    <w:p w14:paraId="7F40499D" w14:textId="77777777" w:rsidR="003E071B" w:rsidRPr="0075355B" w:rsidRDefault="003E071B" w:rsidP="003E071B">
      <w:pPr>
        <w:spacing w:after="120" w:line="276" w:lineRule="auto"/>
        <w:ind w:firstLine="709"/>
        <w:jc w:val="both"/>
        <w:rPr>
          <w:rFonts w:ascii="Verdana" w:eastAsia="Calibri" w:hAnsi="Verdana" w:cs="Arial"/>
          <w:lang w:val="es-ES"/>
        </w:rPr>
      </w:pPr>
      <w:r w:rsidRPr="0075355B">
        <w:rPr>
          <w:rFonts w:ascii="Verdana" w:eastAsia="Calibri" w:hAnsi="Verdana" w:cs="Arial"/>
          <w:color w:val="000000" w:themeColor="text1"/>
          <w:lang w:val="es-ES" w:eastAsia="es-ES"/>
        </w:rPr>
        <w:t>En este contexto, se enfatiza en que la aplicación del EGCAP para la ejecución de recursos de regalías conforme lo dispone el parágrafo 1 del artículo 37 de la Ley 2056 de 2020 no desconoce lo dispuesto en las normas que crean los regímenes de contratación especiales</w:t>
      </w:r>
      <w:r w:rsidRPr="0075355B">
        <w:rPr>
          <w:rFonts w:ascii="Verdana" w:eastAsia="Calibri" w:hAnsi="Verdana" w:cs="Arial"/>
          <w:lang w:val="es-ES"/>
        </w:rPr>
        <w:t xml:space="preserve">, así como tampoco altera o modifica su contenido frente a las entidades que a ellos se someten. Sin embargo, debido a que la Ley 2056 de 2020 es una norma especial y posterior, puede válidamente establecer reglas contractuales diferenciadas para determinados tipos de recursos, sin que ello afecte la estructura general del régimen contractual aplicable a las entidades. </w:t>
      </w:r>
    </w:p>
    <w:p w14:paraId="6054F6BB" w14:textId="77777777" w:rsidR="003E071B" w:rsidRPr="0075355B" w:rsidRDefault="003E071B" w:rsidP="003E071B">
      <w:pPr>
        <w:spacing w:after="120" w:line="276" w:lineRule="auto"/>
        <w:ind w:firstLine="709"/>
        <w:jc w:val="both"/>
        <w:rPr>
          <w:rFonts w:ascii="Verdana" w:eastAsiaTheme="minorEastAsia" w:hAnsi="Verdana" w:cs="Arial"/>
          <w:spacing w:val="-9"/>
          <w:szCs w:val="24"/>
          <w:lang w:val="es-ES" w:eastAsia="es-CO"/>
        </w:rPr>
      </w:pPr>
      <w:r w:rsidRPr="0075355B">
        <w:rPr>
          <w:rFonts w:ascii="Verdana" w:hAnsi="Verdana" w:cs="Arial"/>
          <w:lang w:val="es-ES" w:eastAsia="es-ES"/>
        </w:rPr>
        <w:t>Así las cosas, al margen de la postura de la ANCP – CCE en torno a</w:t>
      </w:r>
      <w:r w:rsidRPr="0075355B">
        <w:rPr>
          <w:rFonts w:ascii="Verdana" w:eastAsia="Calibri" w:hAnsi="Verdana" w:cs="Arial"/>
          <w:color w:val="000000"/>
          <w:lang w:val="es-ES" w:eastAsia="es-ES"/>
        </w:rPr>
        <w:t xml:space="preserve">l régimen de contratación aplicable a la ejecución de proyectos financiados con recursos del Sistema General de Regalías, se reitera que los conceptos emitidos por esta Subdirección en el marco de la función consultiva </w:t>
      </w:r>
      <w:bookmarkStart w:id="0" w:name="_Hlk200718672"/>
      <w:r w:rsidRPr="0075355B">
        <w:rPr>
          <w:rFonts w:ascii="Verdana" w:eastAsia="Calibri" w:hAnsi="Verdana" w:cs="Arial"/>
          <w:color w:val="000000"/>
          <w:lang w:val="es-ES" w:eastAsia="es-ES"/>
        </w:rPr>
        <w:t>representan</w:t>
      </w:r>
      <w:r w:rsidRPr="0075355B">
        <w:rPr>
          <w:rFonts w:ascii="Verdana" w:hAnsi="Verdana" w:cs="Arial"/>
          <w:lang w:val="es-ES" w:eastAsia="es-ES"/>
        </w:rPr>
        <w:t xml:space="preserve"> una </w:t>
      </w:r>
      <w:r w:rsidRPr="0075355B">
        <w:rPr>
          <w:rFonts w:ascii="Verdana" w:eastAsia="Calibri" w:hAnsi="Verdana" w:cs="Arial"/>
          <w:bCs/>
          <w:lang w:val="es-ES"/>
        </w:rPr>
        <w:t>posición hermenéutica respecto a las disposiciones normativas del Sistema de Compras Públicas,</w:t>
      </w:r>
      <w:r w:rsidRPr="0075355B">
        <w:rPr>
          <w:rFonts w:ascii="Verdana" w:hAnsi="Verdana" w:cs="Arial"/>
          <w:lang w:val="es-ES" w:eastAsia="es-ES"/>
        </w:rPr>
        <w:t xml:space="preserve"> </w:t>
      </w:r>
      <w:bookmarkStart w:id="1" w:name="_Hlk42100007"/>
      <w:r w:rsidRPr="0075355B">
        <w:rPr>
          <w:rFonts w:ascii="Verdana" w:hAnsi="Verdana" w:cs="Arial"/>
          <w:lang w:val="es-ES" w:eastAsia="es-ES"/>
        </w:rPr>
        <w:t xml:space="preserve">que </w:t>
      </w:r>
      <w:r w:rsidRPr="0075355B">
        <w:rPr>
          <w:rFonts w:ascii="Verdana" w:eastAsia="Calibri" w:hAnsi="Verdana" w:cs="Arial"/>
          <w:bCs/>
          <w:lang w:val="es-ES"/>
        </w:rPr>
        <w:t xml:space="preserve">no tienen efectos vinculantes </w:t>
      </w:r>
      <w:bookmarkEnd w:id="0"/>
      <w:r w:rsidRPr="0075355B">
        <w:rPr>
          <w:rFonts w:ascii="Verdana" w:eastAsia="Calibri" w:hAnsi="Verdana" w:cs="Arial"/>
          <w:bCs/>
          <w:lang w:val="es-ES"/>
        </w:rPr>
        <w:t>en relación con una situación jurídica particular y concreta, y exponen un criterio que, aunque jurídicamente fundamentado, no representan la única interpretación válida del ordenamiento jurídico.</w:t>
      </w:r>
      <w:bookmarkEnd w:id="1"/>
      <w:r w:rsidRPr="0075355B">
        <w:rPr>
          <w:rFonts w:ascii="Verdana" w:eastAsiaTheme="minorEastAsia" w:hAnsi="Verdana" w:cs="Arial"/>
          <w:szCs w:val="24"/>
          <w:lang w:val="es-ES" w:eastAsia="es-CO"/>
        </w:rPr>
        <w:t xml:space="preserve"> De este modo, las autoridades que ejercen funciones consultivas pueden expresar su</w:t>
      </w:r>
      <w:r w:rsidRPr="0075355B">
        <w:rPr>
          <w:rFonts w:ascii="Verdana" w:eastAsiaTheme="minorEastAsia" w:hAnsi="Verdana" w:cs="Arial"/>
          <w:spacing w:val="1"/>
          <w:szCs w:val="24"/>
          <w:lang w:val="es-ES" w:eastAsia="es-CO"/>
        </w:rPr>
        <w:t xml:space="preserve"> </w:t>
      </w:r>
      <w:r w:rsidRPr="0075355B">
        <w:rPr>
          <w:rFonts w:ascii="Verdana" w:eastAsiaTheme="minorEastAsia" w:hAnsi="Verdana" w:cs="Arial"/>
          <w:szCs w:val="24"/>
          <w:lang w:val="es-ES" w:eastAsia="es-CO"/>
        </w:rPr>
        <w:t>interpretación de un precepto normativo, que no excluye otras interpretaciones posibles, pues el derecho, como sistema normativo, es un lenguaje que, en ocasiones, se tiñe de vaguedad, en</w:t>
      </w:r>
      <w:r w:rsidRPr="0075355B">
        <w:rPr>
          <w:rFonts w:ascii="Verdana" w:eastAsiaTheme="minorEastAsia" w:hAnsi="Verdana" w:cs="Arial"/>
          <w:spacing w:val="1"/>
          <w:szCs w:val="24"/>
          <w:lang w:val="es-ES" w:eastAsia="es-CO"/>
        </w:rPr>
        <w:t xml:space="preserve"> </w:t>
      </w:r>
      <w:r w:rsidRPr="0075355B">
        <w:rPr>
          <w:rFonts w:ascii="Verdana" w:eastAsiaTheme="minorEastAsia" w:hAnsi="Verdana" w:cs="Arial"/>
          <w:szCs w:val="24"/>
          <w:lang w:val="es-ES" w:eastAsia="es-CO"/>
        </w:rPr>
        <w:t>virtud</w:t>
      </w:r>
      <w:r w:rsidRPr="0075355B">
        <w:rPr>
          <w:rFonts w:ascii="Verdana" w:eastAsiaTheme="minorEastAsia" w:hAnsi="Verdana" w:cs="Arial"/>
          <w:spacing w:val="-10"/>
          <w:szCs w:val="24"/>
          <w:lang w:val="es-ES" w:eastAsia="es-CO"/>
        </w:rPr>
        <w:t xml:space="preserve"> </w:t>
      </w:r>
      <w:r w:rsidRPr="0075355B">
        <w:rPr>
          <w:rFonts w:ascii="Verdana" w:eastAsiaTheme="minorEastAsia" w:hAnsi="Verdana" w:cs="Arial"/>
          <w:szCs w:val="24"/>
          <w:lang w:val="es-ES" w:eastAsia="es-CO"/>
        </w:rPr>
        <w:t>de</w:t>
      </w:r>
      <w:r w:rsidRPr="0075355B">
        <w:rPr>
          <w:rFonts w:ascii="Verdana" w:eastAsiaTheme="minorEastAsia" w:hAnsi="Verdana" w:cs="Arial"/>
          <w:spacing w:val="-9"/>
          <w:szCs w:val="24"/>
          <w:lang w:val="es-ES" w:eastAsia="es-CO"/>
        </w:rPr>
        <w:t xml:space="preserve"> </w:t>
      </w:r>
      <w:r w:rsidRPr="0075355B">
        <w:rPr>
          <w:rFonts w:ascii="Verdana" w:eastAsiaTheme="minorEastAsia" w:hAnsi="Verdana" w:cs="Arial"/>
          <w:szCs w:val="24"/>
          <w:lang w:val="es-ES" w:eastAsia="es-CO"/>
        </w:rPr>
        <w:t>la</w:t>
      </w:r>
      <w:r w:rsidRPr="0075355B">
        <w:rPr>
          <w:rFonts w:ascii="Verdana" w:eastAsiaTheme="minorEastAsia" w:hAnsi="Verdana" w:cs="Arial"/>
          <w:spacing w:val="-9"/>
          <w:szCs w:val="24"/>
          <w:lang w:val="es-ES" w:eastAsia="es-CO"/>
        </w:rPr>
        <w:t xml:space="preserve"> </w:t>
      </w:r>
      <w:r w:rsidRPr="0075355B">
        <w:rPr>
          <w:rFonts w:ascii="Verdana" w:eastAsiaTheme="minorEastAsia" w:hAnsi="Verdana" w:cs="Arial"/>
          <w:szCs w:val="24"/>
          <w:lang w:val="es-ES" w:eastAsia="es-CO"/>
        </w:rPr>
        <w:t>utilización</w:t>
      </w:r>
      <w:r w:rsidRPr="0075355B">
        <w:rPr>
          <w:rFonts w:ascii="Verdana" w:eastAsiaTheme="minorEastAsia" w:hAnsi="Verdana" w:cs="Arial"/>
          <w:spacing w:val="-9"/>
          <w:szCs w:val="24"/>
          <w:lang w:val="es-ES" w:eastAsia="es-CO"/>
        </w:rPr>
        <w:t xml:space="preserve"> </w:t>
      </w:r>
      <w:r w:rsidRPr="0075355B">
        <w:rPr>
          <w:rFonts w:ascii="Verdana" w:eastAsiaTheme="minorEastAsia" w:hAnsi="Verdana" w:cs="Arial"/>
          <w:szCs w:val="24"/>
          <w:lang w:val="es-ES" w:eastAsia="es-CO"/>
        </w:rPr>
        <w:t>de</w:t>
      </w:r>
      <w:r w:rsidRPr="0075355B">
        <w:rPr>
          <w:rFonts w:ascii="Verdana" w:eastAsiaTheme="minorEastAsia" w:hAnsi="Verdana" w:cs="Arial"/>
          <w:spacing w:val="-9"/>
          <w:szCs w:val="24"/>
          <w:lang w:val="es-ES" w:eastAsia="es-CO"/>
        </w:rPr>
        <w:t xml:space="preserve"> </w:t>
      </w:r>
      <w:r w:rsidRPr="0075355B">
        <w:rPr>
          <w:rFonts w:ascii="Verdana" w:eastAsiaTheme="minorEastAsia" w:hAnsi="Verdana" w:cs="Arial"/>
          <w:szCs w:val="24"/>
          <w:lang w:val="es-ES" w:eastAsia="es-CO"/>
        </w:rPr>
        <w:t>conceptos</w:t>
      </w:r>
      <w:r w:rsidRPr="0075355B">
        <w:rPr>
          <w:rFonts w:ascii="Verdana" w:eastAsiaTheme="minorEastAsia" w:hAnsi="Verdana" w:cs="Arial"/>
          <w:spacing w:val="-10"/>
          <w:szCs w:val="24"/>
          <w:lang w:val="es-ES" w:eastAsia="es-CO"/>
        </w:rPr>
        <w:t xml:space="preserve"> </w:t>
      </w:r>
      <w:r w:rsidRPr="0075355B">
        <w:rPr>
          <w:rFonts w:ascii="Verdana" w:eastAsiaTheme="minorEastAsia" w:hAnsi="Verdana" w:cs="Arial"/>
          <w:szCs w:val="24"/>
          <w:lang w:val="es-ES" w:eastAsia="es-CO"/>
        </w:rPr>
        <w:t>jurídicos</w:t>
      </w:r>
      <w:r w:rsidRPr="0075355B">
        <w:rPr>
          <w:rFonts w:ascii="Verdana" w:eastAsiaTheme="minorEastAsia" w:hAnsi="Verdana" w:cs="Arial"/>
          <w:spacing w:val="-9"/>
          <w:szCs w:val="24"/>
          <w:lang w:val="es-ES" w:eastAsia="es-CO"/>
        </w:rPr>
        <w:t xml:space="preserve"> </w:t>
      </w:r>
      <w:r w:rsidRPr="0075355B">
        <w:rPr>
          <w:rFonts w:ascii="Verdana" w:eastAsiaTheme="minorEastAsia" w:hAnsi="Verdana" w:cs="Arial"/>
          <w:szCs w:val="24"/>
          <w:lang w:val="es-ES" w:eastAsia="es-CO"/>
        </w:rPr>
        <w:t>indeterminados.</w:t>
      </w:r>
      <w:r w:rsidRPr="0075355B">
        <w:rPr>
          <w:rFonts w:ascii="Verdana" w:eastAsiaTheme="minorEastAsia" w:hAnsi="Verdana" w:cs="Arial"/>
          <w:spacing w:val="-9"/>
          <w:szCs w:val="24"/>
          <w:lang w:val="es-ES" w:eastAsia="es-CO"/>
        </w:rPr>
        <w:t xml:space="preserve"> </w:t>
      </w:r>
    </w:p>
    <w:p w14:paraId="368A56F3" w14:textId="77777777" w:rsidR="003E071B" w:rsidRPr="0075355B" w:rsidRDefault="003E071B" w:rsidP="003E071B">
      <w:pPr>
        <w:spacing w:after="120" w:line="276" w:lineRule="auto"/>
        <w:ind w:firstLine="709"/>
        <w:jc w:val="both"/>
        <w:rPr>
          <w:rFonts w:ascii="Verdana" w:hAnsi="Verdana" w:cs="Arial"/>
          <w:lang w:val="es-ES" w:eastAsia="es-ES"/>
        </w:rPr>
      </w:pPr>
      <w:r w:rsidRPr="0075355B">
        <w:rPr>
          <w:rFonts w:ascii="Verdana" w:hAnsi="Verdana" w:cs="Arial"/>
          <w:lang w:val="es-ES" w:eastAsia="es-ES"/>
        </w:rPr>
        <w:lastRenderedPageBreak/>
        <w:t xml:space="preserve">Por consiguiente, debe advertirse que el llamado a emitir lineamientos respecto a </w:t>
      </w:r>
      <w:r w:rsidRPr="0075355B">
        <w:rPr>
          <w:rFonts w:ascii="Verdana" w:eastAsia="Calibri" w:hAnsi="Verdana" w:cs="Arial"/>
          <w:bCs/>
          <w:color w:val="000000" w:themeColor="text1"/>
          <w:lang w:val="es-ES"/>
        </w:rPr>
        <w:t>los proyectos adelantados con cargo al Sistema General de Regalías</w:t>
      </w:r>
      <w:r w:rsidRPr="0075355B">
        <w:rPr>
          <w:rFonts w:ascii="Verdana" w:hAnsi="Verdana" w:cs="Arial"/>
          <w:lang w:val="es-ES" w:eastAsia="es-ES"/>
        </w:rPr>
        <w:t xml:space="preserve"> es el Departamento Nacional de Planeación</w:t>
      </w:r>
      <w:r w:rsidRPr="0075355B">
        <w:rPr>
          <w:rFonts w:ascii="Verdana" w:eastAsia="Calibri" w:hAnsi="Verdana" w:cs="Arial"/>
          <w:color w:val="000000"/>
          <w:lang w:val="es-ES" w:eastAsia="es-ES"/>
        </w:rPr>
        <w:t xml:space="preserve">, el cual tiene a su cargo la función de impartir las directrices jurídicas y adoptar los instrumentos para la interpretación y aplicación de las normas por parte de las dependencias y demás organismos y entidades del Estado y de establecer criterios de interpretación legal de última instancia, así como fijar la posición jurídica institucional, de conformidad con lo señalado en los numeral 2 y 3 del artículo 8 del Decreto 1893 de 2021. </w:t>
      </w:r>
    </w:p>
    <w:p w14:paraId="74367B25" w14:textId="77777777" w:rsidR="003E071B" w:rsidRPr="0075355B" w:rsidRDefault="003E071B" w:rsidP="003E071B">
      <w:pPr>
        <w:spacing w:before="120" w:after="0" w:line="276" w:lineRule="auto"/>
        <w:ind w:firstLine="708"/>
        <w:jc w:val="both"/>
        <w:rPr>
          <w:rFonts w:ascii="Verdana" w:eastAsia="Calibri" w:hAnsi="Verdana" w:cs="Arial"/>
          <w:lang w:val="es-ES"/>
        </w:rPr>
      </w:pPr>
      <w:r w:rsidRPr="0075355B">
        <w:rPr>
          <w:rFonts w:ascii="Verdana" w:hAnsi="Verdana" w:cs="Arial"/>
          <w:lang w:val="es-ES" w:eastAsia="es-ES"/>
        </w:rPr>
        <w:t>Al margen de la explicación precedente debe advertirse que el análisis requerido para resolver problemas específicos en torno al clausulado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691F3698" w14:textId="77777777" w:rsidR="003E071B" w:rsidRPr="0075355B" w:rsidRDefault="003E071B" w:rsidP="003E071B">
      <w:pPr>
        <w:spacing w:before="120" w:after="0" w:line="276" w:lineRule="auto"/>
        <w:ind w:firstLine="709"/>
        <w:jc w:val="both"/>
        <w:rPr>
          <w:rFonts w:ascii="Verdana" w:hAnsi="Verdana" w:cs="Arial"/>
          <w:lang w:val="es-ES" w:eastAsia="es-ES"/>
        </w:rPr>
      </w:pPr>
      <w:r w:rsidRPr="0075355B">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D7E64AB" w14:textId="77777777" w:rsidR="003E071B" w:rsidRPr="0075355B" w:rsidRDefault="003E071B" w:rsidP="003E071B">
      <w:pPr>
        <w:spacing w:after="0" w:line="276" w:lineRule="auto"/>
        <w:jc w:val="both"/>
        <w:rPr>
          <w:rFonts w:ascii="Verdana" w:eastAsia="Times New Roman" w:hAnsi="Verdana" w:cs="Arial"/>
          <w:color w:val="000000" w:themeColor="text1"/>
          <w:lang w:val="es-ES"/>
        </w:rPr>
      </w:pPr>
    </w:p>
    <w:p w14:paraId="24E8F334" w14:textId="77777777" w:rsidR="003E071B" w:rsidRPr="0075355B" w:rsidRDefault="003E071B" w:rsidP="003E071B">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75355B">
        <w:rPr>
          <w:rFonts w:ascii="Verdana" w:eastAsia="Century Gothic" w:hAnsi="Verdana" w:cs="Century Gothic"/>
          <w:b/>
          <w:color w:val="000000" w:themeColor="text1"/>
        </w:rPr>
        <w:t>Referencias normativas, jurisprudenciales y otras fuentes:</w:t>
      </w:r>
    </w:p>
    <w:p w14:paraId="17C6C7C4" w14:textId="77777777" w:rsidR="003E071B" w:rsidRPr="0075355B" w:rsidRDefault="003E071B" w:rsidP="003E071B">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E071B" w:rsidRPr="0075355B" w14:paraId="01DF2E41" w14:textId="77777777" w:rsidTr="0075355B">
        <w:trPr>
          <w:trHeight w:val="297"/>
        </w:trPr>
        <w:tc>
          <w:tcPr>
            <w:tcW w:w="8647" w:type="dxa"/>
          </w:tcPr>
          <w:p w14:paraId="3FEA74AF" w14:textId="77777777" w:rsidR="003E071B" w:rsidRPr="0075355B" w:rsidRDefault="003E071B" w:rsidP="0075355B">
            <w:pPr>
              <w:widowControl w:val="0"/>
              <w:numPr>
                <w:ilvl w:val="0"/>
                <w:numId w:val="16"/>
              </w:numPr>
              <w:autoSpaceDE w:val="0"/>
              <w:autoSpaceDN w:val="0"/>
              <w:spacing w:after="120" w:line="276" w:lineRule="auto"/>
              <w:contextualSpacing/>
              <w:jc w:val="both"/>
              <w:rPr>
                <w:rFonts w:ascii="Verdana" w:hAnsi="Verdana" w:cs="Arial"/>
                <w:lang w:val="es-ES"/>
              </w:rPr>
            </w:pPr>
            <w:r w:rsidRPr="0075355B">
              <w:rPr>
                <w:rFonts w:ascii="Verdana" w:hAnsi="Verdana" w:cs="Arial"/>
                <w:lang w:val="es-ES"/>
              </w:rPr>
              <w:t xml:space="preserve">Constitución Política de 1991, artículos 360 y 361. </w:t>
            </w:r>
          </w:p>
          <w:p w14:paraId="208B262F" w14:textId="77777777" w:rsidR="003E071B" w:rsidRPr="0075355B" w:rsidRDefault="003E071B" w:rsidP="0075355B">
            <w:pPr>
              <w:widowControl w:val="0"/>
              <w:numPr>
                <w:ilvl w:val="0"/>
                <w:numId w:val="16"/>
              </w:numPr>
              <w:autoSpaceDE w:val="0"/>
              <w:autoSpaceDN w:val="0"/>
              <w:spacing w:line="276" w:lineRule="auto"/>
              <w:contextualSpacing/>
              <w:jc w:val="both"/>
              <w:rPr>
                <w:rFonts w:ascii="Verdana" w:hAnsi="Verdana" w:cs="Arial"/>
                <w:lang w:val="es-ES"/>
              </w:rPr>
            </w:pPr>
            <w:r w:rsidRPr="0075355B">
              <w:rPr>
                <w:rFonts w:ascii="Verdana" w:hAnsi="Verdana" w:cs="Arial"/>
                <w:lang w:val="es-ES"/>
              </w:rPr>
              <w:t>Ley 2056 de 2020, artículos 28 a 37, 83, 87, 98, 99, 101, 108 y 109</w:t>
            </w:r>
          </w:p>
          <w:p w14:paraId="15448CED" w14:textId="77777777" w:rsidR="003E071B" w:rsidRPr="0075355B" w:rsidRDefault="003E071B" w:rsidP="0075355B">
            <w:pPr>
              <w:widowControl w:val="0"/>
              <w:numPr>
                <w:ilvl w:val="0"/>
                <w:numId w:val="16"/>
              </w:numPr>
              <w:autoSpaceDE w:val="0"/>
              <w:autoSpaceDN w:val="0"/>
              <w:spacing w:line="276" w:lineRule="auto"/>
              <w:contextualSpacing/>
              <w:jc w:val="both"/>
              <w:rPr>
                <w:rFonts w:ascii="Verdana" w:hAnsi="Verdana" w:cs="Arial"/>
                <w:lang w:val="es-ES"/>
              </w:rPr>
            </w:pPr>
            <w:r w:rsidRPr="0075355B">
              <w:rPr>
                <w:rFonts w:ascii="Verdana" w:hAnsi="Verdana" w:cs="Arial"/>
                <w:lang w:val="es-ES"/>
              </w:rPr>
              <w:t>Consejo De Estado. Sección tercera. Sentencia del 7 de marzo de 2025. Radicación No.69.941. C.P: José Roberto Sáchica.</w:t>
            </w:r>
          </w:p>
        </w:tc>
      </w:tr>
    </w:tbl>
    <w:p w14:paraId="69FE1208" w14:textId="77777777" w:rsidR="003E071B" w:rsidRPr="0075355B" w:rsidRDefault="003E071B" w:rsidP="003E071B">
      <w:pPr>
        <w:widowControl w:val="0"/>
        <w:autoSpaceDE w:val="0"/>
        <w:autoSpaceDN w:val="0"/>
        <w:spacing w:after="0" w:line="276" w:lineRule="auto"/>
        <w:jc w:val="both"/>
        <w:rPr>
          <w:rFonts w:ascii="Verdana" w:hAnsi="Verdana" w:cs="Arial"/>
          <w:color w:val="000000" w:themeColor="text1"/>
          <w:lang w:val="es-ES"/>
        </w:rPr>
      </w:pPr>
    </w:p>
    <w:p w14:paraId="5306B35F" w14:textId="77777777" w:rsidR="003E071B" w:rsidRPr="0075355B" w:rsidRDefault="003E071B" w:rsidP="003E071B">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75355B">
        <w:rPr>
          <w:rFonts w:ascii="Verdana" w:eastAsia="Century Gothic" w:hAnsi="Verdana" w:cs="Century Gothic"/>
          <w:b/>
          <w:color w:val="000000" w:themeColor="text1"/>
        </w:rPr>
        <w:t>Doctrina de la Agencia Nacional de Contratación Pública:</w:t>
      </w:r>
    </w:p>
    <w:p w14:paraId="431C14A9" w14:textId="77777777" w:rsidR="003E071B" w:rsidRPr="0075355B" w:rsidRDefault="003E071B" w:rsidP="003E071B">
      <w:pPr>
        <w:widowControl w:val="0"/>
        <w:autoSpaceDE w:val="0"/>
        <w:autoSpaceDN w:val="0"/>
        <w:spacing w:after="0" w:line="276" w:lineRule="auto"/>
        <w:jc w:val="both"/>
        <w:rPr>
          <w:rFonts w:ascii="Verdana" w:hAnsi="Verdana" w:cs="Arial"/>
          <w:color w:val="000000" w:themeColor="text1"/>
          <w:lang w:val="es-ES"/>
        </w:rPr>
      </w:pPr>
    </w:p>
    <w:p w14:paraId="2751665F" w14:textId="77777777" w:rsidR="003E071B" w:rsidRPr="0075355B" w:rsidRDefault="003E071B" w:rsidP="003E071B">
      <w:pPr>
        <w:spacing w:line="276" w:lineRule="auto"/>
        <w:jc w:val="both"/>
        <w:rPr>
          <w:rFonts w:ascii="Verdana" w:eastAsia="Calibri" w:hAnsi="Verdana" w:cs="Arial"/>
          <w:b/>
          <w:bCs/>
          <w:color w:val="000000" w:themeColor="text1"/>
          <w:lang w:val="es-ES"/>
        </w:rPr>
      </w:pPr>
      <w:r w:rsidRPr="0075355B">
        <w:rPr>
          <w:rFonts w:ascii="Verdana" w:eastAsia="Calibri" w:hAnsi="Verdana" w:cs="Arial"/>
          <w:lang w:val="es-ES"/>
        </w:rPr>
        <w:t xml:space="preserve">La Agencia Nacional de Contratación Pública – Colombia Compra Eficiente se ha pronunciado </w:t>
      </w:r>
      <w:r w:rsidRPr="0075355B">
        <w:rPr>
          <w:rFonts w:ascii="Verdana" w:hAnsi="Verdana" w:cs="Arial"/>
          <w:shd w:val="clear" w:color="auto" w:fill="FFFFFF"/>
          <w:lang w:val="es-ES"/>
        </w:rPr>
        <w:t xml:space="preserve">sobre el régimen de contratación de las entidades ejecutoras cuando ejecutan recursos del SGR en los </w:t>
      </w:r>
      <w:r w:rsidRPr="0075355B">
        <w:rPr>
          <w:rFonts w:ascii="Verdana" w:hAnsi="Verdana" w:cs="Arial"/>
          <w:lang w:val="es-ES"/>
        </w:rPr>
        <w:t>C-370 del 2021,</w:t>
      </w:r>
      <w:r w:rsidRPr="0075355B">
        <w:rPr>
          <w:rFonts w:ascii="Verdana" w:hAnsi="Verdana" w:cs="Arial"/>
          <w:shd w:val="clear" w:color="auto" w:fill="FFFFFF"/>
          <w:lang w:val="es-ES"/>
        </w:rPr>
        <w:t xml:space="preserve"> C-353 del 2 de junio de 2022, C-918 del 9 de diciembre de 2024, C-951 del 16 de diciembre de 2024, C-285 del 14 de abril de 2025, C-348 del 25 de abril de 2025, C-370 del 2 de mayo de 2025,</w:t>
      </w:r>
      <w:r w:rsidRPr="0075355B">
        <w:rPr>
          <w:rFonts w:ascii="Verdana" w:hAnsi="Verdana"/>
          <w:shd w:val="clear" w:color="auto" w:fill="FFFFFF"/>
          <w:lang w:val="es-ES"/>
        </w:rPr>
        <w:t xml:space="preserve"> C-680 del 8 de julio de 2025, C-914 del 15 de agosto de 2025, C-1065 del 8 de septiembre de 2025 y </w:t>
      </w:r>
      <w:r w:rsidRPr="0075355B">
        <w:rPr>
          <w:rFonts w:ascii="Verdana" w:eastAsia="Calibri" w:hAnsi="Verdana" w:cs="Arial"/>
          <w:lang w:val="es-ES" w:eastAsia="es-ES"/>
        </w:rPr>
        <w:t>C–225 del 27 de febrero de 2026</w:t>
      </w:r>
      <w:r w:rsidRPr="0075355B">
        <w:rPr>
          <w:rFonts w:ascii="Verdana" w:eastAsia="Arial" w:hAnsi="Verdana" w:cs="Arial"/>
          <w:lang w:val="es-ES"/>
        </w:rPr>
        <w:t>. Estos y</w:t>
      </w:r>
      <w:r w:rsidRPr="0075355B">
        <w:rPr>
          <w:rFonts w:ascii="Verdana" w:hAnsi="Verdana" w:cs="Arial"/>
          <w:shd w:val="clear" w:color="auto" w:fill="FFFFFF"/>
          <w:lang w:val="es-ES"/>
        </w:rPr>
        <w:t xml:space="preserve"> </w:t>
      </w:r>
      <w:r w:rsidRPr="0075355B">
        <w:rPr>
          <w:rFonts w:ascii="Verdana" w:hAnsi="Verdana"/>
          <w:lang w:val="es-ES"/>
        </w:rPr>
        <w:t>otros conceptos se encuentran disponibles para consulta en el Sistema de relatoría de la Agencia, al cual se puede acceder a través del siguiente enlace:</w:t>
      </w:r>
      <w:r w:rsidRPr="0075355B">
        <w:rPr>
          <w:rFonts w:ascii="Verdana" w:hAnsi="Verdana" w:cs="Arial"/>
          <w:shd w:val="clear" w:color="auto" w:fill="FFFFFF"/>
          <w:lang w:val="es-ES"/>
        </w:rPr>
        <w:t xml:space="preserve"> </w:t>
      </w:r>
      <w:hyperlink r:id="rId14" w:history="1">
        <w:r w:rsidRPr="0075355B">
          <w:rPr>
            <w:rStyle w:val="Hyperlink"/>
            <w:rFonts w:ascii="Verdana" w:hAnsi="Verdana"/>
            <w:lang w:val="es-ES"/>
          </w:rPr>
          <w:t>https://relatoria.colombiacompra.gov.co/busqueda/conceptos</w:t>
        </w:r>
      </w:hyperlink>
      <w:r w:rsidRPr="0075355B">
        <w:rPr>
          <w:rFonts w:ascii="Verdana" w:hAnsi="Verdana" w:cs="Arial"/>
          <w:shd w:val="clear" w:color="auto" w:fill="FFFFFF"/>
          <w:lang w:val="es-ES"/>
        </w:rPr>
        <w:t>.</w:t>
      </w:r>
      <w:r w:rsidRPr="0075355B">
        <w:rPr>
          <w:rFonts w:ascii="Verdana" w:hAnsi="Verdana" w:cs="Arial"/>
          <w:color w:val="FF0000"/>
          <w:shd w:val="clear" w:color="auto" w:fill="FFFFFF"/>
          <w:lang w:val="es-ES"/>
        </w:rPr>
        <w:t xml:space="preserve"> </w:t>
      </w:r>
      <w:r w:rsidRPr="0075355B">
        <w:rPr>
          <w:rFonts w:ascii="Verdana" w:hAnsi="Verdana" w:cs="Arial"/>
          <w:color w:val="000000" w:themeColor="text1"/>
          <w:shd w:val="clear" w:color="auto" w:fill="FFFFFF"/>
          <w:lang w:val="es-ES"/>
        </w:rPr>
        <w:t>  </w:t>
      </w:r>
    </w:p>
    <w:p w14:paraId="78D10F38" w14:textId="77777777" w:rsidR="003E071B" w:rsidRPr="00A17CFF" w:rsidRDefault="003E071B" w:rsidP="003E071B">
      <w:pPr>
        <w:spacing w:after="0" w:line="276" w:lineRule="auto"/>
        <w:jc w:val="both"/>
        <w:rPr>
          <w:rFonts w:ascii="Verdana" w:hAnsi="Verdana"/>
          <w:lang w:val="it-CH"/>
        </w:rPr>
      </w:pPr>
      <w:r w:rsidRPr="0075355B">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  invita a consultar la nueva versión de la </w:t>
      </w:r>
      <w:r w:rsidRPr="0075355B">
        <w:rPr>
          <w:rFonts w:ascii="Verdana" w:hAnsi="Verdana"/>
          <w:b/>
          <w:bCs/>
          <w:lang w:val="es-ES"/>
        </w:rPr>
        <w:t>Guía para la Exigencia y Constitución de Garantías en los Procesos de Contratación</w:t>
      </w:r>
      <w:r w:rsidRPr="0075355B">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r w:rsidRPr="00A17CFF">
        <w:rPr>
          <w:rFonts w:ascii="Verdana" w:hAnsi="Verdana"/>
          <w:lang w:val="it-CH"/>
        </w:rPr>
        <w:t>Consúltela aquí: </w:t>
      </w:r>
      <w:r>
        <w:fldChar w:fldCharType="begin"/>
      </w:r>
      <w:r>
        <w:instrText>HYPERLINK "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\h</w:instrText>
      </w:r>
      <w:r>
        <w:fldChar w:fldCharType="separate"/>
      </w:r>
      <w:r w:rsidRPr="00A17CFF">
        <w:rPr>
          <w:rStyle w:val="Hyperlink"/>
          <w:rFonts w:ascii="Verdana" w:hAnsi="Verdana"/>
          <w:lang w:val="it-CH"/>
        </w:rPr>
        <w:t>https://www.colombiacompra.gov.co/archivos/manual/guia-de-garantias-en-procesos-de-contratacion</w:t>
      </w:r>
      <w:r>
        <w:rPr>
          <w:rStyle w:val="Hyperlink"/>
          <w:rFonts w:ascii="Verdana" w:hAnsi="Verdana"/>
          <w:lang w:val="it-CH"/>
        </w:rPr>
        <w:fldChar w:fldCharType="end"/>
      </w:r>
    </w:p>
    <w:p w14:paraId="0741C6D7" w14:textId="77777777" w:rsidR="003E071B" w:rsidRPr="00A17CFF" w:rsidRDefault="003E071B" w:rsidP="003E071B">
      <w:pPr>
        <w:spacing w:after="0" w:line="276" w:lineRule="auto"/>
        <w:jc w:val="both"/>
        <w:rPr>
          <w:rFonts w:ascii="Verdana" w:hAnsi="Verdana"/>
          <w:lang w:val="it-CH"/>
        </w:rPr>
      </w:pPr>
    </w:p>
    <w:p w14:paraId="0175E460" w14:textId="77777777" w:rsidR="003E071B" w:rsidRPr="00A17CFF" w:rsidRDefault="003E071B" w:rsidP="003E071B">
      <w:pPr>
        <w:spacing w:after="0" w:line="276" w:lineRule="auto"/>
        <w:jc w:val="both"/>
        <w:rPr>
          <w:rFonts w:ascii="Verdana" w:hAnsi="Verdana"/>
          <w:lang w:val="it-CH"/>
        </w:rPr>
      </w:pPr>
      <w:r w:rsidRPr="0075355B">
        <w:rPr>
          <w:rFonts w:ascii="Verdana" w:hAnsi="Verdana"/>
          <w:lang w:val="es-ES"/>
        </w:rPr>
        <w:t>De otro lado, le contamos que el Decreto 287 del 19 de marzo de 2026 sustituyó los artículos 2.2.1.2.4.2.6., 2.2.1.2.4.2.7. y 2.2.1.2.4.2.8. del Decreto 1082 de 2015 y estructuró el </w:t>
      </w:r>
      <w:r w:rsidRPr="0075355B">
        <w:rPr>
          <w:rFonts w:ascii="Verdana" w:hAnsi="Verdana"/>
          <w:b/>
          <w:bCs/>
          <w:lang w:val="es-ES"/>
        </w:rPr>
        <w:t>Sistema Integral de Preferencias en favor de las personas con discapacidad</w:t>
      </w:r>
      <w:r w:rsidRPr="0075355B">
        <w:rPr>
          <w:rFonts w:ascii="Verdana" w:hAnsi="Verdana"/>
          <w:lang w:val="es-ES"/>
        </w:rPr>
        <w:t>, en cumplimiento del artículo 13 de la Ley Estatutaria 1618 de 2013. Para orientar su aplicación, esta Agencia expidió la </w:t>
      </w:r>
      <w:r w:rsidRPr="0075355B">
        <w:rPr>
          <w:rFonts w:ascii="Verdana" w:hAnsi="Verdana"/>
          <w:b/>
          <w:bCs/>
          <w:lang w:val="es-ES"/>
        </w:rPr>
        <w:t>Circular Externa 003 del 12 de mayo de 2026, </w:t>
      </w:r>
      <w:r w:rsidRPr="0075355B">
        <w:rPr>
          <w:rFonts w:ascii="Verdana" w:hAnsi="Verdana"/>
          <w:lang w:val="es-ES"/>
        </w:rPr>
        <w:t xml:space="preserve">en la que precisa quiénes son los beneficiarios, las cinco medidas que integran el sistema y su obligatoriedad según la modalidad de selección, y el régimen de transición aplicable a los procesos en curso. </w:t>
      </w:r>
      <w:r w:rsidRPr="00A17CFF">
        <w:rPr>
          <w:rFonts w:ascii="Verdana" w:hAnsi="Verdana"/>
          <w:lang w:val="it-CH"/>
        </w:rPr>
        <w:t>Consúltela aquí: </w:t>
      </w:r>
      <w:r>
        <w:fldChar w:fldCharType="begin"/>
      </w:r>
      <w:r>
        <w:instrText>HYPERLINK "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\h</w:instrText>
      </w:r>
      <w:r>
        <w:fldChar w:fldCharType="separate"/>
      </w:r>
      <w:r w:rsidRPr="00A17CFF">
        <w:rPr>
          <w:rStyle w:val="Hyperlink"/>
          <w:rFonts w:ascii="Verdana" w:hAnsi="Verdana"/>
          <w:lang w:val="it-CH"/>
        </w:rPr>
        <w:t>https://www.colombiacompra.gov.co/archivos/circular/circular-externa-003-de-2026</w:t>
      </w:r>
      <w:r>
        <w:rPr>
          <w:rStyle w:val="Hyperlink"/>
          <w:rFonts w:ascii="Verdana" w:hAnsi="Verdana"/>
          <w:lang w:val="it-CH"/>
        </w:rPr>
        <w:fldChar w:fldCharType="end"/>
      </w:r>
    </w:p>
    <w:p w14:paraId="22C6E82E" w14:textId="77777777" w:rsidR="003E071B" w:rsidRPr="00A17CFF" w:rsidRDefault="003E071B" w:rsidP="003E071B">
      <w:pPr>
        <w:spacing w:after="0" w:line="276" w:lineRule="auto"/>
        <w:jc w:val="both"/>
        <w:rPr>
          <w:rFonts w:ascii="Verdana" w:hAnsi="Verdana"/>
          <w:lang w:val="it-CH"/>
        </w:rPr>
      </w:pPr>
    </w:p>
    <w:p w14:paraId="43C5F41E" w14:textId="77777777" w:rsidR="003E071B" w:rsidRPr="00A17CFF" w:rsidRDefault="003E071B" w:rsidP="003E071B">
      <w:pPr>
        <w:spacing w:after="0" w:line="276" w:lineRule="auto"/>
        <w:jc w:val="both"/>
        <w:rPr>
          <w:rFonts w:ascii="Verdana" w:hAnsi="Verdana"/>
          <w:lang w:val="it-CH"/>
        </w:rPr>
      </w:pPr>
      <w:r w:rsidRPr="0075355B">
        <w:rPr>
          <w:rFonts w:ascii="Verdana" w:hAnsi="Verdana"/>
          <w:lang w:val="es-ES"/>
        </w:rPr>
        <w:t>Recuerde también que la</w:t>
      </w:r>
      <w:r w:rsidRPr="0075355B">
        <w:rPr>
          <w:rFonts w:ascii="Verdana" w:hAnsi="Verdana"/>
          <w:b/>
          <w:bCs/>
          <w:lang w:val="es-ES"/>
        </w:rPr>
        <w:t> información sobre sanciones e inhabilidades </w:t>
      </w:r>
      <w:r w:rsidRPr="0075355B">
        <w:rPr>
          <w:rFonts w:ascii="Verdana" w:hAnsi="Verdana"/>
          <w:lang w:val="es-ES"/>
        </w:rPr>
        <w:t>solo cumple su función preventiva si llega oportunamente a los registros públicos. Sobre este deber, esta Agencia expidió la </w:t>
      </w:r>
      <w:r w:rsidRPr="0075355B">
        <w:rPr>
          <w:rFonts w:ascii="Verdana" w:hAnsi="Verdana"/>
          <w:b/>
          <w:bCs/>
          <w:lang w:val="es-ES"/>
        </w:rPr>
        <w:t>Circular Externa 002 del 5 de mayo de 2026,</w:t>
      </w:r>
      <w:r w:rsidRPr="0075355B">
        <w:rPr>
          <w:rFonts w:ascii="Verdana" w:hAnsi="Verdana"/>
          <w:lang w:val="es-ES"/>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A17CFF">
        <w:rPr>
          <w:rFonts w:ascii="Verdana" w:hAnsi="Verdana"/>
          <w:lang w:val="it-CH"/>
        </w:rPr>
        <w:t>Consúltela aquí: </w:t>
      </w:r>
      <w:r>
        <w:fldChar w:fldCharType="begin"/>
      </w:r>
      <w:r>
        <w:instrText>HYPERLINK "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\h</w:instrText>
      </w:r>
      <w:r>
        <w:fldChar w:fldCharType="separate"/>
      </w:r>
      <w:r w:rsidRPr="00A17CFF">
        <w:rPr>
          <w:rStyle w:val="Hyperlink"/>
          <w:rFonts w:ascii="Verdana" w:hAnsi="Verdana"/>
          <w:lang w:val="it-CH"/>
        </w:rPr>
        <w:t>https://www.colombiacompra.gov.co/archivos/circular/circular-externa-002-de-2026</w:t>
      </w:r>
      <w:r>
        <w:rPr>
          <w:rStyle w:val="Hyperlink"/>
          <w:rFonts w:ascii="Verdana" w:hAnsi="Verdana"/>
          <w:lang w:val="it-CH"/>
        </w:rPr>
        <w:fldChar w:fldCharType="end"/>
      </w:r>
    </w:p>
    <w:p w14:paraId="1C330C36" w14:textId="77777777" w:rsidR="003E071B" w:rsidRPr="00A17CFF" w:rsidRDefault="003E071B" w:rsidP="003E071B">
      <w:pPr>
        <w:spacing w:after="0" w:line="276" w:lineRule="auto"/>
        <w:jc w:val="both"/>
        <w:rPr>
          <w:rFonts w:ascii="Verdana" w:hAnsi="Verdana"/>
          <w:lang w:val="it-CH"/>
        </w:rPr>
      </w:pPr>
    </w:p>
    <w:p w14:paraId="6D684596" w14:textId="77777777" w:rsidR="003E071B" w:rsidRPr="0075355B" w:rsidRDefault="003E071B" w:rsidP="003E071B">
      <w:pPr>
        <w:spacing w:after="0" w:line="276" w:lineRule="auto"/>
        <w:jc w:val="both"/>
        <w:rPr>
          <w:rFonts w:ascii="Verdana" w:hAnsi="Verdana"/>
          <w:lang w:val="es-ES"/>
        </w:rPr>
      </w:pPr>
      <w:r w:rsidRPr="0075355B">
        <w:rPr>
          <w:rFonts w:ascii="Verdana" w:hAnsi="Verdana"/>
          <w:lang w:val="es-ES"/>
        </w:rPr>
        <w:t>Finalmente, si quiere seguir de cerca la actividad de la Agencia, la tercera edición de 2026 del</w:t>
      </w:r>
      <w:r w:rsidRPr="0075355B">
        <w:rPr>
          <w:rFonts w:ascii="Verdana" w:hAnsi="Verdana"/>
          <w:b/>
          <w:bCs/>
          <w:lang w:val="es-ES"/>
        </w:rPr>
        <w:t> Radar de la Compra Pública</w:t>
      </w:r>
      <w:r w:rsidRPr="0075355B">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5">
        <w:r w:rsidRPr="0075355B">
          <w:rPr>
            <w:rStyle w:val="Hyperlink"/>
            <w:rFonts w:ascii="Verdana" w:hAnsi="Verdana"/>
            <w:lang w:val="es-ES"/>
          </w:rPr>
          <w:t>https://www.colombiacompra.gov.co/archivos/boletin/boletin-edicion-n-3-de-2026-radar-de-la-compra-publica</w:t>
        </w:r>
      </w:hyperlink>
    </w:p>
    <w:p w14:paraId="544280C1" w14:textId="77777777" w:rsidR="003E071B" w:rsidRPr="0075355B" w:rsidRDefault="003E071B" w:rsidP="003E071B">
      <w:pPr>
        <w:spacing w:line="276" w:lineRule="auto"/>
        <w:jc w:val="both"/>
        <w:rPr>
          <w:rFonts w:ascii="Verdana" w:hAnsi="Verdana"/>
          <w:lang w:val="es-ES"/>
        </w:rPr>
      </w:pPr>
    </w:p>
    <w:p w14:paraId="1652504C" w14:textId="77777777" w:rsidR="003E071B" w:rsidRPr="0075355B" w:rsidRDefault="003E071B" w:rsidP="003E071B">
      <w:pPr>
        <w:spacing w:after="0" w:line="276" w:lineRule="auto"/>
        <w:jc w:val="both"/>
        <w:rPr>
          <w:rFonts w:ascii="Verdana" w:hAnsi="Verdana"/>
          <w:lang w:val="es-ES"/>
        </w:rPr>
      </w:pPr>
      <w:r w:rsidRPr="0075355B">
        <w:rPr>
          <w:rFonts w:ascii="Verdana" w:hAnsi="Verdana"/>
          <w:lang w:val="es-ES"/>
        </w:rPr>
        <w:t xml:space="preserve">Por último, le invitamos a seguirnos en las redes sociales en las cuales se difunde información institucional: </w:t>
      </w:r>
    </w:p>
    <w:p w14:paraId="6EDF2177" w14:textId="77777777" w:rsidR="003E071B" w:rsidRPr="0075355B" w:rsidRDefault="003E071B" w:rsidP="003E071B">
      <w:pPr>
        <w:spacing w:after="0" w:line="276" w:lineRule="auto"/>
        <w:jc w:val="both"/>
        <w:rPr>
          <w:rFonts w:ascii="Verdana" w:hAnsi="Verdana"/>
          <w:lang w:val="es-ES"/>
        </w:rPr>
      </w:pPr>
    </w:p>
    <w:p w14:paraId="0113B25E" w14:textId="77777777" w:rsidR="003E071B" w:rsidRPr="0075355B" w:rsidRDefault="003E071B" w:rsidP="003E071B">
      <w:pPr>
        <w:spacing w:after="0" w:line="276" w:lineRule="auto"/>
        <w:jc w:val="both"/>
        <w:rPr>
          <w:rFonts w:ascii="Verdana" w:hAnsi="Verdana"/>
          <w:lang w:val="es-ES"/>
        </w:rPr>
      </w:pPr>
      <w:r w:rsidRPr="0075355B">
        <w:rPr>
          <w:rFonts w:ascii="Verdana" w:hAnsi="Verdana"/>
          <w:lang w:val="es-ES"/>
        </w:rPr>
        <w:t xml:space="preserve">Twitter: </w:t>
      </w:r>
      <w:r w:rsidRPr="0075355B">
        <w:rPr>
          <w:rStyle w:val="Hyperlink"/>
          <w:rFonts w:ascii="Verdana" w:hAnsi="Verdana" w:cs="Arial"/>
          <w:shd w:val="clear" w:color="auto" w:fill="FFFFFF"/>
          <w:lang w:val="es-ES"/>
        </w:rPr>
        <w:t>@colombiacompra</w:t>
      </w:r>
      <w:r w:rsidRPr="0075355B">
        <w:rPr>
          <w:rFonts w:ascii="Verdana" w:hAnsi="Verdana"/>
          <w:color w:val="4472C4" w:themeColor="accent1"/>
          <w:lang w:val="es-ES"/>
        </w:rPr>
        <w:t xml:space="preserve"> </w:t>
      </w:r>
    </w:p>
    <w:p w14:paraId="6BAE756C" w14:textId="77777777" w:rsidR="003E071B" w:rsidRPr="0075355B" w:rsidRDefault="003E071B" w:rsidP="003E071B">
      <w:pPr>
        <w:spacing w:after="0" w:line="276" w:lineRule="auto"/>
        <w:jc w:val="both"/>
        <w:rPr>
          <w:rFonts w:ascii="Verdana" w:hAnsi="Verdana"/>
          <w:lang w:val="es-ES"/>
        </w:rPr>
      </w:pPr>
      <w:r w:rsidRPr="0075355B">
        <w:rPr>
          <w:rFonts w:ascii="Verdana" w:hAnsi="Verdana"/>
          <w:lang w:val="es-ES"/>
        </w:rPr>
        <w:t xml:space="preserve">Facebook: </w:t>
      </w:r>
      <w:proofErr w:type="spellStart"/>
      <w:r w:rsidRPr="0075355B">
        <w:rPr>
          <w:rStyle w:val="Hyperlink"/>
          <w:rFonts w:ascii="Verdana" w:hAnsi="Verdana" w:cs="Arial"/>
          <w:shd w:val="clear" w:color="auto" w:fill="FFFFFF"/>
          <w:lang w:val="es-ES"/>
        </w:rPr>
        <w:t>ColombiaCompraEficiente</w:t>
      </w:r>
      <w:proofErr w:type="spellEnd"/>
    </w:p>
    <w:p w14:paraId="1EDB8FB2" w14:textId="77777777" w:rsidR="003E071B" w:rsidRPr="0075355B" w:rsidRDefault="003E071B" w:rsidP="003E071B">
      <w:pPr>
        <w:spacing w:after="0" w:line="276" w:lineRule="auto"/>
        <w:jc w:val="both"/>
        <w:rPr>
          <w:rFonts w:ascii="Verdana" w:hAnsi="Verdana"/>
          <w:lang w:val="es-ES"/>
        </w:rPr>
      </w:pPr>
      <w:r w:rsidRPr="0075355B">
        <w:rPr>
          <w:rFonts w:ascii="Verdana" w:hAnsi="Verdana"/>
          <w:lang w:val="es-ES"/>
        </w:rPr>
        <w:t xml:space="preserve">LinkedIn: </w:t>
      </w:r>
      <w:r w:rsidRPr="0075355B">
        <w:rPr>
          <w:rStyle w:val="Hyperlink"/>
          <w:rFonts w:ascii="Verdana" w:hAnsi="Verdana" w:cs="Arial"/>
          <w:shd w:val="clear" w:color="auto" w:fill="FFFFFF"/>
          <w:lang w:val="es-ES"/>
        </w:rPr>
        <w:t xml:space="preserve">Agencia Nacional de Contratación Pública - Colombia Compra Eficiente </w:t>
      </w:r>
      <w:r w:rsidRPr="0075355B">
        <w:rPr>
          <w:rFonts w:ascii="Verdana" w:hAnsi="Verdana"/>
          <w:lang w:val="es-ES"/>
        </w:rPr>
        <w:t xml:space="preserve">Instagram: </w:t>
      </w:r>
      <w:r w:rsidRPr="0075355B">
        <w:rPr>
          <w:rStyle w:val="Hyperlink"/>
          <w:rFonts w:ascii="Verdana" w:hAnsi="Verdana" w:cs="Arial"/>
          <w:shd w:val="clear" w:color="auto" w:fill="FFFFFF"/>
          <w:lang w:val="es-ES"/>
        </w:rPr>
        <w:t>@colombiacompraeficiente_cce</w:t>
      </w:r>
    </w:p>
    <w:p w14:paraId="68246E69" w14:textId="77777777" w:rsidR="003E071B" w:rsidRPr="0075355B" w:rsidRDefault="003E071B" w:rsidP="003E071B">
      <w:pPr>
        <w:widowControl w:val="0"/>
        <w:autoSpaceDE w:val="0"/>
        <w:autoSpaceDN w:val="0"/>
        <w:spacing w:after="0" w:line="276" w:lineRule="auto"/>
        <w:jc w:val="both"/>
        <w:rPr>
          <w:rFonts w:ascii="Verdana" w:hAnsi="Verdana" w:cs="Arial"/>
          <w:lang w:val="es-ES"/>
        </w:rPr>
      </w:pPr>
    </w:p>
    <w:p w14:paraId="58ACAEAD" w14:textId="77777777" w:rsidR="003E071B" w:rsidRPr="0075355B" w:rsidRDefault="003E071B" w:rsidP="003E071B">
      <w:pPr>
        <w:widowControl w:val="0"/>
        <w:autoSpaceDE w:val="0"/>
        <w:autoSpaceDN w:val="0"/>
        <w:spacing w:after="0" w:line="276" w:lineRule="auto"/>
        <w:jc w:val="both"/>
        <w:rPr>
          <w:rFonts w:ascii="Verdana" w:hAnsi="Verdana" w:cs="Arial"/>
          <w:lang w:val="es-ES"/>
        </w:rPr>
      </w:pPr>
      <w:r w:rsidRPr="0075355B">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3B5F857" w14:textId="77777777" w:rsidR="003E071B" w:rsidRPr="0075355B" w:rsidRDefault="003E071B" w:rsidP="003E071B">
      <w:pPr>
        <w:widowControl w:val="0"/>
        <w:autoSpaceDE w:val="0"/>
        <w:autoSpaceDN w:val="0"/>
        <w:spacing w:after="0" w:line="276" w:lineRule="auto"/>
        <w:jc w:val="both"/>
        <w:rPr>
          <w:rFonts w:ascii="Verdana" w:hAnsi="Verdana" w:cs="Arial"/>
          <w:lang w:val="es-ES"/>
        </w:rPr>
      </w:pPr>
    </w:p>
    <w:p w14:paraId="2705051D" w14:textId="77777777" w:rsidR="003E071B" w:rsidRPr="0075355B" w:rsidRDefault="003E071B" w:rsidP="003E071B">
      <w:pPr>
        <w:spacing w:after="0" w:line="276" w:lineRule="auto"/>
        <w:rPr>
          <w:rFonts w:ascii="Verdana" w:hAnsi="Verdana" w:cs="Arial"/>
          <w:color w:val="000000" w:themeColor="text1"/>
          <w:lang w:val="es-ES" w:eastAsia="es-CO"/>
        </w:rPr>
      </w:pPr>
      <w:r w:rsidRPr="0075355B">
        <w:rPr>
          <w:rFonts w:ascii="Verdana" w:eastAsia="Times New Roman" w:hAnsi="Verdana" w:cs="Arial"/>
          <w:color w:val="000000" w:themeColor="text1"/>
          <w:lang w:val="es-ES" w:eastAsia="es-CO"/>
        </w:rPr>
        <w:t>Atentamente,</w:t>
      </w:r>
      <w:r w:rsidRPr="0075355B">
        <w:rPr>
          <w:rFonts w:ascii="Verdana" w:hAnsi="Verdana" w:cs="Arial"/>
          <w:color w:val="000000" w:themeColor="text1"/>
          <w:lang w:val="es-ES" w:eastAsia="es-CO"/>
        </w:rPr>
        <w:t xml:space="preserve"> </w:t>
      </w:r>
    </w:p>
    <w:p w14:paraId="06A1E568" w14:textId="5EA059C4" w:rsidR="003E071B" w:rsidRPr="0075355B" w:rsidRDefault="00E32B88" w:rsidP="003E071B">
      <w:pPr>
        <w:spacing w:after="0" w:line="276" w:lineRule="auto"/>
        <w:rPr>
          <w:rFonts w:ascii="Verdana" w:hAnsi="Verdana" w:cs="Arial"/>
          <w:color w:val="000000" w:themeColor="text1"/>
          <w:lang w:val="es-ES" w:eastAsia="es-CO"/>
        </w:rPr>
      </w:pPr>
      <w:r w:rsidRPr="000E2097">
        <w:rPr>
          <w:rFonts w:ascii="Century Gothic" w:hAnsi="Century Gothic"/>
          <w:noProof/>
          <w:lang w:val="es-ES"/>
        </w:rPr>
        <w:lastRenderedPageBreak/>
        <w:drawing>
          <wp:anchor distT="0" distB="0" distL="114300" distR="114300" simplePos="0" relativeHeight="251659264" behindDoc="0" locked="0" layoutInCell="1" allowOverlap="1" wp14:anchorId="48A08DD1" wp14:editId="1DBF679E">
            <wp:simplePos x="0" y="0"/>
            <wp:positionH relativeFrom="column">
              <wp:posOffset>1083076</wp:posOffset>
            </wp:positionH>
            <wp:positionV relativeFrom="paragraph">
              <wp:posOffset>456</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A7F48" w14:textId="53A931A8" w:rsidR="003E071B" w:rsidRPr="0075355B" w:rsidRDefault="003E071B" w:rsidP="003E071B">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E071B" w:rsidRPr="0075355B" w14:paraId="074B0A4F" w14:textId="77777777" w:rsidTr="0075355B">
        <w:trPr>
          <w:trHeight w:val="315"/>
        </w:trPr>
        <w:tc>
          <w:tcPr>
            <w:tcW w:w="893" w:type="dxa"/>
            <w:vAlign w:val="center"/>
            <w:hideMark/>
          </w:tcPr>
          <w:p w14:paraId="3E219EFC" w14:textId="77777777" w:rsidR="003E071B" w:rsidRPr="0075355B" w:rsidRDefault="003E071B" w:rsidP="0075355B">
            <w:pPr>
              <w:contextualSpacing/>
              <w:rPr>
                <w:rFonts w:ascii="Verdana" w:hAnsi="Verdana" w:cs="Arial"/>
                <w:sz w:val="16"/>
                <w:szCs w:val="16"/>
                <w:lang w:val="es-ES" w:eastAsia="es-ES"/>
              </w:rPr>
            </w:pPr>
            <w:r w:rsidRPr="0075355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ADCFB5F" w14:textId="77777777" w:rsidR="003E071B" w:rsidRPr="0075355B" w:rsidRDefault="003E071B" w:rsidP="0075355B">
            <w:pPr>
              <w:contextualSpacing/>
              <w:rPr>
                <w:rFonts w:ascii="Verdana" w:eastAsia="Arial" w:hAnsi="Verdana" w:cs="Arial"/>
                <w:color w:val="000000" w:themeColor="text1"/>
                <w:sz w:val="16"/>
                <w:szCs w:val="16"/>
                <w:lang w:val="es-ES"/>
              </w:rPr>
            </w:pPr>
            <w:r w:rsidRPr="0075355B">
              <w:rPr>
                <w:rFonts w:ascii="Verdana" w:eastAsia="Arial" w:hAnsi="Verdana" w:cs="Arial"/>
                <w:color w:val="000000" w:themeColor="text1"/>
                <w:sz w:val="16"/>
                <w:szCs w:val="16"/>
                <w:lang w:val="es-ES"/>
              </w:rPr>
              <w:t>Anamaría Bonilla Prieto</w:t>
            </w:r>
          </w:p>
          <w:p w14:paraId="7AA42C79" w14:textId="77777777" w:rsidR="003E071B" w:rsidRPr="0075355B" w:rsidRDefault="003E071B" w:rsidP="0075355B">
            <w:pPr>
              <w:contextualSpacing/>
              <w:rPr>
                <w:rFonts w:ascii="Verdana" w:eastAsia="Arial" w:hAnsi="Verdana" w:cs="Arial"/>
                <w:sz w:val="16"/>
                <w:szCs w:val="16"/>
                <w:lang w:val="es-ES"/>
              </w:rPr>
            </w:pPr>
            <w:r w:rsidRPr="0075355B">
              <w:rPr>
                <w:rStyle w:val="normaltextrun"/>
                <w:rFonts w:ascii="Verdana" w:eastAsia="Arial" w:hAnsi="Verdana" w:cs="Arial"/>
                <w:color w:val="000000" w:themeColor="text1"/>
                <w:sz w:val="16"/>
                <w:szCs w:val="16"/>
                <w:lang w:val="es-ES"/>
              </w:rPr>
              <w:t xml:space="preserve">Contratista de la Subdirección </w:t>
            </w:r>
            <w:r w:rsidRPr="0075355B">
              <w:rPr>
                <w:rStyle w:val="normaltextrun"/>
                <w:rFonts w:ascii="Verdana" w:eastAsia="Arial" w:hAnsi="Verdana" w:cs="Arial"/>
                <w:sz w:val="16"/>
                <w:szCs w:val="16"/>
                <w:lang w:val="es-ES"/>
              </w:rPr>
              <w:t>de Gestión Contractual</w:t>
            </w:r>
          </w:p>
        </w:tc>
      </w:tr>
      <w:tr w:rsidR="003E071B" w:rsidRPr="0075355B" w14:paraId="29841CCB" w14:textId="77777777" w:rsidTr="0075355B">
        <w:trPr>
          <w:trHeight w:val="330"/>
        </w:trPr>
        <w:tc>
          <w:tcPr>
            <w:tcW w:w="893" w:type="dxa"/>
            <w:vAlign w:val="center"/>
            <w:hideMark/>
          </w:tcPr>
          <w:p w14:paraId="64D71EFC" w14:textId="77777777" w:rsidR="003E071B" w:rsidRPr="0075355B" w:rsidRDefault="003E071B" w:rsidP="0075355B">
            <w:pPr>
              <w:contextualSpacing/>
              <w:rPr>
                <w:rFonts w:ascii="Verdana" w:hAnsi="Verdana" w:cs="Arial"/>
                <w:sz w:val="16"/>
                <w:szCs w:val="16"/>
                <w:lang w:val="es-ES" w:eastAsia="es-ES"/>
              </w:rPr>
            </w:pPr>
            <w:r w:rsidRPr="0075355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BCCA2C8" w14:textId="77777777" w:rsidR="003E071B" w:rsidRPr="0075355B" w:rsidRDefault="003E071B" w:rsidP="0075355B">
            <w:pPr>
              <w:spacing w:line="276" w:lineRule="auto"/>
              <w:contextualSpacing/>
              <w:textAlignment w:val="baseline"/>
              <w:rPr>
                <w:rStyle w:val="normaltextrun"/>
                <w:rFonts w:ascii="Verdana" w:eastAsia="Arial" w:hAnsi="Verdana"/>
                <w:color w:val="000000" w:themeColor="text1"/>
                <w:sz w:val="16"/>
                <w:szCs w:val="16"/>
                <w:lang w:val="es-ES"/>
              </w:rPr>
            </w:pPr>
            <w:r w:rsidRPr="0075355B">
              <w:rPr>
                <w:rStyle w:val="normaltextrun"/>
                <w:rFonts w:ascii="Verdana" w:eastAsia="Arial" w:hAnsi="Verdana"/>
                <w:color w:val="000000" w:themeColor="text1"/>
                <w:sz w:val="16"/>
                <w:szCs w:val="16"/>
                <w:lang w:val="es-ES"/>
              </w:rPr>
              <w:t>Alejandro Sarmiento Cantillo</w:t>
            </w:r>
          </w:p>
          <w:p w14:paraId="648DA872" w14:textId="77777777" w:rsidR="003E071B" w:rsidRPr="0075355B" w:rsidRDefault="003E071B" w:rsidP="0075355B">
            <w:pPr>
              <w:pStyle w:val="paragraph"/>
              <w:spacing w:before="0" w:beforeAutospacing="0" w:after="0" w:afterAutospacing="0"/>
              <w:contextualSpacing/>
              <w:textAlignment w:val="baseline"/>
              <w:rPr>
                <w:rFonts w:ascii="Verdana" w:hAnsi="Verdana" w:cs="Segoe UI"/>
                <w:sz w:val="16"/>
                <w:szCs w:val="16"/>
                <w:lang w:val="es-ES"/>
              </w:rPr>
            </w:pPr>
            <w:r w:rsidRPr="0075355B">
              <w:rPr>
                <w:rStyle w:val="normaltextrun"/>
                <w:rFonts w:ascii="Verdana" w:eastAsia="Arial" w:hAnsi="Verdana"/>
                <w:color w:val="000000" w:themeColor="text1"/>
                <w:sz w:val="16"/>
                <w:szCs w:val="16"/>
                <w:lang w:val="es-ES" w:eastAsia="en-US"/>
              </w:rPr>
              <w:t xml:space="preserve">Gestor T1 – 15 </w:t>
            </w:r>
            <w:r w:rsidRPr="0075355B">
              <w:rPr>
                <w:rStyle w:val="normaltextrun"/>
                <w:rFonts w:ascii="Verdana" w:eastAsia="Arial" w:hAnsi="Verdana" w:cs="Arial"/>
                <w:color w:val="000000" w:themeColor="text1"/>
                <w:sz w:val="16"/>
                <w:szCs w:val="16"/>
                <w:lang w:val="es-ES" w:eastAsia="en-US"/>
              </w:rPr>
              <w:t>de la Subdirección de Gestión Contractual</w:t>
            </w:r>
            <w:r w:rsidRPr="0075355B">
              <w:rPr>
                <w:rStyle w:val="eop"/>
                <w:rFonts w:ascii="Verdana" w:hAnsi="Verdana" w:cs="Arial"/>
                <w:sz w:val="16"/>
                <w:szCs w:val="16"/>
                <w:lang w:val="es-ES"/>
              </w:rPr>
              <w:t> </w:t>
            </w:r>
          </w:p>
        </w:tc>
      </w:tr>
      <w:tr w:rsidR="003E071B" w:rsidRPr="0075355B" w14:paraId="36F1CDA2" w14:textId="77777777" w:rsidTr="0075355B">
        <w:trPr>
          <w:trHeight w:val="300"/>
        </w:trPr>
        <w:tc>
          <w:tcPr>
            <w:tcW w:w="893" w:type="dxa"/>
            <w:vAlign w:val="center"/>
          </w:tcPr>
          <w:p w14:paraId="4C51697E" w14:textId="77777777" w:rsidR="003E071B" w:rsidRPr="0075355B" w:rsidRDefault="003E071B" w:rsidP="0075355B">
            <w:pPr>
              <w:contextualSpacing/>
              <w:rPr>
                <w:rFonts w:ascii="Verdana" w:hAnsi="Verdana" w:cs="Arial"/>
                <w:sz w:val="16"/>
                <w:szCs w:val="16"/>
                <w:lang w:val="es-ES" w:eastAsia="es-ES"/>
              </w:rPr>
            </w:pPr>
            <w:r w:rsidRPr="0075355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A48E721" w14:textId="77777777" w:rsidR="003E071B" w:rsidRPr="0075355B" w:rsidRDefault="003E071B" w:rsidP="0075355B">
            <w:pPr>
              <w:contextualSpacing/>
              <w:rPr>
                <w:rFonts w:ascii="Verdana" w:eastAsia="Calibri" w:hAnsi="Verdana" w:cs="Arial"/>
                <w:sz w:val="16"/>
                <w:szCs w:val="16"/>
                <w:lang w:val="es-ES" w:eastAsia="es-ES"/>
              </w:rPr>
            </w:pPr>
            <w:r w:rsidRPr="0075355B">
              <w:rPr>
                <w:rFonts w:ascii="Verdana" w:eastAsia="Calibri" w:hAnsi="Verdana" w:cs="Arial"/>
                <w:sz w:val="16"/>
                <w:szCs w:val="16"/>
                <w:lang w:val="es-ES" w:eastAsia="es-ES"/>
              </w:rPr>
              <w:t>Carolina Quintero Gacharná</w:t>
            </w:r>
          </w:p>
          <w:p w14:paraId="09D7CD76" w14:textId="77777777" w:rsidR="003E071B" w:rsidRPr="0075355B" w:rsidRDefault="003E071B" w:rsidP="0075355B">
            <w:pPr>
              <w:contextualSpacing/>
              <w:rPr>
                <w:rFonts w:ascii="Verdana" w:eastAsia="Calibri" w:hAnsi="Verdana" w:cs="Arial"/>
                <w:sz w:val="16"/>
                <w:szCs w:val="16"/>
                <w:lang w:val="es-ES" w:eastAsia="es-ES"/>
              </w:rPr>
            </w:pPr>
            <w:r w:rsidRPr="0075355B">
              <w:rPr>
                <w:rFonts w:ascii="Verdana" w:eastAsia="Calibri" w:hAnsi="Verdana" w:cs="Arial"/>
                <w:sz w:val="16"/>
                <w:szCs w:val="16"/>
                <w:lang w:val="es-ES" w:eastAsia="es-ES"/>
              </w:rPr>
              <w:t>Subdirectora de Gestión Contractual ANCP – CCE</w:t>
            </w:r>
          </w:p>
        </w:tc>
      </w:tr>
    </w:tbl>
    <w:p w14:paraId="756A884E" w14:textId="21FE1D9F" w:rsidR="003E071B" w:rsidRPr="0075355B" w:rsidRDefault="003E071B" w:rsidP="003E071B">
      <w:pPr>
        <w:spacing w:after="0" w:line="276" w:lineRule="auto"/>
        <w:jc w:val="center"/>
        <w:rPr>
          <w:lang w:val="es-ES"/>
        </w:rPr>
      </w:pPr>
    </w:p>
    <w:p w14:paraId="12FC0AFB" w14:textId="77777777" w:rsidR="003E071B" w:rsidRPr="0075355B" w:rsidRDefault="003E071B" w:rsidP="003E071B">
      <w:pPr>
        <w:spacing w:after="0" w:line="240" w:lineRule="auto"/>
        <w:textAlignment w:val="baseline"/>
        <w:rPr>
          <w:rFonts w:ascii="Verdana" w:eastAsia="Times New Roman" w:hAnsi="Verdana" w:cs="Segoe UI"/>
          <w:b/>
          <w:bCs/>
          <w:color w:val="46589C"/>
          <w:lang w:val="es-ES" w:eastAsia="es-CO"/>
        </w:rPr>
      </w:pPr>
    </w:p>
    <w:p w14:paraId="6A3DEF5C" w14:textId="77777777" w:rsidR="003E071B" w:rsidRPr="0075355B" w:rsidRDefault="003E071B" w:rsidP="003E071B">
      <w:pPr>
        <w:rPr>
          <w:lang w:val="es-ES"/>
        </w:rPr>
      </w:pPr>
    </w:p>
    <w:p w14:paraId="651494C1" w14:textId="77777777" w:rsidR="003E071B" w:rsidRPr="0075355B" w:rsidRDefault="003E071B" w:rsidP="003E071B">
      <w:pPr>
        <w:rPr>
          <w:lang w:val="es-ES"/>
        </w:rPr>
      </w:pPr>
    </w:p>
    <w:p w14:paraId="619BA560" w14:textId="77777777" w:rsidR="003E071B" w:rsidRPr="0075355B" w:rsidRDefault="003E071B" w:rsidP="003E071B">
      <w:pPr>
        <w:rPr>
          <w:lang w:val="es-ES"/>
        </w:rPr>
      </w:pPr>
    </w:p>
    <w:p w14:paraId="2B2437FB" w14:textId="77777777" w:rsidR="003E071B" w:rsidRPr="0075355B" w:rsidRDefault="003E071B" w:rsidP="003E071B">
      <w:pPr>
        <w:rPr>
          <w:lang w:val="es-ES"/>
        </w:rPr>
      </w:pPr>
    </w:p>
    <w:p w14:paraId="27846570" w14:textId="77777777" w:rsidR="003E071B" w:rsidRPr="0075355B" w:rsidRDefault="003E071B" w:rsidP="003E071B">
      <w:pPr>
        <w:rPr>
          <w:lang w:val="es-ES"/>
        </w:rPr>
      </w:pPr>
    </w:p>
    <w:p w14:paraId="0F293BF4" w14:textId="77DC284F" w:rsidR="00127233" w:rsidRPr="0075355B" w:rsidRDefault="00127233" w:rsidP="00425DF0">
      <w:pPr>
        <w:rPr>
          <w:lang w:val="es-ES"/>
        </w:rPr>
      </w:pPr>
    </w:p>
    <w:sectPr w:rsidR="00127233" w:rsidRPr="0075355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E88CF" w14:textId="77777777" w:rsidR="00FE63F4" w:rsidRDefault="00FE63F4" w:rsidP="004A1847">
      <w:pPr>
        <w:spacing w:after="0" w:line="240" w:lineRule="auto"/>
      </w:pPr>
      <w:r>
        <w:separator/>
      </w:r>
    </w:p>
  </w:endnote>
  <w:endnote w:type="continuationSeparator" w:id="0">
    <w:p w14:paraId="6EC24EFF" w14:textId="77777777" w:rsidR="00FE63F4" w:rsidRDefault="00FE63F4" w:rsidP="004A1847">
      <w:pPr>
        <w:spacing w:after="0" w:line="240" w:lineRule="auto"/>
      </w:pPr>
      <w:r>
        <w:continuationSeparator/>
      </w:r>
    </w:p>
  </w:endnote>
  <w:endnote w:type="continuationNotice" w:id="1">
    <w:p w14:paraId="33809F63" w14:textId="77777777" w:rsidR="00FE63F4" w:rsidRDefault="00FE63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C7CD30" w14:textId="77777777" w:rsidR="00FE63F4" w:rsidRDefault="00FE63F4" w:rsidP="004A1847">
      <w:pPr>
        <w:spacing w:after="0" w:line="240" w:lineRule="auto"/>
      </w:pPr>
      <w:r>
        <w:separator/>
      </w:r>
    </w:p>
  </w:footnote>
  <w:footnote w:type="continuationSeparator" w:id="0">
    <w:p w14:paraId="4FB32408" w14:textId="77777777" w:rsidR="00FE63F4" w:rsidRDefault="00FE63F4" w:rsidP="004A1847">
      <w:pPr>
        <w:spacing w:after="0" w:line="240" w:lineRule="auto"/>
      </w:pPr>
      <w:r>
        <w:continuationSeparator/>
      </w:r>
    </w:p>
  </w:footnote>
  <w:footnote w:type="continuationNotice" w:id="1">
    <w:p w14:paraId="39047181" w14:textId="77777777" w:rsidR="00FE63F4" w:rsidRDefault="00FE63F4">
      <w:pPr>
        <w:spacing w:after="0" w:line="240" w:lineRule="auto"/>
      </w:pPr>
    </w:p>
  </w:footnote>
  <w:footnote w:id="2">
    <w:p w14:paraId="39AE0447" w14:textId="77777777" w:rsidR="003E071B" w:rsidRPr="00591347" w:rsidRDefault="003E071B" w:rsidP="003E071B">
      <w:pPr>
        <w:spacing w:after="0"/>
        <w:ind w:firstLine="708"/>
        <w:jc w:val="both"/>
        <w:rPr>
          <w:rFonts w:ascii="Verdana" w:hAnsi="Verdana" w:cs="Arial"/>
          <w:sz w:val="16"/>
          <w:szCs w:val="16"/>
        </w:rPr>
      </w:pPr>
      <w:r w:rsidRPr="00591347">
        <w:rPr>
          <w:rStyle w:val="FootnoteReferenc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63E6F0E1" w14:textId="77777777" w:rsidR="003E071B" w:rsidRPr="00591347" w:rsidRDefault="003E071B" w:rsidP="003E071B">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2DB3E6D1" w14:textId="77777777" w:rsidR="003E071B" w:rsidRPr="00591347" w:rsidRDefault="003E071B" w:rsidP="003E071B">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69AABC29" w14:textId="77777777" w:rsidR="003E071B" w:rsidRPr="00591347" w:rsidRDefault="003E071B" w:rsidP="003E071B">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560161BC" w14:textId="77777777" w:rsidR="003E071B" w:rsidRPr="00591347" w:rsidRDefault="003E071B" w:rsidP="003E071B">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0E0F5845" w14:textId="77777777" w:rsidR="003E071B" w:rsidRPr="00591347" w:rsidRDefault="003E071B" w:rsidP="003E071B">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7DBA02EA" w14:textId="77777777" w:rsidR="003E071B" w:rsidRPr="00591347" w:rsidRDefault="003E071B" w:rsidP="003E071B">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640EBF85" w14:textId="77777777" w:rsidR="003E071B" w:rsidRPr="00591347" w:rsidRDefault="003E071B" w:rsidP="003E071B">
      <w:pPr>
        <w:pStyle w:val="FootnoteText"/>
        <w:ind w:firstLine="709"/>
        <w:jc w:val="both"/>
        <w:rPr>
          <w:rFonts w:ascii="Verdana" w:hAnsi="Verdana"/>
          <w:sz w:val="16"/>
          <w:szCs w:val="16"/>
          <w:lang w:val="es-CO"/>
        </w:rPr>
      </w:pPr>
      <w:r w:rsidRPr="00591347">
        <w:rPr>
          <w:rStyle w:val="FootnoteReferenc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24D63C8A" w14:textId="77777777" w:rsidR="003E071B" w:rsidRPr="00591347" w:rsidRDefault="003E071B" w:rsidP="003E071B">
      <w:pPr>
        <w:pStyle w:val="FootnoteText"/>
        <w:ind w:firstLine="709"/>
        <w:jc w:val="both"/>
        <w:rPr>
          <w:rFonts w:ascii="Verdana" w:hAnsi="Verdana"/>
          <w:sz w:val="16"/>
          <w:szCs w:val="16"/>
          <w:lang w:val="es-CO"/>
        </w:rPr>
      </w:pPr>
      <w:r w:rsidRPr="00591347">
        <w:rPr>
          <w:rStyle w:val="FootnoteReference"/>
          <w:rFonts w:ascii="Verdana" w:hAnsi="Verdana"/>
          <w:sz w:val="16"/>
          <w:szCs w:val="16"/>
        </w:rPr>
        <w:footnoteRef/>
      </w:r>
      <w:r w:rsidRPr="00591347">
        <w:rPr>
          <w:rFonts w:ascii="Verdana" w:hAnsi="Verdana"/>
          <w:sz w:val="16"/>
          <w:szCs w:val="16"/>
        </w:rPr>
        <w:t xml:space="preserve"> </w:t>
      </w:r>
      <w:r w:rsidRPr="00591347">
        <w:rPr>
          <w:rFonts w:ascii="Verdana" w:hAnsi="Verdana"/>
          <w:b/>
          <w:bCs/>
          <w:sz w:val="16"/>
          <w:szCs w:val="16"/>
          <w:lang w:val="es-CO"/>
        </w:rPr>
        <w:t xml:space="preserve"> </w:t>
      </w:r>
      <w:r w:rsidRPr="00591347">
        <w:rPr>
          <w:rFonts w:ascii="Verdana" w:hAnsi="Verdana"/>
          <w:sz w:val="16"/>
          <w:szCs w:val="16"/>
          <w:lang w:val="es-CO"/>
        </w:rPr>
        <w:t xml:space="preserve">Artículo 85.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 Los actos o contratos que expidan o celebren los ejecutores se regirán po</w:t>
      </w:r>
      <w:r w:rsidRPr="00591347">
        <w:rPr>
          <w:rFonts w:ascii="Verdana" w:hAnsi="Verdana"/>
          <w:color w:val="000000" w:themeColor="text1"/>
          <w:sz w:val="16"/>
          <w:szCs w:val="16"/>
          <w:lang w:val="es-CO"/>
        </w:rPr>
        <w:t xml:space="preserve">r las normas presupuestales contenidas en la presente ley, </w:t>
      </w:r>
      <w:r w:rsidRPr="00591347">
        <w:rPr>
          <w:rFonts w:ascii="Verdana" w:hAnsi="Verdana"/>
          <w:i/>
          <w:iCs/>
          <w:color w:val="000000" w:themeColor="text1"/>
          <w:sz w:val="16"/>
          <w:szCs w:val="16"/>
          <w:lang w:val="es-CO"/>
        </w:rPr>
        <w:t>el Estatuto de Contratación Estatal</w:t>
      </w:r>
      <w:r w:rsidRPr="00591347">
        <w:rPr>
          <w:rFonts w:ascii="Verdana" w:hAnsi="Verdana"/>
          <w:color w:val="000000" w:themeColor="text1"/>
          <w:sz w:val="16"/>
          <w:szCs w:val="16"/>
          <w:lang w:val="es-CO"/>
        </w:rPr>
        <w:t>, los Decretos </w:t>
      </w:r>
      <w:hyperlink r:id="rId5" w:anchor="INICIO" w:history="1">
        <w:r w:rsidRPr="00591347">
          <w:rPr>
            <w:rStyle w:val="Hyperlink"/>
            <w:rFonts w:ascii="Verdana" w:hAnsi="Verdana"/>
            <w:color w:val="000000" w:themeColor="text1"/>
            <w:sz w:val="16"/>
            <w:szCs w:val="16"/>
            <w:lang w:val="es-CO"/>
          </w:rPr>
          <w:t>1088</w:t>
        </w:r>
      </w:hyperlink>
      <w:r w:rsidRPr="00591347">
        <w:rPr>
          <w:rFonts w:ascii="Verdana" w:hAnsi="Verdana"/>
          <w:color w:val="000000" w:themeColor="text1"/>
          <w:sz w:val="16"/>
          <w:szCs w:val="16"/>
          <w:lang w:val="es-CO"/>
        </w:rPr>
        <w:t> de 1993 y </w:t>
      </w:r>
      <w:hyperlink r:id="rId6" w:anchor="INICIO" w:history="1">
        <w:r w:rsidRPr="00591347">
          <w:rPr>
            <w:rStyle w:val="Hyperlink"/>
            <w:rFonts w:ascii="Verdana" w:hAnsi="Verdana"/>
            <w:color w:val="000000" w:themeColor="text1"/>
            <w:sz w:val="16"/>
            <w:szCs w:val="16"/>
            <w:lang w:val="es-CO"/>
          </w:rPr>
          <w:t>252</w:t>
        </w:r>
      </w:hyperlink>
      <w:r w:rsidRPr="00591347">
        <w:rPr>
          <w:rFonts w:ascii="Verdana" w:hAnsi="Verdana"/>
          <w:color w:val="000000" w:themeColor="text1"/>
          <w:sz w:val="16"/>
          <w:szCs w:val="16"/>
          <w:lang w:val="es-CO"/>
        </w:rPr>
        <w:t> de 2020, las normas contables que para este efecto defina la Contaduría General de la Nación y las demás disposiciones complementarias</w:t>
      </w:r>
      <w:r w:rsidRPr="00591347">
        <w:rPr>
          <w:rFonts w:ascii="Verdana" w:hAnsi="Verdana"/>
          <w:sz w:val="16"/>
          <w:szCs w:val="16"/>
          <w:lang w:val="es-CO"/>
        </w:rPr>
        <w:t>.</w:t>
      </w:r>
    </w:p>
  </w:footnote>
  <w:footnote w:id="5">
    <w:p w14:paraId="49DD5133" w14:textId="77777777" w:rsidR="003E071B" w:rsidRPr="00591347" w:rsidRDefault="003E071B" w:rsidP="003E071B">
      <w:pPr>
        <w:pStyle w:val="FootnoteText"/>
        <w:ind w:firstLine="709"/>
        <w:jc w:val="both"/>
        <w:rPr>
          <w:rFonts w:ascii="Verdana" w:hAnsi="Verdana"/>
          <w:sz w:val="16"/>
          <w:szCs w:val="16"/>
          <w:lang w:val="es-CO"/>
        </w:rPr>
      </w:pPr>
      <w:r w:rsidRPr="00591347">
        <w:rPr>
          <w:rStyle w:val="FootnoteReferenc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4A80EDEA" w14:textId="77777777" w:rsidR="003E071B" w:rsidRPr="00591347" w:rsidRDefault="003E071B" w:rsidP="003E071B">
      <w:pPr>
        <w:pStyle w:val="FootnoteText"/>
        <w:ind w:firstLine="709"/>
        <w:jc w:val="both"/>
        <w:rPr>
          <w:rFonts w:ascii="Verdana" w:hAnsi="Verdana"/>
          <w:sz w:val="16"/>
          <w:szCs w:val="16"/>
          <w:lang w:val="es-CO"/>
        </w:rPr>
      </w:pPr>
      <w:r w:rsidRPr="00591347">
        <w:rPr>
          <w:rStyle w:val="FootnoteReference"/>
          <w:rFonts w:ascii="Verdana" w:hAnsi="Verdana"/>
          <w:sz w:val="16"/>
          <w:szCs w:val="16"/>
        </w:rPr>
        <w:footnoteRef/>
      </w:r>
      <w:r w:rsidRPr="00591347">
        <w:rPr>
          <w:rFonts w:ascii="Verdana" w:hAnsi="Verdana"/>
          <w:sz w:val="16"/>
          <w:szCs w:val="16"/>
        </w:rPr>
        <w:t xml:space="preserve"> </w:t>
      </w:r>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Ejecución De Recursos.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7">
    <w:p w14:paraId="4F34026C" w14:textId="77777777" w:rsidR="003E071B" w:rsidRPr="00591347" w:rsidRDefault="003E071B" w:rsidP="003E071B">
      <w:pPr>
        <w:pStyle w:val="FootnoteText"/>
        <w:ind w:firstLine="709"/>
        <w:rPr>
          <w:rFonts w:ascii="Verdana" w:hAnsi="Verdana"/>
          <w:sz w:val="16"/>
          <w:szCs w:val="16"/>
          <w:lang w:val="es-CO"/>
        </w:rPr>
      </w:pPr>
      <w:r w:rsidRPr="00591347">
        <w:rPr>
          <w:rStyle w:val="FootnoteReferenc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8">
    <w:p w14:paraId="194DCFF7" w14:textId="77777777" w:rsidR="003E071B" w:rsidRPr="00591347" w:rsidRDefault="003E071B" w:rsidP="003E071B">
      <w:pPr>
        <w:pStyle w:val="FootnoteText"/>
        <w:ind w:firstLine="709"/>
        <w:jc w:val="both"/>
        <w:rPr>
          <w:rFonts w:ascii="Verdana" w:hAnsi="Verdana"/>
          <w:sz w:val="16"/>
          <w:szCs w:val="16"/>
          <w:lang w:val="es-CO"/>
        </w:rPr>
      </w:pPr>
      <w:r w:rsidRPr="00591347">
        <w:rPr>
          <w:rStyle w:val="FootnoteReference"/>
          <w:rFonts w:ascii="Verdana" w:hAnsi="Verdana"/>
          <w:sz w:val="16"/>
          <w:szCs w:val="16"/>
        </w:rPr>
        <w:footnoteRef/>
      </w:r>
      <w:r w:rsidRPr="00591347">
        <w:rPr>
          <w:rFonts w:ascii="Verdana" w:hAnsi="Verdana"/>
          <w:sz w:val="16"/>
          <w:szCs w:val="16"/>
        </w:rPr>
        <w:t xml:space="preserve"> </w:t>
      </w:r>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 xml:space="preserve">Ejecución De Recursos.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9">
    <w:p w14:paraId="592FEB54" w14:textId="77777777" w:rsidR="003E071B" w:rsidRPr="00591347" w:rsidRDefault="003E071B" w:rsidP="003E071B">
      <w:pPr>
        <w:pStyle w:val="FootnoteText"/>
        <w:ind w:firstLine="709"/>
        <w:jc w:val="both"/>
        <w:rPr>
          <w:rFonts w:ascii="Verdana" w:hAnsi="Verdana"/>
          <w:sz w:val="16"/>
          <w:szCs w:val="16"/>
          <w:lang w:val="es-CO"/>
        </w:rPr>
      </w:pPr>
      <w:r w:rsidRPr="00591347">
        <w:rPr>
          <w:rStyle w:val="FootnoteReferenc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10">
    <w:p w14:paraId="1E63E2FD" w14:textId="77777777" w:rsidR="003E071B" w:rsidRPr="00591347" w:rsidRDefault="003E071B" w:rsidP="003E071B">
      <w:pPr>
        <w:pStyle w:val="FootnoteText"/>
        <w:ind w:firstLine="709"/>
        <w:jc w:val="both"/>
        <w:rPr>
          <w:rFonts w:ascii="Verdana" w:hAnsi="Verdana"/>
          <w:sz w:val="16"/>
          <w:szCs w:val="16"/>
          <w:lang w:val="es-CO"/>
        </w:rPr>
      </w:pPr>
      <w:r w:rsidRPr="00591347">
        <w:rPr>
          <w:rStyle w:val="FootnoteReferenc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7" w:history="1">
        <w:r w:rsidRPr="00591347">
          <w:rPr>
            <w:rStyle w:val="Hyperlink"/>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07" type="#_x0000_t75" style="width:15.35pt;height:15.3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6A3F"/>
    <w:rsid w:val="00127233"/>
    <w:rsid w:val="0015699B"/>
    <w:rsid w:val="00177157"/>
    <w:rsid w:val="001A33BF"/>
    <w:rsid w:val="001E4177"/>
    <w:rsid w:val="001E5754"/>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28A7"/>
    <w:rsid w:val="0030657A"/>
    <w:rsid w:val="00311B69"/>
    <w:rsid w:val="00322A85"/>
    <w:rsid w:val="00324168"/>
    <w:rsid w:val="00330834"/>
    <w:rsid w:val="003448F4"/>
    <w:rsid w:val="00374F5E"/>
    <w:rsid w:val="00377E3E"/>
    <w:rsid w:val="003A779E"/>
    <w:rsid w:val="003B1773"/>
    <w:rsid w:val="003C7EF4"/>
    <w:rsid w:val="003D0F4D"/>
    <w:rsid w:val="003D5B0D"/>
    <w:rsid w:val="003E0499"/>
    <w:rsid w:val="003E071B"/>
    <w:rsid w:val="003E4F80"/>
    <w:rsid w:val="003E6439"/>
    <w:rsid w:val="003F3941"/>
    <w:rsid w:val="00406575"/>
    <w:rsid w:val="00406B46"/>
    <w:rsid w:val="00414C74"/>
    <w:rsid w:val="00425DF0"/>
    <w:rsid w:val="0042722E"/>
    <w:rsid w:val="0043658C"/>
    <w:rsid w:val="0044528D"/>
    <w:rsid w:val="00462F48"/>
    <w:rsid w:val="00466E39"/>
    <w:rsid w:val="004A1847"/>
    <w:rsid w:val="004A305D"/>
    <w:rsid w:val="004F21C4"/>
    <w:rsid w:val="004F685F"/>
    <w:rsid w:val="00516B72"/>
    <w:rsid w:val="00554C1F"/>
    <w:rsid w:val="005566E8"/>
    <w:rsid w:val="00567379"/>
    <w:rsid w:val="00571374"/>
    <w:rsid w:val="00574867"/>
    <w:rsid w:val="00581508"/>
    <w:rsid w:val="00591460"/>
    <w:rsid w:val="005A65E0"/>
    <w:rsid w:val="005B0D1A"/>
    <w:rsid w:val="005B321A"/>
    <w:rsid w:val="005C3777"/>
    <w:rsid w:val="005C5CDC"/>
    <w:rsid w:val="005D476C"/>
    <w:rsid w:val="006200BF"/>
    <w:rsid w:val="006219F8"/>
    <w:rsid w:val="006302F7"/>
    <w:rsid w:val="00646B9F"/>
    <w:rsid w:val="00661661"/>
    <w:rsid w:val="00665D70"/>
    <w:rsid w:val="006900D9"/>
    <w:rsid w:val="00706C16"/>
    <w:rsid w:val="007340C3"/>
    <w:rsid w:val="00745B85"/>
    <w:rsid w:val="00751EE6"/>
    <w:rsid w:val="0075235A"/>
    <w:rsid w:val="0075355B"/>
    <w:rsid w:val="00756841"/>
    <w:rsid w:val="007649AB"/>
    <w:rsid w:val="00771D0C"/>
    <w:rsid w:val="00774760"/>
    <w:rsid w:val="007833AC"/>
    <w:rsid w:val="007B268C"/>
    <w:rsid w:val="007B7171"/>
    <w:rsid w:val="007C0C0F"/>
    <w:rsid w:val="007C3DC2"/>
    <w:rsid w:val="007E5497"/>
    <w:rsid w:val="00802B55"/>
    <w:rsid w:val="00806F5F"/>
    <w:rsid w:val="00820278"/>
    <w:rsid w:val="00822EBE"/>
    <w:rsid w:val="008258C9"/>
    <w:rsid w:val="00840D7F"/>
    <w:rsid w:val="00844AE9"/>
    <w:rsid w:val="00867F95"/>
    <w:rsid w:val="00873252"/>
    <w:rsid w:val="008843B6"/>
    <w:rsid w:val="00891928"/>
    <w:rsid w:val="008A38F4"/>
    <w:rsid w:val="008A446D"/>
    <w:rsid w:val="008B25F1"/>
    <w:rsid w:val="008D180B"/>
    <w:rsid w:val="008F0EA7"/>
    <w:rsid w:val="008F44B1"/>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CFF"/>
    <w:rsid w:val="00A17F13"/>
    <w:rsid w:val="00A20739"/>
    <w:rsid w:val="00A23AF9"/>
    <w:rsid w:val="00A272F8"/>
    <w:rsid w:val="00A33C78"/>
    <w:rsid w:val="00A40AE0"/>
    <w:rsid w:val="00A43FBA"/>
    <w:rsid w:val="00AB0ADB"/>
    <w:rsid w:val="00AE6069"/>
    <w:rsid w:val="00B00C0E"/>
    <w:rsid w:val="00B01B1A"/>
    <w:rsid w:val="00B0381D"/>
    <w:rsid w:val="00B44A47"/>
    <w:rsid w:val="00B72CD3"/>
    <w:rsid w:val="00B72FFF"/>
    <w:rsid w:val="00BA4B2D"/>
    <w:rsid w:val="00BC3D36"/>
    <w:rsid w:val="00BC7CA0"/>
    <w:rsid w:val="00BD4448"/>
    <w:rsid w:val="00BD54A6"/>
    <w:rsid w:val="00BD7F72"/>
    <w:rsid w:val="00BF7425"/>
    <w:rsid w:val="00C04FB3"/>
    <w:rsid w:val="00C11D8B"/>
    <w:rsid w:val="00C15139"/>
    <w:rsid w:val="00C330EB"/>
    <w:rsid w:val="00C50D69"/>
    <w:rsid w:val="00C5365C"/>
    <w:rsid w:val="00C5423E"/>
    <w:rsid w:val="00C754BE"/>
    <w:rsid w:val="00C76B1C"/>
    <w:rsid w:val="00C85B10"/>
    <w:rsid w:val="00C925AC"/>
    <w:rsid w:val="00C956BB"/>
    <w:rsid w:val="00CA35B0"/>
    <w:rsid w:val="00CB51ED"/>
    <w:rsid w:val="00CB6357"/>
    <w:rsid w:val="00CC1B26"/>
    <w:rsid w:val="00CD459B"/>
    <w:rsid w:val="00D3051E"/>
    <w:rsid w:val="00D361FD"/>
    <w:rsid w:val="00D423A2"/>
    <w:rsid w:val="00D44E26"/>
    <w:rsid w:val="00D520D8"/>
    <w:rsid w:val="00D63AC2"/>
    <w:rsid w:val="00D7383B"/>
    <w:rsid w:val="00D74645"/>
    <w:rsid w:val="00D7788A"/>
    <w:rsid w:val="00DA231B"/>
    <w:rsid w:val="00DC39FC"/>
    <w:rsid w:val="00DD7B38"/>
    <w:rsid w:val="00DF5254"/>
    <w:rsid w:val="00E02524"/>
    <w:rsid w:val="00E16408"/>
    <w:rsid w:val="00E20894"/>
    <w:rsid w:val="00E245AB"/>
    <w:rsid w:val="00E2764C"/>
    <w:rsid w:val="00E27F2E"/>
    <w:rsid w:val="00E32B88"/>
    <w:rsid w:val="00E463B2"/>
    <w:rsid w:val="00E50AFE"/>
    <w:rsid w:val="00E75C92"/>
    <w:rsid w:val="00E771DC"/>
    <w:rsid w:val="00E8772A"/>
    <w:rsid w:val="00E90F6B"/>
    <w:rsid w:val="00E92C27"/>
    <w:rsid w:val="00EA0E3D"/>
    <w:rsid w:val="00EA7A4A"/>
    <w:rsid w:val="00EC38A7"/>
    <w:rsid w:val="00EE1AA8"/>
    <w:rsid w:val="00EE62EE"/>
    <w:rsid w:val="00F23FEA"/>
    <w:rsid w:val="00F31EDC"/>
    <w:rsid w:val="00F462B3"/>
    <w:rsid w:val="00F5664F"/>
    <w:rsid w:val="00F666C4"/>
    <w:rsid w:val="00F76AFC"/>
    <w:rsid w:val="00F90AE4"/>
    <w:rsid w:val="00FA47C0"/>
    <w:rsid w:val="00FB5DD1"/>
    <w:rsid w:val="00FC2B5D"/>
    <w:rsid w:val="00FE63F4"/>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A84FEC1"/>
    <w:rsid w:val="3C591AFD"/>
    <w:rsid w:val="42183F0A"/>
    <w:rsid w:val="545B112A"/>
    <w:rsid w:val="5BEB1497"/>
    <w:rsid w:val="623EFBB3"/>
    <w:rsid w:val="69614A15"/>
    <w:rsid w:val="708A71E7"/>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0D3A078-6824-0E4C-B735-4FEE8D10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3E071B"/>
    <w:pPr>
      <w:spacing w:after="0"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3E071B"/>
    <w:rPr>
      <w:rFonts w:ascii="Geomanist Light" w:hAnsi="Geomanist Light"/>
      <w:lang w:val="es-ES"/>
    </w:rPr>
  </w:style>
  <w:style w:type="character" w:customStyle="1" w:styleId="baj">
    <w:name w:val="b_aj"/>
    <w:basedOn w:val="DefaultParagraphFont"/>
    <w:rsid w:val="003E071B"/>
  </w:style>
  <w:style w:type="character" w:styleId="CommentReference">
    <w:name w:val="annotation reference"/>
    <w:basedOn w:val="DefaultParagraphFont"/>
    <w:uiPriority w:val="99"/>
    <w:semiHidden/>
    <w:unhideWhenUsed/>
    <w:rsid w:val="00CA35B0"/>
    <w:rPr>
      <w:sz w:val="16"/>
      <w:szCs w:val="16"/>
    </w:rPr>
  </w:style>
  <w:style w:type="paragraph" w:styleId="CommentText">
    <w:name w:val="annotation text"/>
    <w:basedOn w:val="Normal"/>
    <w:link w:val="CommentTextChar"/>
    <w:uiPriority w:val="99"/>
    <w:unhideWhenUsed/>
    <w:rsid w:val="00CA35B0"/>
    <w:pPr>
      <w:spacing w:line="240" w:lineRule="auto"/>
    </w:pPr>
    <w:rPr>
      <w:sz w:val="20"/>
      <w:szCs w:val="20"/>
    </w:rPr>
  </w:style>
  <w:style w:type="character" w:customStyle="1" w:styleId="CommentTextChar">
    <w:name w:val="Comment Text Char"/>
    <w:basedOn w:val="DefaultParagraphFont"/>
    <w:link w:val="CommentText"/>
    <w:uiPriority w:val="99"/>
    <w:rsid w:val="00CA35B0"/>
    <w:rPr>
      <w:sz w:val="20"/>
      <w:szCs w:val="20"/>
    </w:rPr>
  </w:style>
  <w:style w:type="paragraph" w:styleId="CommentSubject">
    <w:name w:val="annotation subject"/>
    <w:basedOn w:val="CommentText"/>
    <w:next w:val="CommentText"/>
    <w:link w:val="CommentSubjectChar"/>
    <w:uiPriority w:val="99"/>
    <w:semiHidden/>
    <w:unhideWhenUsed/>
    <w:rsid w:val="00CA35B0"/>
    <w:rPr>
      <w:b/>
      <w:bCs/>
    </w:rPr>
  </w:style>
  <w:style w:type="character" w:customStyle="1" w:styleId="CommentSubjectChar">
    <w:name w:val="Comment Subject Char"/>
    <w:basedOn w:val="CommentTextChar"/>
    <w:link w:val="CommentSubject"/>
    <w:uiPriority w:val="99"/>
    <w:semiHidden/>
    <w:rsid w:val="00CA35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iro.bacca@casanare.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7"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6" Type="http://schemas.openxmlformats.org/officeDocument/2006/relationships/hyperlink" Target="http://www.secretariasenado.gov.co/senado/basedoc/decreto_0252_2020.html" TargetMode="External"/><Relationship Id="rId5" Type="http://schemas.openxmlformats.org/officeDocument/2006/relationships/hyperlink" Target="http://www.secretariasenado.gov.co/senado/basedoc/decreto_1088_1993.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0089C9-A093-4A5C-B661-C7B4D8BC6E6F}"/>
</file>

<file path=customXml/itemProps4.xml><?xml version="1.0" encoding="utf-8"?>
<ds:datastoreItem xmlns:ds="http://schemas.openxmlformats.org/officeDocument/2006/customXml" ds:itemID="{FBC76DF5-E860-504D-807A-5B7FFE4E07AA}">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5911</Words>
  <Characters>33694</Characters>
  <Application>Microsoft Office Word</Application>
  <DocSecurity>0</DocSecurity>
  <Lines>280</Lines>
  <Paragraphs>79</Paragraphs>
  <ScaleCrop>false</ScaleCrop>
  <Company/>
  <LinksUpToDate>false</LinksUpToDate>
  <CharactersWithSpaces>39526</CharactersWithSpaces>
  <SharedDoc>false</SharedDoc>
  <HLinks>
    <vt:vector size="78" baseType="variant">
      <vt:variant>
        <vt:i4>2424881</vt:i4>
      </vt:variant>
      <vt:variant>
        <vt:i4>15</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12</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9</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6</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6422595</vt:i4>
      </vt:variant>
      <vt:variant>
        <vt:i4>0</vt:i4>
      </vt:variant>
      <vt:variant>
        <vt:i4>0</vt:i4>
      </vt:variant>
      <vt:variant>
        <vt:i4>5</vt:i4>
      </vt:variant>
      <vt:variant>
        <vt:lpwstr>mailto:jairo.bacca@casanare.gov.co</vt:lpwstr>
      </vt:variant>
      <vt:variant>
        <vt:lpwstr/>
      </vt:variant>
      <vt:variant>
        <vt:i4>1376329</vt:i4>
      </vt:variant>
      <vt:variant>
        <vt:i4>18</vt:i4>
      </vt:variant>
      <vt:variant>
        <vt:i4>0</vt:i4>
      </vt:variant>
      <vt:variant>
        <vt:i4>5</vt:i4>
      </vt:variant>
      <vt:variant>
        <vt:lpwstr>https://leyes.senado.gov.co/proyectos/index.php/proyectos-ley/cuatrenio-2018-2022/2020-2021/article/200-por-el-cual-se-regula-la-organizacion-y-el-funcionamiento-del-sistema-general-de-regalias-mensaje-de-urgencia</vt:lpwstr>
      </vt:variant>
      <vt:variant>
        <vt:lpwstr/>
      </vt:variant>
      <vt:variant>
        <vt:i4>5570640</vt:i4>
      </vt:variant>
      <vt:variant>
        <vt:i4>15</vt:i4>
      </vt:variant>
      <vt:variant>
        <vt:i4>0</vt:i4>
      </vt:variant>
      <vt:variant>
        <vt:i4>5</vt:i4>
      </vt:variant>
      <vt:variant>
        <vt:lpwstr>http://www.secretariasenado.gov.co/senado/basedoc/decreto_0252_2020.html</vt:lpwstr>
      </vt:variant>
      <vt:variant>
        <vt:lpwstr>INICIO</vt:lpwstr>
      </vt:variant>
      <vt:variant>
        <vt:i4>5570646</vt:i4>
      </vt:variant>
      <vt:variant>
        <vt:i4>12</vt:i4>
      </vt:variant>
      <vt:variant>
        <vt:i4>0</vt:i4>
      </vt:variant>
      <vt:variant>
        <vt:i4>5</vt:i4>
      </vt:variant>
      <vt:variant>
        <vt:lpwstr>http://www.secretariasenado.gov.co/senado/basedoc/decreto_1088_1993.html</vt:lpwstr>
      </vt:variant>
      <vt:variant>
        <vt:lpwstr>INICIO</vt:lpwstr>
      </vt:variant>
      <vt:variant>
        <vt:i4>65552</vt:i4>
      </vt:variant>
      <vt:variant>
        <vt:i4>9</vt:i4>
      </vt:variant>
      <vt:variant>
        <vt:i4>0</vt:i4>
      </vt:variant>
      <vt:variant>
        <vt:i4>5</vt:i4>
      </vt:variant>
      <vt:variant>
        <vt:lpwstr>http://www.secretariasenado.gov.co/senado/basedoc/ley_2056_2020.html</vt:lpwstr>
      </vt:variant>
      <vt:variant>
        <vt:lpwstr>36</vt:lpwstr>
      </vt:variant>
      <vt:variant>
        <vt:i4>131088</vt:i4>
      </vt:variant>
      <vt:variant>
        <vt:i4>6</vt:i4>
      </vt:variant>
      <vt:variant>
        <vt:i4>0</vt:i4>
      </vt:variant>
      <vt:variant>
        <vt:i4>5</vt:i4>
      </vt:variant>
      <vt:variant>
        <vt:lpwstr>http://www.secretariasenado.gov.co/senado/basedoc/ley_2056_2020.html</vt:lpwstr>
      </vt:variant>
      <vt:variant>
        <vt:lpwstr>35</vt:lpwstr>
      </vt:variant>
      <vt:variant>
        <vt:i4>65552</vt:i4>
      </vt:variant>
      <vt:variant>
        <vt:i4>3</vt:i4>
      </vt:variant>
      <vt:variant>
        <vt:i4>0</vt:i4>
      </vt:variant>
      <vt:variant>
        <vt:i4>5</vt:i4>
      </vt:variant>
      <vt:variant>
        <vt:lpwstr>http://www.secretariasenado.gov.co/senado/basedoc/ley_2056_2020.html</vt:lpwstr>
      </vt:variant>
      <vt:variant>
        <vt:lpwstr>36</vt:lpwstr>
      </vt:variant>
      <vt:variant>
        <vt:i4>131088</vt:i4>
      </vt:variant>
      <vt:variant>
        <vt:i4>0</vt:i4>
      </vt:variant>
      <vt:variant>
        <vt:i4>0</vt:i4>
      </vt:variant>
      <vt:variant>
        <vt:i4>5</vt:i4>
      </vt:variant>
      <vt:variant>
        <vt:lpwstr>http://www.secretariasenado.gov.co/senado/basedoc/ley_2056_2020.html</vt:lpwstr>
      </vt:variant>
      <vt:variant>
        <vt:lpwstr>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2026-09-18T02:23:00Z</dcterms:created>
  <dcterms:modified xsi:type="dcterms:W3CDTF">2026-09-18T02:23:00Z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