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C8834" w14:textId="77777777" w:rsidR="001B177F" w:rsidRPr="001B177F" w:rsidRDefault="001B177F" w:rsidP="00A3207B">
      <w:pPr>
        <w:jc w:val="both"/>
        <w:rPr>
          <w:rFonts w:ascii="Verdana" w:eastAsia="Verdana" w:hAnsi="Verdana" w:cs="Verdana"/>
          <w:b/>
          <w:bCs/>
          <w:sz w:val="22"/>
          <w:szCs w:val="22"/>
          <w:lang w:val="es-ES" w:eastAsia="en-US"/>
        </w:rPr>
      </w:pPr>
      <w:bookmarkStart w:id="0" w:name="_Hlk143780582"/>
      <w:r w:rsidRPr="001B177F">
        <w:rPr>
          <w:rFonts w:ascii="Verdana" w:eastAsia="Verdana" w:hAnsi="Verdana" w:cs="Verdana"/>
          <w:b/>
          <w:bCs/>
          <w:sz w:val="22"/>
          <w:szCs w:val="22"/>
          <w:lang w:val="es-ES" w:eastAsia="en-US"/>
        </w:rPr>
        <w:t xml:space="preserve">SISTEMA GENERAL DE REGALÍAS – Proyectos de inversión – Comunidades negras, afrocolombianas, raizales y palenqueras – Asignaciones Directas – Asignación para la Inversión Local </w:t>
      </w:r>
    </w:p>
    <w:p w14:paraId="37107D3C" w14:textId="77777777" w:rsidR="001B177F" w:rsidRPr="001B177F" w:rsidRDefault="001B177F" w:rsidP="00A3207B">
      <w:pPr>
        <w:jc w:val="both"/>
        <w:rPr>
          <w:rFonts w:ascii="Verdana" w:eastAsia="Verdana" w:hAnsi="Verdana" w:cs="Verdana"/>
          <w:b/>
          <w:bCs/>
          <w:sz w:val="22"/>
          <w:szCs w:val="22"/>
          <w:lang w:val="es-ES" w:eastAsia="en-US"/>
        </w:rPr>
      </w:pPr>
    </w:p>
    <w:p w14:paraId="5D633F32" w14:textId="77777777" w:rsidR="00337EB7" w:rsidRDefault="00337EB7" w:rsidP="00A3207B">
      <w:pPr>
        <w:jc w:val="both"/>
        <w:rPr>
          <w:rFonts w:ascii="Verdana" w:eastAsia="Verdana" w:hAnsi="Verdana" w:cs="Verdana"/>
          <w:sz w:val="20"/>
          <w:szCs w:val="20"/>
          <w:lang w:val="es-ES" w:eastAsia="en-US"/>
        </w:rPr>
      </w:pPr>
      <w:r w:rsidRPr="00337EB7">
        <w:rPr>
          <w:rFonts w:ascii="Verdana" w:eastAsia="Verdana" w:hAnsi="Verdana" w:cs="Verdana"/>
          <w:sz w:val="20"/>
          <w:szCs w:val="20"/>
          <w:lang w:val="es-ES" w:eastAsia="en-US"/>
        </w:rPr>
        <w:t xml:space="preserve">Sistema General de Regalías. La Ley 2056 de 2020 “por la cual se regula la organización y el funcionamiento del Sistema General de Regalías”, establece las reglas relativas a la distribución y destinación de sus recursos, así como a la formulación, viabilidad, priorización, aprobación y ejecución de los proyectos de inversión financiados con estos recursos. Dentro de esta estructura, el legislador incorporó disposiciones específicas dirigidas a garantizar la participación de los pueblos y comunidades étnicas en los recursos del Sistema, atendiendo a sus particularidades organizativas, territoriales y culturales.   </w:t>
      </w:r>
    </w:p>
    <w:p w14:paraId="54B83C5B" w14:textId="77777777" w:rsidR="00337EB7" w:rsidRPr="00337EB7" w:rsidRDefault="00337EB7" w:rsidP="00A3207B">
      <w:pPr>
        <w:jc w:val="both"/>
        <w:rPr>
          <w:rFonts w:ascii="Verdana" w:eastAsia="Verdana" w:hAnsi="Verdana" w:cs="Verdana"/>
          <w:sz w:val="20"/>
          <w:szCs w:val="20"/>
          <w:lang w:val="es-ES" w:eastAsia="en-US"/>
        </w:rPr>
      </w:pPr>
    </w:p>
    <w:p w14:paraId="437C560D" w14:textId="77777777" w:rsidR="00337EB7" w:rsidRPr="00337EB7" w:rsidRDefault="00337EB7" w:rsidP="00A3207B">
      <w:pPr>
        <w:jc w:val="both"/>
        <w:rPr>
          <w:rFonts w:ascii="Verdana" w:eastAsia="Verdana" w:hAnsi="Verdana" w:cs="Verdana"/>
          <w:sz w:val="20"/>
          <w:szCs w:val="20"/>
          <w:lang w:val="es-ES" w:eastAsia="en-US"/>
        </w:rPr>
      </w:pPr>
      <w:r w:rsidRPr="00337EB7">
        <w:rPr>
          <w:rFonts w:ascii="Verdana" w:eastAsia="Verdana" w:hAnsi="Verdana" w:cs="Verdana"/>
          <w:sz w:val="20"/>
          <w:szCs w:val="20"/>
          <w:lang w:val="es-ES" w:eastAsia="en-US"/>
        </w:rPr>
        <w:t>Conforme a lo anterior, esta ley contempla diferentes asignaciones, entre ellas las Asignaciones Directas, la Asignación para la Inversión Local y la Asignación para la Inversión Regional. A partir de este sistema, se establecieron destinaciones específicas para financiar proyectos de inversión con enfoque diferencial étnico. En efecto, no todos los recursos dirigidos a pueblos y comunidades étnicas provienen de una misma asignación ni se sujetan exactamente al mismo procedimiento para efectos de su formulación, viabilidad, priorización, aprobación y ejecución. De esta manera, la financiación de proyectos destinados a pueblos y comunidades étnicas puede provenir de dos fuentes, por una parte, la destinación específica dentro de las Asignaciones Directas (art. 71) y, por otro lado, dentro de ciertos porcentajes destinados a estos pueblos y comunidades dentro de la Asignación para la Inversión Local.</w:t>
      </w:r>
    </w:p>
    <w:p w14:paraId="57CCC654" w14:textId="77777777" w:rsidR="001B177F" w:rsidRPr="001B177F" w:rsidRDefault="001B177F" w:rsidP="00A3207B">
      <w:pPr>
        <w:jc w:val="both"/>
        <w:rPr>
          <w:rFonts w:ascii="Verdana" w:eastAsia="Verdana" w:hAnsi="Verdana" w:cs="Verdana"/>
          <w:b/>
          <w:bCs/>
          <w:sz w:val="22"/>
          <w:szCs w:val="22"/>
          <w:lang w:val="es-ES" w:eastAsia="en-US"/>
        </w:rPr>
      </w:pPr>
    </w:p>
    <w:p w14:paraId="6410C971" w14:textId="77777777" w:rsidR="001B177F" w:rsidRPr="001B177F" w:rsidRDefault="001B177F" w:rsidP="00A3207B">
      <w:pPr>
        <w:jc w:val="both"/>
        <w:rPr>
          <w:rFonts w:ascii="Verdana" w:eastAsia="Verdana" w:hAnsi="Verdana" w:cs="Verdana"/>
          <w:b/>
          <w:bCs/>
          <w:sz w:val="22"/>
          <w:szCs w:val="22"/>
          <w:lang w:val="es-ES" w:eastAsia="en-US"/>
        </w:rPr>
      </w:pPr>
      <w:r w:rsidRPr="001B177F">
        <w:rPr>
          <w:rFonts w:ascii="Verdana" w:eastAsia="Verdana" w:hAnsi="Verdana" w:cs="Verdana"/>
          <w:b/>
          <w:bCs/>
          <w:sz w:val="22"/>
          <w:szCs w:val="22"/>
          <w:lang w:val="es-ES" w:eastAsia="en-US"/>
        </w:rPr>
        <w:t xml:space="preserve">CONVENIOS DE FORMALIZACIÓN – Artículo 101 de la Ley 2056 de 2020 – Régimen especial – Formalización de la entrega del proyecto – Designación de la entidad ejecutora </w:t>
      </w:r>
    </w:p>
    <w:p w14:paraId="4EEFC23B" w14:textId="77777777" w:rsidR="001B177F" w:rsidRPr="001B177F" w:rsidRDefault="001B177F" w:rsidP="00A3207B">
      <w:pPr>
        <w:jc w:val="both"/>
        <w:rPr>
          <w:rFonts w:ascii="Verdana" w:eastAsia="Verdana" w:hAnsi="Verdana" w:cs="Verdana"/>
          <w:b/>
          <w:bCs/>
          <w:sz w:val="22"/>
          <w:szCs w:val="22"/>
          <w:lang w:val="es-ES" w:eastAsia="en-US"/>
        </w:rPr>
      </w:pPr>
    </w:p>
    <w:p w14:paraId="739B4FB8" w14:textId="77777777" w:rsidR="00B01023" w:rsidRDefault="00B01023" w:rsidP="00A3207B">
      <w:pPr>
        <w:jc w:val="both"/>
        <w:rPr>
          <w:rFonts w:ascii="Verdana" w:eastAsia="Verdana" w:hAnsi="Verdana" w:cs="Verdana"/>
          <w:sz w:val="20"/>
          <w:szCs w:val="20"/>
          <w:lang w:val="es-ES" w:eastAsia="en-US"/>
        </w:rPr>
      </w:pPr>
      <w:r w:rsidRPr="00B01023">
        <w:rPr>
          <w:rFonts w:ascii="Verdana" w:eastAsia="Verdana" w:hAnsi="Verdana" w:cs="Verdana"/>
          <w:sz w:val="20"/>
          <w:szCs w:val="20"/>
          <w:lang w:val="es-ES" w:eastAsia="en-US"/>
        </w:rPr>
        <w:t>Ahora bien, para los proyectos de comunidades NARP financiados específicamente con los recursos provenientes de las Asignaciones Directas, la disposición central es el artículo 101. Esta norma desarrolla un procedimiento distinto de aquel previsto para los recursos de la Asignación para la Inversión Local. Conforme a la disposición, los representantes legales de las comunidades realizan las actuaciones de viabilidad, registro, priorización y aprobación de los proyectos de acuerdo con su derecho propio y las normas del Sistema General de Regalías.</w:t>
      </w:r>
    </w:p>
    <w:p w14:paraId="49A596D6" w14:textId="77777777" w:rsidR="00B01023" w:rsidRPr="00B01023" w:rsidRDefault="00B01023" w:rsidP="00A3207B">
      <w:pPr>
        <w:jc w:val="both"/>
        <w:rPr>
          <w:rFonts w:ascii="Verdana" w:eastAsia="Verdana" w:hAnsi="Verdana" w:cs="Verdana"/>
          <w:sz w:val="20"/>
          <w:szCs w:val="20"/>
          <w:lang w:val="es-ES" w:eastAsia="en-US"/>
        </w:rPr>
      </w:pPr>
    </w:p>
    <w:p w14:paraId="284E424D" w14:textId="77777777" w:rsidR="00B01023" w:rsidRDefault="00B01023" w:rsidP="00A3207B">
      <w:pPr>
        <w:jc w:val="both"/>
        <w:rPr>
          <w:rFonts w:ascii="Verdana" w:eastAsia="Verdana" w:hAnsi="Verdana" w:cs="Verdana"/>
          <w:sz w:val="20"/>
          <w:szCs w:val="20"/>
          <w:lang w:val="es-ES" w:eastAsia="en-US"/>
        </w:rPr>
      </w:pPr>
      <w:r w:rsidRPr="00B01023">
        <w:rPr>
          <w:rFonts w:ascii="Verdana" w:eastAsia="Verdana" w:hAnsi="Verdana" w:cs="Verdana"/>
          <w:sz w:val="20"/>
          <w:szCs w:val="20"/>
          <w:lang w:val="es-ES" w:eastAsia="en-US"/>
        </w:rPr>
        <w:t>Una vez aprobado el proyecto, el artículo 101 establece una actuación adicional que resulta característica de este tipo de recursos. Dentro de los dos meses siguientes a la aprobación debe suscribirse un convenio entre el alcalde o gobernador y el representante legal que haya presentado el proyecto, mediante el cual se formaliza su entrega. La ley establece, además, consecuencias frente al incumplimiento de este deber dentro del término señalado, lo que evidencia que la celebración del convenio constituye una etapa expresamente prevista por el legislador dentro del procedimiento aplicable a los proyectos NARP financiados con las Asignaciones Directas.</w:t>
      </w:r>
    </w:p>
    <w:p w14:paraId="21CC8E2A" w14:textId="77777777" w:rsidR="00B01023" w:rsidRPr="00B01023" w:rsidRDefault="00B01023" w:rsidP="00A3207B">
      <w:pPr>
        <w:jc w:val="both"/>
        <w:rPr>
          <w:rFonts w:ascii="Verdana" w:eastAsia="Verdana" w:hAnsi="Verdana" w:cs="Verdana"/>
          <w:sz w:val="20"/>
          <w:szCs w:val="20"/>
          <w:lang w:val="es-ES" w:eastAsia="en-US"/>
        </w:rPr>
      </w:pPr>
    </w:p>
    <w:p w14:paraId="5D525292" w14:textId="77777777" w:rsidR="00B01023" w:rsidRPr="00B01023" w:rsidRDefault="00B01023" w:rsidP="00A3207B">
      <w:pPr>
        <w:jc w:val="both"/>
        <w:rPr>
          <w:rFonts w:ascii="Verdana" w:eastAsia="Verdana" w:hAnsi="Verdana" w:cs="Verdana"/>
          <w:sz w:val="20"/>
          <w:szCs w:val="20"/>
          <w:lang w:val="es-ES" w:eastAsia="en-US"/>
        </w:rPr>
      </w:pPr>
      <w:r w:rsidRPr="00B01023">
        <w:rPr>
          <w:rFonts w:ascii="Verdana" w:eastAsia="Verdana" w:hAnsi="Verdana" w:cs="Verdana"/>
          <w:sz w:val="20"/>
          <w:szCs w:val="20"/>
          <w:lang w:val="es-ES" w:eastAsia="en-US"/>
        </w:rPr>
        <w:t>Después de la formalización de la entrega, la norma dispone que, mediante acto administrativo, el alcalde o gobernador designará la entidad ejecutora, la cual tendrá a su cargo la ejecución del proyecto y la contratación correspondiente. De esta manera, el artículo 101 permite identificar una secuencia normativa propia para los recursos de las Asignaciones Directas destinados a las comunidades NARP: inicialmente se surten las actuaciones relacionadas con la viabilidad, registro, priorización y aprobación del proyecto; posteriormente se formaliza su entrega mediante el convenio previsto por la ley; después se designa al ejecutor mediante acto administrativo; y, finalmente, se desarrolla la etapa de ejecución del proyecto.</w:t>
      </w:r>
    </w:p>
    <w:p w14:paraId="64A0EF22" w14:textId="77777777" w:rsidR="001B177F" w:rsidRPr="001B177F" w:rsidRDefault="001B177F" w:rsidP="00A3207B">
      <w:pPr>
        <w:jc w:val="both"/>
        <w:rPr>
          <w:rFonts w:ascii="Verdana" w:eastAsia="Verdana" w:hAnsi="Verdana" w:cs="Verdana"/>
          <w:b/>
          <w:bCs/>
          <w:sz w:val="22"/>
          <w:szCs w:val="22"/>
          <w:lang w:val="es-ES" w:eastAsia="en-US"/>
        </w:rPr>
      </w:pPr>
    </w:p>
    <w:p w14:paraId="2C0C558F" w14:textId="77777777" w:rsidR="001B177F" w:rsidRPr="001B177F" w:rsidRDefault="001B177F" w:rsidP="00A3207B">
      <w:pPr>
        <w:jc w:val="both"/>
        <w:rPr>
          <w:rFonts w:ascii="Verdana" w:eastAsia="Verdana" w:hAnsi="Verdana" w:cs="Verdana"/>
          <w:b/>
          <w:bCs/>
          <w:sz w:val="22"/>
          <w:szCs w:val="22"/>
          <w:lang w:val="es-ES" w:eastAsia="en-US"/>
        </w:rPr>
      </w:pPr>
      <w:r w:rsidRPr="001B177F">
        <w:rPr>
          <w:rFonts w:ascii="Verdana" w:eastAsia="Verdana" w:hAnsi="Verdana" w:cs="Verdana"/>
          <w:b/>
          <w:bCs/>
          <w:sz w:val="22"/>
          <w:szCs w:val="22"/>
          <w:lang w:val="es-ES" w:eastAsia="en-US"/>
        </w:rPr>
        <w:t xml:space="preserve">EJECUCIÓN DE PROYECTOS DE INVERSIÓN – Entidad ejecutora – Régimen de contratación pública – Estatuto General de Contratación de la Administración Pública </w:t>
      </w:r>
    </w:p>
    <w:p w14:paraId="2767ECC4" w14:textId="77777777" w:rsidR="001B177F" w:rsidRPr="001B177F" w:rsidRDefault="001B177F" w:rsidP="00A3207B">
      <w:pPr>
        <w:jc w:val="both"/>
        <w:rPr>
          <w:rFonts w:ascii="Verdana" w:eastAsia="Verdana" w:hAnsi="Verdana" w:cs="Verdana"/>
          <w:b/>
          <w:bCs/>
          <w:sz w:val="22"/>
          <w:szCs w:val="22"/>
          <w:lang w:val="es-ES" w:eastAsia="en-US"/>
        </w:rPr>
      </w:pPr>
    </w:p>
    <w:p w14:paraId="51AB4114" w14:textId="77777777" w:rsidR="00A5140C" w:rsidRDefault="00A5140C" w:rsidP="00A3207B">
      <w:pPr>
        <w:jc w:val="both"/>
        <w:rPr>
          <w:rFonts w:ascii="Verdana" w:eastAsia="Verdana" w:hAnsi="Verdana" w:cs="Verdana"/>
          <w:sz w:val="20"/>
          <w:szCs w:val="20"/>
          <w:lang w:val="es-ES" w:eastAsia="en-US"/>
        </w:rPr>
      </w:pPr>
      <w:r w:rsidRPr="00A5140C">
        <w:rPr>
          <w:rFonts w:ascii="Verdana" w:eastAsia="Verdana" w:hAnsi="Verdana" w:cs="Verdana"/>
          <w:sz w:val="20"/>
          <w:szCs w:val="20"/>
          <w:lang w:val="es-ES" w:eastAsia="en-US"/>
        </w:rPr>
        <w:t>En concordancia con lo anterior, el artículo 99 dispone expresamente que los actos o contratos que expidan o celebren los ejecutores se regirán por las normas presupuestales contenidas en la Ley 2056 de 2020, el EGCAP, las normas contables aplicables y las demás disposiciones complementarias. Conforme a esto, es diferente el régimen previsto para el convenio de formalización de aquel aplicable a la contratación que posteriormente adelanta la entidad designada como ejecutora.</w:t>
      </w:r>
    </w:p>
    <w:p w14:paraId="1366CF87" w14:textId="77777777" w:rsidR="00A5140C" w:rsidRPr="00A5140C" w:rsidRDefault="00A5140C" w:rsidP="00A3207B">
      <w:pPr>
        <w:jc w:val="both"/>
        <w:rPr>
          <w:rFonts w:ascii="Verdana" w:eastAsia="Verdana" w:hAnsi="Verdana" w:cs="Verdana"/>
          <w:sz w:val="20"/>
          <w:szCs w:val="20"/>
          <w:lang w:val="es-ES" w:eastAsia="en-US"/>
        </w:rPr>
      </w:pPr>
    </w:p>
    <w:p w14:paraId="31EC6BC4" w14:textId="77777777" w:rsidR="00A5140C" w:rsidRPr="00A5140C" w:rsidRDefault="00A5140C" w:rsidP="00A3207B">
      <w:pPr>
        <w:jc w:val="both"/>
        <w:rPr>
          <w:rFonts w:ascii="Verdana" w:eastAsia="Verdana" w:hAnsi="Verdana" w:cs="Verdana"/>
          <w:sz w:val="20"/>
          <w:szCs w:val="20"/>
          <w:lang w:val="es-ES" w:eastAsia="en-US"/>
        </w:rPr>
      </w:pPr>
      <w:r w:rsidRPr="00A5140C">
        <w:rPr>
          <w:rFonts w:ascii="Verdana" w:eastAsia="Verdana" w:hAnsi="Verdana" w:cs="Verdana"/>
          <w:sz w:val="20"/>
          <w:szCs w:val="20"/>
          <w:lang w:val="es-ES" w:eastAsia="en-US"/>
        </w:rPr>
        <w:t xml:space="preserve">En consecuencia, mientras que el convenio de formalización responde a la regulación especial establecida directamente por el artículo 101, que determina sus partes, finalidad, oportunidad y presupuestos de celebración, los actos y contratos que posteriormente celebre la entidad ejecutora para desarrollar materialmente el proyecto se encuentran expresamente sometidos, por disposición de los artículos 98 y 99 de la Ley 2056 de 2020, al régimen de contratación pública y al Estatuto General de Contratación.   </w:t>
      </w:r>
    </w:p>
    <w:p w14:paraId="7817A20D" w14:textId="77777777" w:rsidR="001B177F" w:rsidRPr="001B177F" w:rsidRDefault="001B177F" w:rsidP="00A3207B">
      <w:pPr>
        <w:jc w:val="both"/>
        <w:rPr>
          <w:rFonts w:ascii="Verdana" w:eastAsia="Verdana" w:hAnsi="Verdana" w:cs="Verdana"/>
          <w:b/>
          <w:bCs/>
          <w:sz w:val="22"/>
          <w:szCs w:val="22"/>
          <w:lang w:val="es-ES" w:eastAsia="en-US"/>
        </w:rPr>
      </w:pPr>
    </w:p>
    <w:p w14:paraId="6929AC04" w14:textId="77777777" w:rsidR="001B177F" w:rsidRPr="001B177F" w:rsidRDefault="001B177F" w:rsidP="00A3207B">
      <w:pPr>
        <w:jc w:val="both"/>
        <w:rPr>
          <w:rFonts w:ascii="Verdana" w:eastAsia="Verdana" w:hAnsi="Verdana" w:cs="Verdana"/>
          <w:b/>
          <w:bCs/>
          <w:sz w:val="22"/>
          <w:szCs w:val="22"/>
          <w:lang w:val="es-ES" w:eastAsia="en-US"/>
        </w:rPr>
      </w:pPr>
      <w:r w:rsidRPr="001B177F">
        <w:rPr>
          <w:rFonts w:ascii="Verdana" w:eastAsia="Verdana" w:hAnsi="Verdana" w:cs="Verdana"/>
          <w:b/>
          <w:bCs/>
          <w:sz w:val="22"/>
          <w:szCs w:val="22"/>
          <w:lang w:val="es-ES" w:eastAsia="en-US"/>
        </w:rPr>
        <w:t xml:space="preserve">INHABILIDADES E INCOMPATIBILIDADES – Definición – Finalidad – Limitación de la capacidad contractual – Taxatividad – Principio de legalidad – Interpretación restrictiva </w:t>
      </w:r>
    </w:p>
    <w:p w14:paraId="1B055C49" w14:textId="77777777" w:rsidR="001B177F" w:rsidRPr="001B177F" w:rsidRDefault="001B177F" w:rsidP="00A3207B">
      <w:pPr>
        <w:jc w:val="both"/>
        <w:rPr>
          <w:rFonts w:ascii="Verdana" w:eastAsia="Verdana" w:hAnsi="Verdana" w:cs="Verdana"/>
          <w:b/>
          <w:bCs/>
          <w:sz w:val="22"/>
          <w:szCs w:val="22"/>
          <w:lang w:val="es-ES" w:eastAsia="en-US"/>
        </w:rPr>
      </w:pPr>
    </w:p>
    <w:p w14:paraId="46539921" w14:textId="2AC23B0E" w:rsidR="005063BD" w:rsidRDefault="005063BD" w:rsidP="00A3207B">
      <w:pPr>
        <w:jc w:val="both"/>
        <w:rPr>
          <w:rFonts w:ascii="Verdana" w:eastAsia="Verdana" w:hAnsi="Verdana" w:cs="Verdana"/>
          <w:sz w:val="20"/>
          <w:szCs w:val="20"/>
          <w:lang w:eastAsia="en-US"/>
        </w:rPr>
      </w:pPr>
      <w:r w:rsidRPr="005063BD">
        <w:rPr>
          <w:rFonts w:ascii="Verdana" w:eastAsia="Verdana" w:hAnsi="Verdana" w:cs="Verdana"/>
          <w:sz w:val="20"/>
          <w:szCs w:val="20"/>
          <w:lang w:eastAsia="en-US"/>
        </w:rPr>
        <w:t xml:space="preserve">Las inhabilidades e incompatibilidades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0BCBF43" w14:textId="77777777" w:rsidR="005063BD" w:rsidRPr="005063BD" w:rsidRDefault="005063BD" w:rsidP="00A3207B">
      <w:pPr>
        <w:jc w:val="both"/>
        <w:rPr>
          <w:rFonts w:ascii="Verdana" w:eastAsia="Verdana" w:hAnsi="Verdana" w:cs="Verdana"/>
          <w:sz w:val="20"/>
          <w:szCs w:val="20"/>
          <w:lang w:eastAsia="en-US"/>
        </w:rPr>
      </w:pPr>
    </w:p>
    <w:p w14:paraId="494F8AF1" w14:textId="7B1364FE" w:rsidR="001B177F" w:rsidRPr="005063BD" w:rsidRDefault="005063BD" w:rsidP="00A3207B">
      <w:pPr>
        <w:jc w:val="both"/>
        <w:rPr>
          <w:rFonts w:ascii="Verdana" w:eastAsia="Verdana" w:hAnsi="Verdana" w:cs="Verdana"/>
          <w:sz w:val="20"/>
          <w:szCs w:val="20"/>
          <w:lang w:eastAsia="en-US"/>
        </w:rPr>
      </w:pPr>
      <w:r w:rsidRPr="005063BD">
        <w:rPr>
          <w:rFonts w:ascii="Verdana" w:eastAsia="Verdana" w:hAnsi="Verdana" w:cs="Verdana"/>
          <w:sz w:val="20"/>
          <w:szCs w:val="20"/>
          <w:lang w:eastAsia="en-US"/>
        </w:rPr>
        <w:t xml:space="preserve">El régimen de inhabilidades e incompatibilidades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w:t>
      </w:r>
      <w:r w:rsidRPr="005063BD">
        <w:rPr>
          <w:rFonts w:ascii="Verdana" w:eastAsia="Verdana" w:hAnsi="Verdana" w:cs="Verdana"/>
          <w:sz w:val="20"/>
          <w:szCs w:val="20"/>
          <w:lang w:eastAsia="en-US"/>
        </w:rPr>
        <w:lastRenderedPageBreak/>
        <w:t>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1C595944" w14:textId="77777777" w:rsidR="005063BD" w:rsidRPr="001B177F" w:rsidRDefault="005063BD" w:rsidP="00A3207B">
      <w:pPr>
        <w:jc w:val="both"/>
        <w:rPr>
          <w:rFonts w:ascii="Verdana" w:eastAsia="Verdana" w:hAnsi="Verdana" w:cs="Verdana"/>
          <w:b/>
          <w:bCs/>
          <w:sz w:val="22"/>
          <w:szCs w:val="22"/>
          <w:lang w:val="es-ES" w:eastAsia="en-US"/>
        </w:rPr>
      </w:pPr>
    </w:p>
    <w:p w14:paraId="14ABC72A" w14:textId="77777777" w:rsidR="001B177F" w:rsidRPr="001B177F" w:rsidRDefault="001B177F" w:rsidP="00A3207B">
      <w:pPr>
        <w:jc w:val="both"/>
        <w:rPr>
          <w:rFonts w:ascii="Verdana" w:eastAsia="Verdana" w:hAnsi="Verdana" w:cs="Verdana"/>
          <w:b/>
          <w:bCs/>
          <w:sz w:val="22"/>
          <w:szCs w:val="22"/>
          <w:lang w:val="es-ES_tradnl" w:eastAsia="en-US"/>
        </w:rPr>
      </w:pPr>
      <w:r w:rsidRPr="001B177F">
        <w:rPr>
          <w:rFonts w:ascii="Verdana" w:eastAsia="Verdana" w:hAnsi="Verdana" w:cs="Verdana"/>
          <w:b/>
          <w:bCs/>
          <w:sz w:val="22"/>
          <w:szCs w:val="22"/>
          <w:lang w:val="es-ES_tradnl" w:eastAsia="en-US"/>
        </w:rPr>
        <w:t xml:space="preserve">INHABILIDADES E INCOMPATIBILIDADES – Ley 80 de 1993 – Ley 617 de 2000 – Norma general – Norma especial </w:t>
      </w:r>
    </w:p>
    <w:p w14:paraId="4C283974" w14:textId="77777777" w:rsidR="001B177F" w:rsidRPr="001B177F" w:rsidRDefault="001B177F" w:rsidP="00A3207B">
      <w:pPr>
        <w:jc w:val="both"/>
        <w:rPr>
          <w:rFonts w:ascii="Verdana" w:eastAsia="Verdana" w:hAnsi="Verdana" w:cs="Verdana"/>
          <w:b/>
          <w:bCs/>
          <w:sz w:val="22"/>
          <w:szCs w:val="22"/>
          <w:lang w:val="es-ES_tradnl" w:eastAsia="en-US"/>
        </w:rPr>
      </w:pPr>
    </w:p>
    <w:p w14:paraId="7FC5B064" w14:textId="1D2C9695" w:rsidR="007B5B6F" w:rsidRDefault="007B5B6F" w:rsidP="00A3207B">
      <w:pPr>
        <w:jc w:val="both"/>
        <w:rPr>
          <w:rFonts w:ascii="Verdana" w:eastAsia="Verdana" w:hAnsi="Verdana" w:cs="Verdana"/>
          <w:sz w:val="20"/>
          <w:szCs w:val="20"/>
          <w:lang w:val="es-ES_tradnl" w:eastAsia="en-US"/>
        </w:rPr>
      </w:pPr>
      <w:r w:rsidRPr="007B5B6F">
        <w:rPr>
          <w:rFonts w:ascii="Verdana" w:eastAsia="Verdana" w:hAnsi="Verdana" w:cs="Verdana"/>
          <w:sz w:val="20"/>
          <w:szCs w:val="20"/>
          <w:lang w:val="es-ES_tradnl" w:eastAsia="en-US"/>
        </w:rPr>
        <w:t xml:space="preserve">Antes del 9 de octubre de 2000, la prohibición aplicable sería la del artículo 8, literal b) del numeral 2, de la Ley 80 de 1993, pues es </w:t>
      </w:r>
      <w:r w:rsidRPr="007B5B6F">
        <w:rPr>
          <w:rFonts w:ascii="Verdana" w:eastAsia="Verdana" w:hAnsi="Verdana" w:cs="Verdana"/>
          <w:i/>
          <w:iCs/>
          <w:sz w:val="20"/>
          <w:szCs w:val="20"/>
          <w:lang w:val="es-ES_tradnl" w:eastAsia="en-US"/>
        </w:rPr>
        <w:t>regla general</w:t>
      </w:r>
      <w:r w:rsidRPr="007B5B6F">
        <w:rPr>
          <w:rFonts w:ascii="Verdana" w:eastAsia="Verdana" w:hAnsi="Verdana" w:cs="Verdana"/>
          <w:sz w:val="20"/>
          <w:szCs w:val="20"/>
          <w:lang w:val="es-ES_tradnl" w:eastAsia="en-US"/>
        </w:rPr>
        <w:t xml:space="preserve"> en materia de inhabilidades e incompatibilidades para la contratación de las entidades sometidas a la Ley 80 de 1993. Sin embargo, con el artículo 49 de la Ley 617 surge una </w:t>
      </w:r>
      <w:r w:rsidRPr="007B5B6F">
        <w:rPr>
          <w:rFonts w:ascii="Verdana" w:eastAsia="Verdana" w:hAnsi="Verdana" w:cs="Verdana"/>
          <w:i/>
          <w:iCs/>
          <w:sz w:val="20"/>
          <w:szCs w:val="20"/>
          <w:lang w:val="es-ES_tradnl" w:eastAsia="en-US"/>
        </w:rPr>
        <w:t>regla especial</w:t>
      </w:r>
      <w:r w:rsidRPr="007B5B6F">
        <w:rPr>
          <w:rFonts w:ascii="Verdana" w:eastAsia="Verdana" w:hAnsi="Verdana" w:cs="Verdana"/>
          <w:sz w:val="20"/>
          <w:szCs w:val="20"/>
          <w:lang w:val="es-ES_tradnl" w:eastAsia="en-US"/>
        </w:rPr>
        <w:t>, la cual se ratifica en las modificaciones posteriores del artículo 1º de las Leyes 821 de 2003, 1148 de 2007 y 1296 de 2009. Según esta regla, aunque los alcaldes sea funcionarios del nivel directivo para los efectos del artículo 8, literal b) del numeral 2, de la Ley 80 de 1993,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w:t>
      </w:r>
    </w:p>
    <w:p w14:paraId="6B81251C" w14:textId="77777777" w:rsidR="007B5B6F" w:rsidRPr="007B5B6F" w:rsidRDefault="007B5B6F" w:rsidP="00A3207B">
      <w:pPr>
        <w:jc w:val="both"/>
        <w:rPr>
          <w:rFonts w:ascii="Verdana" w:eastAsia="Verdana" w:hAnsi="Verdana" w:cs="Verdana"/>
          <w:sz w:val="20"/>
          <w:szCs w:val="20"/>
          <w:lang w:val="es-ES_tradnl" w:eastAsia="en-US"/>
        </w:rPr>
      </w:pPr>
    </w:p>
    <w:p w14:paraId="5E0CEDF4" w14:textId="4A54E682" w:rsidR="007B5B6F" w:rsidRDefault="007B5B6F" w:rsidP="00A3207B">
      <w:pPr>
        <w:jc w:val="both"/>
        <w:rPr>
          <w:rFonts w:ascii="Verdana" w:eastAsia="Verdana" w:hAnsi="Verdana" w:cs="Verdana"/>
          <w:sz w:val="20"/>
          <w:szCs w:val="20"/>
          <w:lang w:val="es-ES_tradnl" w:eastAsia="en-US"/>
        </w:rPr>
      </w:pPr>
      <w:r w:rsidRPr="007B5B6F">
        <w:rPr>
          <w:rFonts w:ascii="Verdana" w:eastAsia="Verdana" w:hAnsi="Verdana" w:cs="Verdana"/>
          <w:sz w:val="20"/>
          <w:szCs w:val="20"/>
          <w:lang w:val="es-ES_tradnl" w:eastAsia="en-US"/>
        </w:rPr>
        <w:t xml:space="preserve">Dado que existe un conflicto entre la </w:t>
      </w:r>
      <w:r w:rsidRPr="007B5B6F">
        <w:rPr>
          <w:rFonts w:ascii="Verdana" w:eastAsia="Verdana" w:hAnsi="Verdana" w:cs="Verdana"/>
          <w:i/>
          <w:iCs/>
          <w:sz w:val="20"/>
          <w:szCs w:val="20"/>
          <w:lang w:val="es-ES_tradnl" w:eastAsia="en-US"/>
        </w:rPr>
        <w:t>regla general</w:t>
      </w:r>
      <w:r w:rsidRPr="007B5B6F">
        <w:rPr>
          <w:rFonts w:ascii="Verdana" w:eastAsia="Verdana" w:hAnsi="Verdana" w:cs="Verdana"/>
          <w:sz w:val="20"/>
          <w:szCs w:val="20"/>
          <w:lang w:val="es-ES_tradnl" w:eastAsia="en-US"/>
        </w:rPr>
        <w:t xml:space="preserve"> y la </w:t>
      </w:r>
      <w:r w:rsidRPr="007B5B6F">
        <w:rPr>
          <w:rFonts w:ascii="Verdana" w:eastAsia="Verdana" w:hAnsi="Verdana" w:cs="Verdana"/>
          <w:i/>
          <w:iCs/>
          <w:sz w:val="20"/>
          <w:szCs w:val="20"/>
          <w:lang w:val="es-ES_tradnl" w:eastAsia="en-US"/>
        </w:rPr>
        <w:t>regla especial</w:t>
      </w:r>
      <w:r w:rsidRPr="007B5B6F">
        <w:rPr>
          <w:rFonts w:ascii="Verdana" w:eastAsia="Verdana" w:hAnsi="Verdana" w:cs="Verdana"/>
          <w:sz w:val="20"/>
          <w:szCs w:val="20"/>
          <w:lang w:val="es-ES_tradnl" w:eastAsia="en-US"/>
        </w:rPr>
        <w:t xml:space="preserve">, es necesario resolver el problema con fundamento en el artículo 5.1 de la Ley 57 de 1887. Según esta norma, “[…] Si en los Códigos que se adoptan se hallaren algunas disposiciones incompatibles entre sí […] </w:t>
      </w:r>
      <w:r w:rsidRPr="007B5B6F">
        <w:rPr>
          <w:rFonts w:ascii="Verdana" w:eastAsia="Verdana" w:hAnsi="Verdana" w:cs="Verdana"/>
          <w:i/>
          <w:iCs/>
          <w:sz w:val="20"/>
          <w:szCs w:val="20"/>
          <w:lang w:val="es-ES_tradnl" w:eastAsia="en-US"/>
        </w:rPr>
        <w:t>La disposición relativa a un asunto especial prefiere a la que tenga carácter general</w:t>
      </w:r>
      <w:r w:rsidRPr="007B5B6F">
        <w:rPr>
          <w:rFonts w:ascii="Verdana" w:eastAsia="Verdana" w:hAnsi="Verdana" w:cs="Verdana"/>
          <w:sz w:val="20"/>
          <w:szCs w:val="20"/>
          <w:lang w:val="es-ES_tradnl" w:eastAsia="en-US"/>
        </w:rPr>
        <w:t xml:space="preserve"> […]” (Énfasis fuera de texto). Por tanto, prevalece el artículo 49, inciso tercero, de la Ley 617 de 2000 –</w:t>
      </w:r>
      <w:r w:rsidRPr="007B5B6F">
        <w:rPr>
          <w:rFonts w:ascii="Verdana" w:eastAsia="Verdana" w:hAnsi="Verdana" w:cs="Verdana"/>
          <w:i/>
          <w:iCs/>
          <w:sz w:val="20"/>
          <w:szCs w:val="20"/>
          <w:lang w:val="es-ES_tradnl" w:eastAsia="en-US"/>
        </w:rPr>
        <w:t>regla especial</w:t>
      </w:r>
      <w:r w:rsidRPr="007B5B6F">
        <w:rPr>
          <w:rFonts w:ascii="Verdana" w:eastAsia="Verdana" w:hAnsi="Verdana" w:cs="Verdana"/>
          <w:sz w:val="20"/>
          <w:szCs w:val="20"/>
          <w:lang w:val="es-ES_tradnl" w:eastAsia="en-US"/>
        </w:rPr>
        <w:t>– sobre el artículo 8, literal b) del numeral 2, de la Ley 80 de 1993 –</w:t>
      </w:r>
      <w:r w:rsidRPr="007B5B6F">
        <w:rPr>
          <w:rFonts w:ascii="Verdana" w:eastAsia="Verdana" w:hAnsi="Verdana" w:cs="Verdana"/>
          <w:i/>
          <w:iCs/>
          <w:sz w:val="20"/>
          <w:szCs w:val="20"/>
          <w:lang w:val="es-ES_tradnl" w:eastAsia="en-US"/>
        </w:rPr>
        <w:t>regla general</w:t>
      </w:r>
      <w:r w:rsidRPr="007B5B6F">
        <w:rPr>
          <w:rFonts w:ascii="Verdana" w:eastAsia="Verdana" w:hAnsi="Verdana" w:cs="Verdana"/>
          <w:sz w:val="20"/>
          <w:szCs w:val="20"/>
          <w:lang w:val="es-ES_tradnl" w:eastAsia="en-US"/>
        </w:rPr>
        <w:t xml:space="preserve">–. Esto no significa que la </w:t>
      </w:r>
      <w:r w:rsidRPr="007B5B6F">
        <w:rPr>
          <w:rFonts w:ascii="Verdana" w:eastAsia="Verdana" w:hAnsi="Verdana" w:cs="Verdana"/>
          <w:i/>
          <w:iCs/>
          <w:sz w:val="20"/>
          <w:szCs w:val="20"/>
          <w:lang w:val="es-ES_tradnl" w:eastAsia="en-US"/>
        </w:rPr>
        <w:t>regla general</w:t>
      </w:r>
      <w:r w:rsidRPr="007B5B6F">
        <w:rPr>
          <w:rFonts w:ascii="Verdana" w:eastAsia="Verdana" w:hAnsi="Verdana" w:cs="Verdana"/>
          <w:sz w:val="20"/>
          <w:szCs w:val="20"/>
          <w:lang w:val="es-ES_tradnl" w:eastAsia="en-US"/>
        </w:rPr>
        <w:t xml:space="preserve"> desaparezca definitivamente del ordenamiento jurídico; todo lo contrario, esta aplica en todos los supuestos que regula, con excepción de los previstos en la </w:t>
      </w:r>
      <w:r w:rsidRPr="007B5B6F">
        <w:rPr>
          <w:rFonts w:ascii="Verdana" w:eastAsia="Verdana" w:hAnsi="Verdana" w:cs="Verdana"/>
          <w:i/>
          <w:iCs/>
          <w:sz w:val="20"/>
          <w:szCs w:val="20"/>
          <w:lang w:val="es-ES_tradnl" w:eastAsia="en-US"/>
        </w:rPr>
        <w:t>regla especial</w:t>
      </w:r>
      <w:r w:rsidRPr="007B5B6F">
        <w:rPr>
          <w:rFonts w:ascii="Verdana" w:eastAsia="Verdana" w:hAnsi="Verdana" w:cs="Verdana"/>
          <w:sz w:val="20"/>
          <w:szCs w:val="20"/>
          <w:lang w:val="es-ES_tradnl" w:eastAsia="en-US"/>
        </w:rPr>
        <w:t>. De esta manera, la incompatibilidad del artículo 8, literal b) del numeral 2, de la Ley 80 de 1993 aplica a los funcionarios del nivel directivo de todas las entidades del Estado, excluidas las gobernaciones, asambleas, alcaldías y concejos que se rigen por la restricción del artículo 49, inciso tercero, de la Ley 617 de 2000, pues se trata de una antinomia “total – parcial”.</w:t>
      </w:r>
    </w:p>
    <w:p w14:paraId="5716474C" w14:textId="77777777" w:rsidR="007B5B6F" w:rsidRPr="007B5B6F" w:rsidRDefault="007B5B6F" w:rsidP="00A3207B">
      <w:pPr>
        <w:jc w:val="both"/>
        <w:rPr>
          <w:rFonts w:ascii="Verdana" w:eastAsia="Verdana" w:hAnsi="Verdana" w:cs="Verdana"/>
          <w:sz w:val="20"/>
          <w:szCs w:val="20"/>
          <w:lang w:val="es-ES_tradnl" w:eastAsia="en-US"/>
        </w:rPr>
      </w:pPr>
    </w:p>
    <w:p w14:paraId="31118CC6" w14:textId="1D369750" w:rsidR="007B5B6F" w:rsidRPr="007B5B6F" w:rsidRDefault="007B5B6F" w:rsidP="00A3207B">
      <w:pPr>
        <w:jc w:val="both"/>
        <w:rPr>
          <w:rFonts w:ascii="Verdana" w:eastAsia="Verdana" w:hAnsi="Verdana" w:cs="Verdana"/>
          <w:sz w:val="20"/>
          <w:szCs w:val="20"/>
          <w:lang w:val="es-ES" w:eastAsia="en-US"/>
        </w:rPr>
      </w:pPr>
      <w:r w:rsidRPr="007B5B6F">
        <w:rPr>
          <w:rFonts w:ascii="Verdana" w:eastAsia="Verdana" w:hAnsi="Verdana" w:cs="Verdana"/>
          <w:sz w:val="20"/>
          <w:szCs w:val="20"/>
          <w:lang w:val="es-ES" w:eastAsia="en-US"/>
        </w:rPr>
        <w:t xml:space="preserve">Por ello, considerando que la </w:t>
      </w:r>
      <w:r w:rsidRPr="007B5B6F">
        <w:rPr>
          <w:rFonts w:ascii="Verdana" w:eastAsia="Verdana" w:hAnsi="Verdana" w:cs="Verdana"/>
          <w:i/>
          <w:iCs/>
          <w:sz w:val="20"/>
          <w:szCs w:val="20"/>
          <w:lang w:val="es-ES" w:eastAsia="en-US"/>
        </w:rPr>
        <w:t>regla especial</w:t>
      </w:r>
      <w:r w:rsidRPr="007B5B6F">
        <w:rPr>
          <w:rFonts w:ascii="Verdana" w:eastAsia="Verdana" w:hAnsi="Verdana" w:cs="Verdana"/>
          <w:sz w:val="20"/>
          <w:szCs w:val="20"/>
          <w:lang w:val="es-ES" w:eastAsia="en-US"/>
        </w:rPr>
        <w:t xml:space="preserve"> es posterior, el efecto que produce es el de limitar los efectos de la </w:t>
      </w:r>
      <w:r w:rsidRPr="007B5B6F">
        <w:rPr>
          <w:rFonts w:ascii="Verdana" w:eastAsia="Verdana" w:hAnsi="Verdana" w:cs="Verdana"/>
          <w:i/>
          <w:iCs/>
          <w:sz w:val="20"/>
          <w:szCs w:val="20"/>
          <w:lang w:val="es-ES" w:eastAsia="en-US"/>
        </w:rPr>
        <w:t>regla general</w:t>
      </w:r>
      <w:r w:rsidRPr="007B5B6F">
        <w:rPr>
          <w:rFonts w:ascii="Verdana" w:eastAsia="Verdana" w:hAnsi="Verdana" w:cs="Verdana"/>
          <w:sz w:val="20"/>
          <w:szCs w:val="20"/>
          <w:lang w:val="es-ES" w:eastAsia="en-US"/>
        </w:rPr>
        <w:t xml:space="preserve"> anterior a los casos que no riñan con la primera. Desde esta perspectiva, el criterio de </w:t>
      </w:r>
      <w:r w:rsidRPr="007B5B6F">
        <w:rPr>
          <w:rFonts w:ascii="Verdana" w:eastAsia="Verdana" w:hAnsi="Verdana" w:cs="Verdana"/>
          <w:i/>
          <w:iCs/>
          <w:sz w:val="20"/>
          <w:szCs w:val="20"/>
          <w:lang w:val="es-ES" w:eastAsia="en-US"/>
        </w:rPr>
        <w:t>lex posterior</w:t>
      </w:r>
      <w:r w:rsidRPr="007B5B6F">
        <w:rPr>
          <w:rFonts w:ascii="Verdana" w:eastAsia="Verdana" w:hAnsi="Verdana" w:cs="Verdana"/>
          <w:sz w:val="20"/>
          <w:szCs w:val="20"/>
          <w:lang w:val="es-ES" w:eastAsia="en-US"/>
        </w:rPr>
        <w:t xml:space="preserve"> es un argumento adicional para sostener la prevalencia del artículo 49, inciso tercero, de la Ley 617 de 2000 sobre el artículo 8, literal b) del numeral 2, de la Ley 80 de 1993. Esto en la medida que el artículo 2 de la Ley 153 de 1887 dispone que “La ley posterior prevalece sobre la ley anterior. En caso de que una ley posterior sea contraria a otra anterior, y ambas preexistentes al hecho que se juzga, se aplicará la ley posterior”.</w:t>
      </w:r>
    </w:p>
    <w:p w14:paraId="79821D5B" w14:textId="77777777" w:rsidR="001B177F" w:rsidRPr="007B5B6F" w:rsidRDefault="001B177F" w:rsidP="00A3207B">
      <w:pPr>
        <w:jc w:val="both"/>
        <w:rPr>
          <w:rFonts w:ascii="Verdana" w:eastAsia="Verdana" w:hAnsi="Verdana" w:cs="Verdana"/>
          <w:b/>
          <w:bCs/>
          <w:sz w:val="22"/>
          <w:szCs w:val="22"/>
          <w:lang w:val="es-ES" w:eastAsia="en-US"/>
        </w:rPr>
      </w:pPr>
    </w:p>
    <w:p w14:paraId="142E1C10" w14:textId="1DA3BE94" w:rsidR="001B177F" w:rsidRPr="001B177F" w:rsidRDefault="001B177F" w:rsidP="00A3207B">
      <w:pPr>
        <w:jc w:val="both"/>
        <w:rPr>
          <w:rFonts w:ascii="Verdana" w:eastAsia="Verdana" w:hAnsi="Verdana" w:cs="Verdana"/>
          <w:b/>
          <w:bCs/>
          <w:sz w:val="22"/>
          <w:szCs w:val="22"/>
          <w:lang w:val="es-ES" w:eastAsia="en-US"/>
        </w:rPr>
      </w:pPr>
      <w:r w:rsidRPr="001B177F">
        <w:rPr>
          <w:rFonts w:ascii="Verdana" w:eastAsia="Verdana" w:hAnsi="Verdana" w:cs="Verdana"/>
          <w:b/>
          <w:bCs/>
          <w:sz w:val="22"/>
          <w:szCs w:val="22"/>
          <w:lang w:val="es-ES_tradnl" w:eastAsia="en-US"/>
        </w:rPr>
        <w:lastRenderedPageBreak/>
        <w:t>LEY 617 DE 2000 – Contratación directa e indirecta – inciso tercero del artículo 49 – Alcance – constitucionalidad condicionada – Aplicación – Entidades territoriales</w:t>
      </w:r>
    </w:p>
    <w:p w14:paraId="7A21C54C" w14:textId="77777777" w:rsidR="001B177F" w:rsidRPr="001B177F" w:rsidRDefault="001B177F" w:rsidP="00A3207B">
      <w:pPr>
        <w:rPr>
          <w:rFonts w:ascii="Verdana" w:eastAsia="Verdana" w:hAnsi="Verdana" w:cs="Verdana"/>
          <w:sz w:val="22"/>
          <w:szCs w:val="22"/>
          <w:lang w:val="es-ES" w:eastAsia="en-US"/>
        </w:rPr>
      </w:pPr>
    </w:p>
    <w:p w14:paraId="02281999" w14:textId="77777777" w:rsidR="00A3207B" w:rsidRPr="00A3207B" w:rsidRDefault="00A3207B" w:rsidP="00A3207B">
      <w:pPr>
        <w:jc w:val="both"/>
        <w:rPr>
          <w:rFonts w:ascii="Verdana" w:eastAsia="Verdana" w:hAnsi="Verdana" w:cs="Verdana"/>
          <w:sz w:val="20"/>
          <w:szCs w:val="20"/>
          <w:lang w:val="es-ES_tradnl" w:eastAsia="en-US"/>
        </w:rPr>
      </w:pPr>
      <w:r w:rsidRPr="00A3207B">
        <w:rPr>
          <w:rFonts w:ascii="Verdana" w:eastAsia="Verdana" w:hAnsi="Verdana" w:cs="Verdana"/>
          <w:sz w:val="20"/>
          <w:szCs w:val="20"/>
          <w:lang w:val="es-ES_tradnl" w:eastAsia="en-US"/>
        </w:rPr>
        <w:t>Se encuentra que el artículo 49, inciso tercero, de la Ley 617 de 2000, modificado por las Leyes 821 de 2003, 1148 de 2007 y 1296 de 2009, establece claramente la prohibición que los gobernadores, diputados, alcaldes y concejales celebren contratos para beneficiar a sus parientes hasta el cuarto grado de consanguinidad (</w:t>
      </w:r>
      <w:r w:rsidRPr="00A3207B">
        <w:rPr>
          <w:rFonts w:ascii="Verdana" w:eastAsia="Verdana" w:hAnsi="Verdana" w:cs="Verdana"/>
          <w:sz w:val="20"/>
          <w:szCs w:val="20"/>
          <w:lang w:eastAsia="en-US"/>
        </w:rPr>
        <w:t xml:space="preserve">el </w:t>
      </w:r>
      <w:r w:rsidRPr="00A3207B">
        <w:rPr>
          <w:rFonts w:ascii="Verdana" w:eastAsia="Verdana" w:hAnsi="Verdana" w:cs="Verdana"/>
          <w:bCs/>
          <w:sz w:val="20"/>
          <w:szCs w:val="20"/>
          <w:lang w:eastAsia="en-US"/>
        </w:rPr>
        <w:t>primer grado</w:t>
      </w:r>
      <w:r w:rsidRPr="00A3207B">
        <w:rPr>
          <w:rFonts w:ascii="Verdana" w:eastAsia="Verdana" w:hAnsi="Verdana" w:cs="Verdana"/>
          <w:sz w:val="20"/>
          <w:szCs w:val="20"/>
          <w:lang w:eastAsia="en-US"/>
        </w:rPr>
        <w:t xml:space="preserve"> son padres e hijos; el </w:t>
      </w:r>
      <w:r w:rsidRPr="00A3207B">
        <w:rPr>
          <w:rFonts w:ascii="Verdana" w:eastAsia="Verdana" w:hAnsi="Verdana" w:cs="Verdana"/>
          <w:bCs/>
          <w:sz w:val="20"/>
          <w:szCs w:val="20"/>
          <w:lang w:eastAsia="en-US"/>
        </w:rPr>
        <w:t>segundo</w:t>
      </w:r>
      <w:r w:rsidRPr="00A3207B">
        <w:rPr>
          <w:rFonts w:ascii="Verdana" w:eastAsia="Verdana" w:hAnsi="Verdana" w:cs="Verdana"/>
          <w:sz w:val="20"/>
          <w:szCs w:val="20"/>
          <w:lang w:eastAsia="en-US"/>
        </w:rPr>
        <w:t xml:space="preserve"> son hermanos, abuelos y nietos; el </w:t>
      </w:r>
      <w:r w:rsidRPr="00A3207B">
        <w:rPr>
          <w:rFonts w:ascii="Verdana" w:eastAsia="Verdana" w:hAnsi="Verdana" w:cs="Verdana"/>
          <w:bCs/>
          <w:sz w:val="20"/>
          <w:szCs w:val="20"/>
          <w:lang w:eastAsia="en-US"/>
        </w:rPr>
        <w:t xml:space="preserve">tercero </w:t>
      </w:r>
      <w:r w:rsidRPr="00A3207B">
        <w:rPr>
          <w:rFonts w:ascii="Verdana" w:eastAsia="Verdana" w:hAnsi="Verdana" w:cs="Verdana"/>
          <w:sz w:val="20"/>
          <w:szCs w:val="20"/>
          <w:lang w:eastAsia="en-US"/>
        </w:rPr>
        <w:t>incluye tíos, sobrinos, bisabuelos y bisnietos; y el </w:t>
      </w:r>
      <w:r w:rsidRPr="00A3207B">
        <w:rPr>
          <w:rFonts w:ascii="Verdana" w:eastAsia="Verdana" w:hAnsi="Verdana" w:cs="Verdana"/>
          <w:bCs/>
          <w:sz w:val="20"/>
          <w:szCs w:val="20"/>
          <w:lang w:eastAsia="en-US"/>
        </w:rPr>
        <w:t>cuarto</w:t>
      </w:r>
      <w:r w:rsidRPr="00A3207B">
        <w:rPr>
          <w:rFonts w:ascii="Verdana" w:eastAsia="Verdana" w:hAnsi="Verdana" w:cs="Verdana"/>
          <w:sz w:val="20"/>
          <w:szCs w:val="20"/>
          <w:lang w:eastAsia="en-US"/>
        </w:rPr>
        <w:t> son primos hermanos y tíos abuelos)</w:t>
      </w:r>
      <w:r w:rsidRPr="00A3207B">
        <w:rPr>
          <w:rFonts w:ascii="Verdana" w:eastAsia="Verdana" w:hAnsi="Verdana" w:cs="Verdana"/>
          <w:sz w:val="20"/>
          <w:szCs w:val="20"/>
          <w:lang w:val="es-ES_tradnl" w:eastAsia="en-US"/>
        </w:rPr>
        <w:t xml:space="preserve">, segundo de afinidad </w:t>
      </w:r>
      <w:r w:rsidRPr="00A3207B">
        <w:rPr>
          <w:rFonts w:ascii="Verdana" w:eastAsia="Verdana" w:hAnsi="Verdana" w:cs="Verdana"/>
          <w:sz w:val="20"/>
          <w:szCs w:val="20"/>
          <w:lang w:eastAsia="en-US"/>
        </w:rPr>
        <w:t xml:space="preserve"> (suegros, hijos de la cónyuge, abuelos del cónyuge, nietos del cónyuge, cuñados)</w:t>
      </w:r>
      <w:r w:rsidRPr="00A3207B">
        <w:rPr>
          <w:rFonts w:ascii="Verdana" w:eastAsia="Verdana" w:hAnsi="Verdana" w:cs="Verdana"/>
          <w:sz w:val="20"/>
          <w:szCs w:val="20"/>
          <w:lang w:val="es-ES_tradnl" w:eastAsia="en-US"/>
        </w:rPr>
        <w:t xml:space="preserve">, primera de civil, cónyuges y compañeros permanentes, directa o indirectamente. Dado que pueden actuar en calidad socios o representantes legales de la empresa que contrata con el departamento, distrito o municipio, o con sus entidades descentralizadas, la incompatibilidad aplica a quienes tengan ambas calidades. Esto en la medida que, conforme a lo explicado en este concepto, la norma prohíbe toda forma de gestión contractual directa o indirecta, esto es, encubierta realizada subrepticiamente a través de terceras personas, salvo </w:t>
      </w:r>
      <w:r w:rsidRPr="00A3207B">
        <w:rPr>
          <w:rFonts w:ascii="Verdana" w:eastAsia="Verdana" w:hAnsi="Verdana" w:cs="Verdana"/>
          <w:bCs/>
          <w:sz w:val="20"/>
          <w:szCs w:val="20"/>
          <w:lang w:eastAsia="en-US"/>
        </w:rPr>
        <w:t xml:space="preserve">a aquellos contratos por medio de los cuales la administración ofrece, en igualdad de condiciones, a todos los ciudadanos y personas, un determinado bien o servicio, en desarrollo de sus funciones constitucionales y legales, tal y como sucede por ejemplo, con la prestación de los servicios públicos, pues en tal caso la incompatibilidad es irrazonable, de acuerdo a lo expresado por la Corte Constitucional en las sentencias precitadas. </w:t>
      </w:r>
      <w:r w:rsidRPr="00A3207B">
        <w:rPr>
          <w:rFonts w:ascii="Verdana" w:eastAsia="Verdana" w:hAnsi="Verdana" w:cs="Verdana"/>
          <w:sz w:val="20"/>
          <w:szCs w:val="20"/>
          <w:lang w:val="es-ES_tradnl" w:eastAsia="en-US"/>
        </w:rPr>
        <w:t xml:space="preserve"> </w:t>
      </w:r>
    </w:p>
    <w:p w14:paraId="5C72C68E" w14:textId="77777777" w:rsidR="001B177F" w:rsidRPr="00A3207B" w:rsidRDefault="001B177F" w:rsidP="00A3207B">
      <w:pPr>
        <w:rPr>
          <w:rFonts w:ascii="Verdana" w:eastAsia="Verdana" w:hAnsi="Verdana" w:cs="Verdana"/>
          <w:sz w:val="22"/>
          <w:szCs w:val="22"/>
          <w:lang w:val="es-ES_tradnl" w:eastAsia="en-US"/>
        </w:rPr>
      </w:pPr>
    </w:p>
    <w:p w14:paraId="14559308" w14:textId="77777777" w:rsidR="001B177F" w:rsidRDefault="001B177F" w:rsidP="00A3207B">
      <w:pPr>
        <w:rPr>
          <w:rFonts w:ascii="Verdana" w:eastAsia="Verdana" w:hAnsi="Verdana" w:cs="Verdana"/>
          <w:sz w:val="22"/>
          <w:szCs w:val="22"/>
          <w:lang w:eastAsia="en-US"/>
        </w:rPr>
      </w:pPr>
    </w:p>
    <w:p w14:paraId="344B928C" w14:textId="77777777" w:rsidR="00A3207B" w:rsidRDefault="00A3207B" w:rsidP="00A3207B">
      <w:pPr>
        <w:rPr>
          <w:rFonts w:ascii="Verdana" w:eastAsia="Verdana" w:hAnsi="Verdana" w:cs="Verdana"/>
          <w:sz w:val="22"/>
          <w:szCs w:val="22"/>
          <w:lang w:eastAsia="en-US"/>
        </w:rPr>
      </w:pPr>
    </w:p>
    <w:p w14:paraId="4525DDE5" w14:textId="77777777" w:rsidR="00A3207B" w:rsidRDefault="00A3207B" w:rsidP="00A3207B">
      <w:pPr>
        <w:rPr>
          <w:rFonts w:ascii="Verdana" w:eastAsia="Verdana" w:hAnsi="Verdana" w:cs="Verdana"/>
          <w:sz w:val="22"/>
          <w:szCs w:val="22"/>
          <w:lang w:eastAsia="en-US"/>
        </w:rPr>
      </w:pPr>
    </w:p>
    <w:p w14:paraId="1F7E712C" w14:textId="77777777" w:rsidR="00A3207B" w:rsidRDefault="00A3207B" w:rsidP="00A3207B">
      <w:pPr>
        <w:rPr>
          <w:rFonts w:ascii="Verdana" w:eastAsia="Verdana" w:hAnsi="Verdana" w:cs="Verdana"/>
          <w:sz w:val="22"/>
          <w:szCs w:val="22"/>
          <w:lang w:eastAsia="en-US"/>
        </w:rPr>
      </w:pPr>
    </w:p>
    <w:p w14:paraId="34187475" w14:textId="77777777" w:rsidR="00A3207B" w:rsidRDefault="00A3207B" w:rsidP="00A3207B">
      <w:pPr>
        <w:rPr>
          <w:rFonts w:ascii="Verdana" w:eastAsia="Verdana" w:hAnsi="Verdana" w:cs="Verdana"/>
          <w:sz w:val="22"/>
          <w:szCs w:val="22"/>
          <w:lang w:eastAsia="en-US"/>
        </w:rPr>
      </w:pPr>
    </w:p>
    <w:p w14:paraId="78A08E79" w14:textId="77777777" w:rsidR="00A3207B" w:rsidRDefault="00A3207B" w:rsidP="00A3207B">
      <w:pPr>
        <w:rPr>
          <w:rFonts w:ascii="Verdana" w:eastAsia="Verdana" w:hAnsi="Verdana" w:cs="Verdana"/>
          <w:sz w:val="22"/>
          <w:szCs w:val="22"/>
          <w:lang w:eastAsia="en-US"/>
        </w:rPr>
      </w:pPr>
    </w:p>
    <w:p w14:paraId="45736D4B" w14:textId="77777777" w:rsidR="00A3207B" w:rsidRDefault="00A3207B" w:rsidP="00A3207B">
      <w:pPr>
        <w:rPr>
          <w:rFonts w:ascii="Verdana" w:eastAsia="Verdana" w:hAnsi="Verdana" w:cs="Verdana"/>
          <w:sz w:val="22"/>
          <w:szCs w:val="22"/>
          <w:lang w:eastAsia="en-US"/>
        </w:rPr>
      </w:pPr>
    </w:p>
    <w:p w14:paraId="194E226A" w14:textId="77777777" w:rsidR="00A3207B" w:rsidRDefault="00A3207B" w:rsidP="00A3207B">
      <w:pPr>
        <w:rPr>
          <w:rFonts w:ascii="Verdana" w:eastAsia="Verdana" w:hAnsi="Verdana" w:cs="Verdana"/>
          <w:sz w:val="22"/>
          <w:szCs w:val="22"/>
          <w:lang w:eastAsia="en-US"/>
        </w:rPr>
      </w:pPr>
    </w:p>
    <w:p w14:paraId="21D9FD8B" w14:textId="77777777" w:rsidR="00A3207B" w:rsidRDefault="00A3207B" w:rsidP="00A3207B">
      <w:pPr>
        <w:rPr>
          <w:rFonts w:ascii="Verdana" w:eastAsia="Verdana" w:hAnsi="Verdana" w:cs="Verdana"/>
          <w:sz w:val="22"/>
          <w:szCs w:val="22"/>
          <w:lang w:eastAsia="en-US"/>
        </w:rPr>
      </w:pPr>
    </w:p>
    <w:p w14:paraId="3A742E70" w14:textId="77777777" w:rsidR="00A3207B" w:rsidRDefault="00A3207B" w:rsidP="00A3207B">
      <w:pPr>
        <w:rPr>
          <w:rFonts w:ascii="Verdana" w:eastAsia="Verdana" w:hAnsi="Verdana" w:cs="Verdana"/>
          <w:sz w:val="22"/>
          <w:szCs w:val="22"/>
          <w:lang w:eastAsia="en-US"/>
        </w:rPr>
      </w:pPr>
    </w:p>
    <w:p w14:paraId="5453706D" w14:textId="77777777" w:rsidR="00A3207B" w:rsidRDefault="00A3207B" w:rsidP="00A3207B">
      <w:pPr>
        <w:rPr>
          <w:rFonts w:ascii="Verdana" w:eastAsia="Verdana" w:hAnsi="Verdana" w:cs="Verdana"/>
          <w:sz w:val="22"/>
          <w:szCs w:val="22"/>
          <w:lang w:eastAsia="en-US"/>
        </w:rPr>
      </w:pPr>
    </w:p>
    <w:p w14:paraId="2A9989B4" w14:textId="77777777" w:rsidR="00A3207B" w:rsidRDefault="00A3207B" w:rsidP="00A3207B">
      <w:pPr>
        <w:rPr>
          <w:rFonts w:ascii="Verdana" w:eastAsia="Verdana" w:hAnsi="Verdana" w:cs="Verdana"/>
          <w:sz w:val="22"/>
          <w:szCs w:val="22"/>
          <w:lang w:eastAsia="en-US"/>
        </w:rPr>
      </w:pPr>
    </w:p>
    <w:p w14:paraId="639CB79B" w14:textId="77777777" w:rsidR="00A3207B" w:rsidRDefault="00A3207B" w:rsidP="00A3207B">
      <w:pPr>
        <w:rPr>
          <w:rFonts w:ascii="Verdana" w:eastAsia="Verdana" w:hAnsi="Verdana" w:cs="Verdana"/>
          <w:sz w:val="22"/>
          <w:szCs w:val="22"/>
          <w:lang w:eastAsia="en-US"/>
        </w:rPr>
      </w:pPr>
    </w:p>
    <w:p w14:paraId="4834C979" w14:textId="77777777" w:rsidR="00A3207B" w:rsidRDefault="00A3207B" w:rsidP="00A3207B">
      <w:pPr>
        <w:rPr>
          <w:rFonts w:ascii="Verdana" w:eastAsia="Verdana" w:hAnsi="Verdana" w:cs="Verdana"/>
          <w:sz w:val="22"/>
          <w:szCs w:val="22"/>
          <w:lang w:eastAsia="en-US"/>
        </w:rPr>
      </w:pPr>
    </w:p>
    <w:p w14:paraId="2D40BDE8" w14:textId="77777777" w:rsidR="00A3207B" w:rsidRDefault="00A3207B" w:rsidP="00A3207B">
      <w:pPr>
        <w:rPr>
          <w:rFonts w:ascii="Verdana" w:eastAsia="Verdana" w:hAnsi="Verdana" w:cs="Verdana"/>
          <w:sz w:val="22"/>
          <w:szCs w:val="22"/>
          <w:lang w:eastAsia="en-US"/>
        </w:rPr>
      </w:pPr>
    </w:p>
    <w:p w14:paraId="616356A0" w14:textId="77777777" w:rsidR="00A3207B" w:rsidRDefault="00A3207B" w:rsidP="00A3207B">
      <w:pPr>
        <w:rPr>
          <w:rFonts w:ascii="Verdana" w:eastAsia="Verdana" w:hAnsi="Verdana" w:cs="Verdana"/>
          <w:sz w:val="22"/>
          <w:szCs w:val="22"/>
          <w:lang w:eastAsia="en-US"/>
        </w:rPr>
      </w:pPr>
    </w:p>
    <w:p w14:paraId="6763B6C3" w14:textId="77777777" w:rsidR="00A3207B" w:rsidRDefault="00A3207B" w:rsidP="00A3207B">
      <w:pPr>
        <w:rPr>
          <w:rFonts w:ascii="Verdana" w:eastAsia="Verdana" w:hAnsi="Verdana" w:cs="Verdana"/>
          <w:sz w:val="22"/>
          <w:szCs w:val="22"/>
          <w:lang w:eastAsia="en-US"/>
        </w:rPr>
      </w:pPr>
    </w:p>
    <w:p w14:paraId="4E9ABFAC" w14:textId="77777777" w:rsidR="00A3207B" w:rsidRDefault="00A3207B" w:rsidP="00A3207B">
      <w:pPr>
        <w:rPr>
          <w:rFonts w:ascii="Verdana" w:eastAsia="Verdana" w:hAnsi="Verdana" w:cs="Verdana"/>
          <w:sz w:val="22"/>
          <w:szCs w:val="22"/>
          <w:lang w:eastAsia="en-US"/>
        </w:rPr>
      </w:pPr>
    </w:p>
    <w:p w14:paraId="2D8C3FFF" w14:textId="77777777" w:rsidR="00A3207B" w:rsidRDefault="00A3207B" w:rsidP="00A3207B">
      <w:pPr>
        <w:rPr>
          <w:rFonts w:ascii="Verdana" w:eastAsia="Verdana" w:hAnsi="Verdana" w:cs="Verdana"/>
          <w:sz w:val="22"/>
          <w:szCs w:val="22"/>
          <w:lang w:eastAsia="en-US"/>
        </w:rPr>
      </w:pPr>
    </w:p>
    <w:p w14:paraId="699B977B" w14:textId="77777777" w:rsidR="00A3207B" w:rsidRDefault="00A3207B" w:rsidP="00A3207B">
      <w:pPr>
        <w:rPr>
          <w:rFonts w:ascii="Verdana" w:eastAsia="Verdana" w:hAnsi="Verdana" w:cs="Verdana"/>
          <w:sz w:val="22"/>
          <w:szCs w:val="22"/>
          <w:lang w:eastAsia="en-US"/>
        </w:rPr>
      </w:pPr>
    </w:p>
    <w:p w14:paraId="4BA16E4E" w14:textId="3A38139F" w:rsidR="001A2FD6" w:rsidRPr="001A2FD6" w:rsidRDefault="00544BB8" w:rsidP="001A2FD6">
      <w:pPr>
        <w:rPr>
          <w:rFonts w:ascii="Verdana" w:eastAsia="Calibri" w:hAnsi="Verdana" w:cs="Arial"/>
          <w:color w:val="000000"/>
          <w:sz w:val="22"/>
          <w:szCs w:val="22"/>
          <w:lang w:val="es-ES"/>
        </w:rPr>
      </w:pPr>
      <w:r w:rsidRPr="00544BB8">
        <w:rPr>
          <w:rFonts w:asciiTheme="minorHAnsi" w:eastAsiaTheme="minorHAnsi" w:hAnsiTheme="minorHAnsi" w:cstheme="minorBidi"/>
          <w:noProof/>
          <w:sz w:val="22"/>
          <w:szCs w:val="22"/>
          <w:lang w:eastAsia="en-US"/>
        </w:rPr>
        <w:lastRenderedPageBreak/>
        <w:drawing>
          <wp:anchor distT="0" distB="0" distL="114300" distR="114300" simplePos="0" relativeHeight="251658240" behindDoc="0" locked="0" layoutInCell="1" allowOverlap="1" wp14:anchorId="4580DD14" wp14:editId="4051F1F5">
            <wp:simplePos x="0" y="0"/>
            <wp:positionH relativeFrom="column">
              <wp:posOffset>2950845</wp:posOffset>
            </wp:positionH>
            <wp:positionV relativeFrom="paragraph">
              <wp:posOffset>160020</wp:posOffset>
            </wp:positionV>
            <wp:extent cx="2628900" cy="727075"/>
            <wp:effectExtent l="0" t="0" r="0" b="0"/>
            <wp:wrapSquare wrapText="bothSides"/>
            <wp:docPr id="389513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2FD6" w:rsidRPr="001A2FD6">
        <w:rPr>
          <w:rFonts w:ascii="Verdana" w:eastAsia="Verdana" w:hAnsi="Verdana" w:cs="Verdana"/>
          <w:sz w:val="22"/>
          <w:szCs w:val="22"/>
          <w:lang w:eastAsia="en-US"/>
        </w:rPr>
        <w:t xml:space="preserve">Bogotá D.C., </w:t>
      </w:r>
      <w:r w:rsidR="00881669">
        <w:rPr>
          <w:rFonts w:ascii="Verdana" w:eastAsia="Verdana" w:hAnsi="Verdana" w:cs="Verdana"/>
          <w:sz w:val="22"/>
          <w:szCs w:val="22"/>
          <w:lang w:eastAsia="en-US"/>
        </w:rPr>
        <w:t>18 de septiembre de 2026</w:t>
      </w:r>
      <w:r w:rsidR="001A2FD6" w:rsidRPr="001A2FD6">
        <w:rPr>
          <w:rFonts w:asciiTheme="minorHAnsi" w:eastAsiaTheme="minorHAnsi" w:hAnsiTheme="minorHAnsi" w:cstheme="minorBidi"/>
          <w:sz w:val="22"/>
          <w:szCs w:val="22"/>
          <w:lang w:eastAsia="en-US"/>
        </w:rPr>
        <w:tab/>
      </w:r>
      <w:r w:rsidR="001A2FD6" w:rsidRPr="001A2FD6">
        <w:rPr>
          <w:rFonts w:asciiTheme="minorHAnsi" w:eastAsiaTheme="minorHAnsi" w:hAnsiTheme="minorHAnsi" w:cstheme="minorBidi"/>
          <w:sz w:val="22"/>
          <w:szCs w:val="22"/>
          <w:lang w:eastAsia="en-US"/>
        </w:rPr>
        <w:br/>
      </w:r>
    </w:p>
    <w:p w14:paraId="0B118DD1" w14:textId="77777777" w:rsidR="001A2FD6" w:rsidRPr="001A2FD6" w:rsidRDefault="001A2FD6" w:rsidP="001A2FD6">
      <w:pPr>
        <w:jc w:val="both"/>
        <w:rPr>
          <w:rFonts w:ascii="Verdana" w:eastAsia="Calibri" w:hAnsi="Verdana" w:cs="Arial"/>
          <w:color w:val="000000"/>
          <w:sz w:val="22"/>
          <w:szCs w:val="22"/>
          <w:lang w:val="es-ES"/>
        </w:rPr>
      </w:pPr>
    </w:p>
    <w:p w14:paraId="3B7A387C" w14:textId="77777777" w:rsidR="001A2FD6" w:rsidRPr="001A2FD6" w:rsidRDefault="001A2FD6" w:rsidP="001A2FD6">
      <w:pPr>
        <w:jc w:val="both"/>
        <w:rPr>
          <w:rFonts w:ascii="Verdana" w:eastAsia="Calibri" w:hAnsi="Verdana" w:cs="Arial"/>
          <w:sz w:val="22"/>
          <w:szCs w:val="22"/>
          <w:lang w:val="es-ES" w:eastAsia="es-ES"/>
        </w:rPr>
      </w:pPr>
      <w:r w:rsidRPr="001A2FD6">
        <w:rPr>
          <w:rFonts w:ascii="Verdana" w:eastAsia="Calibri" w:hAnsi="Verdana" w:cs="Arial"/>
          <w:sz w:val="22"/>
          <w:szCs w:val="22"/>
          <w:lang w:val="es-ES" w:eastAsia="es-ES"/>
        </w:rPr>
        <w:t>Señor</w:t>
      </w:r>
    </w:p>
    <w:p w14:paraId="5AD5B14E" w14:textId="77777777" w:rsidR="001A2FD6" w:rsidRPr="001A2FD6" w:rsidRDefault="001A2FD6" w:rsidP="001A2FD6">
      <w:pPr>
        <w:rPr>
          <w:rFonts w:ascii="Verdana" w:eastAsia="Calibri" w:hAnsi="Verdana" w:cs="Arial"/>
          <w:b/>
          <w:sz w:val="22"/>
          <w:szCs w:val="22"/>
          <w:lang w:val="es-ES_tradnl"/>
        </w:rPr>
      </w:pPr>
      <w:r w:rsidRPr="001A2FD6">
        <w:rPr>
          <w:rFonts w:ascii="Verdana" w:eastAsia="Calibri" w:hAnsi="Verdana" w:cs="Arial"/>
          <w:b/>
          <w:sz w:val="22"/>
          <w:szCs w:val="22"/>
          <w:lang w:val="es-ES_tradnl"/>
        </w:rPr>
        <w:t>Yerson Antonio Ariza Rivera</w:t>
      </w:r>
    </w:p>
    <w:p w14:paraId="52FFE962" w14:textId="77777777" w:rsidR="001A2FD6" w:rsidRPr="001A2FD6" w:rsidRDefault="001A2FD6" w:rsidP="001A2FD6">
      <w:pPr>
        <w:rPr>
          <w:rFonts w:ascii="Verdana" w:hAnsi="Verdana"/>
          <w:sz w:val="22"/>
          <w:szCs w:val="22"/>
        </w:rPr>
      </w:pPr>
      <w:r w:rsidRPr="001A2FD6">
        <w:rPr>
          <w:rFonts w:ascii="Verdana" w:hAnsi="Verdana"/>
          <w:sz w:val="22"/>
          <w:szCs w:val="22"/>
        </w:rPr>
        <w:t xml:space="preserve"> </w:t>
      </w:r>
      <w:hyperlink r:id="rId12" w:history="1">
        <w:r w:rsidRPr="001A2FD6">
          <w:rPr>
            <w:rFonts w:ascii="Verdana" w:hAnsi="Verdana"/>
            <w:color w:val="0000FF"/>
            <w:sz w:val="22"/>
            <w:szCs w:val="22"/>
            <w:u w:val="single"/>
          </w:rPr>
          <w:t>notificacionjudicial@yondo-antioquia.gov.co</w:t>
        </w:r>
      </w:hyperlink>
      <w:r w:rsidRPr="001A2FD6">
        <w:rPr>
          <w:rFonts w:ascii="Verdana" w:hAnsi="Verdana"/>
          <w:sz w:val="22"/>
          <w:szCs w:val="22"/>
        </w:rPr>
        <w:t xml:space="preserve"> </w:t>
      </w:r>
    </w:p>
    <w:p w14:paraId="3EA92B98" w14:textId="77777777" w:rsidR="001A2FD6" w:rsidRPr="001A2FD6" w:rsidRDefault="001A2FD6" w:rsidP="001A2FD6">
      <w:pPr>
        <w:rPr>
          <w:rFonts w:ascii="Verdana" w:eastAsia="Calibri" w:hAnsi="Verdana" w:cs="Arial"/>
          <w:b/>
          <w:bCs/>
          <w:color w:val="000000"/>
          <w:sz w:val="22"/>
          <w:szCs w:val="22"/>
          <w:lang w:val="es-ES_tradnl"/>
        </w:rPr>
      </w:pPr>
      <w:r w:rsidRPr="001A2FD6">
        <w:rPr>
          <w:rFonts w:ascii="Verdana" w:eastAsia="Calibri" w:hAnsi="Verdana" w:cs="Arial"/>
          <w:sz w:val="22"/>
          <w:szCs w:val="22"/>
          <w:lang w:val="es-ES" w:eastAsia="es-ES"/>
        </w:rPr>
        <w:t xml:space="preserve">Yondó, Antioquia </w:t>
      </w:r>
    </w:p>
    <w:p w14:paraId="7AFA3BA2" w14:textId="77777777" w:rsidR="001A2FD6" w:rsidRPr="001A2FD6" w:rsidRDefault="001A2FD6" w:rsidP="001A2FD6">
      <w:pPr>
        <w:rPr>
          <w:rFonts w:ascii="Verdana" w:eastAsia="Calibri" w:hAnsi="Verdana" w:cs="Arial"/>
          <w:b/>
          <w:bCs/>
          <w:color w:val="000000"/>
          <w:sz w:val="22"/>
          <w:szCs w:val="22"/>
          <w:lang w:val="es-ES_tradnl"/>
        </w:rPr>
      </w:pPr>
    </w:p>
    <w:p w14:paraId="6CCEB8C0" w14:textId="77777777" w:rsidR="001A2FD6" w:rsidRPr="001A2FD6" w:rsidRDefault="001A2FD6" w:rsidP="001A2FD6">
      <w:pPr>
        <w:rPr>
          <w:rFonts w:ascii="Verdana" w:eastAsia="Calibri" w:hAnsi="Verdana" w:cs="Arial"/>
          <w:b/>
          <w:bCs/>
          <w:color w:val="000000"/>
          <w:sz w:val="22"/>
          <w:szCs w:val="22"/>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A2FD6" w:rsidRPr="001A2FD6" w14:paraId="0F004AF0" w14:textId="77777777" w:rsidTr="00B46413">
        <w:trPr>
          <w:trHeight w:val="884"/>
        </w:trPr>
        <w:tc>
          <w:tcPr>
            <w:tcW w:w="2689" w:type="dxa"/>
          </w:tcPr>
          <w:p w14:paraId="5192842D" w14:textId="77777777" w:rsidR="001A2FD6" w:rsidRPr="001A2FD6" w:rsidRDefault="001A2FD6" w:rsidP="001A2FD6">
            <w:pPr>
              <w:jc w:val="both"/>
              <w:rPr>
                <w:rFonts w:ascii="Verdana" w:eastAsia="Calibri" w:hAnsi="Verdana" w:cs="Arial"/>
                <w:b/>
                <w:bCs/>
                <w:color w:val="7030A0"/>
                <w:sz w:val="22"/>
                <w:szCs w:val="22"/>
                <w:lang w:val="es-ES_tradnl"/>
              </w:rPr>
            </w:pPr>
          </w:p>
        </w:tc>
        <w:tc>
          <w:tcPr>
            <w:tcW w:w="6100" w:type="dxa"/>
          </w:tcPr>
          <w:p w14:paraId="7CE597DF" w14:textId="2F05336F" w:rsidR="001A2FD6" w:rsidRPr="001A2FD6" w:rsidRDefault="001A2FD6" w:rsidP="001A2FD6">
            <w:pPr>
              <w:jc w:val="both"/>
              <w:rPr>
                <w:rFonts w:ascii="Verdana" w:eastAsia="Calibri" w:hAnsi="Verdana" w:cs="Arial"/>
                <w:b/>
                <w:bCs/>
                <w:color w:val="7030A0"/>
                <w:sz w:val="22"/>
                <w:szCs w:val="22"/>
                <w:lang w:val="es-ES" w:eastAsia="es-ES"/>
              </w:rPr>
            </w:pPr>
            <w:r w:rsidRPr="001A2FD6">
              <w:rPr>
                <w:rFonts w:ascii="Verdana" w:eastAsia="Calibri" w:hAnsi="Verdana" w:cs="Arial"/>
                <w:b/>
                <w:bCs/>
                <w:sz w:val="22"/>
                <w:szCs w:val="22"/>
                <w:lang w:val="es-ES" w:eastAsia="es-ES"/>
              </w:rPr>
              <w:t>Concepto C-1334 de 2026</w:t>
            </w:r>
          </w:p>
        </w:tc>
      </w:tr>
      <w:tr w:rsidR="001A2FD6" w:rsidRPr="001A2FD6" w14:paraId="02FB7FC5" w14:textId="77777777" w:rsidTr="00B46413">
        <w:trPr>
          <w:trHeight w:val="884"/>
        </w:trPr>
        <w:tc>
          <w:tcPr>
            <w:tcW w:w="2689" w:type="dxa"/>
          </w:tcPr>
          <w:p w14:paraId="194795A8" w14:textId="77777777" w:rsidR="001A2FD6" w:rsidRPr="001A2FD6" w:rsidRDefault="001A2FD6" w:rsidP="001A2FD6">
            <w:pPr>
              <w:spacing w:line="276" w:lineRule="auto"/>
              <w:jc w:val="both"/>
              <w:rPr>
                <w:rFonts w:ascii="Verdana" w:eastAsia="Calibri" w:hAnsi="Verdana" w:cs="Arial"/>
                <w:color w:val="000000"/>
                <w:sz w:val="22"/>
                <w:szCs w:val="22"/>
                <w:lang w:val="es-ES_tradnl"/>
              </w:rPr>
            </w:pPr>
            <w:r w:rsidRPr="001A2FD6">
              <w:rPr>
                <w:rFonts w:ascii="Verdana" w:eastAsia="Calibri" w:hAnsi="Verdana" w:cs="Arial"/>
                <w:b/>
                <w:color w:val="000000"/>
                <w:sz w:val="22"/>
                <w:szCs w:val="22"/>
                <w:lang w:val="es-ES_tradnl"/>
              </w:rPr>
              <w:t>Temas:</w:t>
            </w:r>
            <w:r w:rsidRPr="001A2FD6">
              <w:rPr>
                <w:rFonts w:ascii="Verdana" w:eastAsia="Calibri" w:hAnsi="Verdana" w:cs="Arial"/>
                <w:color w:val="000000"/>
                <w:sz w:val="22"/>
                <w:szCs w:val="22"/>
                <w:lang w:val="es-ES_tradnl"/>
              </w:rPr>
              <w:t xml:space="preserve">                   </w:t>
            </w:r>
          </w:p>
        </w:tc>
        <w:tc>
          <w:tcPr>
            <w:tcW w:w="6100" w:type="dxa"/>
          </w:tcPr>
          <w:p w14:paraId="6A4517E9" w14:textId="21ED8AF4" w:rsidR="001A2FD6" w:rsidRPr="001A2FD6" w:rsidRDefault="001A2FD6" w:rsidP="001A2FD6">
            <w:pPr>
              <w:spacing w:line="276" w:lineRule="auto"/>
              <w:jc w:val="both"/>
              <w:rPr>
                <w:rFonts w:ascii="Verdana" w:eastAsia="Calibri" w:hAnsi="Verdana" w:cs="Arial"/>
                <w:sz w:val="22"/>
                <w:szCs w:val="22"/>
                <w:lang w:val="es-ES" w:eastAsia="es-ES"/>
              </w:rPr>
            </w:pPr>
            <w:r w:rsidRPr="001A2FD6">
              <w:rPr>
                <w:rFonts w:ascii="Verdana" w:eastAsia="Calibri" w:hAnsi="Verdana" w:cs="Arial"/>
                <w:sz w:val="22"/>
                <w:szCs w:val="22"/>
                <w:lang w:val="es-ES" w:eastAsia="es-ES"/>
              </w:rPr>
              <w:t xml:space="preserve">SISTEMA GENERAL DE REGALÍAS – Proyectos de inversión – Comunidades negras, afrocolombianas, raizales y palenqueras – Asignaciones Directas – Asignación para la Inversión Local / CONVENIOS DE FORMALIZACIÓN – Artículo 101 de la Ley 2056 de 2020 – Régimen especial – Formalización de la entrega del proyecto – Designación de la entidad ejecutora / EJECUCIÓN DE PROYECTOS DE INVERSIÓN – Entidad ejecutora – Régimen de contratación pública – Estatuto General de Contratación de la Administración Pública / INHABILIDADES E INCOMPATIBILIDADES – Definición – Finalidad – Limitación de la capacidad contractual – Taxatividad – Principio de legalidad – Interpretación restrictiva / </w:t>
            </w:r>
            <w:r w:rsidRPr="001A2FD6">
              <w:rPr>
                <w:rFonts w:ascii="Verdana" w:hAnsi="Verdana" w:cs="Arial"/>
                <w:sz w:val="22"/>
                <w:szCs w:val="22"/>
                <w:lang w:val="es-ES_tradnl" w:eastAsia="es-CO"/>
              </w:rPr>
              <w:t>INHABILIDADES E INCOMPATIBILIDADES – Ley 80 de 1993 – Ley 617 de 2000 – Norma general – Norma especial / LEY 617 DE 2000 – Contratación directa e indirecta – inciso tercero del artículo 49 – Alcance – constitucionalidad condicionada – Aplicación – Entidades territoriales</w:t>
            </w:r>
          </w:p>
          <w:p w14:paraId="77B3233A" w14:textId="77777777" w:rsidR="001A2FD6" w:rsidRPr="001A2FD6" w:rsidRDefault="001A2FD6" w:rsidP="001A2FD6">
            <w:pPr>
              <w:spacing w:line="276" w:lineRule="auto"/>
              <w:jc w:val="both"/>
              <w:rPr>
                <w:rFonts w:ascii="Verdana" w:eastAsia="Calibri" w:hAnsi="Verdana" w:cs="Arial"/>
                <w:sz w:val="22"/>
                <w:szCs w:val="22"/>
                <w:lang w:val="es-ES" w:eastAsia="es-ES"/>
              </w:rPr>
            </w:pPr>
          </w:p>
          <w:p w14:paraId="2E5B6341" w14:textId="77777777" w:rsidR="001A2FD6" w:rsidRPr="001A2FD6" w:rsidRDefault="001A2FD6" w:rsidP="001A2FD6">
            <w:pPr>
              <w:spacing w:line="276" w:lineRule="auto"/>
              <w:jc w:val="both"/>
              <w:rPr>
                <w:rFonts w:ascii="Verdana" w:eastAsia="Calibri" w:hAnsi="Verdana" w:cs="Arial"/>
                <w:sz w:val="22"/>
                <w:szCs w:val="22"/>
                <w:lang w:val="es-ES" w:eastAsia="es-ES"/>
              </w:rPr>
            </w:pPr>
          </w:p>
        </w:tc>
      </w:tr>
      <w:tr w:rsidR="001A2FD6" w:rsidRPr="001A2FD6" w14:paraId="3F90531E" w14:textId="77777777" w:rsidTr="00B46413">
        <w:tc>
          <w:tcPr>
            <w:tcW w:w="2689" w:type="dxa"/>
          </w:tcPr>
          <w:p w14:paraId="0561632A" w14:textId="77777777" w:rsidR="001A2FD6" w:rsidRPr="001A2FD6" w:rsidRDefault="001A2FD6" w:rsidP="001A2FD6">
            <w:pPr>
              <w:spacing w:after="120" w:line="276" w:lineRule="auto"/>
              <w:jc w:val="both"/>
              <w:rPr>
                <w:rFonts w:ascii="Verdana" w:eastAsia="Calibri" w:hAnsi="Verdana" w:cs="Arial"/>
                <w:b/>
                <w:sz w:val="22"/>
                <w:szCs w:val="22"/>
                <w:lang w:val="es-ES_tradnl"/>
              </w:rPr>
            </w:pPr>
            <w:r w:rsidRPr="001A2FD6">
              <w:rPr>
                <w:rFonts w:ascii="Verdana" w:eastAsia="Calibri" w:hAnsi="Verdana" w:cs="Arial"/>
                <w:b/>
                <w:sz w:val="22"/>
                <w:szCs w:val="22"/>
                <w:lang w:val="es-ES_tradnl"/>
              </w:rPr>
              <w:t>Radicación:</w:t>
            </w:r>
            <w:r w:rsidRPr="001A2FD6">
              <w:rPr>
                <w:rFonts w:ascii="Verdana" w:eastAsia="Calibri" w:hAnsi="Verdana" w:cs="Arial"/>
                <w:sz w:val="22"/>
                <w:szCs w:val="22"/>
                <w:lang w:val="es-ES_tradnl"/>
              </w:rPr>
              <w:t xml:space="preserve">               </w:t>
            </w:r>
          </w:p>
        </w:tc>
        <w:tc>
          <w:tcPr>
            <w:tcW w:w="6100" w:type="dxa"/>
          </w:tcPr>
          <w:p w14:paraId="0425F763" w14:textId="77777777" w:rsidR="001A2FD6" w:rsidRPr="001A2FD6" w:rsidRDefault="001A2FD6" w:rsidP="001A2FD6">
            <w:pPr>
              <w:spacing w:after="120" w:line="276" w:lineRule="auto"/>
              <w:jc w:val="both"/>
              <w:rPr>
                <w:rFonts w:ascii="Verdana" w:eastAsia="Calibri" w:hAnsi="Verdana" w:cs="Arial"/>
                <w:sz w:val="22"/>
                <w:szCs w:val="22"/>
                <w:highlight w:val="yellow"/>
                <w:lang w:val="es-ES_tradnl"/>
              </w:rPr>
            </w:pPr>
            <w:r w:rsidRPr="001A2FD6">
              <w:rPr>
                <w:rFonts w:ascii="Verdana" w:eastAsia="Calibri" w:hAnsi="Verdana" w:cs="Arial"/>
                <w:sz w:val="22"/>
                <w:szCs w:val="22"/>
                <w:lang w:val="es-ES_tradnl"/>
              </w:rPr>
              <w:t xml:space="preserve">Respuesta a la consulta con radicado No. </w:t>
            </w:r>
            <w:r w:rsidRPr="001A2FD6">
              <w:rPr>
                <w:rFonts w:ascii="Verdana" w:eastAsia="Calibri" w:hAnsi="Verdana" w:cs="Arial"/>
                <w:sz w:val="22"/>
                <w:szCs w:val="22"/>
              </w:rPr>
              <w:t>1_2026_08_24_011247</w:t>
            </w:r>
            <w:r w:rsidRPr="001A2FD6">
              <w:rPr>
                <w:rFonts w:ascii="Verdana" w:eastAsia="Calibri" w:hAnsi="Verdana" w:cs="Arial"/>
                <w:sz w:val="22"/>
                <w:szCs w:val="22"/>
                <w:lang w:val="es-ES_tradnl"/>
              </w:rPr>
              <w:t xml:space="preserve"> </w:t>
            </w:r>
          </w:p>
        </w:tc>
      </w:tr>
    </w:tbl>
    <w:p w14:paraId="1ED17F65" w14:textId="77777777" w:rsidR="001A2FD6" w:rsidRPr="001A2FD6" w:rsidRDefault="001A2FD6" w:rsidP="001A2FD6">
      <w:pPr>
        <w:spacing w:after="120" w:line="276" w:lineRule="auto"/>
        <w:jc w:val="both"/>
        <w:rPr>
          <w:rFonts w:ascii="Verdana" w:eastAsia="Calibri" w:hAnsi="Verdana" w:cs="Arial"/>
          <w:color w:val="000000"/>
          <w:sz w:val="22"/>
          <w:szCs w:val="22"/>
          <w:lang w:val="es-ES_tradnl"/>
        </w:rPr>
      </w:pPr>
    </w:p>
    <w:p w14:paraId="6610FBF0" w14:textId="77777777" w:rsidR="001A2FD6" w:rsidRPr="001A2FD6" w:rsidRDefault="001A2FD6" w:rsidP="001A2FD6">
      <w:pPr>
        <w:spacing w:line="276" w:lineRule="auto"/>
        <w:jc w:val="both"/>
        <w:rPr>
          <w:rFonts w:ascii="Verdana" w:eastAsia="Calibri" w:hAnsi="Verdana" w:cs="Arial"/>
          <w:sz w:val="22"/>
          <w:szCs w:val="22"/>
          <w:lang w:val="es-ES" w:eastAsia="es-ES"/>
        </w:rPr>
      </w:pPr>
      <w:r w:rsidRPr="001A2FD6">
        <w:rPr>
          <w:rFonts w:ascii="Verdana" w:eastAsia="Calibri" w:hAnsi="Verdana" w:cs="Arial"/>
          <w:sz w:val="22"/>
          <w:szCs w:val="22"/>
          <w:lang w:val="es-ES" w:eastAsia="es-ES"/>
        </w:rPr>
        <w:lastRenderedPageBreak/>
        <w:t xml:space="preserve">Estimado Señor Ariza: </w:t>
      </w:r>
    </w:p>
    <w:p w14:paraId="349E1382" w14:textId="77777777" w:rsidR="001A2FD6" w:rsidRPr="001A2FD6" w:rsidRDefault="001A2FD6" w:rsidP="001A2FD6">
      <w:pPr>
        <w:tabs>
          <w:tab w:val="left" w:pos="3768"/>
        </w:tabs>
        <w:spacing w:line="276" w:lineRule="auto"/>
        <w:jc w:val="both"/>
        <w:rPr>
          <w:rFonts w:ascii="Verdana" w:eastAsia="Calibri" w:hAnsi="Verdana" w:cs="Arial"/>
          <w:color w:val="000000" w:themeColor="text1"/>
          <w:sz w:val="22"/>
          <w:szCs w:val="22"/>
          <w:lang w:val="es-ES" w:eastAsia="es-ES"/>
        </w:rPr>
      </w:pPr>
    </w:p>
    <w:p w14:paraId="2F5F3C97" w14:textId="77777777" w:rsidR="001A2FD6" w:rsidRPr="001A2FD6" w:rsidRDefault="001A2FD6" w:rsidP="001A2FD6">
      <w:pPr>
        <w:tabs>
          <w:tab w:val="left" w:pos="3768"/>
        </w:tabs>
        <w:spacing w:line="276" w:lineRule="auto"/>
        <w:jc w:val="both"/>
        <w:rPr>
          <w:rFonts w:ascii="Verdana" w:eastAsia="Calibri" w:hAnsi="Verdana" w:cs="Arial"/>
          <w:color w:val="000000" w:themeColor="text1"/>
          <w:sz w:val="22"/>
          <w:szCs w:val="22"/>
          <w:lang w:val="es-ES" w:eastAsia="es-ES"/>
        </w:rPr>
      </w:pPr>
      <w:r w:rsidRPr="001A2FD6">
        <w:rPr>
          <w:rFonts w:ascii="Verdana" w:eastAsia="Calibri" w:hAnsi="Verdana" w:cs="Arial"/>
          <w:color w:val="000000" w:themeColor="text1"/>
          <w:sz w:val="22"/>
          <w:szCs w:val="22"/>
          <w:lang w:val="es-ES" w:eastAsia="es-ES"/>
        </w:rPr>
        <w:t>En ejercicio de la competencia otorgada por los artículos 3, numeral 5º, y 11, numeral 8º, del Decreto Ley 4170 de 2011,</w:t>
      </w:r>
      <w:r w:rsidRPr="001A2FD6">
        <w:rPr>
          <w:rFonts w:ascii="Verdana" w:eastAsia="Arial MT" w:hAnsi="Verdana" w:cs="Arial MT"/>
          <w:sz w:val="22"/>
          <w:szCs w:val="22"/>
          <w:lang w:val="es-ES" w:eastAsia="es-ES"/>
        </w:rPr>
        <w:t xml:space="preserve"> </w:t>
      </w:r>
      <w:r w:rsidRPr="001A2FD6">
        <w:rPr>
          <w:rFonts w:ascii="Verdana" w:hAnsi="Verdana" w:cs="Arial"/>
          <w:sz w:val="22"/>
          <w:szCs w:val="22"/>
        </w:rPr>
        <w:t xml:space="preserve">así como lo establecido en el artículo 4 de la Resolución 469 de 2025 expedida por esta Entidad, </w:t>
      </w:r>
      <w:r w:rsidRPr="001A2FD6">
        <w:rPr>
          <w:rFonts w:ascii="Verdana" w:eastAsia="Calibri" w:hAnsi="Verdana" w:cs="Arial"/>
          <w:color w:val="000000" w:themeColor="text1"/>
          <w:sz w:val="22"/>
          <w:szCs w:val="22"/>
          <w:lang w:val="es-ES" w:eastAsia="es-ES"/>
        </w:rPr>
        <w:t>la Agencia Nacional de Contratación Pública – Colombia Compra Eficiente responde su solicitud de consulta del 24</w:t>
      </w:r>
      <w:r w:rsidRPr="001A2FD6">
        <w:rPr>
          <w:rFonts w:ascii="Verdana" w:eastAsia="Calibri" w:hAnsi="Verdana" w:cs="Arial"/>
          <w:sz w:val="22"/>
          <w:szCs w:val="22"/>
          <w:lang w:val="es-ES" w:eastAsia="es-ES"/>
        </w:rPr>
        <w:t xml:space="preserve"> de agosto de 2026, donde realiza las siguientes preguntas:   </w:t>
      </w:r>
    </w:p>
    <w:p w14:paraId="73A448F1" w14:textId="77777777" w:rsidR="001A2FD6" w:rsidRPr="001A2FD6" w:rsidRDefault="001A2FD6" w:rsidP="001A2FD6">
      <w:pPr>
        <w:jc w:val="both"/>
        <w:rPr>
          <w:rFonts w:ascii="Verdana" w:eastAsia="Calibri" w:hAnsi="Verdana" w:cs="Arial"/>
          <w:sz w:val="22"/>
          <w:szCs w:val="22"/>
          <w:lang w:val="es-ES" w:eastAsia="es-ES"/>
        </w:rPr>
      </w:pPr>
    </w:p>
    <w:p w14:paraId="008F2876" w14:textId="77777777" w:rsidR="001A2FD6" w:rsidRPr="001A2FD6" w:rsidRDefault="001A2FD6" w:rsidP="001A2FD6">
      <w:pPr>
        <w:ind w:left="708" w:right="709" w:firstLine="1"/>
        <w:jc w:val="both"/>
        <w:rPr>
          <w:rFonts w:ascii="Verdana" w:eastAsia="Calibri" w:hAnsi="Verdana" w:cs="Arial"/>
          <w:color w:val="000000"/>
          <w:sz w:val="20"/>
          <w:szCs w:val="20"/>
          <w:lang w:val="es-ES" w:eastAsia="es-ES"/>
        </w:rPr>
      </w:pPr>
      <w:r w:rsidRPr="001A2FD6">
        <w:rPr>
          <w:rFonts w:ascii="Verdana" w:eastAsia="Calibri" w:hAnsi="Verdana" w:cs="Arial"/>
          <w:color w:val="000000"/>
          <w:sz w:val="20"/>
          <w:szCs w:val="20"/>
          <w:lang w:val="es-ES" w:eastAsia="es-ES"/>
        </w:rPr>
        <w:t>1. ¿El régimen general de inhabilidades e incompatibilidades de la contratación estatal (Ley 80 de 1993 y Ley 1474 de 2011) se aplica en su totalidad y de forma idéntica a los convenios de formalización financiados con recursos de regalías, de asignación directa a los grupos asentados dentro del territorio?</w:t>
      </w:r>
    </w:p>
    <w:p w14:paraId="0F0FE15B" w14:textId="77777777" w:rsidR="001A2FD6" w:rsidRPr="001A2FD6" w:rsidRDefault="001A2FD6" w:rsidP="001A2FD6">
      <w:pPr>
        <w:ind w:left="708" w:right="709" w:firstLine="1"/>
        <w:jc w:val="both"/>
        <w:rPr>
          <w:rFonts w:ascii="Verdana" w:eastAsia="Calibri" w:hAnsi="Verdana" w:cs="Arial"/>
          <w:color w:val="000000"/>
          <w:sz w:val="20"/>
          <w:szCs w:val="20"/>
          <w:lang w:val="es-ES" w:eastAsia="es-ES"/>
        </w:rPr>
      </w:pPr>
      <w:r w:rsidRPr="001A2FD6">
        <w:rPr>
          <w:rFonts w:ascii="Verdana" w:eastAsia="Calibri" w:hAnsi="Verdana" w:cs="Arial"/>
          <w:color w:val="000000"/>
          <w:sz w:val="20"/>
          <w:szCs w:val="20"/>
          <w:lang w:val="es-ES" w:eastAsia="es-ES"/>
        </w:rPr>
        <w:t>2. ¿Existen inhabilidades específicas o restricciones adicionales derivadas de la Ley 2056 de</w:t>
      </w:r>
      <w:r w:rsidRPr="001A2FD6">
        <w:rPr>
          <w:rFonts w:ascii="MS Gothic" w:eastAsia="MS Gothic" w:hAnsi="MS Gothic" w:cs="MS Gothic"/>
          <w:color w:val="000000"/>
          <w:sz w:val="20"/>
          <w:szCs w:val="20"/>
          <w:lang w:val="es-ES" w:eastAsia="es-ES"/>
        </w:rPr>
        <w:t> </w:t>
      </w:r>
      <w:r w:rsidRPr="001A2FD6">
        <w:rPr>
          <w:rFonts w:ascii="Verdana" w:eastAsia="Calibri" w:hAnsi="Verdana" w:cs="Arial"/>
          <w:color w:val="000000"/>
          <w:sz w:val="20"/>
          <w:szCs w:val="20"/>
          <w:lang w:val="es-ES" w:eastAsia="es-ES"/>
        </w:rPr>
        <w:t>2020 y/o demás normas que regulan la materia que deban verificarse obligatoriamente antes de suscribir un convenio de formalización de recursos de regalías por parte de la entidad estatal?</w:t>
      </w:r>
    </w:p>
    <w:p w14:paraId="6F451329" w14:textId="77777777" w:rsidR="001A2FD6" w:rsidRPr="001A2FD6" w:rsidRDefault="001A2FD6" w:rsidP="001A2FD6">
      <w:pPr>
        <w:ind w:left="708" w:right="709" w:firstLine="1"/>
        <w:jc w:val="both"/>
        <w:rPr>
          <w:rFonts w:ascii="Verdana" w:eastAsia="Calibri" w:hAnsi="Verdana" w:cs="Arial"/>
          <w:color w:val="000000"/>
          <w:sz w:val="20"/>
          <w:szCs w:val="20"/>
          <w:lang w:val="es-ES" w:eastAsia="es-ES"/>
        </w:rPr>
      </w:pPr>
      <w:r w:rsidRPr="001A2FD6">
        <w:rPr>
          <w:rFonts w:ascii="Verdana" w:eastAsia="Calibri" w:hAnsi="Verdana" w:cs="Arial"/>
          <w:color w:val="000000"/>
          <w:sz w:val="20"/>
          <w:szCs w:val="20"/>
          <w:lang w:val="es-ES" w:eastAsia="es-ES"/>
        </w:rPr>
        <w:t>3. ¿Qué consecuencias jurídicas prevé el SGR para el proyecto de inversión si se identifica que una de las partes suscriptoras del convenio de formalización se encontraba incursa en una inhabilidad no detectada a tiempo?</w:t>
      </w:r>
    </w:p>
    <w:p w14:paraId="47FCEC97" w14:textId="492F87B3" w:rsidR="001A2FD6" w:rsidRPr="001A2FD6" w:rsidRDefault="001A2FD6" w:rsidP="001A2FD6">
      <w:pPr>
        <w:ind w:left="708" w:right="709" w:firstLine="1"/>
        <w:jc w:val="both"/>
        <w:rPr>
          <w:rFonts w:ascii="Verdana" w:eastAsia="Calibri" w:hAnsi="Verdana" w:cs="Arial"/>
          <w:color w:val="000000"/>
          <w:sz w:val="20"/>
          <w:szCs w:val="20"/>
          <w:lang w:val="es-ES" w:eastAsia="es-ES"/>
        </w:rPr>
      </w:pPr>
      <w:r w:rsidRPr="001A2FD6">
        <w:rPr>
          <w:rFonts w:ascii="Verdana" w:eastAsia="Calibri" w:hAnsi="Verdana" w:cs="Arial"/>
          <w:color w:val="000000"/>
          <w:sz w:val="20"/>
          <w:szCs w:val="20"/>
          <w:lang w:val="es-ES" w:eastAsia="es-ES"/>
        </w:rPr>
        <w:t xml:space="preserve">4. </w:t>
      </w:r>
      <w:r w:rsidRPr="00E70104">
        <w:rPr>
          <w:rFonts w:ascii="Verdana" w:hAnsi="Verdana"/>
          <w:sz w:val="20"/>
          <w:szCs w:val="20"/>
          <w:lang w:val="es-ES" w:eastAsia="es-ES"/>
        </w:rPr>
        <w:t>¿Puede el alcalde municipal SI o NO continuar con la suscripción del convenio de formalización en los términos del artículo 101 de la ley 2056 de 2020, con el consejo comunitario de negritudes de la vereda caño bodegas representada legalmente por</w:t>
      </w:r>
      <w:r w:rsidR="00B664A0">
        <w:rPr>
          <w:rFonts w:ascii="Verdana" w:hAnsi="Verdana"/>
          <w:sz w:val="20"/>
          <w:szCs w:val="20"/>
          <w:lang w:val="es-ES" w:eastAsia="es-ES"/>
        </w:rPr>
        <w:t xml:space="preserve"> </w:t>
      </w:r>
      <w:r w:rsidR="00B664A0" w:rsidRPr="00B664A0">
        <w:rPr>
          <w:rFonts w:ascii="Verdana" w:hAnsi="Verdana"/>
          <w:sz w:val="20"/>
          <w:szCs w:val="20"/>
          <w:lang w:val="es-ES" w:eastAsia="es-ES"/>
        </w:rPr>
        <w:t>[...]</w:t>
      </w:r>
      <w:r w:rsidRPr="00B664A0">
        <w:rPr>
          <w:rFonts w:ascii="Verdana" w:hAnsi="Verdana"/>
          <w:sz w:val="20"/>
          <w:szCs w:val="20"/>
          <w:lang w:val="es-ES" w:eastAsia="es-ES"/>
        </w:rPr>
        <w:t xml:space="preserve">, que es hermana de un concejal del municipio de </w:t>
      </w:r>
      <w:r w:rsidR="00B664A0" w:rsidRPr="00B664A0">
        <w:rPr>
          <w:rFonts w:ascii="Verdana" w:hAnsi="Verdana"/>
          <w:sz w:val="20"/>
          <w:szCs w:val="20"/>
          <w:lang w:val="es-ES" w:eastAsia="es-ES"/>
        </w:rPr>
        <w:t>[...]</w:t>
      </w:r>
      <w:r w:rsidRPr="00B664A0">
        <w:rPr>
          <w:rFonts w:ascii="Verdana" w:hAnsi="Verdana"/>
          <w:sz w:val="20"/>
          <w:szCs w:val="20"/>
          <w:lang w:val="es-ES" w:eastAsia="es-ES"/>
        </w:rPr>
        <w:t>?</w:t>
      </w:r>
    </w:p>
    <w:p w14:paraId="4D0D333F" w14:textId="77777777" w:rsidR="001A2FD6" w:rsidRPr="001A2FD6" w:rsidRDefault="001A2FD6" w:rsidP="001A2FD6">
      <w:pPr>
        <w:spacing w:after="120" w:line="276" w:lineRule="auto"/>
        <w:jc w:val="both"/>
        <w:rPr>
          <w:rFonts w:ascii="Verdana" w:eastAsia="Calibri" w:hAnsi="Verdana" w:cs="Arial"/>
          <w:color w:val="000000"/>
          <w:sz w:val="22"/>
          <w:szCs w:val="22"/>
          <w:lang w:val="es-ES" w:eastAsia="es-ES"/>
        </w:rPr>
      </w:pPr>
    </w:p>
    <w:p w14:paraId="0E73E24A" w14:textId="77777777" w:rsidR="001A2FD6" w:rsidRPr="001A2FD6" w:rsidRDefault="001A2FD6" w:rsidP="001A2FD6">
      <w:pPr>
        <w:spacing w:after="120" w:line="276" w:lineRule="auto"/>
        <w:ind w:firstLine="709"/>
        <w:jc w:val="both"/>
        <w:rPr>
          <w:rFonts w:ascii="Verdana" w:eastAsia="Calibri" w:hAnsi="Verdana" w:cs="Arial"/>
          <w:color w:val="000000"/>
          <w:sz w:val="22"/>
          <w:szCs w:val="22"/>
          <w:lang w:val="es-ES" w:eastAsia="es-ES"/>
        </w:rPr>
      </w:pPr>
      <w:r w:rsidRPr="001A2FD6">
        <w:rPr>
          <w:rFonts w:ascii="Verdana" w:eastAsia="Calibri" w:hAnsi="Verdana" w:cs="Arial"/>
          <w:color w:val="000000"/>
          <w:sz w:val="22"/>
          <w:szCs w:val="22"/>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A2FD6">
        <w:rPr>
          <w:rFonts w:ascii="Verdana" w:eastAsia="Calibri" w:hAnsi="Verdana" w:cs="Arial"/>
          <w:color w:val="000000"/>
          <w:sz w:val="22"/>
          <w:szCs w:val="22"/>
          <w:lang w:val="es-ES_tradnl"/>
        </w:rPr>
        <w:tab/>
      </w:r>
    </w:p>
    <w:p w14:paraId="0EBCE1AA" w14:textId="77777777" w:rsidR="001A2FD6" w:rsidRPr="001A2FD6" w:rsidRDefault="001A2FD6" w:rsidP="001A2FD6">
      <w:pPr>
        <w:spacing w:line="276" w:lineRule="auto"/>
        <w:ind w:firstLine="709"/>
        <w:jc w:val="both"/>
        <w:rPr>
          <w:rFonts w:ascii="Verdana" w:eastAsia="Calibri" w:hAnsi="Verdana" w:cs="Arial"/>
          <w:color w:val="000000"/>
          <w:sz w:val="22"/>
          <w:szCs w:val="22"/>
          <w:lang w:val="es-ES" w:eastAsia="es-ES"/>
        </w:rPr>
      </w:pPr>
      <w:r w:rsidRPr="001A2FD6">
        <w:rPr>
          <w:rFonts w:ascii="Verdana" w:eastAsia="Calibri" w:hAnsi="Verdana" w:cs="Arial"/>
          <w:color w:val="000000"/>
          <w:sz w:val="22"/>
          <w:szCs w:val="22"/>
          <w:lang w:val="es-ES" w:eastAsia="es-ES"/>
        </w:rPr>
        <w:lastRenderedPageBreak/>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1A2FD6">
        <w:rPr>
          <w:rFonts w:ascii="Verdana" w:eastAsia="Calibri" w:hAnsi="Verdana" w:cs="Arial"/>
          <w:color w:val="7030A0"/>
          <w:sz w:val="22"/>
          <w:szCs w:val="22"/>
          <w:lang w:val="es-ES" w:eastAsia="es-ES"/>
        </w:rPr>
        <w:t xml:space="preserve"> </w:t>
      </w:r>
      <w:r w:rsidRPr="001A2FD6">
        <w:rPr>
          <w:rFonts w:ascii="Verdana" w:eastAsia="Calibri" w:hAnsi="Verdana" w:cs="Arial"/>
          <w:color w:val="000000"/>
          <w:sz w:val="22"/>
          <w:szCs w:val="22"/>
          <w:lang w:val="es-ES" w:eastAsia="es-ES"/>
        </w:rPr>
        <w:t>problema</w:t>
      </w:r>
      <w:r w:rsidRPr="001A2FD6">
        <w:rPr>
          <w:rFonts w:ascii="Verdana" w:eastAsia="Calibri" w:hAnsi="Verdana" w:cs="Arial"/>
          <w:color w:val="7030A0"/>
          <w:sz w:val="22"/>
          <w:szCs w:val="22"/>
          <w:lang w:val="es-ES" w:eastAsia="es-ES"/>
        </w:rPr>
        <w:t xml:space="preserve"> </w:t>
      </w:r>
      <w:r w:rsidRPr="001A2FD6">
        <w:rPr>
          <w:rFonts w:ascii="Verdana" w:eastAsia="Calibri" w:hAnsi="Verdana" w:cs="Arial"/>
          <w:color w:val="000000"/>
          <w:sz w:val="22"/>
          <w:szCs w:val="22"/>
          <w:lang w:val="es-ES" w:eastAsia="es-ES"/>
        </w:rPr>
        <w:t>jurídico</w:t>
      </w:r>
      <w:r w:rsidRPr="001A2FD6">
        <w:rPr>
          <w:rFonts w:ascii="Verdana" w:eastAsia="Calibri" w:hAnsi="Verdana" w:cs="Arial"/>
          <w:color w:val="7030A0"/>
          <w:sz w:val="22"/>
          <w:szCs w:val="22"/>
          <w:lang w:val="es-ES" w:eastAsia="es-ES"/>
        </w:rPr>
        <w:t xml:space="preserve"> </w:t>
      </w:r>
      <w:r w:rsidRPr="001A2FD6">
        <w:rPr>
          <w:rFonts w:ascii="Verdana" w:eastAsia="Calibri" w:hAnsi="Verdana" w:cs="Arial"/>
          <w:color w:val="000000"/>
          <w:sz w:val="22"/>
          <w:szCs w:val="22"/>
          <w:lang w:val="es-ES" w:eastAsia="es-ES"/>
        </w:rPr>
        <w:t xml:space="preserve">de su consulta.  </w:t>
      </w:r>
    </w:p>
    <w:p w14:paraId="7F29F3BF" w14:textId="77777777" w:rsidR="001A2FD6" w:rsidRPr="001A2FD6" w:rsidRDefault="001A2FD6" w:rsidP="001A2FD6">
      <w:pPr>
        <w:ind w:firstLine="709"/>
        <w:jc w:val="both"/>
        <w:rPr>
          <w:rFonts w:ascii="Verdana" w:eastAsia="Calibri" w:hAnsi="Verdana" w:cs="Arial"/>
          <w:color w:val="000000"/>
          <w:sz w:val="22"/>
          <w:szCs w:val="22"/>
          <w:lang w:val="es-ES" w:eastAsia="es-ES"/>
        </w:rPr>
      </w:pPr>
    </w:p>
    <w:p w14:paraId="0778E10C" w14:textId="77777777" w:rsidR="001A2FD6" w:rsidRPr="001A2FD6" w:rsidRDefault="001A2FD6" w:rsidP="001A2FD6">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1A2FD6">
        <w:rPr>
          <w:rFonts w:ascii="Verdana" w:eastAsia="Century Gothic" w:hAnsi="Verdana" w:cs="Century Gothic"/>
          <w:b/>
          <w:bCs/>
          <w:sz w:val="22"/>
          <w:szCs w:val="22"/>
          <w:lang w:val="es-ES"/>
        </w:rPr>
        <w:t>Problemas planteados:</w:t>
      </w:r>
    </w:p>
    <w:p w14:paraId="435E4A2C" w14:textId="77777777" w:rsidR="001A2FD6" w:rsidRPr="001A2FD6" w:rsidRDefault="001A2FD6" w:rsidP="001A2FD6">
      <w:pPr>
        <w:tabs>
          <w:tab w:val="left" w:pos="426"/>
        </w:tabs>
        <w:jc w:val="both"/>
        <w:rPr>
          <w:rFonts w:ascii="Verdana" w:eastAsia="Century Gothic" w:hAnsi="Verdana" w:cs="Century Gothic"/>
          <w:sz w:val="22"/>
          <w:szCs w:val="22"/>
          <w:lang w:val="es-ES"/>
        </w:rPr>
      </w:pPr>
    </w:p>
    <w:p w14:paraId="13505866" w14:textId="77777777" w:rsidR="001A2FD6" w:rsidRPr="001A2FD6" w:rsidRDefault="001A2FD6" w:rsidP="001A2FD6">
      <w:pPr>
        <w:spacing w:line="276" w:lineRule="auto"/>
        <w:jc w:val="both"/>
        <w:rPr>
          <w:rFonts w:ascii="Verdana" w:eastAsia="Century Gothic" w:hAnsi="Verdana" w:cs="Century Gothic"/>
          <w:sz w:val="22"/>
          <w:szCs w:val="22"/>
        </w:rPr>
      </w:pPr>
      <w:r w:rsidRPr="001A2FD6">
        <w:rPr>
          <w:rFonts w:ascii="Verdana" w:eastAsia="Century Gothic" w:hAnsi="Verdana" w:cs="Century Gothic"/>
          <w:sz w:val="22"/>
          <w:szCs w:val="22"/>
        </w:rPr>
        <w:t>De acuerdo con el contenido de su solicitud, esta Agencia resolverá los siguientes problemas jurídicos:  i) ¿Cuál es el régimen jurídico aplicable a los proyectos de inversión de las comunidades negras, afrocolombianas, raizales y palenqueras financiados con recursos del Sistema General de Regalías y, particularmente, a los convenios de formalización previstos en el artículo 101 de la Ley 2056 de 2020?; ii) ¿Cómo se articula el régimen especial aplicable a los convenios de formalización previstos en el artículo 101 de la Ley 2056 de 2020 con el régimen de inhabilidades e incompatibilidades para contratar con el Estado?; iii) ¿Cuál es el alcance de las inhabilidades derivadas del parentesco con alcaldes para la celebración de los convenios de formalización previstos en el artículo 101 de la Ley 2056 de 2020, en el marco del Sistema General de Regalías, particularmente frente a los supuestos de contratación directa e indirecta?</w:t>
      </w:r>
    </w:p>
    <w:p w14:paraId="0C5BEF70" w14:textId="77777777" w:rsidR="001A2FD6" w:rsidRPr="001A2FD6" w:rsidRDefault="001A2FD6" w:rsidP="001A2FD6">
      <w:pPr>
        <w:jc w:val="both"/>
        <w:rPr>
          <w:rFonts w:ascii="Verdana" w:eastAsia="Calibri" w:hAnsi="Verdana" w:cs="Arial"/>
          <w:color w:val="7030A0"/>
          <w:sz w:val="22"/>
          <w:szCs w:val="22"/>
        </w:rPr>
      </w:pPr>
    </w:p>
    <w:p w14:paraId="3DFD5FDF" w14:textId="77777777" w:rsidR="001A2FD6" w:rsidRPr="001A2FD6" w:rsidRDefault="001A2FD6" w:rsidP="001A2FD6">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1A2FD6">
        <w:rPr>
          <w:rFonts w:ascii="Verdana" w:eastAsia="Century Gothic" w:hAnsi="Verdana" w:cs="Century Gothic"/>
          <w:b/>
          <w:bCs/>
          <w:sz w:val="22"/>
          <w:szCs w:val="22"/>
          <w:lang w:val="es-ES"/>
        </w:rPr>
        <w:t>Respuestas:</w:t>
      </w:r>
    </w:p>
    <w:p w14:paraId="3C53D317" w14:textId="77777777" w:rsidR="001A2FD6" w:rsidRPr="001A2FD6" w:rsidRDefault="001A2FD6" w:rsidP="001A2FD6">
      <w:pPr>
        <w:tabs>
          <w:tab w:val="left" w:pos="142"/>
          <w:tab w:val="left" w:pos="284"/>
        </w:tabs>
        <w:jc w:val="both"/>
        <w:rPr>
          <w:rFonts w:ascii="Verdana" w:eastAsia="Century Gothic" w:hAnsi="Verdana" w:cs="Century Gothic"/>
          <w:b/>
          <w:bCs/>
          <w:sz w:val="22"/>
          <w:szCs w:val="22"/>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2FD6" w:rsidRPr="001A2FD6" w14:paraId="1187ADF4" w14:textId="77777777" w:rsidTr="00B46413">
        <w:trPr>
          <w:jc w:val="center"/>
        </w:trPr>
        <w:tc>
          <w:tcPr>
            <w:tcW w:w="8828" w:type="dxa"/>
          </w:tcPr>
          <w:p w14:paraId="76D5F477" w14:textId="77777777" w:rsidR="001A2FD6" w:rsidRPr="001A2FD6" w:rsidRDefault="001A2FD6" w:rsidP="001A2FD6">
            <w:pPr>
              <w:tabs>
                <w:tab w:val="left" w:pos="0"/>
              </w:tabs>
              <w:spacing w:line="276" w:lineRule="auto"/>
              <w:jc w:val="both"/>
              <w:rPr>
                <w:rFonts w:ascii="Verdana" w:eastAsia="Calibri" w:hAnsi="Verdana" w:cs="Arial"/>
                <w:bCs/>
                <w:color w:val="000000" w:themeColor="text1"/>
                <w:sz w:val="22"/>
                <w:szCs w:val="22"/>
              </w:rPr>
            </w:pPr>
            <w:bookmarkStart w:id="1" w:name="_Hlk171694685"/>
            <w:r w:rsidRPr="001A2FD6">
              <w:rPr>
                <w:rFonts w:ascii="Verdana" w:eastAsia="Calibri" w:hAnsi="Verdana" w:cs="Arial"/>
                <w:bCs/>
                <w:color w:val="000000" w:themeColor="text1"/>
                <w:sz w:val="22"/>
                <w:szCs w:val="22"/>
              </w:rPr>
              <w:t>De acuerdo con el contenido de su solicitud, y conforme a la interpretación general de las normas del sistema de compras públicas, esta Agencia resuelve su consulta en los siguientes términos:</w:t>
            </w:r>
          </w:p>
          <w:p w14:paraId="091074A4" w14:textId="77777777" w:rsidR="001A2FD6" w:rsidRPr="001A2FD6" w:rsidRDefault="001A2FD6" w:rsidP="001A2FD6">
            <w:pPr>
              <w:tabs>
                <w:tab w:val="left" w:pos="0"/>
              </w:tabs>
              <w:spacing w:line="276" w:lineRule="auto"/>
              <w:jc w:val="both"/>
              <w:rPr>
                <w:rFonts w:ascii="Verdana" w:eastAsia="Calibri" w:hAnsi="Verdana" w:cs="Arial"/>
                <w:bCs/>
                <w:color w:val="000000" w:themeColor="text1"/>
                <w:sz w:val="22"/>
                <w:szCs w:val="22"/>
              </w:rPr>
            </w:pPr>
          </w:p>
          <w:p w14:paraId="57577159" w14:textId="77777777" w:rsidR="001A2FD6" w:rsidRPr="001A2FD6" w:rsidRDefault="001A2FD6" w:rsidP="001A2FD6">
            <w:pPr>
              <w:tabs>
                <w:tab w:val="left" w:pos="0"/>
              </w:tabs>
              <w:spacing w:after="120" w:line="276" w:lineRule="auto"/>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i. En torno al primer problema jurídico, se precisa que la Ley 2056 de 2020 establece reglas particulares para la financiación y ejecución de proyectos de inversión con enfoque diferencial destinados a las comunidades negras, afrocolombianas, raizales y palenqueras con recursos del Sistema General de Regalías. Para estos efectos, es necesario identificar la fuente de financiación del respectivo proyecto, pues la ley contempla, entre otros, recursos provenientes de la destinación específica establecida dentro de las Asignaciones Directas y aquellos correspondientes al componente étnico de la Asignación para la Inversión Local, sin que ambos se sometan al mismo </w:t>
            </w:r>
            <w:r w:rsidRPr="001A2FD6">
              <w:rPr>
                <w:rFonts w:ascii="Verdana" w:eastAsia="Calibri" w:hAnsi="Verdana" w:cs="Arial"/>
                <w:bCs/>
                <w:color w:val="000000" w:themeColor="text1"/>
                <w:sz w:val="22"/>
                <w:szCs w:val="22"/>
              </w:rPr>
              <w:lastRenderedPageBreak/>
              <w:t xml:space="preserve">procedimiento. En particular, tratándose de proyectos financiados con el porcentaje de las Asignaciones Directas destinado a estas comunidades, el artículo 101 establece un procedimiento específico que comprende la viabilidad, registro, priorización y aprobación del proyecto, la posterior formalización de su entrega mediante convenio y, finalmente, la designación de la entidad ejecutora. </w:t>
            </w:r>
          </w:p>
          <w:p w14:paraId="50A43EE5" w14:textId="77777777" w:rsidR="001A2FD6" w:rsidRPr="001A2FD6" w:rsidRDefault="001A2FD6" w:rsidP="001A2FD6">
            <w:pPr>
              <w:tabs>
                <w:tab w:val="left" w:pos="0"/>
              </w:tabs>
              <w:spacing w:after="120"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En este contexto, el convenio de formalización previsto en el artículo 101 de la Ley 2056 de 2020 responde a una regulación especial. Es la propia ley la que determina los sujetos que deben concurrir a su celebración, su objeto, la oportunidad en que debe suscribirse y las actuaciones que deben haberse surtido previamente. Así, una vez aprobado el proyecto de inversión, la disposición establece que, dentro de los dos meses siguientes, deberá celebrarse el convenio entre el alcalde o gobernador y el representante legal que haya presentado el proyecto, con el propósito de formalizar su entrega. Posteriormente, corresponde a la respectiva entidad territorial designar mediante acto administrativo a la entidad ejecutora propuesta, que tendrá a su cargo la ejecución del proyecto en los términos establecidos por la ley.</w:t>
            </w:r>
          </w:p>
          <w:p w14:paraId="480DAFAE" w14:textId="77777777" w:rsidR="001A2FD6" w:rsidRPr="001A2FD6" w:rsidRDefault="001A2FD6" w:rsidP="001A2FD6">
            <w:pPr>
              <w:tabs>
                <w:tab w:val="left" w:pos="0"/>
              </w:tabs>
              <w:spacing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Por ello, debe diferenciarse el convenio de formalización de los actos y contratos que posteriormente se celebren para la ejecución material del proyecto. Mientras el primero constituye una actuación expresamente regulada por el artículo 101 y cumple la función específica de formalizar la entrega de un proyecto previamente aprobado, la contratación que posteriormente adelante la entidad ejecutora se encuentra sometida a las reglas previstas para la etapa de ejecución. En particular, el parágrafo segundo del artículo 98 establece que la ejecución de los proyectos allí regulados se adelantará con estricta sujeción al régimen presupuestal de la Ley 2056 de 2020 y al régimen de contratación pública o a las normas legales vigentes, mientras que el artículo 99 dispone que los actos y contratos expedidos o celebrados por los ejecutores se regirán, entre otras disposiciones, por el Estatuto General de Contratación de la Administración Pública -EGCAP-. </w:t>
            </w:r>
          </w:p>
          <w:p w14:paraId="501993E8" w14:textId="77777777" w:rsidR="001A2FD6" w:rsidRPr="001A2FD6" w:rsidRDefault="001A2FD6" w:rsidP="001A2FD6">
            <w:pPr>
              <w:tabs>
                <w:tab w:val="left" w:pos="0"/>
              </w:tabs>
              <w:spacing w:line="276" w:lineRule="auto"/>
              <w:ind w:firstLine="709"/>
              <w:jc w:val="both"/>
              <w:rPr>
                <w:rFonts w:ascii="Verdana" w:eastAsia="Calibri" w:hAnsi="Verdana" w:cs="Arial"/>
                <w:bCs/>
                <w:color w:val="000000" w:themeColor="text1"/>
                <w:sz w:val="22"/>
                <w:szCs w:val="22"/>
              </w:rPr>
            </w:pPr>
          </w:p>
          <w:p w14:paraId="004C0221" w14:textId="77777777" w:rsidR="001A2FD6" w:rsidRPr="001A2FD6" w:rsidRDefault="001A2FD6" w:rsidP="001A2FD6">
            <w:pPr>
              <w:tabs>
                <w:tab w:val="left" w:pos="0"/>
              </w:tabs>
              <w:spacing w:after="120" w:line="276" w:lineRule="auto"/>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ii. En relación con el segundo problema jurídico, se detalla que la existencia de este régimen especial para el convenio de formalización no supone una exclusión del régimen de inhabilidades e incompatibilidades establecido por la Constitución y la ley. La especialidad del artículo 101 determina la manera en que debe surtirse esta actuación dentro del ciclo del proyecto y establece </w:t>
            </w:r>
            <w:r w:rsidRPr="001A2FD6">
              <w:rPr>
                <w:rFonts w:ascii="Verdana" w:eastAsia="Calibri" w:hAnsi="Verdana" w:cs="Arial"/>
                <w:bCs/>
                <w:color w:val="000000" w:themeColor="text1"/>
                <w:sz w:val="22"/>
                <w:szCs w:val="22"/>
              </w:rPr>
              <w:lastRenderedPageBreak/>
              <w:t xml:space="preserve">legalmente quiénes están llamados a concurrir a su celebración, pero no contiene una excepción que habilite a suscribir el convenio cuando alguno de los sujetos se encuentre comprendido en una inhabilidad legal para contratar con el Estado. </w:t>
            </w:r>
          </w:p>
          <w:p w14:paraId="7EFA4D1A" w14:textId="77777777" w:rsidR="001A2FD6" w:rsidRPr="001A2FD6" w:rsidRDefault="001A2FD6" w:rsidP="001A2FD6">
            <w:pPr>
              <w:tabs>
                <w:tab w:val="left" w:pos="0"/>
              </w:tabs>
              <w:spacing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En efecto, las inhabilidades e incompatibilidades constituyen limitaciones de origen constitucional o legal a la capacidad para establecer relaciones contractuales con el Estado, dirigidas a salvaguardar, entre otros, los principios de moralidad, imparcialidad y transparencia de la función administrativa. Por su naturaleza restrictiva, sus causales son taxativas y deben interpretarse de manera restrictiva, de modo que su configuración exige verificar los elementos que el legislador haya previsto para cada supuesto, sin que resulte jurídicamente procedente crear inhabilidades por analogía o extender las existentes a situaciones no comprendidas en la respectiva disposición. </w:t>
            </w:r>
          </w:p>
          <w:p w14:paraId="636CE996" w14:textId="77777777" w:rsidR="001A2FD6" w:rsidRPr="001A2FD6" w:rsidRDefault="001A2FD6" w:rsidP="001A2FD6">
            <w:pPr>
              <w:tabs>
                <w:tab w:val="left" w:pos="0"/>
              </w:tabs>
              <w:spacing w:line="276" w:lineRule="auto"/>
              <w:ind w:firstLine="709"/>
              <w:jc w:val="both"/>
              <w:rPr>
                <w:rFonts w:ascii="Verdana" w:eastAsia="Calibri" w:hAnsi="Verdana" w:cs="Arial"/>
                <w:bCs/>
                <w:color w:val="000000" w:themeColor="text1"/>
                <w:sz w:val="22"/>
                <w:szCs w:val="22"/>
              </w:rPr>
            </w:pPr>
          </w:p>
          <w:p w14:paraId="644A138E" w14:textId="77777777" w:rsidR="001A2FD6" w:rsidRPr="001A2FD6" w:rsidRDefault="001A2FD6" w:rsidP="001A2FD6">
            <w:pPr>
              <w:spacing w:after="120" w:line="276" w:lineRule="auto"/>
              <w:jc w:val="both"/>
              <w:rPr>
                <w:rFonts w:ascii="Verdana" w:eastAsia="Calibri" w:hAnsi="Verdana" w:cs="Arial"/>
                <w:sz w:val="22"/>
                <w:szCs w:val="22"/>
                <w:lang w:val="es-ES_tradnl" w:eastAsia="en-US"/>
              </w:rPr>
            </w:pPr>
            <w:r w:rsidRPr="001A2FD6">
              <w:rPr>
                <w:rFonts w:ascii="Verdana" w:eastAsia="Calibri" w:hAnsi="Verdana" w:cs="Arial"/>
                <w:bCs/>
                <w:color w:val="000000" w:themeColor="text1"/>
                <w:sz w:val="22"/>
                <w:szCs w:val="22"/>
              </w:rPr>
              <w:t xml:space="preserve">iii. En torno al tercer problema jurídico de consulta, </w:t>
            </w:r>
            <w:r w:rsidRPr="001A2FD6">
              <w:rPr>
                <w:rFonts w:ascii="Verdana" w:eastAsia="Calibri" w:hAnsi="Verdana" w:cs="Arial"/>
                <w:sz w:val="22"/>
                <w:szCs w:val="22"/>
                <w:lang w:val="es-ES_tradnl" w:eastAsia="en-US"/>
              </w:rPr>
              <w:t>el artículo 49, inciso tercero, de la Ley 617 de 2000, modificado por las Leyes 821 de 2003, 1148 de 2007 y 1296 de 2009, establece la prohibición que los gobernadores, diputados, alcaldes y concejales celebren contratos para beneficiar a sus parientes hasta el cuarto grado de consanguinidad (</w:t>
            </w:r>
            <w:r w:rsidRPr="001A2FD6">
              <w:rPr>
                <w:rFonts w:ascii="Verdana" w:eastAsia="Calibri" w:hAnsi="Verdana" w:cs="Arial"/>
                <w:sz w:val="22"/>
                <w:szCs w:val="22"/>
                <w:lang w:eastAsia="en-US"/>
              </w:rPr>
              <w:t xml:space="preserve">el </w:t>
            </w:r>
            <w:r w:rsidRPr="001A2FD6">
              <w:rPr>
                <w:rFonts w:ascii="Verdana" w:eastAsia="Calibri" w:hAnsi="Verdana" w:cs="Arial"/>
                <w:bCs/>
                <w:sz w:val="22"/>
                <w:szCs w:val="22"/>
                <w:lang w:eastAsia="en-US"/>
              </w:rPr>
              <w:t>primer grado</w:t>
            </w:r>
            <w:r w:rsidRPr="001A2FD6">
              <w:rPr>
                <w:rFonts w:ascii="Verdana" w:eastAsia="Calibri" w:hAnsi="Verdana" w:cs="Arial"/>
                <w:sz w:val="22"/>
                <w:szCs w:val="22"/>
                <w:lang w:eastAsia="en-US"/>
              </w:rPr>
              <w:t xml:space="preserve"> son padres e hijos; el </w:t>
            </w:r>
            <w:r w:rsidRPr="001A2FD6">
              <w:rPr>
                <w:rFonts w:ascii="Verdana" w:eastAsia="Calibri" w:hAnsi="Verdana" w:cs="Arial"/>
                <w:bCs/>
                <w:sz w:val="22"/>
                <w:szCs w:val="22"/>
                <w:lang w:eastAsia="en-US"/>
              </w:rPr>
              <w:t>segundo</w:t>
            </w:r>
            <w:r w:rsidRPr="001A2FD6">
              <w:rPr>
                <w:rFonts w:ascii="Verdana" w:eastAsia="Calibri" w:hAnsi="Verdana" w:cs="Arial"/>
                <w:sz w:val="22"/>
                <w:szCs w:val="22"/>
                <w:lang w:eastAsia="en-US"/>
              </w:rPr>
              <w:t xml:space="preserve"> son hermanos, abuelos y nietos; el </w:t>
            </w:r>
            <w:r w:rsidRPr="001A2FD6">
              <w:rPr>
                <w:rFonts w:ascii="Verdana" w:eastAsia="Calibri" w:hAnsi="Verdana" w:cs="Arial"/>
                <w:bCs/>
                <w:sz w:val="22"/>
                <w:szCs w:val="22"/>
                <w:lang w:eastAsia="en-US"/>
              </w:rPr>
              <w:t xml:space="preserve">tercero </w:t>
            </w:r>
            <w:r w:rsidRPr="001A2FD6">
              <w:rPr>
                <w:rFonts w:ascii="Verdana" w:eastAsia="Calibri" w:hAnsi="Verdana" w:cs="Arial"/>
                <w:sz w:val="22"/>
                <w:szCs w:val="22"/>
                <w:lang w:eastAsia="en-US"/>
              </w:rPr>
              <w:t>incluye tíos, sobrinos, bisabuelos y bisnietos; y el </w:t>
            </w:r>
            <w:r w:rsidRPr="001A2FD6">
              <w:rPr>
                <w:rFonts w:ascii="Verdana" w:eastAsia="Calibri" w:hAnsi="Verdana" w:cs="Arial"/>
                <w:bCs/>
                <w:sz w:val="22"/>
                <w:szCs w:val="22"/>
                <w:lang w:eastAsia="en-US"/>
              </w:rPr>
              <w:t>cuarto</w:t>
            </w:r>
            <w:r w:rsidRPr="001A2FD6">
              <w:rPr>
                <w:rFonts w:ascii="Verdana" w:eastAsia="Calibri" w:hAnsi="Verdana" w:cs="Arial"/>
                <w:sz w:val="22"/>
                <w:szCs w:val="22"/>
                <w:lang w:eastAsia="en-US"/>
              </w:rPr>
              <w:t> son primos hermanos y tíos abuelos)</w:t>
            </w:r>
            <w:r w:rsidRPr="001A2FD6">
              <w:rPr>
                <w:rFonts w:ascii="Verdana" w:eastAsia="Calibri" w:hAnsi="Verdana" w:cs="Arial"/>
                <w:sz w:val="22"/>
                <w:szCs w:val="22"/>
                <w:lang w:val="es-ES_tradnl" w:eastAsia="en-US"/>
              </w:rPr>
              <w:t xml:space="preserve">, segundo de afinidad </w:t>
            </w:r>
            <w:r w:rsidRPr="001A2FD6">
              <w:rPr>
                <w:rFonts w:ascii="Verdana" w:eastAsia="Calibri" w:hAnsi="Verdana" w:cs="Arial"/>
                <w:sz w:val="22"/>
                <w:szCs w:val="22"/>
                <w:lang w:eastAsia="en-US"/>
              </w:rPr>
              <w:t xml:space="preserve"> (suegros, hijos de la cónyuge, abuelos del cónyuge, nietos del cónyuge, cuñados)</w:t>
            </w:r>
            <w:r w:rsidRPr="001A2FD6">
              <w:rPr>
                <w:rFonts w:ascii="Verdana" w:eastAsia="Calibri" w:hAnsi="Verdana" w:cs="Arial"/>
                <w:sz w:val="22"/>
                <w:szCs w:val="22"/>
                <w:lang w:val="es-ES_tradnl" w:eastAsia="en-US"/>
              </w:rPr>
              <w:t>, primera de civil, cónyuges y compañeros permanentes, directa o indirectamente. Dado que pueden actuar en calidad socios o representantes legales de la empresa que contrata con el departamento, distrito o municipio, o con sus entidades descentralizadas, la incompatibilidad aplica a quienes tengan ambas calidades.</w:t>
            </w:r>
          </w:p>
          <w:p w14:paraId="08DD164A" w14:textId="77777777" w:rsidR="001A2FD6" w:rsidRPr="001A2FD6" w:rsidRDefault="001A2FD6" w:rsidP="001A2FD6">
            <w:pPr>
              <w:spacing w:after="120" w:line="276" w:lineRule="auto"/>
              <w:ind w:firstLine="709"/>
              <w:jc w:val="both"/>
              <w:rPr>
                <w:rFonts w:ascii="Verdana" w:eastAsia="Calibri" w:hAnsi="Verdana" w:cs="Arial"/>
                <w:bCs/>
                <w:color w:val="000000" w:themeColor="text1"/>
                <w:sz w:val="22"/>
                <w:szCs w:val="22"/>
                <w:lang w:val="es-ES_tradnl"/>
              </w:rPr>
            </w:pPr>
            <w:r w:rsidRPr="001A2FD6">
              <w:rPr>
                <w:rFonts w:ascii="Verdana" w:eastAsia="Calibri" w:hAnsi="Verdana" w:cs="Arial"/>
                <w:sz w:val="22"/>
                <w:szCs w:val="22"/>
                <w:lang w:val="es-ES_tradnl" w:eastAsia="en-US"/>
              </w:rPr>
              <w:t xml:space="preserve">Esto en la medida que, conforme a lo explicado en este concepto, la norma prohíbe toda forma de gestión contractual directa o indirecta, esto es, encubierta realizada subrepticiamente a través de terceras personas. </w:t>
            </w:r>
            <w:r w:rsidRPr="001A2FD6">
              <w:rPr>
                <w:rFonts w:ascii="Verdana" w:eastAsia="Calibri" w:hAnsi="Verdana" w:cs="Arial"/>
                <w:bCs/>
                <w:color w:val="000000" w:themeColor="text1"/>
                <w:sz w:val="22"/>
                <w:szCs w:val="22"/>
              </w:rPr>
              <w:t xml:space="preserve">En este sentido, la prohibición no se desvirtúa por el solo hecho de que quien figure formalmente como parte del contrato o convenio sea una persona jurídica u organización distinta del pariente del servidor público, pues la restricción puede configurarse cuando este último interviene en su representación y, por esa vía, participa indirectamente en la contratación con la respectiva entidad </w:t>
            </w:r>
            <w:r w:rsidRPr="001A2FD6">
              <w:rPr>
                <w:rFonts w:ascii="Verdana" w:eastAsia="Calibri" w:hAnsi="Verdana" w:cs="Arial"/>
                <w:bCs/>
                <w:color w:val="000000" w:themeColor="text1"/>
                <w:sz w:val="22"/>
                <w:szCs w:val="22"/>
              </w:rPr>
              <w:lastRenderedPageBreak/>
              <w:t>territorial. En razón de la naturaleza taxativa y restrictiva de esta inhabilidad, corresponde comprobar la concurrencia de cada uno de los supuestos normativos previstos por el legislador para su materialización.</w:t>
            </w:r>
          </w:p>
          <w:p w14:paraId="24ACD759" w14:textId="77777777" w:rsidR="001A2FD6" w:rsidRPr="001A2FD6" w:rsidRDefault="001A2FD6" w:rsidP="001A2FD6">
            <w:pPr>
              <w:tabs>
                <w:tab w:val="left" w:pos="0"/>
              </w:tabs>
              <w:spacing w:after="120"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De esta manera, la circunstancia de que un proyecto se financie con recursos del Sistema General de Regalías y de que su entrega deba formalizarse mediante el convenio especial establecido en el artículo 101 de la Ley 2056 de 2020 no desplaza las inhabilidades e incompatibilidades que resulten aplicables de acuerdo con otras disposiciones legales. Por el contrario, ambas regulaciones deben interpretarse sistemáticamente, teniendo en cuanta que la Ley 2056 determina el procedimiento especial aplicable al proyecto y al convenio de formalización, mientras que las disposiciones constitucionales y legales sobre inhabilidades e incompatibilidades determinan las restricciones a la capacidad para establecer relaciones contractuales con el Estado. En consecuencia, la obligación legal de celebrar el convenio en los términos previstos por el artículo 101 no puede interpretarse como una excepción implícita frente a una prohibición legal para contratar. </w:t>
            </w:r>
          </w:p>
          <w:p w14:paraId="15CE293B" w14:textId="77777777" w:rsidR="001A2FD6" w:rsidRPr="001A2FD6" w:rsidRDefault="001A2FD6" w:rsidP="001A2FD6">
            <w:pPr>
              <w:tabs>
                <w:tab w:val="left" w:pos="0"/>
              </w:tabs>
              <w:spacing w:after="120"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Por tanto, cuando se pretenda celebrar un convenio de formalización de los previstos en el artículo 101 de la Ley 2056 de 2020 y se advierta la posible existencia de un vínculo de parentesco con un alcalde en los grados previstos en la norma, la entidad deberá establecer si concurren todos los elementos constitutivos de la prohibición legal correspondiente. Para ello debe atender, entre otros aspectos, a la calidad del servidor público</w:t>
            </w:r>
            <w:r w:rsidRPr="001A2FD6">
              <w:rPr>
                <w:rFonts w:ascii="Verdana" w:eastAsia="Calibri" w:hAnsi="Verdana" w:cs="Arial"/>
                <w:sz w:val="22"/>
                <w:szCs w:val="22"/>
                <w:lang w:val="es-ES_tradnl" w:eastAsia="en-US"/>
              </w:rPr>
              <w:t xml:space="preserve"> -</w:t>
            </w:r>
            <w:r w:rsidRPr="001A2FD6">
              <w:rPr>
                <w:rFonts w:ascii="Verdana" w:eastAsia="Calibri" w:hAnsi="Verdana" w:cs="Arial"/>
                <w:bCs/>
                <w:color w:val="000000" w:themeColor="text1"/>
                <w:sz w:val="22"/>
                <w:szCs w:val="22"/>
                <w:lang w:val="es-ES_tradnl"/>
              </w:rPr>
              <w:t xml:space="preserve">gobernadores, diputados, alcaldes y concejales- </w:t>
            </w:r>
            <w:r w:rsidRPr="001A2FD6">
              <w:rPr>
                <w:rFonts w:ascii="Verdana" w:eastAsia="Calibri" w:hAnsi="Verdana" w:cs="Arial"/>
                <w:bCs/>
                <w:color w:val="000000" w:themeColor="text1"/>
                <w:sz w:val="22"/>
                <w:szCs w:val="22"/>
              </w:rPr>
              <w:t xml:space="preserve">respecto del cual se predica el parentesco, el grado de este último, el ámbito territorial de la prohibición, la entidad con la cual se celebra el negocio y la calidad jurídica en la que interviene la persona vinculada por parentesco. </w:t>
            </w:r>
          </w:p>
          <w:p w14:paraId="2110833E" w14:textId="77777777" w:rsidR="001A2FD6" w:rsidRPr="001A2FD6" w:rsidRDefault="001A2FD6" w:rsidP="001A2FD6">
            <w:pPr>
              <w:tabs>
                <w:tab w:val="left" w:pos="0"/>
              </w:tabs>
              <w:spacing w:after="120" w:line="276" w:lineRule="auto"/>
              <w:ind w:firstLine="709"/>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Al margen de la explicación precedente, debe advertirse que el análisis requerido para determinar si una persona u organización determinada se encuentra efectivamente comprendida en una causal de inhabilidad exige valorar las circunstancias particulares del caso, labor que excede la competencia consultiva de esta Agencia. Por ello, corresponde a la respectiva entidad, previo análisis de los hechos y de las disposiciones aplicables, determinar la procedencia de la actuación contractual, sin que corresponda a Colombia Compra Eficiente validar una decisión particular de la entidad ni sustituir a las autoridades judiciales, fiscales o disciplinarias competentes. Esta </w:t>
            </w:r>
            <w:r w:rsidRPr="001A2FD6">
              <w:rPr>
                <w:rFonts w:ascii="Verdana" w:eastAsia="Calibri" w:hAnsi="Verdana" w:cs="Arial"/>
                <w:bCs/>
                <w:color w:val="000000" w:themeColor="text1"/>
                <w:sz w:val="22"/>
                <w:szCs w:val="22"/>
              </w:rPr>
              <w:lastRenderedPageBreak/>
              <w:t>limitación coincide con la precisión que el propio proyecto de concepto realiza respecto del alcance de la función consultiva de la Agencia.</w:t>
            </w:r>
          </w:p>
        </w:tc>
      </w:tr>
    </w:tbl>
    <w:p w14:paraId="1D29279C" w14:textId="77777777" w:rsidR="001A2FD6" w:rsidRPr="001A2FD6" w:rsidRDefault="001A2FD6" w:rsidP="001A2FD6">
      <w:pPr>
        <w:tabs>
          <w:tab w:val="left" w:pos="142"/>
          <w:tab w:val="left" w:pos="284"/>
        </w:tabs>
        <w:spacing w:line="276" w:lineRule="auto"/>
        <w:jc w:val="both"/>
        <w:rPr>
          <w:rFonts w:ascii="Verdana" w:eastAsia="Century Gothic" w:hAnsi="Verdana" w:cs="Century Gothic"/>
          <w:b/>
          <w:bCs/>
          <w:sz w:val="22"/>
          <w:szCs w:val="22"/>
          <w:lang w:val="es-ES"/>
        </w:rPr>
      </w:pPr>
    </w:p>
    <w:bookmarkEnd w:id="1"/>
    <w:p w14:paraId="4EE14777" w14:textId="77777777" w:rsidR="001A2FD6" w:rsidRPr="001A2FD6" w:rsidRDefault="001A2FD6" w:rsidP="001A2FD6">
      <w:pPr>
        <w:numPr>
          <w:ilvl w:val="0"/>
          <w:numId w:val="16"/>
        </w:numPr>
        <w:tabs>
          <w:tab w:val="left" w:pos="142"/>
          <w:tab w:val="left" w:pos="284"/>
        </w:tabs>
        <w:spacing w:after="160" w:line="276" w:lineRule="auto"/>
        <w:jc w:val="both"/>
        <w:rPr>
          <w:rFonts w:ascii="Verdana" w:eastAsia="Century Gothic" w:hAnsi="Verdana" w:cs="Century Gothic"/>
          <w:b/>
          <w:bCs/>
          <w:sz w:val="22"/>
          <w:szCs w:val="22"/>
          <w:lang w:val="es-ES"/>
        </w:rPr>
      </w:pPr>
      <w:r w:rsidRPr="001A2FD6">
        <w:rPr>
          <w:rFonts w:ascii="Verdana" w:eastAsia="Century Gothic" w:hAnsi="Verdana" w:cs="Century Gothic"/>
          <w:b/>
          <w:bCs/>
          <w:sz w:val="22"/>
          <w:szCs w:val="22"/>
          <w:lang w:val="es-ES"/>
        </w:rPr>
        <w:t>Razones de las respuestas:</w:t>
      </w:r>
    </w:p>
    <w:p w14:paraId="337F781F" w14:textId="77777777" w:rsidR="001A2FD6" w:rsidRPr="001A2FD6" w:rsidRDefault="001A2FD6" w:rsidP="001A2FD6">
      <w:pPr>
        <w:spacing w:line="276" w:lineRule="auto"/>
        <w:jc w:val="both"/>
        <w:rPr>
          <w:rFonts w:ascii="Verdana" w:eastAsia="Calibri" w:hAnsi="Verdana" w:cs="Arial"/>
          <w:color w:val="7030A0"/>
          <w:sz w:val="22"/>
          <w:szCs w:val="22"/>
          <w:lang w:val="es-ES"/>
        </w:rPr>
      </w:pPr>
    </w:p>
    <w:p w14:paraId="3C301993" w14:textId="77777777" w:rsidR="001A2FD6" w:rsidRPr="001A2FD6" w:rsidRDefault="001A2FD6" w:rsidP="001A2FD6">
      <w:pPr>
        <w:spacing w:line="276" w:lineRule="auto"/>
        <w:jc w:val="both"/>
        <w:rPr>
          <w:rFonts w:ascii="Verdana" w:eastAsia="Calibri" w:hAnsi="Verdana" w:cs="Arial"/>
          <w:sz w:val="22"/>
          <w:szCs w:val="22"/>
          <w:lang w:val="es-ES"/>
        </w:rPr>
      </w:pPr>
      <w:r w:rsidRPr="001A2FD6">
        <w:rPr>
          <w:rFonts w:ascii="Verdana" w:eastAsia="Calibri" w:hAnsi="Verdana" w:cs="Arial"/>
          <w:sz w:val="22"/>
          <w:szCs w:val="22"/>
          <w:lang w:val="es-ES"/>
        </w:rPr>
        <w:t>Lo anterior se sustenta en las siguientes consideraciones:</w:t>
      </w:r>
    </w:p>
    <w:p w14:paraId="1C51EDDA" w14:textId="77777777" w:rsidR="001A2FD6" w:rsidRPr="001A2FD6" w:rsidRDefault="001A2FD6" w:rsidP="001A2FD6">
      <w:pPr>
        <w:spacing w:line="276" w:lineRule="auto"/>
        <w:jc w:val="both"/>
        <w:rPr>
          <w:rFonts w:ascii="Verdana" w:eastAsia="Calibri" w:hAnsi="Verdana" w:cs="Arial"/>
          <w:sz w:val="22"/>
          <w:szCs w:val="22"/>
          <w:lang w:val="es-ES"/>
        </w:rPr>
      </w:pPr>
    </w:p>
    <w:p w14:paraId="0E1E88AF" w14:textId="77777777" w:rsidR="001A2FD6" w:rsidRPr="001A2FD6" w:rsidRDefault="001A2FD6" w:rsidP="001A2FD6">
      <w:pPr>
        <w:spacing w:after="120" w:line="276" w:lineRule="auto"/>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I. Sistema General de Regalías. La Ley 2056 de 2020 “por la cual se regula la organización y el funcionamiento del Sistema General de Regalías”, establece las reglas relativas a la distribución y destinación de sus recursos, así como a la formulación, viabilidad, priorización, aprobación y ejecución de los proyectos de inversión financiados con estos recursos. Dentro de esta estructura, el legislador incorporó disposiciones específicas dirigidas a garantizar la participación de los pueblos y comunidades étnicas en los recursos del Sistema, atendiendo a sus particularidades organizativas, territoriales y culturales.   </w:t>
      </w:r>
    </w:p>
    <w:p w14:paraId="446E55CD"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Conforme a lo anterior, esta ley contempla diferentes asignaciones, entre ellas las Asignaciones Directas, la Asignación para la Inversión Local y la Asignación para la Inversión Regional. A partir de este sistema, se establecieron destinaciones específicas para financiar proyectos de inversión con enfoque diferencial étnico. En efecto, no todos los recursos dirigidos a pueblos y comunidades étnicas provienen de una misma asignación ni se sujetan exactamente al mismo procedimiento para efectos de su formulación, viabilidad, priorización, aprobación y ejecución. De esta manera, la financiación de proyectos destinados a pueblos y comunidades étnicas puede provenir de dos fuentes, por una parte, la destinación específica dentro de las Asignaciones Directas (art. 71) y, por otro lado, dentro de ciertos porcentajes destinados a estos pueblos y comunidades dentro de la Asignación para la Inversión Local.</w:t>
      </w:r>
    </w:p>
    <w:p w14:paraId="57DE641A"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En cuanto a las Asignaciones Directas, los artículos 40 y 41 de la Ley 2056 de 2020 regulan los recursos correspondientes a los departamentos y municipios en cuyo territorio se adelanta la explotación de recursos naturales no renovables, así como aquellos que corresponden a los municipios portuarios en los términos previstos por la ley. Estos recursos se destinan a la financiación o cofinanciación de proyectos de inversión para el desarrollo social, económico y ambiental de las entidades territoriales beneficiarias. Dentro de estas mismas Asignaciones Directas, el artículo 71 introdujo una destinación específica en favor de los </w:t>
      </w:r>
      <w:r w:rsidRPr="001A2FD6">
        <w:rPr>
          <w:rFonts w:ascii="Verdana" w:eastAsia="Calibri" w:hAnsi="Verdana" w:cs="Arial"/>
          <w:sz w:val="22"/>
          <w:szCs w:val="22"/>
          <w:lang w:val="es-ES"/>
        </w:rPr>
        <w:lastRenderedPageBreak/>
        <w:t xml:space="preserve">pueblos y comunidades indígenas y de las comunidades negras, afrocolombianas, raizales y palenqueras.  </w:t>
      </w:r>
    </w:p>
    <w:p w14:paraId="09B30FFE"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En particular, el artículo 71 dispone que los municipios con ingresos corrientes por concepto de Asignaciones Directas deben destinar el 4,5 % de su presupuesto bienal vigente por dicho concepto y los departamentos el 2 %, para proyectos de inversión con enfoque diferencial en los pueblos y comunidades indígenas y las comunidades negras, afrocolombianas, raizales y palenqueras asentadas en las respectivas entidades territoriales y debidamente acreditadas por la autoridad competente. Esta ley establece, además, que la distribución de estos recursos entre los pueblos y comunidades beneficiarios debe realizarse de acuerdo con una metodología que tenga en consideración criterios orientados, entre otros propósitos, al buen vivir y al cierre de brechas entre las poblaciones. </w:t>
      </w:r>
    </w:p>
    <w:p w14:paraId="35792EE2"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De esta manera, el artículo 71 no crea una asignación independiente o distinta de las Asignaciones Directas, sino que establece una destinación específica dentro de los recursos que por dicho concepto corresponden a las entidades territoriales. Con esta precisión se diferencian dichos recursos de aquellos que el legislador destinó a pueblos y comunidades étnicas dentro de la Asignación para la Inversión Local. </w:t>
      </w:r>
    </w:p>
    <w:p w14:paraId="05086301"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Y es que, en efecto, la Ley 2056 de 2020 también contempla un componente étnico dentro de la Asignación para la Inversión Local. Dentro de esta fuente, el legislador distribuyó recursos entre los diferentes pueblos y comunidades étnicas reconocidos en el país. Así, el artículo 73 contempla la destinación correspondiente a los pueblos y comunidades indígenas; el artículo 88 regula la destinada a las comunidades negras, afrocolombianas, raizales y palenqueras; y el artículo 102 establece la correspondiente al pueblo Rrom o Gitano. Se trata, por tanto, de recursos diferentes de aquellos provenientes de las Asignaciones Directas a los que se refiere el artículo 71, aunque todos ellos compartan la finalidad de financiar proyectos de inversión con enfoque diferencial étnico.</w:t>
      </w:r>
    </w:p>
    <w:p w14:paraId="2DCADB1B"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Conforme a lo anterior, esta ley desarrolló reglas particulares atendiendo tanto al pueblo o comunidad beneficiaria como a la asignación de la cual provienen los recursos. En lo que respecta específicamente a las comunidades negras, afrocolombianas, raizales y palenqueras, la Ley 2056 de 2020 establece reglas particulares para la financiación de proyectos de inversión con enfoque diferencial étnico. Como se indicó, estos proyectos pueden financiarse, entre </w:t>
      </w:r>
      <w:r w:rsidRPr="001A2FD6">
        <w:rPr>
          <w:rFonts w:ascii="Verdana" w:eastAsia="Calibri" w:hAnsi="Verdana" w:cs="Arial"/>
          <w:sz w:val="22"/>
          <w:szCs w:val="22"/>
          <w:lang w:val="es-ES"/>
        </w:rPr>
        <w:lastRenderedPageBreak/>
        <w:t xml:space="preserve">otros, con recursos provenientes de la destinación específica de las Asignaciones Directas, prevista en el artículo 71, o con aquellos correspondientes al componente étnico de la Asignación para la Inversión Local, regulado en los artículos 48 y 88 de la misma ley.  </w:t>
      </w:r>
    </w:p>
    <w:p w14:paraId="5A44680F"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En relación con la Asignación para la Inversión Local, el artículo 88 de la Ley 2056 de 2020 establece la destinación de recursos para proyectos de inversión con enfoque diferencial dirigidos a las comunidades NARP. A partir de esta disposición, los artículos siguientes desarrollan las reglas relativas a las instancias, sujetos y actuaciones que intervienen en el ciclo de estos proyectos.</w:t>
      </w:r>
    </w:p>
    <w:p w14:paraId="0D58EBB5"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En particular, el artículo 89 atribuye a la Instancia de Decisión de las Comunidades Negras, Afrocolombianas, Raizales y Palenqueras la competencia para decidir sobre los proyectos susceptibles de ser financiados con estos recursos, mientras que el artículo 90 regula su naturaleza e integración. Por su parte, el artículo 91 determina sus funciones, entre las que se encuentran aquellas relacionadas con la recepción de los proyectos, la verificación de la disponibilidad presupuestal, la viabilidad y registro, la priorización y aprobación y la designación de la entidad ejecutora. De esta manera, tratándose de los recursos de la Asignación para la Inversión Local destinados a las comunidades NARP, la ley atribuye a esta instancia una participación determinante en las diferentes etapas del ciclo del proyecto.</w:t>
      </w:r>
    </w:p>
    <w:p w14:paraId="27573395"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La regulación incorpora, además, elementos dirigidos a garantizar el enfoque diferencial y la participación de las propias comunidades en la definición de los proyectos susceptibles de financiación. En este sentido, el artículo 94 reconoce los ejercicios de planeación adelantados por las comunidades NARP de acuerdo con sus planes de etnodesarrollo u otros instrumentos de planeación propios, mientras que el artículo 95 establece las reglas para la formulación y presentación de los proyectos y exige la incorporación del correspondiente enfoque diferencial étnico. A su turno, los artículos 96 y 97 desarrollan las etapas de viabilidad, registro, priorización y aprobación de los proyectos financiados con los recursos de la Asignación para la Inversión Local destinados a estas comunidades.</w:t>
      </w:r>
    </w:p>
    <w:p w14:paraId="576290C7"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Ahora bien, el procedimiento no es el mismo cuando el proyecto se financia con la destinación de recursos de las Asignaciones Directas prevista para las comunidades NARP. Esta diferenciación se evidencia en el propio artículo 98, que contempla reglas distintas para la designación del ejecutor según la fuente </w:t>
      </w:r>
      <w:r w:rsidRPr="001A2FD6">
        <w:rPr>
          <w:rFonts w:ascii="Verdana" w:eastAsia="Calibri" w:hAnsi="Verdana" w:cs="Arial"/>
          <w:sz w:val="22"/>
          <w:szCs w:val="22"/>
          <w:lang w:val="es-ES"/>
        </w:rPr>
        <w:lastRenderedPageBreak/>
        <w:t xml:space="preserve">de financiación. Mientras que para los proyectos financiados con los recursos de la Asignación para la Inversión Local corresponde a la Instancia de Decisión designar la entidad ejecutora, en aquellos financiados con el porcentaje de las Asignaciones Directas destinado a las comunidades NARP dicha designación corresponde a la respectiva entidad territorial, teniendo en cuenta la propuesta realizada por las comunidades.  </w:t>
      </w:r>
    </w:p>
    <w:p w14:paraId="7B58FE3A"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Esta distinción se desarrolla de manera específica en el artículo 101 de la Ley 2056 de 2020, aplicable a los proyectos de inversión de las comunidades NARP financiados con recursos de las Asignaciones Directas. La disposición establece reglas particulares para su viabilidad, registro, priorización y aprobación y prevé que, una vez aprobado el proyecto, dentro de los dos meses siguientes deberá suscribirse un convenio entre el alcalde o gobernador y el representante legal que lo haya presentado, con el propósito de formalizar su entrega. Posteriormente, corresponde al alcalde o gobernador designar mediante acto administrativo a la entidad ejecutora propuesta, que tendrá a su cargo la ejecución del proyecto en los términos establecidos por la ley.  </w:t>
      </w:r>
    </w:p>
    <w:p w14:paraId="201DF268"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Por consiguiente, si los recursos provienen del componente étnico de la Asignación para la Inversión Local, resultan relevantes las reglas previstas en los artículos 88 y siguientes y la intervención de la Instancia de Decisión. En cambio, si el proyecto se financia con la destinación específica de las Asignaciones Directas para estas comunidades, resultan aplicables las reglas particulares previstas para esta fuente, especialmente el procedimiento establecido en el artículo 101.</w:t>
      </w:r>
    </w:p>
    <w:p w14:paraId="37E932A9"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El enfoque diferencial de la Ley 2056 tampoco se limita a la existencia de una instancia de decisión. El artículo 94 reconoce expresamente los ejercicios propios de planeación de las comunidades NARP y dispone que estos deben realizarse de acuerdo con sus planes de etnodesarrollo u otros instrumentos de planeación propios, en el marco de su autonomía. Con ello, el legislador reconoce que la determinación de las necesidades y prioridades susceptibles de financiación con recursos del SGR debe articularse con las formas de planeación construidas por las propias comunidades.</w:t>
      </w:r>
    </w:p>
    <w:p w14:paraId="08493DB0"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Esta regla se complementa con el artículo 95, relativo a la formulación y presentación de los proyectos. Si bien la formulación debe atender las metodologías y lineamientos previstos para los proyectos de inversión del Sistema General de Regalías, la ley exige que los proyectos presentados por las </w:t>
      </w:r>
      <w:r w:rsidRPr="001A2FD6">
        <w:rPr>
          <w:rFonts w:ascii="Verdana" w:eastAsia="Calibri" w:hAnsi="Verdana" w:cs="Arial"/>
          <w:sz w:val="22"/>
          <w:szCs w:val="22"/>
          <w:lang w:val="es-ES"/>
        </w:rPr>
        <w:lastRenderedPageBreak/>
        <w:t>comunidades NARP incorporen el enfoque diferencial étnico. Así, la regulación articula las exigencias técnicas propias del Sistema con el reconocimiento de las particularidades sociales, culturales, territoriales y organizativas de las comunidades destinatarias de los recursos.</w:t>
      </w:r>
    </w:p>
    <w:p w14:paraId="7CD03691"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Los artículos 96 y 97 continúan esta regulación respecto de la viabilidad, registro, priorización y aprobación de los proyectos financiados con el porcentaje de la Asignación para la Inversión Local correspondiente a las comunidades NARP. En este escenario, la Instancia de Decisión desempeña un papel central dentro del ciclo del proyecto. Esta circunstancia debe diferenciarse nuevamente de lo que ocurre cuando el proyecto se financia con la destinación étnica proveniente de las Asignaciones Directas.</w:t>
      </w:r>
    </w:p>
    <w:p w14:paraId="5ACA4A44"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Precisamente, el artículo 98 evidencia de manera expresa la existencia de estas dos vías. De una parte, establece que para los proyectos financiados con los recursos correspondientes a la Asignación para la Inversión Local la Instancia de Decisión designará la entidad ejecutora. De otra, dispone que la designación del ejecutor de los proyectos financiados con cargo al porcentaje de las Asignaciones Directas destinado a las comunidades NARP será competencia de la respectiva entidad territorial. Así, aunque en ambos casos se trate de proyectos destinados a las mismas comunidades, la autoridad competente para designar al ejecutor varía según el origen de los recursos.</w:t>
      </w:r>
    </w:p>
    <w:p w14:paraId="1D8FFAA2"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El mismo artículo 98 reconoce, además, que los consejos comunitarios y demás formas y expresiones organizativas de las comunidades negras, afrocolombianas, raizales y palenqueras pueden ser designados como ejecutores, siempre que satisfagan las condiciones previstas por el ordenamiento jurídico. Esta posibilidad constituye otra manifestación del enfoque diferencial establecido por la Ley 2056, en cuanto permite que las propias organizaciones representativas de las comunidades puedan intervenir no solamente en la identificación y estructuración de las iniciativas, sino también, cuando corresponda, en su ejecución.</w:t>
      </w:r>
    </w:p>
    <w:p w14:paraId="378EC9DB"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El artículo 99, por su parte, se ocupa específicamente de los actos y contratos expedidos o celebrados por los ejecutores. Sin necesidad de abordar en este punto el alcance que esta disposición pueda tener frente a otros instrumentos previstos por la Ley 2056, resulta relevante advertir que la norma forma parte del conjunto de disposiciones mediante las cuales el legislador regula la etapa de ejecución de los proyectos NARP. En este sentido, los artículos </w:t>
      </w:r>
      <w:r w:rsidRPr="001A2FD6">
        <w:rPr>
          <w:rFonts w:ascii="Verdana" w:eastAsia="Calibri" w:hAnsi="Verdana" w:cs="Arial"/>
          <w:sz w:val="22"/>
          <w:szCs w:val="22"/>
          <w:lang w:val="es-ES"/>
        </w:rPr>
        <w:lastRenderedPageBreak/>
        <w:t>98, 99 y 100 desarrollan aspectos relacionados, respectivamente, con la designación y responsabilidad del ejecutor, los actos y contratos que este expida o celebre y la incorporación presupuestal de los recursos cuando la ejecución corresponda a las formas organizativas autorizadas por la ley.</w:t>
      </w:r>
    </w:p>
    <w:p w14:paraId="7BE2A874"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Ahora bien, para los proyectos de comunidades NARP financiados específicamente con los recursos provenientes de las Asignaciones Directas, la disposición central es el artículo 101. Esta norma desarrolla un procedimiento distinto de aquel previsto para los recursos de la Asignación para la Inversión Local. Conforme a la disposición, los representantes legales de las comunidades realizan las actuaciones de viabilidad, registro, priorización y aprobación de los proyectos de acuerdo con su derecho propio y las normas del Sistema General de Regalías.</w:t>
      </w:r>
    </w:p>
    <w:p w14:paraId="4165586F"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Una vez aprobado el proyecto, el artículo 101 establece una actuación adicional que resulta característica de este tipo de recursos. Dentro de los dos meses siguientes a la aprobación debe suscribirse un convenio entre el alcalde o gobernador y el representante legal que haya presentado el proyecto, mediante el cual se formaliza su entrega. La ley establece, además, consecuencias frente al incumplimiento de este deber dentro del término señalado, lo que evidencia que la celebración del convenio constituye una etapa expresamente prevista por el legislador dentro del procedimiento aplicable a los proyectos NARP financiados con las Asignaciones Directas.</w:t>
      </w:r>
    </w:p>
    <w:p w14:paraId="67FE828C"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Después de la formalización de la entrega, la norma dispone que, mediante acto administrativo, el alcalde o gobernador designará la entidad ejecutora, la cual tendrá a su cargo la ejecución del proyecto y la contratación correspondiente. De esta manera, el artículo 101 permite identificar una secuencia normativa propia para los recursos de las Asignaciones Directas destinados a las comunidades NARP: inicialmente se surten las actuaciones relacionadas con la viabilidad, registro, priorización y aprobación del proyecto; posteriormente se formaliza su entrega mediante el convenio previsto por la ley; después se designa al ejecutor mediante acto administrativo; y, finalmente, se desarrolla la etapa de ejecución del proyecto.</w:t>
      </w:r>
    </w:p>
    <w:p w14:paraId="29E3281A"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Por tanto, para efectos de comprender sistemáticamente la Ley 2056 de 2020, deben mantenerse diferenciados los artículos 71 y 101, por una parte, y los artículos 88 y siguientes, por otra. Los primeros permiten identificar y desarrollar el procedimiento relacionado con los recursos provenientes de las </w:t>
      </w:r>
      <w:r w:rsidRPr="001A2FD6">
        <w:rPr>
          <w:rFonts w:ascii="Verdana" w:eastAsia="Calibri" w:hAnsi="Verdana" w:cs="Arial"/>
          <w:sz w:val="22"/>
          <w:szCs w:val="22"/>
          <w:lang w:val="es-ES"/>
        </w:rPr>
        <w:lastRenderedPageBreak/>
        <w:t>Asignaciones Directas destinados a las comunidades NARP, mientras que los segundos regulan principalmente el componente de la Asignación para la Inversión Local destinado a estas comunidades. El artículo 98 actúa como una disposición especialmente ilustrativa de esta diferenciación, pues contempla expresamente ambas fuentes y atribuye la competencia para designar al ejecutor a sujetos distintos dependiendo de cuál de ellas financie el proyecto.</w:t>
      </w:r>
    </w:p>
    <w:p w14:paraId="0A862EDC" w14:textId="77777777" w:rsidR="001A2FD6" w:rsidRPr="001A2FD6" w:rsidRDefault="001A2FD6" w:rsidP="001A2FD6">
      <w:pPr>
        <w:spacing w:line="276" w:lineRule="auto"/>
        <w:ind w:firstLine="709"/>
        <w:jc w:val="both"/>
        <w:rPr>
          <w:rFonts w:ascii="Verdana" w:eastAsia="Calibri" w:hAnsi="Verdana" w:cs="Arial"/>
          <w:sz w:val="22"/>
          <w:szCs w:val="22"/>
          <w:lang w:val="es-ES"/>
        </w:rPr>
      </w:pPr>
      <w:r w:rsidRPr="001A2FD6">
        <w:rPr>
          <w:rFonts w:ascii="Verdana" w:eastAsia="Calibri" w:hAnsi="Verdana" w:cs="Arial"/>
          <w:sz w:val="22"/>
          <w:szCs w:val="22"/>
          <w:lang w:val="es-ES"/>
        </w:rPr>
        <w:t>Ahora bien, para el caso objeto de consulta es relevante precisar que el marco normativo del convenio de formalización previsto en el artículo 101 de la Ley 2056 de 2020, en el que se inscribe como una de las actuaciones que integran el procedimiento establecido para los proyectos de inversión de las comunidades NARP financiados con recursos provenientes de las Asignaciones Directas.</w:t>
      </w:r>
    </w:p>
    <w:p w14:paraId="58C0775A" w14:textId="77777777" w:rsidR="001A2FD6" w:rsidRPr="001A2FD6" w:rsidRDefault="001A2FD6" w:rsidP="001A2FD6">
      <w:pPr>
        <w:spacing w:line="276" w:lineRule="auto"/>
        <w:ind w:firstLine="709"/>
        <w:jc w:val="both"/>
        <w:rPr>
          <w:rFonts w:ascii="Verdana" w:eastAsia="Calibri" w:hAnsi="Verdana" w:cs="Arial"/>
          <w:sz w:val="22"/>
          <w:szCs w:val="22"/>
          <w:lang w:val="es-ES"/>
        </w:rPr>
      </w:pPr>
    </w:p>
    <w:p w14:paraId="6AAF91D5" w14:textId="77777777" w:rsidR="001A2FD6" w:rsidRPr="001A2FD6" w:rsidRDefault="001A2FD6" w:rsidP="001A2FD6">
      <w:pPr>
        <w:spacing w:after="120" w:line="276" w:lineRule="auto"/>
        <w:jc w:val="both"/>
        <w:rPr>
          <w:rFonts w:ascii="Verdana" w:eastAsia="Calibri" w:hAnsi="Verdana" w:cs="Arial"/>
          <w:sz w:val="22"/>
          <w:szCs w:val="22"/>
          <w:lang w:val="es-ES"/>
        </w:rPr>
      </w:pPr>
      <w:r w:rsidRPr="001A2FD6">
        <w:rPr>
          <w:rFonts w:ascii="Verdana" w:eastAsia="Calibri" w:hAnsi="Verdana" w:cs="Arial"/>
          <w:sz w:val="22"/>
          <w:szCs w:val="22"/>
          <w:lang w:val="es-ES"/>
        </w:rPr>
        <w:t xml:space="preserve">ii. </w:t>
      </w:r>
      <w:r w:rsidRPr="001A2FD6">
        <w:rPr>
          <w:rFonts w:ascii="Verdana" w:eastAsia="Calibri" w:hAnsi="Verdana" w:cs="Arial"/>
          <w:sz w:val="22"/>
          <w:szCs w:val="22"/>
          <w:lang w:val="es-ES" w:eastAsia="en-US"/>
        </w:rPr>
        <w:t xml:space="preserve">El artículo 101 de la Ley 2056 de 2020 establece un régimen especial para la celebración de los convenios mediante los cuales se formaliza la entrega de los proyectos de inversión de las comunidades negras, afrocolombianas, raizales y palenqueras financiados con recursos de las Asignaciones Directas. </w:t>
      </w:r>
      <w:r w:rsidRPr="001A2FD6">
        <w:rPr>
          <w:rFonts w:ascii="Verdana" w:eastAsia="Calibri" w:hAnsi="Verdana" w:cs="Arial"/>
          <w:sz w:val="22"/>
          <w:szCs w:val="22"/>
          <w:lang w:val="es-ES"/>
        </w:rPr>
        <w:t xml:space="preserve">En ese sentido, esta norma determina específicamente los presupuestos </w:t>
      </w:r>
      <w:r w:rsidRPr="001A2FD6">
        <w:rPr>
          <w:rFonts w:ascii="Verdana" w:eastAsia="Calibri" w:hAnsi="Verdana" w:cs="Arial"/>
          <w:sz w:val="22"/>
          <w:szCs w:val="22"/>
          <w:lang w:val="es-ES" w:eastAsia="en-US"/>
        </w:rPr>
        <w:t>para su celebración, los sujetos que deben concurrir a su suscripción, la finalidad del convenio y la oportunidad en que debe celebrarse dentro del ciclo del respectivo proyecto de inversión.</w:t>
      </w:r>
      <w:r w:rsidRPr="001A2FD6">
        <w:rPr>
          <w:rFonts w:ascii="Verdana" w:eastAsia="Calibri" w:hAnsi="Verdana" w:cs="Arial"/>
          <w:sz w:val="22"/>
          <w:szCs w:val="22"/>
          <w:lang w:val="es-ES"/>
        </w:rPr>
        <w:t xml:space="preserve">  </w:t>
      </w:r>
    </w:p>
    <w:p w14:paraId="6C7A85EC"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rPr>
        <w:t>Este artículo señala precisamente que</w:t>
      </w:r>
      <w:r w:rsidRPr="001A2FD6">
        <w:rPr>
          <w:rFonts w:ascii="Verdana" w:eastAsia="Calibri" w:hAnsi="Verdana" w:cs="Arial"/>
          <w:sz w:val="22"/>
          <w:szCs w:val="22"/>
          <w:lang w:val="es-ES" w:eastAsia="en-US"/>
        </w:rPr>
        <w:t xml:space="preserve"> corresponde a los representantes legales de las comunidades realizar la viabilidad, registro, priorización y aprobación de los proyectos de inversión susceptibles de ser financiados con estos recursos, de conformidad con su derecho propio y las disposiciones del Sistema General de Regalías. Una vez aprobado el proyecto, la norma dispone que, dentro de los dos meses siguientes, deberá celebrarse un convenio entre el alcalde o gobernador y el representante legal que haya presentado el proyecto, con el objeto de formalizar su entrega. Posteriormente, corresponde al alcalde o gobernador designar, mediante acto administrativo, a la entidad ejecutora</w:t>
      </w:r>
      <w:r w:rsidRPr="001A2FD6">
        <w:rPr>
          <w:rFonts w:ascii="Verdana" w:eastAsia="Calibri" w:hAnsi="Verdana" w:cs="Arial"/>
          <w:sz w:val="22"/>
          <w:szCs w:val="22"/>
          <w:lang w:val="es-ES"/>
        </w:rPr>
        <w:t xml:space="preserve"> de “las previstas en el estatuto de contratación estatal”</w:t>
      </w:r>
      <w:r w:rsidRPr="001A2FD6">
        <w:rPr>
          <w:rFonts w:ascii="Verdana" w:eastAsia="Calibri" w:hAnsi="Verdana" w:cs="Arial"/>
          <w:sz w:val="22"/>
          <w:szCs w:val="22"/>
          <w:lang w:val="es-ES" w:eastAsia="en-US"/>
        </w:rPr>
        <w:t>, que tendrá a su cargo la contratación de la ejecución del proyecto y de la interventoría cuando corresponda.</w:t>
      </w:r>
      <w:r w:rsidRPr="001A2FD6">
        <w:rPr>
          <w:rFonts w:ascii="Verdana" w:eastAsia="Calibri" w:hAnsi="Verdana" w:cs="Arial"/>
          <w:sz w:val="22"/>
          <w:szCs w:val="22"/>
          <w:lang w:val="es-ES"/>
        </w:rPr>
        <w:t xml:space="preserve">   </w:t>
      </w:r>
    </w:p>
    <w:p w14:paraId="33709E01"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eastAsia="en-US"/>
        </w:rPr>
        <w:t>De esta manera, es la propia Ley 2056 de 2020 la que determina quiénes deben concurrir a su suscripción</w:t>
      </w:r>
      <w:r w:rsidRPr="001A2FD6">
        <w:rPr>
          <w:rFonts w:ascii="Verdana" w:eastAsia="Calibri" w:hAnsi="Verdana" w:cs="Arial"/>
          <w:sz w:val="22"/>
          <w:szCs w:val="22"/>
          <w:lang w:val="es-ES"/>
        </w:rPr>
        <w:t xml:space="preserve"> de este convenio</w:t>
      </w:r>
      <w:r w:rsidRPr="001A2FD6">
        <w:rPr>
          <w:rFonts w:ascii="Verdana" w:eastAsia="Calibri" w:hAnsi="Verdana" w:cs="Arial"/>
          <w:sz w:val="22"/>
          <w:szCs w:val="22"/>
          <w:lang w:val="es-ES" w:eastAsia="en-US"/>
        </w:rPr>
        <w:t xml:space="preserve">. </w:t>
      </w:r>
      <w:r w:rsidRPr="001A2FD6">
        <w:rPr>
          <w:rFonts w:ascii="Verdana" w:eastAsia="Calibri" w:hAnsi="Verdana" w:cs="Arial"/>
          <w:sz w:val="22"/>
          <w:szCs w:val="22"/>
          <w:lang w:val="es-ES"/>
        </w:rPr>
        <w:t xml:space="preserve">Ahora bien, es preciso </w:t>
      </w:r>
      <w:r w:rsidRPr="001A2FD6">
        <w:rPr>
          <w:rFonts w:ascii="Verdana" w:eastAsia="Calibri" w:hAnsi="Verdana" w:cs="Arial"/>
          <w:sz w:val="22"/>
          <w:szCs w:val="22"/>
          <w:lang w:val="es-ES"/>
        </w:rPr>
        <w:lastRenderedPageBreak/>
        <w:t xml:space="preserve">diferenciar entre </w:t>
      </w:r>
      <w:r w:rsidRPr="001A2FD6">
        <w:rPr>
          <w:rFonts w:ascii="Verdana" w:eastAsia="Calibri" w:hAnsi="Verdana" w:cs="Arial"/>
          <w:sz w:val="22"/>
          <w:szCs w:val="22"/>
          <w:lang w:val="es-ES" w:eastAsia="en-US"/>
        </w:rPr>
        <w:t xml:space="preserve">el convenio de formalización </w:t>
      </w:r>
      <w:r w:rsidRPr="001A2FD6">
        <w:rPr>
          <w:rFonts w:ascii="Verdana" w:eastAsia="Calibri" w:hAnsi="Verdana" w:cs="Arial"/>
          <w:sz w:val="22"/>
          <w:szCs w:val="22"/>
          <w:lang w:val="es-ES"/>
        </w:rPr>
        <w:t>y</w:t>
      </w:r>
      <w:r w:rsidRPr="001A2FD6">
        <w:rPr>
          <w:rFonts w:ascii="Verdana" w:eastAsia="Calibri" w:hAnsi="Verdana" w:cs="Arial"/>
          <w:sz w:val="22"/>
          <w:szCs w:val="22"/>
          <w:lang w:val="es-ES" w:eastAsia="en-US"/>
        </w:rPr>
        <w:t xml:space="preserve"> los contratos que posteriormente deben celebrarse para la ejecución material del proyecto.</w:t>
      </w:r>
      <w:r w:rsidRPr="001A2FD6">
        <w:rPr>
          <w:rFonts w:ascii="Verdana" w:eastAsia="Calibri" w:hAnsi="Verdana" w:cs="Arial"/>
          <w:sz w:val="22"/>
          <w:szCs w:val="22"/>
          <w:lang w:val="es-ES"/>
        </w:rPr>
        <w:t xml:space="preserve"> Esto porque, e</w:t>
      </w:r>
      <w:r w:rsidRPr="001A2FD6">
        <w:rPr>
          <w:rFonts w:ascii="Verdana" w:eastAsia="Calibri" w:hAnsi="Verdana" w:cs="Arial"/>
          <w:sz w:val="22"/>
          <w:szCs w:val="22"/>
          <w:lang w:val="es-ES" w:eastAsia="en-US"/>
        </w:rPr>
        <w:t>l convenio cumple una función específica dentro del procedimiento previsto en el artículo 101, consistente en formalizar la entrega de un proyecto previamente viabilizado, registrado, priorizado</w:t>
      </w:r>
      <w:r w:rsidRPr="001A2FD6">
        <w:rPr>
          <w:rFonts w:ascii="Verdana" w:eastAsia="Calibri" w:hAnsi="Verdana" w:cs="Arial"/>
          <w:sz w:val="22"/>
          <w:szCs w:val="22"/>
          <w:lang w:val="es-ES"/>
        </w:rPr>
        <w:t xml:space="preserve"> pero para la ejecución se debe tener en cuenta lo previsto en </w:t>
      </w:r>
      <w:r w:rsidRPr="001A2FD6">
        <w:rPr>
          <w:rFonts w:ascii="Verdana" w:eastAsia="Calibri" w:hAnsi="Verdana" w:cs="Arial"/>
          <w:sz w:val="22"/>
          <w:szCs w:val="22"/>
          <w:lang w:val="es-ES" w:eastAsia="en-US"/>
        </w:rPr>
        <w:t>el artículo 98 de la Ley 2056 de 2020</w:t>
      </w:r>
      <w:r w:rsidRPr="001A2FD6">
        <w:rPr>
          <w:rFonts w:ascii="Verdana" w:eastAsia="Calibri" w:hAnsi="Verdana" w:cs="Arial"/>
          <w:sz w:val="22"/>
          <w:szCs w:val="22"/>
          <w:lang w:val="es-ES"/>
        </w:rPr>
        <w:t xml:space="preserve">, que </w:t>
      </w:r>
      <w:r w:rsidRPr="001A2FD6">
        <w:rPr>
          <w:rFonts w:ascii="Verdana" w:eastAsia="Calibri" w:hAnsi="Verdana" w:cs="Arial"/>
          <w:sz w:val="22"/>
          <w:szCs w:val="22"/>
          <w:lang w:val="es-ES" w:eastAsia="en-US"/>
        </w:rPr>
        <w:t>comprende expresamente tanto los proyectos financiados con recursos de la Asignación para la Inversión Local como aquellos financiados con el porcentaje de las Asignaciones Directas correspondiente a las comunidades NARP</w:t>
      </w:r>
      <w:r w:rsidRPr="001A2FD6">
        <w:rPr>
          <w:rFonts w:ascii="Verdana" w:eastAsia="Calibri" w:hAnsi="Verdana" w:cs="Arial"/>
          <w:sz w:val="22"/>
          <w:szCs w:val="22"/>
          <w:lang w:val="es-ES"/>
        </w:rPr>
        <w:t xml:space="preserve"> y establece frente a estos últimos</w:t>
      </w:r>
      <w:r w:rsidRPr="001A2FD6">
        <w:rPr>
          <w:rFonts w:ascii="Verdana" w:eastAsia="Calibri" w:hAnsi="Verdana" w:cs="Arial"/>
          <w:sz w:val="22"/>
          <w:szCs w:val="22"/>
          <w:lang w:val="es-ES" w:eastAsia="en-US"/>
        </w:rPr>
        <w:t xml:space="preserve">, </w:t>
      </w:r>
      <w:r w:rsidRPr="001A2FD6">
        <w:rPr>
          <w:rFonts w:ascii="Verdana" w:eastAsia="Calibri" w:hAnsi="Verdana" w:cs="Arial"/>
          <w:sz w:val="22"/>
          <w:szCs w:val="22"/>
          <w:lang w:val="es-ES"/>
        </w:rPr>
        <w:t xml:space="preserve">que </w:t>
      </w:r>
      <w:r w:rsidRPr="001A2FD6">
        <w:rPr>
          <w:rFonts w:ascii="Verdana" w:eastAsia="Calibri" w:hAnsi="Verdana" w:cs="Arial"/>
          <w:sz w:val="22"/>
          <w:szCs w:val="22"/>
          <w:lang w:val="es-ES" w:eastAsia="en-US"/>
        </w:rPr>
        <w:t>la respectiva entidad territorial</w:t>
      </w:r>
      <w:r w:rsidRPr="001A2FD6">
        <w:rPr>
          <w:rFonts w:ascii="Verdana" w:eastAsia="Calibri" w:hAnsi="Verdana" w:cs="Arial"/>
          <w:sz w:val="22"/>
          <w:szCs w:val="22"/>
          <w:lang w:val="es-ES"/>
        </w:rPr>
        <w:t xml:space="preserve"> tiene</w:t>
      </w:r>
      <w:r w:rsidRPr="001A2FD6">
        <w:rPr>
          <w:rFonts w:ascii="Verdana" w:eastAsia="Calibri" w:hAnsi="Verdana" w:cs="Arial"/>
          <w:sz w:val="22"/>
          <w:szCs w:val="22"/>
          <w:lang w:val="es-ES" w:eastAsia="en-US"/>
        </w:rPr>
        <w:t xml:space="preserve"> la competencia para designar al ejecutor, teniendo en cuenta la propuesta de ejecutor presentada en el proyecto de inversión. A su vez, el parágrafo segundo del mismo artículo establece que la ejecución de los proyectos allí regulados se adelantará con estricta sujeción al régimen presupuestal definido en la Ley 2056 de 2020 y al régimen de contratación pública o a las normas legales vigentes.</w:t>
      </w:r>
      <w:r w:rsidRPr="001A2FD6">
        <w:rPr>
          <w:rFonts w:ascii="Verdana" w:eastAsia="Calibri" w:hAnsi="Verdana" w:cs="Arial"/>
          <w:sz w:val="22"/>
          <w:szCs w:val="22"/>
          <w:lang w:val="es-ES"/>
        </w:rPr>
        <w:t xml:space="preserve">  </w:t>
      </w:r>
    </w:p>
    <w:p w14:paraId="026A5C2A"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eastAsia="en-US"/>
        </w:rPr>
        <w:t xml:space="preserve">En concordancia con lo anterior, el artículo 99 dispone expresamente que los actos o contratos que expidan o celebren los ejecutores se regirán por las normas presupuestales contenidas en la Ley 2056 de 2020, el EGCAP, las normas contables aplicables y las demás disposiciones complementarias. </w:t>
      </w:r>
      <w:r w:rsidRPr="001A2FD6">
        <w:rPr>
          <w:rFonts w:ascii="Verdana" w:eastAsia="Calibri" w:hAnsi="Verdana" w:cs="Arial"/>
          <w:sz w:val="22"/>
          <w:szCs w:val="22"/>
          <w:lang w:val="es-ES"/>
        </w:rPr>
        <w:t xml:space="preserve">Conforme a esto, es diferente </w:t>
      </w:r>
      <w:r w:rsidRPr="001A2FD6">
        <w:rPr>
          <w:rFonts w:ascii="Verdana" w:eastAsia="Calibri" w:hAnsi="Verdana" w:cs="Arial"/>
          <w:sz w:val="22"/>
          <w:szCs w:val="22"/>
          <w:lang w:val="es-ES" w:eastAsia="en-US"/>
        </w:rPr>
        <w:t>el régimen previsto para el convenio de formalización de aquel aplicable a la contratación que posteriormente adelanta la entidad designada como ejecutora.</w:t>
      </w:r>
    </w:p>
    <w:p w14:paraId="455E7BE4" w14:textId="77777777" w:rsidR="001A2FD6" w:rsidRPr="001A2FD6" w:rsidRDefault="001A2FD6" w:rsidP="001A2FD6">
      <w:pPr>
        <w:spacing w:after="120" w:line="276" w:lineRule="auto"/>
        <w:ind w:firstLine="708"/>
        <w:jc w:val="both"/>
        <w:rPr>
          <w:rFonts w:ascii="Verdana" w:eastAsia="Calibri" w:hAnsi="Verdana" w:cs="Arial"/>
          <w:sz w:val="22"/>
          <w:szCs w:val="22"/>
          <w:lang w:val="es-ES"/>
        </w:rPr>
      </w:pPr>
      <w:r w:rsidRPr="001A2FD6">
        <w:rPr>
          <w:rFonts w:ascii="Verdana" w:eastAsia="Calibri" w:hAnsi="Verdana" w:cs="Arial"/>
          <w:sz w:val="22"/>
          <w:szCs w:val="22"/>
          <w:lang w:val="es-ES" w:eastAsia="en-US"/>
        </w:rPr>
        <w:t xml:space="preserve">En consecuencia, mientras que el convenio de formalización responde a la regulación especial establecida directamente por el artículo 101, que determina sus partes, finalidad, oportunidad y presupuestos de celebración, los actos y contratos que posteriormente celebre la entidad ejecutora para desarrollar materialmente el proyecto se encuentran expresamente sometidos, por disposición de los artículos 98 y 99 de la Ley 2056 de 2020, al régimen de contratación pública y al Estatuto </w:t>
      </w:r>
      <w:r w:rsidRPr="001A2FD6">
        <w:rPr>
          <w:rFonts w:ascii="Verdana" w:eastAsia="Calibri" w:hAnsi="Verdana" w:cs="Arial"/>
          <w:sz w:val="22"/>
          <w:szCs w:val="22"/>
          <w:lang w:val="es-ES"/>
        </w:rPr>
        <w:t xml:space="preserve">General </w:t>
      </w:r>
      <w:r w:rsidRPr="001A2FD6">
        <w:rPr>
          <w:rFonts w:ascii="Verdana" w:eastAsia="Calibri" w:hAnsi="Verdana" w:cs="Arial"/>
          <w:sz w:val="22"/>
          <w:szCs w:val="22"/>
          <w:lang w:val="es-ES" w:eastAsia="en-US"/>
        </w:rPr>
        <w:t xml:space="preserve">de Contratación. </w:t>
      </w:r>
      <w:r w:rsidRPr="001A2FD6">
        <w:rPr>
          <w:rFonts w:ascii="Verdana" w:eastAsia="Calibri" w:hAnsi="Verdana" w:cs="Arial"/>
          <w:sz w:val="22"/>
          <w:szCs w:val="22"/>
          <w:lang w:val="es-ES"/>
        </w:rPr>
        <w:t xml:space="preserve">  </w:t>
      </w:r>
    </w:p>
    <w:p w14:paraId="54C3C25B" w14:textId="77777777" w:rsidR="001A2FD6" w:rsidRPr="001A2FD6" w:rsidRDefault="001A2FD6" w:rsidP="001A2FD6">
      <w:pPr>
        <w:spacing w:after="120" w:line="276" w:lineRule="auto"/>
        <w:jc w:val="both"/>
        <w:rPr>
          <w:rFonts w:ascii="Verdana" w:eastAsia="Calibri" w:hAnsi="Verdana" w:cs="Arial"/>
          <w:sz w:val="22"/>
          <w:szCs w:val="22"/>
          <w:lang w:val="es-ES" w:eastAsia="en-US"/>
        </w:rPr>
      </w:pPr>
    </w:p>
    <w:p w14:paraId="7503F672" w14:textId="77777777" w:rsidR="001A2FD6" w:rsidRPr="001A2FD6" w:rsidRDefault="001A2FD6" w:rsidP="001A2FD6">
      <w:pPr>
        <w:spacing w:after="120" w:line="276" w:lineRule="auto"/>
        <w:jc w:val="both"/>
        <w:rPr>
          <w:rFonts w:ascii="Verdana" w:hAnsi="Verdana" w:cs="Arial"/>
          <w:sz w:val="22"/>
          <w:szCs w:val="22"/>
        </w:rPr>
      </w:pPr>
      <w:r w:rsidRPr="001A2FD6">
        <w:rPr>
          <w:rFonts w:ascii="Verdana" w:eastAsia="Calibri" w:hAnsi="Verdana" w:cs="Arial"/>
          <w:sz w:val="22"/>
          <w:szCs w:val="22"/>
          <w:lang w:val="es-ES"/>
        </w:rPr>
        <w:t xml:space="preserve">iii. Inhabilidades e incompatibilidades en la contratación estatal.  </w:t>
      </w:r>
      <w:r w:rsidRPr="001A2FD6">
        <w:rPr>
          <w:rFonts w:ascii="Verdana" w:hAnsi="Verdana" w:cs="Arial"/>
          <w:sz w:val="22"/>
          <w:szCs w:val="22"/>
        </w:rPr>
        <w:t xml:space="preserve">Las inhabilidades e incompatibilidades son circunstancias establecidas por la Constitución o la ley que impiden que personas naturales o jurídicas sean elegidas o designadas en un cargo público o celebren contratos con el Estado, </w:t>
      </w:r>
      <w:r w:rsidRPr="001A2FD6">
        <w:rPr>
          <w:rFonts w:ascii="Verdana" w:hAnsi="Verdana" w:cs="Arial"/>
          <w:sz w:val="22"/>
          <w:szCs w:val="22"/>
        </w:rPr>
        <w:lastRenderedPageBreak/>
        <w:t xml:space="preserve">con el objetivo de garantizar la idoneidad, imparcialidad, probidad, transparencia y moralidad de la función pública, garantizando el interés general.   </w:t>
      </w:r>
    </w:p>
    <w:p w14:paraId="34126801"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El régimen de inhabilidades e incompatibilidades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1A2FD6">
        <w:rPr>
          <w:rFonts w:ascii="Verdana" w:hAnsi="Verdana" w:cs="Arial"/>
          <w:sz w:val="22"/>
          <w:szCs w:val="22"/>
          <w:vertAlign w:val="superscript"/>
        </w:rPr>
        <w:footnoteReference w:id="1"/>
      </w:r>
      <w:r w:rsidRPr="001A2FD6">
        <w:rPr>
          <w:rFonts w:ascii="Verdana" w:hAnsi="Verdana" w:cs="Arial"/>
          <w:sz w:val="22"/>
          <w:szCs w:val="22"/>
        </w:rPr>
        <w:t>.</w:t>
      </w:r>
    </w:p>
    <w:p w14:paraId="412CBA1E"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6BECDCE0" w14:textId="77777777" w:rsidR="001A2FD6" w:rsidRPr="001A2FD6" w:rsidRDefault="001A2FD6" w:rsidP="001A2FD6">
      <w:pPr>
        <w:spacing w:after="120" w:line="276" w:lineRule="auto"/>
        <w:jc w:val="both"/>
        <w:rPr>
          <w:rFonts w:ascii="Verdana" w:eastAsiaTheme="minorHAnsi" w:hAnsi="Verdana" w:cs="Arial"/>
          <w:sz w:val="22"/>
          <w:szCs w:val="22"/>
          <w:lang w:val="es-MX" w:eastAsia="en-US"/>
        </w:rPr>
      </w:pPr>
    </w:p>
    <w:p w14:paraId="78E25E41" w14:textId="77777777" w:rsidR="001A2FD6" w:rsidRPr="001A2FD6" w:rsidRDefault="001A2FD6" w:rsidP="001A2FD6">
      <w:pPr>
        <w:shd w:val="clear" w:color="auto" w:fill="FFFFFF"/>
        <w:ind w:left="709" w:right="709"/>
        <w:jc w:val="both"/>
        <w:rPr>
          <w:rFonts w:ascii="Verdana" w:eastAsiaTheme="minorHAnsi" w:hAnsi="Verdana" w:cs="Arial"/>
          <w:sz w:val="20"/>
          <w:szCs w:val="20"/>
          <w:lang w:val="es-ES" w:eastAsia="en-US"/>
        </w:rPr>
      </w:pPr>
      <w:r w:rsidRPr="001A2FD6">
        <w:rPr>
          <w:rFonts w:ascii="Verdana" w:eastAsiaTheme="minorHAnsi" w:hAnsi="Verdana"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F46DE93" w14:textId="77777777" w:rsidR="001A2FD6" w:rsidRPr="001A2FD6" w:rsidRDefault="001A2FD6" w:rsidP="001A2FD6">
      <w:pPr>
        <w:shd w:val="clear" w:color="auto" w:fill="FFFFFF"/>
        <w:ind w:left="709" w:right="709"/>
        <w:jc w:val="both"/>
        <w:rPr>
          <w:rFonts w:ascii="Verdana" w:eastAsiaTheme="minorHAnsi" w:hAnsi="Verdana" w:cs="Arial"/>
          <w:sz w:val="20"/>
          <w:szCs w:val="20"/>
          <w:lang w:val="es-ES" w:eastAsia="en-US"/>
        </w:rPr>
      </w:pPr>
      <w:r w:rsidRPr="001A2FD6">
        <w:rPr>
          <w:rFonts w:ascii="Verdana" w:eastAsiaTheme="minorHAnsi" w:hAnsi="Verdana" w:cs="Arial"/>
          <w:sz w:val="20"/>
          <w:szCs w:val="20"/>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w:t>
      </w:r>
      <w:r w:rsidRPr="001A2FD6">
        <w:rPr>
          <w:rFonts w:ascii="Verdana" w:eastAsiaTheme="minorHAnsi" w:hAnsi="Verdana" w:cs="Arial"/>
          <w:sz w:val="20"/>
          <w:szCs w:val="20"/>
          <w:lang w:val="es-ES" w:eastAsia="en-US"/>
        </w:rPr>
        <w:lastRenderedPageBreak/>
        <w:t>que puede ser impuesta sobre el derecho individual a contratar con el Estado”</w:t>
      </w:r>
      <w:r w:rsidRPr="001A2FD6">
        <w:rPr>
          <w:rFonts w:ascii="Verdana" w:eastAsiaTheme="minorHAnsi" w:hAnsi="Verdana" w:cs="Arial"/>
          <w:sz w:val="20"/>
          <w:szCs w:val="20"/>
          <w:vertAlign w:val="superscript"/>
          <w:lang w:val="es-ES" w:eastAsia="en-US"/>
        </w:rPr>
        <w:footnoteReference w:id="2"/>
      </w:r>
      <w:r w:rsidRPr="001A2FD6">
        <w:rPr>
          <w:rFonts w:ascii="Verdana" w:eastAsiaTheme="minorHAnsi" w:hAnsi="Verdana" w:cs="Arial"/>
          <w:sz w:val="20"/>
          <w:szCs w:val="20"/>
          <w:lang w:val="es-ES" w:eastAsia="en-US"/>
        </w:rPr>
        <w:t>.</w:t>
      </w:r>
    </w:p>
    <w:p w14:paraId="7CD563B9" w14:textId="77777777" w:rsidR="001A2FD6" w:rsidRPr="001A2FD6" w:rsidRDefault="001A2FD6" w:rsidP="001A2FD6">
      <w:pPr>
        <w:shd w:val="clear" w:color="auto" w:fill="FFFFFF"/>
        <w:ind w:left="709" w:right="709"/>
        <w:jc w:val="both"/>
        <w:rPr>
          <w:rFonts w:ascii="Verdana" w:eastAsiaTheme="minorHAnsi" w:hAnsi="Verdana" w:cs="Arial"/>
          <w:sz w:val="20"/>
          <w:szCs w:val="20"/>
          <w:lang w:val="es-ES" w:eastAsia="en-US"/>
        </w:rPr>
      </w:pPr>
    </w:p>
    <w:p w14:paraId="215FA47F"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6D367260" w14:textId="77777777" w:rsidR="001A2FD6" w:rsidRPr="001A2FD6" w:rsidRDefault="001A2FD6" w:rsidP="001A2FD6">
      <w:pPr>
        <w:ind w:firstLine="709"/>
        <w:jc w:val="both"/>
        <w:rPr>
          <w:rFonts w:ascii="Verdana" w:eastAsiaTheme="minorHAnsi" w:hAnsi="Verdana" w:cs="Arial"/>
          <w:sz w:val="22"/>
          <w:szCs w:val="22"/>
          <w:lang w:val="es-MX" w:eastAsia="en-US"/>
        </w:rPr>
      </w:pPr>
    </w:p>
    <w:p w14:paraId="5CCECFB3" w14:textId="77777777" w:rsidR="001A2FD6" w:rsidRPr="001A2FD6" w:rsidRDefault="001A2FD6" w:rsidP="001A2FD6">
      <w:pPr>
        <w:ind w:left="709" w:right="709"/>
        <w:jc w:val="both"/>
        <w:rPr>
          <w:rFonts w:ascii="Verdana" w:hAnsi="Verdana" w:cs="Arial"/>
          <w:sz w:val="22"/>
          <w:szCs w:val="22"/>
        </w:rPr>
      </w:pPr>
      <w:r w:rsidRPr="001A2FD6">
        <w:rPr>
          <w:rFonts w:ascii="Verdana" w:hAnsi="Verdana" w:cs="Arial"/>
          <w:sz w:val="22"/>
          <w:szCs w:val="22"/>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0502E591" w14:textId="77777777" w:rsidR="001A2FD6" w:rsidRPr="001A2FD6" w:rsidRDefault="001A2FD6" w:rsidP="001A2FD6">
      <w:pPr>
        <w:ind w:left="709" w:right="709"/>
        <w:jc w:val="both"/>
        <w:rPr>
          <w:rFonts w:ascii="Verdana" w:hAnsi="Verdana" w:cs="Arial"/>
          <w:sz w:val="22"/>
          <w:szCs w:val="22"/>
        </w:rPr>
      </w:pPr>
      <w:r w:rsidRPr="001A2FD6">
        <w:rPr>
          <w:rFonts w:ascii="Verdana" w:hAnsi="Verdana" w:cs="Arial"/>
          <w:sz w:val="22"/>
          <w:szCs w:val="22"/>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1A2FD6">
        <w:rPr>
          <w:rFonts w:ascii="Verdana" w:hAnsi="Verdana" w:cs="Arial"/>
          <w:sz w:val="22"/>
          <w:szCs w:val="22"/>
          <w:vertAlign w:val="superscript"/>
        </w:rPr>
        <w:footnoteReference w:id="3"/>
      </w:r>
      <w:r w:rsidRPr="001A2FD6">
        <w:rPr>
          <w:rFonts w:ascii="Verdana" w:hAnsi="Verdana" w:cs="Arial"/>
          <w:sz w:val="22"/>
          <w:szCs w:val="22"/>
        </w:rPr>
        <w:t>.</w:t>
      </w:r>
    </w:p>
    <w:p w14:paraId="5B2D8F7D" w14:textId="77777777" w:rsidR="001A2FD6" w:rsidRPr="001A2FD6" w:rsidRDefault="001A2FD6" w:rsidP="001A2FD6">
      <w:pPr>
        <w:spacing w:after="120" w:line="276" w:lineRule="auto"/>
        <w:ind w:right="709"/>
        <w:jc w:val="both"/>
        <w:rPr>
          <w:rFonts w:ascii="Verdana" w:hAnsi="Verdana" w:cs="Arial"/>
          <w:sz w:val="22"/>
          <w:szCs w:val="22"/>
        </w:rPr>
      </w:pPr>
    </w:p>
    <w:p w14:paraId="7DE6A7DE"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 xml:space="preserve">Además, la Corte Constitucional explica que el legislador tiene la competencia para determinar qué hechos o situaciones generan inhabilidad para </w:t>
      </w:r>
      <w:r w:rsidRPr="001A2FD6">
        <w:rPr>
          <w:rFonts w:ascii="Verdana" w:hAnsi="Verdana" w:cs="Arial"/>
          <w:sz w:val="22"/>
          <w:szCs w:val="22"/>
        </w:rPr>
        <w:lastRenderedPageBreak/>
        <w:t>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14C2DA59" w14:textId="77777777" w:rsidR="001A2FD6" w:rsidRPr="001A2FD6" w:rsidRDefault="001A2FD6" w:rsidP="001A2FD6">
      <w:pPr>
        <w:tabs>
          <w:tab w:val="left" w:pos="1532"/>
        </w:tabs>
        <w:spacing w:after="120" w:line="276" w:lineRule="auto"/>
        <w:jc w:val="both"/>
        <w:rPr>
          <w:rFonts w:ascii="Verdana" w:eastAsiaTheme="minorHAnsi" w:hAnsi="Verdana" w:cs="Arial"/>
          <w:sz w:val="22"/>
          <w:szCs w:val="22"/>
          <w:lang w:val="es-MX" w:eastAsia="en-US"/>
        </w:rPr>
      </w:pPr>
    </w:p>
    <w:p w14:paraId="123F54FD" w14:textId="77777777" w:rsidR="001A2FD6" w:rsidRPr="001A2FD6" w:rsidRDefault="001A2FD6" w:rsidP="001A2FD6">
      <w:pPr>
        <w:ind w:left="709" w:right="709"/>
        <w:jc w:val="both"/>
        <w:rPr>
          <w:rFonts w:ascii="Verdana" w:hAnsi="Verdana" w:cs="Arial"/>
          <w:sz w:val="22"/>
          <w:szCs w:val="22"/>
        </w:rPr>
      </w:pPr>
      <w:r w:rsidRPr="001A2FD6">
        <w:rPr>
          <w:rFonts w:ascii="Verdana" w:hAnsi="Verdana" w:cs="Arial"/>
          <w:sz w:val="22"/>
          <w:szCs w:val="22"/>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1A2FD6">
        <w:rPr>
          <w:rFonts w:ascii="Verdana" w:hAnsi="Verdana" w:cs="Arial"/>
          <w:i/>
          <w:iCs/>
          <w:sz w:val="22"/>
          <w:szCs w:val="22"/>
        </w:rPr>
        <w:t>pro libertate</w:t>
      </w:r>
      <w:r w:rsidRPr="001A2FD6">
        <w:rPr>
          <w:rFonts w:ascii="Verdana" w:hAnsi="Verdana" w:cs="Arial"/>
          <w:sz w:val="22"/>
          <w:szCs w:val="22"/>
        </w:rPr>
        <w:t xml:space="preserve">, sino el de legalidad, el que ordena que la función pública debe someterse estrictamente a lo que disponga la Constitución y la ley (CP art. 6). </w:t>
      </w:r>
    </w:p>
    <w:p w14:paraId="22AC1A6B" w14:textId="77777777" w:rsidR="001A2FD6" w:rsidRPr="001A2FD6" w:rsidRDefault="001A2FD6" w:rsidP="001A2FD6">
      <w:pPr>
        <w:ind w:left="709" w:right="709"/>
        <w:jc w:val="both"/>
        <w:rPr>
          <w:rFonts w:ascii="Verdana" w:hAnsi="Verdana" w:cs="Arial"/>
          <w:sz w:val="22"/>
          <w:szCs w:val="22"/>
        </w:rPr>
      </w:pPr>
      <w:r w:rsidRPr="001A2FD6">
        <w:rPr>
          <w:rFonts w:ascii="Verdana" w:hAnsi="Verdana" w:cs="Arial"/>
          <w:sz w:val="22"/>
          <w:szCs w:val="22"/>
        </w:rPr>
        <w:t xml:space="preserve">[…] </w:t>
      </w:r>
    </w:p>
    <w:p w14:paraId="3F7E50AA" w14:textId="77777777" w:rsidR="001A2FD6" w:rsidRPr="001A2FD6" w:rsidRDefault="001A2FD6" w:rsidP="001A2FD6">
      <w:pPr>
        <w:ind w:left="709" w:right="709"/>
        <w:jc w:val="both"/>
        <w:rPr>
          <w:rFonts w:ascii="Verdana" w:hAnsi="Verdana" w:cs="Arial"/>
          <w:sz w:val="22"/>
          <w:szCs w:val="22"/>
        </w:rPr>
      </w:pPr>
      <w:r w:rsidRPr="001A2FD6">
        <w:rPr>
          <w:rFonts w:ascii="Verdana" w:hAnsi="Verdana" w:cs="Arial"/>
          <w:sz w:val="22"/>
          <w:szCs w:val="22"/>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1A2FD6">
        <w:rPr>
          <w:rFonts w:ascii="Verdana" w:hAnsi="Verdana" w:cs="Arial"/>
          <w:sz w:val="22"/>
          <w:szCs w:val="22"/>
          <w:vertAlign w:val="superscript"/>
        </w:rPr>
        <w:footnoteReference w:id="4"/>
      </w:r>
      <w:r w:rsidRPr="001A2FD6">
        <w:rPr>
          <w:rFonts w:ascii="Verdana" w:hAnsi="Verdana" w:cs="Arial"/>
          <w:sz w:val="22"/>
          <w:szCs w:val="22"/>
        </w:rPr>
        <w:t>.</w:t>
      </w:r>
    </w:p>
    <w:p w14:paraId="6BE962C5" w14:textId="77777777" w:rsidR="001A2FD6" w:rsidRPr="001A2FD6" w:rsidRDefault="001A2FD6" w:rsidP="001A2FD6">
      <w:pPr>
        <w:ind w:left="709" w:right="709"/>
        <w:jc w:val="both"/>
        <w:rPr>
          <w:rFonts w:ascii="Verdana" w:hAnsi="Verdana" w:cs="Arial"/>
          <w:sz w:val="22"/>
          <w:szCs w:val="22"/>
        </w:rPr>
      </w:pPr>
    </w:p>
    <w:p w14:paraId="737F17AC"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1A2FD6">
        <w:rPr>
          <w:rFonts w:ascii="Verdana" w:hAnsi="Verdana" w:cs="Arial"/>
          <w:sz w:val="22"/>
          <w:szCs w:val="22"/>
          <w:vertAlign w:val="superscript"/>
        </w:rPr>
        <w:footnoteReference w:id="5"/>
      </w:r>
      <w:r w:rsidRPr="001A2FD6">
        <w:rPr>
          <w:rFonts w:ascii="Verdana" w:hAnsi="Verdana" w:cs="Arial"/>
          <w:sz w:val="22"/>
          <w:szCs w:val="22"/>
        </w:rPr>
        <w:t>.</w:t>
      </w:r>
    </w:p>
    <w:p w14:paraId="6DBC2847" w14:textId="77777777" w:rsidR="001A2FD6" w:rsidRPr="001A2FD6" w:rsidRDefault="001A2FD6" w:rsidP="001A2FD6">
      <w:pPr>
        <w:spacing w:after="120" w:line="276" w:lineRule="auto"/>
        <w:ind w:firstLine="709"/>
        <w:jc w:val="both"/>
        <w:rPr>
          <w:rFonts w:ascii="Verdana" w:hAnsi="Verdana" w:cs="Arial"/>
          <w:sz w:val="22"/>
          <w:szCs w:val="22"/>
        </w:rPr>
      </w:pPr>
      <w:r w:rsidRPr="001A2FD6">
        <w:rPr>
          <w:rFonts w:ascii="Verdana" w:hAnsi="Verdana" w:cs="Arial"/>
          <w:sz w:val="22"/>
          <w:szCs w:val="22"/>
        </w:rPr>
        <w:t>A manera de ejemplo, en materia contractual, los literales c), d) y j) del numeral 1 del artículo 8 de la Ley 80 de 1993</w:t>
      </w:r>
      <w:r w:rsidRPr="001A2FD6">
        <w:rPr>
          <w:rFonts w:ascii="Verdana" w:hAnsi="Verdana" w:cs="Arial"/>
          <w:sz w:val="22"/>
          <w:szCs w:val="22"/>
          <w:vertAlign w:val="superscript"/>
        </w:rPr>
        <w:footnoteReference w:id="6"/>
      </w:r>
      <w:r w:rsidRPr="001A2FD6">
        <w:rPr>
          <w:rFonts w:ascii="Verdana" w:hAnsi="Verdana" w:cs="Arial"/>
          <w:sz w:val="22"/>
          <w:szCs w:val="22"/>
        </w:rPr>
        <w:t xml:space="preserve"> establecen inhabilidades-sanción, </w:t>
      </w:r>
      <w:r w:rsidRPr="001A2FD6">
        <w:rPr>
          <w:rFonts w:ascii="Verdana" w:hAnsi="Verdana" w:cs="Arial"/>
          <w:sz w:val="22"/>
          <w:szCs w:val="22"/>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2" w:name="_Hlk40976328"/>
      <w:r w:rsidRPr="001A2FD6">
        <w:rPr>
          <w:rFonts w:ascii="Verdana" w:hAnsi="Verdana" w:cs="Arial"/>
          <w:sz w:val="22"/>
          <w:szCs w:val="22"/>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2"/>
    </w:p>
    <w:p w14:paraId="6662234D"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rPr>
      </w:pPr>
      <w:r w:rsidRPr="001A2FD6">
        <w:rPr>
          <w:rFonts w:ascii="Verdana" w:eastAsia="Calibri" w:hAnsi="Verdana" w:cs="Arial"/>
          <w:i/>
          <w:iCs/>
          <w:sz w:val="22"/>
          <w:szCs w:val="22"/>
          <w:lang w:val="es-ES_tradnl"/>
        </w:rPr>
        <w:t>Igualmente</w:t>
      </w:r>
      <w:r w:rsidRPr="001A2FD6">
        <w:rPr>
          <w:rFonts w:ascii="Verdana" w:eastAsia="Calibri" w:hAnsi="Verdana" w:cs="Arial"/>
          <w:sz w:val="22"/>
          <w:szCs w:val="22"/>
          <w:lang w:val="es-ES_tradnl"/>
        </w:rPr>
        <w:t xml:space="preserve">, </w:t>
      </w:r>
      <w:bookmarkStart w:id="3" w:name="_Hlk135133412"/>
      <w:r w:rsidRPr="001A2FD6">
        <w:rPr>
          <w:rFonts w:ascii="Verdana" w:eastAsia="Calibri" w:hAnsi="Verdana" w:cs="Arial"/>
          <w:sz w:val="22"/>
          <w:szCs w:val="22"/>
          <w:lang w:val="es-ES_tradnl"/>
        </w:rPr>
        <w:t xml:space="preserve">en la contratación estatal, la </w:t>
      </w:r>
      <w:r w:rsidRPr="001A2FD6">
        <w:rPr>
          <w:rFonts w:ascii="Verdana" w:eastAsia="Calibri" w:hAnsi="Verdana" w:cs="Arial"/>
          <w:i/>
          <w:iCs/>
          <w:sz w:val="22"/>
          <w:szCs w:val="22"/>
          <w:lang w:val="es-ES_tradnl"/>
        </w:rPr>
        <w:t>capacidad</w:t>
      </w:r>
      <w:r w:rsidRPr="001A2FD6">
        <w:rPr>
          <w:rFonts w:ascii="Verdana" w:eastAsia="Calibri" w:hAnsi="Verdana" w:cs="Arial"/>
          <w:sz w:val="22"/>
          <w:szCs w:val="22"/>
          <w:lang w:val="es-ES_tradnl"/>
        </w:rPr>
        <w:t xml:space="preserve"> también es un requisito de validez de los contratos, tanto en el régimen de las entidades sujetas al Estatuto General de Contratación de la Administración Pública</w:t>
      </w:r>
      <w:r w:rsidRPr="001A2FD6">
        <w:rPr>
          <w:rFonts w:ascii="Verdana" w:eastAsia="Calibri" w:hAnsi="Verdana" w:cs="Arial"/>
          <w:sz w:val="22"/>
          <w:szCs w:val="22"/>
          <w:vertAlign w:val="superscript"/>
          <w:lang w:val="es-ES_tradnl"/>
        </w:rPr>
        <w:footnoteReference w:id="7"/>
      </w:r>
      <w:r w:rsidRPr="001A2FD6">
        <w:rPr>
          <w:rFonts w:ascii="Verdana" w:eastAsia="Calibri" w:hAnsi="Verdana" w:cs="Arial"/>
          <w:sz w:val="22"/>
          <w:szCs w:val="22"/>
          <w:lang w:val="es-ES_tradnl"/>
        </w:rPr>
        <w:t xml:space="preserve"> como en el de las entidades exceptuadas de aquel</w:t>
      </w:r>
      <w:r w:rsidRPr="001A2FD6">
        <w:rPr>
          <w:rFonts w:ascii="Verdana" w:eastAsia="Calibri" w:hAnsi="Verdana" w:cs="Arial"/>
          <w:sz w:val="22"/>
          <w:szCs w:val="22"/>
          <w:vertAlign w:val="superscript"/>
          <w:lang w:val="es-ES_tradnl"/>
        </w:rPr>
        <w:footnoteReference w:id="8"/>
      </w:r>
      <w:r w:rsidRPr="001A2FD6">
        <w:rPr>
          <w:rFonts w:ascii="Verdana" w:eastAsia="Calibri" w:hAnsi="Verdana" w:cs="Arial"/>
          <w:sz w:val="22"/>
          <w:szCs w:val="22"/>
          <w:lang w:val="es-ES_tradnl"/>
        </w:rPr>
        <w:t xml:space="preserve">. Si bien la regulación de la capacidad se integra por varias disposiciones y exigencias especiales –como el requisito de inscribirse, por regla general, en el Registro Único de Proponentes (RUP), establecido en el artículo 6 de la Ley 1150 de 2007, modificado por el artículo </w:t>
      </w:r>
      <w:r w:rsidRPr="001A2FD6">
        <w:rPr>
          <w:rFonts w:ascii="Verdana" w:eastAsia="Calibri" w:hAnsi="Verdana" w:cs="Arial"/>
          <w:sz w:val="22"/>
          <w:szCs w:val="22"/>
          <w:lang w:val="es-ES_tradnl"/>
        </w:rPr>
        <w:lastRenderedPageBreak/>
        <w:t>221 del Decreto 19 de 2012</w:t>
      </w:r>
      <w:r w:rsidRPr="001A2FD6">
        <w:rPr>
          <w:rFonts w:ascii="Verdana" w:eastAsia="Calibri" w:hAnsi="Verdana" w:cs="Arial"/>
          <w:sz w:val="22"/>
          <w:szCs w:val="22"/>
          <w:vertAlign w:val="superscript"/>
          <w:lang w:val="es-ES_tradnl"/>
        </w:rPr>
        <w:footnoteReference w:id="9"/>
      </w:r>
      <w:r w:rsidRPr="001A2FD6">
        <w:rPr>
          <w:rFonts w:ascii="Verdana" w:eastAsia="Calibri" w:hAnsi="Verdana" w:cs="Arial"/>
          <w:sz w:val="22"/>
          <w:szCs w:val="22"/>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1A2FD6">
        <w:rPr>
          <w:rFonts w:ascii="Verdana" w:eastAsia="Calibri" w:hAnsi="Verdana" w:cs="Arial"/>
          <w:sz w:val="22"/>
          <w:szCs w:val="22"/>
          <w:vertAlign w:val="superscript"/>
          <w:lang w:val="es-ES_tradnl"/>
        </w:rPr>
        <w:footnoteReference w:id="10"/>
      </w:r>
      <w:r w:rsidRPr="001A2FD6">
        <w:rPr>
          <w:rFonts w:ascii="Verdana" w:eastAsia="Calibri" w:hAnsi="Verdana" w:cs="Arial"/>
          <w:sz w:val="22"/>
          <w:szCs w:val="22"/>
          <w:lang w:val="es-ES_tradnl"/>
        </w:rPr>
        <w:t>.</w:t>
      </w:r>
    </w:p>
    <w:p w14:paraId="5DF13662" w14:textId="77777777" w:rsidR="001A2FD6" w:rsidRPr="001A2FD6" w:rsidRDefault="001A2FD6" w:rsidP="001A2FD6">
      <w:pPr>
        <w:spacing w:after="120" w:line="276" w:lineRule="auto"/>
        <w:ind w:firstLine="709"/>
        <w:jc w:val="both"/>
        <w:rPr>
          <w:rFonts w:ascii="Verdana" w:eastAsia="Calibri" w:hAnsi="Verdana" w:cs="Arial"/>
          <w:sz w:val="22"/>
          <w:szCs w:val="22"/>
          <w:lang w:val="es-ES"/>
        </w:rPr>
      </w:pPr>
      <w:r w:rsidRPr="001A2FD6">
        <w:rPr>
          <w:rFonts w:ascii="Verdana" w:eastAsia="Calibri" w:hAnsi="Verdana" w:cs="Arial"/>
          <w:sz w:val="22"/>
          <w:szCs w:val="22"/>
          <w:lang w:val="es-ES"/>
        </w:rPr>
        <w:t>Las inhabilidades son prohibiciones para concurrir a los procedimientos de selección y para contratar con el Estado, que se derivan: i) de la existencia de comportamientos reprochables o de sanciones anteriormente impuestas</w:t>
      </w:r>
      <w:r w:rsidRPr="001A2FD6">
        <w:rPr>
          <w:rFonts w:ascii="Verdana" w:eastAsia="Calibri" w:hAnsi="Verdana" w:cs="Arial"/>
          <w:sz w:val="22"/>
          <w:szCs w:val="22"/>
          <w:vertAlign w:val="superscript"/>
          <w:lang w:val="es-ES"/>
        </w:rPr>
        <w:footnoteReference w:id="11"/>
      </w:r>
      <w:r w:rsidRPr="001A2FD6">
        <w:rPr>
          <w:rFonts w:ascii="Verdana" w:eastAsia="Calibri" w:hAnsi="Verdana" w:cs="Arial"/>
          <w:sz w:val="22"/>
          <w:szCs w:val="22"/>
          <w:lang w:val="es-ES"/>
        </w:rPr>
        <w:t>, ii) de vínculos personales relativos al parentesco o al estado civil</w:t>
      </w:r>
      <w:r w:rsidRPr="001A2FD6">
        <w:rPr>
          <w:rFonts w:ascii="Verdana" w:eastAsia="Calibri" w:hAnsi="Verdana" w:cs="Arial"/>
          <w:sz w:val="22"/>
          <w:szCs w:val="22"/>
          <w:vertAlign w:val="superscript"/>
          <w:lang w:val="es-ES"/>
        </w:rPr>
        <w:footnoteReference w:id="12"/>
      </w:r>
      <w:r w:rsidRPr="001A2FD6">
        <w:rPr>
          <w:rFonts w:ascii="Verdana" w:eastAsia="Calibri" w:hAnsi="Verdana" w:cs="Arial"/>
          <w:sz w:val="22"/>
          <w:szCs w:val="22"/>
          <w:lang w:val="es-ES"/>
        </w:rPr>
        <w:t xml:space="preserve"> o iii) de una </w:t>
      </w:r>
      <w:r w:rsidRPr="001A2FD6">
        <w:rPr>
          <w:rFonts w:ascii="Verdana" w:eastAsia="Calibri" w:hAnsi="Verdana" w:cs="Arial"/>
          <w:sz w:val="22"/>
          <w:szCs w:val="22"/>
          <w:lang w:val="es-ES"/>
        </w:rPr>
        <w:lastRenderedPageBreak/>
        <w:t>actividad u oficio que se desempeñó en el pasado</w:t>
      </w:r>
      <w:r w:rsidRPr="001A2FD6">
        <w:rPr>
          <w:rFonts w:ascii="Verdana" w:eastAsia="Calibri" w:hAnsi="Verdana" w:cs="Arial"/>
          <w:sz w:val="22"/>
          <w:szCs w:val="22"/>
          <w:vertAlign w:val="superscript"/>
          <w:lang w:val="es-ES"/>
        </w:rPr>
        <w:footnoteReference w:id="13"/>
      </w:r>
      <w:r w:rsidRPr="001A2FD6">
        <w:rPr>
          <w:rFonts w:ascii="Verdana" w:eastAsia="Calibri" w:hAnsi="Verdana" w:cs="Arial"/>
          <w:sz w:val="22"/>
          <w:szCs w:val="22"/>
          <w:lang w:val="es-ES"/>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A2FD6">
        <w:rPr>
          <w:rFonts w:ascii="Verdana" w:eastAsia="Calibri" w:hAnsi="Verdana" w:cs="Arial"/>
          <w:sz w:val="22"/>
          <w:szCs w:val="22"/>
          <w:vertAlign w:val="superscript"/>
          <w:lang w:val="es-ES"/>
        </w:rPr>
        <w:footnoteReference w:id="14"/>
      </w:r>
      <w:r w:rsidRPr="001A2FD6">
        <w:rPr>
          <w:rFonts w:ascii="Verdana" w:eastAsia="Calibri" w:hAnsi="Verdana" w:cs="Arial"/>
          <w:sz w:val="22"/>
          <w:szCs w:val="22"/>
          <w:lang w:val="es-ES"/>
        </w:rPr>
        <w:t xml:space="preserve">. </w:t>
      </w:r>
    </w:p>
    <w:bookmarkEnd w:id="3"/>
    <w:p w14:paraId="09C03FA5"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rPr>
      </w:pPr>
      <w:r w:rsidRPr="001A2FD6">
        <w:rPr>
          <w:rFonts w:ascii="Verdana" w:eastAsia="Calibri" w:hAnsi="Verdana" w:cs="Arial"/>
          <w:sz w:val="22"/>
          <w:szCs w:val="22"/>
          <w:lang w:val="es-ES_tradnl"/>
        </w:rPr>
        <w:t xml:space="preserve">Ahora bien, las inhabilidades e incompatibilidades al ser restricciones o límites especiales a la capacidad para presentar ofertas y celebrar contratos </w:t>
      </w:r>
      <w:r w:rsidRPr="001A2FD6">
        <w:rPr>
          <w:rFonts w:ascii="Verdana" w:eastAsia="Calibri" w:hAnsi="Verdana" w:cs="Arial"/>
          <w:sz w:val="22"/>
          <w:szCs w:val="22"/>
          <w:lang w:val="es-ES_tradnl"/>
        </w:rPr>
        <w:lastRenderedPageBreak/>
        <w:t xml:space="preserve">estatales, solo pueden tipificarse en la ley o la Constitución –o sea, deben satisfacer el principio de legalidad– y su interpretación debe ser </w:t>
      </w:r>
      <w:r w:rsidRPr="001A2FD6">
        <w:rPr>
          <w:rFonts w:ascii="Verdana" w:eastAsia="Calibri" w:hAnsi="Verdana" w:cs="Arial"/>
          <w:i/>
          <w:iCs/>
          <w:sz w:val="22"/>
          <w:szCs w:val="22"/>
          <w:lang w:val="es-ES_tradnl"/>
        </w:rPr>
        <w:t>restrictiva</w:t>
      </w:r>
      <w:r w:rsidRPr="001A2FD6">
        <w:rPr>
          <w:rFonts w:ascii="Verdana" w:eastAsia="Calibri" w:hAnsi="Verdana" w:cs="Arial"/>
          <w:i/>
          <w:iCs/>
          <w:sz w:val="22"/>
          <w:szCs w:val="22"/>
          <w:vertAlign w:val="superscript"/>
          <w:lang w:val="es-ES_tradnl"/>
        </w:rPr>
        <w:footnoteReference w:id="15"/>
      </w:r>
      <w:r w:rsidRPr="001A2FD6">
        <w:rPr>
          <w:rFonts w:ascii="Verdana" w:eastAsia="Calibri" w:hAnsi="Verdana" w:cs="Arial"/>
          <w:i/>
          <w:iCs/>
          <w:sz w:val="22"/>
          <w:szCs w:val="22"/>
          <w:lang w:val="es-ES_tradnl"/>
        </w:rPr>
        <w:t xml:space="preserve">, </w:t>
      </w:r>
      <w:r w:rsidRPr="001A2FD6">
        <w:rPr>
          <w:rFonts w:ascii="Verdana" w:eastAsia="Calibri" w:hAnsi="Verdana" w:cs="Arial"/>
          <w:sz w:val="22"/>
          <w:szCs w:val="22"/>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2F5661F4"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rPr>
      </w:pPr>
      <w:r w:rsidRPr="001A2FD6">
        <w:rPr>
          <w:rFonts w:ascii="Verdana" w:eastAsia="Calibri" w:hAnsi="Verdana" w:cs="Arial"/>
          <w:sz w:val="22"/>
          <w:szCs w:val="22"/>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1A2FD6">
        <w:rPr>
          <w:rFonts w:ascii="Verdana" w:eastAsia="Calibri" w:hAnsi="Verdana" w:cs="Arial"/>
          <w:sz w:val="22"/>
          <w:szCs w:val="22"/>
          <w:vertAlign w:val="superscript"/>
          <w:lang w:val="es-ES_tradnl"/>
        </w:rPr>
        <w:footnoteReference w:id="16"/>
      </w:r>
      <w:r w:rsidRPr="001A2FD6">
        <w:rPr>
          <w:rFonts w:ascii="Verdana" w:eastAsia="Calibri" w:hAnsi="Verdana" w:cs="Arial"/>
          <w:sz w:val="22"/>
          <w:szCs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1A2FD6">
        <w:rPr>
          <w:rFonts w:ascii="Verdana" w:eastAsia="Calibri" w:hAnsi="Verdana" w:cs="Arial"/>
          <w:sz w:val="22"/>
          <w:szCs w:val="22"/>
          <w:vertAlign w:val="superscript"/>
          <w:lang w:val="es-ES_tradnl"/>
        </w:rPr>
        <w:footnoteReference w:id="17"/>
      </w:r>
      <w:r w:rsidRPr="001A2FD6">
        <w:rPr>
          <w:rFonts w:ascii="Verdana" w:eastAsia="Calibri" w:hAnsi="Verdana" w:cs="Arial"/>
          <w:sz w:val="22"/>
          <w:szCs w:val="22"/>
          <w:lang w:val="es-ES_tradnl"/>
        </w:rPr>
        <w:t>. En tal sentido, la Sección Tercera ha señalado que:</w:t>
      </w:r>
    </w:p>
    <w:p w14:paraId="1FF88C48"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rPr>
      </w:pPr>
    </w:p>
    <w:p w14:paraId="1D2A7A4E" w14:textId="77777777" w:rsidR="001A2FD6" w:rsidRPr="001A2FD6" w:rsidRDefault="001A2FD6" w:rsidP="001A2FD6">
      <w:pPr>
        <w:ind w:left="709" w:right="709"/>
        <w:jc w:val="both"/>
        <w:rPr>
          <w:rFonts w:ascii="Verdana" w:eastAsia="Calibri" w:hAnsi="Verdana" w:cs="Arial"/>
          <w:sz w:val="20"/>
          <w:szCs w:val="20"/>
          <w:lang w:val="es-ES_tradnl"/>
        </w:rPr>
      </w:pPr>
      <w:r w:rsidRPr="001A2FD6">
        <w:rPr>
          <w:rFonts w:ascii="Verdana"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A2FD6">
        <w:rPr>
          <w:rFonts w:ascii="Verdana" w:hAnsi="Verdana" w:cs="Arial"/>
          <w:sz w:val="20"/>
          <w:szCs w:val="20"/>
          <w:vertAlign w:val="superscript"/>
          <w:lang w:val="es-ES_tradnl"/>
        </w:rPr>
        <w:footnoteReference w:id="18"/>
      </w:r>
      <w:r w:rsidRPr="001A2FD6">
        <w:rPr>
          <w:rFonts w:ascii="Verdana" w:hAnsi="Verdana" w:cs="Arial"/>
          <w:sz w:val="20"/>
          <w:szCs w:val="20"/>
          <w:lang w:val="es-ES_tradnl"/>
        </w:rPr>
        <w:t>.</w:t>
      </w:r>
    </w:p>
    <w:p w14:paraId="01A2B524" w14:textId="77777777" w:rsidR="001A2FD6" w:rsidRPr="001A2FD6" w:rsidRDefault="001A2FD6" w:rsidP="001A2FD6">
      <w:pPr>
        <w:ind w:firstLine="709"/>
        <w:jc w:val="both"/>
        <w:rPr>
          <w:rFonts w:ascii="Verdana" w:eastAsia="Calibri" w:hAnsi="Verdana" w:cs="Arial"/>
          <w:sz w:val="20"/>
          <w:szCs w:val="20"/>
          <w:lang w:val="es-ES_tradnl"/>
        </w:rPr>
      </w:pPr>
    </w:p>
    <w:p w14:paraId="5A0BDF66" w14:textId="77777777" w:rsidR="001A2FD6" w:rsidRPr="001A2FD6" w:rsidRDefault="001A2FD6" w:rsidP="001A2FD6">
      <w:pPr>
        <w:ind w:firstLine="709"/>
        <w:jc w:val="both"/>
        <w:rPr>
          <w:rFonts w:ascii="Verdana" w:eastAsia="Calibri" w:hAnsi="Verdana" w:cs="Arial"/>
          <w:sz w:val="20"/>
          <w:szCs w:val="20"/>
          <w:lang w:val="es-ES_tradnl"/>
        </w:rPr>
      </w:pPr>
      <w:r w:rsidRPr="001A2FD6">
        <w:rPr>
          <w:rFonts w:ascii="Verdana" w:eastAsia="Calibri" w:hAnsi="Verdana" w:cs="Arial"/>
          <w:sz w:val="20"/>
          <w:szCs w:val="20"/>
          <w:lang w:val="es-ES_tradnl"/>
        </w:rPr>
        <w:lastRenderedPageBreak/>
        <w:t>También ha dicho que:</w:t>
      </w:r>
    </w:p>
    <w:p w14:paraId="1486242D" w14:textId="77777777" w:rsidR="001A2FD6" w:rsidRPr="001A2FD6" w:rsidRDefault="001A2FD6" w:rsidP="001A2FD6">
      <w:pPr>
        <w:ind w:firstLine="709"/>
        <w:jc w:val="both"/>
        <w:rPr>
          <w:rFonts w:ascii="Verdana" w:eastAsia="Calibri" w:hAnsi="Verdana" w:cs="Arial"/>
          <w:sz w:val="20"/>
          <w:szCs w:val="20"/>
          <w:lang w:val="es-ES_tradnl"/>
        </w:rPr>
      </w:pPr>
    </w:p>
    <w:p w14:paraId="7926824C" w14:textId="77777777" w:rsidR="001A2FD6" w:rsidRPr="001A2FD6" w:rsidRDefault="001A2FD6" w:rsidP="001A2FD6">
      <w:pPr>
        <w:ind w:left="709" w:right="616"/>
        <w:jc w:val="both"/>
        <w:rPr>
          <w:rFonts w:ascii="Verdana" w:hAnsi="Verdana" w:cs="Arial"/>
          <w:sz w:val="20"/>
          <w:szCs w:val="20"/>
          <w:lang w:val="es-ES"/>
        </w:rPr>
      </w:pPr>
      <w:r w:rsidRPr="001A2FD6">
        <w:rPr>
          <w:rFonts w:ascii="Verdana" w:hAnsi="Verdana" w:cs="Arial"/>
          <w:sz w:val="20"/>
          <w:szCs w:val="20"/>
          <w:lang w:val="es-ES"/>
        </w:rPr>
        <w:t xml:space="preserve">“[…] la aplicación de estos preceptos exige una interpretación restrictiva, dado que según el principio hermenéutico </w:t>
      </w:r>
      <w:r w:rsidRPr="001A2FD6">
        <w:rPr>
          <w:rFonts w:ascii="Verdana" w:hAnsi="Verdana" w:cs="Arial"/>
          <w:i/>
          <w:sz w:val="20"/>
          <w:szCs w:val="20"/>
          <w:lang w:val="es-ES"/>
        </w:rPr>
        <w:t>pro libertate</w:t>
      </w:r>
      <w:r w:rsidRPr="001A2FD6">
        <w:rPr>
          <w:rFonts w:ascii="Verdana"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A2FD6">
        <w:rPr>
          <w:rFonts w:ascii="Verdana" w:hAnsi="Verdana" w:cs="Arial"/>
          <w:sz w:val="20"/>
          <w:szCs w:val="20"/>
          <w:vertAlign w:val="superscript"/>
          <w:lang w:val="es-ES"/>
        </w:rPr>
        <w:footnoteReference w:id="19"/>
      </w:r>
      <w:r w:rsidRPr="001A2FD6">
        <w:rPr>
          <w:rFonts w:ascii="Verdana" w:hAnsi="Verdana" w:cs="Arial"/>
          <w:sz w:val="20"/>
          <w:szCs w:val="20"/>
          <w:lang w:val="es-ES"/>
        </w:rPr>
        <w:t>.</w:t>
      </w:r>
    </w:p>
    <w:p w14:paraId="5561A767" w14:textId="77777777" w:rsidR="001A2FD6" w:rsidRPr="001A2FD6" w:rsidRDefault="001A2FD6" w:rsidP="001A2FD6">
      <w:pPr>
        <w:ind w:firstLine="708"/>
        <w:jc w:val="both"/>
        <w:rPr>
          <w:rFonts w:ascii="Verdana" w:eastAsia="Arial" w:hAnsi="Verdana" w:cs="Arial"/>
          <w:color w:val="000000"/>
          <w:sz w:val="20"/>
          <w:szCs w:val="20"/>
          <w:lang w:val="es-ES_tradnl"/>
        </w:rPr>
      </w:pPr>
    </w:p>
    <w:p w14:paraId="1E5FF5C2" w14:textId="77777777" w:rsidR="001A2FD6" w:rsidRPr="001A2FD6" w:rsidRDefault="001A2FD6" w:rsidP="001A2FD6">
      <w:pPr>
        <w:tabs>
          <w:tab w:val="left" w:pos="709"/>
        </w:tabs>
        <w:spacing w:line="276" w:lineRule="auto"/>
        <w:jc w:val="both"/>
        <w:rPr>
          <w:rFonts w:ascii="Verdana" w:hAnsi="Verdana" w:cs="Arial"/>
          <w:color w:val="000000" w:themeColor="text1"/>
          <w:sz w:val="22"/>
          <w:szCs w:val="22"/>
        </w:rPr>
      </w:pPr>
      <w:bookmarkStart w:id="4" w:name="_Hlk136439150"/>
      <w:r w:rsidRPr="001A2FD6">
        <w:rPr>
          <w:rFonts w:ascii="Verdana" w:eastAsia="Arial" w:hAnsi="Verdana" w:cs="Arial"/>
          <w:color w:val="000000"/>
          <w:sz w:val="22"/>
          <w:szCs w:val="22"/>
          <w:lang w:val="es-ES_tradnl"/>
        </w:rPr>
        <w:tab/>
        <w:t xml:space="preserve">Como se aprecia, el principio </w:t>
      </w:r>
      <w:r w:rsidRPr="001A2FD6">
        <w:rPr>
          <w:rFonts w:ascii="Verdana" w:eastAsia="Arial" w:hAnsi="Verdana" w:cs="Arial"/>
          <w:i/>
          <w:iCs/>
          <w:color w:val="000000"/>
          <w:sz w:val="22"/>
          <w:szCs w:val="22"/>
          <w:lang w:val="es-ES_tradnl"/>
        </w:rPr>
        <w:t>pro libertate</w:t>
      </w:r>
      <w:r w:rsidRPr="001A2FD6">
        <w:rPr>
          <w:rFonts w:ascii="Verdana" w:eastAsia="Arial" w:hAnsi="Verdana" w:cs="Arial"/>
          <w:color w:val="000000"/>
          <w:sz w:val="22"/>
          <w:szCs w:val="22"/>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1A2FD6">
        <w:rPr>
          <w:rFonts w:ascii="Verdana" w:hAnsi="Verdana" w:cs="Arial"/>
          <w:color w:val="000000" w:themeColor="text1"/>
          <w:sz w:val="22"/>
          <w:szCs w:val="22"/>
        </w:rPr>
        <w:t xml:space="preserve"> Corte Constitucional ha resaltado que la competencia para determinar qué hechos o situaciones generan inhabilidades o incompatibilidades para contratar con el Estado la tiene el legislador</w:t>
      </w:r>
      <w:bookmarkEnd w:id="4"/>
      <w:r w:rsidRPr="001A2FD6">
        <w:rPr>
          <w:rFonts w:ascii="Verdana" w:hAnsi="Verdana" w:cs="Arial"/>
          <w:color w:val="000000" w:themeColor="text1"/>
          <w:sz w:val="22"/>
          <w:szCs w:val="22"/>
          <w:vertAlign w:val="superscript"/>
        </w:rPr>
        <w:footnoteReference w:id="20"/>
      </w:r>
      <w:r w:rsidRPr="001A2FD6">
        <w:rPr>
          <w:rFonts w:ascii="Verdana" w:hAnsi="Verdana" w:cs="Arial"/>
          <w:color w:val="000000" w:themeColor="text1"/>
          <w:sz w:val="22"/>
          <w:szCs w:val="22"/>
        </w:rPr>
        <w:t xml:space="preserve">. </w:t>
      </w:r>
    </w:p>
    <w:p w14:paraId="6263D70F" w14:textId="77777777" w:rsidR="001A2FD6" w:rsidRPr="001A2FD6" w:rsidRDefault="001A2FD6" w:rsidP="001A2FD6">
      <w:pPr>
        <w:tabs>
          <w:tab w:val="left" w:pos="709"/>
        </w:tabs>
        <w:spacing w:line="276" w:lineRule="auto"/>
        <w:jc w:val="both"/>
        <w:rPr>
          <w:rFonts w:ascii="Verdana" w:hAnsi="Verdana" w:cs="Arial"/>
          <w:color w:val="000000" w:themeColor="text1"/>
          <w:sz w:val="22"/>
          <w:szCs w:val="22"/>
        </w:rPr>
      </w:pPr>
    </w:p>
    <w:p w14:paraId="2B3E5482" w14:textId="77777777" w:rsidR="001A2FD6" w:rsidRPr="001A2FD6" w:rsidRDefault="001A2FD6" w:rsidP="001A2FD6">
      <w:pPr>
        <w:spacing w:after="120" w:line="276" w:lineRule="auto"/>
        <w:jc w:val="both"/>
        <w:rPr>
          <w:rFonts w:ascii="Verdana" w:eastAsia="Calibri" w:hAnsi="Verdana" w:cs="Arial"/>
          <w:sz w:val="22"/>
          <w:szCs w:val="22"/>
          <w:lang w:val="es-ES" w:eastAsia="en-US"/>
        </w:rPr>
      </w:pPr>
      <w:r w:rsidRPr="001A2FD6">
        <w:rPr>
          <w:rFonts w:ascii="Verdana" w:hAnsi="Verdana" w:cs="Arial"/>
          <w:color w:val="000000" w:themeColor="text1"/>
          <w:sz w:val="22"/>
          <w:szCs w:val="22"/>
        </w:rPr>
        <w:t xml:space="preserve">iv. </w:t>
      </w:r>
      <w:r w:rsidRPr="001A2FD6">
        <w:rPr>
          <w:rFonts w:ascii="Verdana" w:eastAsia="Calibri" w:hAnsi="Verdana" w:cs="Arial"/>
          <w:sz w:val="22"/>
          <w:szCs w:val="22"/>
          <w:lang w:val="es-ES" w:eastAsia="en-US"/>
        </w:rPr>
        <w:t>ii.</w:t>
      </w:r>
      <w:r w:rsidRPr="001A2FD6">
        <w:rPr>
          <w:rFonts w:ascii="Verdana" w:eastAsia="Calibri" w:hAnsi="Verdana" w:cs="Arial"/>
          <w:b/>
          <w:bCs/>
          <w:sz w:val="22"/>
          <w:szCs w:val="22"/>
          <w:lang w:val="es-ES" w:eastAsia="en-US"/>
        </w:rPr>
        <w:t xml:space="preserve"> </w:t>
      </w:r>
      <w:r w:rsidRPr="001A2FD6">
        <w:rPr>
          <w:rFonts w:ascii="Verdana" w:eastAsia="Calibri" w:hAnsi="Verdana" w:cs="Arial"/>
          <w:sz w:val="22"/>
          <w:szCs w:val="22"/>
          <w:lang w:val="es-ES" w:eastAsia="en-US"/>
        </w:rPr>
        <w:t xml:space="preserve">Conforme al artículo 8, literal b) del numeral 2°, de la Ley 80 de 1993,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13CD4F3"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De acuerdo con lo explicado por la Corte Constitucional en la Sentencia C-429 de 1997, protege el principio de moralidad administrativa, ya que “[…]</w:t>
      </w:r>
      <w:r w:rsidRPr="001A2FD6">
        <w:rPr>
          <w:rFonts w:ascii="Verdana" w:eastAsia="Calibri" w:hAnsi="Verdana"/>
          <w:sz w:val="22"/>
          <w:szCs w:val="22"/>
          <w:lang w:val="es-MX" w:eastAsia="en-US"/>
        </w:rPr>
        <w:t xml:space="preserve"> </w:t>
      </w:r>
      <w:r w:rsidRPr="001A2FD6">
        <w:rPr>
          <w:rFonts w:ascii="Verdana" w:eastAsia="Calibri" w:hAnsi="Verdana" w:cs="Arial"/>
          <w:sz w:val="22"/>
          <w:szCs w:val="22"/>
          <w:lang w:val="es-ES_tradnl" w:eastAsia="en-US"/>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p>
    <w:p w14:paraId="65C219F5" w14:textId="77777777" w:rsidR="001A2FD6" w:rsidRPr="001A2FD6" w:rsidRDefault="001A2FD6" w:rsidP="001A2FD6">
      <w:pPr>
        <w:spacing w:after="120" w:line="276" w:lineRule="auto"/>
        <w:ind w:firstLine="709"/>
        <w:jc w:val="both"/>
        <w:rPr>
          <w:rFonts w:ascii="Verdana" w:eastAsia="Calibri" w:hAnsi="Verdana" w:cs="Arial"/>
          <w:color w:val="000000"/>
          <w:sz w:val="22"/>
          <w:szCs w:val="22"/>
          <w:lang w:val="es-MX" w:eastAsia="en-US"/>
        </w:rPr>
      </w:pPr>
      <w:r w:rsidRPr="001A2FD6">
        <w:rPr>
          <w:rFonts w:ascii="Verdana" w:eastAsia="Calibri" w:hAnsi="Verdana" w:cs="Arial"/>
          <w:sz w:val="22"/>
          <w:szCs w:val="22"/>
          <w:lang w:val="es-ES_tradnl" w:eastAsia="en-US"/>
        </w:rPr>
        <w:t xml:space="preserve">Como se observa, la restricción aplica a los parientes de los servidores públicos de los niveles directivo, asesor, ejecutivo. Para estos efectos, </w:t>
      </w:r>
      <w:r w:rsidRPr="001A2FD6">
        <w:rPr>
          <w:rFonts w:ascii="Verdana" w:eastAsia="Calibri" w:hAnsi="Verdana" w:cs="Arial"/>
          <w:color w:val="000000"/>
          <w:sz w:val="22"/>
          <w:szCs w:val="22"/>
          <w:lang w:val="es-MX" w:eastAsia="en-US"/>
        </w:rPr>
        <w:t xml:space="preserve">es </w:t>
      </w:r>
      <w:r w:rsidRPr="001A2FD6">
        <w:rPr>
          <w:rFonts w:ascii="Verdana" w:eastAsia="Calibri" w:hAnsi="Verdana" w:cs="Arial"/>
          <w:color w:val="000000"/>
          <w:sz w:val="22"/>
          <w:szCs w:val="22"/>
          <w:lang w:val="es-MX" w:eastAsia="en-US"/>
        </w:rPr>
        <w:lastRenderedPageBreak/>
        <w:t>necesario remitirse a la normativa que rige la función pública, la cual clasifica los cargos públicos de acuerdo con su nivel jerárquico dentro la administración del orden nacional y territorial. No obstante, de acuerdo con los Decretos 770 y 785 de 2005, que regulan las funciones y requisitos de los empleos públicos de entidades del orden nacional y territorial, respectivamente, señalan como responsabilidad del Gobierno nacional la modificación de las plantas de personal para que se elimine el nivel “ejecutivo</w:t>
      </w:r>
      <w:r w:rsidRPr="001A2FD6">
        <w:rPr>
          <w:rFonts w:ascii="Verdana" w:eastAsia="Calibri" w:hAnsi="Verdana" w:cs="Arial"/>
          <w:color w:val="000000"/>
          <w:sz w:val="22"/>
          <w:szCs w:val="22"/>
          <w:lang w:val="es-ES" w:eastAsia="en-US"/>
        </w:rPr>
        <w:t>”</w:t>
      </w:r>
      <w:r w:rsidRPr="001A2FD6">
        <w:rPr>
          <w:rFonts w:ascii="Verdana" w:eastAsia="Calibri" w:hAnsi="Verdana" w:cs="Arial"/>
          <w:color w:val="000000"/>
          <w:sz w:val="22"/>
          <w:szCs w:val="22"/>
          <w:lang w:val="es-MX" w:eastAsia="en-US"/>
        </w:rPr>
        <w:t xml:space="preserve"> y se utilicen los niveles jerárquicos señalados por los Decretos, dentro de los cuales figuran el nivel “directivo” y “asesor”, entre otros</w:t>
      </w:r>
      <w:r w:rsidRPr="001A2FD6">
        <w:rPr>
          <w:rFonts w:ascii="Verdana" w:eastAsia="Calibri" w:hAnsi="Verdana" w:cs="Arial"/>
          <w:color w:val="000000"/>
          <w:sz w:val="22"/>
          <w:szCs w:val="22"/>
          <w:vertAlign w:val="superscript"/>
          <w:lang w:val="es-MX" w:eastAsia="en-US"/>
        </w:rPr>
        <w:footnoteReference w:id="21"/>
      </w:r>
      <w:r w:rsidRPr="001A2FD6">
        <w:rPr>
          <w:rFonts w:ascii="Verdana" w:eastAsia="Calibri" w:hAnsi="Verdana" w:cs="Arial"/>
          <w:color w:val="000000"/>
          <w:sz w:val="22"/>
          <w:szCs w:val="22"/>
          <w:lang w:val="es-MX" w:eastAsia="en-US"/>
        </w:rPr>
        <w:t>.</w:t>
      </w:r>
    </w:p>
    <w:p w14:paraId="626AC83C" w14:textId="77777777" w:rsidR="001A2FD6" w:rsidRPr="001A2FD6" w:rsidRDefault="001A2FD6" w:rsidP="001A2FD6">
      <w:pPr>
        <w:spacing w:after="120" w:line="276" w:lineRule="auto"/>
        <w:ind w:firstLine="709"/>
        <w:jc w:val="both"/>
        <w:rPr>
          <w:rFonts w:ascii="Verdana" w:eastAsia="Calibri" w:hAnsi="Verdana" w:cs="Arial"/>
          <w:color w:val="000000"/>
          <w:sz w:val="22"/>
          <w:szCs w:val="22"/>
          <w:lang w:val="es-MX" w:eastAsia="en-US"/>
        </w:rPr>
      </w:pPr>
      <w:r w:rsidRPr="001A2FD6">
        <w:rPr>
          <w:rFonts w:ascii="Verdana" w:eastAsia="Calibri" w:hAnsi="Verdana" w:cs="Arial"/>
          <w:color w:val="000000"/>
          <w:sz w:val="22"/>
          <w:szCs w:val="22"/>
          <w:lang w:val="es-MX" w:eastAsia="en-US"/>
        </w:rPr>
        <w:t>Las definiciones del nivel “directivo” y del nivel “asesor”, en los Decretos citados, están claramente diferenciadas, por lo cual el nivel directivo no es equivalente al nivel asesor, son diferentes y comprenden funciones generales que no se asimilan entre sí, y se dividen de acuerdo con lo requerido para cada cargo</w:t>
      </w:r>
      <w:r w:rsidRPr="001A2FD6">
        <w:rPr>
          <w:rFonts w:ascii="Verdana" w:eastAsia="Calibri" w:hAnsi="Verdana" w:cs="Arial"/>
          <w:color w:val="000000"/>
          <w:sz w:val="22"/>
          <w:szCs w:val="22"/>
          <w:vertAlign w:val="superscript"/>
          <w:lang w:val="es-MX" w:eastAsia="en-US"/>
        </w:rPr>
        <w:footnoteReference w:id="22"/>
      </w:r>
      <w:r w:rsidRPr="001A2FD6">
        <w:rPr>
          <w:rFonts w:ascii="Verdana" w:eastAsia="Calibri" w:hAnsi="Verdana" w:cs="Arial"/>
          <w:color w:val="000000"/>
          <w:sz w:val="22"/>
          <w:szCs w:val="22"/>
          <w:lang w:val="es-MX" w:eastAsia="en-US"/>
        </w:rPr>
        <w:t>.</w:t>
      </w:r>
    </w:p>
    <w:p w14:paraId="359085C8" w14:textId="77777777" w:rsidR="001A2FD6" w:rsidRPr="001A2FD6" w:rsidRDefault="001A2FD6" w:rsidP="001A2FD6">
      <w:pPr>
        <w:spacing w:before="120" w:after="120" w:line="276" w:lineRule="auto"/>
        <w:ind w:firstLine="708"/>
        <w:jc w:val="both"/>
        <w:rPr>
          <w:rFonts w:ascii="Verdana" w:eastAsia="Calibri" w:hAnsi="Verdana" w:cs="Arial"/>
          <w:color w:val="000000"/>
          <w:sz w:val="22"/>
          <w:szCs w:val="22"/>
          <w:lang w:val="es-MX" w:eastAsia="en-US"/>
        </w:rPr>
      </w:pPr>
      <w:r w:rsidRPr="001A2FD6">
        <w:rPr>
          <w:rFonts w:ascii="Verdana" w:eastAsia="Calibri" w:hAnsi="Verdana" w:cs="Arial"/>
          <w:color w:val="000000"/>
          <w:sz w:val="22"/>
          <w:szCs w:val="22"/>
          <w:lang w:val="es-MX" w:eastAsia="en-US"/>
        </w:rPr>
        <w:lastRenderedPageBreak/>
        <w:t xml:space="preserve">En esta medida, considerando las modificaciones introducidas por normas posteriores, ha desaparecido la referencia al nivel ejecutivo dentro de las plantas de cargos de las entidades públicas. Por tanto, la restricción prevista </w:t>
      </w:r>
      <w:r w:rsidRPr="001A2FD6">
        <w:rPr>
          <w:rFonts w:ascii="Verdana" w:eastAsia="Calibri" w:hAnsi="Verdana" w:cs="Arial"/>
          <w:sz w:val="22"/>
          <w:szCs w:val="22"/>
          <w:lang w:val="es-ES_tradnl" w:eastAsia="en-US"/>
        </w:rPr>
        <w:t>en el artículo 8, literal b) del numeral 2, de la Ley 80 de 1993 se aplica especialmente a los parientes de los servidores públicos de los niveles directivo y asesor.</w:t>
      </w:r>
      <w:r w:rsidRPr="001A2FD6">
        <w:rPr>
          <w:rFonts w:ascii="Verdana" w:eastAsia="Calibri" w:hAnsi="Verdana" w:cs="Arial"/>
          <w:color w:val="000000"/>
          <w:sz w:val="22"/>
          <w:szCs w:val="22"/>
          <w:lang w:val="es-MX" w:eastAsia="en-US"/>
        </w:rPr>
        <w:t xml:space="preserve"> </w:t>
      </w:r>
    </w:p>
    <w:p w14:paraId="04691749"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color w:val="000000"/>
          <w:sz w:val="22"/>
          <w:szCs w:val="22"/>
          <w:lang w:val="es-MX" w:eastAsia="en-US"/>
        </w:rPr>
        <w:t xml:space="preserve">Igualmente, esta inhabilidad aplica a los familiares de </w:t>
      </w:r>
      <w:r w:rsidRPr="001A2FD6">
        <w:rPr>
          <w:rFonts w:ascii="Verdana" w:eastAsia="Calibri" w:hAnsi="Verdana" w:cs="Arial"/>
          <w:sz w:val="22"/>
          <w:szCs w:val="22"/>
          <w:lang w:val="es-ES_tradnl" w:eastAsia="en-US"/>
        </w:rPr>
        <w:t>los miembros de la junta o consejo directivo. Teniendo en cuenta que el artículo 4 de los Decretos 770 y 785 de 2005 dispone que el nivel directivo “Comprende los empleos a los cuales corresponden funciones de Dirección General, de formulación de políticas institucionales y de adopción de planes, programas y proyectos”. La Corte Constitucional en la decisión anteriormente citada explica que los miembros de las juntas o consejos directivos de establecimientos públicos, sociedades comerciales del Estado, empresas industriales y comerciales del Estado y sociedades de economía mixta, pertenecen a esta categoría de empleos. Además, también aplica a los parientes de las personas que ejerzan el control interno o fiscal de la entidad contratante</w:t>
      </w:r>
      <w:r w:rsidRPr="001A2FD6">
        <w:rPr>
          <w:rFonts w:ascii="Verdana" w:eastAsia="Calibri" w:hAnsi="Verdana" w:cs="Arial"/>
          <w:sz w:val="22"/>
          <w:szCs w:val="22"/>
          <w:vertAlign w:val="superscript"/>
          <w:lang w:val="es-ES_tradnl" w:eastAsia="en-US"/>
        </w:rPr>
        <w:footnoteReference w:id="23"/>
      </w:r>
      <w:r w:rsidRPr="001A2FD6">
        <w:rPr>
          <w:rFonts w:ascii="Verdana" w:eastAsia="Calibri" w:hAnsi="Verdana" w:cs="Arial"/>
          <w:sz w:val="22"/>
          <w:szCs w:val="22"/>
          <w:lang w:val="es-ES_tradnl" w:eastAsia="en-US"/>
        </w:rPr>
        <w:t>.</w:t>
      </w:r>
    </w:p>
    <w:p w14:paraId="4EAF05E3" w14:textId="77777777" w:rsidR="001A2FD6" w:rsidRPr="001A2FD6" w:rsidRDefault="001A2FD6" w:rsidP="001A2FD6">
      <w:pPr>
        <w:spacing w:before="120"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color w:val="000000"/>
          <w:sz w:val="22"/>
          <w:szCs w:val="22"/>
          <w:lang w:val="es-MX" w:eastAsia="en-US"/>
        </w:rPr>
        <w:t xml:space="preserve">Naturalmente, la restricción no aplica a todos los familiares sino a los parientes “[…] </w:t>
      </w:r>
      <w:r w:rsidRPr="001A2FD6">
        <w:rPr>
          <w:rFonts w:ascii="Verdana" w:eastAsia="Calibri" w:hAnsi="Verdana" w:cs="Arial"/>
          <w:sz w:val="22"/>
          <w:szCs w:val="22"/>
          <w:lang w:val="es-ES_tradnl" w:eastAsia="en-US"/>
        </w:rPr>
        <w:t xml:space="preserve">hasta el segundo grado de consanguinidad, segundo de afinidad o primero civil […]”. De acuerdo con el objeto de la consulta, el parentesco por consanguinidad para la prohibición se restringe a los padres, hijos, abuelos, </w:t>
      </w:r>
      <w:r w:rsidRPr="001A2FD6">
        <w:rPr>
          <w:rFonts w:ascii="Verdana" w:eastAsia="Calibri" w:hAnsi="Verdana" w:cs="Arial"/>
          <w:sz w:val="22"/>
          <w:szCs w:val="22"/>
          <w:lang w:val="es-ES_tradnl" w:eastAsia="en-US"/>
        </w:rPr>
        <w:lastRenderedPageBreak/>
        <w:t xml:space="preserve">nietos y hermanos conforme a las definiciones de los artículos 35 y siguientes del Código Civil. Lo anterior, sin que pueda extenderse del tercer grado de consanguinidad en adelante, ya que no es posible la interpretación extensiva. </w:t>
      </w:r>
    </w:p>
    <w:p w14:paraId="2B81C26A"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Esta restricción es </w:t>
      </w:r>
      <w:r w:rsidRPr="001A2FD6">
        <w:rPr>
          <w:rFonts w:ascii="Verdana" w:eastAsia="Calibri" w:hAnsi="Verdana" w:cs="Arial"/>
          <w:i/>
          <w:iCs/>
          <w:sz w:val="22"/>
          <w:szCs w:val="22"/>
          <w:lang w:val="es-ES_tradnl" w:eastAsia="en-US"/>
        </w:rPr>
        <w:t>regla general</w:t>
      </w:r>
      <w:r w:rsidRPr="001A2FD6">
        <w:rPr>
          <w:rFonts w:ascii="Verdana" w:eastAsia="Calibri" w:hAnsi="Verdana" w:cs="Arial"/>
          <w:sz w:val="22"/>
          <w:szCs w:val="22"/>
          <w:lang w:val="es-ES_tradnl" w:eastAsia="en-US"/>
        </w:rPr>
        <w:t xml:space="preserve"> tanto para las entidades sometidas al EGCAP como a las del régimen exceptuado</w:t>
      </w:r>
      <w:r w:rsidRPr="001A2FD6">
        <w:rPr>
          <w:rFonts w:ascii="Verdana" w:eastAsia="Calibri" w:hAnsi="Verdana" w:cs="Arial"/>
          <w:sz w:val="22"/>
          <w:szCs w:val="22"/>
          <w:vertAlign w:val="superscript"/>
          <w:lang w:val="es-ES_tradnl" w:eastAsia="en-US"/>
        </w:rPr>
        <w:footnoteReference w:id="24"/>
      </w:r>
      <w:r w:rsidRPr="001A2FD6">
        <w:rPr>
          <w:rFonts w:ascii="Verdana" w:eastAsia="Calibri" w:hAnsi="Verdana" w:cs="Arial"/>
          <w:sz w:val="22"/>
          <w:szCs w:val="22"/>
          <w:lang w:val="es-ES_tradnl" w:eastAsia="en-US"/>
        </w:rPr>
        <w:t xml:space="preserve">. No obstante, considerando que –conforme al artículo 8, literal a) del numeral 1, de la Ley 80 de 1993– las personas que se hallen inhabilitadas para contratar por la Constitución y las leyes no pueden participar en procedimientos de selección ni celebrar contratos, el inciso tercero del artículo 49 de la Ley 617 de 2000 –modificado por las Leyes 821 de 2003, 1148 de 2007 y 1296 de 2009– introduce una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xml:space="preserve"> que restringe la contratación de las gobernaciones, asambleas, alcaldías y concejos. Conforme a esta restricción, “Los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r w:rsidRPr="001A2FD6">
        <w:rPr>
          <w:rFonts w:ascii="Verdana" w:eastAsia="Calibri" w:hAnsi="Verdana" w:cs="Arial"/>
          <w:sz w:val="22"/>
          <w:szCs w:val="22"/>
          <w:vertAlign w:val="superscript"/>
          <w:lang w:val="es-ES_tradnl" w:eastAsia="en-US"/>
        </w:rPr>
        <w:footnoteReference w:id="25"/>
      </w:r>
      <w:r w:rsidRPr="001A2FD6">
        <w:rPr>
          <w:rFonts w:ascii="Verdana" w:eastAsia="Calibri" w:hAnsi="Verdana" w:cs="Arial"/>
          <w:sz w:val="22"/>
          <w:szCs w:val="22"/>
          <w:lang w:val="es-ES_tradnl" w:eastAsia="en-US"/>
        </w:rPr>
        <w:t>.</w:t>
      </w:r>
    </w:p>
    <w:p w14:paraId="2C0C1408" w14:textId="77777777" w:rsidR="001A2FD6" w:rsidRPr="001A2FD6" w:rsidRDefault="001A2FD6" w:rsidP="001A2FD6">
      <w:pPr>
        <w:spacing w:before="120" w:after="120" w:line="276" w:lineRule="auto"/>
        <w:ind w:firstLine="708"/>
        <w:jc w:val="both"/>
        <w:rPr>
          <w:rFonts w:ascii="Verdana" w:eastAsia="Calibri" w:hAnsi="Verdana" w:cs="Arial"/>
          <w:color w:val="000000"/>
          <w:sz w:val="22"/>
          <w:szCs w:val="22"/>
          <w:lang w:val="es-MX" w:eastAsia="en-US"/>
        </w:rPr>
      </w:pPr>
      <w:r w:rsidRPr="001A2FD6">
        <w:rPr>
          <w:rFonts w:ascii="Verdana" w:eastAsia="Calibri" w:hAnsi="Verdana" w:cs="Arial"/>
          <w:sz w:val="22"/>
          <w:szCs w:val="22"/>
          <w:lang w:val="es-ES_tradnl" w:eastAsia="en-US"/>
        </w:rPr>
        <w:t xml:space="preserve">Esta prohibición de contratación directa e indirecta es una redacción común en otras inhabilidades e incompatibilidades. Por ejemplo, el inciso primero del artículo 127 superior dispone que “Los servidores públicos no podrán celebrar, por sí o por interpuesta persona, o en representación de otro, contrato alguno con entidades públicas o con personas privadas que manejen o administren recursos públicos, salvo las excepciones legales”. Igualmente, el inciso primero del literal f) numeral 2 del artículo 8 de la Ley 80 de 1993 prescribe que no podrán participar en procesos de selección ni celebrar contratos “Directa o indirectamente las personas que hayan ejercido cargos en el nivel directivo en entidades del Estado y las sociedades en las cuales estos hagan </w:t>
      </w:r>
      <w:r w:rsidRPr="001A2FD6">
        <w:rPr>
          <w:rFonts w:ascii="Verdana" w:eastAsia="Calibri" w:hAnsi="Verdana" w:cs="Arial"/>
          <w:sz w:val="22"/>
          <w:szCs w:val="22"/>
          <w:lang w:val="es-ES_tradnl" w:eastAsia="en-US"/>
        </w:rPr>
        <w:lastRenderedPageBreak/>
        <w:t xml:space="preserve">parte o estén vinculados a cualquier título, durante los dos (2) años siguientes al retiro del ejercicio del cargo público, cuando el objeto que desarrollen tenga relación con el sector al cual prestaron sus servicios”.     </w:t>
      </w:r>
    </w:p>
    <w:p w14:paraId="6669413C" w14:textId="77777777" w:rsidR="001A2FD6" w:rsidRPr="001A2FD6" w:rsidRDefault="001A2FD6" w:rsidP="001A2FD6">
      <w:pPr>
        <w:spacing w:before="120" w:after="120" w:line="276" w:lineRule="auto"/>
        <w:ind w:firstLine="708"/>
        <w:jc w:val="both"/>
        <w:rPr>
          <w:rFonts w:ascii="Verdana" w:eastAsia="Calibri" w:hAnsi="Verdana" w:cs="Arial"/>
          <w:color w:val="000000"/>
          <w:sz w:val="22"/>
          <w:szCs w:val="22"/>
          <w:lang w:val="es-MX" w:eastAsia="en-US"/>
        </w:rPr>
      </w:pPr>
      <w:r w:rsidRPr="001A2FD6">
        <w:rPr>
          <w:rFonts w:ascii="Verdana" w:eastAsia="Calibri" w:hAnsi="Verdana" w:cs="Arial"/>
          <w:color w:val="000000"/>
          <w:sz w:val="22"/>
          <w:szCs w:val="22"/>
          <w:lang w:val="es-MX" w:eastAsia="en-US"/>
        </w:rPr>
        <w:t xml:space="preserve">Lo importante es que la regla </w:t>
      </w:r>
      <w:r w:rsidRPr="001A2FD6">
        <w:rPr>
          <w:rFonts w:ascii="Verdana" w:eastAsia="Calibri" w:hAnsi="Verdana" w:cs="Arial"/>
          <w:sz w:val="22"/>
          <w:szCs w:val="22"/>
          <w:lang w:val="es-ES_tradnl" w:eastAsia="en-US"/>
        </w:rPr>
        <w:t>del artículo 49, inciso tercero, de la Ley 617 de 2000</w:t>
      </w:r>
      <w:r w:rsidRPr="001A2FD6">
        <w:rPr>
          <w:rFonts w:ascii="Verdana" w:eastAsia="Calibri" w:hAnsi="Verdana" w:cs="Arial"/>
          <w:color w:val="000000"/>
          <w:sz w:val="22"/>
          <w:szCs w:val="22"/>
          <w:lang w:val="es-MX" w:eastAsia="en-US"/>
        </w:rPr>
        <w:t xml:space="preserve"> aplica a una porción de entidades y funcionarios cuyos contratos se someten a la Ley 80 de 1993. En efecto, conforme al literal a) del artículo 2.1 del Estatuto General de Contratación, los departamentos y los municipios se consideran entidades estatales para efectos de este régimen contractual. Esto es congruente con el literal a) del artículo 2.2 </w:t>
      </w:r>
      <w:r w:rsidRPr="001A2FD6">
        <w:rPr>
          <w:rFonts w:ascii="Verdana" w:eastAsia="Calibri" w:hAnsi="Verdana" w:cs="Arial"/>
          <w:i/>
          <w:iCs/>
          <w:color w:val="000000"/>
          <w:sz w:val="22"/>
          <w:szCs w:val="22"/>
          <w:lang w:val="es-MX" w:eastAsia="en-US"/>
        </w:rPr>
        <w:t>ibidem</w:t>
      </w:r>
      <w:r w:rsidRPr="001A2FD6">
        <w:rPr>
          <w:rFonts w:ascii="Verdana" w:eastAsia="Calibri" w:hAnsi="Verdana" w:cs="Arial"/>
          <w:color w:val="000000"/>
          <w:sz w:val="22"/>
          <w:szCs w:val="22"/>
          <w:lang w:val="es-MX" w:eastAsia="en-US"/>
        </w:rPr>
        <w:t xml:space="preserve"> al definir los servidores públicos como “Las personas naturales que prestan sus servicios dependientes a los organismos y entidades de que trata este artículo”, como es el caso de los gobernadores y los alcaldes.</w:t>
      </w:r>
    </w:p>
    <w:p w14:paraId="6EF87BD4" w14:textId="77777777" w:rsidR="001A2FD6" w:rsidRPr="001A2FD6" w:rsidRDefault="001A2FD6" w:rsidP="001A2FD6">
      <w:pPr>
        <w:spacing w:before="120" w:after="120" w:line="276" w:lineRule="auto"/>
        <w:ind w:firstLine="708"/>
        <w:jc w:val="both"/>
        <w:rPr>
          <w:rFonts w:ascii="Verdana" w:eastAsia="Calibri" w:hAnsi="Verdana" w:cs="Arial"/>
          <w:color w:val="000000"/>
          <w:sz w:val="22"/>
          <w:szCs w:val="22"/>
          <w:lang w:val="es-MX" w:eastAsia="en-US"/>
        </w:rPr>
      </w:pPr>
      <w:r w:rsidRPr="001A2FD6">
        <w:rPr>
          <w:rFonts w:ascii="Verdana" w:eastAsia="Calibri" w:hAnsi="Verdana" w:cs="Arial"/>
          <w:color w:val="000000"/>
          <w:sz w:val="22"/>
          <w:szCs w:val="22"/>
          <w:lang w:val="es-MX" w:eastAsia="en-US"/>
        </w:rPr>
        <w:t>Por lo demás, aunque el artículo 2.1 de la Ley 80 de 1993 no se refiere explícitamente a los concejos municipales ni a las asambleas departamentales, estos organismos también se sujetan al Estatuto General de Contratación. Lo anterior en la medida que el literal b) de la norma citada también califica como como entidades estatales a “[…] los organismos o dependencias del Estado a los que la ley otorgue capacidad para celebrar contratos”</w:t>
      </w:r>
      <w:r w:rsidRPr="001A2FD6">
        <w:rPr>
          <w:rFonts w:ascii="Verdana" w:eastAsia="Calibri" w:hAnsi="Verdana" w:cs="Arial"/>
          <w:color w:val="000000"/>
          <w:sz w:val="22"/>
          <w:szCs w:val="22"/>
          <w:vertAlign w:val="superscript"/>
          <w:lang w:val="es-MX" w:eastAsia="en-US"/>
        </w:rPr>
        <w:footnoteReference w:id="26"/>
      </w:r>
      <w:r w:rsidRPr="001A2FD6">
        <w:rPr>
          <w:rFonts w:ascii="Verdana" w:eastAsia="Calibri" w:hAnsi="Verdana" w:cs="Arial"/>
          <w:color w:val="000000"/>
          <w:sz w:val="22"/>
          <w:szCs w:val="22"/>
          <w:lang w:val="es-MX" w:eastAsia="en-US"/>
        </w:rPr>
        <w:t xml:space="preserve">. Lo mismo sucede con la calificación de los concejales y los diputados como servidores públicos, pues el literal b) del artículo 2.2 del Estatuto General asigna esta calidad a los “Los miembros de las corporaciones públicas que tengan capacidad para celebrar contratos en representación de éstas”.  </w:t>
      </w:r>
    </w:p>
    <w:p w14:paraId="4DB35679" w14:textId="77777777" w:rsidR="001A2FD6" w:rsidRPr="001A2FD6" w:rsidRDefault="001A2FD6" w:rsidP="001A2FD6">
      <w:pPr>
        <w:spacing w:before="120"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color w:val="000000"/>
          <w:sz w:val="22"/>
          <w:szCs w:val="22"/>
          <w:lang w:val="es-MX" w:eastAsia="en-US"/>
        </w:rPr>
        <w:lastRenderedPageBreak/>
        <w:t xml:space="preserve">En principio, todas las entidades y funcionarios del artículo 2 de la Ley 80 de 1993 se rigen por las causales de inhabilidad del artículo 8 </w:t>
      </w:r>
      <w:r w:rsidRPr="001A2FD6">
        <w:rPr>
          <w:rFonts w:ascii="Verdana" w:eastAsia="Calibri" w:hAnsi="Verdana" w:cs="Arial"/>
          <w:i/>
          <w:iCs/>
          <w:color w:val="000000"/>
          <w:sz w:val="22"/>
          <w:szCs w:val="22"/>
          <w:lang w:val="es-MX" w:eastAsia="en-US"/>
        </w:rPr>
        <w:t>ibidem</w:t>
      </w:r>
      <w:r w:rsidRPr="001A2FD6">
        <w:rPr>
          <w:rFonts w:ascii="Verdana" w:eastAsia="Calibri" w:hAnsi="Verdana" w:cs="Arial"/>
          <w:color w:val="000000"/>
          <w:sz w:val="22"/>
          <w:szCs w:val="22"/>
          <w:lang w:val="es-MX" w:eastAsia="en-US"/>
        </w:rPr>
        <w:t xml:space="preserve">, incluyendo la del literal b) del numeral 2 explicada </w:t>
      </w:r>
      <w:r w:rsidRPr="001A2FD6">
        <w:rPr>
          <w:rFonts w:ascii="Verdana" w:eastAsia="Calibri" w:hAnsi="Verdana" w:cs="Arial"/>
          <w:i/>
          <w:iCs/>
          <w:color w:val="000000"/>
          <w:sz w:val="22"/>
          <w:szCs w:val="22"/>
          <w:lang w:val="es-MX" w:eastAsia="en-US"/>
        </w:rPr>
        <w:t>ut supra</w:t>
      </w:r>
      <w:r w:rsidRPr="001A2FD6">
        <w:rPr>
          <w:rFonts w:ascii="Verdana" w:eastAsia="Calibri" w:hAnsi="Verdana" w:cs="Arial"/>
          <w:color w:val="000000"/>
          <w:sz w:val="22"/>
          <w:szCs w:val="22"/>
          <w:lang w:val="es-MX" w:eastAsia="en-US"/>
        </w:rPr>
        <w:t>. No obstante, la prohibición d</w:t>
      </w:r>
      <w:r w:rsidRPr="001A2FD6">
        <w:rPr>
          <w:rFonts w:ascii="Verdana" w:eastAsia="Calibri" w:hAnsi="Verdana" w:cs="Arial"/>
          <w:sz w:val="22"/>
          <w:szCs w:val="22"/>
          <w:lang w:val="es-ES_tradnl" w:eastAsia="en-US"/>
        </w:rPr>
        <w:t xml:space="preserve">el citado inciso tercero del artículo 49 de la Ley 617 de 2000 constituye una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xml:space="preserve"> que restringe la capacidad de contractual de las personas más allegadas a los gobernadores, diputados, alcaldes y concejales, una parte de los funcionarios sometidos al EGCAP.</w:t>
      </w:r>
    </w:p>
    <w:p w14:paraId="74092D81" w14:textId="77777777" w:rsidR="001A2FD6" w:rsidRPr="001A2FD6" w:rsidRDefault="001A2FD6" w:rsidP="001A2FD6">
      <w:pPr>
        <w:spacing w:after="120" w:line="276" w:lineRule="auto"/>
        <w:ind w:firstLine="709"/>
        <w:jc w:val="both"/>
        <w:rPr>
          <w:rFonts w:ascii="Verdana" w:eastAsia="Calibri" w:hAnsi="Verdana" w:cs="Arial"/>
          <w:color w:val="000000"/>
          <w:sz w:val="22"/>
          <w:szCs w:val="22"/>
          <w:lang w:val="es-ES" w:eastAsia="en-US"/>
        </w:rPr>
      </w:pPr>
      <w:r w:rsidRPr="001A2FD6">
        <w:rPr>
          <w:rFonts w:ascii="Verdana" w:eastAsia="Calibri" w:hAnsi="Verdana" w:cs="Arial"/>
          <w:color w:val="000000" w:themeColor="text1"/>
          <w:sz w:val="22"/>
          <w:szCs w:val="22"/>
          <w:lang w:val="es-ES" w:eastAsia="en-US"/>
        </w:rPr>
        <w:t>De forma enunciativa, existen semejanzas y diferencias entre el artículo 8, literal b) del numeral 2, de la Ley 80 de 1993 y el artículo 49, inciso tercero, de la Ley 617 de 2000. En lo que respecta a las semejanzas, ambas normas prohíben la “celebración” o “suscripción” de contratos con las personas mencionadas en ellas. Estas expresiones son sinónimas, pues –en los términos del art. 41, inciso primero y cuarto, de la Ley 80 de 1993, así como del art. 2, literal d) del numeral 5, de la Ley 1150 de 2007– con el perfeccionamiento del contrato estatal se adquiere la calidad proscrita. Incluso, mucho menos es posible “ejecutarlo” porque se trata de una etapa posterior a su “celebración” o “suscripción”. Por ello, en caso de que la inhabilidad se configure después de agotado el procedimiento de selección y el perfeccionamiento del contrato, el inciso primero del artículo 9 de la Ley 80 de 1993 dispone que “Si llegare a sobrevenir inhabilidad o incompatibilidad en el contratista, este cederá el contrato previa autorización escrita de la entidad contratante o, si ello no fuere posible, renunciará a su ejecución”.</w:t>
      </w:r>
    </w:p>
    <w:p w14:paraId="1F23ADFE" w14:textId="77777777" w:rsidR="001A2FD6" w:rsidRPr="001A2FD6" w:rsidRDefault="001A2FD6" w:rsidP="001A2FD6">
      <w:pPr>
        <w:spacing w:after="120" w:line="276" w:lineRule="auto"/>
        <w:ind w:firstLine="709"/>
        <w:jc w:val="both"/>
        <w:rPr>
          <w:rFonts w:ascii="Verdana" w:eastAsia="Calibri" w:hAnsi="Verdana" w:cs="Arial"/>
          <w:color w:val="000000"/>
          <w:sz w:val="22"/>
          <w:szCs w:val="22"/>
          <w:lang w:val="es-ES_tradnl" w:eastAsia="en-US"/>
        </w:rPr>
      </w:pPr>
      <w:r w:rsidRPr="001A2FD6">
        <w:rPr>
          <w:rFonts w:ascii="Verdana" w:eastAsia="Calibri" w:hAnsi="Verdana" w:cs="Arial"/>
          <w:color w:val="000000"/>
          <w:sz w:val="22"/>
          <w:szCs w:val="22"/>
          <w:lang w:val="es-ES_tradnl" w:eastAsia="en-US"/>
        </w:rPr>
        <w:t>La prohibición del artículo 49, inciso tercero, de la Ley 617 de 2000 aplica a los cónyuges o compañeros permanentes de los gobernadores, diputados, alcaldes o concejales, así como a sus parientes dentro del cuarto grado de consanguinidad, segundo de afinidad o primero civil, quienes no podrán celebrar contratos directa ni indirectamente con el departamento, distrito o municipio, o con sus entidades descentralizadas.</w:t>
      </w:r>
    </w:p>
    <w:p w14:paraId="36D6B421" w14:textId="77777777" w:rsidR="001A2FD6" w:rsidRPr="001A2FD6" w:rsidRDefault="001A2FD6" w:rsidP="001A2FD6">
      <w:pPr>
        <w:spacing w:before="120"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Dentro de este contexto, para efectos de la consulta, el problema jurídico consiste en determinar el alcance de la restricción dispuesta en la Ley 617 en torno a los concejales. Esto considerando, por un lado, que la referencia a estos funcionarios está expresamente prevista en el artículo 49, inciso tercero, de la Ley 617 de 2000 y, por otro, que estos también son funcionarios del nivel directivo dentro del supuesto del artículo 8, literal b) del numeral 2, de la Ley 80 de 1993.   </w:t>
      </w:r>
    </w:p>
    <w:p w14:paraId="65C91B12"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lastRenderedPageBreak/>
        <w:t xml:space="preserve">Antes del 9 de octubre de 2000, la prohibición aplicable sería la del artículo 8, literal b) del numeral 2, de la Ley 80 de 1993, pues es </w:t>
      </w:r>
      <w:r w:rsidRPr="001A2FD6">
        <w:rPr>
          <w:rFonts w:ascii="Verdana" w:eastAsia="Calibri" w:hAnsi="Verdana" w:cs="Arial"/>
          <w:i/>
          <w:iCs/>
          <w:sz w:val="22"/>
          <w:szCs w:val="22"/>
          <w:lang w:val="es-ES_tradnl" w:eastAsia="en-US"/>
        </w:rPr>
        <w:t>regla general</w:t>
      </w:r>
      <w:r w:rsidRPr="001A2FD6">
        <w:rPr>
          <w:rFonts w:ascii="Verdana" w:eastAsia="Calibri" w:hAnsi="Verdana" w:cs="Arial"/>
          <w:sz w:val="22"/>
          <w:szCs w:val="22"/>
          <w:lang w:val="es-ES_tradnl" w:eastAsia="en-US"/>
        </w:rPr>
        <w:t xml:space="preserve"> en materia de inhabilidades e incompatibilidades para la contratación de las entidades sometidas a la Ley 80 de 1993. Sin embargo, con el artículo 49 de la Ley 617 surge una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la cual se ratifica en las modificaciones posteriores del artículo 1º de las Leyes 821 de 2003, 1148 de 2007 y 1296 de 2009. Según esta regla, aunque los alcaldes sea funcionarios del nivel directivo para los efectos del artículo 8, literal b) del numeral 2, de la Ley 80 de 1993,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w:t>
      </w:r>
      <w:r w:rsidRPr="001A2FD6">
        <w:rPr>
          <w:rFonts w:ascii="Verdana" w:eastAsia="Calibri" w:hAnsi="Verdana" w:cs="Arial"/>
          <w:sz w:val="22"/>
          <w:szCs w:val="22"/>
          <w:vertAlign w:val="superscript"/>
          <w:lang w:val="es-ES_tradnl" w:eastAsia="en-US"/>
        </w:rPr>
        <w:footnoteReference w:id="27"/>
      </w:r>
      <w:r w:rsidRPr="001A2FD6">
        <w:rPr>
          <w:rFonts w:ascii="Verdana" w:eastAsia="Calibri" w:hAnsi="Verdana" w:cs="Arial"/>
          <w:sz w:val="22"/>
          <w:szCs w:val="22"/>
          <w:lang w:val="es-ES_tradnl" w:eastAsia="en-US"/>
        </w:rPr>
        <w:t>.</w:t>
      </w:r>
    </w:p>
    <w:p w14:paraId="6F206D82"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Dado que existe un conflicto entre la </w:t>
      </w:r>
      <w:r w:rsidRPr="001A2FD6">
        <w:rPr>
          <w:rFonts w:ascii="Verdana" w:eastAsia="Calibri" w:hAnsi="Verdana" w:cs="Arial"/>
          <w:i/>
          <w:iCs/>
          <w:sz w:val="22"/>
          <w:szCs w:val="22"/>
          <w:lang w:val="es-ES_tradnl" w:eastAsia="en-US"/>
        </w:rPr>
        <w:t>regla general</w:t>
      </w:r>
      <w:r w:rsidRPr="001A2FD6">
        <w:rPr>
          <w:rFonts w:ascii="Verdana" w:eastAsia="Calibri" w:hAnsi="Verdana" w:cs="Arial"/>
          <w:sz w:val="22"/>
          <w:szCs w:val="22"/>
          <w:lang w:val="es-ES_tradnl" w:eastAsia="en-US"/>
        </w:rPr>
        <w:t xml:space="preserve"> y la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xml:space="preserve">, es necesario resolver el problema con fundamento en el artículo 5.1 de la Ley 57 de 1887. Según esta norma, “[…] Si en los Códigos que se adoptan se hallaren algunas disposiciones incompatibles entre sí […] </w:t>
      </w:r>
      <w:r w:rsidRPr="001A2FD6">
        <w:rPr>
          <w:rFonts w:ascii="Verdana" w:eastAsia="Calibri" w:hAnsi="Verdana" w:cs="Arial"/>
          <w:i/>
          <w:iCs/>
          <w:sz w:val="22"/>
          <w:szCs w:val="22"/>
          <w:lang w:val="es-ES_tradnl" w:eastAsia="en-US"/>
        </w:rPr>
        <w:t>La disposición relativa a un asunto especial prefiere a la que tenga carácter general</w:t>
      </w:r>
      <w:r w:rsidRPr="001A2FD6">
        <w:rPr>
          <w:rFonts w:ascii="Verdana" w:eastAsia="Calibri" w:hAnsi="Verdana" w:cs="Arial"/>
          <w:sz w:val="22"/>
          <w:szCs w:val="22"/>
          <w:lang w:val="es-ES_tradnl" w:eastAsia="en-US"/>
        </w:rPr>
        <w:t xml:space="preserve"> […]” (Énfasis fuera de texto). Por tanto, prevalece el artículo 49, inciso tercero, de la Ley 617 de 2000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sobre el artículo 8, literal b) del numeral 2, de la Ley 80 de 1993 –</w:t>
      </w:r>
      <w:r w:rsidRPr="001A2FD6">
        <w:rPr>
          <w:rFonts w:ascii="Verdana" w:eastAsia="Calibri" w:hAnsi="Verdana" w:cs="Arial"/>
          <w:i/>
          <w:iCs/>
          <w:sz w:val="22"/>
          <w:szCs w:val="22"/>
          <w:lang w:val="es-ES_tradnl" w:eastAsia="en-US"/>
        </w:rPr>
        <w:t>regla general</w:t>
      </w:r>
      <w:r w:rsidRPr="001A2FD6">
        <w:rPr>
          <w:rFonts w:ascii="Verdana" w:eastAsia="Calibri" w:hAnsi="Verdana" w:cs="Arial"/>
          <w:sz w:val="22"/>
          <w:szCs w:val="22"/>
          <w:lang w:val="es-ES_tradnl" w:eastAsia="en-US"/>
        </w:rPr>
        <w:t xml:space="preserve">–. Esto no significa que la </w:t>
      </w:r>
      <w:r w:rsidRPr="001A2FD6">
        <w:rPr>
          <w:rFonts w:ascii="Verdana" w:eastAsia="Calibri" w:hAnsi="Verdana" w:cs="Arial"/>
          <w:i/>
          <w:iCs/>
          <w:sz w:val="22"/>
          <w:szCs w:val="22"/>
          <w:lang w:val="es-ES_tradnl" w:eastAsia="en-US"/>
        </w:rPr>
        <w:t>regla general</w:t>
      </w:r>
      <w:r w:rsidRPr="001A2FD6">
        <w:rPr>
          <w:rFonts w:ascii="Verdana" w:eastAsia="Calibri" w:hAnsi="Verdana" w:cs="Arial"/>
          <w:sz w:val="22"/>
          <w:szCs w:val="22"/>
          <w:lang w:val="es-ES_tradnl" w:eastAsia="en-US"/>
        </w:rPr>
        <w:t xml:space="preserve"> desaparezca definitivamente del ordenamiento jurídico; todo lo contrario, esta aplica en todos los supuestos que regula, con excepción de los previstos en la </w:t>
      </w:r>
      <w:r w:rsidRPr="001A2FD6">
        <w:rPr>
          <w:rFonts w:ascii="Verdana" w:eastAsia="Calibri" w:hAnsi="Verdana" w:cs="Arial"/>
          <w:i/>
          <w:iCs/>
          <w:sz w:val="22"/>
          <w:szCs w:val="22"/>
          <w:lang w:val="es-ES_tradnl" w:eastAsia="en-US"/>
        </w:rPr>
        <w:t>regla especial</w:t>
      </w:r>
      <w:r w:rsidRPr="001A2FD6">
        <w:rPr>
          <w:rFonts w:ascii="Verdana" w:eastAsia="Calibri" w:hAnsi="Verdana" w:cs="Arial"/>
          <w:sz w:val="22"/>
          <w:szCs w:val="22"/>
          <w:lang w:val="es-ES_tradnl" w:eastAsia="en-US"/>
        </w:rPr>
        <w:t>. De esta manera, la incompatibilidad del artículo 8, literal b) del numeral 2, de la Ley 80 de 1993 aplica a los funcionarios del nivel directivo de todas las entidades del Estado, excluidas las gobernaciones, asambleas, alcaldías y concejos que se rigen por la restricción del artículo 49, inciso tercero, de la Ley 617 de 2000, pues se trata de una antinomia “total – parcial”</w:t>
      </w:r>
      <w:r w:rsidRPr="001A2FD6">
        <w:rPr>
          <w:rFonts w:ascii="Verdana" w:eastAsia="Calibri" w:hAnsi="Verdana" w:cs="Arial"/>
          <w:sz w:val="22"/>
          <w:szCs w:val="22"/>
          <w:vertAlign w:val="superscript"/>
          <w:lang w:val="es-ES_tradnl" w:eastAsia="en-US"/>
        </w:rPr>
        <w:footnoteReference w:id="28"/>
      </w:r>
      <w:r w:rsidRPr="001A2FD6">
        <w:rPr>
          <w:rFonts w:ascii="Verdana" w:eastAsia="Calibri" w:hAnsi="Verdana" w:cs="Arial"/>
          <w:sz w:val="22"/>
          <w:szCs w:val="22"/>
          <w:lang w:val="es-ES_tradnl" w:eastAsia="en-US"/>
        </w:rPr>
        <w:t>.</w:t>
      </w:r>
    </w:p>
    <w:p w14:paraId="4A160A9D" w14:textId="77777777" w:rsidR="001A2FD6" w:rsidRPr="001A2FD6" w:rsidRDefault="001A2FD6" w:rsidP="001A2FD6">
      <w:pPr>
        <w:spacing w:before="120"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lastRenderedPageBreak/>
        <w:t xml:space="preserve">Por ello, considerando que la </w:t>
      </w:r>
      <w:r w:rsidRPr="001A2FD6">
        <w:rPr>
          <w:rFonts w:ascii="Verdana" w:eastAsia="Calibri" w:hAnsi="Verdana" w:cs="Arial"/>
          <w:i/>
          <w:iCs/>
          <w:sz w:val="22"/>
          <w:szCs w:val="22"/>
          <w:lang w:val="es-ES" w:eastAsia="en-US"/>
        </w:rPr>
        <w:t>regla especial</w:t>
      </w:r>
      <w:r w:rsidRPr="001A2FD6">
        <w:rPr>
          <w:rFonts w:ascii="Verdana" w:eastAsia="Calibri" w:hAnsi="Verdana" w:cs="Arial"/>
          <w:sz w:val="22"/>
          <w:szCs w:val="22"/>
          <w:lang w:val="es-ES" w:eastAsia="en-US"/>
        </w:rPr>
        <w:t xml:space="preserve"> es posterior, el efecto que produce es el de limitar los efectos de la </w:t>
      </w:r>
      <w:r w:rsidRPr="001A2FD6">
        <w:rPr>
          <w:rFonts w:ascii="Verdana" w:eastAsia="Calibri" w:hAnsi="Verdana" w:cs="Arial"/>
          <w:i/>
          <w:iCs/>
          <w:sz w:val="22"/>
          <w:szCs w:val="22"/>
          <w:lang w:val="es-ES" w:eastAsia="en-US"/>
        </w:rPr>
        <w:t>regla general</w:t>
      </w:r>
      <w:r w:rsidRPr="001A2FD6">
        <w:rPr>
          <w:rFonts w:ascii="Verdana" w:eastAsia="Calibri" w:hAnsi="Verdana" w:cs="Arial"/>
          <w:sz w:val="22"/>
          <w:szCs w:val="22"/>
          <w:lang w:val="es-ES" w:eastAsia="en-US"/>
        </w:rPr>
        <w:t xml:space="preserve"> anterior a los casos que no riñan con la primera</w:t>
      </w:r>
      <w:r w:rsidRPr="001A2FD6">
        <w:rPr>
          <w:rFonts w:ascii="Verdana" w:eastAsia="Calibri" w:hAnsi="Verdana" w:cs="Arial"/>
          <w:sz w:val="22"/>
          <w:szCs w:val="22"/>
          <w:vertAlign w:val="superscript"/>
          <w:lang w:val="es-ES" w:eastAsia="en-US"/>
        </w:rPr>
        <w:footnoteReference w:id="29"/>
      </w:r>
      <w:r w:rsidRPr="001A2FD6">
        <w:rPr>
          <w:rFonts w:ascii="Verdana" w:eastAsia="Calibri" w:hAnsi="Verdana" w:cs="Arial"/>
          <w:sz w:val="22"/>
          <w:szCs w:val="22"/>
          <w:lang w:val="es-ES" w:eastAsia="en-US"/>
        </w:rPr>
        <w:t xml:space="preserve">. Desde esta perspectiva, el criterio de </w:t>
      </w:r>
      <w:r w:rsidRPr="001A2FD6">
        <w:rPr>
          <w:rFonts w:ascii="Verdana" w:eastAsia="Calibri" w:hAnsi="Verdana" w:cs="Arial"/>
          <w:i/>
          <w:iCs/>
          <w:sz w:val="22"/>
          <w:szCs w:val="22"/>
          <w:lang w:val="es-ES" w:eastAsia="en-US"/>
        </w:rPr>
        <w:t>lex posterior</w:t>
      </w:r>
      <w:r w:rsidRPr="001A2FD6">
        <w:rPr>
          <w:rFonts w:ascii="Verdana" w:eastAsia="Calibri" w:hAnsi="Verdana" w:cs="Arial"/>
          <w:sz w:val="22"/>
          <w:szCs w:val="22"/>
          <w:lang w:val="es-ES" w:eastAsia="en-US"/>
        </w:rPr>
        <w:t xml:space="preserve"> es un argumento adicional para sostener la prevalencia del artículo 49, inciso tercero, de la Ley 617 de 2000 sobre el artículo 8, literal b) del numeral 2, de la Ley 80 de 1993. Esto en la medida que el artículo 2 de la Ley 153 de 1887 dispone que “La ley posterior prevalece sobre la ley anterior. En caso de que una ley posterior sea contraria a otra anterior, y ambas preexistentes al hecho que se juzga, se aplicará la ley posterior”.</w:t>
      </w:r>
    </w:p>
    <w:p w14:paraId="4AA20293" w14:textId="77777777" w:rsidR="001A2FD6" w:rsidRPr="001A2FD6" w:rsidRDefault="001A2FD6" w:rsidP="001A2FD6">
      <w:pPr>
        <w:spacing w:before="120" w:after="120" w:line="276" w:lineRule="auto"/>
        <w:ind w:firstLine="708"/>
        <w:jc w:val="both"/>
        <w:rPr>
          <w:rFonts w:ascii="Verdana" w:eastAsia="Calibri" w:hAnsi="Verdana" w:cs="Arial"/>
          <w:sz w:val="22"/>
          <w:szCs w:val="22"/>
          <w:lang w:eastAsia="en-US"/>
        </w:rPr>
      </w:pPr>
      <w:r w:rsidRPr="001A2FD6">
        <w:rPr>
          <w:rFonts w:ascii="Verdana" w:eastAsia="Calibri" w:hAnsi="Verdana" w:cs="Arial"/>
          <w:sz w:val="22"/>
          <w:szCs w:val="22"/>
          <w:lang w:val="es-ES_tradnl" w:eastAsia="en-US"/>
        </w:rPr>
        <w:t xml:space="preserve">En tal sentido, prevalece la prohibición dispuesta en el inciso tercero del artículo 49 de la Ley 617 de 2000 que establece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 En otras palabras, </w:t>
      </w:r>
      <w:r w:rsidRPr="001A2FD6">
        <w:rPr>
          <w:rFonts w:ascii="Verdana" w:hAnsi="Verdana" w:cs="Arial"/>
          <w:sz w:val="22"/>
          <w:szCs w:val="22"/>
          <w:lang w:eastAsia="en-US"/>
        </w:rPr>
        <w:t>los cónyuges o compañeros permanentes de los concejales de un municipio y sus parientes dentro del cuarto grado de consanguinidad, primero de afinidad, o único civil no podrán ser contratistas en las entidades del respectivo municipio, ni directa, ni indirectamente, por medio de empresas o sociedades.</w:t>
      </w:r>
    </w:p>
    <w:p w14:paraId="44499D90"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La expresión “no puede celebrar contratos de forma directa o indirecta” es importante para comprender dicha inhabilidad, pues, aunque, el artículo 49 de la Ley 617 de 2000 no define su alcance, es posible acercarse a su definición a través de las pautas hermenéuticas del artículo 28 del Código Civil, pues “</w:t>
      </w:r>
      <w:r w:rsidRPr="001A2FD6">
        <w:rPr>
          <w:rFonts w:ascii="Verdana" w:eastAsia="Calibri" w:hAnsi="Verdana" w:cs="Arial"/>
          <w:i/>
          <w:iCs/>
          <w:sz w:val="22"/>
          <w:szCs w:val="22"/>
          <w:lang w:val="es-ES_tradnl" w:eastAsia="en-US"/>
        </w:rPr>
        <w:t>Las palabras de la ley se entenderán en su sentido natural y obvio, según el uso general de las mismas palabras</w:t>
      </w:r>
      <w:r w:rsidRPr="001A2FD6">
        <w:rPr>
          <w:rFonts w:ascii="Verdana" w:eastAsia="Calibri" w:hAnsi="Verdana" w:cs="Arial"/>
          <w:sz w:val="22"/>
          <w:szCs w:val="22"/>
          <w:lang w:val="es-ES_tradnl" w:eastAsia="en-US"/>
        </w:rPr>
        <w:t xml:space="preserve">; pero cuando el legislador las haya definido expresamente para ciertas materias, se les dará en éstas su significado legal” (Énfasis fuera de texto). De esta manera, el diccionario de la Real Academia </w:t>
      </w:r>
      <w:r w:rsidRPr="001A2FD6">
        <w:rPr>
          <w:rFonts w:ascii="Verdana" w:eastAsia="Calibri" w:hAnsi="Verdana" w:cs="Arial"/>
          <w:sz w:val="22"/>
          <w:szCs w:val="22"/>
          <w:lang w:val="es-ES_tradnl" w:eastAsia="en-US"/>
        </w:rPr>
        <w:lastRenderedPageBreak/>
        <w:t xml:space="preserve">Española define la palabra “directo” aludiendo a aquello “Que va de una parte a otra sin detenerse en los puntos intermedios”. Por oposición, define la palabra “indirecto” como aquello que “Que no va rectamente a un fin, aunque se encamine a él”. </w:t>
      </w:r>
    </w:p>
    <w:p w14:paraId="572E872F" w14:textId="77777777" w:rsidR="001A2FD6" w:rsidRPr="001A2FD6" w:rsidRDefault="001A2FD6" w:rsidP="001A2FD6">
      <w:pPr>
        <w:spacing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Aplicadas las definiciones a los contratos, estos serán celebrados directa o indirectamente dependiendo si existe o no un intermediario. Si la participación corresponde al mismo interesado estando dentro de las restricciones del artículo 49, inciso tercero, de la Ley 617 de 2000, esta será directa. Por el contrario, si la intervención del mismo sujeto se presenta de forma encubierta o subrepticia, es decir, a través de terceras personas, esta será indirecta. De esta manera, la norma citada prohíbe que los parientes, cónyuges y compañeros permanentes de los gobernadores, diputados, alcaldes y concejales, participen en la celebración y ejecución de contratos con el departamento, distrito o municipio, o de sus entidades descentralizadas, bien sea que intervengan a nombre propio o a través de terceros.  </w:t>
      </w:r>
    </w:p>
    <w:p w14:paraId="2F05092A"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Existe </w:t>
      </w:r>
      <w:r w:rsidRPr="001A2FD6">
        <w:rPr>
          <w:rFonts w:ascii="Verdana" w:eastAsia="Calibri" w:hAnsi="Verdana" w:cs="Arial"/>
          <w:i/>
          <w:iCs/>
          <w:sz w:val="22"/>
          <w:szCs w:val="22"/>
          <w:lang w:val="es-ES_tradnl" w:eastAsia="en-US"/>
        </w:rPr>
        <w:t>intervención a nombre propio</w:t>
      </w:r>
      <w:r w:rsidRPr="001A2FD6">
        <w:rPr>
          <w:rFonts w:ascii="Verdana" w:eastAsia="Calibri" w:hAnsi="Verdana" w:cs="Arial"/>
          <w:sz w:val="22"/>
          <w:szCs w:val="22"/>
          <w:lang w:val="es-ES_tradnl" w:eastAsia="en-US"/>
        </w:rPr>
        <w:t xml:space="preserve"> cuando la persona afectada por la restricción del artículo 49, inciso tercero, de la Ley 617 de 2000 pretende participar en la celebración y ejecución del contrato por sí mismo o a través de un representante facultado para el efecto. El primer supuesto no genera dificultad alguna, pues presupone la participación directa del inhabilitado. No obstante, a pesar de que en la segunda hipótesis existe intermediación de un tercero, es necesario tener en cuenta que el artículo 1505 del Código Civil –aplicable a los contratos estatales de las entidades sometidas al Estatuto General de Contratación por remisión de los art. 13, 32 y 40 de la Ley 80 de 1993– dispone que “Lo que una persona ejecuta a nombre de otra, estando facultada por ella o por la ley para representarla, produce respecto del representado iguales efectos que si hubiese contratado él mismo”. Esta norma crea una ficción legal, por la cual la intervención del representante equivale a la que realizaría directamente el mismo representado.</w:t>
      </w:r>
    </w:p>
    <w:p w14:paraId="6F3D6A18" w14:textId="77777777" w:rsidR="001A2FD6" w:rsidRPr="001A2FD6" w:rsidRDefault="001A2FD6" w:rsidP="001A2FD6">
      <w:pPr>
        <w:spacing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En contraste, existe </w:t>
      </w:r>
      <w:r w:rsidRPr="001A2FD6">
        <w:rPr>
          <w:rFonts w:ascii="Verdana" w:eastAsia="Calibri" w:hAnsi="Verdana" w:cs="Arial"/>
          <w:i/>
          <w:iCs/>
          <w:sz w:val="22"/>
          <w:szCs w:val="22"/>
          <w:lang w:val="es-ES" w:eastAsia="en-US"/>
        </w:rPr>
        <w:t>intervención a través de terceros</w:t>
      </w:r>
      <w:r w:rsidRPr="001A2FD6">
        <w:rPr>
          <w:rFonts w:ascii="Verdana" w:eastAsia="Calibri" w:hAnsi="Verdana" w:cs="Arial"/>
          <w:sz w:val="22"/>
          <w:szCs w:val="22"/>
          <w:lang w:val="es-ES" w:eastAsia="en-US"/>
        </w:rPr>
        <w:t xml:space="preserve"> cuando la persona afectada por la restricción del artículo 49, inciso tercero, de la Ley 617 de 2000 pretende participar en la celebración y ejecución del contrato a través de “mandatos ocultos” o en calidad de socio o representante legal de una persona jurídica, sin perjuicio de otras modalidades de participación subrepticia por parte </w:t>
      </w:r>
      <w:r w:rsidRPr="001A2FD6">
        <w:rPr>
          <w:rFonts w:ascii="Verdana" w:eastAsia="Calibri" w:hAnsi="Verdana" w:cs="Arial"/>
          <w:sz w:val="22"/>
          <w:szCs w:val="22"/>
          <w:lang w:val="es-ES" w:eastAsia="en-US"/>
        </w:rPr>
        <w:lastRenderedPageBreak/>
        <w:t>del sujeto inhabilitado</w:t>
      </w:r>
      <w:r w:rsidRPr="001A2FD6">
        <w:rPr>
          <w:rFonts w:ascii="Verdana" w:eastAsia="Calibri" w:hAnsi="Verdana" w:cs="Arial"/>
          <w:sz w:val="22"/>
          <w:szCs w:val="22"/>
          <w:vertAlign w:val="superscript"/>
          <w:lang w:val="es-ES" w:eastAsia="en-US"/>
        </w:rPr>
        <w:footnoteReference w:id="30"/>
      </w:r>
      <w:r w:rsidRPr="001A2FD6">
        <w:rPr>
          <w:rFonts w:ascii="Verdana" w:eastAsia="Calibri" w:hAnsi="Verdana" w:cs="Arial"/>
          <w:sz w:val="22"/>
          <w:szCs w:val="22"/>
          <w:lang w:val="es-ES" w:eastAsia="en-US"/>
        </w:rPr>
        <w:t xml:space="preserve">. En lo que respecta al primer supuesto, es necesario considerar que el mandato no es esencialmente representativo, por lo cual el mandatario no está obligado a expresar que actúa en nombre del mandante. A esto se refiere el artículo 2177 del Código Civil cuando dispone que “El mandatario puede, en el ejercicio de su cargo, contestar (sic) a su propio nombre o al del mandante; si contrata a su propio nombre no obliga respecto de terceros al mandante”. De esta manera, la jurisprudencia explica que: </w:t>
      </w:r>
    </w:p>
    <w:p w14:paraId="221C12C2" w14:textId="77777777" w:rsidR="001A2FD6" w:rsidRPr="001A2FD6" w:rsidRDefault="001A2FD6" w:rsidP="001A2FD6">
      <w:pPr>
        <w:spacing w:line="276" w:lineRule="auto"/>
        <w:ind w:firstLine="708"/>
        <w:jc w:val="both"/>
        <w:rPr>
          <w:rFonts w:ascii="Verdana" w:eastAsia="Calibri" w:hAnsi="Verdana" w:cs="Arial"/>
          <w:sz w:val="22"/>
          <w:szCs w:val="22"/>
          <w:lang w:val="es-ES_tradnl" w:eastAsia="en-US"/>
        </w:rPr>
      </w:pPr>
    </w:p>
    <w:p w14:paraId="2A084FA7" w14:textId="77777777" w:rsidR="001A2FD6" w:rsidRPr="001A2FD6" w:rsidRDefault="001A2FD6" w:rsidP="001A2FD6">
      <w:pPr>
        <w:ind w:left="709" w:right="709"/>
        <w:jc w:val="both"/>
        <w:rPr>
          <w:rFonts w:ascii="Verdana" w:eastAsia="Calibri" w:hAnsi="Verdana" w:cs="Arial"/>
          <w:sz w:val="20"/>
          <w:szCs w:val="20"/>
          <w:lang w:val="es-ES" w:eastAsia="en-US"/>
        </w:rPr>
      </w:pPr>
      <w:r w:rsidRPr="001A2FD6">
        <w:rPr>
          <w:rFonts w:ascii="Verdana" w:eastAsia="Calibri" w:hAnsi="Verdana" w:cs="Arial"/>
          <w:sz w:val="20"/>
          <w:szCs w:val="20"/>
          <w:lang w:val="es-ES" w:eastAsia="en-US"/>
        </w:rPr>
        <w:t>Cuando el mandato no es representativo, el mandatario es, ante los terceros con quienes contrata, el titular de los derechos y obligaciones que se derivan de los contratos. No pueden ser obligados a tener al mandate como parte del pacto, puesto que, no habiendo representación, es el mandatario quien en éste es realmente parte. Los efectos del mandato se reducen entonces a los que todo contrato produce, que para el caso son: el mandatario queda obligado a transferir al mandante todo el beneficio que de los negocios con terceros derive (artículos 2182 y 2183 del Código Civil); y el mandante, por su parte, debe proveer al mandatario de todo lo necesario para la ejecución del encargo y reembolsarle los gastos razonables que la comisión le imponga (art. 2184 ibidem)</w:t>
      </w:r>
      <w:r w:rsidRPr="001A2FD6">
        <w:rPr>
          <w:rFonts w:ascii="Verdana" w:eastAsia="Calibri" w:hAnsi="Verdana" w:cs="Arial"/>
          <w:sz w:val="20"/>
          <w:szCs w:val="20"/>
          <w:vertAlign w:val="superscript"/>
          <w:lang w:val="es-ES" w:eastAsia="en-US"/>
        </w:rPr>
        <w:footnoteReference w:id="31"/>
      </w:r>
    </w:p>
    <w:p w14:paraId="1BE495D5"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p>
    <w:p w14:paraId="2B54CFE4" w14:textId="77777777" w:rsidR="001A2FD6" w:rsidRPr="001A2FD6" w:rsidRDefault="001A2FD6" w:rsidP="001A2FD6">
      <w:pPr>
        <w:spacing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El artículo 2177 del Código Civil permite que terceros intervengan en el negocio jurídico con el contratante, sin que este último conozca que existe otro sujeto que se beneficia indirectamente de la gestión de los primeros. En este </w:t>
      </w:r>
      <w:r w:rsidRPr="001A2FD6">
        <w:rPr>
          <w:rFonts w:ascii="Verdana" w:eastAsia="Calibri" w:hAnsi="Verdana" w:cs="Arial"/>
          <w:sz w:val="22"/>
          <w:szCs w:val="22"/>
          <w:lang w:val="es-ES" w:eastAsia="en-US"/>
        </w:rPr>
        <w:lastRenderedPageBreak/>
        <w:t>caso, “Han solido distinguir la doctrina y la jurisprudencia foráneas entre interposición real e interposición ficticia o simulada de persona; esta última, cuando el agente no es más que alguien que presta el nombre (</w:t>
      </w:r>
      <w:r w:rsidRPr="001A2FD6">
        <w:rPr>
          <w:rFonts w:ascii="Verdana" w:eastAsia="Calibri" w:hAnsi="Verdana" w:cs="Arial"/>
          <w:i/>
          <w:iCs/>
          <w:sz w:val="22"/>
          <w:szCs w:val="22"/>
          <w:lang w:val="es-ES" w:eastAsia="en-US"/>
        </w:rPr>
        <w:t>nomen commodat</w:t>
      </w:r>
      <w:r w:rsidRPr="001A2FD6">
        <w:rPr>
          <w:rFonts w:ascii="Verdana" w:eastAsia="Calibri" w:hAnsi="Verdana" w:cs="Arial"/>
          <w:sz w:val="22"/>
          <w:szCs w:val="22"/>
          <w:lang w:val="es-ES" w:eastAsia="en-US"/>
        </w:rPr>
        <w:t>): el contrato se celebra en verdad con el contratante real y no con el ficticio, que no cumple otra función que la de figurar […]”</w:t>
      </w:r>
      <w:r w:rsidRPr="001A2FD6">
        <w:rPr>
          <w:rFonts w:ascii="Verdana" w:eastAsia="Calibri" w:hAnsi="Verdana" w:cs="Arial"/>
          <w:sz w:val="22"/>
          <w:szCs w:val="22"/>
          <w:vertAlign w:val="superscript"/>
          <w:lang w:val="es-ES" w:eastAsia="en-US"/>
        </w:rPr>
        <w:footnoteReference w:id="32"/>
      </w:r>
      <w:r w:rsidRPr="001A2FD6">
        <w:rPr>
          <w:rFonts w:ascii="Verdana" w:eastAsia="Calibri" w:hAnsi="Verdana" w:cs="Arial"/>
          <w:sz w:val="22"/>
          <w:szCs w:val="22"/>
          <w:lang w:val="es-ES" w:eastAsia="en-US"/>
        </w:rPr>
        <w:t xml:space="preserve">. Por tanto, el artículo 49, inciso tercero, de la Ley 617 de 2000 prohíbe que los sujetos inhabilitados se beneficien del contrato estatal a través de intermediarios, quienes participan en su celebración y ejecución para ocultar la gestión realizada por los parientes, cónyuges y compañeros permanentes de los gobernadores, diputados, alcaldes y concejales. </w:t>
      </w:r>
    </w:p>
    <w:p w14:paraId="6FB82A8D" w14:textId="77777777" w:rsidR="001A2FD6" w:rsidRPr="001A2FD6" w:rsidRDefault="001A2FD6" w:rsidP="001A2FD6">
      <w:pPr>
        <w:spacing w:after="120" w:line="276" w:lineRule="auto"/>
        <w:ind w:firstLine="709"/>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Pese a lo anterior, las personas sujetas a la incompatibilidad del artículo 49, inciso tercero, de la Ley 617 de 2000 también pueden beneficiarse indirectamente en calidad de socios o representantes legales de las personas jurídicas que contratan con el departamento, distrito o municipio, o sus entidades descentralizadas. Aunque el artículo 98, inciso segundo, del Código de Comercio dispone que las sociedades forman una persona jurídica independiente, la participación en los derechos de propiedad o en el direccionamiento estratégico por parte de los sujetos pasivos de la prohibición citada también es una forma de gestión contractual encubierta, la cual está prohibida. </w:t>
      </w:r>
    </w:p>
    <w:p w14:paraId="0745636E" w14:textId="77777777" w:rsidR="001A2FD6" w:rsidRPr="001A2FD6" w:rsidRDefault="001A2FD6" w:rsidP="001A2FD6">
      <w:pPr>
        <w:spacing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Por tanto, los gobernadores, diputados, alcaldes y concejales no pueden celebrar contratos para beneficiar indirectamente a sus parientes, cónyuges y compañeros permanentes cuando son representantes legales de la sociedad, pues la actuación pondría en riesgo el principio de objetividad, igualdad y moralidad administrativa. Cuando estos tengan la calidad de socios, es necesario analizar caso por caso variables adicionales como el tipo societario, su porcentaje de participación, entre otros. De forma meramente ilustrativa, el riesgo para el interés general es dudoso si el socio tiene una participación accionaria ínfima en una sociedad anónima abierta. En un sentido similar, la jurisprudencia también explica que:</w:t>
      </w:r>
    </w:p>
    <w:p w14:paraId="0C041E59" w14:textId="77777777" w:rsidR="001A2FD6" w:rsidRPr="001A2FD6" w:rsidRDefault="001A2FD6" w:rsidP="001A2FD6">
      <w:pPr>
        <w:spacing w:line="276" w:lineRule="auto"/>
        <w:ind w:firstLine="708"/>
        <w:jc w:val="both"/>
        <w:rPr>
          <w:rFonts w:ascii="Verdana" w:eastAsia="Calibri" w:hAnsi="Verdana" w:cs="Arial"/>
          <w:sz w:val="22"/>
          <w:szCs w:val="22"/>
          <w:lang w:val="es-ES_tradnl" w:eastAsia="en-US"/>
        </w:rPr>
      </w:pPr>
    </w:p>
    <w:p w14:paraId="150CF654" w14:textId="77777777" w:rsidR="001A2FD6" w:rsidRPr="001A2FD6" w:rsidRDefault="001A2FD6" w:rsidP="001A2FD6">
      <w:pPr>
        <w:ind w:left="709" w:right="709"/>
        <w:jc w:val="both"/>
        <w:rPr>
          <w:rFonts w:ascii="Verdana" w:eastAsia="Calibri" w:hAnsi="Verdana" w:cs="Arial"/>
          <w:sz w:val="20"/>
          <w:szCs w:val="20"/>
          <w:lang w:val="es-ES" w:eastAsia="en-US"/>
        </w:rPr>
      </w:pPr>
      <w:r w:rsidRPr="001A2FD6">
        <w:rPr>
          <w:rFonts w:ascii="Verdana" w:eastAsia="Calibri" w:hAnsi="Verdana" w:cs="Arial"/>
          <w:sz w:val="20"/>
          <w:szCs w:val="20"/>
          <w:lang w:val="es-ES" w:eastAsia="en-US"/>
        </w:rPr>
        <w:t>[…] el contrato por interpuesta persona se configura mediante sociedades de personas de las que sea socio quien interviene en la negociación, de tal manera que la interpuesta persona es la propia sociedad. En otras palabras, la celebración de contratos bajo esta modalidad implica que quien aparece como contratista, aunque formalmente, aparentemente, figure como tal, en realidad, no es la persona que lo celebra y ejecuta.</w:t>
      </w:r>
    </w:p>
    <w:p w14:paraId="2D52BE9F" w14:textId="77777777" w:rsidR="001A2FD6" w:rsidRPr="001A2FD6" w:rsidRDefault="001A2FD6" w:rsidP="001A2FD6">
      <w:pPr>
        <w:ind w:left="709" w:right="709"/>
        <w:jc w:val="both"/>
        <w:rPr>
          <w:rFonts w:ascii="Verdana" w:eastAsia="Calibri" w:hAnsi="Verdana" w:cs="Arial"/>
          <w:sz w:val="20"/>
          <w:szCs w:val="20"/>
          <w:lang w:val="es-ES" w:eastAsia="en-US"/>
        </w:rPr>
      </w:pPr>
    </w:p>
    <w:p w14:paraId="5A67A5E3" w14:textId="77777777" w:rsidR="001A2FD6" w:rsidRPr="001A2FD6" w:rsidRDefault="001A2FD6" w:rsidP="001A2FD6">
      <w:pPr>
        <w:ind w:left="709" w:right="709"/>
        <w:jc w:val="both"/>
        <w:rPr>
          <w:rFonts w:ascii="Verdana" w:eastAsia="Calibri" w:hAnsi="Verdana" w:cs="Arial"/>
          <w:sz w:val="20"/>
          <w:szCs w:val="20"/>
          <w:lang w:val="es-ES_tradnl" w:eastAsia="en-US"/>
        </w:rPr>
      </w:pPr>
      <w:r w:rsidRPr="001A2FD6">
        <w:rPr>
          <w:rFonts w:ascii="Verdana" w:eastAsia="Calibri" w:hAnsi="Verdana" w:cs="Arial"/>
          <w:sz w:val="20"/>
          <w:szCs w:val="20"/>
          <w:lang w:val="es-ES_tradnl" w:eastAsia="en-US"/>
        </w:rPr>
        <w:t>Tal figura constituye un medio para obtener beneficios que de otra manera no podrían obtenerse o para eludir las inhabilidades o incompatibilidades en las que pueda estar incursa una persona determinada</w:t>
      </w:r>
      <w:r w:rsidRPr="001A2FD6">
        <w:rPr>
          <w:rFonts w:ascii="Verdana" w:eastAsia="Calibri" w:hAnsi="Verdana" w:cs="Arial"/>
          <w:sz w:val="20"/>
          <w:szCs w:val="20"/>
          <w:vertAlign w:val="superscript"/>
          <w:lang w:val="es-ES_tradnl" w:eastAsia="en-US"/>
        </w:rPr>
        <w:footnoteReference w:id="33"/>
      </w:r>
      <w:r w:rsidRPr="001A2FD6">
        <w:rPr>
          <w:rFonts w:ascii="Verdana" w:eastAsia="Calibri" w:hAnsi="Verdana" w:cs="Arial"/>
          <w:sz w:val="20"/>
          <w:szCs w:val="20"/>
          <w:lang w:val="es-ES_tradnl" w:eastAsia="en-US"/>
        </w:rPr>
        <w:t>.</w:t>
      </w:r>
    </w:p>
    <w:p w14:paraId="5553E448" w14:textId="77777777" w:rsidR="001A2FD6" w:rsidRPr="001A2FD6" w:rsidRDefault="001A2FD6" w:rsidP="001A2FD6">
      <w:pPr>
        <w:ind w:left="709" w:right="709"/>
        <w:jc w:val="both"/>
        <w:rPr>
          <w:rFonts w:ascii="Verdana" w:eastAsia="Calibri" w:hAnsi="Verdana" w:cs="Arial"/>
          <w:sz w:val="20"/>
          <w:szCs w:val="20"/>
          <w:lang w:val="es-ES_tradnl" w:eastAsia="en-US"/>
        </w:rPr>
      </w:pPr>
    </w:p>
    <w:p w14:paraId="0E6990CD" w14:textId="77777777" w:rsidR="001A2FD6" w:rsidRPr="001A2FD6" w:rsidRDefault="001A2FD6" w:rsidP="001A2FD6">
      <w:pPr>
        <w:ind w:firstLine="708"/>
        <w:jc w:val="both"/>
        <w:rPr>
          <w:rFonts w:ascii="Verdana" w:eastAsia="Calibri" w:hAnsi="Verdana" w:cs="Arial"/>
          <w:sz w:val="20"/>
          <w:szCs w:val="20"/>
          <w:lang w:val="es-ES_tradnl" w:eastAsia="en-US"/>
        </w:rPr>
      </w:pPr>
      <w:r w:rsidRPr="001A2FD6">
        <w:rPr>
          <w:rFonts w:ascii="Verdana" w:eastAsia="Calibri" w:hAnsi="Verdana" w:cs="Arial"/>
          <w:sz w:val="20"/>
          <w:szCs w:val="20"/>
          <w:lang w:val="es-ES_tradnl" w:eastAsia="en-US"/>
        </w:rPr>
        <w:t>Igualmente, considera que:</w:t>
      </w:r>
    </w:p>
    <w:p w14:paraId="02E4B881" w14:textId="77777777" w:rsidR="001A2FD6" w:rsidRPr="001A2FD6" w:rsidRDefault="001A2FD6" w:rsidP="001A2FD6">
      <w:pPr>
        <w:ind w:firstLine="708"/>
        <w:jc w:val="both"/>
        <w:rPr>
          <w:rFonts w:ascii="Verdana" w:eastAsia="Calibri" w:hAnsi="Verdana" w:cs="Arial"/>
          <w:sz w:val="20"/>
          <w:szCs w:val="20"/>
          <w:lang w:val="es-ES_tradnl" w:eastAsia="en-US"/>
        </w:rPr>
      </w:pPr>
    </w:p>
    <w:p w14:paraId="1B86F0E7" w14:textId="77777777" w:rsidR="001A2FD6" w:rsidRPr="001A2FD6" w:rsidRDefault="001A2FD6" w:rsidP="001A2FD6">
      <w:pPr>
        <w:ind w:left="709" w:right="709"/>
        <w:jc w:val="both"/>
        <w:rPr>
          <w:rFonts w:ascii="Verdana" w:eastAsia="Arial MT" w:hAnsi="Verdana" w:cs="Arial"/>
          <w:sz w:val="20"/>
          <w:szCs w:val="20"/>
          <w:lang w:val="es-ES" w:eastAsia="en-US"/>
        </w:rPr>
      </w:pPr>
      <w:r w:rsidRPr="001A2FD6">
        <w:rPr>
          <w:rFonts w:ascii="Verdana" w:eastAsia="Arial MT" w:hAnsi="Verdana" w:cs="Arial"/>
          <w:sz w:val="20"/>
          <w:szCs w:val="20"/>
          <w:lang w:val="es-ES" w:eastAsia="en-US"/>
        </w:rPr>
        <w:t>[…] como determinante en la actuación por interpuesta persona es no solo la real y activa participación, en este caso, del miembro de Junta Directiva, sino “el poder decisorio en la gestión social y de igual manera, la utilidad que a ese socio le reportaría su intervención, dado el interés económico que por sus acciones tiene en la sociedad.” (Sala Plena de lo Contencioso Administrativo, sentencia de 11/11/1997, exp. AC-5061, reiterada en sentencia de 4/09/2003, exp. 2002-00993, Consejero ponente doctor Manuel S. Urueta Ayola). En este caso, el interés económico del demandado en la mencionada sociedad es mínimo, si se tiene en cuenta que sus acciones representan un 5% en el total del capital autorizado que, es de mil millones de pesos dividido en acciones de $1000 cada una; y de esos mil millones de acciones posee únicamente 43.159, lo que impide considerar a la Sala que en razón de tal interés se vio movido a actuar por interpuesta persona</w:t>
      </w:r>
      <w:r w:rsidRPr="001A2FD6">
        <w:rPr>
          <w:rFonts w:ascii="Verdana" w:eastAsia="Arial MT" w:hAnsi="Verdana" w:cs="Arial"/>
          <w:sz w:val="20"/>
          <w:szCs w:val="20"/>
          <w:vertAlign w:val="superscript"/>
          <w:lang w:val="es-ES" w:eastAsia="en-US"/>
        </w:rPr>
        <w:footnoteReference w:id="34"/>
      </w:r>
      <w:r w:rsidRPr="001A2FD6">
        <w:rPr>
          <w:rFonts w:ascii="Verdana" w:eastAsia="Arial MT" w:hAnsi="Verdana" w:cs="Arial"/>
          <w:sz w:val="20"/>
          <w:szCs w:val="20"/>
          <w:lang w:val="es-ES" w:eastAsia="en-US"/>
        </w:rPr>
        <w:t>.</w:t>
      </w:r>
    </w:p>
    <w:p w14:paraId="22D47EB3" w14:textId="77777777" w:rsidR="001A2FD6" w:rsidRPr="001A2FD6" w:rsidRDefault="001A2FD6" w:rsidP="001A2FD6">
      <w:pPr>
        <w:ind w:right="709"/>
        <w:jc w:val="both"/>
        <w:rPr>
          <w:rFonts w:ascii="Verdana" w:eastAsia="Calibri" w:hAnsi="Verdana" w:cs="Arial"/>
          <w:sz w:val="21"/>
          <w:szCs w:val="21"/>
          <w:lang w:val="es-ES_tradnl" w:eastAsia="en-US"/>
        </w:rPr>
      </w:pPr>
    </w:p>
    <w:p w14:paraId="4D0D6D06" w14:textId="77777777" w:rsidR="001A2FD6" w:rsidRPr="001A2FD6" w:rsidRDefault="001A2FD6" w:rsidP="001A2FD6">
      <w:pPr>
        <w:spacing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 xml:space="preserve">En este contexto, cuando el artículo 49, inciso tercero, de la Ley 617 de 2000 prohíbe celebración indirecta significa que los sujetos de la inhabilidad no pueden actuar subrepticiamente, a través de terceras personas, en la contratación realizada por los departamentos, distritos o municipios, así como de sus entidades descentralizadas, cuando son parientes, cónyuges y compañeros permanentes de los gobernadores, diputados, alcaldes y concejales. Estos supuestos corresponden a los explicados anteriormente, así como a todas aquellas hipótesis de participación encubierta por parte de los sujetos </w:t>
      </w:r>
      <w:r w:rsidRPr="001A2FD6">
        <w:rPr>
          <w:rFonts w:ascii="Verdana" w:eastAsia="Calibri" w:hAnsi="Verdana" w:cs="Arial"/>
          <w:sz w:val="22"/>
          <w:szCs w:val="22"/>
          <w:lang w:val="es-ES" w:eastAsia="en-US"/>
        </w:rPr>
        <w:lastRenderedPageBreak/>
        <w:t xml:space="preserve">inhabilitados, los cuales deberá analizar la entidad contratante en cada proceso de selección.   </w:t>
      </w:r>
    </w:p>
    <w:p w14:paraId="171C4A69" w14:textId="77777777" w:rsidR="001A2FD6" w:rsidRPr="001A2FD6" w:rsidRDefault="001A2FD6" w:rsidP="001A2FD6">
      <w:pPr>
        <w:spacing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Al declarar la exequibilidad condicionada el inciso tercero del artículo 49 de la Ley 617 de 2000, modificado por el artículo 1° de la Ley 823 de 2003 en el entendido que se aplica únicamente dentro del ámbito territorial de competencia del respectivo gobernador, alcalde o miembros de juntas administradoras locales, municipales y distritales, la Corte Constitucional considera que las normas sobre la inhabilidad para ser directa o indirectamente contratistas del respectivo departamento, distrito o municipio o de sus entidades descentralizadas, hacen parte del ámbito de configuración legislativa del artículo 150, inciso final, de la Constitución Política, pues compete al Congreso de la República expedir el estatuto general de contratación de la administración pública. Por lo demás, agrega que la inhabilidad coadyuba al logro de objetivos constitucionalmente relevantes, ya que:</w:t>
      </w:r>
    </w:p>
    <w:p w14:paraId="335F5FB5" w14:textId="77777777" w:rsidR="001A2FD6" w:rsidRPr="001A2FD6" w:rsidRDefault="001A2FD6" w:rsidP="001A2FD6">
      <w:pPr>
        <w:spacing w:line="276" w:lineRule="auto"/>
        <w:ind w:firstLine="708"/>
        <w:jc w:val="both"/>
        <w:rPr>
          <w:rFonts w:ascii="Verdana" w:eastAsia="Calibri" w:hAnsi="Verdana" w:cs="Arial"/>
          <w:sz w:val="22"/>
          <w:szCs w:val="22"/>
          <w:lang w:val="es-ES_tradnl" w:eastAsia="en-US"/>
        </w:rPr>
      </w:pPr>
    </w:p>
    <w:p w14:paraId="6CE77A1E" w14:textId="77777777" w:rsidR="001A2FD6" w:rsidRPr="001A2FD6" w:rsidRDefault="001A2FD6" w:rsidP="001A2FD6">
      <w:pPr>
        <w:ind w:left="709" w:right="709"/>
        <w:jc w:val="both"/>
        <w:rPr>
          <w:rFonts w:ascii="Verdana" w:eastAsia="Calibri" w:hAnsi="Verdana" w:cs="Arial"/>
          <w:sz w:val="20"/>
          <w:szCs w:val="20"/>
          <w:lang w:val="es-ES_tradnl" w:eastAsia="en-US"/>
        </w:rPr>
      </w:pPr>
      <w:r w:rsidRPr="001A2FD6">
        <w:rPr>
          <w:rFonts w:ascii="Verdana" w:eastAsia="Calibri" w:hAnsi="Verdana" w:cs="Arial"/>
          <w:sz w:val="20"/>
          <w:szCs w:val="20"/>
          <w:lang w:val="es-MX" w:eastAsia="en-US"/>
        </w:rPr>
        <w:t>Estas medidas constituyen […] un desarrollo legislativo razonable y proporcionado, como instrumento necesario e idóneo para el logro de los principios rectores de la actuación administrativa y garantizar que las actuaciones públicas estén despojadas de propósitos o intenciones ajenos al servicio público y al interés general. Lo que buscan las disposiciones demandadas es evitar, entre otros efectos, la injerencia indebida de los miembros de las corporaciones públicas en la gestión pública del orden territorial y a favor de sus allegados […]. De tal suerte que las inhabilidades en referencia constituyen una garantía de imparcialidad, transparencia y moralidad de la gestión pública en los departamentos, distritos y municipios</w:t>
      </w:r>
      <w:r w:rsidRPr="001A2FD6">
        <w:rPr>
          <w:rFonts w:ascii="Verdana" w:eastAsia="Calibri" w:hAnsi="Verdana" w:cs="Arial"/>
          <w:sz w:val="20"/>
          <w:szCs w:val="20"/>
          <w:vertAlign w:val="superscript"/>
          <w:lang w:val="es-MX" w:eastAsia="en-US"/>
        </w:rPr>
        <w:footnoteReference w:id="35"/>
      </w:r>
    </w:p>
    <w:p w14:paraId="0744C92A" w14:textId="77777777" w:rsidR="001A2FD6" w:rsidRPr="001A2FD6" w:rsidRDefault="001A2FD6" w:rsidP="001A2FD6">
      <w:pPr>
        <w:ind w:right="709"/>
        <w:jc w:val="both"/>
        <w:rPr>
          <w:rFonts w:ascii="Verdana" w:eastAsia="Calibri" w:hAnsi="Verdana" w:cs="Arial"/>
          <w:color w:val="000000"/>
          <w:sz w:val="22"/>
          <w:szCs w:val="22"/>
          <w:lang w:val="es-ES_tradnl" w:eastAsia="en-US"/>
        </w:rPr>
      </w:pPr>
    </w:p>
    <w:p w14:paraId="74E5F1E6" w14:textId="77777777" w:rsidR="001A2FD6" w:rsidRPr="001A2FD6" w:rsidRDefault="001A2FD6" w:rsidP="001A2FD6">
      <w:pPr>
        <w:spacing w:line="276" w:lineRule="auto"/>
        <w:ind w:firstLine="708"/>
        <w:jc w:val="both"/>
        <w:rPr>
          <w:rFonts w:ascii="Verdana" w:hAnsi="Verdana"/>
          <w:color w:val="000000"/>
          <w:sz w:val="22"/>
          <w:szCs w:val="22"/>
          <w:lang w:eastAsia="es-CO"/>
        </w:rPr>
      </w:pPr>
      <w:r w:rsidRPr="001A2FD6">
        <w:rPr>
          <w:rFonts w:ascii="Verdana" w:eastAsia="Calibri" w:hAnsi="Verdana" w:cs="Arial"/>
          <w:sz w:val="22"/>
          <w:szCs w:val="22"/>
          <w:lang w:val="es-ES_tradnl" w:eastAsia="en-US"/>
        </w:rPr>
        <w:t>Posteriormente, el inciso tercero del artículo 49 de la Ley 617 de 2000 también fue objeto de control de constitucionalidad en la Sentencia C-087 de 2024, en el que se demanda la siguiente expresión: “</w:t>
      </w:r>
      <w:r w:rsidRPr="001A2FD6">
        <w:rPr>
          <w:rFonts w:ascii="Verdana" w:hAnsi="Verdana"/>
          <w:color w:val="000000"/>
          <w:sz w:val="22"/>
          <w:szCs w:val="22"/>
          <w:lang w:eastAsia="es-CO"/>
        </w:rPr>
        <w:t xml:space="preserve">sus parientes dentro del cuarto grado de consanguinidad”, por considerarse que hay un desconocimiento de los artículos 13 y 333 de la Constitución, al someter a los parientes de los gobernadores, diputados, alcaldes y concejales a una situación de desigualdad constitucionalmente ilegítima, ya que, si se contrasta las inhabilidades que la ley ha dispuesto para parientes de otros servidores públicos la prohibición </w:t>
      </w:r>
      <w:r w:rsidRPr="001A2FD6">
        <w:rPr>
          <w:rFonts w:ascii="Verdana" w:hAnsi="Verdana"/>
          <w:color w:val="000000"/>
          <w:sz w:val="22"/>
          <w:szCs w:val="22"/>
          <w:lang w:eastAsia="es-CO"/>
        </w:rPr>
        <w:lastRenderedPageBreak/>
        <w:t>únicamente se extiende hasta el segundo grado de consanguinidad. Al respecto, la Corte declara la constitucionalidad simple de esta expresión</w:t>
      </w:r>
      <w:r w:rsidRPr="001A2FD6">
        <w:rPr>
          <w:rFonts w:ascii="Verdana" w:hAnsi="Verdana"/>
          <w:color w:val="000000"/>
          <w:sz w:val="22"/>
          <w:szCs w:val="22"/>
          <w:vertAlign w:val="superscript"/>
          <w:lang w:eastAsia="es-CO"/>
        </w:rPr>
        <w:footnoteReference w:id="36"/>
      </w:r>
      <w:r w:rsidRPr="001A2FD6">
        <w:rPr>
          <w:rFonts w:ascii="Verdana" w:hAnsi="Verdana"/>
          <w:color w:val="000000"/>
          <w:sz w:val="22"/>
          <w:szCs w:val="22"/>
          <w:lang w:eastAsia="es-CO"/>
        </w:rPr>
        <w:t>, manifestando:</w:t>
      </w:r>
    </w:p>
    <w:p w14:paraId="347DF3C0" w14:textId="77777777" w:rsidR="001A2FD6" w:rsidRPr="001A2FD6" w:rsidRDefault="001A2FD6" w:rsidP="001A2FD6">
      <w:pPr>
        <w:spacing w:line="276" w:lineRule="auto"/>
        <w:ind w:firstLine="708"/>
        <w:jc w:val="both"/>
        <w:rPr>
          <w:rFonts w:ascii="Verdana" w:hAnsi="Verdana"/>
          <w:color w:val="000000"/>
          <w:sz w:val="22"/>
          <w:szCs w:val="22"/>
          <w:lang w:eastAsia="es-CO"/>
        </w:rPr>
      </w:pPr>
    </w:p>
    <w:p w14:paraId="5EFCD581" w14:textId="77777777" w:rsidR="001A2FD6" w:rsidRPr="001A2FD6" w:rsidRDefault="001A2FD6" w:rsidP="001A2FD6">
      <w:pPr>
        <w:ind w:left="709" w:right="709"/>
        <w:jc w:val="both"/>
        <w:rPr>
          <w:rFonts w:ascii="Verdana" w:hAnsi="Verdana"/>
          <w:color w:val="000000"/>
          <w:sz w:val="20"/>
          <w:szCs w:val="20"/>
          <w:lang w:eastAsia="es-CO"/>
        </w:rPr>
      </w:pPr>
      <w:r w:rsidRPr="001A2FD6">
        <w:rPr>
          <w:rFonts w:ascii="Verdana" w:hAnsi="Verdana"/>
          <w:color w:val="000000"/>
          <w:sz w:val="20"/>
          <w:szCs w:val="20"/>
          <w:lang w:eastAsia="es-CO"/>
        </w:rPr>
        <w:t>A partir de las razones que se acaban de señalar, e</w:t>
      </w:r>
      <w:r w:rsidRPr="001A2FD6">
        <w:rPr>
          <w:rFonts w:ascii="Verdana" w:hAnsi="Verdana"/>
          <w:iCs/>
          <w:color w:val="000000"/>
          <w:sz w:val="20"/>
          <w:szCs w:val="20"/>
          <w:lang w:val="es-ES" w:eastAsia="es-CO"/>
        </w:rPr>
        <w:t xml:space="preserve">l tratamiento distinto que contiene la disposición demandada está constitucionalmente justificado y supera las exigencias de un juicio integrado de igualdad, de intensidad </w:t>
      </w:r>
      <w:r w:rsidRPr="001A2FD6">
        <w:rPr>
          <w:rFonts w:ascii="Verdana" w:hAnsi="Verdana"/>
          <w:i/>
          <w:color w:val="000000"/>
          <w:sz w:val="20"/>
          <w:szCs w:val="20"/>
          <w:lang w:val="es-ES" w:eastAsia="es-CO"/>
        </w:rPr>
        <w:t>leve</w:t>
      </w:r>
      <w:r w:rsidRPr="001A2FD6">
        <w:rPr>
          <w:rFonts w:ascii="Verdana" w:hAnsi="Verdana"/>
          <w:iCs/>
          <w:color w:val="000000"/>
          <w:sz w:val="20"/>
          <w:szCs w:val="20"/>
          <w:lang w:val="es-ES" w:eastAsia="es-CO"/>
        </w:rPr>
        <w:t>.</w:t>
      </w:r>
      <w:r w:rsidRPr="001A2FD6">
        <w:rPr>
          <w:rFonts w:ascii="Verdana" w:hAnsi="Verdana"/>
          <w:color w:val="000000"/>
          <w:sz w:val="20"/>
          <w:szCs w:val="20"/>
          <w:lang w:val="es-ES" w:eastAsia="es-CO"/>
        </w:rPr>
        <w:t xml:space="preserve"> Por tal razón, la Sala declarará la exequibilidad simple del inciso tercero del </w:t>
      </w:r>
      <w:r w:rsidRPr="001A2FD6">
        <w:rPr>
          <w:rFonts w:ascii="Verdana" w:hAnsi="Verdana"/>
          <w:color w:val="000000"/>
          <w:sz w:val="20"/>
          <w:szCs w:val="20"/>
          <w:lang w:val="es-ES_tradnl" w:eastAsia="es-CO"/>
        </w:rPr>
        <w:t>artículo 49 de la Ley 617 de 200</w:t>
      </w:r>
      <w:r w:rsidRPr="001A2FD6">
        <w:rPr>
          <w:rFonts w:ascii="Verdana" w:hAnsi="Verdana"/>
          <w:color w:val="000000"/>
          <w:sz w:val="20"/>
          <w:szCs w:val="20"/>
          <w:lang w:eastAsia="es-CO"/>
        </w:rPr>
        <w:t xml:space="preserve">0, </w:t>
      </w:r>
      <w:r w:rsidRPr="001A2FD6">
        <w:rPr>
          <w:rFonts w:ascii="Verdana" w:hAnsi="Verdana"/>
          <w:color w:val="000000"/>
          <w:sz w:val="20"/>
          <w:szCs w:val="20"/>
          <w:lang w:val="es-ES_tradnl" w:eastAsia="es-CO"/>
        </w:rPr>
        <w:t>en los términos en que fue modificado por el artículo 1 de la Ley 1296 de 2009</w:t>
      </w:r>
      <w:r w:rsidRPr="001A2FD6">
        <w:rPr>
          <w:rFonts w:ascii="Verdana" w:hAnsi="Verdana"/>
          <w:color w:val="000000"/>
          <w:sz w:val="20"/>
          <w:szCs w:val="20"/>
          <w:lang w:eastAsia="es-CO"/>
        </w:rPr>
        <w:t xml:space="preserve">. En todo caso, reiterará las precisiones que, en relación con el alcance de la disposición que es objeto de cuestionamiento, realizó la Sala en la Sentencia C-348 de 2004, a partir de los fundamentos de la Sentencia C-618 de 1997, y que fueron reiteradas en los siguientes términos en la Sentencia C-106 de 2018, razones que también integran el fundamento del </w:t>
      </w:r>
      <w:r w:rsidRPr="001A2FD6">
        <w:rPr>
          <w:rFonts w:ascii="Verdana" w:hAnsi="Verdana"/>
          <w:i/>
          <w:iCs/>
          <w:color w:val="000000"/>
          <w:sz w:val="20"/>
          <w:szCs w:val="20"/>
          <w:lang w:eastAsia="es-CO"/>
        </w:rPr>
        <w:t>decisum</w:t>
      </w:r>
      <w:r w:rsidRPr="001A2FD6">
        <w:rPr>
          <w:rFonts w:ascii="Verdana" w:hAnsi="Verdana"/>
          <w:color w:val="000000"/>
          <w:sz w:val="20"/>
          <w:szCs w:val="20"/>
          <w:lang w:eastAsia="es-CO"/>
        </w:rPr>
        <w:t xml:space="preserve"> de esta providencia:</w:t>
      </w:r>
    </w:p>
    <w:p w14:paraId="24979E04" w14:textId="77777777" w:rsidR="001A2FD6" w:rsidRPr="001A2FD6" w:rsidRDefault="001A2FD6" w:rsidP="001A2FD6">
      <w:pPr>
        <w:ind w:left="709" w:right="709" w:firstLine="708"/>
        <w:jc w:val="both"/>
        <w:rPr>
          <w:rFonts w:ascii="Verdana" w:hAnsi="Verdana"/>
          <w:color w:val="000000"/>
          <w:sz w:val="20"/>
          <w:szCs w:val="20"/>
          <w:lang w:eastAsia="es-CO"/>
        </w:rPr>
      </w:pPr>
    </w:p>
    <w:p w14:paraId="6795C55C" w14:textId="77777777" w:rsidR="001A2FD6" w:rsidRPr="001A2FD6" w:rsidRDefault="001A2FD6" w:rsidP="001A2FD6">
      <w:pPr>
        <w:ind w:left="709" w:right="709"/>
        <w:jc w:val="both"/>
        <w:rPr>
          <w:rFonts w:ascii="Verdana" w:hAnsi="Verdana"/>
          <w:color w:val="000000"/>
          <w:sz w:val="20"/>
          <w:szCs w:val="20"/>
          <w:lang w:eastAsia="es-CO"/>
        </w:rPr>
      </w:pPr>
      <w:r w:rsidRPr="001A2FD6">
        <w:rPr>
          <w:rFonts w:ascii="Verdana" w:hAnsi="Verdana"/>
          <w:color w:val="000000"/>
          <w:sz w:val="20"/>
          <w:szCs w:val="20"/>
          <w:lang w:eastAsia="es-CO"/>
        </w:rPr>
        <w:t>“[…] para garantizar la proporcionalidad, dicho fallo [hace referencia a la Sentencia C-348 de 2004] condicionó la exequibilidad de la norma [el artículo 49 de la Ley 617 de 2000] en el entendido de que</w:t>
      </w:r>
      <w:r w:rsidRPr="001A2FD6">
        <w:rPr>
          <w:rFonts w:ascii="Verdana" w:hAnsi="Verdana"/>
          <w:bCs/>
          <w:i/>
          <w:color w:val="000000"/>
          <w:sz w:val="20"/>
          <w:szCs w:val="20"/>
          <w:lang w:eastAsia="es-CO"/>
        </w:rPr>
        <w:t xml:space="preserve"> ‘las prohibiciones allí previstas surtan efectos únicamente dentro del ámbito territorial de competencias del respectivo diputado o concejal’. </w:t>
      </w:r>
      <w:r w:rsidRPr="001A2FD6">
        <w:rPr>
          <w:rFonts w:ascii="Verdana" w:hAnsi="Verdana"/>
          <w:bCs/>
          <w:color w:val="000000"/>
          <w:sz w:val="20"/>
          <w:szCs w:val="20"/>
          <w:lang w:eastAsia="es-CO"/>
        </w:rPr>
        <w:t>Además, decidió que ‘</w:t>
      </w:r>
      <w:r w:rsidRPr="001A2FD6">
        <w:rPr>
          <w:rFonts w:ascii="Verdana" w:hAnsi="Verdana"/>
          <w:bCs/>
          <w:i/>
          <w:color w:val="000000"/>
          <w:sz w:val="20"/>
          <w:szCs w:val="20"/>
          <w:lang w:eastAsia="es-CO"/>
        </w:rPr>
        <w:t xml:space="preserve">para evitar alcances irrazonables de las disposiciones acusadas, en el mismo sentido de lo señalado en la sentencia C-618 de 1997 </w:t>
      </w:r>
      <w:r w:rsidRPr="001A2FD6">
        <w:rPr>
          <w:rFonts w:ascii="Verdana" w:hAnsi="Verdana"/>
          <w:bCs/>
          <w:color w:val="000000"/>
          <w:sz w:val="20"/>
          <w:szCs w:val="20"/>
          <w:lang w:eastAsia="es-CO"/>
        </w:rPr>
        <w:t>(…),</w:t>
      </w:r>
      <w:r w:rsidRPr="001A2FD6">
        <w:rPr>
          <w:rFonts w:ascii="Verdana" w:hAnsi="Verdana"/>
          <w:bCs/>
          <w:i/>
          <w:color w:val="000000"/>
          <w:sz w:val="20"/>
          <w:szCs w:val="20"/>
          <w:lang w:eastAsia="es-CO"/>
        </w:rPr>
        <w:t xml:space="preserve"> ‘la Corte entiende que la disposición acusada no se aplica a aquellos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tal caso la inhabilidad sería totalmente irrazonable’</w:t>
      </w:r>
      <w:r w:rsidRPr="001A2FD6">
        <w:rPr>
          <w:rFonts w:ascii="Verdana" w:hAnsi="Verdana"/>
          <w:bCs/>
          <w:color w:val="000000"/>
          <w:sz w:val="20"/>
          <w:szCs w:val="20"/>
          <w:vertAlign w:val="superscript"/>
          <w:lang w:eastAsia="es-CO"/>
        </w:rPr>
        <w:footnoteReference w:id="37"/>
      </w:r>
      <w:r w:rsidRPr="001A2FD6">
        <w:rPr>
          <w:rFonts w:ascii="Verdana" w:hAnsi="Verdana"/>
          <w:bCs/>
          <w:color w:val="000000"/>
          <w:sz w:val="20"/>
          <w:szCs w:val="20"/>
          <w:lang w:eastAsia="es-CO"/>
        </w:rPr>
        <w:t>. Dichas precisiones constitucionales introducidas por la sentencia C-348 de 2004 siguen surtiendo efectos, a pesar que [sic] la misma norma se encuentra ahora en una disposición diferente</w:t>
      </w:r>
      <w:r w:rsidRPr="001A2FD6">
        <w:rPr>
          <w:rFonts w:ascii="Verdana" w:hAnsi="Verdana"/>
          <w:bCs/>
          <w:color w:val="000000"/>
          <w:sz w:val="20"/>
          <w:szCs w:val="20"/>
          <w:vertAlign w:val="superscript"/>
          <w:lang w:eastAsia="es-CO"/>
        </w:rPr>
        <w:footnoteReference w:id="38"/>
      </w:r>
      <w:r w:rsidRPr="001A2FD6">
        <w:rPr>
          <w:rFonts w:ascii="Verdana" w:hAnsi="Verdana"/>
          <w:bCs/>
          <w:color w:val="000000"/>
          <w:sz w:val="20"/>
          <w:szCs w:val="20"/>
          <w:lang w:eastAsia="es-CO"/>
        </w:rPr>
        <w:t>. Por lo tanto, no se hace necesario reiterar dichos condicionamientos, en la parte resolutiva de la presente sentencia” (cursivas del texto original).</w:t>
      </w:r>
    </w:p>
    <w:p w14:paraId="77C14651" w14:textId="77777777" w:rsidR="001A2FD6" w:rsidRPr="001A2FD6" w:rsidRDefault="001A2FD6" w:rsidP="001A2FD6">
      <w:pPr>
        <w:spacing w:line="276" w:lineRule="auto"/>
        <w:ind w:firstLine="708"/>
        <w:jc w:val="both"/>
        <w:rPr>
          <w:rFonts w:ascii="Verdana" w:eastAsia="Calibri" w:hAnsi="Verdana" w:cs="Arial"/>
          <w:sz w:val="22"/>
          <w:szCs w:val="22"/>
          <w:lang w:val="es-ES_tradnl" w:eastAsia="en-US"/>
        </w:rPr>
      </w:pPr>
    </w:p>
    <w:p w14:paraId="4CB380D8" w14:textId="77777777" w:rsidR="001A2FD6" w:rsidRPr="001A2FD6" w:rsidRDefault="001A2FD6" w:rsidP="001A2FD6">
      <w:pPr>
        <w:spacing w:after="120"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Se encuentra que el artículo 49, inciso tercero, de la Ley 617 de 2000, modificado por las Leyes 821 de 2003, 1148 de 2007 y 1296 de 2009, establece claramente la prohibición que los gobernadores, diputados, alcaldes y concejales </w:t>
      </w:r>
      <w:r w:rsidRPr="001A2FD6">
        <w:rPr>
          <w:rFonts w:ascii="Verdana" w:eastAsia="Calibri" w:hAnsi="Verdana" w:cs="Arial"/>
          <w:sz w:val="22"/>
          <w:szCs w:val="22"/>
          <w:lang w:val="es-ES_tradnl" w:eastAsia="en-US"/>
        </w:rPr>
        <w:lastRenderedPageBreak/>
        <w:t>celebren contratos para beneficiar a sus parientes hasta el cuarto grado de consanguinidad (</w:t>
      </w:r>
      <w:r w:rsidRPr="001A2FD6">
        <w:rPr>
          <w:rFonts w:ascii="Verdana" w:eastAsia="Calibri" w:hAnsi="Verdana" w:cs="Arial"/>
          <w:sz w:val="22"/>
          <w:szCs w:val="22"/>
          <w:lang w:eastAsia="en-US"/>
        </w:rPr>
        <w:t xml:space="preserve">el </w:t>
      </w:r>
      <w:r w:rsidRPr="001A2FD6">
        <w:rPr>
          <w:rFonts w:ascii="Verdana" w:eastAsia="Calibri" w:hAnsi="Verdana" w:cs="Arial"/>
          <w:bCs/>
          <w:sz w:val="22"/>
          <w:szCs w:val="22"/>
          <w:lang w:eastAsia="en-US"/>
        </w:rPr>
        <w:t>primer grado</w:t>
      </w:r>
      <w:r w:rsidRPr="001A2FD6">
        <w:rPr>
          <w:rFonts w:ascii="Verdana" w:eastAsia="Calibri" w:hAnsi="Verdana" w:cs="Arial"/>
          <w:sz w:val="22"/>
          <w:szCs w:val="22"/>
          <w:lang w:eastAsia="en-US"/>
        </w:rPr>
        <w:t xml:space="preserve"> son padres e hijos; el </w:t>
      </w:r>
      <w:r w:rsidRPr="001A2FD6">
        <w:rPr>
          <w:rFonts w:ascii="Verdana" w:eastAsia="Calibri" w:hAnsi="Verdana" w:cs="Arial"/>
          <w:bCs/>
          <w:sz w:val="22"/>
          <w:szCs w:val="22"/>
          <w:lang w:eastAsia="en-US"/>
        </w:rPr>
        <w:t>segundo</w:t>
      </w:r>
      <w:r w:rsidRPr="001A2FD6">
        <w:rPr>
          <w:rFonts w:ascii="Verdana" w:eastAsia="Calibri" w:hAnsi="Verdana" w:cs="Arial"/>
          <w:sz w:val="22"/>
          <w:szCs w:val="22"/>
          <w:lang w:eastAsia="en-US"/>
        </w:rPr>
        <w:t xml:space="preserve"> son hermanos, abuelos y nietos; el </w:t>
      </w:r>
      <w:r w:rsidRPr="001A2FD6">
        <w:rPr>
          <w:rFonts w:ascii="Verdana" w:eastAsia="Calibri" w:hAnsi="Verdana" w:cs="Arial"/>
          <w:bCs/>
          <w:sz w:val="22"/>
          <w:szCs w:val="22"/>
          <w:lang w:eastAsia="en-US"/>
        </w:rPr>
        <w:t xml:space="preserve">tercero </w:t>
      </w:r>
      <w:r w:rsidRPr="001A2FD6">
        <w:rPr>
          <w:rFonts w:ascii="Verdana" w:eastAsia="Calibri" w:hAnsi="Verdana" w:cs="Arial"/>
          <w:sz w:val="22"/>
          <w:szCs w:val="22"/>
          <w:lang w:eastAsia="en-US"/>
        </w:rPr>
        <w:t>incluye tíos, sobrinos, bisabuelos y bisnietos; y el </w:t>
      </w:r>
      <w:r w:rsidRPr="001A2FD6">
        <w:rPr>
          <w:rFonts w:ascii="Verdana" w:eastAsia="Calibri" w:hAnsi="Verdana" w:cs="Arial"/>
          <w:bCs/>
          <w:sz w:val="22"/>
          <w:szCs w:val="22"/>
          <w:lang w:eastAsia="en-US"/>
        </w:rPr>
        <w:t>cuarto</w:t>
      </w:r>
      <w:r w:rsidRPr="001A2FD6">
        <w:rPr>
          <w:rFonts w:ascii="Verdana" w:eastAsia="Calibri" w:hAnsi="Verdana" w:cs="Arial"/>
          <w:sz w:val="22"/>
          <w:szCs w:val="22"/>
          <w:lang w:eastAsia="en-US"/>
        </w:rPr>
        <w:t> son primos hermanos y tíos abuelos)</w:t>
      </w:r>
      <w:r w:rsidRPr="001A2FD6">
        <w:rPr>
          <w:rFonts w:ascii="Verdana" w:eastAsia="Calibri" w:hAnsi="Verdana" w:cs="Arial"/>
          <w:sz w:val="22"/>
          <w:szCs w:val="22"/>
          <w:lang w:val="es-ES_tradnl" w:eastAsia="en-US"/>
        </w:rPr>
        <w:t xml:space="preserve">, segundo de afinidad </w:t>
      </w:r>
      <w:r w:rsidRPr="001A2FD6">
        <w:rPr>
          <w:rFonts w:ascii="Verdana" w:eastAsia="Calibri" w:hAnsi="Verdana" w:cs="Arial"/>
          <w:sz w:val="22"/>
          <w:szCs w:val="22"/>
          <w:lang w:eastAsia="en-US"/>
        </w:rPr>
        <w:t xml:space="preserve"> (suegros, hijos de la cónyuge, abuelos del cónyuge, nietos del cónyuge, cuñados)</w:t>
      </w:r>
      <w:r w:rsidRPr="001A2FD6">
        <w:rPr>
          <w:rFonts w:ascii="Verdana" w:eastAsia="Calibri" w:hAnsi="Verdana" w:cs="Arial"/>
          <w:sz w:val="22"/>
          <w:szCs w:val="22"/>
          <w:lang w:val="es-ES_tradnl" w:eastAsia="en-US"/>
        </w:rPr>
        <w:t xml:space="preserve">, primera de civil, cónyuges y compañeros permanentes, directa o indirectamente. Dado que pueden actuar en calidad socios o representantes legales de la empresa que contrata con el departamento, distrito o municipio, o con sus entidades descentralizadas, la incompatibilidad aplica a quienes tengan ambas calidades. Esto en la medida que, conforme a lo explicado en este concepto, la norma prohíbe toda forma de gestión contractual directa o indirecta, esto es, encubierta realizada subrepticiamente a través de terceras personas, salvo </w:t>
      </w:r>
      <w:r w:rsidRPr="001A2FD6">
        <w:rPr>
          <w:rFonts w:ascii="Verdana" w:eastAsia="Calibri" w:hAnsi="Verdana" w:cs="Arial"/>
          <w:bCs/>
          <w:sz w:val="22"/>
          <w:szCs w:val="22"/>
          <w:lang w:eastAsia="en-US"/>
        </w:rPr>
        <w:t xml:space="preserve">a aquellos contratos por medio de los cuales la administración ofrece, en igualdad de condiciones, a todos los ciudadanos y personas, un determinado bien o servicio, en desarrollo de sus funciones constitucionales y legales, tal y como sucede por ejemplo, con la prestación de los servicios públicos, pues en tal caso la incompatibilidad es irrazonable, de acuerdo a lo expresado por la Corte Constitucional en las sentencias precitadas. </w:t>
      </w:r>
      <w:r w:rsidRPr="001A2FD6">
        <w:rPr>
          <w:rFonts w:ascii="Verdana" w:eastAsia="Calibri" w:hAnsi="Verdana" w:cs="Arial"/>
          <w:sz w:val="22"/>
          <w:szCs w:val="22"/>
          <w:lang w:val="es-ES_tradnl" w:eastAsia="en-US"/>
        </w:rPr>
        <w:t xml:space="preserve"> </w:t>
      </w:r>
    </w:p>
    <w:p w14:paraId="1D62BC35" w14:textId="77777777" w:rsidR="001A2FD6" w:rsidRPr="001A2FD6" w:rsidRDefault="001A2FD6" w:rsidP="001A2FD6">
      <w:pPr>
        <w:spacing w:after="120" w:line="276" w:lineRule="auto"/>
        <w:ind w:firstLine="708"/>
        <w:jc w:val="both"/>
        <w:rPr>
          <w:rFonts w:ascii="Verdana" w:eastAsia="Calibri" w:hAnsi="Verdana" w:cs="Arial"/>
          <w:sz w:val="22"/>
          <w:szCs w:val="22"/>
          <w:lang w:val="es-ES" w:eastAsia="en-US"/>
        </w:rPr>
      </w:pPr>
      <w:r w:rsidRPr="001A2FD6">
        <w:rPr>
          <w:rFonts w:ascii="Verdana" w:eastAsia="Calibri" w:hAnsi="Verdana" w:cs="Arial"/>
          <w:sz w:val="22"/>
          <w:szCs w:val="22"/>
          <w:lang w:val="es-ES" w:eastAsia="en-US"/>
        </w:rPr>
        <w:t>De conformidad con lo anterior, la existencia de reglas especiales para la financiación, aprobación, formalización y ejecución de proyectos con recursos del Sistema General de Regalías no implica que las actuaciones contractuales desarrolladas en este ámbito se encuentren exceptuadas de las inhabilidades, incompatibilidades y prohibiciones establecidas por la Constitución y la ley. En efecto, la especialidad de las disposiciones contenidas en la Ley 2056 de 2020 responde a las particularidades propias de la organización y funcionamiento del SGR y, en el caso de los proyectos de inversión de las comunidades NARP financiados con recursos provenientes de las Asignaciones Directas, comprende el procedimiento particular previsto en el artículo 101 para la formalización de la entrega del proyecto. Sin embargo, de dicha regulación no se desprende una excepción frente a las restricciones legales establecidas para contratar con las entidades estatales.</w:t>
      </w:r>
    </w:p>
    <w:p w14:paraId="6FDAF9A5"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En este sentido, la circunstancia de que el artículo 101 determine directamente los sujetos llamados a suscribir el convenio, así como su finalidad y la oportunidad para su celebración, no permite concluir que puedan desconocerse las limitaciones a la capacidad contractual previstas en otras disposiciones del ordenamiento jurídico. Una cosa es que, por disposición legal, </w:t>
      </w:r>
      <w:r w:rsidRPr="001A2FD6">
        <w:rPr>
          <w:rFonts w:ascii="Verdana" w:eastAsia="Calibri" w:hAnsi="Verdana" w:cs="Arial"/>
          <w:sz w:val="22"/>
          <w:szCs w:val="22"/>
          <w:lang w:val="es-ES_tradnl" w:eastAsia="en-US"/>
        </w:rPr>
        <w:lastRenderedPageBreak/>
        <w:t xml:space="preserve">la entidad territorial no deba adelantar un procedimiento competitivo para seleccionar a con quien suscribirá el convenio de formalización y otra distinta es que la persona llamada a concurrir a su celebración pueda hacerlo aun encontrándose incursa en una prohibición legal para contratar. Por ello, la especialidad del procedimiento establecido por la Ley 2056 de 2020 debe armonizarse con las normas que integran el régimen de inhabilidades e incompatibilidades, no solo las consagradas en la Ley 80 de 1993, sino también en las diferentes leyes que componen el ordenamiento jurídico. </w:t>
      </w:r>
    </w:p>
    <w:p w14:paraId="3EA81837" w14:textId="77777777" w:rsidR="001A2FD6" w:rsidRPr="001A2FD6" w:rsidRDefault="001A2FD6" w:rsidP="001A2FD6">
      <w:pPr>
        <w:spacing w:after="120" w:line="276" w:lineRule="auto"/>
        <w:ind w:firstLine="708"/>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 xml:space="preserve">Lo anterior resulta particularmente relevante frente al artículo 49 de la Ley 617 de 2000, cuyas restricciones forman parte de las limitaciones legales a la capacidad para contratar con el Estado. En concordancia con ello, el literal a) del numeral 1 del artículo 8 de la Ley 80 de 1993 dispone que no podrán participar en procedimientos de selección ni celebrar contratos con las entidades estatales quienes se encuentren inhabilitados para contratar por la Constitución y las leyes. De este modo, las prohibiciones establecidas por el artículo 49 de la Ley 617 de 2000 deben ser observadas cuando se configuren los presupuestos definidos por el legislador, incluso respecto de la contratación que tenga lugar en el marco de proyectos financiados con recursos del Sistema General de Regalías. </w:t>
      </w:r>
    </w:p>
    <w:p w14:paraId="51B5D7C3" w14:textId="77777777" w:rsidR="001A2FD6" w:rsidRPr="001A2FD6" w:rsidRDefault="001A2FD6" w:rsidP="001A2FD6">
      <w:pPr>
        <w:spacing w:line="276" w:lineRule="auto"/>
        <w:ind w:firstLine="709"/>
        <w:jc w:val="both"/>
        <w:rPr>
          <w:rFonts w:ascii="Verdana" w:eastAsia="Calibri" w:hAnsi="Verdana" w:cs="Arial"/>
          <w:sz w:val="22"/>
          <w:szCs w:val="22"/>
          <w:lang w:val="es-ES_tradnl" w:eastAsia="en-US"/>
        </w:rPr>
      </w:pPr>
      <w:r w:rsidRPr="001A2FD6">
        <w:rPr>
          <w:rFonts w:ascii="Verdana" w:eastAsia="Calibri" w:hAnsi="Verdana" w:cs="Arial"/>
          <w:sz w:val="22"/>
          <w:szCs w:val="22"/>
          <w:lang w:val="es-ES_tradnl" w:eastAsia="en-US"/>
        </w:rPr>
        <w:t>Por consiguiente, la procedencia de los recursos del Sistema General de Regalías no constituye un criterio que permita excluir la aplicación de las restricciones propias de la contratación estatal. Tampoco la regulación especial del convenio de formalización previsto en el artículo 101 de la Ley 2056 de 2020 puede entenderse como una excepción implícita al régimen de inhabilidades e incompatibilidades. Así las cosas, quienes intervengan en la celebración de estos convenios deberán observar las prohibiciones que resulten aplicables de acuerdo con la Constitución y la ley, para lo cual corresponderá verificar en cada caso concreto la configuración de los elementos que integran la respectiva causal, teniendo en cuenta que, por su naturaleza restrictiva, las inhabilidades e incompatibilidades son de interpretación taxativa y no pueden extenderse a supuestos distintos de los expresamente previstos por el legislador.</w:t>
      </w:r>
    </w:p>
    <w:p w14:paraId="48232F41" w14:textId="77777777" w:rsidR="001A2FD6" w:rsidRPr="001A2FD6" w:rsidRDefault="001A2FD6" w:rsidP="001A2FD6">
      <w:pPr>
        <w:spacing w:line="276" w:lineRule="auto"/>
        <w:jc w:val="both"/>
        <w:rPr>
          <w:rFonts w:ascii="Verdana" w:hAnsi="Verdana" w:cs="Arial"/>
          <w:sz w:val="22"/>
          <w:szCs w:val="22"/>
        </w:rPr>
      </w:pPr>
    </w:p>
    <w:p w14:paraId="08D89B2C" w14:textId="77777777" w:rsidR="001A2FD6" w:rsidRPr="001A2FD6" w:rsidRDefault="001A2FD6" w:rsidP="001A2FD6">
      <w:pPr>
        <w:tabs>
          <w:tab w:val="left" w:pos="709"/>
        </w:tabs>
        <w:spacing w:after="120" w:line="276" w:lineRule="auto"/>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 xml:space="preserve">v. Al margen de la explicación precedente debe advertirse que el análisis requerido para resolver problemas específicos en torno a la gestión contractual de las entidades públicas sobre las inhabilidades e incompatibilidades reguladas en el ordenamiento jurídico debe ser realizado por quienes tengan interés en </w:t>
      </w:r>
      <w:r w:rsidRPr="001A2FD6">
        <w:rPr>
          <w:rFonts w:ascii="Verdana" w:eastAsia="Calibri" w:hAnsi="Verdana" w:cs="Arial"/>
          <w:bCs/>
          <w:color w:val="000000" w:themeColor="text1"/>
          <w:sz w:val="22"/>
          <w:szCs w:val="22"/>
        </w:rPr>
        <w:lastRenderedPageBreak/>
        <w:t>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8C59031" w14:textId="77777777" w:rsidR="001A2FD6" w:rsidRPr="001A2FD6" w:rsidRDefault="001A2FD6" w:rsidP="001A2FD6">
      <w:pPr>
        <w:tabs>
          <w:tab w:val="left" w:pos="709"/>
        </w:tabs>
        <w:spacing w:line="276" w:lineRule="auto"/>
        <w:jc w:val="both"/>
        <w:rPr>
          <w:rFonts w:ascii="Verdana" w:eastAsia="Calibri" w:hAnsi="Verdana" w:cs="Arial"/>
          <w:bCs/>
          <w:color w:val="000000" w:themeColor="text1"/>
          <w:sz w:val="22"/>
          <w:szCs w:val="22"/>
        </w:rPr>
      </w:pPr>
      <w:r w:rsidRPr="001A2FD6">
        <w:rPr>
          <w:rFonts w:ascii="Verdana" w:eastAsia="Calibri" w:hAnsi="Verdana" w:cs="Arial"/>
          <w:bCs/>
          <w:color w:val="000000" w:themeColor="text1"/>
          <w:sz w:val="22"/>
          <w:szCs w:val="22"/>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E39A442" w14:textId="77777777" w:rsidR="001A2FD6" w:rsidRPr="001A2FD6" w:rsidRDefault="001A2FD6" w:rsidP="001A2FD6">
      <w:pPr>
        <w:tabs>
          <w:tab w:val="left" w:pos="709"/>
        </w:tabs>
        <w:jc w:val="both"/>
        <w:rPr>
          <w:rFonts w:ascii="Verdana" w:eastAsia="Calibri" w:hAnsi="Verdana" w:cs="Arial"/>
          <w:color w:val="000000" w:themeColor="text1"/>
          <w:sz w:val="22"/>
          <w:szCs w:val="22"/>
        </w:rPr>
      </w:pPr>
    </w:p>
    <w:p w14:paraId="145F4694" w14:textId="77777777" w:rsidR="001A2FD6" w:rsidRPr="001A2FD6" w:rsidRDefault="001A2FD6" w:rsidP="001A2FD6">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1A2FD6">
        <w:rPr>
          <w:rFonts w:ascii="Verdana" w:eastAsia="Century Gothic" w:hAnsi="Verdana" w:cs="Century Gothic"/>
          <w:b/>
          <w:bCs/>
          <w:sz w:val="22"/>
          <w:szCs w:val="22"/>
          <w:lang w:val="es-ES"/>
        </w:rPr>
        <w:t>Referencias normativas:</w:t>
      </w:r>
    </w:p>
    <w:p w14:paraId="26236400" w14:textId="77777777" w:rsidR="001A2FD6" w:rsidRPr="001A2FD6" w:rsidRDefault="001A2FD6" w:rsidP="001A2FD6">
      <w:pPr>
        <w:widowControl w:val="0"/>
        <w:autoSpaceDE w:val="0"/>
        <w:autoSpaceDN w:val="0"/>
        <w:jc w:val="both"/>
        <w:rPr>
          <w:rFonts w:ascii="Verdana" w:hAnsi="Verdana" w:cs="Arial"/>
          <w:sz w:val="22"/>
          <w:szCs w:val="22"/>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A2FD6" w:rsidRPr="001A2FD6" w14:paraId="7AF6F0FE" w14:textId="77777777" w:rsidTr="00B46413">
        <w:trPr>
          <w:trHeight w:val="56"/>
          <w:jc w:val="center"/>
        </w:trPr>
        <w:tc>
          <w:tcPr>
            <w:tcW w:w="8647" w:type="dxa"/>
          </w:tcPr>
          <w:p w14:paraId="36C00B5F" w14:textId="77777777" w:rsidR="001A2FD6" w:rsidRPr="001A2FD6" w:rsidRDefault="001A2FD6" w:rsidP="001A2FD6">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1A2FD6">
              <w:rPr>
                <w:rFonts w:ascii="Verdana" w:hAnsi="Verdana" w:cs="Arial"/>
                <w:sz w:val="22"/>
                <w:szCs w:val="22"/>
                <w:lang w:val="es-ES"/>
              </w:rPr>
              <w:t xml:space="preserve">Ley 153 de 1887, artículo 2. </w:t>
            </w:r>
          </w:p>
          <w:p w14:paraId="00811E45" w14:textId="77777777" w:rsidR="001A2FD6" w:rsidRPr="001A2FD6" w:rsidRDefault="001A2FD6" w:rsidP="001A2FD6">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1A2FD6">
              <w:rPr>
                <w:rFonts w:ascii="Verdana" w:hAnsi="Verdana" w:cs="Arial"/>
                <w:sz w:val="22"/>
                <w:szCs w:val="22"/>
                <w:lang w:val="es-ES"/>
              </w:rPr>
              <w:t xml:space="preserve">Ley 80 de 1993: artículos 6, 8, 9, 13, 32, 40. </w:t>
            </w:r>
          </w:p>
          <w:p w14:paraId="7472FFF9"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Decreto 770 de 2005, artículos 4 y 33 </w:t>
            </w:r>
          </w:p>
          <w:p w14:paraId="7AD2FB86"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Decreto 785, artículos 3 y 4. </w:t>
            </w:r>
          </w:p>
          <w:p w14:paraId="0B084A08"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Ley 617 de 2010, artículo 49. </w:t>
            </w:r>
          </w:p>
          <w:p w14:paraId="580CBC3E"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Ley 821 de 2003, artículo 1. </w:t>
            </w:r>
          </w:p>
          <w:p w14:paraId="7B9E7E39"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Ley 1148 de 2007, artículo 1. </w:t>
            </w:r>
          </w:p>
          <w:p w14:paraId="0A5D3989" w14:textId="77777777" w:rsidR="001A2FD6" w:rsidRPr="001A2FD6" w:rsidRDefault="001A2FD6" w:rsidP="001A2FD6">
            <w:pPr>
              <w:numPr>
                <w:ilvl w:val="0"/>
                <w:numId w:val="21"/>
              </w:numPr>
              <w:spacing w:before="120" w:after="120" w:line="276" w:lineRule="auto"/>
              <w:ind w:left="726" w:hanging="357"/>
              <w:jc w:val="both"/>
              <w:rPr>
                <w:rFonts w:ascii="Verdana" w:hAnsi="Verdana" w:cs="Arial"/>
                <w:sz w:val="22"/>
                <w:szCs w:val="22"/>
                <w:lang w:val="es-ES"/>
              </w:rPr>
            </w:pPr>
            <w:r w:rsidRPr="001A2FD6">
              <w:rPr>
                <w:rFonts w:ascii="Verdana" w:hAnsi="Verdana" w:cs="Arial"/>
                <w:sz w:val="22"/>
                <w:szCs w:val="22"/>
                <w:lang w:val="es-ES"/>
              </w:rPr>
              <w:t xml:space="preserve">Ley 1150 de 2007, artículo2. </w:t>
            </w:r>
          </w:p>
          <w:p w14:paraId="3574F4BE" w14:textId="77777777" w:rsidR="001A2FD6" w:rsidRPr="001A2FD6" w:rsidRDefault="001A2FD6" w:rsidP="001A2FD6">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1A2FD6">
              <w:rPr>
                <w:rFonts w:ascii="Verdana" w:hAnsi="Verdana" w:cs="Arial"/>
                <w:sz w:val="22"/>
                <w:szCs w:val="22"/>
                <w:lang w:val="es-ES"/>
              </w:rPr>
              <w:t xml:space="preserve">Ley 1296 de 2009, artículo 1. </w:t>
            </w:r>
          </w:p>
          <w:p w14:paraId="62DDEACC" w14:textId="77777777" w:rsidR="001A2FD6" w:rsidRPr="001A2FD6" w:rsidRDefault="001A2FD6" w:rsidP="001A2FD6">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1A2FD6">
              <w:rPr>
                <w:rFonts w:ascii="Verdana" w:hAnsi="Verdana" w:cs="Arial"/>
                <w:sz w:val="22"/>
                <w:szCs w:val="22"/>
                <w:lang w:val="es-ES"/>
              </w:rPr>
              <w:t>Ley 2056 de 2020: artículos 37, 48, 71, 72, 88, 89, 94, 95, 96, 97, 98, 99, 100 y 101.</w:t>
            </w:r>
          </w:p>
          <w:p w14:paraId="768582C7" w14:textId="77777777" w:rsidR="001A2FD6" w:rsidRPr="001A2FD6" w:rsidRDefault="001A2FD6" w:rsidP="001A2FD6">
            <w:pPr>
              <w:widowControl w:val="0"/>
              <w:numPr>
                <w:ilvl w:val="0"/>
                <w:numId w:val="20"/>
              </w:numPr>
              <w:autoSpaceDE w:val="0"/>
              <w:autoSpaceDN w:val="0"/>
              <w:spacing w:after="120" w:line="276" w:lineRule="auto"/>
              <w:ind w:left="757"/>
              <w:jc w:val="both"/>
              <w:rPr>
                <w:rFonts w:ascii="Verdana" w:hAnsi="Verdana" w:cs="Arial"/>
                <w:sz w:val="22"/>
                <w:szCs w:val="22"/>
                <w:lang w:val="es-ES"/>
              </w:rPr>
            </w:pPr>
            <w:r w:rsidRPr="001A2FD6">
              <w:rPr>
                <w:rFonts w:ascii="Verdana" w:hAnsi="Verdana" w:cs="Arial"/>
                <w:sz w:val="22"/>
                <w:szCs w:val="22"/>
                <w:lang w:val="es-ES"/>
              </w:rPr>
              <w:t xml:space="preserve">Código Civil: artículos 28 y 1505. </w:t>
            </w:r>
          </w:p>
        </w:tc>
      </w:tr>
    </w:tbl>
    <w:p w14:paraId="6E884545" w14:textId="77777777" w:rsidR="001A2FD6" w:rsidRPr="001A2FD6" w:rsidRDefault="001A2FD6" w:rsidP="001A2FD6">
      <w:pPr>
        <w:widowControl w:val="0"/>
        <w:autoSpaceDE w:val="0"/>
        <w:autoSpaceDN w:val="0"/>
        <w:jc w:val="both"/>
        <w:rPr>
          <w:rFonts w:ascii="Verdana" w:hAnsi="Verdana" w:cs="Arial"/>
          <w:sz w:val="22"/>
          <w:szCs w:val="22"/>
        </w:rPr>
      </w:pPr>
    </w:p>
    <w:p w14:paraId="7CD651C9" w14:textId="77777777" w:rsidR="001A2FD6" w:rsidRPr="001A2FD6" w:rsidRDefault="001A2FD6" w:rsidP="001A2FD6">
      <w:pPr>
        <w:numPr>
          <w:ilvl w:val="0"/>
          <w:numId w:val="16"/>
        </w:numPr>
        <w:tabs>
          <w:tab w:val="left" w:pos="142"/>
          <w:tab w:val="left" w:pos="284"/>
        </w:tabs>
        <w:spacing w:after="160" w:line="259" w:lineRule="auto"/>
        <w:jc w:val="both"/>
        <w:rPr>
          <w:rFonts w:ascii="Verdana" w:eastAsia="Century Gothic" w:hAnsi="Verdana" w:cs="Century Gothic"/>
          <w:b/>
          <w:bCs/>
          <w:sz w:val="22"/>
          <w:szCs w:val="22"/>
          <w:lang w:val="es-ES"/>
        </w:rPr>
      </w:pPr>
      <w:r w:rsidRPr="001A2FD6">
        <w:rPr>
          <w:rFonts w:ascii="Verdana" w:eastAsia="Century Gothic" w:hAnsi="Verdana" w:cs="Century Gothic"/>
          <w:b/>
          <w:bCs/>
          <w:sz w:val="22"/>
          <w:szCs w:val="22"/>
          <w:lang w:val="es-ES"/>
        </w:rPr>
        <w:lastRenderedPageBreak/>
        <w:t>Doctrina de la Agencia Nacional de Contratación Pública:</w:t>
      </w:r>
    </w:p>
    <w:p w14:paraId="450C979C" w14:textId="77777777" w:rsidR="001A2FD6" w:rsidRPr="001A2FD6" w:rsidRDefault="001A2FD6" w:rsidP="001A2FD6">
      <w:pPr>
        <w:widowControl w:val="0"/>
        <w:autoSpaceDE w:val="0"/>
        <w:autoSpaceDN w:val="0"/>
        <w:jc w:val="both"/>
        <w:rPr>
          <w:rFonts w:ascii="Verdana" w:hAnsi="Verdana" w:cs="Arial"/>
          <w:sz w:val="22"/>
          <w:szCs w:val="22"/>
        </w:rPr>
      </w:pPr>
    </w:p>
    <w:p w14:paraId="0F2124CD" w14:textId="77777777" w:rsidR="001A2FD6" w:rsidRPr="001A2FD6" w:rsidRDefault="001A2FD6" w:rsidP="001A2FD6">
      <w:pPr>
        <w:widowControl w:val="0"/>
        <w:autoSpaceDE w:val="0"/>
        <w:autoSpaceDN w:val="0"/>
        <w:spacing w:line="276" w:lineRule="auto"/>
        <w:jc w:val="both"/>
        <w:rPr>
          <w:rFonts w:ascii="Verdana" w:eastAsiaTheme="minorHAnsi" w:hAnsi="Verdana" w:cs="Arial"/>
          <w:sz w:val="22"/>
          <w:szCs w:val="22"/>
          <w:shd w:val="clear" w:color="auto" w:fill="FFFFFF"/>
          <w:lang w:val="es-ES" w:eastAsia="en-US"/>
        </w:rPr>
      </w:pPr>
      <w:r w:rsidRPr="001A2FD6">
        <w:rPr>
          <w:rFonts w:ascii="Verdana" w:hAnsi="Verdana" w:cs="Arial"/>
          <w:sz w:val="22"/>
          <w:szCs w:val="22"/>
          <w:shd w:val="clear" w:color="auto" w:fill="FFFFFF"/>
        </w:rPr>
        <w:t xml:space="preserve">Esta Subdirección se ha pronunciado sobre el régimen de inhabilidades e incompatibilidades en los Conceptos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2024, C-1027 del 29 de enero de 2015, C-053 del 30 de enero de 2025, C-030 del 21 de febrero de 2025, C-344 del 28 de abril de 2025, C-434 del 14 de mayo de 2025, C-595 del 4 de junio de 2025 </w:t>
      </w:r>
      <w:r w:rsidRPr="001A2FD6">
        <w:rPr>
          <w:rFonts w:ascii="Verdana" w:eastAsia="Verdana" w:hAnsi="Verdana" w:cs="Verdana"/>
          <w:sz w:val="22"/>
          <w:szCs w:val="22"/>
        </w:rPr>
        <w:t xml:space="preserve">, C-1390 del 4 de noviembre de 2025, C-1447 del 16 de octubre de 2025, C-552 del 19 de mayo de 2026, C-1073 del 23 de julio de 2026, entre otros. </w:t>
      </w:r>
      <w:r w:rsidRPr="001A2FD6">
        <w:rPr>
          <w:rFonts w:ascii="Verdana" w:eastAsiaTheme="minorHAnsi" w:hAnsi="Verdana" w:cs="Arial"/>
          <w:sz w:val="22"/>
          <w:szCs w:val="22"/>
          <w:shd w:val="clear" w:color="auto" w:fill="FFFFFF"/>
          <w:lang w:val="es-ES" w:eastAsia="en-US"/>
        </w:rPr>
        <w:t xml:space="preserve">En torno a las inhabilidades e incompatibilidades el artículo 49 de la Ley 617 de 2000 se destaca los conceptos C- 293 del 28 de agosto de 2021, C-201 del 26 de marzo de 2025, C-1092 del 12 de septiembre de 2025, C-1111 del 11 de septiembre de 2025, C-1626 del 28 de diciembre de 2025, entre otros. </w:t>
      </w:r>
      <w:r w:rsidRPr="001A2FD6">
        <w:rPr>
          <w:rFonts w:ascii="Verdana" w:eastAsia="Calibri" w:hAnsi="Verdana"/>
          <w:sz w:val="22"/>
          <w:szCs w:val="22"/>
          <w:lang w:eastAsia="en-U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1A2FD6">
          <w:rPr>
            <w:rFonts w:ascii="Verdana" w:eastAsia="Calibri" w:hAnsi="Verdana"/>
            <w:color w:val="0000FF"/>
            <w:sz w:val="22"/>
            <w:szCs w:val="22"/>
            <w:u w:val="single"/>
            <w:lang w:val="es-ES" w:eastAsia="en-US"/>
          </w:rPr>
          <w:t>https://relatoria.colombiacompra.gov.co/busqueda/conceptos</w:t>
        </w:r>
      </w:hyperlink>
      <w:r w:rsidRPr="001A2FD6">
        <w:rPr>
          <w:rFonts w:ascii="Verdana" w:eastAsia="Calibri" w:hAnsi="Verdana"/>
          <w:sz w:val="22"/>
          <w:szCs w:val="22"/>
          <w:lang w:eastAsia="en-US"/>
        </w:rPr>
        <w:t xml:space="preserve">. </w:t>
      </w:r>
    </w:p>
    <w:p w14:paraId="058D79E2" w14:textId="77777777" w:rsidR="001A2FD6" w:rsidRPr="001A2FD6" w:rsidRDefault="001A2FD6" w:rsidP="001A2FD6">
      <w:pPr>
        <w:widowControl w:val="0"/>
        <w:autoSpaceDE w:val="0"/>
        <w:autoSpaceDN w:val="0"/>
        <w:spacing w:line="276" w:lineRule="auto"/>
        <w:jc w:val="both"/>
        <w:rPr>
          <w:rFonts w:ascii="Verdana" w:hAnsi="Verdana" w:cs="Arial"/>
          <w:color w:val="000000" w:themeColor="text1"/>
          <w:sz w:val="22"/>
          <w:szCs w:val="22"/>
          <w:shd w:val="clear" w:color="auto" w:fill="FFFFFF"/>
        </w:rPr>
      </w:pPr>
    </w:p>
    <w:p w14:paraId="1F89896D" w14:textId="77777777" w:rsidR="001A2FD6" w:rsidRPr="001A2FD6" w:rsidRDefault="001A2FD6" w:rsidP="001A2FD6">
      <w:pPr>
        <w:spacing w:line="276" w:lineRule="auto"/>
        <w:jc w:val="both"/>
        <w:rPr>
          <w:rFonts w:ascii="Verdana" w:hAnsi="Verdana"/>
          <w:color w:val="000000"/>
          <w:sz w:val="22"/>
          <w:szCs w:val="22"/>
          <w:lang w:eastAsia="es-MX"/>
        </w:rPr>
      </w:pPr>
      <w:r w:rsidRPr="001A2FD6">
        <w:rPr>
          <w:rFonts w:ascii="Verdana" w:hAnsi="Verdana"/>
          <w:color w:val="000000"/>
          <w:sz w:val="22"/>
          <w:szCs w:val="22"/>
          <w:lang w:eastAsia="es-MX"/>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A2FD6">
        <w:rPr>
          <w:rFonts w:ascii="Verdana" w:hAnsi="Verdana"/>
          <w:b/>
          <w:bCs/>
          <w:color w:val="000000"/>
          <w:sz w:val="22"/>
          <w:szCs w:val="22"/>
          <w:lang w:eastAsia="es-MX"/>
        </w:rPr>
        <w:t>Guía para la Exigencia y Constitución de Garantías en los Procesos de Contratación</w:t>
      </w:r>
      <w:r w:rsidRPr="001A2FD6">
        <w:rPr>
          <w:rFonts w:ascii="Verdana" w:hAnsi="Verdana"/>
          <w:color w:val="000000"/>
          <w:sz w:val="22"/>
          <w:szCs w:val="22"/>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1A2FD6">
          <w:rPr>
            <w:rFonts w:ascii="Verdana" w:hAnsi="Verdana"/>
            <w:color w:val="0086F0"/>
            <w:sz w:val="22"/>
            <w:szCs w:val="22"/>
            <w:u w:val="single"/>
            <w:lang w:eastAsia="es-MX"/>
          </w:rPr>
          <w:t>https://www.colombiacompra.gov.co/archivos/manual/guia-de-garantias-en-procesos-de-contratacion</w:t>
        </w:r>
      </w:hyperlink>
    </w:p>
    <w:p w14:paraId="7A69E885" w14:textId="77777777" w:rsidR="001A2FD6" w:rsidRPr="001A2FD6" w:rsidRDefault="001A2FD6" w:rsidP="001A2FD6">
      <w:pPr>
        <w:spacing w:line="276" w:lineRule="auto"/>
        <w:jc w:val="both"/>
        <w:rPr>
          <w:rFonts w:ascii="Verdana" w:hAnsi="Verdana"/>
          <w:color w:val="000000"/>
          <w:sz w:val="22"/>
          <w:szCs w:val="22"/>
          <w:lang w:eastAsia="es-MX"/>
        </w:rPr>
      </w:pPr>
    </w:p>
    <w:p w14:paraId="4C0A32EC" w14:textId="77777777" w:rsidR="001A2FD6" w:rsidRPr="001A2FD6" w:rsidRDefault="001A2FD6" w:rsidP="001A2FD6">
      <w:pPr>
        <w:spacing w:line="276" w:lineRule="auto"/>
        <w:jc w:val="both"/>
        <w:rPr>
          <w:rFonts w:ascii="Verdana" w:hAnsi="Verdana"/>
          <w:color w:val="000000"/>
          <w:sz w:val="22"/>
          <w:szCs w:val="22"/>
          <w:lang w:eastAsia="es-MX"/>
        </w:rPr>
      </w:pPr>
      <w:r w:rsidRPr="001A2FD6">
        <w:rPr>
          <w:rFonts w:ascii="Verdana" w:hAnsi="Verdana"/>
          <w:color w:val="000000"/>
          <w:sz w:val="22"/>
          <w:szCs w:val="22"/>
          <w:lang w:eastAsia="es-MX"/>
        </w:rPr>
        <w:t>De otro lado, te contamos que el Decreto 287 del 19 de marzo de 2026 sustituyó los artículos 2.2.1.2.4.2.6., 2.2.1.2.4.2.7. y 2.2.1.2.4.2.8. del Decreto 1082 de 2015 y estructuró el </w:t>
      </w:r>
      <w:r w:rsidRPr="001A2FD6">
        <w:rPr>
          <w:rFonts w:ascii="Verdana" w:hAnsi="Verdana"/>
          <w:b/>
          <w:bCs/>
          <w:color w:val="000000"/>
          <w:sz w:val="22"/>
          <w:szCs w:val="22"/>
          <w:lang w:eastAsia="es-MX"/>
        </w:rPr>
        <w:t>Sistema Integral de Preferencias en favor de las personas con discapacidad</w:t>
      </w:r>
      <w:r w:rsidRPr="001A2FD6">
        <w:rPr>
          <w:rFonts w:ascii="Verdana" w:hAnsi="Verdana"/>
          <w:color w:val="000000"/>
          <w:sz w:val="22"/>
          <w:szCs w:val="22"/>
          <w:lang w:eastAsia="es-MX"/>
        </w:rPr>
        <w:t>, en cumplimiento del artículo 13 de la Ley Estatutaria 1618 de 2013. Para orientar su aplicación, esta Agencia expidió la </w:t>
      </w:r>
      <w:r w:rsidRPr="001A2FD6">
        <w:rPr>
          <w:rFonts w:ascii="Verdana" w:hAnsi="Verdana"/>
          <w:b/>
          <w:bCs/>
          <w:color w:val="000000"/>
          <w:sz w:val="22"/>
          <w:szCs w:val="22"/>
          <w:lang w:eastAsia="es-MX"/>
        </w:rPr>
        <w:t>Circular Externa 003 del 12 de mayo de 2026, </w:t>
      </w:r>
      <w:r w:rsidRPr="001A2FD6">
        <w:rPr>
          <w:rFonts w:ascii="Verdana" w:hAnsi="Verdana"/>
          <w:color w:val="000000"/>
          <w:sz w:val="22"/>
          <w:szCs w:val="22"/>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1A2FD6">
          <w:rPr>
            <w:rFonts w:ascii="Verdana" w:hAnsi="Verdana"/>
            <w:color w:val="0086F0"/>
            <w:sz w:val="22"/>
            <w:szCs w:val="22"/>
            <w:u w:val="single"/>
            <w:lang w:eastAsia="es-MX"/>
          </w:rPr>
          <w:t>https://www.colombiacompra.gov.co/archivos/circular/circular-externa-003-de-2026</w:t>
        </w:r>
      </w:hyperlink>
    </w:p>
    <w:p w14:paraId="3E506445" w14:textId="77777777" w:rsidR="001A2FD6" w:rsidRPr="001A2FD6" w:rsidRDefault="001A2FD6" w:rsidP="001A2FD6">
      <w:pPr>
        <w:spacing w:line="276" w:lineRule="auto"/>
        <w:jc w:val="both"/>
        <w:rPr>
          <w:rFonts w:ascii="Verdana" w:hAnsi="Verdana"/>
          <w:color w:val="000000"/>
          <w:sz w:val="22"/>
          <w:szCs w:val="22"/>
          <w:lang w:eastAsia="es-MX"/>
        </w:rPr>
      </w:pPr>
    </w:p>
    <w:p w14:paraId="2D23916C" w14:textId="77777777" w:rsidR="001A2FD6" w:rsidRPr="001A2FD6" w:rsidRDefault="001A2FD6" w:rsidP="001A2FD6">
      <w:pPr>
        <w:spacing w:line="276" w:lineRule="auto"/>
        <w:jc w:val="both"/>
        <w:rPr>
          <w:rFonts w:ascii="Verdana" w:hAnsi="Verdana"/>
          <w:color w:val="000000"/>
          <w:sz w:val="22"/>
          <w:szCs w:val="22"/>
          <w:lang w:eastAsia="es-MX"/>
        </w:rPr>
      </w:pPr>
      <w:r w:rsidRPr="001A2FD6">
        <w:rPr>
          <w:rFonts w:ascii="Verdana" w:hAnsi="Verdana"/>
          <w:color w:val="000000"/>
          <w:sz w:val="22"/>
          <w:szCs w:val="22"/>
          <w:lang w:eastAsia="es-MX"/>
        </w:rPr>
        <w:t>Recuerda también que la</w:t>
      </w:r>
      <w:r w:rsidRPr="001A2FD6">
        <w:rPr>
          <w:rFonts w:ascii="Verdana" w:hAnsi="Verdana"/>
          <w:b/>
          <w:bCs/>
          <w:color w:val="000000"/>
          <w:sz w:val="22"/>
          <w:szCs w:val="22"/>
          <w:lang w:eastAsia="es-MX"/>
        </w:rPr>
        <w:t> información sobre sanciones e inhabilidades </w:t>
      </w:r>
      <w:r w:rsidRPr="001A2FD6">
        <w:rPr>
          <w:rFonts w:ascii="Verdana" w:hAnsi="Verdana"/>
          <w:color w:val="000000"/>
          <w:sz w:val="22"/>
          <w:szCs w:val="22"/>
          <w:lang w:eastAsia="es-MX"/>
        </w:rPr>
        <w:t>solo cumple su función preventiva si llega oportunamente a los registros públicos. Sobre este deber, esta Agencia expidió la </w:t>
      </w:r>
      <w:r w:rsidRPr="001A2FD6">
        <w:rPr>
          <w:rFonts w:ascii="Verdana" w:hAnsi="Verdana"/>
          <w:b/>
          <w:bCs/>
          <w:color w:val="000000"/>
          <w:sz w:val="22"/>
          <w:szCs w:val="22"/>
          <w:lang w:eastAsia="es-MX"/>
        </w:rPr>
        <w:t>Circular Externa 002 del 5 de mayo de 2026,</w:t>
      </w:r>
      <w:r w:rsidRPr="001A2FD6">
        <w:rPr>
          <w:rFonts w:ascii="Verdana" w:hAnsi="Verdana"/>
          <w:color w:val="000000"/>
          <w:sz w:val="22"/>
          <w:szCs w:val="22"/>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1A2FD6">
          <w:rPr>
            <w:rFonts w:ascii="Verdana" w:hAnsi="Verdana"/>
            <w:color w:val="0086F0"/>
            <w:sz w:val="22"/>
            <w:szCs w:val="22"/>
            <w:u w:val="single"/>
            <w:lang w:eastAsia="es-MX"/>
          </w:rPr>
          <w:t>https://www.colombiacompra.gov.co/archivos/circular/circular-externa-002-de-2026</w:t>
        </w:r>
      </w:hyperlink>
    </w:p>
    <w:p w14:paraId="488E945B" w14:textId="77777777" w:rsidR="001A2FD6" w:rsidRPr="001A2FD6" w:rsidRDefault="001A2FD6" w:rsidP="001A2FD6">
      <w:pPr>
        <w:spacing w:line="276" w:lineRule="auto"/>
        <w:jc w:val="both"/>
        <w:rPr>
          <w:rFonts w:ascii="Verdana" w:hAnsi="Verdana"/>
          <w:color w:val="000000"/>
          <w:sz w:val="22"/>
          <w:szCs w:val="22"/>
          <w:lang w:eastAsia="es-MX"/>
        </w:rPr>
      </w:pPr>
    </w:p>
    <w:p w14:paraId="20DE42C6" w14:textId="77777777" w:rsidR="001A2FD6" w:rsidRPr="001A2FD6" w:rsidRDefault="001A2FD6" w:rsidP="001A2FD6">
      <w:pPr>
        <w:spacing w:line="276" w:lineRule="auto"/>
        <w:jc w:val="both"/>
        <w:rPr>
          <w:rFonts w:ascii="Aptos" w:hAnsi="Aptos"/>
          <w:color w:val="000000"/>
          <w:sz w:val="22"/>
          <w:szCs w:val="22"/>
          <w:lang w:eastAsia="es-MX"/>
        </w:rPr>
      </w:pPr>
      <w:r w:rsidRPr="001A2FD6">
        <w:rPr>
          <w:rFonts w:ascii="Verdana" w:hAnsi="Verdana"/>
          <w:color w:val="000000"/>
          <w:sz w:val="22"/>
          <w:szCs w:val="22"/>
          <w:lang w:eastAsia="es-MX"/>
        </w:rPr>
        <w:lastRenderedPageBreak/>
        <w:t>Finalmente, si quieres seguir de cerca la actividad de la Agencia, la tercera edición de 2026 del</w:t>
      </w:r>
      <w:r w:rsidRPr="001A2FD6">
        <w:rPr>
          <w:rFonts w:ascii="Verdana" w:hAnsi="Verdana"/>
          <w:b/>
          <w:bCs/>
          <w:color w:val="000000"/>
          <w:sz w:val="22"/>
          <w:szCs w:val="22"/>
          <w:lang w:eastAsia="es-MX"/>
        </w:rPr>
        <w:t> Radar de la Compra Pública</w:t>
      </w:r>
      <w:r w:rsidRPr="001A2FD6">
        <w:rPr>
          <w:rFonts w:ascii="Verdana" w:hAnsi="Verdana"/>
          <w:color w:val="000000"/>
          <w:sz w:val="22"/>
          <w:szCs w:val="22"/>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1A2FD6">
          <w:rPr>
            <w:rFonts w:ascii="Verdana" w:hAnsi="Verdana"/>
            <w:color w:val="0086F0"/>
            <w:sz w:val="22"/>
            <w:szCs w:val="22"/>
            <w:u w:val="single"/>
            <w:lang w:eastAsia="es-MX"/>
          </w:rPr>
          <w:t>https://www.colombiacompra.gov.co/archivos/boletin/boletin-edicion-n-3-de-2026-radar-de-la-compra-publica</w:t>
        </w:r>
      </w:hyperlink>
    </w:p>
    <w:p w14:paraId="09B465FF" w14:textId="77777777" w:rsidR="001A2FD6" w:rsidRPr="001A2FD6" w:rsidRDefault="001A2FD6" w:rsidP="001A2FD6">
      <w:pPr>
        <w:shd w:val="clear" w:color="auto" w:fill="FFFFFF"/>
        <w:spacing w:line="276" w:lineRule="auto"/>
        <w:jc w:val="both"/>
        <w:rPr>
          <w:rFonts w:ascii="Verdana" w:hAnsi="Verdana"/>
          <w:color w:val="000000"/>
          <w:sz w:val="22"/>
          <w:szCs w:val="22"/>
          <w:u w:val="single"/>
        </w:rPr>
      </w:pPr>
    </w:p>
    <w:p w14:paraId="68B9A6B9" w14:textId="77777777" w:rsidR="001A2FD6" w:rsidRPr="001A2FD6" w:rsidRDefault="001A2FD6" w:rsidP="001A2FD6">
      <w:pPr>
        <w:spacing w:line="276" w:lineRule="auto"/>
        <w:jc w:val="both"/>
        <w:rPr>
          <w:rFonts w:ascii="Verdana" w:hAnsi="Verdana"/>
          <w:sz w:val="22"/>
          <w:szCs w:val="22"/>
        </w:rPr>
      </w:pPr>
      <w:r w:rsidRPr="001A2FD6">
        <w:rPr>
          <w:rFonts w:ascii="Verdana" w:hAnsi="Verdana"/>
          <w:sz w:val="22"/>
          <w:szCs w:val="22"/>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53E052A" w14:textId="77777777" w:rsidR="001A2FD6" w:rsidRPr="001A2FD6" w:rsidRDefault="001A2FD6" w:rsidP="001A2FD6">
      <w:pPr>
        <w:spacing w:line="276" w:lineRule="auto"/>
        <w:jc w:val="both"/>
        <w:rPr>
          <w:rFonts w:ascii="Verdana" w:hAnsi="Verdana"/>
          <w:sz w:val="22"/>
          <w:szCs w:val="22"/>
        </w:rPr>
      </w:pPr>
    </w:p>
    <w:p w14:paraId="2758DCB3" w14:textId="77777777" w:rsidR="001A2FD6" w:rsidRPr="001A2FD6" w:rsidRDefault="001A2FD6" w:rsidP="001A2FD6">
      <w:pPr>
        <w:numPr>
          <w:ilvl w:val="0"/>
          <w:numId w:val="15"/>
        </w:numPr>
        <w:spacing w:after="160" w:line="276" w:lineRule="auto"/>
        <w:jc w:val="both"/>
        <w:rPr>
          <w:rFonts w:ascii="Verdana" w:eastAsia="Verdana" w:hAnsi="Verdana" w:cs="Verdana"/>
          <w:color w:val="4472C4" w:themeColor="accent1"/>
          <w:sz w:val="22"/>
          <w:szCs w:val="22"/>
          <w:u w:val="single"/>
          <w:lang w:val="es-MX"/>
        </w:rPr>
      </w:pPr>
      <w:r w:rsidRPr="001A2FD6">
        <w:rPr>
          <w:rFonts w:ascii="Verdana" w:eastAsia="Verdana" w:hAnsi="Verdana" w:cs="Verdana"/>
          <w:sz w:val="22"/>
          <w:szCs w:val="22"/>
          <w:lang w:val="es-MX"/>
        </w:rPr>
        <w:t xml:space="preserve">Línea nacional gratuita o servicio a la ciudadanía (Mesa de servicio): </w:t>
      </w:r>
      <w:r w:rsidRPr="001A2FD6">
        <w:rPr>
          <w:rFonts w:ascii="Verdana" w:hAnsi="Verdana"/>
          <w:color w:val="0000FF"/>
          <w:sz w:val="22"/>
          <w:szCs w:val="22"/>
          <w:u w:val="single"/>
          <w:lang w:val="es-ES"/>
        </w:rPr>
        <w:t>01800 0520808</w:t>
      </w:r>
    </w:p>
    <w:p w14:paraId="17177A99" w14:textId="77777777" w:rsidR="001A2FD6" w:rsidRPr="001A2FD6" w:rsidRDefault="001A2FD6" w:rsidP="001A2FD6">
      <w:pPr>
        <w:numPr>
          <w:ilvl w:val="0"/>
          <w:numId w:val="15"/>
        </w:numPr>
        <w:spacing w:after="160" w:line="276" w:lineRule="auto"/>
        <w:rPr>
          <w:rFonts w:ascii="Verdana" w:eastAsia="Verdana" w:hAnsi="Verdana" w:cs="Verdana"/>
          <w:color w:val="4472C4" w:themeColor="accent1"/>
          <w:sz w:val="22"/>
          <w:szCs w:val="22"/>
          <w:u w:val="single"/>
          <w:lang w:val="es-MX"/>
        </w:rPr>
      </w:pPr>
      <w:r w:rsidRPr="001A2FD6">
        <w:rPr>
          <w:rFonts w:ascii="Verdana" w:eastAsia="Verdana" w:hAnsi="Verdana" w:cs="Verdana"/>
          <w:sz w:val="22"/>
          <w:szCs w:val="22"/>
          <w:lang w:val="es-MX"/>
        </w:rPr>
        <w:t>Línea en Bogotá (Mesa de servicio):</w:t>
      </w:r>
      <w:r w:rsidRPr="001A2FD6">
        <w:rPr>
          <w:rFonts w:ascii="Verdana" w:hAnsi="Verdana"/>
          <w:color w:val="0000FF"/>
          <w:sz w:val="22"/>
          <w:szCs w:val="22"/>
          <w:u w:val="single"/>
          <w:lang w:val="es-ES"/>
        </w:rPr>
        <w:t>+57 601 7456788</w:t>
      </w:r>
    </w:p>
    <w:p w14:paraId="7AC70291" w14:textId="77777777" w:rsidR="001A2FD6" w:rsidRPr="001A2FD6" w:rsidRDefault="001A2FD6" w:rsidP="001A2FD6">
      <w:pPr>
        <w:numPr>
          <w:ilvl w:val="0"/>
          <w:numId w:val="15"/>
        </w:numPr>
        <w:spacing w:after="160" w:line="276" w:lineRule="auto"/>
        <w:rPr>
          <w:rFonts w:ascii="Verdana" w:eastAsia="Verdana" w:hAnsi="Verdana" w:cs="Verdana"/>
          <w:color w:val="0000FF"/>
          <w:sz w:val="22"/>
          <w:szCs w:val="22"/>
          <w:u w:val="single"/>
          <w:lang w:val="es-MX"/>
        </w:rPr>
      </w:pPr>
      <w:r w:rsidRPr="001A2FD6">
        <w:rPr>
          <w:rFonts w:ascii="Verdana" w:eastAsia="Verdana" w:hAnsi="Verdana" w:cs="Verdana"/>
          <w:sz w:val="22"/>
          <w:szCs w:val="22"/>
          <w:lang w:val="es-MX"/>
        </w:rPr>
        <w:t xml:space="preserve">Correo de radicación de correspondencia: </w:t>
      </w:r>
      <w:hyperlink r:id="rId18">
        <w:r w:rsidRPr="001A2FD6">
          <w:rPr>
            <w:rFonts w:ascii="Verdana" w:eastAsia="Verdana" w:hAnsi="Verdana" w:cs="Verdana"/>
            <w:color w:val="0000FF"/>
            <w:sz w:val="22"/>
            <w:szCs w:val="22"/>
            <w:u w:val="single"/>
            <w:lang w:val="es-MX"/>
          </w:rPr>
          <w:t>ventanilladeradicacion@colombiacompra.gov.co</w:t>
        </w:r>
      </w:hyperlink>
    </w:p>
    <w:p w14:paraId="3FBA5D5A" w14:textId="77777777" w:rsidR="001A2FD6" w:rsidRPr="001A2FD6" w:rsidRDefault="001A2FD6" w:rsidP="001A2FD6">
      <w:pPr>
        <w:numPr>
          <w:ilvl w:val="0"/>
          <w:numId w:val="15"/>
        </w:numPr>
        <w:spacing w:after="160" w:line="276" w:lineRule="auto"/>
        <w:rPr>
          <w:rFonts w:ascii="Verdana" w:eastAsia="Verdana" w:hAnsi="Verdana" w:cs="Verdana"/>
          <w:color w:val="0000FF"/>
          <w:sz w:val="22"/>
          <w:szCs w:val="22"/>
          <w:u w:val="single"/>
          <w:lang w:val="es-MX"/>
        </w:rPr>
      </w:pPr>
      <w:r w:rsidRPr="001A2FD6">
        <w:rPr>
          <w:rFonts w:ascii="Verdana" w:eastAsia="Verdana" w:hAnsi="Verdana" w:cs="Verdana"/>
          <w:sz w:val="22"/>
          <w:szCs w:val="22"/>
          <w:lang w:val="es-ES"/>
        </w:rPr>
        <w:t>Formulario web para</w:t>
      </w:r>
      <w:r w:rsidRPr="001A2FD6">
        <w:rPr>
          <w:rFonts w:ascii="Verdana" w:eastAsia="Verdana" w:hAnsi="Verdana" w:cs="Verdana"/>
          <w:sz w:val="22"/>
          <w:szCs w:val="22"/>
          <w:lang w:val="es"/>
        </w:rPr>
        <w:t xml:space="preserve"> PQRSD: </w:t>
      </w:r>
      <w:hyperlink r:id="rId19">
        <w:r w:rsidRPr="001A2FD6">
          <w:rPr>
            <w:rFonts w:ascii="Verdana" w:eastAsia="Verdana" w:hAnsi="Verdana" w:cs="Verdana"/>
            <w:color w:val="0000FF"/>
            <w:sz w:val="22"/>
            <w:szCs w:val="22"/>
            <w:u w:val="single"/>
            <w:lang w:val="es-MX"/>
          </w:rPr>
          <w:t>https://www.colombiacompra.gov.co/pqrsd/informacion-importante-antes-de-formular-una-pqrsd</w:t>
        </w:r>
      </w:hyperlink>
    </w:p>
    <w:p w14:paraId="6B9C1617" w14:textId="77777777" w:rsidR="001A2FD6" w:rsidRPr="001A2FD6" w:rsidRDefault="001A2FD6" w:rsidP="001A2FD6">
      <w:pPr>
        <w:spacing w:line="276" w:lineRule="auto"/>
        <w:ind w:left="720"/>
        <w:jc w:val="both"/>
        <w:rPr>
          <w:rFonts w:ascii="Verdana" w:hAnsi="Verdana"/>
          <w:sz w:val="22"/>
          <w:szCs w:val="22"/>
        </w:rPr>
      </w:pPr>
    </w:p>
    <w:p w14:paraId="5E086CBC" w14:textId="77777777" w:rsidR="001A2FD6" w:rsidRPr="001A2FD6" w:rsidRDefault="001A2FD6" w:rsidP="001A2FD6">
      <w:pPr>
        <w:spacing w:line="276" w:lineRule="auto"/>
        <w:rPr>
          <w:rFonts w:ascii="Verdana" w:hAnsi="Verdana"/>
          <w:sz w:val="22"/>
          <w:szCs w:val="22"/>
        </w:rPr>
      </w:pPr>
      <w:r w:rsidRPr="001A2FD6">
        <w:rPr>
          <w:rFonts w:ascii="Verdana" w:hAnsi="Verdana"/>
          <w:sz w:val="22"/>
          <w:szCs w:val="22"/>
        </w:rPr>
        <w:t>Evalúa el servicio que ofrece la Agencia por el canal de atención de PQRSD en el siguiente enlace :</w:t>
      </w:r>
      <w:hyperlink r:id="rId20" w:tgtFrame="_blank" w:tooltip="https://forms.office.com/r/pphywvs2sz" w:history="1">
        <w:r w:rsidRPr="001A2FD6">
          <w:rPr>
            <w:rFonts w:ascii="Verdana" w:hAnsi="Verdana"/>
            <w:color w:val="0000FF"/>
            <w:sz w:val="22"/>
            <w:szCs w:val="22"/>
            <w:u w:val="single"/>
          </w:rPr>
          <w:t>https://forms.office.com/r/pPHyWVs2SZ</w:t>
        </w:r>
      </w:hyperlink>
      <w:r w:rsidRPr="001A2FD6">
        <w:rPr>
          <w:rFonts w:ascii="Verdana" w:hAnsi="Verdana"/>
          <w:sz w:val="22"/>
          <w:szCs w:val="22"/>
        </w:rPr>
        <w:t xml:space="preserve"> .¡Ayúdanos a mejorar porque el compromiso es de todos!</w:t>
      </w:r>
    </w:p>
    <w:p w14:paraId="04405638" w14:textId="77777777" w:rsidR="001A2FD6" w:rsidRPr="001A2FD6" w:rsidRDefault="001A2FD6" w:rsidP="001A2FD6">
      <w:pPr>
        <w:spacing w:line="276" w:lineRule="auto"/>
        <w:rPr>
          <w:rFonts w:ascii="Verdana" w:hAnsi="Verdana"/>
          <w:sz w:val="22"/>
          <w:szCs w:val="22"/>
        </w:rPr>
      </w:pPr>
    </w:p>
    <w:p w14:paraId="333867BA" w14:textId="77777777" w:rsidR="001A2FD6" w:rsidRPr="001A2FD6" w:rsidRDefault="001A2FD6" w:rsidP="001A2FD6">
      <w:pPr>
        <w:spacing w:line="276" w:lineRule="auto"/>
        <w:jc w:val="both"/>
        <w:rPr>
          <w:rFonts w:ascii="Verdana" w:hAnsi="Verdana"/>
          <w:sz w:val="22"/>
          <w:szCs w:val="22"/>
        </w:rPr>
      </w:pPr>
      <w:r w:rsidRPr="001A2FD6">
        <w:rPr>
          <w:rFonts w:ascii="Verdana" w:hAnsi="Verdana"/>
          <w:sz w:val="22"/>
          <w:szCs w:val="22"/>
        </w:rPr>
        <w:t xml:space="preserve">Por último, lo invitamos a seguirnos en las redes sociales en las cuales se difunde información institucional: </w:t>
      </w:r>
    </w:p>
    <w:p w14:paraId="15F02C0E" w14:textId="77777777" w:rsidR="001A2FD6" w:rsidRPr="001A2FD6" w:rsidRDefault="001A2FD6" w:rsidP="001A2FD6">
      <w:pPr>
        <w:spacing w:line="276" w:lineRule="auto"/>
        <w:jc w:val="both"/>
        <w:rPr>
          <w:rFonts w:ascii="Verdana" w:hAnsi="Verdana"/>
          <w:sz w:val="22"/>
          <w:szCs w:val="22"/>
        </w:rPr>
      </w:pPr>
    </w:p>
    <w:p w14:paraId="39D6D4A0" w14:textId="77777777" w:rsidR="001A2FD6" w:rsidRPr="001A2FD6" w:rsidRDefault="001A2FD6" w:rsidP="001A2FD6">
      <w:pPr>
        <w:spacing w:line="276" w:lineRule="auto"/>
        <w:jc w:val="both"/>
        <w:rPr>
          <w:rFonts w:ascii="Verdana" w:hAnsi="Verdana"/>
          <w:sz w:val="22"/>
          <w:szCs w:val="22"/>
        </w:rPr>
      </w:pPr>
      <w:r w:rsidRPr="001A2FD6">
        <w:rPr>
          <w:rFonts w:ascii="Verdana" w:hAnsi="Verdana"/>
          <w:sz w:val="22"/>
          <w:szCs w:val="22"/>
        </w:rPr>
        <w:t xml:space="preserve">Twitter: </w:t>
      </w:r>
      <w:r w:rsidRPr="001A2FD6">
        <w:rPr>
          <w:rFonts w:ascii="Verdana" w:hAnsi="Verdana"/>
          <w:color w:val="0000FF"/>
          <w:sz w:val="22"/>
          <w:szCs w:val="22"/>
          <w:u w:val="single"/>
        </w:rPr>
        <w:t>@colombiacompra</w:t>
      </w:r>
      <w:r w:rsidRPr="001A2FD6">
        <w:rPr>
          <w:rFonts w:ascii="Verdana" w:hAnsi="Verdana"/>
          <w:sz w:val="22"/>
          <w:szCs w:val="22"/>
        </w:rPr>
        <w:t xml:space="preserve"> </w:t>
      </w:r>
    </w:p>
    <w:p w14:paraId="01A7D92B" w14:textId="77777777" w:rsidR="001A2FD6" w:rsidRPr="001A2FD6" w:rsidRDefault="001A2FD6" w:rsidP="001A2FD6">
      <w:pPr>
        <w:spacing w:line="276" w:lineRule="auto"/>
        <w:jc w:val="both"/>
        <w:rPr>
          <w:rFonts w:ascii="Verdana" w:hAnsi="Verdana"/>
          <w:sz w:val="22"/>
          <w:szCs w:val="22"/>
        </w:rPr>
      </w:pPr>
      <w:r w:rsidRPr="001A2FD6">
        <w:rPr>
          <w:rFonts w:ascii="Verdana" w:hAnsi="Verdana"/>
          <w:sz w:val="22"/>
          <w:szCs w:val="22"/>
        </w:rPr>
        <w:t xml:space="preserve">Facebook: </w:t>
      </w:r>
      <w:r w:rsidRPr="001A2FD6">
        <w:rPr>
          <w:rFonts w:ascii="Verdana" w:hAnsi="Verdana"/>
          <w:color w:val="0000FF"/>
          <w:sz w:val="22"/>
          <w:szCs w:val="22"/>
          <w:u w:val="single"/>
        </w:rPr>
        <w:t>ColombiaCompraEficiente</w:t>
      </w:r>
    </w:p>
    <w:p w14:paraId="1F42EE56" w14:textId="77777777" w:rsidR="001A2FD6" w:rsidRPr="001A2FD6" w:rsidRDefault="001A2FD6" w:rsidP="001A2FD6">
      <w:pPr>
        <w:spacing w:line="276" w:lineRule="auto"/>
        <w:jc w:val="both"/>
        <w:rPr>
          <w:rFonts w:ascii="Verdana" w:hAnsi="Verdana"/>
          <w:sz w:val="22"/>
          <w:szCs w:val="22"/>
        </w:rPr>
      </w:pPr>
      <w:r w:rsidRPr="001A2FD6">
        <w:rPr>
          <w:rFonts w:ascii="Verdana" w:hAnsi="Verdana"/>
          <w:sz w:val="22"/>
          <w:szCs w:val="22"/>
        </w:rPr>
        <w:lastRenderedPageBreak/>
        <w:t xml:space="preserve">LinkedIn: </w:t>
      </w:r>
      <w:r w:rsidRPr="001A2FD6">
        <w:rPr>
          <w:rFonts w:ascii="Verdana" w:hAnsi="Verdana"/>
          <w:color w:val="0000FF"/>
          <w:sz w:val="22"/>
          <w:szCs w:val="22"/>
          <w:u w:val="single"/>
        </w:rPr>
        <w:t>Agencia Nacional de Contratación Pública - Colombia Compra Eficiente</w:t>
      </w:r>
      <w:r w:rsidRPr="001A2FD6">
        <w:rPr>
          <w:rFonts w:ascii="Verdana" w:hAnsi="Verdana"/>
          <w:sz w:val="22"/>
          <w:szCs w:val="22"/>
        </w:rPr>
        <w:t xml:space="preserve"> Instagram: </w:t>
      </w:r>
      <w:r w:rsidRPr="001A2FD6">
        <w:rPr>
          <w:rFonts w:ascii="Verdana" w:hAnsi="Verdana"/>
          <w:color w:val="0000FF"/>
          <w:sz w:val="22"/>
          <w:szCs w:val="22"/>
          <w:u w:val="single"/>
        </w:rPr>
        <w:t>@colombiacompraeficiente_cce</w:t>
      </w:r>
    </w:p>
    <w:p w14:paraId="65BE170F" w14:textId="77777777" w:rsidR="001A2FD6" w:rsidRPr="001A2FD6" w:rsidRDefault="001A2FD6" w:rsidP="001A2FD6">
      <w:pPr>
        <w:widowControl w:val="0"/>
        <w:autoSpaceDE w:val="0"/>
        <w:autoSpaceDN w:val="0"/>
        <w:spacing w:line="276" w:lineRule="auto"/>
        <w:jc w:val="both"/>
        <w:rPr>
          <w:rFonts w:ascii="Verdana" w:hAnsi="Verdana" w:cs="Arial"/>
          <w:color w:val="FF0000"/>
          <w:sz w:val="22"/>
          <w:szCs w:val="22"/>
          <w:shd w:val="clear" w:color="auto" w:fill="FFFFFF"/>
          <w:lang w:val="es-ES_tradnl"/>
        </w:rPr>
      </w:pPr>
      <w:r w:rsidRPr="001A2FD6">
        <w:rPr>
          <w:rFonts w:ascii="Verdana" w:hAnsi="Verdana" w:cs="Arial"/>
          <w:color w:val="FF0000"/>
          <w:sz w:val="22"/>
          <w:szCs w:val="22"/>
          <w:shd w:val="clear" w:color="auto" w:fill="FFFFFF"/>
          <w:lang w:val="es-ES_tradnl"/>
        </w:rPr>
        <w:t xml:space="preserve">        </w:t>
      </w:r>
    </w:p>
    <w:p w14:paraId="48877A2B" w14:textId="77777777" w:rsidR="001A2FD6" w:rsidRPr="001A2FD6" w:rsidRDefault="001A2FD6" w:rsidP="001A2FD6">
      <w:pPr>
        <w:widowControl w:val="0"/>
        <w:autoSpaceDE w:val="0"/>
        <w:autoSpaceDN w:val="0"/>
        <w:spacing w:line="276" w:lineRule="auto"/>
        <w:jc w:val="both"/>
        <w:rPr>
          <w:rFonts w:ascii="Verdana" w:hAnsi="Verdana" w:cs="Arial"/>
          <w:sz w:val="22"/>
          <w:szCs w:val="22"/>
          <w:lang w:val="es-ES_tradnl"/>
        </w:rPr>
      </w:pPr>
      <w:r w:rsidRPr="001A2FD6">
        <w:rPr>
          <w:rFonts w:ascii="Verdana" w:hAnsi="Verdana" w:cs="Arial"/>
          <w:sz w:val="22"/>
          <w:szCs w:val="22"/>
        </w:rPr>
        <w:t xml:space="preserve">Este concepto tiene el alcance previsto en el artículo 28 del Código de Procedimiento Administrativo y de lo Contencioso Administrativo </w:t>
      </w:r>
      <w:r w:rsidRPr="001A2FD6">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1066B25E" w14:textId="77777777" w:rsidR="001A2FD6" w:rsidRPr="001A2FD6" w:rsidRDefault="001A2FD6" w:rsidP="001A2FD6">
      <w:pPr>
        <w:widowControl w:val="0"/>
        <w:autoSpaceDE w:val="0"/>
        <w:autoSpaceDN w:val="0"/>
        <w:spacing w:line="276" w:lineRule="auto"/>
        <w:jc w:val="both"/>
        <w:rPr>
          <w:rFonts w:ascii="Verdana" w:hAnsi="Verdana" w:cs="Arial"/>
          <w:sz w:val="22"/>
          <w:szCs w:val="22"/>
        </w:rPr>
      </w:pPr>
    </w:p>
    <w:p w14:paraId="706DB404" w14:textId="5CE6E0D8" w:rsidR="001A2FD6" w:rsidRPr="001A2FD6" w:rsidRDefault="001A2FD6" w:rsidP="001A2FD6">
      <w:pPr>
        <w:spacing w:after="120" w:line="276" w:lineRule="auto"/>
        <w:rPr>
          <w:rFonts w:ascii="Verdana" w:hAnsi="Verdana" w:cs="Arial"/>
          <w:sz w:val="22"/>
          <w:szCs w:val="22"/>
          <w:lang w:eastAsia="es-CO"/>
        </w:rPr>
      </w:pPr>
      <w:r w:rsidRPr="001A2FD6">
        <w:rPr>
          <w:rFonts w:ascii="Verdana" w:hAnsi="Verdana" w:cs="Arial"/>
          <w:sz w:val="22"/>
          <w:szCs w:val="22"/>
          <w:lang w:eastAsia="es-CO"/>
        </w:rPr>
        <w:t xml:space="preserve">Atentamente, </w:t>
      </w:r>
    </w:p>
    <w:p w14:paraId="3B9FE77A" w14:textId="4034AB29" w:rsidR="001A2FD6" w:rsidRPr="001A2FD6" w:rsidRDefault="00E0521F" w:rsidP="001A2FD6">
      <w:pPr>
        <w:spacing w:line="256" w:lineRule="auto"/>
        <w:jc w:val="center"/>
        <w:rPr>
          <w:rFonts w:ascii="Century Gothic" w:eastAsiaTheme="minorHAnsi" w:hAnsi="Century Gothic" w:cstheme="minorBidi"/>
          <w:noProof/>
          <w:sz w:val="16"/>
          <w:szCs w:val="16"/>
          <w:lang w:val="en-US" w:eastAsia="en-US"/>
        </w:rPr>
      </w:pPr>
      <w:r w:rsidRPr="002C3AD6">
        <w:rPr>
          <w:rFonts w:ascii="Century Gothic" w:hAnsi="Century Gothic"/>
          <w:noProof/>
          <w:lang w:val="en-US"/>
        </w:rPr>
        <w:drawing>
          <wp:inline distT="0" distB="0" distL="0" distR="0" wp14:anchorId="3F9720A8" wp14:editId="23CCA1ED">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891299" cy="1509270"/>
                    </a:xfrm>
                    <a:prstGeom prst="rect">
                      <a:avLst/>
                    </a:prstGeom>
                  </pic:spPr>
                </pic:pic>
              </a:graphicData>
            </a:graphic>
          </wp:inline>
        </w:drawing>
      </w:r>
    </w:p>
    <w:p w14:paraId="00800E10" w14:textId="77777777" w:rsidR="001A2FD6" w:rsidRPr="001A2FD6" w:rsidRDefault="001A2FD6" w:rsidP="001A2FD6">
      <w:pPr>
        <w:spacing w:line="256" w:lineRule="auto"/>
        <w:jc w:val="center"/>
        <w:rPr>
          <w:rFonts w:ascii="Century Gothic" w:eastAsiaTheme="minorHAnsi" w:hAnsi="Century Gothic" w:cstheme="minorBidi"/>
          <w:noProof/>
          <w:sz w:val="16"/>
          <w:szCs w:val="16"/>
          <w:lang w:val="en-US" w:eastAsia="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A2FD6" w:rsidRPr="001A2FD6" w14:paraId="710C70CF" w14:textId="77777777" w:rsidTr="00B46413">
        <w:trPr>
          <w:trHeight w:val="409"/>
        </w:trPr>
        <w:tc>
          <w:tcPr>
            <w:tcW w:w="817" w:type="dxa"/>
            <w:tcBorders>
              <w:top w:val="nil"/>
              <w:left w:val="nil"/>
              <w:bottom w:val="nil"/>
              <w:right w:val="nil"/>
            </w:tcBorders>
            <w:vAlign w:val="center"/>
            <w:hideMark/>
          </w:tcPr>
          <w:p w14:paraId="4BA82E04"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Elaboró: </w:t>
            </w:r>
          </w:p>
        </w:tc>
        <w:tc>
          <w:tcPr>
            <w:tcW w:w="4937" w:type="dxa"/>
            <w:tcBorders>
              <w:top w:val="nil"/>
              <w:left w:val="nil"/>
              <w:bottom w:val="dotted" w:sz="6" w:space="0" w:color="7F7F7F" w:themeColor="text1" w:themeTint="80"/>
              <w:right w:val="nil"/>
            </w:tcBorders>
            <w:vAlign w:val="center"/>
            <w:hideMark/>
          </w:tcPr>
          <w:p w14:paraId="0DFA1DC2"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José Luis Sánchez Cardona</w:t>
            </w:r>
          </w:p>
          <w:p w14:paraId="4F54534C"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Contratista de la Subdirección de Gestión Contractual</w:t>
            </w:r>
          </w:p>
        </w:tc>
      </w:tr>
      <w:tr w:rsidR="001A2FD6" w:rsidRPr="001A2FD6" w14:paraId="2BADCF5D" w14:textId="77777777" w:rsidTr="00B46413">
        <w:trPr>
          <w:trHeight w:val="409"/>
        </w:trPr>
        <w:tc>
          <w:tcPr>
            <w:tcW w:w="817" w:type="dxa"/>
            <w:tcBorders>
              <w:top w:val="nil"/>
              <w:left w:val="nil"/>
              <w:bottom w:val="nil"/>
              <w:right w:val="nil"/>
            </w:tcBorders>
            <w:vAlign w:val="center"/>
            <w:hideMark/>
          </w:tcPr>
          <w:p w14:paraId="0550AC1D"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2E79235"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Alejandro R. Sarmiento Cantillo</w:t>
            </w:r>
          </w:p>
          <w:p w14:paraId="08E09B2D"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Gestor T1-15 de la Subdirección de Gestión Contractual </w:t>
            </w:r>
          </w:p>
        </w:tc>
      </w:tr>
      <w:tr w:rsidR="001A2FD6" w:rsidRPr="001A2FD6" w14:paraId="356BB6F1" w14:textId="77777777" w:rsidTr="00B46413">
        <w:trPr>
          <w:trHeight w:val="389"/>
        </w:trPr>
        <w:tc>
          <w:tcPr>
            <w:tcW w:w="817" w:type="dxa"/>
            <w:tcBorders>
              <w:top w:val="nil"/>
              <w:left w:val="nil"/>
              <w:bottom w:val="nil"/>
              <w:right w:val="nil"/>
            </w:tcBorders>
            <w:vAlign w:val="center"/>
            <w:hideMark/>
          </w:tcPr>
          <w:p w14:paraId="45F8EE3B"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D814A6"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Carolina Quintero Gacharná</w:t>
            </w:r>
          </w:p>
          <w:p w14:paraId="719D2A46" w14:textId="77777777" w:rsidR="001A2FD6" w:rsidRPr="001A2FD6" w:rsidRDefault="001A2FD6" w:rsidP="001A2FD6">
            <w:pPr>
              <w:spacing w:line="256" w:lineRule="auto"/>
              <w:rPr>
                <w:rFonts w:ascii="Verdana" w:eastAsia="Calibri" w:hAnsi="Verdana"/>
                <w:sz w:val="16"/>
                <w:szCs w:val="16"/>
                <w:lang w:eastAsia="en-US"/>
              </w:rPr>
            </w:pPr>
            <w:r w:rsidRPr="001A2FD6">
              <w:rPr>
                <w:rFonts w:ascii="Verdana" w:eastAsia="Calibri" w:hAnsi="Verdana"/>
                <w:sz w:val="16"/>
                <w:szCs w:val="16"/>
                <w:lang w:eastAsia="en-US"/>
              </w:rPr>
              <w:t>Subdirectora de Gestión Contractual ANCP – CCE</w:t>
            </w:r>
          </w:p>
        </w:tc>
      </w:tr>
    </w:tbl>
    <w:p w14:paraId="00560A9B" w14:textId="5B861BAA" w:rsidR="001A2FD6" w:rsidRPr="001A2FD6" w:rsidRDefault="001A2FD6" w:rsidP="001A2FD6">
      <w:pPr>
        <w:textAlignment w:val="baseline"/>
        <w:rPr>
          <w:rFonts w:ascii="Verdana" w:eastAsia="Verdana" w:hAnsi="Verdana" w:cs="Verdana"/>
          <w:sz w:val="22"/>
          <w:szCs w:val="22"/>
          <w:lang w:eastAsia="es-CO"/>
        </w:rPr>
      </w:pPr>
      <w:r w:rsidRPr="001A2FD6">
        <w:rPr>
          <w:rFonts w:ascii="Verdana" w:eastAsia="Verdana" w:hAnsi="Verdana" w:cs="Verdana"/>
          <w:sz w:val="22"/>
          <w:szCs w:val="22"/>
          <w:lang w:eastAsia="es-CO"/>
        </w:rPr>
        <w:t> </w:t>
      </w:r>
      <w:bookmarkEnd w:id="0"/>
    </w:p>
    <w:p w14:paraId="54ADF31E" w14:textId="2C62E886" w:rsidR="00300DB3" w:rsidRPr="001A2FD6" w:rsidRDefault="00300DB3" w:rsidP="001A2FD6"/>
    <w:sectPr w:rsidR="00300DB3" w:rsidRPr="001A2FD6"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A5A11" w14:textId="77777777" w:rsidR="00E11FE2" w:rsidRDefault="00E11FE2" w:rsidP="004A1847">
      <w:r>
        <w:separator/>
      </w:r>
    </w:p>
  </w:endnote>
  <w:endnote w:type="continuationSeparator" w:id="0">
    <w:p w14:paraId="18C6AE1B" w14:textId="77777777" w:rsidR="00E11FE2" w:rsidRDefault="00E11FE2"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8A1F41"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val="pt-BR" w:eastAsia="es-CO"/>
      </w:rPr>
    </w:pPr>
    <w:r w:rsidRPr="008A1F41">
      <w:rPr>
        <w:rFonts w:ascii="Verdana" w:eastAsia="Verdana" w:hAnsi="Verdana" w:cs="Verdana"/>
        <w:b/>
        <w:color w:val="000000" w:themeColor="text1"/>
        <w:sz w:val="18"/>
        <w:szCs w:val="18"/>
        <w:lang w:val="pt-BR" w:eastAsia="es-CO"/>
      </w:rPr>
      <w:t xml:space="preserve">Código: </w:t>
    </w:r>
    <w:r w:rsidRPr="008A1F41">
      <w:rPr>
        <w:rFonts w:ascii="Verdana" w:eastAsia="Verdana" w:hAnsi="Verdana" w:cs="Verdana"/>
        <w:color w:val="000000" w:themeColor="text1"/>
        <w:sz w:val="18"/>
        <w:szCs w:val="18"/>
        <w:lang w:val="pt-BR" w:eastAsia="es-CO"/>
      </w:rPr>
      <w:t xml:space="preserve">CCE-REC-FM-17 </w:t>
    </w:r>
    <w:r w:rsidRPr="008A1F41">
      <w:rPr>
        <w:rFonts w:ascii="Verdana" w:eastAsia="Verdana" w:hAnsi="Verdana" w:cs="Verdana"/>
        <w:b/>
        <w:color w:val="000000" w:themeColor="text1"/>
        <w:sz w:val="18"/>
        <w:szCs w:val="18"/>
        <w:lang w:val="pt-BR" w:eastAsia="es-CO"/>
      </w:rPr>
      <w:t xml:space="preserve">V: </w:t>
    </w:r>
    <w:r w:rsidRPr="008A1F41">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7C42F" w14:textId="77777777" w:rsidR="00E11FE2" w:rsidRDefault="00E11FE2" w:rsidP="004A1847">
      <w:r>
        <w:separator/>
      </w:r>
    </w:p>
  </w:footnote>
  <w:footnote w:type="continuationSeparator" w:id="0">
    <w:p w14:paraId="35B4D0A6" w14:textId="77777777" w:rsidR="00E11FE2" w:rsidRDefault="00E11FE2" w:rsidP="004A1847">
      <w:r>
        <w:continuationSeparator/>
      </w:r>
    </w:p>
  </w:footnote>
  <w:footnote w:id="1">
    <w:p w14:paraId="3C4B64F4" w14:textId="77777777" w:rsidR="001A2FD6" w:rsidRPr="008A1F41" w:rsidRDefault="001A2FD6" w:rsidP="001A2FD6">
      <w:pPr>
        <w:pStyle w:val="Textonotapie"/>
        <w:ind w:firstLine="709"/>
        <w:jc w:val="both"/>
        <w:rPr>
          <w:rFonts w:ascii="Verdana" w:hAnsi="Verdana" w:cs="Arial"/>
          <w:sz w:val="16"/>
          <w:szCs w:val="16"/>
          <w:lang w:val="pt-BR"/>
        </w:rPr>
      </w:pPr>
      <w:r w:rsidRPr="00805893">
        <w:rPr>
          <w:rStyle w:val="Refdenotaalpie"/>
          <w:rFonts w:ascii="Verdana" w:hAnsi="Verdana" w:cs="Arial"/>
          <w:sz w:val="16"/>
          <w:szCs w:val="16"/>
        </w:rPr>
        <w:footnoteRef/>
      </w:r>
      <w:r w:rsidRPr="008A1F41">
        <w:rPr>
          <w:rFonts w:ascii="Verdana" w:hAnsi="Verdana" w:cs="Arial"/>
          <w:sz w:val="16"/>
          <w:szCs w:val="16"/>
          <w:lang w:val="pt-BR"/>
        </w:rPr>
        <w:t xml:space="preserve"> </w:t>
      </w:r>
      <w:r w:rsidRPr="00805893">
        <w:rPr>
          <w:rFonts w:ascii="Verdana" w:hAnsi="Verdana" w:cs="Arial"/>
          <w:sz w:val="16"/>
          <w:szCs w:val="16"/>
          <w:lang w:val="pt-BR"/>
        </w:rPr>
        <w:t>CORTE CONSTITUCIONAL. Sentencia C-1016 de 2012. M.P. Jorge Iván Palacio.</w:t>
      </w:r>
    </w:p>
  </w:footnote>
  <w:footnote w:id="2">
    <w:p w14:paraId="336CBFE8" w14:textId="77777777" w:rsidR="001A2FD6" w:rsidRPr="00805893" w:rsidRDefault="001A2FD6" w:rsidP="001A2FD6">
      <w:pPr>
        <w:pStyle w:val="Textonotapie"/>
        <w:ind w:firstLine="709"/>
        <w:jc w:val="both"/>
        <w:rPr>
          <w:rFonts w:ascii="Verdana" w:hAnsi="Verdana" w:cs="Arial"/>
          <w:sz w:val="16"/>
          <w:szCs w:val="16"/>
          <w:lang w:val="pt-BR"/>
        </w:rPr>
      </w:pPr>
      <w:r w:rsidRPr="00805893">
        <w:rPr>
          <w:rStyle w:val="Refdenotaalpie"/>
          <w:rFonts w:ascii="Verdana" w:hAnsi="Verdana" w:cs="Arial"/>
          <w:sz w:val="16"/>
          <w:szCs w:val="16"/>
        </w:rPr>
        <w:footnoteRef/>
      </w:r>
      <w:r w:rsidRPr="00805893">
        <w:rPr>
          <w:rFonts w:ascii="Verdana" w:hAnsi="Verdana" w:cs="Arial"/>
          <w:sz w:val="16"/>
          <w:szCs w:val="16"/>
        </w:rPr>
        <w:t xml:space="preserve"> CONSEJO DE ESTADO. Sección Tercera. Subsección A. Sentencia del 13 de noviembre de 2013. </w:t>
      </w:r>
      <w:r w:rsidRPr="00805893">
        <w:rPr>
          <w:rFonts w:ascii="Verdana" w:hAnsi="Verdana" w:cs="Arial"/>
          <w:sz w:val="16"/>
          <w:szCs w:val="16"/>
          <w:lang w:val="pt-BR"/>
        </w:rPr>
        <w:t>Rad. 25.646. C.P. Mauricio Fajardo Gómez.</w:t>
      </w:r>
    </w:p>
  </w:footnote>
  <w:footnote w:id="3">
    <w:p w14:paraId="6E0AE3E5" w14:textId="77777777" w:rsidR="001A2FD6" w:rsidRPr="008A1F41" w:rsidRDefault="001A2FD6" w:rsidP="001A2FD6">
      <w:pPr>
        <w:pStyle w:val="Textonotapie"/>
        <w:ind w:firstLine="709"/>
        <w:jc w:val="both"/>
        <w:rPr>
          <w:rFonts w:ascii="Verdana" w:hAnsi="Verdana" w:cs="Arial"/>
          <w:sz w:val="16"/>
          <w:szCs w:val="16"/>
          <w:lang w:val="pt-BR"/>
        </w:rPr>
      </w:pPr>
      <w:r w:rsidRPr="00805893">
        <w:rPr>
          <w:rStyle w:val="Refdenotaalpie"/>
          <w:rFonts w:ascii="Verdana" w:hAnsi="Verdana" w:cs="Arial"/>
          <w:sz w:val="16"/>
          <w:szCs w:val="16"/>
        </w:rPr>
        <w:footnoteRef/>
      </w:r>
      <w:r w:rsidRPr="008A1F41">
        <w:rPr>
          <w:rFonts w:ascii="Verdana" w:hAnsi="Verdana" w:cs="Arial"/>
          <w:sz w:val="16"/>
          <w:szCs w:val="16"/>
          <w:lang w:val="pt-BR"/>
        </w:rPr>
        <w:t xml:space="preserve"> </w:t>
      </w:r>
      <w:r w:rsidRPr="00805893">
        <w:rPr>
          <w:rFonts w:ascii="Verdana" w:hAnsi="Verdana" w:cs="Arial"/>
          <w:sz w:val="16"/>
          <w:szCs w:val="16"/>
          <w:lang w:val="pt-BR"/>
        </w:rPr>
        <w:t>CORTE CONSTITUCIONAL. Sentencia C-415 de 1994. M.P. Eduardo Cifuentes Muñoz.</w:t>
      </w:r>
    </w:p>
  </w:footnote>
  <w:footnote w:id="4">
    <w:p w14:paraId="32D5C65F" w14:textId="77777777" w:rsidR="001A2FD6" w:rsidRPr="00805893" w:rsidRDefault="001A2FD6" w:rsidP="001A2FD6">
      <w:pPr>
        <w:pStyle w:val="Textonotapie"/>
        <w:ind w:firstLine="709"/>
        <w:jc w:val="both"/>
        <w:rPr>
          <w:rFonts w:ascii="Verdana" w:hAnsi="Verdana" w:cs="Arial"/>
          <w:sz w:val="16"/>
          <w:szCs w:val="16"/>
          <w:lang w:val="pt-BR"/>
        </w:rPr>
      </w:pPr>
      <w:r w:rsidRPr="00805893">
        <w:rPr>
          <w:rStyle w:val="Refdenotaalpie"/>
          <w:rFonts w:ascii="Verdana" w:hAnsi="Verdana" w:cs="Arial"/>
          <w:sz w:val="16"/>
          <w:szCs w:val="16"/>
        </w:rPr>
        <w:footnoteRef/>
      </w:r>
      <w:r w:rsidRPr="008A1F41">
        <w:rPr>
          <w:rFonts w:ascii="Verdana" w:hAnsi="Verdana" w:cs="Arial"/>
          <w:sz w:val="16"/>
          <w:szCs w:val="16"/>
          <w:lang w:val="pt-BR"/>
        </w:rPr>
        <w:t xml:space="preserve"> </w:t>
      </w:r>
      <w:r w:rsidRPr="00805893">
        <w:rPr>
          <w:rFonts w:ascii="Verdana" w:hAnsi="Verdana" w:cs="Arial"/>
          <w:sz w:val="16"/>
          <w:szCs w:val="16"/>
          <w:lang w:val="pt-BR"/>
        </w:rPr>
        <w:t>Ibídem.</w:t>
      </w:r>
    </w:p>
  </w:footnote>
  <w:footnote w:id="5">
    <w:p w14:paraId="4E27FFDB" w14:textId="77777777" w:rsidR="001A2FD6" w:rsidRPr="00805893" w:rsidRDefault="001A2FD6" w:rsidP="001A2FD6">
      <w:pPr>
        <w:pStyle w:val="Textonotapie"/>
        <w:ind w:firstLine="709"/>
        <w:jc w:val="both"/>
        <w:rPr>
          <w:rFonts w:ascii="Verdana" w:hAnsi="Verdana" w:cs="Arial"/>
          <w:sz w:val="16"/>
          <w:szCs w:val="16"/>
          <w:lang w:val="es-CO"/>
        </w:rPr>
      </w:pPr>
      <w:r w:rsidRPr="00805893">
        <w:rPr>
          <w:rStyle w:val="Refdenotaalpie"/>
          <w:rFonts w:ascii="Verdana" w:hAnsi="Verdana" w:cs="Arial"/>
          <w:sz w:val="16"/>
          <w:szCs w:val="16"/>
        </w:rPr>
        <w:footnoteRef/>
      </w:r>
      <w:r w:rsidRPr="008A1F41">
        <w:rPr>
          <w:rFonts w:ascii="Verdana" w:hAnsi="Verdana" w:cs="Arial"/>
          <w:sz w:val="16"/>
          <w:szCs w:val="16"/>
          <w:lang w:val="pt-BR"/>
        </w:rPr>
        <w:t xml:space="preserve"> </w:t>
      </w:r>
      <w:r w:rsidRPr="00805893">
        <w:rPr>
          <w:rFonts w:ascii="Verdana" w:hAnsi="Verdana" w:cs="Arial"/>
          <w:sz w:val="16"/>
          <w:szCs w:val="16"/>
          <w:lang w:val="pt-BR"/>
        </w:rPr>
        <w:t xml:space="preserve">CORTE CONSTITUCIONAL. </w:t>
      </w:r>
      <w:r w:rsidRPr="00805893">
        <w:rPr>
          <w:rFonts w:ascii="Verdana" w:hAnsi="Verdana" w:cs="Arial"/>
          <w:sz w:val="16"/>
          <w:szCs w:val="16"/>
        </w:rPr>
        <w:t xml:space="preserve">Sentencia C-780 de 2001. </w:t>
      </w:r>
      <w:r w:rsidRPr="00805893">
        <w:rPr>
          <w:rFonts w:ascii="Verdana" w:hAnsi="Verdana" w:cs="Arial"/>
          <w:sz w:val="16"/>
          <w:szCs w:val="16"/>
          <w:lang w:val="es-CO"/>
        </w:rPr>
        <w:t xml:space="preserve">M.P. Jaime Córdoba Triviño. </w:t>
      </w:r>
    </w:p>
  </w:footnote>
  <w:footnote w:id="6">
    <w:p w14:paraId="6F8F4A20"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eastAsiaTheme="minorHAnsi" w:hAnsi="Verdana" w:cs="Arial"/>
          <w:sz w:val="16"/>
          <w:szCs w:val="16"/>
          <w:lang w:val="es-ES" w:eastAsia="en-US"/>
        </w:rPr>
        <w:t>Ley 80 de 1993: “Artículo 8: 1o. Son inhábiles para participar en licitaciones o concursos y para celebrar contratos con las entidades estatales: </w:t>
      </w:r>
    </w:p>
    <w:p w14:paraId="671B9819"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a) Las personas que se hallen inhabilitadas para contratar por la Constitución y las leyes. </w:t>
      </w:r>
    </w:p>
    <w:p w14:paraId="28A6D545"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b) Quienes participaron en las licitaciones o concursos o celebraron los contratos de que trata el literal anterior estando inhabilitados. </w:t>
      </w:r>
    </w:p>
    <w:p w14:paraId="235077E8"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c) Quienes dieron lugar a la declaratoria de caducidad. </w:t>
      </w:r>
    </w:p>
    <w:p w14:paraId="6114CFD4"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7675DBF8"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e) Quienes sin justa causa se abstengan de suscribir el contrato estatal adjudicado. </w:t>
      </w:r>
    </w:p>
    <w:p w14:paraId="22849EC6"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f) Los servidores públicos. </w:t>
      </w:r>
    </w:p>
    <w:p w14:paraId="54CBD823"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B2F9820"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5BEBBC32"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7D9FA952"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712FA2DA"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4B876CF8"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805893">
        <w:rPr>
          <w:rFonts w:ascii="Verdana" w:eastAsiaTheme="minorHAns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805893">
        <w:rPr>
          <w:rFonts w:ascii="Verdana" w:eastAsiaTheme="minorHAns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805893">
        <w:rPr>
          <w:rFonts w:ascii="Verdana" w:eastAsiaTheme="minorHAnsi" w:hAnsi="Verdana" w:cs="Arial"/>
          <w:sz w:val="16"/>
          <w:szCs w:val="16"/>
          <w:lang w:val="es-ES" w:eastAsia="en-US"/>
        </w:rPr>
        <w:softHyphen/>
        <w:t>nería jurídica en los términos de ley, o cuyos representantes legales, ad</w:t>
      </w:r>
      <w:r w:rsidRPr="00805893">
        <w:rPr>
          <w:rFonts w:ascii="Verdana" w:eastAsiaTheme="minorHAns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805893">
        <w:rPr>
          <w:rFonts w:ascii="Verdana" w:eastAsiaTheme="minorHAns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256C55F7"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w:t>
      </w:r>
    </w:p>
    <w:p w14:paraId="482A9F79" w14:textId="77777777" w:rsidR="001A2FD6" w:rsidRPr="00805893" w:rsidRDefault="001A2FD6" w:rsidP="001A2FD6">
      <w:pPr>
        <w:pStyle w:val="NormalWeb"/>
        <w:spacing w:before="0" w:beforeAutospacing="0" w:after="0" w:afterAutospacing="0"/>
        <w:ind w:firstLine="709"/>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2o. Tampoco podrán participar en licitaciones o concursos ni celebrar contratos estatales con la entidad respectiva: </w:t>
      </w:r>
    </w:p>
    <w:p w14:paraId="2634CE62"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2DE4EE1"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3585004E"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4A697FC2"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C5723FF"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460CC467" w14:textId="77777777" w:rsidR="001A2FD6" w:rsidRPr="00805893" w:rsidRDefault="001A2FD6" w:rsidP="001A2FD6">
      <w:pPr>
        <w:pStyle w:val="NormalWeb"/>
        <w:spacing w:before="0" w:beforeAutospacing="0" w:after="0" w:afterAutospacing="0"/>
        <w:ind w:firstLine="708"/>
        <w:jc w:val="both"/>
        <w:rPr>
          <w:rFonts w:ascii="Verdana" w:eastAsiaTheme="minorHAnsi" w:hAnsi="Verdana" w:cs="Arial"/>
          <w:sz w:val="16"/>
          <w:szCs w:val="16"/>
          <w:lang w:val="es-ES" w:eastAsia="en-US"/>
        </w:rPr>
      </w:pPr>
      <w:r w:rsidRPr="00805893">
        <w:rPr>
          <w:rFonts w:ascii="Verdana" w:eastAsiaTheme="minorHAns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footnote>
  <w:footnote w:id="7">
    <w:p w14:paraId="72D78A4B" w14:textId="77777777" w:rsidR="001A2FD6" w:rsidRPr="00805893" w:rsidRDefault="001A2FD6" w:rsidP="001A2FD6">
      <w:pPr>
        <w:pStyle w:val="Textonotapie"/>
        <w:ind w:firstLine="709"/>
        <w:jc w:val="both"/>
        <w:rPr>
          <w:rFonts w:ascii="Verdana" w:hAnsi="Verdana" w:cs="Arial"/>
          <w:sz w:val="16"/>
          <w:szCs w:val="16"/>
        </w:rPr>
      </w:pPr>
      <w:r w:rsidRPr="00805893">
        <w:rPr>
          <w:rStyle w:val="Refdenotaalpie"/>
          <w:rFonts w:ascii="Verdana" w:hAnsi="Verdana" w:cs="Arial"/>
          <w:sz w:val="16"/>
          <w:szCs w:val="16"/>
        </w:rPr>
        <w:footnoteRef/>
      </w:r>
      <w:r w:rsidRPr="00805893">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51E14825" w14:textId="77777777" w:rsidR="001A2FD6" w:rsidRPr="00805893" w:rsidRDefault="001A2FD6" w:rsidP="001A2FD6">
      <w:pPr>
        <w:pStyle w:val="Textonotapie"/>
        <w:ind w:firstLine="709"/>
        <w:jc w:val="both"/>
        <w:rPr>
          <w:rFonts w:ascii="Verdana" w:hAnsi="Verdana" w:cs="Arial"/>
          <w:sz w:val="16"/>
          <w:szCs w:val="16"/>
        </w:rPr>
      </w:pPr>
      <w:r w:rsidRPr="00805893">
        <w:rPr>
          <w:rFonts w:ascii="Verdana" w:hAnsi="Verdana" w:cs="Arial"/>
          <w:sz w:val="16"/>
          <w:szCs w:val="16"/>
        </w:rPr>
        <w:t>Las personas jurídicas nacionales y extranjeras deberán acreditar que su duración no será inferior a la del plazo del contrato y un año más”.</w:t>
      </w:r>
    </w:p>
  </w:footnote>
  <w:footnote w:id="8">
    <w:p w14:paraId="4A9998AB" w14:textId="77777777" w:rsidR="001A2FD6" w:rsidRPr="00805893" w:rsidRDefault="001A2FD6" w:rsidP="001A2FD6">
      <w:pPr>
        <w:pStyle w:val="Textonotapie"/>
        <w:ind w:firstLine="709"/>
        <w:jc w:val="both"/>
        <w:rPr>
          <w:rFonts w:ascii="Verdana" w:hAnsi="Verdana" w:cs="Arial"/>
          <w:sz w:val="16"/>
          <w:szCs w:val="16"/>
        </w:rPr>
      </w:pPr>
      <w:r w:rsidRPr="00805893">
        <w:rPr>
          <w:rStyle w:val="Refdenotaalpie"/>
          <w:rFonts w:ascii="Verdana" w:hAnsi="Verdana" w:cs="Arial"/>
          <w:sz w:val="16"/>
          <w:szCs w:val="16"/>
        </w:rPr>
        <w:footnoteRef/>
      </w:r>
      <w:r w:rsidRPr="00805893">
        <w:rPr>
          <w:rFonts w:ascii="Verdana" w:hAnsi="Verdana" w:cs="Arial"/>
          <w:sz w:val="16"/>
          <w:szCs w:val="16"/>
        </w:rPr>
        <w:t xml:space="preserve"> Código Civil: “Artículo 1502. Requisitos para obligarse. Para que una persona se obligue a otra por un acto o declaración de voluntad, es necesario:</w:t>
      </w:r>
    </w:p>
    <w:p w14:paraId="0182C12D" w14:textId="77777777" w:rsidR="001A2FD6" w:rsidRPr="00805893" w:rsidRDefault="001A2FD6" w:rsidP="001A2FD6">
      <w:pPr>
        <w:pStyle w:val="Textonotapie"/>
        <w:ind w:firstLine="709"/>
        <w:jc w:val="both"/>
        <w:rPr>
          <w:rFonts w:ascii="Verdana" w:hAnsi="Verdana" w:cs="Arial"/>
          <w:sz w:val="16"/>
          <w:szCs w:val="16"/>
        </w:rPr>
      </w:pPr>
      <w:r w:rsidRPr="00805893">
        <w:rPr>
          <w:rFonts w:ascii="Verdana" w:hAnsi="Verdana" w:cs="Arial"/>
          <w:sz w:val="16"/>
          <w:szCs w:val="16"/>
        </w:rPr>
        <w:t>1o.) que sea legalmente capaz.</w:t>
      </w:r>
    </w:p>
    <w:p w14:paraId="103981CA" w14:textId="77777777" w:rsidR="001A2FD6" w:rsidRPr="00805893" w:rsidRDefault="001A2FD6" w:rsidP="001A2FD6">
      <w:pPr>
        <w:pStyle w:val="Textonotapie"/>
        <w:ind w:firstLine="709"/>
        <w:jc w:val="both"/>
        <w:rPr>
          <w:rFonts w:ascii="Verdana" w:hAnsi="Verdana" w:cs="Arial"/>
          <w:sz w:val="16"/>
          <w:szCs w:val="16"/>
        </w:rPr>
      </w:pPr>
      <w:r w:rsidRPr="00805893">
        <w:rPr>
          <w:rFonts w:ascii="Verdana" w:hAnsi="Verdana" w:cs="Arial"/>
          <w:sz w:val="16"/>
          <w:szCs w:val="16"/>
        </w:rPr>
        <w:t>[…]</w:t>
      </w:r>
    </w:p>
    <w:p w14:paraId="0934DCD5" w14:textId="77777777" w:rsidR="001A2FD6" w:rsidRPr="00805893" w:rsidRDefault="001A2FD6" w:rsidP="001A2FD6">
      <w:pPr>
        <w:pStyle w:val="Textonotapie"/>
        <w:ind w:firstLine="709"/>
        <w:jc w:val="both"/>
        <w:rPr>
          <w:rFonts w:ascii="Verdana" w:hAnsi="Verdana" w:cs="Arial"/>
          <w:sz w:val="16"/>
          <w:szCs w:val="16"/>
        </w:rPr>
      </w:pPr>
      <w:r w:rsidRPr="00805893">
        <w:rPr>
          <w:rFonts w:ascii="Verdana" w:hAnsi="Verdana" w:cs="Arial"/>
          <w:sz w:val="16"/>
          <w:szCs w:val="16"/>
        </w:rPr>
        <w:t>La capacidad legal de una persona consiste en poderse obligar por sí misma, sin el ministerio o la autorización de otra”.</w:t>
      </w:r>
    </w:p>
  </w:footnote>
  <w:footnote w:id="9">
    <w:p w14:paraId="4C088A11" w14:textId="77777777" w:rsidR="001A2FD6" w:rsidRPr="00805893" w:rsidRDefault="001A2FD6" w:rsidP="001A2FD6">
      <w:pPr>
        <w:pStyle w:val="Textonotapie"/>
        <w:ind w:firstLine="709"/>
        <w:jc w:val="both"/>
        <w:rPr>
          <w:rFonts w:ascii="Verdana" w:hAnsi="Verdana" w:cs="Arial"/>
          <w:sz w:val="16"/>
          <w:szCs w:val="16"/>
        </w:rPr>
      </w:pPr>
      <w:r w:rsidRPr="00805893">
        <w:rPr>
          <w:rStyle w:val="Refdenotaalpie"/>
          <w:rFonts w:ascii="Verdana" w:hAnsi="Verdana" w:cs="Arial"/>
          <w:sz w:val="16"/>
          <w:szCs w:val="16"/>
        </w:rPr>
        <w:footnoteRef/>
      </w:r>
      <w:r w:rsidRPr="00805893">
        <w:rPr>
          <w:rFonts w:ascii="Verdana" w:hAnsi="Verdana" w:cs="Arial"/>
          <w:sz w:val="16"/>
          <w:szCs w:val="16"/>
        </w:rPr>
        <w:t xml:space="preserve"> Decreto Ley 19 de 2012: “Artículo 221. El artículo 6 de la Ley 1150 de 2007, quedará así:</w:t>
      </w:r>
    </w:p>
    <w:p w14:paraId="7EA59696" w14:textId="77777777" w:rsidR="001A2FD6" w:rsidRPr="00805893" w:rsidRDefault="001A2FD6" w:rsidP="001A2FD6">
      <w:pPr>
        <w:pStyle w:val="Textonotapie"/>
        <w:ind w:firstLine="709"/>
        <w:jc w:val="both"/>
        <w:rPr>
          <w:rFonts w:ascii="Verdana" w:hAnsi="Verdana" w:cs="Arial"/>
          <w:sz w:val="16"/>
          <w:szCs w:val="16"/>
          <w:lang w:val="es-ES"/>
        </w:rPr>
      </w:pPr>
      <w:r w:rsidRPr="00805893">
        <w:rPr>
          <w:rFonts w:ascii="Verdana" w:hAnsi="Verdana" w:cs="Arial"/>
          <w:sz w:val="16"/>
          <w:szCs w:val="16"/>
        </w:rPr>
        <w:t>Artículo 6. De la verificación de las condiciones de los proponentes. T</w:t>
      </w:r>
      <w:r w:rsidRPr="00805893">
        <w:rPr>
          <w:rFonts w:ascii="Verdana" w:hAnsi="Verdana" w:cs="Arial"/>
          <w:sz w:val="16"/>
          <w:szCs w:val="16"/>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8EE9EF" w14:textId="77777777" w:rsidR="001A2FD6" w:rsidRPr="00805893" w:rsidRDefault="001A2FD6" w:rsidP="001A2FD6">
      <w:pPr>
        <w:pStyle w:val="Textonotapie"/>
        <w:ind w:firstLine="709"/>
        <w:jc w:val="both"/>
        <w:rPr>
          <w:rFonts w:ascii="Verdana" w:hAnsi="Verdana" w:cs="Arial"/>
          <w:sz w:val="16"/>
          <w:szCs w:val="16"/>
          <w:lang w:val="es-ES"/>
        </w:rPr>
      </w:pPr>
      <w:r w:rsidRPr="00805893">
        <w:rPr>
          <w:rFonts w:ascii="Verdana" w:hAnsi="Verdana"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0">
    <w:p w14:paraId="52B14FF6"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805893">
        <w:rPr>
          <w:rFonts w:ascii="Verdana" w:hAnsi="Verdana" w:cs="Arial"/>
          <w:i/>
          <w:iCs/>
          <w:sz w:val="16"/>
          <w:szCs w:val="16"/>
          <w:lang w:val="es-ES"/>
        </w:rPr>
        <w:t>el régimen de inhabilidades e incompatibilidades</w:t>
      </w:r>
      <w:r w:rsidRPr="00805893">
        <w:rPr>
          <w:rFonts w:ascii="Verdana" w:hAnsi="Verdana" w:cs="Arial"/>
          <w:sz w:val="16"/>
          <w:szCs w:val="16"/>
          <w:lang w:val="es-ES"/>
        </w:rPr>
        <w:t xml:space="preserve"> (1) y la obligación de ciertos proponentes de inscribirse en el </w:t>
      </w:r>
      <w:r w:rsidRPr="00805893">
        <w:rPr>
          <w:rFonts w:ascii="Verdana" w:hAnsi="Verdana" w:cs="Arial"/>
          <w:i/>
          <w:iCs/>
          <w:sz w:val="16"/>
          <w:szCs w:val="16"/>
          <w:lang w:val="es-ES"/>
        </w:rPr>
        <w:t>registro único</w:t>
      </w:r>
      <w:r w:rsidRPr="00805893">
        <w:rPr>
          <w:rFonts w:ascii="Verdana" w:hAnsi="Verdana" w:cs="Arial"/>
          <w:sz w:val="16"/>
          <w:szCs w:val="16"/>
          <w:lang w:val="es-ES"/>
        </w:rPr>
        <w:t xml:space="preserve"> (2)” (BENAVIDES, José Luis. El contrato estatal. Entre el Derecho público y el Derecho privado. 2ª ed. Bogotá: Universidad Externado de Colombia, 2004. p. 278). </w:t>
      </w:r>
    </w:p>
  </w:footnote>
  <w:footnote w:id="11">
    <w:p w14:paraId="77557DE9" w14:textId="77777777" w:rsidR="001A2FD6" w:rsidRPr="00805893" w:rsidRDefault="001A2FD6" w:rsidP="001A2FD6">
      <w:pPr>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footnote>
  <w:footnote w:id="12">
    <w:p w14:paraId="25CC42EA"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footnote>
  <w:footnote w:id="13">
    <w:p w14:paraId="282FDACF"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footnote>
  <w:footnote w:id="14">
    <w:p w14:paraId="4EE9FBD5" w14:textId="77777777" w:rsidR="001A2FD6" w:rsidRPr="00805893" w:rsidRDefault="001A2FD6" w:rsidP="001A2FD6">
      <w:pPr>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5">
    <w:p w14:paraId="016F02E8"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Ibídem. p. 69.</w:t>
      </w:r>
    </w:p>
  </w:footnote>
  <w:footnote w:id="16">
    <w:p w14:paraId="1ACF40AC"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 xml:space="preserve">CORTE CONSTITUCIONAL. Sentencia T-1039 de 2006. </w:t>
      </w:r>
      <w:r w:rsidRPr="007F2808">
        <w:rPr>
          <w:rFonts w:ascii="Verdana" w:hAnsi="Verdana" w:cs="Arial"/>
          <w:sz w:val="16"/>
          <w:szCs w:val="16"/>
          <w:lang w:val="it-CH"/>
        </w:rPr>
        <w:t xml:space="preserve">M.P. Humberto Sierra Porto. </w:t>
      </w:r>
      <w:r w:rsidRPr="00805893">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footnote>
  <w:footnote w:id="17">
    <w:p w14:paraId="1BF0B76B" w14:textId="77777777" w:rsidR="001A2FD6" w:rsidRPr="00805893" w:rsidRDefault="001A2FD6" w:rsidP="001A2FD6">
      <w:pPr>
        <w:pStyle w:val="Textonotapie"/>
        <w:ind w:firstLine="709"/>
        <w:jc w:val="both"/>
        <w:rPr>
          <w:rFonts w:ascii="Verdana" w:hAnsi="Verdana" w:cs="Arial"/>
          <w:sz w:val="16"/>
          <w:szCs w:val="16"/>
          <w:lang w:val="es-ES"/>
        </w:rPr>
      </w:pPr>
      <w:r w:rsidRPr="00805893">
        <w:rPr>
          <w:rStyle w:val="Refdenotaalpie"/>
          <w:rFonts w:ascii="Verdana" w:hAnsi="Verdana" w:cs="Arial"/>
          <w:sz w:val="16"/>
          <w:szCs w:val="16"/>
        </w:rPr>
        <w:footnoteRef/>
      </w:r>
      <w:r w:rsidRPr="00805893">
        <w:rPr>
          <w:rFonts w:ascii="Verdana" w:hAnsi="Verdana" w:cs="Arial"/>
          <w:sz w:val="16"/>
          <w:szCs w:val="16"/>
        </w:rPr>
        <w:t xml:space="preserve"> </w:t>
      </w:r>
      <w:r w:rsidRPr="00805893">
        <w:rPr>
          <w:rFonts w:ascii="Verdana" w:hAnsi="Verdana" w:cs="Arial"/>
          <w:sz w:val="16"/>
          <w:szCs w:val="16"/>
          <w:lang w:val="es-ES"/>
        </w:rPr>
        <w:t>CONSEJO DE ESTADO. Sala de Consulta y Servicio Civil. Concepto del 30 de abril de 2015. Exp. 2251. C.P. Álvaro Namén Vargas.</w:t>
      </w:r>
    </w:p>
  </w:footnote>
  <w:footnote w:id="18">
    <w:p w14:paraId="7CB933EF" w14:textId="77777777" w:rsidR="001A2FD6" w:rsidRPr="00805893" w:rsidRDefault="001A2FD6" w:rsidP="001A2FD6">
      <w:pPr>
        <w:pStyle w:val="Textonotapie"/>
        <w:ind w:firstLine="709"/>
        <w:jc w:val="both"/>
        <w:rPr>
          <w:rFonts w:ascii="Verdana" w:hAnsi="Verdana" w:cs="Arial"/>
          <w:sz w:val="16"/>
          <w:szCs w:val="16"/>
        </w:rPr>
      </w:pPr>
      <w:r w:rsidRPr="00805893">
        <w:rPr>
          <w:rStyle w:val="Refdenotaalpie"/>
          <w:rFonts w:ascii="Verdana" w:hAnsi="Verdana" w:cs="Arial"/>
          <w:sz w:val="16"/>
          <w:szCs w:val="16"/>
        </w:rPr>
        <w:footnoteRef/>
      </w:r>
      <w:r w:rsidRPr="00805893">
        <w:rPr>
          <w:rFonts w:ascii="Verdana" w:hAnsi="Verdana" w:cs="Arial"/>
          <w:sz w:val="16"/>
          <w:szCs w:val="16"/>
        </w:rPr>
        <w:t xml:space="preserve"> CONSEJO DE ESTADO. Sección Tercera. Subsección A. Sentencia del 24 de junio de 2015. Exp. 40.635. C.P. Hernán Andrade Rincón (E).</w:t>
      </w:r>
    </w:p>
  </w:footnote>
  <w:footnote w:id="19">
    <w:p w14:paraId="680A58E3" w14:textId="77777777" w:rsidR="001A2FD6" w:rsidRPr="00805893" w:rsidRDefault="001A2FD6" w:rsidP="001A2FD6">
      <w:pPr>
        <w:pStyle w:val="Textonotapie"/>
        <w:ind w:firstLine="709"/>
        <w:jc w:val="both"/>
        <w:rPr>
          <w:rFonts w:ascii="Verdana" w:hAnsi="Verdana" w:cs="Arial"/>
          <w:sz w:val="16"/>
          <w:szCs w:val="16"/>
          <w:lang w:val="es-ES_tradnl"/>
        </w:rPr>
      </w:pPr>
      <w:r w:rsidRPr="00805893">
        <w:rPr>
          <w:rStyle w:val="Refdenotaalpie"/>
          <w:rFonts w:ascii="Verdana" w:hAnsi="Verdana" w:cs="Arial"/>
          <w:sz w:val="16"/>
          <w:szCs w:val="16"/>
        </w:rPr>
        <w:footnoteRef/>
      </w:r>
      <w:r w:rsidRPr="00805893">
        <w:rPr>
          <w:rFonts w:ascii="Verdana" w:hAnsi="Verdana" w:cs="Arial"/>
          <w:sz w:val="16"/>
          <w:szCs w:val="16"/>
        </w:rPr>
        <w:t xml:space="preserve"> CONSEJO DE ESTADO. Sección Tercera. Subsección C. Sentencia del 22 de mayo de 2013. Rad. 24.057. C.P. Olga Mélida Valle De De La Hoz. </w:t>
      </w:r>
    </w:p>
  </w:footnote>
  <w:footnote w:id="20">
    <w:p w14:paraId="7000E4D6" w14:textId="77777777" w:rsidR="001A2FD6" w:rsidRPr="008A1F41" w:rsidRDefault="001A2FD6" w:rsidP="001A2FD6">
      <w:pPr>
        <w:pStyle w:val="Textonotapie"/>
        <w:ind w:firstLine="709"/>
        <w:jc w:val="both"/>
        <w:rPr>
          <w:rFonts w:ascii="Verdana" w:hAnsi="Verdana" w:cs="Arial"/>
          <w:sz w:val="16"/>
          <w:szCs w:val="16"/>
          <w:lang w:val="es-CO"/>
        </w:rPr>
      </w:pPr>
      <w:r w:rsidRPr="00805893">
        <w:rPr>
          <w:rStyle w:val="Refdenotaalpie"/>
          <w:rFonts w:ascii="Verdana" w:hAnsi="Verdana" w:cs="Arial"/>
          <w:sz w:val="16"/>
          <w:szCs w:val="16"/>
        </w:rPr>
        <w:footnoteRef/>
      </w:r>
      <w:r w:rsidRPr="008A1F41">
        <w:rPr>
          <w:rFonts w:ascii="Verdana" w:hAnsi="Verdana" w:cs="Arial"/>
          <w:sz w:val="16"/>
          <w:szCs w:val="16"/>
          <w:lang w:val="pt-BR"/>
        </w:rPr>
        <w:t xml:space="preserve"> </w:t>
      </w:r>
      <w:r w:rsidRPr="00805893">
        <w:rPr>
          <w:rFonts w:ascii="Verdana" w:hAnsi="Verdana" w:cs="Arial"/>
          <w:sz w:val="16"/>
          <w:szCs w:val="16"/>
          <w:lang w:val="pt-BR"/>
        </w:rPr>
        <w:t xml:space="preserve">Corte Constitucional. Sentencia C-415 de 1994. </w:t>
      </w:r>
      <w:r w:rsidRPr="008A1F41">
        <w:rPr>
          <w:rFonts w:ascii="Verdana" w:hAnsi="Verdana" w:cs="Arial"/>
          <w:sz w:val="16"/>
          <w:szCs w:val="16"/>
          <w:lang w:val="es-CO"/>
        </w:rPr>
        <w:t>M.P. Eduardo Cifuentes Muñoz.</w:t>
      </w:r>
    </w:p>
  </w:footnote>
  <w:footnote w:id="21">
    <w:p w14:paraId="6D57E6EB" w14:textId="77777777" w:rsidR="001A2FD6" w:rsidRPr="00EC4B47" w:rsidRDefault="001A2FD6" w:rsidP="001A2FD6">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6042A4E7"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77BD2288"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2DE2BBD6"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6E4CC11A"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La aplicación de las equivalencias relacionadas con la nomenclatura de empleos, en ningún caso conllevará incrementos salariales».</w:t>
      </w:r>
    </w:p>
    <w:p w14:paraId="119903C6"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Decreto 785 de 2005: </w:t>
      </w:r>
      <w:r w:rsidRPr="00EC4B47">
        <w:rPr>
          <w:rFonts w:ascii="Verdana" w:hAnsi="Verdana" w:cs="Arial"/>
          <w:color w:val="000000"/>
          <w:sz w:val="16"/>
          <w:szCs w:val="16"/>
        </w:rPr>
        <w:t>«</w:t>
      </w:r>
      <w:r w:rsidRPr="00EC4B47">
        <w:rPr>
          <w:rFonts w:ascii="Verdana" w:hAnsi="Verdana" w:cs="Arial"/>
          <w:color w:val="000000"/>
          <w:sz w:val="16"/>
          <w:szCs w:val="16"/>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36328A30"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4BEC2350"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3D137FAA"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Hasta que dichas modificaciones se realicen continuarán vigentes las siguientes denominaciones de empleo correspondientes al nivel ejecutivo, así: </w:t>
      </w:r>
    </w:p>
    <w:p w14:paraId="3015812A"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4408EB05"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footnote>
  <w:footnote w:id="22">
    <w:p w14:paraId="252CF297" w14:textId="77777777" w:rsidR="001A2FD6" w:rsidRPr="00EC4B47" w:rsidRDefault="001A2FD6" w:rsidP="001A2FD6">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 xml:space="preserve">Decreto 770 de 2005: «Artículo 4. Naturaleza general de las funciones. A los empleos agrupados en los niveles jerárquicos de que trata el artículo anterior, les corresponden las siguientes funciones generales: </w:t>
      </w:r>
    </w:p>
    <w:p w14:paraId="4863412E" w14:textId="77777777" w:rsidR="001A2FD6" w:rsidRPr="00EC4B47" w:rsidRDefault="001A2FD6" w:rsidP="001A2FD6">
      <w:pPr>
        <w:pStyle w:val="Textonotapie"/>
        <w:ind w:firstLine="708"/>
        <w:jc w:val="both"/>
        <w:rPr>
          <w:rFonts w:ascii="Verdana" w:hAnsi="Verdana" w:cs="Arial"/>
          <w:color w:val="000000"/>
          <w:sz w:val="16"/>
          <w:szCs w:val="16"/>
        </w:rPr>
      </w:pPr>
      <w:r w:rsidRPr="00EC4B47">
        <w:rPr>
          <w:rFonts w:ascii="Verdana" w:hAnsi="Verdana" w:cs="Arial"/>
          <w:color w:val="000000"/>
          <w:sz w:val="16"/>
          <w:szCs w:val="16"/>
        </w:rPr>
        <w:t>4.1 Nivel Directivo. Comprende los empleos a los cuales corresponden funciones de dirección general, de formulación de políticas institucionales y de adopción de planes, programas y proyectos.</w:t>
      </w:r>
    </w:p>
    <w:p w14:paraId="22C84FA3" w14:textId="77777777" w:rsidR="001A2FD6" w:rsidRPr="00EC4B47" w:rsidRDefault="001A2FD6" w:rsidP="001A2FD6">
      <w:pPr>
        <w:pStyle w:val="Textonotapie"/>
        <w:ind w:firstLine="708"/>
        <w:jc w:val="both"/>
        <w:rPr>
          <w:rFonts w:ascii="Verdana" w:hAnsi="Verdana" w:cs="Arial"/>
          <w:color w:val="000000"/>
          <w:sz w:val="16"/>
          <w:szCs w:val="16"/>
        </w:rPr>
      </w:pPr>
      <w:r w:rsidRPr="00EC4B47">
        <w:rPr>
          <w:rFonts w:ascii="Verdana" w:hAnsi="Verdana" w:cs="Arial"/>
          <w:color w:val="000000"/>
          <w:sz w:val="16"/>
          <w:szCs w:val="16"/>
        </w:rPr>
        <w:t>4.2 Nivel Asesor. Agrupa los empleos cuyas funciones consisten en asistir, aconsejar y asesorar directamente a los empleados públicos de la alta dirección de la rama ejecutiva del orden nacional</w:t>
      </w:r>
      <w:r w:rsidRPr="00EC4B47">
        <w:rPr>
          <w:rFonts w:ascii="Verdana" w:hAnsi="Verdana" w:cs="Arial"/>
          <w:color w:val="000000"/>
          <w:sz w:val="16"/>
          <w:szCs w:val="16"/>
          <w:lang w:val="es-ES"/>
        </w:rPr>
        <w:t>»</w:t>
      </w:r>
    </w:p>
    <w:p w14:paraId="79A3F674"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Decreto 785 de 2005: «Artículo 4. Naturaleza general de las funciones. A los empleos agrupados en los niveles jerárquicos de que trata el artículo anterior, les corresponden las siguientes funciones generales: </w:t>
      </w:r>
    </w:p>
    <w:p w14:paraId="2232C2F8"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4.1. Nivel Directivo. Comprende los empleos a los cuales corresponden funciones de Dirección General, de formulación de políticas institucionales y de adopción de planes, programas y proyectos.  </w:t>
      </w:r>
    </w:p>
    <w:p w14:paraId="106E5D44" w14:textId="77777777" w:rsidR="001A2FD6" w:rsidRPr="00EC4B47" w:rsidRDefault="001A2FD6" w:rsidP="001A2FD6">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4.2.  Nivel Asesor. Agrupa los empleos cuyas funciones consisten en asistir, aconsejar y asesorar directamente a los empleados públicos de la alta dirección territorial».</w:t>
      </w:r>
    </w:p>
    <w:p w14:paraId="74FCC3E1" w14:textId="77777777" w:rsidR="001A2FD6" w:rsidRPr="00EC4B47" w:rsidRDefault="001A2FD6" w:rsidP="001A2FD6">
      <w:pPr>
        <w:pStyle w:val="Textonotapie"/>
        <w:jc w:val="both"/>
        <w:rPr>
          <w:rFonts w:ascii="Verdana" w:hAnsi="Verdana"/>
          <w:sz w:val="16"/>
          <w:szCs w:val="16"/>
          <w:lang w:val="es-ES"/>
        </w:rPr>
      </w:pPr>
    </w:p>
  </w:footnote>
  <w:footnote w:id="23">
    <w:p w14:paraId="1FF38833"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footnote>
  <w:footnote w:id="24">
    <w:p w14:paraId="5CBCD0EF"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El artículo 13 de la Ley 1150 de 2007 dispone que “</w:t>
      </w:r>
      <w:r w:rsidRPr="00EC4B47">
        <w:rPr>
          <w:rFonts w:ascii="Verdana" w:hAnsi="Verdana" w:cs="Arial"/>
          <w:sz w:val="16"/>
          <w:szCs w:val="16"/>
          <w:lang w:val="es-CO"/>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r w:rsidRPr="00EC4B47">
        <w:rPr>
          <w:rFonts w:ascii="Verdana" w:hAnsi="Verdana" w:cs="Arial"/>
          <w:sz w:val="16"/>
          <w:szCs w:val="16"/>
        </w:rPr>
        <w:t>”.</w:t>
      </w:r>
    </w:p>
  </w:footnote>
  <w:footnote w:id="25">
    <w:p w14:paraId="52A85ACF"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Los efectos de esta restricción deben armonizarse con el parágrafo tercero del artículo 49 de la Ley 617 de 2000, el cual dispone que “Tratándose de concejales de municipios de cuarta, quinta y sexta categoría, las prohibiciones establecidas en el presente artículo se aplicarán únicamente para los cónyuges o compañeros permanentes y parientes hasta el segundo grado de consanguinidad, primero de afinidad o único civil”.</w:t>
      </w:r>
    </w:p>
    <w:p w14:paraId="1FB085F3" w14:textId="77777777" w:rsidR="001A2FD6" w:rsidRPr="00EC4B47" w:rsidRDefault="001A2FD6" w:rsidP="001A2FD6">
      <w:pPr>
        <w:pStyle w:val="Textonotapie"/>
        <w:jc w:val="both"/>
        <w:rPr>
          <w:rFonts w:ascii="Verdana" w:hAnsi="Verdana"/>
          <w:sz w:val="16"/>
          <w:szCs w:val="16"/>
          <w:lang w:val="es-ES_tradnl"/>
        </w:rPr>
      </w:pPr>
    </w:p>
  </w:footnote>
  <w:footnote w:id="26">
    <w:p w14:paraId="520F9172"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Teniendo en cuenta que el artículo 352 superior dispone que la Ley Orgánica del Presupuesto regulará la capacidad de los organismos y entidades estatales para contratar, la competencia contractual de los concejos y las asambleas deriva del artículo 110 del Decreto 111 de 1996, modificada por el artículo 124 de la Ley 1957 de 2019. La norma dispone lo siguiente: </w:t>
      </w:r>
    </w:p>
    <w:p w14:paraId="3A4B97E8" w14:textId="77777777" w:rsidR="001A2FD6" w:rsidRPr="00EC4B47" w:rsidRDefault="001A2FD6" w:rsidP="001A2FD6">
      <w:pPr>
        <w:pStyle w:val="Textonotapie"/>
        <w:ind w:firstLine="708"/>
        <w:jc w:val="both"/>
        <w:rPr>
          <w:rFonts w:ascii="Verdana" w:hAnsi="Verdana" w:cs="Arial"/>
          <w:sz w:val="16"/>
          <w:szCs w:val="16"/>
        </w:rPr>
      </w:pPr>
      <w:r w:rsidRPr="00EC4B47">
        <w:rPr>
          <w:rFonts w:ascii="Verdana" w:hAnsi="Verdana" w:cs="Arial"/>
          <w:sz w:val="16"/>
          <w:szCs w:val="16"/>
        </w:rPr>
        <w:t xml:space="preserve">“Los órganos que son una sección en el Presupuesto General de la Nación, </w:t>
      </w:r>
      <w:r w:rsidRPr="00EC4B47">
        <w:rPr>
          <w:rFonts w:ascii="Verdana" w:hAnsi="Verdana" w:cs="Arial"/>
          <w:i/>
          <w:iCs/>
          <w:sz w:val="16"/>
          <w:szCs w:val="16"/>
        </w:rPr>
        <w:t>tendrán la capacidad de contratar</w:t>
      </w:r>
      <w:r w:rsidRPr="00EC4B47">
        <w:rPr>
          <w:rFonts w:ascii="Verdana" w:hAnsi="Verdana" w:cs="Arial"/>
          <w:sz w:val="16"/>
          <w:szCs w:val="16"/>
        </w:rPr>
        <w:t xml:space="preserve"> 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EC4B47">
        <w:rPr>
          <w:rFonts w:ascii="Verdana" w:hAnsi="Verdana" w:cs="Arial"/>
          <w:i/>
          <w:iCs/>
          <w:sz w:val="16"/>
          <w:szCs w:val="16"/>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EC4B47">
        <w:rPr>
          <w:rFonts w:ascii="Verdana" w:hAnsi="Verdana" w:cs="Arial"/>
          <w:sz w:val="16"/>
          <w:szCs w:val="16"/>
        </w:rPr>
        <w:t xml:space="preserve">. </w:t>
      </w:r>
    </w:p>
    <w:p w14:paraId="010F82CA" w14:textId="77777777" w:rsidR="001A2FD6" w:rsidRPr="00EC4B47" w:rsidRDefault="001A2FD6" w:rsidP="001A2FD6">
      <w:pPr>
        <w:pStyle w:val="Textonotapie"/>
        <w:ind w:firstLine="708"/>
        <w:jc w:val="both"/>
        <w:rPr>
          <w:rFonts w:ascii="Verdana" w:hAnsi="Verdana" w:cs="Arial"/>
          <w:sz w:val="16"/>
          <w:szCs w:val="16"/>
        </w:rPr>
      </w:pPr>
      <w:r w:rsidRPr="00EC4B47">
        <w:rPr>
          <w:rFonts w:ascii="Verdana" w:hAnsi="Verdana" w:cs="Arial"/>
          <w:sz w:val="16"/>
          <w:szCs w:val="16"/>
        </w:rPr>
        <w:t xml:space="preserve">[…] </w:t>
      </w:r>
    </w:p>
    <w:p w14:paraId="4B193B40" w14:textId="77777777" w:rsidR="001A2FD6" w:rsidRPr="00EC4B47" w:rsidRDefault="001A2FD6" w:rsidP="001A2FD6">
      <w:pPr>
        <w:pStyle w:val="Textonotapie"/>
        <w:ind w:firstLine="708"/>
        <w:jc w:val="both"/>
        <w:rPr>
          <w:rFonts w:ascii="Verdana" w:hAnsi="Verdana" w:cs="Arial"/>
          <w:sz w:val="16"/>
          <w:szCs w:val="16"/>
        </w:rPr>
      </w:pPr>
      <w:r w:rsidRPr="00EC4B47">
        <w:rPr>
          <w:rFonts w:ascii="Verdana" w:hAnsi="Verdana" w:cs="Arial"/>
          <w:sz w:val="16"/>
          <w:szCs w:val="16"/>
        </w:rPr>
        <w:t xml:space="preserve">En los mismos términos y condiciones tendrán estas capacidades las Superintendencias, Unidades Administrativas Especiales, las Entidades Territoriales, </w:t>
      </w:r>
      <w:r w:rsidRPr="00EC4B47">
        <w:rPr>
          <w:rFonts w:ascii="Verdana" w:hAnsi="Verdana" w:cs="Arial"/>
          <w:i/>
          <w:iCs/>
          <w:sz w:val="16"/>
          <w:szCs w:val="16"/>
        </w:rPr>
        <w:t>Asambleas y Concejos</w:t>
      </w:r>
      <w:r w:rsidRPr="00EC4B47">
        <w:rPr>
          <w:rFonts w:ascii="Verdana" w:hAnsi="Verdana" w:cs="Arial"/>
          <w:sz w:val="16"/>
          <w:szCs w:val="16"/>
        </w:rPr>
        <w:t xml:space="preserve">, las Contralorías y Personerías Territoriales y todos los demás órganos estatales de cualquier nivel que tengan personería jurídica. </w:t>
      </w:r>
    </w:p>
    <w:p w14:paraId="2202E51D" w14:textId="77777777" w:rsidR="001A2FD6" w:rsidRPr="00EC4B47" w:rsidRDefault="001A2FD6" w:rsidP="001A2FD6">
      <w:pPr>
        <w:pStyle w:val="Textonotapie"/>
        <w:ind w:firstLine="708"/>
        <w:jc w:val="both"/>
        <w:rPr>
          <w:rFonts w:ascii="Verdana" w:hAnsi="Verdana" w:cs="Arial"/>
          <w:sz w:val="16"/>
          <w:szCs w:val="16"/>
          <w:lang w:val="es-ES"/>
        </w:rPr>
      </w:pPr>
      <w:r w:rsidRPr="00EC4B47">
        <w:rPr>
          <w:rFonts w:ascii="Verdana" w:hAnsi="Verdana" w:cs="Arial"/>
          <w:sz w:val="16"/>
          <w:szCs w:val="16"/>
        </w:rPr>
        <w:t xml:space="preserve">En todo caso, el Presidente de la República podrá celebrar contratos a nombre de la Nación” (Énfasis fuera de texto).  </w:t>
      </w:r>
    </w:p>
    <w:p w14:paraId="641C46D3" w14:textId="77777777" w:rsidR="001A2FD6" w:rsidRPr="00EC4B47" w:rsidRDefault="001A2FD6" w:rsidP="001A2FD6">
      <w:pPr>
        <w:pStyle w:val="Textonotapie"/>
        <w:jc w:val="both"/>
        <w:rPr>
          <w:rFonts w:ascii="Verdana" w:hAnsi="Verdana"/>
          <w:sz w:val="16"/>
          <w:szCs w:val="16"/>
          <w:lang w:val="es-ES"/>
        </w:rPr>
      </w:pPr>
    </w:p>
  </w:footnote>
  <w:footnote w:id="27">
    <w:p w14:paraId="2BD5FCD2" w14:textId="77777777" w:rsidR="001A2FD6" w:rsidRPr="00EC4B47" w:rsidRDefault="001A2FD6" w:rsidP="001A2FD6">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De esta manera, la doctrina anota que «[…] Los conceptos de “regla general” y “regla particular” son correlativas. Una regla es particular en relación con otra si hecho condicionante es un caso particular del hecho condicionante de la otra regla […]» (Cfr. ROSS, Alf. Sobre el derecho y la justicia. Quinta edición. Buenos Aires: EUDEBA, 1994. p. 125).</w:t>
      </w:r>
    </w:p>
  </w:footnote>
  <w:footnote w:id="28">
    <w:p w14:paraId="4B50DAE8"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En efecto, “Si de las dos normas incompatibles una tiene un ámbito de validez igual al de la otra, pero más restringido o, en otras palabras, su ámbito de validez es en parte igual y en parte diverso con relación a la otra, hay una antinomia total de la primera respecto a la segunda, y solo parcial de la segunda respecto a la primera, lo que podemos denominar total-parcial. La primera norma no puede aplicarse en ningún caso sin entrar el conflicto con la segunda, la segunda tiene un ámbito de aplicación que no entra en conflicto con la primera […]” (Cfr. BOBBIO, Norberto. Teoría general del derecho. Tercera edición. Bogotá: Temis, 2012. p. 193).  </w:t>
      </w:r>
    </w:p>
  </w:footnote>
  <w:footnote w:id="29">
    <w:p w14:paraId="77EACF38"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DÍEZ-PICAZO, Luis María. La derogación de las leyes. Madrid: Editorial Civitas, 1990. pp. 351 y ss. Este problema es diferente al que surge entre la “ley especial anterior» y la «regla general posterior», pues en estos casos «[…] la preferencia por la norma especial sobre la norma posterior no puede tener jamás un valor absoluto, porque razones de orden teleológico pueden impeler a dar prioridad a la </w:t>
      </w:r>
      <w:r w:rsidRPr="00EC4B47">
        <w:rPr>
          <w:rFonts w:ascii="Verdana" w:hAnsi="Verdana" w:cs="Arial"/>
          <w:i/>
          <w:iCs/>
          <w:sz w:val="16"/>
          <w:szCs w:val="16"/>
        </w:rPr>
        <w:t>lex posterior generalis</w:t>
      </w:r>
      <w:r w:rsidRPr="00EC4B47">
        <w:rPr>
          <w:rFonts w:ascii="Verdana" w:hAnsi="Verdana" w:cs="Arial"/>
          <w:sz w:val="16"/>
          <w:szCs w:val="16"/>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EC4B47">
        <w:rPr>
          <w:rFonts w:ascii="Verdana" w:hAnsi="Verdana" w:cs="Arial"/>
          <w:i/>
          <w:iCs/>
          <w:sz w:val="16"/>
          <w:szCs w:val="16"/>
        </w:rPr>
        <w:t>lex posterior generalis non derogat legi priori speciali</w:t>
      </w:r>
      <w:r w:rsidRPr="00EC4B47">
        <w:rPr>
          <w:rFonts w:ascii="Verdana" w:hAnsi="Verdana" w:cs="Arial"/>
          <w:sz w:val="16"/>
          <w:szCs w:val="16"/>
        </w:rPr>
        <w:t xml:space="preserve"> opera como una mera presunción hermenéutica, que puede ser destruida por una clara </w:t>
      </w:r>
      <w:r w:rsidRPr="00EC4B47">
        <w:rPr>
          <w:rFonts w:ascii="Verdana" w:hAnsi="Verdana" w:cs="Arial"/>
          <w:i/>
          <w:iCs/>
          <w:sz w:val="16"/>
          <w:szCs w:val="16"/>
        </w:rPr>
        <w:t>voluntas legis</w:t>
      </w:r>
      <w:r w:rsidRPr="00EC4B47">
        <w:rPr>
          <w:rFonts w:ascii="Verdana" w:hAnsi="Verdana" w:cs="Arial"/>
          <w:sz w:val="16"/>
          <w:szCs w:val="16"/>
        </w:rPr>
        <w:t xml:space="preserve"> de sentido contrario (</w:t>
      </w:r>
      <w:r w:rsidRPr="00EC4B47">
        <w:rPr>
          <w:rFonts w:ascii="Verdana" w:hAnsi="Verdana" w:cs="Arial"/>
          <w:i/>
          <w:iCs/>
          <w:sz w:val="16"/>
          <w:szCs w:val="16"/>
        </w:rPr>
        <w:t>Ibidem</w:t>
      </w:r>
      <w:r w:rsidRPr="00EC4B47">
        <w:rPr>
          <w:rFonts w:ascii="Verdana" w:hAnsi="Verdana" w:cs="Arial"/>
          <w:sz w:val="16"/>
          <w:szCs w:val="16"/>
        </w:rPr>
        <w:t>. p. 363).</w:t>
      </w:r>
    </w:p>
  </w:footnote>
  <w:footnote w:id="30">
    <w:p w14:paraId="061C887D"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Estos casos de participación subrepticia de terceros guardan similitud con la teoría del fraude simulatorio relacionado con la identidad de las partes. Al respecto, la doctrina explica lo siguiente: “[…] la declaración pública acerca de la naturaleza del negocio y de sus condiciones corresponde a una intensión real; pero, de ordinario, para eludir las prohibiciones legales tocantes con la capacidad de las partes, se recurre a una operación triangular, mediante la interposición de un testaferro u hombre de paja, quien sin tener interés en el negocio, se presta a desviar los efectos de este, primeramente hacia sí, para luego trasladárselos, mediante otro acto, a quien verdaderamente está llamado a recibirlos […]” (Cfr. OSPINA FERNÁNDEZ, Guillermo y OSPINA ACOSTA, Eduardo. Teoría general del contrato y del negocio jurídico. Quinta edición. Bogotá: Temis, 1998. p. 113).  </w:t>
      </w:r>
    </w:p>
  </w:footnote>
  <w:footnote w:id="31">
    <w:p w14:paraId="0FACE1AE"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Corte Suprema de Justicia. Sala de Casación Civil. Sentencia del 17 de mayo de 1976. M.P. Humberto Murcia Ballén. Publicada en la Gaceta Judicial. Tomo CLII. Nº 2393. p. 153. En el mismo sentido, la doctrina explica que «Lo que verdaderamente ocurre en el estado actual del derecho es que la ley presume que por el solo hecho de celebrarse el contrato de mandato queda autorizado el mandatario para desempeñar su cometido en representación del mandante. Esto con el objeto de simplificar la labor del mandatario, quien obrando de este modo no se obliga personalmente respecto de los terceros con quienes contrata, ni al término de su gestión se verá en la necesidad de traspasar al mandante los créditos derivados del negocio realizado por su cuenta. </w:t>
      </w:r>
      <w:r w:rsidRPr="00EC4B47">
        <w:rPr>
          <w:rFonts w:ascii="Verdana" w:hAnsi="Verdana" w:cs="Arial"/>
          <w:i/>
          <w:iCs/>
          <w:sz w:val="16"/>
          <w:szCs w:val="16"/>
        </w:rPr>
        <w:t>Pero nada obsta a que el mandatario desestime esa facultad y contrate a su propio nombre, ni a que así lo estipulen expresamente el mandante y el mandatario en el mismo contrato de mandato o posteriormente, en cuyo caso el mandatario ejecutará el negocio por cuenta del mandante, pero en su propio nombre, y entonces, terminada la gestión deberá traspasar al mandante los créditos y las obligaciones adquiridos y contraídas, de que se hará responsable el mandante</w:t>
      </w:r>
      <w:r w:rsidRPr="00EC4B47">
        <w:rPr>
          <w:rFonts w:ascii="Verdana" w:hAnsi="Verdana" w:cs="Arial"/>
          <w:sz w:val="16"/>
          <w:szCs w:val="16"/>
        </w:rPr>
        <w:t xml:space="preserve"> […]» (Cfr. STITCHKIN BRANOVER, David. El mandato civil. Quinta edición. Santiago: Editorial Jurídica de Chile, 2009. p. 31). </w:t>
      </w:r>
    </w:p>
  </w:footnote>
  <w:footnote w:id="32">
    <w:p w14:paraId="765A8183"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HINESTROSA, Fernando. La representación. Bogotá: Universidad Externando de Colombia, 2008. pp. 377-378. En este contexto, “[…] el mandato no es representativo, porque puede darse en el evento de que el mandatario oculte la calidad con que actúe frente a terceros, o sea que, obrando para el mandante, no indique su condición de mandatario, lo que se conoce ordinariamente como representación indirecta o mediata, en contraposición a la directa o inmediata en donde la calidad de mandatario es puesta de presente al ejecutar el acto jurídico […]” (Cfr. BONIVENTO FERNÁNDEZ, Alejandro. Los principales contratos civiles y su paralelo con los comerciales. Decimosexta edición. Bogotá: Librería Ediciones del Profesional LTDA, 2004. pp. 592-593).   </w:t>
      </w:r>
    </w:p>
  </w:footnote>
  <w:footnote w:id="33">
    <w:p w14:paraId="09276C5D"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Quinta. Sentencia del 19 de enero de 2006. Rad. 3875. C.P. Darío Quiñones Pinilla.</w:t>
      </w:r>
    </w:p>
  </w:footnote>
  <w:footnote w:id="34">
    <w:p w14:paraId="4874E34F" w14:textId="77777777" w:rsidR="001A2FD6" w:rsidRPr="00EC4B47" w:rsidRDefault="001A2FD6" w:rsidP="001A2FD6">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Primera. Sentencia del 3 de julio de 2014. Exp. 17001-23-33-000-2013-00145-01 (PI). C.P. María Claudia Rojas Lasso.</w:t>
      </w:r>
    </w:p>
  </w:footnote>
  <w:footnote w:id="35">
    <w:p w14:paraId="47411807" w14:textId="77777777" w:rsidR="001A2FD6" w:rsidRPr="00EC4B47" w:rsidRDefault="001A2FD6" w:rsidP="001A2FD6">
      <w:pPr>
        <w:pStyle w:val="Textonotapie"/>
        <w:ind w:firstLine="708"/>
        <w:rPr>
          <w:rFonts w:ascii="Verdana" w:hAnsi="Verdana"/>
          <w:sz w:val="16"/>
          <w:szCs w:val="16"/>
          <w:lang w:val="es-CO"/>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Corte Constitucional. Sentencia C-348 de 2004. </w:t>
      </w:r>
      <w:r w:rsidRPr="00EC4B47">
        <w:rPr>
          <w:rFonts w:ascii="Verdana" w:hAnsi="Verdana" w:cs="Arial"/>
          <w:sz w:val="16"/>
          <w:szCs w:val="16"/>
          <w:lang w:val="es-CO"/>
        </w:rPr>
        <w:t>M.P. Jaime Córdoba Triviño.</w:t>
      </w:r>
    </w:p>
  </w:footnote>
  <w:footnote w:id="36">
    <w:p w14:paraId="2743A594" w14:textId="77777777" w:rsidR="001A2FD6" w:rsidRPr="00EC4B47" w:rsidRDefault="001A2FD6" w:rsidP="001A2FD6">
      <w:pPr>
        <w:pStyle w:val="Textonotapie"/>
        <w:ind w:firstLine="708"/>
        <w:rPr>
          <w:rFonts w:ascii="Verdana" w:hAnsi="Verdana"/>
          <w:sz w:val="16"/>
          <w:szCs w:val="16"/>
          <w:lang w:val="es-ES"/>
        </w:rPr>
      </w:pPr>
      <w:r w:rsidRPr="00EC4B47">
        <w:rPr>
          <w:rStyle w:val="Refdenotaalpie"/>
          <w:rFonts w:ascii="Verdana" w:hAnsi="Verdana"/>
          <w:sz w:val="16"/>
          <w:szCs w:val="16"/>
        </w:rPr>
        <w:footnoteRef/>
      </w:r>
      <w:r w:rsidRPr="00EC4B47">
        <w:rPr>
          <w:rFonts w:ascii="Verdana" w:hAnsi="Verdana"/>
          <w:sz w:val="16"/>
          <w:szCs w:val="16"/>
        </w:rPr>
        <w:t xml:space="preserve"> Corte Constitucional. Sentencia C-087 de 2024. M.P. Antonio José Lizarazo Ocampo. </w:t>
      </w:r>
    </w:p>
  </w:footnote>
  <w:footnote w:id="37">
    <w:p w14:paraId="6933DADB" w14:textId="77777777" w:rsidR="001A2FD6" w:rsidRPr="00EC4B47" w:rsidRDefault="001A2FD6" w:rsidP="001A2FD6">
      <w:pPr>
        <w:pStyle w:val="Textonotapie"/>
        <w:ind w:right="-235" w:firstLine="708"/>
        <w:jc w:val="both"/>
        <w:rPr>
          <w:rFonts w:ascii="Verdana" w:hAnsi="Verdana"/>
          <w:sz w:val="16"/>
          <w:szCs w:val="16"/>
        </w:rPr>
      </w:pPr>
      <w:r w:rsidRPr="00EC4B47">
        <w:rPr>
          <w:rStyle w:val="Refdenotaalpie"/>
          <w:rFonts w:ascii="Verdana" w:hAnsi="Verdana"/>
          <w:sz w:val="16"/>
          <w:szCs w:val="16"/>
        </w:rPr>
        <w:footnoteRef/>
      </w:r>
      <w:r w:rsidRPr="00EC4B47">
        <w:rPr>
          <w:rFonts w:ascii="Verdana" w:hAnsi="Verdana"/>
          <w:sz w:val="16"/>
          <w:szCs w:val="16"/>
        </w:rPr>
        <w:t xml:space="preserve"> “Corte Constitucional. Sentencia C-348 de 2004. M.P. Jaime Córdoba Triviño. </w:t>
      </w:r>
    </w:p>
  </w:footnote>
  <w:footnote w:id="38">
    <w:p w14:paraId="055FF754" w14:textId="77777777" w:rsidR="001A2FD6" w:rsidRPr="00C23857" w:rsidRDefault="001A2FD6" w:rsidP="001A2FD6">
      <w:pPr>
        <w:pStyle w:val="Textonotapie"/>
        <w:ind w:right="-234" w:firstLine="708"/>
        <w:jc w:val="both"/>
        <w:rPr>
          <w:rFonts w:ascii="Verdana" w:hAnsi="Verdana"/>
          <w:sz w:val="6"/>
          <w:szCs w:val="6"/>
        </w:rPr>
      </w:pPr>
      <w:r w:rsidRPr="00EC4B47">
        <w:rPr>
          <w:rStyle w:val="Refdenotaalpie"/>
          <w:rFonts w:ascii="Verdana" w:hAnsi="Verdana"/>
          <w:sz w:val="16"/>
          <w:szCs w:val="16"/>
        </w:rPr>
        <w:footnoteRef/>
      </w:r>
      <w:r w:rsidRPr="00EC4B47">
        <w:rPr>
          <w:rFonts w:ascii="Verdana" w:hAnsi="Verdana"/>
          <w:sz w:val="16"/>
          <w:szCs w:val="16"/>
        </w:rPr>
        <w:t xml:space="preserve"> “Al momento de proferir la sentencia C-348/04, la norma en cuestión se encontraba en el inciso tercero del </w:t>
      </w:r>
      <w:r w:rsidRPr="00EC4B47">
        <w:rPr>
          <w:rFonts w:ascii="Verdana" w:hAnsi="Verdana"/>
          <w:bCs/>
          <w:sz w:val="16"/>
          <w:szCs w:val="16"/>
        </w:rPr>
        <w:t>artículo 49 de la Ley 617 de 2000, reformado por el artículo 1 de la Ley 821 de 2003. Actualmente, la norma se encuentra en el inciso tercero del artículo 1 de la Ley 1148 de 2007, modificado por el artículo 1 de la Ley 1296 de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C76E41"/>
    <w:multiLevelType w:val="multilevel"/>
    <w:tmpl w:val="02D6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D1376CE"/>
    <w:multiLevelType w:val="hybridMultilevel"/>
    <w:tmpl w:val="0DE68D62"/>
    <w:lvl w:ilvl="0" w:tplc="040A0001">
      <w:start w:val="1"/>
      <w:numFmt w:val="bullet"/>
      <w:lvlText w:val=""/>
      <w:lvlJc w:val="left"/>
      <w:pPr>
        <w:ind w:left="1434" w:hanging="360"/>
      </w:pPr>
      <w:rPr>
        <w:rFonts w:ascii="Symbol" w:hAnsi="Symbol" w:hint="default"/>
      </w:rPr>
    </w:lvl>
    <w:lvl w:ilvl="1" w:tplc="040A0003" w:tentative="1">
      <w:start w:val="1"/>
      <w:numFmt w:val="bullet"/>
      <w:lvlText w:val="o"/>
      <w:lvlJc w:val="left"/>
      <w:pPr>
        <w:ind w:left="2154" w:hanging="360"/>
      </w:pPr>
      <w:rPr>
        <w:rFonts w:ascii="Courier New" w:hAnsi="Courier New" w:cs="Courier New" w:hint="default"/>
      </w:rPr>
    </w:lvl>
    <w:lvl w:ilvl="2" w:tplc="040A0005" w:tentative="1">
      <w:start w:val="1"/>
      <w:numFmt w:val="bullet"/>
      <w:lvlText w:val=""/>
      <w:lvlJc w:val="left"/>
      <w:pPr>
        <w:ind w:left="2874" w:hanging="360"/>
      </w:pPr>
      <w:rPr>
        <w:rFonts w:ascii="Wingdings" w:hAnsi="Wingdings" w:hint="default"/>
      </w:rPr>
    </w:lvl>
    <w:lvl w:ilvl="3" w:tplc="040A0001" w:tentative="1">
      <w:start w:val="1"/>
      <w:numFmt w:val="bullet"/>
      <w:lvlText w:val=""/>
      <w:lvlJc w:val="left"/>
      <w:pPr>
        <w:ind w:left="3594" w:hanging="360"/>
      </w:pPr>
      <w:rPr>
        <w:rFonts w:ascii="Symbol" w:hAnsi="Symbol" w:hint="default"/>
      </w:rPr>
    </w:lvl>
    <w:lvl w:ilvl="4" w:tplc="040A0003" w:tentative="1">
      <w:start w:val="1"/>
      <w:numFmt w:val="bullet"/>
      <w:lvlText w:val="o"/>
      <w:lvlJc w:val="left"/>
      <w:pPr>
        <w:ind w:left="4314" w:hanging="360"/>
      </w:pPr>
      <w:rPr>
        <w:rFonts w:ascii="Courier New" w:hAnsi="Courier New" w:cs="Courier New" w:hint="default"/>
      </w:rPr>
    </w:lvl>
    <w:lvl w:ilvl="5" w:tplc="040A0005" w:tentative="1">
      <w:start w:val="1"/>
      <w:numFmt w:val="bullet"/>
      <w:lvlText w:val=""/>
      <w:lvlJc w:val="left"/>
      <w:pPr>
        <w:ind w:left="5034" w:hanging="360"/>
      </w:pPr>
      <w:rPr>
        <w:rFonts w:ascii="Wingdings" w:hAnsi="Wingdings" w:hint="default"/>
      </w:rPr>
    </w:lvl>
    <w:lvl w:ilvl="6" w:tplc="040A0001" w:tentative="1">
      <w:start w:val="1"/>
      <w:numFmt w:val="bullet"/>
      <w:lvlText w:val=""/>
      <w:lvlJc w:val="left"/>
      <w:pPr>
        <w:ind w:left="5754" w:hanging="360"/>
      </w:pPr>
      <w:rPr>
        <w:rFonts w:ascii="Symbol" w:hAnsi="Symbol" w:hint="default"/>
      </w:rPr>
    </w:lvl>
    <w:lvl w:ilvl="7" w:tplc="040A0003" w:tentative="1">
      <w:start w:val="1"/>
      <w:numFmt w:val="bullet"/>
      <w:lvlText w:val="o"/>
      <w:lvlJc w:val="left"/>
      <w:pPr>
        <w:ind w:left="6474" w:hanging="360"/>
      </w:pPr>
      <w:rPr>
        <w:rFonts w:ascii="Courier New" w:hAnsi="Courier New" w:cs="Courier New" w:hint="default"/>
      </w:rPr>
    </w:lvl>
    <w:lvl w:ilvl="8" w:tplc="040A0005" w:tentative="1">
      <w:start w:val="1"/>
      <w:numFmt w:val="bullet"/>
      <w:lvlText w:val=""/>
      <w:lvlJc w:val="left"/>
      <w:pPr>
        <w:ind w:left="7194"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2"/>
  </w:num>
  <w:num w:numId="13" w16cid:durableId="1512908409">
    <w:abstractNumId w:val="6"/>
  </w:num>
  <w:num w:numId="14" w16cid:durableId="895897244">
    <w:abstractNumId w:val="18"/>
  </w:num>
  <w:num w:numId="15" w16cid:durableId="390349800">
    <w:abstractNumId w:val="14"/>
  </w:num>
  <w:num w:numId="16" w16cid:durableId="1330140246">
    <w:abstractNumId w:val="1"/>
  </w:num>
  <w:num w:numId="17" w16cid:durableId="679089576">
    <w:abstractNumId w:val="12"/>
  </w:num>
  <w:num w:numId="18" w16cid:durableId="1956014718">
    <w:abstractNumId w:val="0"/>
  </w:num>
  <w:num w:numId="19" w16cid:durableId="1341468668">
    <w:abstractNumId w:val="4"/>
  </w:num>
  <w:num w:numId="20" w16cid:durableId="84695097">
    <w:abstractNumId w:val="13"/>
  </w:num>
  <w:num w:numId="21" w16cid:durableId="792796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69"/>
    <w:rsid w:val="00010DDA"/>
    <w:rsid w:val="00015E3F"/>
    <w:rsid w:val="00016F78"/>
    <w:rsid w:val="00046945"/>
    <w:rsid w:val="00061B2A"/>
    <w:rsid w:val="000625FF"/>
    <w:rsid w:val="00082362"/>
    <w:rsid w:val="00082A14"/>
    <w:rsid w:val="00086569"/>
    <w:rsid w:val="00097569"/>
    <w:rsid w:val="000A683E"/>
    <w:rsid w:val="000B19B9"/>
    <w:rsid w:val="000D0334"/>
    <w:rsid w:val="000D35BF"/>
    <w:rsid w:val="000D5DA7"/>
    <w:rsid w:val="000E11C3"/>
    <w:rsid w:val="000E64DA"/>
    <w:rsid w:val="000F3FA4"/>
    <w:rsid w:val="000F471A"/>
    <w:rsid w:val="000F6486"/>
    <w:rsid w:val="00116940"/>
    <w:rsid w:val="00122024"/>
    <w:rsid w:val="001247D7"/>
    <w:rsid w:val="00125105"/>
    <w:rsid w:val="00127233"/>
    <w:rsid w:val="00133097"/>
    <w:rsid w:val="001517BB"/>
    <w:rsid w:val="0015699B"/>
    <w:rsid w:val="00164ADD"/>
    <w:rsid w:val="001714FB"/>
    <w:rsid w:val="0017283C"/>
    <w:rsid w:val="00195E1E"/>
    <w:rsid w:val="001A2FD6"/>
    <w:rsid w:val="001A33BF"/>
    <w:rsid w:val="001B177F"/>
    <w:rsid w:val="001C29FB"/>
    <w:rsid w:val="001C3440"/>
    <w:rsid w:val="001C6AF9"/>
    <w:rsid w:val="001C70AC"/>
    <w:rsid w:val="001C75FC"/>
    <w:rsid w:val="001E32DE"/>
    <w:rsid w:val="001E4177"/>
    <w:rsid w:val="001E4B33"/>
    <w:rsid w:val="001F0B24"/>
    <w:rsid w:val="001F2E0B"/>
    <w:rsid w:val="001F4D85"/>
    <w:rsid w:val="001F6F7B"/>
    <w:rsid w:val="001F7DC6"/>
    <w:rsid w:val="00205C7C"/>
    <w:rsid w:val="0021064C"/>
    <w:rsid w:val="0022400B"/>
    <w:rsid w:val="002421BB"/>
    <w:rsid w:val="002426E8"/>
    <w:rsid w:val="002455EC"/>
    <w:rsid w:val="00253499"/>
    <w:rsid w:val="0025796E"/>
    <w:rsid w:val="00264BBF"/>
    <w:rsid w:val="002707A2"/>
    <w:rsid w:val="00271791"/>
    <w:rsid w:val="0029330A"/>
    <w:rsid w:val="00294480"/>
    <w:rsid w:val="00294B5B"/>
    <w:rsid w:val="002951A0"/>
    <w:rsid w:val="002962BC"/>
    <w:rsid w:val="002A093D"/>
    <w:rsid w:val="002A0DD0"/>
    <w:rsid w:val="002A49AC"/>
    <w:rsid w:val="002A64FD"/>
    <w:rsid w:val="002C54CA"/>
    <w:rsid w:val="002C7A84"/>
    <w:rsid w:val="002E2BF8"/>
    <w:rsid w:val="002E4FD9"/>
    <w:rsid w:val="002F3212"/>
    <w:rsid w:val="00300DB3"/>
    <w:rsid w:val="003014D9"/>
    <w:rsid w:val="00302D5E"/>
    <w:rsid w:val="0030657A"/>
    <w:rsid w:val="00322A85"/>
    <w:rsid w:val="00324168"/>
    <w:rsid w:val="00330834"/>
    <w:rsid w:val="00337EB7"/>
    <w:rsid w:val="003448F4"/>
    <w:rsid w:val="003472C0"/>
    <w:rsid w:val="003548DD"/>
    <w:rsid w:val="003570F9"/>
    <w:rsid w:val="00361949"/>
    <w:rsid w:val="00374647"/>
    <w:rsid w:val="00374F5E"/>
    <w:rsid w:val="00375B9A"/>
    <w:rsid w:val="00377E3E"/>
    <w:rsid w:val="0038119B"/>
    <w:rsid w:val="00383D3A"/>
    <w:rsid w:val="00386C9B"/>
    <w:rsid w:val="00390A81"/>
    <w:rsid w:val="00391EFD"/>
    <w:rsid w:val="00394830"/>
    <w:rsid w:val="003A1B16"/>
    <w:rsid w:val="003A1BF4"/>
    <w:rsid w:val="003A3EC0"/>
    <w:rsid w:val="003A779E"/>
    <w:rsid w:val="003C37BD"/>
    <w:rsid w:val="003D0F4D"/>
    <w:rsid w:val="003D1A44"/>
    <w:rsid w:val="003D5B0D"/>
    <w:rsid w:val="003D6C1E"/>
    <w:rsid w:val="003E0499"/>
    <w:rsid w:val="003E4F80"/>
    <w:rsid w:val="003E6439"/>
    <w:rsid w:val="003F3941"/>
    <w:rsid w:val="00406575"/>
    <w:rsid w:val="00414C74"/>
    <w:rsid w:val="00416DA0"/>
    <w:rsid w:val="0042722E"/>
    <w:rsid w:val="0044528D"/>
    <w:rsid w:val="004458D0"/>
    <w:rsid w:val="00451F23"/>
    <w:rsid w:val="00454FE4"/>
    <w:rsid w:val="00455E83"/>
    <w:rsid w:val="0045788B"/>
    <w:rsid w:val="00466E39"/>
    <w:rsid w:val="00475918"/>
    <w:rsid w:val="00490F09"/>
    <w:rsid w:val="004A1847"/>
    <w:rsid w:val="004A305D"/>
    <w:rsid w:val="004A52C8"/>
    <w:rsid w:val="004C6F0D"/>
    <w:rsid w:val="004D292B"/>
    <w:rsid w:val="004D3569"/>
    <w:rsid w:val="004E3717"/>
    <w:rsid w:val="004E7655"/>
    <w:rsid w:val="004F21C4"/>
    <w:rsid w:val="004F4609"/>
    <w:rsid w:val="004F685F"/>
    <w:rsid w:val="005063BD"/>
    <w:rsid w:val="00524522"/>
    <w:rsid w:val="00536E5F"/>
    <w:rsid w:val="005435C8"/>
    <w:rsid w:val="00544BB8"/>
    <w:rsid w:val="0055133D"/>
    <w:rsid w:val="005566E8"/>
    <w:rsid w:val="005675B8"/>
    <w:rsid w:val="00570358"/>
    <w:rsid w:val="00574867"/>
    <w:rsid w:val="00574A81"/>
    <w:rsid w:val="00576460"/>
    <w:rsid w:val="00587FBF"/>
    <w:rsid w:val="00591460"/>
    <w:rsid w:val="005A5F5E"/>
    <w:rsid w:val="005A65E0"/>
    <w:rsid w:val="005B2120"/>
    <w:rsid w:val="005C142E"/>
    <w:rsid w:val="005C3777"/>
    <w:rsid w:val="005C5CDC"/>
    <w:rsid w:val="005D007F"/>
    <w:rsid w:val="005D2561"/>
    <w:rsid w:val="005D3C03"/>
    <w:rsid w:val="005D476C"/>
    <w:rsid w:val="005D5A9E"/>
    <w:rsid w:val="005E27C7"/>
    <w:rsid w:val="005E39C8"/>
    <w:rsid w:val="005F1F15"/>
    <w:rsid w:val="005F7950"/>
    <w:rsid w:val="005F7FE3"/>
    <w:rsid w:val="006147B6"/>
    <w:rsid w:val="006200BF"/>
    <w:rsid w:val="006219F8"/>
    <w:rsid w:val="006302F7"/>
    <w:rsid w:val="00636FFB"/>
    <w:rsid w:val="00643AD3"/>
    <w:rsid w:val="0064644B"/>
    <w:rsid w:val="00646B9F"/>
    <w:rsid w:val="00665D70"/>
    <w:rsid w:val="00670668"/>
    <w:rsid w:val="00680B37"/>
    <w:rsid w:val="00684E12"/>
    <w:rsid w:val="006900D9"/>
    <w:rsid w:val="006F0082"/>
    <w:rsid w:val="00702840"/>
    <w:rsid w:val="00702E9D"/>
    <w:rsid w:val="00706C16"/>
    <w:rsid w:val="00725483"/>
    <w:rsid w:val="007340C3"/>
    <w:rsid w:val="0073609B"/>
    <w:rsid w:val="00751F59"/>
    <w:rsid w:val="0075235A"/>
    <w:rsid w:val="00753C14"/>
    <w:rsid w:val="00756841"/>
    <w:rsid w:val="007649AB"/>
    <w:rsid w:val="00771D0C"/>
    <w:rsid w:val="0078152C"/>
    <w:rsid w:val="007833AC"/>
    <w:rsid w:val="007B268C"/>
    <w:rsid w:val="007B5B6F"/>
    <w:rsid w:val="007B7171"/>
    <w:rsid w:val="007C0C0F"/>
    <w:rsid w:val="007C27BA"/>
    <w:rsid w:val="007C3DC2"/>
    <w:rsid w:val="007D7BFB"/>
    <w:rsid w:val="007E5497"/>
    <w:rsid w:val="007F2808"/>
    <w:rsid w:val="00806F5F"/>
    <w:rsid w:val="00820278"/>
    <w:rsid w:val="008258C9"/>
    <w:rsid w:val="00836AA4"/>
    <w:rsid w:val="00844AE9"/>
    <w:rsid w:val="00864932"/>
    <w:rsid w:val="00867F95"/>
    <w:rsid w:val="0087683E"/>
    <w:rsid w:val="008771B4"/>
    <w:rsid w:val="00880D43"/>
    <w:rsid w:val="00881669"/>
    <w:rsid w:val="008843B6"/>
    <w:rsid w:val="00891928"/>
    <w:rsid w:val="008A1F41"/>
    <w:rsid w:val="008A41DB"/>
    <w:rsid w:val="008A446D"/>
    <w:rsid w:val="008B25F1"/>
    <w:rsid w:val="008D180B"/>
    <w:rsid w:val="008E62C2"/>
    <w:rsid w:val="008E6E90"/>
    <w:rsid w:val="008F0EA7"/>
    <w:rsid w:val="00923EEF"/>
    <w:rsid w:val="00927251"/>
    <w:rsid w:val="00931D69"/>
    <w:rsid w:val="009419F9"/>
    <w:rsid w:val="00954D51"/>
    <w:rsid w:val="0095685E"/>
    <w:rsid w:val="00957C19"/>
    <w:rsid w:val="00961B09"/>
    <w:rsid w:val="00965334"/>
    <w:rsid w:val="00966A49"/>
    <w:rsid w:val="0097093E"/>
    <w:rsid w:val="00971E9D"/>
    <w:rsid w:val="00976387"/>
    <w:rsid w:val="00976503"/>
    <w:rsid w:val="00983007"/>
    <w:rsid w:val="009853DE"/>
    <w:rsid w:val="0098642B"/>
    <w:rsid w:val="009915A5"/>
    <w:rsid w:val="009964C9"/>
    <w:rsid w:val="009A0C53"/>
    <w:rsid w:val="009A0DFA"/>
    <w:rsid w:val="009A1C6F"/>
    <w:rsid w:val="009A49DC"/>
    <w:rsid w:val="009B2D26"/>
    <w:rsid w:val="009B3CC8"/>
    <w:rsid w:val="009C49E0"/>
    <w:rsid w:val="009C6379"/>
    <w:rsid w:val="009C71FA"/>
    <w:rsid w:val="009C72E7"/>
    <w:rsid w:val="009C7F7E"/>
    <w:rsid w:val="009D2298"/>
    <w:rsid w:val="009D2C33"/>
    <w:rsid w:val="009D3058"/>
    <w:rsid w:val="009D4616"/>
    <w:rsid w:val="009D713D"/>
    <w:rsid w:val="009E1881"/>
    <w:rsid w:val="009E31DC"/>
    <w:rsid w:val="009E67A4"/>
    <w:rsid w:val="009E7522"/>
    <w:rsid w:val="009F3A13"/>
    <w:rsid w:val="00A0015F"/>
    <w:rsid w:val="00A055BC"/>
    <w:rsid w:val="00A122D3"/>
    <w:rsid w:val="00A14468"/>
    <w:rsid w:val="00A17F13"/>
    <w:rsid w:val="00A20739"/>
    <w:rsid w:val="00A236C8"/>
    <w:rsid w:val="00A23AF9"/>
    <w:rsid w:val="00A260CF"/>
    <w:rsid w:val="00A3207B"/>
    <w:rsid w:val="00A33C78"/>
    <w:rsid w:val="00A44E8F"/>
    <w:rsid w:val="00A5140C"/>
    <w:rsid w:val="00A57DB0"/>
    <w:rsid w:val="00A626AB"/>
    <w:rsid w:val="00A9171C"/>
    <w:rsid w:val="00AB0ADB"/>
    <w:rsid w:val="00AC17F6"/>
    <w:rsid w:val="00AF2F86"/>
    <w:rsid w:val="00B00C0E"/>
    <w:rsid w:val="00B01023"/>
    <w:rsid w:val="00B01B1A"/>
    <w:rsid w:val="00B0381D"/>
    <w:rsid w:val="00B17524"/>
    <w:rsid w:val="00B20670"/>
    <w:rsid w:val="00B22684"/>
    <w:rsid w:val="00B27B35"/>
    <w:rsid w:val="00B44A47"/>
    <w:rsid w:val="00B664A0"/>
    <w:rsid w:val="00B67317"/>
    <w:rsid w:val="00B72CD3"/>
    <w:rsid w:val="00B72FFF"/>
    <w:rsid w:val="00B80326"/>
    <w:rsid w:val="00B81BB5"/>
    <w:rsid w:val="00B83E46"/>
    <w:rsid w:val="00B92A98"/>
    <w:rsid w:val="00BA1336"/>
    <w:rsid w:val="00BA7B12"/>
    <w:rsid w:val="00BB0FF5"/>
    <w:rsid w:val="00BC3D36"/>
    <w:rsid w:val="00BC4837"/>
    <w:rsid w:val="00BD18CA"/>
    <w:rsid w:val="00BD54A6"/>
    <w:rsid w:val="00BD7F72"/>
    <w:rsid w:val="00BE263F"/>
    <w:rsid w:val="00BE2AF5"/>
    <w:rsid w:val="00BF22DA"/>
    <w:rsid w:val="00BF7425"/>
    <w:rsid w:val="00C04FB3"/>
    <w:rsid w:val="00C10A58"/>
    <w:rsid w:val="00C11D8B"/>
    <w:rsid w:val="00C15139"/>
    <w:rsid w:val="00C153F8"/>
    <w:rsid w:val="00C27882"/>
    <w:rsid w:val="00C27A18"/>
    <w:rsid w:val="00C31EE1"/>
    <w:rsid w:val="00C330EB"/>
    <w:rsid w:val="00C418CD"/>
    <w:rsid w:val="00C4731C"/>
    <w:rsid w:val="00C50D69"/>
    <w:rsid w:val="00C5365C"/>
    <w:rsid w:val="00C754BE"/>
    <w:rsid w:val="00C76B1C"/>
    <w:rsid w:val="00C80D0D"/>
    <w:rsid w:val="00C925AC"/>
    <w:rsid w:val="00CB5B49"/>
    <w:rsid w:val="00CB6357"/>
    <w:rsid w:val="00CB7864"/>
    <w:rsid w:val="00CC1B26"/>
    <w:rsid w:val="00CC4F57"/>
    <w:rsid w:val="00CC6A2A"/>
    <w:rsid w:val="00CE0984"/>
    <w:rsid w:val="00CE2E3E"/>
    <w:rsid w:val="00CF4CC1"/>
    <w:rsid w:val="00D13816"/>
    <w:rsid w:val="00D144CA"/>
    <w:rsid w:val="00D14946"/>
    <w:rsid w:val="00D23271"/>
    <w:rsid w:val="00D2530C"/>
    <w:rsid w:val="00D361FD"/>
    <w:rsid w:val="00D423A2"/>
    <w:rsid w:val="00D44E26"/>
    <w:rsid w:val="00D520D8"/>
    <w:rsid w:val="00D551BD"/>
    <w:rsid w:val="00D6107D"/>
    <w:rsid w:val="00D6219A"/>
    <w:rsid w:val="00D63AC2"/>
    <w:rsid w:val="00D666D6"/>
    <w:rsid w:val="00D7383B"/>
    <w:rsid w:val="00D74D1B"/>
    <w:rsid w:val="00D7788A"/>
    <w:rsid w:val="00DA231B"/>
    <w:rsid w:val="00DB4AE4"/>
    <w:rsid w:val="00DC39FC"/>
    <w:rsid w:val="00DD2E40"/>
    <w:rsid w:val="00DE68BD"/>
    <w:rsid w:val="00DE6DAA"/>
    <w:rsid w:val="00DF5254"/>
    <w:rsid w:val="00DF6026"/>
    <w:rsid w:val="00DF7E23"/>
    <w:rsid w:val="00E02524"/>
    <w:rsid w:val="00E0521F"/>
    <w:rsid w:val="00E11FE2"/>
    <w:rsid w:val="00E16408"/>
    <w:rsid w:val="00E20894"/>
    <w:rsid w:val="00E22B72"/>
    <w:rsid w:val="00E245AB"/>
    <w:rsid w:val="00E2764C"/>
    <w:rsid w:val="00E27F2E"/>
    <w:rsid w:val="00E31EE7"/>
    <w:rsid w:val="00E4167E"/>
    <w:rsid w:val="00E4212B"/>
    <w:rsid w:val="00E50844"/>
    <w:rsid w:val="00E50AFE"/>
    <w:rsid w:val="00E61996"/>
    <w:rsid w:val="00E66AE4"/>
    <w:rsid w:val="00E673EB"/>
    <w:rsid w:val="00E70104"/>
    <w:rsid w:val="00E75C92"/>
    <w:rsid w:val="00E771DC"/>
    <w:rsid w:val="00E82BE9"/>
    <w:rsid w:val="00E8772A"/>
    <w:rsid w:val="00E90F6B"/>
    <w:rsid w:val="00E92C27"/>
    <w:rsid w:val="00E9594D"/>
    <w:rsid w:val="00E95EE4"/>
    <w:rsid w:val="00EA0E3D"/>
    <w:rsid w:val="00EA18A6"/>
    <w:rsid w:val="00EC38A7"/>
    <w:rsid w:val="00EC69EC"/>
    <w:rsid w:val="00EE1AA8"/>
    <w:rsid w:val="00EE1D7C"/>
    <w:rsid w:val="00EE2923"/>
    <w:rsid w:val="00EF5051"/>
    <w:rsid w:val="00EF6D98"/>
    <w:rsid w:val="00EF6DE0"/>
    <w:rsid w:val="00F23FEA"/>
    <w:rsid w:val="00F31EDC"/>
    <w:rsid w:val="00F35981"/>
    <w:rsid w:val="00F43332"/>
    <w:rsid w:val="00F46241"/>
    <w:rsid w:val="00F462B3"/>
    <w:rsid w:val="00F503BF"/>
    <w:rsid w:val="00F5664F"/>
    <w:rsid w:val="00F65D7D"/>
    <w:rsid w:val="00F666C4"/>
    <w:rsid w:val="00F67870"/>
    <w:rsid w:val="00F76AFC"/>
    <w:rsid w:val="00F77C56"/>
    <w:rsid w:val="00F96CA8"/>
    <w:rsid w:val="00FA278B"/>
    <w:rsid w:val="00FA47C0"/>
    <w:rsid w:val="00FB35F0"/>
    <w:rsid w:val="00FB5D24"/>
    <w:rsid w:val="00FB5DD1"/>
    <w:rsid w:val="00FC2B5D"/>
    <w:rsid w:val="00FD4198"/>
    <w:rsid w:val="00FD724F"/>
    <w:rsid w:val="00FE1263"/>
    <w:rsid w:val="00FE4B76"/>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DD5EE4A"/>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40C"/>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semiHidden/>
    <w:unhideWhenUsed/>
    <w:qFormat/>
    <w:rsid w:val="003C37B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0E11C3"/>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426E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26E8"/>
    <w:rPr>
      <w:rFonts w:ascii="Geomanist Light" w:hAnsi="Geomanist Light"/>
      <w:lang w:val="es-ES"/>
    </w:rPr>
  </w:style>
  <w:style w:type="character" w:customStyle="1" w:styleId="s15">
    <w:name w:val="s15"/>
    <w:basedOn w:val="Fuentedeprrafopredeter"/>
    <w:rsid w:val="002426E8"/>
  </w:style>
  <w:style w:type="character" w:customStyle="1" w:styleId="NormalWebCar">
    <w:name w:val="Normal (Web) Car"/>
    <w:link w:val="NormalWeb"/>
    <w:uiPriority w:val="99"/>
    <w:rsid w:val="002426E8"/>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2426E8"/>
    <w:rPr>
      <w:b/>
      <w:bCs/>
    </w:rPr>
  </w:style>
  <w:style w:type="paragraph" w:styleId="Sinespaciado">
    <w:name w:val="No Spacing"/>
    <w:aliases w:val="No Indent"/>
    <w:uiPriority w:val="3"/>
    <w:qFormat/>
    <w:rsid w:val="002426E8"/>
    <w:pPr>
      <w:spacing w:after="0" w:line="240" w:lineRule="auto"/>
    </w:pPr>
    <w:rPr>
      <w:sz w:val="24"/>
      <w:lang w:val="es-MX"/>
    </w:rPr>
  </w:style>
  <w:style w:type="character" w:styleId="nfasis">
    <w:name w:val="Emphasis"/>
    <w:basedOn w:val="Fuentedeprrafopredeter"/>
    <w:uiPriority w:val="20"/>
    <w:qFormat/>
    <w:rsid w:val="002426E8"/>
    <w:rPr>
      <w:i/>
      <w:iCs/>
    </w:rPr>
  </w:style>
  <w:style w:type="character" w:customStyle="1" w:styleId="Ttulo3Car">
    <w:name w:val="Título 3 Car"/>
    <w:basedOn w:val="Fuentedeprrafopredeter"/>
    <w:link w:val="Ttulo3"/>
    <w:uiPriority w:val="9"/>
    <w:rsid w:val="000E11C3"/>
    <w:rPr>
      <w:rFonts w:ascii="Times New Roman" w:eastAsia="Times New Roman" w:hAnsi="Times New Roman" w:cs="Times New Roman"/>
      <w:b/>
      <w:bCs/>
      <w:sz w:val="27"/>
      <w:szCs w:val="27"/>
      <w:lang w:eastAsia="es-ES_tradnl"/>
    </w:rPr>
  </w:style>
  <w:style w:type="paragraph" w:customStyle="1" w:styleId="pdq2pgselectionanchorcontainer">
    <w:name w:val="pdq2pg_selectionanchorcontainer"/>
    <w:basedOn w:val="Normal"/>
    <w:rsid w:val="00122024"/>
    <w:pPr>
      <w:spacing w:before="100" w:beforeAutospacing="1" w:after="100" w:afterAutospacing="1"/>
    </w:pPr>
  </w:style>
  <w:style w:type="character" w:customStyle="1" w:styleId="Ttulo2Car">
    <w:name w:val="Título 2 Car"/>
    <w:basedOn w:val="Fuentedeprrafopredeter"/>
    <w:link w:val="Ttulo2"/>
    <w:uiPriority w:val="9"/>
    <w:semiHidden/>
    <w:rsid w:val="003C37BD"/>
    <w:rPr>
      <w:rFonts w:asciiTheme="majorHAnsi" w:eastAsiaTheme="majorEastAsia" w:hAnsiTheme="majorHAnsi" w:cstheme="majorBidi"/>
      <w:color w:val="2F5496"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notificacionjudicial@yondo-antioquia.gov.co"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EF34B50-B224-CE49-882F-7F4641A8D675}">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7634496-2EEB-467E-A805-B17484999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47</Pages>
  <Words>15614</Words>
  <Characters>85877</Characters>
  <Application>Microsoft Office Word</Application>
  <DocSecurity>0</DocSecurity>
  <Lines>715</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101289</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2752625</vt:i4>
      </vt:variant>
      <vt:variant>
        <vt:i4>15</vt:i4>
      </vt:variant>
      <vt:variant>
        <vt:i4>0</vt:i4>
      </vt:variant>
      <vt:variant>
        <vt:i4>5</vt:i4>
      </vt:variant>
      <vt:variant>
        <vt:lpwstr>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vt:lpwstr>
      </vt:variant>
      <vt:variant>
        <vt:lpwstr/>
      </vt:variant>
      <vt:variant>
        <vt:i4>8192122</vt:i4>
      </vt:variant>
      <vt:variant>
        <vt:i4>12</vt:i4>
      </vt:variant>
      <vt:variant>
        <vt:i4>0</vt:i4>
      </vt:variant>
      <vt:variant>
        <vt:i4>5</vt:i4>
      </vt:variant>
      <vt:variant>
        <vt:lpwstr>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vt:lpwstr>
      </vt:variant>
      <vt:variant>
        <vt:lpwstr/>
      </vt:variant>
      <vt:variant>
        <vt:i4>8126586</vt:i4>
      </vt:variant>
      <vt:variant>
        <vt:i4>9</vt:i4>
      </vt:variant>
      <vt:variant>
        <vt:i4>0</vt:i4>
      </vt:variant>
      <vt:variant>
        <vt:i4>5</vt:i4>
      </vt:variant>
      <vt:variant>
        <vt:lpwstr>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vt:lpwstr>
      </vt:variant>
      <vt:variant>
        <vt:lpwstr/>
      </vt:variant>
      <vt:variant>
        <vt:i4>2490422</vt:i4>
      </vt:variant>
      <vt:variant>
        <vt:i4>6</vt:i4>
      </vt:variant>
      <vt:variant>
        <vt:i4>0</vt:i4>
      </vt:variant>
      <vt:variant>
        <vt:i4>5</vt:i4>
      </vt:variant>
      <vt:variant>
        <vt:lpwstr>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7077967</vt:i4>
      </vt:variant>
      <vt:variant>
        <vt:i4>0</vt:i4>
      </vt:variant>
      <vt:variant>
        <vt:i4>0</vt:i4>
      </vt:variant>
      <vt:variant>
        <vt:i4>5</vt:i4>
      </vt:variant>
      <vt:variant>
        <vt:lpwstr>mailto:info@alvaroperezcastro.com</vt:lpwstr>
      </vt:variant>
      <vt:variant>
        <vt:lpwstr/>
      </vt:variant>
      <vt:variant>
        <vt:i4>2752556</vt:i4>
      </vt:variant>
      <vt:variant>
        <vt:i4>0</vt:i4>
      </vt:variant>
      <vt:variant>
        <vt:i4>0</vt:i4>
      </vt:variant>
      <vt:variant>
        <vt:i4>5</vt:i4>
      </vt:variant>
      <vt:variant>
        <vt:lpwstr>https://www.funcionpublica.gov.co/eva/gestornormativo/norma.php?i=98077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16</cp:revision>
  <cp:lastPrinted>2023-01-10T21:18:00Z</cp:lastPrinted>
  <dcterms:created xsi:type="dcterms:W3CDTF">2026-09-17T22:01:00Z</dcterms:created>
  <dcterms:modified xsi:type="dcterms:W3CDTF">2026-09-18T15:50:00Z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