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01A88" w14:textId="77777777" w:rsidR="0000668A" w:rsidRDefault="0000668A" w:rsidP="0000668A">
      <w:pPr>
        <w:spacing w:after="0" w:line="240" w:lineRule="auto"/>
        <w:jc w:val="both"/>
        <w:rPr>
          <w:rFonts w:ascii="Verdana" w:hAnsi="Verdana"/>
          <w:b/>
        </w:rPr>
      </w:pPr>
      <w:bookmarkStart w:id="0" w:name="_Hlk143780582"/>
      <w:r w:rsidRPr="008B7171">
        <w:rPr>
          <w:rFonts w:ascii="Verdana" w:hAnsi="Verdana"/>
          <w:b/>
        </w:rPr>
        <w:t>ENAJENACIÓN – Bienes muebles – Bienes Inmueb</w:t>
      </w:r>
      <w:r>
        <w:rPr>
          <w:rFonts w:ascii="Verdana" w:hAnsi="Verdana"/>
          <w:b/>
        </w:rPr>
        <w:t xml:space="preserve">les </w:t>
      </w:r>
    </w:p>
    <w:p w14:paraId="5A86D136" w14:textId="77777777" w:rsidR="0000668A" w:rsidRDefault="0000668A" w:rsidP="0000668A">
      <w:pPr>
        <w:spacing w:after="0" w:line="240" w:lineRule="auto"/>
        <w:jc w:val="both"/>
        <w:rPr>
          <w:rFonts w:ascii="Verdana" w:hAnsi="Verdana"/>
          <w:b/>
        </w:rPr>
      </w:pPr>
    </w:p>
    <w:p w14:paraId="0114DD90" w14:textId="77777777" w:rsidR="0000668A" w:rsidRPr="008B7171" w:rsidRDefault="0000668A" w:rsidP="0000668A">
      <w:pPr>
        <w:spacing w:after="0" w:line="240" w:lineRule="auto"/>
        <w:jc w:val="both"/>
        <w:rPr>
          <w:rFonts w:ascii="Verdana" w:hAnsi="Verdana"/>
          <w:sz w:val="20"/>
        </w:rPr>
      </w:pPr>
      <w:r w:rsidRPr="008B7171">
        <w:rPr>
          <w:rFonts w:ascii="Verdana" w:hAnsi="Verdana"/>
          <w:sz w:val="20"/>
        </w:rPr>
        <w:t xml:space="preserve">La </w:t>
      </w:r>
      <w:r w:rsidRPr="008B7171">
        <w:rPr>
          <w:rFonts w:ascii="Verdana" w:hAnsi="Verdana"/>
          <w:sz w:val="20"/>
          <w:lang w:val="es-ES"/>
        </w:rPr>
        <w:t>enajenación</w:t>
      </w:r>
      <w:r w:rsidRPr="008B7171">
        <w:rPr>
          <w:rFonts w:ascii="Verdana" w:hAnsi="Verdana"/>
          <w:sz w:val="20"/>
        </w:rPr>
        <w:t xml:space="preserve"> se define como la transferencia del derecho real sobre un bien. Como indica la doctrina, “</w:t>
      </w:r>
      <w:r w:rsidRPr="008B7171">
        <w:rPr>
          <w:rFonts w:ascii="Verdana" w:hAnsi="Verdana"/>
          <w:i/>
          <w:iCs/>
          <w:sz w:val="20"/>
        </w:rPr>
        <w:t>Dar –en sentido restringido–, traditar, enajenar, disponer, son conceptos sinónimos en el Código Civil. Cuando se da, se enajena. Cuando se tradita, se enajena, Cuando se enajena, se da o se tradita. Y, finalmente, cuando ocurre cualquiera de tales fenómenos, se dispone”.</w:t>
      </w:r>
      <w:r w:rsidRPr="008B7171">
        <w:rPr>
          <w:rFonts w:ascii="Verdana" w:hAnsi="Verdana"/>
          <w:sz w:val="20"/>
        </w:rPr>
        <w:t xml:space="preserve"> Lo más usual es que la enajenación se lleve a cabo respecto del derecho de propiedad; y en tal caso se efectúa a través de los modos señalados en el artículo 673 del Código Civil, pudiendo recaer tanto sobre los bienes muebles, como inmuebles, aunque frente a estos la ley exige solemnidades especiales. Entretanto, el artículo 1521 del Código Civil dispone que se presenta objeto ilícito en la enajenación: i) “De las cosas que no están en el comercio”, ii) “De los derechos o privilegios que no pueden transferirse a otra persona” y iii) “De las cosas embargadas por decreto judicial, a menos que el juez lo autorice o el acreedor consienta en ello”.</w:t>
      </w:r>
    </w:p>
    <w:p w14:paraId="188481BB" w14:textId="77777777" w:rsidR="0000668A" w:rsidRDefault="0000668A" w:rsidP="0000668A">
      <w:pPr>
        <w:spacing w:after="0" w:line="240" w:lineRule="auto"/>
        <w:jc w:val="both"/>
        <w:rPr>
          <w:rFonts w:ascii="Verdana" w:hAnsi="Verdana"/>
          <w:sz w:val="20"/>
        </w:rPr>
      </w:pPr>
      <w:r>
        <w:rPr>
          <w:rFonts w:ascii="Verdana" w:hAnsi="Verdana"/>
          <w:sz w:val="20"/>
        </w:rPr>
        <w:t>[…]</w:t>
      </w:r>
    </w:p>
    <w:p w14:paraId="2E71A10D" w14:textId="77777777" w:rsidR="0000668A" w:rsidRPr="008B7171" w:rsidRDefault="0000668A" w:rsidP="0000668A">
      <w:pPr>
        <w:spacing w:after="0" w:line="240" w:lineRule="auto"/>
        <w:jc w:val="both"/>
        <w:rPr>
          <w:rFonts w:ascii="Verdana" w:hAnsi="Verdana"/>
          <w:sz w:val="20"/>
          <w:lang w:val="es-ES"/>
        </w:rPr>
      </w:pPr>
      <w:r w:rsidRPr="008B7171">
        <w:rPr>
          <w:rFonts w:ascii="Verdana" w:hAnsi="Verdana"/>
          <w:sz w:val="20"/>
        </w:rPr>
        <w:t>Respecto del tipo de bienes que pueden ser objeto de donación es importante resaltar, en primer lugar, que e</w:t>
      </w:r>
      <w:r w:rsidRPr="008B7171">
        <w:rPr>
          <w:rFonts w:ascii="Verdana" w:hAnsi="Verdana"/>
          <w:sz w:val="20"/>
          <w:lang w:val="es-ES"/>
        </w:rPr>
        <w:t>l artículo 654 del Código Civil clasifica las cosas corporales en muebles e inmuebles. El artículo 655 define los bienes muebles como los que “</w:t>
      </w:r>
      <w:r w:rsidRPr="008B7171">
        <w:rPr>
          <w:rFonts w:ascii="Verdana" w:hAnsi="Verdana"/>
          <w:i/>
          <w:iCs/>
          <w:sz w:val="20"/>
          <w:lang w:val="es-ES"/>
        </w:rPr>
        <w:t>pueden transportarse de un lugar a otro, sea moviéndose ellas a sí mismas como los animales</w:t>
      </w:r>
      <w:r w:rsidRPr="008B7171">
        <w:rPr>
          <w:rFonts w:ascii="Verdana" w:hAnsi="Verdana"/>
          <w:sz w:val="20"/>
          <w:lang w:val="es-ES"/>
        </w:rPr>
        <w:t xml:space="preserve"> (</w:t>
      </w:r>
      <w:r w:rsidRPr="008B7171">
        <w:rPr>
          <w:rFonts w:ascii="Verdana" w:hAnsi="Verdana"/>
          <w:i/>
          <w:iCs/>
          <w:sz w:val="20"/>
          <w:lang w:val="es-ES"/>
        </w:rPr>
        <w:t>que por eso se llaman semovientes), sea que sólo se muevan por una fuerza externa, como las cosas inanimadas”</w:t>
      </w:r>
      <w:r w:rsidRPr="008B7171">
        <w:rPr>
          <w:rFonts w:ascii="Verdana" w:hAnsi="Verdana"/>
          <w:sz w:val="20"/>
          <w:lang w:val="es-ES"/>
        </w:rPr>
        <w:t>, mientras que el artículo 656 define los inmuebles así: “</w:t>
      </w:r>
      <w:r w:rsidRPr="008B7171">
        <w:rPr>
          <w:rFonts w:ascii="Verdana" w:hAnsi="Verdana"/>
          <w:i/>
          <w:iCs/>
          <w:sz w:val="20"/>
          <w:lang w:val="es-ES"/>
        </w:rPr>
        <w:t>Inmuebles o fincas o bienes raíces son las cosas que no pueden transportarse de un lugar a otro; como las tierras y minas, y las que adhieren permanentemente a ellas, como los edificios, los árboles. Las casas y veredas se llaman predios o fundos”.</w:t>
      </w:r>
      <w:r w:rsidRPr="008B7171">
        <w:rPr>
          <w:rFonts w:ascii="Verdana" w:hAnsi="Verdana"/>
          <w:sz w:val="20"/>
          <w:lang w:val="es-ES"/>
        </w:rPr>
        <w:t xml:space="preserve"> No obstante, esta definición se refiere a los inmuebles por naturaleza, pues el Código también considera inmuebles a las cosas que en principio eran muebles, pero que por su destinación o adhesión mutan su categoría. </w:t>
      </w:r>
    </w:p>
    <w:p w14:paraId="583C44F4" w14:textId="77777777" w:rsidR="0000668A" w:rsidRPr="008B7171" w:rsidRDefault="0000668A" w:rsidP="0000668A">
      <w:pPr>
        <w:spacing w:after="0" w:line="240" w:lineRule="auto"/>
        <w:jc w:val="both"/>
        <w:rPr>
          <w:rFonts w:ascii="Verdana" w:hAnsi="Verdana"/>
          <w:b/>
          <w:lang w:val="es-ES"/>
        </w:rPr>
      </w:pPr>
    </w:p>
    <w:p w14:paraId="1B2E22F1" w14:textId="77777777" w:rsidR="0000668A" w:rsidRPr="008B7171" w:rsidRDefault="0000668A" w:rsidP="0000668A">
      <w:pPr>
        <w:spacing w:after="0" w:line="240" w:lineRule="auto"/>
        <w:jc w:val="both"/>
        <w:rPr>
          <w:rFonts w:ascii="Verdana" w:hAnsi="Verdana"/>
          <w:b/>
        </w:rPr>
      </w:pPr>
      <w:r w:rsidRPr="008B7171">
        <w:rPr>
          <w:rFonts w:ascii="Verdana" w:hAnsi="Verdana"/>
          <w:b/>
        </w:rPr>
        <w:t xml:space="preserve">BIENES PÚBLICOS – Tipos </w:t>
      </w:r>
    </w:p>
    <w:p w14:paraId="53FF2EB2" w14:textId="77777777" w:rsidR="0000668A" w:rsidRDefault="0000668A" w:rsidP="0000668A">
      <w:pPr>
        <w:spacing w:after="0" w:line="240" w:lineRule="auto"/>
        <w:jc w:val="both"/>
        <w:rPr>
          <w:rFonts w:ascii="Verdana" w:hAnsi="Verdana"/>
          <w:b/>
        </w:rPr>
      </w:pPr>
    </w:p>
    <w:p w14:paraId="7FAF56E0" w14:textId="77777777" w:rsidR="0000668A" w:rsidRPr="00345791" w:rsidRDefault="0000668A" w:rsidP="0000668A">
      <w:pPr>
        <w:spacing w:after="0" w:line="240" w:lineRule="auto"/>
        <w:jc w:val="both"/>
        <w:rPr>
          <w:rFonts w:ascii="Verdana" w:hAnsi="Verdana"/>
          <w:i/>
          <w:iCs/>
          <w:sz w:val="20"/>
          <w:lang w:val="es-MX"/>
        </w:rPr>
      </w:pPr>
      <w:r w:rsidRPr="00345791">
        <w:rPr>
          <w:rFonts w:ascii="Verdana" w:hAnsi="Verdana"/>
          <w:sz w:val="20"/>
          <w:lang w:val="es-ES"/>
        </w:rPr>
        <w:t>Por otro lado, e</w:t>
      </w:r>
      <w:r w:rsidRPr="00345791">
        <w:rPr>
          <w:rFonts w:ascii="Verdana" w:hAnsi="Verdana"/>
          <w:sz w:val="20"/>
          <w:lang w:val="es-MX"/>
        </w:rPr>
        <w:t>l artículo 674 del Código Civil define los bienes de dominio público como aquellos que “</w:t>
      </w:r>
      <w:r w:rsidRPr="00345791">
        <w:rPr>
          <w:rFonts w:ascii="Verdana" w:hAnsi="Verdana"/>
          <w:i/>
          <w:iCs/>
          <w:sz w:val="20"/>
          <w:lang w:val="es-MX"/>
        </w:rPr>
        <w:t xml:space="preserve">[…] pertenece a todos los habitantes de un Territorio, como el de calles, plazas, puentes y caminos, se llaman bienes de la Unión o de uso público o bienes públicos del Territorio”. </w:t>
      </w:r>
      <w:r w:rsidRPr="00345791">
        <w:rPr>
          <w:rFonts w:ascii="Verdana" w:hAnsi="Verdana"/>
          <w:sz w:val="20"/>
          <w:lang w:val="es-MX"/>
        </w:rPr>
        <w:t>Los bienes de dominio público, de acuerdo con la sentencia C- 183 de 2003 de la Corte Constitucional, son “</w:t>
      </w:r>
      <w:r w:rsidRPr="00345791">
        <w:rPr>
          <w:rFonts w:ascii="Verdana" w:hAnsi="Verdana"/>
          <w:i/>
          <w:iCs/>
          <w:sz w:val="20"/>
          <w:lang w:val="es-MX"/>
        </w:rPr>
        <w:t>el conjunto de bienes que la administración afecta al uso directo de la comunidad o que lo utiliza para servir a la sociedad”</w:t>
      </w:r>
      <w:r w:rsidRPr="00345791">
        <w:rPr>
          <w:rFonts w:ascii="Verdana" w:hAnsi="Verdana"/>
          <w:sz w:val="20"/>
          <w:lang w:val="es-MX"/>
        </w:rPr>
        <w:t xml:space="preserve">. Dentro de esta categoría se encuentran los bienes fiscales y los bienes de uso público. Los bienes fiscales, de acuerdo con el Alto Tribunal Constitucional, están destinados a la prestación de servicios públicos que la Administración utiliza de forma inmediata, como los edificios donde funcionan las oficinas públicas. </w:t>
      </w:r>
    </w:p>
    <w:p w14:paraId="04A4C504" w14:textId="77777777" w:rsidR="0000668A" w:rsidRDefault="0000668A" w:rsidP="0000668A">
      <w:pPr>
        <w:spacing w:after="0" w:line="240" w:lineRule="auto"/>
        <w:rPr>
          <w:rFonts w:ascii="Verdana" w:eastAsia="Verdana" w:hAnsi="Verdana" w:cs="Verdana"/>
        </w:rPr>
      </w:pPr>
    </w:p>
    <w:p w14:paraId="4026E4D3" w14:textId="77777777" w:rsidR="0000668A" w:rsidRPr="007B71B4" w:rsidRDefault="0000668A" w:rsidP="0000668A">
      <w:pPr>
        <w:spacing w:after="0" w:line="240" w:lineRule="auto"/>
        <w:jc w:val="both"/>
        <w:rPr>
          <w:rFonts w:ascii="Verdana" w:eastAsia="Verdana" w:hAnsi="Verdana" w:cs="Verdana"/>
          <w:b/>
          <w:bCs/>
        </w:rPr>
      </w:pPr>
      <w:r w:rsidRPr="007B71B4">
        <w:rPr>
          <w:rFonts w:ascii="Verdana" w:eastAsia="Verdana" w:hAnsi="Verdana" w:cs="Verdana"/>
          <w:b/>
          <w:bCs/>
        </w:rPr>
        <w:t xml:space="preserve">ENAJENACIÓN – Bienes muebles – Título gratuito – Decreto 1082 de 2015 – Procedimiento </w:t>
      </w:r>
    </w:p>
    <w:p w14:paraId="2F25393C" w14:textId="77777777" w:rsidR="0000668A" w:rsidRDefault="0000668A" w:rsidP="0000668A">
      <w:pPr>
        <w:spacing w:after="0" w:line="240" w:lineRule="auto"/>
        <w:rPr>
          <w:rFonts w:ascii="Verdana" w:eastAsia="Verdana" w:hAnsi="Verdana" w:cs="Verdana"/>
        </w:rPr>
      </w:pPr>
    </w:p>
    <w:p w14:paraId="421190AF" w14:textId="77777777" w:rsidR="0000668A" w:rsidRDefault="0000668A" w:rsidP="0000668A">
      <w:pPr>
        <w:spacing w:after="0" w:line="240" w:lineRule="auto"/>
        <w:jc w:val="both"/>
        <w:rPr>
          <w:rFonts w:ascii="Verdana" w:eastAsia="Verdana" w:hAnsi="Verdana" w:cs="Verdana"/>
          <w:sz w:val="20"/>
          <w:szCs w:val="20"/>
          <w:lang w:val="es-ES"/>
        </w:rPr>
      </w:pPr>
      <w:r w:rsidRPr="009E6B1F">
        <w:rPr>
          <w:rFonts w:ascii="Verdana" w:eastAsia="Verdana" w:hAnsi="Verdana" w:cs="Verdana"/>
          <w:sz w:val="20"/>
          <w:szCs w:val="20"/>
          <w:lang w:val="es-ES"/>
        </w:rPr>
        <w:lastRenderedPageBreak/>
        <w:t>Ahora bien, cuando la entidad pretenda enajenar bienes muebles a título gratuito deben adelantarse conforme a la regla especial prescrita en el artículo 2.2.1.2.2.4.3. del Decreto 1082 de 2015, que establece que deberá realizar un inventario de los bienes muebles que no utilizan y, a continuación, se la habilita para ofrecerlos a título gratuito a las demás Entidades Estatales a través de un acto administrativo que deberá publicar en su página Web.</w:t>
      </w:r>
      <w:r w:rsidRPr="009E6B1F">
        <w:rPr>
          <w:rFonts w:ascii="Verdana" w:eastAsia="Verdana" w:hAnsi="Verdana" w:cs="Verdana"/>
          <w:sz w:val="20"/>
          <w:szCs w:val="20"/>
        </w:rPr>
        <w:t xml:space="preserve"> </w:t>
      </w:r>
      <w:r w:rsidRPr="009E6B1F">
        <w:rPr>
          <w:rFonts w:ascii="Verdana" w:eastAsia="Verdana" w:hAnsi="Verdana" w:cs="Verdana"/>
          <w:sz w:val="20"/>
          <w:szCs w:val="20"/>
          <w:lang w:val="es-ES"/>
        </w:rPr>
        <w:t xml:space="preserve">El acto administrativo que oferta bienes muebles a título gratuito entre entidades estatales cumple la función de un aviso de convocatoria, porque es el mecanismo mediante el cual la entidad propietaria informa públicamente que dispone de determinados bienes y que estos pueden solicitarse por otras entidades interesadas. Dicho acto administrativo garantiza la transparencia y publicidad del proceso, pues permite que todas las entidades estatales potencialmente beneficiarias tengan conocimiento de la oferta y puedan manifestar su interés en recibir los bienes. </w:t>
      </w:r>
    </w:p>
    <w:p w14:paraId="36E853E7" w14:textId="77777777" w:rsidR="0000668A" w:rsidRPr="009E6B1F" w:rsidRDefault="0000668A" w:rsidP="0000668A">
      <w:pPr>
        <w:spacing w:after="0" w:line="240" w:lineRule="auto"/>
        <w:jc w:val="both"/>
        <w:rPr>
          <w:rFonts w:ascii="Verdana" w:eastAsia="Verdana" w:hAnsi="Verdana" w:cs="Verdana"/>
          <w:sz w:val="20"/>
          <w:szCs w:val="20"/>
          <w:lang w:val="es-ES"/>
        </w:rPr>
      </w:pPr>
    </w:p>
    <w:p w14:paraId="09E7A5F4" w14:textId="77777777" w:rsidR="0000668A" w:rsidRDefault="0000668A" w:rsidP="0000668A">
      <w:pPr>
        <w:spacing w:after="0" w:line="240" w:lineRule="auto"/>
        <w:jc w:val="both"/>
        <w:rPr>
          <w:rFonts w:ascii="Verdana" w:eastAsia="Verdana" w:hAnsi="Verdana" w:cs="Verdana"/>
          <w:sz w:val="20"/>
          <w:szCs w:val="20"/>
          <w:lang w:val="es-ES"/>
        </w:rPr>
      </w:pPr>
      <w:r w:rsidRPr="009E6B1F">
        <w:rPr>
          <w:rFonts w:ascii="Verdana" w:eastAsia="Verdana" w:hAnsi="Verdana" w:cs="Verdana"/>
          <w:sz w:val="20"/>
          <w:szCs w:val="20"/>
          <w:lang w:val="es-ES"/>
        </w:rPr>
        <w:t>Posterior a ello, la norma en mención indica que dentro de los treinta (30) días calendario siguientes a la fecha de publicación del acto administrativo, la Entidad Estatal interesada en adquirir estos bienes a título gratuito debe manifestar su interés, y con ella, debe señalar la necesidad funcional que pretende satisfacer con el bien juntamente con las razones que justifican su solicitud. Finalmente, la norma señala que, si hay dos o más manifestaciones de interés de Entidades Estatales para el mismo bien, la Entidad Estatal que primero haya manifestado su interés debe tener preferencia, sin que existan más normas complementarias o posteriores que hayan regulado con mayor detalle el procedimiento en mención.</w:t>
      </w:r>
    </w:p>
    <w:p w14:paraId="16D63DBC" w14:textId="77777777" w:rsidR="0000668A" w:rsidRPr="009E6B1F" w:rsidRDefault="0000668A" w:rsidP="0000668A">
      <w:pPr>
        <w:spacing w:after="0" w:line="240" w:lineRule="auto"/>
        <w:jc w:val="both"/>
        <w:rPr>
          <w:rFonts w:ascii="Verdana" w:eastAsia="Verdana" w:hAnsi="Verdana" w:cs="Verdana"/>
          <w:sz w:val="20"/>
          <w:szCs w:val="20"/>
          <w:lang w:val="es-ES"/>
        </w:rPr>
      </w:pPr>
    </w:p>
    <w:p w14:paraId="340B22B3" w14:textId="77777777" w:rsidR="0000668A" w:rsidRPr="009E6B1F" w:rsidRDefault="0000668A" w:rsidP="0000668A">
      <w:pPr>
        <w:spacing w:after="0" w:line="240" w:lineRule="auto"/>
        <w:jc w:val="both"/>
        <w:rPr>
          <w:rFonts w:ascii="Verdana" w:eastAsia="Verdana" w:hAnsi="Verdana" w:cs="Verdana"/>
          <w:sz w:val="20"/>
          <w:szCs w:val="20"/>
        </w:rPr>
      </w:pPr>
      <w:r w:rsidRPr="009E6B1F">
        <w:rPr>
          <w:rFonts w:ascii="Verdana" w:eastAsia="Verdana" w:hAnsi="Verdana" w:cs="Verdana"/>
          <w:sz w:val="20"/>
          <w:szCs w:val="20"/>
          <w:lang w:val="es-ES"/>
        </w:rPr>
        <w:t xml:space="preserve">Teniendo en cuenta lo precisado, </w:t>
      </w:r>
      <w:r w:rsidRPr="009E6B1F">
        <w:rPr>
          <w:rFonts w:ascii="Verdana" w:eastAsia="Verdana" w:hAnsi="Verdana" w:cs="Verdana"/>
          <w:sz w:val="20"/>
          <w:szCs w:val="20"/>
        </w:rPr>
        <w:t xml:space="preserve">cuando la entidad estatal pretende enajenar bienes muebles a título gratuito, debe observar de manera estricta lo dispuesto en el artículo 2.2.1.2.2.4.3 del Decreto 1082 de 2015, el cual constituye una regla especial para este tipo de operaciones. En este sentido, no resulta procedente acudir a otros mecanismos de enajenación para adelantar esa misma operación gratuita, pues la norma establece un procedimiento específico que responde a la transferencia de bienes a título gratuito entre entidades públicas. </w:t>
      </w:r>
    </w:p>
    <w:p w14:paraId="2A3EF8DB" w14:textId="77777777" w:rsidR="0000668A" w:rsidRPr="007B71B4" w:rsidRDefault="0000668A" w:rsidP="0000668A">
      <w:pPr>
        <w:spacing w:after="0" w:line="240" w:lineRule="auto"/>
        <w:jc w:val="both"/>
        <w:rPr>
          <w:rFonts w:ascii="Verdana" w:eastAsia="Verdana" w:hAnsi="Verdana" w:cs="Verdana"/>
          <w:b/>
          <w:bCs/>
        </w:rPr>
      </w:pPr>
    </w:p>
    <w:p w14:paraId="4CDDBC81" w14:textId="77777777" w:rsidR="0000668A" w:rsidRPr="007B71B4" w:rsidRDefault="0000668A" w:rsidP="0000668A">
      <w:pPr>
        <w:spacing w:after="0" w:line="240" w:lineRule="auto"/>
        <w:jc w:val="both"/>
        <w:rPr>
          <w:rFonts w:ascii="Verdana" w:eastAsia="Verdana" w:hAnsi="Verdana" w:cs="Verdana"/>
          <w:b/>
          <w:bCs/>
        </w:rPr>
      </w:pPr>
      <w:r w:rsidRPr="007B71B4">
        <w:rPr>
          <w:rFonts w:ascii="Verdana" w:eastAsia="Verdana" w:hAnsi="Verdana" w:cs="Verdana"/>
          <w:b/>
          <w:bCs/>
        </w:rPr>
        <w:t xml:space="preserve">ENAJENACIÓN – Intermediario – Sistema de Martillo </w:t>
      </w:r>
    </w:p>
    <w:p w14:paraId="71957D9F" w14:textId="77777777" w:rsidR="0000668A" w:rsidRPr="000D737A" w:rsidRDefault="0000668A" w:rsidP="0000668A">
      <w:pPr>
        <w:spacing w:after="0" w:line="240" w:lineRule="auto"/>
        <w:jc w:val="both"/>
        <w:rPr>
          <w:rFonts w:ascii="Verdana" w:eastAsia="Verdana" w:hAnsi="Verdana" w:cs="Verdana"/>
          <w:sz w:val="20"/>
          <w:szCs w:val="20"/>
        </w:rPr>
      </w:pPr>
    </w:p>
    <w:p w14:paraId="0F013806" w14:textId="77777777" w:rsidR="0000668A" w:rsidRDefault="0000668A" w:rsidP="0000668A">
      <w:pPr>
        <w:spacing w:after="0" w:line="240" w:lineRule="auto"/>
        <w:jc w:val="both"/>
        <w:rPr>
          <w:rFonts w:ascii="Verdana" w:eastAsia="Verdana" w:hAnsi="Verdana" w:cs="Verdana"/>
          <w:sz w:val="20"/>
          <w:szCs w:val="20"/>
        </w:rPr>
      </w:pPr>
      <w:r w:rsidRPr="000D737A">
        <w:rPr>
          <w:rFonts w:ascii="Verdana" w:eastAsia="Verdana" w:hAnsi="Verdana" w:cs="Verdana"/>
          <w:sz w:val="20"/>
          <w:szCs w:val="20"/>
        </w:rPr>
        <w:t>En este escenario, la contratación mediante el sistema de martillo constituye una modalidad específica de enajenación con intermediario idóneo. Dicha posibilidad de contratación tiene sustento en el parágrafo 3° del artículo 24 de la Ley 80, que prescribe: “Cuando la venta de los bienes de las entidades estatales deba efectuarse por el sistema de martillo, se hará a través del procedimiento de subasta que realicen las entidades financieras debidamente autorizadas para el efecto y vigiladas por la Superintendencia Bancaria”.  Así mismo, este mecanismo fue previsto en el Decreto 1639 de 1996, reglamentario de los artículos 12 (numeral 2°) y 18 de la Ley 226 de 1995, mediante el cual se autorizó a los establecimientos bancarios para realizar la “venta de mercaderías u otros objetos negociables, a través del mecanismo de martillo”. Se trata, en esencia, de un procedimiento de subasta pública que busca garantizar transparencia, concurrencia y obtención del mejor precio posible en la disposición de bienes estatales.</w:t>
      </w:r>
    </w:p>
    <w:p w14:paraId="3CCEEA03" w14:textId="77777777" w:rsidR="0000668A" w:rsidRPr="000D737A" w:rsidRDefault="0000668A" w:rsidP="0000668A">
      <w:pPr>
        <w:spacing w:after="0" w:line="240" w:lineRule="auto"/>
        <w:jc w:val="both"/>
        <w:rPr>
          <w:rFonts w:ascii="Verdana" w:eastAsia="Verdana" w:hAnsi="Verdana" w:cs="Verdana"/>
          <w:sz w:val="20"/>
          <w:szCs w:val="20"/>
        </w:rPr>
      </w:pPr>
    </w:p>
    <w:p w14:paraId="68F458E4" w14:textId="77777777" w:rsidR="0000668A" w:rsidRDefault="0000668A" w:rsidP="0000668A">
      <w:pPr>
        <w:spacing w:after="0" w:line="240" w:lineRule="auto"/>
        <w:jc w:val="both"/>
        <w:rPr>
          <w:rFonts w:ascii="Verdana" w:eastAsia="Verdana" w:hAnsi="Verdana" w:cs="Verdana"/>
          <w:sz w:val="20"/>
          <w:szCs w:val="20"/>
          <w:lang w:val="es-ES"/>
        </w:rPr>
      </w:pPr>
      <w:r w:rsidRPr="000D737A">
        <w:rPr>
          <w:rFonts w:ascii="Verdana" w:eastAsia="Verdana" w:hAnsi="Verdana" w:cs="Verdana"/>
          <w:sz w:val="20"/>
          <w:szCs w:val="20"/>
        </w:rPr>
        <w:t>En este aspecto, la Circular Jurídica Básica expedida por la Superintendencia Financiera de Colombia establece que las operaciones de Martillo son prestadas por los establecimientos bancarios debidamente autorizados por la Superintendencia Financiera, conforme se establece en los numerales 1 y 2 de la Parte II “</w:t>
      </w:r>
      <w:r w:rsidRPr="000D737A">
        <w:rPr>
          <w:rFonts w:ascii="Verdana" w:eastAsia="Verdana" w:hAnsi="Verdana" w:cs="Verdana"/>
          <w:i/>
          <w:iCs/>
          <w:sz w:val="20"/>
          <w:szCs w:val="20"/>
        </w:rPr>
        <w:t>Mercado Intermediado”, Título I “Instrucciones generales relativas a las operaciones de los establecimientos de crédito”, Capítulo VII: “Martillo electrónico de las entidades bancarias</w:t>
      </w:r>
      <w:r w:rsidRPr="000D737A">
        <w:rPr>
          <w:rFonts w:ascii="Verdana" w:eastAsia="Verdana" w:hAnsi="Verdana" w:cs="Verdana"/>
          <w:sz w:val="20"/>
          <w:szCs w:val="20"/>
        </w:rPr>
        <w:t xml:space="preserve">”. En dicha regulación se establece en su ámbito de aplicación: “[…] </w:t>
      </w:r>
      <w:r w:rsidRPr="000D737A">
        <w:rPr>
          <w:rFonts w:ascii="Verdana" w:eastAsia="Verdana" w:hAnsi="Verdana" w:cs="Verdana"/>
          <w:sz w:val="20"/>
          <w:szCs w:val="20"/>
          <w:lang w:val="es-ES"/>
        </w:rPr>
        <w:t>son de obligatorio cumplimiento para los establecimientos bancarios que operen y administren sitios de internet para la venta o martillo electrónico de bienes dados en garantía, siempre y cuando se haya comisionado o solicitado a los martillos legalmente autorizados, para realizar el remate de los mismos”.</w:t>
      </w:r>
    </w:p>
    <w:p w14:paraId="010320F0" w14:textId="77777777" w:rsidR="0000668A" w:rsidRPr="007B71B4" w:rsidRDefault="0000668A" w:rsidP="0000668A">
      <w:pPr>
        <w:spacing w:after="0" w:line="240" w:lineRule="auto"/>
        <w:jc w:val="both"/>
        <w:rPr>
          <w:rFonts w:ascii="Verdana" w:eastAsia="Verdana" w:hAnsi="Verdana" w:cs="Verdana"/>
          <w:b/>
          <w:bCs/>
        </w:rPr>
      </w:pPr>
    </w:p>
    <w:p w14:paraId="70133F32" w14:textId="77777777" w:rsidR="0000668A" w:rsidRPr="007B71B4" w:rsidRDefault="0000668A" w:rsidP="0000668A">
      <w:pPr>
        <w:spacing w:after="0" w:line="240" w:lineRule="auto"/>
        <w:jc w:val="both"/>
        <w:rPr>
          <w:rFonts w:ascii="Verdana" w:eastAsia="Verdana" w:hAnsi="Verdana" w:cs="Verdana"/>
          <w:b/>
          <w:bCs/>
        </w:rPr>
      </w:pPr>
      <w:r w:rsidRPr="007B71B4">
        <w:rPr>
          <w:rFonts w:ascii="Verdana" w:eastAsia="Verdana" w:hAnsi="Verdana" w:cs="Verdana"/>
          <w:b/>
          <w:bCs/>
        </w:rPr>
        <w:t xml:space="preserve">SISTEMA DE MARTILLO – Características </w:t>
      </w:r>
    </w:p>
    <w:p w14:paraId="2D6C6138" w14:textId="77777777" w:rsidR="0000668A" w:rsidRDefault="0000668A" w:rsidP="0000668A">
      <w:pPr>
        <w:spacing w:after="0" w:line="240" w:lineRule="auto"/>
        <w:jc w:val="both"/>
        <w:rPr>
          <w:rFonts w:ascii="Verdana" w:eastAsia="Verdana" w:hAnsi="Verdana" w:cs="Verdana"/>
          <w:b/>
          <w:bCs/>
        </w:rPr>
      </w:pPr>
    </w:p>
    <w:p w14:paraId="31DA70B2" w14:textId="77777777" w:rsidR="0000668A" w:rsidRDefault="0000668A" w:rsidP="0000668A">
      <w:pPr>
        <w:spacing w:after="0" w:line="240" w:lineRule="auto"/>
        <w:jc w:val="both"/>
        <w:rPr>
          <w:rFonts w:ascii="Verdana" w:eastAsia="Verdana" w:hAnsi="Verdana" w:cs="Verdana"/>
          <w:sz w:val="20"/>
          <w:szCs w:val="20"/>
        </w:rPr>
      </w:pPr>
      <w:r w:rsidRPr="000D737A">
        <w:rPr>
          <w:rFonts w:ascii="Verdana" w:eastAsia="Verdana" w:hAnsi="Verdana" w:cs="Verdana"/>
          <w:sz w:val="20"/>
          <w:szCs w:val="20"/>
        </w:rPr>
        <w:t>En este contexto, el objeto del contrato de martillo consiste en la prestación de servicios de intermediación comercial para la enajenación de bienes muebles, mediante un sistema de subasta pública que garantice transparencia, concurrencia y obtención del mejor precio posible. El intermediario se encarga de organizar y ejecutar el proceso de venta, incluyendo la conformación de lotes, la fijación de precios base, la divulgación y mercadeo de los bienes, la logística del evento, la recaudación de consignaciones y saldos, así como la elaboración de actas de adjudicación y la entrega de informes de resultados, entre otros.</w:t>
      </w:r>
    </w:p>
    <w:p w14:paraId="24221DDB" w14:textId="77777777" w:rsidR="0000668A" w:rsidRDefault="0000668A" w:rsidP="0000668A">
      <w:pPr>
        <w:spacing w:after="0" w:line="240" w:lineRule="auto"/>
        <w:jc w:val="both"/>
        <w:rPr>
          <w:rFonts w:ascii="Verdana" w:eastAsia="Verdana" w:hAnsi="Verdana" w:cs="Verdana"/>
          <w:sz w:val="20"/>
          <w:szCs w:val="20"/>
        </w:rPr>
      </w:pPr>
    </w:p>
    <w:p w14:paraId="4BE00F15" w14:textId="77777777" w:rsidR="0000668A" w:rsidRPr="00E72C19" w:rsidRDefault="0000668A" w:rsidP="0000668A">
      <w:pPr>
        <w:spacing w:after="0" w:line="240" w:lineRule="auto"/>
        <w:jc w:val="both"/>
        <w:rPr>
          <w:rFonts w:ascii="Verdana" w:eastAsia="Verdana" w:hAnsi="Verdana" w:cs="Verdana"/>
          <w:sz w:val="20"/>
          <w:szCs w:val="20"/>
        </w:rPr>
      </w:pPr>
      <w:r w:rsidRPr="00E72C19">
        <w:rPr>
          <w:rFonts w:ascii="Verdana" w:eastAsia="Verdana" w:hAnsi="Verdana" w:cs="Verdana"/>
          <w:sz w:val="20"/>
          <w:szCs w:val="20"/>
        </w:rPr>
        <w:t>Esto, se encuentra en consonancia a la intermediación orientada al perfeccionamiento de la venta, conforme lo establece el artículo 2.2.1.2.2.1.6 del Decreto 1082 de 2015. El intermediario no solo organiza y ejecuta el proceso de subasta, sino que, tratándose de bienes inmuebles o muebles sujetos a registro, debe acompañar la operación hasta la inscripción en el registro correspondiente y la entrega material del bien. Incluso, la norma contempla la posibilidad de que el intermediario actúe en calidad de mandatario, con el fin de asegurar la culminación integral del proceso de enajenación, desde la adjudicación hasta la transferencia jurídica y física del bien.</w:t>
      </w:r>
    </w:p>
    <w:p w14:paraId="6DAF7F21" w14:textId="77777777" w:rsidR="0000668A" w:rsidRPr="00E72C19" w:rsidRDefault="0000668A" w:rsidP="0000668A">
      <w:pPr>
        <w:spacing w:after="0" w:line="240" w:lineRule="auto"/>
        <w:jc w:val="both"/>
        <w:rPr>
          <w:rFonts w:ascii="Verdana" w:eastAsia="Verdana" w:hAnsi="Verdana" w:cs="Verdana"/>
          <w:sz w:val="20"/>
          <w:szCs w:val="20"/>
        </w:rPr>
      </w:pPr>
    </w:p>
    <w:p w14:paraId="00AD016A" w14:textId="77777777" w:rsidR="0000668A" w:rsidRPr="007B71B4" w:rsidRDefault="0000668A" w:rsidP="0000668A">
      <w:pPr>
        <w:spacing w:after="0" w:line="240" w:lineRule="auto"/>
        <w:jc w:val="both"/>
        <w:rPr>
          <w:rFonts w:ascii="Verdana" w:eastAsia="Verdana" w:hAnsi="Verdana" w:cs="Verdana"/>
          <w:b/>
          <w:bCs/>
          <w:lang w:val="es-ES_tradnl"/>
        </w:rPr>
      </w:pPr>
      <w:r w:rsidRPr="007B71B4">
        <w:rPr>
          <w:rFonts w:ascii="Verdana" w:eastAsia="Verdana" w:hAnsi="Verdana" w:cs="Verdana"/>
          <w:b/>
          <w:bCs/>
        </w:rPr>
        <w:t>ENAJENACIÓN – Bienes muebles – Entidades Públicas – Aplicación – Procedimiento preferente - artículo 2.2.1.2.2.4.3.</w:t>
      </w:r>
    </w:p>
    <w:p w14:paraId="081BECB1" w14:textId="77777777" w:rsidR="0000668A" w:rsidRPr="009A20DD" w:rsidRDefault="0000668A" w:rsidP="0000668A">
      <w:pPr>
        <w:spacing w:after="0" w:line="240" w:lineRule="auto"/>
        <w:rPr>
          <w:rFonts w:ascii="Verdana" w:eastAsia="Verdana" w:hAnsi="Verdana" w:cs="Verdana"/>
        </w:rPr>
      </w:pPr>
    </w:p>
    <w:p w14:paraId="32540A16" w14:textId="77777777" w:rsidR="0000668A" w:rsidRPr="00E72C19" w:rsidRDefault="0000668A" w:rsidP="0000668A">
      <w:pPr>
        <w:spacing w:after="0" w:line="240" w:lineRule="auto"/>
        <w:jc w:val="both"/>
        <w:rPr>
          <w:rFonts w:ascii="Verdana" w:eastAsia="Verdana" w:hAnsi="Verdana" w:cs="Verdana"/>
          <w:sz w:val="20"/>
          <w:szCs w:val="20"/>
        </w:rPr>
      </w:pPr>
      <w:r w:rsidRPr="00E72C19">
        <w:rPr>
          <w:rFonts w:ascii="Verdana" w:eastAsia="Verdana" w:hAnsi="Verdana" w:cs="Verdana"/>
          <w:sz w:val="20"/>
          <w:szCs w:val="20"/>
        </w:rPr>
        <w:t xml:space="preserve">En efecto, es necesario distinguir entre la enajenación gratuita y la enajenación onerosa mediante intermediarios idóneos, dentro de la cual se inscribe el sistema de martillo, asignando a cada una un procedimiento específico. La primera se rige por una regla especial que no admite sustitución ni mezcla con otros mecanismos, mientras que la segunda supone la venta del bien a través de la contratación con establecimientos bancarios autorizados, esto es, bajo modalidades que implican una contraprestación económica. </w:t>
      </w:r>
    </w:p>
    <w:p w14:paraId="5D13AD6B" w14:textId="77777777" w:rsidR="0000668A" w:rsidRDefault="0000668A" w:rsidP="0000668A">
      <w:pPr>
        <w:spacing w:after="0" w:line="240" w:lineRule="auto"/>
        <w:jc w:val="both"/>
        <w:rPr>
          <w:rFonts w:ascii="Verdana" w:eastAsia="Verdana" w:hAnsi="Verdana" w:cs="Verdana"/>
          <w:sz w:val="20"/>
          <w:szCs w:val="20"/>
        </w:rPr>
      </w:pPr>
    </w:p>
    <w:p w14:paraId="56F0C5A3" w14:textId="77777777" w:rsidR="0000668A" w:rsidRPr="00E72C19" w:rsidRDefault="0000668A" w:rsidP="0000668A">
      <w:pPr>
        <w:spacing w:after="0" w:line="240" w:lineRule="auto"/>
        <w:jc w:val="both"/>
        <w:rPr>
          <w:rFonts w:ascii="Verdana" w:eastAsia="Verdana" w:hAnsi="Verdana" w:cs="Verdana"/>
          <w:sz w:val="20"/>
          <w:szCs w:val="20"/>
        </w:rPr>
      </w:pPr>
      <w:r w:rsidRPr="00E72C19">
        <w:rPr>
          <w:rFonts w:ascii="Verdana" w:eastAsia="Verdana" w:hAnsi="Verdana" w:cs="Verdana"/>
          <w:sz w:val="20"/>
          <w:szCs w:val="20"/>
        </w:rPr>
        <w:t>Debe advertirse, además, que las anteriores modalidades operan sin perjuicio del régimen de la Central de Inversiones S.A. (CISA) como colector de activos públicos. El artículo 238 de la Ley 1450 de 2011, modificado por la Ley 2294 de 2023, dispone que las entidades del orden nacional transfieran a CISA, a título gratuito, los bienes que no requieren para el ejercicio de sus funciones, con el fin de que esta los administre o comercialice. Esta Agencia se refirió a la articulación de ese régimen con las modalidades de enajenación en los conceptos C-634 de 2025 y C-655 de 2026, en los que precisó que la transferencia a CISA opera con carácter obligatorio para las entidades del orden nacional, mientras que las demás conservan la posibilidad de enajenar directamente o a través de intermediarios idóneos. Su alcance respecto de los bienes muebles debe verificarse conforme a la reglamentación vigente, pues su objeto se ha concentrado históricamente en la cartera y los bienes inmuebles.</w:t>
      </w:r>
    </w:p>
    <w:p w14:paraId="6DDAE59D" w14:textId="77777777" w:rsidR="0000668A" w:rsidRDefault="0000668A" w:rsidP="0000668A">
      <w:pPr>
        <w:spacing w:after="0" w:line="240" w:lineRule="auto"/>
        <w:jc w:val="both"/>
        <w:rPr>
          <w:rFonts w:ascii="Verdana" w:eastAsia="Verdana" w:hAnsi="Verdana" w:cs="Verdana"/>
          <w:sz w:val="20"/>
          <w:szCs w:val="20"/>
        </w:rPr>
      </w:pPr>
    </w:p>
    <w:p w14:paraId="01A7AB5B" w14:textId="77777777" w:rsidR="0000668A" w:rsidRPr="00E72C19" w:rsidRDefault="0000668A" w:rsidP="0000668A">
      <w:pPr>
        <w:spacing w:after="0" w:line="240" w:lineRule="auto"/>
        <w:jc w:val="both"/>
        <w:rPr>
          <w:rFonts w:ascii="Verdana" w:eastAsia="Verdana" w:hAnsi="Verdana" w:cs="Verdana"/>
          <w:sz w:val="20"/>
          <w:szCs w:val="20"/>
        </w:rPr>
      </w:pPr>
      <w:r w:rsidRPr="00E72C19">
        <w:rPr>
          <w:rFonts w:ascii="Verdana" w:eastAsia="Verdana" w:hAnsi="Verdana" w:cs="Verdana"/>
          <w:sz w:val="20"/>
          <w:szCs w:val="20"/>
        </w:rPr>
        <w:t>La decisión de optar por la enajenación a título gratuito entre entidades estatales, prevista en el artículo 2.2.1.2.2.4.3 del Decreto 1082 de 2015, constituye una facultad de la entidad. No obstante, dicha decisión debe estar debidamente sustentada en los documentos previos del proceso, con base en un análisis técnico y jurídico que permita identificar la alternativa más adecuada, justificando los presupuestos jurídicos para la aplicación de dicho mecanismo de enajenación. Para ello, deben considerarse aspectos como las necesidades institucionales, las ventajas de cada mecanismo, la naturaleza y estado de conservación del bien, su utilidad, el marco normativo aplicable y cualquier otro criterio relevante para la toma de decisiones.</w:t>
      </w:r>
    </w:p>
    <w:p w14:paraId="18656427" w14:textId="77777777" w:rsidR="0000668A" w:rsidRDefault="0000668A" w:rsidP="0000668A">
      <w:pPr>
        <w:spacing w:after="0"/>
        <w:rPr>
          <w:rFonts w:ascii="Verdana" w:eastAsia="Verdana" w:hAnsi="Verdana" w:cs="Verdana"/>
        </w:rPr>
      </w:pPr>
    </w:p>
    <w:p w14:paraId="04BFF873" w14:textId="77777777" w:rsidR="0000668A" w:rsidRDefault="0000668A" w:rsidP="0000668A">
      <w:pPr>
        <w:spacing w:after="0"/>
        <w:rPr>
          <w:rFonts w:ascii="Verdana" w:eastAsia="Verdana" w:hAnsi="Verdana" w:cs="Verdana"/>
        </w:rPr>
      </w:pPr>
    </w:p>
    <w:p w14:paraId="53AB0F4F" w14:textId="77777777" w:rsidR="0000668A" w:rsidRDefault="0000668A" w:rsidP="0000668A">
      <w:pPr>
        <w:spacing w:after="0"/>
        <w:rPr>
          <w:rFonts w:ascii="Verdana" w:eastAsia="Verdana" w:hAnsi="Verdana" w:cs="Verdana"/>
        </w:rPr>
      </w:pPr>
    </w:p>
    <w:p w14:paraId="64771C61" w14:textId="77777777" w:rsidR="0000668A" w:rsidRDefault="0000668A" w:rsidP="0000668A">
      <w:pPr>
        <w:spacing w:after="0"/>
        <w:rPr>
          <w:rFonts w:ascii="Verdana" w:eastAsia="Verdana" w:hAnsi="Verdana" w:cs="Verdana"/>
        </w:rPr>
      </w:pPr>
    </w:p>
    <w:p w14:paraId="72FEE125" w14:textId="77777777" w:rsidR="0000668A" w:rsidRDefault="0000668A" w:rsidP="0000668A">
      <w:pPr>
        <w:spacing w:after="0"/>
        <w:rPr>
          <w:rFonts w:ascii="Verdana" w:eastAsia="Verdana" w:hAnsi="Verdana" w:cs="Verdana"/>
        </w:rPr>
      </w:pPr>
    </w:p>
    <w:p w14:paraId="04EB28B3" w14:textId="77777777" w:rsidR="0000668A" w:rsidRDefault="0000668A" w:rsidP="0000668A">
      <w:pPr>
        <w:spacing w:after="0"/>
        <w:rPr>
          <w:rFonts w:ascii="Verdana" w:eastAsia="Verdana" w:hAnsi="Verdana" w:cs="Verdana"/>
        </w:rPr>
      </w:pPr>
    </w:p>
    <w:p w14:paraId="24A77DC6" w14:textId="77777777" w:rsidR="0000668A" w:rsidRDefault="0000668A" w:rsidP="0000668A">
      <w:pPr>
        <w:spacing w:after="0"/>
        <w:rPr>
          <w:rFonts w:ascii="Verdana" w:eastAsia="Verdana" w:hAnsi="Verdana" w:cs="Verdana"/>
        </w:rPr>
      </w:pPr>
    </w:p>
    <w:p w14:paraId="78D1C801" w14:textId="77777777" w:rsidR="0000668A" w:rsidRDefault="0000668A" w:rsidP="0000668A">
      <w:pPr>
        <w:spacing w:after="0"/>
        <w:rPr>
          <w:rFonts w:ascii="Verdana" w:eastAsia="Verdana" w:hAnsi="Verdana" w:cs="Verdana"/>
        </w:rPr>
      </w:pPr>
    </w:p>
    <w:p w14:paraId="5935F3A0" w14:textId="77777777" w:rsidR="0000668A" w:rsidRDefault="0000668A" w:rsidP="0000668A">
      <w:pPr>
        <w:spacing w:after="0"/>
        <w:rPr>
          <w:rFonts w:ascii="Verdana" w:eastAsia="Verdana" w:hAnsi="Verdana" w:cs="Verdana"/>
        </w:rPr>
      </w:pPr>
    </w:p>
    <w:p w14:paraId="1BA46789" w14:textId="77777777" w:rsidR="0000668A" w:rsidRDefault="0000668A" w:rsidP="0000668A">
      <w:pPr>
        <w:spacing w:after="0"/>
        <w:rPr>
          <w:rFonts w:ascii="Verdana" w:eastAsia="Verdana" w:hAnsi="Verdana" w:cs="Verdana"/>
        </w:rPr>
      </w:pPr>
    </w:p>
    <w:p w14:paraId="52976A39" w14:textId="77777777" w:rsidR="0000668A" w:rsidRDefault="0000668A" w:rsidP="0000668A">
      <w:pPr>
        <w:spacing w:after="0"/>
        <w:rPr>
          <w:rFonts w:ascii="Verdana" w:eastAsia="Verdana" w:hAnsi="Verdana" w:cs="Verdana"/>
        </w:rPr>
      </w:pPr>
    </w:p>
    <w:p w14:paraId="554E0CC4" w14:textId="77777777" w:rsidR="0000668A" w:rsidRDefault="0000668A" w:rsidP="0000668A">
      <w:pPr>
        <w:spacing w:after="0"/>
        <w:rPr>
          <w:rFonts w:ascii="Verdana" w:eastAsia="Verdana" w:hAnsi="Verdana" w:cs="Verdana"/>
        </w:rPr>
      </w:pPr>
    </w:p>
    <w:p w14:paraId="4BC4EFBE" w14:textId="77777777" w:rsidR="0000668A" w:rsidRDefault="0000668A" w:rsidP="0000668A">
      <w:pPr>
        <w:spacing w:after="0"/>
        <w:rPr>
          <w:rFonts w:ascii="Verdana" w:eastAsia="Verdana" w:hAnsi="Verdana" w:cs="Verdana"/>
        </w:rPr>
      </w:pPr>
    </w:p>
    <w:p w14:paraId="51BF5ACE" w14:textId="77777777" w:rsidR="0000668A" w:rsidRDefault="0000668A" w:rsidP="0000668A">
      <w:pPr>
        <w:spacing w:after="0"/>
        <w:rPr>
          <w:rFonts w:ascii="Verdana" w:eastAsia="Verdana" w:hAnsi="Verdana" w:cs="Verdana"/>
        </w:rPr>
      </w:pPr>
    </w:p>
    <w:p w14:paraId="13C00CBC" w14:textId="77777777" w:rsidR="0000668A" w:rsidRDefault="0000668A" w:rsidP="0000668A">
      <w:pPr>
        <w:spacing w:after="0"/>
        <w:rPr>
          <w:rFonts w:ascii="Verdana" w:eastAsia="Verdana" w:hAnsi="Verdana" w:cs="Verdana"/>
        </w:rPr>
      </w:pPr>
    </w:p>
    <w:p w14:paraId="4BF06800" w14:textId="77777777" w:rsidR="0000668A" w:rsidRDefault="0000668A" w:rsidP="0000668A">
      <w:pPr>
        <w:spacing w:after="0"/>
        <w:rPr>
          <w:rFonts w:ascii="Verdana" w:eastAsia="Verdana" w:hAnsi="Verdana" w:cs="Verdana"/>
        </w:rPr>
      </w:pPr>
    </w:p>
    <w:p w14:paraId="0EF8BFDB" w14:textId="77777777" w:rsidR="0000668A" w:rsidRDefault="0000668A" w:rsidP="0000668A">
      <w:pPr>
        <w:spacing w:after="0"/>
        <w:rPr>
          <w:rFonts w:ascii="Verdana" w:eastAsia="Verdana" w:hAnsi="Verdana" w:cs="Verdana"/>
        </w:rPr>
      </w:pPr>
    </w:p>
    <w:p w14:paraId="21A9A9D6" w14:textId="77777777" w:rsidR="0000668A" w:rsidRDefault="0000668A" w:rsidP="0000668A">
      <w:pPr>
        <w:spacing w:after="0"/>
        <w:rPr>
          <w:rFonts w:ascii="Verdana" w:eastAsia="Verdana" w:hAnsi="Verdana" w:cs="Verdana"/>
        </w:rPr>
      </w:pPr>
    </w:p>
    <w:p w14:paraId="669737C1" w14:textId="77777777" w:rsidR="0000668A" w:rsidRDefault="0000668A" w:rsidP="0000668A">
      <w:pPr>
        <w:spacing w:after="0"/>
        <w:rPr>
          <w:rFonts w:ascii="Verdana" w:eastAsia="Verdana" w:hAnsi="Verdana" w:cs="Verdana"/>
        </w:rPr>
      </w:pPr>
    </w:p>
    <w:p w14:paraId="6A636F19" w14:textId="77777777" w:rsidR="0000668A" w:rsidRDefault="0000668A" w:rsidP="0000668A">
      <w:pPr>
        <w:spacing w:after="0"/>
        <w:rPr>
          <w:rFonts w:ascii="Verdana" w:eastAsia="Verdana" w:hAnsi="Verdana" w:cs="Verdana"/>
        </w:rPr>
      </w:pPr>
    </w:p>
    <w:p w14:paraId="4FDB5B04" w14:textId="0095A453" w:rsidR="0020748A" w:rsidRDefault="00A12D4E" w:rsidP="0020748A">
      <w:pPr>
        <w:spacing w:after="0"/>
        <w:rPr>
          <w:rFonts w:ascii="Verdana" w:hAnsi="Verdana"/>
        </w:rPr>
      </w:pPr>
      <w:r w:rsidRPr="00A12D4E">
        <w:rPr>
          <w:rFonts w:ascii="Verdana" w:hAnsi="Verdana"/>
          <w:noProof/>
        </w:rPr>
        <w:drawing>
          <wp:anchor distT="0" distB="0" distL="114300" distR="114300" simplePos="0" relativeHeight="251658240" behindDoc="0" locked="0" layoutInCell="1" allowOverlap="1" wp14:anchorId="543FDDEB" wp14:editId="0FFAF398">
            <wp:simplePos x="0" y="0"/>
            <wp:positionH relativeFrom="margin">
              <wp:posOffset>2859405</wp:posOffset>
            </wp:positionH>
            <wp:positionV relativeFrom="paragraph">
              <wp:posOffset>334645</wp:posOffset>
            </wp:positionV>
            <wp:extent cx="2743200" cy="759460"/>
            <wp:effectExtent l="0" t="0" r="0" b="2540"/>
            <wp:wrapSquare wrapText="bothSides"/>
            <wp:docPr id="15081658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759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748A" w:rsidRPr="30821638">
        <w:rPr>
          <w:rFonts w:ascii="Verdana" w:eastAsia="Verdana" w:hAnsi="Verdana" w:cs="Verdana"/>
        </w:rPr>
        <w:t xml:space="preserve">Bogotá D.C., </w:t>
      </w:r>
      <w:r w:rsidR="0000668A">
        <w:rPr>
          <w:rFonts w:ascii="Verdana" w:eastAsia="Verdana" w:hAnsi="Verdana" w:cs="Verdana"/>
        </w:rPr>
        <w:t>30 de septiembre de 2026</w:t>
      </w:r>
      <w:r w:rsidR="0020748A">
        <w:tab/>
      </w:r>
      <w:r w:rsidR="0020748A">
        <w:br/>
      </w:r>
    </w:p>
    <w:p w14:paraId="2D3F7601" w14:textId="0EB2E8B2" w:rsidR="0020748A" w:rsidRPr="00B57A1B" w:rsidRDefault="0020748A" w:rsidP="0020748A">
      <w:pPr>
        <w:spacing w:after="0" w:line="240" w:lineRule="auto"/>
        <w:rPr>
          <w:rFonts w:ascii="Verdana" w:hAnsi="Verdana"/>
        </w:rPr>
      </w:pPr>
    </w:p>
    <w:p w14:paraId="769EDE20" w14:textId="00C662C8" w:rsidR="0020748A" w:rsidRPr="002C7317" w:rsidRDefault="0020748A" w:rsidP="0020748A">
      <w:pPr>
        <w:spacing w:after="0" w:line="240" w:lineRule="auto"/>
        <w:rPr>
          <w:rFonts w:ascii="Verdana" w:eastAsia="Calibri" w:hAnsi="Verdana" w:cs="Times New Roman"/>
          <w:lang w:val="es-MX"/>
        </w:rPr>
      </w:pPr>
      <w:r w:rsidRPr="002C7317">
        <w:rPr>
          <w:rFonts w:ascii="Verdana" w:eastAsia="Calibri" w:hAnsi="Verdana" w:cs="Times New Roman"/>
          <w:lang w:val="es-MX"/>
        </w:rPr>
        <w:t>Señor</w:t>
      </w:r>
    </w:p>
    <w:p w14:paraId="47BC62B1" w14:textId="77777777" w:rsidR="0020748A" w:rsidRPr="002C7317" w:rsidRDefault="0020748A" w:rsidP="0020748A">
      <w:pPr>
        <w:spacing w:after="0" w:line="240" w:lineRule="auto"/>
        <w:rPr>
          <w:rFonts w:ascii="Verdana" w:eastAsia="Calibri" w:hAnsi="Verdana" w:cs="Times New Roman"/>
          <w:b/>
        </w:rPr>
      </w:pPr>
      <w:r w:rsidRPr="002C7317">
        <w:rPr>
          <w:rFonts w:ascii="Verdana" w:eastAsia="Calibri" w:hAnsi="Verdana" w:cs="Times New Roman"/>
          <w:b/>
        </w:rPr>
        <w:t>Andrés Felipe Martínez López</w:t>
      </w:r>
    </w:p>
    <w:p w14:paraId="2122FDE3" w14:textId="77777777" w:rsidR="0020748A" w:rsidRPr="002C7317" w:rsidRDefault="0020748A" w:rsidP="0020748A">
      <w:pPr>
        <w:spacing w:after="0" w:line="240" w:lineRule="auto"/>
        <w:rPr>
          <w:rFonts w:ascii="Verdana" w:hAnsi="Verdana"/>
        </w:rPr>
      </w:pPr>
      <w:hyperlink r:id="rId12" w:history="1">
        <w:r w:rsidRPr="00ED0B88">
          <w:rPr>
            <w:rStyle w:val="Hipervnculo"/>
            <w:rFonts w:ascii="Verdana" w:hAnsi="Verdana"/>
          </w:rPr>
          <w:t>andres_m21@outlook.com</w:t>
        </w:r>
      </w:hyperlink>
      <w:r>
        <w:rPr>
          <w:rFonts w:ascii="Verdana" w:hAnsi="Verdana"/>
        </w:rPr>
        <w:t xml:space="preserve"> </w:t>
      </w:r>
    </w:p>
    <w:p w14:paraId="5672C248" w14:textId="77777777" w:rsidR="0020748A" w:rsidRPr="002C7317" w:rsidRDefault="0020748A" w:rsidP="0020748A">
      <w:pPr>
        <w:spacing w:after="0" w:line="240" w:lineRule="auto"/>
        <w:rPr>
          <w:rFonts w:ascii="Verdana" w:eastAsia="Calibri" w:hAnsi="Verdana" w:cs="Times New Roman"/>
        </w:rPr>
      </w:pPr>
      <w:r w:rsidRPr="002C7317">
        <w:rPr>
          <w:rFonts w:ascii="Verdana" w:eastAsia="Calibri" w:hAnsi="Verdana" w:cs="Times New Roman"/>
        </w:rPr>
        <w:t>Bogotá D.C.</w:t>
      </w:r>
    </w:p>
    <w:p w14:paraId="0B9435AD" w14:textId="77777777" w:rsidR="0020748A" w:rsidRPr="00B57A1B" w:rsidRDefault="0020748A" w:rsidP="0020748A">
      <w:pPr>
        <w:spacing w:after="0" w:line="240" w:lineRule="auto"/>
        <w:rPr>
          <w:rFonts w:ascii="Verdana" w:eastAsia="Calibri" w:hAnsi="Verdana" w:cs="Times New Roman"/>
        </w:rPr>
      </w:pPr>
    </w:p>
    <w:p w14:paraId="4FDBE871" w14:textId="77777777" w:rsidR="0020748A" w:rsidRPr="00B57A1B" w:rsidRDefault="0020748A" w:rsidP="0020748A">
      <w:pPr>
        <w:spacing w:after="0" w:line="240" w:lineRule="auto"/>
        <w:rPr>
          <w:rFonts w:ascii="Verdana" w:eastAsia="Calibri" w:hAnsi="Verdana" w:cs="Times New Roman"/>
        </w:rPr>
      </w:pPr>
    </w:p>
    <w:p w14:paraId="4271128A" w14:textId="77777777" w:rsidR="0020748A" w:rsidRPr="00B57A1B" w:rsidRDefault="0020748A" w:rsidP="0020748A">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C–1337 de 2026</w:t>
      </w:r>
    </w:p>
    <w:p w14:paraId="06E109A9" w14:textId="77777777" w:rsidR="0020748A" w:rsidRPr="00B57A1B" w:rsidRDefault="0020748A" w:rsidP="0020748A">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0748A" w:rsidRPr="00B57A1B" w14:paraId="5936C4DA" w14:textId="77777777" w:rsidTr="00B1075C">
        <w:trPr>
          <w:trHeight w:val="645"/>
        </w:trPr>
        <w:tc>
          <w:tcPr>
            <w:tcW w:w="2685" w:type="dxa"/>
            <w:hideMark/>
          </w:tcPr>
          <w:p w14:paraId="023C3D7D" w14:textId="77777777" w:rsidR="0020748A" w:rsidRPr="00B57A1B" w:rsidRDefault="0020748A" w:rsidP="00B1075C">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5C0F9483" w14:textId="77777777" w:rsidR="0020748A" w:rsidRPr="00960423" w:rsidRDefault="0020748A" w:rsidP="00B1075C">
            <w:pPr>
              <w:spacing w:line="276" w:lineRule="auto"/>
              <w:jc w:val="both"/>
              <w:rPr>
                <w:rFonts w:ascii="Verdana" w:hAnsi="Verdana" w:cs="Arial"/>
                <w:lang w:val="es-ES_tradnl" w:eastAsia="es-ES"/>
              </w:rPr>
            </w:pPr>
            <w:r>
              <w:rPr>
                <w:rFonts w:ascii="Verdana" w:hAnsi="Verdana" w:cs="Arial"/>
                <w:lang w:eastAsia="es-ES"/>
              </w:rPr>
              <w:t xml:space="preserve">ENAJENACIÓN – Bienes muebles – Bienes Inmuebles / BIENES PÚBLICOS – Tipos / ENAJENACIÓN – Bienes muebles – Título gratuito – Decreto 1082 de 2015 – Procedimiento / ENAJENACIÓN – Intermediario – Sistema de Martillo / SISTEMA DE MARTILLO – Características / ENAJENACIÓN – Bienes muebles – Entidades Públicas – Aplicación – Procedimiento preferente - artículo </w:t>
            </w:r>
            <w:r w:rsidRPr="00906BDB">
              <w:rPr>
                <w:rFonts w:ascii="Verdana" w:hAnsi="Verdana" w:cs="Arial"/>
                <w:lang w:eastAsia="es-ES"/>
              </w:rPr>
              <w:t>2.2.1.2.2.4.3</w:t>
            </w:r>
            <w:r>
              <w:rPr>
                <w:rFonts w:ascii="Verdana" w:hAnsi="Verdana" w:cs="Arial"/>
                <w:lang w:eastAsia="es-ES"/>
              </w:rPr>
              <w:t>.</w:t>
            </w:r>
          </w:p>
          <w:p w14:paraId="5CC156F5" w14:textId="77777777" w:rsidR="0020748A" w:rsidRPr="00441434" w:rsidRDefault="0020748A" w:rsidP="00B1075C">
            <w:pPr>
              <w:spacing w:line="276" w:lineRule="auto"/>
              <w:jc w:val="both"/>
              <w:rPr>
                <w:rFonts w:ascii="Verdana" w:hAnsi="Verdana" w:cs="Arial"/>
                <w:lang w:eastAsia="es-ES"/>
              </w:rPr>
            </w:pPr>
          </w:p>
          <w:p w14:paraId="0031DF08" w14:textId="77777777" w:rsidR="0020748A" w:rsidRPr="00441434" w:rsidRDefault="0020748A" w:rsidP="00B1075C">
            <w:pPr>
              <w:spacing w:line="276" w:lineRule="auto"/>
              <w:jc w:val="both"/>
              <w:rPr>
                <w:rFonts w:ascii="Verdana" w:hAnsi="Verdana" w:cs="Arial"/>
                <w:lang w:eastAsia="es-ES"/>
              </w:rPr>
            </w:pPr>
          </w:p>
        </w:tc>
        <w:tc>
          <w:tcPr>
            <w:tcW w:w="6237" w:type="dxa"/>
          </w:tcPr>
          <w:p w14:paraId="1445EA36" w14:textId="77777777" w:rsidR="0020748A" w:rsidRPr="00B57A1B" w:rsidRDefault="0020748A" w:rsidP="00B1075C">
            <w:pPr>
              <w:spacing w:line="256" w:lineRule="auto"/>
              <w:rPr>
                <w:rFonts w:ascii="Verdana" w:hAnsi="Verdana"/>
              </w:rPr>
            </w:pPr>
          </w:p>
        </w:tc>
      </w:tr>
      <w:tr w:rsidR="0020748A" w:rsidRPr="00B57A1B" w14:paraId="5DE53BA4" w14:textId="77777777" w:rsidTr="00B1075C">
        <w:tc>
          <w:tcPr>
            <w:tcW w:w="2685" w:type="dxa"/>
          </w:tcPr>
          <w:p w14:paraId="252ABFFC" w14:textId="77777777" w:rsidR="0020748A" w:rsidRPr="00B57A1B" w:rsidRDefault="0020748A" w:rsidP="00B1075C">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7413FBF6" w14:textId="77777777" w:rsidR="0020748A" w:rsidRPr="002F4390" w:rsidRDefault="0020748A" w:rsidP="00B1075C">
            <w:pPr>
              <w:spacing w:line="257" w:lineRule="auto"/>
              <w:jc w:val="both"/>
              <w:rPr>
                <w:rFonts w:ascii="Verdana" w:hAnsi="Verdana"/>
                <w:lang w:val="es-ES_tradnl"/>
              </w:rPr>
            </w:pPr>
            <w:r w:rsidRPr="00B57A1B">
              <w:rPr>
                <w:rFonts w:ascii="Verdana" w:hAnsi="Verdana"/>
                <w:lang w:val="es-ES_tradnl"/>
              </w:rPr>
              <w:t xml:space="preserve">Respuesta a consulta con radicado No. </w:t>
            </w:r>
            <w:r w:rsidRPr="002C7317">
              <w:rPr>
                <w:rFonts w:ascii="Verdana" w:hAnsi="Verdana"/>
              </w:rPr>
              <w:t>1_2026_08_25_011268</w:t>
            </w:r>
          </w:p>
          <w:p w14:paraId="3DB60F44" w14:textId="77777777" w:rsidR="0020748A" w:rsidRPr="00B57A1B" w:rsidRDefault="0020748A" w:rsidP="00B1075C">
            <w:pPr>
              <w:spacing w:line="257" w:lineRule="auto"/>
              <w:jc w:val="both"/>
              <w:rPr>
                <w:rFonts w:ascii="Verdana" w:hAnsi="Verdana"/>
              </w:rPr>
            </w:pPr>
          </w:p>
          <w:p w14:paraId="0C748A22" w14:textId="77777777" w:rsidR="0020748A" w:rsidRPr="00B57A1B" w:rsidRDefault="0020748A" w:rsidP="00B1075C">
            <w:pPr>
              <w:spacing w:line="257" w:lineRule="auto"/>
              <w:jc w:val="both"/>
              <w:rPr>
                <w:rFonts w:ascii="Verdana" w:hAnsi="Verdana"/>
              </w:rPr>
            </w:pPr>
          </w:p>
        </w:tc>
        <w:tc>
          <w:tcPr>
            <w:tcW w:w="6237" w:type="dxa"/>
          </w:tcPr>
          <w:p w14:paraId="6DE3F970" w14:textId="77777777" w:rsidR="0020748A" w:rsidRPr="00B57A1B" w:rsidRDefault="0020748A" w:rsidP="00B1075C">
            <w:pPr>
              <w:spacing w:line="256" w:lineRule="auto"/>
              <w:rPr>
                <w:rFonts w:ascii="Verdana" w:hAnsi="Verdana"/>
                <w:lang w:val="es-ES_tradnl"/>
              </w:rPr>
            </w:pPr>
          </w:p>
        </w:tc>
      </w:tr>
    </w:tbl>
    <w:p w14:paraId="3E2DE975" w14:textId="77777777" w:rsidR="0020748A" w:rsidRPr="00B57A1B" w:rsidRDefault="0020748A" w:rsidP="0020748A">
      <w:pPr>
        <w:spacing w:after="0" w:line="256" w:lineRule="auto"/>
        <w:rPr>
          <w:rFonts w:ascii="Verdana" w:eastAsia="Calibri" w:hAnsi="Verdana" w:cs="Times New Roman"/>
          <w:lang w:val="es-ES"/>
        </w:rPr>
      </w:pPr>
      <w:r w:rsidRPr="00B57A1B">
        <w:rPr>
          <w:rFonts w:ascii="Verdana" w:eastAsia="Calibri" w:hAnsi="Verdana" w:cs="Times New Roman"/>
          <w:lang w:val="es-ES"/>
        </w:rPr>
        <w:t>Estimad</w:t>
      </w:r>
      <w:r>
        <w:rPr>
          <w:rFonts w:ascii="Verdana" w:eastAsia="Calibri" w:hAnsi="Verdana" w:cs="Times New Roman"/>
          <w:lang w:val="es-ES"/>
        </w:rPr>
        <w:t>o Señor Martínez</w:t>
      </w:r>
      <w:r w:rsidRPr="00B57A1B">
        <w:rPr>
          <w:rFonts w:ascii="Verdana" w:eastAsia="Calibri" w:hAnsi="Verdana" w:cs="Times New Roman"/>
          <w:lang w:val="es-ES"/>
        </w:rPr>
        <w:t xml:space="preserve">: </w:t>
      </w:r>
    </w:p>
    <w:p w14:paraId="0261F00B" w14:textId="77777777" w:rsidR="0020748A" w:rsidRPr="00B57A1B" w:rsidRDefault="0020748A" w:rsidP="0020748A">
      <w:pPr>
        <w:spacing w:after="0" w:line="256" w:lineRule="auto"/>
        <w:rPr>
          <w:rFonts w:ascii="Verdana" w:eastAsia="Calibri" w:hAnsi="Verdana" w:cs="Times New Roman"/>
          <w:lang w:val="es-ES"/>
        </w:rPr>
      </w:pPr>
    </w:p>
    <w:p w14:paraId="024294DD" w14:textId="77777777" w:rsidR="0020748A" w:rsidRDefault="0020748A" w:rsidP="0020748A">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 consulta del 25 de agosto de 2026</w:t>
      </w:r>
      <w:r w:rsidRPr="00B57A1B">
        <w:rPr>
          <w:rFonts w:ascii="Verdana" w:eastAsia="Calibri" w:hAnsi="Verdana" w:cs="Times New Roman"/>
          <w:bCs/>
          <w:lang w:val="es-ES" w:bidi="es-ES"/>
        </w:rPr>
        <w:t xml:space="preserve">, en la cual manifiesta: </w:t>
      </w:r>
    </w:p>
    <w:p w14:paraId="4F55A4F9" w14:textId="77777777" w:rsidR="0020748A" w:rsidRPr="0076175D" w:rsidRDefault="0020748A" w:rsidP="0020748A">
      <w:pPr>
        <w:spacing w:after="0" w:line="240" w:lineRule="auto"/>
        <w:ind w:right="709"/>
        <w:jc w:val="both"/>
        <w:rPr>
          <w:rFonts w:ascii="Verdana" w:eastAsia="Calibri" w:hAnsi="Verdana" w:cs="Times New Roman"/>
          <w:bCs/>
          <w:sz w:val="20"/>
          <w:szCs w:val="20"/>
          <w:lang w:bidi="es-ES"/>
        </w:rPr>
      </w:pPr>
    </w:p>
    <w:p w14:paraId="23A6C842" w14:textId="77777777" w:rsidR="0020748A" w:rsidRPr="002C7317" w:rsidRDefault="0020748A" w:rsidP="0020748A">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w:t>
      </w:r>
      <w:r w:rsidRPr="002C7317">
        <w:rPr>
          <w:rFonts w:ascii="Verdana" w:eastAsia="Calibri" w:hAnsi="Verdana" w:cs="Times New Roman"/>
          <w:bCs/>
          <w:sz w:val="20"/>
          <w:szCs w:val="20"/>
          <w:lang w:bidi="es-ES"/>
        </w:rPr>
        <w:t>El parágrafo 3 del Art. 24 de la ley 80 de 1993 prevé la</w:t>
      </w:r>
      <w:r>
        <w:rPr>
          <w:rFonts w:ascii="Verdana" w:eastAsia="Calibri" w:hAnsi="Verdana" w:cs="Times New Roman"/>
          <w:bCs/>
          <w:sz w:val="20"/>
          <w:szCs w:val="20"/>
          <w:lang w:bidi="es-ES"/>
        </w:rPr>
        <w:t xml:space="preserve"> </w:t>
      </w:r>
      <w:r w:rsidRPr="002C7317">
        <w:rPr>
          <w:rFonts w:ascii="Verdana" w:eastAsia="Calibri" w:hAnsi="Verdana" w:cs="Times New Roman"/>
          <w:bCs/>
          <w:sz w:val="20"/>
          <w:szCs w:val="20"/>
          <w:lang w:bidi="es-ES"/>
        </w:rPr>
        <w:t>posibilidad de enajenar bienes de entidades públicas por el</w:t>
      </w:r>
      <w:r>
        <w:rPr>
          <w:rFonts w:ascii="Verdana" w:eastAsia="Calibri" w:hAnsi="Verdana" w:cs="Times New Roman"/>
          <w:bCs/>
          <w:sz w:val="20"/>
          <w:szCs w:val="20"/>
          <w:lang w:bidi="es-ES"/>
        </w:rPr>
        <w:t xml:space="preserve"> </w:t>
      </w:r>
      <w:r w:rsidRPr="002C7317">
        <w:rPr>
          <w:rFonts w:ascii="Verdana" w:eastAsia="Calibri" w:hAnsi="Verdana" w:cs="Times New Roman"/>
          <w:bCs/>
          <w:sz w:val="20"/>
          <w:szCs w:val="20"/>
          <w:lang w:bidi="es-ES"/>
        </w:rPr>
        <w:t>sistema de martillo, a su vez, el Art. 2.2.1.2.2.4.3 del</w:t>
      </w:r>
      <w:r>
        <w:rPr>
          <w:rFonts w:ascii="Verdana" w:eastAsia="Calibri" w:hAnsi="Verdana" w:cs="Times New Roman"/>
          <w:bCs/>
          <w:sz w:val="20"/>
          <w:szCs w:val="20"/>
          <w:lang w:bidi="es-ES"/>
        </w:rPr>
        <w:t xml:space="preserve"> </w:t>
      </w:r>
      <w:r w:rsidRPr="002C7317">
        <w:rPr>
          <w:rFonts w:ascii="Verdana" w:eastAsia="Calibri" w:hAnsi="Verdana" w:cs="Times New Roman"/>
          <w:bCs/>
          <w:sz w:val="20"/>
          <w:szCs w:val="20"/>
          <w:lang w:bidi="es-ES"/>
        </w:rPr>
        <w:t>decreto 1082 de 2015 establece la enajenación de bienes muebles</w:t>
      </w:r>
      <w:r>
        <w:rPr>
          <w:rFonts w:ascii="Verdana" w:eastAsia="Calibri" w:hAnsi="Verdana" w:cs="Times New Roman"/>
          <w:bCs/>
          <w:sz w:val="20"/>
          <w:szCs w:val="20"/>
          <w:lang w:bidi="es-ES"/>
        </w:rPr>
        <w:t xml:space="preserve"> </w:t>
      </w:r>
      <w:r w:rsidRPr="002C7317">
        <w:rPr>
          <w:rFonts w:ascii="Verdana" w:eastAsia="Calibri" w:hAnsi="Verdana" w:cs="Times New Roman"/>
          <w:bCs/>
          <w:sz w:val="20"/>
          <w:szCs w:val="20"/>
          <w:lang w:bidi="es-ES"/>
        </w:rPr>
        <w:t>a título gratuito entre Entidades Estatales.</w:t>
      </w:r>
    </w:p>
    <w:p w14:paraId="505D5C13" w14:textId="77777777" w:rsidR="0020748A" w:rsidRPr="002C7317" w:rsidRDefault="0020748A" w:rsidP="0020748A">
      <w:pPr>
        <w:spacing w:after="0" w:line="240" w:lineRule="auto"/>
        <w:ind w:left="720" w:right="709"/>
        <w:jc w:val="both"/>
        <w:rPr>
          <w:rFonts w:ascii="Verdana" w:eastAsia="Calibri" w:hAnsi="Verdana" w:cs="Times New Roman"/>
          <w:bCs/>
          <w:sz w:val="20"/>
          <w:szCs w:val="20"/>
          <w:lang w:bidi="es-ES"/>
        </w:rPr>
      </w:pPr>
      <w:r w:rsidRPr="002C7317">
        <w:rPr>
          <w:rFonts w:ascii="Verdana" w:eastAsia="Calibri" w:hAnsi="Verdana" w:cs="Times New Roman"/>
          <w:bCs/>
          <w:sz w:val="20"/>
          <w:szCs w:val="20"/>
          <w:lang w:bidi="es-ES"/>
        </w:rPr>
        <w:t>Para el caso concreto de bienes muebles que las entidades no</w:t>
      </w:r>
      <w:r>
        <w:rPr>
          <w:rFonts w:ascii="Verdana" w:eastAsia="Calibri" w:hAnsi="Verdana" w:cs="Times New Roman"/>
          <w:bCs/>
          <w:sz w:val="20"/>
          <w:szCs w:val="20"/>
          <w:lang w:bidi="es-ES"/>
        </w:rPr>
        <w:t xml:space="preserve"> </w:t>
      </w:r>
      <w:r w:rsidRPr="002C7317">
        <w:rPr>
          <w:rFonts w:ascii="Verdana" w:eastAsia="Calibri" w:hAnsi="Verdana" w:cs="Times New Roman"/>
          <w:bCs/>
          <w:sz w:val="20"/>
          <w:szCs w:val="20"/>
          <w:lang w:bidi="es-ES"/>
        </w:rPr>
        <w:t>utilizan, a juicio de la agencia, ¿existe una concurrencia de</w:t>
      </w:r>
      <w:r>
        <w:rPr>
          <w:rFonts w:ascii="Verdana" w:eastAsia="Calibri" w:hAnsi="Verdana" w:cs="Times New Roman"/>
          <w:bCs/>
          <w:sz w:val="20"/>
          <w:szCs w:val="20"/>
          <w:lang w:bidi="es-ES"/>
        </w:rPr>
        <w:t xml:space="preserve"> </w:t>
      </w:r>
      <w:r w:rsidRPr="002C7317">
        <w:rPr>
          <w:rFonts w:ascii="Verdana" w:eastAsia="Calibri" w:hAnsi="Verdana" w:cs="Times New Roman"/>
          <w:bCs/>
          <w:sz w:val="20"/>
          <w:szCs w:val="20"/>
          <w:lang w:bidi="es-ES"/>
        </w:rPr>
        <w:t>modalidades entre la enajenación a través del martillo y la</w:t>
      </w:r>
      <w:r>
        <w:rPr>
          <w:rFonts w:ascii="Verdana" w:eastAsia="Calibri" w:hAnsi="Verdana" w:cs="Times New Roman"/>
          <w:bCs/>
          <w:sz w:val="20"/>
          <w:szCs w:val="20"/>
          <w:lang w:bidi="es-ES"/>
        </w:rPr>
        <w:t xml:space="preserve"> </w:t>
      </w:r>
      <w:r w:rsidRPr="002C7317">
        <w:rPr>
          <w:rFonts w:ascii="Verdana" w:eastAsia="Calibri" w:hAnsi="Verdana" w:cs="Times New Roman"/>
          <w:bCs/>
          <w:sz w:val="20"/>
          <w:szCs w:val="20"/>
          <w:lang w:bidi="es-ES"/>
        </w:rPr>
        <w:t>enajenación gratuita entre entidades? O por el contrario, ¿el</w:t>
      </w:r>
      <w:r>
        <w:rPr>
          <w:rFonts w:ascii="Verdana" w:eastAsia="Calibri" w:hAnsi="Verdana" w:cs="Times New Roman"/>
          <w:bCs/>
          <w:sz w:val="20"/>
          <w:szCs w:val="20"/>
          <w:lang w:bidi="es-ES"/>
        </w:rPr>
        <w:t xml:space="preserve"> </w:t>
      </w:r>
      <w:r w:rsidRPr="002C7317">
        <w:rPr>
          <w:rFonts w:ascii="Verdana" w:eastAsia="Calibri" w:hAnsi="Verdana" w:cs="Times New Roman"/>
          <w:bCs/>
          <w:sz w:val="20"/>
          <w:szCs w:val="20"/>
          <w:lang w:bidi="es-ES"/>
        </w:rPr>
        <w:t>tenor literal de la expresión "deben" de la enajenación</w:t>
      </w:r>
      <w:r>
        <w:rPr>
          <w:rFonts w:ascii="Verdana" w:eastAsia="Calibri" w:hAnsi="Verdana" w:cs="Times New Roman"/>
          <w:bCs/>
          <w:sz w:val="20"/>
          <w:szCs w:val="20"/>
          <w:lang w:bidi="es-ES"/>
        </w:rPr>
        <w:t xml:space="preserve"> </w:t>
      </w:r>
      <w:r w:rsidRPr="002C7317">
        <w:rPr>
          <w:rFonts w:ascii="Verdana" w:eastAsia="Calibri" w:hAnsi="Verdana" w:cs="Times New Roman"/>
          <w:bCs/>
          <w:sz w:val="20"/>
          <w:szCs w:val="20"/>
          <w:lang w:bidi="es-ES"/>
        </w:rPr>
        <w:t>gratuita entre entidades, tiene el alcance de ser la única</w:t>
      </w:r>
    </w:p>
    <w:p w14:paraId="28A22569" w14:textId="77777777" w:rsidR="0020748A" w:rsidRPr="002F4390" w:rsidRDefault="0020748A" w:rsidP="0020748A">
      <w:pPr>
        <w:spacing w:after="0" w:line="240" w:lineRule="auto"/>
        <w:ind w:left="720" w:right="709"/>
        <w:jc w:val="both"/>
        <w:rPr>
          <w:rFonts w:ascii="Verdana" w:eastAsia="Calibri" w:hAnsi="Verdana" w:cs="Times New Roman"/>
          <w:bCs/>
          <w:sz w:val="20"/>
          <w:szCs w:val="20"/>
          <w:lang w:bidi="es-ES"/>
        </w:rPr>
      </w:pPr>
      <w:r w:rsidRPr="002C7317">
        <w:rPr>
          <w:rFonts w:ascii="Verdana" w:eastAsia="Calibri" w:hAnsi="Verdana" w:cs="Times New Roman"/>
          <w:bCs/>
          <w:sz w:val="20"/>
          <w:szCs w:val="20"/>
          <w:lang w:bidi="es-ES"/>
        </w:rPr>
        <w:t>manera de transferir dichos bienes muebles?</w:t>
      </w:r>
      <w:r>
        <w:rPr>
          <w:rFonts w:ascii="Verdana" w:eastAsia="Calibri" w:hAnsi="Verdana" w:cs="Times New Roman"/>
          <w:bCs/>
          <w:sz w:val="20"/>
          <w:szCs w:val="20"/>
          <w:lang w:bidi="es-ES"/>
        </w:rPr>
        <w:t>”</w:t>
      </w:r>
      <w:r w:rsidRPr="00362FC7">
        <w:rPr>
          <w:rFonts w:ascii="Verdana" w:eastAsia="Calibri" w:hAnsi="Verdana" w:cs="Times New Roman"/>
          <w:bCs/>
          <w:sz w:val="20"/>
          <w:szCs w:val="20"/>
          <w:lang w:bidi="es-ES"/>
        </w:rPr>
        <w:t>.</w:t>
      </w:r>
    </w:p>
    <w:p w14:paraId="6F82052F" w14:textId="77777777" w:rsidR="0020748A" w:rsidRPr="00812F2C" w:rsidRDefault="0020748A" w:rsidP="0020748A">
      <w:pPr>
        <w:spacing w:after="0" w:line="240" w:lineRule="auto"/>
        <w:ind w:left="709" w:right="709"/>
        <w:jc w:val="both"/>
        <w:rPr>
          <w:rFonts w:ascii="Verdana" w:eastAsia="Calibri" w:hAnsi="Verdana" w:cs="Times New Roman"/>
          <w:bCs/>
          <w:sz w:val="21"/>
          <w:szCs w:val="21"/>
          <w:lang w:bidi="es-ES"/>
        </w:rPr>
      </w:pPr>
    </w:p>
    <w:p w14:paraId="6A0DC652" w14:textId="77777777" w:rsidR="0020748A" w:rsidRPr="00B57A1B" w:rsidRDefault="0020748A" w:rsidP="0020748A">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D7E2782" w14:textId="77777777" w:rsidR="0020748A" w:rsidRPr="00B57A1B" w:rsidRDefault="0020748A" w:rsidP="0020748A">
      <w:pPr>
        <w:spacing w:after="0" w:line="276" w:lineRule="auto"/>
        <w:ind w:firstLine="709"/>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el problema jurídico, objeto de su consulta. </w:t>
      </w:r>
    </w:p>
    <w:p w14:paraId="5BBE7965" w14:textId="77777777" w:rsidR="0020748A" w:rsidRPr="00B57A1B" w:rsidRDefault="0020748A" w:rsidP="0020748A">
      <w:pPr>
        <w:spacing w:after="0" w:line="256" w:lineRule="auto"/>
        <w:rPr>
          <w:rFonts w:ascii="Verdana" w:eastAsia="Calibri" w:hAnsi="Verdana" w:cs="Times New Roman"/>
          <w:lang w:val="es-ES"/>
        </w:rPr>
      </w:pPr>
    </w:p>
    <w:p w14:paraId="3544095C" w14:textId="77777777" w:rsidR="0020748A" w:rsidRPr="00B57A1B" w:rsidRDefault="0020748A" w:rsidP="0020748A">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0E27D6F5" w14:textId="77777777" w:rsidR="0020748A" w:rsidRPr="00B57A1B" w:rsidRDefault="0020748A" w:rsidP="0020748A">
      <w:pPr>
        <w:spacing w:after="0" w:line="256" w:lineRule="auto"/>
        <w:rPr>
          <w:rFonts w:ascii="Verdana" w:eastAsia="Calibri" w:hAnsi="Verdana" w:cs="Times New Roman"/>
        </w:rPr>
      </w:pPr>
    </w:p>
    <w:p w14:paraId="296E21E3" w14:textId="77777777" w:rsidR="0020748A" w:rsidRPr="00362FC7" w:rsidRDefault="0020748A" w:rsidP="0020748A">
      <w:pPr>
        <w:spacing w:after="0" w:line="276" w:lineRule="auto"/>
        <w:jc w:val="both"/>
        <w:rPr>
          <w:rFonts w:ascii="Verdana" w:eastAsia="Calibri" w:hAnsi="Verdana"/>
          <w:iC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w:t>
      </w:r>
      <w:r w:rsidRPr="00362FC7">
        <w:rPr>
          <w:rFonts w:ascii="Verdana" w:eastAsia="Calibri" w:hAnsi="Verdana" w:cs="Times New Roman"/>
          <w:iCs/>
          <w:lang w:val="es-ES"/>
        </w:rPr>
        <w:t xml:space="preserve"> </w:t>
      </w:r>
      <w:r w:rsidRPr="002C7317">
        <w:rPr>
          <w:rFonts w:ascii="Verdana" w:eastAsia="Calibri" w:hAnsi="Verdana" w:cs="Times New Roman"/>
          <w:iCs/>
        </w:rPr>
        <w:t>¿La transferencia de bienes muebles entre entidades públicas admite diversas modalidades de enajenación —como la venta mediante subasta pública o martillo y la enajenación gratuita—, o el mandato legal de que “deben” realizarse a título gratuito implica que esta constituye la única forma válida de disposición entre entidades estatales?</w:t>
      </w:r>
    </w:p>
    <w:p w14:paraId="0116D3BE" w14:textId="77777777" w:rsidR="0020748A" w:rsidRPr="00B57A1B" w:rsidRDefault="0020748A" w:rsidP="0020748A">
      <w:pPr>
        <w:spacing w:after="0" w:line="240" w:lineRule="auto"/>
        <w:jc w:val="both"/>
        <w:rPr>
          <w:rFonts w:ascii="Verdana" w:eastAsia="Calibri" w:hAnsi="Verdana" w:cs="Times New Roman"/>
          <w:i/>
          <w:iCs/>
          <w:lang w:val="es-ES"/>
        </w:rPr>
      </w:pPr>
    </w:p>
    <w:p w14:paraId="63C5BE11" w14:textId="77777777" w:rsidR="0020748A" w:rsidRPr="00B57A1B" w:rsidRDefault="0020748A" w:rsidP="0020748A">
      <w:pPr>
        <w:numPr>
          <w:ilvl w:val="0"/>
          <w:numId w:val="16"/>
        </w:numPr>
        <w:spacing w:after="0" w:line="240"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34198C29" w14:textId="77777777" w:rsidR="0020748A" w:rsidRPr="00B57A1B" w:rsidRDefault="0020748A" w:rsidP="0020748A">
      <w:pPr>
        <w:spacing w:after="0" w:line="240"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0748A" w:rsidRPr="00B57A1B" w14:paraId="7D9F85DB" w14:textId="77777777" w:rsidTr="00B1075C">
        <w:trPr>
          <w:trHeight w:val="345"/>
          <w:jc w:val="center"/>
        </w:trPr>
        <w:tc>
          <w:tcPr>
            <w:tcW w:w="8784" w:type="dxa"/>
            <w:tcBorders>
              <w:bottom w:val="single" w:sz="4" w:space="0" w:color="auto"/>
            </w:tcBorders>
          </w:tcPr>
          <w:p w14:paraId="5322DB1B" w14:textId="77777777" w:rsidR="0020748A" w:rsidRPr="00E84AC2" w:rsidRDefault="0020748A" w:rsidP="00B1075C">
            <w:pPr>
              <w:widowControl w:val="0"/>
              <w:autoSpaceDE w:val="0"/>
              <w:autoSpaceDN w:val="0"/>
              <w:spacing w:after="120" w:line="276" w:lineRule="auto"/>
              <w:jc w:val="both"/>
              <w:rPr>
                <w:rFonts w:ascii="Verdana" w:eastAsia="Arial" w:hAnsi="Verdana" w:cs="Arial"/>
              </w:rPr>
            </w:pPr>
            <w:r w:rsidRPr="00E84AC2">
              <w:rPr>
                <w:rFonts w:ascii="Verdana" w:eastAsia="Arial" w:hAnsi="Verdana" w:cs="Arial"/>
              </w:rPr>
              <w:t>La disposición de los bienes muebles que una entidad estatal no utiliza no está sometida a una sola modalidad. El artículo 2.2.1.2.2.4.3 del Decreto 1082 de 2015 ordena que tales bienes “deben” ofrecerse a título gratuito a otras entidades y fija el procedimiento de esa vía, pero ese mandato no significa que la enajenación gratuita sea la única forma válida de disposición: la entidad puede acudir también a la enajenación onerosa de los bienes del Estado, dentro de la cual se encuentra la venta por el sistema de martillo. Tampoco son modalidades que operen de manera simultánea sobre una misma operación, pues se trata de procedimientos distintos y excluyentes entre sí; por ello la entidad escoge uno u otro según la finalidad que persiga y lo sustenta en los estudios previos.</w:t>
            </w:r>
          </w:p>
          <w:p w14:paraId="7B3C8F52" w14:textId="77777777" w:rsidR="0020748A" w:rsidRPr="00735DC4" w:rsidRDefault="0020748A" w:rsidP="00B1075C">
            <w:pPr>
              <w:widowControl w:val="0"/>
              <w:autoSpaceDE w:val="0"/>
              <w:autoSpaceDN w:val="0"/>
              <w:spacing w:after="120" w:line="276" w:lineRule="auto"/>
              <w:ind w:firstLine="709"/>
              <w:jc w:val="both"/>
              <w:rPr>
                <w:rFonts w:ascii="Verdana" w:eastAsia="Arial" w:hAnsi="Verdana" w:cs="Arial"/>
              </w:rPr>
            </w:pPr>
            <w:r w:rsidRPr="00E84AC2">
              <w:rPr>
                <w:rFonts w:ascii="Verdana" w:eastAsia="Arial" w:hAnsi="Verdana" w:cs="Arial"/>
              </w:rPr>
              <w:t>Para resolver el problema jurídico se expresa que cuando una entidad estatal pretende enajenar bienes muebles a título gratuito, debe observar estrictamente lo dispuesto en el artículo 2.2.1.2.2.4.3 del Decreto 1082 de 2015, norma que constituye una regla especial para este tipo de operaciones. En consecuencia, no resulta procedente acudir a otros mecanismos de enajenación para adelantar esa misma operación gratuita, dado que la disposición gratuita de bienes entre entidades públicas cuenta con un procedimiento específico que responde a la naturaleza excepcional</w:t>
            </w:r>
            <w:r>
              <w:rPr>
                <w:rFonts w:ascii="Verdana" w:eastAsia="Arial" w:hAnsi="Verdana" w:cs="Arial"/>
              </w:rPr>
              <w:t xml:space="preserve"> de la transferencia sin contraprestación.</w:t>
            </w:r>
          </w:p>
          <w:p w14:paraId="5D5327EF" w14:textId="77777777" w:rsidR="0020748A" w:rsidRPr="00735DC4" w:rsidRDefault="0020748A" w:rsidP="00B1075C">
            <w:pPr>
              <w:widowControl w:val="0"/>
              <w:autoSpaceDE w:val="0"/>
              <w:autoSpaceDN w:val="0"/>
              <w:spacing w:after="120" w:line="276" w:lineRule="auto"/>
              <w:ind w:firstLine="708"/>
              <w:jc w:val="both"/>
              <w:rPr>
                <w:rFonts w:ascii="Verdana" w:eastAsia="Arial" w:hAnsi="Verdana" w:cs="Arial"/>
              </w:rPr>
            </w:pPr>
            <w:r>
              <w:rPr>
                <w:rFonts w:ascii="Verdana" w:eastAsia="Arial" w:hAnsi="Verdana" w:cs="Arial"/>
              </w:rPr>
              <w:t>Por su parte, la enajenación a través de intermediarios idóneos, regulada en el artículo 2.2.1.2.2.1.4 del mismo Decreto, corresponde a un procedimiento distinto, diseñado para operaciones de carácter oneroso. En este escenario, la entidad puede realizar directamente la enajenación o contratar para ello promotores, bancas de inversión, martillos, comisionistas de bolsas de bienes y productos, u otros intermediarios idóneos, según el tipo de bien a enajenar. El propósito es asegurar la concurrencia de oferentes y la obtención de un valor económico, lo que hace este procedimiento incompatible con la enajenación gratuita, pues su finalidad es maximizar el valor de los activos y garantizar eficiencia en la gestión patrimonial del Estado.</w:t>
            </w:r>
          </w:p>
          <w:p w14:paraId="5A2FF26F" w14:textId="77777777" w:rsidR="0020748A" w:rsidRPr="00735DC4" w:rsidRDefault="0020748A" w:rsidP="00B1075C">
            <w:pPr>
              <w:widowControl w:val="0"/>
              <w:autoSpaceDE w:val="0"/>
              <w:autoSpaceDN w:val="0"/>
              <w:spacing w:after="120" w:line="276" w:lineRule="auto"/>
              <w:ind w:firstLine="708"/>
              <w:jc w:val="both"/>
              <w:rPr>
                <w:rFonts w:ascii="Verdana" w:eastAsia="Arial" w:hAnsi="Verdana" w:cs="Arial"/>
              </w:rPr>
            </w:pPr>
            <w:r>
              <w:rPr>
                <w:rFonts w:ascii="Verdana" w:eastAsia="Arial" w:hAnsi="Verdana" w:cs="Arial"/>
              </w:rPr>
              <w:t xml:space="preserve">En este contexto, la contratación mediante el sistema de martillo constituye una modalidad específica de enajenación con intermediario idóneo. Su fundamento jurídico se encuentra en el parágrafo 3° del artículo 24 de la Ley 80 de 1993, que dispone: </w:t>
            </w:r>
            <w:r>
              <w:rPr>
                <w:rFonts w:ascii="Verdana" w:eastAsia="Arial" w:hAnsi="Verdana" w:cs="Arial"/>
                <w:i/>
                <w:iCs/>
              </w:rPr>
              <w:t>“Cuando la venta de los bienes de las entidades estatales deba efectuarse por el sistema de martillo, se hará a través del procedimiento de subasta que realicen las entidades financieras debidamente autorizadas para el efecto y vigiladas por la Superintendencia Bancaria”</w:t>
            </w:r>
            <w:r>
              <w:rPr>
                <w:rFonts w:ascii="Verdana" w:eastAsia="Arial" w:hAnsi="Verdana" w:cs="Arial"/>
              </w:rPr>
              <w:t>. Asimismo, el Decreto 1639 de 1996, reglamentario de los artículos 12 (numeral 2°) y 18 de la Ley 226 de 1995, autorizó a los establecimientos bancarios para realizar la “venta de mercaderías u otros objetos negociables, a través del mecanismo de martillo”. Se trata, en esencia, de un procedimiento de subasta pública que garantiza transparencia, concurrencia y obtención del mejor precio posible en la disposición de bienes estatales. De esta modo, es indispensable distinguir entre la enajenación gratuita y la enajenación onerosa mediante intermediarios idóneos, como el sistema de martillo, asignando a cada una un procedimiento específico. La primera se rige por una regla especial que no admite sustitución ni mezcla con otros mecanismos, mientras que la segunda constituye una modalidad de venta con contraprestación económica, adelantada a través de entidades financieras autorizadas.</w:t>
            </w:r>
          </w:p>
          <w:p w14:paraId="7C747AC4" w14:textId="77777777" w:rsidR="0020748A" w:rsidRDefault="0020748A" w:rsidP="00B1075C">
            <w:pPr>
              <w:widowControl w:val="0"/>
              <w:autoSpaceDE w:val="0"/>
              <w:autoSpaceDN w:val="0"/>
              <w:spacing w:after="120" w:line="276" w:lineRule="auto"/>
              <w:ind w:firstLine="708"/>
              <w:jc w:val="both"/>
              <w:rPr>
                <w:rFonts w:ascii="Verdana" w:eastAsia="Arial" w:hAnsi="Verdana" w:cs="Arial"/>
              </w:rPr>
            </w:pPr>
            <w:r>
              <w:rPr>
                <w:rFonts w:ascii="Verdana" w:eastAsia="Arial" w:hAnsi="Verdana" w:cs="Arial"/>
              </w:rPr>
              <w:t>Por último, la decisión de optar por la enajenación a título gratuito entre entidades estatales, prevista en el artículo 2.2.1.2.2.4.3 del Decreto 1082 de 2015, constituye una facultad discrecional de la entidad, que debe estar debidamente sustentada en los documentos previos del proceso. Para ello, resulta necesario un análisis técnico y jurídico que identifique la alternativa más adecuada, justificando los presupuestos normativos para la aplicación del mecanismo. Dicho análisis debe considerar aspectos como las necesidades institucionales, las ventajas de cada procedimiento, la naturaleza y estado de conservación del bien, su utilidad, el marco normativo aplicable y cualquier otro criterio relevante para la toma de decisiones.</w:t>
            </w:r>
          </w:p>
          <w:p w14:paraId="1B96A75E" w14:textId="77777777" w:rsidR="0020748A" w:rsidRPr="008F10E8" w:rsidRDefault="0020748A" w:rsidP="00B1075C">
            <w:pPr>
              <w:spacing w:line="276" w:lineRule="auto"/>
              <w:ind w:firstLine="709"/>
              <w:jc w:val="both"/>
              <w:rPr>
                <w:rFonts w:ascii="Verdana" w:hAnsi="Verdana" w:cs="Arial"/>
                <w:lang w:val="es-ES" w:eastAsia="es-ES"/>
              </w:rPr>
            </w:pPr>
            <w:r>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6BDF120D" w14:textId="77777777" w:rsidR="0020748A" w:rsidRPr="00B57A1B" w:rsidRDefault="0020748A" w:rsidP="0020748A">
      <w:pPr>
        <w:spacing w:after="0" w:line="240" w:lineRule="auto"/>
        <w:jc w:val="both"/>
        <w:rPr>
          <w:rFonts w:ascii="Verdana" w:eastAsia="Calibri" w:hAnsi="Verdana" w:cs="Arial"/>
          <w:bCs/>
          <w:color w:val="000000" w:themeColor="text1"/>
        </w:rPr>
      </w:pPr>
    </w:p>
    <w:p w14:paraId="67C46159" w14:textId="77777777" w:rsidR="0020748A" w:rsidRPr="00B57A1B" w:rsidRDefault="0020748A" w:rsidP="0020748A">
      <w:pPr>
        <w:numPr>
          <w:ilvl w:val="0"/>
          <w:numId w:val="16"/>
        </w:numPr>
        <w:tabs>
          <w:tab w:val="left" w:pos="2268"/>
        </w:tabs>
        <w:spacing w:after="0" w:line="240"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73D7916F" w14:textId="77777777" w:rsidR="0020748A" w:rsidRPr="00B57A1B" w:rsidRDefault="0020748A" w:rsidP="0020748A">
      <w:pPr>
        <w:spacing w:after="0" w:line="240" w:lineRule="auto"/>
        <w:rPr>
          <w:rFonts w:ascii="Verdana" w:eastAsia="Calibri" w:hAnsi="Verdana" w:cs="Times New Roman"/>
          <w:b/>
          <w:bCs/>
          <w:lang w:val="es-ES"/>
        </w:rPr>
      </w:pPr>
    </w:p>
    <w:p w14:paraId="2FF34410" w14:textId="77777777" w:rsidR="0020748A" w:rsidRPr="00B57A1B" w:rsidRDefault="0020748A" w:rsidP="0020748A">
      <w:pPr>
        <w:spacing w:after="0" w:line="240"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2286F3A7" w14:textId="77777777" w:rsidR="0020748A" w:rsidRPr="00415608" w:rsidRDefault="0020748A" w:rsidP="0020748A">
      <w:pPr>
        <w:spacing w:after="0" w:line="240" w:lineRule="auto"/>
        <w:jc w:val="both"/>
        <w:rPr>
          <w:rFonts w:ascii="Verdana" w:eastAsia="Calibri" w:hAnsi="Verdana" w:cs="Arial"/>
          <w:lang w:val="es-ES"/>
        </w:rPr>
      </w:pPr>
      <w:bookmarkStart w:id="1" w:name="_Hlk78820161"/>
    </w:p>
    <w:p w14:paraId="2E3E1F57" w14:textId="77777777" w:rsidR="0020748A" w:rsidRPr="00097627" w:rsidRDefault="0020748A" w:rsidP="0020748A">
      <w:pPr>
        <w:spacing w:after="120" w:line="276" w:lineRule="auto"/>
        <w:jc w:val="both"/>
        <w:rPr>
          <w:rFonts w:ascii="Verdana" w:eastAsia="Times New Roman" w:hAnsi="Verdana" w:cs="Arial"/>
          <w:color w:val="000000" w:themeColor="text1"/>
          <w:lang w:eastAsia="es-ES_tradnl"/>
        </w:rPr>
      </w:pPr>
      <w:r w:rsidRPr="00097627">
        <w:rPr>
          <w:rFonts w:ascii="Verdana" w:eastAsia="Calibri" w:hAnsi="Verdana" w:cs="Arial"/>
          <w:bCs/>
          <w:lang w:val="es-ES_tradnl"/>
        </w:rPr>
        <w:t>i.</w:t>
      </w:r>
      <w:r w:rsidRPr="00097627">
        <w:rPr>
          <w:rFonts w:ascii="Verdana" w:eastAsia="Calibri" w:hAnsi="Verdana" w:cs="Arial"/>
          <w:color w:val="000000"/>
          <w:lang w:val="es-MX"/>
        </w:rPr>
        <w:t xml:space="preserve"> </w:t>
      </w:r>
      <w:r w:rsidRPr="00097627">
        <w:rPr>
          <w:rFonts w:ascii="Verdana" w:eastAsia="Times New Roman" w:hAnsi="Verdana" w:cs="Arial"/>
          <w:color w:val="000000" w:themeColor="text1"/>
          <w:lang w:eastAsia="es-ES_tradnl"/>
        </w:rPr>
        <w:t xml:space="preserve">La </w:t>
      </w:r>
      <w:r w:rsidRPr="00097627">
        <w:rPr>
          <w:rFonts w:ascii="Verdana" w:eastAsia="Times New Roman" w:hAnsi="Verdana" w:cs="Arial"/>
          <w:color w:val="000000" w:themeColor="text1"/>
          <w:lang w:val="es-ES" w:eastAsia="es-ES_tradnl"/>
        </w:rPr>
        <w:t>enajenación</w:t>
      </w:r>
      <w:r w:rsidRPr="00097627">
        <w:rPr>
          <w:rFonts w:ascii="Verdana" w:eastAsia="Times New Roman" w:hAnsi="Verdana" w:cs="Arial"/>
          <w:color w:val="000000" w:themeColor="text1"/>
          <w:lang w:eastAsia="es-ES_tradnl"/>
        </w:rPr>
        <w:t xml:space="preserve"> se define como la transferencia del derecho real</w:t>
      </w:r>
      <w:r w:rsidRPr="00097627">
        <w:rPr>
          <w:rFonts w:ascii="Verdana" w:eastAsia="Times New Roman" w:hAnsi="Verdana" w:cs="Arial"/>
          <w:color w:val="000000" w:themeColor="text1"/>
          <w:vertAlign w:val="superscript"/>
          <w:lang w:eastAsia="es-ES_tradnl"/>
        </w:rPr>
        <w:footnoteReference w:id="1"/>
      </w:r>
      <w:r w:rsidRPr="00097627">
        <w:rPr>
          <w:rFonts w:ascii="Verdana" w:eastAsia="Times New Roman" w:hAnsi="Verdana" w:cs="Arial"/>
          <w:color w:val="000000" w:themeColor="text1"/>
          <w:lang w:eastAsia="es-ES_tradnl"/>
        </w:rPr>
        <w:t xml:space="preserve"> sobre un bien</w:t>
      </w:r>
      <w:r w:rsidRPr="00097627">
        <w:rPr>
          <w:rFonts w:ascii="Verdana" w:eastAsia="Times New Roman" w:hAnsi="Verdana" w:cs="Arial"/>
          <w:color w:val="000000" w:themeColor="text1"/>
          <w:vertAlign w:val="superscript"/>
          <w:lang w:eastAsia="es-ES_tradnl"/>
        </w:rPr>
        <w:footnoteReference w:id="2"/>
      </w:r>
      <w:r>
        <w:rPr>
          <w:rFonts w:ascii="Verdana" w:eastAsia="Times New Roman" w:hAnsi="Verdana" w:cs="Arial"/>
          <w:color w:val="000000" w:themeColor="text1"/>
          <w:lang w:eastAsia="es-ES_tradnl"/>
        </w:rPr>
        <w:t>. Como indica la doctrina, “</w:t>
      </w:r>
      <w:r w:rsidRPr="00097627">
        <w:rPr>
          <w:rFonts w:ascii="Verdana" w:eastAsia="Times New Roman" w:hAnsi="Verdana" w:cs="Arial"/>
          <w:i/>
          <w:iCs/>
          <w:color w:val="000000" w:themeColor="text1"/>
          <w:lang w:eastAsia="es-ES_tradnl"/>
        </w:rPr>
        <w:t>Dar –en sentido restringido–, traditar, enajenar, disponer, son conceptos sinónimos en el Código Civil. Cuando se da, se enajena. Cuando se tradita, se enajena, Cuando se enajena, se da o se tradita. Y, finalmente, cuando ocurre cualquiera</w:t>
      </w:r>
      <w:r>
        <w:rPr>
          <w:rFonts w:ascii="Verdana" w:eastAsia="Times New Roman" w:hAnsi="Verdana" w:cs="Arial"/>
          <w:i/>
          <w:iCs/>
          <w:color w:val="000000" w:themeColor="text1"/>
          <w:lang w:eastAsia="es-ES_tradnl"/>
        </w:rPr>
        <w:t xml:space="preserve"> de tales fenómenos, se dispone”</w:t>
      </w:r>
      <w:r w:rsidRPr="00097627">
        <w:rPr>
          <w:rFonts w:ascii="Verdana" w:eastAsia="Times New Roman" w:hAnsi="Verdana" w:cs="Arial"/>
          <w:i/>
          <w:iCs/>
          <w:color w:val="000000" w:themeColor="text1"/>
          <w:vertAlign w:val="superscript"/>
          <w:lang w:eastAsia="es-ES_tradnl"/>
        </w:rPr>
        <w:footnoteReference w:id="3"/>
      </w:r>
      <w:r w:rsidRPr="00097627">
        <w:rPr>
          <w:rFonts w:ascii="Verdana" w:eastAsia="Times New Roman" w:hAnsi="Verdana" w:cs="Arial"/>
          <w:i/>
          <w:iCs/>
          <w:color w:val="000000" w:themeColor="text1"/>
          <w:lang w:eastAsia="es-ES_tradnl"/>
        </w:rPr>
        <w:t>.</w:t>
      </w:r>
      <w:r w:rsidRPr="00097627">
        <w:rPr>
          <w:rFonts w:ascii="Verdana" w:eastAsia="Times New Roman" w:hAnsi="Verdana" w:cs="Arial"/>
          <w:color w:val="000000" w:themeColor="text1"/>
          <w:lang w:eastAsia="es-ES_tradnl"/>
        </w:rPr>
        <w:t xml:space="preserve"> Lo más usual es que la enajenación se lleve a cabo respecto del derecho de propiedad; y en tal caso se efectúa a través de los modos señalados en el artículo 673 del Código Civil</w:t>
      </w:r>
      <w:r w:rsidRPr="00097627">
        <w:rPr>
          <w:rFonts w:ascii="Verdana" w:eastAsia="Times New Roman" w:hAnsi="Verdana" w:cs="Arial"/>
          <w:color w:val="000000" w:themeColor="text1"/>
          <w:vertAlign w:val="superscript"/>
          <w:lang w:eastAsia="es-ES_tradnl"/>
        </w:rPr>
        <w:footnoteReference w:id="4"/>
      </w:r>
      <w:r w:rsidRPr="00097627">
        <w:rPr>
          <w:rFonts w:ascii="Verdana" w:eastAsia="Times New Roman" w:hAnsi="Verdana" w:cs="Arial"/>
          <w:color w:val="000000" w:themeColor="text1"/>
          <w:lang w:eastAsia="es-ES_tradnl"/>
        </w:rPr>
        <w:t>, pudiendo recaer tanto sobre los bienes muebles, como inmuebles, aunque frente a estos la ley exige solemnidades especiales</w:t>
      </w:r>
      <w:r w:rsidRPr="00097627">
        <w:rPr>
          <w:rFonts w:ascii="Verdana" w:eastAsia="Times New Roman" w:hAnsi="Verdana" w:cs="Arial"/>
          <w:color w:val="000000" w:themeColor="text1"/>
          <w:vertAlign w:val="superscript"/>
          <w:lang w:eastAsia="es-ES_tradnl"/>
        </w:rPr>
        <w:footnoteReference w:id="5"/>
      </w:r>
      <w:r w:rsidRPr="00097627">
        <w:rPr>
          <w:rFonts w:ascii="Verdana" w:eastAsia="Times New Roman" w:hAnsi="Verdana" w:cs="Arial"/>
          <w:color w:val="000000" w:themeColor="text1"/>
          <w:lang w:eastAsia="es-ES_tradnl"/>
        </w:rPr>
        <w:t>. Entretanto, el artículo 1521 del Código Civil dispone que se presenta objeto</w:t>
      </w:r>
      <w:r>
        <w:rPr>
          <w:rFonts w:ascii="Verdana" w:eastAsia="Times New Roman" w:hAnsi="Verdana" w:cs="Arial"/>
          <w:color w:val="000000" w:themeColor="text1"/>
          <w:lang w:eastAsia="es-ES_tradnl"/>
        </w:rPr>
        <w:t xml:space="preserve"> ilícito en la enajenación: i) “</w:t>
      </w:r>
      <w:r w:rsidRPr="00097627">
        <w:rPr>
          <w:rFonts w:ascii="Verdana" w:eastAsia="Times New Roman" w:hAnsi="Verdana" w:cs="Arial"/>
          <w:color w:val="000000" w:themeColor="text1"/>
          <w:lang w:eastAsia="es-ES_tradnl"/>
        </w:rPr>
        <w:t>De las c</w:t>
      </w:r>
      <w:r>
        <w:rPr>
          <w:rFonts w:ascii="Verdana" w:eastAsia="Times New Roman" w:hAnsi="Verdana" w:cs="Arial"/>
          <w:color w:val="000000" w:themeColor="text1"/>
          <w:lang w:eastAsia="es-ES_tradnl"/>
        </w:rPr>
        <w:t>osas que no están en el comercio”, ii) “</w:t>
      </w:r>
      <w:r w:rsidRPr="00097627">
        <w:rPr>
          <w:rFonts w:ascii="Verdana" w:eastAsia="Times New Roman" w:hAnsi="Verdana" w:cs="Arial"/>
          <w:color w:val="000000" w:themeColor="text1"/>
          <w:lang w:eastAsia="es-ES_tradnl"/>
        </w:rPr>
        <w:t>De los derechos o privilegios que no pueden tran</w:t>
      </w:r>
      <w:r>
        <w:rPr>
          <w:rFonts w:ascii="Verdana" w:eastAsia="Times New Roman" w:hAnsi="Verdana" w:cs="Arial"/>
          <w:color w:val="000000" w:themeColor="text1"/>
          <w:lang w:eastAsia="es-ES_tradnl"/>
        </w:rPr>
        <w:t>sferirse a otra persona” y iii) “</w:t>
      </w:r>
      <w:r w:rsidRPr="00097627">
        <w:rPr>
          <w:rFonts w:ascii="Verdana" w:eastAsia="Times New Roman" w:hAnsi="Verdana" w:cs="Arial"/>
          <w:color w:val="000000" w:themeColor="text1"/>
          <w:lang w:eastAsia="es-ES_tradnl"/>
        </w:rPr>
        <w:t xml:space="preserve">De las cosas embargadas por decreto judicial, a menos que el juez lo autorice </w:t>
      </w:r>
      <w:r>
        <w:rPr>
          <w:rFonts w:ascii="Verdana" w:eastAsia="Times New Roman" w:hAnsi="Verdana" w:cs="Arial"/>
          <w:color w:val="000000" w:themeColor="text1"/>
          <w:lang w:eastAsia="es-ES_tradnl"/>
        </w:rPr>
        <w:t>o el acreedor consienta en ello”</w:t>
      </w:r>
      <w:r w:rsidRPr="00097627">
        <w:rPr>
          <w:rFonts w:ascii="Verdana" w:eastAsia="Times New Roman" w:hAnsi="Verdana" w:cs="Arial"/>
          <w:color w:val="000000" w:themeColor="text1"/>
          <w:lang w:eastAsia="es-ES_tradnl"/>
        </w:rPr>
        <w:t>.</w:t>
      </w:r>
    </w:p>
    <w:p w14:paraId="204525FF" w14:textId="77777777" w:rsidR="0020748A" w:rsidRPr="00097627" w:rsidRDefault="0020748A" w:rsidP="0020748A">
      <w:pPr>
        <w:spacing w:after="120" w:line="276" w:lineRule="auto"/>
        <w:ind w:firstLine="709"/>
        <w:jc w:val="both"/>
        <w:rPr>
          <w:rFonts w:ascii="Verdana" w:eastAsia="Times New Roman" w:hAnsi="Verdana" w:cs="Arial"/>
          <w:lang w:eastAsia="es-ES_tradnl"/>
        </w:rPr>
      </w:pPr>
      <w:r w:rsidRPr="00097627">
        <w:rPr>
          <w:rFonts w:ascii="Verdana" w:eastAsia="Times New Roman" w:hAnsi="Verdana" w:cs="Arial"/>
          <w:color w:val="000000" w:themeColor="text1"/>
          <w:lang w:eastAsia="es-ES_tradnl"/>
        </w:rPr>
        <w:t xml:space="preserve">La enajenación de bienes a título gratuito está relacionada con el contrato de donación, definido en </w:t>
      </w:r>
      <w:r w:rsidRPr="00097627">
        <w:rPr>
          <w:rFonts w:ascii="Verdana" w:eastAsia="Times New Roman" w:hAnsi="Verdana" w:cs="Arial"/>
          <w:lang w:eastAsia="es-ES_tradnl"/>
        </w:rPr>
        <w:t>Código Civ</w:t>
      </w:r>
      <w:r>
        <w:rPr>
          <w:rFonts w:ascii="Verdana" w:eastAsia="Times New Roman" w:hAnsi="Verdana" w:cs="Arial"/>
          <w:lang w:eastAsia="es-ES_tradnl"/>
        </w:rPr>
        <w:t>il como “</w:t>
      </w:r>
      <w:r w:rsidRPr="00097627">
        <w:rPr>
          <w:rFonts w:ascii="Verdana" w:eastAsia="Times New Roman" w:hAnsi="Verdana" w:cs="Arial"/>
          <w:i/>
          <w:iCs/>
          <w:lang w:eastAsia="es-ES_tradnl"/>
        </w:rPr>
        <w:t>un acto por el cual una persona transfiere, gratuita e irrevocablemente, una parte de sus bienes a otra persona que la acepta</w:t>
      </w:r>
      <w:r>
        <w:rPr>
          <w:rFonts w:ascii="Verdana" w:eastAsia="Times New Roman" w:hAnsi="Verdana" w:cs="Arial"/>
          <w:i/>
          <w:iCs/>
          <w:lang w:eastAsia="es-ES_tradnl"/>
        </w:rPr>
        <w:t>”</w:t>
      </w:r>
      <w:r w:rsidRPr="00097627">
        <w:rPr>
          <w:rFonts w:ascii="Verdana" w:eastAsia="Times New Roman" w:hAnsi="Verdana" w:cs="Arial"/>
          <w:lang w:eastAsia="es-ES_tradnl"/>
        </w:rPr>
        <w:t>. El Consejo de Estado</w:t>
      </w:r>
      <w:r w:rsidRPr="00097627">
        <w:rPr>
          <w:rFonts w:ascii="Verdana" w:eastAsia="Times New Roman" w:hAnsi="Verdana" w:cs="Arial"/>
          <w:vertAlign w:val="superscript"/>
          <w:lang w:eastAsia="es-ES_tradnl"/>
        </w:rPr>
        <w:footnoteReference w:id="6"/>
      </w:r>
      <w:r w:rsidRPr="00097627">
        <w:rPr>
          <w:rFonts w:ascii="Verdana" w:eastAsia="Times New Roman" w:hAnsi="Verdana" w:cs="Arial"/>
          <w:lang w:eastAsia="es-ES_tradnl"/>
        </w:rPr>
        <w:t xml:space="preserve"> sostuvo respecto de la definición de la donación del Código Civil, que era naturalmente imprecisa toda vez q</w:t>
      </w:r>
      <w:r>
        <w:rPr>
          <w:rFonts w:ascii="Verdana" w:eastAsia="Times New Roman" w:hAnsi="Verdana" w:cs="Arial"/>
          <w:lang w:eastAsia="es-ES_tradnl"/>
        </w:rPr>
        <w:t>ue la donación es un verdadero “contrato”</w:t>
      </w:r>
      <w:r w:rsidRPr="00097627">
        <w:rPr>
          <w:rFonts w:ascii="Verdana" w:eastAsia="Times New Roman" w:hAnsi="Verdana" w:cs="Arial"/>
          <w:lang w:eastAsia="es-ES_tradnl"/>
        </w:rPr>
        <w:t xml:space="preserve"> y no solo un acto, lo anterior porque</w:t>
      </w:r>
      <w:r>
        <w:rPr>
          <w:rFonts w:ascii="Verdana" w:eastAsia="Times New Roman" w:hAnsi="Verdana" w:cs="Arial"/>
          <w:lang w:eastAsia="es-ES_tradnl"/>
        </w:rPr>
        <w:t xml:space="preserve"> para el perfeccionamiento del “contrato”</w:t>
      </w:r>
      <w:r w:rsidRPr="00097627">
        <w:rPr>
          <w:rFonts w:ascii="Verdana" w:eastAsia="Times New Roman" w:hAnsi="Verdana" w:cs="Arial"/>
          <w:lang w:eastAsia="es-ES_tradnl"/>
        </w:rPr>
        <w:t xml:space="preserve"> concurre i) la voluntad dispositiva de la persona que pretende entregar parte de su patrimonio –donante– y ii) la aceptación de quien recibirá el beneficio económico –donatario–</w:t>
      </w:r>
      <w:r w:rsidRPr="00097627">
        <w:rPr>
          <w:rFonts w:ascii="Verdana" w:eastAsia="Times New Roman" w:hAnsi="Verdana" w:cs="Arial"/>
          <w:vertAlign w:val="superscript"/>
          <w:lang w:eastAsia="es-ES_tradnl"/>
        </w:rPr>
        <w:t xml:space="preserve"> </w:t>
      </w:r>
    </w:p>
    <w:p w14:paraId="17CF75DD" w14:textId="77777777" w:rsidR="0020748A" w:rsidRPr="00097627" w:rsidRDefault="0020748A" w:rsidP="0020748A">
      <w:pPr>
        <w:spacing w:after="120" w:line="276" w:lineRule="auto"/>
        <w:ind w:firstLine="708"/>
        <w:jc w:val="both"/>
        <w:rPr>
          <w:rFonts w:ascii="Verdana" w:eastAsia="Times New Roman" w:hAnsi="Verdana" w:cs="Arial"/>
          <w:color w:val="000000" w:themeColor="text1"/>
          <w:lang w:val="es-ES" w:eastAsia="es-ES_tradnl"/>
        </w:rPr>
      </w:pPr>
      <w:r w:rsidRPr="00097627">
        <w:rPr>
          <w:rFonts w:ascii="Verdana" w:eastAsia="Times New Roman" w:hAnsi="Verdana" w:cs="Arial"/>
          <w:color w:val="000000" w:themeColor="text1"/>
          <w:lang w:eastAsia="es-ES_tradnl"/>
        </w:rPr>
        <w:t>Respecto del tipo de bienes que pueden ser objeto de donación es importante resaltar, en primer lugar, que e</w:t>
      </w:r>
      <w:r w:rsidRPr="00097627">
        <w:rPr>
          <w:rFonts w:ascii="Verdana" w:eastAsia="Times New Roman" w:hAnsi="Verdana" w:cs="Arial"/>
          <w:color w:val="000000" w:themeColor="text1"/>
          <w:lang w:val="es-ES" w:eastAsia="es-ES_tradnl"/>
        </w:rPr>
        <w:t xml:space="preserve">l artículo 654 del Código Civil clasifica las cosas corporales en muebles e inmuebles. El artículo 655 define </w:t>
      </w:r>
      <w:r>
        <w:rPr>
          <w:rFonts w:ascii="Verdana" w:eastAsia="Times New Roman" w:hAnsi="Verdana" w:cs="Arial"/>
          <w:color w:val="000000" w:themeColor="text1"/>
          <w:lang w:val="es-ES" w:eastAsia="es-ES_tradnl"/>
        </w:rPr>
        <w:t>los bienes muebles como los que “</w:t>
      </w:r>
      <w:r w:rsidRPr="00097627">
        <w:rPr>
          <w:rFonts w:ascii="Verdana" w:eastAsia="Times New Roman" w:hAnsi="Verdana" w:cs="Arial"/>
          <w:i/>
          <w:iCs/>
          <w:color w:val="000000" w:themeColor="text1"/>
          <w:lang w:val="es-ES" w:eastAsia="es-ES_tradnl"/>
        </w:rPr>
        <w:t>pueden transportarse de un lugar a otro, sea moviéndose ellas a sí mismas como los animales</w:t>
      </w:r>
      <w:r w:rsidRPr="00097627">
        <w:rPr>
          <w:rFonts w:ascii="Verdana" w:eastAsia="Times New Roman" w:hAnsi="Verdana" w:cs="Arial"/>
          <w:color w:val="000000" w:themeColor="text1"/>
          <w:lang w:val="es-ES" w:eastAsia="es-ES_tradnl"/>
        </w:rPr>
        <w:t xml:space="preserve"> (</w:t>
      </w:r>
      <w:r w:rsidRPr="00097627">
        <w:rPr>
          <w:rFonts w:ascii="Verdana" w:eastAsia="Times New Roman" w:hAnsi="Verdana" w:cs="Arial"/>
          <w:i/>
          <w:iCs/>
          <w:color w:val="000000" w:themeColor="text1"/>
          <w:lang w:val="es-ES" w:eastAsia="es-ES_tradnl"/>
        </w:rPr>
        <w:t>que por eso se llaman semovientes), sea que sólo se muevan por una fuerza ext</w:t>
      </w:r>
      <w:r>
        <w:rPr>
          <w:rFonts w:ascii="Verdana" w:eastAsia="Times New Roman" w:hAnsi="Verdana" w:cs="Arial"/>
          <w:i/>
          <w:iCs/>
          <w:color w:val="000000" w:themeColor="text1"/>
          <w:lang w:val="es-ES" w:eastAsia="es-ES_tradnl"/>
        </w:rPr>
        <w:t>erna, como las cosas inanimadas”</w:t>
      </w:r>
      <w:r w:rsidRPr="00097627">
        <w:rPr>
          <w:rFonts w:ascii="Verdana" w:eastAsia="Times New Roman" w:hAnsi="Verdana" w:cs="Arial"/>
          <w:color w:val="000000" w:themeColor="text1"/>
          <w:lang w:val="es-ES" w:eastAsia="es-ES_tradnl"/>
        </w:rPr>
        <w:t>, mientras que el artícul</w:t>
      </w:r>
      <w:r>
        <w:rPr>
          <w:rFonts w:ascii="Verdana" w:eastAsia="Times New Roman" w:hAnsi="Verdana" w:cs="Arial"/>
          <w:color w:val="000000" w:themeColor="text1"/>
          <w:lang w:val="es-ES" w:eastAsia="es-ES_tradnl"/>
        </w:rPr>
        <w:t>o 656 define los inmuebles así: “</w:t>
      </w:r>
      <w:r w:rsidRPr="00097627">
        <w:rPr>
          <w:rFonts w:ascii="Verdana" w:eastAsia="Times New Roman" w:hAnsi="Verdana" w:cs="Arial"/>
          <w:i/>
          <w:iCs/>
          <w:color w:val="000000" w:themeColor="text1"/>
          <w:lang w:val="es-ES" w:eastAsia="es-ES_tradnl"/>
        </w:rPr>
        <w:t>Inmuebles o fincas o bienes raíces son las cosas que no pueden transportarse de un lugar a otro; como las tierras y minas, y las que adhieren permanentemente a ellas, como los edificios, los árboles. Las casas y ver</w:t>
      </w:r>
      <w:r>
        <w:rPr>
          <w:rFonts w:ascii="Verdana" w:eastAsia="Times New Roman" w:hAnsi="Verdana" w:cs="Arial"/>
          <w:i/>
          <w:iCs/>
          <w:color w:val="000000" w:themeColor="text1"/>
          <w:lang w:val="es-ES" w:eastAsia="es-ES_tradnl"/>
        </w:rPr>
        <w:t>edas se llaman predios o fundos”</w:t>
      </w:r>
      <w:r w:rsidRPr="00097627">
        <w:rPr>
          <w:rFonts w:ascii="Verdana" w:eastAsia="Times New Roman" w:hAnsi="Verdana" w:cs="Arial"/>
          <w:i/>
          <w:iCs/>
          <w:color w:val="000000" w:themeColor="text1"/>
          <w:lang w:val="es-ES" w:eastAsia="es-ES_tradnl"/>
        </w:rPr>
        <w:t>.</w:t>
      </w:r>
      <w:r w:rsidRPr="00097627">
        <w:rPr>
          <w:rFonts w:ascii="Verdana" w:eastAsia="Times New Roman" w:hAnsi="Verdana" w:cs="Arial"/>
          <w:color w:val="000000" w:themeColor="text1"/>
          <w:lang w:val="es-ES" w:eastAsia="es-ES_tradnl"/>
        </w:rPr>
        <w:t xml:space="preserve"> No obstante, esta definición se refiere a los inmuebles por naturaleza, pues el Código también considera inmuebles a las cosas que en principio eran muebles, pero que por su destinación o adhesión mutan su categoría. </w:t>
      </w:r>
    </w:p>
    <w:p w14:paraId="0CE96B0B" w14:textId="77777777" w:rsidR="0020748A" w:rsidRPr="00097627" w:rsidRDefault="0020748A" w:rsidP="0020748A">
      <w:pPr>
        <w:spacing w:after="120" w:line="276" w:lineRule="auto"/>
        <w:ind w:firstLine="708"/>
        <w:jc w:val="both"/>
        <w:rPr>
          <w:rFonts w:ascii="Verdana" w:eastAsia="Times New Roman" w:hAnsi="Verdana" w:cs="Arial"/>
          <w:i/>
          <w:iCs/>
          <w:lang w:val="es-MX" w:eastAsia="es-ES_tradnl"/>
        </w:rPr>
      </w:pPr>
      <w:r w:rsidRPr="00097627">
        <w:rPr>
          <w:rFonts w:ascii="Verdana" w:eastAsia="Times New Roman" w:hAnsi="Verdana" w:cs="Arial"/>
          <w:lang w:val="es-ES" w:eastAsia="es-ES_tradnl"/>
        </w:rPr>
        <w:t>Por otro lado, e</w:t>
      </w:r>
      <w:r w:rsidRPr="00097627">
        <w:rPr>
          <w:rFonts w:ascii="Verdana" w:eastAsia="Times New Roman" w:hAnsi="Verdana" w:cs="Arial"/>
          <w:lang w:val="es-MX" w:eastAsia="es-ES_tradnl"/>
        </w:rPr>
        <w:t xml:space="preserve">l artículo 674 del Código Civil define los bienes de dominio público como aquellos que </w:t>
      </w:r>
      <w:r>
        <w:rPr>
          <w:rFonts w:ascii="Verdana" w:eastAsia="Times New Roman" w:hAnsi="Verdana" w:cs="Arial"/>
          <w:lang w:val="es-MX" w:eastAsia="es-ES_tradnl"/>
        </w:rPr>
        <w:t>“</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 xml:space="preserve"> pertenece a todos los habitantes de un Territorio, como el de calles, plazas, puentes y caminos, se llaman bienes de la Unión o de uso público o</w:t>
      </w:r>
      <w:r>
        <w:rPr>
          <w:rFonts w:ascii="Verdana" w:eastAsia="Times New Roman" w:hAnsi="Verdana" w:cs="Arial"/>
          <w:i/>
          <w:iCs/>
          <w:lang w:val="es-MX" w:eastAsia="es-ES_tradnl"/>
        </w:rPr>
        <w:t xml:space="preserve"> bienes públicos del Territorio”</w:t>
      </w:r>
      <w:r w:rsidRPr="00097627">
        <w:rPr>
          <w:rFonts w:ascii="Verdana" w:eastAsia="Times New Roman" w:hAnsi="Verdana" w:cs="Arial"/>
          <w:i/>
          <w:iCs/>
          <w:lang w:val="es-MX" w:eastAsia="es-ES_tradnl"/>
        </w:rPr>
        <w:t>.</w:t>
      </w:r>
      <w:r>
        <w:rPr>
          <w:rFonts w:ascii="Verdana" w:eastAsia="Times New Roman" w:hAnsi="Verdana" w:cs="Arial"/>
          <w:i/>
          <w:iCs/>
          <w:lang w:val="es-MX" w:eastAsia="es-ES_tradnl"/>
        </w:rPr>
        <w:t xml:space="preserve"> </w:t>
      </w:r>
      <w:r w:rsidRPr="00097627">
        <w:rPr>
          <w:rFonts w:ascii="Verdana" w:eastAsia="Times New Roman" w:hAnsi="Verdana" w:cs="Arial"/>
          <w:lang w:val="es-MX" w:eastAsia="es-ES_tradnl"/>
        </w:rPr>
        <w:t>Los bienes de dominio público, de acuerdo con la sentencia C- 183 de 2003 de la C</w:t>
      </w:r>
      <w:r>
        <w:rPr>
          <w:rFonts w:ascii="Verdana" w:eastAsia="Times New Roman" w:hAnsi="Verdana" w:cs="Arial"/>
          <w:lang w:val="es-MX" w:eastAsia="es-ES_tradnl"/>
        </w:rPr>
        <w:t>orte Constitucional, son “</w:t>
      </w:r>
      <w:r w:rsidRPr="00097627">
        <w:rPr>
          <w:rFonts w:ascii="Verdana" w:eastAsia="Times New Roman" w:hAnsi="Verdana" w:cs="Arial"/>
          <w:i/>
          <w:iCs/>
          <w:lang w:val="es-MX" w:eastAsia="es-ES_tradnl"/>
        </w:rPr>
        <w:t>el conjunto de bienes que la administración afecta al uso directo de la comunidad o que lo ut</w:t>
      </w:r>
      <w:r>
        <w:rPr>
          <w:rFonts w:ascii="Verdana" w:eastAsia="Times New Roman" w:hAnsi="Verdana" w:cs="Arial"/>
          <w:i/>
          <w:iCs/>
          <w:lang w:val="es-MX" w:eastAsia="es-ES_tradnl"/>
        </w:rPr>
        <w:t>iliza para servir a la sociedad”</w:t>
      </w:r>
      <w:r w:rsidRPr="00097627">
        <w:rPr>
          <w:rFonts w:ascii="Verdana" w:eastAsia="Times New Roman" w:hAnsi="Verdana" w:cs="Arial"/>
          <w:lang w:val="es-MX" w:eastAsia="es-ES_tradnl"/>
        </w:rPr>
        <w:t>. Dentro de esta categoría se encuentran los bienes fiscales y los bienes de uso público.</w:t>
      </w:r>
      <w:r w:rsidRPr="00097627">
        <w:rPr>
          <w:rFonts w:ascii="Verdana" w:eastAsia="Times New Roman" w:hAnsi="Verdana" w:cs="Arial"/>
          <w:vertAlign w:val="superscript"/>
          <w:lang w:val="es-MX" w:eastAsia="es-ES_tradnl"/>
        </w:rPr>
        <w:footnoteReference w:id="7"/>
      </w:r>
      <w:r w:rsidRPr="00097627">
        <w:rPr>
          <w:rFonts w:ascii="Verdana" w:eastAsia="Times New Roman" w:hAnsi="Verdana" w:cs="Arial"/>
          <w:lang w:val="es-MX" w:eastAsia="es-ES_tradnl"/>
        </w:rPr>
        <w:t xml:space="preserve"> Los bienes fiscales, de acuerdo con el Alto Tribunal Constitucional</w:t>
      </w:r>
      <w:r w:rsidRPr="00097627">
        <w:rPr>
          <w:rFonts w:ascii="Verdana" w:eastAsia="Times New Roman" w:hAnsi="Verdana" w:cs="Arial"/>
          <w:vertAlign w:val="superscript"/>
          <w:lang w:val="es-MX" w:eastAsia="es-ES_tradnl"/>
        </w:rPr>
        <w:footnoteReference w:id="8"/>
      </w:r>
      <w:r w:rsidRPr="00097627">
        <w:rPr>
          <w:rFonts w:ascii="Verdana" w:eastAsia="Times New Roman" w:hAnsi="Verdana" w:cs="Arial"/>
          <w:lang w:val="es-MX" w:eastAsia="es-ES_tradnl"/>
        </w:rPr>
        <w:t xml:space="preserve">, están destinados a la prestación de servicios públicos que la Administración utiliza de forma inmediata, como los edificios donde funcionan las oficinas públicas. </w:t>
      </w:r>
    </w:p>
    <w:p w14:paraId="71BC2A9B" w14:textId="77777777" w:rsidR="0020748A" w:rsidRPr="00097627" w:rsidRDefault="0020748A" w:rsidP="0020748A">
      <w:pPr>
        <w:spacing w:after="120" w:line="276" w:lineRule="auto"/>
        <w:ind w:firstLine="720"/>
        <w:jc w:val="both"/>
        <w:rPr>
          <w:rFonts w:ascii="Verdana" w:eastAsia="Times New Roman" w:hAnsi="Verdana" w:cs="Arial"/>
          <w:lang w:val="es-MX" w:eastAsia="es-ES_tradnl"/>
        </w:rPr>
      </w:pPr>
      <w:r w:rsidRPr="00097627">
        <w:rPr>
          <w:rFonts w:ascii="Verdana" w:eastAsia="Times New Roman" w:hAnsi="Verdana" w:cs="Arial"/>
          <w:lang w:val="es-MX" w:eastAsia="es-ES_tradnl"/>
        </w:rPr>
        <w:t xml:space="preserve">A su vez, el Consejo de Estado, define los bienes fiscales como </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 xml:space="preserve">aquellos que pertenecen  </w:t>
      </w:r>
      <w:r w:rsidRPr="00097627">
        <w:rPr>
          <w:rFonts w:ascii="Verdana" w:eastAsia="Times New Roman" w:hAnsi="Verdana" w:cs="Arial"/>
          <w:i/>
          <w:iCs/>
          <w:color w:val="000000" w:themeColor="text1"/>
          <w:lang w:val="es-MX" w:eastAsia="es-ES_tradnl"/>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097627">
        <w:rPr>
          <w:rFonts w:ascii="Verdana" w:eastAsia="Times New Roman" w:hAnsi="Verdana" w:cs="Arial"/>
          <w:i/>
          <w:iCs/>
          <w:color w:val="000000" w:themeColor="text1"/>
          <w:spacing w:val="-27"/>
          <w:lang w:val="es-MX" w:eastAsia="es-ES_tradnl"/>
        </w:rPr>
        <w:t xml:space="preserve"> </w:t>
      </w:r>
      <w:r>
        <w:rPr>
          <w:rFonts w:ascii="Verdana" w:eastAsia="Times New Roman" w:hAnsi="Verdana" w:cs="Arial"/>
          <w:i/>
          <w:iCs/>
          <w:color w:val="000000" w:themeColor="text1"/>
          <w:lang w:val="es-MX" w:eastAsia="es-ES_tradnl"/>
        </w:rPr>
        <w:t>propiedad”</w:t>
      </w:r>
      <w:r w:rsidRPr="00097627">
        <w:rPr>
          <w:rFonts w:ascii="Verdana" w:eastAsia="Times New Roman" w:hAnsi="Verdana" w:cs="Arial"/>
          <w:i/>
          <w:iCs/>
          <w:vertAlign w:val="superscript"/>
          <w:lang w:val="es-MX" w:eastAsia="es-ES_tradnl"/>
        </w:rPr>
        <w:footnoteReference w:id="9"/>
      </w:r>
      <w:r w:rsidRPr="00097627">
        <w:rPr>
          <w:rFonts w:ascii="Verdana" w:eastAsia="Times New Roman" w:hAnsi="Verdana" w:cs="Arial"/>
          <w:vertAlign w:val="superscript"/>
          <w:lang w:val="es-MX" w:eastAsia="es-ES_tradnl"/>
        </w:rPr>
        <w:t>.</w:t>
      </w:r>
      <w:r w:rsidRPr="00097627">
        <w:rPr>
          <w:rFonts w:ascii="Verdana" w:eastAsia="Times New Roman" w:hAnsi="Verdana" w:cs="Arial"/>
          <w:color w:val="000000" w:themeColor="text1"/>
          <w:lang w:val="es-MX" w:eastAsia="es-ES_tradnl"/>
        </w:rPr>
        <w:t xml:space="preserve"> </w:t>
      </w:r>
      <w:r w:rsidRPr="00097627">
        <w:rPr>
          <w:rFonts w:ascii="Verdana" w:eastAsia="Times New Roman" w:hAnsi="Verdana" w:cs="Arial"/>
          <w:lang w:val="es-MX" w:eastAsia="es-ES_tradnl"/>
        </w:rPr>
        <w:t>De esta forma, sobre los bienes fiscales, a pesar de estar destinados a la prestación de servicios públicos, las Entidades Estatales tienen la facultad de disponer de ellos a través de un acto jurídico como la compraventa, la donación, el arriendo, entre</w:t>
      </w:r>
      <w:r w:rsidRPr="00097627">
        <w:rPr>
          <w:rFonts w:ascii="Verdana" w:eastAsia="Times New Roman" w:hAnsi="Verdana" w:cs="Arial"/>
          <w:spacing w:val="-3"/>
          <w:lang w:val="es-MX" w:eastAsia="es-ES_tradnl"/>
        </w:rPr>
        <w:t xml:space="preserve"> </w:t>
      </w:r>
      <w:r w:rsidRPr="00097627">
        <w:rPr>
          <w:rFonts w:ascii="Verdana" w:eastAsia="Times New Roman" w:hAnsi="Verdana" w:cs="Arial"/>
          <w:lang w:val="es-MX" w:eastAsia="es-ES_tradnl"/>
        </w:rPr>
        <w:t>otros.</w:t>
      </w:r>
      <w:r w:rsidRPr="00097627">
        <w:rPr>
          <w:rFonts w:ascii="Verdana" w:eastAsia="Times New Roman" w:hAnsi="Verdana" w:cs="Arial"/>
          <w:vertAlign w:val="superscript"/>
          <w:lang w:val="es-MX" w:eastAsia="es-ES_tradnl"/>
        </w:rPr>
        <w:t xml:space="preserve"> </w:t>
      </w:r>
    </w:p>
    <w:p w14:paraId="5ABB838E" w14:textId="77777777" w:rsidR="0020748A" w:rsidRPr="00097627" w:rsidRDefault="0020748A" w:rsidP="0020748A">
      <w:pPr>
        <w:spacing w:after="0" w:line="276" w:lineRule="auto"/>
        <w:ind w:firstLine="720"/>
        <w:jc w:val="both"/>
        <w:rPr>
          <w:rFonts w:ascii="Verdana" w:eastAsia="Times New Roman" w:hAnsi="Verdana" w:cs="Arial"/>
          <w:lang w:val="es-MX" w:eastAsia="es-ES_tradnl"/>
        </w:rPr>
      </w:pPr>
      <w:r w:rsidRPr="00097627">
        <w:rPr>
          <w:rFonts w:ascii="Verdana" w:eastAsia="Times New Roman" w:hAnsi="Verdana" w:cs="Arial"/>
          <w:lang w:val="es-MX" w:eastAsia="es-ES_tradnl"/>
        </w:rPr>
        <w:t xml:space="preserve">Acerca de los bienes de uso público, el Consejo de Estado los define como </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w:t>
      </w:r>
      <w:r>
        <w:rPr>
          <w:rFonts w:ascii="Verdana" w:eastAsia="Times New Roman" w:hAnsi="Verdana" w:cs="Arial"/>
          <w:i/>
          <w:iCs/>
          <w:lang w:val="es-MX" w:eastAsia="es-ES_tradnl"/>
        </w:rPr>
        <w:t xml:space="preserve"> por motivos de interés general”</w:t>
      </w:r>
      <w:r w:rsidRPr="00097627">
        <w:rPr>
          <w:rFonts w:ascii="Verdana" w:eastAsia="Times New Roman" w:hAnsi="Verdana" w:cs="Arial"/>
          <w:i/>
          <w:iCs/>
          <w:vertAlign w:val="superscript"/>
          <w:lang w:val="es-MX" w:eastAsia="es-ES_tradnl"/>
        </w:rPr>
        <w:footnoteReference w:id="10"/>
      </w:r>
      <w:r w:rsidRPr="00097627">
        <w:rPr>
          <w:rFonts w:ascii="Verdana" w:eastAsia="Times New Roman" w:hAnsi="Verdana" w:cs="Arial"/>
          <w:i/>
          <w:iCs/>
          <w:lang w:val="es-MX" w:eastAsia="es-ES_tradnl"/>
        </w:rPr>
        <w:t>.</w:t>
      </w:r>
      <w:r w:rsidRPr="00097627">
        <w:rPr>
          <w:rFonts w:ascii="Verdana" w:eastAsia="Times New Roman" w:hAnsi="Verdana" w:cs="Arial"/>
          <w:lang w:val="es-MX" w:eastAsia="es-ES_tradnl"/>
        </w:rPr>
        <w:t xml:space="preserve"> Por lo tanto, como estos bienes están destinados al uso de los habitantes de un territorio, el Estado no puede disponer de ellos por encontrarse fuera del comercio</w:t>
      </w:r>
      <w:r w:rsidRPr="00097627">
        <w:rPr>
          <w:rFonts w:ascii="Verdana" w:eastAsia="Times New Roman" w:hAnsi="Verdana" w:cs="Arial"/>
          <w:vertAlign w:val="superscript"/>
          <w:lang w:val="es-MX" w:eastAsia="es-ES_tradnl"/>
        </w:rPr>
        <w:footnoteReference w:id="11"/>
      </w:r>
      <w:r w:rsidRPr="00097627">
        <w:rPr>
          <w:rFonts w:ascii="Verdana" w:eastAsia="Times New Roman" w:hAnsi="Verdana" w:cs="Arial"/>
          <w:lang w:val="es-MX" w:eastAsia="es-ES_tradnl"/>
        </w:rPr>
        <w:t>.</w:t>
      </w:r>
      <w:r w:rsidRPr="00097627">
        <w:rPr>
          <w:rFonts w:ascii="Verdana" w:eastAsia="Times New Roman" w:hAnsi="Verdana" w:cs="Arial"/>
          <w:vertAlign w:val="superscript"/>
          <w:lang w:val="es-MX" w:eastAsia="es-ES_tradnl"/>
        </w:rPr>
        <w:t xml:space="preserve"> </w:t>
      </w:r>
      <w:r>
        <w:rPr>
          <w:rFonts w:ascii="Verdana" w:eastAsia="Times New Roman" w:hAnsi="Verdana" w:cs="Arial"/>
          <w:lang w:val="es-MX" w:eastAsia="es-ES_tradnl"/>
        </w:rPr>
        <w:t xml:space="preserve"> </w:t>
      </w:r>
      <w:r w:rsidRPr="00097627">
        <w:rPr>
          <w:rFonts w:ascii="Verdana" w:eastAsia="Times New Roman" w:hAnsi="Verdana" w:cs="Arial"/>
          <w:lang w:val="es-MX" w:eastAsia="es-ES_tradnl"/>
        </w:rPr>
        <w:t>En ese orden de ideas, los bienes sobre los cuales puede recaer el acto de enajenación a título gratuito (donación) son los bienes fiscales muebles o inmuebles y no los bienes de uso público.</w:t>
      </w:r>
    </w:p>
    <w:p w14:paraId="66B2B32E" w14:textId="77777777" w:rsidR="0020748A" w:rsidRDefault="0020748A" w:rsidP="0020748A">
      <w:pPr>
        <w:spacing w:after="0" w:line="276" w:lineRule="auto"/>
        <w:jc w:val="both"/>
        <w:rPr>
          <w:rFonts w:ascii="Verdana" w:eastAsia="Arial" w:hAnsi="Verdana" w:cs="Arial"/>
        </w:rPr>
      </w:pPr>
    </w:p>
    <w:p w14:paraId="7090C852" w14:textId="77777777" w:rsidR="0020748A" w:rsidRPr="00DA39D1" w:rsidRDefault="0020748A" w:rsidP="0020748A">
      <w:pPr>
        <w:spacing w:after="120" w:line="276" w:lineRule="auto"/>
        <w:jc w:val="both"/>
        <w:rPr>
          <w:rFonts w:ascii="Verdana" w:eastAsia="Arial" w:hAnsi="Verdana" w:cs="Arial"/>
        </w:rPr>
      </w:pPr>
      <w:r>
        <w:rPr>
          <w:rFonts w:ascii="Verdana" w:eastAsia="Calibri" w:hAnsi="Verdana" w:cs="Arial"/>
          <w:lang w:val="es-ES_tradnl"/>
        </w:rPr>
        <w:t xml:space="preserve">ii. </w:t>
      </w:r>
      <w:bookmarkStart w:id="2" w:name="_Hlk186536766"/>
      <w:r>
        <w:rPr>
          <w:rFonts w:ascii="Verdana" w:eastAsia="Calibri" w:hAnsi="Verdana" w:cs="Arial"/>
          <w:lang w:val="es-MX"/>
        </w:rPr>
        <w:t xml:space="preserve">En </w:t>
      </w:r>
      <w:r w:rsidRPr="00DA39D1">
        <w:rPr>
          <w:rFonts w:ascii="Verdana" w:eastAsia="Calibri" w:hAnsi="Verdana" w:cs="Arial"/>
          <w:lang w:val="es-MX"/>
        </w:rPr>
        <w:t xml:space="preserve">relación con la modalidad de selección </w:t>
      </w:r>
      <w:r w:rsidRPr="00DA39D1">
        <w:rPr>
          <w:rFonts w:ascii="Verdana" w:eastAsia="Arial" w:hAnsi="Verdana" w:cs="Arial"/>
          <w:lang w:val="es-ES"/>
        </w:rPr>
        <w:t xml:space="preserve">el literal e) del numeral 2 del artículo 2 de la Ley 1150 de 2007 dispone que la enajenación de bienes del Estado, con excepción de aquellos a que se refiere la Ley 226 de 1995, se realiza a través de la modalidad de selección abreviada, para lo cual </w:t>
      </w:r>
      <w:r w:rsidRPr="00DA39D1">
        <w:rPr>
          <w:rFonts w:ascii="Verdana" w:eastAsia="Arial" w:hAnsi="Verdana" w:cs="Arial"/>
        </w:rPr>
        <w:t>podrán utilizar</w:t>
      </w:r>
      <w:r>
        <w:rPr>
          <w:rFonts w:ascii="Verdana" w:eastAsia="Arial" w:hAnsi="Verdana" w:cs="Arial"/>
        </w:rPr>
        <w:t>se</w:t>
      </w:r>
      <w:r w:rsidRPr="00DA39D1">
        <w:rPr>
          <w:rFonts w:ascii="Verdana" w:eastAsia="Arial" w:hAnsi="Verdana" w:cs="Arial"/>
        </w:rPr>
        <w:t xml:space="preserve"> instrumentos de subasta y en general de todos aquellos mecanismos autorizados por el derecho privado, siempre y cuando en desarrollo del proceso de enajenación se garantice la transparencia, la eficiencia y la selección objetiva</w:t>
      </w:r>
      <w:r w:rsidRPr="00DA39D1">
        <w:rPr>
          <w:rFonts w:ascii="Calibri" w:eastAsia="Calibri" w:hAnsi="Calibri" w:cs="Times New Roman"/>
          <w:vertAlign w:val="superscript"/>
        </w:rPr>
        <w:footnoteReference w:id="12"/>
      </w:r>
      <w:r w:rsidRPr="00DA39D1">
        <w:rPr>
          <w:rFonts w:ascii="Verdana" w:eastAsia="Arial" w:hAnsi="Verdana" w:cs="Arial"/>
        </w:rPr>
        <w:t xml:space="preserve">. </w:t>
      </w:r>
      <w:r w:rsidRPr="00DA39D1">
        <w:rPr>
          <w:rFonts w:ascii="Verdana" w:eastAsia="Arial" w:hAnsi="Verdana" w:cs="Arial"/>
          <w:lang w:val="es-ES"/>
        </w:rPr>
        <w:t xml:space="preserve">Adicionalmente, establece que </w:t>
      </w:r>
      <w:r w:rsidRPr="00DA39D1">
        <w:rPr>
          <w:rFonts w:ascii="Verdana" w:eastAsia="Arial" w:hAnsi="Verdana" w:cs="Arial"/>
        </w:rPr>
        <w:t>para la venta de los bienes debe tener</w:t>
      </w:r>
      <w:r>
        <w:rPr>
          <w:rFonts w:ascii="Verdana" w:eastAsia="Arial" w:hAnsi="Verdana" w:cs="Arial"/>
        </w:rPr>
        <w:t>se</w:t>
      </w:r>
      <w:r w:rsidRPr="00DA39D1">
        <w:rPr>
          <w:rFonts w:ascii="Verdana" w:eastAsia="Arial" w:hAnsi="Verdana" w:cs="Arial"/>
        </w:rPr>
        <w:t xml:space="preserve"> como base el valor del avalúo comercial y ajustar dicho avalúo de acuerdo </w:t>
      </w:r>
      <w:r>
        <w:rPr>
          <w:rFonts w:ascii="Verdana" w:eastAsia="Arial" w:hAnsi="Verdana" w:cs="Arial"/>
        </w:rPr>
        <w:t>con</w:t>
      </w:r>
      <w:r w:rsidRPr="00DA39D1">
        <w:rPr>
          <w:rFonts w:ascii="Verdana" w:eastAsia="Arial" w:hAnsi="Verdana" w:cs="Arial"/>
        </w:rPr>
        <w:t xml:space="preserve"> los gastos asociados al tiempo de comercialización esperada, administración, impuestos y mantenimiento, para determinar el precio mínimo al que se debe enajenar el bien, de conformidad con la reglamentación que para el efecto expida el Gobierno Nacional</w:t>
      </w:r>
      <w:bookmarkEnd w:id="2"/>
      <w:r w:rsidRPr="00DA39D1">
        <w:rPr>
          <w:rFonts w:ascii="Verdana" w:eastAsia="Arial" w:hAnsi="Verdana" w:cs="Arial"/>
        </w:rPr>
        <w:t>.</w:t>
      </w:r>
    </w:p>
    <w:p w14:paraId="7D61DF1B" w14:textId="77777777" w:rsidR="0020748A" w:rsidRPr="00DA39D1" w:rsidRDefault="0020748A" w:rsidP="0020748A">
      <w:pPr>
        <w:spacing w:after="120" w:line="276" w:lineRule="auto"/>
        <w:ind w:firstLine="709"/>
        <w:jc w:val="both"/>
        <w:rPr>
          <w:rFonts w:ascii="Verdana" w:eastAsia="Arial" w:hAnsi="Verdana" w:cs="Arial"/>
        </w:rPr>
      </w:pPr>
      <w:r w:rsidRPr="00DA39D1">
        <w:rPr>
          <w:rFonts w:ascii="Verdana" w:eastAsia="Arial" w:hAnsi="Verdana" w:cs="Arial"/>
          <w:lang w:val="es-ES"/>
        </w:rPr>
        <w:t>En virtud de lo anterior,</w:t>
      </w:r>
      <w:bookmarkStart w:id="3" w:name="_Hlk186265498"/>
      <w:r w:rsidRPr="00DA39D1">
        <w:rPr>
          <w:rFonts w:ascii="Verdana" w:eastAsia="Arial" w:hAnsi="Verdana" w:cs="Arial"/>
          <w:lang w:val="es-ES"/>
        </w:rPr>
        <w:t xml:space="preserve"> la subsección 1 de la sección 2 </w:t>
      </w:r>
      <w:bookmarkStart w:id="4" w:name="_Hlk186316048"/>
      <w:r w:rsidRPr="00DA39D1">
        <w:rPr>
          <w:rFonts w:ascii="Verdana" w:eastAsia="Arial" w:hAnsi="Verdana" w:cs="Arial"/>
          <w:lang w:val="es-ES"/>
        </w:rPr>
        <w:t>del capítulo II del Decreto 1082 de 2015</w:t>
      </w:r>
      <w:bookmarkEnd w:id="4"/>
      <w:r w:rsidRPr="00DA39D1">
        <w:rPr>
          <w:rFonts w:ascii="Verdana" w:eastAsia="Arial" w:hAnsi="Verdana" w:cs="Arial"/>
          <w:lang w:val="es-ES"/>
        </w:rPr>
        <w:t xml:space="preserve"> </w:t>
      </w:r>
      <w:bookmarkEnd w:id="3"/>
      <w:r w:rsidRPr="00DA39D1">
        <w:rPr>
          <w:rFonts w:ascii="Verdana" w:eastAsia="Arial" w:hAnsi="Verdana" w:cs="Arial"/>
          <w:lang w:val="es-ES"/>
        </w:rPr>
        <w:t>dispuso en los artículos 2.2.1.2.2.1.1. y siguientes, las reglas generales que deben aplicar las Entidades Estatales para la enajenación de los bienes el Estado señalando que “</w:t>
      </w:r>
      <w:r w:rsidRPr="00DA39D1">
        <w:rPr>
          <w:rFonts w:ascii="Verdana" w:eastAsia="Arial" w:hAnsi="Verdana" w:cs="Arial"/>
        </w:rPr>
        <w:t>La selección abreviada es la modalidad para la enajenación de bienes del Estado, la cual se rige por las disposiciones contenidas en el presente capítulo, salvo por las normas aplicables a la enajenación de los bienes a cargo del Fondo para la Rehabilitación, Inversión Social y Lucha contra el Crimen Organizado y la enajenación de que tratan la Ley </w:t>
      </w:r>
      <w:hyperlink r:id="rId13" w:anchor="0" w:tooltip="vinculo" w:history="1">
        <w:r w:rsidRPr="00DA39D1">
          <w:rPr>
            <w:rFonts w:ascii="Verdana" w:eastAsia="Arial" w:hAnsi="Verdana" w:cs="Arial"/>
          </w:rPr>
          <w:t>226</w:t>
        </w:r>
      </w:hyperlink>
      <w:r w:rsidRPr="00DA39D1">
        <w:rPr>
          <w:rFonts w:ascii="Verdana" w:eastAsia="Arial" w:hAnsi="Verdana" w:cs="Arial"/>
        </w:rPr>
        <w:t> de 1995, el Decreto-Ley </w:t>
      </w:r>
      <w:hyperlink r:id="rId14" w:anchor="0" w:tooltip="vinculo" w:history="1">
        <w:r w:rsidRPr="00DA39D1">
          <w:rPr>
            <w:rFonts w:ascii="Verdana" w:eastAsia="Arial" w:hAnsi="Verdana" w:cs="Arial"/>
          </w:rPr>
          <w:t>254</w:t>
        </w:r>
      </w:hyperlink>
      <w:r w:rsidRPr="00DA39D1">
        <w:rPr>
          <w:rFonts w:ascii="Verdana" w:eastAsia="Arial" w:hAnsi="Verdana" w:cs="Arial"/>
        </w:rPr>
        <w:t> de 2000 y la Ley </w:t>
      </w:r>
      <w:hyperlink r:id="rId15" w:anchor="0" w:tooltip="vinculo" w:history="1">
        <w:r w:rsidRPr="00DA39D1">
          <w:rPr>
            <w:rFonts w:ascii="Verdana" w:eastAsia="Arial" w:hAnsi="Verdana" w:cs="Arial"/>
          </w:rPr>
          <w:t>1105</w:t>
        </w:r>
      </w:hyperlink>
      <w:r w:rsidRPr="00DA39D1">
        <w:rPr>
          <w:rFonts w:ascii="Verdana" w:eastAsia="Arial" w:hAnsi="Verdana" w:cs="Arial"/>
        </w:rPr>
        <w:t xml:space="preserve"> de 2006”. </w:t>
      </w:r>
    </w:p>
    <w:bookmarkEnd w:id="1"/>
    <w:p w14:paraId="2EB90F9D" w14:textId="77777777" w:rsidR="0020748A" w:rsidRPr="00097627" w:rsidRDefault="0020748A" w:rsidP="0020748A">
      <w:pPr>
        <w:widowControl w:val="0"/>
        <w:autoSpaceDE w:val="0"/>
        <w:autoSpaceDN w:val="0"/>
        <w:spacing w:after="120" w:line="276" w:lineRule="auto"/>
        <w:ind w:firstLine="708"/>
        <w:jc w:val="both"/>
        <w:rPr>
          <w:rFonts w:ascii="Verdana" w:eastAsia="Arial" w:hAnsi="Verdana" w:cs="Arial"/>
          <w:lang w:val="es-ES"/>
        </w:rPr>
      </w:pPr>
      <w:r w:rsidRPr="00097627">
        <w:rPr>
          <w:rFonts w:ascii="Verdana" w:eastAsia="Arial" w:hAnsi="Verdana" w:cs="Arial"/>
          <w:lang w:val="es-ES"/>
        </w:rPr>
        <w:t>Ahora bien,</w:t>
      </w:r>
      <w:r>
        <w:rPr>
          <w:rFonts w:ascii="Verdana" w:eastAsia="Arial" w:hAnsi="Verdana" w:cs="Arial"/>
          <w:lang w:val="es-ES"/>
        </w:rPr>
        <w:t xml:space="preserve"> cuando la entidad pretenda enajenar bienes muebles a título gratuito deben adelantarse conforme a la regla especial prescrita en </w:t>
      </w:r>
      <w:r w:rsidRPr="00097627">
        <w:rPr>
          <w:rFonts w:ascii="Verdana" w:eastAsia="Arial" w:hAnsi="Verdana" w:cs="Arial"/>
          <w:lang w:val="es-ES"/>
        </w:rPr>
        <w:t>el</w:t>
      </w:r>
      <w:r w:rsidRPr="00097627">
        <w:rPr>
          <w:rFonts w:ascii="Verdana" w:eastAsia="Arial" w:hAnsi="Verdana" w:cs="Arial"/>
          <w:spacing w:val="13"/>
          <w:lang w:val="es-ES"/>
        </w:rPr>
        <w:t xml:space="preserve"> </w:t>
      </w:r>
      <w:r w:rsidRPr="00097627">
        <w:rPr>
          <w:rFonts w:ascii="Verdana" w:eastAsia="Arial" w:hAnsi="Verdana" w:cs="Arial"/>
          <w:lang w:val="es-ES"/>
        </w:rPr>
        <w:t>artículo</w:t>
      </w:r>
      <w:r w:rsidRPr="00097627">
        <w:rPr>
          <w:rFonts w:ascii="Verdana" w:eastAsia="Arial" w:hAnsi="Verdana" w:cs="Arial"/>
          <w:spacing w:val="16"/>
          <w:lang w:val="es-ES"/>
        </w:rPr>
        <w:t xml:space="preserve"> </w:t>
      </w:r>
      <w:r w:rsidRPr="00097627">
        <w:rPr>
          <w:rFonts w:ascii="Verdana" w:eastAsia="Arial" w:hAnsi="Verdana" w:cs="Arial"/>
          <w:lang w:val="es-ES"/>
        </w:rPr>
        <w:t>2.2.1.2.2.4.3.</w:t>
      </w:r>
      <w:r w:rsidRPr="00097627">
        <w:rPr>
          <w:rFonts w:ascii="Verdana" w:eastAsia="Arial" w:hAnsi="Verdana" w:cs="Arial"/>
          <w:spacing w:val="12"/>
          <w:lang w:val="es-ES"/>
        </w:rPr>
        <w:t xml:space="preserve"> </w:t>
      </w:r>
      <w:r w:rsidRPr="00097627">
        <w:rPr>
          <w:rFonts w:ascii="Verdana" w:eastAsia="Arial" w:hAnsi="Verdana" w:cs="Arial"/>
          <w:lang w:val="es-ES"/>
        </w:rPr>
        <w:t xml:space="preserve">del Decreto 1082 de 2015, </w:t>
      </w:r>
      <w:r>
        <w:rPr>
          <w:rFonts w:ascii="Verdana" w:eastAsia="Arial" w:hAnsi="Verdana" w:cs="Arial"/>
          <w:lang w:val="es-ES"/>
        </w:rPr>
        <w:t xml:space="preserve">que establece que </w:t>
      </w:r>
      <w:r w:rsidRPr="00097627">
        <w:rPr>
          <w:rFonts w:ascii="Verdana" w:eastAsia="Arial" w:hAnsi="Verdana" w:cs="Arial"/>
          <w:lang w:val="es-ES"/>
        </w:rPr>
        <w:t>deberá realizar</w:t>
      </w:r>
      <w:r>
        <w:rPr>
          <w:rFonts w:ascii="Verdana" w:eastAsia="Arial" w:hAnsi="Verdana" w:cs="Arial"/>
          <w:lang w:val="es-ES"/>
        </w:rPr>
        <w:t xml:space="preserve"> </w:t>
      </w:r>
      <w:r w:rsidRPr="00097627">
        <w:rPr>
          <w:rFonts w:ascii="Verdana" w:eastAsia="Arial" w:hAnsi="Verdana" w:cs="Arial"/>
          <w:lang w:val="es-ES"/>
        </w:rPr>
        <w:t>un inventario de los bienes muebles que no utilizan y, a continuación, se la habilita para ofrecerlos a título gratuito a las demás Entidades Estatales a través de un acto administrativo que deberá publicar en su página Web.</w:t>
      </w:r>
      <w:r w:rsidRPr="009877B5">
        <w:t xml:space="preserve"> </w:t>
      </w:r>
      <w:r w:rsidRPr="009877B5">
        <w:rPr>
          <w:rFonts w:ascii="Verdana" w:eastAsia="Arial" w:hAnsi="Verdana" w:cs="Arial"/>
          <w:lang w:val="es-ES"/>
        </w:rPr>
        <w:t>El acto administrativo que oferta bienes muebles a título gratuito entre entidades estatales cumple la función de un aviso de convocatoria, porque es el mecanismo mediante el cual la entidad propietaria informa públicamente que dispone de determinado</w:t>
      </w:r>
      <w:r>
        <w:rPr>
          <w:rFonts w:ascii="Verdana" w:eastAsia="Arial" w:hAnsi="Verdana" w:cs="Arial"/>
          <w:lang w:val="es-ES"/>
        </w:rPr>
        <w:t xml:space="preserve">s bienes y que estos pueden solicitarse </w:t>
      </w:r>
      <w:r w:rsidRPr="009877B5">
        <w:rPr>
          <w:rFonts w:ascii="Verdana" w:eastAsia="Arial" w:hAnsi="Verdana" w:cs="Arial"/>
          <w:lang w:val="es-ES"/>
        </w:rPr>
        <w:t>p</w:t>
      </w:r>
      <w:r>
        <w:rPr>
          <w:rFonts w:ascii="Verdana" w:eastAsia="Arial" w:hAnsi="Verdana" w:cs="Arial"/>
          <w:lang w:val="es-ES"/>
        </w:rPr>
        <w:t xml:space="preserve">or otras entidades interesadas. Dicho acto administrativo </w:t>
      </w:r>
      <w:r w:rsidRPr="009877B5">
        <w:rPr>
          <w:rFonts w:ascii="Verdana" w:eastAsia="Arial" w:hAnsi="Verdana" w:cs="Arial"/>
          <w:lang w:val="es-ES"/>
        </w:rPr>
        <w:t>garantiza la transparencia y publicidad del proceso, pues permite que todas las entidades estatales potencialmente beneficiarias tengan conocimiento de la oferta y puedan manifestar su interés en re</w:t>
      </w:r>
      <w:r>
        <w:rPr>
          <w:rFonts w:ascii="Verdana" w:eastAsia="Arial" w:hAnsi="Verdana" w:cs="Arial"/>
          <w:lang w:val="es-ES"/>
        </w:rPr>
        <w:t xml:space="preserve">cibir los bienes. </w:t>
      </w:r>
    </w:p>
    <w:p w14:paraId="0C98B6CE" w14:textId="77777777" w:rsidR="0020748A" w:rsidRDefault="0020748A" w:rsidP="0020748A">
      <w:pPr>
        <w:widowControl w:val="0"/>
        <w:autoSpaceDE w:val="0"/>
        <w:autoSpaceDN w:val="0"/>
        <w:spacing w:after="120" w:line="276" w:lineRule="auto"/>
        <w:ind w:firstLine="708"/>
        <w:jc w:val="both"/>
        <w:rPr>
          <w:rFonts w:ascii="Verdana" w:eastAsia="Arial" w:hAnsi="Verdana" w:cs="Arial"/>
          <w:lang w:val="es-ES"/>
        </w:rPr>
      </w:pPr>
      <w:r w:rsidRPr="00097627">
        <w:rPr>
          <w:rFonts w:ascii="Verdana" w:eastAsia="Arial" w:hAnsi="Verdana" w:cs="Arial"/>
          <w:lang w:val="es-ES"/>
        </w:rPr>
        <w:t>Posterior a ello, la norma en mención indica que dentro de los treinta (30) días calendario siguientes a la fecha de publicación del acto administrativo, la Entidad Estatal interesada en adquirir estos bienes a título gratuito debe manifestar su interés, y con ella, debe señalar la necesidad funcional que pretende satisfacer con el bien juntamente con las razones que justifican su solicitud.</w:t>
      </w:r>
      <w:r>
        <w:rPr>
          <w:rFonts w:ascii="Verdana" w:eastAsia="Arial" w:hAnsi="Verdana" w:cs="Arial"/>
          <w:lang w:val="es-ES"/>
        </w:rPr>
        <w:t xml:space="preserve"> </w:t>
      </w:r>
      <w:r w:rsidRPr="00097627">
        <w:rPr>
          <w:rFonts w:ascii="Verdana" w:eastAsia="Arial" w:hAnsi="Verdana" w:cs="Arial"/>
          <w:lang w:val="es-ES"/>
        </w:rPr>
        <w:t>Finalmente, la norma señala que, si hay dos o más manifestaciones de interés de Entidades Estatales para el mismo bien, la Entidad Estatal que primero haya manifestado su interés debe tener preferencia, sin que existan más normas complementarias o posteriores que hayan regulado con mayor detalle el procedimiento en mención.</w:t>
      </w:r>
    </w:p>
    <w:p w14:paraId="59A9BC39" w14:textId="77777777" w:rsidR="0020748A" w:rsidRPr="00572BB5" w:rsidRDefault="0020748A" w:rsidP="0020748A">
      <w:pPr>
        <w:widowControl w:val="0"/>
        <w:autoSpaceDE w:val="0"/>
        <w:autoSpaceDN w:val="0"/>
        <w:spacing w:after="120" w:line="276" w:lineRule="auto"/>
        <w:ind w:firstLine="708"/>
        <w:jc w:val="both"/>
        <w:rPr>
          <w:rFonts w:ascii="Verdana" w:eastAsia="Arial" w:hAnsi="Verdana" w:cs="Arial"/>
        </w:rPr>
      </w:pPr>
      <w:r w:rsidRPr="00572BB5">
        <w:rPr>
          <w:rFonts w:ascii="Verdana" w:eastAsia="Arial" w:hAnsi="Verdana" w:cs="Arial"/>
          <w:lang w:val="es-ES"/>
        </w:rPr>
        <w:t xml:space="preserve">Teniendo en cuenta lo precisado, </w:t>
      </w:r>
      <w:r>
        <w:rPr>
          <w:rFonts w:ascii="Verdana" w:eastAsia="Arial" w:hAnsi="Verdana" w:cs="Arial"/>
        </w:rPr>
        <w:t>c</w:t>
      </w:r>
      <w:r w:rsidRPr="00572BB5">
        <w:rPr>
          <w:rFonts w:ascii="Verdana" w:eastAsia="Arial" w:hAnsi="Verdana" w:cs="Arial"/>
        </w:rPr>
        <w:t>uando la entidad estatal pretende enajenar bienes muebles a título gratuito, debe observar de manera estricta lo dispuesto en el artículo 2.2.1.2.2.4.3 del Decreto 1082 de 2015, el cual constituye una regla especial para este tipo de operaciones. En</w:t>
      </w:r>
      <w:r>
        <w:rPr>
          <w:rFonts w:ascii="Verdana" w:eastAsia="Arial" w:hAnsi="Verdana" w:cs="Arial"/>
        </w:rPr>
        <w:t xml:space="preserve"> este sentido</w:t>
      </w:r>
      <w:r w:rsidRPr="00572BB5">
        <w:rPr>
          <w:rFonts w:ascii="Verdana" w:eastAsia="Arial" w:hAnsi="Verdana" w:cs="Arial"/>
        </w:rPr>
        <w:t xml:space="preserve">, no resulta </w:t>
      </w:r>
      <w:r>
        <w:rPr>
          <w:rFonts w:ascii="Verdana" w:eastAsia="Arial" w:hAnsi="Verdana" w:cs="Arial"/>
        </w:rPr>
        <w:t xml:space="preserve">procedente </w:t>
      </w:r>
      <w:r w:rsidRPr="00572BB5">
        <w:rPr>
          <w:rFonts w:ascii="Verdana" w:eastAsia="Arial" w:hAnsi="Verdana" w:cs="Arial"/>
        </w:rPr>
        <w:t>acudir a otros mecanismos de enajenación</w:t>
      </w:r>
      <w:r w:rsidRPr="00E84AC2">
        <w:rPr>
          <w:rFonts w:ascii="Verdana" w:eastAsia="Arial" w:hAnsi="Verdana" w:cs="Arial"/>
        </w:rPr>
        <w:t xml:space="preserve"> para adelantar esa misma operación gratuita</w:t>
      </w:r>
      <w:r w:rsidRPr="00572BB5">
        <w:rPr>
          <w:rFonts w:ascii="Verdana" w:eastAsia="Arial" w:hAnsi="Verdana" w:cs="Arial"/>
        </w:rPr>
        <w:t>, pues la norma establece un procedimiento específico que responde a</w:t>
      </w:r>
      <w:r>
        <w:rPr>
          <w:rFonts w:ascii="Verdana" w:eastAsia="Arial" w:hAnsi="Verdana" w:cs="Arial"/>
        </w:rPr>
        <w:t xml:space="preserve"> la transferencia de bienes a título gratuito entre entidades públicas</w:t>
      </w:r>
      <w:r w:rsidRPr="00572BB5">
        <w:rPr>
          <w:rFonts w:ascii="Verdana" w:eastAsia="Arial" w:hAnsi="Verdana" w:cs="Arial"/>
        </w:rPr>
        <w:t xml:space="preserve">. </w:t>
      </w:r>
    </w:p>
    <w:p w14:paraId="5FA6CA2B" w14:textId="77777777" w:rsidR="0020748A" w:rsidRPr="00E84AC2" w:rsidRDefault="0020748A" w:rsidP="0020748A">
      <w:pPr>
        <w:widowControl w:val="0"/>
        <w:autoSpaceDE w:val="0"/>
        <w:autoSpaceDN w:val="0"/>
        <w:spacing w:after="120" w:line="276" w:lineRule="auto"/>
        <w:ind w:firstLine="708"/>
        <w:jc w:val="both"/>
        <w:rPr>
          <w:rFonts w:ascii="Verdana" w:eastAsia="Arial" w:hAnsi="Verdana" w:cs="Arial"/>
        </w:rPr>
      </w:pPr>
      <w:r w:rsidRPr="00E84AC2">
        <w:rPr>
          <w:rFonts w:ascii="Verdana" w:eastAsia="Arial" w:hAnsi="Verdana" w:cs="Arial"/>
        </w:rPr>
        <w:t>Ahora bien, el verbo “deben” que emplea el artículo 2.2.1.2.2.4.3 no puede leerse de manera aislada para concluir que la enajenación gratuita sea la única vía de disposición de los bienes muebles no utilizados. Entenderlo así dejaría sin efecto útil el régimen de enajenación onerosa que el propio ordenamiento prevé para los bienes del Estado en el literal e) del numeral 2 del artículo 2 de la Ley 1150 de 2007, resultado contrario al criterio hermenéutico según el cual, entre dos lecturas posibles, ha de preferirse la que confiere efecto a todas las disposiciones concurrentes. El mandato de la norma recae sobre las cargas que la entidad asume una vez ha optado por la modalidad gratuita —inventariar, ofertar, publicar y respetar el término y la preferencia—, no sobre la decisión previa de disponer o no del bien por esa vía.</w:t>
      </w:r>
    </w:p>
    <w:p w14:paraId="1CA6D04E" w14:textId="77777777" w:rsidR="0020748A" w:rsidRDefault="0020748A" w:rsidP="0020748A">
      <w:pPr>
        <w:widowControl w:val="0"/>
        <w:autoSpaceDE w:val="0"/>
        <w:autoSpaceDN w:val="0"/>
        <w:spacing w:after="120" w:line="276" w:lineRule="auto"/>
        <w:ind w:firstLine="708"/>
        <w:jc w:val="both"/>
        <w:rPr>
          <w:rFonts w:ascii="Verdana" w:eastAsia="Arial" w:hAnsi="Verdana" w:cs="Arial"/>
        </w:rPr>
      </w:pPr>
      <w:r w:rsidRPr="00572BB5">
        <w:rPr>
          <w:rFonts w:ascii="Verdana" w:eastAsia="Arial" w:hAnsi="Verdana" w:cs="Arial"/>
        </w:rPr>
        <w:t xml:space="preserve">Por su parte, la enajenación a través de intermediarios idóneos, regulada en el artículo 2.2.1.2.2.1.4 del mismo Decreto, constituye un procedimiento distinto, diseñado para operaciones de carácter oneroso. En este escenario, </w:t>
      </w:r>
      <w:r>
        <w:rPr>
          <w:rFonts w:ascii="Verdana" w:eastAsia="Arial" w:hAnsi="Verdana" w:cs="Arial"/>
        </w:rPr>
        <w:t xml:space="preserve">la entidad </w:t>
      </w:r>
      <w:r w:rsidRPr="00E94B5A">
        <w:rPr>
          <w:rFonts w:ascii="Verdana" w:eastAsia="Arial" w:hAnsi="Verdana" w:cs="Arial"/>
        </w:rPr>
        <w:t>puede realizar directamente la enajenación, o contratar para ello promotores, bancas de inversión, martillos, comisionistas de bolsas de bienes y productos, o cualquier otro intermediario idóneo, según corresponda al tipo de bien a enajenar</w:t>
      </w:r>
      <w:r w:rsidRPr="00572BB5">
        <w:rPr>
          <w:rFonts w:ascii="Verdana" w:eastAsia="Arial" w:hAnsi="Verdana" w:cs="Arial"/>
        </w:rPr>
        <w:t xml:space="preserve">, asegurando la concurrencia de oferentes y la obtención de un valor económico por los bienes. Se trata, por tanto, de un procedimiento incompatible con la enajenación gratuita, ya que su </w:t>
      </w:r>
      <w:r>
        <w:rPr>
          <w:rFonts w:ascii="Verdana" w:eastAsia="Arial" w:hAnsi="Verdana" w:cs="Arial"/>
        </w:rPr>
        <w:t xml:space="preserve">propósito </w:t>
      </w:r>
      <w:r w:rsidRPr="00572BB5">
        <w:rPr>
          <w:rFonts w:ascii="Verdana" w:eastAsia="Arial" w:hAnsi="Verdana" w:cs="Arial"/>
        </w:rPr>
        <w:t xml:space="preserve">es maximizar el valor de los </w:t>
      </w:r>
      <w:r>
        <w:rPr>
          <w:rFonts w:ascii="Verdana" w:eastAsia="Arial" w:hAnsi="Verdana" w:cs="Arial"/>
        </w:rPr>
        <w:t xml:space="preserve">bienes y </w:t>
      </w:r>
      <w:r w:rsidRPr="00572BB5">
        <w:rPr>
          <w:rFonts w:ascii="Verdana" w:eastAsia="Arial" w:hAnsi="Verdana" w:cs="Arial"/>
        </w:rPr>
        <w:t>garantizar la eficiencia en la gestión patrimonial del Estado.</w:t>
      </w:r>
    </w:p>
    <w:p w14:paraId="4691FD67" w14:textId="77777777" w:rsidR="0020748A" w:rsidRDefault="0020748A" w:rsidP="0020748A">
      <w:pPr>
        <w:widowControl w:val="0"/>
        <w:autoSpaceDE w:val="0"/>
        <w:autoSpaceDN w:val="0"/>
        <w:spacing w:after="120" w:line="276" w:lineRule="auto"/>
        <w:ind w:firstLine="708"/>
        <w:jc w:val="both"/>
        <w:rPr>
          <w:rFonts w:ascii="Verdana" w:eastAsia="Arial" w:hAnsi="Verdana" w:cs="Arial"/>
        </w:rPr>
      </w:pPr>
      <w:r>
        <w:rPr>
          <w:rFonts w:ascii="Verdana" w:eastAsia="Arial" w:hAnsi="Verdana" w:cs="Arial"/>
        </w:rPr>
        <w:t>En este escenario, l</w:t>
      </w:r>
      <w:r w:rsidRPr="00EC1835">
        <w:rPr>
          <w:rFonts w:ascii="Verdana" w:eastAsia="Arial" w:hAnsi="Verdana" w:cs="Arial"/>
        </w:rPr>
        <w:t>a contratación mediante el sistema de martillo constituye una modalidad específica de enajenación con intermediario idóneo.</w:t>
      </w:r>
      <w:r>
        <w:rPr>
          <w:rFonts w:ascii="Verdana" w:eastAsia="Arial" w:hAnsi="Verdana" w:cs="Arial"/>
        </w:rPr>
        <w:t xml:space="preserve"> Dicha posibilidad de contratación tiene sustento en el parágrafo 3° del artículo 24 de la Ley 80, que prescribe: “</w:t>
      </w:r>
      <w:r w:rsidRPr="00E663D6">
        <w:rPr>
          <w:rFonts w:ascii="Verdana" w:eastAsia="Arial" w:hAnsi="Verdana" w:cs="Arial"/>
        </w:rPr>
        <w:t>Cuando la venta de los bienes de las entidades estatales deba efectuarse por el sistema de martillo, se hará a través del procedimiento de subasta que realicen las entidades financieras debidamente autorizadas para el efecto y vigiladas por la Superintendencia Bancaria</w:t>
      </w:r>
      <w:r>
        <w:rPr>
          <w:rFonts w:ascii="Verdana" w:eastAsia="Arial" w:hAnsi="Verdana" w:cs="Arial"/>
        </w:rPr>
        <w:t>”</w:t>
      </w:r>
      <w:r>
        <w:rPr>
          <w:rStyle w:val="Refdenotaalpie"/>
          <w:rFonts w:ascii="Verdana" w:eastAsia="Arial" w:hAnsi="Verdana" w:cs="Arial"/>
        </w:rPr>
        <w:footnoteReference w:id="13"/>
      </w:r>
      <w:r w:rsidRPr="00E663D6">
        <w:rPr>
          <w:rFonts w:ascii="Verdana" w:eastAsia="Arial" w:hAnsi="Verdana" w:cs="Arial"/>
        </w:rPr>
        <w:t>.</w:t>
      </w:r>
      <w:r>
        <w:rPr>
          <w:rFonts w:ascii="Verdana" w:eastAsia="Arial" w:hAnsi="Verdana" w:cs="Arial"/>
        </w:rPr>
        <w:t xml:space="preserve">  Así mismo, este </w:t>
      </w:r>
      <w:r w:rsidRPr="00EC1835">
        <w:rPr>
          <w:rFonts w:ascii="Verdana" w:eastAsia="Arial" w:hAnsi="Verdana" w:cs="Arial"/>
        </w:rPr>
        <w:t>mecanismo fue previsto en el Decreto 1639 de 1996, reglamentario de los artículos 12 (numeral 2°) y 18 de la Ley 226 de 1995, mediante el cual se autorizó a los establecimientos bancarios para realizar la “venta de mercaderías u otros objetos negociables, a través del mecanismo de martillo”. Se trata, en esencia, de un procedimiento de subasta pública que busca garantizar transparencia, concurrencia y obtención del mejor precio posible en la disposición de bienes estatales.</w:t>
      </w:r>
    </w:p>
    <w:p w14:paraId="69B333AE" w14:textId="77777777" w:rsidR="0020748A" w:rsidRPr="00D90621" w:rsidRDefault="0020748A" w:rsidP="0020748A">
      <w:pPr>
        <w:widowControl w:val="0"/>
        <w:autoSpaceDE w:val="0"/>
        <w:autoSpaceDN w:val="0"/>
        <w:spacing w:after="120" w:line="276" w:lineRule="auto"/>
        <w:ind w:firstLine="708"/>
        <w:jc w:val="both"/>
        <w:rPr>
          <w:rFonts w:ascii="Verdana" w:eastAsia="Arial" w:hAnsi="Verdana" w:cs="Arial"/>
          <w:lang w:val="es-ES"/>
        </w:rPr>
      </w:pPr>
      <w:r>
        <w:rPr>
          <w:rFonts w:ascii="Verdana" w:eastAsia="Arial" w:hAnsi="Verdana" w:cs="Arial"/>
        </w:rPr>
        <w:t xml:space="preserve">En este aspecto, la Circular Jurídica Básica </w:t>
      </w:r>
      <w:r w:rsidRPr="001646C5">
        <w:rPr>
          <w:rFonts w:ascii="Verdana" w:eastAsia="Arial" w:hAnsi="Verdana" w:cs="Arial"/>
        </w:rPr>
        <w:t xml:space="preserve">expedida por la Superintendencia Financiera de Colombia establece que las operaciones de Martillo son prestadas por los establecimientos bancarios debidamente autorizados por la Superintendencia Financiera, conforme se establece en los numerales 1 y 2 de la Parte II </w:t>
      </w:r>
      <w:r>
        <w:rPr>
          <w:rFonts w:ascii="Verdana" w:eastAsia="Arial" w:hAnsi="Verdana" w:cs="Arial"/>
        </w:rPr>
        <w:t>“</w:t>
      </w:r>
      <w:r w:rsidRPr="001646C5">
        <w:rPr>
          <w:rFonts w:ascii="Verdana" w:eastAsia="Arial" w:hAnsi="Verdana" w:cs="Arial"/>
          <w:i/>
          <w:iCs/>
        </w:rPr>
        <w:t>Mercado Intermediado</w:t>
      </w:r>
      <w:r>
        <w:rPr>
          <w:rFonts w:ascii="Verdana" w:eastAsia="Arial" w:hAnsi="Verdana" w:cs="Arial"/>
          <w:i/>
          <w:iCs/>
        </w:rPr>
        <w:t>”</w:t>
      </w:r>
      <w:r w:rsidRPr="001646C5">
        <w:rPr>
          <w:rFonts w:ascii="Verdana" w:eastAsia="Arial" w:hAnsi="Verdana" w:cs="Arial"/>
          <w:i/>
          <w:iCs/>
        </w:rPr>
        <w:t xml:space="preserve">, Título I </w:t>
      </w:r>
      <w:r>
        <w:rPr>
          <w:rFonts w:ascii="Verdana" w:eastAsia="Arial" w:hAnsi="Verdana" w:cs="Arial"/>
          <w:i/>
          <w:iCs/>
        </w:rPr>
        <w:t>“</w:t>
      </w:r>
      <w:r w:rsidRPr="001646C5">
        <w:rPr>
          <w:rFonts w:ascii="Verdana" w:eastAsia="Arial" w:hAnsi="Verdana" w:cs="Arial"/>
          <w:i/>
          <w:iCs/>
        </w:rPr>
        <w:t>Instrucciones generales relativas a las operaciones de los establecimientos de crédito</w:t>
      </w:r>
      <w:r>
        <w:rPr>
          <w:rFonts w:ascii="Verdana" w:eastAsia="Arial" w:hAnsi="Verdana" w:cs="Arial"/>
          <w:i/>
          <w:iCs/>
        </w:rPr>
        <w:t>”</w:t>
      </w:r>
      <w:r w:rsidRPr="001646C5">
        <w:rPr>
          <w:rFonts w:ascii="Verdana" w:eastAsia="Arial" w:hAnsi="Verdana" w:cs="Arial"/>
          <w:i/>
          <w:iCs/>
        </w:rPr>
        <w:t xml:space="preserve">, Capítulo VII: </w:t>
      </w:r>
      <w:r>
        <w:rPr>
          <w:rFonts w:ascii="Verdana" w:eastAsia="Arial" w:hAnsi="Verdana" w:cs="Arial"/>
          <w:i/>
          <w:iCs/>
        </w:rPr>
        <w:t>“</w:t>
      </w:r>
      <w:r w:rsidRPr="001646C5">
        <w:rPr>
          <w:rFonts w:ascii="Verdana" w:eastAsia="Arial" w:hAnsi="Verdana" w:cs="Arial"/>
          <w:i/>
          <w:iCs/>
        </w:rPr>
        <w:t>Martillo electrónico de las entidades bancarias</w:t>
      </w:r>
      <w:r>
        <w:rPr>
          <w:rFonts w:ascii="Verdana" w:eastAsia="Arial" w:hAnsi="Verdana" w:cs="Arial"/>
        </w:rPr>
        <w:t xml:space="preserve">”. En dicha regulación se establece en su ámbito de aplicación: “[…] </w:t>
      </w:r>
      <w:r w:rsidRPr="00D90621">
        <w:rPr>
          <w:rFonts w:ascii="Verdana" w:eastAsia="Arial" w:hAnsi="Verdana" w:cs="Arial"/>
          <w:lang w:val="es-ES"/>
        </w:rPr>
        <w:t>son de obligatorio cumplimiento para los establecimientos bancarios que operen y administren sitios de internet para la venta o martillo electrónico de bienes dados en garantía, siempre y cuando se haya comisionado o solicitado a los martillos legalmente autorizados, para realizar el remate de los mismos</w:t>
      </w:r>
      <w:r>
        <w:rPr>
          <w:rFonts w:ascii="Verdana" w:eastAsia="Arial" w:hAnsi="Verdana" w:cs="Arial"/>
          <w:lang w:val="es-ES"/>
        </w:rPr>
        <w:t>”</w:t>
      </w:r>
      <w:r w:rsidRPr="00D90621">
        <w:rPr>
          <w:rFonts w:ascii="Verdana" w:eastAsia="Arial" w:hAnsi="Verdana" w:cs="Arial"/>
          <w:lang w:val="es-ES"/>
        </w:rPr>
        <w:t>.</w:t>
      </w:r>
    </w:p>
    <w:p w14:paraId="1AD27D32" w14:textId="77777777" w:rsidR="0020748A" w:rsidRDefault="0020748A" w:rsidP="0020748A">
      <w:pPr>
        <w:widowControl w:val="0"/>
        <w:autoSpaceDE w:val="0"/>
        <w:autoSpaceDN w:val="0"/>
        <w:spacing w:after="120" w:line="276" w:lineRule="auto"/>
        <w:ind w:firstLine="708"/>
        <w:jc w:val="both"/>
        <w:rPr>
          <w:rFonts w:ascii="Verdana" w:eastAsia="Arial" w:hAnsi="Verdana" w:cs="Arial"/>
        </w:rPr>
      </w:pPr>
      <w:r w:rsidRPr="000C7E6C">
        <w:rPr>
          <w:rFonts w:ascii="Verdana" w:eastAsia="Arial" w:hAnsi="Verdana" w:cs="Arial"/>
        </w:rPr>
        <w:t xml:space="preserve">En este contexto, </w:t>
      </w:r>
      <w:r>
        <w:rPr>
          <w:rFonts w:ascii="Verdana" w:eastAsia="Arial" w:hAnsi="Verdana" w:cs="Arial"/>
        </w:rPr>
        <w:t>e</w:t>
      </w:r>
      <w:r w:rsidRPr="001B209F">
        <w:rPr>
          <w:rFonts w:ascii="Verdana" w:eastAsia="Arial" w:hAnsi="Verdana" w:cs="Arial"/>
        </w:rPr>
        <w:t xml:space="preserve">l </w:t>
      </w:r>
      <w:r w:rsidRPr="00771943">
        <w:rPr>
          <w:rFonts w:ascii="Verdana" w:eastAsia="Arial" w:hAnsi="Verdana" w:cs="Arial"/>
        </w:rPr>
        <w:t>objeto del contrato de martillo</w:t>
      </w:r>
      <w:r w:rsidRPr="001B209F">
        <w:rPr>
          <w:rFonts w:ascii="Verdana" w:eastAsia="Arial" w:hAnsi="Verdana" w:cs="Arial"/>
        </w:rPr>
        <w:t xml:space="preserve"> consiste en la prestación de servicios de intermediación comercial para la enajenación de bienes muebles, mediante un sistema de subasta pública que garantice transparencia, concurrencia y obtención del mejor precio posible. El intermediario se encarga de organizar y ejecutar el proceso de venta, incluyendo la conformación de lotes, la fijación de precios base, la divulgación y mercadeo de los bienes, la logística del evento, la recaudación de consignaciones y saldos, así como la elaboración de actas de adjudicación y la entrega de informes de resultados</w:t>
      </w:r>
      <w:r>
        <w:rPr>
          <w:rFonts w:ascii="Verdana" w:eastAsia="Arial" w:hAnsi="Verdana" w:cs="Arial"/>
        </w:rPr>
        <w:t xml:space="preserve">, entre otros. </w:t>
      </w:r>
    </w:p>
    <w:p w14:paraId="1819989F" w14:textId="77777777" w:rsidR="0020748A" w:rsidRPr="000C7E6C" w:rsidRDefault="0020748A" w:rsidP="0020748A">
      <w:pPr>
        <w:widowControl w:val="0"/>
        <w:autoSpaceDE w:val="0"/>
        <w:autoSpaceDN w:val="0"/>
        <w:spacing w:after="120" w:line="276" w:lineRule="auto"/>
        <w:ind w:firstLine="708"/>
        <w:jc w:val="both"/>
        <w:rPr>
          <w:rFonts w:ascii="Verdana" w:eastAsia="Arial" w:hAnsi="Verdana" w:cs="Arial"/>
        </w:rPr>
      </w:pPr>
      <w:r>
        <w:rPr>
          <w:rFonts w:ascii="Verdana" w:eastAsia="Arial" w:hAnsi="Verdana" w:cs="Arial"/>
        </w:rPr>
        <w:t>Esto, se encuentra en consonancia a</w:t>
      </w:r>
      <w:r w:rsidRPr="000C7E6C">
        <w:rPr>
          <w:rFonts w:ascii="Verdana" w:eastAsia="Arial" w:hAnsi="Verdana" w:cs="Arial"/>
        </w:rPr>
        <w:t xml:space="preserve"> la intermediación orientada al perfeccionamiento de la venta, conforme lo establece el artículo 2.2.1.2.2.1.6 del Decreto 1082 de 2015</w:t>
      </w:r>
      <w:r>
        <w:rPr>
          <w:rStyle w:val="Refdenotaalpie"/>
          <w:rFonts w:ascii="Verdana" w:eastAsia="Arial" w:hAnsi="Verdana" w:cs="Arial"/>
        </w:rPr>
        <w:footnoteReference w:id="14"/>
      </w:r>
      <w:r w:rsidRPr="000C7E6C">
        <w:rPr>
          <w:rFonts w:ascii="Verdana" w:eastAsia="Arial" w:hAnsi="Verdana" w:cs="Arial"/>
        </w:rPr>
        <w:t>. El intermediario no solo organiza y ejecuta el proceso de subasta, sino que, tratándose de bienes inmuebles o muebles sujetos a registro, debe acompañar la operación hasta la inscripción en el registro correspondiente y la entrega material del bien. Incluso, la norma contempla la posibilidad de que el intermediario actúe en calidad de mandatario, con el fin de asegurar la culminación integral del proceso de enajenación, desde la adjudicación hasta la transferencia jurídica y física del bien</w:t>
      </w:r>
      <w:r>
        <w:rPr>
          <w:rFonts w:ascii="Verdana" w:eastAsia="Arial" w:hAnsi="Verdana" w:cs="Arial"/>
        </w:rPr>
        <w:t>.</w:t>
      </w:r>
    </w:p>
    <w:p w14:paraId="2900BABE" w14:textId="77777777" w:rsidR="0020748A" w:rsidRPr="00572BB5" w:rsidRDefault="0020748A" w:rsidP="0020748A">
      <w:pPr>
        <w:widowControl w:val="0"/>
        <w:autoSpaceDE w:val="0"/>
        <w:autoSpaceDN w:val="0"/>
        <w:spacing w:after="120" w:line="276" w:lineRule="auto"/>
        <w:ind w:firstLine="708"/>
        <w:jc w:val="both"/>
        <w:rPr>
          <w:rFonts w:ascii="Verdana" w:eastAsia="Arial" w:hAnsi="Verdana" w:cs="Arial"/>
        </w:rPr>
      </w:pPr>
      <w:r w:rsidRPr="00572BB5">
        <w:rPr>
          <w:rFonts w:ascii="Verdana" w:eastAsia="Arial" w:hAnsi="Verdana" w:cs="Arial"/>
        </w:rPr>
        <w:t xml:space="preserve">En </w:t>
      </w:r>
      <w:r>
        <w:rPr>
          <w:rFonts w:ascii="Verdana" w:eastAsia="Arial" w:hAnsi="Verdana" w:cs="Arial"/>
        </w:rPr>
        <w:t>efecto</w:t>
      </w:r>
      <w:r w:rsidRPr="00572BB5">
        <w:rPr>
          <w:rFonts w:ascii="Verdana" w:eastAsia="Arial" w:hAnsi="Verdana" w:cs="Arial"/>
        </w:rPr>
        <w:t xml:space="preserve">, </w:t>
      </w:r>
      <w:r>
        <w:rPr>
          <w:rFonts w:ascii="Verdana" w:eastAsia="Arial" w:hAnsi="Verdana" w:cs="Arial"/>
        </w:rPr>
        <w:t xml:space="preserve">es necesario distinguir </w:t>
      </w:r>
      <w:r w:rsidRPr="00572BB5">
        <w:rPr>
          <w:rFonts w:ascii="Verdana" w:eastAsia="Arial" w:hAnsi="Verdana" w:cs="Arial"/>
        </w:rPr>
        <w:t xml:space="preserve">entre la enajenación gratuita y la enajenación </w:t>
      </w:r>
      <w:r>
        <w:rPr>
          <w:rFonts w:ascii="Verdana" w:eastAsia="Arial" w:hAnsi="Verdana" w:cs="Arial"/>
        </w:rPr>
        <w:t xml:space="preserve">onerosa mediante intermediarios idóneos, </w:t>
      </w:r>
      <w:r w:rsidRPr="003F5326">
        <w:rPr>
          <w:rFonts w:ascii="Verdana" w:eastAsia="Arial" w:hAnsi="Verdana" w:cs="Arial"/>
        </w:rPr>
        <w:t xml:space="preserve">dentro de la cual se inscribe el sistema de martillo, asignando a cada una un procedimiento específico. La primera se rige por una regla especial que no admite sustitución ni mezcla con otros mecanismos, mientras que la segunda supone la venta del bien a través de la contratación con establecimientos bancarios autorizados, esto es, bajo modalidades que implican una contraprestación económica. </w:t>
      </w:r>
    </w:p>
    <w:p w14:paraId="1C08E098" w14:textId="77777777" w:rsidR="0020748A" w:rsidRPr="003F5326" w:rsidRDefault="0020748A" w:rsidP="0020748A">
      <w:pPr>
        <w:widowControl w:val="0"/>
        <w:autoSpaceDE w:val="0"/>
        <w:autoSpaceDN w:val="0"/>
        <w:spacing w:after="120" w:line="276" w:lineRule="auto"/>
        <w:ind w:firstLine="708"/>
        <w:jc w:val="both"/>
        <w:rPr>
          <w:rFonts w:ascii="Verdana" w:eastAsia="Arial" w:hAnsi="Verdana" w:cs="Arial"/>
        </w:rPr>
      </w:pPr>
      <w:r w:rsidRPr="003F5326">
        <w:rPr>
          <w:rFonts w:ascii="Verdana" w:eastAsia="Arial" w:hAnsi="Verdana" w:cs="Arial"/>
        </w:rPr>
        <w:t>Debe advertirse, además, que las anteriores modalidades operan sin perjuicio del régimen de la Central de Inversiones S.A. (CISA) como colector de activos públicos. El artículo 238 de la Ley 1450 de 2011, modificado por la Ley 2294 de 2023, dispone que las entidades del orden nacional transfieran a CISA, a título gratuito, los bienes que no requieren para el ejercicio de sus funciones, con el fin de que esta los administre o comercialice. Esta Agencia se refirió a la articulación de ese régimen con las modalidades de enajenación en los conceptos C-634 de 2025 y C-655 de 2026, en los que precisó que la transferencia a CISA opera con carácter obligatorio para las entidades del orden nacional, mientras que las demás conservan la posibilidad de enajenar directamente o a través de intermediarios idóneos. Su alcance respecto de los bienes muebles debe verificarse conforme a la reglamentación vigente, pues su objeto se ha concentrado históricamente en la cartera y los bienes inmuebles.</w:t>
      </w:r>
    </w:p>
    <w:p w14:paraId="1B9CEB55" w14:textId="77777777" w:rsidR="0020748A" w:rsidRPr="003A2C73" w:rsidRDefault="0020748A" w:rsidP="0020748A">
      <w:pPr>
        <w:spacing w:after="0" w:line="276" w:lineRule="auto"/>
        <w:ind w:firstLine="709"/>
        <w:jc w:val="both"/>
        <w:rPr>
          <w:rFonts w:ascii="Verdana" w:eastAsia="Calibri" w:hAnsi="Verdana" w:cs="Times New Roman"/>
          <w:shd w:val="clear" w:color="auto" w:fill="FFFFFF"/>
        </w:rPr>
      </w:pPr>
      <w:r w:rsidRPr="005311C2">
        <w:rPr>
          <w:rFonts w:ascii="Verdana" w:eastAsia="Calibri" w:hAnsi="Verdana" w:cs="Times New Roman"/>
          <w:shd w:val="clear" w:color="auto" w:fill="FFFFFF"/>
        </w:rPr>
        <w:t xml:space="preserve">La decisión de optar por la enajenación a título gratuito entre entidades estatales, prevista en el artículo 2.2.1.2.2.4.3 del Decreto 1082 de 2015, constituye una facultad </w:t>
      </w:r>
      <w:r>
        <w:rPr>
          <w:rFonts w:ascii="Verdana" w:eastAsia="Calibri" w:hAnsi="Verdana" w:cs="Times New Roman"/>
          <w:shd w:val="clear" w:color="auto" w:fill="FFFFFF"/>
        </w:rPr>
        <w:t xml:space="preserve">de </w:t>
      </w:r>
      <w:r w:rsidRPr="005311C2">
        <w:rPr>
          <w:rFonts w:ascii="Verdana" w:eastAsia="Calibri" w:hAnsi="Verdana" w:cs="Times New Roman"/>
          <w:shd w:val="clear" w:color="auto" w:fill="FFFFFF"/>
        </w:rPr>
        <w:t xml:space="preserve">la entidad. No obstante, dicha decisión debe estar debidamente sustentada en los documentos previos del proceso, con base en un análisis técnico y jurídico que permita identificar la alternativa más adecuada, </w:t>
      </w:r>
      <w:r w:rsidRPr="005311C2">
        <w:rPr>
          <w:rFonts w:ascii="Verdana" w:hAnsi="Verdana"/>
          <w:shd w:val="clear" w:color="auto" w:fill="FFFFFF"/>
        </w:rPr>
        <w:t>justificando los presupuestos jurídicos para la aplicación de</w:t>
      </w:r>
      <w:r>
        <w:rPr>
          <w:rFonts w:ascii="Verdana" w:hAnsi="Verdana"/>
          <w:shd w:val="clear" w:color="auto" w:fill="FFFFFF"/>
        </w:rPr>
        <w:t xml:space="preserve"> dicho mecanismo de enajenación</w:t>
      </w:r>
      <w:r w:rsidRPr="005311C2">
        <w:rPr>
          <w:rFonts w:ascii="Verdana" w:eastAsia="Calibri" w:hAnsi="Verdana" w:cs="Times New Roman"/>
          <w:shd w:val="clear" w:color="auto" w:fill="FFFFFF"/>
        </w:rPr>
        <w:t>. Para ello, deben considerarse aspectos como las necesidades institucionales, las ventajas de cada mecanismo, la naturaleza y estado de conservación del bien, su utilidad, el marco normativo aplicable y cualquier otro criterio relevante para la toma de decisiones.</w:t>
      </w:r>
    </w:p>
    <w:p w14:paraId="6DFCD3A0" w14:textId="77777777" w:rsidR="0020748A" w:rsidRDefault="0020748A" w:rsidP="0020748A">
      <w:pPr>
        <w:spacing w:after="0" w:line="276" w:lineRule="auto"/>
        <w:jc w:val="both"/>
        <w:rPr>
          <w:rFonts w:ascii="Verdana" w:eastAsia="Calibri" w:hAnsi="Verdana" w:cs="Arial"/>
          <w:lang w:eastAsia="es-ES_tradnl"/>
        </w:rPr>
      </w:pPr>
    </w:p>
    <w:p w14:paraId="174F805D" w14:textId="77777777" w:rsidR="0020748A" w:rsidRPr="00B16AC6" w:rsidRDefault="0020748A" w:rsidP="0020748A">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iii.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enajenación de bienes muebles de entidades públicas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FFC1E2A" w14:textId="77777777" w:rsidR="0020748A" w:rsidRPr="00B17041" w:rsidRDefault="0020748A" w:rsidP="0020748A">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61E1BCE" w14:textId="77777777" w:rsidR="0020748A" w:rsidRPr="00CD0DCD" w:rsidRDefault="0020748A" w:rsidP="0020748A">
      <w:pPr>
        <w:spacing w:after="0" w:line="276" w:lineRule="auto"/>
        <w:jc w:val="both"/>
        <w:rPr>
          <w:rFonts w:ascii="Verdana" w:eastAsia="Calibri" w:hAnsi="Verdana" w:cs="Arial"/>
          <w:lang w:val="es-ES" w:eastAsia="es-MX"/>
        </w:rPr>
      </w:pPr>
    </w:p>
    <w:p w14:paraId="2C1D92EA" w14:textId="77777777" w:rsidR="0020748A" w:rsidRPr="00B57A1B" w:rsidRDefault="0020748A" w:rsidP="0020748A">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Referencias normativas</w:t>
      </w:r>
      <w:r>
        <w:rPr>
          <w:rFonts w:ascii="Verdana" w:eastAsia="Century Gothic" w:hAnsi="Verdana" w:cs="Century Gothic"/>
          <w:b/>
          <w:bCs/>
          <w:lang w:val="es-ES"/>
        </w:rPr>
        <w:t>:</w:t>
      </w:r>
    </w:p>
    <w:p w14:paraId="0599F620" w14:textId="77777777" w:rsidR="0020748A" w:rsidRPr="00B57A1B" w:rsidRDefault="0020748A" w:rsidP="0020748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0748A" w:rsidRPr="00B57A1B" w14:paraId="6B7BF6EB" w14:textId="77777777" w:rsidTr="00B1075C">
        <w:trPr>
          <w:trHeight w:val="487"/>
          <w:jc w:val="center"/>
        </w:trPr>
        <w:tc>
          <w:tcPr>
            <w:tcW w:w="8647" w:type="dxa"/>
          </w:tcPr>
          <w:p w14:paraId="7E83D84D" w14:textId="77777777" w:rsidR="0020748A" w:rsidRPr="003F5326" w:rsidRDefault="0020748A" w:rsidP="0020748A">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3F5326">
              <w:rPr>
                <w:rFonts w:ascii="Verdana" w:eastAsia="Arial MT" w:hAnsi="Verdana" w:cs="Arial"/>
                <w:lang w:eastAsia="es-ES" w:bidi="es-ES"/>
              </w:rPr>
              <w:t xml:space="preserve">Código Civil, artículos 654, 655, 656, 665, 673, 674, 749, 1443 y 1521. </w:t>
            </w:r>
          </w:p>
          <w:p w14:paraId="230E0865" w14:textId="77777777" w:rsidR="0020748A" w:rsidRPr="003F5326" w:rsidRDefault="0020748A" w:rsidP="0020748A">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3F5326">
              <w:rPr>
                <w:rFonts w:ascii="Verdana" w:eastAsia="Arial MT" w:hAnsi="Verdana" w:cs="Arial"/>
                <w:lang w:eastAsia="es-ES" w:bidi="es-ES"/>
              </w:rPr>
              <w:t xml:space="preserve">Ley 80 de 1993, artículos 24, 25 y 32.  </w:t>
            </w:r>
          </w:p>
          <w:p w14:paraId="6C64DF6F" w14:textId="77777777" w:rsidR="0020748A" w:rsidRPr="003F5326" w:rsidRDefault="0020748A" w:rsidP="0020748A">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3F5326">
              <w:rPr>
                <w:rFonts w:ascii="Verdana" w:eastAsia="Arial MT" w:hAnsi="Verdana" w:cs="Arial"/>
                <w:lang w:eastAsia="es-ES" w:bidi="es-ES"/>
              </w:rPr>
              <w:t xml:space="preserve">Ley 1150 de 2007, artículos 2. </w:t>
            </w:r>
          </w:p>
          <w:p w14:paraId="74DC8FDF" w14:textId="77777777" w:rsidR="0020748A" w:rsidRPr="003F5326" w:rsidRDefault="0020748A" w:rsidP="0020748A">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3F5326">
              <w:rPr>
                <w:rFonts w:ascii="Verdana" w:eastAsia="Arial MT" w:hAnsi="Verdana" w:cs="Arial"/>
                <w:lang w:eastAsia="es-ES" w:bidi="es-ES"/>
              </w:rPr>
              <w:t xml:space="preserve">Decreto Ley 4170 de 2011, artículo 3, numeral 5, y artículo 11, numeral 8. </w:t>
            </w:r>
          </w:p>
          <w:p w14:paraId="4C88433D" w14:textId="77777777" w:rsidR="0020748A" w:rsidRPr="003F5326" w:rsidRDefault="0020748A" w:rsidP="0020748A">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3F5326">
              <w:rPr>
                <w:rFonts w:ascii="Verdana" w:eastAsia="Arial MT" w:hAnsi="Verdana" w:cs="Arial"/>
                <w:lang w:eastAsia="es-ES" w:bidi="es-ES"/>
              </w:rPr>
              <w:t>Decreto 1639 de 1996.</w:t>
            </w:r>
          </w:p>
          <w:p w14:paraId="22886449" w14:textId="77777777" w:rsidR="0020748A" w:rsidRPr="003F5326" w:rsidRDefault="0020748A" w:rsidP="0020748A">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3F5326">
              <w:rPr>
                <w:rFonts w:ascii="Verdana" w:eastAsia="Arial MT" w:hAnsi="Verdana" w:cs="Arial"/>
                <w:lang w:eastAsia="es-ES" w:bidi="es-ES"/>
              </w:rPr>
              <w:t xml:space="preserve">Decreto 1082 de 2015, artículos 2.2.1.2.2.1.1, 2.2.1.2.2.4.3., 2.2.1.2.2.1.4, 2.2.1.2.2.1.6. </w:t>
            </w:r>
          </w:p>
          <w:p w14:paraId="657C184A" w14:textId="77777777" w:rsidR="0020748A" w:rsidRPr="003F5326" w:rsidRDefault="0020748A" w:rsidP="0020748A">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3F5326">
              <w:rPr>
                <w:rFonts w:ascii="Verdana" w:eastAsia="Arial MT" w:hAnsi="Verdana" w:cs="Arial"/>
                <w:lang w:eastAsia="es-ES" w:bidi="es-ES"/>
              </w:rPr>
              <w:t>Circular Jurídica Básica expedida por la Superintendencia Financiera de Colombia</w:t>
            </w:r>
          </w:p>
          <w:p w14:paraId="64BCAB91" w14:textId="77777777" w:rsidR="0020748A" w:rsidRPr="003F5326" w:rsidRDefault="0020748A" w:rsidP="0020748A">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3F5326">
              <w:rPr>
                <w:rFonts w:ascii="Verdana" w:eastAsia="Arial MT" w:hAnsi="Verdana" w:cs="Arial"/>
                <w:lang w:eastAsia="es-ES" w:bidi="es-ES"/>
              </w:rPr>
              <w:t>Ley 226 de 1995.</w:t>
            </w:r>
          </w:p>
          <w:p w14:paraId="350ECDF7" w14:textId="77777777" w:rsidR="0020748A" w:rsidRPr="003F5326" w:rsidRDefault="0020748A" w:rsidP="0020748A">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3F5326">
              <w:rPr>
                <w:rFonts w:ascii="Verdana" w:eastAsia="Arial MT" w:hAnsi="Verdana" w:cs="Arial"/>
                <w:lang w:eastAsia="es-ES" w:bidi="es-ES"/>
              </w:rPr>
              <w:t>Ley 1450 de 2011, artículo 238.</w:t>
            </w:r>
          </w:p>
          <w:p w14:paraId="140052FA" w14:textId="77777777" w:rsidR="0020748A" w:rsidRDefault="0020748A" w:rsidP="0020748A">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3F5326">
              <w:rPr>
                <w:rFonts w:ascii="Verdana" w:eastAsia="Arial MT" w:hAnsi="Verdana" w:cs="Arial"/>
                <w:lang w:eastAsia="es-ES" w:bidi="es-ES"/>
              </w:rPr>
              <w:t>Ley 2294 de 2023.</w:t>
            </w:r>
          </w:p>
        </w:tc>
      </w:tr>
    </w:tbl>
    <w:p w14:paraId="0DBC74C2" w14:textId="77777777" w:rsidR="0020748A" w:rsidRPr="00B57A1B" w:rsidRDefault="0020748A" w:rsidP="0020748A">
      <w:pPr>
        <w:widowControl w:val="0"/>
        <w:autoSpaceDE w:val="0"/>
        <w:autoSpaceDN w:val="0"/>
        <w:spacing w:after="0" w:line="276" w:lineRule="auto"/>
        <w:jc w:val="both"/>
        <w:rPr>
          <w:rFonts w:ascii="Verdana" w:hAnsi="Verdana" w:cs="Arial"/>
        </w:rPr>
      </w:pPr>
    </w:p>
    <w:p w14:paraId="11D7F2CC" w14:textId="77777777" w:rsidR="0020748A" w:rsidRPr="00B57A1B" w:rsidRDefault="0020748A" w:rsidP="0020748A">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248A380E" w14:textId="77777777" w:rsidR="0020748A" w:rsidRPr="00B57A1B" w:rsidRDefault="0020748A" w:rsidP="0020748A">
      <w:pPr>
        <w:widowControl w:val="0"/>
        <w:autoSpaceDE w:val="0"/>
        <w:autoSpaceDN w:val="0"/>
        <w:spacing w:after="0" w:line="276" w:lineRule="auto"/>
        <w:jc w:val="both"/>
        <w:rPr>
          <w:rFonts w:ascii="Verdana" w:hAnsi="Verdana" w:cs="Arial"/>
        </w:rPr>
      </w:pPr>
    </w:p>
    <w:p w14:paraId="6595308C" w14:textId="77777777" w:rsidR="0020748A" w:rsidRPr="00530A1F" w:rsidRDefault="0020748A" w:rsidP="0020748A">
      <w:pPr>
        <w:widowControl w:val="0"/>
        <w:autoSpaceDE w:val="0"/>
        <w:autoSpaceDN w:val="0"/>
        <w:spacing w:after="0" w:line="276" w:lineRule="auto"/>
        <w:jc w:val="both"/>
        <w:rPr>
          <w:rFonts w:ascii="Verdana" w:hAnsi="Verdana" w:cs="Arial"/>
          <w:bCs/>
          <w:shd w:val="clear" w:color="auto" w:fill="FFFFFF"/>
        </w:rPr>
      </w:pPr>
      <w:r w:rsidRPr="001A6B9A">
        <w:rPr>
          <w:rFonts w:ascii="Verdana" w:eastAsia="Calibri" w:hAnsi="Verdana" w:cs="Times New Roman"/>
        </w:rPr>
        <w:t xml:space="preserve">La Agencia Nacional de Contratación Pública – Colombia Compra Eficiente, analizó la enajenación de bienes del Estado en los siguientes conceptos: 2201913000007905 del 23 de octubre de 2019, 2201913000008259 del 6 de noviembre de 2019, C-186 del 17 de marzo de 2020, C-661 del 17 de noviembre de 2020, C-704 de 2022, C-309 del 22 de agosto </w:t>
      </w:r>
      <w:r w:rsidRPr="00E84AC2">
        <w:rPr>
          <w:rFonts w:ascii="Verdana" w:eastAsia="Calibri" w:hAnsi="Verdana" w:cs="Times New Roman"/>
        </w:rPr>
        <w:t xml:space="preserve">de </w:t>
      </w:r>
      <w:r w:rsidRPr="001A6B9A">
        <w:rPr>
          <w:rFonts w:ascii="Verdana" w:eastAsia="Calibri" w:hAnsi="Verdana" w:cs="Times New Roman"/>
        </w:rPr>
        <w:t>2024, C-985 del 30 de diciembre de 2024, C-361 del 2 de mayo de 2025, C-634 del 21 de mayo de 2025, C</w:t>
      </w:r>
      <w:r>
        <w:rPr>
          <w:rFonts w:ascii="Verdana" w:eastAsia="Calibri" w:hAnsi="Verdana" w:cs="Times New Roman"/>
        </w:rPr>
        <w:t>-</w:t>
      </w:r>
      <w:r w:rsidRPr="001A6B9A">
        <w:rPr>
          <w:rFonts w:ascii="Verdana" w:eastAsia="Calibri" w:hAnsi="Verdana" w:cs="Times New Roman"/>
        </w:rPr>
        <w:t>1122 del 15 de septiembre de 2025</w:t>
      </w:r>
      <w:r>
        <w:rPr>
          <w:rFonts w:ascii="Verdana" w:eastAsia="Calibri" w:hAnsi="Verdana" w:cs="Times New Roman"/>
        </w:rPr>
        <w:t>, C-</w:t>
      </w:r>
      <w:r w:rsidRPr="00E84AC2">
        <w:rPr>
          <w:rFonts w:ascii="Verdana" w:eastAsia="Calibri" w:hAnsi="Verdana" w:cs="Times New Roman"/>
        </w:rPr>
        <w:t>655</w:t>
      </w:r>
      <w:r>
        <w:rPr>
          <w:rFonts w:ascii="Verdana" w:eastAsia="Calibri" w:hAnsi="Verdana" w:cs="Times New Roman"/>
        </w:rPr>
        <w:t xml:space="preserve"> del </w:t>
      </w:r>
      <w:r w:rsidRPr="00E84AC2">
        <w:rPr>
          <w:rFonts w:ascii="Verdana" w:eastAsia="Calibri" w:hAnsi="Verdana" w:cs="Times New Roman"/>
        </w:rPr>
        <w:t>2 de junio</w:t>
      </w:r>
      <w:r>
        <w:rPr>
          <w:rFonts w:ascii="Verdana" w:eastAsia="Calibri" w:hAnsi="Verdana" w:cs="Times New Roman"/>
        </w:rPr>
        <w:t xml:space="preserve"> de 2026, entre otros. En todo caso, lo discutido en este concepto completa y analiza diferentes particularidades, en especial, sobre el Sistema de Martillo.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774654B" w14:textId="77777777" w:rsidR="0020748A" w:rsidRPr="00185EE9" w:rsidRDefault="0020748A" w:rsidP="0020748A">
      <w:pPr>
        <w:spacing w:after="0" w:line="256" w:lineRule="auto"/>
        <w:jc w:val="both"/>
        <w:rPr>
          <w:rFonts w:ascii="Verdana" w:eastAsia="Calibri" w:hAnsi="Verdana" w:cs="Times New Roman"/>
        </w:rPr>
      </w:pPr>
      <w:hyperlink r:id="rId16"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375EC071" w14:textId="77777777" w:rsidR="0020748A" w:rsidRPr="00096788" w:rsidRDefault="0020748A" w:rsidP="0020748A">
      <w:pPr>
        <w:widowControl w:val="0"/>
        <w:autoSpaceDE w:val="0"/>
        <w:autoSpaceDN w:val="0"/>
        <w:spacing w:after="0" w:line="276" w:lineRule="auto"/>
        <w:jc w:val="both"/>
        <w:rPr>
          <w:rFonts w:ascii="Verdana" w:hAnsi="Verdana" w:cs="Arial"/>
          <w:color w:val="000000" w:themeColor="text1"/>
          <w:shd w:val="clear" w:color="auto" w:fill="FFFFFF"/>
        </w:rPr>
      </w:pPr>
    </w:p>
    <w:p w14:paraId="490992DB" w14:textId="77777777" w:rsidR="0020748A" w:rsidRPr="00FD3154" w:rsidRDefault="0020748A" w:rsidP="0020748A">
      <w:pPr>
        <w:spacing w:after="0" w:line="276" w:lineRule="auto"/>
        <w:jc w:val="both"/>
        <w:rPr>
          <w:rFonts w:ascii="Verdana" w:eastAsia="Times New Roman" w:hAnsi="Verdana" w:cs="Times New Roman"/>
          <w:color w:val="000000"/>
          <w:lang w:eastAsia="es-MX"/>
        </w:rPr>
      </w:pPr>
      <w:r w:rsidRPr="00FD3154">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D3154">
        <w:rPr>
          <w:rFonts w:ascii="Verdana" w:eastAsia="Times New Roman" w:hAnsi="Verdana" w:cs="Times New Roman"/>
          <w:b/>
          <w:bCs/>
          <w:color w:val="000000"/>
          <w:lang w:eastAsia="es-MX"/>
        </w:rPr>
        <w:t>Guía para la Exigencia y Constitución de Garantías en los Procesos de Contratación</w:t>
      </w:r>
      <w:r w:rsidRPr="00FD3154">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7" w:tooltip="Original URL:&#10;https://www.colombiacompra.gov.co/archivos/manual/guia-de-garantias-en-procesos-de-contratacion&#10;&#10;Click to follow link." w:history="1">
        <w:r w:rsidRPr="00FD3154">
          <w:rPr>
            <w:rFonts w:ascii="Verdana" w:eastAsia="Times New Roman" w:hAnsi="Verdana" w:cs="Times New Roman"/>
            <w:color w:val="0086F0"/>
            <w:u w:val="single"/>
            <w:lang w:eastAsia="es-MX"/>
          </w:rPr>
          <w:t>https://www.colombiacompra.gov.co/archivos/manual/guia-de-garantias-en-procesos-de-contratacion</w:t>
        </w:r>
      </w:hyperlink>
    </w:p>
    <w:p w14:paraId="0F53B34E" w14:textId="77777777" w:rsidR="0020748A" w:rsidRPr="00FD3154" w:rsidRDefault="0020748A" w:rsidP="0020748A">
      <w:pPr>
        <w:spacing w:after="0" w:line="276" w:lineRule="auto"/>
        <w:jc w:val="both"/>
        <w:rPr>
          <w:rFonts w:ascii="Verdana" w:eastAsia="Times New Roman" w:hAnsi="Verdana" w:cs="Times New Roman"/>
          <w:color w:val="000000"/>
          <w:lang w:eastAsia="es-MX"/>
        </w:rPr>
      </w:pPr>
    </w:p>
    <w:p w14:paraId="19125F5A" w14:textId="77777777" w:rsidR="0020748A" w:rsidRPr="00FD3154" w:rsidRDefault="0020748A" w:rsidP="0020748A">
      <w:pPr>
        <w:spacing w:after="0" w:line="276" w:lineRule="auto"/>
        <w:jc w:val="both"/>
        <w:rPr>
          <w:rFonts w:ascii="Verdana" w:eastAsia="Times New Roman" w:hAnsi="Verdana" w:cs="Times New Roman"/>
          <w:color w:val="000000"/>
          <w:lang w:eastAsia="es-MX"/>
        </w:rPr>
      </w:pPr>
      <w:r w:rsidRPr="00FD3154">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FD3154">
        <w:rPr>
          <w:rFonts w:ascii="Verdana" w:eastAsia="Times New Roman" w:hAnsi="Verdana" w:cs="Times New Roman"/>
          <w:b/>
          <w:bCs/>
          <w:color w:val="000000"/>
          <w:lang w:eastAsia="es-MX"/>
        </w:rPr>
        <w:t>Sistema Integral de Preferencias en favor de las personas con discapacidad</w:t>
      </w:r>
      <w:r w:rsidRPr="00FD3154">
        <w:rPr>
          <w:rFonts w:ascii="Verdana" w:eastAsia="Times New Roman" w:hAnsi="Verdana" w:cs="Times New Roman"/>
          <w:color w:val="000000"/>
          <w:lang w:eastAsia="es-MX"/>
        </w:rPr>
        <w:t>, en cumplimiento del artículo 13 de la Ley Estatutaria 1618 de 2013. Para orientar su aplicación, esta Agencia expidió la </w:t>
      </w:r>
      <w:r w:rsidRPr="00FD3154">
        <w:rPr>
          <w:rFonts w:ascii="Verdana" w:eastAsia="Times New Roman" w:hAnsi="Verdana" w:cs="Times New Roman"/>
          <w:b/>
          <w:bCs/>
          <w:color w:val="000000"/>
          <w:lang w:eastAsia="es-MX"/>
        </w:rPr>
        <w:t>Circular Externa 003 del 12 de mayo de 2026, </w:t>
      </w:r>
      <w:r w:rsidRPr="00FD3154">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8" w:tooltip="Original URL:&#10;https://www.colombiacompra.gov.co/archivos/circular/circular-externa-003-de-2026&#10;&#10;Click to follow link." w:history="1">
        <w:r w:rsidRPr="00FD3154">
          <w:rPr>
            <w:rFonts w:ascii="Verdana" w:eastAsia="Times New Roman" w:hAnsi="Verdana" w:cs="Times New Roman"/>
            <w:color w:val="0086F0"/>
            <w:u w:val="single"/>
            <w:lang w:eastAsia="es-MX"/>
          </w:rPr>
          <w:t>https://www.colombiacompra.gov.co/archivos/circular/circular-externa-003-de-2026</w:t>
        </w:r>
      </w:hyperlink>
    </w:p>
    <w:p w14:paraId="70E0B305" w14:textId="77777777" w:rsidR="0020748A" w:rsidRPr="00FD3154" w:rsidRDefault="0020748A" w:rsidP="0020748A">
      <w:pPr>
        <w:spacing w:after="0" w:line="276" w:lineRule="auto"/>
        <w:jc w:val="both"/>
        <w:rPr>
          <w:rFonts w:ascii="Verdana" w:eastAsia="Times New Roman" w:hAnsi="Verdana" w:cs="Times New Roman"/>
          <w:color w:val="000000"/>
          <w:lang w:eastAsia="es-MX"/>
        </w:rPr>
      </w:pPr>
    </w:p>
    <w:p w14:paraId="7740B0E9" w14:textId="77777777" w:rsidR="0020748A" w:rsidRPr="00FD3154" w:rsidRDefault="0020748A" w:rsidP="0020748A">
      <w:pPr>
        <w:spacing w:after="0" w:line="276" w:lineRule="auto"/>
        <w:jc w:val="both"/>
        <w:rPr>
          <w:rFonts w:ascii="Verdana" w:eastAsia="Times New Roman" w:hAnsi="Verdana" w:cs="Times New Roman"/>
          <w:color w:val="000000"/>
          <w:lang w:eastAsia="es-MX"/>
        </w:rPr>
      </w:pPr>
      <w:r w:rsidRPr="00FD3154">
        <w:rPr>
          <w:rFonts w:ascii="Verdana" w:eastAsia="Times New Roman" w:hAnsi="Verdana" w:cs="Times New Roman"/>
          <w:color w:val="000000"/>
          <w:lang w:eastAsia="es-MX"/>
        </w:rPr>
        <w:t>Recuerda también que la</w:t>
      </w:r>
      <w:r w:rsidRPr="00FD3154">
        <w:rPr>
          <w:rFonts w:ascii="Verdana" w:eastAsia="Times New Roman" w:hAnsi="Verdana" w:cs="Times New Roman"/>
          <w:b/>
          <w:bCs/>
          <w:color w:val="000000"/>
          <w:lang w:eastAsia="es-MX"/>
        </w:rPr>
        <w:t> información sobre sanciones e inhabilidades </w:t>
      </w:r>
      <w:r w:rsidRPr="00FD3154">
        <w:rPr>
          <w:rFonts w:ascii="Verdana" w:eastAsia="Times New Roman" w:hAnsi="Verdana" w:cs="Times New Roman"/>
          <w:color w:val="000000"/>
          <w:lang w:eastAsia="es-MX"/>
        </w:rPr>
        <w:t>solo cumple su función preventiva si llega oportunamente a los registros públicos. Sobre este deber, esta Agencia expidió la </w:t>
      </w:r>
      <w:r w:rsidRPr="00FD3154">
        <w:rPr>
          <w:rFonts w:ascii="Verdana" w:eastAsia="Times New Roman" w:hAnsi="Verdana" w:cs="Times New Roman"/>
          <w:b/>
          <w:bCs/>
          <w:color w:val="000000"/>
          <w:lang w:eastAsia="es-MX"/>
        </w:rPr>
        <w:t>Circular Externa 002 del 5 de mayo de 2026,</w:t>
      </w:r>
      <w:r w:rsidRPr="00FD3154">
        <w:rPr>
          <w:rFonts w:ascii="Verdana" w:eastAsia="Times New Roman" w:hAnsi="Verdana" w:cs="Times New Roman"/>
          <w:color w:val="000000"/>
          <w:lang w:eastAsia="es-MX"/>
        </w:rPr>
        <w:t>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9" w:tooltip="Original URL:&#10;https://www.colombiacompra.gov.co/archivos/circular/circular-externa-002-de-2026&#10;&#10;Click to follow link." w:history="1">
        <w:r w:rsidRPr="00FD3154">
          <w:rPr>
            <w:rFonts w:ascii="Verdana" w:eastAsia="Times New Roman" w:hAnsi="Verdana" w:cs="Times New Roman"/>
            <w:color w:val="0086F0"/>
            <w:u w:val="single"/>
            <w:lang w:eastAsia="es-MX"/>
          </w:rPr>
          <w:t>https://www.colombiacompra.gov.co/archivos/circular/circular-externa-002-de-2026</w:t>
        </w:r>
      </w:hyperlink>
    </w:p>
    <w:p w14:paraId="07CFE2A5" w14:textId="77777777" w:rsidR="0020748A" w:rsidRPr="00FD3154" w:rsidRDefault="0020748A" w:rsidP="0020748A">
      <w:pPr>
        <w:spacing w:after="0" w:line="276" w:lineRule="auto"/>
        <w:jc w:val="both"/>
        <w:rPr>
          <w:rFonts w:ascii="Verdana" w:eastAsia="Times New Roman" w:hAnsi="Verdana" w:cs="Times New Roman"/>
          <w:color w:val="000000"/>
          <w:lang w:eastAsia="es-MX"/>
        </w:rPr>
      </w:pPr>
    </w:p>
    <w:p w14:paraId="4D367B21" w14:textId="77777777" w:rsidR="0020748A" w:rsidRPr="00FD3154" w:rsidRDefault="0020748A" w:rsidP="0020748A">
      <w:pPr>
        <w:spacing w:after="0" w:line="276" w:lineRule="auto"/>
        <w:jc w:val="both"/>
        <w:rPr>
          <w:rFonts w:ascii="Aptos" w:eastAsia="Times New Roman" w:hAnsi="Aptos" w:cs="Times New Roman"/>
          <w:color w:val="000000"/>
          <w:lang w:eastAsia="es-MX"/>
        </w:rPr>
      </w:pPr>
      <w:r w:rsidRPr="00FD3154">
        <w:rPr>
          <w:rFonts w:ascii="Verdana" w:eastAsia="Times New Roman" w:hAnsi="Verdana" w:cs="Times New Roman"/>
          <w:color w:val="000000"/>
          <w:lang w:eastAsia="es-MX"/>
        </w:rPr>
        <w:t>Finalmente, si quieres seguir de cerca la actividad de la Agencia, la tercera edición de 2026 del</w:t>
      </w:r>
      <w:r w:rsidRPr="00FD3154">
        <w:rPr>
          <w:rFonts w:ascii="Verdana" w:eastAsia="Times New Roman" w:hAnsi="Verdana" w:cs="Times New Roman"/>
          <w:b/>
          <w:bCs/>
          <w:color w:val="000000"/>
          <w:lang w:eastAsia="es-MX"/>
        </w:rPr>
        <w:t> Radar de la Compra Pública</w:t>
      </w:r>
      <w:r w:rsidRPr="00FD3154">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0" w:tooltip="Original URL:&#10;https://www.colombiacompra.gov.co/archivos/boletin/boletin-edicion-n-3-de-2026-radar-de-la-compra-publica&#10;&#10;Click to follow link." w:history="1">
        <w:r w:rsidRPr="00FD3154">
          <w:rPr>
            <w:rFonts w:ascii="Verdana" w:eastAsia="Times New Roman" w:hAnsi="Verdana" w:cs="Times New Roman"/>
            <w:color w:val="0086F0"/>
            <w:u w:val="single"/>
            <w:lang w:eastAsia="es-MX"/>
          </w:rPr>
          <w:t>https://www.colombiacompra.gov.co/archivos/boletin/boletin-edicion-n-3-de-2026-radar-de-la-compra-publica</w:t>
        </w:r>
      </w:hyperlink>
    </w:p>
    <w:p w14:paraId="3E1E7AC1" w14:textId="77777777" w:rsidR="0020748A" w:rsidRPr="00FD3154" w:rsidRDefault="0020748A" w:rsidP="0020748A">
      <w:pPr>
        <w:shd w:val="clear" w:color="auto" w:fill="FFFFFF"/>
        <w:spacing w:after="0" w:line="276" w:lineRule="auto"/>
        <w:jc w:val="both"/>
        <w:rPr>
          <w:rFonts w:ascii="Verdana" w:eastAsia="Times New Roman" w:hAnsi="Verdana" w:cs="Times New Roman"/>
          <w:color w:val="000000"/>
          <w:u w:val="single"/>
          <w:lang w:eastAsia="es-ES_tradnl"/>
        </w:rPr>
      </w:pPr>
    </w:p>
    <w:p w14:paraId="325808D1" w14:textId="77777777" w:rsidR="0020748A" w:rsidRPr="00FD3154" w:rsidRDefault="0020748A" w:rsidP="0020748A">
      <w:pPr>
        <w:spacing w:after="0" w:line="276" w:lineRule="auto"/>
        <w:jc w:val="both"/>
        <w:rPr>
          <w:rFonts w:ascii="Verdana" w:eastAsia="Times New Roman" w:hAnsi="Verdana" w:cs="Times New Roman"/>
          <w:lang w:eastAsia="es-ES_tradnl"/>
        </w:rPr>
      </w:pPr>
      <w:r w:rsidRPr="00FD3154">
        <w:rPr>
          <w:rFonts w:ascii="Verdana" w:eastAsia="Times New Roman" w:hAnsi="Verdana" w:cs="Times New Roman"/>
          <w:lang w:eastAsia="es-ES_tradnl"/>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657176F" w14:textId="77777777" w:rsidR="0020748A" w:rsidRPr="00FD3154" w:rsidRDefault="0020748A" w:rsidP="0020748A">
      <w:pPr>
        <w:spacing w:after="0" w:line="276" w:lineRule="auto"/>
        <w:jc w:val="both"/>
        <w:rPr>
          <w:rFonts w:ascii="Verdana" w:eastAsia="Times New Roman" w:hAnsi="Verdana" w:cs="Times New Roman"/>
          <w:lang w:eastAsia="es-ES_tradnl"/>
        </w:rPr>
      </w:pPr>
    </w:p>
    <w:p w14:paraId="062AF18B" w14:textId="77777777" w:rsidR="0020748A" w:rsidRPr="00FD3154" w:rsidRDefault="0020748A" w:rsidP="0020748A">
      <w:pPr>
        <w:numPr>
          <w:ilvl w:val="0"/>
          <w:numId w:val="15"/>
        </w:numPr>
        <w:spacing w:after="0" w:line="276" w:lineRule="auto"/>
        <w:jc w:val="both"/>
        <w:rPr>
          <w:rFonts w:ascii="Verdana" w:eastAsia="Verdana" w:hAnsi="Verdana" w:cs="Verdana"/>
          <w:color w:val="4472C4" w:themeColor="accent1"/>
          <w:u w:val="single"/>
          <w:lang w:val="es-MX" w:eastAsia="es-ES_tradnl"/>
        </w:rPr>
      </w:pPr>
      <w:r w:rsidRPr="00FD3154">
        <w:rPr>
          <w:rFonts w:ascii="Verdana" w:eastAsia="Verdana" w:hAnsi="Verdana" w:cs="Verdana"/>
          <w:lang w:val="es-MX" w:eastAsia="es-ES_tradnl"/>
        </w:rPr>
        <w:t xml:space="preserve">Línea nacional gratuita o servicio a la ciudadanía (Mesa de servicio): </w:t>
      </w:r>
      <w:r w:rsidRPr="00FD3154">
        <w:rPr>
          <w:rFonts w:ascii="Verdana" w:eastAsia="Times New Roman" w:hAnsi="Verdana" w:cs="Times New Roman"/>
          <w:color w:val="0000FF"/>
          <w:u w:val="single"/>
          <w:lang w:val="es-ES" w:eastAsia="es-ES_tradnl"/>
        </w:rPr>
        <w:t>01800 0520808</w:t>
      </w:r>
    </w:p>
    <w:p w14:paraId="38810A7C" w14:textId="77777777" w:rsidR="0020748A" w:rsidRPr="00FD3154" w:rsidRDefault="0020748A" w:rsidP="0020748A">
      <w:pPr>
        <w:numPr>
          <w:ilvl w:val="0"/>
          <w:numId w:val="15"/>
        </w:numPr>
        <w:spacing w:after="0" w:line="276" w:lineRule="auto"/>
        <w:rPr>
          <w:rFonts w:ascii="Verdana" w:eastAsia="Verdana" w:hAnsi="Verdana" w:cs="Verdana"/>
          <w:color w:val="4472C4" w:themeColor="accent1"/>
          <w:u w:val="single"/>
          <w:lang w:val="es-MX" w:eastAsia="es-ES_tradnl"/>
        </w:rPr>
      </w:pPr>
      <w:r w:rsidRPr="00FD3154">
        <w:rPr>
          <w:rFonts w:ascii="Verdana" w:eastAsia="Verdana" w:hAnsi="Verdana" w:cs="Verdana"/>
          <w:lang w:val="es-MX" w:eastAsia="es-ES_tradnl"/>
        </w:rPr>
        <w:t>Línea en Bogotá (Mesa de servicio):</w:t>
      </w:r>
      <w:r w:rsidRPr="00FD3154">
        <w:rPr>
          <w:rFonts w:ascii="Verdana" w:eastAsia="Times New Roman" w:hAnsi="Verdana" w:cs="Times New Roman"/>
          <w:color w:val="0000FF"/>
          <w:u w:val="single"/>
          <w:lang w:val="es-ES" w:eastAsia="es-ES_tradnl"/>
        </w:rPr>
        <w:t>+57 601 7456788</w:t>
      </w:r>
    </w:p>
    <w:p w14:paraId="497BF83C" w14:textId="77777777" w:rsidR="0020748A" w:rsidRPr="00FD3154" w:rsidRDefault="0020748A" w:rsidP="0020748A">
      <w:pPr>
        <w:numPr>
          <w:ilvl w:val="0"/>
          <w:numId w:val="15"/>
        </w:numPr>
        <w:spacing w:after="0" w:line="276" w:lineRule="auto"/>
        <w:rPr>
          <w:rFonts w:ascii="Verdana" w:eastAsia="Verdana" w:hAnsi="Verdana" w:cs="Verdana"/>
          <w:color w:val="0000FF"/>
          <w:u w:val="single"/>
          <w:lang w:val="es-MX" w:eastAsia="es-ES_tradnl"/>
        </w:rPr>
      </w:pPr>
      <w:r w:rsidRPr="00FD3154">
        <w:rPr>
          <w:rFonts w:ascii="Verdana" w:eastAsia="Verdana" w:hAnsi="Verdana" w:cs="Verdana"/>
          <w:lang w:val="es-MX" w:eastAsia="es-ES_tradnl"/>
        </w:rPr>
        <w:t xml:space="preserve">Correo de radicación de correspondencia: </w:t>
      </w:r>
      <w:hyperlink r:id="rId21">
        <w:r w:rsidRPr="00FD3154">
          <w:rPr>
            <w:rFonts w:ascii="Verdana" w:eastAsia="Verdana" w:hAnsi="Verdana" w:cs="Verdana"/>
            <w:color w:val="0000FF"/>
            <w:u w:val="single"/>
            <w:lang w:val="es-MX" w:eastAsia="es-ES_tradnl"/>
          </w:rPr>
          <w:t>ventanilladeradicacion@colombiacompra.gov.co</w:t>
        </w:r>
      </w:hyperlink>
    </w:p>
    <w:p w14:paraId="33EEF0B0" w14:textId="77777777" w:rsidR="0020748A" w:rsidRPr="00FD3154" w:rsidRDefault="0020748A" w:rsidP="0020748A">
      <w:pPr>
        <w:numPr>
          <w:ilvl w:val="0"/>
          <w:numId w:val="15"/>
        </w:numPr>
        <w:spacing w:after="0" w:line="276" w:lineRule="auto"/>
        <w:rPr>
          <w:rFonts w:ascii="Verdana" w:eastAsia="Verdana" w:hAnsi="Verdana" w:cs="Verdana"/>
          <w:color w:val="0000FF"/>
          <w:u w:val="single"/>
          <w:lang w:val="es-MX" w:eastAsia="es-ES_tradnl"/>
        </w:rPr>
      </w:pPr>
      <w:r w:rsidRPr="00FD3154">
        <w:rPr>
          <w:rFonts w:ascii="Verdana" w:eastAsia="Verdana" w:hAnsi="Verdana" w:cs="Verdana"/>
          <w:lang w:val="es-ES" w:eastAsia="es-ES_tradnl"/>
        </w:rPr>
        <w:t>Formulario web para</w:t>
      </w:r>
      <w:r w:rsidRPr="00FD3154">
        <w:rPr>
          <w:rFonts w:ascii="Verdana" w:eastAsia="Verdana" w:hAnsi="Verdana" w:cs="Verdana"/>
          <w:lang w:val="es" w:eastAsia="es-ES_tradnl"/>
        </w:rPr>
        <w:t xml:space="preserve"> PQRSD: </w:t>
      </w:r>
      <w:hyperlink r:id="rId22">
        <w:r w:rsidRPr="00FD3154">
          <w:rPr>
            <w:rFonts w:ascii="Verdana" w:eastAsia="Verdana" w:hAnsi="Verdana" w:cs="Verdana"/>
            <w:color w:val="0000FF"/>
            <w:u w:val="single"/>
            <w:lang w:val="es-MX" w:eastAsia="es-ES_tradnl"/>
          </w:rPr>
          <w:t>https://www.colombiacompra.gov.co/pqrsd/informacion-importante-antes-de-formular-una-pqrsd</w:t>
        </w:r>
      </w:hyperlink>
    </w:p>
    <w:p w14:paraId="70945013" w14:textId="77777777" w:rsidR="0020748A" w:rsidRPr="00FD3154" w:rsidRDefault="0020748A" w:rsidP="0020748A">
      <w:pPr>
        <w:spacing w:after="0" w:line="276" w:lineRule="auto"/>
        <w:ind w:left="720"/>
        <w:jc w:val="both"/>
        <w:rPr>
          <w:rFonts w:ascii="Verdana" w:eastAsia="Times New Roman" w:hAnsi="Verdana" w:cs="Times New Roman"/>
          <w:lang w:eastAsia="es-ES_tradnl"/>
        </w:rPr>
      </w:pPr>
    </w:p>
    <w:p w14:paraId="04D0D554" w14:textId="77777777" w:rsidR="0020748A" w:rsidRPr="00FD3154" w:rsidRDefault="0020748A" w:rsidP="0020748A">
      <w:pPr>
        <w:spacing w:after="0" w:line="276" w:lineRule="auto"/>
        <w:rPr>
          <w:rFonts w:ascii="Verdana" w:eastAsia="Times New Roman" w:hAnsi="Verdana" w:cs="Times New Roman"/>
          <w:lang w:eastAsia="es-ES_tradnl"/>
        </w:rPr>
      </w:pPr>
      <w:r w:rsidRPr="00FD3154">
        <w:rPr>
          <w:rFonts w:ascii="Verdana" w:eastAsia="Times New Roman" w:hAnsi="Verdana" w:cs="Times New Roman"/>
          <w:lang w:eastAsia="es-ES_tradnl"/>
        </w:rPr>
        <w:t>Evalúa el servicio que ofrece la Agencia por el canal de atención de PQRSD en el siguiente enlace :</w:t>
      </w:r>
      <w:hyperlink r:id="rId23" w:tgtFrame="_blank" w:tooltip="https://forms.office.com/r/pphywvs2sz" w:history="1">
        <w:r w:rsidRPr="00FD3154">
          <w:rPr>
            <w:rFonts w:ascii="Verdana" w:eastAsia="Times New Roman" w:hAnsi="Verdana" w:cs="Times New Roman"/>
            <w:color w:val="0000FF"/>
            <w:u w:val="single"/>
            <w:lang w:eastAsia="es-ES_tradnl"/>
          </w:rPr>
          <w:t>https://forms.office.com/r/pPHyWVs2SZ</w:t>
        </w:r>
      </w:hyperlink>
      <w:r w:rsidRPr="00FD3154">
        <w:rPr>
          <w:rFonts w:ascii="Verdana" w:eastAsia="Times New Roman" w:hAnsi="Verdana" w:cs="Times New Roman"/>
          <w:lang w:eastAsia="es-ES_tradnl"/>
        </w:rPr>
        <w:t xml:space="preserve"> .¡Ayúdanos a mejorar porque el compromiso es de todos!</w:t>
      </w:r>
    </w:p>
    <w:p w14:paraId="5A94A4B2" w14:textId="77777777" w:rsidR="0020748A" w:rsidRPr="00FD3154" w:rsidRDefault="0020748A" w:rsidP="0020748A">
      <w:pPr>
        <w:spacing w:after="0" w:line="276" w:lineRule="auto"/>
        <w:rPr>
          <w:rFonts w:ascii="Verdana" w:eastAsia="Times New Roman" w:hAnsi="Verdana" w:cs="Times New Roman"/>
          <w:lang w:eastAsia="es-ES_tradnl"/>
        </w:rPr>
      </w:pPr>
    </w:p>
    <w:p w14:paraId="137F2ED0" w14:textId="77777777" w:rsidR="0020748A" w:rsidRPr="00FD3154" w:rsidRDefault="0020748A" w:rsidP="0020748A">
      <w:pPr>
        <w:spacing w:after="0" w:line="276" w:lineRule="auto"/>
        <w:jc w:val="both"/>
        <w:rPr>
          <w:rFonts w:ascii="Verdana" w:eastAsia="Times New Roman" w:hAnsi="Verdana" w:cs="Times New Roman"/>
          <w:lang w:eastAsia="es-ES_tradnl"/>
        </w:rPr>
      </w:pPr>
      <w:r w:rsidRPr="00FD3154">
        <w:rPr>
          <w:rFonts w:ascii="Verdana" w:eastAsia="Times New Roman" w:hAnsi="Verdana" w:cs="Times New Roman"/>
          <w:lang w:eastAsia="es-ES_tradnl"/>
        </w:rPr>
        <w:t xml:space="preserve">Por último, lo invitamos a seguirnos en las redes sociales en las cuales se difunde información institucional: </w:t>
      </w:r>
    </w:p>
    <w:p w14:paraId="1133957E" w14:textId="77777777" w:rsidR="0020748A" w:rsidRPr="00FD3154" w:rsidRDefault="0020748A" w:rsidP="0020748A">
      <w:pPr>
        <w:spacing w:after="0" w:line="276" w:lineRule="auto"/>
        <w:jc w:val="both"/>
        <w:rPr>
          <w:rFonts w:ascii="Verdana" w:eastAsia="Times New Roman" w:hAnsi="Verdana" w:cs="Times New Roman"/>
          <w:lang w:eastAsia="es-ES_tradnl"/>
        </w:rPr>
      </w:pPr>
    </w:p>
    <w:p w14:paraId="02FAB188" w14:textId="77777777" w:rsidR="0020748A" w:rsidRPr="00FD3154" w:rsidRDefault="0020748A" w:rsidP="0020748A">
      <w:pPr>
        <w:spacing w:after="0" w:line="276" w:lineRule="auto"/>
        <w:jc w:val="both"/>
        <w:rPr>
          <w:rFonts w:ascii="Verdana" w:eastAsia="Times New Roman" w:hAnsi="Verdana" w:cs="Times New Roman"/>
          <w:lang w:eastAsia="es-ES_tradnl"/>
        </w:rPr>
      </w:pPr>
      <w:r w:rsidRPr="00FD3154">
        <w:rPr>
          <w:rFonts w:ascii="Verdana" w:eastAsia="Times New Roman" w:hAnsi="Verdana" w:cs="Times New Roman"/>
          <w:lang w:eastAsia="es-ES_tradnl"/>
        </w:rPr>
        <w:t xml:space="preserve">Twitter: </w:t>
      </w:r>
      <w:r w:rsidRPr="00FD3154">
        <w:rPr>
          <w:rFonts w:ascii="Verdana" w:eastAsia="Times New Roman" w:hAnsi="Verdana" w:cs="Times New Roman"/>
          <w:color w:val="0000FF"/>
          <w:u w:val="single"/>
          <w:lang w:eastAsia="es-ES_tradnl"/>
        </w:rPr>
        <w:t>@colombiacompra</w:t>
      </w:r>
      <w:r w:rsidRPr="00FD3154">
        <w:rPr>
          <w:rFonts w:ascii="Verdana" w:eastAsia="Times New Roman" w:hAnsi="Verdana" w:cs="Times New Roman"/>
          <w:lang w:eastAsia="es-ES_tradnl"/>
        </w:rPr>
        <w:t xml:space="preserve"> </w:t>
      </w:r>
    </w:p>
    <w:p w14:paraId="66796F11" w14:textId="77777777" w:rsidR="0020748A" w:rsidRPr="00FD3154" w:rsidRDefault="0020748A" w:rsidP="0020748A">
      <w:pPr>
        <w:spacing w:after="0" w:line="276" w:lineRule="auto"/>
        <w:jc w:val="both"/>
        <w:rPr>
          <w:rFonts w:ascii="Verdana" w:eastAsia="Times New Roman" w:hAnsi="Verdana" w:cs="Times New Roman"/>
          <w:lang w:eastAsia="es-ES_tradnl"/>
        </w:rPr>
      </w:pPr>
      <w:r w:rsidRPr="00FD3154">
        <w:rPr>
          <w:rFonts w:ascii="Verdana" w:eastAsia="Times New Roman" w:hAnsi="Verdana" w:cs="Times New Roman"/>
          <w:lang w:eastAsia="es-ES_tradnl"/>
        </w:rPr>
        <w:t xml:space="preserve">Facebook: </w:t>
      </w:r>
      <w:r w:rsidRPr="00FD3154">
        <w:rPr>
          <w:rFonts w:ascii="Verdana" w:eastAsia="Times New Roman" w:hAnsi="Verdana" w:cs="Times New Roman"/>
          <w:color w:val="0000FF"/>
          <w:u w:val="single"/>
          <w:lang w:eastAsia="es-ES_tradnl"/>
        </w:rPr>
        <w:t>ColombiaCompraEficiente</w:t>
      </w:r>
    </w:p>
    <w:p w14:paraId="5BA6D603" w14:textId="77777777" w:rsidR="0020748A" w:rsidRPr="00FD3154" w:rsidRDefault="0020748A" w:rsidP="0020748A">
      <w:pPr>
        <w:spacing w:after="0" w:line="276" w:lineRule="auto"/>
        <w:jc w:val="both"/>
        <w:rPr>
          <w:rFonts w:ascii="Verdana" w:eastAsia="Times New Roman" w:hAnsi="Verdana" w:cs="Times New Roman"/>
          <w:lang w:eastAsia="es-ES_tradnl"/>
        </w:rPr>
      </w:pPr>
      <w:r w:rsidRPr="00FD3154">
        <w:rPr>
          <w:rFonts w:ascii="Verdana" w:eastAsia="Times New Roman" w:hAnsi="Verdana" w:cs="Times New Roman"/>
          <w:lang w:eastAsia="es-ES_tradnl"/>
        </w:rPr>
        <w:t xml:space="preserve">LinkedIn: </w:t>
      </w:r>
      <w:r w:rsidRPr="00FD3154">
        <w:rPr>
          <w:rFonts w:ascii="Verdana" w:eastAsia="Times New Roman" w:hAnsi="Verdana" w:cs="Times New Roman"/>
          <w:color w:val="0000FF"/>
          <w:u w:val="single"/>
          <w:lang w:eastAsia="es-ES_tradnl"/>
        </w:rPr>
        <w:t>Agencia Nacional de Contratación Pública - Colombia Compra Eficiente</w:t>
      </w:r>
      <w:r w:rsidRPr="00FD3154">
        <w:rPr>
          <w:rFonts w:ascii="Verdana" w:eastAsia="Times New Roman" w:hAnsi="Verdana" w:cs="Times New Roman"/>
          <w:lang w:eastAsia="es-ES_tradnl"/>
        </w:rPr>
        <w:t xml:space="preserve"> Instagram: </w:t>
      </w:r>
      <w:r w:rsidRPr="00FD3154">
        <w:rPr>
          <w:rFonts w:ascii="Verdana" w:eastAsia="Times New Roman" w:hAnsi="Verdana" w:cs="Times New Roman"/>
          <w:color w:val="0000FF"/>
          <w:u w:val="single"/>
          <w:lang w:eastAsia="es-ES_tradnl"/>
        </w:rPr>
        <w:t>@colombiacompraeficiente_cce</w:t>
      </w:r>
    </w:p>
    <w:p w14:paraId="2A6D2515" w14:textId="77777777" w:rsidR="0020748A" w:rsidRPr="00FD3154" w:rsidRDefault="0020748A" w:rsidP="0020748A">
      <w:pPr>
        <w:widowControl w:val="0"/>
        <w:autoSpaceDE w:val="0"/>
        <w:autoSpaceDN w:val="0"/>
        <w:spacing w:after="0" w:line="276" w:lineRule="auto"/>
        <w:jc w:val="both"/>
        <w:rPr>
          <w:rFonts w:ascii="Verdana" w:eastAsia="Times New Roman" w:hAnsi="Verdana" w:cs="Arial"/>
          <w:color w:val="FF0000"/>
          <w:shd w:val="clear" w:color="auto" w:fill="FFFFFF"/>
          <w:lang w:val="es-ES_tradnl" w:eastAsia="es-ES_tradnl"/>
        </w:rPr>
      </w:pPr>
      <w:r w:rsidRPr="00FD3154">
        <w:rPr>
          <w:rFonts w:ascii="Verdana" w:eastAsia="Times New Roman" w:hAnsi="Verdana" w:cs="Arial"/>
          <w:color w:val="FF0000"/>
          <w:shd w:val="clear" w:color="auto" w:fill="FFFFFF"/>
          <w:lang w:val="es-ES_tradnl" w:eastAsia="es-ES_tradnl"/>
        </w:rPr>
        <w:t xml:space="preserve">        </w:t>
      </w:r>
    </w:p>
    <w:p w14:paraId="38345100" w14:textId="77777777" w:rsidR="0020748A" w:rsidRPr="00FD3154" w:rsidRDefault="0020748A" w:rsidP="0020748A">
      <w:pPr>
        <w:widowControl w:val="0"/>
        <w:autoSpaceDE w:val="0"/>
        <w:autoSpaceDN w:val="0"/>
        <w:spacing w:after="0" w:line="276" w:lineRule="auto"/>
        <w:jc w:val="both"/>
        <w:rPr>
          <w:rFonts w:ascii="Verdana" w:eastAsia="Times New Roman" w:hAnsi="Verdana" w:cs="Arial"/>
          <w:lang w:val="es-ES_tradnl" w:eastAsia="es-ES_tradnl"/>
        </w:rPr>
      </w:pPr>
      <w:r w:rsidRPr="00FD3154">
        <w:rPr>
          <w:rFonts w:ascii="Verdana" w:eastAsia="Times New Roman" w:hAnsi="Verdana" w:cs="Arial"/>
          <w:lang w:eastAsia="es-ES_tradnl"/>
        </w:rPr>
        <w:t xml:space="preserve">Este concepto tiene el alcance previsto en el artículo 28 del Código de Procedimiento Administrativo y de lo Contencioso Administrativo </w:t>
      </w:r>
      <w:r w:rsidRPr="00FD3154">
        <w:rPr>
          <w:rFonts w:ascii="Verdana" w:eastAsia="Times New Roman" w:hAnsi="Verdana" w:cs="Arial"/>
          <w:lang w:val="es-ES_tradnl" w:eastAsia="es-ES_tradnl"/>
        </w:rPr>
        <w:t>y las expresiones aquí utilizadas con mayúscula inicial deben ser entendidas con el significado que les otorga el artículo 2.2.1.1.1.3.1. del Decreto 1082 de 2015.</w:t>
      </w:r>
    </w:p>
    <w:p w14:paraId="4A143395" w14:textId="77777777" w:rsidR="0020748A" w:rsidRPr="00FD3154" w:rsidRDefault="0020748A" w:rsidP="0020748A">
      <w:pPr>
        <w:spacing w:after="0" w:line="256" w:lineRule="auto"/>
        <w:jc w:val="both"/>
        <w:rPr>
          <w:rFonts w:ascii="Verdana" w:eastAsia="Calibri" w:hAnsi="Verdana" w:cs="Times New Roman"/>
          <w:lang w:val="es-ES_tradnl"/>
        </w:rPr>
      </w:pPr>
    </w:p>
    <w:p w14:paraId="040BB905" w14:textId="77777777" w:rsidR="0020748A" w:rsidRDefault="0020748A" w:rsidP="0020748A">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50C598C8" w14:textId="77777777" w:rsidR="0020748A" w:rsidRPr="00B57A1B" w:rsidRDefault="0020748A" w:rsidP="0020748A">
      <w:pPr>
        <w:spacing w:after="0" w:line="256" w:lineRule="auto"/>
        <w:jc w:val="both"/>
        <w:rPr>
          <w:rFonts w:ascii="Verdana" w:eastAsia="Calibri" w:hAnsi="Verdana" w:cs="Times New Roman"/>
        </w:rPr>
      </w:pPr>
    </w:p>
    <w:p w14:paraId="478311B0" w14:textId="5A32F2D8" w:rsidR="0020748A" w:rsidRDefault="00147540" w:rsidP="0020748A">
      <w:pPr>
        <w:spacing w:after="0" w:line="256" w:lineRule="auto"/>
        <w:jc w:val="center"/>
        <w:rPr>
          <w:noProof/>
          <w:lang w:val="en-US"/>
        </w:rPr>
      </w:pPr>
      <w:r w:rsidRPr="002C3AD6">
        <w:rPr>
          <w:rFonts w:ascii="Century Gothic" w:hAnsi="Century Gothic"/>
          <w:noProof/>
          <w:lang w:val="en-US"/>
        </w:rPr>
        <w:drawing>
          <wp:inline distT="0" distB="0" distL="0" distR="0" wp14:anchorId="6F9B3D94" wp14:editId="3196534C">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312722" cy="1229722"/>
                    </a:xfrm>
                    <a:prstGeom prst="rect">
                      <a:avLst/>
                    </a:prstGeom>
                  </pic:spPr>
                </pic:pic>
              </a:graphicData>
            </a:graphic>
          </wp:inline>
        </w:drawing>
      </w:r>
    </w:p>
    <w:p w14:paraId="0A4A6F66" w14:textId="77777777" w:rsidR="0020748A" w:rsidRPr="008B7171" w:rsidRDefault="0020748A" w:rsidP="0020748A">
      <w:pPr>
        <w:spacing w:after="0" w:line="256" w:lineRule="auto"/>
        <w:jc w:val="center"/>
        <w:rPr>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0748A" w:rsidRPr="00B57A1B" w14:paraId="550D07AC" w14:textId="77777777" w:rsidTr="00B1075C">
        <w:trPr>
          <w:trHeight w:val="409"/>
        </w:trPr>
        <w:tc>
          <w:tcPr>
            <w:tcW w:w="817" w:type="dxa"/>
            <w:tcBorders>
              <w:top w:val="nil"/>
              <w:left w:val="nil"/>
              <w:bottom w:val="nil"/>
              <w:right w:val="nil"/>
            </w:tcBorders>
            <w:vAlign w:val="center"/>
            <w:hideMark/>
          </w:tcPr>
          <w:p w14:paraId="64A04317" w14:textId="77777777" w:rsidR="0020748A" w:rsidRPr="00B57A1B" w:rsidRDefault="0020748A" w:rsidP="00B1075C">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33ABB8B" w14:textId="77777777" w:rsidR="0020748A" w:rsidRPr="00B57A1B" w:rsidRDefault="0020748A" w:rsidP="00B1075C">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José Luis Sánchez Cardona</w:t>
            </w:r>
          </w:p>
          <w:p w14:paraId="2F39BCCE" w14:textId="77777777" w:rsidR="0020748A" w:rsidRPr="00B57A1B" w:rsidRDefault="0020748A" w:rsidP="00B1075C">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Contratista de la Subdirección de Gestión Contractual</w:t>
            </w:r>
          </w:p>
        </w:tc>
      </w:tr>
      <w:tr w:rsidR="0020748A" w:rsidRPr="00B57A1B" w14:paraId="7A1B4190" w14:textId="77777777" w:rsidTr="00B1075C">
        <w:trPr>
          <w:trHeight w:val="409"/>
        </w:trPr>
        <w:tc>
          <w:tcPr>
            <w:tcW w:w="817" w:type="dxa"/>
            <w:tcBorders>
              <w:top w:val="nil"/>
              <w:left w:val="nil"/>
              <w:bottom w:val="nil"/>
              <w:right w:val="nil"/>
            </w:tcBorders>
            <w:vAlign w:val="center"/>
            <w:hideMark/>
          </w:tcPr>
          <w:p w14:paraId="6FEC2D58" w14:textId="77777777" w:rsidR="0020748A" w:rsidRPr="00B57A1B" w:rsidRDefault="0020748A" w:rsidP="00B1075C">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2947D55" w14:textId="77777777" w:rsidR="0020748A" w:rsidRPr="00B57A1B" w:rsidRDefault="0020748A" w:rsidP="00B1075C">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Alejandro</w:t>
            </w:r>
            <w:r>
              <w:rPr>
                <w:rFonts w:ascii="Verdana" w:eastAsia="Calibri" w:hAnsi="Verdana" w:cs="Times New Roman"/>
                <w:sz w:val="16"/>
                <w:szCs w:val="16"/>
              </w:rPr>
              <w:t xml:space="preserve"> R.</w:t>
            </w:r>
            <w:r w:rsidRPr="00B57A1B">
              <w:rPr>
                <w:rFonts w:ascii="Verdana" w:eastAsia="Calibri" w:hAnsi="Verdana" w:cs="Times New Roman"/>
                <w:sz w:val="16"/>
                <w:szCs w:val="16"/>
              </w:rPr>
              <w:t xml:space="preserve"> Sarmiento Cantillo</w:t>
            </w:r>
          </w:p>
          <w:p w14:paraId="2599032B" w14:textId="77777777" w:rsidR="0020748A" w:rsidRPr="00B57A1B" w:rsidRDefault="0020748A" w:rsidP="00B1075C">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Gestor T1-15 de la Subdirección de Gestión Contractual </w:t>
            </w:r>
          </w:p>
        </w:tc>
      </w:tr>
      <w:tr w:rsidR="0020748A" w:rsidRPr="00B57A1B" w14:paraId="7F8258EF" w14:textId="77777777" w:rsidTr="00B1075C">
        <w:trPr>
          <w:trHeight w:val="389"/>
        </w:trPr>
        <w:tc>
          <w:tcPr>
            <w:tcW w:w="817" w:type="dxa"/>
            <w:tcBorders>
              <w:top w:val="nil"/>
              <w:left w:val="nil"/>
              <w:bottom w:val="nil"/>
              <w:right w:val="nil"/>
            </w:tcBorders>
            <w:vAlign w:val="center"/>
            <w:hideMark/>
          </w:tcPr>
          <w:p w14:paraId="02AF3351" w14:textId="77777777" w:rsidR="0020748A" w:rsidRPr="00B57A1B" w:rsidRDefault="0020748A" w:rsidP="00B1075C">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6506399" w14:textId="77777777" w:rsidR="0020748A" w:rsidRPr="00B57A1B" w:rsidRDefault="0020748A" w:rsidP="00B1075C">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Carolina Quintero Gacharná</w:t>
            </w:r>
          </w:p>
          <w:p w14:paraId="2509AEC4" w14:textId="77777777" w:rsidR="0020748A" w:rsidRPr="00B57A1B" w:rsidRDefault="0020748A" w:rsidP="00B1075C">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Subdirectora de Gestión Contractual ANCP – CCE</w:t>
            </w:r>
          </w:p>
        </w:tc>
      </w:tr>
    </w:tbl>
    <w:p w14:paraId="469AD0D2" w14:textId="77777777" w:rsidR="0020748A" w:rsidRPr="000E2B93" w:rsidRDefault="0020748A" w:rsidP="0020748A">
      <w:pPr>
        <w:spacing w:after="0" w:line="240" w:lineRule="auto"/>
        <w:textAlignment w:val="baseline"/>
        <w:rPr>
          <w:rFonts w:ascii="Verdana" w:eastAsia="Verdana" w:hAnsi="Verdana" w:cs="Verdana"/>
          <w:lang w:eastAsia="es-CO"/>
        </w:rPr>
      </w:pPr>
    </w:p>
    <w:p w14:paraId="3C49D5D7" w14:textId="19690002" w:rsidR="0020748A" w:rsidRPr="000E2B93" w:rsidRDefault="0020748A" w:rsidP="0020748A">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6872315E" w:rsidR="00127233" w:rsidRPr="0020748A" w:rsidRDefault="00127233" w:rsidP="0020748A"/>
    <w:sectPr w:rsidR="00127233" w:rsidRPr="0020748A"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48B9A" w14:textId="77777777" w:rsidR="007166D9" w:rsidRDefault="007166D9" w:rsidP="004A1847">
      <w:pPr>
        <w:spacing w:after="0" w:line="240" w:lineRule="auto"/>
      </w:pPr>
      <w:r>
        <w:separator/>
      </w:r>
    </w:p>
  </w:endnote>
  <w:endnote w:type="continuationSeparator" w:id="0">
    <w:p w14:paraId="3CBD31CF" w14:textId="77777777" w:rsidR="007166D9" w:rsidRDefault="007166D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C78D9" w:rsidRDefault="00AC78D9">
    <w:pPr>
      <w:pStyle w:val="Piedepgina"/>
    </w:pPr>
  </w:p>
  <w:p w14:paraId="594D6D9F" w14:textId="7B4CC248" w:rsidR="00AC78D9" w:rsidRPr="00174B77" w:rsidRDefault="00AC78D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37881" w:rsidRPr="00037881">
      <w:rPr>
        <w:rFonts w:ascii="Verdana" w:eastAsiaTheme="minorEastAsia" w:hAnsi="Verdana"/>
        <w:b/>
        <w:bCs/>
        <w:noProof/>
        <w:sz w:val="16"/>
        <w:szCs w:val="16"/>
      </w:rPr>
      <w:t>11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C78D9" w:rsidRDefault="00AC78D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C78D9" w:rsidRPr="00E41027" w:rsidRDefault="00AC78D9"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C78D9" w:rsidRDefault="00AC78D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2160A" w14:textId="77777777" w:rsidR="007166D9" w:rsidRDefault="007166D9" w:rsidP="004A1847">
      <w:pPr>
        <w:spacing w:after="0" w:line="240" w:lineRule="auto"/>
      </w:pPr>
      <w:r>
        <w:separator/>
      </w:r>
    </w:p>
  </w:footnote>
  <w:footnote w:type="continuationSeparator" w:id="0">
    <w:p w14:paraId="6371ECF2" w14:textId="77777777" w:rsidR="007166D9" w:rsidRDefault="007166D9" w:rsidP="004A1847">
      <w:pPr>
        <w:spacing w:after="0" w:line="240" w:lineRule="auto"/>
      </w:pPr>
      <w:r>
        <w:continuationSeparator/>
      </w:r>
    </w:p>
  </w:footnote>
  <w:footnote w:id="1">
    <w:p w14:paraId="1006F6AA" w14:textId="77777777" w:rsidR="0020748A" w:rsidRPr="003561D8" w:rsidRDefault="0020748A" w:rsidP="0020748A">
      <w:pPr>
        <w:pStyle w:val="Textonotapie"/>
        <w:ind w:firstLine="709"/>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En los términos del artículo 665 del Código Civil: “Derecho real es el que tenemos sobre una cosa sin especto a determinada persona.</w:t>
      </w:r>
    </w:p>
    <w:p w14:paraId="76318E3A" w14:textId="77777777" w:rsidR="0020748A" w:rsidRPr="003561D8" w:rsidRDefault="0020748A" w:rsidP="0020748A">
      <w:pPr>
        <w:pStyle w:val="Textonotapie"/>
        <w:ind w:firstLine="709"/>
        <w:jc w:val="both"/>
        <w:rPr>
          <w:rFonts w:ascii="Verdana" w:hAnsi="Verdana" w:cs="Arial"/>
          <w:color w:val="000000" w:themeColor="text1"/>
          <w:sz w:val="16"/>
          <w:szCs w:val="16"/>
        </w:rPr>
      </w:pPr>
      <w:r w:rsidRPr="003561D8">
        <w:rPr>
          <w:rFonts w:ascii="Verdana" w:hAnsi="Verdana" w:cs="Arial"/>
          <w:color w:val="000000" w:themeColor="text1"/>
          <w:sz w:val="16"/>
          <w:szCs w:val="16"/>
        </w:rPr>
        <w:t>Son derechos reales el de dominio, el de herencia, los de usufructo, uso o habitación, los de servidumbres activas, el de prenda y el de hipoteca. De estos derechos nacen las acciones reales”.</w:t>
      </w:r>
    </w:p>
  </w:footnote>
  <w:footnote w:id="2">
    <w:p w14:paraId="662A494B" w14:textId="77777777" w:rsidR="0020748A" w:rsidRPr="003561D8" w:rsidRDefault="0020748A" w:rsidP="0020748A">
      <w:pPr>
        <w:pStyle w:val="Textonotapie"/>
        <w:ind w:firstLine="709"/>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Según el Diccionario del español jurídico, enajenar es «Disponer de un bien o derecho transmitiendo su titularidad». En sitio web: https://dej.rae.es/lema/enajenar. Por su parte, la jurisprudencia ha definido la enajenación del siguiente modo: “En términos jurídicos ’enajenación’ significa ’La transmisión de la propiedad de una cosa, a cambio de otra (como en la compraventa y en la permuta) o gratuitamente (como en la donación y el préstamo sin interés).</w:t>
      </w:r>
    </w:p>
    <w:p w14:paraId="7F4AB6C2" w14:textId="77777777" w:rsidR="0020748A" w:rsidRPr="003561D8" w:rsidRDefault="0020748A" w:rsidP="0020748A">
      <w:pPr>
        <w:spacing w:after="0" w:line="240" w:lineRule="auto"/>
        <w:ind w:firstLine="709"/>
        <w:jc w:val="both"/>
        <w:rPr>
          <w:rFonts w:ascii="Verdana" w:hAnsi="Verdana" w:cs="Arial"/>
          <w:color w:val="000000" w:themeColor="text1"/>
          <w:sz w:val="16"/>
          <w:szCs w:val="16"/>
        </w:rPr>
      </w:pPr>
      <w:r w:rsidRPr="003561D8">
        <w:rPr>
          <w:rFonts w:ascii="Verdana" w:hAnsi="Verdana" w:cs="Arial"/>
          <w:color w:val="000000" w:themeColor="text1"/>
          <w:sz w:val="16"/>
          <w:szCs w:val="16"/>
        </w:rPr>
        <w:t>Igualmente, para la doctrina la palabra enajenación en su sentido natural indica la transmisión de cualquier derecho patrimonial de una cabeza a otra, por lo que constituye una adquisición derivada por acto entre vivos del contenido total o parcial de un derecho” (Consejo de Estado. Sección Cuarta. Sentencia del 6 de febrero de 2006. C.P. María Inés Ortiz Barbosa. Exp. 14.123).</w:t>
      </w:r>
    </w:p>
  </w:footnote>
  <w:footnote w:id="3">
    <w:p w14:paraId="70521B9F" w14:textId="77777777" w:rsidR="0020748A" w:rsidRPr="003561D8" w:rsidRDefault="0020748A" w:rsidP="0020748A">
      <w:pPr>
        <w:pStyle w:val="Textonotapie"/>
        <w:ind w:firstLine="709"/>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VELÁSQUEZ, Hernán Darío. Estudio sobre obligaciones. Bogotá: Temis, 2010. p. 10.</w:t>
      </w:r>
    </w:p>
  </w:footnote>
  <w:footnote w:id="4">
    <w:p w14:paraId="18FA9960" w14:textId="77777777" w:rsidR="0020748A" w:rsidRPr="003561D8" w:rsidRDefault="0020748A" w:rsidP="0020748A">
      <w:pPr>
        <w:pStyle w:val="Textonotapie"/>
        <w:ind w:firstLine="709"/>
        <w:jc w:val="both"/>
        <w:rPr>
          <w:rFonts w:ascii="Verdana" w:hAnsi="Verdana" w:cs="Arial"/>
          <w:color w:val="000000" w:themeColor="text1"/>
          <w:sz w:val="16"/>
          <w:szCs w:val="16"/>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“Los modos de adquirir el dominio son la ocupación, la accesión, la tradición, la sucesión por causa de muerte y la prescripción”.</w:t>
      </w:r>
    </w:p>
  </w:footnote>
  <w:footnote w:id="5">
    <w:p w14:paraId="60DAC007" w14:textId="77777777" w:rsidR="0020748A" w:rsidRPr="003561D8" w:rsidRDefault="0020748A" w:rsidP="0020748A">
      <w:pPr>
        <w:spacing w:after="0" w:line="240" w:lineRule="auto"/>
        <w:ind w:firstLine="709"/>
        <w:jc w:val="both"/>
        <w:rPr>
          <w:rFonts w:ascii="Verdana" w:hAnsi="Verdana" w:cs="Arial"/>
          <w:color w:val="000000" w:themeColor="text1"/>
          <w:sz w:val="16"/>
          <w:szCs w:val="16"/>
          <w:lang w:val="es-ES"/>
        </w:rPr>
      </w:pPr>
      <w:r w:rsidRPr="003561D8">
        <w:rPr>
          <w:rStyle w:val="Refdenotaalpie"/>
          <w:rFonts w:ascii="Verdana" w:hAnsi="Verdana" w:cs="Arial"/>
          <w:color w:val="000000" w:themeColor="text1"/>
          <w:sz w:val="16"/>
          <w:szCs w:val="16"/>
        </w:rPr>
        <w:footnoteRef/>
      </w:r>
      <w:r w:rsidRPr="003561D8">
        <w:rPr>
          <w:rFonts w:ascii="Verdana" w:hAnsi="Verdana" w:cs="Arial"/>
          <w:color w:val="000000" w:themeColor="text1"/>
          <w:sz w:val="16"/>
          <w:szCs w:val="16"/>
        </w:rPr>
        <w:t xml:space="preserve"> </w:t>
      </w:r>
      <w:r w:rsidRPr="003561D8">
        <w:rPr>
          <w:rFonts w:ascii="Verdana" w:hAnsi="Verdana" w:cs="Arial"/>
          <w:color w:val="000000" w:themeColor="text1"/>
          <w:sz w:val="16"/>
          <w:szCs w:val="16"/>
          <w:lang w:val="es-ES"/>
        </w:rPr>
        <w:t>Según el artículo 749 del Código Civil “Si la ley exige solemnidades especiales para la enajenación, no se transfiere el dominio sin ellas”.</w:t>
      </w:r>
    </w:p>
  </w:footnote>
  <w:footnote w:id="6">
    <w:p w14:paraId="4305C9AC" w14:textId="77777777" w:rsidR="0020748A" w:rsidRPr="008B7171" w:rsidRDefault="0020748A" w:rsidP="0020748A">
      <w:pPr>
        <w:pStyle w:val="Textonotapie"/>
        <w:ind w:firstLine="708"/>
        <w:jc w:val="both"/>
        <w:rPr>
          <w:rFonts w:ascii="Verdana" w:hAnsi="Verdana" w:cs="Arial"/>
          <w:sz w:val="15"/>
          <w:szCs w:val="15"/>
          <w:lang w:val="es-ES"/>
        </w:rPr>
      </w:pPr>
      <w:r w:rsidRPr="008B7171">
        <w:rPr>
          <w:rStyle w:val="Refdenotaalpie"/>
          <w:rFonts w:ascii="Verdana" w:hAnsi="Verdana" w:cs="Arial"/>
          <w:sz w:val="15"/>
          <w:szCs w:val="15"/>
        </w:rPr>
        <w:footnoteRef/>
      </w:r>
      <w:r w:rsidRPr="008B7171">
        <w:rPr>
          <w:rFonts w:ascii="Verdana" w:hAnsi="Verdana" w:cs="Arial"/>
          <w:sz w:val="15"/>
          <w:szCs w:val="15"/>
        </w:rPr>
        <w:t xml:space="preserve"> Consejo de Estado, Sección Tercera, Subsección A. Sentencia del 25 de mayo de 2016. C.P. Hernán Andrade Rincón.</w:t>
      </w:r>
    </w:p>
  </w:footnote>
  <w:footnote w:id="7">
    <w:p w14:paraId="5016B25C" w14:textId="77777777" w:rsidR="0020748A" w:rsidRPr="008B7171" w:rsidRDefault="0020748A" w:rsidP="0020748A">
      <w:pPr>
        <w:spacing w:after="0" w:line="240" w:lineRule="auto"/>
        <w:ind w:firstLine="708"/>
        <w:jc w:val="both"/>
        <w:rPr>
          <w:rFonts w:ascii="Verdana" w:hAnsi="Verdana" w:cs="Arial"/>
          <w:color w:val="000000" w:themeColor="text1"/>
          <w:sz w:val="15"/>
          <w:szCs w:val="15"/>
        </w:rPr>
      </w:pPr>
      <w:r w:rsidRPr="008B7171">
        <w:rPr>
          <w:rStyle w:val="Refdenotaalpie"/>
          <w:rFonts w:ascii="Verdana" w:hAnsi="Verdana" w:cs="Arial"/>
          <w:sz w:val="15"/>
          <w:szCs w:val="15"/>
        </w:rPr>
        <w:footnoteRef/>
      </w:r>
      <w:r w:rsidRPr="008B7171">
        <w:rPr>
          <w:rFonts w:ascii="Verdana" w:hAnsi="Verdana" w:cs="Arial"/>
          <w:sz w:val="15"/>
          <w:szCs w:val="15"/>
        </w:rPr>
        <w:t xml:space="preserve"> </w:t>
      </w:r>
      <w:r w:rsidRPr="008B7171">
        <w:rPr>
          <w:rFonts w:ascii="Verdana" w:hAnsi="Verdana" w:cs="Arial"/>
          <w:color w:val="000000" w:themeColor="text1"/>
          <w:sz w:val="15"/>
          <w:szCs w:val="15"/>
        </w:rPr>
        <w:t xml:space="preserve">Corte Constitucional. Sentencia C-183 de 2003. Sala Plena. M.P. Alfredo Beltrán Sierra. </w:t>
      </w:r>
    </w:p>
  </w:footnote>
  <w:footnote w:id="8">
    <w:p w14:paraId="11C55C53" w14:textId="77777777" w:rsidR="0020748A" w:rsidRPr="008B7171" w:rsidRDefault="0020748A" w:rsidP="0020748A">
      <w:pPr>
        <w:pStyle w:val="Textonotapie"/>
        <w:ind w:firstLine="708"/>
        <w:jc w:val="both"/>
        <w:rPr>
          <w:rFonts w:ascii="Verdana" w:hAnsi="Verdana" w:cs="Arial"/>
          <w:sz w:val="15"/>
          <w:szCs w:val="15"/>
          <w:lang w:val="es-ES"/>
        </w:rPr>
      </w:pPr>
      <w:r w:rsidRPr="008B7171">
        <w:rPr>
          <w:rStyle w:val="Refdenotaalpie"/>
          <w:rFonts w:ascii="Verdana" w:hAnsi="Verdana" w:cs="Arial"/>
          <w:sz w:val="15"/>
          <w:szCs w:val="15"/>
        </w:rPr>
        <w:footnoteRef/>
      </w:r>
      <w:r w:rsidRPr="008B7171">
        <w:rPr>
          <w:rFonts w:ascii="Verdana" w:hAnsi="Verdana" w:cs="Arial"/>
          <w:sz w:val="15"/>
          <w:szCs w:val="15"/>
        </w:rPr>
        <w:t xml:space="preserve"> </w:t>
      </w:r>
      <w:r w:rsidRPr="008B7171">
        <w:rPr>
          <w:rFonts w:ascii="Verdana" w:hAnsi="Verdana" w:cs="Arial"/>
          <w:sz w:val="15"/>
          <w:szCs w:val="15"/>
          <w:lang w:val="es-ES"/>
        </w:rPr>
        <w:t>Ibídem</w:t>
      </w:r>
    </w:p>
  </w:footnote>
  <w:footnote w:id="9">
    <w:p w14:paraId="5B739B04" w14:textId="77777777" w:rsidR="0020748A" w:rsidRPr="008B7171" w:rsidRDefault="0020748A" w:rsidP="0020748A">
      <w:pPr>
        <w:pStyle w:val="Textonotapie"/>
        <w:ind w:firstLine="708"/>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Consejo de Estado. Sección Tercera, Subsección B. Sentencia del 30 de abril de 2012. C.P. Ruth Stella Correa Palacio. Exp. 21.699.</w:t>
      </w:r>
    </w:p>
  </w:footnote>
  <w:footnote w:id="10">
    <w:p w14:paraId="7D0ED180" w14:textId="77777777" w:rsidR="0020748A" w:rsidRPr="008B7171" w:rsidRDefault="0020748A" w:rsidP="0020748A">
      <w:pPr>
        <w:spacing w:after="0" w:line="240" w:lineRule="auto"/>
        <w:ind w:firstLine="708"/>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Consejo de Estado. Sección Tercera, Subsección A. Sentencia del 19 de julio de 2018, C.P. Carlos Alberto Zambrano Barrera. Exp. 36.711.</w:t>
      </w:r>
    </w:p>
  </w:footnote>
  <w:footnote w:id="11">
    <w:p w14:paraId="3C880EAA" w14:textId="77777777" w:rsidR="0020748A" w:rsidRPr="008B7171" w:rsidRDefault="0020748A" w:rsidP="0020748A">
      <w:pPr>
        <w:spacing w:after="0" w:line="240" w:lineRule="auto"/>
        <w:ind w:firstLine="708"/>
        <w:jc w:val="both"/>
        <w:rPr>
          <w:rFonts w:ascii="Verdana" w:hAnsi="Verdana" w:cs="Arial"/>
          <w:color w:val="000000" w:themeColor="text1"/>
          <w:sz w:val="15"/>
          <w:szCs w:val="15"/>
        </w:rPr>
      </w:pPr>
      <w:r w:rsidRPr="008B7171">
        <w:rPr>
          <w:rStyle w:val="Refdenotaalpie"/>
          <w:rFonts w:ascii="Verdana" w:hAnsi="Verdana" w:cs="Arial"/>
          <w:color w:val="000000" w:themeColor="text1"/>
          <w:sz w:val="15"/>
          <w:szCs w:val="15"/>
        </w:rPr>
        <w:footnoteRef/>
      </w:r>
      <w:r w:rsidRPr="008B7171">
        <w:rPr>
          <w:rFonts w:ascii="Verdana" w:hAnsi="Verdana" w:cs="Arial"/>
          <w:color w:val="000000" w:themeColor="text1"/>
          <w:sz w:val="15"/>
          <w:szCs w:val="15"/>
        </w:rPr>
        <w:t xml:space="preserve"> Corte Constitucional. Sentencia C-183 de 2003.  M.P. Alfredo Beltrán Sierra. </w:t>
      </w:r>
    </w:p>
  </w:footnote>
  <w:footnote w:id="12">
    <w:p w14:paraId="4AA770A4" w14:textId="77777777" w:rsidR="0020748A" w:rsidRPr="003561D8" w:rsidRDefault="0020748A" w:rsidP="0020748A">
      <w:pPr>
        <w:pStyle w:val="Textonotapie"/>
        <w:ind w:firstLine="709"/>
        <w:rPr>
          <w:rFonts w:ascii="Verdana" w:eastAsia="Calibri" w:hAnsi="Verdana" w:cs="Times New Roman"/>
          <w:sz w:val="16"/>
          <w:szCs w:val="16"/>
          <w:lang w:val="es-CO"/>
        </w:rPr>
      </w:pPr>
      <w:r w:rsidRPr="003561D8">
        <w:rPr>
          <w:rStyle w:val="Refdenotaalpie"/>
          <w:rFonts w:ascii="Verdana" w:hAnsi="Verdana"/>
          <w:sz w:val="16"/>
          <w:szCs w:val="16"/>
        </w:rPr>
        <w:footnoteRef/>
      </w:r>
      <w:r w:rsidRPr="003561D8">
        <w:rPr>
          <w:rFonts w:ascii="Verdana" w:hAnsi="Verdana"/>
          <w:sz w:val="16"/>
          <w:szCs w:val="16"/>
        </w:rPr>
        <w:t xml:space="preserve"> e) La enajenación de bienes del Estado, con excepción de aquellos a que se refiere la Ley 226 de 1995.</w:t>
      </w:r>
    </w:p>
    <w:p w14:paraId="1499181A" w14:textId="77777777" w:rsidR="0020748A" w:rsidRPr="003561D8" w:rsidRDefault="0020748A" w:rsidP="0020748A">
      <w:pPr>
        <w:pStyle w:val="Textonotapie"/>
        <w:ind w:firstLine="709"/>
        <w:jc w:val="both"/>
        <w:rPr>
          <w:rFonts w:ascii="Verdana" w:hAnsi="Verdana"/>
          <w:sz w:val="16"/>
          <w:szCs w:val="16"/>
        </w:rPr>
      </w:pPr>
      <w:r w:rsidRPr="003561D8">
        <w:rPr>
          <w:rFonts w:ascii="Verdana" w:hAnsi="Verdana"/>
          <w:sz w:val="16"/>
          <w:szCs w:val="16"/>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p>
    <w:p w14:paraId="503E4CB9" w14:textId="77777777" w:rsidR="0020748A" w:rsidRPr="003561D8" w:rsidRDefault="0020748A" w:rsidP="0020748A">
      <w:pPr>
        <w:pStyle w:val="Textonotapie"/>
        <w:ind w:firstLine="709"/>
        <w:jc w:val="both"/>
        <w:rPr>
          <w:rFonts w:ascii="Verdana" w:hAnsi="Verdana"/>
          <w:sz w:val="16"/>
          <w:szCs w:val="16"/>
        </w:rPr>
      </w:pPr>
      <w:r w:rsidRPr="003561D8">
        <w:rPr>
          <w:rFonts w:ascii="Verdana" w:hAnsi="Verdana"/>
          <w:sz w:val="16"/>
          <w:szCs w:val="16"/>
        </w:rPr>
        <w:t>En todo caso, para la venta de los bienes se debe tener como base el valor del avalúo comercial y ajustar dicho avalúo de acuerdo a los gastos asociados al tiempo de comercialización esperada, administración, impuestos y mantenimiento, para determinar el precio mínimo al que se debe enajenar el bien, de conformidad con la reglamentación que para el efecto expida el Gobierno Nacional.</w:t>
      </w:r>
    </w:p>
    <w:p w14:paraId="011246A7" w14:textId="77777777" w:rsidR="0020748A" w:rsidRPr="003561D8" w:rsidRDefault="0020748A" w:rsidP="0020748A">
      <w:pPr>
        <w:pStyle w:val="Textonotapie"/>
        <w:ind w:firstLine="709"/>
        <w:jc w:val="both"/>
        <w:rPr>
          <w:rFonts w:ascii="Verdana" w:hAnsi="Verdana"/>
          <w:sz w:val="16"/>
          <w:szCs w:val="16"/>
        </w:rPr>
      </w:pPr>
      <w:r w:rsidRPr="003561D8">
        <w:rPr>
          <w:rFonts w:ascii="Verdana" w:hAnsi="Verdana"/>
          <w:sz w:val="16"/>
          <w:szCs w:val="16"/>
        </w:rPr>
        <w:t>La enajenación de los bienes que formen parte del Fondo para la Rehabilitación, Inversión Social y Lucha contra el Crimen Organizado, Frisco, se hará por la Dirección Nacional de Estupefacientes, observando los principios del artículo 209 de la Constitución Política y la reglamentación que expida el Gobierno Nacional, teniendo en cuenta las recomendaciones que para el efecto imparta el Consejo Nacional de Estupefacientes.</w:t>
      </w:r>
    </w:p>
    <w:p w14:paraId="352D284B" w14:textId="77777777" w:rsidR="0020748A" w:rsidRPr="003561D8" w:rsidRDefault="0020748A" w:rsidP="0020748A">
      <w:pPr>
        <w:pStyle w:val="Textonotapie"/>
        <w:ind w:firstLine="709"/>
        <w:jc w:val="both"/>
        <w:rPr>
          <w:rFonts w:ascii="Verdana" w:hAnsi="Verdana"/>
          <w:sz w:val="16"/>
          <w:szCs w:val="16"/>
        </w:rPr>
      </w:pPr>
      <w:r w:rsidRPr="003561D8">
        <w:rPr>
          <w:rFonts w:ascii="Verdana" w:hAnsi="Verdana"/>
          <w:sz w:val="16"/>
          <w:szCs w:val="16"/>
        </w:rPr>
        <w:t>El Reglamento deberá determinar la forma de selección, a través de invitación pública de los profesionales inmobiliarios, que actuarán como promotores de las ventas, que a su vez, a efecto de avalúos de los bienes, se servirán de avaluadores debidamente inscritos en el Registro Nacional de Avaluadores y quienes responderán por sus actos solidariamente con los promotores.</w:t>
      </w:r>
    </w:p>
    <w:p w14:paraId="206FA4DC" w14:textId="77777777" w:rsidR="0020748A" w:rsidRPr="003561D8" w:rsidRDefault="0020748A" w:rsidP="0020748A">
      <w:pPr>
        <w:pStyle w:val="Textonotapie"/>
        <w:ind w:firstLine="709"/>
        <w:jc w:val="both"/>
        <w:rPr>
          <w:rFonts w:ascii="Verdana" w:hAnsi="Verdana"/>
          <w:sz w:val="16"/>
          <w:szCs w:val="16"/>
        </w:rPr>
      </w:pPr>
      <w:r w:rsidRPr="003561D8">
        <w:rPr>
          <w:rFonts w:ascii="Verdana" w:hAnsi="Verdana"/>
          <w:sz w:val="16"/>
          <w:szCs w:val="16"/>
        </w:rPr>
        <w:t>Las reglas y procedimientos que deberán atender la administración y los promotores y la publicidad del proceso deberán garantizar la libre concurrencia y oportunidad de quienes participen en el mismo.</w:t>
      </w:r>
    </w:p>
    <w:p w14:paraId="76144234" w14:textId="77777777" w:rsidR="0020748A" w:rsidRPr="003561D8" w:rsidRDefault="0020748A" w:rsidP="0020748A">
      <w:pPr>
        <w:pStyle w:val="Textonotapie"/>
        <w:ind w:firstLine="709"/>
        <w:jc w:val="both"/>
        <w:rPr>
          <w:rFonts w:ascii="Verdana" w:hAnsi="Verdana"/>
          <w:sz w:val="16"/>
          <w:szCs w:val="16"/>
        </w:rPr>
      </w:pPr>
      <w:r w:rsidRPr="003561D8">
        <w:rPr>
          <w:rFonts w:ascii="Verdana" w:hAnsi="Verdana"/>
          <w:sz w:val="16"/>
          <w:szCs w:val="16"/>
        </w:rPr>
        <w:t>Los bienes serán enajenados a través de venta directa en sobre cerrado o en pública subasta. La adjudicación para la venta directa deberá hacerse en audiencia pública, en donde se conozcan las ofertas iniciales y se efectúe un segundo ofrecimiento, frente al cual se adjudicará el bien a quien oferte el mejor precio. En la subasta pública, de acuerdo con el reglamento definido para su realización, el bien será adjudicado al mejor postor.</w:t>
      </w:r>
    </w:p>
    <w:p w14:paraId="023CC8E2" w14:textId="77777777" w:rsidR="0020748A" w:rsidRPr="003561D8" w:rsidRDefault="0020748A" w:rsidP="0020748A">
      <w:pPr>
        <w:pStyle w:val="Textonotapie"/>
        <w:ind w:firstLine="709"/>
        <w:jc w:val="both"/>
        <w:rPr>
          <w:rFonts w:ascii="Verdana" w:hAnsi="Verdana"/>
          <w:sz w:val="16"/>
          <w:szCs w:val="16"/>
          <w:lang w:val="es-CO"/>
        </w:rPr>
      </w:pPr>
      <w:r w:rsidRPr="003561D8">
        <w:rPr>
          <w:rFonts w:ascii="Verdana" w:hAnsi="Verdana"/>
          <w:sz w:val="16"/>
          <w:szCs w:val="16"/>
        </w:rPr>
        <w:t>La venta implica la publicación previa de los bienes en un diario de amplia circulación nacional, con la determinación del precio base. El interesado en adquirir bienes deberá consignar al menos el 20% del valor base de venta para participar en la oferta.</w:t>
      </w:r>
    </w:p>
  </w:footnote>
  <w:footnote w:id="13">
    <w:p w14:paraId="70F324E5" w14:textId="77777777" w:rsidR="0020748A" w:rsidRPr="00494990" w:rsidRDefault="0020748A" w:rsidP="0020748A">
      <w:pPr>
        <w:pStyle w:val="Textonotapie"/>
        <w:ind w:firstLine="708"/>
        <w:jc w:val="both"/>
        <w:rPr>
          <w:rFonts w:ascii="Verdana" w:hAnsi="Verdana"/>
          <w:sz w:val="16"/>
          <w:szCs w:val="16"/>
          <w:lang w:val="es-CO"/>
        </w:rPr>
      </w:pPr>
      <w:r w:rsidRPr="00494990">
        <w:rPr>
          <w:rStyle w:val="Refdenotaalpie"/>
          <w:rFonts w:ascii="Verdana" w:hAnsi="Verdana"/>
          <w:sz w:val="16"/>
          <w:szCs w:val="16"/>
        </w:rPr>
        <w:footnoteRef/>
      </w:r>
      <w:r w:rsidRPr="00494990">
        <w:rPr>
          <w:rFonts w:ascii="Verdana" w:hAnsi="Verdana"/>
          <w:sz w:val="16"/>
          <w:szCs w:val="16"/>
        </w:rPr>
        <w:t xml:space="preserve"> </w:t>
      </w:r>
      <w:r w:rsidRPr="00494990">
        <w:rPr>
          <w:rFonts w:ascii="Verdana" w:hAnsi="Verdana"/>
          <w:sz w:val="16"/>
          <w:szCs w:val="16"/>
          <w:lang w:val="es-CO"/>
        </w:rPr>
        <w:t xml:space="preserve"> La referencia a la Superintendencia Bancaria debe entenderse hecha a la Superintendencia Financiera, a partir de la expedición del Decreto </w:t>
      </w:r>
      <w:hyperlink r:id="rId1" w:anchor="93" w:history="1">
        <w:r w:rsidRPr="00494990">
          <w:rPr>
            <w:rStyle w:val="Hipervnculo"/>
            <w:rFonts w:ascii="Verdana" w:hAnsi="Verdana"/>
            <w:color w:val="auto"/>
            <w:sz w:val="16"/>
            <w:szCs w:val="16"/>
            <w:u w:val="none"/>
            <w:lang w:val="es-CO"/>
          </w:rPr>
          <w:t>4327</w:t>
        </w:r>
      </w:hyperlink>
      <w:r w:rsidRPr="00494990">
        <w:rPr>
          <w:rFonts w:ascii="Verdana" w:hAnsi="Verdana"/>
          <w:sz w:val="16"/>
          <w:szCs w:val="16"/>
          <w:lang w:val="es-CO"/>
        </w:rPr>
        <w:t xml:space="preserve"> de 2005, 'por el cual se fusiona la Superintendencia Bancaria de Colombia en la Superintendencia de Valores y se modifica su estructura', publicado en el Diario Oficial No. 46.104 de 26 de noviembre de 2005. Empieza a regir a partir de su publicación, según lo ordena el artículo </w:t>
      </w:r>
      <w:hyperlink r:id="rId2" w:anchor="94" w:history="1">
        <w:r w:rsidRPr="00494990">
          <w:rPr>
            <w:rStyle w:val="Hipervnculo"/>
            <w:rFonts w:ascii="Verdana" w:hAnsi="Verdana"/>
            <w:color w:val="auto"/>
            <w:sz w:val="16"/>
            <w:szCs w:val="16"/>
            <w:u w:val="none"/>
            <w:lang w:val="es-CO"/>
          </w:rPr>
          <w:t>94</w:t>
        </w:r>
      </w:hyperlink>
      <w:r w:rsidRPr="00494990">
        <w:rPr>
          <w:rFonts w:ascii="Verdana" w:hAnsi="Verdana"/>
          <w:sz w:val="16"/>
          <w:szCs w:val="16"/>
          <w:lang w:val="es-CO"/>
        </w:rPr>
        <w:t xml:space="preserve"> del mismo decreto.</w:t>
      </w:r>
    </w:p>
  </w:footnote>
  <w:footnote w:id="14">
    <w:p w14:paraId="3ADB5822" w14:textId="77777777" w:rsidR="0020748A" w:rsidRPr="000E22E2" w:rsidRDefault="0020748A" w:rsidP="0020748A">
      <w:pPr>
        <w:pStyle w:val="Textonotapie"/>
        <w:ind w:firstLine="708"/>
        <w:jc w:val="both"/>
        <w:rPr>
          <w:rFonts w:ascii="Verdana" w:hAnsi="Verdana"/>
          <w:sz w:val="16"/>
          <w:szCs w:val="16"/>
          <w:lang w:val="es-CO"/>
        </w:rPr>
      </w:pPr>
      <w:r w:rsidRPr="00494990">
        <w:rPr>
          <w:rStyle w:val="Refdenotaalpie"/>
          <w:rFonts w:ascii="Verdana" w:hAnsi="Verdana"/>
          <w:sz w:val="16"/>
          <w:szCs w:val="16"/>
        </w:rPr>
        <w:footnoteRef/>
      </w:r>
      <w:r w:rsidRPr="00494990">
        <w:rPr>
          <w:rFonts w:ascii="Verdana" w:hAnsi="Verdana"/>
          <w:sz w:val="16"/>
          <w:szCs w:val="16"/>
        </w:rPr>
        <w:t xml:space="preserve"> </w:t>
      </w:r>
      <w:r w:rsidRPr="00494990">
        <w:rPr>
          <w:rFonts w:ascii="Verdana" w:hAnsi="Verdana"/>
          <w:sz w:val="16"/>
          <w:szCs w:val="16"/>
          <w:lang w:val="es-CO"/>
        </w:rPr>
        <w:t>Artículo 2.2.1.2.2.1.6. </w:t>
      </w:r>
      <w:r w:rsidRPr="00494990">
        <w:rPr>
          <w:rFonts w:ascii="Verdana" w:hAnsi="Verdana"/>
          <w:i/>
          <w:iCs/>
          <w:sz w:val="16"/>
          <w:szCs w:val="16"/>
          <w:lang w:val="es-CO"/>
        </w:rPr>
        <w:t>Objeto del contrato con el intermediario idóneo. </w:t>
      </w:r>
      <w:r w:rsidRPr="00494990">
        <w:rPr>
          <w:rFonts w:ascii="Verdana" w:hAnsi="Verdana"/>
          <w:sz w:val="16"/>
          <w:szCs w:val="16"/>
          <w:lang w:val="es-CO"/>
        </w:rPr>
        <w:t>El objeto del contrato es la intermediación comercial tendiente al logro y perfeccionamiento de la venta. En el caso de inmuebles y muebles sujetos a registro, el intermediario debe acompañar el proceso de venta hasta el registro y la entrega física del bien, incluyendo la posibilidad de desempeñarse en calidad de mandatario para estos efectos.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C78D9" w:rsidRDefault="00AC78D9"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8098546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315733942" name="Imagen 1315733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C78D9" w:rsidRDefault="00AC78D9">
    <w:pPr>
      <w:pStyle w:val="Encabezado"/>
    </w:pPr>
  </w:p>
  <w:p w14:paraId="5E18350A" w14:textId="705F7B76" w:rsidR="00AC78D9" w:rsidRPr="004A305D" w:rsidRDefault="00AC78D9" w:rsidP="00B01B1A">
    <w:pPr>
      <w:spacing w:after="0" w:line="120" w:lineRule="auto"/>
      <w:rPr>
        <w:rFonts w:ascii="Century Gothic" w:eastAsia="Geo" w:hAnsi="Century Gothic" w:cs="Geo"/>
        <w:sz w:val="16"/>
        <w:szCs w:val="16"/>
        <w:lang w:eastAsia="es-CO"/>
      </w:rPr>
    </w:pPr>
  </w:p>
  <w:p w14:paraId="211B7F5D" w14:textId="77777777" w:rsidR="00AC78D9" w:rsidRDefault="00AC78D9" w:rsidP="00844AE9">
    <w:pPr>
      <w:spacing w:after="0" w:line="240" w:lineRule="auto"/>
      <w:rPr>
        <w:rFonts w:ascii="Verdana" w:hAnsi="Verdana"/>
        <w:sz w:val="24"/>
        <w:szCs w:val="24"/>
      </w:rPr>
    </w:pPr>
  </w:p>
  <w:p w14:paraId="5A0054B1" w14:textId="77777777" w:rsidR="00AC78D9" w:rsidRPr="00C925AC" w:rsidRDefault="00AC78D9" w:rsidP="00844AE9">
    <w:pPr>
      <w:spacing w:after="0" w:line="240" w:lineRule="auto"/>
      <w:rPr>
        <w:rFonts w:ascii="Verdana" w:hAnsi="Verdana"/>
        <w:sz w:val="24"/>
        <w:szCs w:val="24"/>
      </w:rPr>
    </w:pPr>
  </w:p>
  <w:p w14:paraId="1FD1C243" w14:textId="37C5500A" w:rsidR="00AC78D9" w:rsidRPr="00C925AC" w:rsidRDefault="00AC78D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9543D3"/>
    <w:multiLevelType w:val="multilevel"/>
    <w:tmpl w:val="77B2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52D3058"/>
    <w:multiLevelType w:val="multilevel"/>
    <w:tmpl w:val="96F4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5B752E8"/>
    <w:multiLevelType w:val="multilevel"/>
    <w:tmpl w:val="C638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210755">
    <w:abstractNumId w:val="7"/>
  </w:num>
  <w:num w:numId="2" w16cid:durableId="25956374">
    <w:abstractNumId w:val="1"/>
  </w:num>
  <w:num w:numId="3" w16cid:durableId="1289318625">
    <w:abstractNumId w:val="4"/>
  </w:num>
  <w:num w:numId="4" w16cid:durableId="12594888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6663789">
    <w:abstractNumId w:val="1"/>
  </w:num>
  <w:num w:numId="6" w16cid:durableId="459346595">
    <w:abstractNumId w:val="16"/>
  </w:num>
  <w:num w:numId="7" w16cid:durableId="1071582235">
    <w:abstractNumId w:val="5"/>
  </w:num>
  <w:num w:numId="8" w16cid:durableId="1658345080">
    <w:abstractNumId w:val="15"/>
  </w:num>
  <w:num w:numId="9" w16cid:durableId="2006743987">
    <w:abstractNumId w:val="9"/>
  </w:num>
  <w:num w:numId="10" w16cid:durableId="988291764">
    <w:abstractNumId w:val="14"/>
  </w:num>
  <w:num w:numId="11" w16cid:durableId="268859016">
    <w:abstractNumId w:val="10"/>
  </w:num>
  <w:num w:numId="12" w16cid:durableId="1244031670">
    <w:abstractNumId w:val="0"/>
  </w:num>
  <w:num w:numId="13" w16cid:durableId="1736968406">
    <w:abstractNumId w:val="2"/>
  </w:num>
  <w:num w:numId="14" w16cid:durableId="553348553">
    <w:abstractNumId w:val="17"/>
  </w:num>
  <w:num w:numId="15" w16cid:durableId="1256745277">
    <w:abstractNumId w:val="13"/>
  </w:num>
  <w:num w:numId="16" w16cid:durableId="1829401630">
    <w:abstractNumId w:val="3"/>
  </w:num>
  <w:num w:numId="17" w16cid:durableId="1136022586">
    <w:abstractNumId w:val="11"/>
  </w:num>
  <w:num w:numId="18" w16cid:durableId="224222630">
    <w:abstractNumId w:val="18"/>
  </w:num>
  <w:num w:numId="19" w16cid:durableId="1478953943">
    <w:abstractNumId w:val="19"/>
  </w:num>
  <w:num w:numId="20" w16cid:durableId="432358919">
    <w:abstractNumId w:val="12"/>
  </w:num>
  <w:num w:numId="21" w16cid:durableId="185214892">
    <w:abstractNumId w:val="8"/>
  </w:num>
  <w:num w:numId="22" w16cid:durableId="4123146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830"/>
    <w:rsid w:val="00003AE5"/>
    <w:rsid w:val="0000617B"/>
    <w:rsid w:val="0000668A"/>
    <w:rsid w:val="00006D2B"/>
    <w:rsid w:val="00007A17"/>
    <w:rsid w:val="00016F78"/>
    <w:rsid w:val="000208F2"/>
    <w:rsid w:val="00021D6E"/>
    <w:rsid w:val="00030094"/>
    <w:rsid w:val="00035DF5"/>
    <w:rsid w:val="00037881"/>
    <w:rsid w:val="00042B3F"/>
    <w:rsid w:val="00046945"/>
    <w:rsid w:val="0006175D"/>
    <w:rsid w:val="00061B2A"/>
    <w:rsid w:val="000746CC"/>
    <w:rsid w:val="00082362"/>
    <w:rsid w:val="00086493"/>
    <w:rsid w:val="00086A1E"/>
    <w:rsid w:val="000970F4"/>
    <w:rsid w:val="00097627"/>
    <w:rsid w:val="000A5AE3"/>
    <w:rsid w:val="000A683E"/>
    <w:rsid w:val="000A6D75"/>
    <w:rsid w:val="000B05A2"/>
    <w:rsid w:val="000B19B9"/>
    <w:rsid w:val="000B1C2C"/>
    <w:rsid w:val="000B2F1D"/>
    <w:rsid w:val="000C58CD"/>
    <w:rsid w:val="000C7E6C"/>
    <w:rsid w:val="000D0334"/>
    <w:rsid w:val="000D180F"/>
    <w:rsid w:val="000D5DA7"/>
    <w:rsid w:val="000E032F"/>
    <w:rsid w:val="000E22E2"/>
    <w:rsid w:val="000F4539"/>
    <w:rsid w:val="000F6486"/>
    <w:rsid w:val="00110767"/>
    <w:rsid w:val="00116940"/>
    <w:rsid w:val="00125105"/>
    <w:rsid w:val="00126975"/>
    <w:rsid w:val="00126B92"/>
    <w:rsid w:val="00127233"/>
    <w:rsid w:val="00133EDB"/>
    <w:rsid w:val="001357B2"/>
    <w:rsid w:val="00136941"/>
    <w:rsid w:val="001371DF"/>
    <w:rsid w:val="00142880"/>
    <w:rsid w:val="001465A1"/>
    <w:rsid w:val="00147540"/>
    <w:rsid w:val="00153073"/>
    <w:rsid w:val="0015699B"/>
    <w:rsid w:val="001646C5"/>
    <w:rsid w:val="00176619"/>
    <w:rsid w:val="00177A37"/>
    <w:rsid w:val="001A1137"/>
    <w:rsid w:val="001A33BF"/>
    <w:rsid w:val="001B209F"/>
    <w:rsid w:val="001B7B9D"/>
    <w:rsid w:val="001C0E89"/>
    <w:rsid w:val="001C7E5E"/>
    <w:rsid w:val="001D2619"/>
    <w:rsid w:val="001D795B"/>
    <w:rsid w:val="001E4177"/>
    <w:rsid w:val="001E7A4F"/>
    <w:rsid w:val="001F0B24"/>
    <w:rsid w:val="001F2E9B"/>
    <w:rsid w:val="001F7DC6"/>
    <w:rsid w:val="0020748A"/>
    <w:rsid w:val="00215BC4"/>
    <w:rsid w:val="002177DA"/>
    <w:rsid w:val="00217DD5"/>
    <w:rsid w:val="002231F4"/>
    <w:rsid w:val="0022400B"/>
    <w:rsid w:val="00230B92"/>
    <w:rsid w:val="002421BB"/>
    <w:rsid w:val="00247501"/>
    <w:rsid w:val="0025796E"/>
    <w:rsid w:val="00260079"/>
    <w:rsid w:val="00267C7B"/>
    <w:rsid w:val="002701A2"/>
    <w:rsid w:val="002707A2"/>
    <w:rsid w:val="00280D75"/>
    <w:rsid w:val="00292091"/>
    <w:rsid w:val="002951A0"/>
    <w:rsid w:val="002962BC"/>
    <w:rsid w:val="002964E8"/>
    <w:rsid w:val="002A093D"/>
    <w:rsid w:val="002A0DD0"/>
    <w:rsid w:val="002A49AC"/>
    <w:rsid w:val="002A4D56"/>
    <w:rsid w:val="002A64FD"/>
    <w:rsid w:val="002B1EF4"/>
    <w:rsid w:val="002B72B5"/>
    <w:rsid w:val="002B730F"/>
    <w:rsid w:val="002C687D"/>
    <w:rsid w:val="002C7317"/>
    <w:rsid w:val="002C7A84"/>
    <w:rsid w:val="002D40BA"/>
    <w:rsid w:val="002D53B2"/>
    <w:rsid w:val="002D53C1"/>
    <w:rsid w:val="002E02AD"/>
    <w:rsid w:val="002E2BF8"/>
    <w:rsid w:val="002E4982"/>
    <w:rsid w:val="002E4FD9"/>
    <w:rsid w:val="002E6104"/>
    <w:rsid w:val="002F4390"/>
    <w:rsid w:val="002F4750"/>
    <w:rsid w:val="0030657A"/>
    <w:rsid w:val="003111DE"/>
    <w:rsid w:val="0031308D"/>
    <w:rsid w:val="00316E2E"/>
    <w:rsid w:val="00322A85"/>
    <w:rsid w:val="00324168"/>
    <w:rsid w:val="00330834"/>
    <w:rsid w:val="00331E14"/>
    <w:rsid w:val="00344313"/>
    <w:rsid w:val="003448F4"/>
    <w:rsid w:val="00345791"/>
    <w:rsid w:val="003504CF"/>
    <w:rsid w:val="003525F4"/>
    <w:rsid w:val="003561D8"/>
    <w:rsid w:val="00362FC7"/>
    <w:rsid w:val="003649F5"/>
    <w:rsid w:val="00364ACE"/>
    <w:rsid w:val="00367BFE"/>
    <w:rsid w:val="00367CBB"/>
    <w:rsid w:val="00367F26"/>
    <w:rsid w:val="0037015E"/>
    <w:rsid w:val="0037065D"/>
    <w:rsid w:val="00374F5E"/>
    <w:rsid w:val="00377E3E"/>
    <w:rsid w:val="00381423"/>
    <w:rsid w:val="00381DA0"/>
    <w:rsid w:val="00397E8F"/>
    <w:rsid w:val="003A2C73"/>
    <w:rsid w:val="003A779E"/>
    <w:rsid w:val="003B7B1C"/>
    <w:rsid w:val="003C3B34"/>
    <w:rsid w:val="003D0F4D"/>
    <w:rsid w:val="003D2C97"/>
    <w:rsid w:val="003D5B0D"/>
    <w:rsid w:val="003D6FB6"/>
    <w:rsid w:val="003E0499"/>
    <w:rsid w:val="003E1AFE"/>
    <w:rsid w:val="003E348A"/>
    <w:rsid w:val="003E36F8"/>
    <w:rsid w:val="003E4F80"/>
    <w:rsid w:val="003E6439"/>
    <w:rsid w:val="003E7C68"/>
    <w:rsid w:val="003F3941"/>
    <w:rsid w:val="00400833"/>
    <w:rsid w:val="00406575"/>
    <w:rsid w:val="00412898"/>
    <w:rsid w:val="00414C74"/>
    <w:rsid w:val="0042722E"/>
    <w:rsid w:val="00435A69"/>
    <w:rsid w:val="0043717B"/>
    <w:rsid w:val="00441434"/>
    <w:rsid w:val="004427A2"/>
    <w:rsid w:val="0044528D"/>
    <w:rsid w:val="00451217"/>
    <w:rsid w:val="00454F84"/>
    <w:rsid w:val="00466E39"/>
    <w:rsid w:val="00482B83"/>
    <w:rsid w:val="00486421"/>
    <w:rsid w:val="004874F3"/>
    <w:rsid w:val="0049135E"/>
    <w:rsid w:val="00494990"/>
    <w:rsid w:val="004976CB"/>
    <w:rsid w:val="004A16F2"/>
    <w:rsid w:val="004A1847"/>
    <w:rsid w:val="004A305D"/>
    <w:rsid w:val="004A5BA3"/>
    <w:rsid w:val="004B4E88"/>
    <w:rsid w:val="004B5F61"/>
    <w:rsid w:val="004C15F5"/>
    <w:rsid w:val="004C33E4"/>
    <w:rsid w:val="004D3CF2"/>
    <w:rsid w:val="004D62C6"/>
    <w:rsid w:val="004E074A"/>
    <w:rsid w:val="004E2B80"/>
    <w:rsid w:val="004E464F"/>
    <w:rsid w:val="004F0941"/>
    <w:rsid w:val="004F21C4"/>
    <w:rsid w:val="004F685F"/>
    <w:rsid w:val="00500525"/>
    <w:rsid w:val="00503FCD"/>
    <w:rsid w:val="00512810"/>
    <w:rsid w:val="00525F8B"/>
    <w:rsid w:val="00530A1F"/>
    <w:rsid w:val="005311C2"/>
    <w:rsid w:val="00551FDB"/>
    <w:rsid w:val="00552727"/>
    <w:rsid w:val="005566E8"/>
    <w:rsid w:val="005707D9"/>
    <w:rsid w:val="0057135C"/>
    <w:rsid w:val="0057167E"/>
    <w:rsid w:val="00572BB5"/>
    <w:rsid w:val="00574867"/>
    <w:rsid w:val="00591460"/>
    <w:rsid w:val="005A65E0"/>
    <w:rsid w:val="005B7638"/>
    <w:rsid w:val="005C0ECF"/>
    <w:rsid w:val="005C3777"/>
    <w:rsid w:val="005C5CDC"/>
    <w:rsid w:val="005D476C"/>
    <w:rsid w:val="005E2A02"/>
    <w:rsid w:val="005F0096"/>
    <w:rsid w:val="006200BF"/>
    <w:rsid w:val="006219F8"/>
    <w:rsid w:val="00627F00"/>
    <w:rsid w:val="006302F7"/>
    <w:rsid w:val="0063475B"/>
    <w:rsid w:val="00641E24"/>
    <w:rsid w:val="006420BD"/>
    <w:rsid w:val="00646B9F"/>
    <w:rsid w:val="00660BB7"/>
    <w:rsid w:val="006642C8"/>
    <w:rsid w:val="00665D70"/>
    <w:rsid w:val="006745D3"/>
    <w:rsid w:val="00674FF0"/>
    <w:rsid w:val="006827DE"/>
    <w:rsid w:val="00683CB6"/>
    <w:rsid w:val="006858B3"/>
    <w:rsid w:val="006900D9"/>
    <w:rsid w:val="0069331C"/>
    <w:rsid w:val="00694B36"/>
    <w:rsid w:val="006B0787"/>
    <w:rsid w:val="006D0EE8"/>
    <w:rsid w:val="006E4A62"/>
    <w:rsid w:val="006E5014"/>
    <w:rsid w:val="00701874"/>
    <w:rsid w:val="00702FD9"/>
    <w:rsid w:val="00706C16"/>
    <w:rsid w:val="007166D9"/>
    <w:rsid w:val="007210EC"/>
    <w:rsid w:val="00723BB5"/>
    <w:rsid w:val="007340C3"/>
    <w:rsid w:val="00735DC4"/>
    <w:rsid w:val="00736F2A"/>
    <w:rsid w:val="00745363"/>
    <w:rsid w:val="0075235A"/>
    <w:rsid w:val="0075420C"/>
    <w:rsid w:val="00756841"/>
    <w:rsid w:val="00757BEE"/>
    <w:rsid w:val="0076175D"/>
    <w:rsid w:val="007649AB"/>
    <w:rsid w:val="00770BA1"/>
    <w:rsid w:val="00771943"/>
    <w:rsid w:val="00771D0C"/>
    <w:rsid w:val="007732B4"/>
    <w:rsid w:val="00775CD6"/>
    <w:rsid w:val="00776370"/>
    <w:rsid w:val="007805EB"/>
    <w:rsid w:val="00780D8D"/>
    <w:rsid w:val="007833AC"/>
    <w:rsid w:val="00793302"/>
    <w:rsid w:val="00796CCA"/>
    <w:rsid w:val="007A1830"/>
    <w:rsid w:val="007A48F8"/>
    <w:rsid w:val="007B268C"/>
    <w:rsid w:val="007B7171"/>
    <w:rsid w:val="007C0C0F"/>
    <w:rsid w:val="007C3DC2"/>
    <w:rsid w:val="007D0319"/>
    <w:rsid w:val="007D5B3F"/>
    <w:rsid w:val="007E43EA"/>
    <w:rsid w:val="007E5497"/>
    <w:rsid w:val="00806F5F"/>
    <w:rsid w:val="00820278"/>
    <w:rsid w:val="008258C9"/>
    <w:rsid w:val="0083378B"/>
    <w:rsid w:val="00844AE9"/>
    <w:rsid w:val="0086043F"/>
    <w:rsid w:val="008672E2"/>
    <w:rsid w:val="00867F95"/>
    <w:rsid w:val="0087256F"/>
    <w:rsid w:val="008750DC"/>
    <w:rsid w:val="008843B6"/>
    <w:rsid w:val="00891928"/>
    <w:rsid w:val="0089553C"/>
    <w:rsid w:val="008A0720"/>
    <w:rsid w:val="008A1A16"/>
    <w:rsid w:val="008A446D"/>
    <w:rsid w:val="008A548D"/>
    <w:rsid w:val="008A659C"/>
    <w:rsid w:val="008A7C4A"/>
    <w:rsid w:val="008B06F4"/>
    <w:rsid w:val="008B1BD7"/>
    <w:rsid w:val="008B25F1"/>
    <w:rsid w:val="008B4FAD"/>
    <w:rsid w:val="008B7171"/>
    <w:rsid w:val="008B76C7"/>
    <w:rsid w:val="008D180B"/>
    <w:rsid w:val="008D2272"/>
    <w:rsid w:val="008E2968"/>
    <w:rsid w:val="008E4521"/>
    <w:rsid w:val="008E7101"/>
    <w:rsid w:val="008F0EA7"/>
    <w:rsid w:val="008F10E8"/>
    <w:rsid w:val="008F120F"/>
    <w:rsid w:val="008F1A09"/>
    <w:rsid w:val="008F3DCB"/>
    <w:rsid w:val="00906BDB"/>
    <w:rsid w:val="00923EEF"/>
    <w:rsid w:val="0092579A"/>
    <w:rsid w:val="00930032"/>
    <w:rsid w:val="00930322"/>
    <w:rsid w:val="00936D41"/>
    <w:rsid w:val="009410CA"/>
    <w:rsid w:val="009419F9"/>
    <w:rsid w:val="00952029"/>
    <w:rsid w:val="0095685E"/>
    <w:rsid w:val="0095758F"/>
    <w:rsid w:val="00957C34"/>
    <w:rsid w:val="00960423"/>
    <w:rsid w:val="00961597"/>
    <w:rsid w:val="00961B09"/>
    <w:rsid w:val="00963A44"/>
    <w:rsid w:val="00965334"/>
    <w:rsid w:val="009672BD"/>
    <w:rsid w:val="0097093E"/>
    <w:rsid w:val="009721AA"/>
    <w:rsid w:val="0098174A"/>
    <w:rsid w:val="009877B5"/>
    <w:rsid w:val="00991138"/>
    <w:rsid w:val="00994B81"/>
    <w:rsid w:val="009977A7"/>
    <w:rsid w:val="009A0DFA"/>
    <w:rsid w:val="009A3571"/>
    <w:rsid w:val="009A69DC"/>
    <w:rsid w:val="009A74B4"/>
    <w:rsid w:val="009B2D26"/>
    <w:rsid w:val="009B4089"/>
    <w:rsid w:val="009C631E"/>
    <w:rsid w:val="009C71FA"/>
    <w:rsid w:val="009C72E7"/>
    <w:rsid w:val="009C7F7E"/>
    <w:rsid w:val="009D3058"/>
    <w:rsid w:val="009D6E5E"/>
    <w:rsid w:val="009E055A"/>
    <w:rsid w:val="009E6D13"/>
    <w:rsid w:val="009F18F3"/>
    <w:rsid w:val="009F3A13"/>
    <w:rsid w:val="009F59C1"/>
    <w:rsid w:val="009F64DD"/>
    <w:rsid w:val="009F7439"/>
    <w:rsid w:val="009F7479"/>
    <w:rsid w:val="00A02303"/>
    <w:rsid w:val="00A0254B"/>
    <w:rsid w:val="00A122D3"/>
    <w:rsid w:val="00A12D4E"/>
    <w:rsid w:val="00A14468"/>
    <w:rsid w:val="00A17F13"/>
    <w:rsid w:val="00A20739"/>
    <w:rsid w:val="00A22FC4"/>
    <w:rsid w:val="00A23AF9"/>
    <w:rsid w:val="00A269EB"/>
    <w:rsid w:val="00A338A1"/>
    <w:rsid w:val="00A33C78"/>
    <w:rsid w:val="00A34F17"/>
    <w:rsid w:val="00A41AD1"/>
    <w:rsid w:val="00A43F2E"/>
    <w:rsid w:val="00A515E1"/>
    <w:rsid w:val="00A52377"/>
    <w:rsid w:val="00A71F85"/>
    <w:rsid w:val="00A77865"/>
    <w:rsid w:val="00A81A2A"/>
    <w:rsid w:val="00A8243D"/>
    <w:rsid w:val="00A84311"/>
    <w:rsid w:val="00AB0ADB"/>
    <w:rsid w:val="00AC78D9"/>
    <w:rsid w:val="00AF6EA1"/>
    <w:rsid w:val="00B0027A"/>
    <w:rsid w:val="00B00C0E"/>
    <w:rsid w:val="00B01B1A"/>
    <w:rsid w:val="00B14EE9"/>
    <w:rsid w:val="00B16B6B"/>
    <w:rsid w:val="00B24032"/>
    <w:rsid w:val="00B305A2"/>
    <w:rsid w:val="00B30744"/>
    <w:rsid w:val="00B44A47"/>
    <w:rsid w:val="00B50CF7"/>
    <w:rsid w:val="00B62E96"/>
    <w:rsid w:val="00B63408"/>
    <w:rsid w:val="00B65296"/>
    <w:rsid w:val="00B66EBC"/>
    <w:rsid w:val="00B713CF"/>
    <w:rsid w:val="00B72609"/>
    <w:rsid w:val="00B72CD3"/>
    <w:rsid w:val="00B72FFF"/>
    <w:rsid w:val="00B84385"/>
    <w:rsid w:val="00B8696B"/>
    <w:rsid w:val="00B87D48"/>
    <w:rsid w:val="00BB1741"/>
    <w:rsid w:val="00BB18EE"/>
    <w:rsid w:val="00BC205A"/>
    <w:rsid w:val="00BC396D"/>
    <w:rsid w:val="00BC3D36"/>
    <w:rsid w:val="00BC7592"/>
    <w:rsid w:val="00BD02BC"/>
    <w:rsid w:val="00BD394D"/>
    <w:rsid w:val="00BD4FD7"/>
    <w:rsid w:val="00BD54A6"/>
    <w:rsid w:val="00BD7F72"/>
    <w:rsid w:val="00BE343A"/>
    <w:rsid w:val="00BF501D"/>
    <w:rsid w:val="00BF7425"/>
    <w:rsid w:val="00C04FB3"/>
    <w:rsid w:val="00C11D8B"/>
    <w:rsid w:val="00C120B0"/>
    <w:rsid w:val="00C13BAD"/>
    <w:rsid w:val="00C23C15"/>
    <w:rsid w:val="00C330EB"/>
    <w:rsid w:val="00C33F59"/>
    <w:rsid w:val="00C44263"/>
    <w:rsid w:val="00C4476D"/>
    <w:rsid w:val="00C50D69"/>
    <w:rsid w:val="00C5365C"/>
    <w:rsid w:val="00C67948"/>
    <w:rsid w:val="00C7039F"/>
    <w:rsid w:val="00C754BE"/>
    <w:rsid w:val="00C76B1C"/>
    <w:rsid w:val="00C863EF"/>
    <w:rsid w:val="00C864E4"/>
    <w:rsid w:val="00C91E38"/>
    <w:rsid w:val="00C925AC"/>
    <w:rsid w:val="00CA59A7"/>
    <w:rsid w:val="00CA77E0"/>
    <w:rsid w:val="00CB2116"/>
    <w:rsid w:val="00CB6357"/>
    <w:rsid w:val="00CC1B26"/>
    <w:rsid w:val="00CD78AF"/>
    <w:rsid w:val="00CE3611"/>
    <w:rsid w:val="00CE5539"/>
    <w:rsid w:val="00CF525F"/>
    <w:rsid w:val="00D01125"/>
    <w:rsid w:val="00D05D9B"/>
    <w:rsid w:val="00D1135B"/>
    <w:rsid w:val="00D2021B"/>
    <w:rsid w:val="00D23AB5"/>
    <w:rsid w:val="00D25374"/>
    <w:rsid w:val="00D30E31"/>
    <w:rsid w:val="00D361FD"/>
    <w:rsid w:val="00D423A2"/>
    <w:rsid w:val="00D44E26"/>
    <w:rsid w:val="00D520D8"/>
    <w:rsid w:val="00D532F2"/>
    <w:rsid w:val="00D60251"/>
    <w:rsid w:val="00D60AD9"/>
    <w:rsid w:val="00D62B39"/>
    <w:rsid w:val="00D63AC2"/>
    <w:rsid w:val="00D65E6F"/>
    <w:rsid w:val="00D7383B"/>
    <w:rsid w:val="00D73A04"/>
    <w:rsid w:val="00D7788A"/>
    <w:rsid w:val="00D77ED5"/>
    <w:rsid w:val="00D80B28"/>
    <w:rsid w:val="00D81D9B"/>
    <w:rsid w:val="00D84CE8"/>
    <w:rsid w:val="00D854D9"/>
    <w:rsid w:val="00D85536"/>
    <w:rsid w:val="00D90621"/>
    <w:rsid w:val="00D9412B"/>
    <w:rsid w:val="00DA231B"/>
    <w:rsid w:val="00DA39D1"/>
    <w:rsid w:val="00DB0EE9"/>
    <w:rsid w:val="00DB442D"/>
    <w:rsid w:val="00DC39FC"/>
    <w:rsid w:val="00DE02B8"/>
    <w:rsid w:val="00DE2BFD"/>
    <w:rsid w:val="00DF2A39"/>
    <w:rsid w:val="00DF45AC"/>
    <w:rsid w:val="00DF5254"/>
    <w:rsid w:val="00E02524"/>
    <w:rsid w:val="00E1311D"/>
    <w:rsid w:val="00E16408"/>
    <w:rsid w:val="00E20111"/>
    <w:rsid w:val="00E20894"/>
    <w:rsid w:val="00E22BB0"/>
    <w:rsid w:val="00E245AB"/>
    <w:rsid w:val="00E2764C"/>
    <w:rsid w:val="00E27F2E"/>
    <w:rsid w:val="00E32B8C"/>
    <w:rsid w:val="00E4305B"/>
    <w:rsid w:val="00E50AFE"/>
    <w:rsid w:val="00E57F31"/>
    <w:rsid w:val="00E63642"/>
    <w:rsid w:val="00E663D6"/>
    <w:rsid w:val="00E71F7E"/>
    <w:rsid w:val="00E75C92"/>
    <w:rsid w:val="00E771DC"/>
    <w:rsid w:val="00E77CCA"/>
    <w:rsid w:val="00E80985"/>
    <w:rsid w:val="00E81A32"/>
    <w:rsid w:val="00E83B78"/>
    <w:rsid w:val="00E8772A"/>
    <w:rsid w:val="00E906BC"/>
    <w:rsid w:val="00E90F6B"/>
    <w:rsid w:val="00E92924"/>
    <w:rsid w:val="00E92C27"/>
    <w:rsid w:val="00E94B5A"/>
    <w:rsid w:val="00EA0E3D"/>
    <w:rsid w:val="00EA2550"/>
    <w:rsid w:val="00EA4556"/>
    <w:rsid w:val="00EB51EE"/>
    <w:rsid w:val="00EC1835"/>
    <w:rsid w:val="00EC38A7"/>
    <w:rsid w:val="00EE1AA8"/>
    <w:rsid w:val="00EF46BF"/>
    <w:rsid w:val="00F03ABE"/>
    <w:rsid w:val="00F05FAC"/>
    <w:rsid w:val="00F10B9D"/>
    <w:rsid w:val="00F11799"/>
    <w:rsid w:val="00F13237"/>
    <w:rsid w:val="00F22075"/>
    <w:rsid w:val="00F23FEA"/>
    <w:rsid w:val="00F268D5"/>
    <w:rsid w:val="00F27984"/>
    <w:rsid w:val="00F27B7B"/>
    <w:rsid w:val="00F309E3"/>
    <w:rsid w:val="00F31EDC"/>
    <w:rsid w:val="00F328A8"/>
    <w:rsid w:val="00F41316"/>
    <w:rsid w:val="00F456B5"/>
    <w:rsid w:val="00F462B3"/>
    <w:rsid w:val="00F466BC"/>
    <w:rsid w:val="00F54E0C"/>
    <w:rsid w:val="00F5664F"/>
    <w:rsid w:val="00F60300"/>
    <w:rsid w:val="00F666C4"/>
    <w:rsid w:val="00F76AFC"/>
    <w:rsid w:val="00F77297"/>
    <w:rsid w:val="00F838A3"/>
    <w:rsid w:val="00F8569A"/>
    <w:rsid w:val="00F86831"/>
    <w:rsid w:val="00F93BFD"/>
    <w:rsid w:val="00F949D1"/>
    <w:rsid w:val="00FA3FC5"/>
    <w:rsid w:val="00FA47C0"/>
    <w:rsid w:val="00FA7612"/>
    <w:rsid w:val="00FB5DD1"/>
    <w:rsid w:val="00FC2B5D"/>
    <w:rsid w:val="00FD0452"/>
    <w:rsid w:val="00FD3154"/>
    <w:rsid w:val="00FD6628"/>
    <w:rsid w:val="00FE23F2"/>
    <w:rsid w:val="00FE5787"/>
    <w:rsid w:val="00FE638A"/>
    <w:rsid w:val="00FF1449"/>
    <w:rsid w:val="00FF3C75"/>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6093D12-AA21-47C6-95C4-238370BB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1F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4CF"/>
    <w:rPr>
      <w:rFonts w:ascii="Geomanist Light" w:hAnsi="Geomanist Light"/>
      <w:lang w:val="es-ES"/>
    </w:rPr>
  </w:style>
  <w:style w:type="character" w:styleId="Fuerte">
    <w:name w:val="Strong"/>
    <w:basedOn w:val="Fuentedeprrafopredeter"/>
    <w:uiPriority w:val="22"/>
    <w:qFormat/>
    <w:rsid w:val="003E348A"/>
    <w:rPr>
      <w:b/>
      <w:bCs/>
    </w:rPr>
  </w:style>
  <w:style w:type="character" w:customStyle="1" w:styleId="NormalWebCar">
    <w:name w:val="Normal (Web) Car"/>
    <w:link w:val="NormalWeb"/>
    <w:uiPriority w:val="99"/>
    <w:locked/>
    <w:rsid w:val="003E348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83378B"/>
    <w:pPr>
      <w:spacing w:after="120"/>
    </w:pPr>
  </w:style>
  <w:style w:type="character" w:customStyle="1" w:styleId="TextoindependienteCar">
    <w:name w:val="Texto independiente Car"/>
    <w:basedOn w:val="Fuentedeprrafopredeter"/>
    <w:link w:val="Textoindependiente"/>
    <w:uiPriority w:val="99"/>
    <w:semiHidden/>
    <w:rsid w:val="0083378B"/>
  </w:style>
  <w:style w:type="character" w:styleId="Mencinsinresolver">
    <w:name w:val="Unresolved Mention"/>
    <w:basedOn w:val="Fuentedeprrafopredeter"/>
    <w:uiPriority w:val="99"/>
    <w:semiHidden/>
    <w:unhideWhenUsed/>
    <w:rsid w:val="00362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317" TargetMode="External"/><Relationship Id="rId18"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settings" Target="settings.xml"/><Relationship Id="rId12" Type="http://schemas.openxmlformats.org/officeDocument/2006/relationships/hyperlink" Target="mailto:andres_m21@outlook.com" TargetMode="External"/><Relationship Id="rId17"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funcionpublica.gov.co/eva/gestornormativo/norma.php?i=22431" TargetMode="External"/><Relationship Id="rId23" Type="http://schemas.openxmlformats.org/officeDocument/2006/relationships/hyperlink" Target="https://forms.office.com/r/pPHyWVs2SZ"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6050" TargetMode="External"/><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decreto_4327_2005_pr001.html" TargetMode="External"/><Relationship Id="rId1" Type="http://schemas.openxmlformats.org/officeDocument/2006/relationships/hyperlink" Target="http://www.secretariasenado.gov.co/senado/basedoc/decreto_4327_2005_pr001.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7320F8-ADE1-4EE5-A801-EACB10328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466182A7-6CD5-409D-A1D3-A9C9309E627F}">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7215</Words>
  <Characters>39684</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Sánchez Cardona</cp:lastModifiedBy>
  <cp:revision>6</cp:revision>
  <cp:lastPrinted>2023-01-10T21:18:00Z</cp:lastPrinted>
  <dcterms:created xsi:type="dcterms:W3CDTF">2026-09-30T13:59:00Z</dcterms:created>
  <dcterms:modified xsi:type="dcterms:W3CDTF">2026-09-30T14:44:00Z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