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C7D1C" w14:textId="137A67DF" w:rsidR="00CB4E49" w:rsidRDefault="00CB4E49" w:rsidP="00CB4E49">
      <w:pPr>
        <w:jc w:val="both"/>
        <w:rPr>
          <w:rFonts w:ascii="Verdana" w:eastAsia="Calibri" w:hAnsi="Verdana" w:cs="Arial"/>
          <w:b/>
        </w:rPr>
      </w:pPr>
      <w:bookmarkStart w:id="0" w:name="_Hlk143780582"/>
      <w:r w:rsidRPr="00F0691A">
        <w:rPr>
          <w:rFonts w:ascii="Verdana" w:eastAsia="Calibri" w:hAnsi="Verdana" w:cs="Arial"/>
          <w:b/>
        </w:rPr>
        <w:t>PAGO ANTICIPADO Y/O ANTICIPO – Regulación normativ</w:t>
      </w:r>
      <w:r w:rsidRPr="00F0691A">
        <w:rPr>
          <w:rFonts w:ascii="Verdana" w:eastAsia="Calibri" w:hAnsi="Verdana" w:cs="Arial"/>
          <w:b/>
        </w:rPr>
        <w:t>a</w:t>
      </w:r>
    </w:p>
    <w:p w14:paraId="734F6D34" w14:textId="77777777" w:rsidR="00B71126" w:rsidRPr="00F46748" w:rsidRDefault="00B71126" w:rsidP="00B71126">
      <w:pPr>
        <w:spacing w:line="240" w:lineRule="auto"/>
        <w:jc w:val="both"/>
        <w:rPr>
          <w:rFonts w:ascii="Verdana" w:hAnsi="Verdana" w:cs="Arial"/>
          <w:sz w:val="20"/>
          <w:szCs w:val="20"/>
        </w:rPr>
      </w:pPr>
      <w:r w:rsidRPr="00F46748">
        <w:rPr>
          <w:rFonts w:ascii="Verdana" w:hAnsi="Verdana" w:cs="Arial"/>
          <w:sz w:val="20"/>
          <w:szCs w:val="20"/>
        </w:rPr>
        <w:t>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anticipo no podrá superar el cincuenta por ciento (50%) del valor o precio del negocio jurídico celebrado por la entidad estatal.</w:t>
      </w:r>
    </w:p>
    <w:p w14:paraId="5225F7B9" w14:textId="3A587E39" w:rsidR="00CB4E49" w:rsidRDefault="00CB4E49" w:rsidP="00CB4E49">
      <w:pPr>
        <w:jc w:val="both"/>
        <w:rPr>
          <w:rFonts w:ascii="Verdana" w:eastAsia="Calibri" w:hAnsi="Verdana" w:cs="Arial"/>
          <w:b/>
          <w:lang w:eastAsia="es-ES"/>
        </w:rPr>
      </w:pPr>
      <w:r w:rsidRPr="00F0691A">
        <w:rPr>
          <w:rFonts w:ascii="Verdana" w:eastAsia="Calibri" w:hAnsi="Verdana" w:cs="Arial"/>
          <w:b/>
          <w:lang w:eastAsia="es-ES"/>
        </w:rPr>
        <w:t>ANTICIPO – Definición jurisprudencial</w:t>
      </w:r>
    </w:p>
    <w:p w14:paraId="01CDB157" w14:textId="035CD03D" w:rsidR="00F46748" w:rsidRPr="00F46748" w:rsidRDefault="00F46748" w:rsidP="00F46748">
      <w:pPr>
        <w:tabs>
          <w:tab w:val="left" w:pos="0"/>
        </w:tabs>
        <w:spacing w:after="120" w:line="240" w:lineRule="auto"/>
        <w:jc w:val="both"/>
        <w:rPr>
          <w:rFonts w:ascii="Verdana" w:hAnsi="Verdana" w:cs="Arial"/>
          <w:sz w:val="20"/>
          <w:szCs w:val="20"/>
        </w:rPr>
      </w:pPr>
      <w:r w:rsidRPr="00F46748">
        <w:rPr>
          <w:rFonts w:ascii="Verdana" w:hAnsi="Verdana" w:cs="Arial"/>
          <w:sz w:val="20"/>
          <w:szCs w:val="20"/>
        </w:rPr>
        <w:t>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sz w:val="20"/>
          <w:szCs w:val="20"/>
          <w:vertAlign w:val="superscript"/>
        </w:rPr>
        <w:t xml:space="preserve">. </w:t>
      </w:r>
      <w:r w:rsidRPr="00F46748">
        <w:rPr>
          <w:rFonts w:ascii="Verdana" w:hAnsi="Verdana" w:cs="Arial"/>
          <w:sz w:val="20"/>
          <w:szCs w:val="20"/>
        </w:rPr>
        <w:t xml:space="preserve"> </w:t>
      </w:r>
      <w:r w:rsidRPr="00F46748">
        <w:rPr>
          <w:rFonts w:ascii="Verdana" w:hAnsi="Verdana" w:cs="Arial"/>
          <w:sz w:val="20"/>
          <w:szCs w:val="20"/>
        </w:rPr>
        <w:t>Igualmente, explica que el anticipo, al facilitar al contratista la financiación de los bienes y servicios que se le han encargado, es un factor determinante para impulsar la ejecución del contrato</w:t>
      </w:r>
      <w:r>
        <w:rPr>
          <w:sz w:val="20"/>
          <w:szCs w:val="20"/>
          <w:vertAlign w:val="superscript"/>
        </w:rPr>
        <w:t>.</w:t>
      </w:r>
      <w:r w:rsidRPr="00F46748">
        <w:rPr>
          <w:rFonts w:ascii="Verdana" w:hAnsi="Verdana" w:cs="Arial"/>
          <w:sz w:val="20"/>
          <w:szCs w:val="20"/>
        </w:rPr>
        <w:t xml:space="preserve"> Este también es el entendimiento de la doctrina, que ha considerado el anticipo como un dinero entregado al contratista que debe cancelarse mediante descuentos parciales, siendo una práctica común que permite impulsar la ejecución del contrat</w:t>
      </w:r>
      <w:r>
        <w:rPr>
          <w:rFonts w:ascii="Verdana" w:hAnsi="Verdana" w:cs="Arial"/>
          <w:sz w:val="20"/>
          <w:szCs w:val="20"/>
        </w:rPr>
        <w:t>o.</w:t>
      </w:r>
    </w:p>
    <w:p w14:paraId="4B1905CF" w14:textId="2F05A1AE" w:rsidR="00F46748" w:rsidRPr="00F46748" w:rsidRDefault="00F46748" w:rsidP="00F46748">
      <w:pPr>
        <w:tabs>
          <w:tab w:val="left" w:pos="0"/>
        </w:tabs>
        <w:spacing w:after="120" w:line="240" w:lineRule="auto"/>
        <w:jc w:val="both"/>
        <w:rPr>
          <w:rFonts w:ascii="Verdana" w:hAnsi="Verdana" w:cs="Arial"/>
          <w:sz w:val="20"/>
          <w:szCs w:val="20"/>
        </w:rPr>
      </w:pPr>
      <w:r w:rsidRPr="00F46748">
        <w:rPr>
          <w:rFonts w:ascii="Verdana" w:hAnsi="Verdana" w:cs="Arial"/>
          <w:sz w:val="20"/>
          <w:szCs w:val="20"/>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F46748">
        <w:rPr>
          <w:rFonts w:ascii="Verdana" w:hAnsi="Verdana" w:cs="Times New Roman"/>
          <w:sz w:val="20"/>
          <w:szCs w:val="20"/>
          <w:lang w:eastAsia="es-CO"/>
        </w:rPr>
        <w:t xml:space="preserve"> </w:t>
      </w:r>
    </w:p>
    <w:p w14:paraId="0563D6C4" w14:textId="1D68A245" w:rsidR="00CB4E49" w:rsidRDefault="00CB4E49" w:rsidP="00CB4E49">
      <w:pPr>
        <w:jc w:val="both"/>
        <w:rPr>
          <w:rFonts w:ascii="Verdana" w:eastAsia="Calibri" w:hAnsi="Verdana" w:cs="Arial"/>
          <w:b/>
          <w:lang w:eastAsia="es-ES"/>
        </w:rPr>
      </w:pPr>
      <w:r w:rsidRPr="00F0691A">
        <w:rPr>
          <w:rFonts w:ascii="Verdana" w:eastAsia="Calibri" w:hAnsi="Verdana" w:cs="Arial"/>
          <w:b/>
          <w:lang w:eastAsia="es-ES"/>
        </w:rPr>
        <w:t>PAGO ANTICIPADO – Definición</w:t>
      </w:r>
    </w:p>
    <w:p w14:paraId="54A11337" w14:textId="4EF83AB3" w:rsidR="00626205" w:rsidRPr="00162108" w:rsidRDefault="00626205" w:rsidP="00CB4E49">
      <w:pPr>
        <w:jc w:val="both"/>
        <w:rPr>
          <w:rFonts w:ascii="Verdana" w:eastAsia="Calibri" w:hAnsi="Verdana" w:cs="Arial"/>
          <w:b/>
          <w:sz w:val="20"/>
          <w:szCs w:val="20"/>
          <w:lang w:val="es-ES" w:eastAsia="es-ES"/>
        </w:rPr>
      </w:pPr>
      <w:r w:rsidRPr="00162108">
        <w:rPr>
          <w:rFonts w:ascii="Verdana" w:eastAsia="Calibri" w:hAnsi="Verdana" w:cs="Arial"/>
          <w:sz w:val="20"/>
          <w:szCs w:val="20"/>
          <w:lang w:val="es-ES"/>
        </w:rPr>
        <w:t xml:space="preserve">Teniendo en cuenta el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162108">
        <w:rPr>
          <w:rFonts w:ascii="Verdana" w:eastAsia="Calibri" w:hAnsi="Verdana" w:cs="Arial"/>
          <w:sz w:val="20"/>
          <w:szCs w:val="20"/>
          <w:lang w:val="es-ES"/>
        </w:rPr>
        <w:t>ii</w:t>
      </w:r>
      <w:proofErr w:type="spellEnd"/>
      <w:r w:rsidRPr="00162108">
        <w:rPr>
          <w:rFonts w:ascii="Verdana" w:eastAsia="Calibri" w:hAnsi="Verdana" w:cs="Arial"/>
          <w:sz w:val="20"/>
          <w:szCs w:val="20"/>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162108">
        <w:rPr>
          <w:rFonts w:ascii="Verdana" w:hAnsi="Verdana" w:cs="Arial"/>
          <w:sz w:val="20"/>
          <w:szCs w:val="20"/>
          <w:lang w:bidi="es-ES"/>
        </w:rPr>
        <w:t xml:space="preserve"> Al respecto, frente a estas dos instituciones expresa, la Sección Cuarta de Consejo de Estado, citando a la Sección Tercera: “El anticipo es el primer pago de los contratos de ejecución sucesiva que habrá de destinarse al </w:t>
      </w:r>
      <w:r w:rsidRPr="00162108">
        <w:rPr>
          <w:rFonts w:ascii="Verdana" w:hAnsi="Verdana" w:cs="Arial"/>
          <w:sz w:val="20"/>
          <w:szCs w:val="20"/>
          <w:lang w:bidi="es-ES"/>
        </w:rPr>
        <w:lastRenderedPageBreak/>
        <w:t>cubrimiento de los costos iniciales, mientras que el pago anticipado corresponde a la retribución parcial que el contratista recibe en los contratos de ejecución sucesiva</w:t>
      </w:r>
      <w:r w:rsidR="00162108" w:rsidRPr="00162108">
        <w:rPr>
          <w:rFonts w:ascii="Verdana" w:hAnsi="Verdana" w:cs="Arial"/>
          <w:sz w:val="20"/>
          <w:szCs w:val="20"/>
          <w:lang w:bidi="es-ES"/>
        </w:rPr>
        <w:t>”.</w:t>
      </w:r>
    </w:p>
    <w:p w14:paraId="38E2D373" w14:textId="77777777" w:rsidR="00BF42FD" w:rsidRDefault="00BF42FD">
      <w:pPr>
        <w:rPr>
          <w:rFonts w:ascii="Verdana" w:eastAsia="Verdana" w:hAnsi="Verdana" w:cs="Verdana"/>
        </w:rPr>
      </w:pPr>
      <w:r>
        <w:rPr>
          <w:rFonts w:ascii="Verdana" w:eastAsia="Verdana" w:hAnsi="Verdana" w:cs="Verdana"/>
        </w:rPr>
        <w:br w:type="page"/>
      </w:r>
    </w:p>
    <w:p w14:paraId="1468C46D" w14:textId="2F891477" w:rsidR="00C15139" w:rsidRPr="0024624F" w:rsidRDefault="00BF42FD" w:rsidP="30821638">
      <w:pPr>
        <w:spacing w:after="0"/>
        <w:rPr>
          <w:rFonts w:ascii="Verdana" w:eastAsia="Verdana" w:hAnsi="Verdana" w:cs="Verdana"/>
        </w:rPr>
      </w:pPr>
      <w:r w:rsidRPr="00BF42FD">
        <w:rPr>
          <w:rFonts w:ascii="Verdana" w:hAnsi="Verdana"/>
          <w:noProof/>
          <w:lang w:eastAsia="es-ES"/>
        </w:rPr>
        <w:lastRenderedPageBreak/>
        <w:drawing>
          <wp:anchor distT="0" distB="0" distL="114300" distR="114300" simplePos="0" relativeHeight="251658240" behindDoc="1" locked="0" layoutInCell="1" allowOverlap="1" wp14:anchorId="425D1BA8" wp14:editId="7627F053">
            <wp:simplePos x="0" y="0"/>
            <wp:positionH relativeFrom="margin">
              <wp:align>right</wp:align>
            </wp:positionH>
            <wp:positionV relativeFrom="paragraph">
              <wp:posOffset>8458</wp:posOffset>
            </wp:positionV>
            <wp:extent cx="2377224" cy="657112"/>
            <wp:effectExtent l="0" t="0" r="4445" b="0"/>
            <wp:wrapNone/>
            <wp:docPr id="1213864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7224" cy="6571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09 Septiembre 2026</w:t>
      </w:r>
      <w:r w:rsidR="00C15139">
        <w:tab/>
      </w:r>
      <w:r w:rsidR="00C15139">
        <w:br/>
      </w:r>
      <w:r w:rsidR="00C15139">
        <w:tab/>
      </w:r>
    </w:p>
    <w:p w14:paraId="2A93BDF6" w14:textId="09FDE664" w:rsidR="006A00DD" w:rsidRPr="00DB6C5D" w:rsidRDefault="006A00DD" w:rsidP="006A00DD">
      <w:pPr>
        <w:pStyle w:val="Sinespaciado"/>
        <w:jc w:val="both"/>
        <w:rPr>
          <w:rFonts w:ascii="Verdana" w:hAnsi="Verdana"/>
          <w:lang w:eastAsia="es-ES"/>
        </w:rPr>
      </w:pPr>
      <w:bookmarkStart w:id="1" w:name="_Hlk186494164"/>
      <w:r w:rsidRPr="00DB6C5D">
        <w:rPr>
          <w:rFonts w:ascii="Verdana" w:hAnsi="Verdana"/>
          <w:lang w:eastAsia="es-ES"/>
        </w:rPr>
        <w:t>Señor</w:t>
      </w:r>
      <w:r w:rsidR="00BF42FD" w:rsidRPr="00BF42FD">
        <w:rPr>
          <w:rFonts w:ascii="Verdana" w:hAnsi="Verdana"/>
          <w:lang w:eastAsia="es-ES"/>
        </w:rPr>
        <w:t xml:space="preserve"> </w:t>
      </w:r>
    </w:p>
    <w:p w14:paraId="00EB43E3" w14:textId="6195D07F" w:rsidR="006A00DD" w:rsidRDefault="001C1C61" w:rsidP="006A00DD">
      <w:pPr>
        <w:pStyle w:val="Sinespaciado"/>
        <w:jc w:val="both"/>
        <w:rPr>
          <w:rFonts w:ascii="Verdana" w:hAnsi="Verdana" w:cs="Times New Roman"/>
          <w:b/>
          <w:bCs/>
        </w:rPr>
      </w:pPr>
      <w:r>
        <w:rPr>
          <w:rFonts w:ascii="Verdana" w:hAnsi="Verdana" w:cs="Times New Roman"/>
          <w:b/>
          <w:bCs/>
        </w:rPr>
        <w:t>Carlos Alberto Londoño Quintero</w:t>
      </w:r>
    </w:p>
    <w:p w14:paraId="5D457CF8" w14:textId="310F3C38" w:rsidR="001C1C61" w:rsidRPr="001C1C61" w:rsidRDefault="001C1C61" w:rsidP="006A00DD">
      <w:pPr>
        <w:pStyle w:val="Sinespaciado"/>
        <w:jc w:val="both"/>
        <w:rPr>
          <w:rFonts w:ascii="Verdana" w:hAnsi="Verdana"/>
        </w:rPr>
      </w:pPr>
      <w:hyperlink r:id="rId11" w:history="1">
        <w:r w:rsidRPr="001C1C61">
          <w:rPr>
            <w:rStyle w:val="Hipervnculo"/>
            <w:rFonts w:ascii="Verdana" w:hAnsi="Verdana"/>
          </w:rPr>
          <w:t>lonquintero@yahoo.es</w:t>
        </w:r>
      </w:hyperlink>
    </w:p>
    <w:p w14:paraId="513CDCD1" w14:textId="2ECB50AA" w:rsidR="006A00DD" w:rsidRPr="00DB6C5D" w:rsidRDefault="001C1C61" w:rsidP="006A00DD">
      <w:pPr>
        <w:pStyle w:val="Sinespaciado"/>
        <w:jc w:val="both"/>
        <w:rPr>
          <w:rFonts w:ascii="Verdana" w:hAnsi="Verdana" w:cs="Times New Roman"/>
          <w:b/>
          <w:bCs/>
        </w:rPr>
      </w:pPr>
      <w:r>
        <w:rPr>
          <w:rFonts w:ascii="Verdana" w:hAnsi="Verdana" w:cs="Times New Roman"/>
        </w:rPr>
        <w:t>Medellín</w:t>
      </w:r>
      <w:r w:rsidR="006A00DD">
        <w:rPr>
          <w:rFonts w:ascii="Verdana" w:hAnsi="Verdana" w:cs="Times New Roman"/>
        </w:rPr>
        <w:t xml:space="preserve"> – </w:t>
      </w:r>
      <w:r>
        <w:rPr>
          <w:rFonts w:ascii="Verdana" w:hAnsi="Verdana" w:cs="Times New Roman"/>
        </w:rPr>
        <w:t>Antioquia</w:t>
      </w:r>
      <w:r w:rsidR="006A00DD">
        <w:rPr>
          <w:rFonts w:ascii="Verdana" w:hAnsi="Verdana" w:cs="Times New Roman"/>
        </w:rPr>
        <w:t>, Colombia</w:t>
      </w:r>
    </w:p>
    <w:p w14:paraId="26F02375" w14:textId="77777777" w:rsidR="006A00DD" w:rsidRPr="00DB6C5D" w:rsidRDefault="006A00DD" w:rsidP="006A00DD">
      <w:pPr>
        <w:pStyle w:val="Sinespaciado"/>
        <w:jc w:val="both"/>
        <w:rPr>
          <w:rFonts w:ascii="Verdana" w:hAnsi="Verdana" w:cs="Times New Roman"/>
        </w:rPr>
      </w:pPr>
    </w:p>
    <w:p w14:paraId="658CF7B3" w14:textId="77777777" w:rsidR="006A00DD" w:rsidRPr="00DB6C5D" w:rsidRDefault="006A00DD" w:rsidP="006A00DD">
      <w:pPr>
        <w:pStyle w:val="Sinespaciado"/>
        <w:jc w:val="both"/>
        <w:rPr>
          <w:rFonts w:ascii="Verdana" w:hAnsi="Verdana" w:cs="Times New Roman"/>
          <w:b/>
          <w:bCs/>
        </w:rPr>
      </w:pPr>
    </w:p>
    <w:p w14:paraId="6C0770B5" w14:textId="536FF084" w:rsidR="006A00DD" w:rsidRPr="00DB6C5D" w:rsidRDefault="006A00DD" w:rsidP="006A00DD">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Pr="00BE041B">
        <w:rPr>
          <w:rFonts w:ascii="Verdana" w:eastAsia="Calibri" w:hAnsi="Verdana" w:cs="Arial"/>
          <w:b/>
          <w:bCs/>
          <w:lang w:eastAsia="es-ES"/>
        </w:rPr>
        <w:t>C-1</w:t>
      </w:r>
      <w:r w:rsidR="00317365">
        <w:rPr>
          <w:rFonts w:ascii="Verdana" w:eastAsia="Calibri" w:hAnsi="Verdana" w:cs="Arial"/>
          <w:b/>
          <w:bCs/>
          <w:lang w:eastAsia="es-ES"/>
        </w:rPr>
        <w:t>339</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747BB20F" w14:textId="77777777" w:rsidR="006A00DD" w:rsidRPr="00DB6C5D" w:rsidRDefault="006A00DD" w:rsidP="006A00DD">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00DD" w:rsidRPr="00DB6C5D" w14:paraId="14CB6662" w14:textId="77777777" w:rsidTr="00195E6B">
        <w:trPr>
          <w:trHeight w:val="884"/>
        </w:trPr>
        <w:tc>
          <w:tcPr>
            <w:tcW w:w="2689" w:type="dxa"/>
          </w:tcPr>
          <w:p w14:paraId="486ACF47" w14:textId="77777777" w:rsidR="006A00DD" w:rsidRPr="00DB6C5D" w:rsidRDefault="006A00DD" w:rsidP="00195E6B">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4B41FF81" w14:textId="7BBCF41A" w:rsidR="00FD3B23" w:rsidRPr="00940B15" w:rsidRDefault="004F392A" w:rsidP="00FD3B23">
            <w:pPr>
              <w:jc w:val="both"/>
              <w:rPr>
                <w:rFonts w:ascii="Verdana" w:eastAsia="Calibri" w:hAnsi="Verdana" w:cs="Arial"/>
                <w:b/>
                <w:bCs/>
                <w:lang w:val="es-ES" w:eastAsia="es-ES"/>
              </w:rPr>
            </w:pPr>
            <w:r w:rsidRPr="004F392A">
              <w:rPr>
                <w:rFonts w:ascii="Verdana" w:eastAsia="Calibri" w:hAnsi="Verdana" w:cs="Arial"/>
                <w:bCs/>
              </w:rPr>
              <w:t xml:space="preserve">PAGO ANTICIPADO Y/O ANTICIPO – </w:t>
            </w:r>
            <w:r w:rsidR="00551524">
              <w:rPr>
                <w:rFonts w:ascii="Verdana" w:eastAsia="Calibri" w:hAnsi="Verdana" w:cs="Arial"/>
                <w:bCs/>
              </w:rPr>
              <w:t>Regulación normativa</w:t>
            </w:r>
            <w:r w:rsidR="002A71E5">
              <w:rPr>
                <w:rFonts w:ascii="Verdana" w:eastAsia="Calibri" w:hAnsi="Verdana" w:cs="Arial"/>
                <w:bCs/>
              </w:rPr>
              <w:t xml:space="preserve"> / </w:t>
            </w:r>
            <w:r w:rsidR="002A71E5" w:rsidRPr="008B008D">
              <w:rPr>
                <w:rFonts w:ascii="Verdana" w:eastAsia="Calibri" w:hAnsi="Verdana" w:cs="Arial"/>
                <w:lang w:eastAsia="es-ES"/>
              </w:rPr>
              <w:t>ANTICIPO – Definición jurisprudencia</w:t>
            </w:r>
            <w:r w:rsidR="00BE0FF3" w:rsidRPr="008B008D">
              <w:rPr>
                <w:rFonts w:ascii="Verdana" w:eastAsia="Calibri" w:hAnsi="Verdana" w:cs="Arial"/>
                <w:lang w:eastAsia="es-ES"/>
              </w:rPr>
              <w:t xml:space="preserve">l / </w:t>
            </w:r>
            <w:r w:rsidR="00FD3B23" w:rsidRPr="008B008D">
              <w:rPr>
                <w:rFonts w:ascii="Verdana" w:eastAsia="Calibri" w:hAnsi="Verdana" w:cs="Arial"/>
                <w:lang w:eastAsia="es-ES"/>
              </w:rPr>
              <w:t>PAGO ANTICIPADO – Definición</w:t>
            </w:r>
          </w:p>
          <w:p w14:paraId="1610925B" w14:textId="3DF3E52F" w:rsidR="006A00DD" w:rsidRPr="00BE0FF3" w:rsidRDefault="006A00DD" w:rsidP="00195E6B">
            <w:pPr>
              <w:jc w:val="both"/>
              <w:rPr>
                <w:rFonts w:ascii="Verdana" w:eastAsia="Calibri" w:hAnsi="Verdana" w:cs="Arial"/>
                <w:b/>
                <w:bCs/>
                <w:lang w:eastAsia="es-ES"/>
              </w:rPr>
            </w:pPr>
          </w:p>
        </w:tc>
      </w:tr>
      <w:tr w:rsidR="006A00DD" w:rsidRPr="00DB6C5D" w14:paraId="1FBC9618" w14:textId="77777777" w:rsidTr="00195E6B">
        <w:tc>
          <w:tcPr>
            <w:tcW w:w="2689" w:type="dxa"/>
          </w:tcPr>
          <w:p w14:paraId="5A236F5A" w14:textId="77777777" w:rsidR="006A00DD" w:rsidRPr="00DB6C5D" w:rsidRDefault="006A00DD" w:rsidP="00195E6B">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1C73C0EA" w14:textId="616A6AD8" w:rsidR="006A00DD" w:rsidRPr="00DB6C5D" w:rsidRDefault="006A00DD" w:rsidP="00195E6B">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00317365" w:rsidRPr="00317365">
              <w:rPr>
                <w:rFonts w:ascii="Verdana" w:eastAsia="Calibri" w:hAnsi="Verdana" w:cs="Arial"/>
                <w:lang w:eastAsia="es-ES_tradnl"/>
              </w:rPr>
              <w:t>1_2026_08_25_011309</w:t>
            </w:r>
            <w:r w:rsidR="00BA595C">
              <w:rPr>
                <w:rFonts w:ascii="Verdana" w:eastAsia="Calibri" w:hAnsi="Verdana" w:cs="Arial"/>
                <w:lang w:eastAsia="es-ES_tradnl"/>
              </w:rPr>
              <w:t xml:space="preserve"> </w:t>
            </w:r>
            <w:r w:rsidR="002C4699">
              <w:rPr>
                <w:rFonts w:ascii="Verdana" w:eastAsia="Calibri" w:hAnsi="Verdana" w:cs="Arial"/>
                <w:lang w:eastAsia="es-ES_tradnl"/>
              </w:rPr>
              <w:t>acumulada</w:t>
            </w:r>
            <w:r w:rsidR="00BA595C">
              <w:rPr>
                <w:rFonts w:ascii="Verdana" w:eastAsia="Calibri" w:hAnsi="Verdana" w:cs="Arial"/>
                <w:lang w:eastAsia="es-ES_tradnl"/>
              </w:rPr>
              <w:t xml:space="preserve"> con el rad</w:t>
            </w:r>
            <w:r w:rsidR="002C4699">
              <w:rPr>
                <w:rFonts w:ascii="Verdana" w:eastAsia="Calibri" w:hAnsi="Verdana" w:cs="Arial"/>
                <w:lang w:eastAsia="es-ES_tradnl"/>
              </w:rPr>
              <w:t>icado No.</w:t>
            </w:r>
            <w:r w:rsidR="00A44D8B">
              <w:rPr>
                <w:rFonts w:ascii="Verdana" w:eastAsia="Calibri" w:hAnsi="Verdana" w:cs="Arial"/>
                <w:lang w:eastAsia="es-ES_tradnl"/>
              </w:rPr>
              <w:t xml:space="preserve"> </w:t>
            </w:r>
            <w:r w:rsidR="00A44D8B" w:rsidRPr="00A44D8B">
              <w:rPr>
                <w:rFonts w:ascii="Verdana" w:eastAsia="Calibri" w:hAnsi="Verdana" w:cs="Arial"/>
                <w:lang w:eastAsia="es-ES_tradnl"/>
              </w:rPr>
              <w:t>1_2026_08_26_011359</w:t>
            </w:r>
          </w:p>
        </w:tc>
      </w:tr>
    </w:tbl>
    <w:p w14:paraId="20D6DC54" w14:textId="77777777" w:rsidR="006A00DD" w:rsidRPr="00DB6C5D" w:rsidRDefault="006A00DD" w:rsidP="006A00DD">
      <w:pPr>
        <w:spacing w:after="0" w:line="240" w:lineRule="auto"/>
        <w:jc w:val="both"/>
        <w:rPr>
          <w:rFonts w:ascii="Verdana" w:eastAsia="Calibri" w:hAnsi="Verdana" w:cs="Arial"/>
          <w:color w:val="000000"/>
          <w:lang w:eastAsia="es-ES_tradnl"/>
        </w:rPr>
      </w:pPr>
    </w:p>
    <w:p w14:paraId="6DCF5289" w14:textId="77777777" w:rsidR="006A00DD" w:rsidRPr="00DB6C5D" w:rsidRDefault="006A00DD" w:rsidP="006A00DD">
      <w:pPr>
        <w:spacing w:after="0" w:line="240" w:lineRule="auto"/>
        <w:jc w:val="both"/>
        <w:rPr>
          <w:rFonts w:ascii="Verdana" w:eastAsia="Calibri" w:hAnsi="Verdana" w:cs="Arial"/>
          <w:color w:val="000000"/>
          <w:lang w:eastAsia="es-ES_tradnl"/>
        </w:rPr>
      </w:pPr>
    </w:p>
    <w:p w14:paraId="459E51AC" w14:textId="00EE0C3E" w:rsidR="006A00DD" w:rsidRDefault="006A00DD" w:rsidP="006A00DD">
      <w:pPr>
        <w:spacing w:after="0" w:line="276" w:lineRule="auto"/>
        <w:jc w:val="both"/>
        <w:rPr>
          <w:rFonts w:ascii="Verdana" w:eastAsia="Calibri" w:hAnsi="Verdana" w:cs="Arial"/>
          <w:color w:val="000000"/>
          <w:lang w:eastAsia="es-ES"/>
        </w:rPr>
      </w:pPr>
      <w:r w:rsidRPr="00DB6C5D">
        <w:rPr>
          <w:rFonts w:ascii="Verdana" w:eastAsia="Calibri" w:hAnsi="Verdana" w:cs="Arial"/>
          <w:lang w:eastAsia="es-ES"/>
        </w:rPr>
        <w:t xml:space="preserve">Estimado señor </w:t>
      </w:r>
      <w:r w:rsidR="00317365">
        <w:rPr>
          <w:rFonts w:ascii="Verdana" w:eastAsia="Calibri" w:hAnsi="Verdana" w:cs="Arial"/>
          <w:lang w:eastAsia="es-ES"/>
        </w:rPr>
        <w:t>Londoño</w:t>
      </w:r>
      <w:r w:rsidRPr="00DB6C5D">
        <w:rPr>
          <w:rFonts w:ascii="Verdana" w:eastAsia="Calibri" w:hAnsi="Verdana" w:cs="Arial"/>
          <w:lang w:eastAsia="es-ES"/>
        </w:rPr>
        <w:t>, cordial saludo:</w:t>
      </w:r>
      <w:r w:rsidRPr="00DB6C5D">
        <w:rPr>
          <w:rFonts w:ascii="Verdana" w:eastAsia="Calibri" w:hAnsi="Verdana" w:cs="Arial"/>
          <w:color w:val="000000"/>
          <w:lang w:eastAsia="es-ES"/>
        </w:rPr>
        <w:tab/>
      </w:r>
    </w:p>
    <w:p w14:paraId="04B18DEA" w14:textId="77777777" w:rsidR="00317365" w:rsidRPr="00DB6C5D" w:rsidRDefault="00317365" w:rsidP="006A00DD">
      <w:pPr>
        <w:spacing w:after="0" w:line="276" w:lineRule="auto"/>
        <w:jc w:val="both"/>
        <w:rPr>
          <w:rFonts w:ascii="Verdana" w:eastAsia="Calibri" w:hAnsi="Verdana" w:cs="Arial"/>
          <w:color w:val="000000"/>
          <w:lang w:eastAsia="es-ES"/>
        </w:rPr>
      </w:pPr>
    </w:p>
    <w:p w14:paraId="65B00FB8" w14:textId="3EFED5A5" w:rsidR="006A00DD" w:rsidRPr="00DB6C5D" w:rsidRDefault="006A00DD" w:rsidP="006A00DD">
      <w:pPr>
        <w:spacing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Pr>
          <w:rFonts w:ascii="Verdana" w:eastAsia="Calibri" w:hAnsi="Verdana" w:cs="Arial"/>
          <w:color w:val="000000"/>
          <w:lang w:eastAsia="es-ES"/>
        </w:rPr>
        <w:t xml:space="preserve"> </w:t>
      </w:r>
      <w:r w:rsidR="00B57F57">
        <w:rPr>
          <w:rFonts w:ascii="Verdana" w:eastAsia="Calibri" w:hAnsi="Verdana" w:cs="Arial"/>
          <w:color w:val="000000"/>
          <w:lang w:eastAsia="es-ES"/>
        </w:rPr>
        <w:t>25</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2E57F6B0" w14:textId="77777777" w:rsidR="006A00DD" w:rsidRPr="00DB6C5D" w:rsidRDefault="006A00DD" w:rsidP="006A00DD">
      <w:pPr>
        <w:spacing w:after="0" w:line="276" w:lineRule="auto"/>
        <w:jc w:val="both"/>
        <w:rPr>
          <w:rFonts w:ascii="Verdana" w:eastAsia="Calibri" w:hAnsi="Verdana" w:cs="Arial"/>
          <w:i/>
          <w:iCs/>
          <w:lang w:eastAsia="es-ES"/>
        </w:rPr>
      </w:pPr>
    </w:p>
    <w:p w14:paraId="7F9F868A" w14:textId="77777777" w:rsidR="006A00DD" w:rsidRPr="00DB6C5D" w:rsidRDefault="006A00DD" w:rsidP="006A00DD">
      <w:pPr>
        <w:spacing w:after="0" w:line="240" w:lineRule="auto"/>
        <w:ind w:left="709" w:right="709"/>
        <w:jc w:val="both"/>
        <w:rPr>
          <w:rFonts w:ascii="Verdana" w:hAnsi="Verdana" w:cs="Arial"/>
          <w:i/>
          <w:iCs/>
          <w:sz w:val="20"/>
          <w:szCs w:val="20"/>
          <w:shd w:val="clear" w:color="auto" w:fill="FFFFFF"/>
        </w:rPr>
      </w:pPr>
      <w:r w:rsidRPr="00DB6C5D">
        <w:rPr>
          <w:rFonts w:ascii="Verdana" w:hAnsi="Verdana" w:cs="Arial"/>
          <w:i/>
          <w:iCs/>
          <w:sz w:val="20"/>
          <w:szCs w:val="20"/>
          <w:shd w:val="clear" w:color="auto" w:fill="FFFFFF"/>
        </w:rPr>
        <w:t>“(…)</w:t>
      </w:r>
      <w:bookmarkEnd w:id="2"/>
    </w:p>
    <w:p w14:paraId="25F95CB6" w14:textId="77777777" w:rsidR="006A00DD" w:rsidRPr="00DB6C5D" w:rsidRDefault="006A00DD" w:rsidP="006A00DD">
      <w:pPr>
        <w:spacing w:after="0" w:line="240" w:lineRule="auto"/>
        <w:ind w:left="709" w:right="709"/>
        <w:jc w:val="both"/>
        <w:rPr>
          <w:rFonts w:ascii="Verdana" w:hAnsi="Verdana" w:cs="Arial"/>
          <w:i/>
          <w:iCs/>
          <w:sz w:val="20"/>
          <w:szCs w:val="20"/>
          <w:shd w:val="clear" w:color="auto" w:fill="FFFFFF"/>
        </w:rPr>
      </w:pPr>
    </w:p>
    <w:p w14:paraId="0223A598" w14:textId="77777777" w:rsidR="00B57F57" w:rsidRPr="00B57F57" w:rsidRDefault="00B57F57" w:rsidP="00B57F57">
      <w:pPr>
        <w:pStyle w:val="Prrafodelista"/>
        <w:spacing w:after="0" w:line="240" w:lineRule="auto"/>
        <w:ind w:left="709" w:right="709"/>
        <w:jc w:val="both"/>
        <w:rPr>
          <w:rFonts w:ascii="Verdana" w:hAnsi="Verdana" w:cs="Arial"/>
          <w:i/>
          <w:iCs/>
          <w:sz w:val="20"/>
          <w:szCs w:val="20"/>
          <w:shd w:val="clear" w:color="auto" w:fill="FFFFFF"/>
          <w:lang w:val="es-CO"/>
        </w:rPr>
      </w:pPr>
      <w:r w:rsidRPr="00B57F57">
        <w:rPr>
          <w:rFonts w:ascii="Verdana" w:hAnsi="Verdana" w:cs="Arial"/>
          <w:i/>
          <w:iCs/>
          <w:sz w:val="20"/>
          <w:szCs w:val="20"/>
          <w:shd w:val="clear" w:color="auto" w:fill="FFFFFF"/>
          <w:lang w:val="es-CO"/>
        </w:rPr>
        <w:t xml:space="preserve">En los términos del parágrafo del artículo 40 de la Ley 80 de 1983 y para una correcta interpretación </w:t>
      </w:r>
      <w:proofErr w:type="gramStart"/>
      <w:r w:rsidRPr="00B57F57">
        <w:rPr>
          <w:rFonts w:ascii="Verdana" w:hAnsi="Verdana" w:cs="Arial"/>
          <w:i/>
          <w:iCs/>
          <w:sz w:val="20"/>
          <w:szCs w:val="20"/>
          <w:shd w:val="clear" w:color="auto" w:fill="FFFFFF"/>
          <w:lang w:val="es-CO"/>
        </w:rPr>
        <w:t>del mismo</w:t>
      </w:r>
      <w:proofErr w:type="gramEnd"/>
      <w:r w:rsidRPr="00B57F57">
        <w:rPr>
          <w:rFonts w:ascii="Verdana" w:hAnsi="Verdana" w:cs="Arial"/>
          <w:i/>
          <w:iCs/>
          <w:sz w:val="20"/>
          <w:szCs w:val="20"/>
          <w:shd w:val="clear" w:color="auto" w:fill="FFFFFF"/>
          <w:lang w:val="es-CO"/>
        </w:rPr>
        <w:t>, agradecería se me indique si en tratándose del pago anticipado cuál será el monto máximo del respectivo contrato que se podrá entregar al contratista.</w:t>
      </w:r>
    </w:p>
    <w:p w14:paraId="2C9464E1" w14:textId="77777777" w:rsidR="00B57F57" w:rsidRPr="00B57F57" w:rsidRDefault="00B57F57" w:rsidP="00B57F57">
      <w:pPr>
        <w:pStyle w:val="Prrafodelista"/>
        <w:spacing w:after="0" w:line="240" w:lineRule="auto"/>
        <w:ind w:left="709" w:right="709"/>
        <w:jc w:val="both"/>
        <w:rPr>
          <w:rFonts w:ascii="Verdana" w:hAnsi="Verdana" w:cs="Arial"/>
          <w:i/>
          <w:iCs/>
          <w:sz w:val="20"/>
          <w:szCs w:val="20"/>
          <w:shd w:val="clear" w:color="auto" w:fill="FFFFFF"/>
          <w:lang w:val="es-CO"/>
        </w:rPr>
      </w:pPr>
      <w:r w:rsidRPr="00B57F57">
        <w:rPr>
          <w:rFonts w:ascii="Verdana" w:hAnsi="Verdana" w:cs="Arial"/>
          <w:i/>
          <w:iCs/>
          <w:sz w:val="20"/>
          <w:szCs w:val="20"/>
          <w:shd w:val="clear" w:color="auto" w:fill="FFFFFF"/>
          <w:lang w:val="es-CO"/>
        </w:rPr>
        <w:t xml:space="preserve">¿Es procedente hacer entrega del 100% del valor </w:t>
      </w:r>
      <w:proofErr w:type="gramStart"/>
      <w:r w:rsidRPr="00B57F57">
        <w:rPr>
          <w:rFonts w:ascii="Verdana" w:hAnsi="Verdana" w:cs="Arial"/>
          <w:i/>
          <w:iCs/>
          <w:sz w:val="20"/>
          <w:szCs w:val="20"/>
          <w:shd w:val="clear" w:color="auto" w:fill="FFFFFF"/>
          <w:lang w:val="es-CO"/>
        </w:rPr>
        <w:t>del mismo</w:t>
      </w:r>
      <w:proofErr w:type="gramEnd"/>
      <w:r w:rsidRPr="00B57F57">
        <w:rPr>
          <w:rFonts w:ascii="Verdana" w:hAnsi="Verdana" w:cs="Arial"/>
          <w:i/>
          <w:iCs/>
          <w:sz w:val="20"/>
          <w:szCs w:val="20"/>
          <w:shd w:val="clear" w:color="auto" w:fill="FFFFFF"/>
          <w:lang w:val="es-CO"/>
        </w:rPr>
        <w:t xml:space="preserve"> para el caso que nos ocupa? </w:t>
      </w:r>
    </w:p>
    <w:p w14:paraId="6A668044" w14:textId="4E68B548" w:rsidR="006A00DD" w:rsidRPr="00A27714" w:rsidRDefault="00B57F57" w:rsidP="00B57F57">
      <w:pPr>
        <w:pStyle w:val="Prrafodelista"/>
        <w:spacing w:after="0" w:line="240" w:lineRule="auto"/>
        <w:ind w:left="709" w:right="709"/>
        <w:contextualSpacing w:val="0"/>
        <w:jc w:val="both"/>
        <w:rPr>
          <w:rFonts w:ascii="Verdana" w:hAnsi="Verdana" w:cs="Arial"/>
          <w:i/>
          <w:iCs/>
          <w:sz w:val="20"/>
          <w:szCs w:val="20"/>
          <w:shd w:val="clear" w:color="auto" w:fill="FFFFFF"/>
          <w:lang w:val="es-CO"/>
        </w:rPr>
      </w:pPr>
      <w:r w:rsidRPr="00B57F57">
        <w:rPr>
          <w:rFonts w:ascii="Verdana" w:hAnsi="Verdana" w:cs="Arial"/>
          <w:i/>
          <w:iCs/>
          <w:sz w:val="20"/>
          <w:szCs w:val="20"/>
          <w:shd w:val="clear" w:color="auto" w:fill="FFFFFF"/>
          <w:lang w:val="es-CO"/>
        </w:rPr>
        <w:t>Como quiera que la norma en cita alude al anticipo, sobre el mismo existe la claridad suficiente acorde con los conceptos reiterados de Colombia Compra Eficiente</w:t>
      </w:r>
      <w:r w:rsidR="006A00DD" w:rsidRPr="003054B8">
        <w:rPr>
          <w:rFonts w:ascii="Verdana" w:hAnsi="Verdana" w:cs="Arial"/>
          <w:i/>
          <w:iCs/>
          <w:sz w:val="20"/>
          <w:szCs w:val="20"/>
          <w:shd w:val="clear" w:color="auto" w:fill="FFFFFF"/>
          <w:lang w:val="es-CO"/>
        </w:rPr>
        <w:t>.</w:t>
      </w:r>
      <w:r w:rsidR="006A00DD" w:rsidRPr="00A27714">
        <w:rPr>
          <w:rFonts w:ascii="Verdana" w:hAnsi="Verdana" w:cs="Arial"/>
          <w:i/>
          <w:iCs/>
          <w:sz w:val="20"/>
          <w:szCs w:val="20"/>
          <w:shd w:val="clear" w:color="auto" w:fill="FFFFFF"/>
          <w:lang w:val="es-CO"/>
        </w:rPr>
        <w:t>”</w:t>
      </w:r>
    </w:p>
    <w:p w14:paraId="79539BD9" w14:textId="77777777" w:rsidR="006A00DD" w:rsidRPr="00DB6C5D" w:rsidRDefault="006A00DD" w:rsidP="006A00DD">
      <w:pPr>
        <w:spacing w:after="0" w:line="276" w:lineRule="auto"/>
        <w:jc w:val="both"/>
        <w:rPr>
          <w:rFonts w:ascii="Verdana" w:eastAsia="Calibri" w:hAnsi="Verdana" w:cs="Arial"/>
        </w:rPr>
      </w:pPr>
    </w:p>
    <w:p w14:paraId="178ECA4C" w14:textId="77777777" w:rsidR="006A00DD" w:rsidRPr="00DB6C5D" w:rsidRDefault="006A00DD" w:rsidP="006A00DD">
      <w:pPr>
        <w:spacing w:after="120" w:line="276" w:lineRule="auto"/>
        <w:jc w:val="both"/>
        <w:rPr>
          <w:rFonts w:ascii="Verdana" w:eastAsia="Calibri" w:hAnsi="Verdana" w:cs="Arial"/>
          <w:color w:val="000000"/>
          <w:lang w:eastAsia="es-ES"/>
        </w:rPr>
      </w:pPr>
      <w:r w:rsidRPr="00DB6C5D">
        <w:rPr>
          <w:rFonts w:ascii="Verdana" w:eastAsia="Calibri" w:hAnsi="Verdana" w:cs="Arial"/>
        </w:rPr>
        <w:t xml:space="preserve">De manera preliminar, resulta necesario acotar que esta entidad solo tiene competencia para responder consultas sobre la aplicación de normas de carácter </w:t>
      </w:r>
      <w:r w:rsidRPr="00DB6C5D">
        <w:rPr>
          <w:rFonts w:ascii="Verdana" w:eastAsia="Calibri" w:hAnsi="Verdana" w:cs="Arial"/>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5BF37FD4" w14:textId="77777777" w:rsidR="006A00DD" w:rsidRPr="00DB6C5D" w:rsidRDefault="006A00DD" w:rsidP="006A00DD">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277BC707" w14:textId="77777777" w:rsidR="006A00DD" w:rsidRPr="00DB6C5D" w:rsidRDefault="006A00DD" w:rsidP="006A00DD">
      <w:pPr>
        <w:spacing w:after="0" w:line="276" w:lineRule="auto"/>
        <w:ind w:firstLine="708"/>
        <w:jc w:val="both"/>
        <w:rPr>
          <w:rFonts w:ascii="Verdana" w:eastAsia="Calibri" w:hAnsi="Verdana" w:cs="Arial"/>
          <w:b/>
          <w:bCs/>
          <w:color w:val="000000"/>
          <w:lang w:eastAsia="es-ES"/>
        </w:rPr>
      </w:pPr>
    </w:p>
    <w:p w14:paraId="528F174E" w14:textId="77777777" w:rsidR="006A00DD" w:rsidRPr="00DB6C5D" w:rsidRDefault="006A00DD" w:rsidP="006A00DD">
      <w:pPr>
        <w:numPr>
          <w:ilvl w:val="0"/>
          <w:numId w:val="16"/>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567DFB47" w14:textId="77777777" w:rsidR="006A00DD" w:rsidRPr="00DB6C5D" w:rsidRDefault="006A00DD" w:rsidP="006A00DD">
      <w:pPr>
        <w:spacing w:after="0" w:line="276" w:lineRule="auto"/>
        <w:jc w:val="both"/>
        <w:rPr>
          <w:rFonts w:ascii="Verdana" w:eastAsia="Century Gothic" w:hAnsi="Verdana" w:cs="Century Gothic"/>
        </w:rPr>
      </w:pPr>
    </w:p>
    <w:p w14:paraId="3A1DBADE" w14:textId="5CC45E61" w:rsidR="006A00DD" w:rsidRPr="00DB6C5D" w:rsidRDefault="006A00DD" w:rsidP="006A00DD">
      <w:pPr>
        <w:spacing w:after="0" w:line="276" w:lineRule="auto"/>
        <w:jc w:val="both"/>
        <w:rPr>
          <w:rFonts w:ascii="Verdana" w:eastAsia="Calibri" w:hAnsi="Verdana" w:cs="Times New Roman"/>
        </w:rPr>
      </w:pPr>
      <w:r w:rsidRPr="00DB6C5D">
        <w:rPr>
          <w:rFonts w:ascii="Verdana" w:eastAsia="Century Gothic" w:hAnsi="Verdana" w:cs="Century Gothic"/>
        </w:rPr>
        <w:t>De acuerdo con el contenido de su solicitud, esta Agencia resolverá los siguientes problemas jurídicos:</w:t>
      </w:r>
      <w:r w:rsidRPr="00DB6C5D">
        <w:rPr>
          <w:rFonts w:ascii="Verdana" w:eastAsia="Calibri" w:hAnsi="Verdana" w:cs="Times New Roman"/>
          <w:iCs/>
        </w:rPr>
        <w:t xml:space="preserve"> </w:t>
      </w:r>
      <w:r w:rsidR="00E47F1F" w:rsidRPr="00E47F1F">
        <w:rPr>
          <w:rFonts w:ascii="Verdana" w:eastAsia="Century Gothic" w:hAnsi="Verdana" w:cs="Century Gothic"/>
          <w:color w:val="000000" w:themeColor="text1"/>
        </w:rPr>
        <w:t xml:space="preserve">¿Cuál es el alcance del límite previsto en el parágrafo del artículo 40 de la Ley 80 de 1993 respecto </w:t>
      </w:r>
      <w:r w:rsidR="00754B6E">
        <w:rPr>
          <w:rFonts w:ascii="Verdana" w:eastAsia="Century Gothic" w:hAnsi="Verdana" w:cs="Century Gothic"/>
          <w:color w:val="000000" w:themeColor="text1"/>
        </w:rPr>
        <w:t xml:space="preserve">de la facultad de pactar </w:t>
      </w:r>
      <w:r w:rsidR="00E47F1F" w:rsidRPr="00E47F1F">
        <w:rPr>
          <w:rFonts w:ascii="Verdana" w:eastAsia="Century Gothic" w:hAnsi="Verdana" w:cs="Century Gothic"/>
          <w:color w:val="000000" w:themeColor="text1"/>
        </w:rPr>
        <w:t>pago</w:t>
      </w:r>
      <w:r w:rsidR="00754B6E">
        <w:rPr>
          <w:rFonts w:ascii="Verdana" w:eastAsia="Century Gothic" w:hAnsi="Verdana" w:cs="Century Gothic"/>
          <w:color w:val="000000" w:themeColor="text1"/>
        </w:rPr>
        <w:t>s</w:t>
      </w:r>
      <w:r w:rsidR="00E47F1F" w:rsidRPr="00E47F1F">
        <w:rPr>
          <w:rFonts w:ascii="Verdana" w:eastAsia="Century Gothic" w:hAnsi="Verdana" w:cs="Century Gothic"/>
          <w:color w:val="000000" w:themeColor="text1"/>
        </w:rPr>
        <w:t xml:space="preserve"> anticipado</w:t>
      </w:r>
      <w:r w:rsidR="00754B6E">
        <w:rPr>
          <w:rFonts w:ascii="Verdana" w:eastAsia="Century Gothic" w:hAnsi="Verdana" w:cs="Century Gothic"/>
          <w:color w:val="000000" w:themeColor="text1"/>
        </w:rPr>
        <w:t>s</w:t>
      </w:r>
      <w:r w:rsidR="00E47F1F" w:rsidRPr="00E47F1F">
        <w:rPr>
          <w:rFonts w:ascii="Verdana" w:eastAsia="Century Gothic" w:hAnsi="Verdana" w:cs="Century Gothic"/>
          <w:color w:val="000000" w:themeColor="text1"/>
        </w:rPr>
        <w:t xml:space="preserve"> y la entrega de anticipos, particularmente</w:t>
      </w:r>
      <w:r w:rsidR="00754B6E">
        <w:rPr>
          <w:rFonts w:ascii="Verdana" w:eastAsia="Century Gothic" w:hAnsi="Verdana" w:cs="Century Gothic"/>
          <w:color w:val="000000" w:themeColor="text1"/>
        </w:rPr>
        <w:t>,</w:t>
      </w:r>
      <w:r w:rsidR="00E47F1F" w:rsidRPr="00E47F1F">
        <w:rPr>
          <w:rFonts w:ascii="Verdana" w:eastAsia="Century Gothic" w:hAnsi="Verdana" w:cs="Century Gothic"/>
          <w:color w:val="000000" w:themeColor="text1"/>
        </w:rPr>
        <w:t xml:space="preserve"> si dicho límite </w:t>
      </w:r>
      <w:r w:rsidR="00754B6E">
        <w:rPr>
          <w:rFonts w:ascii="Verdana" w:eastAsia="Century Gothic" w:hAnsi="Verdana" w:cs="Century Gothic"/>
          <w:color w:val="000000" w:themeColor="text1"/>
        </w:rPr>
        <w:t>resulta aplicabl</w:t>
      </w:r>
      <w:r w:rsidR="00754B6E" w:rsidRPr="00E47F1F">
        <w:rPr>
          <w:rFonts w:ascii="Verdana" w:eastAsia="Century Gothic" w:hAnsi="Verdana" w:cs="Century Gothic"/>
          <w:color w:val="000000" w:themeColor="text1"/>
        </w:rPr>
        <w:t xml:space="preserve">e </w:t>
      </w:r>
      <w:r w:rsidR="00754B6E">
        <w:rPr>
          <w:rFonts w:ascii="Verdana" w:eastAsia="Century Gothic" w:hAnsi="Verdana" w:cs="Century Gothic"/>
          <w:color w:val="000000" w:themeColor="text1"/>
        </w:rPr>
        <w:t xml:space="preserve">a </w:t>
      </w:r>
      <w:r w:rsidR="00E47F1F" w:rsidRPr="00E47F1F">
        <w:rPr>
          <w:rFonts w:ascii="Verdana" w:eastAsia="Century Gothic" w:hAnsi="Verdana" w:cs="Century Gothic"/>
          <w:color w:val="000000" w:themeColor="text1"/>
        </w:rPr>
        <w:t xml:space="preserve">ambas figuras y si, en consecuencia, </w:t>
      </w:r>
      <w:r w:rsidR="00754B6E">
        <w:rPr>
          <w:rFonts w:ascii="Verdana" w:eastAsia="Century Gothic" w:hAnsi="Verdana" w:cs="Century Gothic"/>
          <w:color w:val="000000" w:themeColor="text1"/>
        </w:rPr>
        <w:t xml:space="preserve">no es </w:t>
      </w:r>
      <w:proofErr w:type="spellStart"/>
      <w:r w:rsidR="00754B6E">
        <w:rPr>
          <w:rFonts w:ascii="Verdana" w:eastAsia="Century Gothic" w:hAnsi="Verdana" w:cs="Century Gothic"/>
          <w:color w:val="000000" w:themeColor="text1"/>
        </w:rPr>
        <w:t>juridicamente</w:t>
      </w:r>
      <w:proofErr w:type="spellEnd"/>
      <w:r w:rsidR="00754B6E" w:rsidRPr="00E47F1F">
        <w:rPr>
          <w:rFonts w:ascii="Verdana" w:eastAsia="Century Gothic" w:hAnsi="Verdana" w:cs="Century Gothic"/>
          <w:color w:val="000000" w:themeColor="text1"/>
        </w:rPr>
        <w:t xml:space="preserve"> </w:t>
      </w:r>
      <w:r w:rsidR="00E47F1F" w:rsidRPr="00E47F1F">
        <w:rPr>
          <w:rFonts w:ascii="Verdana" w:eastAsia="Century Gothic" w:hAnsi="Verdana" w:cs="Century Gothic"/>
          <w:color w:val="000000" w:themeColor="text1"/>
        </w:rPr>
        <w:t>procedente pactar o entregar el cien por ciento (100%) del valor del respectivo contrato a título de pago anticipado?</w:t>
      </w:r>
    </w:p>
    <w:p w14:paraId="2196BBF4" w14:textId="77777777" w:rsidR="006A00DD" w:rsidRPr="00DB6C5D" w:rsidRDefault="006A00DD" w:rsidP="006A00DD">
      <w:pPr>
        <w:spacing w:after="0" w:line="276" w:lineRule="auto"/>
        <w:jc w:val="both"/>
        <w:rPr>
          <w:rFonts w:ascii="Verdana" w:eastAsia="Verdana" w:hAnsi="Verdana" w:cs="Verdana"/>
        </w:rPr>
      </w:pPr>
    </w:p>
    <w:p w14:paraId="2EB5494C" w14:textId="77777777" w:rsidR="006A00DD" w:rsidRPr="00DB6C5D" w:rsidRDefault="006A00DD" w:rsidP="006A00DD">
      <w:pPr>
        <w:numPr>
          <w:ilvl w:val="0"/>
          <w:numId w:val="16"/>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7BC9B149" w14:textId="77777777" w:rsidR="006A00DD" w:rsidRPr="00DB6C5D" w:rsidRDefault="006A00DD" w:rsidP="006A00DD">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00DD" w:rsidRPr="00DB6C5D" w14:paraId="4475C40F" w14:textId="77777777" w:rsidTr="00195E6B">
        <w:trPr>
          <w:jc w:val="center"/>
        </w:trPr>
        <w:tc>
          <w:tcPr>
            <w:tcW w:w="8828" w:type="dxa"/>
          </w:tcPr>
          <w:p w14:paraId="309DFED3" w14:textId="212886BC" w:rsidR="00171074" w:rsidRPr="00171074" w:rsidRDefault="006A00DD" w:rsidP="00240E0B">
            <w:pPr>
              <w:spacing w:after="120" w:line="276" w:lineRule="auto"/>
              <w:jc w:val="both"/>
              <w:rPr>
                <w:rFonts w:ascii="Verdana" w:hAnsi="Verdana" w:cs="Arial"/>
              </w:rPr>
            </w:pPr>
            <w:bookmarkStart w:id="3" w:name="_Hlk171694685"/>
            <w:r w:rsidRPr="00DB6C5D">
              <w:rPr>
                <w:rFonts w:ascii="Verdana" w:hAnsi="Verdana" w:cs="Arial"/>
              </w:rPr>
              <w:t xml:space="preserve">Para dar respuesta al problema jurídico derivado de su consulta, es pertinente precisar </w:t>
            </w:r>
            <w:r w:rsidR="00171074">
              <w:rPr>
                <w:rFonts w:ascii="Verdana" w:hAnsi="Verdana" w:cs="Arial"/>
              </w:rPr>
              <w:t>que el</w:t>
            </w:r>
            <w:r w:rsidR="00171074" w:rsidRPr="00171074">
              <w:rPr>
                <w:rFonts w:ascii="Verdana" w:hAnsi="Verdana" w:cs="Arial"/>
              </w:rPr>
              <w:t xml:space="preserve"> parágrafo del artículo 40 de la Ley 80 de 1993 dispone que </w:t>
            </w:r>
            <w:r w:rsidR="00171074" w:rsidRPr="00171074">
              <w:rPr>
                <w:rFonts w:ascii="Verdana" w:hAnsi="Verdana" w:cs="Arial"/>
                <w:i/>
                <w:iCs/>
              </w:rPr>
              <w:t>“en los contratos que celebren las entidades estatales se podrá pactar el pago anticipado y la entrega de anticipos, pero su monto no podrá exceder del cincuenta por ciento (50%) del valor del respectivo contrato”.</w:t>
            </w:r>
          </w:p>
          <w:p w14:paraId="3845C336" w14:textId="2A8162EA" w:rsidR="00171074" w:rsidRPr="00171074" w:rsidRDefault="00171074" w:rsidP="00171074">
            <w:pPr>
              <w:spacing w:after="120" w:line="276" w:lineRule="auto"/>
              <w:ind w:firstLine="709"/>
              <w:jc w:val="both"/>
              <w:rPr>
                <w:rFonts w:ascii="Verdana" w:hAnsi="Verdana" w:cs="Arial"/>
              </w:rPr>
            </w:pPr>
            <w:r w:rsidRPr="00171074">
              <w:rPr>
                <w:rFonts w:ascii="Verdana" w:hAnsi="Verdana" w:cs="Arial"/>
              </w:rPr>
              <w:lastRenderedPageBreak/>
              <w:t xml:space="preserve">La disposición transcrita permite advertir que el legislador contempló conjuntamente </w:t>
            </w:r>
            <w:r w:rsidR="007E1FAD">
              <w:rPr>
                <w:rFonts w:ascii="Verdana" w:hAnsi="Verdana" w:cs="Arial"/>
              </w:rPr>
              <w:t xml:space="preserve">la posibilidad de pactar </w:t>
            </w:r>
            <w:r w:rsidRPr="00171074">
              <w:rPr>
                <w:rFonts w:ascii="Verdana" w:hAnsi="Verdana" w:cs="Arial"/>
              </w:rPr>
              <w:t xml:space="preserve">el pago anticipado y la entrega de anticipos, para luego establecer una restricción cuantitativa respecto de su monto. En consecuencia, el alcance de la expresión </w:t>
            </w:r>
            <w:r w:rsidR="007E3324" w:rsidRPr="007E3324">
              <w:rPr>
                <w:rFonts w:ascii="Verdana" w:hAnsi="Verdana" w:cs="Arial"/>
                <w:i/>
                <w:iCs/>
              </w:rPr>
              <w:t>“</w:t>
            </w:r>
            <w:r w:rsidRPr="007E3324">
              <w:rPr>
                <w:rFonts w:ascii="Verdana" w:hAnsi="Verdana" w:cs="Arial"/>
                <w:i/>
                <w:iCs/>
              </w:rPr>
              <w:t>su monto</w:t>
            </w:r>
            <w:r w:rsidR="007E3324" w:rsidRPr="007E3324">
              <w:rPr>
                <w:rFonts w:ascii="Verdana" w:hAnsi="Verdana" w:cs="Arial"/>
                <w:i/>
                <w:iCs/>
              </w:rPr>
              <w:t>”</w:t>
            </w:r>
            <w:r w:rsidRPr="00171074">
              <w:rPr>
                <w:rFonts w:ascii="Verdana" w:hAnsi="Verdana" w:cs="Arial"/>
              </w:rPr>
              <w:t xml:space="preserve"> debe </w:t>
            </w:r>
            <w:r w:rsidR="007E3324">
              <w:rPr>
                <w:rFonts w:ascii="Verdana" w:hAnsi="Verdana" w:cs="Arial"/>
              </w:rPr>
              <w:t>entenderse que comprende</w:t>
            </w:r>
            <w:r w:rsidRPr="00171074">
              <w:rPr>
                <w:rFonts w:ascii="Verdana" w:hAnsi="Verdana" w:cs="Arial"/>
              </w:rPr>
              <w:t xml:space="preserve"> las dos figuras a las que se refiere la disposición, y no únicamente</w:t>
            </w:r>
            <w:r w:rsidR="0098466B">
              <w:rPr>
                <w:rFonts w:ascii="Verdana" w:hAnsi="Verdana" w:cs="Arial"/>
              </w:rPr>
              <w:t xml:space="preserve"> a</w:t>
            </w:r>
            <w:r w:rsidRPr="00171074">
              <w:rPr>
                <w:rFonts w:ascii="Verdana" w:hAnsi="Verdana" w:cs="Arial"/>
              </w:rPr>
              <w:t xml:space="preserve"> una de ellas.</w:t>
            </w:r>
          </w:p>
          <w:p w14:paraId="675ED14C" w14:textId="77777777" w:rsidR="00171074" w:rsidRPr="00171074" w:rsidRDefault="00171074" w:rsidP="00171074">
            <w:pPr>
              <w:spacing w:after="120" w:line="276" w:lineRule="auto"/>
              <w:ind w:firstLine="709"/>
              <w:jc w:val="both"/>
              <w:rPr>
                <w:rFonts w:ascii="Verdana" w:hAnsi="Verdana" w:cs="Arial"/>
              </w:rPr>
            </w:pPr>
            <w:r w:rsidRPr="00171074">
              <w:rPr>
                <w:rFonts w:ascii="Verdana" w:hAnsi="Verdana" w:cs="Arial"/>
              </w:rPr>
              <w:t>Si bien el anticipo y el pago anticipado son figuras jurídicamente distintas, esa diferencia no permite concluir que el límite previsto en la norma resulte aplicable exclusivamente al primero. Por el contrario, el tenor literal del parágrafo evidencia que ambas modalidades de entrega de recursos fueron comprendidas en la misma regla, sin que el legislador haya establecido un tratamiento porcentual diferente para cada una.</w:t>
            </w:r>
          </w:p>
          <w:p w14:paraId="3B9032EA" w14:textId="612570BF" w:rsidR="00171074" w:rsidRPr="00171074" w:rsidRDefault="009969F5" w:rsidP="00171074">
            <w:pPr>
              <w:spacing w:after="120" w:line="276" w:lineRule="auto"/>
              <w:ind w:firstLine="709"/>
              <w:jc w:val="both"/>
              <w:rPr>
                <w:rFonts w:ascii="Verdana" w:hAnsi="Verdana" w:cs="Arial"/>
              </w:rPr>
            </w:pPr>
            <w:r>
              <w:rPr>
                <w:rFonts w:ascii="Verdana" w:hAnsi="Verdana" w:cs="Arial"/>
              </w:rPr>
              <w:t>La anterior</w:t>
            </w:r>
            <w:r w:rsidR="00171074" w:rsidRPr="00171074">
              <w:rPr>
                <w:rFonts w:ascii="Verdana" w:hAnsi="Verdana" w:cs="Arial"/>
              </w:rPr>
              <w:t xml:space="preserve"> interpretación ha sido sostenida por </w:t>
            </w:r>
            <w:r w:rsidR="0042533C">
              <w:rPr>
                <w:rFonts w:ascii="Verdana" w:hAnsi="Verdana" w:cs="Arial"/>
              </w:rPr>
              <w:t>esta Agencia</w:t>
            </w:r>
            <w:r w:rsidR="00171074" w:rsidRPr="00171074">
              <w:rPr>
                <w:rFonts w:ascii="Verdana" w:hAnsi="Verdana" w:cs="Arial"/>
              </w:rPr>
              <w:t xml:space="preserve">, al señalar que el parágrafo del artículo 40 de la Ley 80 de 1993 establece un límite al ejercicio de la facultad de pactar el pago anticipado o la entrega de anticipos, de manera que ninguno de ellos puede superar el cincuenta por ciento (50%) del valor del respectivo contrato. </w:t>
            </w:r>
          </w:p>
          <w:p w14:paraId="76A04EC1" w14:textId="220CF177" w:rsidR="00171074" w:rsidRPr="00171074" w:rsidRDefault="00171074" w:rsidP="00171074">
            <w:pPr>
              <w:spacing w:after="120" w:line="276" w:lineRule="auto"/>
              <w:ind w:firstLine="709"/>
              <w:jc w:val="both"/>
              <w:rPr>
                <w:rFonts w:ascii="Verdana" w:hAnsi="Verdana" w:cs="Arial"/>
              </w:rPr>
            </w:pPr>
            <w:r w:rsidRPr="00171074">
              <w:rPr>
                <w:rFonts w:ascii="Verdana" w:hAnsi="Verdana" w:cs="Arial"/>
              </w:rPr>
              <w:t xml:space="preserve">En ese sentido, </w:t>
            </w:r>
            <w:r w:rsidR="0042533C">
              <w:rPr>
                <w:rFonts w:ascii="Verdana" w:hAnsi="Verdana" w:cs="Arial"/>
              </w:rPr>
              <w:t>frente a</w:t>
            </w:r>
            <w:r w:rsidRPr="00171074">
              <w:rPr>
                <w:rFonts w:ascii="Verdana" w:hAnsi="Verdana" w:cs="Arial"/>
              </w:rPr>
              <w:t xml:space="preserve"> la consulta plante</w:t>
            </w:r>
            <w:r w:rsidR="0042533C">
              <w:rPr>
                <w:rFonts w:ascii="Verdana" w:hAnsi="Verdana" w:cs="Arial"/>
              </w:rPr>
              <w:t>a</w:t>
            </w:r>
            <w:r w:rsidR="00C2742A">
              <w:rPr>
                <w:rFonts w:ascii="Verdana" w:hAnsi="Verdana" w:cs="Arial"/>
              </w:rPr>
              <w:t>da</w:t>
            </w:r>
            <w:r w:rsidRPr="00171074">
              <w:rPr>
                <w:rFonts w:ascii="Verdana" w:hAnsi="Verdana" w:cs="Arial"/>
              </w:rPr>
              <w:t xml:space="preserve"> la entrega de recursos bajo la figura del pago anticipado no modifica el alcance de la restricción legal. Por tanto, no resulta jurídicamente procedente pactar o entregar el cien por ciento (100%) del valor del contrato a título de pago anticipado, pues ello excedería el límite establecido por el legislador.</w:t>
            </w:r>
          </w:p>
          <w:p w14:paraId="634D3DE5" w14:textId="673F0974" w:rsidR="00171074" w:rsidRPr="00171074" w:rsidRDefault="00FC3C19" w:rsidP="00171074">
            <w:pPr>
              <w:spacing w:after="120" w:line="276" w:lineRule="auto"/>
              <w:ind w:firstLine="709"/>
              <w:jc w:val="both"/>
              <w:rPr>
                <w:rFonts w:ascii="Verdana" w:hAnsi="Verdana" w:cs="Arial"/>
              </w:rPr>
            </w:pPr>
            <w:r>
              <w:rPr>
                <w:rFonts w:ascii="Verdana" w:hAnsi="Verdana" w:cs="Arial"/>
              </w:rPr>
              <w:t>En consecuencia, e</w:t>
            </w:r>
            <w:r w:rsidR="00171074" w:rsidRPr="00171074">
              <w:rPr>
                <w:rFonts w:ascii="Verdana" w:hAnsi="Verdana" w:cs="Arial"/>
              </w:rPr>
              <w:t>n los términos del parágrafo del artículo 40 de la Ley 80 de 1993, el límite máximo del cincuenta por ciento (50%) del valor del respectivo contrato resulta aplicable tanto al pago anticipado como a la entrega de anticipos</w:t>
            </w:r>
            <w:r w:rsidR="001E6BE0">
              <w:rPr>
                <w:rFonts w:ascii="Verdana" w:hAnsi="Verdana" w:cs="Arial"/>
              </w:rPr>
              <w:t>, lo que nos permite concluir que</w:t>
            </w:r>
            <w:r w:rsidR="00171074" w:rsidRPr="00171074">
              <w:rPr>
                <w:rFonts w:ascii="Verdana" w:hAnsi="Verdana" w:cs="Arial"/>
              </w:rPr>
              <w:t xml:space="preserve"> no es procedente pactar o entregar el cien por ciento (100%) del valor del contrato a título de pago anticipado, toda vez que dicha suma excedería el límite legal previsto para ambas figuras.</w:t>
            </w:r>
          </w:p>
          <w:p w14:paraId="588A15DE" w14:textId="254C6F02" w:rsidR="006A00DD" w:rsidRPr="00DB6C5D" w:rsidRDefault="006A00DD" w:rsidP="00171074">
            <w:pPr>
              <w:spacing w:after="120" w:line="276" w:lineRule="auto"/>
              <w:ind w:firstLine="709"/>
              <w:jc w:val="both"/>
              <w:rPr>
                <w:rFonts w:ascii="Verdana" w:hAnsi="Verdana" w:cs="Arial"/>
              </w:rPr>
            </w:pPr>
            <w:r w:rsidRPr="00DB6C5D">
              <w:rPr>
                <w:rFonts w:ascii="Verdana" w:eastAsia="Verdana" w:hAnsi="Verdana" w:cs="Verdana"/>
              </w:rPr>
              <w:t xml:space="preserve">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w:t>
            </w:r>
            <w:r w:rsidRPr="00DB6C5D">
              <w:rPr>
                <w:rFonts w:ascii="Verdana" w:eastAsia="Verdana" w:hAnsi="Verdana" w:cs="Verdana"/>
              </w:rPr>
              <w:lastRenderedPageBreak/>
              <w:t>para que adopten la decisión que corresponda, lo cual es acorde con el principio de juridicidad. Así, cada entidad definirá la forma de adelantar su gestión contractual, sin que sea atribución de Colombia Compra Eficiente validarla.</w:t>
            </w:r>
          </w:p>
        </w:tc>
      </w:tr>
      <w:bookmarkEnd w:id="3"/>
    </w:tbl>
    <w:p w14:paraId="74EF4831" w14:textId="77777777" w:rsidR="006A00DD" w:rsidRPr="00DB6C5D" w:rsidRDefault="006A00DD" w:rsidP="006A00DD">
      <w:pPr>
        <w:tabs>
          <w:tab w:val="left" w:pos="142"/>
          <w:tab w:val="left" w:pos="284"/>
        </w:tabs>
        <w:spacing w:after="0" w:line="276" w:lineRule="auto"/>
        <w:ind w:left="360"/>
        <w:jc w:val="both"/>
        <w:rPr>
          <w:rFonts w:ascii="Verdana" w:eastAsia="Century Gothic" w:hAnsi="Verdana" w:cs="Century Gothic"/>
          <w:b/>
          <w:bCs/>
        </w:rPr>
      </w:pPr>
    </w:p>
    <w:p w14:paraId="1AB16A5A" w14:textId="77777777" w:rsidR="006A00DD" w:rsidRPr="00DB6C5D" w:rsidRDefault="006A00DD" w:rsidP="006A00DD">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2349BD90" w14:textId="77777777" w:rsidR="006A00DD" w:rsidRPr="00DB6C5D" w:rsidRDefault="006A00DD" w:rsidP="006A00DD">
      <w:pPr>
        <w:spacing w:after="0" w:line="276" w:lineRule="auto"/>
        <w:jc w:val="both"/>
        <w:rPr>
          <w:rFonts w:ascii="Verdana" w:eastAsia="Calibri" w:hAnsi="Verdana" w:cs="Arial"/>
        </w:rPr>
      </w:pPr>
    </w:p>
    <w:p w14:paraId="37DECCCD" w14:textId="0F922A75" w:rsidR="006A00DD" w:rsidRDefault="006A00DD" w:rsidP="006A00DD">
      <w:pPr>
        <w:spacing w:after="0" w:line="276" w:lineRule="auto"/>
        <w:jc w:val="both"/>
        <w:rPr>
          <w:rFonts w:ascii="Verdana" w:eastAsia="Calibri" w:hAnsi="Verdana" w:cs="Aria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4F21C9DE" w14:textId="77777777" w:rsidR="008A4EA2" w:rsidRDefault="008A4EA2" w:rsidP="006A00DD">
      <w:pPr>
        <w:spacing w:after="0" w:line="276" w:lineRule="auto"/>
        <w:jc w:val="both"/>
        <w:rPr>
          <w:rFonts w:ascii="Verdana" w:eastAsia="Century Gothic" w:hAnsi="Verdana" w:cs="Century Gothic"/>
          <w:lang w:eastAsia="es-ES_tradnl"/>
        </w:rPr>
      </w:pPr>
    </w:p>
    <w:p w14:paraId="3276538F" w14:textId="77777777" w:rsidR="008A4EA2" w:rsidRPr="00E9090B" w:rsidRDefault="008A4EA2" w:rsidP="008A4EA2">
      <w:pPr>
        <w:snapToGrid w:val="0"/>
        <w:spacing w:after="120" w:line="276" w:lineRule="auto"/>
        <w:jc w:val="both"/>
        <w:rPr>
          <w:rFonts w:ascii="Verdana" w:eastAsia="Calibri" w:hAnsi="Verdana" w:cs="Arial"/>
          <w:lang w:val="es-ES"/>
        </w:rPr>
      </w:pPr>
      <w:r w:rsidRPr="00E9090B">
        <w:rPr>
          <w:rFonts w:ascii="Verdana" w:eastAsia="Calibri" w:hAnsi="Verdana" w:cs="Arial"/>
          <w:lang w:val="es-ES"/>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00705923" w14:textId="77777777" w:rsidR="008A4EA2" w:rsidRPr="00E9090B" w:rsidRDefault="008A4EA2" w:rsidP="008A4EA2">
      <w:pPr>
        <w:spacing w:before="120" w:after="120" w:line="276" w:lineRule="auto"/>
        <w:ind w:firstLine="709"/>
        <w:jc w:val="both"/>
        <w:rPr>
          <w:rFonts w:ascii="Verdana" w:eastAsia="Calibri" w:hAnsi="Verdana" w:cs="Arial"/>
          <w:sz w:val="21"/>
          <w:szCs w:val="21"/>
          <w:lang w:val="es-ES"/>
        </w:rPr>
      </w:pPr>
      <w:r w:rsidRPr="00E9090B">
        <w:rPr>
          <w:rFonts w:ascii="Verdana" w:eastAsia="Calibri" w:hAnsi="Verdana" w:cs="Arial"/>
          <w:lang w:val="es-ES"/>
        </w:rPr>
        <w:t>Un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 Ahora bien, para distinguir o diferenciar el pago anticipado y anticipo, se acude a lo expresado en la Subsección C de la Sección Tercera del Consejo de Estado, que expresó:</w:t>
      </w:r>
    </w:p>
    <w:p w14:paraId="7118526D" w14:textId="77777777" w:rsidR="008A4EA2" w:rsidRPr="00E9090B" w:rsidRDefault="008A4EA2" w:rsidP="008A4EA2">
      <w:pPr>
        <w:spacing w:after="0" w:line="240" w:lineRule="auto"/>
        <w:ind w:firstLine="709"/>
        <w:jc w:val="both"/>
        <w:rPr>
          <w:rFonts w:ascii="Arial" w:eastAsia="Calibri" w:hAnsi="Arial" w:cs="Arial"/>
          <w:lang w:val="es-ES"/>
        </w:rPr>
      </w:pPr>
    </w:p>
    <w:p w14:paraId="4D1F2113" w14:textId="77777777" w:rsidR="008A4EA2" w:rsidRPr="00EB6668" w:rsidRDefault="008A4EA2" w:rsidP="008A4EA2">
      <w:pPr>
        <w:spacing w:after="0" w:line="240" w:lineRule="auto"/>
        <w:ind w:left="709" w:right="709"/>
        <w:jc w:val="both"/>
        <w:rPr>
          <w:rFonts w:ascii="Verdana" w:eastAsia="Calibri" w:hAnsi="Verdana" w:cs="Arial"/>
          <w:sz w:val="20"/>
          <w:szCs w:val="20"/>
          <w:lang w:val="es-ES"/>
        </w:rPr>
      </w:pPr>
      <w:r w:rsidRPr="00EB6668">
        <w:rPr>
          <w:rFonts w:ascii="Verdana" w:eastAsia="Calibri" w:hAnsi="Verdana" w:cs="Arial"/>
          <w:sz w:val="20"/>
          <w:szCs w:val="20"/>
          <w:lang w:val="es-ES"/>
        </w:rPr>
        <w:t xml:space="preserve">“En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w:t>
      </w:r>
      <w:r w:rsidRPr="00EB6668">
        <w:rPr>
          <w:rFonts w:ascii="Verdana" w:eastAsia="Calibri" w:hAnsi="Verdana" w:cs="Arial"/>
          <w:sz w:val="20"/>
          <w:szCs w:val="20"/>
          <w:lang w:val="es-ES"/>
        </w:rPr>
        <w:lastRenderedPageBreak/>
        <w:t>del contrato por parte de la administración, o sea, son dineros de propiedad del contratista”</w:t>
      </w:r>
      <w:r w:rsidRPr="00EB6668">
        <w:rPr>
          <w:rFonts w:ascii="Verdana" w:eastAsia="Calibri" w:hAnsi="Verdana" w:cs="Arial"/>
          <w:sz w:val="20"/>
          <w:szCs w:val="20"/>
          <w:vertAlign w:val="superscript"/>
          <w:lang w:val="es-ES"/>
        </w:rPr>
        <w:footnoteReference w:id="1"/>
      </w:r>
      <w:r w:rsidRPr="00EB6668">
        <w:rPr>
          <w:rFonts w:ascii="Verdana" w:eastAsia="Calibri" w:hAnsi="Verdana" w:cs="Arial"/>
          <w:sz w:val="20"/>
          <w:szCs w:val="20"/>
          <w:lang w:val="es-ES"/>
        </w:rPr>
        <w:t>.</w:t>
      </w:r>
    </w:p>
    <w:p w14:paraId="3E44B67C" w14:textId="77777777" w:rsidR="008A4EA2" w:rsidRPr="00E9090B" w:rsidRDefault="008A4EA2" w:rsidP="008A4EA2">
      <w:pPr>
        <w:spacing w:after="0" w:line="276" w:lineRule="auto"/>
        <w:ind w:firstLine="709"/>
        <w:jc w:val="both"/>
        <w:rPr>
          <w:rFonts w:ascii="Arial" w:eastAsia="Calibri" w:hAnsi="Arial" w:cs="Arial"/>
          <w:lang w:val="es-ES"/>
        </w:rPr>
      </w:pPr>
    </w:p>
    <w:p w14:paraId="6D19920E" w14:textId="77777777" w:rsidR="008A4EA2" w:rsidRPr="00E9090B" w:rsidRDefault="008A4EA2" w:rsidP="008A4EA2">
      <w:pPr>
        <w:tabs>
          <w:tab w:val="left" w:pos="0"/>
        </w:tabs>
        <w:spacing w:after="120" w:line="276" w:lineRule="auto"/>
        <w:jc w:val="both"/>
        <w:rPr>
          <w:rFonts w:ascii="Verdana" w:hAnsi="Verdana" w:cs="Arial"/>
        </w:rPr>
      </w:pPr>
      <w:r w:rsidRPr="00E9090B">
        <w:rPr>
          <w:rFonts w:ascii="Verdana" w:eastAsia="Calibri" w:hAnsi="Verdana" w:cs="Arial"/>
          <w:lang w:val="es-ES"/>
        </w:rPr>
        <w:tab/>
        <w:t xml:space="preserve">Teniendo en cuenta el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E9090B">
        <w:rPr>
          <w:rFonts w:ascii="Verdana" w:eastAsia="Calibri" w:hAnsi="Verdana" w:cs="Arial"/>
          <w:lang w:val="es-ES"/>
        </w:rPr>
        <w:t>ii</w:t>
      </w:r>
      <w:proofErr w:type="spellEnd"/>
      <w:r w:rsidRPr="00E9090B">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E9090B">
        <w:rPr>
          <w:rFonts w:ascii="Verdana" w:hAnsi="Verdana" w:cs="Arial"/>
          <w:lang w:bidi="es-ES"/>
        </w:rPr>
        <w:t xml:space="preserve"> Al respecto, frente a estas dos instituciones expresa, la Sección Cuarta de Consejo de Estado, citando a la Sección Tercera: “El anticipo es el primer pago de los contratos de ejecución sucesiva que habrá de destinarse al cubrimiento de los costos iniciales, mientras que el pago anticipado corresponde a la retribución parcial que el contratista recibe en los contratos de ejecución sucesiva”</w:t>
      </w:r>
      <w:r w:rsidRPr="00E9090B">
        <w:rPr>
          <w:rFonts w:ascii="Verdana" w:hAnsi="Verdana" w:cs="Arial"/>
          <w:vertAlign w:val="superscript"/>
          <w:lang w:bidi="es-ES"/>
        </w:rPr>
        <w:footnoteReference w:id="2"/>
      </w:r>
      <w:r w:rsidRPr="00E9090B">
        <w:rPr>
          <w:rFonts w:ascii="Verdana" w:hAnsi="Verdana" w:cs="Arial"/>
          <w:lang w:bidi="es-ES"/>
        </w:rPr>
        <w:t>.</w:t>
      </w:r>
    </w:p>
    <w:p w14:paraId="09050938" w14:textId="77777777" w:rsidR="008A4EA2" w:rsidRPr="00E9090B" w:rsidRDefault="008A4EA2" w:rsidP="008A4EA2">
      <w:pPr>
        <w:spacing w:after="0" w:line="276" w:lineRule="auto"/>
        <w:ind w:firstLine="709"/>
        <w:jc w:val="both"/>
        <w:rPr>
          <w:rFonts w:ascii="Verdana" w:hAnsi="Verdana" w:cs="Arial"/>
        </w:rPr>
      </w:pPr>
      <w:r w:rsidRPr="00E9090B">
        <w:rPr>
          <w:rFonts w:ascii="Verdana" w:hAnsi="Verdana" w:cs="Arial"/>
          <w:lang w:eastAsia="en-GB"/>
        </w:rPr>
        <w:t>Para entender un poco más sobre sus diferencias, se precisa que la institución jurídica del anticipo está prevista en dos (2) preceptos normativos: el</w:t>
      </w:r>
      <w:r w:rsidRPr="00E9090B">
        <w:rPr>
          <w:rFonts w:ascii="Verdana" w:hAnsi="Verdana" w:cs="Arial"/>
        </w:rPr>
        <w:t xml:space="preserve"> inciso primero del parágrafo del artículo 40 de la Ley 80 de 1993 que establece un límite cuantitativo y en el artículo 91 de la Ley 1474 de 2011. Este último artículo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r w:rsidRPr="00E9090B">
        <w:rPr>
          <w:rFonts w:ascii="Verdana" w:hAnsi="Verdana"/>
        </w:rPr>
        <w:t xml:space="preserve"> </w:t>
      </w:r>
      <w:r w:rsidRPr="00E9090B">
        <w:rPr>
          <w:rFonts w:ascii="Verdana" w:hAnsi="Verdana" w:cs="Arial"/>
        </w:rPr>
        <w:t xml:space="preserve">Aunque las normas citadas no definen el anticipo, el Consejo de Estado ha precisado su naturaleza jurídica </w:t>
      </w:r>
      <w:r w:rsidRPr="00E9090B">
        <w:rPr>
          <w:rFonts w:ascii="Verdana" w:hAnsi="Verdana" w:cs="Arial"/>
        </w:rPr>
        <w:lastRenderedPageBreak/>
        <w:t>fijando parámetros para su aplicación</w:t>
      </w:r>
      <w:r w:rsidRPr="00E9090B">
        <w:rPr>
          <w:vertAlign w:val="superscript"/>
        </w:rPr>
        <w:footnoteReference w:id="3"/>
      </w:r>
      <w:r w:rsidRPr="00E9090B">
        <w:rPr>
          <w:rFonts w:ascii="Verdana" w:hAnsi="Verdana" w:cs="Arial"/>
        </w:rPr>
        <w:t>. En uno de sus pronunciamientos, el Consejo de Estado se refirió al anticipo como:</w:t>
      </w:r>
    </w:p>
    <w:p w14:paraId="213F4CA3" w14:textId="77777777" w:rsidR="008A4EA2" w:rsidRPr="00E9090B" w:rsidRDefault="008A4EA2" w:rsidP="008A4EA2">
      <w:pPr>
        <w:spacing w:after="0" w:line="276" w:lineRule="auto"/>
        <w:jc w:val="both"/>
        <w:rPr>
          <w:rFonts w:ascii="Verdana" w:hAnsi="Verdana" w:cs="Arial"/>
        </w:rPr>
      </w:pPr>
    </w:p>
    <w:p w14:paraId="146BD1E6" w14:textId="77777777" w:rsidR="008A4EA2" w:rsidRPr="00EB6668" w:rsidRDefault="008A4EA2" w:rsidP="008A4EA2">
      <w:pPr>
        <w:spacing w:after="0" w:line="240" w:lineRule="auto"/>
        <w:ind w:left="709" w:right="709"/>
        <w:jc w:val="both"/>
        <w:rPr>
          <w:rFonts w:ascii="Verdana" w:hAnsi="Verdana" w:cs="Arial"/>
          <w:sz w:val="20"/>
          <w:szCs w:val="20"/>
        </w:rPr>
      </w:pPr>
      <w:r w:rsidRPr="00EB6668">
        <w:rPr>
          <w:rFonts w:ascii="Verdana" w:hAnsi="Verdana" w:cs="Arial"/>
          <w:sz w:val="20"/>
          <w:szCs w:val="20"/>
        </w:rPr>
        <w:t>“[…]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EB6668">
        <w:rPr>
          <w:sz w:val="20"/>
          <w:szCs w:val="20"/>
          <w:vertAlign w:val="superscript"/>
        </w:rPr>
        <w:footnoteReference w:id="4"/>
      </w:r>
      <w:r w:rsidRPr="00EB6668">
        <w:rPr>
          <w:rFonts w:ascii="Verdana" w:hAnsi="Verdana" w:cs="Arial"/>
          <w:sz w:val="20"/>
          <w:szCs w:val="20"/>
        </w:rPr>
        <w:t>.</w:t>
      </w:r>
    </w:p>
    <w:p w14:paraId="07601F61" w14:textId="77777777" w:rsidR="008A4EA2" w:rsidRPr="00E9090B" w:rsidRDefault="008A4EA2" w:rsidP="008A4EA2">
      <w:pPr>
        <w:spacing w:after="0" w:line="240" w:lineRule="auto"/>
        <w:ind w:left="709" w:right="709"/>
        <w:jc w:val="both"/>
        <w:rPr>
          <w:rFonts w:ascii="Verdana" w:hAnsi="Verdana"/>
          <w:sz w:val="21"/>
          <w:szCs w:val="21"/>
        </w:rPr>
      </w:pPr>
    </w:p>
    <w:p w14:paraId="0DA06FE8" w14:textId="77777777" w:rsidR="008A4EA2" w:rsidRPr="00E9090B" w:rsidRDefault="008A4EA2" w:rsidP="008A4EA2">
      <w:pPr>
        <w:tabs>
          <w:tab w:val="left" w:pos="0"/>
        </w:tabs>
        <w:spacing w:after="120" w:line="276" w:lineRule="auto"/>
        <w:jc w:val="both"/>
        <w:rPr>
          <w:rFonts w:ascii="Verdana" w:hAnsi="Verdana" w:cs="Arial"/>
        </w:rPr>
      </w:pPr>
      <w:r w:rsidRPr="00E9090B">
        <w:rPr>
          <w:rFonts w:ascii="Verdana" w:hAnsi="Verdana" w:cs="Arial"/>
        </w:rPr>
        <w:tab/>
        <w:t>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E9090B">
        <w:rPr>
          <w:vertAlign w:val="superscript"/>
        </w:rPr>
        <w:footnoteReference w:id="5"/>
      </w:r>
      <w:r w:rsidRPr="00E9090B">
        <w:rPr>
          <w:rFonts w:ascii="Verdana" w:hAnsi="Verdana" w:cs="Arial"/>
        </w:rPr>
        <w:t>. Igualmente, explica que el anticipo, al facilitar al contratista la financiación de los bienes y servicios que se le han encargado, es un factor determinante para impulsar la ejecución del contrato</w:t>
      </w:r>
      <w:r w:rsidRPr="00E9090B">
        <w:rPr>
          <w:vertAlign w:val="superscript"/>
        </w:rPr>
        <w:footnoteReference w:id="6"/>
      </w:r>
      <w:r w:rsidRPr="00E9090B">
        <w:rPr>
          <w:rFonts w:ascii="Verdana" w:hAnsi="Verdana" w:cs="Arial"/>
        </w:rPr>
        <w:t>. Este también es el entendimiento de la doctrina, que ha considerado el anticipo como un dinero entregado al contratista que debe cancelarse mediante descuentos parciales, siendo una práctica común que permite impulsar la ejecución del contrato</w:t>
      </w:r>
      <w:r w:rsidRPr="00E9090B">
        <w:rPr>
          <w:vertAlign w:val="superscript"/>
        </w:rPr>
        <w:footnoteReference w:id="7"/>
      </w:r>
      <w:r w:rsidRPr="00E9090B">
        <w:rPr>
          <w:rFonts w:ascii="Verdana" w:hAnsi="Verdana" w:cs="Arial"/>
        </w:rPr>
        <w:t xml:space="preserve">. </w:t>
      </w:r>
    </w:p>
    <w:p w14:paraId="5EF1DC70" w14:textId="77777777" w:rsidR="008A4EA2" w:rsidRPr="00E9090B" w:rsidRDefault="008A4EA2" w:rsidP="008A4EA2">
      <w:pPr>
        <w:tabs>
          <w:tab w:val="left" w:pos="0"/>
        </w:tabs>
        <w:spacing w:after="120" w:line="276" w:lineRule="auto"/>
        <w:jc w:val="both"/>
        <w:rPr>
          <w:rFonts w:ascii="Verdana" w:hAnsi="Verdana" w:cs="Arial"/>
        </w:rPr>
      </w:pPr>
      <w:r w:rsidRPr="00E9090B">
        <w:rPr>
          <w:rFonts w:ascii="Verdana" w:hAnsi="Verdana" w:cs="Arial"/>
        </w:rPr>
        <w:lastRenderedPageBreak/>
        <w:tab/>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E9090B">
        <w:rPr>
          <w:rFonts w:ascii="Verdana" w:hAnsi="Verdana" w:cs="Times New Roman"/>
          <w:lang w:eastAsia="es-CO"/>
        </w:rPr>
        <w:t xml:space="preserve"> </w:t>
      </w:r>
    </w:p>
    <w:p w14:paraId="7FA2A7A0" w14:textId="77777777" w:rsidR="008A4EA2" w:rsidRPr="00E9090B" w:rsidRDefault="008A4EA2" w:rsidP="008A4EA2">
      <w:pPr>
        <w:spacing w:after="120" w:line="276" w:lineRule="auto"/>
        <w:ind w:firstLine="708"/>
        <w:jc w:val="both"/>
        <w:rPr>
          <w:rFonts w:ascii="Verdana" w:hAnsi="Verdana" w:cs="Arial"/>
          <w:sz w:val="21"/>
          <w:szCs w:val="21"/>
        </w:rPr>
      </w:pPr>
      <w:r w:rsidRPr="00E9090B">
        <w:rPr>
          <w:rFonts w:ascii="Verdana" w:eastAsia="Calibri" w:hAnsi="Verdana" w:cs="Arial"/>
        </w:rPr>
        <w:t>Por otro lado, la institución jurídica del pago anticipado se concibe como la retribución parcial que el contratista recibe en los contratos estatales. Al respecto, la doctrina expresa:</w:t>
      </w:r>
      <w:r w:rsidRPr="00E9090B">
        <w:rPr>
          <w:rFonts w:ascii="ArialMT" w:hAnsi="ArialMT" w:cs="ArialMT"/>
          <w:sz w:val="18"/>
          <w:szCs w:val="18"/>
        </w:rPr>
        <w:t xml:space="preserve"> </w:t>
      </w:r>
      <w:r w:rsidRPr="00E9090B">
        <w:rPr>
          <w:rFonts w:ascii="Verdana" w:eastAsia="Calibri" w:hAnsi="Verdana" w:cs="Arial"/>
        </w:rPr>
        <w:t>“El pago anticipado sí hace parte del precio y su entrega comporta la extinción parcial de la obligación de remuneración a cargo de la entidad solo que de manera adelantada a la realización del contrato o como primer contado”</w:t>
      </w:r>
      <w:r w:rsidRPr="00E9090B">
        <w:rPr>
          <w:rFonts w:ascii="Verdana" w:eastAsia="Calibri" w:hAnsi="Verdana" w:cs="Arial"/>
          <w:vertAlign w:val="superscript"/>
        </w:rPr>
        <w:footnoteReference w:id="8"/>
      </w:r>
      <w:r w:rsidRPr="00E9090B">
        <w:rPr>
          <w:rFonts w:ascii="Verdana" w:eastAsia="Calibri" w:hAnsi="Verdana" w:cs="Arial"/>
        </w:rPr>
        <w:t xml:space="preserve">.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1E059765" w14:textId="77777777" w:rsidR="008A4EA2" w:rsidRDefault="008A4EA2" w:rsidP="008A4EA2">
      <w:pPr>
        <w:tabs>
          <w:tab w:val="left" w:pos="0"/>
        </w:tabs>
        <w:spacing w:after="120" w:line="276" w:lineRule="auto"/>
        <w:jc w:val="both"/>
        <w:rPr>
          <w:rFonts w:ascii="Verdana" w:hAnsi="Verdana" w:cs="Arial"/>
        </w:rPr>
      </w:pPr>
      <w:r w:rsidRPr="00E9090B">
        <w:rPr>
          <w:rFonts w:ascii="Verdana" w:hAnsi="Verdana" w:cs="Arial"/>
        </w:rPr>
        <w:tab/>
        <w:t xml:space="preserve">De lo expuesto, se infiere que entidades estatales tienen la facultad de pactar la entrega de anticipos o pagos anticipados en los contratos que celebren. Para ello, deberán realizar el estudio correspondiente, con el fin de determinar 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w:t>
      </w:r>
      <w:r w:rsidRPr="00E9090B">
        <w:rPr>
          <w:rFonts w:ascii="Verdana" w:hAnsi="Verdana" w:cs="Arial"/>
        </w:rPr>
        <w:lastRenderedPageBreak/>
        <w:t xml:space="preserve">condiciones necesarias para su exigibilidad, así como todas las obligaciones para su correcta inversión. </w:t>
      </w:r>
    </w:p>
    <w:p w14:paraId="3E4C28FF" w14:textId="746592AA" w:rsidR="002C6DFE" w:rsidRPr="004C0FC3" w:rsidRDefault="00167454" w:rsidP="004C0FC3">
      <w:pPr>
        <w:spacing w:line="300" w:lineRule="atLeast"/>
        <w:ind w:firstLine="708"/>
        <w:jc w:val="both"/>
        <w:rPr>
          <w:rFonts w:ascii="Segoe UI" w:eastAsia="Times New Roman" w:hAnsi="Segoe UI" w:cs="Segoe UI"/>
          <w:sz w:val="21"/>
          <w:szCs w:val="21"/>
          <w:lang w:eastAsia="es-ES_tradnl"/>
        </w:rPr>
      </w:pPr>
      <w:r>
        <w:rPr>
          <w:rFonts w:ascii="Verdana" w:hAnsi="Verdana" w:cs="Arial"/>
        </w:rPr>
        <w:t>Conforme a lo expuesto</w:t>
      </w:r>
      <w:r w:rsidR="002C6DFE" w:rsidRPr="00171074">
        <w:rPr>
          <w:rFonts w:ascii="Verdana" w:hAnsi="Verdana" w:cs="Arial"/>
        </w:rPr>
        <w:t xml:space="preserve">, </w:t>
      </w:r>
      <w:r w:rsidR="002C6DFE">
        <w:rPr>
          <w:rFonts w:ascii="Verdana" w:hAnsi="Verdana" w:cs="Arial"/>
        </w:rPr>
        <w:t>frente a</w:t>
      </w:r>
      <w:r w:rsidR="002C6DFE" w:rsidRPr="00171074">
        <w:rPr>
          <w:rFonts w:ascii="Verdana" w:hAnsi="Verdana" w:cs="Arial"/>
        </w:rPr>
        <w:t xml:space="preserve"> la consulta plante</w:t>
      </w:r>
      <w:r w:rsidR="002C6DFE">
        <w:rPr>
          <w:rFonts w:ascii="Verdana" w:hAnsi="Verdana" w:cs="Arial"/>
        </w:rPr>
        <w:t>ada</w:t>
      </w:r>
      <w:r w:rsidR="002C6DFE" w:rsidRPr="00171074">
        <w:rPr>
          <w:rFonts w:ascii="Verdana" w:hAnsi="Verdana" w:cs="Arial"/>
        </w:rPr>
        <w:t xml:space="preserve"> la entrega de recursos bajo la figura del pago anticipado no modifica el alcance de la restricción legal. </w:t>
      </w:r>
      <w:r w:rsidR="001E12F6">
        <w:rPr>
          <w:rFonts w:ascii="Verdana" w:hAnsi="Verdana" w:cs="Arial"/>
        </w:rPr>
        <w:t xml:space="preserve">Esto en la medida que el parágrafo del artículo 40 de la Ley 80 de 1993 es clara en señalar que </w:t>
      </w:r>
      <w:r w:rsidR="001E12F6" w:rsidRPr="004C0FC3">
        <w:rPr>
          <w:rFonts w:ascii="Verdana" w:eastAsia="Times New Roman" w:hAnsi="Verdana" w:cs="Segoe UI"/>
          <w:lang w:eastAsia="es-ES_tradnl"/>
        </w:rPr>
        <w:t xml:space="preserve">“En los contratos que celebren las entidades estatales se podrá pactar el pago anticipado y la entrega de anticipos, </w:t>
      </w:r>
      <w:r w:rsidR="001E12F6" w:rsidRPr="004C0FC3">
        <w:rPr>
          <w:rFonts w:ascii="Verdana" w:eastAsia="Times New Roman" w:hAnsi="Verdana" w:cs="Segoe UI"/>
          <w:i/>
          <w:iCs/>
          <w:lang w:eastAsia="es-ES_tradnl"/>
        </w:rPr>
        <w:t>pero su monto no podrá exceder del cincuenta por ciento (50%) del valor del respectivo contrato</w:t>
      </w:r>
      <w:r w:rsidR="001E12F6" w:rsidRPr="004C0FC3">
        <w:rPr>
          <w:rFonts w:ascii="Verdana" w:eastAsia="Times New Roman" w:hAnsi="Verdana" w:cs="Segoe UI"/>
          <w:lang w:eastAsia="es-ES_tradnl"/>
        </w:rPr>
        <w:t>”</w:t>
      </w:r>
      <w:r w:rsidR="001E12F6">
        <w:rPr>
          <w:rFonts w:ascii="Verdana" w:eastAsia="Times New Roman" w:hAnsi="Verdana" w:cs="Segoe UI"/>
          <w:lang w:eastAsia="es-ES_tradnl"/>
        </w:rPr>
        <w:t xml:space="preserve"> (Cursiva fuera del texto)</w:t>
      </w:r>
      <w:r w:rsidR="001E12F6" w:rsidRPr="004C0FC3">
        <w:rPr>
          <w:rFonts w:ascii="Verdana" w:eastAsia="Times New Roman" w:hAnsi="Verdana" w:cs="Segoe UI"/>
          <w:lang w:eastAsia="es-ES_tradnl"/>
        </w:rPr>
        <w:t>.</w:t>
      </w:r>
      <w:r w:rsidR="001E12F6">
        <w:rPr>
          <w:rFonts w:ascii="Verdana" w:eastAsia="Times New Roman" w:hAnsi="Verdana" w:cs="Segoe UI"/>
          <w:lang w:eastAsia="es-ES_tradnl"/>
        </w:rPr>
        <w:t xml:space="preserve"> El tenor literal de la norma permite concluir que la restricción cuantitativa señalada aplica a las dos figuras jurídicas – pago anticipado y anticipo –. </w:t>
      </w:r>
      <w:r w:rsidR="001E12F6" w:rsidRPr="004C0FC3">
        <w:rPr>
          <w:rFonts w:ascii="Verdana" w:eastAsia="Times New Roman" w:hAnsi="Verdana" w:cs="Segoe UI"/>
          <w:lang w:eastAsia="es-ES_tradnl"/>
        </w:rPr>
        <w:t xml:space="preserve">Aunque el pago anticipado y el anticipo son figuras diferentes, dicha diferencia no modifica el límite legal. </w:t>
      </w:r>
      <w:r w:rsidR="002C6DFE" w:rsidRPr="00171074">
        <w:rPr>
          <w:rFonts w:ascii="Verdana" w:hAnsi="Verdana" w:cs="Arial"/>
        </w:rPr>
        <w:t>Por tanto, no resulta jurídicamente procedente pactar o entregar el cien por ciento (100%) del valor del contrato a título de pago anticipado, pues ello excedería el límite establecido por el legislador.</w:t>
      </w:r>
    </w:p>
    <w:p w14:paraId="0ACD97A8" w14:textId="77777777" w:rsidR="002C6DFE" w:rsidRPr="00171074" w:rsidRDefault="002C6DFE" w:rsidP="002C6DFE">
      <w:pPr>
        <w:spacing w:after="120" w:line="276" w:lineRule="auto"/>
        <w:ind w:firstLine="709"/>
        <w:jc w:val="both"/>
        <w:rPr>
          <w:rFonts w:ascii="Verdana" w:hAnsi="Verdana" w:cs="Arial"/>
        </w:rPr>
      </w:pPr>
      <w:r>
        <w:rPr>
          <w:rFonts w:ascii="Verdana" w:hAnsi="Verdana" w:cs="Arial"/>
        </w:rPr>
        <w:t>En consecuencia, e</w:t>
      </w:r>
      <w:r w:rsidRPr="00171074">
        <w:rPr>
          <w:rFonts w:ascii="Verdana" w:hAnsi="Verdana" w:cs="Arial"/>
        </w:rPr>
        <w:t>n los términos del parágrafo del artículo 40 de la Ley 80 de 1993, el límite máximo del cincuenta por ciento (50%) del valor del respectivo contrato resulta aplicable tanto al pago anticipado como a la entrega de anticipos</w:t>
      </w:r>
      <w:r>
        <w:rPr>
          <w:rFonts w:ascii="Verdana" w:hAnsi="Verdana" w:cs="Arial"/>
        </w:rPr>
        <w:t>, lo que nos permite concluir que</w:t>
      </w:r>
      <w:r w:rsidRPr="00171074">
        <w:rPr>
          <w:rFonts w:ascii="Verdana" w:hAnsi="Verdana" w:cs="Arial"/>
        </w:rPr>
        <w:t xml:space="preserve"> no es procedente pactar o entregar el cien por ciento (100%) del valor del contrato a título de pago anticipado, toda vez que dicha suma excedería el límite legal previsto para ambas figuras.</w:t>
      </w:r>
    </w:p>
    <w:p w14:paraId="578DB151" w14:textId="77777777" w:rsidR="008A4EA2" w:rsidRPr="00DB6C5D" w:rsidRDefault="008A4EA2" w:rsidP="008A4EA2">
      <w:pPr>
        <w:tabs>
          <w:tab w:val="left" w:pos="142"/>
          <w:tab w:val="left" w:pos="426"/>
        </w:tabs>
        <w:spacing w:after="0" w:line="276" w:lineRule="auto"/>
        <w:ind w:firstLine="142"/>
        <w:jc w:val="both"/>
        <w:rPr>
          <w:rFonts w:ascii="Verdana" w:eastAsia="Calibri" w:hAnsi="Verdana" w:cs="Arial"/>
          <w:bCs/>
          <w:color w:val="000000" w:themeColor="text1"/>
        </w:rPr>
      </w:pPr>
      <w:r w:rsidRPr="00DB6C5D">
        <w:rPr>
          <w:rFonts w:ascii="Verdana" w:hAnsi="Verdana"/>
        </w:rPr>
        <w:tab/>
      </w:r>
      <w:r w:rsidRPr="00DB6C5D">
        <w:rPr>
          <w:rFonts w:ascii="Verdana" w:hAnsi="Verdana"/>
        </w:rPr>
        <w:tab/>
        <w:t>Dentro de este marco, la entidad contratante definirá en cada caso concreto lo relacionado con el tema objeto de consulta. Al tratarse de un análisis que debe realizarse</w:t>
      </w:r>
      <w:r w:rsidRPr="00DB6C5D">
        <w:rPr>
          <w:rFonts w:ascii="Verdana" w:eastAsia="Calibri" w:hAnsi="Verdana" w:cs="Arial"/>
          <w:bCs/>
          <w:color w:val="000000" w:themeColor="text1"/>
        </w:rPr>
        <w:t xml:space="preserv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6C5D">
        <w:rPr>
          <w:rStyle w:val="s15"/>
          <w:rFonts w:ascii="Verdana" w:hAnsi="Verdana"/>
          <w:color w:val="000000"/>
        </w:rPr>
        <w:t>Esto significa que,</w:t>
      </w:r>
      <w:r w:rsidRPr="00DB6C5D">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sidRPr="00DB6C5D">
        <w:rPr>
          <w:rStyle w:val="Refdenotaalpie"/>
          <w:rFonts w:ascii="Verdana" w:eastAsia="Calibri" w:hAnsi="Verdana" w:cs="Arial"/>
          <w:bCs/>
          <w:color w:val="000000" w:themeColor="text1"/>
        </w:rPr>
        <w:footnoteReference w:id="9"/>
      </w:r>
      <w:r w:rsidRPr="00DB6C5D">
        <w:rPr>
          <w:rFonts w:ascii="Verdana" w:eastAsia="Calibri" w:hAnsi="Verdana" w:cs="Arial"/>
          <w:bCs/>
          <w:color w:val="000000" w:themeColor="text1"/>
        </w:rPr>
        <w:t xml:space="preserve">. </w:t>
      </w:r>
    </w:p>
    <w:p w14:paraId="085CC259" w14:textId="77777777" w:rsidR="006A00DD" w:rsidRPr="00DB6C5D" w:rsidRDefault="006A00DD" w:rsidP="006A00DD">
      <w:pPr>
        <w:tabs>
          <w:tab w:val="left" w:pos="142"/>
          <w:tab w:val="left" w:pos="426"/>
        </w:tabs>
        <w:spacing w:after="0" w:line="276" w:lineRule="auto"/>
        <w:ind w:firstLine="142"/>
        <w:jc w:val="both"/>
        <w:rPr>
          <w:rFonts w:ascii="Verdana" w:eastAsia="Calibri" w:hAnsi="Verdana" w:cs="Arial"/>
          <w:bCs/>
          <w:color w:val="000000" w:themeColor="text1"/>
        </w:rPr>
      </w:pPr>
    </w:p>
    <w:p w14:paraId="69988142" w14:textId="77777777" w:rsidR="006A00DD" w:rsidRPr="00DB6C5D" w:rsidRDefault="006A00DD" w:rsidP="006A00DD">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1AA3B245" w14:textId="77777777" w:rsidR="006A00DD" w:rsidRPr="00DB6C5D" w:rsidRDefault="006A00DD" w:rsidP="006A00DD">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00DD" w:rsidRPr="00DB6C5D" w14:paraId="2F11B254" w14:textId="77777777" w:rsidTr="00195E6B">
        <w:trPr>
          <w:trHeight w:val="410"/>
          <w:jc w:val="center"/>
        </w:trPr>
        <w:tc>
          <w:tcPr>
            <w:tcW w:w="8647" w:type="dxa"/>
          </w:tcPr>
          <w:p w14:paraId="035E11F0" w14:textId="03D84D15" w:rsidR="00076224" w:rsidRPr="00076224" w:rsidRDefault="00076224"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076224">
              <w:rPr>
                <w:rFonts w:ascii="Verdana" w:hAnsi="Verdana" w:cs="Arial"/>
                <w:color w:val="000000" w:themeColor="text1"/>
                <w:lang w:val="es-CO"/>
              </w:rPr>
              <w:t>Ley 80 de 1993</w:t>
            </w:r>
            <w:r w:rsidR="00E46F10">
              <w:rPr>
                <w:rFonts w:ascii="Verdana" w:hAnsi="Verdana" w:cs="Arial"/>
                <w:color w:val="000000" w:themeColor="text1"/>
                <w:lang w:val="es-CO"/>
              </w:rPr>
              <w:t>, a</w:t>
            </w:r>
            <w:r w:rsidR="00E46F10" w:rsidRPr="00076224">
              <w:rPr>
                <w:rFonts w:ascii="Verdana" w:hAnsi="Verdana" w:cs="Arial"/>
                <w:color w:val="000000" w:themeColor="text1"/>
                <w:lang w:val="es-CO"/>
              </w:rPr>
              <w:t>rtículo 40</w:t>
            </w:r>
            <w:r w:rsidR="00E46F10">
              <w:rPr>
                <w:rFonts w:ascii="Verdana" w:hAnsi="Verdana" w:cs="Arial"/>
                <w:color w:val="000000" w:themeColor="text1"/>
                <w:lang w:val="es-CO"/>
              </w:rPr>
              <w:t>.</w:t>
            </w:r>
          </w:p>
          <w:p w14:paraId="4AE2C335" w14:textId="59DB832E" w:rsidR="00076224" w:rsidRPr="00076224" w:rsidRDefault="00076224"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076224">
              <w:rPr>
                <w:rFonts w:ascii="Verdana" w:hAnsi="Verdana" w:cs="Arial"/>
                <w:color w:val="000000" w:themeColor="text1"/>
                <w:lang w:val="es-CO"/>
              </w:rPr>
              <w:t>Ley 1474 de 2011</w:t>
            </w:r>
            <w:r w:rsidR="00E46F10">
              <w:rPr>
                <w:rFonts w:ascii="Verdana" w:hAnsi="Verdana" w:cs="Arial"/>
                <w:color w:val="000000" w:themeColor="text1"/>
                <w:lang w:val="es-CO"/>
              </w:rPr>
              <w:t>, a</w:t>
            </w:r>
            <w:r w:rsidR="00E46F10" w:rsidRPr="00076224">
              <w:rPr>
                <w:rFonts w:ascii="Verdana" w:hAnsi="Verdana" w:cs="Arial"/>
                <w:color w:val="000000" w:themeColor="text1"/>
                <w:lang w:val="es-CO"/>
              </w:rPr>
              <w:t>rtículo 91</w:t>
            </w:r>
            <w:r w:rsidR="00E46F10">
              <w:rPr>
                <w:rFonts w:ascii="Verdana" w:hAnsi="Verdana" w:cs="Arial"/>
                <w:color w:val="000000" w:themeColor="text1"/>
                <w:lang w:val="es-CO"/>
              </w:rPr>
              <w:t>.</w:t>
            </w:r>
          </w:p>
          <w:p w14:paraId="4D41DE11" w14:textId="309F13C0" w:rsidR="00E46F10" w:rsidRPr="00E46F10" w:rsidRDefault="00E46F10"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E46F10">
              <w:rPr>
                <w:rFonts w:ascii="Verdana" w:hAnsi="Verdana" w:cs="Arial"/>
                <w:color w:val="000000" w:themeColor="text1"/>
                <w:lang w:val="es-CO"/>
              </w:rPr>
              <w:t xml:space="preserve">Consejo de Estado. Sección Tercera. Sentencia del 22 de junio de 2001. </w:t>
            </w:r>
            <w:proofErr w:type="spellStart"/>
            <w:r w:rsidRPr="00E46F10">
              <w:rPr>
                <w:rFonts w:ascii="Verdana" w:hAnsi="Verdana" w:cs="Arial"/>
                <w:color w:val="000000" w:themeColor="text1"/>
                <w:lang w:val="es-CO"/>
              </w:rPr>
              <w:t>Exp</w:t>
            </w:r>
            <w:proofErr w:type="spellEnd"/>
            <w:r w:rsidRPr="00E46F10">
              <w:rPr>
                <w:rFonts w:ascii="Verdana" w:hAnsi="Verdana" w:cs="Arial"/>
                <w:color w:val="000000" w:themeColor="text1"/>
                <w:lang w:val="es-CO"/>
              </w:rPr>
              <w:t>. 13.436. C.P. Ricardo Hoyos Duque.</w:t>
            </w:r>
          </w:p>
          <w:p w14:paraId="72F11E85" w14:textId="46E25FA2" w:rsidR="00E46F10" w:rsidRPr="00E46F10" w:rsidRDefault="00E46F10"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E46F10">
              <w:rPr>
                <w:rFonts w:ascii="Verdana" w:hAnsi="Verdana" w:cs="Arial"/>
                <w:color w:val="000000" w:themeColor="text1"/>
                <w:lang w:val="es-CO"/>
              </w:rPr>
              <w:t xml:space="preserve">Consejo de Estado. Sección Tercera, Subsección C. Sentencia del 29 de abril de 2015. </w:t>
            </w:r>
            <w:proofErr w:type="spellStart"/>
            <w:r w:rsidRPr="00E46F10">
              <w:rPr>
                <w:rFonts w:ascii="Verdana" w:hAnsi="Verdana" w:cs="Arial"/>
                <w:color w:val="000000" w:themeColor="text1"/>
                <w:lang w:val="es-CO"/>
              </w:rPr>
              <w:t>Exp</w:t>
            </w:r>
            <w:proofErr w:type="spellEnd"/>
            <w:r w:rsidRPr="00E46F10">
              <w:rPr>
                <w:rFonts w:ascii="Verdana" w:hAnsi="Verdana" w:cs="Arial"/>
                <w:color w:val="000000" w:themeColor="text1"/>
                <w:lang w:val="es-CO"/>
              </w:rPr>
              <w:t xml:space="preserve">. 31.620. C.P. Olga Mélida Valle de </w:t>
            </w:r>
            <w:proofErr w:type="spellStart"/>
            <w:r w:rsidRPr="00E46F10">
              <w:rPr>
                <w:rFonts w:ascii="Verdana" w:hAnsi="Verdana" w:cs="Arial"/>
                <w:color w:val="000000" w:themeColor="text1"/>
                <w:lang w:val="es-CO"/>
              </w:rPr>
              <w:t>De</w:t>
            </w:r>
            <w:proofErr w:type="spellEnd"/>
            <w:r w:rsidRPr="00E46F10">
              <w:rPr>
                <w:rFonts w:ascii="Verdana" w:hAnsi="Verdana" w:cs="Arial"/>
                <w:color w:val="000000" w:themeColor="text1"/>
                <w:lang w:val="es-CO"/>
              </w:rPr>
              <w:t xml:space="preserve"> La Hoz.</w:t>
            </w:r>
          </w:p>
          <w:p w14:paraId="272CC72F" w14:textId="53AC61CB" w:rsidR="00E46F10" w:rsidRPr="00E46F10" w:rsidRDefault="00E46F10"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E46F10">
              <w:rPr>
                <w:rFonts w:ascii="Verdana" w:hAnsi="Verdana" w:cs="Arial"/>
                <w:color w:val="000000" w:themeColor="text1"/>
                <w:lang w:val="es-CO"/>
              </w:rPr>
              <w:t xml:space="preserve">Consejo de Estado. Sección Tercera, Subsección A. Sentencia del 16 de mayo de 2019. </w:t>
            </w:r>
            <w:proofErr w:type="spellStart"/>
            <w:r w:rsidRPr="00E46F10">
              <w:rPr>
                <w:rFonts w:ascii="Verdana" w:hAnsi="Verdana" w:cs="Arial"/>
                <w:color w:val="000000" w:themeColor="text1"/>
                <w:lang w:val="es-CO"/>
              </w:rPr>
              <w:t>Exp</w:t>
            </w:r>
            <w:proofErr w:type="spellEnd"/>
            <w:r w:rsidRPr="00E46F10">
              <w:rPr>
                <w:rFonts w:ascii="Verdana" w:hAnsi="Verdana" w:cs="Arial"/>
                <w:color w:val="000000" w:themeColor="text1"/>
                <w:lang w:val="es-CO"/>
              </w:rPr>
              <w:t>. 40.102. C.P. María Adriana Marín.</w:t>
            </w:r>
          </w:p>
          <w:p w14:paraId="2B7127D4" w14:textId="4A382C9B" w:rsidR="006A00DD" w:rsidRPr="006D05F1" w:rsidRDefault="00E46F10" w:rsidP="004C0FC3">
            <w:pPr>
              <w:pStyle w:val="Prrafodelista"/>
              <w:numPr>
                <w:ilvl w:val="0"/>
                <w:numId w:val="18"/>
              </w:numPr>
              <w:spacing w:line="276" w:lineRule="auto"/>
              <w:ind w:left="357" w:hanging="357"/>
              <w:contextualSpacing w:val="0"/>
              <w:jc w:val="both"/>
              <w:rPr>
                <w:rFonts w:ascii="Verdana" w:hAnsi="Verdana" w:cs="Arial"/>
                <w:color w:val="000000" w:themeColor="text1"/>
                <w:lang w:val="es-CO"/>
              </w:rPr>
            </w:pPr>
            <w:r w:rsidRPr="00E46F10">
              <w:rPr>
                <w:rFonts w:ascii="Verdana" w:hAnsi="Verdana" w:cs="Arial"/>
                <w:color w:val="000000" w:themeColor="text1"/>
                <w:lang w:val="es-CO"/>
              </w:rPr>
              <w:t xml:space="preserve">Consejo de Estado. Sección Tercera, Subsección C. Sentencia del 2 de octubre de 2020. </w:t>
            </w:r>
            <w:proofErr w:type="spellStart"/>
            <w:r w:rsidRPr="00E46F10">
              <w:rPr>
                <w:rFonts w:ascii="Verdana" w:hAnsi="Verdana" w:cs="Arial"/>
                <w:color w:val="000000" w:themeColor="text1"/>
                <w:lang w:val="es-CO"/>
              </w:rPr>
              <w:t>Exp</w:t>
            </w:r>
            <w:proofErr w:type="spellEnd"/>
            <w:r w:rsidRPr="00E46F10">
              <w:rPr>
                <w:rFonts w:ascii="Verdana" w:hAnsi="Verdana" w:cs="Arial"/>
                <w:color w:val="000000" w:themeColor="text1"/>
                <w:lang w:val="es-CO"/>
              </w:rPr>
              <w:t>. 63.644. C.P. Jaime Enrique Rodríguez Navas.</w:t>
            </w:r>
          </w:p>
        </w:tc>
      </w:tr>
    </w:tbl>
    <w:p w14:paraId="6589B7C8" w14:textId="77777777" w:rsidR="00167454" w:rsidRPr="004C0FC3" w:rsidRDefault="00167454" w:rsidP="004C0FC3">
      <w:pPr>
        <w:widowControl w:val="0"/>
        <w:tabs>
          <w:tab w:val="left" w:pos="142"/>
          <w:tab w:val="left" w:pos="284"/>
        </w:tabs>
        <w:autoSpaceDE w:val="0"/>
        <w:autoSpaceDN w:val="0"/>
        <w:spacing w:after="0" w:line="276" w:lineRule="auto"/>
        <w:ind w:left="360"/>
        <w:jc w:val="both"/>
        <w:rPr>
          <w:rFonts w:ascii="Verdana" w:eastAsia="Calibri" w:hAnsi="Verdana" w:cs="Arial"/>
          <w:color w:val="000000"/>
          <w:kern w:val="2"/>
          <w:shd w:val="clear" w:color="auto" w:fill="FFFFFF"/>
          <w14:ligatures w14:val="standardContextual"/>
        </w:rPr>
      </w:pPr>
    </w:p>
    <w:p w14:paraId="3F1FE536" w14:textId="4435F877" w:rsidR="006A00DD" w:rsidRPr="007976FC" w:rsidRDefault="006A00DD" w:rsidP="006A00DD">
      <w:pPr>
        <w:widowControl w:val="0"/>
        <w:numPr>
          <w:ilvl w:val="0"/>
          <w:numId w:val="16"/>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474BC250" w14:textId="77777777" w:rsidR="00167454" w:rsidRDefault="00167454" w:rsidP="00167454">
      <w:pPr>
        <w:widowControl w:val="0"/>
        <w:spacing w:after="0" w:line="276" w:lineRule="auto"/>
        <w:jc w:val="both"/>
        <w:rPr>
          <w:rFonts w:ascii="Verdana" w:eastAsia="Calibri" w:hAnsi="Verdana" w:cs="Arial"/>
          <w:lang w:val="es-ES" w:eastAsia="es-ES"/>
        </w:rPr>
      </w:pPr>
    </w:p>
    <w:p w14:paraId="45A90DA0" w14:textId="6F5C6997" w:rsidR="006A00DD" w:rsidRDefault="006A00DD" w:rsidP="004C0FC3">
      <w:pPr>
        <w:widowControl w:val="0"/>
        <w:spacing w:after="0" w:line="276" w:lineRule="auto"/>
        <w:jc w:val="both"/>
        <w:rPr>
          <w:rFonts w:ascii="Verdana" w:eastAsia="Calibri" w:hAnsi="Verdana" w:cs="Arial"/>
          <w:lang w:val="es-ES" w:eastAsia="es-ES"/>
        </w:rPr>
      </w:pPr>
      <w:r w:rsidRPr="006E3E0D">
        <w:rPr>
          <w:rFonts w:ascii="Verdana" w:eastAsia="Calibri" w:hAnsi="Verdana" w:cs="Arial"/>
          <w:lang w:val="es-ES" w:eastAsia="es-ES"/>
        </w:rPr>
        <w:t xml:space="preserve">La Agencia Nacional de Contratación Pública – Colombia Compra Eficiente </w:t>
      </w:r>
      <w:r w:rsidRPr="006E3E0D">
        <w:rPr>
          <w:rFonts w:ascii="Verdana" w:hAnsi="Verdana" w:cs="Arial"/>
          <w:shd w:val="clear" w:color="auto" w:fill="FFFFFF"/>
          <w:lang w:val="es-ES"/>
        </w:rPr>
        <w:t xml:space="preserve">se ha pronunciado sobre </w:t>
      </w:r>
      <w:r w:rsidR="00063DF5">
        <w:rPr>
          <w:rFonts w:ascii="Verdana" w:eastAsia="Calibri" w:hAnsi="Verdana" w:cs="Arial"/>
          <w:lang w:val="es-ES" w:eastAsia="es-ES"/>
        </w:rPr>
        <w:t xml:space="preserve">el anticipo y el pago anticipado en </w:t>
      </w:r>
      <w:r w:rsidR="00597967">
        <w:rPr>
          <w:rFonts w:ascii="Verdana" w:eastAsia="Calibri" w:hAnsi="Verdana" w:cs="Arial"/>
          <w:lang w:val="es-ES" w:eastAsia="es-ES"/>
        </w:rPr>
        <w:t xml:space="preserve">los siguientes conceptos </w:t>
      </w:r>
      <w:r w:rsidR="00597967" w:rsidRPr="00801B1E">
        <w:rPr>
          <w:rFonts w:ascii="Verdana" w:hAnsi="Verdana" w:cs="Arial"/>
          <w:bCs/>
          <w:shd w:val="clear" w:color="auto" w:fill="FFFFFF"/>
        </w:rPr>
        <w:t>torno a los anticipos, Colombia Compra Eficiente ha expedido los siguientes Conceptos: C- C-796 de noviembre de 2022, C-825 de diciembre de 2022, C-842 de 2022 de diciembre 2022, C-109 de mayo 2023, C-455 de diciembre de 2023, C-471 de 2023, C-452 de 2023, C-396 de 2023, C-090 de 2024, C-188 del 31 de julio de 2024</w:t>
      </w:r>
      <w:r w:rsidR="00597967">
        <w:rPr>
          <w:rFonts w:ascii="Verdana" w:hAnsi="Verdana" w:cs="Arial"/>
          <w:bCs/>
          <w:shd w:val="clear" w:color="auto" w:fill="FFFFFF"/>
        </w:rPr>
        <w:t>, C-485 del 2025</w:t>
      </w:r>
      <w:r w:rsidR="007976FC">
        <w:rPr>
          <w:rFonts w:ascii="Verdana" w:hAnsi="Verdana" w:cs="Arial"/>
          <w:bCs/>
          <w:shd w:val="clear" w:color="auto" w:fill="FFFFFF"/>
        </w:rPr>
        <w:t xml:space="preserve">, </w:t>
      </w:r>
      <w:r w:rsidR="007976FC" w:rsidRPr="007976FC">
        <w:rPr>
          <w:rFonts w:ascii="Verdana" w:hAnsi="Verdana" w:cs="Arial"/>
          <w:bCs/>
          <w:shd w:val="clear" w:color="auto" w:fill="FFFFFF"/>
        </w:rPr>
        <w:t>C-122 del 2026, C-200 del 2026, C-384 del 2026, C-603 del 2026, C-666 del 2026 y C-812 del 2026</w:t>
      </w:r>
      <w:r w:rsidR="007976FC">
        <w:rPr>
          <w:rFonts w:ascii="Verdana" w:hAnsi="Verdana" w:cs="Arial"/>
          <w:bCs/>
          <w:shd w:val="clear" w:color="auto" w:fill="FFFFFF"/>
        </w:rPr>
        <w:t xml:space="preserve">, </w:t>
      </w:r>
      <w:r w:rsidR="00597967" w:rsidRPr="00801B1E">
        <w:rPr>
          <w:rFonts w:ascii="Verdana" w:hAnsi="Verdana" w:cs="Arial"/>
          <w:bCs/>
          <w:shd w:val="clear" w:color="auto" w:fill="FFFFFF"/>
        </w:rPr>
        <w:t>entre otros.</w:t>
      </w:r>
    </w:p>
    <w:p w14:paraId="23E4FE23" w14:textId="77777777" w:rsidR="006A00DD" w:rsidRPr="00DB6C5D" w:rsidRDefault="006A00DD" w:rsidP="004C0FC3">
      <w:pPr>
        <w:widowControl w:val="0"/>
        <w:spacing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22F63785" w14:textId="77777777" w:rsidR="006A00DD" w:rsidRPr="00DB6C5D" w:rsidRDefault="006A00DD" w:rsidP="006A00DD">
      <w:pPr>
        <w:spacing w:after="0" w:line="276" w:lineRule="auto"/>
        <w:jc w:val="both"/>
        <w:rPr>
          <w:rFonts w:ascii="Verdana" w:hAnsi="Verdana"/>
        </w:rPr>
      </w:pPr>
    </w:p>
    <w:p w14:paraId="5ABCAE23" w14:textId="77777777" w:rsidR="006A00DD" w:rsidRPr="00DB6C5D" w:rsidRDefault="006A00DD" w:rsidP="006A00DD">
      <w:pPr>
        <w:spacing w:after="0" w:line="276" w:lineRule="auto"/>
        <w:jc w:val="both"/>
        <w:rPr>
          <w:rStyle w:val="Hipervnculo"/>
          <w:rFonts w:ascii="Verdana" w:hAnsi="Verdana"/>
        </w:rPr>
      </w:pPr>
      <w:r w:rsidRPr="00DB6C5D">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167454">
        <w:rPr>
          <w:rFonts w:ascii="Verdana" w:hAnsi="Verdana"/>
        </w:rPr>
        <w:t>Consúltala aquí: </w:t>
      </w:r>
      <w:hyperlink r:id="rId13" w:tooltip="Dirección URL original: https://www.colombiacompra.gov.co/archivos/manual/guia-de-garantias-en-procesos-de-contratacion. Haga clic o pulse si confía en este vínculo." w:history="1">
        <w:r w:rsidRPr="00167454">
          <w:rPr>
            <w:rStyle w:val="Hipervnculo"/>
            <w:rFonts w:ascii="Verdana" w:hAnsi="Verdana"/>
          </w:rPr>
          <w:t>https://www.colombiacompra.gov.co/archivos/manual/guia-de-garantias-en-procesos-de-contratacion</w:t>
        </w:r>
      </w:hyperlink>
    </w:p>
    <w:p w14:paraId="13715B7B" w14:textId="77777777" w:rsidR="006A00DD" w:rsidRPr="00DB6C5D" w:rsidRDefault="006A00DD" w:rsidP="006A00DD">
      <w:pPr>
        <w:spacing w:after="0" w:line="276" w:lineRule="auto"/>
        <w:jc w:val="both"/>
        <w:rPr>
          <w:rFonts w:ascii="Verdana" w:hAnsi="Verdana"/>
        </w:rPr>
      </w:pPr>
    </w:p>
    <w:p w14:paraId="7ECF48E8" w14:textId="77777777" w:rsidR="006A00DD" w:rsidRPr="00DB6C5D" w:rsidRDefault="006A00DD" w:rsidP="006A00DD">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 xml:space="preserve">en la que precisa quiénes son los beneficiarios, las cinco medidas que integran el sistema y su obligatoriedad según la modalidad de selección, y el régimen de transición aplicable a los procesos en curso. </w:t>
      </w:r>
      <w:r w:rsidRPr="00167454">
        <w:rPr>
          <w:rFonts w:ascii="Verdana" w:hAnsi="Verdana"/>
        </w:rPr>
        <w:t>Consúltala aquí: </w:t>
      </w:r>
      <w:hyperlink r:id="rId14" w:tooltip="Dirección URL original: https://www.colombiacompra.gov.co/archivos/circular/circular-externa-003-de-2026. Haga clic o pulse si confía en este vínculo." w:history="1">
        <w:r w:rsidRPr="00167454">
          <w:rPr>
            <w:rStyle w:val="Hipervnculo"/>
            <w:rFonts w:ascii="Verdana" w:hAnsi="Verdana"/>
          </w:rPr>
          <w:t>https://www.colombiacompra.gov.co/archivos/circular/circular-externa-003-de-2026</w:t>
        </w:r>
      </w:hyperlink>
    </w:p>
    <w:p w14:paraId="712CFA91" w14:textId="77777777" w:rsidR="006A00DD" w:rsidRPr="00DB6C5D" w:rsidRDefault="006A00DD" w:rsidP="006A00DD">
      <w:pPr>
        <w:spacing w:after="0" w:line="276" w:lineRule="auto"/>
        <w:jc w:val="both"/>
        <w:rPr>
          <w:rFonts w:ascii="Verdana" w:hAnsi="Verdana"/>
        </w:rPr>
      </w:pPr>
    </w:p>
    <w:p w14:paraId="65958A7A" w14:textId="77777777" w:rsidR="006A00DD" w:rsidRPr="00DB6C5D" w:rsidRDefault="006A00DD" w:rsidP="006A00DD">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solo cumple su función preventiva si llega oportunamente a los registros públicos. Sobre este deber, esta Agencia expidió la </w:t>
      </w:r>
      <w:r w:rsidRPr="00DB6C5D">
        <w:rPr>
          <w:rFonts w:ascii="Verdana" w:hAnsi="Verdana"/>
          <w:b/>
          <w:bCs/>
        </w:rPr>
        <w:t>Circular Externa 002 del 5 de mayo de 2026,</w:t>
      </w:r>
      <w:r w:rsidRPr="00DB6C5D">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167454">
        <w:rPr>
          <w:rFonts w:ascii="Verdana" w:hAnsi="Verdana"/>
        </w:rPr>
        <w:t>Consúltala aquí: </w:t>
      </w:r>
      <w:hyperlink r:id="rId15" w:tooltip="Dirección URL original: https://www.colombiacompra.gov.co/archivos/circular/circular-externa-002-de-2026. Haga clic o pulse si confía en este vínculo." w:history="1">
        <w:r w:rsidRPr="00167454">
          <w:rPr>
            <w:rStyle w:val="Hipervnculo"/>
            <w:rFonts w:ascii="Verdana" w:hAnsi="Verdana"/>
          </w:rPr>
          <w:t>https://www.colombiacompra.gov.co/archivos/circular/circular-externa-002-de-2026</w:t>
        </w:r>
      </w:hyperlink>
    </w:p>
    <w:p w14:paraId="34EE69A0" w14:textId="77777777" w:rsidR="006A00DD" w:rsidRPr="00DB6C5D" w:rsidRDefault="006A00DD" w:rsidP="006A00DD">
      <w:pPr>
        <w:spacing w:after="0" w:line="276" w:lineRule="auto"/>
        <w:jc w:val="both"/>
        <w:rPr>
          <w:rFonts w:ascii="Verdana" w:hAnsi="Verdana"/>
        </w:rPr>
      </w:pPr>
    </w:p>
    <w:p w14:paraId="3956E9E7" w14:textId="77777777" w:rsidR="006A00DD" w:rsidRPr="00DB6C5D" w:rsidRDefault="006A00DD" w:rsidP="006A00DD">
      <w:pPr>
        <w:spacing w:after="0" w:line="276" w:lineRule="auto"/>
        <w:jc w:val="both"/>
        <w:rPr>
          <w:rStyle w:val="Hipervnculo"/>
          <w:rFonts w:ascii="Verdana" w:hAnsi="Verdana"/>
        </w:rPr>
      </w:pPr>
      <w:r w:rsidRPr="00DB6C5D">
        <w:rPr>
          <w:rFonts w:ascii="Verdana" w:hAnsi="Verdana"/>
        </w:rPr>
        <w:t>Finalmente, si quieres seguir de cerca la actividad de la Agencia, la tercera edición de 2026 del</w:t>
      </w:r>
      <w:r w:rsidRPr="00DB6C5D">
        <w:rPr>
          <w:rFonts w:ascii="Verdana" w:hAnsi="Verdana"/>
          <w:b/>
          <w:bCs/>
        </w:rPr>
        <w:t> Radar de la Compra Pública</w:t>
      </w:r>
      <w:r w:rsidRPr="00DB6C5D">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167454">
        <w:rPr>
          <w:rFonts w:ascii="Verdana" w:hAnsi="Verdana"/>
        </w:rPr>
        <w:t>Descárgalo aquí: </w:t>
      </w:r>
      <w:hyperlink r:id="rId16" w:tooltip="Dirección URL original: https://www.colombiacompra.gov.co/archivos/boletin/boletin-edicion-n-3-de-2026-radar-de-la-compra-publica. Haga clic o pulse si confía en este vínculo." w:history="1">
        <w:r w:rsidRPr="00167454">
          <w:rPr>
            <w:rStyle w:val="Hipervnculo"/>
            <w:rFonts w:ascii="Verdana" w:hAnsi="Verdana"/>
          </w:rPr>
          <w:t>https://www.colombiacompra.gov.co/archivos/boletin/boletin-edicion-n-3-de-2026-radar-de-la-compra-publica</w:t>
        </w:r>
      </w:hyperlink>
    </w:p>
    <w:p w14:paraId="56582765" w14:textId="77777777" w:rsidR="006A00DD" w:rsidRPr="00DB6C5D" w:rsidRDefault="006A00DD" w:rsidP="006A00DD">
      <w:pPr>
        <w:spacing w:after="0" w:line="276" w:lineRule="auto"/>
        <w:jc w:val="both"/>
        <w:rPr>
          <w:rFonts w:ascii="Verdana" w:hAnsi="Verdana"/>
          <w:color w:val="0000FF"/>
          <w:u w:val="single"/>
        </w:rPr>
      </w:pPr>
    </w:p>
    <w:p w14:paraId="0EEC3DCA" w14:textId="77777777" w:rsidR="006A00DD" w:rsidRPr="00DB6C5D" w:rsidRDefault="006A00DD" w:rsidP="006A00DD">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180B17AC" w14:textId="77777777" w:rsidR="006A00DD" w:rsidRPr="00DB6C5D" w:rsidRDefault="006A00DD" w:rsidP="006A00DD">
      <w:pPr>
        <w:spacing w:after="0" w:line="276" w:lineRule="auto"/>
        <w:jc w:val="both"/>
        <w:rPr>
          <w:rFonts w:ascii="Verdana" w:eastAsia="Verdana" w:hAnsi="Verdana" w:cs="Verdana"/>
        </w:rPr>
      </w:pPr>
    </w:p>
    <w:p w14:paraId="7C97D82E" w14:textId="77777777" w:rsidR="006A00DD" w:rsidRPr="00DB6C5D" w:rsidRDefault="006A00DD" w:rsidP="006A00DD">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684D4D7A" w14:textId="77777777" w:rsidR="006A00DD" w:rsidRPr="00DB6C5D" w:rsidRDefault="006A00DD" w:rsidP="006A00DD">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78A22964" w14:textId="77777777" w:rsidR="006A00DD" w:rsidRPr="00DB6C5D" w:rsidRDefault="006A00DD" w:rsidP="006A00DD">
      <w:pPr>
        <w:pStyle w:val="Prrafodelista"/>
        <w:numPr>
          <w:ilvl w:val="0"/>
          <w:numId w:val="17"/>
        </w:numPr>
        <w:spacing w:after="0" w:line="276" w:lineRule="auto"/>
        <w:contextualSpacing w:val="0"/>
        <w:jc w:val="both"/>
        <w:rPr>
          <w:rFonts w:ascii="Verdana" w:eastAsia="Verdana" w:hAnsi="Verdana" w:cs="Verdana"/>
          <w:color w:val="0000FF"/>
          <w:u w:val="single"/>
          <w:lang w:val="es-CO"/>
        </w:rPr>
      </w:pPr>
      <w:r w:rsidRPr="00167454">
        <w:rPr>
          <w:rFonts w:ascii="Verdana" w:eastAsia="Verdana" w:hAnsi="Verdana" w:cs="Verdana"/>
          <w:lang w:val="es-CO"/>
        </w:rPr>
        <w:t xml:space="preserve">Correo de radicación de correspondencia: </w:t>
      </w:r>
      <w:hyperlink r:id="rId17" w:history="1">
        <w:r w:rsidRPr="00167454">
          <w:rPr>
            <w:rStyle w:val="Hipervnculo"/>
            <w:rFonts w:ascii="Verdana" w:eastAsia="Verdana" w:hAnsi="Verdana" w:cs="Verdana"/>
            <w:lang w:val="es-CO"/>
          </w:rPr>
          <w:t>ventanilladeradicacion@colombiacompra.gov.co</w:t>
        </w:r>
      </w:hyperlink>
    </w:p>
    <w:p w14:paraId="001AED00" w14:textId="77777777" w:rsidR="006A00DD" w:rsidRPr="00DB6C5D" w:rsidRDefault="006A00DD" w:rsidP="006A00DD">
      <w:pPr>
        <w:pStyle w:val="Prrafodelista"/>
        <w:numPr>
          <w:ilvl w:val="0"/>
          <w:numId w:val="17"/>
        </w:numPr>
        <w:spacing w:after="0" w:line="276" w:lineRule="auto"/>
        <w:contextualSpacing w:val="0"/>
        <w:jc w:val="both"/>
        <w:rPr>
          <w:rFonts w:ascii="Verdana" w:hAnsi="Verdana"/>
          <w:lang w:val="es-CO"/>
        </w:rPr>
      </w:pPr>
      <w:r w:rsidRPr="00167454">
        <w:rPr>
          <w:rFonts w:ascii="Verdana" w:eastAsia="Verdana" w:hAnsi="Verdana" w:cs="Verdana"/>
          <w:lang w:val="es-CO"/>
        </w:rPr>
        <w:t xml:space="preserve">Formulario web para PQRSD: </w:t>
      </w:r>
      <w:hyperlink r:id="rId18" w:history="1">
        <w:r w:rsidRPr="00167454">
          <w:rPr>
            <w:rStyle w:val="Hipervnculo"/>
            <w:rFonts w:ascii="Verdana" w:eastAsia="Verdana" w:hAnsi="Verdana" w:cs="Verdana"/>
            <w:lang w:val="es-CO"/>
          </w:rPr>
          <w:t>https://www.colombiacompra.gov.co/pqrsd/informacion-importante-antes-de-formular-una-pqrsd</w:t>
        </w:r>
      </w:hyperlink>
    </w:p>
    <w:p w14:paraId="47FF52FD" w14:textId="77777777" w:rsidR="00167454" w:rsidRDefault="00167454" w:rsidP="00167454">
      <w:pPr>
        <w:spacing w:after="0" w:line="276" w:lineRule="auto"/>
        <w:jc w:val="both"/>
        <w:rPr>
          <w:rFonts w:ascii="Verdana" w:hAnsi="Verdana"/>
        </w:rPr>
      </w:pPr>
    </w:p>
    <w:p w14:paraId="17FE51EE" w14:textId="406A45AA" w:rsidR="006A00DD" w:rsidRDefault="006A00DD" w:rsidP="004C0FC3">
      <w:pPr>
        <w:spacing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19" w:history="1">
        <w:r w:rsidRPr="00167454">
          <w:rPr>
            <w:rStyle w:val="Hipervnculo"/>
            <w:rFonts w:ascii="Verdana" w:hAnsi="Verdana"/>
          </w:rPr>
          <w:t>https://forms.office.com/r/pPHyWVs2SZ</w:t>
        </w:r>
      </w:hyperlink>
      <w:r w:rsidRPr="00DB6C5D">
        <w:rPr>
          <w:rFonts w:ascii="Verdana" w:hAnsi="Verdana"/>
        </w:rPr>
        <w:t xml:space="preserve">. </w:t>
      </w:r>
    </w:p>
    <w:p w14:paraId="1299E0AB" w14:textId="77777777" w:rsidR="006A00DD" w:rsidRPr="00DB6C5D" w:rsidRDefault="006A00DD" w:rsidP="004C0FC3">
      <w:pPr>
        <w:spacing w:after="0" w:line="276" w:lineRule="auto"/>
        <w:jc w:val="both"/>
        <w:rPr>
          <w:rFonts w:ascii="Verdana" w:hAnsi="Verdana"/>
        </w:rPr>
      </w:pPr>
      <w:r w:rsidRPr="00DB6C5D">
        <w:rPr>
          <w:rFonts w:ascii="Verdana" w:hAnsi="Verdana"/>
        </w:rPr>
        <w:t>¡Ayúdanos a mejorar porque el compromiso es de todos!</w:t>
      </w:r>
    </w:p>
    <w:p w14:paraId="3B2349B3" w14:textId="77777777" w:rsidR="00167454" w:rsidRDefault="00167454" w:rsidP="00167454">
      <w:pPr>
        <w:spacing w:after="0" w:line="276" w:lineRule="auto"/>
        <w:jc w:val="both"/>
        <w:rPr>
          <w:rFonts w:ascii="Verdana" w:hAnsi="Verdana"/>
        </w:rPr>
      </w:pPr>
    </w:p>
    <w:p w14:paraId="6B47DA5D" w14:textId="291F91A6" w:rsidR="007976FC" w:rsidRDefault="006A00DD" w:rsidP="004C0FC3">
      <w:pPr>
        <w:spacing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4B494AE5" w14:textId="77777777" w:rsidR="00167454" w:rsidRDefault="00167454" w:rsidP="00167454">
      <w:pPr>
        <w:spacing w:after="0" w:line="276" w:lineRule="auto"/>
        <w:jc w:val="both"/>
        <w:rPr>
          <w:rFonts w:ascii="Verdana" w:hAnsi="Verdana"/>
        </w:rPr>
      </w:pPr>
    </w:p>
    <w:p w14:paraId="003C079C" w14:textId="53CF1AF0" w:rsidR="006A00DD" w:rsidRPr="00DB6C5D" w:rsidRDefault="006A00DD" w:rsidP="004C0FC3">
      <w:pPr>
        <w:spacing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19FC8D18" w14:textId="77777777" w:rsidR="006A00DD" w:rsidRPr="00DB6C5D" w:rsidRDefault="006A00DD" w:rsidP="006A00DD">
      <w:pPr>
        <w:spacing w:after="0" w:line="276" w:lineRule="auto"/>
        <w:jc w:val="both"/>
        <w:rPr>
          <w:rFonts w:ascii="Verdana" w:hAnsi="Verdana"/>
        </w:rPr>
      </w:pPr>
      <w:r w:rsidRPr="00DB6C5D">
        <w:rPr>
          <w:rFonts w:ascii="Verdana" w:hAnsi="Verdana"/>
        </w:rPr>
        <w:t xml:space="preserve">Facebook: </w:t>
      </w:r>
      <w:proofErr w:type="spellStart"/>
      <w:r w:rsidRPr="00DB6C5D">
        <w:rPr>
          <w:rStyle w:val="Hipervnculo"/>
          <w:rFonts w:ascii="Verdana" w:hAnsi="Verdana"/>
        </w:rPr>
        <w:t>ColombiaCompraEficiente</w:t>
      </w:r>
      <w:proofErr w:type="spellEnd"/>
    </w:p>
    <w:p w14:paraId="08BD85A6" w14:textId="77777777" w:rsidR="006A00DD" w:rsidRPr="00DB6C5D" w:rsidRDefault="006A00DD" w:rsidP="006A00DD">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69BCEE6D" w14:textId="77777777" w:rsidR="006A00DD" w:rsidRPr="00DB6C5D" w:rsidRDefault="006A00DD" w:rsidP="006A00DD">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68F0C6E3" w14:textId="77777777" w:rsidR="00167454" w:rsidRDefault="00167454" w:rsidP="00167454">
      <w:pPr>
        <w:spacing w:after="0" w:line="276" w:lineRule="auto"/>
        <w:jc w:val="both"/>
        <w:rPr>
          <w:rFonts w:ascii="Verdana" w:eastAsia="Calibri" w:hAnsi="Verdana" w:cs="Times New Roman"/>
        </w:rPr>
      </w:pPr>
    </w:p>
    <w:p w14:paraId="1013B5AE" w14:textId="55CB07A2" w:rsidR="006A00DD" w:rsidRPr="00DB6C5D" w:rsidRDefault="006A00DD" w:rsidP="004C0FC3">
      <w:pPr>
        <w:spacing w:after="0" w:line="276" w:lineRule="auto"/>
        <w:jc w:val="both"/>
        <w:rPr>
          <w:rFonts w:ascii="Verdana" w:eastAsia="Calibri" w:hAnsi="Verdana" w:cs="Times New Roman"/>
          <w:bCs/>
        </w:rPr>
      </w:pPr>
      <w:r w:rsidRPr="00DB6C5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F2D9758" w14:textId="77777777" w:rsidR="006A00DD" w:rsidRPr="00DB6C5D" w:rsidRDefault="006A00DD" w:rsidP="006A00DD">
      <w:pPr>
        <w:spacing w:after="0" w:line="276" w:lineRule="auto"/>
        <w:jc w:val="both"/>
        <w:rPr>
          <w:rFonts w:ascii="Verdana" w:eastAsia="Times New Roman" w:hAnsi="Verdana" w:cs="Arial"/>
          <w:lang w:eastAsia="es-CO"/>
        </w:rPr>
      </w:pPr>
      <w:bookmarkStart w:id="4" w:name="_Hlk117695077"/>
    </w:p>
    <w:p w14:paraId="73140194" w14:textId="77777777" w:rsidR="006A00DD" w:rsidRPr="00DB6C5D" w:rsidRDefault="006A00DD" w:rsidP="006A00DD">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7DA1903F" w14:textId="7A47D5CC" w:rsidR="00CB4E49" w:rsidRPr="00CB4E49" w:rsidRDefault="00CB4E49" w:rsidP="00CB4E49">
      <w:pPr>
        <w:spacing w:line="276" w:lineRule="auto"/>
        <w:jc w:val="center"/>
        <w:rPr>
          <w:rFonts w:ascii="Verdana" w:eastAsia="Times New Roman" w:hAnsi="Verdana" w:cs="Arial"/>
          <w:lang w:eastAsia="es-CO"/>
        </w:rPr>
      </w:pPr>
      <w:r w:rsidRPr="00CB4E49">
        <w:rPr>
          <w:rFonts w:ascii="Verdana" w:eastAsia="Times New Roman" w:hAnsi="Verdana" w:cs="Arial"/>
          <w:lang w:eastAsia="es-CO"/>
        </w:rPr>
        <w:drawing>
          <wp:inline distT="0" distB="0" distL="0" distR="0" wp14:anchorId="238D4520" wp14:editId="31A3F702">
            <wp:extent cx="3771900" cy="1400175"/>
            <wp:effectExtent l="0" t="0" r="0" b="9525"/>
            <wp:docPr id="4266848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00DD" w:rsidRPr="00DB6C5D" w14:paraId="367DC91F" w14:textId="77777777" w:rsidTr="00195E6B">
        <w:trPr>
          <w:trHeight w:val="315"/>
        </w:trPr>
        <w:tc>
          <w:tcPr>
            <w:tcW w:w="893" w:type="dxa"/>
            <w:vAlign w:val="center"/>
            <w:hideMark/>
          </w:tcPr>
          <w:bookmarkEnd w:id="4"/>
          <w:p w14:paraId="0B6FDC92" w14:textId="77777777" w:rsidR="006A00DD" w:rsidRPr="00DB6C5D" w:rsidRDefault="006A00DD" w:rsidP="00195E6B">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5D6D793F" w14:textId="77777777" w:rsidR="006A00DD" w:rsidRPr="00DB6C5D" w:rsidRDefault="006A00DD" w:rsidP="00195E6B">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4BD1462B" w14:textId="77777777" w:rsidR="006A00DD" w:rsidRPr="00DB6C5D" w:rsidRDefault="006A00DD" w:rsidP="00195E6B">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6A00DD" w:rsidRPr="00DB6C5D" w14:paraId="15A70628" w14:textId="77777777" w:rsidTr="00195E6B">
        <w:trPr>
          <w:trHeight w:val="330"/>
        </w:trPr>
        <w:tc>
          <w:tcPr>
            <w:tcW w:w="893" w:type="dxa"/>
            <w:vAlign w:val="center"/>
            <w:hideMark/>
          </w:tcPr>
          <w:p w14:paraId="12997A83" w14:textId="77777777" w:rsidR="006A00DD" w:rsidRPr="00DB6C5D" w:rsidRDefault="006A00DD" w:rsidP="00195E6B">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4FDBBAC" w14:textId="77777777" w:rsidR="006A00DD" w:rsidRPr="00DB6C5D" w:rsidRDefault="006A00DD" w:rsidP="00195E6B">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r>
              <w:rPr>
                <w:rFonts w:ascii="Verdana" w:eastAsia="Times New Roman" w:hAnsi="Verdana" w:cs="Arial"/>
                <w:color w:val="000000"/>
                <w:sz w:val="16"/>
                <w:szCs w:val="16"/>
              </w:rPr>
              <w:t xml:space="preserve"> Castañeda</w:t>
            </w:r>
          </w:p>
          <w:p w14:paraId="35158549" w14:textId="77777777" w:rsidR="006A00DD" w:rsidRPr="00DB6C5D" w:rsidRDefault="006A00DD" w:rsidP="00195E6B">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6A00DD" w:rsidRPr="00DB6C5D" w14:paraId="6F759362" w14:textId="77777777" w:rsidTr="00195E6B">
        <w:trPr>
          <w:trHeight w:val="300"/>
        </w:trPr>
        <w:tc>
          <w:tcPr>
            <w:tcW w:w="893" w:type="dxa"/>
            <w:vAlign w:val="center"/>
            <w:hideMark/>
          </w:tcPr>
          <w:p w14:paraId="43A3EEB1" w14:textId="77777777" w:rsidR="006A00DD" w:rsidRPr="00DB6C5D" w:rsidRDefault="006A00DD" w:rsidP="00195E6B">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0308E50E" w14:textId="77777777" w:rsidR="006A00DD" w:rsidRPr="00DB6C5D" w:rsidRDefault="006A00DD" w:rsidP="00195E6B">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0747FB05" w14:textId="77777777" w:rsidR="006A00DD" w:rsidRPr="00DB6C5D" w:rsidRDefault="006A00DD" w:rsidP="00195E6B">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bookmarkEnd w:id="1"/>
    </w:tbl>
    <w:p w14:paraId="0CA3F9A7" w14:textId="77777777" w:rsidR="006A00DD" w:rsidRPr="00DB6C5D" w:rsidRDefault="006A00DD" w:rsidP="006A00DD">
      <w:pPr>
        <w:spacing w:after="0" w:line="240" w:lineRule="auto"/>
        <w:jc w:val="both"/>
        <w:textAlignment w:val="baseline"/>
        <w:rPr>
          <w:rFonts w:ascii="Verdana" w:eastAsia="Verdana" w:hAnsi="Verdana" w:cs="Verdana"/>
          <w:lang w:eastAsia="es-CO"/>
        </w:rPr>
      </w:pPr>
    </w:p>
    <w:p w14:paraId="09AD24F5" w14:textId="77777777" w:rsidR="006A00DD" w:rsidRPr="00DB6C5D" w:rsidRDefault="006A00DD" w:rsidP="006A00DD">
      <w:pPr>
        <w:spacing w:after="0" w:line="240" w:lineRule="auto"/>
        <w:jc w:val="both"/>
        <w:textAlignment w:val="baseline"/>
        <w:rPr>
          <w:rFonts w:ascii="Verdana" w:eastAsia="Verdana" w:hAnsi="Verdana" w:cs="Verdana"/>
          <w:lang w:eastAsia="es-CO"/>
        </w:rPr>
      </w:pPr>
    </w:p>
    <w:p w14:paraId="526F81B3" w14:textId="70D6C1C9" w:rsidR="006A00DD" w:rsidRPr="000E2B93" w:rsidRDefault="006A00DD" w:rsidP="006A00DD">
      <w:pPr>
        <w:spacing w:after="0" w:line="240" w:lineRule="auto"/>
        <w:textAlignment w:val="baseline"/>
        <w:rPr>
          <w:rFonts w:ascii="Verdana" w:eastAsia="Verdana" w:hAnsi="Verdana" w:cs="Verdana"/>
          <w:lang w:eastAsia="es-CO"/>
        </w:rPr>
      </w:pPr>
      <w:r w:rsidRPr="00DB6C5D">
        <w:rPr>
          <w:rFonts w:ascii="Verdana" w:eastAsia="Verdana" w:hAnsi="Verdana" w:cs="Verdana"/>
          <w:lang w:eastAsia="es-CO"/>
        </w:rPr>
        <w:t> </w:t>
      </w:r>
      <w:bookmarkEnd w:id="0"/>
    </w:p>
    <w:sectPr w:rsidR="006A00DD"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B4CB9" w14:textId="77777777" w:rsidR="001760E2" w:rsidRDefault="001760E2" w:rsidP="004A1847">
      <w:pPr>
        <w:spacing w:after="0" w:line="240" w:lineRule="auto"/>
      </w:pPr>
      <w:r>
        <w:separator/>
      </w:r>
    </w:p>
  </w:endnote>
  <w:endnote w:type="continuationSeparator" w:id="0">
    <w:p w14:paraId="11EE0F5A" w14:textId="77777777" w:rsidR="001760E2" w:rsidRDefault="001760E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ArialMT">
    <w:altName w:val="Klee One"/>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8EBAD" w14:textId="77777777" w:rsidR="001760E2" w:rsidRDefault="001760E2" w:rsidP="004A1847">
      <w:pPr>
        <w:spacing w:after="0" w:line="240" w:lineRule="auto"/>
      </w:pPr>
      <w:r>
        <w:separator/>
      </w:r>
    </w:p>
  </w:footnote>
  <w:footnote w:type="continuationSeparator" w:id="0">
    <w:p w14:paraId="214B8F29" w14:textId="77777777" w:rsidR="001760E2" w:rsidRDefault="001760E2" w:rsidP="004A1847">
      <w:pPr>
        <w:spacing w:after="0" w:line="240" w:lineRule="auto"/>
      </w:pPr>
      <w:r>
        <w:continuationSeparator/>
      </w:r>
    </w:p>
  </w:footnote>
  <w:footnote w:id="1">
    <w:p w14:paraId="71D85008" w14:textId="5FFB8649" w:rsidR="008A4EA2" w:rsidRDefault="008A4EA2" w:rsidP="008A4EA2">
      <w:pPr>
        <w:pStyle w:val="Textonotapie"/>
        <w:ind w:firstLine="709"/>
        <w:jc w:val="both"/>
        <w:rPr>
          <w:rFonts w:ascii="Verdana" w:hAnsi="Verdana" w:cs="Vrinda"/>
          <w:sz w:val="16"/>
          <w:szCs w:val="16"/>
        </w:rPr>
      </w:pPr>
      <w:r w:rsidRPr="003A7739">
        <w:rPr>
          <w:rStyle w:val="Refdenotaalpie"/>
          <w:rFonts w:ascii="Verdana" w:hAnsi="Verdana" w:cs="Vrinda"/>
          <w:sz w:val="16"/>
          <w:szCs w:val="16"/>
        </w:rPr>
        <w:footnoteRef/>
      </w:r>
      <w:r w:rsidRPr="003A7739">
        <w:rPr>
          <w:rFonts w:ascii="Verdana" w:hAnsi="Verdana" w:cs="Vrinda"/>
          <w:sz w:val="16"/>
          <w:szCs w:val="16"/>
        </w:rPr>
        <w:t xml:space="preserve"> Consejo de Estado. Sección Tercera. Subsección C. Sentencia del 29 de abril de 2015. </w:t>
      </w:r>
      <w:proofErr w:type="spellStart"/>
      <w:r w:rsidRPr="003A7739">
        <w:rPr>
          <w:rFonts w:ascii="Verdana" w:hAnsi="Verdana" w:cs="Vrinda"/>
          <w:sz w:val="16"/>
          <w:szCs w:val="16"/>
        </w:rPr>
        <w:t>Exp</w:t>
      </w:r>
      <w:proofErr w:type="spellEnd"/>
      <w:r w:rsidRPr="003A7739">
        <w:rPr>
          <w:rFonts w:ascii="Verdana" w:hAnsi="Verdana" w:cs="Vrinda"/>
          <w:sz w:val="16"/>
          <w:szCs w:val="16"/>
        </w:rPr>
        <w:t xml:space="preserve">. 31.620. C.P. Olga Mélida Valle De </w:t>
      </w:r>
      <w:proofErr w:type="spellStart"/>
      <w:r w:rsidRPr="003A7739">
        <w:rPr>
          <w:rFonts w:ascii="Verdana" w:hAnsi="Verdana" w:cs="Vrinda"/>
          <w:sz w:val="16"/>
          <w:szCs w:val="16"/>
        </w:rPr>
        <w:t>De</w:t>
      </w:r>
      <w:proofErr w:type="spellEnd"/>
      <w:r w:rsidRPr="003A7739">
        <w:rPr>
          <w:rFonts w:ascii="Verdana" w:hAnsi="Verdana" w:cs="Vrinda"/>
          <w:sz w:val="16"/>
          <w:szCs w:val="16"/>
        </w:rPr>
        <w:t xml:space="preserve"> La Hoz (E).</w:t>
      </w:r>
    </w:p>
    <w:p w14:paraId="4F5B90EF" w14:textId="77777777" w:rsidR="008A4EA2" w:rsidRPr="003A7739" w:rsidRDefault="008A4EA2" w:rsidP="008A4EA2">
      <w:pPr>
        <w:pStyle w:val="Textonotapie"/>
        <w:ind w:firstLine="709"/>
        <w:jc w:val="both"/>
        <w:rPr>
          <w:rFonts w:ascii="Verdana" w:hAnsi="Verdana" w:cs="Vrinda"/>
          <w:sz w:val="16"/>
          <w:szCs w:val="16"/>
        </w:rPr>
      </w:pPr>
    </w:p>
  </w:footnote>
  <w:footnote w:id="2">
    <w:p w14:paraId="12833A6C" w14:textId="06D408AE" w:rsidR="008A4EA2" w:rsidRDefault="008A4EA2" w:rsidP="008A4EA2">
      <w:pPr>
        <w:pStyle w:val="Textonotapie"/>
        <w:ind w:firstLine="708"/>
        <w:jc w:val="both"/>
        <w:rPr>
          <w:rFonts w:ascii="Verdana" w:hAnsi="Verdana"/>
          <w:sz w:val="16"/>
          <w:szCs w:val="16"/>
          <w:lang w:val="es-ES" w:bidi="es-ES"/>
        </w:rPr>
      </w:pPr>
      <w:r w:rsidRPr="003A7739">
        <w:rPr>
          <w:rStyle w:val="Refdenotaalpie"/>
          <w:rFonts w:ascii="Verdana" w:hAnsi="Verdana"/>
          <w:sz w:val="16"/>
          <w:szCs w:val="16"/>
        </w:rPr>
        <w:footnoteRef/>
      </w:r>
      <w:r w:rsidRPr="003A7739">
        <w:rPr>
          <w:rFonts w:ascii="Verdana" w:hAnsi="Verdana"/>
          <w:sz w:val="16"/>
          <w:szCs w:val="16"/>
        </w:rPr>
        <w:t xml:space="preserve"> </w:t>
      </w:r>
      <w:r w:rsidRPr="003A7739">
        <w:rPr>
          <w:rFonts w:ascii="Verdana" w:hAnsi="Verdana"/>
          <w:sz w:val="16"/>
          <w:szCs w:val="16"/>
          <w:lang w:val="es-ES" w:bidi="es-ES"/>
        </w:rPr>
        <w:t xml:space="preserve">(Cfr. Sección Tercera. Sentencia del 22 de junio de 2001. Radicado 13.436. </w:t>
      </w:r>
      <w:r w:rsidRPr="003A7739">
        <w:rPr>
          <w:rFonts w:ascii="Verdana" w:hAnsi="Verdana"/>
          <w:i/>
          <w:sz w:val="16"/>
          <w:szCs w:val="16"/>
          <w:lang w:val="es-ES" w:bidi="es-ES"/>
        </w:rPr>
        <w:t>Citada en</w:t>
      </w:r>
      <w:r w:rsidRPr="003A7739">
        <w:rPr>
          <w:rFonts w:ascii="Verdana" w:hAnsi="Verdana"/>
          <w:sz w:val="16"/>
          <w:szCs w:val="16"/>
          <w:lang w:val="es-ES" w:bidi="es-ES"/>
        </w:rPr>
        <w:t>: Sección Cuarta. Sentencia del 23 de septiembre de 2013. Radicado 18.752. C.P. Jorge Octavio Ramírez Ramírez).</w:t>
      </w:r>
    </w:p>
    <w:p w14:paraId="0F5DA540" w14:textId="77777777" w:rsidR="008A4EA2" w:rsidRPr="003A7739" w:rsidRDefault="008A4EA2" w:rsidP="008A4EA2">
      <w:pPr>
        <w:pStyle w:val="Textonotapie"/>
        <w:ind w:firstLine="708"/>
        <w:jc w:val="both"/>
        <w:rPr>
          <w:rFonts w:ascii="Verdana" w:hAnsi="Verdana"/>
          <w:sz w:val="16"/>
          <w:szCs w:val="16"/>
          <w:lang w:val="es-ES" w:bidi="es-ES"/>
        </w:rPr>
      </w:pPr>
    </w:p>
  </w:footnote>
  <w:footnote w:id="3">
    <w:p w14:paraId="4F64E9EB" w14:textId="169937E8" w:rsidR="008A4EA2" w:rsidRDefault="008A4EA2" w:rsidP="008A4EA2">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“Ver, entre otros: Consejo de Estado.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 Citado en Consejo de Estado. Sección Tercera, Subsección A. Sentencia del 16 de mayo de 2019. Rad. (40102). C.P: María Adriana Marín [cita No. 35]. </w:t>
      </w:r>
    </w:p>
    <w:p w14:paraId="0F0286D7" w14:textId="77777777" w:rsidR="008A4EA2" w:rsidRPr="003A7739" w:rsidRDefault="008A4EA2" w:rsidP="008A4EA2">
      <w:pPr>
        <w:pStyle w:val="Textonotapie"/>
        <w:ind w:firstLine="709"/>
        <w:jc w:val="both"/>
        <w:rPr>
          <w:rFonts w:ascii="Verdana" w:hAnsi="Verdana"/>
          <w:color w:val="000000" w:themeColor="text1"/>
          <w:sz w:val="16"/>
          <w:szCs w:val="16"/>
        </w:rPr>
      </w:pPr>
    </w:p>
  </w:footnote>
  <w:footnote w:id="4">
    <w:p w14:paraId="6D6ECE69" w14:textId="0A171F6D" w:rsidR="008A4EA2" w:rsidRDefault="008A4EA2" w:rsidP="008A4EA2">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Subsección A. Sentencia del 16 de mayo de 2019. </w:t>
      </w:r>
      <w:proofErr w:type="spellStart"/>
      <w:r w:rsidRPr="003A7739">
        <w:rPr>
          <w:rFonts w:ascii="Verdana" w:hAnsi="Verdana"/>
          <w:color w:val="000000" w:themeColor="text1"/>
          <w:sz w:val="16"/>
          <w:szCs w:val="16"/>
        </w:rPr>
        <w:t>Exp</w:t>
      </w:r>
      <w:proofErr w:type="spellEnd"/>
      <w:r w:rsidRPr="003A7739">
        <w:rPr>
          <w:rFonts w:ascii="Verdana" w:hAnsi="Verdana"/>
          <w:color w:val="000000" w:themeColor="text1"/>
          <w:sz w:val="16"/>
          <w:szCs w:val="16"/>
        </w:rPr>
        <w:t xml:space="preserve"> 40102. C.P: María Adriana Marín</w:t>
      </w:r>
      <w:r w:rsidR="001E12F6">
        <w:rPr>
          <w:rFonts w:ascii="Verdana" w:hAnsi="Verdana"/>
          <w:color w:val="000000" w:themeColor="text1"/>
          <w:sz w:val="16"/>
          <w:szCs w:val="16"/>
        </w:rPr>
        <w:t>.</w:t>
      </w:r>
    </w:p>
    <w:p w14:paraId="47EEBBE4" w14:textId="77777777" w:rsidR="008A4EA2" w:rsidRPr="003A7739" w:rsidRDefault="008A4EA2" w:rsidP="008A4EA2">
      <w:pPr>
        <w:pStyle w:val="Textonotapie"/>
        <w:ind w:firstLine="709"/>
        <w:jc w:val="both"/>
        <w:rPr>
          <w:rFonts w:ascii="Verdana" w:hAnsi="Verdana"/>
          <w:color w:val="000000" w:themeColor="text1"/>
          <w:sz w:val="16"/>
          <w:szCs w:val="16"/>
        </w:rPr>
      </w:pPr>
    </w:p>
  </w:footnote>
  <w:footnote w:id="5">
    <w:p w14:paraId="4EF17D84" w14:textId="2CAAFFCF" w:rsidR="008A4EA2" w:rsidRDefault="008A4EA2" w:rsidP="008A4EA2">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Subsección C. Sentencia del 2 de octubre del 2020. </w:t>
      </w:r>
      <w:proofErr w:type="spellStart"/>
      <w:r w:rsidRPr="003A7739">
        <w:rPr>
          <w:rFonts w:ascii="Verdana" w:hAnsi="Verdana"/>
          <w:color w:val="000000" w:themeColor="text1"/>
          <w:sz w:val="16"/>
          <w:szCs w:val="16"/>
        </w:rPr>
        <w:t>Exp</w:t>
      </w:r>
      <w:proofErr w:type="spellEnd"/>
      <w:r w:rsidRPr="003A7739">
        <w:rPr>
          <w:rFonts w:ascii="Verdana" w:hAnsi="Verdana"/>
          <w:color w:val="000000" w:themeColor="text1"/>
          <w:sz w:val="16"/>
          <w:szCs w:val="16"/>
        </w:rPr>
        <w:t xml:space="preserve">. 63644. CP. Jaime Enrique Rodríguez Nava. </w:t>
      </w:r>
    </w:p>
    <w:p w14:paraId="372463D8" w14:textId="77777777" w:rsidR="008A4EA2" w:rsidRPr="003A7739" w:rsidRDefault="008A4EA2" w:rsidP="008A4EA2">
      <w:pPr>
        <w:pStyle w:val="Textonotapie"/>
        <w:ind w:firstLine="709"/>
        <w:jc w:val="both"/>
        <w:rPr>
          <w:rFonts w:ascii="Verdana" w:hAnsi="Verdana"/>
          <w:color w:val="000000" w:themeColor="text1"/>
          <w:sz w:val="16"/>
          <w:szCs w:val="16"/>
          <w:lang w:val="es-CO"/>
        </w:rPr>
      </w:pPr>
    </w:p>
  </w:footnote>
  <w:footnote w:id="6">
    <w:p w14:paraId="21691609" w14:textId="1C817529" w:rsidR="008A4EA2" w:rsidRDefault="008A4EA2" w:rsidP="008A4EA2">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Sentencia de 22 de junio de 2001. </w:t>
      </w:r>
      <w:proofErr w:type="spellStart"/>
      <w:r w:rsidRPr="003A7739">
        <w:rPr>
          <w:rFonts w:ascii="Verdana" w:hAnsi="Verdana"/>
          <w:color w:val="000000" w:themeColor="text1"/>
          <w:sz w:val="16"/>
          <w:szCs w:val="16"/>
        </w:rPr>
        <w:t>Exp</w:t>
      </w:r>
      <w:proofErr w:type="spellEnd"/>
      <w:r w:rsidRPr="003A7739">
        <w:rPr>
          <w:rFonts w:ascii="Verdana" w:hAnsi="Verdana"/>
          <w:color w:val="000000" w:themeColor="text1"/>
          <w:sz w:val="16"/>
          <w:szCs w:val="16"/>
        </w:rPr>
        <w:t>. 13436, C.P. Ricardo Hoyos Duque</w:t>
      </w:r>
      <w:r w:rsidR="001E12F6">
        <w:rPr>
          <w:rFonts w:ascii="Verdana" w:hAnsi="Verdana"/>
          <w:color w:val="000000" w:themeColor="text1"/>
          <w:sz w:val="16"/>
          <w:szCs w:val="16"/>
        </w:rPr>
        <w:t xml:space="preserve">. </w:t>
      </w:r>
    </w:p>
    <w:p w14:paraId="2D785CF8" w14:textId="77777777" w:rsidR="008A4EA2" w:rsidRPr="003A7739" w:rsidRDefault="008A4EA2" w:rsidP="008A4EA2">
      <w:pPr>
        <w:pStyle w:val="Textonotapie"/>
        <w:ind w:firstLine="709"/>
        <w:jc w:val="both"/>
        <w:rPr>
          <w:rFonts w:ascii="Verdana" w:hAnsi="Verdana"/>
          <w:color w:val="000000" w:themeColor="text1"/>
          <w:sz w:val="16"/>
          <w:szCs w:val="16"/>
        </w:rPr>
      </w:pPr>
    </w:p>
  </w:footnote>
  <w:footnote w:id="7">
    <w:p w14:paraId="577F0C05" w14:textId="7D935CF9" w:rsidR="008A4EA2" w:rsidRDefault="008A4EA2" w:rsidP="008A4EA2">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3A7739">
        <w:rPr>
          <w:rFonts w:ascii="Verdana" w:eastAsia="Calibri" w:hAnsi="Verdana"/>
          <w:color w:val="000000" w:themeColor="text1"/>
          <w:sz w:val="16"/>
          <w:szCs w:val="16"/>
        </w:rPr>
        <w:t>” (</w:t>
      </w:r>
      <w:r w:rsidRPr="003A7739">
        <w:rPr>
          <w:rFonts w:ascii="Verdana" w:hAnsi="Verdana"/>
          <w:color w:val="000000" w:themeColor="text1"/>
          <w:sz w:val="16"/>
          <w:szCs w:val="16"/>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3A7739">
        <w:rPr>
          <w:rFonts w:ascii="Verdana" w:eastAsia="Calibri" w:hAnsi="Verdana"/>
          <w:color w:val="000000" w:themeColor="text1"/>
          <w:sz w:val="16"/>
          <w:szCs w:val="16"/>
        </w:rPr>
        <w:t>”</w:t>
      </w:r>
      <w:r w:rsidRPr="003A7739">
        <w:rPr>
          <w:rFonts w:ascii="Verdana" w:hAnsi="Verdana"/>
          <w:color w:val="000000" w:themeColor="text1"/>
          <w:sz w:val="16"/>
          <w:szCs w:val="16"/>
        </w:rPr>
        <w:t xml:space="preserve"> (MATALLANA CAMACHO, Ernesto. Manual de Contratación de la Administración Pública. Reforma de la Ley 80 de 1993. Bogotá: Universidad Externado de Colombia, 4 ed., 2015, p. 921 y </w:t>
      </w:r>
      <w:proofErr w:type="spellStart"/>
      <w:r w:rsidRPr="003A7739">
        <w:rPr>
          <w:rFonts w:ascii="Verdana" w:hAnsi="Verdana"/>
          <w:color w:val="000000" w:themeColor="text1"/>
          <w:sz w:val="16"/>
          <w:szCs w:val="16"/>
        </w:rPr>
        <w:t>ss</w:t>
      </w:r>
      <w:proofErr w:type="spellEnd"/>
      <w:r w:rsidRPr="003A7739">
        <w:rPr>
          <w:rFonts w:ascii="Verdana" w:hAnsi="Verdana"/>
          <w:color w:val="000000" w:themeColor="text1"/>
          <w:sz w:val="16"/>
          <w:szCs w:val="16"/>
        </w:rPr>
        <w:t>).</w:t>
      </w:r>
    </w:p>
    <w:p w14:paraId="1962B638" w14:textId="77777777" w:rsidR="008A4EA2" w:rsidRPr="003A7739" w:rsidRDefault="008A4EA2" w:rsidP="008A4EA2">
      <w:pPr>
        <w:pStyle w:val="Textonotapie"/>
        <w:ind w:firstLine="709"/>
        <w:jc w:val="both"/>
        <w:rPr>
          <w:rFonts w:ascii="Verdana" w:hAnsi="Verdana"/>
          <w:color w:val="000000" w:themeColor="text1"/>
          <w:sz w:val="16"/>
          <w:szCs w:val="16"/>
        </w:rPr>
      </w:pPr>
    </w:p>
  </w:footnote>
  <w:footnote w:id="8">
    <w:p w14:paraId="3FFCF0DC" w14:textId="7AF53C43" w:rsidR="008A4EA2" w:rsidRDefault="008A4EA2" w:rsidP="008A4EA2">
      <w:pPr>
        <w:pStyle w:val="Textonotapie"/>
        <w:ind w:firstLine="708"/>
        <w:jc w:val="both"/>
        <w:rPr>
          <w:rFonts w:ascii="Verdana" w:hAnsi="Verdana"/>
          <w:sz w:val="16"/>
          <w:szCs w:val="16"/>
        </w:rPr>
      </w:pPr>
      <w:r w:rsidRPr="003A7739">
        <w:rPr>
          <w:rStyle w:val="Refdenotaalpie"/>
          <w:rFonts w:ascii="Verdana" w:hAnsi="Verdana"/>
          <w:sz w:val="16"/>
          <w:szCs w:val="16"/>
        </w:rPr>
        <w:footnoteRef/>
      </w:r>
      <w:r w:rsidRPr="003A7739">
        <w:rPr>
          <w:rFonts w:ascii="Verdana" w:hAnsi="Verdana"/>
          <w:sz w:val="16"/>
          <w:szCs w:val="16"/>
        </w:rPr>
        <w:t xml:space="preserve"> DÁVILA VINUEZA, Luis Guillermo. Régimen jurídico de la contratación estatal. Bogotá: Legis, 2016. p. 600.</w:t>
      </w:r>
    </w:p>
    <w:p w14:paraId="2D15BFD7" w14:textId="77777777" w:rsidR="008A4EA2" w:rsidRPr="003A7739" w:rsidRDefault="008A4EA2" w:rsidP="008A4EA2">
      <w:pPr>
        <w:pStyle w:val="Textonotapie"/>
        <w:ind w:firstLine="708"/>
        <w:jc w:val="both"/>
        <w:rPr>
          <w:rFonts w:ascii="Verdana" w:hAnsi="Verdana"/>
          <w:sz w:val="16"/>
          <w:szCs w:val="16"/>
          <w:lang w:val="es-ES"/>
        </w:rPr>
      </w:pPr>
    </w:p>
  </w:footnote>
  <w:footnote w:id="9">
    <w:p w14:paraId="65B107FA" w14:textId="366D6B5B" w:rsidR="008A4EA2" w:rsidRDefault="008A4EA2" w:rsidP="008A4EA2">
      <w:pPr>
        <w:pStyle w:val="Textonotapie"/>
        <w:ind w:firstLine="708"/>
        <w:jc w:val="both"/>
        <w:rPr>
          <w:rFonts w:ascii="Verdana" w:hAnsi="Verdana"/>
          <w:sz w:val="16"/>
          <w:szCs w:val="16"/>
          <w:lang w:val="es-CO"/>
        </w:rPr>
      </w:pPr>
      <w:r w:rsidRPr="00DB6C5D">
        <w:rPr>
          <w:rStyle w:val="Refdenotaalpie"/>
          <w:rFonts w:ascii="Verdana" w:hAnsi="Verdana"/>
          <w:sz w:val="16"/>
          <w:szCs w:val="16"/>
          <w:lang w:val="es-CO"/>
        </w:rPr>
        <w:footnoteRef/>
      </w:r>
      <w:r w:rsidRPr="00DB6C5D">
        <w:rPr>
          <w:rFonts w:ascii="Verdana" w:hAnsi="Verdana"/>
          <w:sz w:val="16"/>
          <w:szCs w:val="16"/>
          <w:lang w:val="es-CO"/>
        </w:rPr>
        <w:t xml:space="preserve"> Para la doctrina, “[…] ni el objeto (art. 2.º) ni las funciones (art. 3.º) que la ley de creación confió a la Agencia (</w:t>
      </w:r>
      <w:proofErr w:type="spellStart"/>
      <w:proofErr w:type="gramStart"/>
      <w:r w:rsidRPr="00DB6C5D">
        <w:rPr>
          <w:rFonts w:ascii="Verdana" w:hAnsi="Verdana"/>
          <w:sz w:val="16"/>
          <w:szCs w:val="16"/>
          <w:lang w:val="es-CO"/>
        </w:rPr>
        <w:t>Dcto</w:t>
      </w:r>
      <w:proofErr w:type="spellEnd"/>
      <w:r w:rsidRPr="00DB6C5D">
        <w:rPr>
          <w:rFonts w:ascii="Verdana" w:hAnsi="Verdana"/>
          <w:sz w:val="16"/>
          <w:szCs w:val="16"/>
          <w:lang w:val="es-CO"/>
        </w:rPr>
        <w:t>.-</w:t>
      </w:r>
      <w:proofErr w:type="gramEnd"/>
      <w:r w:rsidRPr="00DB6C5D">
        <w:rPr>
          <w:rFonts w:ascii="Verdana" w:hAnsi="Verdana"/>
          <w:sz w:val="16"/>
          <w:szCs w:val="16"/>
          <w:lang w:val="es-CO"/>
        </w:rPr>
        <w:t>Ley 4170/11) comprenden competencias normativas sobre la contratación. Aunque el numeral 2.º del artículo 3.º le confiere las funciones de ‘desarrollar, implementar […] normas […] que faciliten las compras y contratación pública del Estado y promuevan las mejores prácticas’, ello no puede concebirse como una competencia específicamente normativa. Su misión de carácter técnico es promover las mejores condiciones de contratación, lo que comprende la realización de estudios y diagnósticos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4.º), la difusión de normas, reglas y procedimientos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10), el brindar apoyo a entidades territoriales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11) y la promoción de políticas y normas ante el Gobierno Nacional (</w:t>
      </w:r>
      <w:proofErr w:type="spellStart"/>
      <w:r w:rsidRPr="00DB6C5D">
        <w:rPr>
          <w:rFonts w:ascii="Verdana" w:hAnsi="Verdana"/>
          <w:sz w:val="16"/>
          <w:szCs w:val="16"/>
          <w:lang w:val="es-CO"/>
        </w:rPr>
        <w:t>num</w:t>
      </w:r>
      <w:proofErr w:type="spellEnd"/>
      <w:r w:rsidRPr="00DB6C5D">
        <w:rPr>
          <w:rFonts w:ascii="Verdana" w:hAnsi="Verdana"/>
          <w:sz w:val="16"/>
          <w:szCs w:val="16"/>
          <w:lang w:val="es-CO"/>
        </w:rPr>
        <w:t>. 1.º). Estas labores de apoyo, tanto a las entidades contratantes como al Gobierno Nacional, no comportan una función normativa propia […]” (Cfr. BENAVIDES, José Luis. Contratos públicos. Estudios. Bogotá: Universidad Externado de Colombia, 2014. p. 166).</w:t>
      </w:r>
    </w:p>
    <w:p w14:paraId="1EBC4A24" w14:textId="77777777" w:rsidR="008A4EA2" w:rsidRPr="00F26E5F" w:rsidRDefault="008A4EA2" w:rsidP="008A4EA2">
      <w:pPr>
        <w:pStyle w:val="Textonotapie"/>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2024895314">
    <w:abstractNumId w:val="10"/>
  </w:num>
  <w:num w:numId="17" w16cid:durableId="2037461892">
    <w:abstractNumId w:val="9"/>
  </w:num>
  <w:num w:numId="18" w16cid:durableId="1440835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84F"/>
    <w:rsid w:val="000428B0"/>
    <w:rsid w:val="00042D21"/>
    <w:rsid w:val="00046945"/>
    <w:rsid w:val="00061B2A"/>
    <w:rsid w:val="00063DF5"/>
    <w:rsid w:val="00076224"/>
    <w:rsid w:val="00082362"/>
    <w:rsid w:val="00097E80"/>
    <w:rsid w:val="000A683E"/>
    <w:rsid w:val="000B19B9"/>
    <w:rsid w:val="000B5B11"/>
    <w:rsid w:val="000D0334"/>
    <w:rsid w:val="000D5DA7"/>
    <w:rsid w:val="000F6486"/>
    <w:rsid w:val="00116940"/>
    <w:rsid w:val="00125105"/>
    <w:rsid w:val="00127233"/>
    <w:rsid w:val="00152DC1"/>
    <w:rsid w:val="0015699B"/>
    <w:rsid w:val="00162108"/>
    <w:rsid w:val="00167454"/>
    <w:rsid w:val="00171074"/>
    <w:rsid w:val="001760E2"/>
    <w:rsid w:val="00195E6B"/>
    <w:rsid w:val="001A2C31"/>
    <w:rsid w:val="001A33BF"/>
    <w:rsid w:val="001B5581"/>
    <w:rsid w:val="001C1C61"/>
    <w:rsid w:val="001C76AE"/>
    <w:rsid w:val="001E12F6"/>
    <w:rsid w:val="001E4177"/>
    <w:rsid w:val="001E6BE0"/>
    <w:rsid w:val="001F0B24"/>
    <w:rsid w:val="001F7DC6"/>
    <w:rsid w:val="00222B79"/>
    <w:rsid w:val="0022400B"/>
    <w:rsid w:val="00240E0B"/>
    <w:rsid w:val="002421BB"/>
    <w:rsid w:val="0025796E"/>
    <w:rsid w:val="00265CA8"/>
    <w:rsid w:val="002707A2"/>
    <w:rsid w:val="002951A0"/>
    <w:rsid w:val="002962BC"/>
    <w:rsid w:val="002A093D"/>
    <w:rsid w:val="002A0A8F"/>
    <w:rsid w:val="002A0DD0"/>
    <w:rsid w:val="002A49AC"/>
    <w:rsid w:val="002A64FD"/>
    <w:rsid w:val="002A71E5"/>
    <w:rsid w:val="002C0D3F"/>
    <w:rsid w:val="002C4699"/>
    <w:rsid w:val="002C530B"/>
    <w:rsid w:val="002C6DFE"/>
    <w:rsid w:val="002C7A84"/>
    <w:rsid w:val="002E2BF8"/>
    <w:rsid w:val="002E4FD9"/>
    <w:rsid w:val="002F34CE"/>
    <w:rsid w:val="002F3D05"/>
    <w:rsid w:val="0030657A"/>
    <w:rsid w:val="00317365"/>
    <w:rsid w:val="00322A85"/>
    <w:rsid w:val="00324168"/>
    <w:rsid w:val="00330834"/>
    <w:rsid w:val="003448F4"/>
    <w:rsid w:val="00346983"/>
    <w:rsid w:val="003721CD"/>
    <w:rsid w:val="00374F5E"/>
    <w:rsid w:val="00377E3E"/>
    <w:rsid w:val="003A4131"/>
    <w:rsid w:val="003A779E"/>
    <w:rsid w:val="003D0F4D"/>
    <w:rsid w:val="003D5B0D"/>
    <w:rsid w:val="003E0499"/>
    <w:rsid w:val="003E4F80"/>
    <w:rsid w:val="003E6439"/>
    <w:rsid w:val="003F3941"/>
    <w:rsid w:val="00406575"/>
    <w:rsid w:val="00414C74"/>
    <w:rsid w:val="00417740"/>
    <w:rsid w:val="004222A7"/>
    <w:rsid w:val="0042533C"/>
    <w:rsid w:val="0042722E"/>
    <w:rsid w:val="0044528D"/>
    <w:rsid w:val="00466E39"/>
    <w:rsid w:val="004A1847"/>
    <w:rsid w:val="004A305D"/>
    <w:rsid w:val="004B27F6"/>
    <w:rsid w:val="004C0FC3"/>
    <w:rsid w:val="004C7919"/>
    <w:rsid w:val="004F21C4"/>
    <w:rsid w:val="004F392A"/>
    <w:rsid w:val="004F685F"/>
    <w:rsid w:val="00533ED2"/>
    <w:rsid w:val="00551524"/>
    <w:rsid w:val="005566E8"/>
    <w:rsid w:val="00574867"/>
    <w:rsid w:val="00591460"/>
    <w:rsid w:val="00596A15"/>
    <w:rsid w:val="00597967"/>
    <w:rsid w:val="005A4C70"/>
    <w:rsid w:val="005A65E0"/>
    <w:rsid w:val="005C3777"/>
    <w:rsid w:val="005C5CDC"/>
    <w:rsid w:val="005D476C"/>
    <w:rsid w:val="006055AB"/>
    <w:rsid w:val="00610AD4"/>
    <w:rsid w:val="006200BF"/>
    <w:rsid w:val="006219F8"/>
    <w:rsid w:val="00626205"/>
    <w:rsid w:val="006302F7"/>
    <w:rsid w:val="00646B9F"/>
    <w:rsid w:val="00647C56"/>
    <w:rsid w:val="00656CDF"/>
    <w:rsid w:val="00665D70"/>
    <w:rsid w:val="00675E92"/>
    <w:rsid w:val="00682885"/>
    <w:rsid w:val="006900D9"/>
    <w:rsid w:val="006A00DD"/>
    <w:rsid w:val="006A3FF5"/>
    <w:rsid w:val="006D05F1"/>
    <w:rsid w:val="006D3C00"/>
    <w:rsid w:val="00706C16"/>
    <w:rsid w:val="007340C3"/>
    <w:rsid w:val="0075235A"/>
    <w:rsid w:val="00754B6E"/>
    <w:rsid w:val="00756841"/>
    <w:rsid w:val="007649AB"/>
    <w:rsid w:val="00771D0C"/>
    <w:rsid w:val="00773053"/>
    <w:rsid w:val="007833AC"/>
    <w:rsid w:val="007976FC"/>
    <w:rsid w:val="007A41ED"/>
    <w:rsid w:val="007B268C"/>
    <w:rsid w:val="007B7171"/>
    <w:rsid w:val="007C0C0F"/>
    <w:rsid w:val="007C3DC2"/>
    <w:rsid w:val="007E1FAD"/>
    <w:rsid w:val="007E3324"/>
    <w:rsid w:val="007E5497"/>
    <w:rsid w:val="008023F2"/>
    <w:rsid w:val="00806F5F"/>
    <w:rsid w:val="00820278"/>
    <w:rsid w:val="00822406"/>
    <w:rsid w:val="008258C9"/>
    <w:rsid w:val="00844AE9"/>
    <w:rsid w:val="00855FE0"/>
    <w:rsid w:val="00867F95"/>
    <w:rsid w:val="008843B6"/>
    <w:rsid w:val="00885B30"/>
    <w:rsid w:val="00891928"/>
    <w:rsid w:val="008A1C5C"/>
    <w:rsid w:val="008A446D"/>
    <w:rsid w:val="008A4EA2"/>
    <w:rsid w:val="008B008D"/>
    <w:rsid w:val="008B25F1"/>
    <w:rsid w:val="008D0472"/>
    <w:rsid w:val="008D180B"/>
    <w:rsid w:val="008F0EA7"/>
    <w:rsid w:val="00923EEF"/>
    <w:rsid w:val="009419F9"/>
    <w:rsid w:val="00952870"/>
    <w:rsid w:val="0095685E"/>
    <w:rsid w:val="00961B09"/>
    <w:rsid w:val="00965334"/>
    <w:rsid w:val="0097093E"/>
    <w:rsid w:val="0098466B"/>
    <w:rsid w:val="00993BDA"/>
    <w:rsid w:val="009969F5"/>
    <w:rsid w:val="009A0DFA"/>
    <w:rsid w:val="009A1C6F"/>
    <w:rsid w:val="009B2D26"/>
    <w:rsid w:val="009C71FA"/>
    <w:rsid w:val="009C72E7"/>
    <w:rsid w:val="009C7F7E"/>
    <w:rsid w:val="009D3058"/>
    <w:rsid w:val="009F3A13"/>
    <w:rsid w:val="00A02639"/>
    <w:rsid w:val="00A077A1"/>
    <w:rsid w:val="00A122D3"/>
    <w:rsid w:val="00A14468"/>
    <w:rsid w:val="00A17F13"/>
    <w:rsid w:val="00A20739"/>
    <w:rsid w:val="00A22004"/>
    <w:rsid w:val="00A23AF9"/>
    <w:rsid w:val="00A246B2"/>
    <w:rsid w:val="00A33C78"/>
    <w:rsid w:val="00A44D8B"/>
    <w:rsid w:val="00A61482"/>
    <w:rsid w:val="00A6755B"/>
    <w:rsid w:val="00A7138D"/>
    <w:rsid w:val="00A766C6"/>
    <w:rsid w:val="00A87A0E"/>
    <w:rsid w:val="00A87F7C"/>
    <w:rsid w:val="00AB0ADB"/>
    <w:rsid w:val="00AC7408"/>
    <w:rsid w:val="00AE1DA5"/>
    <w:rsid w:val="00B00C0E"/>
    <w:rsid w:val="00B01B1A"/>
    <w:rsid w:val="00B0381D"/>
    <w:rsid w:val="00B3455B"/>
    <w:rsid w:val="00B44A47"/>
    <w:rsid w:val="00B562D7"/>
    <w:rsid w:val="00B57F57"/>
    <w:rsid w:val="00B65A3C"/>
    <w:rsid w:val="00B71126"/>
    <w:rsid w:val="00B72CD3"/>
    <w:rsid w:val="00B72FFF"/>
    <w:rsid w:val="00B94C31"/>
    <w:rsid w:val="00BA595C"/>
    <w:rsid w:val="00BB188F"/>
    <w:rsid w:val="00BC3D36"/>
    <w:rsid w:val="00BD54A6"/>
    <w:rsid w:val="00BD7F72"/>
    <w:rsid w:val="00BE0FF3"/>
    <w:rsid w:val="00BF42FD"/>
    <w:rsid w:val="00BF7425"/>
    <w:rsid w:val="00C04FB3"/>
    <w:rsid w:val="00C11D8B"/>
    <w:rsid w:val="00C15139"/>
    <w:rsid w:val="00C2742A"/>
    <w:rsid w:val="00C31E6C"/>
    <w:rsid w:val="00C330EB"/>
    <w:rsid w:val="00C35699"/>
    <w:rsid w:val="00C41216"/>
    <w:rsid w:val="00C50D69"/>
    <w:rsid w:val="00C5365C"/>
    <w:rsid w:val="00C754BE"/>
    <w:rsid w:val="00C76B1C"/>
    <w:rsid w:val="00C925AC"/>
    <w:rsid w:val="00CA5BBD"/>
    <w:rsid w:val="00CB451D"/>
    <w:rsid w:val="00CB4E49"/>
    <w:rsid w:val="00CB6357"/>
    <w:rsid w:val="00CC1B26"/>
    <w:rsid w:val="00D10E2F"/>
    <w:rsid w:val="00D361FD"/>
    <w:rsid w:val="00D423A2"/>
    <w:rsid w:val="00D44E26"/>
    <w:rsid w:val="00D520D8"/>
    <w:rsid w:val="00D52889"/>
    <w:rsid w:val="00D52DAC"/>
    <w:rsid w:val="00D63AC2"/>
    <w:rsid w:val="00D7383B"/>
    <w:rsid w:val="00D7788A"/>
    <w:rsid w:val="00DA231B"/>
    <w:rsid w:val="00DA4011"/>
    <w:rsid w:val="00DC39FC"/>
    <w:rsid w:val="00DF5254"/>
    <w:rsid w:val="00E010F4"/>
    <w:rsid w:val="00E02524"/>
    <w:rsid w:val="00E16408"/>
    <w:rsid w:val="00E16F47"/>
    <w:rsid w:val="00E20894"/>
    <w:rsid w:val="00E245AB"/>
    <w:rsid w:val="00E2764C"/>
    <w:rsid w:val="00E27F2E"/>
    <w:rsid w:val="00E46F10"/>
    <w:rsid w:val="00E47F1F"/>
    <w:rsid w:val="00E50AFE"/>
    <w:rsid w:val="00E75C92"/>
    <w:rsid w:val="00E771DC"/>
    <w:rsid w:val="00E83F64"/>
    <w:rsid w:val="00E8772A"/>
    <w:rsid w:val="00E90F6B"/>
    <w:rsid w:val="00E92C27"/>
    <w:rsid w:val="00E9566A"/>
    <w:rsid w:val="00EA0E3D"/>
    <w:rsid w:val="00EC38A7"/>
    <w:rsid w:val="00EE1AA8"/>
    <w:rsid w:val="00F0691A"/>
    <w:rsid w:val="00F23FEA"/>
    <w:rsid w:val="00F31EDC"/>
    <w:rsid w:val="00F44B2A"/>
    <w:rsid w:val="00F462B3"/>
    <w:rsid w:val="00F46748"/>
    <w:rsid w:val="00F5664F"/>
    <w:rsid w:val="00F666C4"/>
    <w:rsid w:val="00F76AFC"/>
    <w:rsid w:val="00F85BEA"/>
    <w:rsid w:val="00FA28C5"/>
    <w:rsid w:val="00FA47C0"/>
    <w:rsid w:val="00FB5DD1"/>
    <w:rsid w:val="00FC2B5D"/>
    <w:rsid w:val="00FC3299"/>
    <w:rsid w:val="00FC3C19"/>
    <w:rsid w:val="00FD3B23"/>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184EEB3-E427-43F7-9764-3E9B03B5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A00D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A00DD"/>
    <w:rPr>
      <w:rFonts w:ascii="Geomanist Light" w:hAnsi="Geomanist Light"/>
      <w:lang w:val="es-ES"/>
    </w:rPr>
  </w:style>
  <w:style w:type="paragraph" w:styleId="Sinespaciado">
    <w:name w:val="No Spacing"/>
    <w:uiPriority w:val="1"/>
    <w:qFormat/>
    <w:rsid w:val="006A00DD"/>
    <w:pPr>
      <w:spacing w:after="0" w:line="240" w:lineRule="auto"/>
    </w:pPr>
  </w:style>
  <w:style w:type="character" w:customStyle="1" w:styleId="s15">
    <w:name w:val="s15"/>
    <w:basedOn w:val="Fuentedeprrafopredeter"/>
    <w:rsid w:val="006A00DD"/>
  </w:style>
  <w:style w:type="character" w:customStyle="1" w:styleId="NormalWebCar">
    <w:name w:val="Normal (Web) Car"/>
    <w:link w:val="NormalWeb"/>
    <w:uiPriority w:val="99"/>
    <w:locked/>
    <w:rsid w:val="006A00DD"/>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885B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4671290">
      <w:bodyDiv w:val="1"/>
      <w:marLeft w:val="0"/>
      <w:marRight w:val="0"/>
      <w:marTop w:val="0"/>
      <w:marBottom w:val="0"/>
      <w:divBdr>
        <w:top w:val="none" w:sz="0" w:space="0" w:color="auto"/>
        <w:left w:val="none" w:sz="0" w:space="0" w:color="auto"/>
        <w:bottom w:val="none" w:sz="0" w:space="0" w:color="auto"/>
        <w:right w:val="none" w:sz="0" w:space="0" w:color="auto"/>
      </w:divBdr>
      <w:divsChild>
        <w:div w:id="1396664285">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4395764">
      <w:bodyDiv w:val="1"/>
      <w:marLeft w:val="0"/>
      <w:marRight w:val="0"/>
      <w:marTop w:val="0"/>
      <w:marBottom w:val="0"/>
      <w:divBdr>
        <w:top w:val="none" w:sz="0" w:space="0" w:color="auto"/>
        <w:left w:val="none" w:sz="0" w:space="0" w:color="auto"/>
        <w:bottom w:val="none" w:sz="0" w:space="0" w:color="auto"/>
        <w:right w:val="none" w:sz="0" w:space="0" w:color="auto"/>
      </w:divBdr>
      <w:divsChild>
        <w:div w:id="2051802768">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935627835">
      <w:bodyDiv w:val="1"/>
      <w:marLeft w:val="0"/>
      <w:marRight w:val="0"/>
      <w:marTop w:val="0"/>
      <w:marBottom w:val="0"/>
      <w:divBdr>
        <w:top w:val="none" w:sz="0" w:space="0" w:color="auto"/>
        <w:left w:val="none" w:sz="0" w:space="0" w:color="auto"/>
        <w:bottom w:val="none" w:sz="0" w:space="0" w:color="auto"/>
        <w:right w:val="none" w:sz="0" w:space="0" w:color="auto"/>
      </w:divBdr>
      <w:divsChild>
        <w:div w:id="64887251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nquintero@yahoo.e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D7BE7-6588-4C81-A71D-82DDEAC603D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14</Pages>
  <Words>4390</Words>
  <Characters>24146</Characters>
  <Application>Microsoft Office Word</Application>
  <DocSecurity>0</DocSecurity>
  <Lines>201</Lines>
  <Paragraphs>56</Paragraphs>
  <ScaleCrop>false</ScaleCrop>
  <Company/>
  <LinksUpToDate>false</LinksUpToDate>
  <CharactersWithSpaces>28480</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2752636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12</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9</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6946907</vt:i4>
      </vt:variant>
      <vt:variant>
        <vt:i4>0</vt:i4>
      </vt:variant>
      <vt:variant>
        <vt:i4>0</vt:i4>
      </vt:variant>
      <vt:variant>
        <vt:i4>5</vt:i4>
      </vt:variant>
      <vt:variant>
        <vt:lpwstr>mailto:lonquintero@yahoo.es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10</cp:revision>
  <cp:lastPrinted>2023-01-11T00:18:00Z</cp:lastPrinted>
  <dcterms:created xsi:type="dcterms:W3CDTF">2026-09-09T21:05:00Z</dcterms:created>
  <dcterms:modified xsi:type="dcterms:W3CDTF">2026-09-11T17:23:00Z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